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7"/>
        <w:gridCol w:w="2435"/>
        <w:gridCol w:w="2279"/>
        <w:gridCol w:w="3587"/>
        <w:gridCol w:w="56"/>
        <w:gridCol w:w="87"/>
      </w:tblGrid>
      <w:tr w:rsidR="000F77C7" w:rsidRPr="00304B19" w14:paraId="4438150F" w14:textId="77777777" w:rsidTr="00DF6D78">
        <w:trPr>
          <w:trHeight w:hRule="exact" w:val="418"/>
          <w:jc w:val="center"/>
        </w:trPr>
        <w:tc>
          <w:tcPr>
            <w:tcW w:w="8861" w:type="dxa"/>
            <w:gridSpan w:val="6"/>
          </w:tcPr>
          <w:p w14:paraId="4AD0B838" w14:textId="77777777" w:rsidR="000F77C7" w:rsidRPr="00304B19" w:rsidRDefault="000F77C7" w:rsidP="00B00378">
            <w:pPr>
              <w:pStyle w:val="a3"/>
              <w:jc w:val="center"/>
              <w:rPr>
                <w:rFonts w:ascii="Tahoma" w:hAnsi="Tahoma"/>
                <w:color w:val="000080"/>
                <w:sz w:val="32"/>
                <w:szCs w:val="32"/>
                <w:rtl/>
              </w:rPr>
            </w:pPr>
            <w:r w:rsidRPr="00304B19">
              <w:rPr>
                <w:rFonts w:ascii="Tahoma" w:hAnsi="Tahoma"/>
                <w:b/>
                <w:bCs/>
                <w:color w:val="000080"/>
                <w:sz w:val="32"/>
                <w:szCs w:val="32"/>
                <w:rtl/>
              </w:rPr>
              <w:t>בית המשפט המחוזי בתל אביב - יפו</w:t>
            </w:r>
          </w:p>
        </w:tc>
      </w:tr>
      <w:tr w:rsidR="000F77C7" w:rsidRPr="00304B19" w14:paraId="44FEB589" w14:textId="77777777" w:rsidTr="00DF6D78">
        <w:trPr>
          <w:trHeight w:val="337"/>
          <w:jc w:val="center"/>
        </w:trPr>
        <w:tc>
          <w:tcPr>
            <w:tcW w:w="5131" w:type="dxa"/>
            <w:gridSpan w:val="3"/>
          </w:tcPr>
          <w:p w14:paraId="368CBCB0" w14:textId="77777777" w:rsidR="000F77C7" w:rsidRPr="00304B19" w:rsidRDefault="000F77C7" w:rsidP="00B00378">
            <w:pPr>
              <w:rPr>
                <w:rFonts w:ascii="David" w:hAnsi="David"/>
                <w:b/>
                <w:bCs/>
                <w:rtl/>
              </w:rPr>
            </w:pPr>
            <w:r w:rsidRPr="00304B19">
              <w:rPr>
                <w:rFonts w:ascii="David" w:hAnsi="David"/>
                <w:b/>
                <w:bCs/>
                <w:rtl/>
              </w:rPr>
              <w:t>ת"פ 65828-06-20 מדינת ישראל נ' אבגן</w:t>
            </w:r>
          </w:p>
          <w:p w14:paraId="502F766A" w14:textId="77777777" w:rsidR="000F77C7" w:rsidRPr="00304B19" w:rsidRDefault="000F77C7" w:rsidP="00B00378">
            <w:pPr>
              <w:pStyle w:val="a3"/>
              <w:rPr>
                <w:rFonts w:ascii="David" w:hAnsi="David"/>
                <w:b/>
                <w:bCs/>
                <w:rtl/>
              </w:rPr>
            </w:pPr>
          </w:p>
        </w:tc>
        <w:tc>
          <w:tcPr>
            <w:tcW w:w="3730" w:type="dxa"/>
            <w:gridSpan w:val="3"/>
          </w:tcPr>
          <w:p w14:paraId="47DEAF7A" w14:textId="77777777" w:rsidR="000F77C7" w:rsidRPr="00304B19" w:rsidRDefault="000F77C7" w:rsidP="00B00378">
            <w:pPr>
              <w:pStyle w:val="a3"/>
              <w:jc w:val="right"/>
              <w:rPr>
                <w:rFonts w:ascii="David" w:hAnsi="David"/>
                <w:b/>
                <w:bCs/>
                <w:rtl/>
              </w:rPr>
            </w:pPr>
            <w:r w:rsidRPr="00304B19">
              <w:rPr>
                <w:rFonts w:ascii="David" w:hAnsi="David"/>
                <w:b/>
                <w:bCs/>
                <w:rtl/>
              </w:rPr>
              <w:t>4 אפריל 2022</w:t>
            </w:r>
          </w:p>
        </w:tc>
      </w:tr>
      <w:tr w:rsidR="000F77C7" w:rsidRPr="00304B19" w14:paraId="79F75E90" w14:textId="77777777" w:rsidTr="00DF6D78">
        <w:tblPrEx>
          <w:jc w:val="left"/>
          <w:tblLook w:val="01E0" w:firstRow="1" w:lastRow="1" w:firstColumn="1" w:lastColumn="1" w:noHBand="0" w:noVBand="0"/>
        </w:tblPrEx>
        <w:trPr>
          <w:gridBefore w:val="1"/>
          <w:gridAfter w:val="2"/>
          <w:wBefore w:w="417" w:type="dxa"/>
          <w:wAfter w:w="143" w:type="dxa"/>
        </w:trPr>
        <w:tc>
          <w:tcPr>
            <w:tcW w:w="8301" w:type="dxa"/>
            <w:gridSpan w:val="3"/>
            <w:shd w:val="clear" w:color="auto" w:fill="auto"/>
          </w:tcPr>
          <w:p w14:paraId="7A8716EB" w14:textId="77777777" w:rsidR="000F77C7" w:rsidRPr="00304B19" w:rsidRDefault="000F77C7" w:rsidP="000F77C7">
            <w:pPr>
              <w:spacing w:line="360" w:lineRule="auto"/>
              <w:jc w:val="both"/>
              <w:rPr>
                <w:rStyle w:val="TimesNewRomanTimesNewRoman"/>
                <w:rtl/>
              </w:rPr>
            </w:pPr>
            <w:r w:rsidRPr="00304B19">
              <w:rPr>
                <w:rFonts w:hint="cs"/>
                <w:rtl/>
              </w:rPr>
              <w:t xml:space="preserve"> </w:t>
            </w:r>
            <w:r w:rsidRPr="00304B19">
              <w:rPr>
                <w:rFonts w:hint="cs"/>
                <w:b/>
                <w:bCs/>
                <w:rtl/>
              </w:rPr>
              <w:t>לפני כבוד השופט בני שגיא</w:t>
            </w:r>
            <w:r w:rsidRPr="00304B19">
              <w:rPr>
                <w:rStyle w:val="TimesNewRomanTimesNewRoman"/>
                <w:rtl/>
              </w:rPr>
              <w:t>, סגן נשיא</w:t>
            </w:r>
          </w:p>
          <w:p w14:paraId="2B872085" w14:textId="77777777" w:rsidR="000F77C7" w:rsidRPr="00304B19" w:rsidRDefault="000F77C7" w:rsidP="000F77C7">
            <w:pPr>
              <w:jc w:val="right"/>
              <w:rPr>
                <w:rFonts w:cs="Times New Roman"/>
                <w:rtl/>
              </w:rPr>
            </w:pPr>
          </w:p>
        </w:tc>
      </w:tr>
      <w:tr w:rsidR="000F77C7" w:rsidRPr="00304B19" w14:paraId="38239FC5" w14:textId="77777777" w:rsidTr="00DF6D78">
        <w:tblPrEx>
          <w:jc w:val="left"/>
          <w:tblLook w:val="01E0" w:firstRow="1" w:lastRow="1" w:firstColumn="1" w:lastColumn="1" w:noHBand="0" w:noVBand="0"/>
        </w:tblPrEx>
        <w:trPr>
          <w:gridBefore w:val="1"/>
          <w:gridAfter w:val="1"/>
          <w:wBefore w:w="417" w:type="dxa"/>
          <w:wAfter w:w="87" w:type="dxa"/>
          <w:cantSplit/>
          <w:trHeight w:val="724"/>
        </w:trPr>
        <w:tc>
          <w:tcPr>
            <w:tcW w:w="2435" w:type="dxa"/>
            <w:shd w:val="clear" w:color="auto" w:fill="auto"/>
          </w:tcPr>
          <w:p w14:paraId="21F3A8C2" w14:textId="77777777" w:rsidR="000F77C7" w:rsidRPr="00304B19" w:rsidRDefault="000F77C7" w:rsidP="000F77C7">
            <w:pPr>
              <w:ind w:left="26"/>
              <w:jc w:val="right"/>
              <w:rPr>
                <w:b/>
                <w:bCs/>
                <w:rtl/>
              </w:rPr>
            </w:pPr>
            <w:bookmarkStart w:id="0" w:name="FirstAppellant"/>
            <w:bookmarkStart w:id="1" w:name="FirstLawyer"/>
            <w:bookmarkStart w:id="2" w:name="LastJudge"/>
            <w:bookmarkEnd w:id="2"/>
          </w:p>
          <w:p w14:paraId="1B9DEA6D" w14:textId="77777777" w:rsidR="000F77C7" w:rsidRPr="00304B19" w:rsidRDefault="000F77C7" w:rsidP="000F77C7">
            <w:pPr>
              <w:ind w:left="26"/>
              <w:rPr>
                <w:b/>
                <w:bCs/>
                <w:rtl/>
              </w:rPr>
            </w:pPr>
            <w:r w:rsidRPr="00304B19">
              <w:rPr>
                <w:rFonts w:hint="cs"/>
                <w:b/>
                <w:bCs/>
                <w:rtl/>
              </w:rPr>
              <w:t>המאשימה:</w:t>
            </w:r>
          </w:p>
        </w:tc>
        <w:tc>
          <w:tcPr>
            <w:tcW w:w="5922" w:type="dxa"/>
            <w:gridSpan w:val="3"/>
            <w:shd w:val="clear" w:color="auto" w:fill="auto"/>
          </w:tcPr>
          <w:p w14:paraId="14372A2C" w14:textId="77777777" w:rsidR="000F77C7" w:rsidRPr="00304B19" w:rsidRDefault="000F77C7" w:rsidP="000F77C7">
            <w:pPr>
              <w:jc w:val="right"/>
              <w:rPr>
                <w:rtl/>
              </w:rPr>
            </w:pPr>
          </w:p>
          <w:p w14:paraId="235993E8" w14:textId="77777777" w:rsidR="000F77C7" w:rsidRPr="00304B19" w:rsidRDefault="000F77C7" w:rsidP="000F77C7">
            <w:pPr>
              <w:spacing w:line="360" w:lineRule="auto"/>
              <w:rPr>
                <w:b/>
                <w:bCs/>
                <w:rtl/>
              </w:rPr>
            </w:pPr>
            <w:r w:rsidRPr="00304B19">
              <w:rPr>
                <w:rFonts w:hint="cs"/>
                <w:rtl/>
              </w:rPr>
              <w:t xml:space="preserve"> </w:t>
            </w:r>
            <w:r w:rsidRPr="00304B19">
              <w:rPr>
                <w:rFonts w:hint="cs"/>
                <w:b/>
                <w:bCs/>
                <w:rtl/>
              </w:rPr>
              <w:t>מדינת ישראל</w:t>
            </w:r>
          </w:p>
          <w:p w14:paraId="3E8BEE6B" w14:textId="77777777" w:rsidR="000F77C7" w:rsidRPr="00304B19" w:rsidRDefault="000F77C7" w:rsidP="000F77C7">
            <w:pPr>
              <w:spacing w:line="360" w:lineRule="auto"/>
              <w:rPr>
                <w:rtl/>
              </w:rPr>
            </w:pPr>
            <w:r w:rsidRPr="00304B19">
              <w:rPr>
                <w:rFonts w:hint="cs"/>
                <w:rtl/>
              </w:rPr>
              <w:t>על-ידי ב"כ עו"ד בן צור</w:t>
            </w:r>
          </w:p>
          <w:p w14:paraId="19464F1F" w14:textId="77777777" w:rsidR="000F77C7" w:rsidRPr="00304B19" w:rsidRDefault="000F77C7" w:rsidP="000F77C7">
            <w:pPr>
              <w:spacing w:line="360" w:lineRule="auto"/>
              <w:rPr>
                <w:rtl/>
              </w:rPr>
            </w:pPr>
            <w:r w:rsidRPr="00304B19">
              <w:rPr>
                <w:rFonts w:hint="cs"/>
                <w:rtl/>
              </w:rPr>
              <w:t>באמצעות פרקליטות מחוז תל-אביב (פלילי)</w:t>
            </w:r>
          </w:p>
          <w:p w14:paraId="39562058" w14:textId="77777777" w:rsidR="000F77C7" w:rsidRPr="00304B19" w:rsidRDefault="000F77C7" w:rsidP="000F77C7">
            <w:pPr>
              <w:jc w:val="right"/>
              <w:rPr>
                <w:b/>
                <w:bCs/>
                <w:rtl/>
              </w:rPr>
            </w:pPr>
          </w:p>
        </w:tc>
      </w:tr>
      <w:bookmarkEnd w:id="0"/>
      <w:bookmarkEnd w:id="1"/>
      <w:tr w:rsidR="000F77C7" w:rsidRPr="00304B19" w14:paraId="5FF37E3F" w14:textId="77777777" w:rsidTr="00DF6D78">
        <w:tblPrEx>
          <w:jc w:val="left"/>
          <w:tblLook w:val="01E0" w:firstRow="1" w:lastRow="1" w:firstColumn="1" w:lastColumn="1" w:noHBand="0" w:noVBand="0"/>
        </w:tblPrEx>
        <w:trPr>
          <w:gridBefore w:val="1"/>
          <w:gridAfter w:val="1"/>
          <w:wBefore w:w="417" w:type="dxa"/>
          <w:wAfter w:w="87" w:type="dxa"/>
        </w:trPr>
        <w:tc>
          <w:tcPr>
            <w:tcW w:w="8357" w:type="dxa"/>
            <w:gridSpan w:val="4"/>
            <w:shd w:val="clear" w:color="auto" w:fill="auto"/>
            <w:vAlign w:val="center"/>
          </w:tcPr>
          <w:p w14:paraId="49B50D33" w14:textId="77777777" w:rsidR="000F77C7" w:rsidRPr="00304B19" w:rsidRDefault="000F77C7" w:rsidP="000F77C7">
            <w:pPr>
              <w:jc w:val="center"/>
              <w:rPr>
                <w:rFonts w:ascii="Arial" w:hAnsi="Arial"/>
                <w:b/>
                <w:bCs/>
                <w:rtl/>
              </w:rPr>
            </w:pPr>
          </w:p>
          <w:p w14:paraId="41C8460D" w14:textId="77777777" w:rsidR="000F77C7" w:rsidRPr="00304B19" w:rsidRDefault="000F77C7" w:rsidP="000F77C7">
            <w:pPr>
              <w:jc w:val="center"/>
              <w:rPr>
                <w:rFonts w:ascii="Arial" w:hAnsi="Arial"/>
                <w:b/>
                <w:bCs/>
                <w:rtl/>
              </w:rPr>
            </w:pPr>
            <w:r w:rsidRPr="00304B19">
              <w:rPr>
                <w:rFonts w:ascii="Arial" w:hAnsi="Arial" w:hint="cs"/>
                <w:b/>
                <w:bCs/>
                <w:rtl/>
              </w:rPr>
              <w:t>נגד</w:t>
            </w:r>
          </w:p>
          <w:p w14:paraId="3B344979" w14:textId="77777777" w:rsidR="000F77C7" w:rsidRPr="00304B19" w:rsidRDefault="000F77C7" w:rsidP="000F77C7">
            <w:pPr>
              <w:jc w:val="right"/>
              <w:rPr>
                <w:rFonts w:ascii="Arial" w:hAnsi="Arial"/>
                <w:b/>
                <w:bCs/>
                <w:rtl/>
              </w:rPr>
            </w:pPr>
          </w:p>
        </w:tc>
      </w:tr>
      <w:tr w:rsidR="000F77C7" w:rsidRPr="00304B19" w14:paraId="3D731F0C" w14:textId="77777777" w:rsidTr="00DF6D78">
        <w:tblPrEx>
          <w:jc w:val="left"/>
          <w:tblLook w:val="01E0" w:firstRow="1" w:lastRow="1" w:firstColumn="1" w:lastColumn="1" w:noHBand="0" w:noVBand="0"/>
        </w:tblPrEx>
        <w:trPr>
          <w:gridBefore w:val="1"/>
          <w:gridAfter w:val="1"/>
          <w:wBefore w:w="417" w:type="dxa"/>
          <w:wAfter w:w="87" w:type="dxa"/>
        </w:trPr>
        <w:tc>
          <w:tcPr>
            <w:tcW w:w="2435" w:type="dxa"/>
            <w:shd w:val="clear" w:color="auto" w:fill="auto"/>
          </w:tcPr>
          <w:p w14:paraId="1B3F282E" w14:textId="77777777" w:rsidR="000F77C7" w:rsidRPr="00304B19" w:rsidRDefault="000F77C7" w:rsidP="000F77C7">
            <w:pPr>
              <w:ind w:left="26"/>
              <w:rPr>
                <w:b/>
                <w:bCs/>
                <w:rtl/>
              </w:rPr>
            </w:pPr>
            <w:r w:rsidRPr="00304B19">
              <w:rPr>
                <w:rFonts w:hint="cs"/>
                <w:b/>
                <w:bCs/>
                <w:rtl/>
              </w:rPr>
              <w:t>הנאשם:</w:t>
            </w:r>
          </w:p>
        </w:tc>
        <w:tc>
          <w:tcPr>
            <w:tcW w:w="5922" w:type="dxa"/>
            <w:gridSpan w:val="3"/>
            <w:shd w:val="clear" w:color="auto" w:fill="auto"/>
          </w:tcPr>
          <w:p w14:paraId="60F538C3" w14:textId="77777777" w:rsidR="000F77C7" w:rsidRPr="00304B19" w:rsidRDefault="000F77C7" w:rsidP="000F77C7">
            <w:pPr>
              <w:spacing w:line="360" w:lineRule="auto"/>
              <w:rPr>
                <w:b/>
                <w:bCs/>
                <w:rtl/>
              </w:rPr>
            </w:pPr>
            <w:r w:rsidRPr="00304B19">
              <w:rPr>
                <w:rFonts w:hint="cs"/>
                <w:b/>
                <w:bCs/>
                <w:rtl/>
              </w:rPr>
              <w:t>מוטי אבגן</w:t>
            </w:r>
            <w:r w:rsidRPr="00304B19">
              <w:rPr>
                <w:rFonts w:hint="cs"/>
                <w:rtl/>
              </w:rPr>
              <w:t xml:space="preserve"> </w:t>
            </w:r>
            <w:r w:rsidRPr="00304B19">
              <w:rPr>
                <w:rFonts w:hint="cs"/>
                <w:b/>
                <w:bCs/>
                <w:rtl/>
              </w:rPr>
              <w:t xml:space="preserve">ת"ז  </w:t>
            </w:r>
            <w:r w:rsidR="00304B19">
              <w:rPr>
                <w:b/>
                <w:bCs/>
              </w:rPr>
              <w:t>xxxxxxxxxx</w:t>
            </w:r>
          </w:p>
          <w:p w14:paraId="3A8F78B1" w14:textId="77777777" w:rsidR="000F77C7" w:rsidRPr="00304B19" w:rsidRDefault="000F77C7" w:rsidP="00B00378">
            <w:pPr>
              <w:rPr>
                <w:rtl/>
              </w:rPr>
            </w:pPr>
            <w:r w:rsidRPr="00304B19">
              <w:rPr>
                <w:rFonts w:hint="cs"/>
                <w:rtl/>
              </w:rPr>
              <w:t>על-ידי ב"כ עו"ד אחמד מסרי</w:t>
            </w:r>
          </w:p>
          <w:p w14:paraId="2D15EEB3" w14:textId="77777777" w:rsidR="000F77C7" w:rsidRPr="00304B19" w:rsidRDefault="000F77C7" w:rsidP="000F77C7">
            <w:pPr>
              <w:jc w:val="right"/>
              <w:rPr>
                <w:b/>
                <w:bCs/>
                <w:rtl/>
              </w:rPr>
            </w:pPr>
          </w:p>
        </w:tc>
      </w:tr>
    </w:tbl>
    <w:p w14:paraId="047AD6EB" w14:textId="77777777" w:rsidR="00DF6D78" w:rsidRDefault="00DF6D78" w:rsidP="00304B19">
      <w:pPr>
        <w:spacing w:line="360" w:lineRule="auto"/>
        <w:jc w:val="center"/>
        <w:rPr>
          <w:rFonts w:ascii="Arial" w:hAnsi="Arial"/>
          <w:sz w:val="32"/>
          <w:szCs w:val="32"/>
          <w:rtl/>
        </w:rPr>
      </w:pPr>
    </w:p>
    <w:p w14:paraId="7793BAC0" w14:textId="77777777" w:rsidR="00DF6D78" w:rsidRPr="00DF6D78" w:rsidRDefault="00DF6D78" w:rsidP="00DF6D78">
      <w:pPr>
        <w:spacing w:after="120" w:line="240" w:lineRule="exact"/>
        <w:ind w:left="283" w:hanging="283"/>
        <w:jc w:val="both"/>
        <w:rPr>
          <w:rFonts w:ascii="FrankRuehl" w:hAnsi="FrankRuehl" w:cs="FrankRuehl"/>
          <w:rtl/>
        </w:rPr>
      </w:pPr>
    </w:p>
    <w:p w14:paraId="79705F98" w14:textId="77777777" w:rsidR="003F4EDB" w:rsidRDefault="003F4EDB" w:rsidP="003F4EDB">
      <w:pPr>
        <w:spacing w:line="360" w:lineRule="auto"/>
        <w:jc w:val="center"/>
        <w:rPr>
          <w:rFonts w:ascii="Arial" w:hAnsi="Arial"/>
          <w:sz w:val="32"/>
          <w:szCs w:val="32"/>
          <w:rtl/>
        </w:rPr>
      </w:pPr>
      <w:bookmarkStart w:id="3" w:name="LawTable"/>
      <w:bookmarkEnd w:id="3"/>
    </w:p>
    <w:p w14:paraId="67103032" w14:textId="77777777" w:rsidR="003F4EDB" w:rsidRPr="003F4EDB" w:rsidRDefault="003F4EDB" w:rsidP="003F4EDB">
      <w:pPr>
        <w:spacing w:before="120" w:after="120" w:line="240" w:lineRule="exact"/>
        <w:ind w:left="283" w:hanging="283"/>
        <w:jc w:val="both"/>
        <w:rPr>
          <w:rFonts w:ascii="FrankRuehl" w:hAnsi="FrankRuehl" w:cs="FrankRuehl"/>
          <w:rtl/>
        </w:rPr>
      </w:pPr>
    </w:p>
    <w:p w14:paraId="7315D03E" w14:textId="77777777" w:rsidR="003F4EDB" w:rsidRPr="003F4EDB" w:rsidRDefault="003F4EDB" w:rsidP="003F4EDB">
      <w:pPr>
        <w:spacing w:before="120" w:after="120" w:line="240" w:lineRule="exact"/>
        <w:ind w:left="283" w:hanging="283"/>
        <w:jc w:val="both"/>
        <w:rPr>
          <w:rFonts w:ascii="FrankRuehl" w:hAnsi="FrankRuehl" w:cs="FrankRuehl"/>
          <w:rtl/>
        </w:rPr>
      </w:pPr>
    </w:p>
    <w:p w14:paraId="26E2D1D0" w14:textId="77777777" w:rsidR="003F4EDB" w:rsidRPr="003F4EDB" w:rsidRDefault="003F4EDB" w:rsidP="003F4EDB">
      <w:pPr>
        <w:spacing w:before="120" w:after="120" w:line="240" w:lineRule="exact"/>
        <w:ind w:left="283" w:hanging="283"/>
        <w:jc w:val="both"/>
        <w:rPr>
          <w:rFonts w:ascii="FrankRuehl" w:hAnsi="FrankRuehl" w:cs="FrankRuehl"/>
        </w:rPr>
      </w:pPr>
      <w:r w:rsidRPr="003F4EDB">
        <w:rPr>
          <w:rFonts w:ascii="FrankRuehl" w:hAnsi="FrankRuehl" w:cs="FrankRuehl"/>
          <w:rtl/>
        </w:rPr>
        <w:t xml:space="preserve">חקיקה שאוזכרה: </w:t>
      </w:r>
    </w:p>
    <w:p w14:paraId="6697D2A1" w14:textId="77777777" w:rsidR="003F4EDB" w:rsidRPr="003F4EDB" w:rsidRDefault="003F4EDB" w:rsidP="003F4EDB">
      <w:pPr>
        <w:spacing w:before="120" w:after="120" w:line="240" w:lineRule="exact"/>
        <w:ind w:left="283" w:hanging="283"/>
        <w:jc w:val="both"/>
        <w:rPr>
          <w:rFonts w:ascii="FrankRuehl" w:hAnsi="FrankRuehl" w:cs="FrankRuehl"/>
        </w:rPr>
      </w:pPr>
      <w:hyperlink r:id="rId6" w:history="1">
        <w:r w:rsidRPr="003F4EDB">
          <w:rPr>
            <w:rFonts w:ascii="FrankRuehl" w:hAnsi="FrankRuehl" w:cs="FrankRuehl"/>
            <w:color w:val="0000FF"/>
            <w:rtl/>
          </w:rPr>
          <w:t>פקודת התעבורה [נוסח חדש]</w:t>
        </w:r>
      </w:hyperlink>
      <w:r w:rsidRPr="003F4EDB">
        <w:rPr>
          <w:rFonts w:ascii="FrankRuehl" w:hAnsi="FrankRuehl" w:cs="FrankRuehl"/>
        </w:rPr>
        <w:t xml:space="preserve">: </w:t>
      </w:r>
      <w:r w:rsidRPr="003F4EDB">
        <w:rPr>
          <w:rFonts w:ascii="FrankRuehl" w:hAnsi="FrankRuehl" w:cs="FrankRuehl"/>
          <w:rtl/>
        </w:rPr>
        <w:t>סע</w:t>
      </w:r>
      <w:r w:rsidRPr="003F4EDB">
        <w:rPr>
          <w:rFonts w:ascii="FrankRuehl" w:hAnsi="FrankRuehl" w:cs="FrankRuehl"/>
        </w:rPr>
        <w:t xml:space="preserve">'  </w:t>
      </w:r>
      <w:hyperlink r:id="rId7" w:history="1">
        <w:r w:rsidRPr="003F4EDB">
          <w:rPr>
            <w:rFonts w:ascii="FrankRuehl" w:hAnsi="FrankRuehl" w:cs="FrankRuehl"/>
            <w:color w:val="0000FF"/>
          </w:rPr>
          <w:t>38(2)</w:t>
        </w:r>
      </w:hyperlink>
      <w:r w:rsidRPr="003F4EDB">
        <w:rPr>
          <w:rFonts w:ascii="FrankRuehl" w:hAnsi="FrankRuehl" w:cs="FrankRuehl"/>
        </w:rPr>
        <w:t xml:space="preserve">, </w:t>
      </w:r>
      <w:hyperlink r:id="rId8" w:history="1">
        <w:r w:rsidRPr="003F4EDB">
          <w:rPr>
            <w:rFonts w:ascii="FrankRuehl" w:hAnsi="FrankRuehl" w:cs="FrankRuehl"/>
            <w:color w:val="0000FF"/>
          </w:rPr>
          <w:t>62(2)</w:t>
        </w:r>
      </w:hyperlink>
      <w:r w:rsidRPr="003F4EDB">
        <w:rPr>
          <w:rFonts w:ascii="FrankRuehl" w:hAnsi="FrankRuehl" w:cs="FrankRuehl"/>
        </w:rPr>
        <w:t xml:space="preserve">, </w:t>
      </w:r>
      <w:hyperlink r:id="rId9" w:history="1">
        <w:r w:rsidRPr="003F4EDB">
          <w:rPr>
            <w:rFonts w:ascii="FrankRuehl" w:hAnsi="FrankRuehl" w:cs="FrankRuehl"/>
            <w:color w:val="0000FF"/>
          </w:rPr>
          <w:t>64(</w:t>
        </w:r>
        <w:r w:rsidRPr="003F4EDB">
          <w:rPr>
            <w:rFonts w:ascii="FrankRuehl" w:hAnsi="FrankRuehl" w:cs="FrankRuehl"/>
            <w:color w:val="0000FF"/>
            <w:rtl/>
          </w:rPr>
          <w:t>א)(ב)</w:t>
        </w:r>
      </w:hyperlink>
      <w:r w:rsidRPr="003F4EDB">
        <w:rPr>
          <w:rFonts w:ascii="FrankRuehl" w:hAnsi="FrankRuehl" w:cs="FrankRuehl"/>
        </w:rPr>
        <w:t xml:space="preserve">, </w:t>
      </w:r>
      <w:hyperlink r:id="rId10" w:history="1">
        <w:r w:rsidRPr="003F4EDB">
          <w:rPr>
            <w:rFonts w:ascii="FrankRuehl" w:hAnsi="FrankRuehl" w:cs="FrankRuehl"/>
            <w:color w:val="0000FF"/>
          </w:rPr>
          <w:t>64</w:t>
        </w:r>
        <w:r w:rsidRPr="003F4EDB">
          <w:rPr>
            <w:rFonts w:ascii="FrankRuehl" w:hAnsi="FrankRuehl" w:cs="FrankRuehl"/>
            <w:color w:val="0000FF"/>
            <w:rtl/>
          </w:rPr>
          <w:t>א(ג)</w:t>
        </w:r>
      </w:hyperlink>
    </w:p>
    <w:p w14:paraId="697861EC" w14:textId="77777777" w:rsidR="003F4EDB" w:rsidRPr="003F4EDB" w:rsidRDefault="003F4EDB" w:rsidP="003F4EDB">
      <w:pPr>
        <w:spacing w:before="120" w:after="120" w:line="240" w:lineRule="exact"/>
        <w:ind w:left="283" w:hanging="283"/>
        <w:jc w:val="both"/>
        <w:rPr>
          <w:rFonts w:ascii="FrankRuehl" w:hAnsi="FrankRuehl" w:cs="FrankRuehl"/>
        </w:rPr>
      </w:pPr>
      <w:hyperlink r:id="rId11" w:history="1">
        <w:r w:rsidRPr="003F4EDB">
          <w:rPr>
            <w:rFonts w:ascii="FrankRuehl" w:hAnsi="FrankRuehl" w:cs="FrankRuehl"/>
            <w:color w:val="0000FF"/>
            <w:rtl/>
          </w:rPr>
          <w:t>חוק העונשין, תשל"ז-1977</w:t>
        </w:r>
      </w:hyperlink>
      <w:r w:rsidRPr="003F4EDB">
        <w:rPr>
          <w:rFonts w:ascii="FrankRuehl" w:hAnsi="FrankRuehl" w:cs="FrankRuehl"/>
        </w:rPr>
        <w:t xml:space="preserve">: </w:t>
      </w:r>
      <w:r w:rsidRPr="003F4EDB">
        <w:rPr>
          <w:rFonts w:ascii="FrankRuehl" w:hAnsi="FrankRuehl" w:cs="FrankRuehl"/>
          <w:rtl/>
        </w:rPr>
        <w:t>סע</w:t>
      </w:r>
      <w:r w:rsidRPr="003F4EDB">
        <w:rPr>
          <w:rFonts w:ascii="FrankRuehl" w:hAnsi="FrankRuehl" w:cs="FrankRuehl"/>
        </w:rPr>
        <w:t xml:space="preserve">'  </w:t>
      </w:r>
      <w:hyperlink r:id="rId12" w:history="1">
        <w:r w:rsidRPr="003F4EDB">
          <w:rPr>
            <w:rFonts w:ascii="FrankRuehl" w:hAnsi="FrankRuehl" w:cs="FrankRuehl"/>
            <w:color w:val="0000FF"/>
          </w:rPr>
          <w:t>40</w:t>
        </w:r>
        <w:r w:rsidRPr="003F4EDB">
          <w:rPr>
            <w:rFonts w:ascii="FrankRuehl" w:hAnsi="FrankRuehl" w:cs="FrankRuehl"/>
            <w:color w:val="0000FF"/>
            <w:rtl/>
          </w:rPr>
          <w:t>ד</w:t>
        </w:r>
      </w:hyperlink>
      <w:r w:rsidRPr="003F4EDB">
        <w:rPr>
          <w:rFonts w:ascii="FrankRuehl" w:hAnsi="FrankRuehl" w:cs="FrankRuehl"/>
        </w:rPr>
        <w:t xml:space="preserve">, </w:t>
      </w:r>
      <w:hyperlink r:id="rId13" w:history="1">
        <w:r w:rsidRPr="003F4EDB">
          <w:rPr>
            <w:rFonts w:ascii="FrankRuehl" w:hAnsi="FrankRuehl" w:cs="FrankRuehl"/>
            <w:color w:val="0000FF"/>
          </w:rPr>
          <w:t>244</w:t>
        </w:r>
      </w:hyperlink>
    </w:p>
    <w:p w14:paraId="4A51891A" w14:textId="77777777" w:rsidR="003F4EDB" w:rsidRPr="003F4EDB" w:rsidRDefault="003F4EDB" w:rsidP="003F4EDB">
      <w:pPr>
        <w:spacing w:before="120" w:after="120" w:line="240" w:lineRule="exact"/>
        <w:ind w:left="283" w:hanging="283"/>
        <w:jc w:val="both"/>
        <w:rPr>
          <w:rFonts w:ascii="FrankRuehl" w:hAnsi="FrankRuehl" w:cs="FrankRuehl"/>
        </w:rPr>
      </w:pPr>
      <w:hyperlink r:id="rId14" w:history="1">
        <w:r w:rsidRPr="003F4EDB">
          <w:rPr>
            <w:rFonts w:ascii="FrankRuehl" w:hAnsi="FrankRuehl" w:cs="FrankRuehl"/>
            <w:color w:val="0000FF"/>
            <w:rtl/>
          </w:rPr>
          <w:t>פקודת הסמים המסוכנים [נוסח חדש], תשל"ג-1973</w:t>
        </w:r>
      </w:hyperlink>
      <w:r w:rsidRPr="003F4EDB">
        <w:rPr>
          <w:rFonts w:ascii="FrankRuehl" w:hAnsi="FrankRuehl" w:cs="FrankRuehl"/>
        </w:rPr>
        <w:t xml:space="preserve">: </w:t>
      </w:r>
      <w:r w:rsidRPr="003F4EDB">
        <w:rPr>
          <w:rFonts w:ascii="FrankRuehl" w:hAnsi="FrankRuehl" w:cs="FrankRuehl"/>
          <w:rtl/>
        </w:rPr>
        <w:t>סע</w:t>
      </w:r>
      <w:r w:rsidRPr="003F4EDB">
        <w:rPr>
          <w:rFonts w:ascii="FrankRuehl" w:hAnsi="FrankRuehl" w:cs="FrankRuehl"/>
        </w:rPr>
        <w:t xml:space="preserve">'  </w:t>
      </w:r>
      <w:hyperlink r:id="rId15" w:history="1">
        <w:r w:rsidRPr="003F4EDB">
          <w:rPr>
            <w:rFonts w:ascii="FrankRuehl" w:hAnsi="FrankRuehl" w:cs="FrankRuehl"/>
            <w:color w:val="0000FF"/>
          </w:rPr>
          <w:t>7.</w:t>
        </w:r>
        <w:r w:rsidRPr="003F4EDB">
          <w:rPr>
            <w:rFonts w:ascii="FrankRuehl" w:hAnsi="FrankRuehl" w:cs="FrankRuehl"/>
            <w:color w:val="0000FF"/>
            <w:rtl/>
          </w:rPr>
          <w:t>א</w:t>
        </w:r>
        <w:r w:rsidRPr="003F4EDB">
          <w:rPr>
            <w:rFonts w:ascii="FrankRuehl" w:hAnsi="FrankRuehl" w:cs="FrankRuehl"/>
            <w:color w:val="0000FF"/>
          </w:rPr>
          <w:t>.</w:t>
        </w:r>
      </w:hyperlink>
      <w:r w:rsidRPr="003F4EDB">
        <w:rPr>
          <w:rFonts w:ascii="FrankRuehl" w:hAnsi="FrankRuehl" w:cs="FrankRuehl"/>
        </w:rPr>
        <w:t xml:space="preserve">, </w:t>
      </w:r>
      <w:hyperlink r:id="rId16" w:history="1">
        <w:r w:rsidRPr="003F4EDB">
          <w:rPr>
            <w:rFonts w:ascii="FrankRuehl" w:hAnsi="FrankRuehl" w:cs="FrankRuehl"/>
            <w:color w:val="0000FF"/>
          </w:rPr>
          <w:t>7.</w:t>
        </w:r>
        <w:r w:rsidRPr="003F4EDB">
          <w:rPr>
            <w:rFonts w:ascii="FrankRuehl" w:hAnsi="FrankRuehl" w:cs="FrankRuehl"/>
            <w:color w:val="0000FF"/>
            <w:rtl/>
          </w:rPr>
          <w:t>ג</w:t>
        </w:r>
      </w:hyperlink>
    </w:p>
    <w:p w14:paraId="350599A4" w14:textId="77777777" w:rsidR="003F4EDB" w:rsidRPr="003F4EDB" w:rsidRDefault="003F4EDB" w:rsidP="003F4EDB">
      <w:pPr>
        <w:spacing w:line="360" w:lineRule="auto"/>
        <w:jc w:val="center"/>
        <w:rPr>
          <w:rFonts w:ascii="Arial" w:hAnsi="Arial"/>
          <w:sz w:val="32"/>
          <w:szCs w:val="32"/>
        </w:rPr>
      </w:pPr>
      <w:bookmarkStart w:id="4" w:name="LawTable_End"/>
      <w:bookmarkEnd w:id="4"/>
    </w:p>
    <w:p w14:paraId="32E3F156" w14:textId="77777777" w:rsidR="00304B19" w:rsidRPr="00304B19" w:rsidRDefault="00304B19" w:rsidP="000F77C7">
      <w:pPr>
        <w:bidi w:val="0"/>
        <w:spacing w:line="360" w:lineRule="auto"/>
        <w:jc w:val="center"/>
        <w:rPr>
          <w:rFonts w:ascii="Arial" w:hAnsi="Arial"/>
          <w:b/>
          <w:bCs/>
          <w:sz w:val="32"/>
          <w:szCs w:val="32"/>
        </w:rPr>
      </w:pPr>
    </w:p>
    <w:p w14:paraId="6DAE3207" w14:textId="77777777" w:rsidR="00304B19" w:rsidRPr="00304B19" w:rsidRDefault="00304B19" w:rsidP="00304B19">
      <w:pPr>
        <w:spacing w:line="360" w:lineRule="auto"/>
        <w:ind w:left="567" w:hanging="567"/>
        <w:jc w:val="center"/>
        <w:rPr>
          <w:rFonts w:ascii="Arial" w:hAnsi="Arial"/>
          <w:b/>
          <w:bCs/>
          <w:sz w:val="32"/>
          <w:szCs w:val="32"/>
          <w:u w:val="single"/>
          <w:rtl/>
        </w:rPr>
      </w:pPr>
      <w:bookmarkStart w:id="5" w:name="PsakDin"/>
      <w:r w:rsidRPr="00304B19">
        <w:rPr>
          <w:rFonts w:ascii="Arial" w:hAnsi="Arial"/>
          <w:b/>
          <w:bCs/>
          <w:sz w:val="32"/>
          <w:szCs w:val="32"/>
          <w:u w:val="single"/>
          <w:rtl/>
        </w:rPr>
        <w:t>גזר דין</w:t>
      </w:r>
    </w:p>
    <w:bookmarkEnd w:id="5"/>
    <w:p w14:paraId="4EC222D0" w14:textId="77777777" w:rsidR="000F77C7" w:rsidRDefault="000F77C7" w:rsidP="000F77C7">
      <w:pPr>
        <w:spacing w:line="360" w:lineRule="auto"/>
        <w:ind w:left="567" w:hanging="567"/>
        <w:rPr>
          <w:rFonts w:ascii="David" w:hAnsi="David"/>
          <w:rtl/>
        </w:rPr>
      </w:pPr>
      <w:r>
        <w:rPr>
          <w:rFonts w:ascii="David" w:hAnsi="David"/>
        </w:rPr>
        <w:tab/>
      </w:r>
      <w:r>
        <w:rPr>
          <w:rFonts w:ascii="David" w:hAnsi="David" w:hint="cs"/>
          <w:u w:val="single"/>
          <w:rtl/>
        </w:rPr>
        <w:t>כללי</w:t>
      </w:r>
    </w:p>
    <w:p w14:paraId="08BE718A" w14:textId="77777777" w:rsidR="000F77C7" w:rsidRDefault="000F77C7" w:rsidP="000F77C7">
      <w:pPr>
        <w:spacing w:line="360" w:lineRule="auto"/>
        <w:ind w:left="567" w:hanging="567"/>
        <w:rPr>
          <w:rFonts w:ascii="David" w:hAnsi="David"/>
          <w:rtl/>
        </w:rPr>
      </w:pPr>
      <w:bookmarkStart w:id="6" w:name="ABSTRACT_START"/>
      <w:bookmarkEnd w:id="6"/>
    </w:p>
    <w:p w14:paraId="0D1664CC" w14:textId="77777777" w:rsidR="000F77C7" w:rsidRDefault="000F77C7" w:rsidP="000F77C7">
      <w:pPr>
        <w:spacing w:line="360" w:lineRule="auto"/>
        <w:ind w:left="567" w:hanging="567"/>
        <w:jc w:val="both"/>
        <w:rPr>
          <w:rtl/>
        </w:rPr>
      </w:pPr>
      <w:r>
        <w:rPr>
          <w:rFonts w:ascii="David" w:hAnsi="David" w:hint="cs"/>
          <w:rtl/>
        </w:rPr>
        <w:t>1.</w:t>
      </w:r>
      <w:r>
        <w:rPr>
          <w:rFonts w:ascii="David" w:hAnsi="David" w:hint="cs"/>
          <w:rtl/>
        </w:rPr>
        <w:tab/>
        <w:t xml:space="preserve">הנאשם הורשע על יסוד הודאתו בעבירות כדלקמן: </w:t>
      </w:r>
      <w:r>
        <w:rPr>
          <w:rFonts w:hint="cs"/>
          <w:rtl/>
        </w:rPr>
        <w:t xml:space="preserve">הפקרה אחרי פגיעה, עבירה לפי </w:t>
      </w:r>
      <w:hyperlink r:id="rId17" w:history="1">
        <w:r w:rsidR="00DF6D78" w:rsidRPr="00DF6D78">
          <w:rPr>
            <w:rStyle w:val="Hyperlink"/>
            <w:rFonts w:hint="eastAsia"/>
            <w:rtl/>
          </w:rPr>
          <w:t>סעיף</w:t>
        </w:r>
        <w:r w:rsidR="00DF6D78" w:rsidRPr="00DF6D78">
          <w:rPr>
            <w:rStyle w:val="Hyperlink"/>
            <w:rtl/>
          </w:rPr>
          <w:t xml:space="preserve"> 64(א)(ב)</w:t>
        </w:r>
      </w:hyperlink>
      <w:r>
        <w:rPr>
          <w:rFonts w:hint="cs"/>
          <w:rtl/>
        </w:rPr>
        <w:t xml:space="preserve"> ל</w:t>
      </w:r>
      <w:hyperlink r:id="rId18" w:history="1">
        <w:r w:rsidR="00304B19" w:rsidRPr="00304B19">
          <w:rPr>
            <w:color w:val="0000FF"/>
            <w:u w:val="single"/>
            <w:rtl/>
          </w:rPr>
          <w:t>פקודת התעבורה</w:t>
        </w:r>
      </w:hyperlink>
      <w:r>
        <w:rPr>
          <w:rFonts w:hint="cs"/>
          <w:rtl/>
        </w:rPr>
        <w:t xml:space="preserve"> [נוסח חדש] (להלן - </w:t>
      </w:r>
      <w:r>
        <w:rPr>
          <w:rFonts w:hint="cs"/>
          <w:b/>
          <w:bCs/>
          <w:rtl/>
        </w:rPr>
        <w:t>פקודת התעבורה</w:t>
      </w:r>
      <w:r>
        <w:rPr>
          <w:rFonts w:hint="cs"/>
          <w:rtl/>
        </w:rPr>
        <w:t xml:space="preserve">); נהיגת רכב ברשלנות או בקלות ראש אשר גרמה לחבלה של ממש, עבירה לפי </w:t>
      </w:r>
      <w:hyperlink r:id="rId19" w:history="1">
        <w:r w:rsidR="00DF6D78" w:rsidRPr="00DF6D78">
          <w:rPr>
            <w:rStyle w:val="Hyperlink"/>
            <w:rFonts w:hint="eastAsia"/>
            <w:rtl/>
          </w:rPr>
          <w:t>סעיף</w:t>
        </w:r>
        <w:r w:rsidR="00DF6D78" w:rsidRPr="00DF6D78">
          <w:rPr>
            <w:rStyle w:val="Hyperlink"/>
            <w:rtl/>
          </w:rPr>
          <w:t xml:space="preserve"> 62(2)</w:t>
        </w:r>
      </w:hyperlink>
      <w:r>
        <w:rPr>
          <w:rFonts w:hint="cs"/>
          <w:rtl/>
        </w:rPr>
        <w:t xml:space="preserve"> יחד עם </w:t>
      </w:r>
      <w:hyperlink r:id="rId20" w:history="1">
        <w:r w:rsidR="00DF6D78" w:rsidRPr="00DF6D78">
          <w:rPr>
            <w:rStyle w:val="Hyperlink"/>
            <w:rFonts w:hint="eastAsia"/>
            <w:rtl/>
          </w:rPr>
          <w:t>סעיף</w:t>
        </w:r>
        <w:r w:rsidR="00DF6D78" w:rsidRPr="00DF6D78">
          <w:rPr>
            <w:rStyle w:val="Hyperlink"/>
            <w:rtl/>
          </w:rPr>
          <w:t xml:space="preserve"> 38(2)</w:t>
        </w:r>
      </w:hyperlink>
      <w:r>
        <w:rPr>
          <w:rFonts w:hint="cs"/>
          <w:rtl/>
        </w:rPr>
        <w:t xml:space="preserve"> לפקודת התעבורה; שיבוש מהלכי משפט, עבירה לפי </w:t>
      </w:r>
      <w:hyperlink r:id="rId21" w:history="1">
        <w:r w:rsidR="00DF6D78" w:rsidRPr="00DF6D78">
          <w:rPr>
            <w:rStyle w:val="Hyperlink"/>
            <w:rFonts w:hint="eastAsia"/>
            <w:rtl/>
          </w:rPr>
          <w:t>סעיף</w:t>
        </w:r>
        <w:r w:rsidR="00DF6D78" w:rsidRPr="00DF6D78">
          <w:rPr>
            <w:rStyle w:val="Hyperlink"/>
            <w:rtl/>
          </w:rPr>
          <w:t xml:space="preserve"> 244</w:t>
        </w:r>
      </w:hyperlink>
      <w:r>
        <w:rPr>
          <w:rFonts w:hint="cs"/>
          <w:rtl/>
        </w:rPr>
        <w:t xml:space="preserve"> ל</w:t>
      </w:r>
      <w:hyperlink r:id="rId22" w:history="1">
        <w:r w:rsidR="00304B19" w:rsidRPr="00304B19">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והחזקת סם לצריכה עצמית, עבירה לפי </w:t>
      </w:r>
      <w:hyperlink r:id="rId23" w:history="1">
        <w:r w:rsidR="00DF6D78" w:rsidRPr="00DF6D78">
          <w:rPr>
            <w:rStyle w:val="Hyperlink"/>
            <w:rFonts w:hint="eastAsia"/>
            <w:rtl/>
          </w:rPr>
          <w:t>סעיף</w:t>
        </w:r>
        <w:r w:rsidR="00DF6D78" w:rsidRPr="00DF6D78">
          <w:rPr>
            <w:rStyle w:val="Hyperlink"/>
            <w:rtl/>
          </w:rPr>
          <w:t xml:space="preserve"> 7(א)+(ג)</w:t>
        </w:r>
      </w:hyperlink>
      <w:r>
        <w:rPr>
          <w:rFonts w:hint="cs"/>
          <w:rtl/>
        </w:rPr>
        <w:t xml:space="preserve"> סיפא ל</w:t>
      </w:r>
      <w:hyperlink r:id="rId24" w:history="1">
        <w:r w:rsidR="00304B19" w:rsidRPr="00304B19">
          <w:rPr>
            <w:color w:val="0000FF"/>
            <w:u w:val="single"/>
            <w:rtl/>
          </w:rPr>
          <w:t>פקודת הסמים המסוכנים</w:t>
        </w:r>
      </w:hyperlink>
      <w:r>
        <w:rPr>
          <w:rFonts w:hint="cs"/>
          <w:rtl/>
        </w:rPr>
        <w:t xml:space="preserve"> [נוסח חדש], תשל"ג-1973 (להלן - </w:t>
      </w:r>
      <w:r>
        <w:rPr>
          <w:rFonts w:hint="cs"/>
          <w:b/>
          <w:bCs/>
          <w:rtl/>
        </w:rPr>
        <w:t>פקודת הסמים</w:t>
      </w:r>
      <w:r>
        <w:rPr>
          <w:rFonts w:hint="cs"/>
          <w:rtl/>
        </w:rPr>
        <w:t>).</w:t>
      </w:r>
    </w:p>
    <w:p w14:paraId="2F259949" w14:textId="77777777" w:rsidR="000F77C7" w:rsidRDefault="000F77C7" w:rsidP="000F77C7">
      <w:pPr>
        <w:spacing w:line="360" w:lineRule="auto"/>
        <w:ind w:left="567" w:hanging="567"/>
        <w:jc w:val="both"/>
        <w:rPr>
          <w:rtl/>
        </w:rPr>
      </w:pPr>
      <w:bookmarkStart w:id="7" w:name="ABSTRACT_END"/>
      <w:bookmarkEnd w:id="7"/>
    </w:p>
    <w:p w14:paraId="507661AE" w14:textId="77777777" w:rsidR="000F77C7" w:rsidRDefault="000F77C7" w:rsidP="000F77C7">
      <w:pPr>
        <w:spacing w:line="360" w:lineRule="auto"/>
        <w:ind w:left="567" w:hanging="567"/>
        <w:jc w:val="both"/>
        <w:rPr>
          <w:rtl/>
        </w:rPr>
      </w:pPr>
      <w:r>
        <w:rPr>
          <w:rtl/>
        </w:rPr>
        <w:tab/>
      </w:r>
      <w:r>
        <w:rPr>
          <w:rFonts w:hint="cs"/>
          <w:rtl/>
        </w:rPr>
        <w:t xml:space="preserve">הודאת הנאשם ניתנה במסגרת הסדר טיעון בגדרו תוקן כתב האישום, אך מבלי שגובשה הסכמה לעניין העונש. הנאשם הופנה לשרות המבחן עובר לשמיעת הטיעונים לעונש, והוגשו בעניינו שני תסקירים. </w:t>
      </w:r>
    </w:p>
    <w:p w14:paraId="688E3A15" w14:textId="77777777" w:rsidR="000F77C7" w:rsidRDefault="000F77C7" w:rsidP="000F77C7">
      <w:pPr>
        <w:spacing w:line="360" w:lineRule="auto"/>
        <w:ind w:left="567" w:hanging="567"/>
        <w:jc w:val="both"/>
        <w:rPr>
          <w:rtl/>
        </w:rPr>
      </w:pPr>
    </w:p>
    <w:p w14:paraId="33572AB8" w14:textId="77777777" w:rsidR="000F77C7" w:rsidRDefault="000F77C7" w:rsidP="000F77C7">
      <w:pPr>
        <w:spacing w:line="360" w:lineRule="auto"/>
        <w:ind w:left="567" w:hanging="567"/>
        <w:jc w:val="both"/>
        <w:rPr>
          <w:rtl/>
        </w:rPr>
      </w:pPr>
      <w:r>
        <w:rPr>
          <w:rtl/>
        </w:rPr>
        <w:lastRenderedPageBreak/>
        <w:tab/>
      </w:r>
      <w:r>
        <w:rPr>
          <w:rFonts w:hint="cs"/>
          <w:u w:val="single"/>
          <w:rtl/>
        </w:rPr>
        <w:t>עובדות כתב האישום המתוקן</w:t>
      </w:r>
    </w:p>
    <w:p w14:paraId="320EAEAF" w14:textId="77777777" w:rsidR="000F77C7" w:rsidRDefault="000F77C7" w:rsidP="000F77C7">
      <w:pPr>
        <w:spacing w:line="360" w:lineRule="auto"/>
        <w:ind w:left="567" w:hanging="567"/>
        <w:jc w:val="both"/>
        <w:rPr>
          <w:rtl/>
        </w:rPr>
      </w:pPr>
    </w:p>
    <w:p w14:paraId="7850413E" w14:textId="77777777" w:rsidR="000F77C7" w:rsidRDefault="000F77C7" w:rsidP="000F77C7">
      <w:pPr>
        <w:spacing w:line="360" w:lineRule="auto"/>
        <w:ind w:left="567" w:hanging="567"/>
        <w:jc w:val="both"/>
        <w:rPr>
          <w:rtl/>
        </w:rPr>
      </w:pPr>
      <w:r>
        <w:rPr>
          <w:rFonts w:hint="cs"/>
          <w:rtl/>
        </w:rPr>
        <w:t>2.</w:t>
      </w:r>
      <w:r>
        <w:rPr>
          <w:rFonts w:hint="cs"/>
          <w:rtl/>
        </w:rPr>
        <w:tab/>
        <w:t xml:space="preserve">על-פי עובדות כתב האישום המתוקן, ביום 4.5.20 בשעה 21:30 או בסמוך לכך, נהג הנאשם ברכב מסחרי מסוג "פיאט דוקאטו" הרשום על-שם חברת אבגן טרייד אין בע"מ, ברח' דרך חיל השריון בתל-אביב, מצפון לדרום, בואכה צומת הרחובות חיל השריון ובן-צבי. הכביש בו נהג הנאשם הוא דו-סטרי וכולל חמישה נתיבי נסיעה, לכל כיוון, המופרדים ביניהם באי תנועה בנוי. הנאשם נהג בנתיב הימני ביותר בכביש, כאשר באותו מועד פעלו הרמזורים בצומת באופן תקין. עובר ובסמוך לנהיגתו של הנאשם ברכב השתמש הנאשם בלא היתר, בסם מסוכן מסוג קוקאין. תנאי מזג האוויר ששררו באותו מועד היו תקינים, והגם שדובר בשעת חושך, תאורת הרחוב פעלה והאירה היטב את הצומת. </w:t>
      </w:r>
    </w:p>
    <w:p w14:paraId="39E3E747" w14:textId="77777777" w:rsidR="000F77C7" w:rsidRDefault="000F77C7" w:rsidP="000F77C7">
      <w:pPr>
        <w:spacing w:line="360" w:lineRule="auto"/>
        <w:ind w:left="567" w:hanging="567"/>
        <w:jc w:val="both"/>
        <w:rPr>
          <w:rtl/>
        </w:rPr>
      </w:pPr>
    </w:p>
    <w:p w14:paraId="772C5D17" w14:textId="77777777" w:rsidR="000F77C7" w:rsidRDefault="000F77C7" w:rsidP="000F77C7">
      <w:pPr>
        <w:spacing w:line="360" w:lineRule="auto"/>
        <w:ind w:left="567" w:hanging="567"/>
        <w:jc w:val="both"/>
        <w:rPr>
          <w:rtl/>
        </w:rPr>
      </w:pPr>
      <w:r>
        <w:rPr>
          <w:rtl/>
        </w:rPr>
        <w:tab/>
      </w:r>
      <w:r>
        <w:rPr>
          <w:rFonts w:hint="cs"/>
          <w:rtl/>
        </w:rPr>
        <w:t xml:space="preserve">הנאשם הגיע לצומת כשאור הרמזור בכיוון נסיעתו הוא אדום, ועצר את רכבו כשהוא ראשון בטור, בנתיב הימני ביותר בכביש, על סף קו העצירה. במקביל, הגיע אל הצומת מכיוון מזרח למערב אדם תק, יליד 1994 (להלן - </w:t>
      </w:r>
      <w:r>
        <w:rPr>
          <w:rFonts w:hint="cs"/>
          <w:b/>
          <w:bCs/>
          <w:rtl/>
        </w:rPr>
        <w:t>המתלונן</w:t>
      </w:r>
      <w:r>
        <w:rPr>
          <w:rFonts w:hint="cs"/>
          <w:rtl/>
        </w:rPr>
        <w:t xml:space="preserve">) כשהוא רכוב על אופנוע. משהתחלף אור הרמזור בצומת בכיוון נסיעתו של המתלונן, החל המתלונן בנסיעה עם האופנוע בנתיב השלישי בכביש ונכנס לצומת. </w:t>
      </w:r>
    </w:p>
    <w:p w14:paraId="7BFC3470" w14:textId="77777777" w:rsidR="000F77C7" w:rsidRDefault="000F77C7" w:rsidP="000F77C7">
      <w:pPr>
        <w:spacing w:line="360" w:lineRule="auto"/>
        <w:ind w:left="567" w:hanging="567"/>
        <w:jc w:val="both"/>
        <w:rPr>
          <w:rtl/>
        </w:rPr>
      </w:pPr>
      <w:r>
        <w:rPr>
          <w:rtl/>
        </w:rPr>
        <w:tab/>
      </w:r>
      <w:r>
        <w:rPr>
          <w:rFonts w:hint="cs"/>
          <w:rtl/>
        </w:rPr>
        <w:t xml:space="preserve">על אף העובדה כי אור הרמזור בכיוון נסיעתו של הנאשם היה אדום, החל הנאשם לפתע בנסיעה מהירה, ונכנס אל הצומת כשהוא חוסם את נתיב נסיעתו של המתלונן. כתוצאה מהחסימה, התנגש המתלונן בעוצמה במרכז הצומת בחזית האופנוע ודופן שמאל של רכב הנאשם, והוטח אל הכביש. מיד בסמוך לאחר התאונה, הגביר הנאשם את מהירות נסיעת הרכב, ונמלט לכיוון דרום, תוך שהוא מותיר מאחור את המתלונן הפצוע ואת האופנוע ההרוס. </w:t>
      </w:r>
    </w:p>
    <w:p w14:paraId="15749AE9" w14:textId="77777777" w:rsidR="000F77C7" w:rsidRDefault="000F77C7" w:rsidP="000F77C7">
      <w:pPr>
        <w:spacing w:line="360" w:lineRule="auto"/>
        <w:ind w:left="567" w:hanging="567"/>
        <w:jc w:val="both"/>
        <w:rPr>
          <w:rtl/>
        </w:rPr>
      </w:pPr>
    </w:p>
    <w:p w14:paraId="3567979D" w14:textId="77777777" w:rsidR="000F77C7" w:rsidRDefault="000F77C7" w:rsidP="000F77C7">
      <w:pPr>
        <w:spacing w:line="360" w:lineRule="auto"/>
        <w:ind w:left="567" w:hanging="567"/>
        <w:jc w:val="both"/>
        <w:rPr>
          <w:rtl/>
        </w:rPr>
      </w:pPr>
      <w:r>
        <w:rPr>
          <w:rtl/>
        </w:rPr>
        <w:tab/>
      </w:r>
      <w:r>
        <w:rPr>
          <w:rFonts w:hint="cs"/>
          <w:rtl/>
        </w:rPr>
        <w:t xml:space="preserve">לאחר שהנאשם נמלט ממקום התאונה, הגיע לאור יהודה, הסתיר את הרכב בקצה רחוב ללא מוצא, ועזב רגלית את המקום, בכוונה להכשיל ולשבש את החקירה המשטרתית בעניין תאונת הדרכים בה היה מעורב.  זהותו של הנאשם כנהג הרכב אשר גרם לתאונת הדרכים ולהפקרתו של המתלונן בזירה, נחשפה, מקץ מספר שעות, אודות לחקירת המשטרה. </w:t>
      </w:r>
    </w:p>
    <w:p w14:paraId="62303A00" w14:textId="77777777" w:rsidR="000F77C7" w:rsidRDefault="000F77C7" w:rsidP="000F77C7">
      <w:pPr>
        <w:spacing w:line="360" w:lineRule="auto"/>
        <w:ind w:left="567" w:hanging="567"/>
        <w:jc w:val="both"/>
        <w:rPr>
          <w:rtl/>
        </w:rPr>
      </w:pPr>
    </w:p>
    <w:p w14:paraId="6F2DF547" w14:textId="77777777" w:rsidR="000F77C7" w:rsidRDefault="000F77C7" w:rsidP="000F77C7">
      <w:pPr>
        <w:spacing w:line="360" w:lineRule="auto"/>
        <w:ind w:left="567" w:hanging="567"/>
        <w:jc w:val="both"/>
        <w:rPr>
          <w:rtl/>
        </w:rPr>
      </w:pPr>
      <w:r>
        <w:rPr>
          <w:rtl/>
        </w:rPr>
        <w:tab/>
      </w:r>
      <w:r>
        <w:rPr>
          <w:rFonts w:hint="cs"/>
          <w:rtl/>
        </w:rPr>
        <w:t xml:space="preserve">משחשש הנאשם שמעורבותו בתאונה תתגלה, ובטרם יצרה עימו המשטרה קשר, הסגיר עצמו למשטרה ביום 5.5.20 בשעות הצהריים. </w:t>
      </w:r>
    </w:p>
    <w:p w14:paraId="5127987B" w14:textId="77777777" w:rsidR="000F77C7" w:rsidRDefault="000F77C7" w:rsidP="000F77C7">
      <w:pPr>
        <w:spacing w:line="360" w:lineRule="auto"/>
        <w:ind w:left="567" w:hanging="567"/>
        <w:jc w:val="both"/>
        <w:rPr>
          <w:rtl/>
        </w:rPr>
      </w:pPr>
    </w:p>
    <w:p w14:paraId="771191E7" w14:textId="77777777" w:rsidR="000F77C7" w:rsidRDefault="000F77C7" w:rsidP="000F77C7">
      <w:pPr>
        <w:spacing w:line="360" w:lineRule="auto"/>
        <w:ind w:left="567" w:hanging="567"/>
        <w:jc w:val="both"/>
        <w:rPr>
          <w:rtl/>
        </w:rPr>
      </w:pPr>
      <w:r>
        <w:rPr>
          <w:rtl/>
        </w:rPr>
        <w:tab/>
      </w:r>
      <w:r>
        <w:rPr>
          <w:rFonts w:hint="cs"/>
          <w:rtl/>
        </w:rPr>
        <w:t xml:space="preserve">המתלונן פונה מזירת התאונה כשהוא סובל מקשיי נשימה, מכאבי גב, ובחדר המיון אובחן כסובל מחבלות ושברים במרפק יד ימין ובברך רגל שמאל. נוכח קשיי הנשימה, נזקק המתלונן להמשך אשפוז בבית החולים, וזאת לצורך ניתוח הכנסת נקז לבית החזה, לשם ניקוז האוויר. </w:t>
      </w:r>
    </w:p>
    <w:p w14:paraId="78174858" w14:textId="77777777" w:rsidR="000F77C7" w:rsidRDefault="000F77C7" w:rsidP="000F77C7">
      <w:pPr>
        <w:spacing w:line="360" w:lineRule="auto"/>
        <w:ind w:left="567" w:hanging="567"/>
        <w:jc w:val="both"/>
        <w:rPr>
          <w:rtl/>
        </w:rPr>
      </w:pPr>
    </w:p>
    <w:p w14:paraId="303F5ADF" w14:textId="77777777" w:rsidR="000F77C7" w:rsidRDefault="000F77C7" w:rsidP="000F77C7">
      <w:pPr>
        <w:spacing w:line="360" w:lineRule="auto"/>
        <w:ind w:left="567" w:hanging="567"/>
        <w:jc w:val="both"/>
        <w:rPr>
          <w:u w:val="single"/>
          <w:rtl/>
        </w:rPr>
      </w:pPr>
      <w:r>
        <w:rPr>
          <w:rtl/>
        </w:rPr>
        <w:tab/>
      </w:r>
      <w:r>
        <w:rPr>
          <w:rFonts w:hint="cs"/>
          <w:u w:val="single"/>
          <w:rtl/>
        </w:rPr>
        <w:t>טיעוני הצדדים לעונש</w:t>
      </w:r>
    </w:p>
    <w:p w14:paraId="098DDD14" w14:textId="77777777" w:rsidR="000F77C7" w:rsidRDefault="000F77C7" w:rsidP="000F77C7">
      <w:pPr>
        <w:spacing w:line="360" w:lineRule="auto"/>
        <w:ind w:left="567" w:hanging="567"/>
        <w:jc w:val="both"/>
        <w:rPr>
          <w:rtl/>
        </w:rPr>
      </w:pPr>
    </w:p>
    <w:p w14:paraId="2267075B" w14:textId="77777777" w:rsidR="000F77C7" w:rsidRDefault="000F77C7" w:rsidP="000F77C7">
      <w:pPr>
        <w:spacing w:line="360" w:lineRule="auto"/>
        <w:ind w:left="567" w:hanging="567"/>
        <w:jc w:val="both"/>
        <w:rPr>
          <w:rtl/>
        </w:rPr>
      </w:pPr>
      <w:r>
        <w:rPr>
          <w:rFonts w:hint="cs"/>
          <w:rtl/>
        </w:rPr>
        <w:t>3.</w:t>
      </w:r>
      <w:r>
        <w:rPr>
          <w:rFonts w:hint="cs"/>
          <w:rtl/>
        </w:rPr>
        <w:tab/>
      </w:r>
      <w:r w:rsidRPr="00130FFA">
        <w:rPr>
          <w:rFonts w:hint="cs"/>
          <w:b/>
          <w:bCs/>
          <w:rtl/>
        </w:rPr>
        <w:t>התביעה</w:t>
      </w:r>
      <w:r>
        <w:rPr>
          <w:rFonts w:hint="cs"/>
          <w:rtl/>
        </w:rPr>
        <w:t xml:space="preserve"> עמדה בטיעוניה על חומרת מעשיו של הנאשם אשר מצאה ביטוי ראשוני בשימוש בקוקאין (שימוש אשר לא מיוחס לנאשם ככזה שגרם לתאונה), המשיכה בתאונת הדרכים אשר נגרמה באשמתו הישירה, ושיאה בהימלטות הנאשם מהזירה והפקרת המתלונן. נטען כי הנאשם פגע במעשיו במגוון ערכים מוגנים, ובהם הערך של מתן עזרה לזולת, הגנה על חייהם של המשתמשים בדרך, תקינות הליכי החקירה והערכים המוגנים הנפגעים כתוצאה משימוש בסמים, ובהם שמירה על בריאות הציבור. נטען כי העובדה כי החבלות </w:t>
      </w:r>
      <w:r>
        <w:rPr>
          <w:rFonts w:hint="cs"/>
          <w:rtl/>
        </w:rPr>
        <w:lastRenderedPageBreak/>
        <w:t>שנגרמו למתלונן אינן חמורות הן בגדר "נס", ואין בהן כדי לגרוע מהמסקנה בדבר היותה של התנהגות הנאשם כזו הנעדרת אמות מידה מוסריות בסיסיות.</w:t>
      </w:r>
    </w:p>
    <w:p w14:paraId="659205A6" w14:textId="77777777" w:rsidR="000F77C7" w:rsidRDefault="000F77C7" w:rsidP="000F77C7">
      <w:pPr>
        <w:spacing w:line="360" w:lineRule="auto"/>
        <w:ind w:left="567" w:hanging="567"/>
        <w:jc w:val="both"/>
        <w:rPr>
          <w:rtl/>
        </w:rPr>
      </w:pPr>
    </w:p>
    <w:p w14:paraId="2DEF981C" w14:textId="77777777" w:rsidR="000F77C7" w:rsidRDefault="000F77C7" w:rsidP="000F77C7">
      <w:pPr>
        <w:spacing w:line="360" w:lineRule="auto"/>
        <w:ind w:left="567" w:hanging="567"/>
        <w:jc w:val="both"/>
        <w:rPr>
          <w:rtl/>
        </w:rPr>
      </w:pPr>
      <w:r>
        <w:rPr>
          <w:rtl/>
        </w:rPr>
        <w:tab/>
      </w:r>
      <w:r>
        <w:rPr>
          <w:rFonts w:hint="cs"/>
          <w:rtl/>
        </w:rPr>
        <w:t xml:space="preserve">התביעה סקרה בטיעוניה פסקי דין רלוונטיים, ועתרה לקביעת מתחם הנע בין 20 ל- 36 חודשי מאסר. </w:t>
      </w:r>
    </w:p>
    <w:p w14:paraId="5BAB25BD" w14:textId="77777777" w:rsidR="000F77C7" w:rsidRDefault="000F77C7" w:rsidP="000F77C7">
      <w:pPr>
        <w:spacing w:line="360" w:lineRule="auto"/>
        <w:ind w:left="567" w:hanging="567"/>
        <w:jc w:val="both"/>
        <w:rPr>
          <w:rtl/>
        </w:rPr>
      </w:pPr>
      <w:r>
        <w:rPr>
          <w:rtl/>
        </w:rPr>
        <w:tab/>
      </w:r>
    </w:p>
    <w:p w14:paraId="4FD3AD02" w14:textId="77777777" w:rsidR="000F77C7" w:rsidRDefault="000F77C7" w:rsidP="000F77C7">
      <w:pPr>
        <w:spacing w:line="360" w:lineRule="auto"/>
        <w:ind w:left="567" w:hanging="567"/>
        <w:jc w:val="both"/>
        <w:rPr>
          <w:rtl/>
        </w:rPr>
      </w:pPr>
      <w:r>
        <w:rPr>
          <w:rtl/>
        </w:rPr>
        <w:tab/>
      </w:r>
      <w:r>
        <w:rPr>
          <w:rFonts w:hint="cs"/>
          <w:rtl/>
        </w:rPr>
        <w:t xml:space="preserve">באשר לעונש המתאים לנאשם, נטען כי בהינתן העובדה כי  אין לחובתו הרשעות קודמות, וכי התנהלותו לאורך השנים הייתה נורמטיבית, ניתן להסתפק בקביעת עונש מתאים המשקף את השליש התחתון של המתחם המוצע, אך שלא יפחת מתקופת מאסר בת שנתיים לצד הטלת רכיבי ענישה נלווים בדמות מאסר מותנה, פסילת רישיון, קנס ופיצוי. </w:t>
      </w:r>
    </w:p>
    <w:p w14:paraId="06A10E68" w14:textId="77777777" w:rsidR="000F77C7" w:rsidRDefault="000F77C7" w:rsidP="000F77C7">
      <w:pPr>
        <w:spacing w:line="360" w:lineRule="auto"/>
        <w:ind w:left="567" w:hanging="567"/>
        <w:jc w:val="both"/>
        <w:rPr>
          <w:rtl/>
        </w:rPr>
      </w:pPr>
    </w:p>
    <w:p w14:paraId="6BB255BD" w14:textId="77777777" w:rsidR="000F77C7" w:rsidRDefault="000F77C7" w:rsidP="000F77C7">
      <w:pPr>
        <w:spacing w:line="360" w:lineRule="auto"/>
        <w:ind w:left="567" w:hanging="567"/>
        <w:jc w:val="both"/>
        <w:rPr>
          <w:rtl/>
        </w:rPr>
      </w:pPr>
      <w:r>
        <w:rPr>
          <w:rFonts w:hint="cs"/>
          <w:rtl/>
        </w:rPr>
        <w:t>4.</w:t>
      </w:r>
      <w:r>
        <w:rPr>
          <w:rFonts w:hint="cs"/>
          <w:rtl/>
        </w:rPr>
        <w:tab/>
      </w:r>
      <w:r w:rsidRPr="00130FFA">
        <w:rPr>
          <w:rFonts w:hint="cs"/>
          <w:b/>
          <w:bCs/>
          <w:rtl/>
        </w:rPr>
        <w:t>הסנגור</w:t>
      </w:r>
      <w:r>
        <w:rPr>
          <w:rFonts w:hint="cs"/>
          <w:rtl/>
        </w:rPr>
        <w:t xml:space="preserve"> עמד בטיעוניו על הנסיבות יוצאות הדופן שהובילו לתאונה. הוסבר כי אין מדובר בנאשם אשר ניסה "לגנוב" את הרמזור, אלא במי שאין חולק שעצר בקו העצירה, והמתין בסבלנות למופע האור הירוק בכיוון נסיעתו (הסנגור ציין כי על-פי תיעוד מצלמות הצומת, מדובר בהמתנה בת 36 שניות). נטען כי כניסתו של הנאשם לצומת נבעה מטעות אשר עלולה להיות מנת חלקם של נהגים רבים, שעה שהם מתקרבים לצומת מרובה נתיבים ורמזורים. </w:t>
      </w:r>
    </w:p>
    <w:p w14:paraId="33902913" w14:textId="77777777" w:rsidR="000F77C7" w:rsidRDefault="000F77C7" w:rsidP="000F77C7">
      <w:pPr>
        <w:spacing w:line="360" w:lineRule="auto"/>
        <w:ind w:left="567" w:hanging="567"/>
        <w:jc w:val="both"/>
        <w:rPr>
          <w:rtl/>
        </w:rPr>
      </w:pPr>
    </w:p>
    <w:p w14:paraId="3C8489A8" w14:textId="77777777" w:rsidR="000F77C7" w:rsidRDefault="000F77C7" w:rsidP="000F77C7">
      <w:pPr>
        <w:spacing w:line="360" w:lineRule="auto"/>
        <w:ind w:left="567" w:hanging="567"/>
        <w:jc w:val="both"/>
        <w:rPr>
          <w:rtl/>
        </w:rPr>
      </w:pPr>
      <w:r>
        <w:rPr>
          <w:rtl/>
        </w:rPr>
        <w:tab/>
      </w:r>
      <w:r>
        <w:rPr>
          <w:rFonts w:hint="cs"/>
          <w:rtl/>
        </w:rPr>
        <w:t xml:space="preserve">גם את רכיבי ההפקרה והשיבוש ביקש הסנגור לראות בפרופורציה הנכונה (לשיטתו), ונטען כי אין המדובר בהפקרה שבוצעה באזור מבודד אלא בצומת מרכזי בעיר תל-אביב, כך שהיה ברור כי המתלונן יזכה לטיפול רפואי מידי על-ידי כוחות הצלה שיוזעקו למקום. ביחס לעבירת השיבוש, הוסבר כי זו התמצתה בהותרת הרכב באור יהודה, אך מבלי שהיה ניסיון כלשהו לטשטש את סימני הזיהוי שלו, וממילא מספר שעות לאחר מכן, הסגיר הנאשם עצמו לתחנת המשטרה, וזאת עוד לפני שקיבל הודעה בדבר חשיפת זהותו. לשיטת הסנגור, ניתן לראות בצירוף הנסיבות שתוארו, ככזה המשקף פאניקה נקודתית, אך גם הפנמה והבעת חרטה לאחר שעות ספורות. </w:t>
      </w:r>
    </w:p>
    <w:p w14:paraId="43A1BE02" w14:textId="77777777" w:rsidR="000F77C7" w:rsidRDefault="000F77C7" w:rsidP="000F77C7">
      <w:pPr>
        <w:spacing w:line="360" w:lineRule="auto"/>
        <w:ind w:left="567" w:hanging="567"/>
        <w:jc w:val="both"/>
        <w:rPr>
          <w:rtl/>
        </w:rPr>
      </w:pPr>
    </w:p>
    <w:p w14:paraId="2F03339C" w14:textId="77777777" w:rsidR="000F77C7" w:rsidRDefault="000F77C7" w:rsidP="000F77C7">
      <w:pPr>
        <w:spacing w:line="360" w:lineRule="auto"/>
        <w:ind w:left="567" w:hanging="567"/>
        <w:jc w:val="both"/>
        <w:rPr>
          <w:rtl/>
        </w:rPr>
      </w:pPr>
      <w:r>
        <w:rPr>
          <w:rtl/>
        </w:rPr>
        <w:tab/>
      </w:r>
      <w:r>
        <w:rPr>
          <w:rFonts w:hint="cs"/>
          <w:rtl/>
        </w:rPr>
        <w:t xml:space="preserve">אף הסנגור הציג פסיקה מטעמו, ונטען כי השילוב שבין הנסיבות הייחודיות של המקרה דנן, לבין מדיניות הענישה, מאפשר לקבוע מתחם הנע בין 6 חודשי מאסר לריצוי בדרך של עבודות שירות לבין 18 חודשי מאסר לריצוי בפועל. עוד ביקש הסנגור ליתן משקל משמעותי להליכי השיקום, ולהליך ה"צדק מאחה" כפי שיפורט בהמשך. </w:t>
      </w:r>
    </w:p>
    <w:p w14:paraId="28DFBC31" w14:textId="77777777" w:rsidR="000F77C7" w:rsidRDefault="000F77C7" w:rsidP="000F77C7">
      <w:pPr>
        <w:spacing w:line="360" w:lineRule="auto"/>
        <w:ind w:left="567" w:hanging="567"/>
        <w:jc w:val="both"/>
        <w:rPr>
          <w:rtl/>
        </w:rPr>
      </w:pPr>
    </w:p>
    <w:p w14:paraId="2A437972" w14:textId="77777777" w:rsidR="000F77C7" w:rsidRDefault="000F77C7" w:rsidP="000F77C7">
      <w:pPr>
        <w:spacing w:line="360" w:lineRule="auto"/>
        <w:ind w:left="567" w:hanging="567"/>
        <w:jc w:val="both"/>
        <w:rPr>
          <w:rtl/>
        </w:rPr>
      </w:pPr>
      <w:r>
        <w:rPr>
          <w:rFonts w:hint="cs"/>
          <w:rtl/>
        </w:rPr>
        <w:t>5.</w:t>
      </w:r>
      <w:r>
        <w:rPr>
          <w:rFonts w:hint="cs"/>
          <w:rtl/>
        </w:rPr>
        <w:tab/>
        <w:t xml:space="preserve">הנאשם בדברו האחרון הביע חרטה על מעשיו. </w:t>
      </w:r>
    </w:p>
    <w:p w14:paraId="7996D57D" w14:textId="77777777" w:rsidR="000F77C7" w:rsidRDefault="000F77C7" w:rsidP="000F77C7">
      <w:pPr>
        <w:spacing w:line="360" w:lineRule="auto"/>
        <w:ind w:left="567" w:hanging="567"/>
        <w:jc w:val="both"/>
        <w:rPr>
          <w:rtl/>
        </w:rPr>
      </w:pPr>
    </w:p>
    <w:p w14:paraId="2A891CC4" w14:textId="77777777" w:rsidR="000F77C7" w:rsidRDefault="000F77C7" w:rsidP="000F77C7">
      <w:pPr>
        <w:spacing w:line="360" w:lineRule="auto"/>
        <w:ind w:left="567"/>
        <w:jc w:val="both"/>
        <w:rPr>
          <w:rtl/>
        </w:rPr>
      </w:pPr>
      <w:r>
        <w:rPr>
          <w:rFonts w:hint="cs"/>
          <w:rtl/>
        </w:rPr>
        <w:t xml:space="preserve">וכך מהפרוטוקול: </w:t>
      </w:r>
    </w:p>
    <w:p w14:paraId="69214485" w14:textId="77777777" w:rsidR="000F77C7" w:rsidRDefault="000F77C7" w:rsidP="000F77C7">
      <w:pPr>
        <w:spacing w:line="360" w:lineRule="auto"/>
        <w:ind w:left="567"/>
        <w:jc w:val="both"/>
        <w:rPr>
          <w:rtl/>
        </w:rPr>
      </w:pPr>
    </w:p>
    <w:p w14:paraId="3C4EA0CC" w14:textId="77777777" w:rsidR="000F77C7" w:rsidRDefault="000F77C7" w:rsidP="000F77C7">
      <w:pPr>
        <w:spacing w:line="360" w:lineRule="auto"/>
        <w:ind w:left="567"/>
        <w:jc w:val="both"/>
        <w:rPr>
          <w:rtl/>
        </w:rPr>
      </w:pPr>
      <w:r>
        <w:rPr>
          <w:rFonts w:hint="cs"/>
          <w:rtl/>
        </w:rPr>
        <w:t>"</w:t>
      </w:r>
      <w:r w:rsidRPr="00473960">
        <w:rPr>
          <w:rFonts w:hint="cs"/>
          <w:b/>
          <w:bCs/>
          <w:rtl/>
        </w:rPr>
        <w:t xml:space="preserve">כב' השופט (בוכה) סליחה שאני מתרגש. אני יודע שמה שעשיתי הוא מאוד מאוד חמור, ושאני עזבתי את הזירה של האירוע, שלא עזרתי, שלא הגשתי עזרה. אני יודע. אני מתחרט על כך. מאוד קשה לי כל התקופה, ואני יודע שגם לנפגע  יש לו שם "אדם". גם לאדם זה מאוד קשה. אני בהתחלה ניסיתי ליצור קשר. החוקר אמר לי שאסור לי ליצור איתו קשר ולא להיות איתו בקשר. מאוד כואב לי שאני לא יודע עד היום מה שלומו. חשוב לי יותר לבקש סליחה ממנו. אני כל החיים שלי, איך שאני זוכר את עצמי מגיל מאוד קטן, אני עובד משעות הבוקר עד שעות הלילה המאוחרות (בוכה). מעולם לא חשבתי שאמצא בכזו סיטואציה, זו בושה. אם אבא שלי ז"ל היה בחיים לא הייתי עומד פה היום. הוא היה כועס עלי כי זה לא נכון ולא כך עושים. אני שוב מבקש סליחה מאדם, מבית המשפט, אני לא חשבתי אי פעם שדבר כזה יכול לקרות לי. אני למדתי המון בשנה וחצי האחרונות הללו. אני יודע שהדבר הזה </w:t>
      </w:r>
      <w:r>
        <w:rPr>
          <w:rFonts w:hint="cs"/>
          <w:b/>
          <w:bCs/>
          <w:rtl/>
        </w:rPr>
        <w:t>הוא לא נכון והוא פסול. אני לא י</w:t>
      </w:r>
      <w:r w:rsidRPr="00473960">
        <w:rPr>
          <w:rFonts w:hint="cs"/>
          <w:b/>
          <w:bCs/>
          <w:rtl/>
        </w:rPr>
        <w:t>שן בלילות כל התקופה הזו, וכל הזמן שואל את השאלה איך עשיתי דבר כזה? איך אני, מוטי, עשיתי דבר כזה? בנושא הסמים, זו הייתה מעידה חד פעמית עקב האובדן של אבא שלי והדיכאון שהייתי שרוי בו. אני נתתי לאחר כל התהליך הזה, עברתי בדיקות שתן, תמיד יצאתי נקי. אני מוכן בכל עת שיחליטו לתת שוב בדיקות שתן ולעשות את הכל. כמו שהעורך דין שלי אמר, אני לקחתי אחריות מהרגע הראשון. אני לא אמרתי זה לא אני, לא אמרתי דברים שהם לא. תמיד אמרתי את האמת, ולכך גדלתי וחונכתי. לקחתי אחריות לגבי התאונה ולגבי העבר שלי. ברגע שהגיע הצו של בית המשפט שאני אמור לשלם כסף, שילמתי, למרות שמצבי הכלכלי מאוד קשה. שילמתי ועשיתי הכל כדי שאני אוכל לפצות את אדם. אני מבקש באמת, שוב פעם סליחה, מחילה. אני מוכן לעשות כל דבר כדי לטפל בבעיה. כמו שקצינת המבחן שלי אמרה שיש קבוצות שם מדברים על הנושא, ביקשתי ממנה שתרשום אותי לכזו קבוצה. אני מוכן לעשות את הכל, וכל מה שצריך והכל על-מנת לטפל בבעיה זו. באמת זו פעם ראשונה, ואני אומר ואחרונה, שאני עומד בכזה מקום ובכזה מעמד. אני מבין את הנפשות הפעולות של כולם, ואני גם מבין את הכעס של הפרקליטות ואת הכעס של אדם, שאני בטוח שאם הייתה לי אי פעם אפשרות לפגוש בו, לבקש סליחה, לשאול לשלומו, כשלי אסור ליצור עימו קשר. אני באמת הייתי רוצה לשאול לשלומו ולבקש את סליחתו. כב' השופט, אני מהיום שאני זוכר את עצמי, אני בן אדם שהחלתי לעבוד בגיל 7. אני מהבוקר עד שעות הלילה המאוחרות עובד, מתפרנס בכבוד, מכבד את כולם. באמת מקטן ועד גדול, אם זה ספקים בחו"ל, ואם זה ספקים בארץ ואם לקוחות, בכל הענפים פה בארץ. אני מתנצל ולוקח אחריות. אתם צודקים שעשיתי את זה. לא אמרתי לרגע שאני לא עשיתי את זה. נכון, שיש הרבה מאוד דברים שנאמרו ונרשמו, שהם לא נכונים, אבל אנחנו כאן לא כדי להתווכח. כל מה שחתמתי חתמתי, ואני רוצה כבר לטפל בבעיה ולהביע התנצלות בפני אדם. כב' השופט, תודה שהקדשת לי את הזמן וגם לפרקליטות ולכולם. תודה</w:t>
      </w:r>
      <w:r w:rsidRPr="00473960">
        <w:rPr>
          <w:rFonts w:hint="cs"/>
          <w:rtl/>
        </w:rPr>
        <w:t>".</w:t>
      </w:r>
    </w:p>
    <w:p w14:paraId="2F7B7CF7" w14:textId="77777777" w:rsidR="000F77C7" w:rsidRDefault="000F77C7" w:rsidP="000F77C7">
      <w:pPr>
        <w:spacing w:line="360" w:lineRule="auto"/>
        <w:ind w:left="567" w:hanging="567"/>
        <w:jc w:val="both"/>
        <w:rPr>
          <w:rtl/>
        </w:rPr>
      </w:pPr>
    </w:p>
    <w:p w14:paraId="2F75D4D1" w14:textId="77777777" w:rsidR="000F77C7" w:rsidRPr="003E51EB" w:rsidRDefault="000F77C7" w:rsidP="000F77C7">
      <w:pPr>
        <w:spacing w:line="360" w:lineRule="auto"/>
        <w:ind w:left="567" w:hanging="567"/>
        <w:jc w:val="both"/>
        <w:rPr>
          <w:rtl/>
        </w:rPr>
      </w:pPr>
      <w:r>
        <w:rPr>
          <w:rFonts w:hint="cs"/>
          <w:rtl/>
        </w:rPr>
        <w:t>6.</w:t>
      </w:r>
      <w:r>
        <w:rPr>
          <w:rFonts w:hint="cs"/>
          <w:rtl/>
        </w:rPr>
        <w:tab/>
        <w:t>ראיתי להדגיש כבר עכשיו כי דבריו של הנאשם נשמעו במסגרת ישיבת הטיעונים לעונש שהתקיימה ביום 12.10.21, ובעקבות דברים אלה, ניתנה על-ידי ההחלטה הבאה: "</w:t>
      </w:r>
      <w:r>
        <w:rPr>
          <w:rFonts w:hint="cs"/>
          <w:b/>
          <w:bCs/>
          <w:rtl/>
        </w:rPr>
        <w:t>טרם גזירת הדין ולאור דברי הנאשם והבעת רצונו הנראית אותנטית לחלוטין, להביע התנצלותו בפני קורבן העבירה, ראיתי להורות לשרות המבחן לבחון אפשרות לקיום הליך ממוקד של "צדק מאחה", ולהגיש לעיוני תסקיר משלים בהקשר זה בלבד</w:t>
      </w:r>
      <w:r>
        <w:rPr>
          <w:rFonts w:hint="cs"/>
          <w:rtl/>
        </w:rPr>
        <w:t xml:space="preserve">". אעמוד בהמשך על התכנים שעלו מהתסקיר הראשון וכן מהתסקיר הנוסף שהתמקד, כאמור, בדיווח אודות הליך ה"צדק מאחה". </w:t>
      </w:r>
    </w:p>
    <w:p w14:paraId="56721B88" w14:textId="77777777" w:rsidR="000F77C7" w:rsidRPr="00473960" w:rsidRDefault="000F77C7" w:rsidP="000F77C7">
      <w:pPr>
        <w:spacing w:line="360" w:lineRule="auto"/>
        <w:ind w:left="567" w:hanging="567"/>
        <w:jc w:val="both"/>
        <w:rPr>
          <w:b/>
          <w:bCs/>
          <w:rtl/>
        </w:rPr>
      </w:pPr>
    </w:p>
    <w:p w14:paraId="729726CA" w14:textId="77777777" w:rsidR="000F77C7" w:rsidRPr="007E5305" w:rsidRDefault="000F77C7" w:rsidP="000F77C7">
      <w:pPr>
        <w:spacing w:line="360" w:lineRule="auto"/>
        <w:ind w:left="567" w:hanging="567"/>
        <w:jc w:val="both"/>
        <w:rPr>
          <w:rFonts w:ascii="David" w:hAnsi="David"/>
          <w:b/>
          <w:bCs/>
          <w:color w:val="000000"/>
          <w:shd w:val="clear" w:color="auto" w:fill="FFFFFF"/>
          <w:rtl/>
        </w:rPr>
      </w:pPr>
      <w:r>
        <w:rPr>
          <w:rtl/>
        </w:rPr>
        <w:tab/>
      </w:r>
      <w:r w:rsidRPr="007E5305">
        <w:rPr>
          <w:rFonts w:hint="cs"/>
          <w:b/>
          <w:bCs/>
          <w:u w:val="single"/>
          <w:rtl/>
        </w:rPr>
        <w:t>דיון והכרעה</w:t>
      </w:r>
    </w:p>
    <w:p w14:paraId="2BB81349" w14:textId="77777777" w:rsidR="000F77C7" w:rsidRDefault="000F77C7" w:rsidP="000F77C7">
      <w:pPr>
        <w:spacing w:line="360" w:lineRule="auto"/>
        <w:ind w:left="567" w:hanging="567"/>
        <w:jc w:val="both"/>
        <w:rPr>
          <w:rFonts w:ascii="David" w:hAnsi="David"/>
          <w:color w:val="000000"/>
          <w:shd w:val="clear" w:color="auto" w:fill="FFFFFF"/>
          <w:rtl/>
        </w:rPr>
      </w:pPr>
    </w:p>
    <w:p w14:paraId="4FC8B3C1" w14:textId="77777777" w:rsidR="000F77C7" w:rsidRPr="008B75D6" w:rsidRDefault="000F77C7" w:rsidP="000F77C7">
      <w:pPr>
        <w:spacing w:line="360" w:lineRule="auto"/>
        <w:ind w:left="567" w:hanging="567"/>
        <w:jc w:val="both"/>
        <w:rPr>
          <w:rFonts w:ascii="David" w:hAnsi="David"/>
          <w:color w:val="000000"/>
          <w:u w:val="single"/>
          <w:shd w:val="clear" w:color="auto" w:fill="FFFFFF"/>
          <w:rtl/>
        </w:rPr>
      </w:pPr>
      <w:r>
        <w:rPr>
          <w:rFonts w:ascii="David" w:hAnsi="David"/>
          <w:color w:val="000000"/>
          <w:shd w:val="clear" w:color="auto" w:fill="FFFFFF"/>
          <w:rtl/>
        </w:rPr>
        <w:tab/>
      </w:r>
      <w:r>
        <w:rPr>
          <w:rFonts w:ascii="David" w:hAnsi="David" w:hint="cs"/>
          <w:color w:val="000000"/>
          <w:u w:val="single"/>
          <w:shd w:val="clear" w:color="auto" w:fill="FFFFFF"/>
          <w:rtl/>
        </w:rPr>
        <w:t>קביעת מתחם העונש ההולם</w:t>
      </w:r>
    </w:p>
    <w:p w14:paraId="61A4E3F4" w14:textId="77777777" w:rsidR="000F77C7" w:rsidRDefault="000F77C7" w:rsidP="000F77C7">
      <w:pPr>
        <w:spacing w:line="360" w:lineRule="auto"/>
        <w:ind w:left="567" w:hanging="567"/>
        <w:jc w:val="both"/>
        <w:rPr>
          <w:rFonts w:ascii="David" w:hAnsi="David"/>
          <w:color w:val="000000"/>
          <w:shd w:val="clear" w:color="auto" w:fill="FFFFFF"/>
          <w:rtl/>
        </w:rPr>
      </w:pPr>
    </w:p>
    <w:p w14:paraId="0DC9F69D" w14:textId="77777777" w:rsidR="000F77C7" w:rsidRDefault="000F77C7" w:rsidP="000F77C7">
      <w:pPr>
        <w:spacing w:line="360" w:lineRule="auto"/>
        <w:ind w:left="567" w:hanging="567"/>
        <w:jc w:val="both"/>
        <w:rPr>
          <w:sz w:val="26"/>
          <w:szCs w:val="26"/>
          <w:rtl/>
        </w:rPr>
      </w:pPr>
      <w:r>
        <w:rPr>
          <w:rFonts w:ascii="David" w:hAnsi="David" w:hint="cs"/>
          <w:color w:val="000000"/>
          <w:shd w:val="clear" w:color="auto" w:fill="FFFFFF"/>
          <w:rtl/>
        </w:rPr>
        <w:t>7.</w:t>
      </w:r>
      <w:r>
        <w:rPr>
          <w:rFonts w:ascii="David" w:hAnsi="David"/>
          <w:color w:val="000000"/>
          <w:shd w:val="clear" w:color="auto" w:fill="FFFFFF"/>
          <w:rtl/>
        </w:rPr>
        <w:tab/>
        <w:t>בתי המשפט עמדו פעמים רבות על החומרה שבעבירת ההפקרה והפגיעה של עבירה זו בערך המוגן של קדושת החיים, והצורך להילחם בתאונות הדרכים</w:t>
      </w:r>
      <w:r>
        <w:rPr>
          <w:sz w:val="26"/>
          <w:szCs w:val="26"/>
          <w:rtl/>
        </w:rPr>
        <w:t xml:space="preserve">. </w:t>
      </w:r>
    </w:p>
    <w:p w14:paraId="180698E3" w14:textId="77777777" w:rsidR="000F77C7" w:rsidRDefault="000F77C7" w:rsidP="000F77C7">
      <w:pPr>
        <w:spacing w:line="360" w:lineRule="auto"/>
        <w:ind w:left="567" w:hanging="567"/>
        <w:jc w:val="both"/>
        <w:rPr>
          <w:sz w:val="26"/>
          <w:szCs w:val="26"/>
          <w:rtl/>
        </w:rPr>
      </w:pPr>
    </w:p>
    <w:p w14:paraId="50240A9D" w14:textId="77777777" w:rsidR="000F77C7" w:rsidRDefault="000F77C7" w:rsidP="000F77C7">
      <w:pPr>
        <w:spacing w:line="360" w:lineRule="auto"/>
        <w:ind w:left="567"/>
        <w:jc w:val="both"/>
        <w:rPr>
          <w:sz w:val="26"/>
          <w:szCs w:val="26"/>
        </w:rPr>
      </w:pPr>
      <w:r>
        <w:rPr>
          <w:rtl/>
        </w:rPr>
        <w:t xml:space="preserve">ראו לעניין זה </w:t>
      </w:r>
      <w:hyperlink r:id="rId25" w:history="1">
        <w:r w:rsidR="00304B19" w:rsidRPr="00304B19">
          <w:rPr>
            <w:rFonts w:ascii="David" w:hAnsi="David"/>
            <w:color w:val="0000FF"/>
            <w:u w:val="single"/>
            <w:rtl/>
          </w:rPr>
          <w:t>ע"פ 5729/09</w:t>
        </w:r>
      </w:hyperlink>
      <w:r>
        <w:rPr>
          <w:rFonts w:ascii="David" w:hAnsi="David"/>
          <w:b/>
          <w:bCs/>
          <w:color w:val="000000"/>
          <w:rtl/>
        </w:rPr>
        <w:t xml:space="preserve"> לוי נ' מדינת ישראל</w:t>
      </w:r>
      <w:r w:rsidR="00304B19">
        <w:rPr>
          <w:rFonts w:ascii="David" w:hAnsi="David"/>
          <w:color w:val="000000"/>
          <w:rtl/>
        </w:rPr>
        <w:t xml:space="preserve"> </w:t>
      </w:r>
      <w:r>
        <w:rPr>
          <w:rFonts w:ascii="David" w:hAnsi="David"/>
          <w:color w:val="000000"/>
          <w:rtl/>
        </w:rPr>
        <w:t>(</w:t>
      </w:r>
      <w:r>
        <w:rPr>
          <w:rFonts w:ascii="David" w:hAnsi="David" w:hint="cs"/>
          <w:color w:val="000000"/>
          <w:rtl/>
        </w:rPr>
        <w:t>27.4.2010</w:t>
      </w:r>
      <w:r>
        <w:rPr>
          <w:rFonts w:ascii="David" w:hAnsi="David"/>
          <w:color w:val="000000"/>
          <w:rtl/>
        </w:rPr>
        <w:t>):</w:t>
      </w:r>
      <w:r w:rsidR="00304B19">
        <w:rPr>
          <w:rFonts w:ascii="David" w:hAnsi="David"/>
          <w:color w:val="000000"/>
          <w:rtl/>
        </w:rPr>
        <w:t xml:space="preserve"> </w:t>
      </w:r>
    </w:p>
    <w:p w14:paraId="11B81430" w14:textId="77777777" w:rsidR="000F77C7" w:rsidRDefault="000F77C7" w:rsidP="000F77C7">
      <w:pPr>
        <w:pStyle w:val="a9"/>
        <w:spacing w:after="0" w:line="360" w:lineRule="auto"/>
        <w:ind w:left="-58"/>
        <w:rPr>
          <w:rFonts w:ascii="David" w:hAnsi="David"/>
          <w:color w:val="000000"/>
          <w:sz w:val="24"/>
          <w:rtl/>
        </w:rPr>
      </w:pPr>
    </w:p>
    <w:p w14:paraId="5DEB1F2C" w14:textId="77777777" w:rsidR="000F77C7" w:rsidRPr="00B036D4" w:rsidRDefault="000F77C7" w:rsidP="000F77C7">
      <w:pPr>
        <w:pStyle w:val="a9"/>
        <w:spacing w:after="0" w:line="360" w:lineRule="auto"/>
        <w:ind w:left="567"/>
        <w:rPr>
          <w:sz w:val="26"/>
          <w:szCs w:val="26"/>
        </w:rPr>
      </w:pPr>
      <w:r>
        <w:rPr>
          <w:rFonts w:ascii="David" w:hAnsi="David"/>
          <w:sz w:val="24"/>
          <w:rtl/>
        </w:rPr>
        <w:t>"</w:t>
      </w:r>
      <w:r>
        <w:rPr>
          <w:rFonts w:ascii="David" w:hAnsi="David"/>
          <w:b/>
          <w:bCs/>
          <w:sz w:val="24"/>
          <w:rtl/>
        </w:rPr>
        <w:t>הפקרת אדם לאחר תאונה יש בה מימד חמור במיוחד. מימד זה בא לידי ביטוי בפן הבלתי מוסרי אשר מתנוסס מעל מעשה קשה זה. זהו אותו פן אשר מזעזע את הנפש ומעורר את סלידתנו העמוקה. 'הנורמה של איסור על הפקרה, מעבר לתכליתה להגן על הנפגע ולהקל על אכיפת החוק ביחס לנהגים עבריינים, נועד</w:t>
      </w:r>
      <w:r>
        <w:rPr>
          <w:rFonts w:ascii="David" w:hAnsi="David" w:hint="cs"/>
          <w:b/>
          <w:bCs/>
          <w:sz w:val="24"/>
          <w:rtl/>
        </w:rPr>
        <w:t>ה</w:t>
      </w:r>
      <w:r>
        <w:rPr>
          <w:rFonts w:ascii="David" w:hAnsi="David"/>
          <w:b/>
          <w:bCs/>
          <w:sz w:val="24"/>
          <w:rtl/>
        </w:rPr>
        <w:t xml:space="preserve"> לעגן במשפט את החובה המוסרית החלה על אדם המעורב באירוע פוגעני לסייע לזולתו שנפגע, לדאוג לשלומו ולהציל את חייו. חובה מוסרית זו קיבלה לבוש משפטי מחייב במסגרת חוק המשקף קיומה של אמנה חברתית המושתתת על יסודות של אתיקה וערכים אנושיים. היא משקפת התפתחות בתפיסה בדבר החובה להושיט עזרה לאדם המצוי בסכנה בכלל, ולנפגע בתאונה בפרט. היא מרחיבה את החובה החוקית </w:t>
      </w:r>
      <w:r w:rsidRPr="00B036D4">
        <w:rPr>
          <w:rFonts w:ascii="David" w:hAnsi="David"/>
          <w:b/>
          <w:bCs/>
          <w:sz w:val="24"/>
          <w:rtl/>
        </w:rPr>
        <w:t>של אדם להושיט עזרה לאדם אחר המצוי בסכנה'</w:t>
      </w:r>
      <w:r w:rsidR="00304B19">
        <w:rPr>
          <w:rFonts w:ascii="David" w:hAnsi="David"/>
          <w:sz w:val="24"/>
          <w:rtl/>
        </w:rPr>
        <w:t xml:space="preserve"> </w:t>
      </w:r>
      <w:r w:rsidRPr="00B036D4">
        <w:rPr>
          <w:rFonts w:ascii="David" w:hAnsi="David"/>
          <w:b/>
          <w:sz w:val="24"/>
          <w:rtl/>
        </w:rPr>
        <w:t>(</w:t>
      </w:r>
      <w:hyperlink w:history="1">
        <w:r w:rsidRPr="00304B19">
          <w:rPr>
            <w:rStyle w:val="Hyperlink"/>
            <w:rFonts w:ascii="David" w:hAnsi="David"/>
            <w:b/>
            <w:bCs/>
            <w:color w:val="000000"/>
            <w:sz w:val="24"/>
            <w:u w:val="none"/>
            <w:rtl/>
          </w:rPr>
          <w:t>ע"פ 5000/08</w:t>
        </w:r>
      </w:hyperlink>
      <w:r w:rsidR="00304B19">
        <w:rPr>
          <w:rFonts w:ascii="David" w:hAnsi="David"/>
          <w:b/>
          <w:sz w:val="24"/>
          <w:rtl/>
        </w:rPr>
        <w:t xml:space="preserve"> </w:t>
      </w:r>
      <w:r w:rsidRPr="00B036D4">
        <w:rPr>
          <w:rFonts w:ascii="David" w:hAnsi="David"/>
          <w:bCs/>
          <w:sz w:val="24"/>
          <w:rtl/>
        </w:rPr>
        <w:t xml:space="preserve">סומך נ' מדינת </w:t>
      </w:r>
      <w:r w:rsidRPr="00FB78BC">
        <w:rPr>
          <w:rFonts w:ascii="David" w:hAnsi="David"/>
          <w:bCs/>
          <w:sz w:val="24"/>
          <w:rtl/>
        </w:rPr>
        <w:t>ישראל (22.3.2009)</w:t>
      </w:r>
      <w:r w:rsidRPr="00B036D4">
        <w:rPr>
          <w:rFonts w:ascii="David" w:hAnsi="David"/>
          <w:sz w:val="24"/>
          <w:rtl/>
        </w:rPr>
        <w:t>".</w:t>
      </w:r>
    </w:p>
    <w:p w14:paraId="2017BB7F" w14:textId="77777777" w:rsidR="000F77C7" w:rsidRDefault="000F77C7" w:rsidP="000F77C7">
      <w:pPr>
        <w:pStyle w:val="a9"/>
        <w:spacing w:after="0" w:line="360" w:lineRule="auto"/>
        <w:ind w:left="567"/>
        <w:rPr>
          <w:rtl/>
        </w:rPr>
      </w:pPr>
    </w:p>
    <w:p w14:paraId="4980A8D0" w14:textId="77777777" w:rsidR="000F77C7" w:rsidRDefault="000F77C7" w:rsidP="000F77C7">
      <w:pPr>
        <w:pStyle w:val="a9"/>
        <w:spacing w:after="0" w:line="360" w:lineRule="auto"/>
        <w:ind w:left="567"/>
        <w:rPr>
          <w:rtl/>
        </w:rPr>
      </w:pPr>
    </w:p>
    <w:p w14:paraId="67D91DCF" w14:textId="77777777" w:rsidR="000F77C7" w:rsidRDefault="000F77C7" w:rsidP="000F77C7">
      <w:pPr>
        <w:pStyle w:val="a9"/>
        <w:spacing w:after="0" w:line="360" w:lineRule="auto"/>
        <w:ind w:left="567"/>
        <w:rPr>
          <w:b/>
          <w:bCs/>
          <w:rtl/>
        </w:rPr>
      </w:pPr>
      <w:r>
        <w:rPr>
          <w:rtl/>
        </w:rPr>
        <w:t>לעניין העבירה של שיבוש מהלכי משפט, הערכים המוגנים שנפגעים הם הגנה על סדרי השלטון והמשפט, שמירה על תקינות וטוהר ההליך המשפטי, כיבוד ערכאות שיפוטיות, חשיפת האמת, עשיית משפט צדק ושמירה על שלטון החוק.</w:t>
      </w:r>
    </w:p>
    <w:p w14:paraId="0F597DC5" w14:textId="77777777" w:rsidR="000F77C7" w:rsidRDefault="000F77C7" w:rsidP="000F77C7">
      <w:pPr>
        <w:pStyle w:val="a9"/>
        <w:spacing w:after="0" w:line="360" w:lineRule="auto"/>
        <w:ind w:left="-58"/>
        <w:rPr>
          <w:rtl/>
        </w:rPr>
      </w:pPr>
    </w:p>
    <w:p w14:paraId="773AB3CC" w14:textId="77777777" w:rsidR="000F77C7" w:rsidRDefault="000F77C7" w:rsidP="000F77C7">
      <w:pPr>
        <w:pStyle w:val="a9"/>
        <w:spacing w:after="0" w:line="360" w:lineRule="auto"/>
        <w:ind w:left="567"/>
        <w:rPr>
          <w:rtl/>
        </w:rPr>
      </w:pPr>
      <w:r>
        <w:rPr>
          <w:rtl/>
        </w:rPr>
        <w:t>בהקשר זה יפים הדברים שנאמרו ב</w:t>
      </w:r>
      <w:hyperlink r:id="rId26" w:history="1">
        <w:r w:rsidR="00304B19" w:rsidRPr="00304B19">
          <w:rPr>
            <w:rFonts w:hint="cs"/>
            <w:color w:val="0000FF"/>
            <w:u w:val="single"/>
            <w:rtl/>
          </w:rPr>
          <w:t>ע</w:t>
        </w:r>
        <w:r w:rsidR="00304B19" w:rsidRPr="00304B19">
          <w:rPr>
            <w:color w:val="0000FF"/>
            <w:u w:val="single"/>
            <w:rtl/>
          </w:rPr>
          <w:t>"</w:t>
        </w:r>
        <w:r w:rsidR="00304B19" w:rsidRPr="00304B19">
          <w:rPr>
            <w:rFonts w:hint="cs"/>
            <w:color w:val="0000FF"/>
            <w:u w:val="single"/>
            <w:rtl/>
          </w:rPr>
          <w:t>פ</w:t>
        </w:r>
        <w:r w:rsidR="00304B19" w:rsidRPr="00304B19">
          <w:rPr>
            <w:color w:val="0000FF"/>
            <w:u w:val="single"/>
            <w:rtl/>
          </w:rPr>
          <w:t xml:space="preserve"> 8721/04</w:t>
        </w:r>
      </w:hyperlink>
      <w:r>
        <w:rPr>
          <w:rtl/>
        </w:rPr>
        <w:t xml:space="preserve"> </w:t>
      </w:r>
      <w:r>
        <w:rPr>
          <w:b/>
          <w:bCs/>
          <w:rtl/>
        </w:rPr>
        <w:t>אוחנה נ' מדינת ישראל</w:t>
      </w:r>
      <w:r>
        <w:rPr>
          <w:rtl/>
        </w:rPr>
        <w:t xml:space="preserve"> (17.6.2007):</w:t>
      </w:r>
    </w:p>
    <w:p w14:paraId="22109305" w14:textId="77777777" w:rsidR="000F77C7" w:rsidRDefault="000F77C7" w:rsidP="000F77C7">
      <w:pPr>
        <w:pStyle w:val="a9"/>
        <w:spacing w:after="0" w:line="360" w:lineRule="auto"/>
        <w:ind w:left="-58"/>
        <w:rPr>
          <w:rtl/>
        </w:rPr>
      </w:pPr>
    </w:p>
    <w:p w14:paraId="70E4EEAC" w14:textId="77777777" w:rsidR="000F77C7" w:rsidRDefault="000F77C7" w:rsidP="000F77C7">
      <w:pPr>
        <w:pStyle w:val="a9"/>
        <w:spacing w:after="0" w:line="360" w:lineRule="auto"/>
        <w:ind w:left="567"/>
        <w:rPr>
          <w:rFonts w:ascii="David" w:hAnsi="David"/>
          <w:color w:val="000000"/>
          <w:sz w:val="24"/>
          <w:rtl/>
        </w:rPr>
      </w:pPr>
      <w:r>
        <w:rPr>
          <w:rtl/>
        </w:rPr>
        <w:t>"</w:t>
      </w:r>
      <w:r>
        <w:rPr>
          <w:b/>
          <w:bCs/>
          <w:rtl/>
        </w:rPr>
        <w:t>תכליתן המרכזית של נורמות אלה, והאיסור על שיבוש מהלכי משפט בכלל זה</w:t>
      </w:r>
      <w:r>
        <w:rPr>
          <w:rFonts w:hint="cs"/>
          <w:b/>
          <w:bCs/>
          <w:rtl/>
        </w:rPr>
        <w:t xml:space="preserve"> -</w:t>
      </w:r>
      <w:r>
        <w:rPr>
          <w:b/>
          <w:bCs/>
          <w:rtl/>
        </w:rPr>
        <w:t xml:space="preserve"> ה</w:t>
      </w:r>
      <w:r>
        <w:rPr>
          <w:rFonts w:hint="cs"/>
          <w:b/>
          <w:bCs/>
          <w:rtl/>
        </w:rPr>
        <w:t>י</w:t>
      </w:r>
      <w:r>
        <w:rPr>
          <w:b/>
          <w:bCs/>
          <w:rtl/>
        </w:rPr>
        <w:t>נה להגן על טוהר ההליך השיפוטי ועל תקינותם של ההליכים המשפטיים</w:t>
      </w:r>
      <w:r>
        <w:rPr>
          <w:rFonts w:hint="cs"/>
          <w:b/>
          <w:bCs/>
          <w:rtl/>
        </w:rPr>
        <w:t>,</w:t>
      </w:r>
      <w:r>
        <w:rPr>
          <w:b/>
          <w:bCs/>
          <w:rtl/>
        </w:rPr>
        <w:t xml:space="preserve"> </w:t>
      </w:r>
      <w:r>
        <w:rPr>
          <w:rFonts w:hint="cs"/>
          <w:b/>
          <w:bCs/>
          <w:rtl/>
        </w:rPr>
        <w:t>ו</w:t>
      </w:r>
      <w:r>
        <w:rPr>
          <w:b/>
          <w:bCs/>
          <w:rtl/>
        </w:rPr>
        <w:t>להבטיח קיומה של מערכת תקינה של עשיית משפט צדק, הראויה לאמון הציבור</w:t>
      </w:r>
      <w:r>
        <w:rPr>
          <w:rtl/>
        </w:rPr>
        <w:t>".</w:t>
      </w:r>
    </w:p>
    <w:p w14:paraId="19A51DBE" w14:textId="77777777" w:rsidR="000F77C7" w:rsidRDefault="000F77C7" w:rsidP="000F77C7">
      <w:pPr>
        <w:spacing w:line="360" w:lineRule="auto"/>
        <w:ind w:left="567" w:hanging="567"/>
        <w:jc w:val="both"/>
        <w:rPr>
          <w:rtl/>
        </w:rPr>
      </w:pPr>
    </w:p>
    <w:p w14:paraId="6E72D32B" w14:textId="77777777" w:rsidR="000F77C7" w:rsidRDefault="000F77C7" w:rsidP="000F77C7">
      <w:pPr>
        <w:spacing w:line="360" w:lineRule="auto"/>
        <w:ind w:left="567" w:hanging="567"/>
        <w:jc w:val="both"/>
        <w:rPr>
          <w:rtl/>
        </w:rPr>
      </w:pPr>
      <w:r>
        <w:rPr>
          <w:rFonts w:hint="cs"/>
          <w:rtl/>
        </w:rPr>
        <w:t>8.</w:t>
      </w:r>
      <w:r>
        <w:rPr>
          <w:rFonts w:hint="cs"/>
          <w:rtl/>
        </w:rPr>
        <w:tab/>
        <w:t xml:space="preserve">בבואי לבחון את עוצמת הפגיעה בערכים המוגנים המושפעת, במישרין, מהנסיבות הקשורות בביצוע העבירה, ראיתי ליתן משקל לשתי קבוצות נתונים, אשר בראשונה יש כדי להעצים את הפגיעה בערכים המוגנים, ובשנייה יש כדי למתנה. </w:t>
      </w:r>
    </w:p>
    <w:p w14:paraId="461C0DF5" w14:textId="77777777" w:rsidR="000F77C7" w:rsidRDefault="000F77C7" w:rsidP="000F77C7">
      <w:pPr>
        <w:spacing w:line="360" w:lineRule="auto"/>
        <w:ind w:left="567" w:hanging="567"/>
        <w:jc w:val="both"/>
        <w:rPr>
          <w:rtl/>
        </w:rPr>
      </w:pPr>
    </w:p>
    <w:p w14:paraId="3D505B3A" w14:textId="77777777" w:rsidR="000F77C7" w:rsidRDefault="000F77C7" w:rsidP="000F77C7">
      <w:pPr>
        <w:spacing w:line="360" w:lineRule="auto"/>
        <w:ind w:left="567" w:hanging="567"/>
        <w:jc w:val="both"/>
        <w:rPr>
          <w:rtl/>
        </w:rPr>
      </w:pPr>
      <w:r>
        <w:rPr>
          <w:rtl/>
        </w:rPr>
        <w:tab/>
      </w:r>
      <w:r w:rsidRPr="003C31C5">
        <w:rPr>
          <w:rFonts w:hint="cs"/>
          <w:b/>
          <w:bCs/>
          <w:rtl/>
        </w:rPr>
        <w:t>בקבוצת הנסיבות המעצימה את הפגיעה בערכים המוגנים</w:t>
      </w:r>
      <w:r>
        <w:rPr>
          <w:rFonts w:hint="cs"/>
          <w:rtl/>
        </w:rPr>
        <w:t>, ראיתי להתייחס לנתונים הבאים:</w:t>
      </w:r>
    </w:p>
    <w:p w14:paraId="4EC89723" w14:textId="77777777" w:rsidR="000F77C7" w:rsidRDefault="000F77C7" w:rsidP="000F77C7">
      <w:pPr>
        <w:spacing w:line="360" w:lineRule="auto"/>
        <w:ind w:left="567" w:hanging="567"/>
        <w:jc w:val="both"/>
        <w:rPr>
          <w:rtl/>
        </w:rPr>
      </w:pPr>
    </w:p>
    <w:p w14:paraId="005AF61B" w14:textId="77777777" w:rsidR="000F77C7" w:rsidRDefault="000F77C7" w:rsidP="000F77C7">
      <w:pPr>
        <w:spacing w:line="360" w:lineRule="auto"/>
        <w:ind w:left="567" w:hanging="567"/>
        <w:jc w:val="both"/>
        <w:rPr>
          <w:rtl/>
        </w:rPr>
      </w:pPr>
      <w:r w:rsidRPr="003C31C5">
        <w:rPr>
          <w:b/>
          <w:bCs/>
          <w:rtl/>
        </w:rPr>
        <w:tab/>
      </w:r>
      <w:r w:rsidRPr="003C31C5">
        <w:rPr>
          <w:rFonts w:hint="cs"/>
          <w:b/>
          <w:bCs/>
          <w:rtl/>
        </w:rPr>
        <w:t>ראשית</w:t>
      </w:r>
      <w:r>
        <w:rPr>
          <w:rFonts w:hint="cs"/>
          <w:rtl/>
        </w:rPr>
        <w:t xml:space="preserve">, הפגיעה ברוכב האופנוע התרחשה אגב עבירת תעבורה חמורה של כניסה לצומת באור אדום. </w:t>
      </w:r>
    </w:p>
    <w:p w14:paraId="3CA01BDC" w14:textId="77777777" w:rsidR="000F77C7" w:rsidRDefault="000F77C7" w:rsidP="000F77C7">
      <w:pPr>
        <w:spacing w:line="360" w:lineRule="auto"/>
        <w:ind w:left="567" w:hanging="567"/>
        <w:jc w:val="both"/>
        <w:rPr>
          <w:rtl/>
        </w:rPr>
      </w:pPr>
    </w:p>
    <w:p w14:paraId="6559ADA6" w14:textId="77777777" w:rsidR="000F77C7" w:rsidRDefault="000F77C7" w:rsidP="000F77C7">
      <w:pPr>
        <w:spacing w:line="360" w:lineRule="auto"/>
        <w:ind w:left="567" w:hanging="567"/>
        <w:jc w:val="both"/>
        <w:rPr>
          <w:rtl/>
        </w:rPr>
      </w:pPr>
      <w:r w:rsidRPr="003C31C5">
        <w:rPr>
          <w:rFonts w:hint="cs"/>
          <w:b/>
          <w:bCs/>
          <w:rtl/>
        </w:rPr>
        <w:tab/>
        <w:t>שנית</w:t>
      </w:r>
      <w:r>
        <w:rPr>
          <w:rFonts w:hint="cs"/>
          <w:rtl/>
        </w:rPr>
        <w:t xml:space="preserve">, בניגוד לתאונת דרכים בין שתי מכוניות, בה לעיתים יש קושי לעמוד על עוצמת הפגיעה במעורבים השונים, הרי במקרה דנן, מדובר בפגיעה של רכב ברוכב אופנוע שהוטח לכביש, ומכאן החומרה היתרה הנעוצה בהפקרתו. </w:t>
      </w:r>
    </w:p>
    <w:p w14:paraId="3C67A2A8" w14:textId="77777777" w:rsidR="000F77C7" w:rsidRDefault="000F77C7" w:rsidP="000F77C7">
      <w:pPr>
        <w:spacing w:line="360" w:lineRule="auto"/>
        <w:ind w:left="567" w:hanging="567"/>
        <w:jc w:val="both"/>
        <w:rPr>
          <w:rtl/>
        </w:rPr>
      </w:pPr>
    </w:p>
    <w:p w14:paraId="6ED7C957" w14:textId="77777777" w:rsidR="000F77C7" w:rsidRDefault="000F77C7" w:rsidP="000F77C7">
      <w:pPr>
        <w:spacing w:line="360" w:lineRule="auto"/>
        <w:ind w:left="567" w:hanging="567"/>
        <w:jc w:val="both"/>
        <w:rPr>
          <w:rtl/>
        </w:rPr>
      </w:pPr>
      <w:r w:rsidRPr="001554D4">
        <w:rPr>
          <w:b/>
          <w:bCs/>
          <w:rtl/>
        </w:rPr>
        <w:tab/>
      </w:r>
      <w:r w:rsidRPr="001554D4">
        <w:rPr>
          <w:rFonts w:hint="cs"/>
          <w:b/>
          <w:bCs/>
          <w:rtl/>
        </w:rPr>
        <w:t>שלישית</w:t>
      </w:r>
      <w:r>
        <w:rPr>
          <w:rFonts w:hint="cs"/>
          <w:rtl/>
        </w:rPr>
        <w:t>, יש ליתן משקל לטיב הפגיעות במתלונן, ובענייננו - לחבלות אותן ספג, ובצורך בניתוח לצורך הכנסת נקז לבית החזה לשם ניקוז האוויר.</w:t>
      </w:r>
    </w:p>
    <w:p w14:paraId="6754054A" w14:textId="77777777" w:rsidR="000F77C7" w:rsidRDefault="000F77C7" w:rsidP="000F77C7">
      <w:pPr>
        <w:spacing w:line="360" w:lineRule="auto"/>
        <w:ind w:left="567" w:hanging="567"/>
        <w:jc w:val="both"/>
        <w:rPr>
          <w:rtl/>
        </w:rPr>
      </w:pPr>
    </w:p>
    <w:p w14:paraId="1D5BDD4C" w14:textId="77777777" w:rsidR="000F77C7" w:rsidRDefault="000F77C7" w:rsidP="000F77C7">
      <w:pPr>
        <w:spacing w:line="360" w:lineRule="auto"/>
        <w:ind w:left="567" w:hanging="567"/>
        <w:jc w:val="both"/>
        <w:rPr>
          <w:rtl/>
        </w:rPr>
      </w:pPr>
      <w:r w:rsidRPr="003C31C5">
        <w:rPr>
          <w:b/>
          <w:bCs/>
          <w:rtl/>
        </w:rPr>
        <w:tab/>
      </w:r>
      <w:r>
        <w:rPr>
          <w:rFonts w:hint="cs"/>
          <w:b/>
          <w:bCs/>
          <w:rtl/>
        </w:rPr>
        <w:t>רביעית</w:t>
      </w:r>
      <w:r>
        <w:rPr>
          <w:rFonts w:hint="cs"/>
          <w:rtl/>
        </w:rPr>
        <w:t xml:space="preserve">, התנהלותו העבריינית של הנאשם לא התמצתה אך בהימלטות מן המקום (ובאופן זה - בשיבוש הליך החקירה) אלא בהסתרת רכבו בעיר אחרת, בקצה רחוב ללא מוצא. </w:t>
      </w:r>
    </w:p>
    <w:p w14:paraId="68457849" w14:textId="77777777" w:rsidR="000F77C7" w:rsidRDefault="000F77C7" w:rsidP="000F77C7">
      <w:pPr>
        <w:spacing w:line="360" w:lineRule="auto"/>
        <w:ind w:left="567" w:hanging="567"/>
        <w:jc w:val="both"/>
        <w:rPr>
          <w:rtl/>
        </w:rPr>
      </w:pPr>
    </w:p>
    <w:p w14:paraId="4C2473E4" w14:textId="77777777" w:rsidR="000F77C7" w:rsidRDefault="000F77C7" w:rsidP="000F77C7">
      <w:pPr>
        <w:spacing w:line="360" w:lineRule="auto"/>
        <w:ind w:left="567" w:hanging="567"/>
        <w:jc w:val="both"/>
        <w:rPr>
          <w:rtl/>
        </w:rPr>
      </w:pPr>
      <w:r>
        <w:rPr>
          <w:rtl/>
        </w:rPr>
        <w:tab/>
      </w:r>
      <w:r w:rsidRPr="003C31C5">
        <w:rPr>
          <w:rFonts w:hint="cs"/>
          <w:b/>
          <w:bCs/>
          <w:rtl/>
        </w:rPr>
        <w:t>בקבוצת הנסיבות הממתנת את הפגיעה בערכים המוגנים</w:t>
      </w:r>
      <w:r>
        <w:rPr>
          <w:rFonts w:hint="cs"/>
          <w:rtl/>
        </w:rPr>
        <w:t>, ראיתי להתייחס לנתונים הבאים:</w:t>
      </w:r>
    </w:p>
    <w:p w14:paraId="2D7ED6D5" w14:textId="77777777" w:rsidR="000F77C7" w:rsidRDefault="000F77C7" w:rsidP="000F77C7">
      <w:pPr>
        <w:spacing w:line="360" w:lineRule="auto"/>
        <w:ind w:left="567" w:hanging="567"/>
        <w:jc w:val="both"/>
        <w:rPr>
          <w:rtl/>
        </w:rPr>
      </w:pPr>
    </w:p>
    <w:p w14:paraId="76047D85" w14:textId="77777777" w:rsidR="000F77C7" w:rsidRDefault="000F77C7" w:rsidP="000F77C7">
      <w:pPr>
        <w:spacing w:line="360" w:lineRule="auto"/>
        <w:ind w:left="567" w:hanging="567"/>
        <w:jc w:val="both"/>
        <w:rPr>
          <w:rtl/>
        </w:rPr>
      </w:pPr>
      <w:r w:rsidRPr="005F0B32">
        <w:rPr>
          <w:b/>
          <w:bCs/>
          <w:rtl/>
        </w:rPr>
        <w:tab/>
      </w:r>
      <w:r w:rsidRPr="005F0B32">
        <w:rPr>
          <w:rFonts w:hint="cs"/>
          <w:b/>
          <w:bCs/>
          <w:rtl/>
        </w:rPr>
        <w:t>ראשית</w:t>
      </w:r>
      <w:r>
        <w:rPr>
          <w:rFonts w:hint="cs"/>
          <w:rtl/>
        </w:rPr>
        <w:t xml:space="preserve">, כניסתו של הנאשם לצומת הייתה לאחר המתנה "רגילה" באור האדום, כך שעל פני הדברים, נראה כי מדובר בטעות ולא בסיטואציה בה אדם מתקרב לצומת במהירות ומנסה "לגנוב" את הרמזור. </w:t>
      </w:r>
    </w:p>
    <w:p w14:paraId="255056D9" w14:textId="77777777" w:rsidR="000F77C7" w:rsidRDefault="000F77C7" w:rsidP="000F77C7">
      <w:pPr>
        <w:spacing w:line="360" w:lineRule="auto"/>
        <w:ind w:left="567" w:hanging="567"/>
        <w:jc w:val="both"/>
        <w:rPr>
          <w:rtl/>
        </w:rPr>
      </w:pPr>
    </w:p>
    <w:p w14:paraId="16207C4E" w14:textId="77777777" w:rsidR="000F77C7" w:rsidRDefault="000F77C7" w:rsidP="000F77C7">
      <w:pPr>
        <w:spacing w:line="360" w:lineRule="auto"/>
        <w:ind w:left="567" w:hanging="567"/>
        <w:jc w:val="both"/>
        <w:rPr>
          <w:rtl/>
        </w:rPr>
      </w:pPr>
      <w:r w:rsidRPr="005F0B32">
        <w:rPr>
          <w:b/>
          <w:bCs/>
          <w:rtl/>
        </w:rPr>
        <w:tab/>
      </w:r>
      <w:r w:rsidRPr="005F0B32">
        <w:rPr>
          <w:rFonts w:hint="cs"/>
          <w:b/>
          <w:bCs/>
          <w:rtl/>
        </w:rPr>
        <w:t>שנית</w:t>
      </w:r>
      <w:r>
        <w:rPr>
          <w:rFonts w:hint="cs"/>
          <w:rtl/>
        </w:rPr>
        <w:t xml:space="preserve">, לא נעשו במקרה דנן פעולות על-מנת להסוות או לטשטש את זהות הרכב, ופעולת השיבוש התמצתה בהסתרתו. </w:t>
      </w:r>
    </w:p>
    <w:p w14:paraId="774D7C06" w14:textId="77777777" w:rsidR="000F77C7" w:rsidRDefault="000F77C7" w:rsidP="000F77C7">
      <w:pPr>
        <w:spacing w:line="360" w:lineRule="auto"/>
        <w:ind w:left="567" w:hanging="567"/>
        <w:jc w:val="both"/>
        <w:rPr>
          <w:rtl/>
        </w:rPr>
      </w:pPr>
    </w:p>
    <w:p w14:paraId="729BDB27" w14:textId="77777777" w:rsidR="000F77C7" w:rsidRDefault="000F77C7" w:rsidP="000F77C7">
      <w:pPr>
        <w:spacing w:line="360" w:lineRule="auto"/>
        <w:ind w:left="567" w:hanging="567"/>
        <w:jc w:val="both"/>
        <w:rPr>
          <w:rtl/>
        </w:rPr>
      </w:pPr>
      <w:r w:rsidRPr="004C24CC">
        <w:rPr>
          <w:b/>
          <w:bCs/>
          <w:rtl/>
        </w:rPr>
        <w:tab/>
      </w:r>
      <w:r w:rsidRPr="004C24CC">
        <w:rPr>
          <w:rFonts w:hint="cs"/>
          <w:b/>
          <w:bCs/>
          <w:rtl/>
        </w:rPr>
        <w:t>שלישית</w:t>
      </w:r>
      <w:r>
        <w:rPr>
          <w:rFonts w:hint="cs"/>
          <w:rtl/>
        </w:rPr>
        <w:t>, הנאשם הסגיר עצמו למשטרה מספר שעות לאחר האירוע, ועוד טרם יצרה עימו המשטרה קשר.</w:t>
      </w:r>
    </w:p>
    <w:p w14:paraId="60335370" w14:textId="77777777" w:rsidR="000F77C7" w:rsidRDefault="000F77C7" w:rsidP="000F77C7">
      <w:pPr>
        <w:spacing w:line="360" w:lineRule="auto"/>
        <w:ind w:left="567" w:hanging="567"/>
        <w:jc w:val="both"/>
        <w:rPr>
          <w:rtl/>
        </w:rPr>
      </w:pPr>
      <w:r>
        <w:rPr>
          <w:rFonts w:hint="cs"/>
          <w:rtl/>
        </w:rPr>
        <w:t xml:space="preserve"> </w:t>
      </w:r>
    </w:p>
    <w:p w14:paraId="2C14DBA9" w14:textId="77777777" w:rsidR="000F77C7" w:rsidRDefault="000F77C7" w:rsidP="000F77C7">
      <w:pPr>
        <w:spacing w:line="360" w:lineRule="auto"/>
        <w:ind w:left="567"/>
        <w:jc w:val="both"/>
        <w:rPr>
          <w:rtl/>
        </w:rPr>
      </w:pPr>
      <w:r>
        <w:rPr>
          <w:rFonts w:hint="cs"/>
          <w:rtl/>
        </w:rPr>
        <w:t>לטעמי, מדובר בנתון משמעותי הממתן את הפגיעה בערכים המוגנים. אין בכך כמובן כדי לאפשר לנאשם לחסות תחת הפטור הקבוע ב</w:t>
      </w:r>
      <w:hyperlink r:id="rId27" w:history="1">
        <w:r w:rsidR="00304B19" w:rsidRPr="00304B19">
          <w:rPr>
            <w:color w:val="0000FF"/>
            <w:u w:val="single"/>
            <w:rtl/>
          </w:rPr>
          <w:t>חוק העונשין</w:t>
        </w:r>
      </w:hyperlink>
      <w:r>
        <w:rPr>
          <w:rFonts w:hint="cs"/>
          <w:rtl/>
        </w:rPr>
        <w:t xml:space="preserve">, אולם ברור כי קיימת הבחנה משמעותית בין נאשם הנמלט מזירת תאונה, מסתיר ומטשטש את זהות רכבו ונתפס רק לאחר חקירת משטרה מאומצת לבין נאשם הנמלט מזירת תאונה, מסתיר את רכבו, אך מספר שעות מאוחר יותר מתעשת, מתייצב בתחנת המשטרה ומקבל אחריות על מעשיו.  </w:t>
      </w:r>
    </w:p>
    <w:p w14:paraId="373BB26B" w14:textId="77777777" w:rsidR="000F77C7" w:rsidRDefault="000F77C7" w:rsidP="000F77C7">
      <w:pPr>
        <w:spacing w:line="360" w:lineRule="auto"/>
        <w:ind w:left="567" w:hanging="567"/>
        <w:jc w:val="both"/>
        <w:rPr>
          <w:rtl/>
        </w:rPr>
      </w:pPr>
    </w:p>
    <w:p w14:paraId="08388C6A" w14:textId="77777777" w:rsidR="000F77C7" w:rsidRDefault="000F77C7" w:rsidP="000F77C7">
      <w:pPr>
        <w:spacing w:line="360" w:lineRule="auto"/>
        <w:ind w:left="567" w:hanging="567"/>
        <w:jc w:val="both"/>
        <w:rPr>
          <w:sz w:val="22"/>
        </w:rPr>
      </w:pPr>
      <w:r>
        <w:rPr>
          <w:rFonts w:hint="cs"/>
          <w:rtl/>
        </w:rPr>
        <w:t>9.</w:t>
      </w:r>
      <w:r>
        <w:rPr>
          <w:rFonts w:hint="cs"/>
          <w:rtl/>
        </w:rPr>
        <w:tab/>
      </w:r>
      <w:r>
        <w:rPr>
          <w:rtl/>
        </w:rPr>
        <w:t>סקירת מדיניות הענישה הנוהגת מלמדת, כי קיימת קשת רחבה של מקרים הנבדלים זה מזה בנסיבותיהם ובמדרג חומרתם, ובהקשר זה מצאתי להפנות לפסקי הדין הבאים:</w:t>
      </w:r>
    </w:p>
    <w:p w14:paraId="7C6F744E" w14:textId="77777777" w:rsidR="000F77C7" w:rsidRDefault="000F77C7" w:rsidP="000F77C7">
      <w:pPr>
        <w:pStyle w:val="a9"/>
        <w:spacing w:after="0" w:line="360" w:lineRule="auto"/>
        <w:ind w:left="-58"/>
        <w:rPr>
          <w:rFonts w:ascii="David" w:hAnsi="David"/>
          <w:sz w:val="24"/>
        </w:rPr>
      </w:pPr>
    </w:p>
    <w:p w14:paraId="5ACDBE35" w14:textId="77777777" w:rsidR="000F77C7" w:rsidRDefault="00304B19" w:rsidP="000F77C7">
      <w:pPr>
        <w:pStyle w:val="a9"/>
        <w:spacing w:after="0" w:line="360" w:lineRule="auto"/>
        <w:ind w:left="567"/>
        <w:rPr>
          <w:rFonts w:ascii="David" w:hAnsi="David"/>
          <w:sz w:val="24"/>
        </w:rPr>
      </w:pPr>
      <w:hyperlink r:id="rId28" w:history="1">
        <w:r w:rsidRPr="00304B19">
          <w:rPr>
            <w:rFonts w:ascii="David" w:hAnsi="David"/>
            <w:color w:val="0000FF"/>
            <w:sz w:val="24"/>
            <w:u w:val="single"/>
            <w:rtl/>
          </w:rPr>
          <w:t>ע"פ 335/18</w:t>
        </w:r>
      </w:hyperlink>
      <w:r w:rsidR="000F77C7">
        <w:rPr>
          <w:rFonts w:ascii="David" w:hAnsi="David"/>
          <w:sz w:val="24"/>
          <w:rtl/>
        </w:rPr>
        <w:t xml:space="preserve"> </w:t>
      </w:r>
      <w:r w:rsidR="000F77C7">
        <w:rPr>
          <w:rFonts w:ascii="David" w:hAnsi="David"/>
          <w:b/>
          <w:bCs/>
          <w:sz w:val="24"/>
          <w:rtl/>
        </w:rPr>
        <w:t>פלוני נ' מדינת ישראל</w:t>
      </w:r>
      <w:r w:rsidR="000F77C7">
        <w:rPr>
          <w:rFonts w:ascii="David" w:hAnsi="David"/>
          <w:sz w:val="24"/>
          <w:rtl/>
        </w:rPr>
        <w:t xml:space="preserve"> (22.4.2018) - המערער הורשע על יסוד הודאתו במסגרת הסדר טיעון בעבירות הפקרה לאחר פגיעה ונהיגה בזמן פסילה, בכך שפגע עם חזית רכבו בקטין, אשר חצה את הכביש מימין לשמאל לפני רכב חונה, ונמלט מן המקום מבלי להזעיק עזרה. כתוצאה מהתאונה נגרמו לנפגע חבלות ופגיעות שונות. בית המשפט המחוזי קבע </w:t>
      </w:r>
      <w:r w:rsidR="000F77C7">
        <w:rPr>
          <w:rFonts w:ascii="David" w:hAnsi="David"/>
          <w:b/>
          <w:bCs/>
          <w:sz w:val="24"/>
          <w:rtl/>
        </w:rPr>
        <w:t xml:space="preserve">מתחם שנע בין 10 </w:t>
      </w:r>
      <w:r w:rsidR="000F77C7">
        <w:rPr>
          <w:rFonts w:ascii="David" w:hAnsi="David" w:hint="cs"/>
          <w:b/>
          <w:bCs/>
          <w:sz w:val="24"/>
          <w:rtl/>
        </w:rPr>
        <w:t>ל- 40</w:t>
      </w:r>
      <w:r w:rsidR="000F77C7">
        <w:rPr>
          <w:rFonts w:ascii="David" w:hAnsi="David"/>
          <w:b/>
          <w:bCs/>
          <w:sz w:val="24"/>
          <w:rtl/>
        </w:rPr>
        <w:t xml:space="preserve"> חודשי מאסר בפועל</w:t>
      </w:r>
      <w:r w:rsidR="000F77C7">
        <w:rPr>
          <w:rFonts w:ascii="David" w:hAnsi="David"/>
          <w:sz w:val="24"/>
          <w:rtl/>
        </w:rPr>
        <w:t>, והשית על הנאשם 15 חודשי מאסר</w:t>
      </w:r>
      <w:r w:rsidR="000F77C7">
        <w:rPr>
          <w:rFonts w:ascii="David" w:hAnsi="David" w:hint="cs"/>
          <w:sz w:val="24"/>
          <w:rtl/>
        </w:rPr>
        <w:t xml:space="preserve"> בפועל</w:t>
      </w:r>
      <w:r w:rsidR="000F77C7">
        <w:rPr>
          <w:rFonts w:ascii="David" w:hAnsi="David"/>
          <w:sz w:val="24"/>
          <w:rtl/>
        </w:rPr>
        <w:t>, לצד עונשים נלווים. בית המשפט העליון קיבל את הערעור על חומרת העונש ו</w:t>
      </w:r>
      <w:r w:rsidR="000F77C7">
        <w:rPr>
          <w:rtl/>
        </w:rPr>
        <w:t xml:space="preserve">קבע, כי </w:t>
      </w:r>
      <w:r w:rsidR="000F77C7">
        <w:rPr>
          <w:rFonts w:ascii="David" w:hAnsi="David"/>
          <w:sz w:val="24"/>
          <w:rtl/>
        </w:rPr>
        <w:t xml:space="preserve">נסיבותיו האישיות החריגות והקשות של המערער מצדיקות התחשבות והקלה בעונשו, </w:t>
      </w:r>
      <w:r w:rsidR="000F77C7" w:rsidRPr="00D53B03">
        <w:rPr>
          <w:rFonts w:ascii="David" w:hAnsi="David"/>
          <w:b/>
          <w:bCs/>
          <w:sz w:val="24"/>
          <w:rtl/>
        </w:rPr>
        <w:t>ומשכך העמיד את עונשו של המערער על 10 חודשי מאסר בפועל</w:t>
      </w:r>
      <w:r w:rsidR="000F77C7">
        <w:rPr>
          <w:rFonts w:ascii="David" w:hAnsi="David"/>
          <w:sz w:val="24"/>
          <w:rtl/>
        </w:rPr>
        <w:t>.</w:t>
      </w:r>
    </w:p>
    <w:p w14:paraId="2206EA6C" w14:textId="77777777" w:rsidR="000F77C7" w:rsidRDefault="000F77C7" w:rsidP="000F77C7">
      <w:pPr>
        <w:pStyle w:val="a9"/>
        <w:spacing w:after="0" w:line="360" w:lineRule="auto"/>
        <w:ind w:left="567"/>
        <w:rPr>
          <w:rFonts w:ascii="David" w:hAnsi="David"/>
          <w:sz w:val="24"/>
          <w:rtl/>
        </w:rPr>
      </w:pPr>
    </w:p>
    <w:p w14:paraId="7E5BEBAD" w14:textId="77777777" w:rsidR="000F77C7" w:rsidRDefault="00304B19" w:rsidP="000F77C7">
      <w:pPr>
        <w:pStyle w:val="a9"/>
        <w:spacing w:after="0" w:line="360" w:lineRule="auto"/>
        <w:ind w:left="567"/>
        <w:rPr>
          <w:rFonts w:ascii="David" w:hAnsi="David"/>
          <w:color w:val="000000"/>
          <w:sz w:val="24"/>
          <w:rtl/>
        </w:rPr>
      </w:pPr>
      <w:hyperlink r:id="rId29" w:history="1">
        <w:r w:rsidRPr="00304B19">
          <w:rPr>
            <w:rFonts w:ascii="David" w:hAnsi="David"/>
            <w:color w:val="0000FF"/>
            <w:sz w:val="24"/>
            <w:u w:val="single"/>
            <w:rtl/>
          </w:rPr>
          <w:t>ע"פ 3258/16</w:t>
        </w:r>
      </w:hyperlink>
      <w:r w:rsidR="000F77C7">
        <w:rPr>
          <w:rFonts w:ascii="David" w:hAnsi="David"/>
          <w:b/>
          <w:bCs/>
          <w:color w:val="000000"/>
          <w:sz w:val="24"/>
          <w:rtl/>
        </w:rPr>
        <w:t xml:space="preserve"> וולקוב נ' מדינת ישראל</w:t>
      </w:r>
      <w:r>
        <w:rPr>
          <w:rFonts w:ascii="David" w:hAnsi="David"/>
          <w:color w:val="000000"/>
          <w:sz w:val="24"/>
          <w:rtl/>
        </w:rPr>
        <w:t xml:space="preserve"> </w:t>
      </w:r>
      <w:r w:rsidR="000F77C7">
        <w:rPr>
          <w:rFonts w:ascii="David" w:hAnsi="David"/>
          <w:color w:val="000000"/>
          <w:sz w:val="24"/>
          <w:rtl/>
        </w:rPr>
        <w:t xml:space="preserve">(22.1.2017) - המערער הורשע, לאחר ניהול הוכחות, בעבירה של הפקרה לאחר פגיעה, בכך שפגע עם משאיתו ברוכב אופניים ונמלט מהמקום. כתוצאה מהתאונה נגרמו לנפגע חבלות קשות. בית המשפט המחוזי קבע </w:t>
      </w:r>
      <w:r w:rsidR="000F77C7">
        <w:rPr>
          <w:rFonts w:ascii="David" w:hAnsi="David"/>
          <w:b/>
          <w:bCs/>
          <w:color w:val="000000"/>
          <w:sz w:val="24"/>
          <w:rtl/>
        </w:rPr>
        <w:t>מתחם שנע בין 12 ל- 48 חודשי מאסר בפועל</w:t>
      </w:r>
      <w:r w:rsidR="000F77C7">
        <w:rPr>
          <w:rFonts w:ascii="David" w:hAnsi="David"/>
          <w:color w:val="000000"/>
          <w:sz w:val="24"/>
          <w:rtl/>
        </w:rPr>
        <w:t>, והשית על הנאשם 15 חודשי מאסר בפועל, לצד עונשים נלווים. בית המשפט העליון דחה את הערעור על חומרת העונש.</w:t>
      </w:r>
    </w:p>
    <w:p w14:paraId="276D3FC3" w14:textId="77777777" w:rsidR="000F77C7" w:rsidRDefault="000F77C7" w:rsidP="000F77C7">
      <w:pPr>
        <w:pStyle w:val="a9"/>
        <w:spacing w:after="0" w:line="360" w:lineRule="auto"/>
        <w:ind w:left="567"/>
        <w:rPr>
          <w:rFonts w:ascii="David" w:hAnsi="David"/>
          <w:color w:val="000000"/>
          <w:sz w:val="24"/>
          <w:rtl/>
        </w:rPr>
      </w:pPr>
    </w:p>
    <w:p w14:paraId="2533F5AE" w14:textId="77777777" w:rsidR="000F77C7" w:rsidRDefault="000F77C7" w:rsidP="000F77C7">
      <w:pPr>
        <w:pStyle w:val="a9"/>
        <w:spacing w:after="0" w:line="360" w:lineRule="auto"/>
        <w:ind w:left="567"/>
        <w:rPr>
          <w:rFonts w:ascii="David" w:hAnsi="David"/>
          <w:color w:val="000000"/>
          <w:sz w:val="24"/>
          <w:rtl/>
        </w:rPr>
      </w:pPr>
      <w:r>
        <w:rPr>
          <w:rFonts w:ascii="David" w:hAnsi="David" w:hint="cs"/>
          <w:color w:val="000000"/>
          <w:sz w:val="24"/>
          <w:rtl/>
        </w:rPr>
        <w:t xml:space="preserve">מקרה זה חמור מענייננו, וזאת בהינתן העובדה כי הנאשם באותו מקרה נהג במשאית ופגע ברוכב אופניים, אך בעיקר נוכח הפער בין עוצמת החבלות. </w:t>
      </w:r>
    </w:p>
    <w:p w14:paraId="5564E5E2" w14:textId="77777777" w:rsidR="000F77C7" w:rsidRDefault="000F77C7" w:rsidP="000F77C7">
      <w:pPr>
        <w:pStyle w:val="a9"/>
        <w:spacing w:after="0" w:line="360" w:lineRule="auto"/>
        <w:ind w:left="567"/>
        <w:rPr>
          <w:rFonts w:ascii="David" w:hAnsi="David"/>
          <w:color w:val="000000"/>
          <w:sz w:val="24"/>
          <w:rtl/>
        </w:rPr>
      </w:pPr>
    </w:p>
    <w:p w14:paraId="1AD3E87E" w14:textId="77777777" w:rsidR="000F77C7" w:rsidRDefault="00304B19" w:rsidP="000F77C7">
      <w:pPr>
        <w:pStyle w:val="a9"/>
        <w:spacing w:after="0" w:line="360" w:lineRule="auto"/>
        <w:ind w:left="567"/>
        <w:rPr>
          <w:rFonts w:ascii="David" w:hAnsi="David"/>
          <w:color w:val="000000"/>
          <w:sz w:val="24"/>
          <w:rtl/>
        </w:rPr>
      </w:pPr>
      <w:hyperlink r:id="rId30" w:history="1">
        <w:r w:rsidRPr="00304B19">
          <w:rPr>
            <w:rFonts w:ascii="David" w:hAnsi="David"/>
            <w:color w:val="0000FF"/>
            <w:sz w:val="24"/>
            <w:u w:val="single"/>
            <w:rtl/>
          </w:rPr>
          <w:t>ע"פ 748/15</w:t>
        </w:r>
      </w:hyperlink>
      <w:r>
        <w:rPr>
          <w:rFonts w:ascii="David" w:hAnsi="David"/>
          <w:b/>
          <w:bCs/>
          <w:sz w:val="24"/>
          <w:rtl/>
        </w:rPr>
        <w:t xml:space="preserve"> </w:t>
      </w:r>
      <w:r w:rsidR="000F77C7">
        <w:rPr>
          <w:rFonts w:ascii="David" w:hAnsi="David"/>
          <w:b/>
          <w:bCs/>
          <w:color w:val="000000"/>
          <w:sz w:val="24"/>
          <w:rtl/>
        </w:rPr>
        <w:t>מגור נ' מדינת ישראל</w:t>
      </w:r>
      <w:r>
        <w:rPr>
          <w:rFonts w:ascii="David" w:hAnsi="David"/>
          <w:b/>
          <w:bCs/>
          <w:color w:val="000000"/>
          <w:sz w:val="24"/>
          <w:rtl/>
        </w:rPr>
        <w:t xml:space="preserve"> </w:t>
      </w:r>
      <w:r w:rsidR="000F77C7">
        <w:rPr>
          <w:rFonts w:ascii="David" w:hAnsi="David"/>
          <w:color w:val="000000"/>
          <w:sz w:val="24"/>
          <w:rtl/>
        </w:rPr>
        <w:t xml:space="preserve">(4.5.2015) - המערער הורשע על יסוד הודאתו בעבירות של נהיגה בפסילה ובהפקרה לאחר פגיעה, בכך שפגע חזיתית בהולכת רגל בת 85, שבכיוון חצייתה דלק אור אדום ברמזור. המערער המשיך בנסיעה ועזב את המקום בלי להזעיק עזרה. כתוצאה מהתאונה נגרמו לנפגעת חבלות חמורות. בית המשפט המחוזי קבע </w:t>
      </w:r>
      <w:r w:rsidR="000F77C7">
        <w:rPr>
          <w:rFonts w:ascii="David" w:hAnsi="David"/>
          <w:b/>
          <w:bCs/>
          <w:color w:val="000000"/>
          <w:sz w:val="24"/>
          <w:rtl/>
        </w:rPr>
        <w:t>מתחם שנע בין 10 ל- 30 חודשי מאסר בפועל</w:t>
      </w:r>
      <w:r w:rsidR="000F77C7">
        <w:rPr>
          <w:rFonts w:ascii="David" w:hAnsi="David"/>
          <w:color w:val="000000"/>
          <w:sz w:val="24"/>
          <w:rtl/>
        </w:rPr>
        <w:t>, והשית על הנאשם 13 חודשי מאסר בפועל, לצד עונשים נלווים. בית המשפט העליון דחה את ערעורו על חומרת העונש.</w:t>
      </w:r>
      <w:r w:rsidR="000F77C7">
        <w:rPr>
          <w:rFonts w:ascii="David" w:hAnsi="David" w:hint="cs"/>
          <w:color w:val="000000"/>
          <w:sz w:val="24"/>
          <w:rtl/>
        </w:rPr>
        <w:t xml:space="preserve"> </w:t>
      </w:r>
    </w:p>
    <w:p w14:paraId="4E8AF7FF" w14:textId="77777777" w:rsidR="000F77C7" w:rsidRDefault="000F77C7" w:rsidP="000F77C7">
      <w:pPr>
        <w:pStyle w:val="a9"/>
        <w:spacing w:after="0" w:line="360" w:lineRule="auto"/>
        <w:ind w:left="567"/>
        <w:rPr>
          <w:rFonts w:ascii="David" w:hAnsi="David"/>
          <w:color w:val="000000"/>
          <w:sz w:val="24"/>
          <w:rtl/>
        </w:rPr>
      </w:pPr>
    </w:p>
    <w:p w14:paraId="4458E3C1" w14:textId="77777777" w:rsidR="000F77C7" w:rsidRDefault="000F77C7" w:rsidP="000F77C7">
      <w:pPr>
        <w:pStyle w:val="a9"/>
        <w:spacing w:after="0" w:line="360" w:lineRule="auto"/>
        <w:ind w:left="567"/>
        <w:rPr>
          <w:rFonts w:ascii="David" w:hAnsi="David"/>
          <w:color w:val="000000"/>
          <w:sz w:val="24"/>
          <w:rtl/>
        </w:rPr>
      </w:pPr>
      <w:r>
        <w:rPr>
          <w:rFonts w:ascii="David" w:hAnsi="David" w:hint="cs"/>
          <w:color w:val="000000"/>
          <w:sz w:val="24"/>
          <w:rtl/>
        </w:rPr>
        <w:t xml:space="preserve">מקרה זה חמור מענייננו, וזאת בהינתן הפער בין חומרת פציעותיה של הולכת הרגל לבין טיב פציעותיו של המתלונן בענייננו. </w:t>
      </w:r>
    </w:p>
    <w:p w14:paraId="21262F18" w14:textId="77777777" w:rsidR="000F77C7" w:rsidRDefault="000F77C7" w:rsidP="000F77C7">
      <w:pPr>
        <w:pStyle w:val="a9"/>
        <w:spacing w:after="0" w:line="360" w:lineRule="auto"/>
        <w:ind w:left="567"/>
        <w:rPr>
          <w:rFonts w:ascii="David" w:hAnsi="David"/>
          <w:color w:val="000000"/>
          <w:sz w:val="24"/>
          <w:rtl/>
        </w:rPr>
      </w:pPr>
    </w:p>
    <w:p w14:paraId="50E9663D" w14:textId="77777777" w:rsidR="000F77C7" w:rsidRDefault="00304B19" w:rsidP="000F77C7">
      <w:pPr>
        <w:pStyle w:val="a9"/>
        <w:spacing w:after="0" w:line="360" w:lineRule="auto"/>
        <w:ind w:left="567"/>
        <w:rPr>
          <w:rFonts w:ascii="David" w:hAnsi="David"/>
          <w:color w:val="000000"/>
          <w:sz w:val="24"/>
          <w:rtl/>
        </w:rPr>
      </w:pPr>
      <w:hyperlink r:id="rId31" w:history="1">
        <w:r w:rsidRPr="00304B19">
          <w:rPr>
            <w:rFonts w:ascii="David" w:hAnsi="David"/>
            <w:color w:val="0000FF"/>
            <w:sz w:val="24"/>
            <w:u w:val="single"/>
            <w:rtl/>
          </w:rPr>
          <w:t>ע"פ 3754/14</w:t>
        </w:r>
      </w:hyperlink>
      <w:r>
        <w:rPr>
          <w:rFonts w:ascii="David" w:hAnsi="David"/>
          <w:color w:val="000000"/>
          <w:sz w:val="24"/>
          <w:rtl/>
        </w:rPr>
        <w:t xml:space="preserve"> </w:t>
      </w:r>
      <w:r w:rsidR="000F77C7">
        <w:rPr>
          <w:rFonts w:ascii="David" w:hAnsi="David"/>
          <w:b/>
          <w:bCs/>
          <w:color w:val="000000"/>
          <w:sz w:val="24"/>
          <w:rtl/>
        </w:rPr>
        <w:t>גורמזנו נ' מדינת ישראל</w:t>
      </w:r>
      <w:r>
        <w:rPr>
          <w:rFonts w:ascii="David" w:hAnsi="David"/>
          <w:color w:val="000000"/>
          <w:sz w:val="24"/>
          <w:rtl/>
        </w:rPr>
        <w:t xml:space="preserve"> </w:t>
      </w:r>
      <w:r w:rsidR="000F77C7">
        <w:rPr>
          <w:rFonts w:ascii="David" w:hAnsi="David"/>
          <w:color w:val="000000"/>
          <w:sz w:val="24"/>
          <w:rtl/>
        </w:rPr>
        <w:t xml:space="preserve">(11.11.2014) - המערער הורשע על יסוד הודאתו בעבירה של הפקרה לאחר פגיעה, בכך שפגע בהולך רגל שחצה את הכביש, ונכנס לנתיב נסיעתו. מיד לאחר התאונה עצר המערער את רכבו, הבחין בהולך הרגל השרוע פצוע קשה על הכביש ואף על פי כן נמלט בנסיעה מהמקום מבלי להזעיק עזרה. בית המשפט המחוזי קבע </w:t>
      </w:r>
      <w:r w:rsidR="000F77C7">
        <w:rPr>
          <w:rFonts w:ascii="David" w:hAnsi="David"/>
          <w:b/>
          <w:bCs/>
          <w:color w:val="000000"/>
          <w:sz w:val="24"/>
          <w:rtl/>
        </w:rPr>
        <w:t>מתחם שנע בין 18 ל- 60 חודשי מאסר בפועל</w:t>
      </w:r>
      <w:r w:rsidR="000F77C7">
        <w:rPr>
          <w:rFonts w:ascii="David" w:hAnsi="David"/>
          <w:color w:val="000000"/>
          <w:sz w:val="24"/>
          <w:rtl/>
        </w:rPr>
        <w:t xml:space="preserve">, והשית על הנאשם 18 חודשי מאסר בפועל, לצד עונשים נלווים. בית המשפט העליון קיבל את הערעור בחלקו וקבע, כי בית המשפט המחוזי החמיר עם הנאשם בהשוואה למדיניות הענישה בה נקטו בתי המשפט לאחר התיקון במקרים דומים של הפקרה אחרי פגיעה, ולפיכך קבע </w:t>
      </w:r>
      <w:r w:rsidR="000F77C7">
        <w:rPr>
          <w:rFonts w:ascii="David" w:hAnsi="David"/>
          <w:b/>
          <w:bCs/>
          <w:color w:val="000000"/>
          <w:sz w:val="24"/>
          <w:rtl/>
        </w:rPr>
        <w:t>מתחם עונש שנע בין 12 ל- 40 חודשי מאסר בפועל</w:t>
      </w:r>
      <w:r w:rsidR="000F77C7">
        <w:rPr>
          <w:rFonts w:ascii="David" w:hAnsi="David"/>
          <w:color w:val="000000"/>
          <w:sz w:val="24"/>
          <w:rtl/>
        </w:rPr>
        <w:t>, ועונשו של המערער הופחת ל- 14 חודשי מאסר בפועל.</w:t>
      </w:r>
    </w:p>
    <w:p w14:paraId="250406AE" w14:textId="77777777" w:rsidR="000F77C7" w:rsidRDefault="000F77C7" w:rsidP="000F77C7">
      <w:pPr>
        <w:pStyle w:val="a9"/>
        <w:spacing w:after="0" w:line="360" w:lineRule="auto"/>
        <w:ind w:left="567"/>
        <w:rPr>
          <w:rFonts w:ascii="David" w:hAnsi="David"/>
          <w:color w:val="000000"/>
          <w:sz w:val="24"/>
          <w:rtl/>
        </w:rPr>
      </w:pPr>
    </w:p>
    <w:p w14:paraId="268116DB" w14:textId="77777777" w:rsidR="000F77C7" w:rsidRDefault="00304B19" w:rsidP="000F77C7">
      <w:pPr>
        <w:pStyle w:val="a9"/>
        <w:spacing w:after="0" w:line="360" w:lineRule="auto"/>
        <w:ind w:left="567"/>
        <w:rPr>
          <w:rFonts w:ascii="David" w:hAnsi="David"/>
          <w:color w:val="000000"/>
          <w:sz w:val="24"/>
          <w:rtl/>
        </w:rPr>
      </w:pPr>
      <w:hyperlink r:id="rId32" w:history="1">
        <w:r w:rsidRPr="00304B19">
          <w:rPr>
            <w:rFonts w:ascii="David" w:hAnsi="David"/>
            <w:color w:val="0000FF"/>
            <w:sz w:val="24"/>
            <w:u w:val="single"/>
            <w:rtl/>
          </w:rPr>
          <w:t>ע"פ 3304/14</w:t>
        </w:r>
      </w:hyperlink>
      <w:r>
        <w:rPr>
          <w:rFonts w:ascii="David" w:hAnsi="David"/>
          <w:sz w:val="24"/>
          <w:rtl/>
        </w:rPr>
        <w:t xml:space="preserve"> </w:t>
      </w:r>
      <w:r w:rsidR="000F77C7">
        <w:rPr>
          <w:rFonts w:ascii="David" w:hAnsi="David"/>
          <w:b/>
          <w:bCs/>
          <w:sz w:val="24"/>
          <w:rtl/>
        </w:rPr>
        <w:t>פראן נ' מדינת ישראל</w:t>
      </w:r>
      <w:r w:rsidR="000F77C7">
        <w:rPr>
          <w:rFonts w:ascii="David" w:hAnsi="David"/>
          <w:sz w:val="24"/>
          <w:rtl/>
        </w:rPr>
        <w:t xml:space="preserve"> (21.10.2014) </w:t>
      </w:r>
      <w:r w:rsidR="000F77C7">
        <w:rPr>
          <w:rFonts w:ascii="David" w:hAnsi="David" w:hint="cs"/>
          <w:sz w:val="24"/>
          <w:rtl/>
        </w:rPr>
        <w:t>-</w:t>
      </w:r>
      <w:r>
        <w:rPr>
          <w:rFonts w:ascii="David" w:hAnsi="David"/>
          <w:sz w:val="24"/>
          <w:rtl/>
        </w:rPr>
        <w:t xml:space="preserve"> </w:t>
      </w:r>
      <w:r w:rsidR="000F77C7">
        <w:rPr>
          <w:rFonts w:ascii="David" w:hAnsi="David"/>
          <w:sz w:val="24"/>
          <w:rtl/>
        </w:rPr>
        <w:t xml:space="preserve">המערער הורשע על יסוד הודאתו במסגרת הסדר טיעון בעבירת הפקרה אחרי פגיעה ובעבירת נהיגה מעבר למהירות המרבית המותרת, בכך שפגע בשני הולכי רגל ונמלט מהמקום. כתוצאה מהתאונה נגרמו לנפגעים חבלות חמורות. בית המשפט המחוזי קבע </w:t>
      </w:r>
      <w:r w:rsidR="000F77C7">
        <w:rPr>
          <w:rFonts w:ascii="David" w:hAnsi="David"/>
          <w:b/>
          <w:bCs/>
          <w:sz w:val="24"/>
          <w:rtl/>
        </w:rPr>
        <w:t>מתחם שנע בין 15 ל- 40 חודשי מאסר בפועל</w:t>
      </w:r>
      <w:r w:rsidR="000F77C7">
        <w:rPr>
          <w:rFonts w:ascii="David" w:hAnsi="David"/>
          <w:sz w:val="24"/>
          <w:rtl/>
        </w:rPr>
        <w:t xml:space="preserve">, והשית על הנאשם 18 חודשי מאסר בפועל, לצד עונשים נלווים. </w:t>
      </w:r>
      <w:r w:rsidR="000F77C7">
        <w:rPr>
          <w:rFonts w:ascii="David" w:hAnsi="David"/>
          <w:color w:val="000000"/>
          <w:sz w:val="24"/>
          <w:rtl/>
        </w:rPr>
        <w:t xml:space="preserve">בית המשפט העליון דחה את הערעור, אך לעניין העונש קבע </w:t>
      </w:r>
      <w:r w:rsidR="000F77C7">
        <w:rPr>
          <w:rFonts w:ascii="David" w:hAnsi="David"/>
          <w:b/>
          <w:bCs/>
          <w:color w:val="000000"/>
          <w:sz w:val="24"/>
          <w:rtl/>
        </w:rPr>
        <w:t>מתחם עונש שנע בין 10 ל</w:t>
      </w:r>
      <w:r w:rsidR="000F77C7">
        <w:rPr>
          <w:rFonts w:ascii="David" w:hAnsi="David" w:hint="cs"/>
          <w:b/>
          <w:bCs/>
          <w:color w:val="000000"/>
          <w:sz w:val="24"/>
          <w:rtl/>
        </w:rPr>
        <w:t>- 30</w:t>
      </w:r>
      <w:r w:rsidR="000F77C7">
        <w:rPr>
          <w:rFonts w:ascii="David" w:hAnsi="David"/>
          <w:b/>
          <w:bCs/>
          <w:color w:val="000000"/>
          <w:sz w:val="24"/>
          <w:rtl/>
        </w:rPr>
        <w:t xml:space="preserve"> חודשי מאסר בפועל</w:t>
      </w:r>
      <w:r w:rsidR="000F77C7">
        <w:rPr>
          <w:rFonts w:ascii="David" w:hAnsi="David"/>
          <w:b/>
          <w:color w:val="000000"/>
          <w:sz w:val="24"/>
          <w:rtl/>
        </w:rPr>
        <w:t>,</w:t>
      </w:r>
      <w:r w:rsidR="000F77C7">
        <w:rPr>
          <w:rFonts w:ascii="David" w:hAnsi="David"/>
          <w:b/>
          <w:bCs/>
          <w:color w:val="000000"/>
          <w:sz w:val="24"/>
          <w:rtl/>
        </w:rPr>
        <w:t xml:space="preserve"> </w:t>
      </w:r>
      <w:r w:rsidR="000F77C7">
        <w:rPr>
          <w:rFonts w:ascii="David" w:hAnsi="David"/>
          <w:color w:val="000000"/>
          <w:sz w:val="24"/>
          <w:rtl/>
        </w:rPr>
        <w:t xml:space="preserve">ועונשו של המערער הופחת ל־14 חודשי מאסר בפועל. </w:t>
      </w:r>
    </w:p>
    <w:p w14:paraId="41569AA3" w14:textId="77777777" w:rsidR="000F77C7" w:rsidRDefault="000F77C7" w:rsidP="000F77C7">
      <w:pPr>
        <w:pStyle w:val="a9"/>
        <w:spacing w:after="0" w:line="360" w:lineRule="auto"/>
        <w:ind w:left="567"/>
        <w:rPr>
          <w:rFonts w:ascii="David" w:hAnsi="David"/>
          <w:color w:val="000000"/>
          <w:sz w:val="24"/>
          <w:rtl/>
        </w:rPr>
      </w:pPr>
    </w:p>
    <w:p w14:paraId="32773934" w14:textId="77777777" w:rsidR="000F77C7" w:rsidRDefault="000F77C7" w:rsidP="000F77C7">
      <w:pPr>
        <w:pStyle w:val="a9"/>
        <w:spacing w:after="0" w:line="360" w:lineRule="auto"/>
        <w:ind w:left="567"/>
        <w:rPr>
          <w:rFonts w:ascii="David" w:hAnsi="David"/>
          <w:color w:val="000000"/>
          <w:rtl/>
        </w:rPr>
      </w:pPr>
      <w:r>
        <w:rPr>
          <w:rFonts w:ascii="David" w:hAnsi="David" w:hint="cs"/>
          <w:color w:val="000000"/>
          <w:rtl/>
        </w:rPr>
        <w:t xml:space="preserve">גם מקרה זה חמור מענייננו בהינתן העובדה כי מדובר בשני נפגעי עבירה ובחבלות משמעותיות יותר. </w:t>
      </w:r>
    </w:p>
    <w:p w14:paraId="22DA5F80" w14:textId="77777777" w:rsidR="000F77C7" w:rsidRDefault="000F77C7" w:rsidP="000F77C7">
      <w:pPr>
        <w:pStyle w:val="a9"/>
        <w:spacing w:after="0" w:line="360" w:lineRule="auto"/>
        <w:ind w:left="567"/>
        <w:rPr>
          <w:rFonts w:ascii="David" w:hAnsi="David"/>
          <w:color w:val="000000"/>
          <w:rtl/>
        </w:rPr>
      </w:pPr>
    </w:p>
    <w:p w14:paraId="2E8E82A6" w14:textId="77777777" w:rsidR="000F77C7" w:rsidRPr="004C0490" w:rsidRDefault="00304B19" w:rsidP="000F77C7">
      <w:pPr>
        <w:pStyle w:val="a9"/>
        <w:spacing w:after="0" w:line="360" w:lineRule="auto"/>
        <w:ind w:left="567"/>
        <w:rPr>
          <w:rFonts w:ascii="David" w:hAnsi="David"/>
          <w:sz w:val="24"/>
          <w:rtl/>
        </w:rPr>
      </w:pPr>
      <w:hyperlink r:id="rId33" w:history="1">
        <w:r w:rsidRPr="00304B19">
          <w:rPr>
            <w:rFonts w:ascii="David" w:hAnsi="David"/>
            <w:color w:val="0000FF"/>
            <w:u w:val="single"/>
            <w:rtl/>
          </w:rPr>
          <w:t>ת"פ (מחוזי ת"א) 6618-08-20</w:t>
        </w:r>
      </w:hyperlink>
      <w:r w:rsidR="000F77C7">
        <w:rPr>
          <w:rFonts w:ascii="David" w:hAnsi="David" w:hint="cs"/>
          <w:color w:val="000000"/>
          <w:rtl/>
        </w:rPr>
        <w:t xml:space="preserve"> </w:t>
      </w:r>
      <w:r w:rsidR="000F77C7">
        <w:rPr>
          <w:rFonts w:ascii="David" w:hAnsi="David" w:hint="cs"/>
          <w:b/>
          <w:bCs/>
          <w:color w:val="000000"/>
          <w:rtl/>
        </w:rPr>
        <w:t>מדינת ישראל נ' חיים</w:t>
      </w:r>
      <w:r w:rsidR="000F77C7">
        <w:rPr>
          <w:rFonts w:ascii="David" w:hAnsi="David" w:hint="cs"/>
          <w:color w:val="000000"/>
          <w:rtl/>
        </w:rPr>
        <w:t xml:space="preserve"> (13.9.2021) - במקרה זה שהתברר בפניי, הורשע הנאשם על יסוד הודאתו בעבירות של הפקרה לאחר פגיעה (לפי </w:t>
      </w:r>
      <w:hyperlink r:id="rId34" w:history="1">
        <w:r w:rsidR="00DF6D78" w:rsidRPr="00DF6D78">
          <w:rPr>
            <w:rStyle w:val="Hyperlink"/>
            <w:rFonts w:ascii="David" w:hAnsi="David" w:hint="cs"/>
            <w:rtl/>
          </w:rPr>
          <w:t>סעיף</w:t>
        </w:r>
        <w:r w:rsidR="00DF6D78" w:rsidRPr="00DF6D78">
          <w:rPr>
            <w:rStyle w:val="Hyperlink"/>
            <w:rFonts w:ascii="David" w:hAnsi="David"/>
            <w:rtl/>
          </w:rPr>
          <w:t xml:space="preserve"> 64א(ג)</w:t>
        </w:r>
      </w:hyperlink>
      <w:r w:rsidR="000F77C7">
        <w:rPr>
          <w:rFonts w:ascii="David" w:hAnsi="David" w:hint="cs"/>
          <w:color w:val="000000"/>
          <w:rtl/>
        </w:rPr>
        <w:t xml:space="preserve"> ל</w:t>
      </w:r>
      <w:hyperlink r:id="rId35" w:history="1">
        <w:r w:rsidRPr="00304B19">
          <w:rPr>
            <w:rFonts w:ascii="David" w:hAnsi="David"/>
            <w:color w:val="0000FF"/>
            <w:u w:val="single"/>
            <w:rtl/>
          </w:rPr>
          <w:t>פקודת התעבורה</w:t>
        </w:r>
      </w:hyperlink>
      <w:r w:rsidR="000F77C7">
        <w:rPr>
          <w:rFonts w:ascii="David" w:hAnsi="David" w:hint="cs"/>
          <w:color w:val="000000"/>
          <w:rtl/>
        </w:rPr>
        <w:t xml:space="preserve">); נהיגת רכב בקלות ראש אשר גרמה לחבלה של ממש, נהיגה ללא רישיון וללא ביטוח, שיבוש הליכי משפט והשמדת ראיה. הנאשם באותו אירוע לא הוסמך מעולם לנהיגה, פגע בעודו רוכב על קטנוע בקטינה בת 7, אשר חצתה את הכביש במעבר חציה, ולאחר מכן נמלט מן המקום, תוך שהסתיר את קטנועו, ובהמשך, פירק את חלקיו השונים על-מנת לטשטש את זהותו. הקטינה נזקקה לניתוח, וחוותה התדרדרות משמעותית במצבה הנפשי ובאיכות חייה בעקבות האירוע. במקרה זה, ועל יסוד כלל השיקולים שפורטו בגזר הדין, קבעתי מתחם </w:t>
      </w:r>
      <w:r w:rsidR="000F77C7">
        <w:rPr>
          <w:rFonts w:ascii="David" w:hAnsi="David" w:hint="cs"/>
          <w:b/>
          <w:bCs/>
          <w:color w:val="000000"/>
          <w:rtl/>
        </w:rPr>
        <w:t>הנע בין 19 ל- 41 חודשי מאסר</w:t>
      </w:r>
      <w:r w:rsidR="000F77C7">
        <w:rPr>
          <w:rFonts w:ascii="David" w:hAnsi="David" w:hint="cs"/>
          <w:color w:val="000000"/>
          <w:rtl/>
        </w:rPr>
        <w:t xml:space="preserve">, והטלתי על הנאשם 20 חודשי מאסר לריצוי בפועל לצד רכיבי ענישה נלווים. </w:t>
      </w:r>
    </w:p>
    <w:p w14:paraId="2C36E948" w14:textId="77777777" w:rsidR="000F77C7" w:rsidRDefault="000F77C7" w:rsidP="000F77C7">
      <w:pPr>
        <w:pStyle w:val="a9"/>
        <w:spacing w:after="0" w:line="360" w:lineRule="auto"/>
        <w:ind w:left="567"/>
        <w:rPr>
          <w:rFonts w:ascii="David" w:hAnsi="David"/>
          <w:sz w:val="24"/>
          <w:rtl/>
        </w:rPr>
      </w:pPr>
    </w:p>
    <w:p w14:paraId="51A033DD" w14:textId="77777777" w:rsidR="000F77C7" w:rsidRDefault="00304B19" w:rsidP="000F77C7">
      <w:pPr>
        <w:pStyle w:val="a9"/>
        <w:spacing w:after="0" w:line="360" w:lineRule="auto"/>
        <w:ind w:left="567"/>
        <w:rPr>
          <w:rFonts w:ascii="David" w:hAnsi="David"/>
          <w:color w:val="000000"/>
          <w:sz w:val="24"/>
          <w:rtl/>
        </w:rPr>
      </w:pPr>
      <w:hyperlink r:id="rId36" w:history="1">
        <w:r w:rsidRPr="00304B19">
          <w:rPr>
            <w:rFonts w:ascii="David" w:hAnsi="David"/>
            <w:color w:val="0000FF"/>
            <w:sz w:val="24"/>
            <w:u w:val="single"/>
            <w:rtl/>
          </w:rPr>
          <w:t>ת"פ (מחוזי ת"א) 24445-12-19</w:t>
        </w:r>
      </w:hyperlink>
      <w:r w:rsidR="000F77C7">
        <w:rPr>
          <w:rFonts w:ascii="David" w:hAnsi="David"/>
          <w:color w:val="000000"/>
          <w:sz w:val="24"/>
          <w:rtl/>
        </w:rPr>
        <w:t xml:space="preserve"> </w:t>
      </w:r>
      <w:r w:rsidR="000F77C7">
        <w:rPr>
          <w:rFonts w:ascii="David" w:hAnsi="David"/>
          <w:b/>
          <w:bCs/>
          <w:color w:val="000000"/>
          <w:sz w:val="24"/>
          <w:rtl/>
        </w:rPr>
        <w:t>מדינת ישראל נ' לוק</w:t>
      </w:r>
      <w:r w:rsidR="000F77C7">
        <w:rPr>
          <w:rFonts w:ascii="David" w:hAnsi="David"/>
          <w:color w:val="000000"/>
          <w:sz w:val="24"/>
          <w:rtl/>
        </w:rPr>
        <w:t xml:space="preserve"> (18.5.2021) - הנאשם הורשע על יסוד הודאתו במסגרת הסדר טיעון בעבירות של הפקרה לאחר פגיעה ונהיגת רכב בקלות ראש אשר גרמה לחבלות של ממש, בכך שפגע בעוצמה עם חזית מכוניתו בהולך הרגל אשר חצה את הכביש במעבר חצייה, ונמלט מהמקום. כתוצאה מהתאונה נגרמו לנפגע חבלות קשות. בית המשפט המחוזי קבע </w:t>
      </w:r>
      <w:r w:rsidR="000F77C7">
        <w:rPr>
          <w:rFonts w:ascii="David" w:hAnsi="David"/>
          <w:b/>
          <w:bCs/>
          <w:color w:val="000000"/>
          <w:sz w:val="24"/>
          <w:rtl/>
        </w:rPr>
        <w:t xml:space="preserve">מתחם שנע בין 9 חודשי מאסר ל־40 חודשי מאסר בפועל, </w:t>
      </w:r>
      <w:r w:rsidR="000F77C7" w:rsidRPr="00912A7F">
        <w:rPr>
          <w:rFonts w:ascii="David" w:hAnsi="David"/>
          <w:color w:val="000000"/>
          <w:sz w:val="24"/>
          <w:rtl/>
        </w:rPr>
        <w:t>והשית על הנאשם 15 חודשי מאסר בפועל, לצד עונשים נלווים.</w:t>
      </w:r>
    </w:p>
    <w:p w14:paraId="09F294C8" w14:textId="77777777" w:rsidR="000F77C7" w:rsidRDefault="000F77C7" w:rsidP="000F77C7">
      <w:pPr>
        <w:pStyle w:val="a9"/>
        <w:spacing w:after="0" w:line="360" w:lineRule="auto"/>
        <w:ind w:left="567"/>
        <w:rPr>
          <w:rFonts w:ascii="David" w:hAnsi="David"/>
          <w:color w:val="000000"/>
          <w:sz w:val="24"/>
          <w:rtl/>
        </w:rPr>
      </w:pPr>
    </w:p>
    <w:p w14:paraId="3A427AEC" w14:textId="77777777" w:rsidR="000F77C7" w:rsidRDefault="00304B19" w:rsidP="000F77C7">
      <w:pPr>
        <w:pStyle w:val="a9"/>
        <w:spacing w:after="0" w:line="360" w:lineRule="auto"/>
        <w:ind w:left="567"/>
        <w:rPr>
          <w:rFonts w:ascii="David" w:hAnsi="David"/>
          <w:color w:val="000000"/>
          <w:sz w:val="24"/>
          <w:rtl/>
        </w:rPr>
      </w:pPr>
      <w:hyperlink r:id="rId37" w:history="1">
        <w:r w:rsidRPr="00304B19">
          <w:rPr>
            <w:rFonts w:ascii="David" w:hAnsi="David"/>
            <w:color w:val="0000FF"/>
            <w:sz w:val="24"/>
            <w:u w:val="single"/>
            <w:rtl/>
          </w:rPr>
          <w:t>ת"פ (מחוזי ב"ש) 61890-02-19</w:t>
        </w:r>
      </w:hyperlink>
      <w:r w:rsidR="000F77C7">
        <w:rPr>
          <w:rFonts w:ascii="David" w:hAnsi="David"/>
          <w:color w:val="000000"/>
          <w:sz w:val="24"/>
          <w:rtl/>
        </w:rPr>
        <w:t xml:space="preserve"> </w:t>
      </w:r>
      <w:r w:rsidR="000F77C7">
        <w:rPr>
          <w:rFonts w:ascii="David" w:hAnsi="David"/>
          <w:b/>
          <w:bCs/>
          <w:color w:val="000000"/>
          <w:sz w:val="24"/>
          <w:rtl/>
        </w:rPr>
        <w:t>מדינת ישראל נ' אלגלאוי</w:t>
      </w:r>
      <w:r w:rsidR="000F77C7">
        <w:rPr>
          <w:rFonts w:ascii="David" w:hAnsi="David"/>
          <w:color w:val="000000"/>
          <w:sz w:val="24"/>
          <w:rtl/>
        </w:rPr>
        <w:t xml:space="preserve"> (9.5.2021) - הנאשם הורשע על יסוד הודאתו בעבירות של נהיגה ללא רישיון נהיגה בתוקף ונהיגה ללא ביטוח, כאשר ביחס לעבירה המרכזית של הפקרה לאחר פגיעה כפר הנאשם תחילה וניהל הוכחות. בטרם הסתיימה פרשת ההגנה ביקש לחזור בו מכפירתו ולהודות גם בעבירת ההפקרה, אך בחלופה המקלה יותר של העבירה. בית המשפט המחוזי החליט להרשיע את הנאשם בעבירת ההפקרה שיוחסה לו בכתב האישום, בכך שבשעת לילה מאוחרת נהג ופגע עם חזית רכבו בחלק האחורי של אופני המנוח ונמלט מן המקום. כתוצאה מהתאונה המנוח נחבל באופן קשה ומצא את מותו באופן מידי. מספר ימים לאחר מועד קרות התאונה, הנאשם הסגיר עצמו, בעקבות פעולות לאיתורו שבוצעו על-ידי משטרת ישראל. בית המשפט המחוזי קבע </w:t>
      </w:r>
      <w:r w:rsidR="000F77C7">
        <w:rPr>
          <w:rFonts w:ascii="David" w:hAnsi="David"/>
          <w:b/>
          <w:bCs/>
          <w:color w:val="000000"/>
          <w:sz w:val="24"/>
          <w:rtl/>
        </w:rPr>
        <w:t>מתחם שנע בין 12 ל-36 חודשי מאסר בפועל</w:t>
      </w:r>
      <w:r w:rsidR="000F77C7">
        <w:rPr>
          <w:rFonts w:ascii="David" w:hAnsi="David"/>
          <w:color w:val="000000"/>
          <w:sz w:val="24"/>
          <w:rtl/>
        </w:rPr>
        <w:t>, והשית על הנאשם 18 חודשי מאסר בפועל, לצד עונשים נלווים.</w:t>
      </w:r>
    </w:p>
    <w:p w14:paraId="23728767" w14:textId="77777777" w:rsidR="000F77C7" w:rsidRDefault="00304B19" w:rsidP="000F77C7">
      <w:pPr>
        <w:pStyle w:val="a9"/>
        <w:spacing w:after="0" w:line="360" w:lineRule="auto"/>
        <w:ind w:left="567"/>
        <w:rPr>
          <w:rFonts w:ascii="David" w:hAnsi="David"/>
          <w:color w:val="000000"/>
          <w:sz w:val="24"/>
          <w:rtl/>
        </w:rPr>
      </w:pPr>
      <w:hyperlink r:id="rId38" w:history="1">
        <w:r w:rsidRPr="00304B19">
          <w:rPr>
            <w:rFonts w:ascii="David" w:hAnsi="David"/>
            <w:color w:val="0000FF"/>
            <w:sz w:val="24"/>
            <w:u w:val="single"/>
            <w:rtl/>
          </w:rPr>
          <w:t>ת"פ (מחוזי י-ם) 54059-08-16</w:t>
        </w:r>
      </w:hyperlink>
      <w:r w:rsidR="000F77C7">
        <w:rPr>
          <w:rFonts w:ascii="David" w:hAnsi="David"/>
          <w:color w:val="000000"/>
          <w:sz w:val="24"/>
          <w:rtl/>
        </w:rPr>
        <w:t xml:space="preserve"> </w:t>
      </w:r>
      <w:r w:rsidR="000F77C7">
        <w:rPr>
          <w:rFonts w:ascii="David" w:hAnsi="David"/>
          <w:b/>
          <w:bCs/>
          <w:color w:val="000000"/>
          <w:sz w:val="24"/>
          <w:rtl/>
        </w:rPr>
        <w:t xml:space="preserve">מדינת ישראל נ' עמר </w:t>
      </w:r>
      <w:r w:rsidR="000F77C7">
        <w:rPr>
          <w:rFonts w:ascii="David" w:hAnsi="David"/>
          <w:color w:val="000000"/>
          <w:sz w:val="24"/>
          <w:rtl/>
        </w:rPr>
        <w:t xml:space="preserve">(17.10.2017) - הנאשם הורשע על יסוד הודאתו במסגרת הסדר טיעון בעבירות של הפקרה לאחר פגיעה, נהיגה בקלות ראש או ברשלנות, נהיגה ללא רישיון, עקיפה לפני מעבר חצייה ונהיגה ללא ביטוח, בכך שעקף במהירות רכב אחר שעמד בצד ימין של מעבר החצייה ואפשר להולכי רגל לחצות את הכביש, פגע בקטין בעת שחצה את הכביש ונמלט מן המקום. כתוצאה מהתאונה נגרמו לנפגע חבלות קשות. בית המשפט המחוזי קבע </w:t>
      </w:r>
      <w:r w:rsidR="000F77C7">
        <w:rPr>
          <w:rFonts w:ascii="David" w:hAnsi="David"/>
          <w:b/>
          <w:bCs/>
          <w:color w:val="000000"/>
          <w:sz w:val="24"/>
          <w:rtl/>
        </w:rPr>
        <w:t>מתחם שנע בין 18 ל-42 חודשי מאסר בפועל</w:t>
      </w:r>
      <w:r w:rsidR="000F77C7">
        <w:rPr>
          <w:rFonts w:ascii="David" w:hAnsi="David"/>
          <w:color w:val="000000"/>
          <w:sz w:val="24"/>
          <w:rtl/>
        </w:rPr>
        <w:t>, והשית על הנאשם 26 חודשי מאסר בפועל, לצד עונשים נלווים.</w:t>
      </w:r>
    </w:p>
    <w:p w14:paraId="7BC141D2" w14:textId="77777777" w:rsidR="000F77C7" w:rsidRDefault="000F77C7" w:rsidP="000F77C7">
      <w:pPr>
        <w:pStyle w:val="a9"/>
        <w:spacing w:after="0" w:line="360" w:lineRule="auto"/>
        <w:ind w:left="567"/>
        <w:rPr>
          <w:rFonts w:ascii="David" w:hAnsi="David"/>
          <w:color w:val="000000"/>
          <w:sz w:val="24"/>
          <w:rtl/>
        </w:rPr>
      </w:pPr>
    </w:p>
    <w:p w14:paraId="40071976" w14:textId="77777777" w:rsidR="000F77C7" w:rsidRDefault="00304B19" w:rsidP="000F77C7">
      <w:pPr>
        <w:pStyle w:val="a9"/>
        <w:spacing w:after="0" w:line="360" w:lineRule="auto"/>
        <w:ind w:left="567"/>
        <w:rPr>
          <w:rFonts w:ascii="David" w:hAnsi="David"/>
          <w:color w:val="000000"/>
          <w:shd w:val="clear" w:color="auto" w:fill="FFFFFF"/>
          <w:rtl/>
        </w:rPr>
      </w:pPr>
      <w:hyperlink r:id="rId39" w:history="1">
        <w:r w:rsidRPr="00304B19">
          <w:rPr>
            <w:rFonts w:hint="cs"/>
            <w:color w:val="0000FF"/>
            <w:sz w:val="24"/>
            <w:u w:val="single"/>
            <w:rtl/>
          </w:rPr>
          <w:t>ת</w:t>
        </w:r>
        <w:r w:rsidRPr="00304B19">
          <w:rPr>
            <w:color w:val="0000FF"/>
            <w:sz w:val="24"/>
            <w:u w:val="single"/>
            <w:rtl/>
          </w:rPr>
          <w:t>"</w:t>
        </w:r>
        <w:r w:rsidRPr="00304B19">
          <w:rPr>
            <w:rFonts w:hint="cs"/>
            <w:color w:val="0000FF"/>
            <w:sz w:val="24"/>
            <w:u w:val="single"/>
            <w:rtl/>
          </w:rPr>
          <w:t>פ</w:t>
        </w:r>
        <w:r w:rsidRPr="00304B19">
          <w:rPr>
            <w:color w:val="0000FF"/>
            <w:sz w:val="24"/>
            <w:u w:val="single"/>
            <w:rtl/>
          </w:rPr>
          <w:t xml:space="preserve"> (</w:t>
        </w:r>
        <w:r w:rsidRPr="00304B19">
          <w:rPr>
            <w:rFonts w:hint="cs"/>
            <w:color w:val="0000FF"/>
            <w:sz w:val="24"/>
            <w:u w:val="single"/>
            <w:rtl/>
          </w:rPr>
          <w:t>מחוזי</w:t>
        </w:r>
        <w:r w:rsidRPr="00304B19">
          <w:rPr>
            <w:color w:val="0000FF"/>
            <w:sz w:val="24"/>
            <w:u w:val="single"/>
            <w:rtl/>
          </w:rPr>
          <w:t xml:space="preserve"> </w:t>
        </w:r>
        <w:r w:rsidRPr="00304B19">
          <w:rPr>
            <w:rFonts w:hint="cs"/>
            <w:color w:val="0000FF"/>
            <w:sz w:val="24"/>
            <w:u w:val="single"/>
            <w:rtl/>
          </w:rPr>
          <w:t>חי</w:t>
        </w:r>
        <w:r w:rsidRPr="00304B19">
          <w:rPr>
            <w:color w:val="0000FF"/>
            <w:sz w:val="24"/>
            <w:u w:val="single"/>
            <w:rtl/>
          </w:rPr>
          <w:t>') 45887-06-15</w:t>
        </w:r>
      </w:hyperlink>
      <w:r>
        <w:rPr>
          <w:color w:val="000000"/>
          <w:sz w:val="24"/>
          <w:rtl/>
        </w:rPr>
        <w:t xml:space="preserve"> </w:t>
      </w:r>
      <w:r w:rsidR="000F77C7">
        <w:rPr>
          <w:b/>
          <w:bCs/>
          <w:color w:val="000000"/>
          <w:sz w:val="24"/>
          <w:rtl/>
        </w:rPr>
        <w:t>מדינת ישראל נ' סביחאת</w:t>
      </w:r>
      <w:r>
        <w:rPr>
          <w:color w:val="000000"/>
          <w:sz w:val="24"/>
          <w:rtl/>
        </w:rPr>
        <w:t xml:space="preserve"> </w:t>
      </w:r>
      <w:r w:rsidR="000F77C7">
        <w:rPr>
          <w:color w:val="000000"/>
          <w:sz w:val="24"/>
          <w:rtl/>
        </w:rPr>
        <w:t>(13.2.2017) - הנאשם הורשע על-פי הודאתו במסגרת הסדר טיעון בעבירות של הפקרה לאחר פגיעה, נהיגה בקלות ראש, וגרימת נזק לגוף ולרכוש</w:t>
      </w:r>
      <w:r w:rsidR="000F77C7">
        <w:rPr>
          <w:rtl/>
        </w:rPr>
        <w:t xml:space="preserve">, בכך שסטה לימין הכביש, פגע במתלונן והעיפו אל עבר חומת בטון סמוכה. לאחר התאונה, הנאשם לא עצר את רכבו ונמלט מהמקום. כתוצאה מהתאונה נחבל המתלונן בכל חלקי גופו ונדרש לטיפול ואשפוז בבית חולים. בית המשפט המחוזי קבע </w:t>
      </w:r>
      <w:r w:rsidR="000F77C7">
        <w:rPr>
          <w:b/>
          <w:bCs/>
          <w:rtl/>
        </w:rPr>
        <w:t xml:space="preserve">מתחם שנע </w:t>
      </w:r>
      <w:r w:rsidR="000F77C7">
        <w:rPr>
          <w:rFonts w:ascii="David" w:hAnsi="David"/>
          <w:b/>
          <w:bCs/>
          <w:color w:val="000000"/>
          <w:shd w:val="clear" w:color="auto" w:fill="FFFFFF"/>
          <w:rtl/>
        </w:rPr>
        <w:t>בין 12 ל</w:t>
      </w:r>
      <w:r w:rsidR="000F77C7">
        <w:rPr>
          <w:rFonts w:ascii="David" w:hAnsi="David" w:hint="cs"/>
          <w:b/>
          <w:bCs/>
          <w:color w:val="000000"/>
          <w:shd w:val="clear" w:color="auto" w:fill="FFFFFF"/>
          <w:rtl/>
        </w:rPr>
        <w:t xml:space="preserve">- 40 </w:t>
      </w:r>
      <w:r w:rsidR="000F77C7">
        <w:rPr>
          <w:rFonts w:ascii="David" w:hAnsi="David"/>
          <w:b/>
          <w:bCs/>
          <w:color w:val="000000"/>
          <w:shd w:val="clear" w:color="auto" w:fill="FFFFFF"/>
          <w:rtl/>
        </w:rPr>
        <w:t>חודשי מאסר בפועל</w:t>
      </w:r>
      <w:r w:rsidR="000F77C7">
        <w:rPr>
          <w:rFonts w:ascii="David" w:hAnsi="David"/>
          <w:color w:val="000000"/>
          <w:shd w:val="clear" w:color="auto" w:fill="FFFFFF"/>
          <w:rtl/>
        </w:rPr>
        <w:t>, והשית על הנאשם 15 חודשי מאסר בפועל, לצד עונשים נלווים.</w:t>
      </w:r>
    </w:p>
    <w:p w14:paraId="6B68AD97" w14:textId="77777777" w:rsidR="000F77C7" w:rsidRDefault="000F77C7" w:rsidP="000F77C7">
      <w:pPr>
        <w:pStyle w:val="a9"/>
        <w:spacing w:after="0" w:line="360" w:lineRule="auto"/>
        <w:ind w:left="567"/>
        <w:rPr>
          <w:rFonts w:ascii="David" w:hAnsi="David"/>
          <w:color w:val="000000"/>
          <w:shd w:val="clear" w:color="auto" w:fill="FFFFFF"/>
          <w:rtl/>
        </w:rPr>
      </w:pPr>
    </w:p>
    <w:p w14:paraId="29D85F03" w14:textId="77777777" w:rsidR="000F77C7" w:rsidRDefault="000F77C7" w:rsidP="000F77C7">
      <w:pPr>
        <w:pStyle w:val="a9"/>
        <w:spacing w:after="0" w:line="360" w:lineRule="auto"/>
        <w:ind w:left="567"/>
        <w:rPr>
          <w:rtl/>
        </w:rPr>
      </w:pPr>
      <w:r>
        <w:rPr>
          <w:rtl/>
        </w:rPr>
        <w:t xml:space="preserve">אשר למדיניות הענישה הנוהגת בעבירת השיבוש, הרי שבתי המשפט התייחסו לחומרה הגלומה בעבירה זו, בדמות השתת ענישה מוחשית. טווח הענישה הנוהג הינו רחב ותלוי נסיבות. עיון בפסיקה מלמד, כי </w:t>
      </w:r>
      <w:r>
        <w:rPr>
          <w:b/>
          <w:bCs/>
          <w:rtl/>
        </w:rPr>
        <w:t xml:space="preserve">מתחם העונש ההולם לעבירה זו נע בין ענישה ללא רכיב מאסר לבין מספר חודשי מאסר בפועל </w:t>
      </w:r>
      <w:r>
        <w:rPr>
          <w:rtl/>
        </w:rPr>
        <w:t xml:space="preserve">(ראו: </w:t>
      </w:r>
      <w:hyperlink r:id="rId40" w:history="1">
        <w:r w:rsidR="00304B19" w:rsidRPr="00304B19">
          <w:rPr>
            <w:rFonts w:hint="cs"/>
            <w:color w:val="0000FF"/>
            <w:u w:val="single"/>
            <w:rtl/>
          </w:rPr>
          <w:t>ת</w:t>
        </w:r>
        <w:r w:rsidR="00304B19" w:rsidRPr="00304B19">
          <w:rPr>
            <w:color w:val="0000FF"/>
            <w:u w:val="single"/>
            <w:rtl/>
          </w:rPr>
          <w:t>"</w:t>
        </w:r>
        <w:r w:rsidR="00304B19" w:rsidRPr="00304B19">
          <w:rPr>
            <w:rFonts w:hint="cs"/>
            <w:color w:val="0000FF"/>
            <w:u w:val="single"/>
            <w:rtl/>
          </w:rPr>
          <w:t>פ</w:t>
        </w:r>
        <w:r w:rsidR="00304B19" w:rsidRPr="00304B19">
          <w:rPr>
            <w:color w:val="0000FF"/>
            <w:u w:val="single"/>
            <w:rtl/>
          </w:rPr>
          <w:t xml:space="preserve"> (</w:t>
        </w:r>
        <w:r w:rsidR="00304B19" w:rsidRPr="00304B19">
          <w:rPr>
            <w:rFonts w:hint="cs"/>
            <w:color w:val="0000FF"/>
            <w:u w:val="single"/>
            <w:rtl/>
          </w:rPr>
          <w:t>מחוזי</w:t>
        </w:r>
        <w:r w:rsidR="00304B19" w:rsidRPr="00304B19">
          <w:rPr>
            <w:color w:val="0000FF"/>
            <w:u w:val="single"/>
            <w:rtl/>
          </w:rPr>
          <w:t xml:space="preserve"> </w:t>
        </w:r>
        <w:r w:rsidR="00304B19" w:rsidRPr="00304B19">
          <w:rPr>
            <w:rFonts w:hint="cs"/>
            <w:color w:val="0000FF"/>
            <w:u w:val="single"/>
            <w:rtl/>
          </w:rPr>
          <w:t>י</w:t>
        </w:r>
        <w:r w:rsidR="00304B19" w:rsidRPr="00304B19">
          <w:rPr>
            <w:color w:val="0000FF"/>
            <w:u w:val="single"/>
            <w:rtl/>
          </w:rPr>
          <w:t>-</w:t>
        </w:r>
        <w:r w:rsidR="00304B19" w:rsidRPr="00304B19">
          <w:rPr>
            <w:rFonts w:hint="cs"/>
            <w:color w:val="0000FF"/>
            <w:u w:val="single"/>
            <w:rtl/>
          </w:rPr>
          <w:t>ם</w:t>
        </w:r>
        <w:r w:rsidR="00304B19" w:rsidRPr="00304B19">
          <w:rPr>
            <w:color w:val="0000FF"/>
            <w:u w:val="single"/>
            <w:rtl/>
          </w:rPr>
          <w:t>) 56093-12-11</w:t>
        </w:r>
      </w:hyperlink>
      <w:r>
        <w:rPr>
          <w:rtl/>
        </w:rPr>
        <w:t xml:space="preserve"> </w:t>
      </w:r>
      <w:r>
        <w:rPr>
          <w:b/>
          <w:bCs/>
          <w:rtl/>
        </w:rPr>
        <w:t>מדינת ישראל נ' אלמליח</w:t>
      </w:r>
      <w:r>
        <w:rPr>
          <w:rtl/>
        </w:rPr>
        <w:t xml:space="preserve"> (15.1.2013)). </w:t>
      </w:r>
    </w:p>
    <w:p w14:paraId="6CC1B1F5" w14:textId="77777777" w:rsidR="000F77C7" w:rsidRDefault="000F77C7" w:rsidP="000F77C7">
      <w:pPr>
        <w:spacing w:line="360" w:lineRule="auto"/>
        <w:ind w:left="625"/>
      </w:pPr>
    </w:p>
    <w:p w14:paraId="5DD4E2DD" w14:textId="77777777" w:rsidR="000F77C7" w:rsidRDefault="000F77C7" w:rsidP="000F77C7">
      <w:pPr>
        <w:pStyle w:val="a9"/>
        <w:spacing w:after="0" w:line="360" w:lineRule="auto"/>
        <w:ind w:left="567"/>
        <w:rPr>
          <w:rtl/>
        </w:rPr>
      </w:pPr>
      <w:r>
        <w:rPr>
          <w:rtl/>
        </w:rPr>
        <w:t xml:space="preserve">יש אף ליתן את הדעת לקשר שבין עבירת ההפקרה לעבירת השיבוש, וראה בעניין זה </w:t>
      </w:r>
      <w:hyperlink r:id="rId41" w:history="1">
        <w:r w:rsidR="00304B19" w:rsidRPr="00304B19">
          <w:rPr>
            <w:rFonts w:hint="cs"/>
            <w:color w:val="0000FF"/>
            <w:u w:val="single"/>
            <w:rtl/>
          </w:rPr>
          <w:t>ע</w:t>
        </w:r>
        <w:r w:rsidR="00304B19" w:rsidRPr="00304B19">
          <w:rPr>
            <w:color w:val="0000FF"/>
            <w:u w:val="single"/>
            <w:rtl/>
          </w:rPr>
          <w:t>"</w:t>
        </w:r>
        <w:r w:rsidR="00304B19" w:rsidRPr="00304B19">
          <w:rPr>
            <w:rFonts w:hint="cs"/>
            <w:color w:val="0000FF"/>
            <w:u w:val="single"/>
            <w:rtl/>
          </w:rPr>
          <w:t>פ</w:t>
        </w:r>
        <w:r w:rsidR="00304B19" w:rsidRPr="00304B19">
          <w:rPr>
            <w:color w:val="0000FF"/>
            <w:u w:val="single"/>
            <w:rtl/>
          </w:rPr>
          <w:t xml:space="preserve"> 7936/13</w:t>
        </w:r>
      </w:hyperlink>
      <w:r>
        <w:rPr>
          <w:rtl/>
        </w:rPr>
        <w:t xml:space="preserve"> </w:t>
      </w:r>
      <w:r>
        <w:rPr>
          <w:b/>
          <w:bCs/>
          <w:rtl/>
        </w:rPr>
        <w:t>לוי נ' מדינת ישראל</w:t>
      </w:r>
      <w:r>
        <w:rPr>
          <w:rtl/>
        </w:rPr>
        <w:t>, פס' 41 (16.12.14):</w:t>
      </w:r>
    </w:p>
    <w:p w14:paraId="4B1010A0" w14:textId="77777777" w:rsidR="000F77C7" w:rsidRDefault="000F77C7" w:rsidP="000F77C7">
      <w:pPr>
        <w:pStyle w:val="a9"/>
        <w:spacing w:after="0" w:line="360" w:lineRule="auto"/>
        <w:ind w:left="567"/>
        <w:rPr>
          <w:rtl/>
        </w:rPr>
      </w:pPr>
    </w:p>
    <w:p w14:paraId="425AA9E2" w14:textId="77777777" w:rsidR="000F77C7" w:rsidRDefault="000F77C7" w:rsidP="000F77C7">
      <w:pPr>
        <w:pStyle w:val="a9"/>
        <w:spacing w:after="0" w:line="360" w:lineRule="auto"/>
        <w:ind w:left="567"/>
        <w:rPr>
          <w:rtl/>
        </w:rPr>
      </w:pPr>
      <w:r>
        <w:rPr>
          <w:rtl/>
        </w:rPr>
        <w:t>"</w:t>
      </w:r>
      <w:r>
        <w:rPr>
          <w:b/>
          <w:bCs/>
          <w:rtl/>
        </w:rPr>
        <w:t>לא בנקל ניתן להבחין בין מי שבאמת ובתמים הפקיר נפגע בזירת תאונת דרכים מחמת דחק נפשי שלא איפשר לו להושיט עזרה, לבין מי שלגביו אין מדובר אלא בכסות ובתירוץ להימלטותו. במידה מסויימת ניתן להבחין בין מפקירים שנוקטים צעדים מעשיים נמרצים על מנת למלט עצמם מאחריות, כגון תיקון נזקים, שיבוש הליכי חקירה, השפעה על עדים, לבין מפקירים שהטראומה נתנה בהם את אותותיה, בתגובות פיזיות ונפשיות, סערת רגשות, כאב, ואלה – על-פי רוב – מסגירים את עצמם כעבור שעות או ימים אחדים</w:t>
      </w:r>
      <w:r>
        <w:rPr>
          <w:rtl/>
        </w:rPr>
        <w:t>".</w:t>
      </w:r>
    </w:p>
    <w:p w14:paraId="2B342230" w14:textId="77777777" w:rsidR="000F77C7" w:rsidRDefault="000F77C7" w:rsidP="000F77C7">
      <w:pPr>
        <w:pStyle w:val="a9"/>
        <w:spacing w:after="0" w:line="360" w:lineRule="auto"/>
        <w:ind w:left="567"/>
        <w:rPr>
          <w:rtl/>
        </w:rPr>
      </w:pPr>
    </w:p>
    <w:p w14:paraId="0A10522C" w14:textId="77777777" w:rsidR="000F77C7" w:rsidRPr="008B75D6" w:rsidRDefault="000F77C7" w:rsidP="000F77C7">
      <w:pPr>
        <w:spacing w:line="360" w:lineRule="auto"/>
        <w:ind w:left="567" w:hanging="567"/>
        <w:jc w:val="both"/>
        <w:rPr>
          <w:u w:val="single"/>
          <w:rtl/>
        </w:rPr>
      </w:pPr>
      <w:r>
        <w:rPr>
          <w:rtl/>
        </w:rPr>
        <w:tab/>
      </w:r>
      <w:r w:rsidRPr="008B75D6">
        <w:rPr>
          <w:rFonts w:hint="cs"/>
          <w:u w:val="single"/>
          <w:rtl/>
        </w:rPr>
        <w:t>קביעת מתחם העונש ההולם - סיכום</w:t>
      </w:r>
    </w:p>
    <w:p w14:paraId="2F2D2772" w14:textId="77777777" w:rsidR="000F77C7" w:rsidRDefault="000F77C7" w:rsidP="000F77C7">
      <w:pPr>
        <w:rPr>
          <w:rtl/>
        </w:rPr>
      </w:pPr>
    </w:p>
    <w:p w14:paraId="724F0280" w14:textId="77777777" w:rsidR="000F77C7" w:rsidRDefault="000F77C7" w:rsidP="000F77C7">
      <w:pPr>
        <w:tabs>
          <w:tab w:val="left" w:pos="533"/>
        </w:tabs>
      </w:pPr>
      <w:r>
        <w:rPr>
          <w:rFonts w:hint="cs"/>
          <w:rtl/>
        </w:rPr>
        <w:t>10.</w:t>
      </w:r>
      <w:r>
        <w:rPr>
          <w:rFonts w:hint="cs"/>
          <w:rtl/>
        </w:rPr>
        <w:tab/>
        <w:t xml:space="preserve">על יסוד כלל השיקולים שפורטו לעיל, </w:t>
      </w:r>
      <w:r>
        <w:rPr>
          <w:rtl/>
        </w:rPr>
        <w:t xml:space="preserve">ראיתי לקבוע </w:t>
      </w:r>
      <w:r w:rsidRPr="008B75D6">
        <w:rPr>
          <w:b/>
          <w:bCs/>
          <w:rtl/>
        </w:rPr>
        <w:t xml:space="preserve">מתחם הנע בין </w:t>
      </w:r>
      <w:r>
        <w:rPr>
          <w:rFonts w:hint="cs"/>
          <w:b/>
          <w:bCs/>
          <w:rtl/>
        </w:rPr>
        <w:t>11</w:t>
      </w:r>
      <w:r w:rsidRPr="008B75D6">
        <w:rPr>
          <w:rFonts w:hint="cs"/>
          <w:b/>
          <w:bCs/>
          <w:rtl/>
        </w:rPr>
        <w:t xml:space="preserve"> חודשי מאסר </w:t>
      </w:r>
      <w:r w:rsidRPr="008B75D6">
        <w:rPr>
          <w:b/>
          <w:bCs/>
          <w:rtl/>
        </w:rPr>
        <w:t xml:space="preserve">ל- </w:t>
      </w:r>
      <w:r>
        <w:rPr>
          <w:rFonts w:hint="cs"/>
          <w:b/>
          <w:bCs/>
          <w:rtl/>
        </w:rPr>
        <w:t>34</w:t>
      </w:r>
      <w:r w:rsidRPr="008B75D6">
        <w:rPr>
          <w:b/>
          <w:bCs/>
          <w:rtl/>
        </w:rPr>
        <w:t xml:space="preserve"> חודשי מאסר</w:t>
      </w:r>
      <w:r>
        <w:rPr>
          <w:rtl/>
        </w:rPr>
        <w:t>.</w:t>
      </w:r>
    </w:p>
    <w:p w14:paraId="5C1FCA48" w14:textId="77777777" w:rsidR="000F77C7" w:rsidRPr="008B75D6" w:rsidRDefault="000F77C7" w:rsidP="000F77C7">
      <w:pPr>
        <w:spacing w:line="360" w:lineRule="auto"/>
        <w:ind w:left="567" w:hanging="567"/>
        <w:rPr>
          <w:rtl/>
        </w:rPr>
      </w:pPr>
    </w:p>
    <w:p w14:paraId="4AA007A5" w14:textId="77777777" w:rsidR="000F77C7" w:rsidRDefault="000F77C7" w:rsidP="000F77C7">
      <w:pPr>
        <w:ind w:left="567" w:hanging="567"/>
        <w:jc w:val="both"/>
        <w:rPr>
          <w:rtl/>
        </w:rPr>
      </w:pPr>
    </w:p>
    <w:p w14:paraId="78521676" w14:textId="77777777" w:rsidR="000F77C7" w:rsidRDefault="000F77C7" w:rsidP="000F77C7">
      <w:pPr>
        <w:spacing w:line="360" w:lineRule="auto"/>
        <w:ind w:left="567" w:hanging="567"/>
        <w:jc w:val="both"/>
        <w:rPr>
          <w:u w:val="single"/>
          <w:rtl/>
        </w:rPr>
      </w:pPr>
      <w:r>
        <w:rPr>
          <w:rtl/>
        </w:rPr>
        <w:tab/>
      </w:r>
      <w:r>
        <w:rPr>
          <w:rFonts w:hint="cs"/>
          <w:u w:val="single"/>
          <w:rtl/>
        </w:rPr>
        <w:t>קביעת העונש המתאים ללא שיקולי שיקום</w:t>
      </w:r>
    </w:p>
    <w:p w14:paraId="00349EB0" w14:textId="77777777" w:rsidR="000F77C7" w:rsidRDefault="000F77C7" w:rsidP="000F77C7">
      <w:pPr>
        <w:spacing w:line="360" w:lineRule="auto"/>
        <w:ind w:left="567" w:hanging="567"/>
        <w:jc w:val="both"/>
        <w:rPr>
          <w:u w:val="single"/>
          <w:rtl/>
        </w:rPr>
      </w:pPr>
    </w:p>
    <w:p w14:paraId="7DB8761D" w14:textId="77777777" w:rsidR="000F77C7" w:rsidRDefault="000F77C7" w:rsidP="000F77C7">
      <w:pPr>
        <w:spacing w:line="360" w:lineRule="auto"/>
        <w:ind w:left="567" w:hanging="567"/>
        <w:jc w:val="both"/>
        <w:rPr>
          <w:rtl/>
        </w:rPr>
      </w:pPr>
      <w:r w:rsidRPr="008B75D6">
        <w:rPr>
          <w:rFonts w:hint="cs"/>
          <w:rtl/>
        </w:rPr>
        <w:t>11.</w:t>
      </w:r>
      <w:r w:rsidRPr="008B75D6">
        <w:rPr>
          <w:rFonts w:hint="cs"/>
          <w:rtl/>
        </w:rPr>
        <w:tab/>
      </w:r>
      <w:r>
        <w:rPr>
          <w:rFonts w:hint="cs"/>
          <w:rtl/>
        </w:rPr>
        <w:t xml:space="preserve">דומה כי לא הייתה מחלוקת כי בהינתן נתוניו של הנאשם, יש לגזור את דינו בהתאם לרף התחתון של המתחם. </w:t>
      </w:r>
    </w:p>
    <w:p w14:paraId="28982EE0" w14:textId="77777777" w:rsidR="000F77C7" w:rsidRDefault="000F77C7" w:rsidP="000F77C7">
      <w:pPr>
        <w:spacing w:line="360" w:lineRule="auto"/>
        <w:ind w:left="567" w:hanging="567"/>
        <w:jc w:val="both"/>
        <w:rPr>
          <w:rtl/>
        </w:rPr>
      </w:pPr>
      <w:r>
        <w:rPr>
          <w:rtl/>
        </w:rPr>
        <w:tab/>
      </w:r>
      <w:r>
        <w:rPr>
          <w:rFonts w:hint="cs"/>
          <w:rtl/>
        </w:rPr>
        <w:t>מסקנה זו מתבקשת נוכח השילוב שבין הנתונים הבאים:</w:t>
      </w:r>
    </w:p>
    <w:p w14:paraId="714AFE4B" w14:textId="77777777" w:rsidR="000F77C7" w:rsidRDefault="000F77C7" w:rsidP="000F77C7">
      <w:pPr>
        <w:spacing w:line="360" w:lineRule="auto"/>
        <w:ind w:left="567" w:hanging="567"/>
        <w:jc w:val="both"/>
        <w:rPr>
          <w:rtl/>
        </w:rPr>
      </w:pPr>
    </w:p>
    <w:p w14:paraId="650A88EB" w14:textId="77777777" w:rsidR="000F77C7" w:rsidRDefault="000F77C7" w:rsidP="000F77C7">
      <w:pPr>
        <w:spacing w:line="360" w:lineRule="auto"/>
        <w:ind w:left="567" w:hanging="567"/>
        <w:jc w:val="both"/>
        <w:rPr>
          <w:rtl/>
        </w:rPr>
      </w:pPr>
      <w:r>
        <w:rPr>
          <w:rFonts w:hint="cs"/>
          <w:rtl/>
        </w:rPr>
        <w:t xml:space="preserve">(א) </w:t>
      </w:r>
      <w:r>
        <w:rPr>
          <w:rtl/>
        </w:rPr>
        <w:tab/>
      </w:r>
      <w:r>
        <w:rPr>
          <w:rFonts w:hint="cs"/>
          <w:b/>
          <w:bCs/>
          <w:rtl/>
        </w:rPr>
        <w:t>הודאת הנאשם</w:t>
      </w:r>
      <w:r>
        <w:rPr>
          <w:rFonts w:hint="cs"/>
          <w:rtl/>
        </w:rPr>
        <w:t xml:space="preserve"> - מדובר במי שקיבל אחריות על מעשיו כבר בחקירת המשטרה, ובהמשך, בפתח ההליך המשפטי, וזאת מבלי שבית המשפט נדרש לשמיעת ראיות. מעבר לחיסכון בזמן ציבורי, יש משקל משמעותי להודאה בהיבט של הפנמת הפסול במעשים, ובמקרה דנן, נראה כי מדובר בנאשם אשר מביע חרטה אותנטית ומכה על חטא;</w:t>
      </w:r>
    </w:p>
    <w:p w14:paraId="60337B02" w14:textId="77777777" w:rsidR="000F77C7" w:rsidRDefault="000F77C7" w:rsidP="000F77C7">
      <w:pPr>
        <w:spacing w:line="360" w:lineRule="auto"/>
        <w:ind w:left="567" w:hanging="567"/>
        <w:jc w:val="both"/>
        <w:rPr>
          <w:rtl/>
        </w:rPr>
      </w:pPr>
    </w:p>
    <w:p w14:paraId="3202DB30" w14:textId="77777777" w:rsidR="000F77C7" w:rsidRDefault="000F77C7" w:rsidP="000F77C7">
      <w:pPr>
        <w:spacing w:line="360" w:lineRule="auto"/>
        <w:ind w:left="567" w:hanging="567"/>
        <w:jc w:val="both"/>
        <w:rPr>
          <w:rtl/>
        </w:rPr>
      </w:pPr>
      <w:r>
        <w:rPr>
          <w:rFonts w:hint="cs"/>
          <w:rtl/>
        </w:rPr>
        <w:t>(ב)</w:t>
      </w:r>
      <w:r>
        <w:rPr>
          <w:rtl/>
        </w:rPr>
        <w:tab/>
      </w:r>
      <w:r>
        <w:rPr>
          <w:rFonts w:hint="cs"/>
          <w:b/>
          <w:bCs/>
          <w:rtl/>
        </w:rPr>
        <w:t>אין לחובת הנאשם הרשעות פליליות קודמות</w:t>
      </w:r>
      <w:r>
        <w:rPr>
          <w:rFonts w:hint="cs"/>
          <w:rtl/>
        </w:rPr>
        <w:t xml:space="preserve"> - יש לראות בנתון זה כנתון בעל משקל של ממש ביחס למיקומו של הנאשם במתחם העונש ההולם. אציין כי עיון בגיליון הרשעותיו התעבורתיות של הנאשם מלמד כי אין המדובר בגיליון בעל מימד מכביד במיוחד, ורובו המכריע כולל עבירות של ברירת קנס;</w:t>
      </w:r>
    </w:p>
    <w:p w14:paraId="329F83A6" w14:textId="77777777" w:rsidR="000F77C7" w:rsidRDefault="000F77C7" w:rsidP="000F77C7">
      <w:pPr>
        <w:spacing w:line="360" w:lineRule="auto"/>
        <w:ind w:left="567" w:hanging="567"/>
        <w:jc w:val="both"/>
        <w:rPr>
          <w:rtl/>
        </w:rPr>
      </w:pPr>
    </w:p>
    <w:p w14:paraId="2C8A4E86" w14:textId="77777777" w:rsidR="000F77C7" w:rsidRDefault="000F77C7" w:rsidP="000F77C7">
      <w:pPr>
        <w:spacing w:line="360" w:lineRule="auto"/>
        <w:ind w:left="567" w:hanging="567"/>
        <w:jc w:val="both"/>
        <w:rPr>
          <w:rtl/>
        </w:rPr>
      </w:pPr>
      <w:r>
        <w:rPr>
          <w:rFonts w:hint="cs"/>
          <w:rtl/>
        </w:rPr>
        <w:t>(ג)</w:t>
      </w:r>
      <w:r>
        <w:rPr>
          <w:rtl/>
        </w:rPr>
        <w:tab/>
      </w:r>
      <w:r>
        <w:rPr>
          <w:rFonts w:hint="cs"/>
          <w:b/>
          <w:bCs/>
          <w:rtl/>
        </w:rPr>
        <w:t>במסגרת הליכים אזרחיים שנוהלו בין הנאשם למתלונן</w:t>
      </w:r>
      <w:r>
        <w:rPr>
          <w:rFonts w:hint="cs"/>
          <w:rtl/>
        </w:rPr>
        <w:t xml:space="preserve">, ובהסכמת הנאשם, שילם הנאשם למתלונן סכום של 60,000 ₪, ובהמשך, במסגרת הליכי "צדק מאחה" שיפורטו להלן, שילם סכום פיצוי נוסף בסך 10,000 ₪. כמובן, שאין בתשלום פיצוי כדי לזכות "באופן אוטומטי" את המפצה בהקלה, אולם במקרה דנן, נראה כי התנהלות הנאשם במישור זה, משתלבת עם הבעת החרטה וההכאה על חטא, כפי שתוארה לעיל. </w:t>
      </w:r>
    </w:p>
    <w:p w14:paraId="50F32EA4" w14:textId="77777777" w:rsidR="000F77C7" w:rsidRDefault="000F77C7" w:rsidP="000F77C7">
      <w:pPr>
        <w:spacing w:line="360" w:lineRule="auto"/>
        <w:ind w:left="567" w:hanging="567"/>
        <w:jc w:val="both"/>
        <w:rPr>
          <w:rtl/>
        </w:rPr>
      </w:pPr>
    </w:p>
    <w:p w14:paraId="1C5119C1" w14:textId="77777777" w:rsidR="000F77C7" w:rsidRDefault="000F77C7" w:rsidP="000F77C7">
      <w:pPr>
        <w:spacing w:line="360" w:lineRule="auto"/>
        <w:ind w:left="567" w:hanging="567"/>
        <w:jc w:val="both"/>
        <w:rPr>
          <w:rtl/>
        </w:rPr>
      </w:pPr>
      <w:r>
        <w:rPr>
          <w:rFonts w:hint="cs"/>
          <w:rtl/>
        </w:rPr>
        <w:t>(ד)</w:t>
      </w:r>
      <w:r>
        <w:rPr>
          <w:rtl/>
        </w:rPr>
        <w:tab/>
      </w:r>
      <w:r w:rsidRPr="00C62889">
        <w:rPr>
          <w:rFonts w:hint="cs"/>
          <w:b/>
          <w:bCs/>
          <w:rtl/>
        </w:rPr>
        <w:t>נתונים אישיים מורכבים</w:t>
      </w:r>
      <w:r>
        <w:rPr>
          <w:rFonts w:hint="cs"/>
          <w:rtl/>
        </w:rPr>
        <w:t xml:space="preserve"> - מתסקיר שרות המבחן עולה כי מדובר בנאשם בן 46, נשוי ואב לשני ילדים קטינים בני 13, אשר עבד במשך שנים בעסק המשפחתי עם אביו, וחווה בשנים האחרונות קריסה כלכלית, באופן שלאחר פטירת אביו, התמודד עם חובות בסכום של כ- 7 מיליון ₪. הנאשם החל לסבול מחרדות ולחצים, פנה לקבלת טיפול רגשי, וניסה אט אט לשקם את חייו. </w:t>
      </w:r>
    </w:p>
    <w:p w14:paraId="6E55C239" w14:textId="77777777" w:rsidR="000F77C7" w:rsidRDefault="000F77C7" w:rsidP="000F77C7">
      <w:pPr>
        <w:spacing w:line="360" w:lineRule="auto"/>
        <w:ind w:left="567" w:hanging="567"/>
        <w:jc w:val="both"/>
        <w:rPr>
          <w:rtl/>
        </w:rPr>
      </w:pPr>
    </w:p>
    <w:p w14:paraId="6B08FEFD" w14:textId="77777777" w:rsidR="000F77C7" w:rsidRPr="00384F55" w:rsidRDefault="000F77C7" w:rsidP="000F77C7">
      <w:pPr>
        <w:spacing w:line="360" w:lineRule="auto"/>
        <w:ind w:left="567" w:hanging="567"/>
        <w:jc w:val="both"/>
        <w:rPr>
          <w:rtl/>
        </w:rPr>
      </w:pPr>
      <w:r>
        <w:rPr>
          <w:rFonts w:hint="cs"/>
          <w:rtl/>
        </w:rPr>
        <w:t>12.</w:t>
      </w:r>
      <w:r>
        <w:rPr>
          <w:rFonts w:hint="cs"/>
          <w:rtl/>
        </w:rPr>
        <w:tab/>
        <w:t xml:space="preserve">לאור האמור לעיל, וככל שהייתי נדרש לקביעת עונשו של הנאשם ללא שיקולי שיקום, ומתן משקל לאותו הליך של "צדק מאחה" היה מקום לגזור את דינו של הנאשם בהתאם לרף התחתון של המתחם ולהעמיד את עונשו על 11 חודשי מאסר. </w:t>
      </w:r>
    </w:p>
    <w:p w14:paraId="532B1A88" w14:textId="77777777" w:rsidR="000F77C7" w:rsidRPr="008B75D6" w:rsidRDefault="000F77C7" w:rsidP="000F77C7">
      <w:pPr>
        <w:spacing w:line="360" w:lineRule="auto"/>
        <w:ind w:left="567" w:hanging="567"/>
        <w:jc w:val="both"/>
        <w:rPr>
          <w:rtl/>
        </w:rPr>
      </w:pPr>
    </w:p>
    <w:p w14:paraId="37A5BF87" w14:textId="77777777" w:rsidR="000F77C7" w:rsidRPr="003A1668" w:rsidRDefault="000F77C7" w:rsidP="000F77C7">
      <w:pPr>
        <w:spacing w:line="360" w:lineRule="auto"/>
        <w:ind w:left="567" w:hanging="567"/>
        <w:jc w:val="both"/>
        <w:rPr>
          <w:u w:val="single"/>
          <w:rtl/>
        </w:rPr>
      </w:pPr>
      <w:r>
        <w:rPr>
          <w:rtl/>
        </w:rPr>
        <w:tab/>
      </w:r>
      <w:r w:rsidRPr="003A1668">
        <w:rPr>
          <w:rFonts w:hint="cs"/>
          <w:u w:val="single"/>
          <w:rtl/>
        </w:rPr>
        <w:t xml:space="preserve">תסקירי שרות המבחן </w:t>
      </w:r>
      <w:r>
        <w:rPr>
          <w:rFonts w:hint="cs"/>
          <w:u w:val="single"/>
          <w:rtl/>
        </w:rPr>
        <w:t>וסקירת הליך "הצדק ה</w:t>
      </w:r>
      <w:r w:rsidRPr="003A1668">
        <w:rPr>
          <w:rFonts w:hint="cs"/>
          <w:u w:val="single"/>
          <w:rtl/>
        </w:rPr>
        <w:t>מאחה" שנערך</w:t>
      </w:r>
    </w:p>
    <w:p w14:paraId="6CB17C00" w14:textId="77777777" w:rsidR="000F77C7" w:rsidRDefault="000F77C7" w:rsidP="000F77C7">
      <w:pPr>
        <w:spacing w:line="360" w:lineRule="auto"/>
        <w:ind w:left="567" w:hanging="567"/>
        <w:jc w:val="both"/>
        <w:rPr>
          <w:rtl/>
        </w:rPr>
      </w:pPr>
    </w:p>
    <w:p w14:paraId="6FEF03A8" w14:textId="77777777" w:rsidR="000F77C7" w:rsidRDefault="000F77C7" w:rsidP="000F77C7">
      <w:pPr>
        <w:spacing w:line="360" w:lineRule="auto"/>
        <w:ind w:left="567" w:hanging="567"/>
        <w:jc w:val="both"/>
        <w:rPr>
          <w:rtl/>
        </w:rPr>
      </w:pPr>
      <w:r>
        <w:rPr>
          <w:rFonts w:hint="cs"/>
          <w:rtl/>
        </w:rPr>
        <w:t>13.</w:t>
      </w:r>
      <w:r>
        <w:rPr>
          <w:rFonts w:hint="cs"/>
          <w:rtl/>
        </w:rPr>
        <w:tab/>
        <w:t xml:space="preserve">שרות המבחן סקר במסגרת התסקיר הראשון את נתוניו של הנאשם, כפי שאלה פורטו לעיל. עוד צוין כי שרות המבחן התרשם כי בעקבות ההליך הפלילי התמודד הנאשם עם השלכותיה המורכבות של התאונה, וההליך המשפטי היווה עבורו גורם הרתעה משמעותי. צוין כי התנהלות הנאשם אינה עולה בקנה אחד עם תפיסתו העצמית כאדם חיובי ומיטיב, והוא חש תחושת בושה. השימוש בסם תואר ככזה שסייע לו בהתמודדות עם מות אביו. שרות המבחן התרשם כי הנאשם התפתח בצל אב דומיננטי, התקשה לגבש זהות עצמאית, ומגיל צעיר נענה לציפיות המשפחתיות והשתלב בעסק המשפחתי, אף במחיר פגיעה בהתפתחותו בהתאם לבני גילו, ועל חשבון בחירותיו האישיות. הנאשם היה ממוקד בפן התעסוקתי והתפקודי מתוך צורך לרצות את אביו, כשחלקים אלו היו דומיננטיים והסבו לו לחץ. עם פטירת אביו באופן מפתיע, קיבל על עצמו הנאשם את ההתמודדות עם המורכבות העסקית, ופנה לשימוש בקוקאין כדרך להימנעות מהתמודדות ישירה עם מצבו. שרות המבחן ציין כי הנאשם זקוק למעורבות טיפולית נוכח העומס הרגשי בו הוא נתון, והמליץ על שילובו בהליך שיקומי המתקיים בשרות המבחן. </w:t>
      </w:r>
    </w:p>
    <w:p w14:paraId="3F6C4762" w14:textId="77777777" w:rsidR="000F77C7" w:rsidRDefault="000F77C7" w:rsidP="000F77C7">
      <w:pPr>
        <w:spacing w:line="360" w:lineRule="auto"/>
        <w:ind w:left="567" w:hanging="567"/>
        <w:jc w:val="both"/>
        <w:rPr>
          <w:rtl/>
        </w:rPr>
      </w:pPr>
    </w:p>
    <w:p w14:paraId="37FB3E1D" w14:textId="77777777" w:rsidR="000F77C7" w:rsidRDefault="000F77C7" w:rsidP="000F77C7">
      <w:pPr>
        <w:tabs>
          <w:tab w:val="left" w:pos="533"/>
        </w:tabs>
        <w:spacing w:line="360" w:lineRule="auto"/>
        <w:ind w:left="533" w:hanging="533"/>
        <w:jc w:val="both"/>
        <w:rPr>
          <w:rtl/>
        </w:rPr>
      </w:pPr>
      <w:r>
        <w:rPr>
          <w:rFonts w:hint="cs"/>
          <w:rtl/>
        </w:rPr>
        <w:t>14.</w:t>
      </w:r>
      <w:r>
        <w:rPr>
          <w:rFonts w:hint="cs"/>
          <w:rtl/>
        </w:rPr>
        <w:tab/>
        <w:t xml:space="preserve">במקביל, ולאור דברי הנאשם במהלך  ישיבת יום 12.10.21, סברתי כי יהא זה נכון במקרה דנן, לבחון אפשרות של קיום הליך של "צדק מאחה", וזה אכן קוים. </w:t>
      </w:r>
    </w:p>
    <w:p w14:paraId="3C8AAB43" w14:textId="77777777" w:rsidR="000F77C7" w:rsidRDefault="000F77C7" w:rsidP="000F77C7">
      <w:pPr>
        <w:tabs>
          <w:tab w:val="left" w:pos="533"/>
        </w:tabs>
        <w:spacing w:line="360" w:lineRule="auto"/>
        <w:ind w:left="533" w:hanging="533"/>
        <w:jc w:val="both"/>
        <w:rPr>
          <w:rtl/>
        </w:rPr>
      </w:pPr>
    </w:p>
    <w:p w14:paraId="2ED9032E" w14:textId="77777777" w:rsidR="000F77C7" w:rsidRDefault="000F77C7" w:rsidP="000F77C7">
      <w:pPr>
        <w:tabs>
          <w:tab w:val="left" w:pos="533"/>
        </w:tabs>
        <w:spacing w:line="360" w:lineRule="auto"/>
        <w:ind w:left="533" w:hanging="533"/>
        <w:jc w:val="both"/>
        <w:rPr>
          <w:rtl/>
        </w:rPr>
      </w:pPr>
      <w:r>
        <w:rPr>
          <w:rtl/>
        </w:rPr>
        <w:tab/>
      </w:r>
      <w:r>
        <w:rPr>
          <w:rFonts w:hint="cs"/>
          <w:rtl/>
        </w:rPr>
        <w:t xml:space="preserve">מעדכון שרות המבחן בדבר ההליך, עלה כי נערך מפגש בין המתלונן לנאשם, במסגרתו תיאר נפגע העבירה באוזניי הנאשם את המחירים שגבתה התאונה ממנו ומבני משפחתו, וגילה הבנה גם ביחס לעובדה שהאירוע השפיע באופן משמעותי על הנאשם. המתלונן ביקש להבין את הסיבה בגינה הנאשם לא עצר כדי לסייע לו לאחר הפגיעה. הנאשם תיאר את האירוע, הביע צער כנה על הפגיעה במתלונן, וביקש לשמוע על השפעת התאונה על חייו של המתלונן וחיי בני משפחתו. הנאשם תיאר את השינויים שקרו בחייו בעקבות האירוע, וגילה תובנה ביחס לחומרת מעשיו, תוך ששיתף בתחושות של אשמה, בושה, וייסורי מצפון על התנהגותו בזמן התאונה ולאחריה. במהלך המפגש הודה הנאשם למתלונן על נכונותו לפגוש אותו, וביקש את סליחתו. </w:t>
      </w:r>
    </w:p>
    <w:p w14:paraId="565BCD62" w14:textId="77777777" w:rsidR="000F77C7" w:rsidRDefault="000F77C7" w:rsidP="000F77C7">
      <w:pPr>
        <w:tabs>
          <w:tab w:val="left" w:pos="533"/>
        </w:tabs>
        <w:spacing w:line="360" w:lineRule="auto"/>
        <w:ind w:left="533" w:hanging="533"/>
        <w:jc w:val="both"/>
        <w:rPr>
          <w:rtl/>
        </w:rPr>
      </w:pPr>
    </w:p>
    <w:p w14:paraId="1AE301FE" w14:textId="77777777" w:rsidR="000F77C7" w:rsidRDefault="000F77C7" w:rsidP="000F77C7">
      <w:pPr>
        <w:tabs>
          <w:tab w:val="left" w:pos="533"/>
        </w:tabs>
        <w:spacing w:line="360" w:lineRule="auto"/>
        <w:ind w:left="533" w:hanging="533"/>
        <w:jc w:val="both"/>
        <w:rPr>
          <w:rtl/>
        </w:rPr>
      </w:pPr>
      <w:r>
        <w:rPr>
          <w:rtl/>
        </w:rPr>
        <w:tab/>
      </w:r>
      <w:r>
        <w:rPr>
          <w:rFonts w:hint="cs"/>
          <w:rtl/>
        </w:rPr>
        <w:t xml:space="preserve">שרות המבחן ציין כי המפגש התנהל באווירה מכבדת, כאשר בלטו עוצמת רגשיות של הצדדים, סביב תוצאותיה והשלכותיה הקשות של התאונה. עוד צוין כי המתלונן קיבל מענה לשאלות שהטרידו אותו, והרגיש כי הנאשם מדבר בכנות ומדם ליבו. הצדדים אף הגיעו להסכמה לפיה הנאשם ישלם למתלונן סכום של 10,000 ₪ (בנוסף לסכום הפיצוי האזרחי ששולם) וסכום זה הועבר אליו מיד עם סיום המפגש. </w:t>
      </w:r>
    </w:p>
    <w:p w14:paraId="11D03B80" w14:textId="77777777" w:rsidR="000F77C7" w:rsidRDefault="000F77C7" w:rsidP="000F77C7">
      <w:pPr>
        <w:tabs>
          <w:tab w:val="left" w:pos="533"/>
        </w:tabs>
        <w:spacing w:line="360" w:lineRule="auto"/>
        <w:ind w:left="533" w:hanging="533"/>
        <w:jc w:val="both"/>
        <w:rPr>
          <w:rtl/>
        </w:rPr>
      </w:pPr>
    </w:p>
    <w:p w14:paraId="7C876940" w14:textId="77777777" w:rsidR="000F77C7" w:rsidRDefault="000F77C7" w:rsidP="000F77C7">
      <w:pPr>
        <w:tabs>
          <w:tab w:val="left" w:pos="533"/>
        </w:tabs>
        <w:spacing w:line="360" w:lineRule="auto"/>
        <w:ind w:left="533" w:hanging="533"/>
        <w:jc w:val="both"/>
        <w:rPr>
          <w:rtl/>
        </w:rPr>
      </w:pPr>
      <w:r>
        <w:rPr>
          <w:rtl/>
        </w:rPr>
        <w:tab/>
      </w:r>
      <w:r>
        <w:rPr>
          <w:rFonts w:hint="cs"/>
          <w:rtl/>
        </w:rPr>
        <w:t xml:space="preserve">מהתסקיר העדכני שהוגש עולה כי ההליך והמפגש עם הנפגע קידמו את הנאשם בכל הקשור להפנמת משמעות הפגיעה והכרה בנזק שגרם, איפשרו לו תחושת כפרה מסוימת, ומכאן חזר שרות המבחן על המלצתו לשילוב הנאשם בהליך טיפולי (הוצעה קבוצה טיפולית המיועדת לנהגים פוצעים) וזאת במסגרת צו מבחן. </w:t>
      </w:r>
    </w:p>
    <w:p w14:paraId="71DDAE96" w14:textId="77777777" w:rsidR="000F77C7" w:rsidRDefault="000F77C7" w:rsidP="000F77C7">
      <w:pPr>
        <w:tabs>
          <w:tab w:val="left" w:pos="533"/>
        </w:tabs>
        <w:spacing w:line="360" w:lineRule="auto"/>
        <w:ind w:left="533" w:hanging="533"/>
        <w:jc w:val="both"/>
        <w:rPr>
          <w:rtl/>
        </w:rPr>
      </w:pPr>
    </w:p>
    <w:p w14:paraId="607FB7E3" w14:textId="77777777" w:rsidR="000F77C7" w:rsidRDefault="000F77C7" w:rsidP="000F77C7">
      <w:pPr>
        <w:tabs>
          <w:tab w:val="left" w:pos="533"/>
        </w:tabs>
        <w:spacing w:line="360" w:lineRule="auto"/>
        <w:ind w:left="533" w:hanging="533"/>
        <w:jc w:val="both"/>
        <w:rPr>
          <w:rtl/>
        </w:rPr>
      </w:pPr>
      <w:r>
        <w:rPr>
          <w:rFonts w:hint="cs"/>
          <w:rtl/>
        </w:rPr>
        <w:t>15.</w:t>
      </w:r>
      <w:r>
        <w:rPr>
          <w:rFonts w:hint="cs"/>
          <w:rtl/>
        </w:rPr>
        <w:tab/>
      </w:r>
      <w:hyperlink r:id="rId42" w:history="1">
        <w:r w:rsidR="00DF6D78" w:rsidRPr="00DF6D78">
          <w:rPr>
            <w:rStyle w:val="Hyperlink"/>
            <w:rFonts w:hint="eastAsia"/>
            <w:rtl/>
          </w:rPr>
          <w:t>סעיף</w:t>
        </w:r>
        <w:r w:rsidR="00DF6D78" w:rsidRPr="00DF6D78">
          <w:rPr>
            <w:rStyle w:val="Hyperlink"/>
            <w:rtl/>
          </w:rPr>
          <w:t xml:space="preserve"> 40ד</w:t>
        </w:r>
      </w:hyperlink>
      <w:r>
        <w:rPr>
          <w:rFonts w:hint="cs"/>
          <w:rtl/>
        </w:rPr>
        <w:t xml:space="preserve"> ל</w:t>
      </w:r>
      <w:hyperlink r:id="rId43" w:history="1">
        <w:r w:rsidR="00304B19" w:rsidRPr="00304B19">
          <w:rPr>
            <w:color w:val="0000FF"/>
            <w:u w:val="single"/>
            <w:rtl/>
          </w:rPr>
          <w:t>חוק העונשין</w:t>
        </w:r>
      </w:hyperlink>
      <w:r>
        <w:rPr>
          <w:rFonts w:hint="cs"/>
          <w:rtl/>
        </w:rPr>
        <w:t xml:space="preserve">, קובע כי בית המשפט רשאי לחרוג ממתחם העונש ההולם היה ומצא כי הנאשם השתקם או כי יש סיכוי של ממש שישתקם. </w:t>
      </w:r>
    </w:p>
    <w:p w14:paraId="1EBE61FF" w14:textId="77777777" w:rsidR="000F77C7" w:rsidRDefault="000F77C7" w:rsidP="000F77C7">
      <w:pPr>
        <w:tabs>
          <w:tab w:val="left" w:pos="533"/>
        </w:tabs>
        <w:spacing w:line="360" w:lineRule="auto"/>
        <w:ind w:left="533" w:hanging="533"/>
        <w:jc w:val="both"/>
        <w:rPr>
          <w:rtl/>
        </w:rPr>
      </w:pPr>
    </w:p>
    <w:p w14:paraId="08C24802" w14:textId="77777777" w:rsidR="000F77C7" w:rsidRDefault="000F77C7" w:rsidP="000F77C7">
      <w:pPr>
        <w:tabs>
          <w:tab w:val="left" w:pos="533"/>
        </w:tabs>
        <w:spacing w:line="360" w:lineRule="auto"/>
        <w:ind w:left="533" w:hanging="533"/>
        <w:jc w:val="both"/>
        <w:rPr>
          <w:b/>
          <w:bCs/>
          <w:rtl/>
        </w:rPr>
      </w:pPr>
      <w:r>
        <w:rPr>
          <w:rtl/>
        </w:rPr>
        <w:tab/>
      </w:r>
      <w:r>
        <w:rPr>
          <w:rFonts w:hint="cs"/>
          <w:rtl/>
        </w:rPr>
        <w:t xml:space="preserve">במקרה דנן, הגעתי למסקנה כי מדובר בנאשם אשר יש סיכוי של ממש שישתקם, וזו מבוססת על מספר נדבכים: </w:t>
      </w:r>
    </w:p>
    <w:p w14:paraId="20513C6F" w14:textId="77777777" w:rsidR="000F77C7" w:rsidRDefault="000F77C7" w:rsidP="000F77C7">
      <w:pPr>
        <w:tabs>
          <w:tab w:val="left" w:pos="533"/>
        </w:tabs>
        <w:spacing w:line="360" w:lineRule="auto"/>
        <w:ind w:left="533" w:hanging="533"/>
        <w:jc w:val="both"/>
        <w:rPr>
          <w:b/>
          <w:bCs/>
          <w:rtl/>
        </w:rPr>
      </w:pPr>
    </w:p>
    <w:p w14:paraId="678841A4" w14:textId="77777777" w:rsidR="000F77C7" w:rsidRDefault="000F77C7" w:rsidP="000F77C7">
      <w:pPr>
        <w:tabs>
          <w:tab w:val="left" w:pos="533"/>
        </w:tabs>
        <w:spacing w:line="360" w:lineRule="auto"/>
        <w:ind w:left="533" w:hanging="533"/>
        <w:jc w:val="both"/>
        <w:rPr>
          <w:rtl/>
        </w:rPr>
      </w:pPr>
      <w:r>
        <w:rPr>
          <w:b/>
          <w:bCs/>
          <w:rtl/>
        </w:rPr>
        <w:tab/>
      </w:r>
      <w:r w:rsidRPr="00863C00">
        <w:rPr>
          <w:rFonts w:hint="cs"/>
          <w:b/>
          <w:bCs/>
          <w:rtl/>
        </w:rPr>
        <w:t>הראשון</w:t>
      </w:r>
      <w:r>
        <w:rPr>
          <w:rFonts w:hint="cs"/>
          <w:rtl/>
        </w:rPr>
        <w:t>, הבעת החרטה שגילה הנאשם עת התייצב בתחנת המשטרה, ממנה ניתן ללמוד כי אין המדובר רק במי שניסה לצמצם את "הנזק" בניהול הליך פלילי;</w:t>
      </w:r>
    </w:p>
    <w:p w14:paraId="714B302E" w14:textId="77777777" w:rsidR="000F77C7" w:rsidRDefault="000F77C7" w:rsidP="000F77C7">
      <w:pPr>
        <w:tabs>
          <w:tab w:val="left" w:pos="533"/>
        </w:tabs>
        <w:spacing w:line="360" w:lineRule="auto"/>
        <w:ind w:left="533" w:hanging="533"/>
        <w:jc w:val="both"/>
        <w:rPr>
          <w:rtl/>
        </w:rPr>
      </w:pPr>
    </w:p>
    <w:p w14:paraId="6C843B5C" w14:textId="77777777" w:rsidR="000F77C7" w:rsidRDefault="000F77C7" w:rsidP="000F77C7">
      <w:pPr>
        <w:tabs>
          <w:tab w:val="left" w:pos="533"/>
        </w:tabs>
        <w:spacing w:line="360" w:lineRule="auto"/>
        <w:ind w:left="533" w:hanging="533"/>
        <w:jc w:val="both"/>
        <w:rPr>
          <w:rtl/>
        </w:rPr>
      </w:pPr>
      <w:r>
        <w:rPr>
          <w:rtl/>
        </w:rPr>
        <w:tab/>
      </w:r>
      <w:r w:rsidRPr="00210489">
        <w:rPr>
          <w:rFonts w:hint="cs"/>
          <w:b/>
          <w:bCs/>
          <w:rtl/>
        </w:rPr>
        <w:t>השני</w:t>
      </w:r>
      <w:r>
        <w:rPr>
          <w:rFonts w:hint="cs"/>
          <w:rtl/>
        </w:rPr>
        <w:t>, התרשמות שרות המבחן כפי שזו באה לידי ביטוי בשני התסקירים שהוגשו;</w:t>
      </w:r>
    </w:p>
    <w:p w14:paraId="27E632EE" w14:textId="77777777" w:rsidR="000F77C7" w:rsidRDefault="000F77C7" w:rsidP="000F77C7">
      <w:pPr>
        <w:tabs>
          <w:tab w:val="left" w:pos="533"/>
        </w:tabs>
        <w:spacing w:line="360" w:lineRule="auto"/>
        <w:ind w:left="533" w:hanging="533"/>
        <w:jc w:val="both"/>
        <w:rPr>
          <w:rtl/>
        </w:rPr>
      </w:pPr>
    </w:p>
    <w:p w14:paraId="453CADB3" w14:textId="77777777" w:rsidR="000F77C7" w:rsidRDefault="000F77C7" w:rsidP="000F77C7">
      <w:pPr>
        <w:tabs>
          <w:tab w:val="left" w:pos="533"/>
        </w:tabs>
        <w:spacing w:line="360" w:lineRule="auto"/>
        <w:ind w:left="533" w:hanging="533"/>
        <w:jc w:val="both"/>
        <w:rPr>
          <w:rtl/>
        </w:rPr>
      </w:pPr>
      <w:r>
        <w:rPr>
          <w:rtl/>
        </w:rPr>
        <w:tab/>
      </w:r>
      <w:r w:rsidRPr="00210489">
        <w:rPr>
          <w:rFonts w:hint="cs"/>
          <w:b/>
          <w:bCs/>
          <w:rtl/>
        </w:rPr>
        <w:t>השלישי</w:t>
      </w:r>
      <w:r>
        <w:rPr>
          <w:rFonts w:hint="cs"/>
          <w:rtl/>
        </w:rPr>
        <w:t xml:space="preserve">, התנהלות הנאשם בהליך "הצדק המאחה"; </w:t>
      </w:r>
    </w:p>
    <w:p w14:paraId="43E092AE" w14:textId="77777777" w:rsidR="000F77C7" w:rsidRDefault="000F77C7" w:rsidP="000F77C7">
      <w:pPr>
        <w:tabs>
          <w:tab w:val="left" w:pos="533"/>
        </w:tabs>
        <w:spacing w:line="360" w:lineRule="auto"/>
        <w:ind w:left="533" w:hanging="533"/>
        <w:jc w:val="both"/>
        <w:rPr>
          <w:rtl/>
        </w:rPr>
      </w:pPr>
    </w:p>
    <w:p w14:paraId="1967F135" w14:textId="77777777" w:rsidR="000F77C7" w:rsidRDefault="000F77C7" w:rsidP="000F77C7">
      <w:pPr>
        <w:tabs>
          <w:tab w:val="left" w:pos="533"/>
        </w:tabs>
        <w:spacing w:line="360" w:lineRule="auto"/>
        <w:ind w:left="533" w:hanging="533"/>
        <w:jc w:val="both"/>
        <w:rPr>
          <w:rtl/>
        </w:rPr>
      </w:pPr>
      <w:r>
        <w:rPr>
          <w:rtl/>
        </w:rPr>
        <w:tab/>
      </w:r>
      <w:r w:rsidRPr="00210489">
        <w:rPr>
          <w:rFonts w:hint="cs"/>
          <w:b/>
          <w:bCs/>
          <w:rtl/>
        </w:rPr>
        <w:t>הרביעי</w:t>
      </w:r>
      <w:r>
        <w:rPr>
          <w:rFonts w:hint="cs"/>
          <w:rtl/>
        </w:rPr>
        <w:t xml:space="preserve">, התרשמותי האישית מהתנהלות הנאשם בבית המשפט. </w:t>
      </w:r>
    </w:p>
    <w:p w14:paraId="439D497B" w14:textId="77777777" w:rsidR="000F77C7" w:rsidRDefault="000F77C7" w:rsidP="000F77C7">
      <w:pPr>
        <w:tabs>
          <w:tab w:val="left" w:pos="533"/>
        </w:tabs>
        <w:spacing w:line="360" w:lineRule="auto"/>
        <w:ind w:left="533" w:hanging="533"/>
        <w:jc w:val="both"/>
        <w:rPr>
          <w:rtl/>
        </w:rPr>
      </w:pPr>
    </w:p>
    <w:p w14:paraId="0418DB9D" w14:textId="77777777" w:rsidR="000F77C7" w:rsidRDefault="000F77C7" w:rsidP="000F77C7">
      <w:pPr>
        <w:tabs>
          <w:tab w:val="left" w:pos="533"/>
        </w:tabs>
        <w:spacing w:line="360" w:lineRule="auto"/>
        <w:ind w:left="533" w:hanging="533"/>
        <w:jc w:val="both"/>
        <w:rPr>
          <w:rtl/>
        </w:rPr>
      </w:pPr>
      <w:r>
        <w:rPr>
          <w:rtl/>
        </w:rPr>
        <w:tab/>
      </w:r>
      <w:r>
        <w:rPr>
          <w:rFonts w:hint="cs"/>
          <w:rtl/>
        </w:rPr>
        <w:t xml:space="preserve">השילוב שבין ארבעת נדבכים אלה עם העובדה כי מדובר באדם שהתנהל בצורה נורמטיבית לאורך השנים, מלמד כי מדובר בסיטואציה בה ניתן לקבוע כי קיים סיכוי של ממש שהנאשם ישתקם ולא ישוב ויחזור על מעשיו, כך שניתן להצדיק חריגה מסוימת, גם אם קלה, ממתחם העונש ההולם. </w:t>
      </w:r>
    </w:p>
    <w:p w14:paraId="48ADC70A" w14:textId="77777777" w:rsidR="000F77C7" w:rsidRDefault="000F77C7" w:rsidP="000F77C7">
      <w:pPr>
        <w:tabs>
          <w:tab w:val="left" w:pos="533"/>
        </w:tabs>
        <w:spacing w:line="360" w:lineRule="auto"/>
        <w:ind w:left="533" w:hanging="533"/>
        <w:jc w:val="both"/>
        <w:rPr>
          <w:rtl/>
        </w:rPr>
      </w:pPr>
      <w:r>
        <w:rPr>
          <w:rtl/>
        </w:rPr>
        <w:tab/>
      </w:r>
      <w:r>
        <w:rPr>
          <w:rFonts w:hint="cs"/>
          <w:rtl/>
        </w:rPr>
        <w:t xml:space="preserve">למותר לציין, כי חריגה קלה ממתחם העונש ההולם תאפשר לנאשם לרצות את עונשו בדרך של עבודות שירות, ובאופן זה ניתן יהא להטיל במקביל גם צו מבחן, במסגרתו ימשיך הנאשם בהליך השיקום בדרך שתותווה על-ידי שרות המבחן. </w:t>
      </w:r>
    </w:p>
    <w:p w14:paraId="4DB99C87" w14:textId="77777777" w:rsidR="000F77C7" w:rsidRDefault="000F77C7" w:rsidP="000F77C7">
      <w:pPr>
        <w:spacing w:line="360" w:lineRule="auto"/>
        <w:ind w:left="567" w:hanging="567"/>
        <w:jc w:val="both"/>
        <w:rPr>
          <w:rtl/>
        </w:rPr>
      </w:pPr>
    </w:p>
    <w:p w14:paraId="64B6D556" w14:textId="77777777" w:rsidR="000F77C7" w:rsidRDefault="000F77C7" w:rsidP="000F77C7">
      <w:pPr>
        <w:spacing w:line="360" w:lineRule="auto"/>
        <w:ind w:left="567" w:hanging="567"/>
        <w:jc w:val="both"/>
        <w:rPr>
          <w:rtl/>
        </w:rPr>
      </w:pPr>
      <w:r>
        <w:rPr>
          <w:rFonts w:hint="cs"/>
          <w:rtl/>
        </w:rPr>
        <w:t>16.</w:t>
      </w:r>
      <w:r>
        <w:rPr>
          <w:rFonts w:hint="cs"/>
          <w:rtl/>
        </w:rPr>
        <w:tab/>
        <w:t>לאור כל האמור לעיל, החלטתי להטיל על הנאשם את העונשים הבאים:</w:t>
      </w:r>
    </w:p>
    <w:p w14:paraId="55232C77" w14:textId="77777777" w:rsidR="000F77C7" w:rsidRDefault="000F77C7" w:rsidP="000F77C7">
      <w:pPr>
        <w:spacing w:line="360" w:lineRule="auto"/>
        <w:ind w:left="567" w:hanging="567"/>
        <w:jc w:val="both"/>
        <w:rPr>
          <w:rtl/>
        </w:rPr>
      </w:pPr>
    </w:p>
    <w:p w14:paraId="416DC478" w14:textId="77777777" w:rsidR="000F77C7" w:rsidRDefault="000F77C7" w:rsidP="000F77C7">
      <w:pPr>
        <w:tabs>
          <w:tab w:val="left" w:pos="533"/>
        </w:tabs>
        <w:spacing w:line="360" w:lineRule="auto"/>
        <w:ind w:left="533" w:hanging="533"/>
        <w:jc w:val="both"/>
        <w:rPr>
          <w:rFonts w:ascii="Arial" w:hAnsi="Arial"/>
          <w:rtl/>
        </w:rPr>
      </w:pPr>
      <w:r>
        <w:rPr>
          <w:rFonts w:ascii="Arial" w:hAnsi="Arial" w:hint="cs"/>
          <w:rtl/>
        </w:rPr>
        <w:t xml:space="preserve">א. </w:t>
      </w:r>
      <w:r>
        <w:rPr>
          <w:rFonts w:ascii="Arial" w:hAnsi="Arial"/>
          <w:rtl/>
        </w:rPr>
        <w:tab/>
      </w:r>
      <w:r>
        <w:rPr>
          <w:rFonts w:ascii="Arial" w:hAnsi="Arial" w:hint="cs"/>
          <w:rtl/>
        </w:rPr>
        <w:t xml:space="preserve">9 חודשי מאסר לריצוי בדרך של עבודות שירות בבית חב"ד, רח' ביאליק 2 נס ציונה. </w:t>
      </w:r>
    </w:p>
    <w:p w14:paraId="2B17175F" w14:textId="77777777" w:rsidR="000F77C7" w:rsidRDefault="000F77C7" w:rsidP="000F77C7">
      <w:pPr>
        <w:tabs>
          <w:tab w:val="left" w:pos="533"/>
        </w:tabs>
        <w:spacing w:line="360" w:lineRule="auto"/>
        <w:ind w:left="533" w:hanging="533"/>
        <w:jc w:val="both"/>
        <w:rPr>
          <w:rFonts w:ascii="Arial" w:hAnsi="Arial"/>
          <w:rtl/>
        </w:rPr>
      </w:pPr>
    </w:p>
    <w:p w14:paraId="2FE860F1" w14:textId="77777777" w:rsidR="000F77C7" w:rsidRDefault="000F77C7" w:rsidP="000F77C7">
      <w:pPr>
        <w:tabs>
          <w:tab w:val="left" w:pos="533"/>
        </w:tabs>
        <w:spacing w:line="360" w:lineRule="auto"/>
        <w:ind w:left="533" w:hanging="533"/>
        <w:jc w:val="both"/>
        <w:rPr>
          <w:rFonts w:ascii="Arial" w:hAnsi="Arial"/>
          <w:rtl/>
        </w:rPr>
      </w:pPr>
      <w:r>
        <w:rPr>
          <w:rFonts w:ascii="Arial" w:hAnsi="Arial"/>
          <w:rtl/>
        </w:rPr>
        <w:tab/>
      </w:r>
      <w:r>
        <w:rPr>
          <w:rFonts w:ascii="Arial" w:hAnsi="Arial" w:hint="cs"/>
          <w:rtl/>
        </w:rPr>
        <w:t xml:space="preserve">הנאשם יתייצב ביום 15.5.22 בשעה 08:00 בפני הממונה על עבודות שירות לצורך ריצוי עונשו. </w:t>
      </w:r>
    </w:p>
    <w:p w14:paraId="00DBD7B2" w14:textId="77777777" w:rsidR="000F77C7" w:rsidRDefault="000F77C7" w:rsidP="000F77C7">
      <w:pPr>
        <w:tabs>
          <w:tab w:val="left" w:pos="533"/>
        </w:tabs>
        <w:spacing w:line="360" w:lineRule="auto"/>
        <w:ind w:left="533" w:hanging="533"/>
        <w:jc w:val="both"/>
        <w:rPr>
          <w:rFonts w:ascii="Arial" w:hAnsi="Arial"/>
          <w:rtl/>
        </w:rPr>
      </w:pPr>
    </w:p>
    <w:p w14:paraId="0CEE687C" w14:textId="77777777" w:rsidR="000F77C7" w:rsidRDefault="000F77C7" w:rsidP="000F77C7">
      <w:pPr>
        <w:tabs>
          <w:tab w:val="left" w:pos="533"/>
        </w:tabs>
        <w:spacing w:line="360" w:lineRule="auto"/>
        <w:ind w:left="533" w:hanging="533"/>
        <w:jc w:val="both"/>
        <w:rPr>
          <w:rFonts w:ascii="Arial" w:hAnsi="Arial"/>
        </w:rPr>
      </w:pPr>
      <w:r>
        <w:rPr>
          <w:rFonts w:ascii="Arial" w:hAnsi="Arial"/>
          <w:rtl/>
        </w:rPr>
        <w:tab/>
      </w:r>
      <w:r>
        <w:rPr>
          <w:rFonts w:ascii="Arial" w:hAnsi="Arial" w:hint="cs"/>
          <w:rtl/>
        </w:rPr>
        <w:t xml:space="preserve">הובהר לנאשם כי היה ולא יעמוד בכללים הנהוגים אצל הממונה, בידי הממונה הסמכות להמיר את תקופת המאסר לכזו שתרוצה מאחורי סורג ובריח. </w:t>
      </w:r>
    </w:p>
    <w:p w14:paraId="312B25F4" w14:textId="77777777" w:rsidR="000F77C7" w:rsidRDefault="000F77C7" w:rsidP="000F77C7">
      <w:pPr>
        <w:spacing w:line="360" w:lineRule="auto"/>
        <w:jc w:val="both"/>
        <w:rPr>
          <w:rFonts w:ascii="Arial" w:hAnsi="Arial"/>
        </w:rPr>
      </w:pPr>
      <w:r>
        <w:rPr>
          <w:rFonts w:ascii="Arial" w:hAnsi="Arial" w:hint="cs"/>
          <w:rtl/>
        </w:rPr>
        <w:tab/>
      </w:r>
    </w:p>
    <w:p w14:paraId="5F5BDCDD" w14:textId="77777777" w:rsidR="000F77C7" w:rsidRDefault="000F77C7" w:rsidP="000F77C7">
      <w:pPr>
        <w:tabs>
          <w:tab w:val="left" w:pos="533"/>
        </w:tabs>
        <w:spacing w:line="360" w:lineRule="auto"/>
        <w:ind w:left="533" w:hanging="533"/>
        <w:jc w:val="both"/>
        <w:rPr>
          <w:rFonts w:ascii="Arial" w:hAnsi="Arial"/>
        </w:rPr>
      </w:pPr>
      <w:r>
        <w:rPr>
          <w:rFonts w:ascii="Arial" w:hAnsi="Arial" w:hint="cs"/>
          <w:rtl/>
        </w:rPr>
        <w:t>ב.</w:t>
      </w:r>
      <w:r>
        <w:rPr>
          <w:rFonts w:ascii="Arial" w:hAnsi="Arial"/>
          <w:rtl/>
        </w:rPr>
        <w:tab/>
      </w:r>
      <w:r>
        <w:rPr>
          <w:rFonts w:ascii="Arial" w:hAnsi="Arial" w:hint="cs"/>
          <w:rtl/>
        </w:rPr>
        <w:t xml:space="preserve">6 חודשי מאסר, אולם הנאשם לא יישא עונש זה אלא אם יעבור תוך שלוש שנים מהיום עבירה של נהיגת רכב ברשלנות או בקלות ראש אשר גרמה לחבלה או עבירה של שיבוש הליכי משפט. </w:t>
      </w:r>
    </w:p>
    <w:p w14:paraId="6234FCF6" w14:textId="77777777" w:rsidR="000F77C7" w:rsidRPr="00210489" w:rsidRDefault="000F77C7" w:rsidP="000F77C7">
      <w:pPr>
        <w:tabs>
          <w:tab w:val="left" w:pos="533"/>
        </w:tabs>
        <w:spacing w:line="360" w:lineRule="auto"/>
        <w:ind w:left="533" w:hanging="533"/>
        <w:jc w:val="both"/>
        <w:rPr>
          <w:rFonts w:ascii="Arial" w:hAnsi="Arial"/>
          <w:rtl/>
        </w:rPr>
      </w:pPr>
    </w:p>
    <w:p w14:paraId="25D95677" w14:textId="77777777" w:rsidR="000F77C7" w:rsidRDefault="000F77C7" w:rsidP="000F77C7">
      <w:pPr>
        <w:tabs>
          <w:tab w:val="left" w:pos="533"/>
        </w:tabs>
        <w:spacing w:line="360" w:lineRule="auto"/>
        <w:ind w:left="533" w:hanging="533"/>
        <w:jc w:val="both"/>
        <w:rPr>
          <w:rFonts w:ascii="Arial" w:hAnsi="Arial"/>
          <w:rtl/>
        </w:rPr>
      </w:pPr>
      <w:r>
        <w:rPr>
          <w:rFonts w:ascii="Arial" w:hAnsi="Arial" w:hint="cs"/>
          <w:rtl/>
        </w:rPr>
        <w:t>ג.</w:t>
      </w:r>
      <w:r>
        <w:rPr>
          <w:rFonts w:ascii="Arial" w:hAnsi="Arial"/>
          <w:rtl/>
        </w:rPr>
        <w:tab/>
      </w:r>
      <w:r>
        <w:rPr>
          <w:rFonts w:ascii="Arial" w:hAnsi="Arial" w:hint="cs"/>
          <w:rtl/>
        </w:rPr>
        <w:t xml:space="preserve">2 חודשי מאסר, אולם הנאשם לא יישא עונש זה אלא אם יעבור תוך שלוש שנים מהיום עבירה על פקודת הסמים. </w:t>
      </w:r>
    </w:p>
    <w:p w14:paraId="1DD6D8B1" w14:textId="77777777" w:rsidR="000F77C7" w:rsidRDefault="000F77C7" w:rsidP="000F77C7">
      <w:pPr>
        <w:tabs>
          <w:tab w:val="left" w:pos="533"/>
        </w:tabs>
        <w:spacing w:line="360" w:lineRule="auto"/>
        <w:ind w:left="533" w:hanging="533"/>
        <w:jc w:val="both"/>
        <w:rPr>
          <w:rFonts w:ascii="Arial" w:hAnsi="Arial"/>
          <w:rtl/>
        </w:rPr>
      </w:pPr>
    </w:p>
    <w:p w14:paraId="5643C063" w14:textId="77777777" w:rsidR="000F77C7" w:rsidRDefault="000F77C7" w:rsidP="000F77C7">
      <w:pPr>
        <w:tabs>
          <w:tab w:val="left" w:pos="533"/>
        </w:tabs>
        <w:spacing w:line="360" w:lineRule="auto"/>
        <w:ind w:left="533" w:hanging="533"/>
        <w:jc w:val="both"/>
        <w:rPr>
          <w:rFonts w:ascii="Arial" w:hAnsi="Arial"/>
          <w:rtl/>
        </w:rPr>
      </w:pPr>
      <w:r>
        <w:rPr>
          <w:rFonts w:ascii="Arial" w:hAnsi="Arial" w:hint="cs"/>
          <w:rtl/>
        </w:rPr>
        <w:t>ד.</w:t>
      </w:r>
      <w:r>
        <w:rPr>
          <w:rFonts w:ascii="Arial" w:hAnsi="Arial" w:hint="cs"/>
          <w:rtl/>
        </w:rPr>
        <w:tab/>
        <w:t xml:space="preserve">צו מבחן לתקופה של 12 חודשים. מובהר לנאשם כי היה ויפר את צו המבחן ניתן יהיה להשיבו לבית המשפט, ולגזור את דינו מחדש. </w:t>
      </w:r>
    </w:p>
    <w:p w14:paraId="003877C0" w14:textId="77777777" w:rsidR="000F77C7" w:rsidRDefault="000F77C7" w:rsidP="000F77C7">
      <w:pPr>
        <w:spacing w:line="360" w:lineRule="auto"/>
        <w:ind w:left="720" w:hanging="720"/>
        <w:jc w:val="both"/>
        <w:rPr>
          <w:rFonts w:ascii="Arial" w:hAnsi="Arial"/>
          <w:rtl/>
        </w:rPr>
      </w:pPr>
    </w:p>
    <w:p w14:paraId="1156B5CD" w14:textId="77777777" w:rsidR="000F77C7" w:rsidRDefault="000F77C7" w:rsidP="000F77C7">
      <w:pPr>
        <w:tabs>
          <w:tab w:val="left" w:pos="533"/>
        </w:tabs>
        <w:spacing w:line="360" w:lineRule="auto"/>
        <w:ind w:left="720" w:hanging="187"/>
        <w:jc w:val="both"/>
        <w:rPr>
          <w:rFonts w:ascii="Arial" w:hAnsi="Arial"/>
          <w:rtl/>
        </w:rPr>
      </w:pPr>
      <w:r>
        <w:rPr>
          <w:rFonts w:ascii="Arial" w:hAnsi="Arial" w:hint="cs"/>
          <w:rtl/>
        </w:rPr>
        <w:t>ניתן צו כללי למוצגים 'לשיקול דעת קצין משטרה ו/או התביעה.</w:t>
      </w:r>
    </w:p>
    <w:p w14:paraId="46894407" w14:textId="77777777" w:rsidR="000F77C7" w:rsidRDefault="000F77C7" w:rsidP="000F77C7">
      <w:pPr>
        <w:tabs>
          <w:tab w:val="left" w:pos="533"/>
        </w:tabs>
        <w:spacing w:line="360" w:lineRule="auto"/>
        <w:ind w:left="720" w:hanging="187"/>
        <w:jc w:val="both"/>
        <w:rPr>
          <w:rFonts w:ascii="Arial" w:hAnsi="Arial"/>
          <w:rtl/>
        </w:rPr>
      </w:pPr>
    </w:p>
    <w:p w14:paraId="1B039E7D" w14:textId="77777777" w:rsidR="000F77C7" w:rsidRDefault="000F77C7" w:rsidP="000F77C7">
      <w:pPr>
        <w:tabs>
          <w:tab w:val="left" w:pos="533"/>
        </w:tabs>
        <w:spacing w:line="360" w:lineRule="auto"/>
        <w:ind w:left="720" w:hanging="187"/>
        <w:jc w:val="both"/>
        <w:rPr>
          <w:rFonts w:ascii="Arial" w:hAnsi="Arial"/>
          <w:rtl/>
        </w:rPr>
      </w:pPr>
      <w:r>
        <w:rPr>
          <w:rFonts w:ascii="Arial" w:hAnsi="Arial" w:hint="cs"/>
          <w:rtl/>
        </w:rPr>
        <w:t xml:space="preserve">זכות ערעור כחוק. </w:t>
      </w:r>
    </w:p>
    <w:p w14:paraId="74E3D435" w14:textId="77777777" w:rsidR="000F77C7" w:rsidRDefault="000F77C7" w:rsidP="000F77C7">
      <w:pPr>
        <w:rPr>
          <w:rtl/>
        </w:rPr>
      </w:pPr>
      <w:r>
        <w:rPr>
          <w:rtl/>
        </w:rPr>
        <w:tab/>
      </w:r>
    </w:p>
    <w:p w14:paraId="6350FB4C" w14:textId="77777777" w:rsidR="000F77C7" w:rsidRDefault="000F77C7" w:rsidP="000F77C7">
      <w:pPr>
        <w:ind w:firstLine="533"/>
        <w:rPr>
          <w:rtl/>
        </w:rPr>
      </w:pPr>
      <w:r w:rsidRPr="001419DC">
        <w:rPr>
          <w:rFonts w:hint="cs"/>
          <w:b/>
          <w:bCs/>
          <w:u w:val="single"/>
          <w:rtl/>
        </w:rPr>
        <w:t xml:space="preserve">המזכירות תשלח העתק </w:t>
      </w:r>
      <w:r>
        <w:rPr>
          <w:rFonts w:hint="cs"/>
          <w:b/>
          <w:bCs/>
          <w:u w:val="single"/>
          <w:rtl/>
        </w:rPr>
        <w:t>גזר הדין</w:t>
      </w:r>
      <w:r w:rsidRPr="001419DC">
        <w:rPr>
          <w:rFonts w:hint="cs"/>
          <w:b/>
          <w:bCs/>
          <w:u w:val="single"/>
          <w:rtl/>
        </w:rPr>
        <w:t xml:space="preserve"> לשרות המבחן ולממונה על עבודות שירות</w:t>
      </w:r>
      <w:r>
        <w:rPr>
          <w:rFonts w:hint="cs"/>
          <w:rtl/>
        </w:rPr>
        <w:t>.</w:t>
      </w:r>
    </w:p>
    <w:p w14:paraId="34C5912A" w14:textId="77777777" w:rsidR="000F77C7" w:rsidRPr="00B05847" w:rsidRDefault="000F77C7" w:rsidP="000F77C7">
      <w:pPr>
        <w:ind w:firstLine="533"/>
        <w:rPr>
          <w:rtl/>
        </w:rPr>
      </w:pPr>
    </w:p>
    <w:p w14:paraId="1A5ECA15" w14:textId="77777777" w:rsidR="000F77C7" w:rsidRPr="00B05847" w:rsidRDefault="000F77C7" w:rsidP="000F77C7">
      <w:pPr>
        <w:rPr>
          <w:rtl/>
        </w:rPr>
      </w:pPr>
    </w:p>
    <w:p w14:paraId="417B4898" w14:textId="77777777" w:rsidR="000F77C7" w:rsidRPr="00A14099" w:rsidRDefault="00304B19" w:rsidP="000F77C7">
      <w:pPr>
        <w:spacing w:line="360" w:lineRule="auto"/>
        <w:ind w:firstLine="533"/>
        <w:rPr>
          <w:rFonts w:ascii="Arial" w:hAnsi="Arial"/>
          <w:b/>
          <w:bCs/>
        </w:rPr>
      </w:pPr>
      <w:bookmarkStart w:id="8" w:name="Nitan"/>
      <w:r>
        <w:rPr>
          <w:rFonts w:ascii="Arial" w:hAnsi="Arial"/>
          <w:b/>
          <w:bCs/>
          <w:rtl/>
        </w:rPr>
        <w:t xml:space="preserve">ניתן היום, ג' ניסן תשפ"ב, 04 אפריל 2022, במעמד הצדדים. </w:t>
      </w:r>
      <w:bookmarkEnd w:id="8"/>
    </w:p>
    <w:p w14:paraId="319CB534" w14:textId="77777777" w:rsidR="000F77C7" w:rsidRPr="00304B19" w:rsidRDefault="00304B19" w:rsidP="000F77C7">
      <w:pPr>
        <w:rPr>
          <w:color w:val="FFFFFF"/>
          <w:sz w:val="2"/>
          <w:szCs w:val="2"/>
          <w:rtl/>
        </w:rPr>
      </w:pPr>
      <w:r w:rsidRPr="00304B19">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F77C7" w14:paraId="30ABDFA0" w14:textId="77777777" w:rsidTr="000F77C7">
        <w:trPr>
          <w:trHeight w:val="316"/>
        </w:trPr>
        <w:tc>
          <w:tcPr>
            <w:tcW w:w="3936" w:type="dxa"/>
            <w:tcBorders>
              <w:top w:val="nil"/>
              <w:left w:val="nil"/>
              <w:bottom w:val="single" w:sz="4" w:space="0" w:color="auto"/>
              <w:right w:val="nil"/>
            </w:tcBorders>
            <w:shd w:val="clear" w:color="auto" w:fill="auto"/>
            <w:vAlign w:val="bottom"/>
          </w:tcPr>
          <w:p w14:paraId="63E05864" w14:textId="77777777" w:rsidR="000F77C7" w:rsidRPr="00304B19" w:rsidRDefault="00304B19" w:rsidP="000F77C7">
            <w:pPr>
              <w:jc w:val="center"/>
              <w:rPr>
                <w:rFonts w:cs="Times New Roman"/>
                <w:color w:val="FFFFFF"/>
                <w:sz w:val="2"/>
                <w:szCs w:val="2"/>
              </w:rPr>
            </w:pPr>
            <w:r w:rsidRPr="00304B19">
              <w:rPr>
                <w:rFonts w:cs="Times New Roman"/>
                <w:color w:val="FFFFFF"/>
                <w:sz w:val="2"/>
                <w:szCs w:val="2"/>
                <w:rtl/>
              </w:rPr>
              <w:t>54678313</w:t>
            </w:r>
          </w:p>
        </w:tc>
      </w:tr>
      <w:tr w:rsidR="000F77C7" w14:paraId="747FD9AF" w14:textId="77777777" w:rsidTr="000F77C7">
        <w:trPr>
          <w:trHeight w:val="361"/>
        </w:trPr>
        <w:tc>
          <w:tcPr>
            <w:tcW w:w="3936" w:type="dxa"/>
            <w:tcBorders>
              <w:top w:val="single" w:sz="4" w:space="0" w:color="auto"/>
              <w:left w:val="nil"/>
              <w:bottom w:val="nil"/>
              <w:right w:val="nil"/>
            </w:tcBorders>
            <w:shd w:val="clear" w:color="auto" w:fill="auto"/>
          </w:tcPr>
          <w:p w14:paraId="4CAEDB29" w14:textId="77777777" w:rsidR="000F77C7" w:rsidRPr="000F77C7" w:rsidRDefault="000F77C7" w:rsidP="000F77C7">
            <w:pPr>
              <w:jc w:val="center"/>
              <w:rPr>
                <w:b/>
                <w:bCs/>
                <w:rtl/>
              </w:rPr>
            </w:pPr>
            <w:r w:rsidRPr="000F77C7">
              <w:rPr>
                <w:b/>
                <w:bCs/>
                <w:rtl/>
              </w:rPr>
              <w:t>בני שגיא, שופט</w:t>
            </w:r>
          </w:p>
          <w:p w14:paraId="6B1A8C28" w14:textId="77777777" w:rsidR="000F77C7" w:rsidRPr="000F77C7" w:rsidRDefault="000F77C7" w:rsidP="000F77C7">
            <w:pPr>
              <w:jc w:val="center"/>
              <w:rPr>
                <w:b/>
                <w:bCs/>
                <w:rtl/>
                <w:lang w:eastAsia="he-IL"/>
              </w:rPr>
            </w:pPr>
            <w:r w:rsidRPr="000F77C7">
              <w:rPr>
                <w:b/>
                <w:bCs/>
                <w:rtl/>
              </w:rPr>
              <w:t>סגן נשיא</w:t>
            </w:r>
          </w:p>
        </w:tc>
      </w:tr>
    </w:tbl>
    <w:p w14:paraId="67CEF1DA" w14:textId="77777777" w:rsidR="000F77C7" w:rsidRPr="00250B83" w:rsidRDefault="000F77C7" w:rsidP="000F77C7">
      <w:pPr>
        <w:rPr>
          <w:rtl/>
        </w:rPr>
      </w:pPr>
    </w:p>
    <w:p w14:paraId="09212BF7" w14:textId="77777777" w:rsidR="000F77C7" w:rsidRPr="00250B83" w:rsidRDefault="000F77C7" w:rsidP="000F77C7">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8A04832" w14:textId="77777777" w:rsidR="000F77C7" w:rsidRPr="00AF1097" w:rsidRDefault="000F77C7" w:rsidP="000F77C7">
      <w:pPr>
        <w:jc w:val="center"/>
        <w:rPr>
          <w:rFonts w:ascii="Arial" w:hAnsi="Arial"/>
          <w:rtl/>
        </w:rPr>
      </w:pPr>
    </w:p>
    <w:p w14:paraId="17FE791D" w14:textId="77777777" w:rsidR="00304B19" w:rsidRDefault="00304B19" w:rsidP="00304B19">
      <w:pPr>
        <w:rPr>
          <w:rtl/>
        </w:rPr>
      </w:pPr>
    </w:p>
    <w:p w14:paraId="187903F0" w14:textId="77777777" w:rsidR="00304B19" w:rsidRDefault="00304B19" w:rsidP="00304B19">
      <w:pPr>
        <w:jc w:val="center"/>
        <w:rPr>
          <w:rFonts w:hint="cs"/>
          <w:color w:val="0000FF"/>
          <w:u w:val="single"/>
        </w:rPr>
      </w:pPr>
      <w:hyperlink r:id="rId44" w:history="1">
        <w:r>
          <w:rPr>
            <w:color w:val="0000FF"/>
            <w:u w:val="single"/>
            <w:rtl/>
          </w:rPr>
          <w:t>בעניין עריכה ושינויים במסמכי פסיקה, חקיקה ועוד באתר נבו – הקש כאן</w:t>
        </w:r>
      </w:hyperlink>
      <w:r w:rsidR="00AC6A57">
        <w:rPr>
          <w:rFonts w:hint="cs"/>
          <w:color w:val="0000FF"/>
          <w:u w:val="single"/>
          <w:rtl/>
        </w:rPr>
        <w:t xml:space="preserve"> </w:t>
      </w:r>
    </w:p>
    <w:p w14:paraId="7598BCB7" w14:textId="77777777" w:rsidR="00DF6D78" w:rsidRPr="00DF6D78" w:rsidRDefault="00DF6D78" w:rsidP="00DF6D78">
      <w:pPr>
        <w:keepNext/>
        <w:rPr>
          <w:rFonts w:ascii="David" w:hAnsi="David"/>
          <w:color w:val="000000"/>
          <w:sz w:val="22"/>
          <w:szCs w:val="22"/>
          <w:rtl/>
        </w:rPr>
      </w:pPr>
    </w:p>
    <w:p w14:paraId="7F8CB0F6" w14:textId="77777777" w:rsidR="00DF6D78" w:rsidRPr="00DF6D78" w:rsidRDefault="00DF6D78" w:rsidP="00DF6D78">
      <w:pPr>
        <w:keepNext/>
        <w:rPr>
          <w:rFonts w:ascii="David" w:hAnsi="David"/>
          <w:color w:val="000000"/>
          <w:sz w:val="22"/>
          <w:szCs w:val="22"/>
          <w:rtl/>
        </w:rPr>
      </w:pPr>
      <w:r w:rsidRPr="00DF6D78">
        <w:rPr>
          <w:rFonts w:ascii="David" w:hAnsi="David"/>
          <w:color w:val="000000"/>
          <w:sz w:val="22"/>
          <w:szCs w:val="22"/>
          <w:rtl/>
        </w:rPr>
        <w:t>בני שגיא 54678313-/</w:t>
      </w:r>
    </w:p>
    <w:p w14:paraId="536DD091" w14:textId="77777777" w:rsidR="00304B19" w:rsidRPr="00304B19" w:rsidRDefault="00DF6D78" w:rsidP="00DF6D78">
      <w:pPr>
        <w:rPr>
          <w:color w:val="0000FF"/>
          <w:u w:val="single"/>
        </w:rPr>
      </w:pPr>
      <w:r w:rsidRPr="00DF6D78">
        <w:rPr>
          <w:color w:val="000000"/>
          <w:u w:val="single"/>
          <w:rtl/>
        </w:rPr>
        <w:t>נוסח מסמך זה כפוף לשינויי ניסוח ועריכה</w:t>
      </w:r>
    </w:p>
    <w:sectPr w:rsidR="00304B19" w:rsidRPr="00304B19" w:rsidSect="00DF6D78">
      <w:headerReference w:type="even" r:id="rId45"/>
      <w:headerReference w:type="default" r:id="rId46"/>
      <w:footerReference w:type="even" r:id="rId47"/>
      <w:footerReference w:type="default" r:id="rId48"/>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10497" w14:textId="77777777" w:rsidR="002D72F6" w:rsidRDefault="002D72F6" w:rsidP="003D1474">
      <w:r>
        <w:separator/>
      </w:r>
    </w:p>
  </w:endnote>
  <w:endnote w:type="continuationSeparator" w:id="0">
    <w:p w14:paraId="4AE1D215" w14:textId="77777777" w:rsidR="002D72F6" w:rsidRDefault="002D72F6" w:rsidP="003D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ABD95" w14:textId="77777777" w:rsidR="00DF6D78" w:rsidRDefault="00DF6D78" w:rsidP="00DF6D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47ED27" w14:textId="77777777" w:rsidR="00B00378" w:rsidRPr="00DF6D78" w:rsidRDefault="00DF6D78" w:rsidP="00DF6D78">
    <w:pPr>
      <w:pStyle w:val="a5"/>
      <w:pBdr>
        <w:top w:val="single" w:sz="4" w:space="1" w:color="auto"/>
        <w:between w:val="single" w:sz="4" w:space="0" w:color="auto"/>
      </w:pBdr>
      <w:spacing w:after="60"/>
      <w:jc w:val="center"/>
      <w:rPr>
        <w:rFonts w:ascii="FrankRuehl" w:hAnsi="FrankRuehl" w:cs="FrankRuehl"/>
        <w:color w:val="000000"/>
      </w:rPr>
    </w:pPr>
    <w:r w:rsidRPr="00DF6D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6BD1A" w14:textId="77777777" w:rsidR="00DF6D78" w:rsidRDefault="00DF6D78" w:rsidP="00DF6D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7079">
      <w:rPr>
        <w:rFonts w:ascii="FrankRuehl" w:hAnsi="FrankRuehl" w:cs="FrankRuehl"/>
        <w:noProof/>
        <w:rtl/>
      </w:rPr>
      <w:t>1</w:t>
    </w:r>
    <w:r>
      <w:rPr>
        <w:rFonts w:ascii="FrankRuehl" w:hAnsi="FrankRuehl" w:cs="FrankRuehl"/>
        <w:rtl/>
      </w:rPr>
      <w:fldChar w:fldCharType="end"/>
    </w:r>
  </w:p>
  <w:p w14:paraId="047162BE" w14:textId="77777777" w:rsidR="00B00378" w:rsidRPr="00DF6D78" w:rsidRDefault="00DF6D78" w:rsidP="00DF6D78">
    <w:pPr>
      <w:pStyle w:val="a5"/>
      <w:pBdr>
        <w:top w:val="single" w:sz="4" w:space="1" w:color="auto"/>
        <w:between w:val="single" w:sz="4" w:space="0" w:color="auto"/>
      </w:pBdr>
      <w:spacing w:after="60"/>
      <w:jc w:val="center"/>
      <w:rPr>
        <w:rFonts w:ascii="FrankRuehl" w:hAnsi="FrankRuehl" w:cs="FrankRuehl"/>
        <w:color w:val="000000"/>
      </w:rPr>
    </w:pPr>
    <w:r w:rsidRPr="00DF6D78">
      <w:rPr>
        <w:rFonts w:ascii="FrankRuehl" w:hAnsi="FrankRuehl" w:cs="FrankRuehl"/>
        <w:color w:val="000000"/>
      </w:rPr>
      <w:pict w14:anchorId="71F91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12A01" w14:textId="77777777" w:rsidR="002D72F6" w:rsidRDefault="002D72F6" w:rsidP="003D1474">
      <w:r>
        <w:separator/>
      </w:r>
    </w:p>
  </w:footnote>
  <w:footnote w:type="continuationSeparator" w:id="0">
    <w:p w14:paraId="225CD7DC" w14:textId="77777777" w:rsidR="002D72F6" w:rsidRDefault="002D72F6" w:rsidP="003D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E670" w14:textId="77777777" w:rsidR="00304B19" w:rsidRPr="00DF6D78" w:rsidRDefault="00DF6D78" w:rsidP="00DF6D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65828-06-20</w:t>
    </w:r>
    <w:r>
      <w:rPr>
        <w:rFonts w:ascii="David" w:hAnsi="David"/>
        <w:color w:val="000000"/>
        <w:sz w:val="22"/>
        <w:szCs w:val="22"/>
        <w:rtl/>
      </w:rPr>
      <w:tab/>
      <w:t xml:space="preserve"> מדינת ישראל נ' מוטי אבגן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8B63" w14:textId="77777777" w:rsidR="00304B19" w:rsidRPr="00DF6D78" w:rsidRDefault="00DF6D78" w:rsidP="00DF6D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65828-06-20</w:t>
    </w:r>
    <w:r>
      <w:rPr>
        <w:rFonts w:ascii="David" w:hAnsi="David"/>
        <w:color w:val="000000"/>
        <w:sz w:val="22"/>
        <w:szCs w:val="22"/>
        <w:rtl/>
      </w:rPr>
      <w:tab/>
      <w:t xml:space="preserve"> מדינת ישראל נ' מוטי אבגן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77C7"/>
    <w:rsid w:val="000D7079"/>
    <w:rsid w:val="000F77C7"/>
    <w:rsid w:val="001B5A3B"/>
    <w:rsid w:val="002D72F6"/>
    <w:rsid w:val="00304B19"/>
    <w:rsid w:val="003B09DF"/>
    <w:rsid w:val="003D1474"/>
    <w:rsid w:val="003F4EDB"/>
    <w:rsid w:val="005D6886"/>
    <w:rsid w:val="007964EC"/>
    <w:rsid w:val="0088023C"/>
    <w:rsid w:val="00915CC7"/>
    <w:rsid w:val="00AC6A57"/>
    <w:rsid w:val="00B00378"/>
    <w:rsid w:val="00DA559F"/>
    <w:rsid w:val="00DF6D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FDC596"/>
  <w15:chartTrackingRefBased/>
  <w15:docId w15:val="{EB6E4248-CB62-4EBA-B45F-DCF81D45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77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77C7"/>
    <w:pPr>
      <w:tabs>
        <w:tab w:val="center" w:pos="4153"/>
        <w:tab w:val="right" w:pos="8306"/>
      </w:tabs>
    </w:pPr>
  </w:style>
  <w:style w:type="character" w:customStyle="1" w:styleId="a4">
    <w:name w:val="כותרת עליונה תו"/>
    <w:link w:val="a3"/>
    <w:rsid w:val="000F77C7"/>
    <w:rPr>
      <w:rFonts w:ascii="Times New Roman" w:eastAsia="Times New Roman" w:hAnsi="Times New Roman" w:cs="David"/>
      <w:sz w:val="24"/>
      <w:szCs w:val="24"/>
    </w:rPr>
  </w:style>
  <w:style w:type="paragraph" w:styleId="a5">
    <w:name w:val="footer"/>
    <w:basedOn w:val="a"/>
    <w:link w:val="a6"/>
    <w:rsid w:val="000F77C7"/>
    <w:pPr>
      <w:tabs>
        <w:tab w:val="center" w:pos="4153"/>
        <w:tab w:val="right" w:pos="8306"/>
      </w:tabs>
    </w:pPr>
  </w:style>
  <w:style w:type="character" w:customStyle="1" w:styleId="a6">
    <w:name w:val="כותרת תחתונה תו"/>
    <w:link w:val="a5"/>
    <w:rsid w:val="000F77C7"/>
    <w:rPr>
      <w:rFonts w:ascii="Times New Roman" w:eastAsia="Times New Roman" w:hAnsi="Times New Roman" w:cs="David"/>
      <w:sz w:val="24"/>
      <w:szCs w:val="24"/>
    </w:rPr>
  </w:style>
  <w:style w:type="table" w:styleId="a7">
    <w:name w:val="Table Grid"/>
    <w:basedOn w:val="a1"/>
    <w:rsid w:val="000F77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77C7"/>
  </w:style>
  <w:style w:type="character" w:customStyle="1" w:styleId="TimesNewRomanTimesNewRoman">
    <w:name w:val="סגנון (לטיני) Times New Roman (עברית ושפות אחרות) Times New Roman..."/>
    <w:rsid w:val="000F77C7"/>
    <w:rPr>
      <w:rFonts w:ascii="Times New Roman" w:hAnsi="Times New Roman" w:cs="David" w:hint="default"/>
      <w:b/>
      <w:bCs/>
      <w:sz w:val="26"/>
      <w:szCs w:val="26"/>
    </w:rPr>
  </w:style>
  <w:style w:type="paragraph" w:styleId="a9">
    <w:name w:val="List Paragraph"/>
    <w:basedOn w:val="a"/>
    <w:qFormat/>
    <w:rsid w:val="000F77C7"/>
    <w:pPr>
      <w:spacing w:after="160" w:line="254" w:lineRule="auto"/>
      <w:ind w:left="720"/>
      <w:contextualSpacing/>
      <w:jc w:val="both"/>
    </w:pPr>
    <w:rPr>
      <w:rFonts w:ascii="Calibri" w:eastAsia="Calibri" w:hAnsi="Calibri"/>
      <w:sz w:val="22"/>
    </w:rPr>
  </w:style>
  <w:style w:type="character" w:styleId="Hyperlink">
    <w:name w:val="Hyperlink"/>
    <w:rsid w:val="000F7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5227" TargetMode="External"/><Relationship Id="rId26" Type="http://schemas.openxmlformats.org/officeDocument/2006/relationships/hyperlink" Target="http://www.nevo.co.il/case/6022483" TargetMode="External"/><Relationship Id="rId39" Type="http://schemas.openxmlformats.org/officeDocument/2006/relationships/hyperlink" Target="http://www.nevo.co.il/case/20374447" TargetMode="External"/><Relationship Id="rId21" Type="http://schemas.openxmlformats.org/officeDocument/2006/relationships/hyperlink" Target="http://www.nevo.co.il/law/70301/244" TargetMode="External"/><Relationship Id="rId34" Type="http://schemas.openxmlformats.org/officeDocument/2006/relationships/hyperlink" Target="http://www.nevo.co.il/law/5227/64a.c" TargetMode="External"/><Relationship Id="rId42" Type="http://schemas.openxmlformats.org/officeDocument/2006/relationships/hyperlink" Target="http://www.nevo.co.il/law/70301/40d"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5227/38.2"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2147342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6917344" TargetMode="External"/><Relationship Id="rId37" Type="http://schemas.openxmlformats.org/officeDocument/2006/relationships/hyperlink" Target="http://www.nevo.co.il/case/25484264" TargetMode="External"/><Relationship Id="rId40" Type="http://schemas.openxmlformats.org/officeDocument/2006/relationships/hyperlink" Target="http://www.nevo.co.il/case/5651050"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23563066" TargetMode="External"/><Relationship Id="rId36" Type="http://schemas.openxmlformats.org/officeDocument/2006/relationships/hyperlink" Target="http://www.nevo.co.il/case/26258917" TargetMode="External"/><Relationship Id="rId49" Type="http://schemas.openxmlformats.org/officeDocument/2006/relationships/fontTable" Target="fontTable.xml"/><Relationship Id="rId10" Type="http://schemas.openxmlformats.org/officeDocument/2006/relationships/hyperlink" Target="http://www.nevo.co.il/law/5227/64a.c" TargetMode="External"/><Relationship Id="rId19" Type="http://schemas.openxmlformats.org/officeDocument/2006/relationships/hyperlink" Target="http://www.nevo.co.il/law/5227/62.2" TargetMode="External"/><Relationship Id="rId31" Type="http://schemas.openxmlformats.org/officeDocument/2006/relationships/hyperlink" Target="http://www.nevo.co.il/case/1697516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5227/64.a.b"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006096" TargetMode="External"/><Relationship Id="rId35" Type="http://schemas.openxmlformats.org/officeDocument/2006/relationships/hyperlink" Target="http://www.nevo.co.il/law/522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5227/62.2"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5227/64.a.b" TargetMode="External"/><Relationship Id="rId25" Type="http://schemas.openxmlformats.org/officeDocument/2006/relationships/hyperlink" Target="http://www.nevo.co.il/case/6030049" TargetMode="External"/><Relationship Id="rId33" Type="http://schemas.openxmlformats.org/officeDocument/2006/relationships/hyperlink" Target="http://www.nevo.co.il/case/26896454" TargetMode="External"/><Relationship Id="rId38" Type="http://schemas.openxmlformats.org/officeDocument/2006/relationships/hyperlink" Target="http://www.nevo.co.il/case/21771782" TargetMode="External"/><Relationship Id="rId46" Type="http://schemas.openxmlformats.org/officeDocument/2006/relationships/header" Target="header2.xml"/><Relationship Id="rId20" Type="http://schemas.openxmlformats.org/officeDocument/2006/relationships/hyperlink" Target="http://www.nevo.co.il/law/5227/38.2" TargetMode="External"/><Relationship Id="rId41" Type="http://schemas.openxmlformats.org/officeDocument/2006/relationships/hyperlink" Target="http://www.nevo.co.il/case/10488209" TargetMode="External"/><Relationship Id="rId1" Type="http://schemas.openxmlformats.org/officeDocument/2006/relationships/styles" Target="styles.xml"/><Relationship Id="rId6"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4446</Words>
  <Characters>22233</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26626</CharactersWithSpaces>
  <SharedDoc>false</SharedDoc>
  <HLinks>
    <vt:vector size="234"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3997822</vt:i4>
      </vt:variant>
      <vt:variant>
        <vt:i4>108</vt:i4>
      </vt:variant>
      <vt:variant>
        <vt:i4>0</vt:i4>
      </vt:variant>
      <vt:variant>
        <vt:i4>5</vt:i4>
      </vt:variant>
      <vt:variant>
        <vt:lpwstr>http://www.nevo.co.il/case/10488209</vt:lpwstr>
      </vt:variant>
      <vt:variant>
        <vt:lpwstr/>
      </vt:variant>
      <vt:variant>
        <vt:i4>3145846</vt:i4>
      </vt:variant>
      <vt:variant>
        <vt:i4>105</vt:i4>
      </vt:variant>
      <vt:variant>
        <vt:i4>0</vt:i4>
      </vt:variant>
      <vt:variant>
        <vt:i4>5</vt:i4>
      </vt:variant>
      <vt:variant>
        <vt:lpwstr>http://www.nevo.co.il/case/5651050</vt:lpwstr>
      </vt:variant>
      <vt:variant>
        <vt:lpwstr/>
      </vt:variant>
      <vt:variant>
        <vt:i4>3211383</vt:i4>
      </vt:variant>
      <vt:variant>
        <vt:i4>102</vt:i4>
      </vt:variant>
      <vt:variant>
        <vt:i4>0</vt:i4>
      </vt:variant>
      <vt:variant>
        <vt:i4>5</vt:i4>
      </vt:variant>
      <vt:variant>
        <vt:lpwstr>http://www.nevo.co.il/case/20374447</vt:lpwstr>
      </vt:variant>
      <vt:variant>
        <vt:lpwstr/>
      </vt:variant>
      <vt:variant>
        <vt:i4>3932277</vt:i4>
      </vt:variant>
      <vt:variant>
        <vt:i4>99</vt:i4>
      </vt:variant>
      <vt:variant>
        <vt:i4>0</vt:i4>
      </vt:variant>
      <vt:variant>
        <vt:i4>5</vt:i4>
      </vt:variant>
      <vt:variant>
        <vt:lpwstr>http://www.nevo.co.il/case/21771782</vt:lpwstr>
      </vt:variant>
      <vt:variant>
        <vt:lpwstr/>
      </vt:variant>
      <vt:variant>
        <vt:i4>3407995</vt:i4>
      </vt:variant>
      <vt:variant>
        <vt:i4>96</vt:i4>
      </vt:variant>
      <vt:variant>
        <vt:i4>0</vt:i4>
      </vt:variant>
      <vt:variant>
        <vt:i4>5</vt:i4>
      </vt:variant>
      <vt:variant>
        <vt:lpwstr>http://www.nevo.co.il/case/25484264</vt:lpwstr>
      </vt:variant>
      <vt:variant>
        <vt:lpwstr/>
      </vt:variant>
      <vt:variant>
        <vt:i4>3735678</vt:i4>
      </vt:variant>
      <vt:variant>
        <vt:i4>93</vt:i4>
      </vt:variant>
      <vt:variant>
        <vt:i4>0</vt:i4>
      </vt:variant>
      <vt:variant>
        <vt:i4>5</vt:i4>
      </vt:variant>
      <vt:variant>
        <vt:lpwstr>http://www.nevo.co.il/case/26258917</vt:lpwstr>
      </vt:variant>
      <vt:variant>
        <vt:lpwstr/>
      </vt:variant>
      <vt:variant>
        <vt:i4>8323175</vt:i4>
      </vt:variant>
      <vt:variant>
        <vt:i4>90</vt:i4>
      </vt:variant>
      <vt:variant>
        <vt:i4>0</vt:i4>
      </vt:variant>
      <vt:variant>
        <vt:i4>5</vt:i4>
      </vt:variant>
      <vt:variant>
        <vt:lpwstr>http://www.nevo.co.il/law/5227</vt:lpwstr>
      </vt:variant>
      <vt:variant>
        <vt:lpwstr/>
      </vt:variant>
      <vt:variant>
        <vt:i4>4915282</vt:i4>
      </vt:variant>
      <vt:variant>
        <vt:i4>87</vt:i4>
      </vt:variant>
      <vt:variant>
        <vt:i4>0</vt:i4>
      </vt:variant>
      <vt:variant>
        <vt:i4>5</vt:i4>
      </vt:variant>
      <vt:variant>
        <vt:lpwstr>http://www.nevo.co.il/law/5227/64a.c</vt:lpwstr>
      </vt:variant>
      <vt:variant>
        <vt:lpwstr/>
      </vt:variant>
      <vt:variant>
        <vt:i4>3735679</vt:i4>
      </vt:variant>
      <vt:variant>
        <vt:i4>84</vt:i4>
      </vt:variant>
      <vt:variant>
        <vt:i4>0</vt:i4>
      </vt:variant>
      <vt:variant>
        <vt:i4>5</vt:i4>
      </vt:variant>
      <vt:variant>
        <vt:lpwstr>http://www.nevo.co.il/case/26896454</vt:lpwstr>
      </vt:variant>
      <vt:variant>
        <vt:lpwstr/>
      </vt:variant>
      <vt:variant>
        <vt:i4>3866736</vt:i4>
      </vt:variant>
      <vt:variant>
        <vt:i4>81</vt:i4>
      </vt:variant>
      <vt:variant>
        <vt:i4>0</vt:i4>
      </vt:variant>
      <vt:variant>
        <vt:i4>5</vt:i4>
      </vt:variant>
      <vt:variant>
        <vt:lpwstr>http://www.nevo.co.il/case/16917344</vt:lpwstr>
      </vt:variant>
      <vt:variant>
        <vt:lpwstr/>
      </vt:variant>
      <vt:variant>
        <vt:i4>3866740</vt:i4>
      </vt:variant>
      <vt:variant>
        <vt:i4>78</vt:i4>
      </vt:variant>
      <vt:variant>
        <vt:i4>0</vt:i4>
      </vt:variant>
      <vt:variant>
        <vt:i4>5</vt:i4>
      </vt:variant>
      <vt:variant>
        <vt:lpwstr>http://www.nevo.co.il/case/16975161</vt:lpwstr>
      </vt:variant>
      <vt:variant>
        <vt:lpwstr/>
      </vt:variant>
      <vt:variant>
        <vt:i4>3997812</vt:i4>
      </vt:variant>
      <vt:variant>
        <vt:i4>75</vt:i4>
      </vt:variant>
      <vt:variant>
        <vt:i4>0</vt:i4>
      </vt:variant>
      <vt:variant>
        <vt:i4>5</vt:i4>
      </vt:variant>
      <vt:variant>
        <vt:lpwstr>http://www.nevo.co.il/case/20006096</vt:lpwstr>
      </vt:variant>
      <vt:variant>
        <vt:lpwstr/>
      </vt:variant>
      <vt:variant>
        <vt:i4>3604598</vt:i4>
      </vt:variant>
      <vt:variant>
        <vt:i4>72</vt:i4>
      </vt:variant>
      <vt:variant>
        <vt:i4>0</vt:i4>
      </vt:variant>
      <vt:variant>
        <vt:i4>5</vt:i4>
      </vt:variant>
      <vt:variant>
        <vt:lpwstr>http://www.nevo.co.il/case/21473423</vt:lpwstr>
      </vt:variant>
      <vt:variant>
        <vt:lpwstr/>
      </vt:variant>
      <vt:variant>
        <vt:i4>3276913</vt:i4>
      </vt:variant>
      <vt:variant>
        <vt:i4>69</vt:i4>
      </vt:variant>
      <vt:variant>
        <vt:i4>0</vt:i4>
      </vt:variant>
      <vt:variant>
        <vt:i4>5</vt:i4>
      </vt:variant>
      <vt:variant>
        <vt:lpwstr>http://www.nevo.co.il/case/23563066</vt:lpwstr>
      </vt:variant>
      <vt:variant>
        <vt:lpwstr/>
      </vt:variant>
      <vt:variant>
        <vt:i4>7995492</vt:i4>
      </vt:variant>
      <vt:variant>
        <vt:i4>66</vt:i4>
      </vt:variant>
      <vt:variant>
        <vt:i4>0</vt:i4>
      </vt:variant>
      <vt:variant>
        <vt:i4>5</vt:i4>
      </vt:variant>
      <vt:variant>
        <vt:lpwstr>http://www.nevo.co.il/law/70301</vt:lpwstr>
      </vt:variant>
      <vt:variant>
        <vt:lpwstr/>
      </vt:variant>
      <vt:variant>
        <vt:i4>3342462</vt:i4>
      </vt:variant>
      <vt:variant>
        <vt:i4>63</vt:i4>
      </vt:variant>
      <vt:variant>
        <vt:i4>0</vt:i4>
      </vt:variant>
      <vt:variant>
        <vt:i4>5</vt:i4>
      </vt:variant>
      <vt:variant>
        <vt:lpwstr>http://www.nevo.co.il/case/6022483</vt:lpwstr>
      </vt:variant>
      <vt:variant>
        <vt:lpwstr/>
      </vt:variant>
      <vt:variant>
        <vt:i4>3932272</vt:i4>
      </vt:variant>
      <vt:variant>
        <vt:i4>57</vt:i4>
      </vt:variant>
      <vt:variant>
        <vt:i4>0</vt:i4>
      </vt:variant>
      <vt:variant>
        <vt:i4>5</vt:i4>
      </vt:variant>
      <vt:variant>
        <vt:lpwstr>http://www.nevo.co.il/case/6030049</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6422640</vt:i4>
      </vt:variant>
      <vt:variant>
        <vt:i4>42</vt:i4>
      </vt:variant>
      <vt:variant>
        <vt:i4>0</vt:i4>
      </vt:variant>
      <vt:variant>
        <vt:i4>5</vt:i4>
      </vt:variant>
      <vt:variant>
        <vt:lpwstr>http://www.nevo.co.il/law/5227/38.2</vt:lpwstr>
      </vt:variant>
      <vt:variant>
        <vt:lpwstr/>
      </vt:variant>
      <vt:variant>
        <vt:i4>6750330</vt:i4>
      </vt:variant>
      <vt:variant>
        <vt:i4>39</vt:i4>
      </vt:variant>
      <vt:variant>
        <vt:i4>0</vt:i4>
      </vt:variant>
      <vt:variant>
        <vt:i4>5</vt:i4>
      </vt:variant>
      <vt:variant>
        <vt:lpwstr>http://www.nevo.co.il/law/5227/62.2</vt:lpwstr>
      </vt:variant>
      <vt:variant>
        <vt:lpwstr/>
      </vt:variant>
      <vt:variant>
        <vt:i4>8323175</vt:i4>
      </vt:variant>
      <vt:variant>
        <vt:i4>36</vt:i4>
      </vt:variant>
      <vt:variant>
        <vt:i4>0</vt:i4>
      </vt:variant>
      <vt:variant>
        <vt:i4>5</vt:i4>
      </vt:variant>
      <vt:variant>
        <vt:lpwstr>http://www.nevo.co.il/law/5227</vt:lpwstr>
      </vt:variant>
      <vt:variant>
        <vt:lpwstr/>
      </vt:variant>
      <vt:variant>
        <vt:i4>4784157</vt:i4>
      </vt:variant>
      <vt:variant>
        <vt:i4>33</vt:i4>
      </vt:variant>
      <vt:variant>
        <vt:i4>0</vt:i4>
      </vt:variant>
      <vt:variant>
        <vt:i4>5</vt:i4>
      </vt:variant>
      <vt:variant>
        <vt:lpwstr>http://www.nevo.co.il/law/5227/64.a.b</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4915282</vt:i4>
      </vt:variant>
      <vt:variant>
        <vt:i4>12</vt:i4>
      </vt:variant>
      <vt:variant>
        <vt:i4>0</vt:i4>
      </vt:variant>
      <vt:variant>
        <vt:i4>5</vt:i4>
      </vt:variant>
      <vt:variant>
        <vt:lpwstr>http://www.nevo.co.il/law/5227/64a.c</vt:lpwstr>
      </vt:variant>
      <vt:variant>
        <vt:lpwstr/>
      </vt:variant>
      <vt:variant>
        <vt:i4>4784157</vt:i4>
      </vt:variant>
      <vt:variant>
        <vt:i4>9</vt:i4>
      </vt:variant>
      <vt:variant>
        <vt:i4>0</vt:i4>
      </vt:variant>
      <vt:variant>
        <vt:i4>5</vt:i4>
      </vt:variant>
      <vt:variant>
        <vt:lpwstr>http://www.nevo.co.il/law/5227/64.a.b</vt:lpwstr>
      </vt:variant>
      <vt:variant>
        <vt:lpwstr/>
      </vt:variant>
      <vt:variant>
        <vt:i4>6750330</vt:i4>
      </vt:variant>
      <vt:variant>
        <vt:i4>6</vt:i4>
      </vt:variant>
      <vt:variant>
        <vt:i4>0</vt:i4>
      </vt:variant>
      <vt:variant>
        <vt:i4>5</vt:i4>
      </vt:variant>
      <vt:variant>
        <vt:lpwstr>http://www.nevo.co.il/law/5227/62.2</vt:lpwstr>
      </vt:variant>
      <vt:variant>
        <vt:lpwstr/>
      </vt:variant>
      <vt:variant>
        <vt:i4>6422640</vt:i4>
      </vt:variant>
      <vt:variant>
        <vt:i4>3</vt:i4>
      </vt:variant>
      <vt:variant>
        <vt:i4>0</vt:i4>
      </vt:variant>
      <vt:variant>
        <vt:i4>5</vt:i4>
      </vt:variant>
      <vt:variant>
        <vt:lpwstr>http://www.nevo.co.il/law/5227/38.2</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65828</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מוטי אבגן</vt:lpwstr>
  </property>
  <property fmtid="{D5CDD505-2E9C-101B-9397-08002B2CF9AE}" pid="10" name="LAWYER">
    <vt:lpwstr>בן צור;אחמד מסרי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20220404</vt:lpwstr>
  </property>
  <property fmtid="{D5CDD505-2E9C-101B-9397-08002B2CF9AE}" pid="14" name="TYPE_N_DATE">
    <vt:lpwstr>39020220404</vt:lpwstr>
  </property>
  <property fmtid="{D5CDD505-2E9C-101B-9397-08002B2CF9AE}" pid="15" name="WORDNUMPAGES">
    <vt:lpwstr>11</vt:lpwstr>
  </property>
  <property fmtid="{D5CDD505-2E9C-101B-9397-08002B2CF9AE}" pid="16" name="TYPE_ABS_DATE">
    <vt:lpwstr>390020220404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6030049;6022483;23563066;21473423;20006096;16975161;16917344;26896454;26258917;25484264;21771782;20374447;5651050;10488209</vt:lpwstr>
  </property>
  <property fmtid="{D5CDD505-2E9C-101B-9397-08002B2CF9AE}" pid="36" name="LAWLISTTMP1">
    <vt:lpwstr>5227/064.a.b;062.2;038.2;064a.c</vt:lpwstr>
  </property>
  <property fmtid="{D5CDD505-2E9C-101B-9397-08002B2CF9AE}" pid="37" name="LAWLISTTMP2">
    <vt:lpwstr>70301/244;040d</vt:lpwstr>
  </property>
  <property fmtid="{D5CDD505-2E9C-101B-9397-08002B2CF9AE}" pid="38" name="LAWLISTTMP3">
    <vt:lpwstr>4216/007.a;007.c</vt:lpwstr>
  </property>
</Properties>
</file>