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3"/>
        <w:gridCol w:w="3668"/>
      </w:tblGrid>
      <w:tr w:rsidR="009F6543" w:rsidRPr="009F6543" w14:paraId="215047BF" w14:textId="77777777" w:rsidTr="00610299">
        <w:trPr>
          <w:trHeight w:hRule="exact" w:val="418"/>
          <w:jc w:val="center"/>
        </w:trPr>
        <w:tc>
          <w:tcPr>
            <w:tcW w:w="8721" w:type="dxa"/>
            <w:gridSpan w:val="2"/>
          </w:tcPr>
          <w:p w14:paraId="02CA2DEB" w14:textId="77777777" w:rsidR="009F6543" w:rsidRPr="009F6543" w:rsidRDefault="009F6543" w:rsidP="00276E38">
            <w:pPr>
              <w:pStyle w:val="a3"/>
              <w:jc w:val="center"/>
              <w:rPr>
                <w:rFonts w:ascii="Tahoma" w:hAnsi="Tahoma" w:cs="Tahoma"/>
                <w:color w:val="000080"/>
                <w:rtl/>
              </w:rPr>
            </w:pPr>
            <w:bookmarkStart w:id="0" w:name="LastJudge"/>
            <w:r w:rsidRPr="009F6543">
              <w:rPr>
                <w:rFonts w:ascii="Tahoma" w:hAnsi="Tahoma" w:cs="Tahoma"/>
                <w:b/>
                <w:bCs/>
                <w:color w:val="000080"/>
                <w:rtl/>
              </w:rPr>
              <w:t>בית משפט לנוער בבית המשפט המחוזי בחיפה</w:t>
            </w:r>
          </w:p>
        </w:tc>
      </w:tr>
      <w:tr w:rsidR="009F6543" w:rsidRPr="00455165" w14:paraId="788DD9AD" w14:textId="77777777" w:rsidTr="00610299">
        <w:trPr>
          <w:trHeight w:val="337"/>
          <w:jc w:val="center"/>
        </w:trPr>
        <w:tc>
          <w:tcPr>
            <w:tcW w:w="5053" w:type="dxa"/>
          </w:tcPr>
          <w:p w14:paraId="1FDD26C9" w14:textId="77777777" w:rsidR="009F6543" w:rsidRPr="00455165" w:rsidRDefault="009F6543" w:rsidP="00455165">
            <w:pPr>
              <w:spacing w:before="120" w:after="120" w:line="240" w:lineRule="exact"/>
              <w:rPr>
                <w:rFonts w:ascii="David" w:hAnsi="David" w:hint="cs"/>
                <w:b/>
                <w:bCs/>
                <w:sz w:val="26"/>
                <w:szCs w:val="26"/>
                <w:rtl/>
              </w:rPr>
            </w:pPr>
            <w:r w:rsidRPr="00455165">
              <w:rPr>
                <w:b/>
                <w:bCs/>
                <w:sz w:val="26"/>
                <w:szCs w:val="26"/>
                <w:rtl/>
              </w:rPr>
              <w:t>ת"פ 17252-07-20 מדינת ישראל נ' ט' (קטין)</w:t>
            </w:r>
          </w:p>
        </w:tc>
        <w:tc>
          <w:tcPr>
            <w:tcW w:w="3668" w:type="dxa"/>
          </w:tcPr>
          <w:p w14:paraId="0225A093" w14:textId="77777777" w:rsidR="009F6543" w:rsidRPr="00455165" w:rsidRDefault="009F6543" w:rsidP="00455165">
            <w:pPr>
              <w:pStyle w:val="a3"/>
              <w:spacing w:before="120" w:after="120" w:line="240" w:lineRule="exact"/>
              <w:jc w:val="right"/>
              <w:rPr>
                <w:rFonts w:cs="FrankRuehl"/>
                <w:b/>
                <w:bCs/>
                <w:sz w:val="26"/>
                <w:szCs w:val="26"/>
                <w:rtl/>
              </w:rPr>
            </w:pPr>
          </w:p>
        </w:tc>
      </w:tr>
    </w:tbl>
    <w:p w14:paraId="74E4BD7B" w14:textId="77777777" w:rsidR="009F6543" w:rsidRPr="00455165" w:rsidRDefault="009F6543" w:rsidP="00455165">
      <w:pPr>
        <w:pStyle w:val="a3"/>
        <w:spacing w:before="120" w:after="120" w:line="240" w:lineRule="exact"/>
        <w:rPr>
          <w:b/>
          <w:bCs/>
          <w:sz w:val="26"/>
          <w:szCs w:val="26"/>
          <w:rtl/>
        </w:rPr>
      </w:pPr>
      <w:r w:rsidRPr="00455165">
        <w:rPr>
          <w:b/>
          <w:bCs/>
          <w:sz w:val="26"/>
          <w:szCs w:val="26"/>
          <w:rtl/>
        </w:rPr>
        <w:t xml:space="preserve"> </w:t>
      </w:r>
    </w:p>
    <w:tbl>
      <w:tblPr>
        <w:bidiVisual/>
        <w:tblW w:w="8802" w:type="dxa"/>
        <w:tblInd w:w="-28" w:type="dxa"/>
        <w:tblLook w:val="01E0" w:firstRow="1" w:lastRow="1" w:firstColumn="1" w:lastColumn="1" w:noHBand="0" w:noVBand="0"/>
      </w:tblPr>
      <w:tblGrid>
        <w:gridCol w:w="2880"/>
        <w:gridCol w:w="5838"/>
        <w:gridCol w:w="84"/>
      </w:tblGrid>
      <w:tr w:rsidR="009F6543" w:rsidRPr="00455165" w14:paraId="46159EFE" w14:textId="77777777" w:rsidTr="00276E38">
        <w:trPr>
          <w:gridAfter w:val="1"/>
          <w:wAfter w:w="84" w:type="dxa"/>
        </w:trPr>
        <w:tc>
          <w:tcPr>
            <w:tcW w:w="8718" w:type="dxa"/>
            <w:gridSpan w:val="2"/>
          </w:tcPr>
          <w:p w14:paraId="0645FD5D" w14:textId="77777777" w:rsidR="009F6543" w:rsidRPr="00455165" w:rsidRDefault="009F6543" w:rsidP="00455165">
            <w:pPr>
              <w:spacing w:before="120" w:after="120" w:line="240" w:lineRule="exact"/>
              <w:rPr>
                <w:b/>
                <w:bCs/>
                <w:sz w:val="26"/>
                <w:szCs w:val="26"/>
                <w:rtl/>
              </w:rPr>
            </w:pPr>
            <w:bookmarkStart w:id="1" w:name="_GoBack"/>
            <w:bookmarkEnd w:id="1"/>
            <w:r w:rsidRPr="00455165">
              <w:rPr>
                <w:b/>
                <w:bCs/>
                <w:sz w:val="26"/>
                <w:szCs w:val="26"/>
                <w:rtl/>
              </w:rPr>
              <w:t>לפני כבוד השופט סארי ג'יוסי</w:t>
            </w:r>
            <w:r w:rsidRPr="00455165">
              <w:rPr>
                <w:rStyle w:val="TimesNewRomanTimesNewRoman"/>
                <w:b w:val="0"/>
                <w:bCs w:val="0"/>
                <w:rtl/>
              </w:rPr>
              <w:t xml:space="preserve"> </w:t>
            </w:r>
          </w:p>
        </w:tc>
      </w:tr>
      <w:tr w:rsidR="009F6543" w:rsidRPr="00455165" w14:paraId="01ECA39B" w14:textId="77777777" w:rsidTr="00276E38">
        <w:trPr>
          <w:cantSplit/>
          <w:trHeight w:val="421"/>
        </w:trPr>
        <w:tc>
          <w:tcPr>
            <w:tcW w:w="2880" w:type="dxa"/>
          </w:tcPr>
          <w:p w14:paraId="468157AE" w14:textId="77777777" w:rsidR="009F6543" w:rsidRPr="00455165" w:rsidRDefault="009F6543" w:rsidP="00455165">
            <w:pPr>
              <w:spacing w:before="120" w:after="120" w:line="240" w:lineRule="exact"/>
              <w:ind w:left="26"/>
              <w:rPr>
                <w:b/>
                <w:bCs/>
                <w:sz w:val="26"/>
                <w:szCs w:val="26"/>
                <w:rtl/>
              </w:rPr>
            </w:pPr>
            <w:bookmarkStart w:id="2" w:name="FirstAppellant"/>
            <w:r w:rsidRPr="00455165">
              <w:rPr>
                <w:b/>
                <w:bCs/>
                <w:sz w:val="26"/>
                <w:szCs w:val="26"/>
                <w:rtl/>
              </w:rPr>
              <w:t>המאשימה</w:t>
            </w:r>
          </w:p>
        </w:tc>
        <w:tc>
          <w:tcPr>
            <w:tcW w:w="5922" w:type="dxa"/>
            <w:gridSpan w:val="2"/>
          </w:tcPr>
          <w:p w14:paraId="6B0D8D25" w14:textId="77777777" w:rsidR="009F6543" w:rsidRPr="00455165" w:rsidRDefault="009F6543" w:rsidP="00455165">
            <w:pPr>
              <w:spacing w:before="120" w:after="120" w:line="240" w:lineRule="exact"/>
              <w:rPr>
                <w:b/>
                <w:bCs/>
                <w:sz w:val="26"/>
                <w:szCs w:val="26"/>
                <w:rtl/>
              </w:rPr>
            </w:pPr>
            <w:r w:rsidRPr="00455165">
              <w:rPr>
                <w:b/>
                <w:bCs/>
                <w:sz w:val="26"/>
                <w:szCs w:val="26"/>
                <w:rtl/>
              </w:rPr>
              <w:t>מדינת ישראל</w:t>
            </w:r>
          </w:p>
        </w:tc>
      </w:tr>
      <w:bookmarkEnd w:id="2"/>
      <w:tr w:rsidR="009F6543" w:rsidRPr="00455165" w14:paraId="1EBD1963" w14:textId="77777777" w:rsidTr="00276E38">
        <w:tc>
          <w:tcPr>
            <w:tcW w:w="8802" w:type="dxa"/>
            <w:gridSpan w:val="3"/>
            <w:vAlign w:val="center"/>
          </w:tcPr>
          <w:p w14:paraId="6E4D18CB" w14:textId="77777777" w:rsidR="009F6543" w:rsidRPr="00455165" w:rsidRDefault="009F6543" w:rsidP="00455165">
            <w:pPr>
              <w:spacing w:before="240" w:after="240" w:line="240" w:lineRule="exact"/>
              <w:jc w:val="center"/>
              <w:rPr>
                <w:rFonts w:ascii="Arial" w:hAnsi="Arial" w:hint="cs"/>
                <w:b/>
                <w:bCs/>
                <w:sz w:val="26"/>
                <w:szCs w:val="26"/>
                <w:rtl/>
              </w:rPr>
            </w:pPr>
            <w:r w:rsidRPr="00455165">
              <w:rPr>
                <w:rFonts w:ascii="Arial" w:hAnsi="Arial"/>
                <w:b/>
                <w:bCs/>
                <w:sz w:val="26"/>
                <w:szCs w:val="26"/>
                <w:rtl/>
              </w:rPr>
              <w:t>נגד</w:t>
            </w:r>
          </w:p>
        </w:tc>
      </w:tr>
      <w:tr w:rsidR="009F6543" w:rsidRPr="00455165" w14:paraId="634F4C95" w14:textId="77777777" w:rsidTr="00276E38">
        <w:tc>
          <w:tcPr>
            <w:tcW w:w="2880" w:type="dxa"/>
          </w:tcPr>
          <w:p w14:paraId="5783BC43" w14:textId="77777777" w:rsidR="009F6543" w:rsidRPr="00455165" w:rsidRDefault="009F6543" w:rsidP="00455165">
            <w:pPr>
              <w:spacing w:before="120" w:after="120" w:line="240" w:lineRule="exact"/>
              <w:ind w:left="26"/>
              <w:rPr>
                <w:b/>
                <w:bCs/>
                <w:sz w:val="26"/>
                <w:szCs w:val="26"/>
              </w:rPr>
            </w:pPr>
            <w:bookmarkStart w:id="3" w:name="FirstLawyer"/>
            <w:r w:rsidRPr="00455165">
              <w:rPr>
                <w:b/>
                <w:bCs/>
                <w:sz w:val="26"/>
                <w:szCs w:val="26"/>
                <w:rtl/>
              </w:rPr>
              <w:t>הנאשם</w:t>
            </w:r>
          </w:p>
        </w:tc>
        <w:tc>
          <w:tcPr>
            <w:tcW w:w="5922" w:type="dxa"/>
            <w:gridSpan w:val="2"/>
          </w:tcPr>
          <w:p w14:paraId="73DA3340" w14:textId="77777777" w:rsidR="009F6543" w:rsidRPr="00455165" w:rsidRDefault="009F6543" w:rsidP="00455165">
            <w:pPr>
              <w:spacing w:before="120" w:after="120" w:line="240" w:lineRule="exact"/>
              <w:rPr>
                <w:b/>
                <w:bCs/>
                <w:sz w:val="26"/>
                <w:szCs w:val="26"/>
                <w:rtl/>
              </w:rPr>
            </w:pPr>
            <w:r w:rsidRPr="00455165">
              <w:rPr>
                <w:b/>
                <w:bCs/>
                <w:sz w:val="26"/>
                <w:szCs w:val="26"/>
                <w:rtl/>
              </w:rPr>
              <w:t xml:space="preserve"> ט' (קטין)</w:t>
            </w:r>
            <w:r w:rsidRPr="00455165">
              <w:rPr>
                <w:rFonts w:cs="Times New Roman"/>
                <w:b/>
                <w:bCs/>
                <w:sz w:val="26"/>
                <w:szCs w:val="26"/>
                <w:rtl/>
              </w:rPr>
              <w:t xml:space="preserve"> </w:t>
            </w:r>
          </w:p>
          <w:p w14:paraId="14ED0115" w14:textId="77777777" w:rsidR="009F6543" w:rsidRPr="00455165" w:rsidRDefault="009F6543" w:rsidP="00455165">
            <w:pPr>
              <w:spacing w:before="120" w:after="120" w:line="240" w:lineRule="exact"/>
              <w:rPr>
                <w:b/>
                <w:bCs/>
                <w:sz w:val="26"/>
                <w:szCs w:val="26"/>
                <w:rtl/>
              </w:rPr>
            </w:pPr>
            <w:r w:rsidRPr="00455165">
              <w:rPr>
                <w:b/>
                <w:bCs/>
                <w:sz w:val="26"/>
                <w:szCs w:val="26"/>
                <w:rtl/>
              </w:rPr>
              <w:t xml:space="preserve"> ע"י ב"כ עו"ד בריק (סנגוריה ציבורית)</w:t>
            </w:r>
          </w:p>
        </w:tc>
      </w:tr>
      <w:bookmarkEnd w:id="3"/>
    </w:tbl>
    <w:p w14:paraId="7439D4AE" w14:textId="77777777" w:rsidR="009F6543" w:rsidRPr="009F6543" w:rsidRDefault="009F6543" w:rsidP="00534CFF">
      <w:pPr>
        <w:suppressLineNumbers/>
        <w:rPr>
          <w:rFonts w:ascii="Arial" w:hAnsi="Arial"/>
          <w:rtl/>
        </w:rPr>
      </w:pPr>
    </w:p>
    <w:p w14:paraId="69A10E45" w14:textId="77777777" w:rsidR="00980DAB" w:rsidRPr="00980DAB" w:rsidRDefault="00980DAB" w:rsidP="00980DAB">
      <w:pPr>
        <w:spacing w:before="120" w:after="120" w:line="240" w:lineRule="exact"/>
        <w:ind w:left="283" w:hanging="283"/>
        <w:jc w:val="both"/>
        <w:rPr>
          <w:rFonts w:ascii="FrankRuehl" w:hAnsi="FrankRuehl" w:cs="FrankRuehl"/>
          <w:rtl/>
        </w:rPr>
      </w:pPr>
      <w:bookmarkStart w:id="4" w:name="LawTable"/>
      <w:bookmarkEnd w:id="4"/>
      <w:r w:rsidRPr="00980DAB">
        <w:rPr>
          <w:rFonts w:ascii="FrankRuehl" w:hAnsi="FrankRuehl" w:cs="FrankRuehl"/>
          <w:rtl/>
        </w:rPr>
        <w:t xml:space="preserve">חקיקה שאוזכרה: </w:t>
      </w:r>
    </w:p>
    <w:p w14:paraId="62AD5F08" w14:textId="77777777" w:rsidR="00980DAB" w:rsidRPr="00980DAB" w:rsidRDefault="00980DAB" w:rsidP="00980DAB">
      <w:pPr>
        <w:spacing w:before="120" w:after="120" w:line="240" w:lineRule="exact"/>
        <w:ind w:left="283" w:hanging="283"/>
        <w:jc w:val="both"/>
        <w:rPr>
          <w:rFonts w:ascii="FrankRuehl" w:hAnsi="FrankRuehl" w:cs="FrankRuehl"/>
          <w:color w:val="0000FF"/>
          <w:rtl/>
        </w:rPr>
      </w:pPr>
      <w:hyperlink r:id="rId8" w:history="1">
        <w:r w:rsidRPr="00980DAB">
          <w:rPr>
            <w:rStyle w:val="Hyperlink"/>
            <w:rFonts w:ascii="FrankRuehl" w:hAnsi="FrankRuehl" w:cs="FrankRuehl"/>
            <w:u w:val="none"/>
            <w:rtl/>
          </w:rPr>
          <w:t>חוק העונשין, תשל"ז-1977</w:t>
        </w:r>
      </w:hyperlink>
      <w:r w:rsidRPr="00980DAB">
        <w:rPr>
          <w:rFonts w:ascii="FrankRuehl" w:hAnsi="FrankRuehl" w:cs="FrankRuehl"/>
          <w:color w:val="0000FF"/>
          <w:rtl/>
        </w:rPr>
        <w:t xml:space="preserve">: סע'  </w:t>
      </w:r>
      <w:hyperlink r:id="rId9" w:history="1">
        <w:r w:rsidRPr="00980DAB">
          <w:rPr>
            <w:rStyle w:val="Hyperlink"/>
            <w:rFonts w:ascii="FrankRuehl" w:hAnsi="FrankRuehl" w:cs="FrankRuehl"/>
            <w:u w:val="none"/>
          </w:rPr>
          <w:t xml:space="preserve">448 </w:t>
        </w:r>
      </w:hyperlink>
      <w:r w:rsidRPr="00980DAB">
        <w:rPr>
          <w:rFonts w:ascii="FrankRuehl" w:hAnsi="FrankRuehl" w:cs="FrankRuehl"/>
          <w:color w:val="0000FF"/>
          <w:rtl/>
        </w:rPr>
        <w:t>(א)</w:t>
      </w:r>
    </w:p>
    <w:p w14:paraId="30239A50" w14:textId="77777777" w:rsidR="00980DAB" w:rsidRPr="00980DAB" w:rsidRDefault="00980DAB" w:rsidP="00980DAB">
      <w:pPr>
        <w:spacing w:before="120" w:after="120" w:line="240" w:lineRule="exact"/>
        <w:ind w:left="283" w:hanging="283"/>
        <w:jc w:val="both"/>
        <w:rPr>
          <w:rFonts w:ascii="FrankRuehl" w:hAnsi="FrankRuehl" w:cs="FrankRuehl"/>
          <w:color w:val="0000FF"/>
          <w:rtl/>
        </w:rPr>
      </w:pPr>
      <w:hyperlink r:id="rId10" w:history="1">
        <w:r w:rsidRPr="00980DAB">
          <w:rPr>
            <w:rStyle w:val="Hyperlink"/>
            <w:rFonts w:ascii="FrankRuehl" w:hAnsi="FrankRuehl" w:cs="FrankRuehl"/>
            <w:u w:val="none"/>
            <w:rtl/>
          </w:rPr>
          <w:t>פקודת הסמים המסוכנים [נוסח חדש], תשל"ג-1973</w:t>
        </w:r>
      </w:hyperlink>
      <w:r w:rsidRPr="00980DAB">
        <w:rPr>
          <w:rFonts w:ascii="FrankRuehl" w:hAnsi="FrankRuehl" w:cs="FrankRuehl"/>
          <w:color w:val="0000FF"/>
          <w:rtl/>
        </w:rPr>
        <w:t xml:space="preserve">: סע'  </w:t>
      </w:r>
      <w:hyperlink r:id="rId11" w:history="1">
        <w:r w:rsidRPr="00980DAB">
          <w:rPr>
            <w:rStyle w:val="Hyperlink"/>
            <w:rFonts w:ascii="FrankRuehl" w:hAnsi="FrankRuehl" w:cs="FrankRuehl"/>
            <w:u w:val="none"/>
          </w:rPr>
          <w:t>7.</w:t>
        </w:r>
        <w:r w:rsidRPr="00980DAB">
          <w:rPr>
            <w:rStyle w:val="Hyperlink"/>
            <w:rFonts w:ascii="FrankRuehl" w:hAnsi="FrankRuehl" w:cs="FrankRuehl"/>
            <w:u w:val="none"/>
            <w:rtl/>
          </w:rPr>
          <w:t>א</w:t>
        </w:r>
        <w:r w:rsidRPr="00980DAB">
          <w:rPr>
            <w:rStyle w:val="Hyperlink"/>
            <w:rFonts w:ascii="FrankRuehl" w:hAnsi="FrankRuehl" w:cs="FrankRuehl"/>
            <w:u w:val="none"/>
          </w:rPr>
          <w:t>.</w:t>
        </w:r>
      </w:hyperlink>
      <w:r w:rsidRPr="00980DAB">
        <w:rPr>
          <w:rFonts w:ascii="FrankRuehl" w:hAnsi="FrankRuehl" w:cs="FrankRuehl"/>
          <w:color w:val="0000FF"/>
          <w:rtl/>
        </w:rPr>
        <w:t xml:space="preserve">, </w:t>
      </w:r>
      <w:hyperlink r:id="rId12" w:history="1">
        <w:r w:rsidRPr="00980DAB">
          <w:rPr>
            <w:rStyle w:val="Hyperlink"/>
            <w:rFonts w:ascii="FrankRuehl" w:hAnsi="FrankRuehl" w:cs="FrankRuehl"/>
            <w:u w:val="none"/>
          </w:rPr>
          <w:t>7.</w:t>
        </w:r>
        <w:r w:rsidRPr="00980DAB">
          <w:rPr>
            <w:rStyle w:val="Hyperlink"/>
            <w:rFonts w:ascii="FrankRuehl" w:hAnsi="FrankRuehl" w:cs="FrankRuehl"/>
            <w:u w:val="none"/>
            <w:rtl/>
          </w:rPr>
          <w:t>ג</w:t>
        </w:r>
      </w:hyperlink>
    </w:p>
    <w:p w14:paraId="60E3B1D2" w14:textId="77777777" w:rsidR="00980DAB" w:rsidRPr="00980DAB" w:rsidRDefault="00980DAB" w:rsidP="00980DAB">
      <w:pPr>
        <w:spacing w:before="120" w:after="120" w:line="240" w:lineRule="exact"/>
        <w:ind w:left="283" w:hanging="283"/>
        <w:jc w:val="both"/>
        <w:rPr>
          <w:rFonts w:ascii="FrankRuehl" w:hAnsi="FrankRuehl" w:cs="FrankRuehl"/>
          <w:color w:val="0000FF"/>
          <w:rtl/>
        </w:rPr>
      </w:pPr>
      <w:hyperlink r:id="rId13" w:history="1">
        <w:r w:rsidRPr="00980DAB">
          <w:rPr>
            <w:rStyle w:val="Hyperlink"/>
            <w:rFonts w:ascii="FrankRuehl" w:hAnsi="FrankRuehl" w:cs="FrankRuehl"/>
            <w:u w:val="none"/>
            <w:rtl/>
          </w:rPr>
          <w:t>חוק הנוער (שפיטה, ענישה ודרכי טיפול), תשל"א-1971</w:t>
        </w:r>
      </w:hyperlink>
      <w:r w:rsidRPr="00980DAB">
        <w:rPr>
          <w:rFonts w:ascii="FrankRuehl" w:hAnsi="FrankRuehl" w:cs="FrankRuehl"/>
          <w:color w:val="0000FF"/>
          <w:rtl/>
        </w:rPr>
        <w:t xml:space="preserve">: סע'  </w:t>
      </w:r>
      <w:hyperlink r:id="rId14" w:history="1">
        <w:r w:rsidRPr="00980DAB">
          <w:rPr>
            <w:rStyle w:val="Hyperlink"/>
            <w:rFonts w:ascii="FrankRuehl" w:hAnsi="FrankRuehl" w:cs="FrankRuehl"/>
            <w:u w:val="none"/>
          </w:rPr>
          <w:t>24</w:t>
        </w:r>
      </w:hyperlink>
    </w:p>
    <w:p w14:paraId="1A29BF6D" w14:textId="77777777" w:rsidR="00980DAB" w:rsidRDefault="00980DAB" w:rsidP="00980DAB">
      <w:pPr>
        <w:rPr>
          <w:rFonts w:ascii="Arial" w:hAnsi="Arial" w:hint="cs"/>
          <w:rtl/>
        </w:rPr>
      </w:pPr>
      <w:bookmarkStart w:id="5" w:name="LawTable_End"/>
      <w:bookmarkEnd w:id="5"/>
    </w:p>
    <w:p w14:paraId="4EA16EEC" w14:textId="77777777" w:rsidR="00B24F49" w:rsidRDefault="00B24F49" w:rsidP="00B24F49">
      <w:pPr>
        <w:pBdr>
          <w:top w:val="single" w:sz="4" w:space="1" w:color="auto"/>
          <w:bottom w:val="single" w:sz="4" w:space="1" w:color="auto"/>
        </w:pBdr>
        <w:spacing w:after="120" w:line="320" w:lineRule="exact"/>
        <w:jc w:val="both"/>
        <w:rPr>
          <w:rFonts w:cs="FrankRuehl" w:hint="cs"/>
          <w:szCs w:val="26"/>
          <w:rtl/>
        </w:rPr>
      </w:pPr>
      <w:bookmarkStart w:id="6" w:name="ABSTRACT_START"/>
      <w:bookmarkEnd w:id="6"/>
      <w:r>
        <w:rPr>
          <w:rFonts w:cs="FrankRuehl"/>
          <w:szCs w:val="26"/>
          <w:rtl/>
        </w:rPr>
        <w:t>מיני-רציו:</w:t>
      </w:r>
    </w:p>
    <w:p w14:paraId="222921A9" w14:textId="77777777" w:rsidR="00B24F49" w:rsidRPr="00B24F49" w:rsidRDefault="00B24F49" w:rsidP="00B24F4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B24F49">
        <w:rPr>
          <w:rFonts w:cs="FrankRuehl" w:hint="cs"/>
          <w:szCs w:val="26"/>
          <w:rtl/>
        </w:rPr>
        <w:t xml:space="preserve">בית המשפט גזר על קטין שהורשע בעבירות </w:t>
      </w:r>
      <w:r w:rsidRPr="00B24F49">
        <w:rPr>
          <w:rFonts w:cs="FrankRuehl"/>
          <w:szCs w:val="26"/>
          <w:rtl/>
        </w:rPr>
        <w:t xml:space="preserve">הצתה </w:t>
      </w:r>
      <w:r w:rsidRPr="00B24F49">
        <w:rPr>
          <w:rFonts w:cs="FrankRuehl" w:hint="cs"/>
          <w:szCs w:val="26"/>
          <w:rtl/>
        </w:rPr>
        <w:t>ו</w:t>
      </w:r>
      <w:r w:rsidRPr="00B24F49">
        <w:rPr>
          <w:rFonts w:cs="FrankRuehl"/>
          <w:szCs w:val="26"/>
          <w:rtl/>
        </w:rPr>
        <w:t>החזקה ושימוש</w:t>
      </w:r>
      <w:r w:rsidRPr="00B24F49">
        <w:rPr>
          <w:rFonts w:cs="FrankRuehl" w:hint="cs"/>
          <w:szCs w:val="26"/>
          <w:rtl/>
        </w:rPr>
        <w:t xml:space="preserve"> בסמים,</w:t>
      </w:r>
      <w:r w:rsidRPr="00B24F49">
        <w:rPr>
          <w:rFonts w:cs="FrankRuehl"/>
          <w:szCs w:val="26"/>
          <w:rtl/>
        </w:rPr>
        <w:t xml:space="preserve"> עונש של 18 חודשי מאסר </w:t>
      </w:r>
      <w:r w:rsidRPr="00B24F49">
        <w:rPr>
          <w:rFonts w:cs="FrankRuehl" w:hint="cs"/>
          <w:szCs w:val="26"/>
          <w:rtl/>
        </w:rPr>
        <w:t>ו</w:t>
      </w:r>
      <w:r w:rsidRPr="00B24F49">
        <w:rPr>
          <w:rFonts w:cs="FrankRuehl"/>
          <w:szCs w:val="26"/>
          <w:rtl/>
        </w:rPr>
        <w:t>מאסר על תנאי לתקופה של 6 חודשים</w:t>
      </w:r>
      <w:r w:rsidRPr="00B24F49">
        <w:rPr>
          <w:rFonts w:cs="FrankRuehl" w:hint="cs"/>
          <w:szCs w:val="26"/>
          <w:rtl/>
        </w:rPr>
        <w:t>.</w:t>
      </w:r>
    </w:p>
    <w:p w14:paraId="1EFD26A4" w14:textId="77777777" w:rsidR="00B24F49" w:rsidRDefault="00B24F49" w:rsidP="00B24F49">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קטינים</w:t>
      </w:r>
    </w:p>
    <w:p w14:paraId="70C017AC" w14:textId="77777777" w:rsidR="00B24F49" w:rsidRDefault="00B24F49" w:rsidP="00B24F49">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הצתה</w:t>
      </w:r>
    </w:p>
    <w:p w14:paraId="1459273C" w14:textId="77777777" w:rsidR="00B24F49" w:rsidRDefault="00B24F49" w:rsidP="00B24F4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B42E51D" w14:textId="77777777" w:rsidR="00B24F49" w:rsidRPr="00B24F49" w:rsidRDefault="00B24F49" w:rsidP="00B24F49">
      <w:pPr>
        <w:pBdr>
          <w:top w:val="single" w:sz="4" w:space="1" w:color="auto"/>
          <w:bottom w:val="single" w:sz="4" w:space="1" w:color="auto"/>
        </w:pBdr>
        <w:spacing w:after="120" w:line="320" w:lineRule="exact"/>
        <w:jc w:val="both"/>
        <w:rPr>
          <w:rFonts w:cs="FrankRuehl" w:hint="cs"/>
          <w:szCs w:val="26"/>
          <w:rtl/>
        </w:rPr>
      </w:pPr>
      <w:r w:rsidRPr="00B24F49">
        <w:rPr>
          <w:rFonts w:cs="FrankRuehl"/>
          <w:szCs w:val="26"/>
          <w:rtl/>
        </w:rPr>
        <w:t>הנאשם</w:t>
      </w:r>
      <w:r w:rsidRPr="00B24F49">
        <w:rPr>
          <w:rFonts w:cs="FrankRuehl" w:hint="cs"/>
          <w:szCs w:val="26"/>
          <w:rtl/>
        </w:rPr>
        <w:t xml:space="preserve">, שהינו קטין, </w:t>
      </w:r>
      <w:r w:rsidRPr="00B24F49">
        <w:rPr>
          <w:rFonts w:cs="FrankRuehl"/>
          <w:szCs w:val="26"/>
          <w:rtl/>
        </w:rPr>
        <w:t>הודה בעביר</w:t>
      </w:r>
      <w:r w:rsidRPr="00B24F49">
        <w:rPr>
          <w:rFonts w:cs="FrankRuehl" w:hint="cs"/>
          <w:szCs w:val="26"/>
          <w:rtl/>
        </w:rPr>
        <w:t>ות</w:t>
      </w:r>
      <w:r w:rsidRPr="00B24F49">
        <w:rPr>
          <w:rFonts w:cs="FrankRuehl"/>
          <w:szCs w:val="26"/>
          <w:rtl/>
        </w:rPr>
        <w:t xml:space="preserve"> של הצתה </w:t>
      </w:r>
      <w:r w:rsidRPr="00B24F49">
        <w:rPr>
          <w:rFonts w:cs="FrankRuehl" w:hint="cs"/>
          <w:szCs w:val="26"/>
          <w:rtl/>
        </w:rPr>
        <w:t>ו</w:t>
      </w:r>
      <w:r w:rsidRPr="00B24F49">
        <w:rPr>
          <w:rFonts w:cs="FrankRuehl"/>
          <w:szCs w:val="26"/>
          <w:rtl/>
        </w:rPr>
        <w:t>החזקה ושימוש</w:t>
      </w:r>
      <w:r w:rsidRPr="00B24F49">
        <w:rPr>
          <w:rFonts w:cs="FrankRuehl" w:hint="cs"/>
          <w:szCs w:val="26"/>
          <w:rtl/>
        </w:rPr>
        <w:t xml:space="preserve"> בסמים. </w:t>
      </w:r>
    </w:p>
    <w:p w14:paraId="105C6BD8" w14:textId="77777777" w:rsidR="00B24F49" w:rsidRDefault="00B24F49" w:rsidP="00B24F4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4A1FCEF" w14:textId="77777777" w:rsidR="00B24F49" w:rsidRPr="00B24F49" w:rsidRDefault="00B24F49" w:rsidP="00B24F49">
      <w:pPr>
        <w:pBdr>
          <w:top w:val="single" w:sz="4" w:space="1" w:color="auto"/>
          <w:bottom w:val="single" w:sz="4" w:space="1" w:color="auto"/>
        </w:pBdr>
        <w:spacing w:after="120" w:line="320" w:lineRule="exact"/>
        <w:jc w:val="both"/>
        <w:rPr>
          <w:rFonts w:cs="FrankRuehl" w:hint="cs"/>
          <w:szCs w:val="26"/>
          <w:rtl/>
        </w:rPr>
      </w:pPr>
      <w:r w:rsidRPr="00B24F49">
        <w:rPr>
          <w:rFonts w:cs="FrankRuehl"/>
          <w:szCs w:val="26"/>
          <w:rtl/>
        </w:rPr>
        <w:t>בית המשפט המחוזי</w:t>
      </w:r>
      <w:r w:rsidRPr="00B24F49">
        <w:rPr>
          <w:rFonts w:cs="FrankRuehl" w:hint="cs"/>
          <w:szCs w:val="26"/>
          <w:rtl/>
        </w:rPr>
        <w:t xml:space="preserve"> גזר את הדין כדלהלן:</w:t>
      </w:r>
    </w:p>
    <w:p w14:paraId="157130E6" w14:textId="77777777" w:rsidR="00B24F49" w:rsidRPr="00B24F49" w:rsidRDefault="00B24F49" w:rsidP="00B24F49">
      <w:pPr>
        <w:pBdr>
          <w:top w:val="single" w:sz="4" w:space="1" w:color="auto"/>
          <w:bottom w:val="single" w:sz="4" w:space="1" w:color="auto"/>
        </w:pBdr>
        <w:spacing w:after="120" w:line="320" w:lineRule="exact"/>
        <w:jc w:val="both"/>
        <w:rPr>
          <w:rFonts w:cs="FrankRuehl" w:hint="cs"/>
          <w:szCs w:val="26"/>
          <w:rtl/>
        </w:rPr>
      </w:pPr>
      <w:r w:rsidRPr="00B24F49">
        <w:rPr>
          <w:rFonts w:cs="FrankRuehl"/>
          <w:szCs w:val="26"/>
          <w:rtl/>
        </w:rPr>
        <w:t>פסיקה עקבית של בית המשפט העליון הדגישה את ייחודיותו של מערך השיקולים, שיש להפעיל ביחס לענישה של קטינים, עת מן העבר האחד קיים צורך במתן משקל יתר לשיקולים אינדיבידואליים ועריכת איזונים ראויים בין שיקולי שיקום ושיקולי הרתעה, כך שתכלית שיקום הקטין תקבל מענה הולם. מן העבר השני עמד בית המשפט העליון על כך שקטינות אינה מהווה חסינות, ובמקרים בהם קטין אינו משתף פעולה עם גורמים מקצועיים, ושירות המבחן נמנע מליתן המלצה טיפולית בעניינו של הקטין, ניתן להשית על הנאשם ענישה משמעותית והולמת.</w:t>
      </w:r>
    </w:p>
    <w:p w14:paraId="326D9364" w14:textId="77777777" w:rsidR="00B24F49" w:rsidRPr="00B24F49" w:rsidRDefault="00B24F49" w:rsidP="00B24F49">
      <w:pPr>
        <w:pBdr>
          <w:top w:val="single" w:sz="4" w:space="1" w:color="auto"/>
          <w:bottom w:val="single" w:sz="4" w:space="1" w:color="auto"/>
        </w:pBdr>
        <w:spacing w:after="120" w:line="320" w:lineRule="exact"/>
        <w:jc w:val="both"/>
        <w:rPr>
          <w:rFonts w:cs="FrankRuehl"/>
          <w:szCs w:val="26"/>
          <w:rtl/>
        </w:rPr>
      </w:pPr>
      <w:r w:rsidRPr="00B24F49">
        <w:rPr>
          <w:rFonts w:cs="FrankRuehl" w:hint="cs"/>
          <w:szCs w:val="26"/>
          <w:rtl/>
        </w:rPr>
        <w:t xml:space="preserve">יש להרשיע את הנאשם. </w:t>
      </w:r>
      <w:r w:rsidRPr="00B24F49">
        <w:rPr>
          <w:rFonts w:cs="FrankRuehl"/>
          <w:szCs w:val="26"/>
          <w:rtl/>
        </w:rPr>
        <w:t>במעשיו פגע הנאשם בערכים חברתיים מוגנים רבים, לרבות, בערך כבוד-האדם, בתחושת הביטחון האישי, בסדר החברתי ושלום הציבור, וכן ברכוש ובקניין.</w:t>
      </w:r>
      <w:r w:rsidRPr="00B24F49">
        <w:rPr>
          <w:rFonts w:cs="FrankRuehl" w:hint="cs"/>
          <w:szCs w:val="26"/>
          <w:rtl/>
        </w:rPr>
        <w:t xml:space="preserve"> מאחר ש</w:t>
      </w:r>
      <w:r w:rsidRPr="00B24F49">
        <w:rPr>
          <w:rFonts w:cs="FrankRuehl"/>
          <w:szCs w:val="26"/>
          <w:rtl/>
        </w:rPr>
        <w:t xml:space="preserve">הנאשם לא נטל </w:t>
      </w:r>
      <w:r w:rsidRPr="00B24F49">
        <w:rPr>
          <w:rFonts w:cs="FrankRuehl"/>
          <w:szCs w:val="26"/>
          <w:rtl/>
        </w:rPr>
        <w:lastRenderedPageBreak/>
        <w:t>חלק בהליכים טיפוליים ושיקומיים, בשים-לב לחומרת העבירות והצורך בהרתעתו של הנאשם, על עונשו לכלול מאסר בפועל. לצד זאת יש להתמיד בניסיונות לשקם את הנאשם</w:t>
      </w:r>
      <w:r w:rsidRPr="00B24F49">
        <w:rPr>
          <w:rFonts w:cs="FrankRuehl" w:hint="cs"/>
          <w:szCs w:val="26"/>
          <w:rtl/>
        </w:rPr>
        <w:t xml:space="preserve">. </w:t>
      </w:r>
      <w:r w:rsidRPr="00B24F49">
        <w:rPr>
          <w:rFonts w:cs="FrankRuehl"/>
          <w:szCs w:val="26"/>
          <w:rtl/>
        </w:rPr>
        <w:t>באיזון הנסיבות והנתונים</w:t>
      </w:r>
      <w:r w:rsidRPr="00B24F49">
        <w:rPr>
          <w:rFonts w:cs="FrankRuehl" w:hint="cs"/>
          <w:szCs w:val="26"/>
          <w:rtl/>
        </w:rPr>
        <w:t xml:space="preserve">, </w:t>
      </w:r>
      <w:r w:rsidRPr="00B24F49">
        <w:rPr>
          <w:rFonts w:cs="FrankRuehl"/>
          <w:szCs w:val="26"/>
          <w:rtl/>
        </w:rPr>
        <w:t xml:space="preserve">העונש הראוי הוא עונש של 18 חודשי מאסר </w:t>
      </w:r>
      <w:r w:rsidRPr="00B24F49">
        <w:rPr>
          <w:rFonts w:cs="FrankRuehl" w:hint="cs"/>
          <w:szCs w:val="26"/>
          <w:rtl/>
        </w:rPr>
        <w:t>ו</w:t>
      </w:r>
      <w:r w:rsidRPr="00B24F49">
        <w:rPr>
          <w:rFonts w:cs="FrankRuehl"/>
          <w:szCs w:val="26"/>
          <w:rtl/>
        </w:rPr>
        <w:t>מאסר על תנאי לתקופה של 6 חודשים</w:t>
      </w:r>
      <w:r w:rsidRPr="00B24F49">
        <w:rPr>
          <w:rFonts w:cs="FrankRuehl" w:hint="cs"/>
          <w:szCs w:val="26"/>
          <w:rtl/>
        </w:rPr>
        <w:t>.</w:t>
      </w:r>
    </w:p>
    <w:p w14:paraId="30BC20C5" w14:textId="77777777" w:rsidR="00B24F49" w:rsidRDefault="00B24F49" w:rsidP="00980DAB">
      <w:pPr>
        <w:rPr>
          <w:rFonts w:ascii="Arial" w:hAnsi="Arial" w:hint="cs"/>
          <w:rtl/>
        </w:rPr>
      </w:pPr>
      <w:bookmarkStart w:id="7" w:name="ABSTRACT_END"/>
      <w:bookmarkEnd w:id="7"/>
    </w:p>
    <w:p w14:paraId="3C41FD4F" w14:textId="77777777" w:rsidR="00B24F49" w:rsidRPr="00980DAB" w:rsidRDefault="00B24F49" w:rsidP="00980DAB">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F6543" w14:paraId="195FB2F5" w14:textId="77777777" w:rsidTr="00276E38">
        <w:trPr>
          <w:trHeight w:val="355"/>
          <w:jc w:val="center"/>
        </w:trPr>
        <w:tc>
          <w:tcPr>
            <w:tcW w:w="8820" w:type="dxa"/>
            <w:tcBorders>
              <w:top w:val="nil"/>
              <w:left w:val="nil"/>
              <w:bottom w:val="nil"/>
              <w:right w:val="nil"/>
            </w:tcBorders>
          </w:tcPr>
          <w:p w14:paraId="4A9F8E13" w14:textId="77777777" w:rsidR="009F6543" w:rsidRPr="009F6543" w:rsidRDefault="009F6543" w:rsidP="009F6543">
            <w:pPr>
              <w:jc w:val="center"/>
              <w:rPr>
                <w:rFonts w:ascii="David" w:hAnsi="David"/>
                <w:b/>
                <w:bCs/>
                <w:sz w:val="26"/>
                <w:szCs w:val="26"/>
                <w:u w:val="single"/>
                <w:rtl/>
              </w:rPr>
            </w:pPr>
            <w:bookmarkStart w:id="8" w:name="PsakDin" w:colFirst="0" w:colLast="0"/>
            <w:bookmarkEnd w:id="0"/>
            <w:r w:rsidRPr="009F6543">
              <w:rPr>
                <w:rFonts w:ascii="David" w:hAnsi="David"/>
                <w:b/>
                <w:bCs/>
                <w:sz w:val="26"/>
                <w:szCs w:val="26"/>
                <w:u w:val="single"/>
                <w:rtl/>
              </w:rPr>
              <w:t>גזר-דין</w:t>
            </w:r>
          </w:p>
          <w:p w14:paraId="661A4897" w14:textId="77777777" w:rsidR="009F6543" w:rsidRPr="009F6543" w:rsidRDefault="009F6543" w:rsidP="009F6543">
            <w:pPr>
              <w:jc w:val="center"/>
              <w:rPr>
                <w:rFonts w:ascii="David" w:hAnsi="David"/>
                <w:bCs/>
                <w:sz w:val="32"/>
                <w:szCs w:val="32"/>
                <w:u w:val="single"/>
                <w:rtl/>
              </w:rPr>
            </w:pPr>
          </w:p>
        </w:tc>
      </w:tr>
      <w:bookmarkEnd w:id="8"/>
    </w:tbl>
    <w:p w14:paraId="07611C47" w14:textId="77777777" w:rsidR="000C5076" w:rsidRDefault="000C5076" w:rsidP="00534CFF">
      <w:pPr>
        <w:spacing w:line="360" w:lineRule="auto"/>
        <w:ind w:firstLine="720"/>
        <w:jc w:val="both"/>
        <w:rPr>
          <w:rFonts w:ascii="David" w:hAnsi="David"/>
          <w:rtl/>
        </w:rPr>
      </w:pPr>
    </w:p>
    <w:p w14:paraId="338676E8" w14:textId="77777777" w:rsidR="000C5076" w:rsidRDefault="000C5076" w:rsidP="00534CFF">
      <w:pPr>
        <w:spacing w:line="360" w:lineRule="auto"/>
        <w:ind w:left="720" w:hanging="720"/>
        <w:jc w:val="both"/>
        <w:rPr>
          <w:rFonts w:ascii="David" w:hAnsi="David"/>
          <w:rtl/>
        </w:rPr>
      </w:pPr>
      <w:r>
        <w:rPr>
          <w:rFonts w:ascii="David" w:hAnsi="David"/>
          <w:rtl/>
        </w:rPr>
        <w:t xml:space="preserve">1.  </w:t>
      </w:r>
      <w:r>
        <w:rPr>
          <w:rFonts w:ascii="David" w:hAnsi="David"/>
          <w:rtl/>
        </w:rPr>
        <w:tab/>
        <w:t xml:space="preserve">הנאשם, יליד 00.05.2003, הודה ביום 19.11.2020 בעובדות כתב-האישום המתוקן, בעבירה של הצתה, לפי סעיף </w:t>
      </w:r>
      <w:hyperlink r:id="rId15" w:history="1">
        <w:r w:rsidR="00610299" w:rsidRPr="00610299">
          <w:rPr>
            <w:rStyle w:val="Hyperlink"/>
            <w:rFonts w:ascii="David" w:hAnsi="David"/>
            <w:rtl/>
          </w:rPr>
          <w:t>מס' 448 (א)</w:t>
        </w:r>
      </w:hyperlink>
      <w:r>
        <w:rPr>
          <w:rFonts w:ascii="David" w:hAnsi="David"/>
          <w:rtl/>
        </w:rPr>
        <w:t xml:space="preserve"> סיפא ל</w:t>
      </w:r>
      <w:hyperlink r:id="rId16" w:history="1">
        <w:r w:rsidR="009F6543" w:rsidRPr="009F6543">
          <w:rPr>
            <w:rFonts w:ascii="David" w:hAnsi="David"/>
            <w:color w:val="0000FF"/>
            <w:u w:val="single"/>
            <w:rtl/>
          </w:rPr>
          <w:t>חוק העונשין</w:t>
        </w:r>
      </w:hyperlink>
      <w:r>
        <w:rPr>
          <w:rFonts w:ascii="David" w:hAnsi="David"/>
          <w:rtl/>
        </w:rPr>
        <w:t xml:space="preserve"> התשל"ז – 1977 (להלן: "</w:t>
      </w:r>
      <w:r>
        <w:rPr>
          <w:rFonts w:ascii="David" w:hAnsi="David"/>
          <w:b/>
          <w:bCs/>
          <w:rtl/>
        </w:rPr>
        <w:t>חוק העונשין</w:t>
      </w:r>
      <w:r>
        <w:rPr>
          <w:rFonts w:ascii="David" w:hAnsi="David"/>
          <w:rtl/>
        </w:rPr>
        <w:t xml:space="preserve">"), וכן בעבירה של החזקה ושימוש, עבירה לפי סעיף מס' </w:t>
      </w:r>
      <w:hyperlink r:id="rId17" w:history="1">
        <w:r w:rsidR="00610299" w:rsidRPr="00610299">
          <w:rPr>
            <w:rStyle w:val="Hyperlink"/>
            <w:rFonts w:ascii="David" w:hAnsi="David"/>
            <w:rtl/>
          </w:rPr>
          <w:t>7(א) + (ג)</w:t>
        </w:r>
      </w:hyperlink>
      <w:r>
        <w:rPr>
          <w:rFonts w:ascii="David" w:hAnsi="David"/>
          <w:rtl/>
        </w:rPr>
        <w:t xml:space="preserve"> רישא ל</w:t>
      </w:r>
      <w:hyperlink r:id="rId18" w:history="1">
        <w:r w:rsidR="009F6543" w:rsidRPr="009F6543">
          <w:rPr>
            <w:rFonts w:ascii="David" w:hAnsi="David"/>
            <w:color w:val="0000FF"/>
            <w:u w:val="single"/>
            <w:rtl/>
          </w:rPr>
          <w:t>פקודת הסמים המסוכנים</w:t>
        </w:r>
      </w:hyperlink>
      <w:r>
        <w:rPr>
          <w:rFonts w:ascii="David" w:hAnsi="David"/>
          <w:rtl/>
        </w:rPr>
        <w:t xml:space="preserve"> (נוסח חדש), התשל"ג - -1973 (להלן: "</w:t>
      </w:r>
      <w:r>
        <w:rPr>
          <w:rFonts w:ascii="David" w:hAnsi="David"/>
          <w:b/>
          <w:bCs/>
          <w:rtl/>
        </w:rPr>
        <w:t>פקודת הסמים המסוכנים</w:t>
      </w:r>
      <w:r>
        <w:rPr>
          <w:rFonts w:ascii="David" w:hAnsi="David"/>
          <w:rtl/>
        </w:rPr>
        <w:t>").</w:t>
      </w:r>
    </w:p>
    <w:p w14:paraId="488C7514" w14:textId="77777777" w:rsidR="000C5076" w:rsidRDefault="000C5076" w:rsidP="00534CFF">
      <w:pPr>
        <w:spacing w:line="360" w:lineRule="auto"/>
        <w:ind w:left="720" w:hanging="720"/>
        <w:jc w:val="both"/>
        <w:rPr>
          <w:rFonts w:ascii="David" w:hAnsi="David"/>
          <w:rtl/>
        </w:rPr>
      </w:pPr>
      <w:r>
        <w:rPr>
          <w:rFonts w:ascii="David" w:hAnsi="David"/>
          <w:rtl/>
        </w:rPr>
        <w:tab/>
        <w:t>לצד זאת, ציין הנאשם, כי הוא חשב ש-א' א' אינו נמצא בבניין המגורים.</w:t>
      </w:r>
    </w:p>
    <w:p w14:paraId="4F744F17" w14:textId="77777777" w:rsidR="000C5076" w:rsidRDefault="000C5076" w:rsidP="00534CFF">
      <w:pPr>
        <w:spacing w:line="360" w:lineRule="auto"/>
        <w:ind w:left="720" w:hanging="720"/>
        <w:jc w:val="both"/>
        <w:rPr>
          <w:rFonts w:ascii="David" w:hAnsi="David"/>
          <w:rtl/>
        </w:rPr>
      </w:pPr>
    </w:p>
    <w:p w14:paraId="3C0B027E" w14:textId="77777777" w:rsidR="000C5076" w:rsidRDefault="000C5076" w:rsidP="00534CFF">
      <w:pPr>
        <w:spacing w:line="360" w:lineRule="auto"/>
        <w:ind w:left="720" w:hanging="720"/>
        <w:jc w:val="both"/>
        <w:rPr>
          <w:rFonts w:ascii="David" w:hAnsi="David"/>
          <w:rtl/>
        </w:rPr>
      </w:pPr>
      <w:r>
        <w:rPr>
          <w:rFonts w:ascii="David" w:hAnsi="David"/>
          <w:rtl/>
        </w:rPr>
        <w:t>2.</w:t>
      </w:r>
      <w:r>
        <w:rPr>
          <w:rFonts w:ascii="David" w:hAnsi="David"/>
          <w:rtl/>
        </w:rPr>
        <w:tab/>
        <w:t>על-פי עובדות כתב-האישום המתוקן, א' א' (להלן: "</w:t>
      </w:r>
      <w:r>
        <w:rPr>
          <w:rFonts w:ascii="David" w:hAnsi="David"/>
          <w:b/>
          <w:bCs/>
          <w:rtl/>
        </w:rPr>
        <w:t>א'</w:t>
      </w:r>
      <w:r>
        <w:rPr>
          <w:rFonts w:ascii="David" w:hAnsi="David"/>
          <w:rtl/>
        </w:rPr>
        <w:t>"), מתגורר בשכירות בדירה מס' 00, בקומה ה------ של בניין מגורים ברחוב---- ב----- (להלן: "</w:t>
      </w:r>
      <w:r>
        <w:rPr>
          <w:rFonts w:ascii="David" w:hAnsi="David"/>
          <w:b/>
          <w:bCs/>
          <w:rtl/>
        </w:rPr>
        <w:t>בניין המגורים</w:t>
      </w:r>
      <w:r>
        <w:rPr>
          <w:rFonts w:ascii="David" w:hAnsi="David"/>
          <w:rtl/>
        </w:rPr>
        <w:t>", ו"</w:t>
      </w:r>
      <w:r>
        <w:rPr>
          <w:rFonts w:ascii="David" w:hAnsi="David"/>
          <w:b/>
          <w:bCs/>
          <w:rtl/>
        </w:rPr>
        <w:t>הדירה</w:t>
      </w:r>
      <w:r>
        <w:rPr>
          <w:rFonts w:ascii="David" w:hAnsi="David"/>
          <w:rtl/>
        </w:rPr>
        <w:t>").</w:t>
      </w:r>
    </w:p>
    <w:p w14:paraId="0D6B6D26" w14:textId="77777777" w:rsidR="000C5076" w:rsidRDefault="000C5076" w:rsidP="00534CFF">
      <w:pPr>
        <w:spacing w:line="360" w:lineRule="auto"/>
        <w:ind w:left="720" w:hanging="720"/>
        <w:jc w:val="both"/>
        <w:rPr>
          <w:rFonts w:ascii="David" w:hAnsi="David"/>
          <w:rtl/>
        </w:rPr>
      </w:pPr>
    </w:p>
    <w:p w14:paraId="6D470852" w14:textId="77777777" w:rsidR="000C5076" w:rsidRDefault="000C5076" w:rsidP="00534CFF">
      <w:pPr>
        <w:spacing w:line="360" w:lineRule="auto"/>
        <w:ind w:left="720" w:hanging="720"/>
        <w:jc w:val="both"/>
        <w:rPr>
          <w:rFonts w:ascii="David" w:hAnsi="David"/>
          <w:rtl/>
        </w:rPr>
      </w:pPr>
      <w:r>
        <w:rPr>
          <w:rFonts w:ascii="David" w:hAnsi="David"/>
          <w:rtl/>
        </w:rPr>
        <w:tab/>
        <w:t>בניין המגורים הוא בבעלות חברת "ב' ג' " שמקום מושבה בתל-אביב. המבנה הוא בן 4 קומות מגורים ומספר דירות המיועדות להשכרה. במועד הרלוונטי לאישום התגוררו דיירים לפחות בארבע מן הדירות בבניין. דירות נוספות היו בשלבי שיפוצים ולא מאוכלסות.</w:t>
      </w:r>
    </w:p>
    <w:p w14:paraId="5917107F" w14:textId="77777777" w:rsidR="000C5076" w:rsidRDefault="000C5076" w:rsidP="00534CFF">
      <w:pPr>
        <w:spacing w:line="360" w:lineRule="auto"/>
        <w:ind w:left="720" w:hanging="720"/>
        <w:jc w:val="both"/>
        <w:rPr>
          <w:rFonts w:ascii="David" w:hAnsi="David"/>
          <w:rtl/>
        </w:rPr>
      </w:pPr>
    </w:p>
    <w:p w14:paraId="64E0C8C1" w14:textId="77777777" w:rsidR="000C5076" w:rsidRDefault="000C5076" w:rsidP="00534CFF">
      <w:pPr>
        <w:spacing w:line="360" w:lineRule="auto"/>
        <w:ind w:left="720" w:hanging="720"/>
        <w:jc w:val="both"/>
        <w:rPr>
          <w:rFonts w:ascii="David" w:hAnsi="David"/>
          <w:rtl/>
        </w:rPr>
      </w:pPr>
      <w:r>
        <w:rPr>
          <w:rFonts w:ascii="David" w:hAnsi="David"/>
          <w:rtl/>
        </w:rPr>
        <w:tab/>
        <w:t>בין הנאשם לבין א' קיימת היכרות מוקדמת.</w:t>
      </w:r>
    </w:p>
    <w:p w14:paraId="1E826E2E" w14:textId="77777777" w:rsidR="000C5076" w:rsidRDefault="000C5076" w:rsidP="00534CFF">
      <w:pPr>
        <w:spacing w:line="360" w:lineRule="auto"/>
        <w:ind w:left="720" w:hanging="720"/>
        <w:jc w:val="both"/>
        <w:rPr>
          <w:rFonts w:ascii="David" w:hAnsi="David"/>
          <w:rtl/>
        </w:rPr>
      </w:pPr>
    </w:p>
    <w:p w14:paraId="0CC99AEE" w14:textId="77777777" w:rsidR="000C5076" w:rsidRDefault="000C5076" w:rsidP="00534CFF">
      <w:pPr>
        <w:spacing w:line="360" w:lineRule="auto"/>
        <w:ind w:left="720" w:hanging="720"/>
        <w:jc w:val="both"/>
        <w:rPr>
          <w:rFonts w:ascii="David" w:hAnsi="David"/>
          <w:rtl/>
        </w:rPr>
      </w:pPr>
      <w:r>
        <w:rPr>
          <w:rFonts w:ascii="David" w:hAnsi="David"/>
          <w:rtl/>
        </w:rPr>
        <w:tab/>
        <w:t>בלילה שבין התאריכים 01.07.2020 לבין 02.07.2020 החל מחצות הליל לערך, הנאשם, אחיו ח' ט' (להלן: "</w:t>
      </w:r>
      <w:r>
        <w:rPr>
          <w:rFonts w:ascii="David" w:hAnsi="David"/>
          <w:b/>
          <w:bCs/>
          <w:rtl/>
        </w:rPr>
        <w:t>אחיו של הנאשם</w:t>
      </w:r>
      <w:r>
        <w:rPr>
          <w:rFonts w:ascii="David" w:hAnsi="David"/>
          <w:rtl/>
        </w:rPr>
        <w:t>"), ומספר אנשים נוספים שזהותם אינה ידועה, שהו בדירה. כעבור זמן-מה עזב אחיו של הנאשם את הדירה.</w:t>
      </w:r>
    </w:p>
    <w:p w14:paraId="2D494320" w14:textId="77777777" w:rsidR="000C5076" w:rsidRDefault="000C5076" w:rsidP="00534CFF">
      <w:pPr>
        <w:spacing w:line="360" w:lineRule="auto"/>
        <w:ind w:left="720" w:hanging="720"/>
        <w:jc w:val="both"/>
        <w:rPr>
          <w:rFonts w:ascii="David" w:hAnsi="David"/>
          <w:rtl/>
        </w:rPr>
      </w:pPr>
    </w:p>
    <w:p w14:paraId="6EA0F1F9" w14:textId="77777777" w:rsidR="000C5076" w:rsidRDefault="000C5076" w:rsidP="00534CFF">
      <w:pPr>
        <w:spacing w:line="360" w:lineRule="auto"/>
        <w:ind w:left="720" w:hanging="720"/>
        <w:jc w:val="both"/>
        <w:rPr>
          <w:rFonts w:ascii="David" w:hAnsi="David"/>
          <w:rtl/>
        </w:rPr>
      </w:pPr>
      <w:r>
        <w:rPr>
          <w:rFonts w:ascii="David" w:hAnsi="David"/>
          <w:rtl/>
        </w:rPr>
        <w:tab/>
        <w:t>בשלב מסוים, התפתח בין הנוכחים בדירה עימות שכלל צעקות והחלפת מהלומות. זמן-מה לאחר מכן, סמוך לשעה 03:00, חזר אחיו של הנאשם ברכב, אסף את הנאשם והשניים עזבו את המקום.</w:t>
      </w:r>
    </w:p>
    <w:p w14:paraId="2F6FC502" w14:textId="77777777" w:rsidR="000C5076" w:rsidRDefault="000C5076" w:rsidP="00534CFF">
      <w:pPr>
        <w:spacing w:line="360" w:lineRule="auto"/>
        <w:ind w:left="720" w:hanging="720"/>
        <w:jc w:val="both"/>
        <w:rPr>
          <w:rFonts w:ascii="David" w:hAnsi="David"/>
          <w:rtl/>
        </w:rPr>
      </w:pPr>
      <w:r>
        <w:rPr>
          <w:rFonts w:ascii="David" w:hAnsi="David"/>
          <w:rtl/>
        </w:rPr>
        <w:tab/>
        <w:t>מספר שעות לאחר מכן, ביום 02.07.2020 סמוך לשעה 05:24, על רקע העימות, חזר הנאשם לבניין המגורים כשברשותו מיכל שבתוכו חומר דליק, במטרה לשלח אש בדירה. הנאשם עלה לקומה הראשונה של הבניין, שפך את החומר הדליק בכניסה למסדרון חדר המדרגות ועל דלת הדירה, העלה את דלת הדירה באש ונמלט מן המקום. באותה עת ישן א' בדירה, ובבניין שהו אנשים נוספים בדירות שונות.</w:t>
      </w:r>
    </w:p>
    <w:p w14:paraId="6DE5B8C3" w14:textId="77777777" w:rsidR="000C5076" w:rsidRDefault="000C5076" w:rsidP="00534CFF">
      <w:pPr>
        <w:spacing w:line="360" w:lineRule="auto"/>
        <w:ind w:left="720" w:hanging="720"/>
        <w:jc w:val="both"/>
        <w:rPr>
          <w:rFonts w:ascii="David" w:hAnsi="David"/>
          <w:rtl/>
        </w:rPr>
      </w:pPr>
    </w:p>
    <w:p w14:paraId="20EE0548" w14:textId="77777777" w:rsidR="000C5076" w:rsidRDefault="000C5076" w:rsidP="00534CFF">
      <w:pPr>
        <w:spacing w:line="360" w:lineRule="auto"/>
        <w:ind w:left="720" w:hanging="720"/>
        <w:jc w:val="both"/>
        <w:rPr>
          <w:rFonts w:ascii="David" w:hAnsi="David"/>
          <w:rtl/>
        </w:rPr>
      </w:pPr>
      <w:r>
        <w:rPr>
          <w:rFonts w:ascii="David" w:hAnsi="David"/>
          <w:rtl/>
        </w:rPr>
        <w:lastRenderedPageBreak/>
        <w:tab/>
        <w:t>דלת הדירה שהוצתה על-ידי הנאשם עלתה באש, שהתפשטה ושרפה גם את ארון ומפסק החשמל בחדר המדרגות ליד הדירה. האש כובתה על-ידי שירותי כבאות והצלה, אשר הוזעקו למקום על-ידי שכניו לבניין של א', שהבחינו בדליקה שפרצה. כל אותה עת, עד הגעת שירותי הכבאות למקום, א' ישן בדירתו.</w:t>
      </w:r>
    </w:p>
    <w:p w14:paraId="664D591F" w14:textId="77777777" w:rsidR="000C5076" w:rsidRDefault="000C5076" w:rsidP="00534CFF">
      <w:pPr>
        <w:spacing w:line="360" w:lineRule="auto"/>
        <w:ind w:left="720" w:hanging="720"/>
        <w:jc w:val="both"/>
        <w:rPr>
          <w:rFonts w:ascii="David" w:hAnsi="David"/>
          <w:rtl/>
        </w:rPr>
      </w:pPr>
    </w:p>
    <w:p w14:paraId="4060DC6B" w14:textId="77777777" w:rsidR="000C5076" w:rsidRDefault="000C5076" w:rsidP="00534CFF">
      <w:pPr>
        <w:spacing w:line="360" w:lineRule="auto"/>
        <w:ind w:left="720" w:hanging="720"/>
        <w:jc w:val="both"/>
        <w:rPr>
          <w:rFonts w:ascii="David" w:hAnsi="David"/>
          <w:rtl/>
        </w:rPr>
      </w:pPr>
      <w:r>
        <w:rPr>
          <w:rFonts w:ascii="David" w:hAnsi="David"/>
          <w:rtl/>
        </w:rPr>
        <w:tab/>
        <w:t>כתוצאה ממעשי הנאשם, כפי שאלו מתוארים לעיל, נגרמו נזקי חריכה ופיח בחלקה התחתון של דלת הרב-בריח בכניסה לדירה ובדירה עצמה, וכן נגרמו נזקי פיח כבדים ומרובים בחדר המדרגות של הבניין, וכן נשרף המפסק החשמלי שבקיר הכניסה. הנזק שנגרם לדירה ולבניין המגורים הוא בשווי של כ-43,500 ₪.</w:t>
      </w:r>
    </w:p>
    <w:p w14:paraId="5EF4CCC3" w14:textId="77777777" w:rsidR="000C5076" w:rsidRDefault="000C5076" w:rsidP="00534CFF">
      <w:pPr>
        <w:spacing w:line="360" w:lineRule="auto"/>
        <w:ind w:left="720" w:hanging="720"/>
        <w:jc w:val="both"/>
        <w:rPr>
          <w:rFonts w:ascii="David" w:hAnsi="David"/>
          <w:rtl/>
        </w:rPr>
      </w:pPr>
    </w:p>
    <w:p w14:paraId="70603126" w14:textId="77777777" w:rsidR="000C5076" w:rsidRDefault="000C5076" w:rsidP="00534CFF">
      <w:pPr>
        <w:spacing w:line="360" w:lineRule="auto"/>
        <w:ind w:left="720" w:hanging="720"/>
        <w:jc w:val="both"/>
        <w:rPr>
          <w:rFonts w:ascii="David" w:hAnsi="David"/>
          <w:rtl/>
        </w:rPr>
      </w:pPr>
      <w:r>
        <w:rPr>
          <w:rFonts w:ascii="David" w:hAnsi="David"/>
          <w:rtl/>
        </w:rPr>
        <w:tab/>
        <w:t>ביום 02.07.2020 בסמוך לשעה 16:45 החזיק הנאשם בשידת מגירות בחדרו, שבבית -----, שם הוא מתגורר, 12.21 גרם סם מסוכן מסוג קנבוס לשימושו העצמי. באותו מועד הגיעו אנשי משטרה למקום, עצרו את הנאשם ליד הבית, ובחיפוש שנערך בבית, תפסו את הסם המסוכן.</w:t>
      </w:r>
    </w:p>
    <w:p w14:paraId="354A769E" w14:textId="77777777" w:rsidR="000C5076" w:rsidRDefault="000C5076" w:rsidP="00534CFF">
      <w:pPr>
        <w:spacing w:line="360" w:lineRule="auto"/>
        <w:ind w:left="720" w:hanging="720"/>
        <w:jc w:val="both"/>
        <w:rPr>
          <w:rFonts w:ascii="David" w:hAnsi="David"/>
          <w:rtl/>
        </w:rPr>
      </w:pPr>
    </w:p>
    <w:p w14:paraId="04B54FF6" w14:textId="77777777" w:rsidR="000C5076" w:rsidRDefault="000C5076" w:rsidP="005F5DCF">
      <w:pPr>
        <w:spacing w:line="360" w:lineRule="auto"/>
        <w:ind w:left="720" w:hanging="720"/>
        <w:jc w:val="both"/>
        <w:rPr>
          <w:rFonts w:ascii="David" w:hAnsi="David"/>
          <w:rtl/>
        </w:rPr>
      </w:pPr>
      <w:r>
        <w:rPr>
          <w:rFonts w:ascii="David" w:hAnsi="David"/>
          <w:rtl/>
        </w:rPr>
        <w:t>3.</w:t>
      </w:r>
      <w:r>
        <w:rPr>
          <w:rFonts w:ascii="David" w:hAnsi="David"/>
          <w:rtl/>
        </w:rPr>
        <w:tab/>
        <w:t>בשל גילו של הנאשם, הוריתי על הזמנת תסקיר שירות המבחן, וביום 22.01.2021 הוגש התסקיר.</w:t>
      </w:r>
    </w:p>
    <w:p w14:paraId="3AC94B90" w14:textId="77777777" w:rsidR="000C5076" w:rsidRDefault="000C5076" w:rsidP="00534CFF">
      <w:pPr>
        <w:spacing w:line="360" w:lineRule="auto"/>
        <w:ind w:left="720" w:hanging="720"/>
        <w:jc w:val="both"/>
        <w:rPr>
          <w:rFonts w:ascii="David" w:hAnsi="David"/>
          <w:rtl/>
        </w:rPr>
      </w:pPr>
    </w:p>
    <w:p w14:paraId="576499D2" w14:textId="77777777" w:rsidR="000C5076" w:rsidRDefault="000C5076" w:rsidP="00534CFF">
      <w:pPr>
        <w:spacing w:line="360" w:lineRule="auto"/>
        <w:ind w:left="720" w:hanging="720"/>
        <w:jc w:val="both"/>
        <w:rPr>
          <w:rFonts w:ascii="David" w:hAnsi="David"/>
          <w:rtl/>
        </w:rPr>
      </w:pPr>
      <w:r>
        <w:rPr>
          <w:rFonts w:ascii="David" w:hAnsi="David"/>
          <w:rtl/>
        </w:rPr>
        <w:tab/>
        <w:t>מן התסקיר עולה, כי הנאשם הוא בן להורים גרושים מזה כשלוש שנים, וכי לאב אין קשר רציף עם שלושת ילדיו. אליבא דקצין-המבחן, המעיט הנאשם לדבר על אביו, אך העביר מסר של חוסר נוכחות אבהית בחייו, וכי אליבא דאימו של הנאשם, האב הוא דמות שלילית, שהרסה את המשפחה. האם והילדים, כך נכתב, טופלו בעבר במקלט לנשים מוכות על רקע שימוש האב בסמים ואלימות פיזית ונפשית מצידו כלפיה וכלפי הילדים. עוד נכתב, כי למרות קשייה של האם, היא שיתפה פעולה עם שירות המבחן, ונרתמה לכל הליך טיפולי שהוצע עבור הנאשם.</w:t>
      </w:r>
    </w:p>
    <w:p w14:paraId="496DE435" w14:textId="77777777" w:rsidR="000C5076" w:rsidRDefault="000C5076" w:rsidP="00534CFF">
      <w:pPr>
        <w:spacing w:line="360" w:lineRule="auto"/>
        <w:ind w:left="720" w:hanging="720"/>
        <w:jc w:val="both"/>
        <w:rPr>
          <w:rFonts w:ascii="David" w:hAnsi="David"/>
          <w:rtl/>
        </w:rPr>
      </w:pPr>
    </w:p>
    <w:p w14:paraId="17D893B5" w14:textId="77777777" w:rsidR="000C5076" w:rsidRDefault="000C5076" w:rsidP="00534CFF">
      <w:pPr>
        <w:spacing w:line="360" w:lineRule="auto"/>
        <w:ind w:left="720" w:hanging="720"/>
        <w:jc w:val="both"/>
        <w:rPr>
          <w:rFonts w:ascii="David" w:hAnsi="David"/>
          <w:rtl/>
        </w:rPr>
      </w:pPr>
      <w:r>
        <w:rPr>
          <w:rFonts w:ascii="David" w:hAnsi="David"/>
          <w:rtl/>
        </w:rPr>
        <w:tab/>
        <w:t>התרשמות שירות המבחן מקשר ארוך שנים עם הנאשם ועם בני-משפחתו היא, כי מדובר במשפחה המתקשה להתמודד עם משברים שהם חווים, וכי הילדים אינם מקבלים את סמכות אימם ומי מבני משפחתם המורחבת, בשים-לב לכך שאחיו של הנאשם עצור על רקע עבירת אלימות בה חשוד כלפי זוגתו.</w:t>
      </w:r>
    </w:p>
    <w:p w14:paraId="6AA7410C" w14:textId="77777777" w:rsidR="000C5076" w:rsidRDefault="000C5076" w:rsidP="00534CFF">
      <w:pPr>
        <w:spacing w:line="360" w:lineRule="auto"/>
        <w:ind w:left="720" w:hanging="720"/>
        <w:jc w:val="both"/>
        <w:rPr>
          <w:rFonts w:ascii="David" w:hAnsi="David"/>
          <w:rtl/>
        </w:rPr>
      </w:pPr>
    </w:p>
    <w:p w14:paraId="2D774F57" w14:textId="77777777" w:rsidR="000C5076" w:rsidRDefault="000C5076" w:rsidP="00534CFF">
      <w:pPr>
        <w:spacing w:line="360" w:lineRule="auto"/>
        <w:ind w:left="720" w:hanging="720"/>
        <w:jc w:val="both"/>
        <w:rPr>
          <w:rFonts w:ascii="David" w:hAnsi="David"/>
          <w:rtl/>
        </w:rPr>
      </w:pPr>
      <w:r>
        <w:rPr>
          <w:rFonts w:ascii="David" w:hAnsi="David"/>
          <w:rtl/>
        </w:rPr>
        <w:tab/>
        <w:t>עוד עולה מן התסקיר, כי הנאשם מוכר ליחידה לקדום נוער מאז שנת 2017, וכי הוא נשר מהלימודים בכתה ח', לאחר שלדעת מחנכו הנאשם למד בחוסר מוטיבציה, התקשה מבחינה לימודית, וגילה בעיות התנהגות ואלימות, עד לנשירתו מן המסגרת הלימודית. הנאשם, כך עולה מן התסקיר, לא שיתף פעולה עם העובדת-הסוציאלית ביחידה לקידום נוער, נותר ללא מסגרת חינוכית במשך תקופה משמעותית, וכמו-כן נכתב, כי הנאשם התחבר לחברה בעלת זיקה לפלילים, והמשיך בסירובו לשתף פעולה עם כל גורמי החינוך והטיפול, אשר ניסו לסייע לו.</w:t>
      </w:r>
    </w:p>
    <w:p w14:paraId="552B783F" w14:textId="77777777" w:rsidR="000C5076" w:rsidRDefault="000C5076" w:rsidP="00534CFF">
      <w:pPr>
        <w:spacing w:line="360" w:lineRule="auto"/>
        <w:ind w:left="720" w:hanging="720"/>
        <w:jc w:val="both"/>
        <w:rPr>
          <w:rFonts w:ascii="David" w:hAnsi="David"/>
          <w:rtl/>
        </w:rPr>
      </w:pPr>
    </w:p>
    <w:p w14:paraId="7FB0F933" w14:textId="77777777" w:rsidR="000C5076" w:rsidRDefault="000C5076" w:rsidP="00534CFF">
      <w:pPr>
        <w:spacing w:line="360" w:lineRule="auto"/>
        <w:ind w:left="720" w:hanging="720"/>
        <w:jc w:val="both"/>
        <w:rPr>
          <w:rFonts w:ascii="David" w:hAnsi="David"/>
          <w:rtl/>
        </w:rPr>
      </w:pPr>
      <w:r>
        <w:rPr>
          <w:rFonts w:ascii="David" w:hAnsi="David"/>
          <w:rtl/>
        </w:rPr>
        <w:tab/>
        <w:t>מבחינת תעסוקתית עולה מן התסקיר, כי הנאשם עבד בעבודות מזדמנות ב-------, בשיפוצים עם דודו מצד ------, וב-----------.</w:t>
      </w:r>
    </w:p>
    <w:p w14:paraId="43552472" w14:textId="77777777" w:rsidR="000C5076" w:rsidRDefault="000C5076" w:rsidP="00534CFF">
      <w:pPr>
        <w:spacing w:line="360" w:lineRule="auto"/>
        <w:ind w:left="720" w:hanging="720"/>
        <w:jc w:val="both"/>
        <w:rPr>
          <w:rFonts w:ascii="David" w:hAnsi="David"/>
          <w:rtl/>
        </w:rPr>
      </w:pPr>
    </w:p>
    <w:p w14:paraId="3463FA43" w14:textId="77777777" w:rsidR="000C5076" w:rsidRDefault="000C5076" w:rsidP="00534CFF">
      <w:pPr>
        <w:spacing w:line="360" w:lineRule="auto"/>
        <w:ind w:left="720" w:hanging="720"/>
        <w:jc w:val="both"/>
        <w:rPr>
          <w:rFonts w:ascii="David" w:hAnsi="David"/>
          <w:rtl/>
        </w:rPr>
      </w:pPr>
      <w:r>
        <w:rPr>
          <w:rFonts w:ascii="David" w:hAnsi="David"/>
          <w:rtl/>
        </w:rPr>
        <w:tab/>
        <w:t>לנאשם, כך עולה מתסקיר שירות המבחן, נפתחו עד כה 42 תיקים במשטרה, חלקם נסגרו ללא התערבות שירות המבחן, ובחלק הוגשו כתבי-אישום. התרשמות קצין-המבחן היא, כי מצבו של הנאשם הולך ומתדרדר, וכי ההיענות שלו לקשר טיפולי נמוכה מאוד. על אף ריבוי העבירות, כך נכתב, המשיך הנאשם לבצע עבירות, דבר, אשר מעיד על רמת סיכון גבוהה להמשך התנהגות עוברת חוק והעדר הרתעה מהליכים משפטיים.</w:t>
      </w:r>
    </w:p>
    <w:p w14:paraId="7A84B5CD" w14:textId="77777777" w:rsidR="000C5076" w:rsidRDefault="000C5076" w:rsidP="00534CFF">
      <w:pPr>
        <w:spacing w:line="360" w:lineRule="auto"/>
        <w:ind w:left="720" w:hanging="720"/>
        <w:jc w:val="both"/>
        <w:rPr>
          <w:rFonts w:ascii="David" w:hAnsi="David"/>
          <w:rtl/>
        </w:rPr>
      </w:pPr>
    </w:p>
    <w:p w14:paraId="503F7507" w14:textId="77777777" w:rsidR="000C5076" w:rsidRDefault="000C5076" w:rsidP="00534CFF">
      <w:pPr>
        <w:spacing w:line="360" w:lineRule="auto"/>
        <w:ind w:left="720" w:hanging="720"/>
        <w:jc w:val="both"/>
        <w:rPr>
          <w:rFonts w:ascii="David" w:hAnsi="David"/>
          <w:rtl/>
        </w:rPr>
      </w:pPr>
      <w:r>
        <w:rPr>
          <w:rFonts w:ascii="David" w:hAnsi="David"/>
          <w:rtl/>
        </w:rPr>
        <w:tab/>
        <w:t>בהתייחס למעשה העבירה מושא כתב-האישום עולה מתסקיר שירות המבחן, כי הנאשם הביע חרטה, וטען שהיה בסערה רגשית ולא חשב על תוצאות מעשיו והשלכותיהם. התרשמות קצין-המבחן הייתה, כי הודאתו של הנאשם הייתה שטחית, וכי הוא הטיל את רוב האחריות על א', שלטענתו קילל והטריד אותו. טון הדיבור, כך נכתב בתסקיר, נותר כועס על א', וכי הנאשם אף טען, כי א' מטריד את אימו של הנאשם בטלפון.</w:t>
      </w:r>
    </w:p>
    <w:p w14:paraId="2D797B9D" w14:textId="77777777" w:rsidR="000C5076" w:rsidRDefault="000C5076" w:rsidP="00534CFF">
      <w:pPr>
        <w:spacing w:line="360" w:lineRule="auto"/>
        <w:ind w:left="720" w:hanging="720"/>
        <w:jc w:val="both"/>
        <w:rPr>
          <w:rFonts w:ascii="David" w:hAnsi="David"/>
          <w:rtl/>
        </w:rPr>
      </w:pPr>
    </w:p>
    <w:p w14:paraId="2888095B" w14:textId="77777777" w:rsidR="000C5076" w:rsidRDefault="000C5076" w:rsidP="00534CFF">
      <w:pPr>
        <w:spacing w:line="360" w:lineRule="auto"/>
        <w:ind w:left="720" w:hanging="720"/>
        <w:jc w:val="both"/>
        <w:rPr>
          <w:rFonts w:ascii="David" w:hAnsi="David"/>
          <w:rtl/>
        </w:rPr>
      </w:pPr>
      <w:r>
        <w:rPr>
          <w:rFonts w:ascii="David" w:hAnsi="David"/>
          <w:rtl/>
        </w:rPr>
        <w:tab/>
        <w:t>קצין-המבחן תיאר בתסקיר, כי הנאשם מוכר לשירות המבחן לנוער החל מחודש נובמבר 2016. קשר זה, כך נכתב בתסקיר, התאפיין בהתנגדות עקרונית מצידו של הנאשם לקשר טיפולי, ומרבית המשאבים שהשקיע שירות המבחן היו במאמצים להביא את הנאשם לקשר טיפולי ממושך ומשקם. במהלך הקשר, כך עולה מן התסקיר, שולב בתכנית "מעטפת", אשר מטרתה לתת מענה כוללני לנאשם ולמשפחתו. הנאשם לא שיתף פעולה עם התוכנית, והוחלט להפסיק את התכנית בחודש מרץ 2018. עוד עולה מן התסקיר, כי הנאשם ניתק קשר עם שירות המבחן ועם שירותי הרווחה, ומצבו המשיך להתדרדר.</w:t>
      </w:r>
    </w:p>
    <w:p w14:paraId="05DBC14D" w14:textId="77777777" w:rsidR="000C5076" w:rsidRDefault="000C5076" w:rsidP="00534CFF">
      <w:pPr>
        <w:spacing w:line="360" w:lineRule="auto"/>
        <w:ind w:left="720" w:hanging="720"/>
        <w:jc w:val="both"/>
        <w:rPr>
          <w:rFonts w:ascii="David" w:hAnsi="David"/>
          <w:rtl/>
        </w:rPr>
      </w:pPr>
      <w:r>
        <w:rPr>
          <w:rFonts w:ascii="David" w:hAnsi="David"/>
          <w:rtl/>
        </w:rPr>
        <w:tab/>
        <w:t>עוד ובנוסף עולה, כי הנאשם הופנה לאבחון פסיכו-דיאגנוסטי על-ידי שירות המבחן ביום 2.11.2017. ממצאי האבחון הצביעו על בוחן מציאות תקין, ולא נמצאו סימנים או עדויות למצב פסיכוטי. במקביל נמצא, כי הנאשם חווה תחושות תסכול, חוסר-אונים, סף תסכול נמוך, חרדה גבוהה, ואף סימנים לחוויות טראומטיות מתמשכות. מן התמונה הכללית באבחון האמור עלה, כי מדובר בנער בעל קשיים בתחומים שונים, בולטים מאפיינים של הפרעת התנהגות, אפקט לא יציב, כעס בלתי נשלט ותחושות של עצב רב, וכן חשד להפרעת קשב וקשיי למידה. המלצות האבחון האמור כללו: טיפול פסיכולוגי, בדיקת נוירולוגית, שילוב במסגרת של קידום נוער או בית-ספר עמלני, אבחון דידקטי, וכן שקילת סידור מוסדי חוץ-ביתי במישה שמאמצי הטיפול והשיקום בקהילה לא יצליחו.</w:t>
      </w:r>
    </w:p>
    <w:p w14:paraId="5A936743" w14:textId="77777777" w:rsidR="000C5076" w:rsidRDefault="000C5076" w:rsidP="00534CFF">
      <w:pPr>
        <w:spacing w:line="360" w:lineRule="auto"/>
        <w:ind w:left="720" w:hanging="720"/>
        <w:jc w:val="both"/>
        <w:rPr>
          <w:rFonts w:ascii="David" w:hAnsi="David"/>
          <w:rtl/>
        </w:rPr>
      </w:pPr>
    </w:p>
    <w:p w14:paraId="63ED4955" w14:textId="77777777" w:rsidR="000C5076" w:rsidRDefault="000C5076" w:rsidP="00534CFF">
      <w:pPr>
        <w:spacing w:line="360" w:lineRule="auto"/>
        <w:ind w:left="720" w:hanging="720"/>
        <w:jc w:val="both"/>
        <w:rPr>
          <w:rFonts w:ascii="David" w:hAnsi="David"/>
          <w:rtl/>
        </w:rPr>
      </w:pPr>
      <w:r>
        <w:rPr>
          <w:rFonts w:ascii="David" w:hAnsi="David"/>
          <w:rtl/>
        </w:rPr>
        <w:tab/>
        <w:t>הקשר הטיפולי עם הנאשם חודש ביוני 2019, והוא הסכים עקרונית לסידור חוץ-ביתי. ביום 25.06.2019 נקלט הנאשם במעון הנעול "נוף הרים" בירכא על-פי צו הסתכלות ובהמשך השגחה זמנית.</w:t>
      </w:r>
      <w:r>
        <w:rPr>
          <w:rFonts w:ascii="David" w:hAnsi="David"/>
        </w:rPr>
        <w:t xml:space="preserve"> </w:t>
      </w:r>
      <w:r>
        <w:rPr>
          <w:rFonts w:ascii="David" w:hAnsi="David"/>
          <w:rtl/>
        </w:rPr>
        <w:t>שהותו של הנאשם במעון  התאפיינה בהתנגדות עקרונית לשהות במסגרת, וכבר מן הימים הראשונים החלו להופיע הפרעות התנהגות, אשר הצריכו תגובות חינוכיות מצד הצוות הטיפולי. הנאשם ברח מן המעון הנעול שלוש פעמים, במהלך שהותו, ועיקר קשייו של הנאשם, כך נכתב, היו קשורים לשימוש בסמים.</w:t>
      </w:r>
    </w:p>
    <w:p w14:paraId="21233379" w14:textId="77777777" w:rsidR="000C5076" w:rsidRDefault="000C5076" w:rsidP="00534CFF">
      <w:pPr>
        <w:spacing w:line="360" w:lineRule="auto"/>
        <w:ind w:left="720" w:hanging="720"/>
        <w:jc w:val="both"/>
        <w:rPr>
          <w:rFonts w:ascii="David" w:hAnsi="David"/>
          <w:rtl/>
        </w:rPr>
      </w:pPr>
    </w:p>
    <w:p w14:paraId="5E7A6A85" w14:textId="77777777" w:rsidR="000C5076" w:rsidRDefault="000C5076" w:rsidP="00534CFF">
      <w:pPr>
        <w:spacing w:line="360" w:lineRule="auto"/>
        <w:ind w:left="720" w:hanging="720"/>
        <w:jc w:val="both"/>
        <w:rPr>
          <w:rFonts w:ascii="David" w:hAnsi="David"/>
          <w:rtl/>
        </w:rPr>
      </w:pPr>
      <w:r>
        <w:rPr>
          <w:rFonts w:ascii="David" w:hAnsi="David"/>
          <w:rtl/>
        </w:rPr>
        <w:tab/>
        <w:t>ביום 06.11.2019 הוגשה לבית המשפט בקשה מטעם שירות המבחן לנוער לביטול צו ההסתכלות וההשגחה הזמנית במעון הנעול "נוף הרים", וזאת בשים-לב לבריחתו השלישית של הנאשם מן המעון, סירובו לכל קשר טיפולי, ואיומיו, כי יפגע בעצמו אם יוחזר למעון. ביום 09.11.2019 ביטל בית המשפט את צו ההסתכלות וההשגחה הזמנית במעון. במהלך כל תקופת הניתוק של הנאשם משירות המבחן, כך נכתב, הלך מצבו והחמיר, לרבות שימוש וסחר בסמים, והסתבכות בפלילים, וצוין, כי במעט הבדיקות שנערכו לנאשם בשירות המבחן, נמצאו שרידי סם בגופו.</w:t>
      </w:r>
    </w:p>
    <w:p w14:paraId="195547AF" w14:textId="77777777" w:rsidR="000C5076" w:rsidRDefault="000C5076" w:rsidP="00534CFF">
      <w:pPr>
        <w:spacing w:line="360" w:lineRule="auto"/>
        <w:ind w:left="720" w:hanging="720"/>
        <w:jc w:val="both"/>
        <w:rPr>
          <w:rFonts w:ascii="David" w:hAnsi="David"/>
          <w:rtl/>
        </w:rPr>
      </w:pPr>
    </w:p>
    <w:p w14:paraId="77ABD678" w14:textId="77777777" w:rsidR="000C5076" w:rsidRDefault="000C5076" w:rsidP="00534CFF">
      <w:pPr>
        <w:spacing w:line="360" w:lineRule="auto"/>
        <w:ind w:left="720" w:hanging="720"/>
        <w:jc w:val="both"/>
        <w:rPr>
          <w:rFonts w:ascii="David" w:hAnsi="David"/>
          <w:rtl/>
        </w:rPr>
      </w:pPr>
      <w:r>
        <w:rPr>
          <w:rFonts w:ascii="David" w:hAnsi="David"/>
          <w:rtl/>
        </w:rPr>
        <w:tab/>
        <w:t>הנאשם נעצר ביום 07.07.2020 בבית-הסוהר "אופק" בגין ביצוע העבירה מושא כתב-האישום. הנאשם התנגד בתוקף להפנייתו לחלופת מעצר במסגרת גמילה מסמים או במעון נעול, ולפיכך, נעצר הנאשם עד תום ההליכים. בשל מעורבות אביו של הנאשם בתאונה ופציעתו, אישר בית המשפט בהמלצת קצין-המבחן לנאשם לבקר את אביו בבית-החולים.</w:t>
      </w:r>
    </w:p>
    <w:p w14:paraId="164FA7E4" w14:textId="77777777" w:rsidR="000C5076" w:rsidRDefault="000C5076" w:rsidP="00534CFF">
      <w:pPr>
        <w:spacing w:line="360" w:lineRule="auto"/>
        <w:ind w:left="720" w:hanging="720"/>
        <w:jc w:val="both"/>
        <w:rPr>
          <w:rFonts w:ascii="David" w:hAnsi="David"/>
          <w:rtl/>
        </w:rPr>
      </w:pPr>
    </w:p>
    <w:p w14:paraId="08E897B2" w14:textId="77777777" w:rsidR="000C5076" w:rsidRDefault="000C5076" w:rsidP="00534CFF">
      <w:pPr>
        <w:spacing w:line="360" w:lineRule="auto"/>
        <w:ind w:left="720" w:hanging="720"/>
        <w:jc w:val="both"/>
        <w:rPr>
          <w:rFonts w:ascii="David" w:hAnsi="David"/>
          <w:rtl/>
        </w:rPr>
      </w:pPr>
      <w:r>
        <w:rPr>
          <w:rFonts w:ascii="David" w:hAnsi="David"/>
          <w:rtl/>
        </w:rPr>
        <w:tab/>
        <w:t>עוד עולה מן התסקיר, כי ביום 23.11.2020 התקבלה חוות-דעתו של העובד-הסוציאלי המטפל בבית-הסוהר "אופק", ולפיה הנאשם משולב במסגרת חינוכית, משמש כאסיר חוליה, ומצוי בקשר מעקבי על-פי הצורך עם עובד-סוציאלי באגף, וכי ההתרשמות היא, כי לנאשם יש כוחות אך מוטיבציה חלקית לשינוי. במהלך שהותו של הנאשם בבית-הסוהר נרשמו בעניינו שני דו"חות משמעת, בגין אירועי אלימות. התרשמות העובד-הסוציאלי היא, כי הנאשם מתקשה להירתם לטיפול על אף הניסיונות המגוונים והשונים לאורך השנים, וכי הנאשם לא פנוי לטיפול, ואף בסוגית הסמים אינו סבור, שיש לעשות שינוי בהתנהגותו.</w:t>
      </w:r>
    </w:p>
    <w:p w14:paraId="5E102E2D" w14:textId="77777777" w:rsidR="000C5076" w:rsidRDefault="000C5076" w:rsidP="00534CFF">
      <w:pPr>
        <w:spacing w:line="360" w:lineRule="auto"/>
        <w:ind w:left="720" w:hanging="720"/>
        <w:jc w:val="both"/>
        <w:rPr>
          <w:rFonts w:ascii="David" w:hAnsi="David"/>
          <w:rtl/>
        </w:rPr>
      </w:pPr>
    </w:p>
    <w:p w14:paraId="2DC85C20" w14:textId="77777777" w:rsidR="000C5076" w:rsidRDefault="000C5076" w:rsidP="00534CFF">
      <w:pPr>
        <w:spacing w:line="360" w:lineRule="auto"/>
        <w:ind w:left="720"/>
        <w:jc w:val="both"/>
        <w:rPr>
          <w:rFonts w:ascii="David" w:hAnsi="David"/>
          <w:rtl/>
        </w:rPr>
      </w:pPr>
      <w:r>
        <w:rPr>
          <w:rFonts w:ascii="David" w:hAnsi="David"/>
          <w:rtl/>
        </w:rPr>
        <w:t>אליבא דקצין-המבחן, הנאשם חשוף לגורמי סיכון רבים, לרבות: רקע סוציו-אקונומי קשה ומורכב, רקע של שימוש בסמים מצד האב, היחשפות לאלימות במשפחה, נשירה ממסגרת הלימודים בגיל צעיר, שוטטות והתחברות לעוברי-חוק, אימוץ דפוסי חשיבה והתנהגות עבריינית, התנגדות לקשר טיפולי, שימוש בסמים, ומעורבות בפלילים. מנגד, כך נכתב, קיימים גם גורמי סיכוי ובהם: אם דואגת ואכפתית, התרשמות העובד-הסוציאלי בבית-הסוהר "אופק", לפיה לנאשם כוחות, וכי הוא מתפקד לאחרונה כאסיר חוליה, ומשולב בלימודים.</w:t>
      </w:r>
    </w:p>
    <w:p w14:paraId="7A83010D" w14:textId="77777777" w:rsidR="000C5076" w:rsidRDefault="000C5076" w:rsidP="00534CFF">
      <w:pPr>
        <w:spacing w:line="360" w:lineRule="auto"/>
        <w:ind w:left="720"/>
        <w:jc w:val="both"/>
        <w:rPr>
          <w:rFonts w:ascii="David" w:hAnsi="David"/>
          <w:rtl/>
        </w:rPr>
      </w:pPr>
    </w:p>
    <w:p w14:paraId="0ECC503A" w14:textId="77777777" w:rsidR="000C5076" w:rsidRDefault="000C5076" w:rsidP="00534CFF">
      <w:pPr>
        <w:spacing w:line="360" w:lineRule="auto"/>
        <w:ind w:left="720"/>
        <w:jc w:val="both"/>
        <w:rPr>
          <w:rFonts w:ascii="David" w:hAnsi="David"/>
          <w:rtl/>
        </w:rPr>
      </w:pPr>
      <w:r>
        <w:rPr>
          <w:rFonts w:ascii="David" w:hAnsi="David"/>
          <w:rtl/>
        </w:rPr>
        <w:t xml:space="preserve">התרשמות קצין-המבחן היא, כי הנאשם זקוק לגבולות חיצוניים ברורים לשם הפנמת המותר והאסור בכל הקשור להתנהגות עוברת חוק, מתוך תקווה שבמסגרת הכלא יינתן טיפול שיסייע בהפנמת גבולות החוק. </w:t>
      </w:r>
    </w:p>
    <w:p w14:paraId="4F2E8854" w14:textId="77777777" w:rsidR="000C5076" w:rsidRDefault="000C5076" w:rsidP="00534CFF">
      <w:pPr>
        <w:spacing w:line="360" w:lineRule="auto"/>
        <w:ind w:left="720"/>
        <w:jc w:val="both"/>
        <w:rPr>
          <w:rFonts w:ascii="David" w:hAnsi="David"/>
          <w:rtl/>
        </w:rPr>
      </w:pPr>
    </w:p>
    <w:p w14:paraId="4730CE64" w14:textId="77777777" w:rsidR="000C5076" w:rsidRDefault="000C5076" w:rsidP="00534CFF">
      <w:pPr>
        <w:spacing w:line="360" w:lineRule="auto"/>
        <w:ind w:left="720"/>
        <w:jc w:val="both"/>
        <w:rPr>
          <w:rFonts w:ascii="David" w:hAnsi="David"/>
          <w:rtl/>
        </w:rPr>
      </w:pPr>
      <w:r>
        <w:rPr>
          <w:rFonts w:ascii="David" w:hAnsi="David"/>
          <w:rtl/>
        </w:rPr>
        <w:t>לאור כל האמור לעיל, כך עולה מתסקיר שירות המבחן, לרבות הניסיונות הרבים שנעשו על-מנת לגייס את הנאשם להליך טיפולי משמעותי בשירות המבחן כולל שילובו של הנאשם במעון נעול ללא הצלחה ובשל ההתרשמות מחוסר המוטיבציה לשינוי וטיפול, לא ניתנה המלצה טיפולית בעניינו של הנאשם. עוד ובנוסף המליץ שירות המבחן להרשיעו, וזאת גם בשים-לב לחומרת העבירות המיוחסות לנאשם.</w:t>
      </w:r>
    </w:p>
    <w:p w14:paraId="366A9DEF" w14:textId="77777777" w:rsidR="000C5076" w:rsidRDefault="000C5076" w:rsidP="00534CFF">
      <w:pPr>
        <w:spacing w:line="360" w:lineRule="auto"/>
        <w:ind w:left="720"/>
        <w:jc w:val="both"/>
        <w:rPr>
          <w:rFonts w:ascii="David" w:hAnsi="David"/>
          <w:rtl/>
        </w:rPr>
      </w:pPr>
    </w:p>
    <w:p w14:paraId="333997DE" w14:textId="77777777" w:rsidR="000C5076" w:rsidRDefault="000C5076" w:rsidP="005F5DCF">
      <w:pPr>
        <w:spacing w:line="360" w:lineRule="auto"/>
        <w:ind w:left="720" w:hanging="720"/>
        <w:jc w:val="both"/>
        <w:rPr>
          <w:rFonts w:ascii="David" w:hAnsi="David"/>
          <w:rtl/>
        </w:rPr>
      </w:pPr>
      <w:r>
        <w:rPr>
          <w:rFonts w:ascii="David" w:hAnsi="David"/>
          <w:rtl/>
        </w:rPr>
        <w:t>4.</w:t>
      </w:r>
      <w:r>
        <w:rPr>
          <w:rFonts w:ascii="David" w:hAnsi="David"/>
          <w:rtl/>
        </w:rPr>
        <w:tab/>
        <w:t xml:space="preserve">ביום 28.1.2021 נשמעו טיעוני הצדדים לעונש, ב"כ המאשימה הגיש פלט רישום פלילי של הנאשם, וכן הציג תמונה של הנזק בפתח הדירה, באמצעות המחשב הנייד, בה נראים ארון החשמל והמעקה הרוסים. </w:t>
      </w:r>
    </w:p>
    <w:p w14:paraId="4383E269" w14:textId="77777777" w:rsidR="000C5076" w:rsidRDefault="000C5076" w:rsidP="00534CFF">
      <w:pPr>
        <w:spacing w:line="360" w:lineRule="auto"/>
        <w:ind w:left="720" w:hanging="720"/>
        <w:jc w:val="both"/>
        <w:rPr>
          <w:rFonts w:ascii="David" w:hAnsi="David"/>
          <w:rtl/>
        </w:rPr>
      </w:pPr>
    </w:p>
    <w:p w14:paraId="3591A9EA" w14:textId="77777777" w:rsidR="000C5076" w:rsidRDefault="000C5076" w:rsidP="00534CFF">
      <w:pPr>
        <w:spacing w:line="360" w:lineRule="auto"/>
        <w:ind w:left="720"/>
        <w:jc w:val="both"/>
        <w:rPr>
          <w:rFonts w:ascii="David" w:hAnsi="David"/>
          <w:rtl/>
        </w:rPr>
      </w:pPr>
      <w:r>
        <w:rPr>
          <w:rFonts w:ascii="David" w:hAnsi="David"/>
          <w:rtl/>
        </w:rPr>
        <w:t>לטענת ב"כ המאשימה, הואיל ונקבע, כי הנאשם ביצע עבירת הצתה והחזקת סם לצריכה עצמית, עת שרף את דלת דירת א' על רקע קטטה שהייתה במקום מספר שעות קודם לכן, בלילה, והחזיק 12 גרם קנאביס בדירת אמו, עותרת המאשימה להרשעתו. כן עתר ב"כ המאשימה להשתת מאסר ממושך על הנאשם, כמו גם מאסרים מותנים, ופיצוי נפגעי העבירה, בשים-לב לכך שבענייננו, קיימים שני נפגעים: בעלי הדירה וא', אשר מתגורר בדירה כמתואר בכתב-האישום.</w:t>
      </w:r>
    </w:p>
    <w:p w14:paraId="303052B2" w14:textId="77777777" w:rsidR="000C5076" w:rsidRDefault="000C5076" w:rsidP="00534CFF">
      <w:pPr>
        <w:spacing w:line="360" w:lineRule="auto"/>
        <w:ind w:left="720"/>
        <w:jc w:val="both"/>
        <w:rPr>
          <w:rFonts w:ascii="David" w:hAnsi="David"/>
          <w:rtl/>
        </w:rPr>
      </w:pPr>
    </w:p>
    <w:p w14:paraId="48E14497" w14:textId="77777777" w:rsidR="000C5076" w:rsidRDefault="000C5076" w:rsidP="00534CFF">
      <w:pPr>
        <w:spacing w:line="360" w:lineRule="auto"/>
        <w:ind w:left="720"/>
        <w:jc w:val="both"/>
        <w:rPr>
          <w:rFonts w:ascii="David" w:hAnsi="David"/>
          <w:rtl/>
        </w:rPr>
      </w:pPr>
      <w:r>
        <w:rPr>
          <w:rFonts w:ascii="David" w:hAnsi="David"/>
          <w:rtl/>
        </w:rPr>
        <w:t xml:space="preserve">לשיקולים לחומרה, ביקש ב"כ המאשימה, להתחשב, בין היתר, בקטטה, אשר אירעה מספר שעות קודם למעשה ההצתה, למידה של תכנון מוקדם, עת שב הנאשם לדירה, לאחר שעזב אותה מספר שעות קודם, ולפיכך, אין מדובר, אליבא דב"כ המאשימה, בעבירה שבוצעה בלהט הרגע. העבירה בוצעה בבניין מגורים, כך נטען, בלב אזור מאוכלס בצפיפות ובמועד בו שהו אנשים בבניין. עוד יש ליתן את הדעת לנזק  הרב שנגרם לבניין, בסך של 43,500 ₪, ולעובדה, שמעשיו של הנאשם יכולים היו להוביל לנזק כבד יותר ואף לאבדות בנפש. </w:t>
      </w:r>
    </w:p>
    <w:p w14:paraId="05112B1A" w14:textId="77777777" w:rsidR="000C5076" w:rsidRDefault="000C5076" w:rsidP="00534CFF">
      <w:pPr>
        <w:spacing w:line="360" w:lineRule="auto"/>
        <w:ind w:left="720"/>
        <w:jc w:val="both"/>
        <w:rPr>
          <w:rFonts w:ascii="David" w:hAnsi="David"/>
          <w:rtl/>
        </w:rPr>
      </w:pPr>
    </w:p>
    <w:p w14:paraId="7EAF3A8A" w14:textId="77777777" w:rsidR="000C5076" w:rsidRDefault="000C5076" w:rsidP="00534CFF">
      <w:pPr>
        <w:spacing w:line="360" w:lineRule="auto"/>
        <w:ind w:left="720"/>
        <w:jc w:val="both"/>
        <w:rPr>
          <w:rFonts w:ascii="David" w:hAnsi="David"/>
          <w:rtl/>
        </w:rPr>
      </w:pPr>
      <w:r>
        <w:rPr>
          <w:rFonts w:ascii="David" w:hAnsi="David"/>
          <w:rtl/>
        </w:rPr>
        <w:t xml:space="preserve">לטענת ב"כ המאשימה קיים קושי בהרתעת הנאשם, הואיל והעבירות מושא כתב-האישום בוצעו, עת היו תלויים נגד הנאשם תשעה כתבי-אישום, ולאחר שבשתי הרשעות קודמות נידון הנאשם למאסרים מותנים. </w:t>
      </w:r>
    </w:p>
    <w:p w14:paraId="2365C5E2" w14:textId="77777777" w:rsidR="000C5076" w:rsidRDefault="000C5076" w:rsidP="00534CFF">
      <w:pPr>
        <w:spacing w:line="360" w:lineRule="auto"/>
        <w:ind w:left="720"/>
        <w:jc w:val="both"/>
        <w:rPr>
          <w:rFonts w:ascii="David" w:hAnsi="David"/>
          <w:rtl/>
        </w:rPr>
      </w:pPr>
    </w:p>
    <w:p w14:paraId="12652B6C" w14:textId="77777777" w:rsidR="000C5076" w:rsidRDefault="000C5076" w:rsidP="00534CFF">
      <w:pPr>
        <w:spacing w:line="360" w:lineRule="auto"/>
        <w:ind w:left="720"/>
        <w:jc w:val="both"/>
        <w:rPr>
          <w:rFonts w:ascii="David" w:hAnsi="David"/>
          <w:rtl/>
        </w:rPr>
      </w:pPr>
      <w:r>
        <w:rPr>
          <w:rFonts w:ascii="David" w:hAnsi="David"/>
          <w:rtl/>
        </w:rPr>
        <w:t xml:space="preserve">לטענת ב"כ המאשימה, מעיון בתדפיס המידע הפלילי של הנאשם עולה, כי קיימת מגמת התדרדרות בפעילות העבריינית של הנאשם, וכי יש להפסיק התדרדרות זו באמצעות גזר-הדין שיינתן בענייננו. </w:t>
      </w:r>
    </w:p>
    <w:p w14:paraId="4E3F8A2D" w14:textId="77777777" w:rsidR="000C5076" w:rsidRDefault="000C5076" w:rsidP="00534CFF">
      <w:pPr>
        <w:spacing w:line="360" w:lineRule="auto"/>
        <w:ind w:left="720"/>
        <w:jc w:val="both"/>
        <w:rPr>
          <w:rFonts w:ascii="David" w:hAnsi="David"/>
          <w:rtl/>
        </w:rPr>
      </w:pPr>
    </w:p>
    <w:p w14:paraId="76A4C62C" w14:textId="77777777" w:rsidR="000C5076" w:rsidRDefault="000C5076" w:rsidP="00534CFF">
      <w:pPr>
        <w:spacing w:line="360" w:lineRule="auto"/>
        <w:ind w:left="720"/>
        <w:jc w:val="both"/>
        <w:rPr>
          <w:rFonts w:ascii="David" w:hAnsi="David"/>
          <w:rtl/>
        </w:rPr>
      </w:pPr>
      <w:r>
        <w:rPr>
          <w:rFonts w:ascii="David" w:hAnsi="David"/>
          <w:rtl/>
        </w:rPr>
        <w:t>ב"כ המאשימה הגיש פסיקה רלוונטית, והפנה ל-</w:t>
      </w:r>
      <w:hyperlink r:id="rId19" w:history="1">
        <w:r w:rsidR="009F6543" w:rsidRPr="009F6543">
          <w:rPr>
            <w:rFonts w:ascii="David" w:hAnsi="David"/>
            <w:color w:val="0000FF"/>
            <w:u w:val="single"/>
            <w:rtl/>
          </w:rPr>
          <w:t>ע"פ 7613/10</w:t>
        </w:r>
      </w:hyperlink>
      <w:r>
        <w:rPr>
          <w:rFonts w:ascii="David" w:hAnsi="David"/>
          <w:rtl/>
        </w:rPr>
        <w:t xml:space="preserve"> </w:t>
      </w:r>
      <w:r>
        <w:rPr>
          <w:rFonts w:ascii="David" w:hAnsi="David"/>
          <w:b/>
          <w:bCs/>
          <w:rtl/>
        </w:rPr>
        <w:t>פלוני נ' מדינת ישראל</w:t>
      </w:r>
      <w:r>
        <w:rPr>
          <w:rFonts w:ascii="David" w:hAnsi="David"/>
          <w:rtl/>
        </w:rPr>
        <w:t xml:space="preserve"> </w:t>
      </w:r>
      <w:r w:rsidR="00455165" w:rsidRPr="00455165">
        <w:rPr>
          <w:sz w:val="22"/>
          <w:rtl/>
        </w:rPr>
        <w:t xml:space="preserve">[פורסם בנבו] </w:t>
      </w:r>
      <w:r>
        <w:rPr>
          <w:rFonts w:ascii="David" w:hAnsi="David"/>
          <w:rtl/>
        </w:rPr>
        <w:t>(28.02.2011) (להלן: "</w:t>
      </w:r>
      <w:r>
        <w:rPr>
          <w:rFonts w:ascii="David" w:hAnsi="David"/>
          <w:b/>
          <w:bCs/>
          <w:rtl/>
        </w:rPr>
        <w:t>עניין פלוני 1</w:t>
      </w:r>
      <w:r>
        <w:rPr>
          <w:rFonts w:ascii="David" w:hAnsi="David"/>
          <w:rtl/>
        </w:rPr>
        <w:t>"), שם אישר בית המשפט העליון עונש מאסר בפועל של 18 חודשים.</w:t>
      </w:r>
    </w:p>
    <w:p w14:paraId="2A53806B" w14:textId="77777777" w:rsidR="000C5076" w:rsidRDefault="000C5076" w:rsidP="00534CFF">
      <w:pPr>
        <w:spacing w:line="360" w:lineRule="auto"/>
        <w:ind w:left="720"/>
        <w:jc w:val="both"/>
        <w:rPr>
          <w:rFonts w:ascii="David" w:hAnsi="David"/>
          <w:rtl/>
        </w:rPr>
      </w:pPr>
    </w:p>
    <w:p w14:paraId="60725B37" w14:textId="77777777" w:rsidR="000C5076" w:rsidRDefault="000C5076" w:rsidP="00534CFF">
      <w:pPr>
        <w:spacing w:line="360" w:lineRule="auto"/>
        <w:ind w:left="720"/>
        <w:jc w:val="both"/>
        <w:rPr>
          <w:rFonts w:ascii="David" w:hAnsi="David"/>
          <w:rtl/>
        </w:rPr>
      </w:pPr>
      <w:r>
        <w:rPr>
          <w:rFonts w:ascii="David" w:hAnsi="David"/>
          <w:rtl/>
        </w:rPr>
        <w:t>כן הפנה ב"כ המאשימה ל-</w:t>
      </w:r>
      <w:hyperlink r:id="rId20" w:history="1">
        <w:r w:rsidR="009F6543" w:rsidRPr="009F6543">
          <w:rPr>
            <w:rFonts w:ascii="David" w:hAnsi="David"/>
            <w:color w:val="0000FF"/>
            <w:u w:val="single"/>
            <w:rtl/>
          </w:rPr>
          <w:t>ע"פ 9965/17</w:t>
        </w:r>
      </w:hyperlink>
      <w:r>
        <w:rPr>
          <w:rFonts w:ascii="David" w:hAnsi="David"/>
          <w:rtl/>
        </w:rPr>
        <w:t xml:space="preserve"> </w:t>
      </w:r>
      <w:r>
        <w:rPr>
          <w:rFonts w:ascii="David" w:hAnsi="David"/>
          <w:b/>
          <w:bCs/>
          <w:rtl/>
        </w:rPr>
        <w:t>פלוני נ' מדינת ישראל</w:t>
      </w:r>
      <w:r>
        <w:rPr>
          <w:rFonts w:ascii="David" w:hAnsi="David"/>
          <w:rtl/>
        </w:rPr>
        <w:t xml:space="preserve"> </w:t>
      </w:r>
      <w:r w:rsidR="00455165" w:rsidRPr="00455165">
        <w:rPr>
          <w:sz w:val="22"/>
          <w:rtl/>
        </w:rPr>
        <w:t xml:space="preserve">[פורסם בנבו] </w:t>
      </w:r>
      <w:r>
        <w:rPr>
          <w:rFonts w:ascii="David" w:hAnsi="David"/>
          <w:rtl/>
        </w:rPr>
        <w:t>(29.04.2018) (להלן: "</w:t>
      </w:r>
      <w:r>
        <w:rPr>
          <w:rFonts w:ascii="David" w:hAnsi="David"/>
          <w:b/>
          <w:bCs/>
          <w:rtl/>
        </w:rPr>
        <w:t>עניין פלוני 2</w:t>
      </w:r>
      <w:r>
        <w:rPr>
          <w:rFonts w:ascii="David" w:hAnsi="David"/>
          <w:rtl/>
        </w:rPr>
        <w:t>"),  שם אישר בית המשפט העליון עונש של 27 חודשי מאסר בגין עבירת הצתה בבניין מגורים. הגם, כך לטענת ב"כ המאשימה, אותו נאשם צירף שלושה תיקים, תיקי הצירוף לא היו חמורים, וכללו הפרעה לשוטר, החזקת סכין ועבירה נוספת של קטטה, היינו העבירה, אשר הובילה לענישה החמורה היא עבירת ההצתה.</w:t>
      </w:r>
    </w:p>
    <w:p w14:paraId="1E223EB9" w14:textId="77777777" w:rsidR="000C5076" w:rsidRDefault="000C5076" w:rsidP="00534CFF">
      <w:pPr>
        <w:spacing w:line="360" w:lineRule="auto"/>
        <w:ind w:left="720"/>
        <w:jc w:val="both"/>
        <w:rPr>
          <w:rFonts w:ascii="David" w:hAnsi="David"/>
          <w:rtl/>
        </w:rPr>
      </w:pPr>
    </w:p>
    <w:p w14:paraId="22CD0EB5" w14:textId="77777777" w:rsidR="000C5076" w:rsidRDefault="000C5076" w:rsidP="00534CFF">
      <w:pPr>
        <w:spacing w:line="360" w:lineRule="auto"/>
        <w:ind w:left="720"/>
        <w:jc w:val="both"/>
        <w:rPr>
          <w:rFonts w:ascii="David" w:hAnsi="David"/>
          <w:rtl/>
        </w:rPr>
      </w:pPr>
      <w:r>
        <w:rPr>
          <w:rFonts w:ascii="David" w:hAnsi="David"/>
          <w:rtl/>
        </w:rPr>
        <w:t xml:space="preserve">לטענת ב"כ המאשימה, התסקיר בעניינו של הנאשם מדאיג, הואיל ובין היתר, מצוין בו סף תסכול נמוך, קושי ניכר לגייס את הנאשם לטיפול, ניסיונות חוזרים ונשנים מצד שירות המבחן לרתום אותו לטיפול ללא הצלחה. הנאשם, כך נטען, נשר מכל סוגי המסגרות, לרבות בית ספר, מעון נעול, והודגש, כי אף קצין-המבחן ציין, כי קיימת אצל הנאשם מגמת התדרדרות ואין המלצה לטיפול. </w:t>
      </w:r>
    </w:p>
    <w:p w14:paraId="2FBA04E1" w14:textId="77777777" w:rsidR="000C5076" w:rsidRDefault="000C5076" w:rsidP="00534CFF">
      <w:pPr>
        <w:spacing w:line="360" w:lineRule="auto"/>
        <w:ind w:left="720"/>
        <w:jc w:val="both"/>
        <w:rPr>
          <w:rFonts w:ascii="David" w:hAnsi="David"/>
          <w:rtl/>
        </w:rPr>
      </w:pPr>
    </w:p>
    <w:p w14:paraId="0E59FE63" w14:textId="77777777" w:rsidR="000C5076" w:rsidRDefault="000C5076" w:rsidP="00534CFF">
      <w:pPr>
        <w:spacing w:line="360" w:lineRule="auto"/>
        <w:ind w:left="720" w:hanging="720"/>
        <w:jc w:val="both"/>
        <w:rPr>
          <w:rFonts w:ascii="David" w:hAnsi="David"/>
          <w:rtl/>
        </w:rPr>
      </w:pPr>
      <w:r>
        <w:rPr>
          <w:rFonts w:ascii="David" w:hAnsi="David"/>
          <w:rtl/>
        </w:rPr>
        <w:t>5.</w:t>
      </w:r>
      <w:r>
        <w:rPr>
          <w:rFonts w:ascii="David" w:hAnsi="David"/>
          <w:rtl/>
        </w:rPr>
        <w:tab/>
        <w:t xml:space="preserve">ב"כ הנאשם הגיש אף הוא פסיקה רלוונטית, לטענתו, והדגיש, כי הנאשם בן כ-17.5, נותן את הדין על עבירת ההצתה, וזאת גם בשים-לב להיותו עצור מאז 02.07.2020, אולם, כך נטען, על אף חומרתה של עבירת ההצתה ופוטנציאל הסיכון שטמון בה,  בסופו של יום נגרם נזק לרכוש בלבד, ולא היו פגיעות בגוף. </w:t>
      </w:r>
    </w:p>
    <w:p w14:paraId="2D80DCDB" w14:textId="77777777" w:rsidR="000C5076" w:rsidRDefault="000C5076" w:rsidP="00534CFF">
      <w:pPr>
        <w:spacing w:line="360" w:lineRule="auto"/>
        <w:ind w:left="720" w:hanging="720"/>
        <w:jc w:val="both"/>
        <w:rPr>
          <w:rFonts w:ascii="David" w:hAnsi="David"/>
          <w:rtl/>
        </w:rPr>
      </w:pPr>
    </w:p>
    <w:p w14:paraId="43A57C93" w14:textId="77777777" w:rsidR="000C5076" w:rsidRDefault="000C5076" w:rsidP="00534CFF">
      <w:pPr>
        <w:spacing w:line="360" w:lineRule="auto"/>
        <w:ind w:left="720"/>
        <w:jc w:val="both"/>
        <w:rPr>
          <w:rFonts w:ascii="David" w:hAnsi="David"/>
          <w:rtl/>
        </w:rPr>
      </w:pPr>
      <w:r>
        <w:rPr>
          <w:rFonts w:ascii="David" w:hAnsi="David"/>
          <w:rtl/>
        </w:rPr>
        <w:t>עוד נטען, כי במסגרת הודאת הנאשם בכתב-האישום המתוקן, הוא הדגיש, כי אומדן הנזק נערך על-פי הערכה אישית של א' ללא מסמכים או חוות-דעת של גורם מוסמך לאומדן הנזק וכי הוא עצמו סבר, כי א' לא נמצא בדירה בעת ביצוע העבירה.</w:t>
      </w:r>
    </w:p>
    <w:p w14:paraId="3EA8E407" w14:textId="77777777" w:rsidR="000C5076" w:rsidRDefault="000C5076" w:rsidP="00534CFF">
      <w:pPr>
        <w:spacing w:line="360" w:lineRule="auto"/>
        <w:ind w:left="720"/>
        <w:jc w:val="both"/>
        <w:rPr>
          <w:rFonts w:ascii="David" w:hAnsi="David"/>
          <w:rtl/>
        </w:rPr>
      </w:pPr>
    </w:p>
    <w:p w14:paraId="7040A51A" w14:textId="77777777" w:rsidR="000C5076" w:rsidRDefault="000C5076" w:rsidP="00534CFF">
      <w:pPr>
        <w:spacing w:line="360" w:lineRule="auto"/>
        <w:ind w:left="720"/>
        <w:jc w:val="both"/>
        <w:rPr>
          <w:rFonts w:ascii="David" w:hAnsi="David"/>
          <w:rtl/>
        </w:rPr>
      </w:pPr>
      <w:r>
        <w:rPr>
          <w:rFonts w:ascii="David" w:hAnsi="David"/>
          <w:rtl/>
        </w:rPr>
        <w:t>עוד ובנוסף נטען, כי הגם שהעבירות בהן מואשם הנאשם חמורות, הרי שיש ליתן את הדעת, שבענייננו מדובר בנער כבן 17.5, אשר גדל באווירה קשה מאוד, חווה בגיל צעיר משבר גירושין קשה בין הוריו, אביו מכור לסמים קשים הרבה שנים, ואימו לא הצליחה לספק עבורו מסגרת תומכת. בצל הנסיבות הללו, כך נטען, הוצא הנאשם בעבר למסגרות חוץ-ביתית, עבר בין מסגרות שונות, מבלי שיחווה דמות הורית, ומצבו התדרדר בשל האמור.</w:t>
      </w:r>
    </w:p>
    <w:p w14:paraId="7B0AB800" w14:textId="77777777" w:rsidR="000C5076" w:rsidRDefault="000C5076" w:rsidP="00534CFF">
      <w:pPr>
        <w:spacing w:line="360" w:lineRule="auto"/>
        <w:ind w:left="720"/>
        <w:jc w:val="both"/>
        <w:rPr>
          <w:rFonts w:ascii="David" w:hAnsi="David"/>
          <w:rtl/>
        </w:rPr>
      </w:pPr>
    </w:p>
    <w:p w14:paraId="6541C505" w14:textId="77777777" w:rsidR="000C5076" w:rsidRDefault="000C5076" w:rsidP="00534CFF">
      <w:pPr>
        <w:spacing w:line="360" w:lineRule="auto"/>
        <w:ind w:left="720"/>
        <w:jc w:val="both"/>
        <w:rPr>
          <w:rFonts w:ascii="David" w:hAnsi="David"/>
          <w:rtl/>
        </w:rPr>
      </w:pPr>
      <w:r>
        <w:rPr>
          <w:rFonts w:ascii="David" w:hAnsi="David"/>
          <w:rtl/>
        </w:rPr>
        <w:t xml:space="preserve">לטענת ב"כ הנאשם, מרבית העבירות המצוינות בתדפיס המידע הפלילי הן ישנות ומסוג עוון, עת היה הנאשם בהיותו בן כ-13. הכרעות-הדין המרשיעות, כך נטען, ניתנו סמוך למעצרו של הנאשם, ונגזרו בגינן על הנאשם מאסרים מותנים, כך שהנאשם מעולם לא היה עצור עד המעצר בגין התיק שבענייננו. </w:t>
      </w:r>
    </w:p>
    <w:p w14:paraId="273035BF" w14:textId="77777777" w:rsidR="000C5076" w:rsidRDefault="000C5076" w:rsidP="00534CFF">
      <w:pPr>
        <w:spacing w:line="360" w:lineRule="auto"/>
        <w:ind w:left="720"/>
        <w:jc w:val="both"/>
        <w:rPr>
          <w:rFonts w:ascii="David" w:hAnsi="David"/>
        </w:rPr>
      </w:pPr>
    </w:p>
    <w:p w14:paraId="7F8AAD8F" w14:textId="77777777" w:rsidR="000C5076" w:rsidRDefault="000C5076" w:rsidP="00534CFF">
      <w:pPr>
        <w:spacing w:line="360" w:lineRule="auto"/>
        <w:ind w:left="720"/>
        <w:jc w:val="both"/>
        <w:rPr>
          <w:rFonts w:ascii="David" w:hAnsi="David"/>
          <w:rtl/>
        </w:rPr>
      </w:pPr>
      <w:r>
        <w:rPr>
          <w:rFonts w:ascii="David" w:hAnsi="David"/>
          <w:rtl/>
        </w:rPr>
        <w:t>עוד נטען, כי הבסיס לענישת קטינים מעוגן בחוק הנוער, ובפסיקת בית המשפט העליון, לפיהם נקבע, כי המתווה בעניינם של קטינים שונה, הואיל והשיקולים אותם על בית המשפט לקחת בחשבון בעת גזירת עונשם של קטינים שונים. החוק והפסיקה, כך אליבא דב"כ הנאשם, קובעים, כי יש להתחשב בגילם של הקטינים, גם עת הם מואשמים בעבירות חמורות, הואיל וקיימת לקטינים אחריות מופחתת, ולא ניתן לייחס להם אשמה מלאה מפאת גילם.</w:t>
      </w:r>
    </w:p>
    <w:p w14:paraId="06314A9A" w14:textId="77777777" w:rsidR="000C5076" w:rsidRDefault="000C5076" w:rsidP="00534CFF">
      <w:pPr>
        <w:spacing w:line="360" w:lineRule="auto"/>
        <w:ind w:left="720"/>
        <w:jc w:val="both"/>
        <w:rPr>
          <w:rFonts w:ascii="David" w:hAnsi="David"/>
          <w:rtl/>
        </w:rPr>
      </w:pPr>
    </w:p>
    <w:p w14:paraId="2C07AEF8" w14:textId="77777777" w:rsidR="000C5076" w:rsidRDefault="000C5076" w:rsidP="00534CFF">
      <w:pPr>
        <w:spacing w:line="360" w:lineRule="auto"/>
        <w:ind w:left="720"/>
        <w:jc w:val="both"/>
        <w:rPr>
          <w:rFonts w:ascii="David" w:hAnsi="David"/>
          <w:rtl/>
        </w:rPr>
      </w:pPr>
      <w:r>
        <w:rPr>
          <w:rFonts w:ascii="David" w:hAnsi="David"/>
          <w:rtl/>
        </w:rPr>
        <w:t>עוד ובנוסף נטען, כי שיקול נוסף ועיקרי בעת גזירת עונשם של קטינים הוא סיכויי השיקום שלהם, הואיל וקיים חשש לא זו בלבד שעשויה לא להרתיע אותם, כי אם להיפך. ענישה מחמירה, כך נטען, עלולה להאיץ את התדרדרות הקטינים, ולפיכך הפסיקה קבעה, כי בעת גזירת עונשם של קטינים, על בית המשפט ליתן את הדעת לשיקולים נוספים.</w:t>
      </w:r>
    </w:p>
    <w:p w14:paraId="3DD01C56" w14:textId="77777777" w:rsidR="000C5076" w:rsidRDefault="000C5076" w:rsidP="00534CFF">
      <w:pPr>
        <w:spacing w:line="360" w:lineRule="auto"/>
        <w:ind w:left="720"/>
        <w:jc w:val="both"/>
        <w:rPr>
          <w:rFonts w:ascii="David" w:hAnsi="David"/>
          <w:rtl/>
        </w:rPr>
      </w:pPr>
    </w:p>
    <w:p w14:paraId="73DBEA94" w14:textId="77777777" w:rsidR="000C5076" w:rsidRDefault="000C5076" w:rsidP="00534CFF">
      <w:pPr>
        <w:spacing w:line="360" w:lineRule="auto"/>
        <w:ind w:left="720"/>
        <w:jc w:val="both"/>
        <w:rPr>
          <w:rFonts w:ascii="David" w:hAnsi="David"/>
          <w:rtl/>
        </w:rPr>
      </w:pPr>
      <w:r>
        <w:rPr>
          <w:rFonts w:ascii="David" w:hAnsi="David"/>
          <w:rtl/>
        </w:rPr>
        <w:t xml:space="preserve">בענייננו, כך נטען, מדובר בעבירה חמורה, שעונשם של בגירים עשוי לנוע בין מאסר בפועל  לעבודות שירות. בעניינם של קטינים, כך נטען, נקבע מגוון רחב של רכיבי ענישה, אשר ראשיתה בדרכי טיפול, ובמרכזה תכנית שיקום מסודרת, אשר עשויה לעזור בשיקום הקטין. מכל מקום, כך לטענת ב"כ הנאשם, גם במקרים בהם לא ניתנה המלצה טיפולית, בתי המשפט לא החמירו עם הקטינים, כבקשת ב"כ המאשימה. </w:t>
      </w:r>
    </w:p>
    <w:p w14:paraId="56C319B7" w14:textId="77777777" w:rsidR="000C5076" w:rsidRDefault="000C5076" w:rsidP="00534CFF">
      <w:pPr>
        <w:spacing w:line="360" w:lineRule="auto"/>
        <w:ind w:left="720"/>
        <w:jc w:val="both"/>
        <w:rPr>
          <w:rFonts w:ascii="David" w:hAnsi="David"/>
          <w:rtl/>
        </w:rPr>
      </w:pPr>
      <w:r>
        <w:rPr>
          <w:rFonts w:ascii="David" w:hAnsi="David"/>
          <w:rtl/>
        </w:rPr>
        <w:t xml:space="preserve">לטענת ב"כ הנאשם, מאסופת הפסיקה שהגיש עולה, כי בחלק מן המקרים בהם הואשמו קטינים בעבירות הצתה, הוגשו כתבי-האישום לבית משפט שלום כבית משפט לנוער, וכי גם באותם המקרים בהם לא ניתנה המלצה טיפולית, נע המתחם בין מאסרים מותנים למאסרים קצרים, אשר לא עלו על 6 חודשים. </w:t>
      </w:r>
    </w:p>
    <w:p w14:paraId="15BE5554" w14:textId="77777777" w:rsidR="000C5076" w:rsidRDefault="000C5076" w:rsidP="00534CFF">
      <w:pPr>
        <w:spacing w:line="360" w:lineRule="auto"/>
        <w:ind w:left="720"/>
        <w:jc w:val="both"/>
        <w:rPr>
          <w:rFonts w:ascii="David" w:hAnsi="David"/>
          <w:rtl/>
        </w:rPr>
      </w:pPr>
    </w:p>
    <w:p w14:paraId="41DC34CF" w14:textId="77777777" w:rsidR="000C5076" w:rsidRDefault="000C5076" w:rsidP="00534CFF">
      <w:pPr>
        <w:spacing w:line="360" w:lineRule="auto"/>
        <w:ind w:left="720"/>
        <w:jc w:val="both"/>
        <w:rPr>
          <w:rFonts w:ascii="David" w:hAnsi="David"/>
          <w:rtl/>
        </w:rPr>
      </w:pPr>
      <w:r>
        <w:rPr>
          <w:rFonts w:ascii="David" w:hAnsi="David"/>
          <w:rtl/>
        </w:rPr>
        <w:t xml:space="preserve">מן הפסיקה אליה הפנה ב"כ המאשימה, כך אליבא דב"כ הנאשם, לא ניתן לגזור גזירה שווה בעניינו של הנאשם בפנינו, הואיל ובעניין פלוני 1 מדובר היה בבגיר שנדון ל-18 חודשי מאסר בפועל, והמעשה בוצע על-ידי שני נאשמים. בעניין פלוני 2, כך נטען, לא זו בלבד שדובר בצירוף תיקים אחרים, אלא שנוהל הליך הוכחות, ולא הובעה חרטה. </w:t>
      </w:r>
    </w:p>
    <w:p w14:paraId="37E2B301" w14:textId="77777777" w:rsidR="000C5076" w:rsidRDefault="000C5076" w:rsidP="00534CFF">
      <w:pPr>
        <w:spacing w:line="360" w:lineRule="auto"/>
        <w:ind w:left="720"/>
        <w:jc w:val="both"/>
        <w:rPr>
          <w:rFonts w:ascii="David" w:hAnsi="David"/>
          <w:rtl/>
        </w:rPr>
      </w:pPr>
    </w:p>
    <w:p w14:paraId="0EFA03FC" w14:textId="77777777" w:rsidR="000C5076" w:rsidRDefault="000C5076" w:rsidP="00534CFF">
      <w:pPr>
        <w:spacing w:line="360" w:lineRule="auto"/>
        <w:ind w:left="720"/>
        <w:jc w:val="both"/>
        <w:rPr>
          <w:rFonts w:ascii="David" w:hAnsi="David"/>
          <w:rtl/>
        </w:rPr>
      </w:pPr>
      <w:r>
        <w:rPr>
          <w:rFonts w:ascii="David" w:hAnsi="David"/>
          <w:rtl/>
        </w:rPr>
        <w:t>ב"כ הנאשם הדגיש את נסיבות חייו הקשות של הנאשם, וזאת אף בשים-לב לעובדה,  כי באולם לא נמצא הדיונים לא נמצא הורה או בן-משפחה אחר של הנאשם. הנאשם, כך הודגש, מצוי במאסר מיום 02.07.2020, ועבור קטין מדובר בפרק זמן ממשי. עוד הודגש, כי אחרי מעצרו של הנאשם, עבר אביו תקופה קשה, וכעת הוא עובר הליך שיקום ממושך בבי"ח לוינשטיין, בשל פגיעה מוחית קשה.</w:t>
      </w:r>
    </w:p>
    <w:p w14:paraId="28778D20" w14:textId="77777777" w:rsidR="000C5076" w:rsidRDefault="000C5076" w:rsidP="00534CFF">
      <w:pPr>
        <w:spacing w:line="360" w:lineRule="auto"/>
        <w:ind w:left="720"/>
        <w:jc w:val="both"/>
        <w:rPr>
          <w:rFonts w:ascii="David" w:hAnsi="David"/>
          <w:rtl/>
        </w:rPr>
      </w:pPr>
    </w:p>
    <w:p w14:paraId="0D6DCF68" w14:textId="77777777" w:rsidR="000C5076" w:rsidRDefault="000C5076" w:rsidP="00534CFF">
      <w:pPr>
        <w:spacing w:line="360" w:lineRule="auto"/>
        <w:ind w:left="720"/>
        <w:jc w:val="both"/>
        <w:rPr>
          <w:rFonts w:ascii="David" w:hAnsi="David"/>
          <w:rtl/>
        </w:rPr>
      </w:pPr>
      <w:r>
        <w:rPr>
          <w:rFonts w:ascii="David" w:hAnsi="David"/>
          <w:rtl/>
        </w:rPr>
        <w:t xml:space="preserve">לטענת ב"כ הנאשם, על אף הכתוב בתסקיר שירות המבחן, קיימים ניצנים של שינוי לטובה אצל הנאשם, וזאת גם בשים-לב להתנהלותו של הנאשם בבית הסוהר. </w:t>
      </w:r>
    </w:p>
    <w:p w14:paraId="48BA86E6" w14:textId="77777777" w:rsidR="000C5076" w:rsidRDefault="000C5076" w:rsidP="00534CFF">
      <w:pPr>
        <w:spacing w:line="360" w:lineRule="auto"/>
        <w:ind w:left="720"/>
        <w:jc w:val="both"/>
        <w:rPr>
          <w:rFonts w:ascii="David" w:hAnsi="David"/>
        </w:rPr>
      </w:pPr>
    </w:p>
    <w:p w14:paraId="36D5EF49" w14:textId="77777777" w:rsidR="000C5076" w:rsidRDefault="000C5076" w:rsidP="00534CFF">
      <w:pPr>
        <w:spacing w:line="360" w:lineRule="auto"/>
        <w:ind w:left="720"/>
        <w:jc w:val="both"/>
        <w:rPr>
          <w:rFonts w:ascii="David" w:hAnsi="David"/>
          <w:rtl/>
        </w:rPr>
      </w:pPr>
      <w:r>
        <w:rPr>
          <w:rFonts w:ascii="David" w:hAnsi="David"/>
          <w:rtl/>
        </w:rPr>
        <w:t xml:space="preserve">לטענת ב"כ הנאשם, תקופת המעצר מהווה ענישה מרתיעה עבור הנאשם, ולפיכך עתר להסתפק בתקופת המעצר. עוד עתר ב"כ הנאשם, כי לא יושת על הנאשם תשלום פיצוי, וזאת הן מאחר שמדובר בקטין אשר אין בידיו לשלם את סך הפיצוי, והן מאחר שאין מסמך מפורש למי יש לשלם את הפיצויים. </w:t>
      </w:r>
    </w:p>
    <w:p w14:paraId="4849932B" w14:textId="77777777" w:rsidR="000C5076" w:rsidRDefault="000C5076" w:rsidP="00534CFF">
      <w:pPr>
        <w:spacing w:line="360" w:lineRule="auto"/>
        <w:ind w:left="720"/>
        <w:jc w:val="both"/>
        <w:rPr>
          <w:rFonts w:ascii="David" w:hAnsi="David"/>
          <w:rtl/>
        </w:rPr>
      </w:pPr>
    </w:p>
    <w:p w14:paraId="499FB5AF" w14:textId="77777777" w:rsidR="000C5076" w:rsidRDefault="000C5076" w:rsidP="00534CFF">
      <w:pPr>
        <w:pStyle w:val="David"/>
        <w:ind w:left="720" w:hanging="720"/>
        <w:rPr>
          <w:rFonts w:ascii="David" w:hAnsi="David"/>
          <w:rtl/>
        </w:rPr>
      </w:pPr>
      <w:r>
        <w:rPr>
          <w:rFonts w:ascii="David" w:hAnsi="David"/>
          <w:rtl/>
        </w:rPr>
        <w:t>6.</w:t>
      </w:r>
      <w:r>
        <w:rPr>
          <w:rFonts w:ascii="David" w:hAnsi="David"/>
          <w:rtl/>
        </w:rPr>
        <w:tab/>
        <w:t>הנאשם עצמו העיד וטען, כי הוא מצר על מעשיו, וכי לא הבין את טעותו עד אשר הגיע לבית הסוהר. עוד טען הנאשם, כי מצבו השתנה, וכי הוא מבקש לסייע הן לאימו, והן לאביו שנדרס, ומאושפז בבית-החולים.</w:t>
      </w:r>
    </w:p>
    <w:p w14:paraId="0F09C4FB" w14:textId="77777777" w:rsidR="000C5076" w:rsidRDefault="000C5076" w:rsidP="00534CFF">
      <w:pPr>
        <w:pStyle w:val="David"/>
        <w:ind w:left="720" w:hanging="720"/>
        <w:rPr>
          <w:rFonts w:ascii="David" w:hAnsi="David"/>
          <w:rtl/>
        </w:rPr>
      </w:pPr>
    </w:p>
    <w:p w14:paraId="04D692D3" w14:textId="77777777" w:rsidR="000C5076" w:rsidRDefault="000C5076" w:rsidP="00534CFF">
      <w:pPr>
        <w:spacing w:line="360" w:lineRule="auto"/>
        <w:ind w:left="720" w:hanging="720"/>
        <w:jc w:val="both"/>
        <w:rPr>
          <w:rFonts w:ascii="David" w:hAnsi="David"/>
          <w:rtl/>
        </w:rPr>
      </w:pPr>
      <w:r>
        <w:rPr>
          <w:rFonts w:ascii="David" w:hAnsi="David"/>
          <w:rtl/>
        </w:rPr>
        <w:t>7.</w:t>
      </w:r>
      <w:r>
        <w:rPr>
          <w:rFonts w:ascii="David" w:hAnsi="David"/>
          <w:rtl/>
        </w:rPr>
        <w:tab/>
        <w:t>עוד ובנוסף העיד קצין-המבחן, שהדגיש, שנעשו ניסיונות רבים, במהלך ארבע שנים לרתום את הנאשם לשירות המבחן, אולם ניסיונות אלו לא הצליחו. עוד הדגיש קצין-המבחן, כי הוא לא מצא, כי יש ליתן בעניינו של הנאשם שבפנינו המלצה טיפולית, ולפיכך הוא סבר, כפי שהדבר בא לידי ביטוי בתסקיר, כי יש להרשיעו. קצין-המבחן אישר, כי הנאשם הוא הבן האמצעי מבין שלושה ילדים בגילאים 00-19.</w:t>
      </w:r>
    </w:p>
    <w:p w14:paraId="36CB60A0" w14:textId="77777777" w:rsidR="000C5076" w:rsidRDefault="000C5076" w:rsidP="00534CFF">
      <w:pPr>
        <w:spacing w:line="360" w:lineRule="auto"/>
        <w:ind w:left="720" w:hanging="720"/>
        <w:jc w:val="both"/>
        <w:rPr>
          <w:rFonts w:ascii="David" w:hAnsi="David"/>
          <w:rtl/>
        </w:rPr>
      </w:pPr>
    </w:p>
    <w:p w14:paraId="3346A7E7" w14:textId="77777777" w:rsidR="000C5076" w:rsidRDefault="000C5076" w:rsidP="00534CFF">
      <w:pPr>
        <w:spacing w:line="360" w:lineRule="auto"/>
        <w:ind w:left="720" w:hanging="720"/>
        <w:jc w:val="both"/>
        <w:rPr>
          <w:rFonts w:ascii="David" w:hAnsi="David"/>
          <w:rtl/>
        </w:rPr>
      </w:pPr>
      <w:r>
        <w:rPr>
          <w:rFonts w:ascii="David" w:hAnsi="David"/>
          <w:rtl/>
        </w:rPr>
        <w:t>8.</w:t>
      </w:r>
      <w:r>
        <w:rPr>
          <w:rFonts w:ascii="David" w:hAnsi="David"/>
          <w:rtl/>
        </w:rPr>
        <w:tab/>
        <w:t>ראשיתה ואחריתה של ההכרעה בענייננו נטועה בהיותו של הנאשם קטין, הן במועד ביצוע העבירה והן כיום.</w:t>
      </w:r>
    </w:p>
    <w:p w14:paraId="38A41139" w14:textId="77777777" w:rsidR="000C5076" w:rsidRDefault="000C5076" w:rsidP="00534CFF">
      <w:pPr>
        <w:spacing w:line="360" w:lineRule="auto"/>
        <w:ind w:left="720" w:hanging="720"/>
        <w:jc w:val="both"/>
        <w:rPr>
          <w:rFonts w:ascii="David" w:hAnsi="David"/>
          <w:rtl/>
        </w:rPr>
      </w:pPr>
    </w:p>
    <w:p w14:paraId="09359C6A" w14:textId="77777777" w:rsidR="000C5076" w:rsidRDefault="000C5076" w:rsidP="00534CFF">
      <w:pPr>
        <w:spacing w:line="360" w:lineRule="auto"/>
        <w:ind w:left="720" w:hanging="720"/>
        <w:jc w:val="both"/>
        <w:rPr>
          <w:rFonts w:ascii="David" w:hAnsi="David"/>
          <w:rtl/>
        </w:rPr>
      </w:pPr>
      <w:r>
        <w:rPr>
          <w:rFonts w:ascii="David" w:hAnsi="David"/>
          <w:rtl/>
        </w:rPr>
        <w:tab/>
        <w:t xml:space="preserve">הנאשם הודה ביום 19.11.2020 בעובדות כתב-האישום המתוקן, בעבירה של הצתה, לפי סעיף מס' </w:t>
      </w:r>
      <w:hyperlink r:id="rId21" w:history="1">
        <w:r w:rsidR="00610299" w:rsidRPr="00610299">
          <w:rPr>
            <w:rStyle w:val="Hyperlink"/>
            <w:rFonts w:ascii="David" w:hAnsi="David"/>
            <w:rtl/>
          </w:rPr>
          <w:t>448 (א)</w:t>
        </w:r>
      </w:hyperlink>
      <w:r>
        <w:rPr>
          <w:rFonts w:ascii="David" w:hAnsi="David"/>
          <w:rtl/>
        </w:rPr>
        <w:t xml:space="preserve"> סיפא ל</w:t>
      </w:r>
      <w:hyperlink r:id="rId22" w:history="1">
        <w:r w:rsidR="009F6543" w:rsidRPr="009F6543">
          <w:rPr>
            <w:rFonts w:ascii="David" w:hAnsi="David"/>
            <w:color w:val="0000FF"/>
            <w:u w:val="single"/>
            <w:rtl/>
          </w:rPr>
          <w:t>חוק העונשין</w:t>
        </w:r>
      </w:hyperlink>
      <w:r>
        <w:rPr>
          <w:rFonts w:ascii="David" w:hAnsi="David"/>
          <w:rtl/>
        </w:rPr>
        <w:t xml:space="preserve">, וכן בעבירה של החזקה ושימוש, עבירה לפי סעיף מס' </w:t>
      </w:r>
      <w:hyperlink r:id="rId23" w:history="1">
        <w:r w:rsidR="00610299" w:rsidRPr="00610299">
          <w:rPr>
            <w:rStyle w:val="Hyperlink"/>
            <w:rFonts w:ascii="David" w:hAnsi="David"/>
            <w:rtl/>
          </w:rPr>
          <w:t>7(א) + (ג)</w:t>
        </w:r>
      </w:hyperlink>
      <w:r>
        <w:rPr>
          <w:rFonts w:ascii="David" w:hAnsi="David"/>
          <w:rtl/>
        </w:rPr>
        <w:t xml:space="preserve"> רישא ל</w:t>
      </w:r>
      <w:hyperlink r:id="rId24" w:history="1">
        <w:r w:rsidR="009F6543" w:rsidRPr="009F6543">
          <w:rPr>
            <w:rFonts w:ascii="David" w:hAnsi="David"/>
            <w:color w:val="0000FF"/>
            <w:u w:val="single"/>
            <w:rtl/>
          </w:rPr>
          <w:t>פקודת הסמים המסוכנים</w:t>
        </w:r>
      </w:hyperlink>
      <w:r>
        <w:rPr>
          <w:rFonts w:ascii="David" w:hAnsi="David"/>
          <w:rtl/>
        </w:rPr>
        <w:t>. לצד זאת, ציין הנאשם, כי הוא חשב שא' אינו נמצא בבניין המגורים.</w:t>
      </w:r>
    </w:p>
    <w:p w14:paraId="68BE46C7" w14:textId="77777777" w:rsidR="000C5076" w:rsidRDefault="000C5076" w:rsidP="00534CFF">
      <w:pPr>
        <w:spacing w:line="360" w:lineRule="auto"/>
        <w:ind w:left="720" w:hanging="720"/>
        <w:jc w:val="both"/>
        <w:rPr>
          <w:rFonts w:ascii="David" w:hAnsi="David"/>
          <w:rtl/>
        </w:rPr>
      </w:pPr>
    </w:p>
    <w:p w14:paraId="66AE29F1" w14:textId="77777777" w:rsidR="000C5076" w:rsidRDefault="000C5076" w:rsidP="00534CFF">
      <w:pPr>
        <w:spacing w:line="360" w:lineRule="auto"/>
        <w:ind w:left="720"/>
        <w:jc w:val="both"/>
        <w:rPr>
          <w:rFonts w:ascii="David" w:hAnsi="David"/>
          <w:rtl/>
        </w:rPr>
      </w:pPr>
      <w:r>
        <w:rPr>
          <w:rFonts w:ascii="David" w:hAnsi="David"/>
          <w:rtl/>
        </w:rPr>
        <w:t>בתסקיר המפורט שהתקבל משירות המבחן הומלץ להרשיע את הנאשם, וזאת בשים-לב לחומרת העבירות המיוחסות לו, ונוכח הניסיונות הרבים שנעשו על-מנת לגייס את הנאשם להליך טיפולי משמעותי, ללא הצלחה, ובשל ההתרשמות שירות המבחן מחוסר המוטיבציה לשינוי וטיפול.</w:t>
      </w:r>
    </w:p>
    <w:p w14:paraId="428BE0BC" w14:textId="77777777" w:rsidR="000C5076" w:rsidRDefault="000C5076" w:rsidP="00534CFF">
      <w:pPr>
        <w:spacing w:line="360" w:lineRule="auto"/>
        <w:ind w:left="720"/>
        <w:jc w:val="both"/>
        <w:rPr>
          <w:rFonts w:ascii="David" w:hAnsi="David"/>
          <w:rtl/>
        </w:rPr>
      </w:pPr>
    </w:p>
    <w:p w14:paraId="0B397281" w14:textId="77777777" w:rsidR="000C5076" w:rsidRDefault="000C5076" w:rsidP="00534CFF">
      <w:pPr>
        <w:spacing w:line="360" w:lineRule="auto"/>
        <w:ind w:left="720"/>
        <w:jc w:val="both"/>
        <w:rPr>
          <w:rFonts w:ascii="David" w:hAnsi="David"/>
          <w:rtl/>
        </w:rPr>
      </w:pPr>
      <w:r>
        <w:rPr>
          <w:rFonts w:ascii="David" w:hAnsi="David"/>
          <w:rtl/>
        </w:rPr>
        <w:t>על חשיבות תרומתו של שירות המבחן בהליכים כגון דא פסק כב' השופט (בדימוס) י. דנציגר ב-</w:t>
      </w:r>
      <w:hyperlink r:id="rId25" w:history="1">
        <w:r w:rsidR="009F6543" w:rsidRPr="009F6543">
          <w:rPr>
            <w:rFonts w:ascii="David" w:hAnsi="David"/>
            <w:color w:val="0000FF"/>
            <w:u w:val="single"/>
            <w:rtl/>
          </w:rPr>
          <w:t>ע"פ 49/09 מדינת ישראל נ' פלוני, פ"ד סג</w:t>
        </w:r>
      </w:hyperlink>
      <w:r>
        <w:rPr>
          <w:rFonts w:ascii="David" w:hAnsi="David"/>
          <w:rtl/>
        </w:rPr>
        <w:t>(1) 752, פסקה 27:</w:t>
      </w:r>
    </w:p>
    <w:p w14:paraId="35EA690D" w14:textId="77777777" w:rsidR="000C5076" w:rsidRDefault="000C5076" w:rsidP="00534CFF">
      <w:pPr>
        <w:spacing w:line="360" w:lineRule="auto"/>
        <w:ind w:left="720"/>
        <w:jc w:val="both"/>
        <w:rPr>
          <w:rFonts w:ascii="David" w:hAnsi="David"/>
          <w:rtl/>
        </w:rPr>
      </w:pPr>
    </w:p>
    <w:p w14:paraId="7CCCD54F" w14:textId="77777777" w:rsidR="000C5076" w:rsidRDefault="000C5076" w:rsidP="00534CFF">
      <w:pPr>
        <w:spacing w:line="360" w:lineRule="auto"/>
        <w:ind w:left="2160"/>
        <w:jc w:val="both"/>
        <w:rPr>
          <w:rFonts w:ascii="David" w:hAnsi="David"/>
          <w:b/>
          <w:bCs/>
          <w:rtl/>
        </w:rPr>
      </w:pPr>
      <w:r>
        <w:rPr>
          <w:rFonts w:ascii="David" w:hAnsi="David"/>
          <w:b/>
          <w:bCs/>
          <w:rtl/>
        </w:rPr>
        <w:t>"....כאשר מדובר בעבריינים קטינים, מדיניות הענישה מחייבת מלכתחילה את בית המשפט להקנות משקל מכריע ודומיננטי לשיקול השיקום. לכן, בהליך שבו שיקולי השיקום והטיפול הם באופן אינהרנטי לב ליבו של העניין, יש לתת משקל יתר להמלצות אנשי המקצוע מהדיסציפלינה הטיפולית...."</w:t>
      </w:r>
    </w:p>
    <w:p w14:paraId="592043BD" w14:textId="77777777" w:rsidR="000C5076" w:rsidRDefault="000C5076" w:rsidP="00534CFF">
      <w:pPr>
        <w:spacing w:line="360" w:lineRule="auto"/>
        <w:ind w:left="720"/>
        <w:jc w:val="both"/>
        <w:rPr>
          <w:rFonts w:ascii="David" w:hAnsi="David"/>
          <w:rtl/>
        </w:rPr>
      </w:pPr>
    </w:p>
    <w:p w14:paraId="45D3963B" w14:textId="77777777" w:rsidR="000C5076" w:rsidRDefault="000C5076" w:rsidP="00534CFF">
      <w:pPr>
        <w:spacing w:line="360" w:lineRule="auto"/>
        <w:ind w:left="720"/>
        <w:jc w:val="both"/>
        <w:rPr>
          <w:rFonts w:ascii="David" w:hAnsi="David"/>
          <w:rtl/>
        </w:rPr>
      </w:pPr>
      <w:r>
        <w:rPr>
          <w:rFonts w:ascii="David" w:hAnsi="David"/>
          <w:rtl/>
        </w:rPr>
        <w:t xml:space="preserve">נוכח כל האמור לעיל, אני מרשיע את הנאשם בעבירה של הצתה, לפי סעיף מס' </w:t>
      </w:r>
      <w:hyperlink r:id="rId26" w:history="1">
        <w:r w:rsidR="00610299" w:rsidRPr="00610299">
          <w:rPr>
            <w:rStyle w:val="Hyperlink"/>
            <w:rFonts w:ascii="David" w:hAnsi="David"/>
            <w:rtl/>
          </w:rPr>
          <w:t>448 (א)</w:t>
        </w:r>
      </w:hyperlink>
      <w:r>
        <w:rPr>
          <w:rFonts w:ascii="David" w:hAnsi="David"/>
          <w:rtl/>
        </w:rPr>
        <w:t xml:space="preserve"> סיפא ל</w:t>
      </w:r>
      <w:hyperlink r:id="rId27" w:history="1">
        <w:r w:rsidR="009F6543" w:rsidRPr="009F6543">
          <w:rPr>
            <w:rFonts w:ascii="David" w:hAnsi="David"/>
            <w:color w:val="0000FF"/>
            <w:u w:val="single"/>
            <w:rtl/>
          </w:rPr>
          <w:t>חוק העונשין</w:t>
        </w:r>
      </w:hyperlink>
      <w:r>
        <w:rPr>
          <w:rFonts w:ascii="David" w:hAnsi="David"/>
          <w:rtl/>
        </w:rPr>
        <w:t xml:space="preserve">, וכן בעבירה של החזקה ושימוש, עבירה לפי סעיף מס' </w:t>
      </w:r>
      <w:hyperlink r:id="rId28" w:history="1">
        <w:r w:rsidR="00610299" w:rsidRPr="00610299">
          <w:rPr>
            <w:rStyle w:val="Hyperlink"/>
            <w:rFonts w:ascii="David" w:hAnsi="David"/>
            <w:rtl/>
          </w:rPr>
          <w:t>7(א) + (ג)</w:t>
        </w:r>
      </w:hyperlink>
      <w:r>
        <w:rPr>
          <w:rFonts w:ascii="David" w:hAnsi="David"/>
          <w:rtl/>
        </w:rPr>
        <w:t xml:space="preserve"> רישא ל</w:t>
      </w:r>
      <w:hyperlink r:id="rId29" w:history="1">
        <w:r w:rsidR="009F6543" w:rsidRPr="009F6543">
          <w:rPr>
            <w:rFonts w:ascii="David" w:hAnsi="David"/>
            <w:color w:val="0000FF"/>
            <w:u w:val="single"/>
            <w:rtl/>
          </w:rPr>
          <w:t>פקודת הסמים המסוכנים</w:t>
        </w:r>
      </w:hyperlink>
      <w:r>
        <w:rPr>
          <w:rFonts w:ascii="David" w:hAnsi="David"/>
          <w:rtl/>
        </w:rPr>
        <w:t>.</w:t>
      </w:r>
    </w:p>
    <w:p w14:paraId="613736D7" w14:textId="77777777" w:rsidR="000C5076" w:rsidRDefault="000C5076" w:rsidP="00534CFF">
      <w:pPr>
        <w:spacing w:line="360" w:lineRule="auto"/>
        <w:ind w:left="720"/>
        <w:jc w:val="both"/>
        <w:rPr>
          <w:rFonts w:ascii="David" w:hAnsi="David"/>
          <w:rtl/>
        </w:rPr>
      </w:pPr>
    </w:p>
    <w:p w14:paraId="1E3FB50B" w14:textId="77777777" w:rsidR="000C5076" w:rsidRDefault="000C5076" w:rsidP="00534CFF">
      <w:pPr>
        <w:spacing w:line="360" w:lineRule="auto"/>
        <w:ind w:left="720"/>
        <w:jc w:val="both"/>
        <w:rPr>
          <w:rFonts w:ascii="David" w:hAnsi="David"/>
          <w:rtl/>
        </w:rPr>
      </w:pPr>
      <w:r>
        <w:rPr>
          <w:rFonts w:ascii="David" w:hAnsi="David"/>
          <w:rtl/>
        </w:rPr>
        <w:t xml:space="preserve">אזכיר, כי בענייננו חל </w:t>
      </w:r>
      <w:hyperlink r:id="rId30" w:history="1">
        <w:r w:rsidR="00610299" w:rsidRPr="00610299">
          <w:rPr>
            <w:rStyle w:val="Hyperlink"/>
            <w:rFonts w:ascii="David" w:hAnsi="David"/>
            <w:rtl/>
          </w:rPr>
          <w:t>סעיף 24</w:t>
        </w:r>
      </w:hyperlink>
      <w:r>
        <w:rPr>
          <w:rFonts w:ascii="David" w:hAnsi="David"/>
          <w:rtl/>
        </w:rPr>
        <w:t xml:space="preserve"> ל</w:t>
      </w:r>
      <w:hyperlink r:id="rId31" w:history="1">
        <w:r w:rsidR="009F6543" w:rsidRPr="009F6543">
          <w:rPr>
            <w:rFonts w:ascii="David" w:hAnsi="David"/>
            <w:color w:val="0000FF"/>
            <w:u w:val="single"/>
            <w:rtl/>
          </w:rPr>
          <w:t>חוק הנוער (שפיטה, ענישה ודרכי טיפול</w:t>
        </w:r>
      </w:hyperlink>
      <w:r>
        <w:rPr>
          <w:rFonts w:ascii="David" w:hAnsi="David"/>
          <w:rtl/>
        </w:rPr>
        <w:t>, התשל"א – 1971, אשר מורנו:</w:t>
      </w:r>
    </w:p>
    <w:p w14:paraId="0D111FCC" w14:textId="77777777" w:rsidR="000C5076" w:rsidRDefault="000C5076" w:rsidP="00534CFF">
      <w:pPr>
        <w:spacing w:line="360" w:lineRule="auto"/>
        <w:jc w:val="both"/>
        <w:rPr>
          <w:rFonts w:ascii="David" w:hAnsi="David"/>
          <w:rtl/>
        </w:rPr>
      </w:pPr>
    </w:p>
    <w:p w14:paraId="64FD7C72" w14:textId="77777777" w:rsidR="000C5076" w:rsidRDefault="000C5076" w:rsidP="00534CFF">
      <w:pPr>
        <w:pStyle w:val="p00"/>
        <w:spacing w:before="72" w:line="360" w:lineRule="auto"/>
        <w:ind w:left="1440"/>
        <w:rPr>
          <w:rFonts w:ascii="David" w:hAnsi="David" w:cs="David"/>
          <w:b/>
          <w:bCs/>
          <w:sz w:val="24"/>
          <w:szCs w:val="24"/>
          <w:rtl/>
        </w:rPr>
      </w:pPr>
      <w:r>
        <w:rPr>
          <w:rStyle w:val="default"/>
          <w:rFonts w:ascii="David" w:hAnsi="David" w:cs="David"/>
          <w:b/>
          <w:bCs/>
          <w:sz w:val="24"/>
          <w:szCs w:val="24"/>
          <w:rtl/>
        </w:rPr>
        <w:t>"קבע בית משפט לנוער שהקטין ביצע את העבירה והוגשו לו תסקיר של קצין המבחן ותוצאות הבדיקות והחקירות, שעליהם הורה לפי סעיף 22, יחליט על אחד מאלה:</w:t>
      </w:r>
    </w:p>
    <w:p w14:paraId="6B9C091D" w14:textId="77777777" w:rsidR="000C5076" w:rsidRDefault="000C5076" w:rsidP="00534CFF">
      <w:pPr>
        <w:pStyle w:val="p22"/>
        <w:spacing w:before="72" w:line="360" w:lineRule="auto"/>
        <w:ind w:left="1344" w:right="1134" w:firstLine="96"/>
        <w:rPr>
          <w:rFonts w:ascii="David" w:hAnsi="David" w:cs="David"/>
          <w:b/>
          <w:bCs/>
          <w:sz w:val="24"/>
          <w:szCs w:val="24"/>
        </w:rPr>
      </w:pPr>
      <w:r>
        <w:rPr>
          <w:rStyle w:val="default"/>
          <w:rFonts w:ascii="David" w:hAnsi="David" w:cs="David"/>
          <w:b/>
          <w:bCs/>
          <w:sz w:val="24"/>
          <w:szCs w:val="24"/>
          <w:rtl/>
        </w:rPr>
        <w:t>(1)</w:t>
      </w:r>
      <w:r w:rsidR="009F6543">
        <w:rPr>
          <w:rStyle w:val="default"/>
          <w:rFonts w:ascii="David" w:hAnsi="David" w:cs="David"/>
          <w:b/>
          <w:bCs/>
          <w:sz w:val="24"/>
          <w:szCs w:val="24"/>
          <w:rtl/>
        </w:rPr>
        <w:t xml:space="preserve"> </w:t>
      </w:r>
      <w:r>
        <w:rPr>
          <w:rStyle w:val="default"/>
          <w:rFonts w:ascii="David" w:hAnsi="David" w:cs="David"/>
          <w:b/>
          <w:bCs/>
          <w:sz w:val="24"/>
          <w:szCs w:val="24"/>
          <w:rtl/>
        </w:rPr>
        <w:t xml:space="preserve"> להרשיע את הקטין ולגזור את דינו;</w:t>
      </w:r>
    </w:p>
    <w:p w14:paraId="5C16865C" w14:textId="77777777" w:rsidR="000C5076" w:rsidRDefault="000C5076" w:rsidP="00534CFF">
      <w:pPr>
        <w:pStyle w:val="p22"/>
        <w:spacing w:before="72" w:line="360" w:lineRule="auto"/>
        <w:ind w:left="1440" w:right="1134"/>
        <w:rPr>
          <w:rFonts w:ascii="David" w:hAnsi="David" w:cs="David"/>
          <w:b/>
          <w:bCs/>
          <w:sz w:val="24"/>
          <w:szCs w:val="24"/>
          <w:rtl/>
        </w:rPr>
      </w:pPr>
      <w:r>
        <w:rPr>
          <w:rStyle w:val="default"/>
          <w:rFonts w:ascii="David" w:hAnsi="David" w:cs="David"/>
          <w:b/>
          <w:bCs/>
          <w:sz w:val="24"/>
          <w:szCs w:val="24"/>
          <w:rtl/>
        </w:rPr>
        <w:t>(2)</w:t>
      </w:r>
      <w:r w:rsidR="009F6543">
        <w:rPr>
          <w:rStyle w:val="default"/>
          <w:rFonts w:ascii="David" w:hAnsi="David" w:cs="David"/>
          <w:b/>
          <w:bCs/>
          <w:sz w:val="24"/>
          <w:szCs w:val="24"/>
          <w:rtl/>
        </w:rPr>
        <w:t xml:space="preserve"> </w:t>
      </w:r>
      <w:r>
        <w:rPr>
          <w:rStyle w:val="default"/>
          <w:rFonts w:ascii="David" w:hAnsi="David" w:cs="David"/>
          <w:b/>
          <w:bCs/>
          <w:sz w:val="24"/>
          <w:szCs w:val="24"/>
          <w:rtl/>
        </w:rPr>
        <w:t xml:space="preserve"> לצוות על אחד או יותר מהאמצעים ודרכי הטיפול המנויים  בסעיף 26;</w:t>
      </w:r>
    </w:p>
    <w:p w14:paraId="672D55C1" w14:textId="77777777" w:rsidR="000C5076" w:rsidRDefault="000C5076" w:rsidP="00534CFF">
      <w:pPr>
        <w:pStyle w:val="p22"/>
        <w:spacing w:before="72" w:line="360" w:lineRule="auto"/>
        <w:ind w:left="1152" w:right="1134" w:firstLine="288"/>
        <w:rPr>
          <w:rFonts w:ascii="David" w:hAnsi="David" w:cs="David"/>
          <w:b/>
          <w:bCs/>
          <w:sz w:val="24"/>
          <w:szCs w:val="24"/>
          <w:rtl/>
        </w:rPr>
      </w:pPr>
      <w:r>
        <w:rPr>
          <w:rStyle w:val="default"/>
          <w:rFonts w:ascii="David" w:hAnsi="David" w:cs="David"/>
          <w:b/>
          <w:bCs/>
          <w:sz w:val="24"/>
          <w:szCs w:val="24"/>
          <w:rtl/>
        </w:rPr>
        <w:t>(3)</w:t>
      </w:r>
      <w:r w:rsidR="009F6543">
        <w:rPr>
          <w:rStyle w:val="default"/>
          <w:rFonts w:ascii="David" w:hAnsi="David" w:cs="David"/>
          <w:b/>
          <w:bCs/>
          <w:sz w:val="24"/>
          <w:szCs w:val="24"/>
          <w:rtl/>
        </w:rPr>
        <w:t xml:space="preserve"> </w:t>
      </w:r>
      <w:r>
        <w:rPr>
          <w:rStyle w:val="default"/>
          <w:rFonts w:ascii="David" w:hAnsi="David" w:cs="David"/>
          <w:b/>
          <w:bCs/>
          <w:sz w:val="24"/>
          <w:szCs w:val="24"/>
          <w:rtl/>
        </w:rPr>
        <w:t xml:space="preserve"> לפטור את הקטין בלא צו כאמור".</w:t>
      </w:r>
    </w:p>
    <w:p w14:paraId="513FC140" w14:textId="77777777" w:rsidR="000C5076" w:rsidRDefault="000C5076" w:rsidP="00534CFF">
      <w:pPr>
        <w:spacing w:line="360" w:lineRule="auto"/>
        <w:ind w:left="720"/>
        <w:jc w:val="both"/>
        <w:rPr>
          <w:rFonts w:ascii="David" w:hAnsi="David"/>
          <w:rtl/>
        </w:rPr>
      </w:pPr>
    </w:p>
    <w:p w14:paraId="15E5A2EC" w14:textId="77777777" w:rsidR="000C5076" w:rsidRDefault="000C5076" w:rsidP="00534CFF">
      <w:pPr>
        <w:pStyle w:val="40"/>
        <w:spacing w:line="360" w:lineRule="auto"/>
        <w:ind w:left="984"/>
        <w:rPr>
          <w:rFonts w:ascii="David" w:hAnsi="David" w:cs="David"/>
          <w:sz w:val="24"/>
          <w:szCs w:val="24"/>
          <w:rtl/>
        </w:rPr>
      </w:pPr>
      <w:r>
        <w:rPr>
          <w:rFonts w:ascii="David" w:hAnsi="David" w:cs="David"/>
          <w:sz w:val="24"/>
          <w:szCs w:val="24"/>
          <w:rtl/>
        </w:rPr>
        <w:t>ואפנה לדבריו של כב' השופט נ. סולברג ב-</w:t>
      </w:r>
      <w:hyperlink r:id="rId32" w:history="1">
        <w:r w:rsidR="009F6543" w:rsidRPr="009F6543">
          <w:rPr>
            <w:rFonts w:ascii="David" w:hAnsi="David" w:cs="David"/>
            <w:color w:val="0000FF"/>
            <w:sz w:val="24"/>
            <w:szCs w:val="24"/>
            <w:u w:val="single"/>
            <w:rtl/>
          </w:rPr>
          <w:t>ע"פ 2083/20</w:t>
        </w:r>
      </w:hyperlink>
      <w:r>
        <w:rPr>
          <w:rFonts w:ascii="David" w:hAnsi="David" w:cs="David"/>
          <w:sz w:val="24"/>
          <w:szCs w:val="24"/>
          <w:rtl/>
        </w:rPr>
        <w:t xml:space="preserve"> </w:t>
      </w:r>
      <w:r>
        <w:rPr>
          <w:rFonts w:ascii="David" w:hAnsi="David" w:cs="David"/>
          <w:b/>
          <w:bCs/>
          <w:sz w:val="24"/>
          <w:szCs w:val="24"/>
          <w:rtl/>
        </w:rPr>
        <w:t xml:space="preserve">פלוני נ' מדינת ישראל </w:t>
      </w:r>
      <w:r w:rsidR="00455165" w:rsidRPr="00455165">
        <w:rPr>
          <w:rFonts w:cs="David"/>
          <w:szCs w:val="24"/>
          <w:rtl/>
        </w:rPr>
        <w:t xml:space="preserve">[פורסם בנבו] </w:t>
      </w:r>
      <w:r>
        <w:rPr>
          <w:rFonts w:ascii="David" w:hAnsi="David" w:cs="David"/>
          <w:sz w:val="24"/>
          <w:szCs w:val="24"/>
          <w:rtl/>
        </w:rPr>
        <w:t>(16.06.2020):</w:t>
      </w:r>
    </w:p>
    <w:p w14:paraId="25A7F614" w14:textId="77777777" w:rsidR="000C5076" w:rsidRDefault="000C5076" w:rsidP="00534CFF">
      <w:pPr>
        <w:pStyle w:val="Ruller43"/>
        <w:rPr>
          <w:rFonts w:ascii="Century" w:hAnsi="Century"/>
          <w:rtl/>
        </w:rPr>
      </w:pPr>
    </w:p>
    <w:p w14:paraId="3798158A" w14:textId="77777777" w:rsidR="000C5076" w:rsidRDefault="000C5076" w:rsidP="00534CFF">
      <w:pPr>
        <w:pStyle w:val="Ruller43"/>
        <w:ind w:left="1440"/>
        <w:rPr>
          <w:rFonts w:ascii="David" w:hAnsi="David" w:cs="David"/>
          <w:spacing w:val="0"/>
          <w:sz w:val="24"/>
          <w:szCs w:val="24"/>
          <w:rtl/>
        </w:rPr>
      </w:pPr>
      <w:r>
        <w:rPr>
          <w:rFonts w:ascii="David" w:hAnsi="David" w:cs="David"/>
          <w:b/>
          <w:bCs/>
          <w:sz w:val="24"/>
          <w:szCs w:val="24"/>
          <w:rtl/>
        </w:rPr>
        <w:t xml:space="preserve">"אשר לסוגיית אי-ההרשעה, אמנם עניינם של קטינים נבחן באופן מקל לעומת עניינם של בגירים, אולם </w:t>
      </w:r>
      <w:r>
        <w:rPr>
          <w:rFonts w:ascii="David" w:hAnsi="David" w:cs="David"/>
          <w:b/>
          <w:bCs/>
          <w:spacing w:val="0"/>
          <w:sz w:val="24"/>
          <w:szCs w:val="24"/>
          <w:rtl/>
        </w:rPr>
        <w:t>"</w:t>
      </w:r>
      <w:r>
        <w:rPr>
          <w:rFonts w:ascii="David" w:hAnsi="David" w:cs="David"/>
          <w:b/>
          <w:bCs/>
          <w:spacing w:val="0"/>
          <w:sz w:val="24"/>
          <w:szCs w:val="24"/>
          <w:u w:val="single"/>
          <w:rtl/>
        </w:rPr>
        <w:t>אין אנו מקבלים את ההנחה כי הכלל הרחב הוא שכאשר מדובר בקטינים נקודת המוצא צריכה להיות טיפול ללא הרשעה</w:t>
      </w:r>
      <w:r>
        <w:rPr>
          <w:rFonts w:ascii="David" w:hAnsi="David" w:cs="David"/>
          <w:b/>
          <w:bCs/>
          <w:spacing w:val="0"/>
          <w:sz w:val="24"/>
          <w:szCs w:val="24"/>
          <w:rtl/>
        </w:rPr>
        <w:t>"</w:t>
      </w:r>
      <w:r>
        <w:rPr>
          <w:rFonts w:ascii="David" w:hAnsi="David" w:cs="David"/>
          <w:b/>
          <w:bCs/>
          <w:sz w:val="24"/>
          <w:szCs w:val="24"/>
          <w:rtl/>
        </w:rPr>
        <w:t xml:space="preserve"> (</w:t>
      </w:r>
      <w:hyperlink r:id="rId33" w:history="1">
        <w:r w:rsidR="009F6543" w:rsidRPr="009F6543">
          <w:rPr>
            <w:rFonts w:ascii="David" w:hAnsi="David" w:cs="David"/>
            <w:b/>
            <w:bCs/>
            <w:color w:val="0000FF"/>
            <w:sz w:val="24"/>
            <w:szCs w:val="24"/>
            <w:u w:val="single"/>
            <w:rtl/>
          </w:rPr>
          <w:t>רע"פ 5228/00</w:t>
        </w:r>
      </w:hyperlink>
      <w:r>
        <w:rPr>
          <w:rFonts w:ascii="David" w:hAnsi="David" w:cs="David"/>
          <w:b/>
          <w:bCs/>
          <w:sz w:val="24"/>
          <w:szCs w:val="24"/>
          <w:rtl/>
        </w:rPr>
        <w:t xml:space="preserve"> </w:t>
      </w:r>
      <w:r>
        <w:rPr>
          <w:rFonts w:ascii="David" w:hAnsi="David" w:cs="David"/>
          <w:b/>
          <w:bCs/>
          <w:spacing w:val="0"/>
          <w:sz w:val="24"/>
          <w:szCs w:val="24"/>
          <w:rtl/>
        </w:rPr>
        <w:t>פלוני נ' מדינת ישראל</w:t>
      </w:r>
      <w:r>
        <w:rPr>
          <w:rFonts w:ascii="David" w:hAnsi="David" w:cs="David"/>
          <w:b/>
          <w:bCs/>
          <w:sz w:val="24"/>
          <w:szCs w:val="24"/>
          <w:rtl/>
        </w:rPr>
        <w:t xml:space="preserve"> </w:t>
      </w:r>
      <w:r>
        <w:rPr>
          <w:rFonts w:ascii="David" w:hAnsi="David" w:cs="David"/>
          <w:b/>
          <w:bCs/>
          <w:spacing w:val="0"/>
          <w:sz w:val="24"/>
          <w:szCs w:val="24"/>
          <w:rtl/>
        </w:rPr>
        <w:t xml:space="preserve">[פורסם בנבו] </w:t>
      </w:r>
      <w:r>
        <w:rPr>
          <w:rFonts w:ascii="David" w:hAnsi="David" w:cs="David"/>
          <w:b/>
          <w:bCs/>
          <w:sz w:val="24"/>
          <w:szCs w:val="24"/>
          <w:rtl/>
        </w:rPr>
        <w:t xml:space="preserve">(18.06.2001)). יש לבחון כל מקרה לגופו; לעמוד על טיב המעשים וחומרתם, על נסיבותיו האישיות של הקטין, על היקף תהליך השיקום שעבר עד גזר הדין, ועל השפעתה הצפויה של ההרשעה על המשכו". </w:t>
      </w:r>
      <w:r>
        <w:rPr>
          <w:rFonts w:ascii="David" w:hAnsi="David" w:cs="David"/>
          <w:spacing w:val="0"/>
          <w:sz w:val="24"/>
          <w:szCs w:val="24"/>
          <w:rtl/>
        </w:rPr>
        <w:t>(ההדגשה אינה במקור).</w:t>
      </w:r>
    </w:p>
    <w:p w14:paraId="607F126B" w14:textId="77777777" w:rsidR="000C5076" w:rsidRDefault="000C5076" w:rsidP="00534CFF">
      <w:pPr>
        <w:spacing w:line="360" w:lineRule="auto"/>
        <w:jc w:val="both"/>
        <w:rPr>
          <w:rFonts w:ascii="David" w:hAnsi="David"/>
          <w:rtl/>
        </w:rPr>
      </w:pPr>
    </w:p>
    <w:p w14:paraId="05F2710F" w14:textId="77777777" w:rsidR="000C5076" w:rsidRDefault="000C5076" w:rsidP="00534CFF">
      <w:pPr>
        <w:spacing w:line="360" w:lineRule="auto"/>
        <w:ind w:left="720"/>
        <w:jc w:val="both"/>
        <w:rPr>
          <w:rFonts w:ascii="David" w:hAnsi="David"/>
          <w:rtl/>
        </w:rPr>
      </w:pPr>
      <w:r>
        <w:rPr>
          <w:rFonts w:ascii="David" w:hAnsi="David"/>
          <w:rtl/>
        </w:rPr>
        <w:t>אדגיש, כי הגם, שלטענת הנאשם הוא חשב שא' אינו נמצא בבית המגורים, הוא הודה בעובדות כתב-האישום המתוקן, ולפיהן "</w:t>
      </w:r>
      <w:r>
        <w:rPr>
          <w:rFonts w:ascii="David" w:hAnsi="David"/>
          <w:b/>
          <w:bCs/>
          <w:rtl/>
        </w:rPr>
        <w:t>במעשיו המתוארים לעיל, שילח הנאשם אש במזיד בדבר לא לו, וזאת במטרה לפגוע בבטחת דרי הסביבה ולפגוע בבני אדם....</w:t>
      </w:r>
      <w:r>
        <w:rPr>
          <w:rFonts w:ascii="David" w:hAnsi="David"/>
          <w:rtl/>
        </w:rPr>
        <w:t>" (פסקה 10 לכתב-האישום המתוקן), ואידך זיל גמור.</w:t>
      </w:r>
    </w:p>
    <w:p w14:paraId="40E80C4A" w14:textId="77777777" w:rsidR="000C5076" w:rsidRDefault="000C5076" w:rsidP="00534CFF">
      <w:pPr>
        <w:spacing w:line="360" w:lineRule="auto"/>
        <w:ind w:left="720"/>
        <w:jc w:val="both"/>
        <w:rPr>
          <w:rFonts w:ascii="David" w:hAnsi="David"/>
          <w:rtl/>
        </w:rPr>
      </w:pPr>
    </w:p>
    <w:p w14:paraId="212C436F" w14:textId="77777777" w:rsidR="000C5076" w:rsidRDefault="000C5076" w:rsidP="00534CFF">
      <w:pPr>
        <w:spacing w:line="360" w:lineRule="auto"/>
        <w:jc w:val="both"/>
        <w:rPr>
          <w:rFonts w:ascii="David" w:hAnsi="David"/>
          <w:rtl/>
        </w:rPr>
      </w:pPr>
      <w:r>
        <w:rPr>
          <w:rFonts w:ascii="David" w:hAnsi="David"/>
          <w:rtl/>
        </w:rPr>
        <w:t xml:space="preserve">9. </w:t>
      </w:r>
      <w:r>
        <w:rPr>
          <w:rFonts w:ascii="David" w:hAnsi="David"/>
          <w:rtl/>
        </w:rPr>
        <w:tab/>
        <w:t>משהרשעתי את הנאשם, אפנה כעת לגזור את עונשו.</w:t>
      </w:r>
    </w:p>
    <w:p w14:paraId="3A23B6EA" w14:textId="77777777" w:rsidR="000C5076" w:rsidRDefault="000C5076" w:rsidP="00534CFF">
      <w:pPr>
        <w:spacing w:line="360" w:lineRule="auto"/>
        <w:jc w:val="both"/>
        <w:rPr>
          <w:rFonts w:ascii="David" w:hAnsi="David"/>
          <w:rtl/>
        </w:rPr>
      </w:pPr>
    </w:p>
    <w:p w14:paraId="072D14B0" w14:textId="77777777" w:rsidR="000C5076" w:rsidRDefault="000C5076" w:rsidP="00534CFF">
      <w:pPr>
        <w:spacing w:line="360" w:lineRule="auto"/>
        <w:ind w:left="720"/>
        <w:jc w:val="both"/>
        <w:rPr>
          <w:rFonts w:ascii="David" w:hAnsi="David"/>
          <w:rtl/>
        </w:rPr>
      </w:pPr>
      <w:r>
        <w:rPr>
          <w:rFonts w:ascii="David" w:hAnsi="David"/>
          <w:rtl/>
        </w:rPr>
        <w:t xml:space="preserve">פסיקה עקבית של בית המשפט העליון הדגישה את ייחודיותו של מערך השיקולים, שיש להפעיל ביחס לענישה של קטינים, עת מן העבר האחד קיים צורך במתן משקל יתר לשיקולים אינדיבידואליים ועריכת איזונים ראויים בין שיקולי שיקום ושיקולי הרתעה, כך שתכלית שיקום הקטין תקבל מענה הולם. </w:t>
      </w:r>
    </w:p>
    <w:p w14:paraId="677F6A11" w14:textId="77777777" w:rsidR="000C5076" w:rsidRDefault="000C5076" w:rsidP="00534CFF">
      <w:pPr>
        <w:spacing w:line="360" w:lineRule="auto"/>
        <w:ind w:left="720"/>
        <w:jc w:val="both"/>
        <w:rPr>
          <w:rFonts w:ascii="David" w:hAnsi="David"/>
          <w:rtl/>
        </w:rPr>
      </w:pPr>
    </w:p>
    <w:p w14:paraId="1E150EFB" w14:textId="77777777" w:rsidR="000C5076" w:rsidRDefault="000C5076" w:rsidP="00534CFF">
      <w:pPr>
        <w:spacing w:line="360" w:lineRule="auto"/>
        <w:ind w:left="720"/>
        <w:jc w:val="both"/>
        <w:rPr>
          <w:rFonts w:ascii="David" w:hAnsi="David"/>
          <w:rtl/>
        </w:rPr>
      </w:pPr>
      <w:r>
        <w:rPr>
          <w:rFonts w:ascii="David" w:hAnsi="David"/>
          <w:rtl/>
        </w:rPr>
        <w:t>מן העבר השני עמד בית המשפט העליון על כך שקטינות אינה מהווה חסינות, ובמקרים בהם קטין אינו משתף פעולה עם גורמים מקצועיים, ושירות המבחן נמנע מליתן המלצה טיפולית בעניינו של הקטין, ניתן להשית על הנאשם ענישה משמעותית והולמת.</w:t>
      </w:r>
    </w:p>
    <w:p w14:paraId="28EC6FE1" w14:textId="77777777" w:rsidR="000C5076" w:rsidRDefault="000C5076" w:rsidP="00534CFF">
      <w:pPr>
        <w:spacing w:line="360" w:lineRule="auto"/>
        <w:ind w:left="720"/>
        <w:jc w:val="both"/>
        <w:rPr>
          <w:rFonts w:ascii="David" w:hAnsi="David"/>
          <w:rtl/>
        </w:rPr>
      </w:pPr>
    </w:p>
    <w:p w14:paraId="118CC32A" w14:textId="77777777" w:rsidR="000C5076" w:rsidRDefault="000C5076" w:rsidP="00534CFF">
      <w:pPr>
        <w:spacing w:line="360" w:lineRule="auto"/>
        <w:ind w:left="720"/>
        <w:jc w:val="both"/>
        <w:rPr>
          <w:rFonts w:ascii="David" w:hAnsi="David"/>
          <w:rtl/>
        </w:rPr>
      </w:pPr>
    </w:p>
    <w:p w14:paraId="6027CD1D" w14:textId="77777777" w:rsidR="000C5076" w:rsidRDefault="000C5076" w:rsidP="00534CFF">
      <w:pPr>
        <w:spacing w:line="360" w:lineRule="auto"/>
        <w:ind w:left="720"/>
        <w:jc w:val="both"/>
        <w:rPr>
          <w:rFonts w:ascii="David" w:hAnsi="David"/>
          <w:rtl/>
        </w:rPr>
      </w:pPr>
      <w:r>
        <w:rPr>
          <w:rFonts w:ascii="David" w:hAnsi="David"/>
          <w:rtl/>
        </w:rPr>
        <w:t>ר' דבריו של כב' השופט (בדימוס) י. דנציגר ב-</w:t>
      </w:r>
      <w:hyperlink r:id="rId34" w:history="1">
        <w:r w:rsidR="009F6543" w:rsidRPr="009F6543">
          <w:rPr>
            <w:rFonts w:ascii="David" w:hAnsi="David"/>
            <w:color w:val="0000FF"/>
            <w:u w:val="single"/>
            <w:rtl/>
          </w:rPr>
          <w:t>ע"פ 49/09 מדינת ישראל נ' פלוני, פ"ד סג</w:t>
        </w:r>
      </w:hyperlink>
      <w:r>
        <w:rPr>
          <w:rFonts w:ascii="David" w:hAnsi="David"/>
          <w:rtl/>
        </w:rPr>
        <w:t>(1) 752, פסקאות 6-7:</w:t>
      </w:r>
    </w:p>
    <w:p w14:paraId="71F4CDD7" w14:textId="77777777" w:rsidR="000C5076" w:rsidRDefault="000C5076" w:rsidP="00534CFF">
      <w:pPr>
        <w:spacing w:line="360" w:lineRule="auto"/>
        <w:ind w:left="720"/>
        <w:jc w:val="both"/>
        <w:rPr>
          <w:rFonts w:ascii="David" w:hAnsi="David"/>
          <w:rtl/>
        </w:rPr>
      </w:pPr>
    </w:p>
    <w:p w14:paraId="5789980E" w14:textId="77777777" w:rsidR="000C5076" w:rsidRDefault="000C5076" w:rsidP="00455165">
      <w:pPr>
        <w:pStyle w:val="ruller40"/>
        <w:ind w:left="1440"/>
        <w:rPr>
          <w:rFonts w:ascii="David" w:hAnsi="David" w:cs="David"/>
          <w:b/>
          <w:bCs/>
          <w:sz w:val="24"/>
          <w:szCs w:val="24"/>
          <w:rtl/>
        </w:rPr>
      </w:pPr>
      <w:r>
        <w:rPr>
          <w:rFonts w:ascii="David" w:hAnsi="David" w:cs="David"/>
          <w:b/>
          <w:bCs/>
          <w:sz w:val="24"/>
          <w:szCs w:val="24"/>
          <w:rtl/>
        </w:rPr>
        <w:t xml:space="preserve">"עם זאת, מערכת השיקולים שיש להפעיל בעת גזירת עונשו של קטין היא שונה וייחודית מזו שיש להפעיל ביחס לעבריין בגיר, כאשר ההתייחסות השונה נגזרת מהוראותיו של </w:t>
      </w:r>
      <w:hyperlink r:id="rId35" w:history="1">
        <w:r w:rsidR="009F6543" w:rsidRPr="009F6543">
          <w:rPr>
            <w:rFonts w:ascii="David" w:hAnsi="David" w:cs="David"/>
            <w:b/>
            <w:bCs/>
            <w:color w:val="0000FF"/>
            <w:sz w:val="24"/>
            <w:szCs w:val="24"/>
            <w:u w:val="single"/>
            <w:rtl/>
          </w:rPr>
          <w:t>חוק הנוער (שפיטה, ענישה ודרכי טיפול)</w:t>
        </w:r>
      </w:hyperlink>
      <w:r>
        <w:rPr>
          <w:rFonts w:ascii="David" w:hAnsi="David" w:cs="David"/>
          <w:b/>
          <w:bCs/>
          <w:sz w:val="24"/>
          <w:szCs w:val="24"/>
          <w:rtl/>
        </w:rPr>
        <w:t xml:space="preserve">, התשל"א-1971 (להלן - </w:t>
      </w:r>
      <w:r>
        <w:rPr>
          <w:rFonts w:ascii="David" w:hAnsi="David" w:cs="David"/>
          <w:b/>
          <w:bCs/>
          <w:spacing w:val="0"/>
          <w:sz w:val="24"/>
          <w:szCs w:val="24"/>
          <w:rtl/>
        </w:rPr>
        <w:t>חוק הנוער</w:t>
      </w:r>
      <w:r>
        <w:rPr>
          <w:rFonts w:ascii="David" w:hAnsi="David" w:cs="David"/>
          <w:b/>
          <w:bCs/>
          <w:sz w:val="24"/>
          <w:szCs w:val="24"/>
          <w:rtl/>
        </w:rPr>
        <w:t>) [ראו למשל:</w:t>
      </w:r>
      <w:r w:rsidR="00455165">
        <w:rPr>
          <w:rFonts w:ascii="David" w:hAnsi="David" w:cs="David" w:hint="cs"/>
          <w:b/>
          <w:bCs/>
          <w:sz w:val="24"/>
          <w:szCs w:val="24"/>
          <w:rtl/>
        </w:rPr>
        <w:t xml:space="preserve"> </w:t>
      </w:r>
      <w:hyperlink r:id="rId36" w:history="1">
        <w:r w:rsidR="00455165" w:rsidRPr="00455165">
          <w:rPr>
            <w:rStyle w:val="Hyperlink"/>
            <w:rFonts w:ascii="David" w:hAnsi="David" w:cs="David" w:hint="eastAsia"/>
            <w:b/>
            <w:bCs/>
            <w:spacing w:val="0"/>
            <w:sz w:val="24"/>
            <w:szCs w:val="24"/>
            <w:rtl/>
          </w:rPr>
          <w:t>ע</w:t>
        </w:r>
        <w:r w:rsidR="00455165" w:rsidRPr="00455165">
          <w:rPr>
            <w:rStyle w:val="Hyperlink"/>
            <w:rFonts w:ascii="David" w:hAnsi="David" w:cs="David"/>
            <w:b/>
            <w:bCs/>
            <w:spacing w:val="0"/>
            <w:sz w:val="24"/>
            <w:szCs w:val="24"/>
            <w:rtl/>
          </w:rPr>
          <w:t>"פ 7113/08</w:t>
        </w:r>
      </w:hyperlink>
      <w:r w:rsidR="00455165">
        <w:rPr>
          <w:rFonts w:hint="cs"/>
          <w:color w:val="000000"/>
          <w:rtl/>
        </w:rPr>
        <w:t xml:space="preserve"> </w:t>
      </w:r>
      <w:r>
        <w:rPr>
          <w:rFonts w:ascii="David" w:hAnsi="David" w:cs="David"/>
          <w:b/>
          <w:bCs/>
          <w:spacing w:val="0"/>
          <w:sz w:val="24"/>
          <w:szCs w:val="24"/>
          <w:rtl/>
        </w:rPr>
        <w:t>פלוני נ' מדינת ישראל</w:t>
      </w:r>
      <w:r>
        <w:rPr>
          <w:rFonts w:ascii="David" w:hAnsi="David" w:cs="David"/>
          <w:b/>
          <w:bCs/>
          <w:sz w:val="24"/>
          <w:szCs w:val="24"/>
          <w:rtl/>
        </w:rPr>
        <w:t xml:space="preserve"> (לא פורסם, </w:t>
      </w:r>
      <w:r>
        <w:rPr>
          <w:rFonts w:ascii="David" w:hAnsi="David" w:cs="David"/>
          <w:b/>
          <w:bCs/>
          <w:spacing w:val="0"/>
          <w:sz w:val="24"/>
          <w:szCs w:val="24"/>
          <w:rtl/>
        </w:rPr>
        <w:t>[פורסם בנבו]</w:t>
      </w:r>
      <w:r>
        <w:rPr>
          <w:rFonts w:ascii="David" w:hAnsi="David" w:cs="David"/>
          <w:b/>
          <w:bCs/>
          <w:sz w:val="24"/>
          <w:szCs w:val="24"/>
          <w:rtl/>
        </w:rPr>
        <w:t>, 15.12.2008)]. כך, בעת גזירת עונשו של קטין, אף אם הורשע בעבירות</w:t>
      </w:r>
      <w:r>
        <w:rPr>
          <w:rFonts w:ascii="David" w:hAnsi="David" w:cs="David"/>
          <w:b/>
          <w:bCs/>
          <w:spacing w:val="0"/>
          <w:sz w:val="24"/>
          <w:szCs w:val="24"/>
          <w:rtl/>
        </w:rPr>
        <w:t xml:space="preserve"> </w:t>
      </w:r>
      <w:r>
        <w:rPr>
          <w:rFonts w:ascii="David" w:hAnsi="David" w:cs="David"/>
          <w:b/>
          <w:bCs/>
          <w:sz w:val="24"/>
          <w:szCs w:val="24"/>
          <w:rtl/>
        </w:rPr>
        <w:t>קשות וחמורות במיוחד, שומה על בית המשפט ליתן משקל יתר לשיקולים אינדיבידואליים הנוגעים לאותו הקטין ולאזן בין שיקולי השיקום לשיקולי ההרתעה [</w:t>
      </w:r>
      <w:hyperlink w:history="1">
        <w:r w:rsidR="00991364" w:rsidRPr="009F6543">
          <w:rPr>
            <w:b/>
            <w:bCs/>
            <w:color w:val="000000"/>
          </w:rPr>
          <w:t>Error! Hyperlink reference not valid.</w:t>
        </w:r>
      </w:hyperlink>
      <w:r>
        <w:rPr>
          <w:rFonts w:ascii="David" w:hAnsi="David" w:cs="David"/>
          <w:b/>
          <w:bCs/>
          <w:sz w:val="24"/>
          <w:szCs w:val="24"/>
          <w:rtl/>
        </w:rPr>
        <w:t xml:space="preserve"> </w:t>
      </w:r>
      <w:r>
        <w:rPr>
          <w:rFonts w:ascii="David" w:hAnsi="David" w:cs="David"/>
          <w:b/>
          <w:bCs/>
          <w:spacing w:val="0"/>
          <w:sz w:val="24"/>
          <w:szCs w:val="24"/>
          <w:rtl/>
        </w:rPr>
        <w:t>הנ"ל</w:t>
      </w:r>
      <w:r>
        <w:rPr>
          <w:rFonts w:ascii="David" w:hAnsi="David" w:cs="David"/>
          <w:b/>
          <w:bCs/>
          <w:sz w:val="24"/>
          <w:szCs w:val="24"/>
          <w:rtl/>
        </w:rPr>
        <w:t>].</w:t>
      </w:r>
    </w:p>
    <w:p w14:paraId="549B411A" w14:textId="77777777" w:rsidR="000C5076" w:rsidRDefault="000C5076" w:rsidP="00534CFF">
      <w:pPr>
        <w:spacing w:line="360" w:lineRule="auto"/>
        <w:jc w:val="both"/>
        <w:rPr>
          <w:rFonts w:ascii="David" w:hAnsi="David"/>
          <w:b/>
          <w:bCs/>
          <w:spacing w:val="10"/>
          <w:rtl/>
        </w:rPr>
      </w:pPr>
    </w:p>
    <w:p w14:paraId="631D717D" w14:textId="77777777" w:rsidR="000C5076" w:rsidRDefault="000C5076" w:rsidP="00534CFF">
      <w:pPr>
        <w:pStyle w:val="Ruller42"/>
        <w:ind w:left="1440"/>
        <w:rPr>
          <w:rFonts w:ascii="David" w:hAnsi="David" w:cs="David"/>
          <w:b/>
          <w:bCs/>
          <w:sz w:val="24"/>
          <w:szCs w:val="24"/>
          <w:rtl/>
        </w:rPr>
      </w:pPr>
      <w:r>
        <w:rPr>
          <w:rFonts w:ascii="David" w:hAnsi="David" w:cs="David"/>
          <w:b/>
          <w:bCs/>
          <w:sz w:val="24"/>
          <w:szCs w:val="24"/>
          <w:rtl/>
        </w:rPr>
        <w:t xml:space="preserve">שעה שבית המשפט עוסק במלאכת האיזון האמורה בין שיקולי השיקום וההרתעה, נדרש הוא ליתן משקל רב במיוחד לנסיבותיו האישיות של העבריין הקטין, לגילו ולסיכויי שיקומו. חוק הנוער מעניק לבית המשפט מגוון אפשרויות חילופיות לעונש המאסר, אשר יש בהן </w:t>
      </w:r>
      <w:r>
        <w:rPr>
          <w:rFonts w:ascii="David" w:hAnsi="David" w:cs="David"/>
          <w:b/>
          <w:bCs/>
          <w:sz w:val="24"/>
          <w:szCs w:val="24"/>
          <w:rtl/>
          <w:lang w:val="x-none" w:eastAsia="en-US"/>
        </w:rPr>
        <w:t>מרכיב טיפולי ושיקומי דומיננטי</w:t>
      </w:r>
      <w:r>
        <w:rPr>
          <w:rFonts w:ascii="David" w:hAnsi="David" w:cs="David"/>
          <w:b/>
          <w:bCs/>
          <w:sz w:val="24"/>
          <w:szCs w:val="24"/>
          <w:rtl/>
        </w:rPr>
        <w:t>. בכך הביע המחוקק את עמדתו לפיה ענישת קטינים תכוון, ככל הניתן, לשיקומו של הקטין במטרה להחזירו לתפקוד נורמטיבי בחברה [</w:t>
      </w:r>
      <w:hyperlink w:history="1">
        <w:r w:rsidR="00991364" w:rsidRPr="009F6543">
          <w:rPr>
            <w:b/>
            <w:bCs/>
            <w:color w:val="000000"/>
          </w:rPr>
          <w:t>Error! Hyperlink reference not valid.</w:t>
        </w:r>
      </w:hyperlink>
      <w:r>
        <w:rPr>
          <w:rFonts w:ascii="David" w:hAnsi="David" w:cs="David"/>
          <w:b/>
          <w:bCs/>
          <w:sz w:val="24"/>
          <w:szCs w:val="24"/>
          <w:rtl/>
        </w:rPr>
        <w:t>(1) 594, 602 (2001)]. ביסוד תפיסה זו ניצב הרצון "לאפשר לקטין שסרח לפתוח דף חדש ולנהל חיים נורמטיביים כאזרח מתפקד ושומר חוק, תחת שיעמיק את הידרדרותו אל לב המדמנה העבריינית" [</w:t>
      </w:r>
      <w:hyperlink w:history="1">
        <w:r w:rsidR="00991364" w:rsidRPr="009F6543">
          <w:rPr>
            <w:b/>
            <w:bCs/>
            <w:color w:val="000000"/>
          </w:rPr>
          <w:t>Error! Hyperlink reference not valid.</w:t>
        </w:r>
      </w:hyperlink>
      <w:r>
        <w:rPr>
          <w:rFonts w:ascii="David" w:hAnsi="David" w:cs="David"/>
          <w:b/>
          <w:bCs/>
          <w:sz w:val="24"/>
          <w:szCs w:val="24"/>
          <w:rtl/>
        </w:rPr>
        <w:t xml:space="preserve"> </w:t>
      </w:r>
      <w:r>
        <w:rPr>
          <w:rFonts w:ascii="David" w:hAnsi="David" w:cs="David"/>
          <w:b/>
          <w:bCs/>
          <w:spacing w:val="0"/>
          <w:sz w:val="24"/>
          <w:szCs w:val="24"/>
          <w:rtl/>
        </w:rPr>
        <w:t>הנ"ל</w:t>
      </w:r>
      <w:r>
        <w:rPr>
          <w:rFonts w:ascii="David" w:hAnsi="David" w:cs="David"/>
          <w:b/>
          <w:bCs/>
          <w:sz w:val="24"/>
          <w:szCs w:val="24"/>
          <w:rtl/>
        </w:rPr>
        <w:t xml:space="preserve">, פסקה 4 לפסק דינה של </w:t>
      </w:r>
      <w:r>
        <w:rPr>
          <w:rFonts w:ascii="David" w:hAnsi="David" w:cs="David"/>
          <w:b/>
          <w:bCs/>
          <w:spacing w:val="0"/>
          <w:sz w:val="24"/>
          <w:szCs w:val="24"/>
          <w:rtl/>
        </w:rPr>
        <w:t>כבוד השופטת ע' ארבל</w:t>
      </w:r>
      <w:r>
        <w:rPr>
          <w:rFonts w:ascii="David" w:hAnsi="David" w:cs="David"/>
          <w:b/>
          <w:bCs/>
          <w:sz w:val="24"/>
          <w:szCs w:val="24"/>
          <w:rtl/>
        </w:rPr>
        <w:t xml:space="preserve">]. </w:t>
      </w:r>
      <w:r w:rsidR="009F6543">
        <w:rPr>
          <w:rFonts w:ascii="David" w:hAnsi="David" w:cs="David"/>
          <w:b/>
          <w:bCs/>
          <w:sz w:val="24"/>
          <w:szCs w:val="24"/>
        </w:rPr>
        <w:t xml:space="preserve"> </w:t>
      </w:r>
      <w:r w:rsidR="009F6543">
        <w:rPr>
          <w:rFonts w:ascii="David" w:hAnsi="David" w:cs="David"/>
          <w:b/>
          <w:bCs/>
          <w:sz w:val="24"/>
          <w:szCs w:val="24"/>
          <w:rtl/>
        </w:rPr>
        <w:t xml:space="preserve"> </w:t>
      </w:r>
    </w:p>
    <w:p w14:paraId="7B97A997" w14:textId="77777777" w:rsidR="000C5076" w:rsidRDefault="000C5076" w:rsidP="00534CFF">
      <w:pPr>
        <w:pStyle w:val="Ruller42"/>
        <w:rPr>
          <w:rFonts w:ascii="David" w:hAnsi="David" w:cs="David"/>
          <w:b/>
          <w:bCs/>
          <w:sz w:val="24"/>
          <w:szCs w:val="24"/>
          <w:rtl/>
        </w:rPr>
      </w:pPr>
    </w:p>
    <w:p w14:paraId="0451F640" w14:textId="77777777" w:rsidR="000C5076" w:rsidRDefault="000C5076" w:rsidP="00534CFF">
      <w:pPr>
        <w:pStyle w:val="Ruller42"/>
        <w:rPr>
          <w:rFonts w:ascii="David" w:hAnsi="David" w:cs="David"/>
          <w:sz w:val="24"/>
          <w:szCs w:val="24"/>
          <w:rtl/>
        </w:rPr>
      </w:pPr>
      <w:r>
        <w:rPr>
          <w:rFonts w:ascii="David" w:hAnsi="David" w:cs="David"/>
          <w:b/>
          <w:bCs/>
          <w:sz w:val="24"/>
          <w:szCs w:val="24"/>
          <w:rtl/>
        </w:rPr>
        <w:tab/>
      </w:r>
      <w:r>
        <w:rPr>
          <w:rFonts w:ascii="David" w:hAnsi="David" w:cs="David"/>
          <w:sz w:val="24"/>
          <w:szCs w:val="24"/>
          <w:rtl/>
        </w:rPr>
        <w:t>ובהמשך, פסקה 12:</w:t>
      </w:r>
    </w:p>
    <w:p w14:paraId="5760BA68" w14:textId="77777777" w:rsidR="000C5076" w:rsidRDefault="000C5076" w:rsidP="00534CFF">
      <w:pPr>
        <w:pStyle w:val="Ruller42"/>
        <w:rPr>
          <w:rFonts w:ascii="David" w:hAnsi="David" w:cs="David"/>
          <w:b/>
          <w:bCs/>
          <w:sz w:val="24"/>
          <w:szCs w:val="24"/>
          <w:rtl/>
        </w:rPr>
      </w:pPr>
    </w:p>
    <w:p w14:paraId="34DC1AB9" w14:textId="77777777" w:rsidR="000C5076" w:rsidRDefault="000C5076" w:rsidP="00534CFF">
      <w:pPr>
        <w:pStyle w:val="Ruller42"/>
        <w:ind w:left="1440"/>
        <w:rPr>
          <w:rFonts w:ascii="David" w:hAnsi="David" w:cs="David"/>
          <w:b/>
          <w:bCs/>
          <w:sz w:val="24"/>
          <w:szCs w:val="24"/>
          <w:rtl/>
        </w:rPr>
      </w:pPr>
      <w:r>
        <w:rPr>
          <w:rFonts w:ascii="David" w:hAnsi="David" w:cs="David"/>
          <w:b/>
          <w:bCs/>
          <w:sz w:val="24"/>
          <w:szCs w:val="24"/>
          <w:rtl/>
        </w:rPr>
        <w:t>"לא נעלמה מעיני אמת המידה המנחה לפיה קטינות אינה מעניקה חסינות מפני ענישה ראויה כשהמדובר במי שביצע פשע חמור. הצורך להגן על הציבור מפני עבריינים אלימים חל גם במקום שמבצע הפשע הוא קטין....."</w:t>
      </w:r>
    </w:p>
    <w:p w14:paraId="7AF9F71B" w14:textId="77777777" w:rsidR="000C5076" w:rsidRDefault="000C5076" w:rsidP="00534CFF">
      <w:pPr>
        <w:pStyle w:val="Ruller42"/>
        <w:ind w:left="1440"/>
        <w:rPr>
          <w:rFonts w:ascii="David" w:hAnsi="David" w:cs="David"/>
          <w:b/>
          <w:bCs/>
          <w:sz w:val="24"/>
          <w:szCs w:val="24"/>
          <w:rtl/>
        </w:rPr>
      </w:pPr>
    </w:p>
    <w:p w14:paraId="6289C716" w14:textId="77777777" w:rsidR="000C5076" w:rsidRDefault="000C5076" w:rsidP="00534CFF">
      <w:pPr>
        <w:spacing w:line="360" w:lineRule="auto"/>
        <w:ind w:left="720"/>
        <w:jc w:val="both"/>
        <w:rPr>
          <w:rFonts w:ascii="David" w:hAnsi="David"/>
          <w:rtl/>
        </w:rPr>
      </w:pPr>
      <w:r>
        <w:rPr>
          <w:rFonts w:ascii="David" w:hAnsi="David"/>
          <w:rtl/>
        </w:rPr>
        <w:t>כן אפנה לדבריו של כב' השופט י. אלרון בעניין פלוני 2 פיסקה 22:</w:t>
      </w:r>
    </w:p>
    <w:p w14:paraId="5AA76FA2" w14:textId="77777777" w:rsidR="000C5076" w:rsidRDefault="000C5076" w:rsidP="00534CFF">
      <w:pPr>
        <w:spacing w:line="360" w:lineRule="auto"/>
        <w:ind w:left="720"/>
        <w:jc w:val="both"/>
        <w:rPr>
          <w:rFonts w:ascii="David" w:hAnsi="David"/>
          <w:rtl/>
        </w:rPr>
      </w:pPr>
    </w:p>
    <w:p w14:paraId="64726F1E" w14:textId="77777777" w:rsidR="000C5076" w:rsidRDefault="000C5076" w:rsidP="00455165">
      <w:pPr>
        <w:pStyle w:val="Ruller43"/>
        <w:ind w:left="1440"/>
        <w:rPr>
          <w:rFonts w:ascii="David" w:hAnsi="David" w:cs="David"/>
          <w:b/>
          <w:bCs/>
          <w:sz w:val="24"/>
          <w:szCs w:val="24"/>
          <w:rtl/>
        </w:rPr>
      </w:pPr>
      <w:r>
        <w:rPr>
          <w:rFonts w:ascii="David" w:hAnsi="David" w:cs="David"/>
          <w:b/>
          <w:bCs/>
          <w:sz w:val="24"/>
          <w:szCs w:val="24"/>
          <w:rtl/>
        </w:rPr>
        <w:t xml:space="preserve">"אף לגישתנו, יש בהימנעותו של המערער מלשתף פעולה עם גורמי הטיפול המעורבים בעניינו לאורך שנים, כמו גם בהיעדרה של לקיחת אחריות מלאה ובהתקדמות הדלה במישור השיקומי לאורך מעצרו הממושך של המערער, כדי להצדיק ענישה משמעותית גם מצד שיקול השיקום. בנסיבות ענייננו, ייתכן בהחלט שענישת המערער תסייע במניעת פעילות עבריינית מצדו בעתיד ובהשבתו לתלם, בבחינת "ענישתו היא שיקומו" (וראו </w:t>
      </w:r>
      <w:hyperlink r:id="rId37" w:history="1">
        <w:r w:rsidR="00455165" w:rsidRPr="00455165">
          <w:rPr>
            <w:rStyle w:val="Hyperlink"/>
            <w:rFonts w:ascii="David" w:hAnsi="David" w:cs="David" w:hint="eastAsia"/>
            <w:b/>
            <w:bCs/>
            <w:sz w:val="24"/>
            <w:szCs w:val="24"/>
            <w:rtl/>
          </w:rPr>
          <w:t>ע</w:t>
        </w:r>
        <w:r w:rsidR="00455165" w:rsidRPr="00455165">
          <w:rPr>
            <w:rStyle w:val="Hyperlink"/>
            <w:rFonts w:ascii="David" w:hAnsi="David" w:cs="David"/>
            <w:b/>
            <w:bCs/>
            <w:sz w:val="24"/>
            <w:szCs w:val="24"/>
            <w:rtl/>
          </w:rPr>
          <w:t xml:space="preserve">"פ 827/14 </w:t>
        </w:r>
      </w:hyperlink>
      <w:r w:rsidR="00455165">
        <w:rPr>
          <w:rFonts w:ascii="David" w:hAnsi="David" w:cs="David" w:hint="cs"/>
          <w:b/>
          <w:bCs/>
          <w:sz w:val="24"/>
          <w:szCs w:val="24"/>
          <w:rtl/>
        </w:rPr>
        <w:t xml:space="preserve"> </w:t>
      </w:r>
      <w:r>
        <w:rPr>
          <w:rFonts w:ascii="David" w:hAnsi="David" w:cs="David"/>
          <w:b/>
          <w:bCs/>
          <w:spacing w:val="0"/>
          <w:sz w:val="24"/>
          <w:szCs w:val="24"/>
          <w:rtl/>
        </w:rPr>
        <w:t>פלוני נ' מדינת ישראל</w:t>
      </w:r>
      <w:r>
        <w:rPr>
          <w:rFonts w:ascii="David" w:hAnsi="David" w:cs="David"/>
          <w:b/>
          <w:bCs/>
          <w:sz w:val="24"/>
          <w:szCs w:val="24"/>
          <w:rtl/>
        </w:rPr>
        <w:t xml:space="preserve">, </w:t>
      </w:r>
      <w:r>
        <w:rPr>
          <w:rFonts w:ascii="David" w:hAnsi="David" w:cs="David"/>
          <w:b/>
          <w:bCs/>
          <w:spacing w:val="0"/>
          <w:sz w:val="24"/>
          <w:szCs w:val="24"/>
          <w:rtl/>
        </w:rPr>
        <w:t xml:space="preserve">[פורסם בנבו] </w:t>
      </w:r>
      <w:r>
        <w:rPr>
          <w:rFonts w:ascii="David" w:hAnsi="David" w:cs="David"/>
          <w:b/>
          <w:bCs/>
          <w:sz w:val="24"/>
          <w:szCs w:val="24"/>
          <w:rtl/>
        </w:rPr>
        <w:t>פסקה 7 (21.9.2014))".</w:t>
      </w:r>
    </w:p>
    <w:p w14:paraId="151DC6DD" w14:textId="77777777" w:rsidR="000C5076" w:rsidRDefault="000C5076" w:rsidP="00534CFF">
      <w:pPr>
        <w:pStyle w:val="Ruller43"/>
        <w:ind w:left="1440"/>
        <w:rPr>
          <w:rFonts w:ascii="David" w:hAnsi="David" w:cs="David"/>
          <w:b/>
          <w:bCs/>
          <w:sz w:val="24"/>
          <w:szCs w:val="24"/>
          <w:rtl/>
        </w:rPr>
      </w:pPr>
    </w:p>
    <w:p w14:paraId="3262D484" w14:textId="77777777" w:rsidR="000C5076" w:rsidRDefault="000C5076" w:rsidP="00534CFF">
      <w:pPr>
        <w:pStyle w:val="Ruller43"/>
        <w:ind w:left="720" w:hanging="720"/>
        <w:rPr>
          <w:rFonts w:ascii="David" w:hAnsi="David" w:cs="David"/>
          <w:sz w:val="24"/>
          <w:szCs w:val="24"/>
          <w:rtl/>
        </w:rPr>
      </w:pPr>
      <w:r>
        <w:rPr>
          <w:rFonts w:ascii="David" w:hAnsi="David" w:cs="David"/>
          <w:sz w:val="24"/>
          <w:szCs w:val="24"/>
          <w:rtl/>
        </w:rPr>
        <w:t>9.</w:t>
      </w:r>
      <w:r>
        <w:rPr>
          <w:rFonts w:ascii="David" w:hAnsi="David" w:cs="David"/>
          <w:sz w:val="24"/>
          <w:szCs w:val="24"/>
          <w:rtl/>
        </w:rPr>
        <w:tab/>
        <w:t>בנוסף יש להדגיש, כי הגם שבענייננו לא חל תיקון מס' 113 ל</w:t>
      </w:r>
      <w:hyperlink r:id="rId38" w:history="1">
        <w:r w:rsidR="009F6543" w:rsidRPr="009F6543">
          <w:rPr>
            <w:rFonts w:ascii="David" w:hAnsi="David" w:cs="David"/>
            <w:color w:val="0000FF"/>
            <w:sz w:val="24"/>
            <w:szCs w:val="24"/>
            <w:u w:val="single"/>
            <w:rtl/>
          </w:rPr>
          <w:t>חוק העונשין</w:t>
        </w:r>
      </w:hyperlink>
      <w:r>
        <w:rPr>
          <w:rFonts w:ascii="David" w:hAnsi="David" w:cs="David"/>
          <w:sz w:val="24"/>
          <w:szCs w:val="24"/>
          <w:rtl/>
        </w:rPr>
        <w:t>, אין מניעה להתחשב בעקרונות ובשיקולים המנחים בענישה - נהפוך הוא.</w:t>
      </w:r>
    </w:p>
    <w:p w14:paraId="147FA9B1" w14:textId="77777777" w:rsidR="000C5076" w:rsidRDefault="000C5076" w:rsidP="00534CFF">
      <w:pPr>
        <w:pStyle w:val="Ruller43"/>
        <w:rPr>
          <w:rFonts w:ascii="David" w:hAnsi="David" w:cs="David"/>
          <w:sz w:val="24"/>
          <w:szCs w:val="24"/>
          <w:rtl/>
        </w:rPr>
      </w:pPr>
    </w:p>
    <w:p w14:paraId="009DA7B2" w14:textId="77777777" w:rsidR="000C5076" w:rsidRDefault="000C5076" w:rsidP="00534CFF">
      <w:pPr>
        <w:pStyle w:val="Ruller43"/>
        <w:ind w:left="720"/>
        <w:rPr>
          <w:rFonts w:ascii="David" w:hAnsi="David" w:cs="David"/>
          <w:sz w:val="24"/>
          <w:szCs w:val="24"/>
          <w:rtl/>
        </w:rPr>
      </w:pPr>
      <w:r>
        <w:rPr>
          <w:rFonts w:ascii="David" w:hAnsi="David" w:cs="David"/>
          <w:sz w:val="24"/>
          <w:szCs w:val="24"/>
          <w:rtl/>
        </w:rPr>
        <w:tab/>
        <w:t>לעניין זה אפנה לדבריו של כב' השופט י. אלרון ב-</w:t>
      </w:r>
      <w:hyperlink r:id="rId39" w:history="1">
        <w:r w:rsidR="009F6543" w:rsidRPr="009F6543">
          <w:rPr>
            <w:rFonts w:ascii="David" w:hAnsi="David" w:cs="David"/>
            <w:color w:val="0000FF"/>
            <w:sz w:val="24"/>
            <w:szCs w:val="24"/>
            <w:u w:val="single"/>
            <w:rtl/>
          </w:rPr>
          <w:t>ע"פ 4074/18</w:t>
        </w:r>
      </w:hyperlink>
      <w:r>
        <w:rPr>
          <w:rFonts w:ascii="David" w:hAnsi="David" w:cs="David"/>
          <w:sz w:val="24"/>
          <w:szCs w:val="24"/>
          <w:rtl/>
        </w:rPr>
        <w:t xml:space="preserve"> </w:t>
      </w:r>
      <w:r>
        <w:rPr>
          <w:rFonts w:ascii="David" w:hAnsi="David" w:cs="David"/>
          <w:b/>
          <w:bCs/>
          <w:sz w:val="24"/>
          <w:szCs w:val="24"/>
          <w:rtl/>
        </w:rPr>
        <w:t xml:space="preserve">פלוני נ' מדינת ישראל </w:t>
      </w:r>
      <w:r w:rsidR="00455165" w:rsidRPr="00455165">
        <w:rPr>
          <w:rFonts w:ascii="Times New Roman" w:hAnsi="Times New Roman" w:cs="David"/>
          <w:spacing w:val="0"/>
          <w:szCs w:val="24"/>
          <w:rtl/>
        </w:rPr>
        <w:t xml:space="preserve">[פורסם בנבו] </w:t>
      </w:r>
      <w:r>
        <w:rPr>
          <w:rFonts w:ascii="David" w:hAnsi="David" w:cs="David"/>
          <w:sz w:val="24"/>
          <w:szCs w:val="24"/>
          <w:rtl/>
        </w:rPr>
        <w:t>(22.07.2019), פיסקה 13:</w:t>
      </w:r>
    </w:p>
    <w:p w14:paraId="3B371A93" w14:textId="77777777" w:rsidR="000C5076" w:rsidRDefault="000C5076" w:rsidP="00534CFF">
      <w:pPr>
        <w:pStyle w:val="Ruller43"/>
        <w:ind w:left="720"/>
        <w:rPr>
          <w:rFonts w:ascii="David" w:hAnsi="David" w:cs="David"/>
          <w:sz w:val="24"/>
          <w:szCs w:val="24"/>
          <w:rtl/>
        </w:rPr>
      </w:pPr>
    </w:p>
    <w:p w14:paraId="4C035B1C" w14:textId="77777777" w:rsidR="000C5076" w:rsidRDefault="000C5076" w:rsidP="00534CFF">
      <w:pPr>
        <w:pStyle w:val="Ruller4"/>
        <w:numPr>
          <w:ilvl w:val="0"/>
          <w:numId w:val="0"/>
        </w:numPr>
        <w:ind w:left="1440"/>
        <w:rPr>
          <w:rFonts w:ascii="David" w:hAnsi="David" w:cs="David"/>
          <w:b/>
          <w:bCs/>
          <w:szCs w:val="24"/>
          <w:rtl/>
        </w:rPr>
      </w:pPr>
      <w:r>
        <w:rPr>
          <w:rFonts w:ascii="David" w:hAnsi="David" w:cs="David"/>
          <w:b/>
          <w:bCs/>
          <w:szCs w:val="24"/>
          <w:rtl/>
        </w:rPr>
        <w:t xml:space="preserve">"אמנם, בהתאם לקבוע </w:t>
      </w:r>
      <w:hyperlink w:history="1">
        <w:r w:rsidR="00991364" w:rsidRPr="009F6543">
          <w:rPr>
            <w:b/>
            <w:bCs/>
            <w:color w:val="000000"/>
          </w:rPr>
          <w:t>Error! Hyperlink reference not valid.</w:t>
        </w:r>
      </w:hyperlink>
      <w:r>
        <w:rPr>
          <w:rFonts w:ascii="David" w:hAnsi="David" w:cs="David"/>
          <w:b/>
          <w:bCs/>
          <w:szCs w:val="24"/>
          <w:rtl/>
        </w:rPr>
        <w:t xml:space="preserve"> ל</w:t>
      </w:r>
      <w:hyperlink w:history="1">
        <w:r w:rsidR="00991364" w:rsidRPr="009F6543">
          <w:rPr>
            <w:b/>
            <w:bCs/>
            <w:color w:val="000000"/>
          </w:rPr>
          <w:t>Error! Hyperlink reference not valid.</w:t>
        </w:r>
      </w:hyperlink>
      <w:r>
        <w:rPr>
          <w:rFonts w:ascii="David" w:hAnsi="David" w:cs="David"/>
          <w:b/>
          <w:bCs/>
          <w:szCs w:val="24"/>
          <w:rtl/>
        </w:rPr>
        <w:t xml:space="preserve"> הוראות תיקון 113 אינן חלות על ענישת קטין, אולם כאמור </w:t>
      </w:r>
      <w:hyperlink w:history="1">
        <w:r w:rsidR="00991364" w:rsidRPr="009F6543">
          <w:rPr>
            <w:b/>
            <w:bCs/>
            <w:color w:val="000000"/>
          </w:rPr>
          <w:t>Error! Hyperlink reference not valid.</w:t>
        </w:r>
      </w:hyperlink>
      <w:r>
        <w:rPr>
          <w:rFonts w:ascii="David" w:hAnsi="David" w:cs="David"/>
          <w:b/>
          <w:bCs/>
          <w:szCs w:val="24"/>
          <w:rtl/>
        </w:rPr>
        <w:t xml:space="preserve"> בית המשפט </w:t>
      </w:r>
      <w:r>
        <w:rPr>
          <w:rFonts w:ascii="David" w:hAnsi="David" w:cs="David"/>
          <w:b/>
          <w:bCs/>
          <w:spacing w:val="0"/>
          <w:szCs w:val="24"/>
          <w:rtl/>
        </w:rPr>
        <w:t>רשאי</w:t>
      </w:r>
      <w:r>
        <w:rPr>
          <w:rFonts w:ascii="David" w:hAnsi="David" w:cs="David"/>
          <w:b/>
          <w:bCs/>
          <w:szCs w:val="24"/>
          <w:rtl/>
        </w:rPr>
        <w:t xml:space="preserve"> להתחשב בעקרונותיו המנחים של תיקון זה תוך התאמתם לקביעת עונשו של קטין.</w:t>
      </w:r>
    </w:p>
    <w:p w14:paraId="37CB2115" w14:textId="77777777" w:rsidR="000C5076" w:rsidRDefault="000C5076" w:rsidP="00534CFF">
      <w:pPr>
        <w:pStyle w:val="Ruller4"/>
        <w:numPr>
          <w:ilvl w:val="0"/>
          <w:numId w:val="0"/>
        </w:numPr>
        <w:rPr>
          <w:rFonts w:ascii="David" w:hAnsi="David" w:cs="David"/>
          <w:b/>
          <w:bCs/>
          <w:szCs w:val="24"/>
          <w:rtl/>
        </w:rPr>
      </w:pPr>
    </w:p>
    <w:p w14:paraId="06C0E94A" w14:textId="77777777" w:rsidR="000C5076" w:rsidRDefault="000C5076" w:rsidP="00455165">
      <w:pPr>
        <w:pStyle w:val="Ruller4"/>
        <w:numPr>
          <w:ilvl w:val="0"/>
          <w:numId w:val="0"/>
        </w:numPr>
        <w:ind w:left="1440"/>
        <w:rPr>
          <w:rFonts w:ascii="David" w:hAnsi="David" w:cs="David"/>
          <w:b/>
          <w:bCs/>
          <w:szCs w:val="24"/>
          <w:rtl/>
        </w:rPr>
      </w:pPr>
      <w:r>
        <w:rPr>
          <w:rFonts w:ascii="David" w:hAnsi="David" w:cs="David"/>
          <w:b/>
          <w:bCs/>
          <w:szCs w:val="24"/>
          <w:rtl/>
        </w:rPr>
        <w:t xml:space="preserve">מן הראוי הוא כי "רוחו" של התיקון תחול גם על גזרי דינם של קטינים, באופן שככלל רצוי כי בתי המשפט יתחשבו במידה מסוימת במדיניות הענישה הנוהגת במקרים בעלי נסיבות דומות בבואם לגזור עונשו של נאשם שהוא קטין וכך אף היה נכון וראוי לנהוג לפני התיקון (ראו והשוו: </w:t>
      </w:r>
      <w:hyperlink r:id="rId40" w:history="1">
        <w:r w:rsidR="00455165" w:rsidRPr="00455165">
          <w:rPr>
            <w:rStyle w:val="Hyperlink"/>
            <w:rFonts w:ascii="David" w:hAnsi="David" w:cs="David" w:hint="eastAsia"/>
            <w:b/>
            <w:bCs/>
            <w:szCs w:val="24"/>
            <w:rtl/>
          </w:rPr>
          <w:t>ע</w:t>
        </w:r>
        <w:r w:rsidR="00455165" w:rsidRPr="00455165">
          <w:rPr>
            <w:rStyle w:val="Hyperlink"/>
            <w:rFonts w:ascii="David" w:hAnsi="David" w:cs="David"/>
            <w:b/>
            <w:bCs/>
            <w:szCs w:val="24"/>
            <w:rtl/>
          </w:rPr>
          <w:t>"פ 5355/14</w:t>
        </w:r>
      </w:hyperlink>
      <w:r w:rsidR="00455165" w:rsidRPr="00455165">
        <w:rPr>
          <w:rFonts w:ascii="David" w:hAnsi="David" w:cs="David" w:hint="cs"/>
          <w:b/>
          <w:bCs/>
          <w:szCs w:val="24"/>
          <w:rtl/>
        </w:rPr>
        <w:t xml:space="preserve"> </w:t>
      </w:r>
      <w:r w:rsidRPr="00455165">
        <w:rPr>
          <w:rFonts w:ascii="David" w:hAnsi="David" w:cs="David"/>
          <w:b/>
          <w:bCs/>
          <w:szCs w:val="24"/>
          <w:rtl/>
        </w:rPr>
        <w:t>פלוני נ' מדינת ישראל</w:t>
      </w:r>
      <w:r>
        <w:rPr>
          <w:rFonts w:ascii="David" w:hAnsi="David" w:cs="David"/>
          <w:b/>
          <w:bCs/>
          <w:szCs w:val="24"/>
          <w:rtl/>
        </w:rPr>
        <w:t xml:space="preserve"> </w:t>
      </w:r>
      <w:r w:rsidRPr="00455165">
        <w:rPr>
          <w:rFonts w:ascii="David" w:hAnsi="David" w:cs="David"/>
          <w:b/>
          <w:bCs/>
          <w:szCs w:val="24"/>
          <w:rtl/>
        </w:rPr>
        <w:t xml:space="preserve">[פורסם בנבו] </w:t>
      </w:r>
      <w:r>
        <w:rPr>
          <w:rFonts w:ascii="David" w:hAnsi="David" w:cs="David"/>
          <w:b/>
          <w:bCs/>
          <w:szCs w:val="24"/>
          <w:rtl/>
        </w:rPr>
        <w:t>(27.10.2015);</w:t>
      </w:r>
      <w:r w:rsidR="00455165">
        <w:rPr>
          <w:rFonts w:ascii="David" w:hAnsi="David" w:cs="David" w:hint="cs"/>
          <w:b/>
          <w:bCs/>
          <w:szCs w:val="24"/>
          <w:rtl/>
        </w:rPr>
        <w:t xml:space="preserve"> </w:t>
      </w:r>
      <w:hyperlink r:id="rId41" w:history="1">
        <w:r w:rsidR="00455165" w:rsidRPr="00455165">
          <w:rPr>
            <w:rStyle w:val="Hyperlink"/>
            <w:rFonts w:ascii="David" w:hAnsi="David" w:cs="David" w:hint="eastAsia"/>
            <w:b/>
            <w:bCs/>
            <w:szCs w:val="24"/>
            <w:rtl/>
          </w:rPr>
          <w:t>ע</w:t>
        </w:r>
        <w:r w:rsidR="00455165" w:rsidRPr="00455165">
          <w:rPr>
            <w:rStyle w:val="Hyperlink"/>
            <w:rFonts w:ascii="David" w:hAnsi="David" w:cs="David"/>
            <w:b/>
            <w:bCs/>
            <w:szCs w:val="24"/>
            <w:rtl/>
          </w:rPr>
          <w:t>"פ 1569/13</w:t>
        </w:r>
      </w:hyperlink>
      <w:r>
        <w:rPr>
          <w:rFonts w:ascii="David" w:hAnsi="David" w:cs="David"/>
          <w:b/>
          <w:bCs/>
          <w:szCs w:val="24"/>
          <w:rtl/>
        </w:rPr>
        <w:t xml:space="preserve"> </w:t>
      </w:r>
      <w:r>
        <w:rPr>
          <w:rFonts w:ascii="David" w:hAnsi="David" w:cs="David"/>
          <w:b/>
          <w:bCs/>
          <w:spacing w:val="0"/>
          <w:szCs w:val="24"/>
          <w:rtl/>
        </w:rPr>
        <w:t xml:space="preserve">כריים נ' מדינת ישראל [פורסם בנבו] </w:t>
      </w:r>
      <w:r>
        <w:rPr>
          <w:rFonts w:ascii="David" w:hAnsi="David" w:cs="David"/>
          <w:b/>
          <w:bCs/>
          <w:szCs w:val="24"/>
          <w:rtl/>
        </w:rPr>
        <w:t>(13.1.2015))".</w:t>
      </w:r>
    </w:p>
    <w:p w14:paraId="31C27A60" w14:textId="77777777" w:rsidR="000C5076" w:rsidRDefault="000C5076" w:rsidP="00534CFF">
      <w:pPr>
        <w:rPr>
          <w:rFonts w:ascii="Calibri" w:hAnsi="Calibri" w:cs="Arial"/>
          <w:szCs w:val="22"/>
          <w:rtl/>
        </w:rPr>
      </w:pPr>
    </w:p>
    <w:p w14:paraId="0CDD7B16" w14:textId="77777777" w:rsidR="000C5076" w:rsidRDefault="000C5076" w:rsidP="00534CFF">
      <w:pPr>
        <w:spacing w:line="360" w:lineRule="auto"/>
        <w:ind w:left="720"/>
        <w:jc w:val="both"/>
        <w:rPr>
          <w:rFonts w:ascii="David" w:hAnsi="David"/>
          <w:rtl/>
        </w:rPr>
      </w:pPr>
      <w:r>
        <w:rPr>
          <w:rFonts w:ascii="David" w:hAnsi="David"/>
          <w:rtl/>
        </w:rPr>
        <w:t>נוכח האמור לעיל, ובהתאם לרוחו של תיקון מס' 113 ל</w:t>
      </w:r>
      <w:hyperlink r:id="rId42" w:history="1">
        <w:r w:rsidR="009F6543" w:rsidRPr="009F6543">
          <w:rPr>
            <w:rFonts w:ascii="David" w:hAnsi="David"/>
            <w:color w:val="0000FF"/>
            <w:u w:val="single"/>
            <w:rtl/>
          </w:rPr>
          <w:t>חוק העונשין</w:t>
        </w:r>
      </w:hyperlink>
      <w:r>
        <w:rPr>
          <w:rFonts w:ascii="David" w:hAnsi="David"/>
          <w:rtl/>
        </w:rPr>
        <w:t xml:space="preserve">, אפנה לבחון מהם הערכים המוגנים בהם פגע הנאשם במעשיו, אדרש למדיניות הענישה הנוהגת במקרים בעלי נסיבות דומות למקרה שבפניי, ואבחן לאורהּ את העונש ההולם למעשיו של הנאשם, בשים-לב לתפיסה המשפטית, לפיה יש לקחת בחשבון בעת גזירת העונש, את היותו של הנאשם קטין.  </w:t>
      </w:r>
    </w:p>
    <w:p w14:paraId="27C7B60A" w14:textId="77777777" w:rsidR="000C5076" w:rsidRDefault="000C5076" w:rsidP="00534CFF">
      <w:pPr>
        <w:spacing w:line="360" w:lineRule="auto"/>
        <w:ind w:left="720"/>
        <w:jc w:val="both"/>
        <w:rPr>
          <w:rFonts w:ascii="David" w:hAnsi="David"/>
          <w:rtl/>
        </w:rPr>
      </w:pPr>
    </w:p>
    <w:p w14:paraId="339F5634" w14:textId="77777777" w:rsidR="000C5076" w:rsidRDefault="000C5076" w:rsidP="00534CFF">
      <w:pPr>
        <w:spacing w:line="360" w:lineRule="auto"/>
        <w:ind w:left="720" w:hanging="720"/>
        <w:jc w:val="both"/>
        <w:rPr>
          <w:rFonts w:ascii="David" w:hAnsi="David"/>
          <w:rtl/>
        </w:rPr>
      </w:pPr>
      <w:r>
        <w:rPr>
          <w:rFonts w:ascii="David" w:hAnsi="David"/>
          <w:rtl/>
        </w:rPr>
        <w:t>10.</w:t>
      </w:r>
      <w:r>
        <w:rPr>
          <w:rFonts w:ascii="David" w:hAnsi="David"/>
          <w:rtl/>
        </w:rPr>
        <w:tab/>
        <w:t>בענייננו, כאמור כבר לעיל, הורשע הנאשם בעבירת הצתה, שלגביה נקבע בפסיקה ארוכת-שנים של בית המשפט העליון, כי היא אחת מן העבירות החמורות ביותר שבספר החוקים, בשל היותה בעלת פוטנציאל נזק עצום, מעצם טיבה וטבעה, ולא בכדי ראה המחוקק לנכון להציב בצדה עונש מירבי של 15 שנות מאסר.</w:t>
      </w:r>
    </w:p>
    <w:p w14:paraId="02BAE80E" w14:textId="77777777" w:rsidR="000C5076" w:rsidRDefault="000C5076" w:rsidP="00534CFF">
      <w:pPr>
        <w:pStyle w:val="10"/>
        <w:spacing w:after="0" w:line="360" w:lineRule="auto"/>
        <w:jc w:val="both"/>
        <w:rPr>
          <w:rFonts w:ascii="David" w:hAnsi="David" w:cs="David"/>
          <w:sz w:val="24"/>
          <w:szCs w:val="24"/>
          <w:rtl/>
        </w:rPr>
      </w:pPr>
    </w:p>
    <w:p w14:paraId="5765086C" w14:textId="77777777" w:rsidR="000C5076" w:rsidRDefault="000C5076" w:rsidP="00455165">
      <w:pPr>
        <w:pStyle w:val="10"/>
        <w:spacing w:after="0" w:line="360" w:lineRule="auto"/>
        <w:jc w:val="both"/>
        <w:rPr>
          <w:rFonts w:ascii="David" w:hAnsi="David" w:cs="David"/>
          <w:sz w:val="24"/>
          <w:szCs w:val="24"/>
        </w:rPr>
      </w:pPr>
      <w:r>
        <w:rPr>
          <w:rFonts w:ascii="David" w:hAnsi="David" w:cs="David"/>
          <w:sz w:val="24"/>
          <w:szCs w:val="24"/>
          <w:rtl/>
        </w:rPr>
        <w:t>אפנה לדברי כב' השופט י. דנציגר, ב-</w:t>
      </w:r>
      <w:hyperlink r:id="rId43" w:history="1">
        <w:r w:rsidR="00455165" w:rsidRPr="00455165">
          <w:rPr>
            <w:rStyle w:val="Hyperlink"/>
            <w:rFonts w:ascii="David" w:hAnsi="David" w:cs="David" w:hint="eastAsia"/>
            <w:b/>
            <w:bCs/>
            <w:sz w:val="24"/>
            <w:szCs w:val="24"/>
            <w:rtl/>
          </w:rPr>
          <w:t>ע</w:t>
        </w:r>
        <w:r w:rsidR="00455165" w:rsidRPr="00455165">
          <w:rPr>
            <w:rStyle w:val="Hyperlink"/>
            <w:rFonts w:ascii="David" w:hAnsi="David" w:cs="David"/>
            <w:b/>
            <w:bCs/>
            <w:sz w:val="24"/>
            <w:szCs w:val="24"/>
            <w:rtl/>
          </w:rPr>
          <w:t xml:space="preserve">"פ 1414/15 </w:t>
        </w:r>
      </w:hyperlink>
      <w:r>
        <w:rPr>
          <w:rFonts w:ascii="David" w:hAnsi="David" w:cs="David"/>
          <w:sz w:val="24"/>
          <w:szCs w:val="24"/>
          <w:rtl/>
        </w:rPr>
        <w:t xml:space="preserve"> </w:t>
      </w:r>
      <w:r>
        <w:rPr>
          <w:rFonts w:ascii="David" w:hAnsi="David" w:cs="David"/>
          <w:b/>
          <w:bCs/>
          <w:sz w:val="24"/>
          <w:szCs w:val="24"/>
          <w:rtl/>
        </w:rPr>
        <w:t xml:space="preserve">מדינת ישראל נ' אלון אבוש פדר  </w:t>
      </w:r>
      <w:r w:rsidR="00455165" w:rsidRPr="00455165">
        <w:rPr>
          <w:rFonts w:ascii="Times New Roman" w:hAnsi="Times New Roman" w:cs="David"/>
          <w:szCs w:val="24"/>
          <w:rtl/>
        </w:rPr>
        <w:t xml:space="preserve">[פורסם בנבו] </w:t>
      </w:r>
      <w:r>
        <w:rPr>
          <w:rFonts w:ascii="David" w:hAnsi="David" w:cs="David"/>
          <w:sz w:val="24"/>
          <w:szCs w:val="24"/>
          <w:rtl/>
        </w:rPr>
        <w:t>15.04.2015, (להלן: "</w:t>
      </w:r>
      <w:r>
        <w:rPr>
          <w:rFonts w:ascii="David" w:hAnsi="David" w:cs="David"/>
          <w:b/>
          <w:bCs/>
          <w:sz w:val="24"/>
          <w:szCs w:val="24"/>
          <w:rtl/>
        </w:rPr>
        <w:t>עניין פדר</w:t>
      </w:r>
      <w:r>
        <w:rPr>
          <w:rFonts w:ascii="David" w:hAnsi="David" w:cs="David"/>
          <w:sz w:val="24"/>
          <w:szCs w:val="24"/>
          <w:rtl/>
        </w:rPr>
        <w:t>"):</w:t>
      </w:r>
    </w:p>
    <w:p w14:paraId="5A00FEF0" w14:textId="77777777" w:rsidR="000C5076" w:rsidRDefault="000C5076" w:rsidP="00534CFF">
      <w:pPr>
        <w:pStyle w:val="10"/>
        <w:spacing w:after="0" w:line="360" w:lineRule="auto"/>
        <w:jc w:val="both"/>
        <w:rPr>
          <w:rFonts w:ascii="David" w:hAnsi="David" w:cs="David"/>
          <w:sz w:val="24"/>
          <w:szCs w:val="24"/>
          <w:rtl/>
        </w:rPr>
      </w:pPr>
    </w:p>
    <w:p w14:paraId="734116A6" w14:textId="77777777" w:rsidR="000C5076" w:rsidRDefault="000C5076" w:rsidP="00DD0370">
      <w:pPr>
        <w:pStyle w:val="10"/>
        <w:spacing w:after="0" w:line="360" w:lineRule="auto"/>
        <w:ind w:left="1440"/>
        <w:jc w:val="both"/>
        <w:rPr>
          <w:rFonts w:ascii="David" w:hAnsi="David" w:cs="David"/>
          <w:b/>
          <w:bCs/>
          <w:sz w:val="24"/>
          <w:szCs w:val="24"/>
          <w:rtl/>
        </w:rPr>
      </w:pPr>
      <w:r>
        <w:rPr>
          <w:rFonts w:ascii="David" w:hAnsi="David" w:cs="David"/>
          <w:b/>
          <w:bCs/>
          <w:sz w:val="24"/>
          <w:szCs w:val="24"/>
          <w:rtl/>
        </w:rPr>
        <w:t>"עבירת ההצתה היא מהחמורות שבספר החוקים וזאת לאור הפוטנציאל ההרסני הטמון בה נוכח הסכנה הגלומה במעשה לגופו ולרכושו של אדם. בית משפט זה עמד, לא אחת, על חומרתה היתרה של העבירה שראשיתה ידוע אך כיצד תתפשט ומה יהיה היקפה, אין איש יודע, שכן מנהגה של האש להתפשט ללא שליטה, תוך שהיא זורה הרס רב בדרכה [ראו</w:t>
      </w:r>
      <w:r w:rsidR="00DD0370">
        <w:rPr>
          <w:rFonts w:ascii="David" w:hAnsi="David" w:cs="David" w:hint="cs"/>
          <w:b/>
          <w:bCs/>
          <w:sz w:val="24"/>
          <w:szCs w:val="24"/>
          <w:rtl/>
        </w:rPr>
        <w:t xml:space="preserve"> </w:t>
      </w:r>
      <w:hyperlink r:id="rId44" w:history="1">
        <w:r w:rsidR="00DD0370" w:rsidRPr="00DD0370">
          <w:rPr>
            <w:rStyle w:val="Hyperlink"/>
            <w:rFonts w:ascii="David" w:hAnsi="David" w:cs="David" w:hint="eastAsia"/>
            <w:b/>
            <w:bCs/>
            <w:sz w:val="24"/>
            <w:szCs w:val="24"/>
            <w:rtl/>
          </w:rPr>
          <w:t>ע</w:t>
        </w:r>
        <w:r w:rsidR="00DD0370" w:rsidRPr="00DD0370">
          <w:rPr>
            <w:rStyle w:val="Hyperlink"/>
            <w:rFonts w:ascii="David" w:hAnsi="David" w:cs="David"/>
            <w:b/>
            <w:bCs/>
            <w:sz w:val="24"/>
            <w:szCs w:val="24"/>
            <w:rtl/>
          </w:rPr>
          <w:t>"פ 4311/12</w:t>
        </w:r>
      </w:hyperlink>
      <w:r w:rsidR="00DD0370">
        <w:rPr>
          <w:rFonts w:ascii="David" w:hAnsi="David" w:cs="David" w:hint="cs"/>
          <w:b/>
          <w:bCs/>
          <w:sz w:val="24"/>
          <w:szCs w:val="24"/>
          <w:rtl/>
        </w:rPr>
        <w:t xml:space="preserve"> </w:t>
      </w:r>
      <w:r>
        <w:rPr>
          <w:rFonts w:ascii="David" w:hAnsi="David" w:cs="David"/>
          <w:b/>
          <w:bCs/>
          <w:sz w:val="24"/>
          <w:szCs w:val="24"/>
          <w:rtl/>
        </w:rPr>
        <w:t xml:space="preserve"> סורי נ' מדינת ישראל [פורסם בנבו] (8.11.2012) פסקה 3 (להלן: עניין סורי)]. המחוקק ביטא חומרה זו משהעמיד את העונש המרבי לצידה של העבירה על 15 שנות מאסר ו-20 שנות מאסר כאשר היא מבוצעת בנסיבות מחמירות, בין היתר כאשר מטרת ההצתה היא פגיעה בחיי אדם. בהתאמה לכך, גישתו העקבית של בית משפט זה באשר לרמת הענישה בעבירות ההצתה היא כי, ככלל, יש להתייחס בחומרה לעבירה זו ולהשית עונשי מאסר לריצוי בפועל על מבצעי העבירה באופן שיבטא את שיקולי הגמול והרתעת הרבים יחדיו [ראו:</w:t>
      </w:r>
      <w:hyperlink w:history="1"/>
      <w:r w:rsidR="00DD0370">
        <w:rPr>
          <w:rFonts w:hint="cs"/>
          <w:color w:val="000000"/>
          <w:rtl/>
        </w:rPr>
        <w:t xml:space="preserve"> </w:t>
      </w:r>
      <w:hyperlink r:id="rId45" w:history="1">
        <w:r w:rsidR="00DD0370" w:rsidRPr="00DD0370">
          <w:rPr>
            <w:rStyle w:val="Hyperlink"/>
            <w:rFonts w:ascii="David" w:hAnsi="David" w:cs="David" w:hint="eastAsia"/>
            <w:b/>
            <w:bCs/>
            <w:sz w:val="24"/>
            <w:szCs w:val="24"/>
            <w:rtl/>
          </w:rPr>
          <w:t>ע</w:t>
        </w:r>
        <w:r w:rsidR="00DD0370" w:rsidRPr="00DD0370">
          <w:rPr>
            <w:rStyle w:val="Hyperlink"/>
            <w:rFonts w:ascii="David" w:hAnsi="David" w:cs="David"/>
            <w:b/>
            <w:bCs/>
            <w:sz w:val="24"/>
            <w:szCs w:val="24"/>
            <w:rtl/>
          </w:rPr>
          <w:t xml:space="preserve">"פ 3116/13 </w:t>
        </w:r>
      </w:hyperlink>
      <w:r>
        <w:rPr>
          <w:rFonts w:ascii="David" w:hAnsi="David" w:cs="David"/>
          <w:b/>
          <w:bCs/>
          <w:sz w:val="24"/>
          <w:szCs w:val="24"/>
          <w:rtl/>
        </w:rPr>
        <w:t xml:space="preserve"> קבלאן נ' מדינת ישראל [פורסם בנבו] (15.10.2013) פסקה 9; </w:t>
      </w:r>
      <w:hyperlink r:id="rId46" w:history="1">
        <w:r w:rsidR="00344C14" w:rsidRPr="00344C14">
          <w:rPr>
            <w:rStyle w:val="Hyperlink"/>
            <w:rFonts w:ascii="David" w:hAnsi="David" w:cs="David" w:hint="eastAsia"/>
            <w:b/>
            <w:bCs/>
            <w:sz w:val="24"/>
            <w:szCs w:val="24"/>
            <w:rtl/>
          </w:rPr>
          <w:t>ע</w:t>
        </w:r>
        <w:r w:rsidR="00344C14" w:rsidRPr="00344C14">
          <w:rPr>
            <w:rStyle w:val="Hyperlink"/>
            <w:rFonts w:ascii="David" w:hAnsi="David" w:cs="David"/>
            <w:b/>
            <w:bCs/>
            <w:sz w:val="24"/>
            <w:szCs w:val="24"/>
            <w:rtl/>
          </w:rPr>
          <w:t>"פ 1846/13</w:t>
        </w:r>
      </w:hyperlink>
      <w:r w:rsidR="00DD0370">
        <w:rPr>
          <w:rFonts w:ascii="David" w:hAnsi="David" w:cs="David" w:hint="cs"/>
          <w:b/>
          <w:bCs/>
          <w:sz w:val="24"/>
          <w:szCs w:val="24"/>
          <w:rtl/>
        </w:rPr>
        <w:t xml:space="preserve"> </w:t>
      </w:r>
      <w:r>
        <w:rPr>
          <w:rFonts w:ascii="David" w:hAnsi="David" w:cs="David"/>
          <w:b/>
          <w:bCs/>
          <w:sz w:val="24"/>
          <w:szCs w:val="24"/>
          <w:rtl/>
        </w:rPr>
        <w:t>עמאש נ' מדינת ישראל [פורסם בנבו] (1.12.2013) פסקה 11]".</w:t>
      </w:r>
    </w:p>
    <w:p w14:paraId="230ED9DD" w14:textId="77777777" w:rsidR="000C5076" w:rsidRDefault="000C5076" w:rsidP="00534CFF">
      <w:pPr>
        <w:pStyle w:val="10"/>
        <w:spacing w:after="0" w:line="360" w:lineRule="auto"/>
        <w:jc w:val="both"/>
        <w:rPr>
          <w:rFonts w:ascii="David" w:hAnsi="David" w:cs="David"/>
          <w:b/>
          <w:bCs/>
          <w:sz w:val="24"/>
          <w:szCs w:val="24"/>
          <w:rtl/>
        </w:rPr>
      </w:pPr>
    </w:p>
    <w:p w14:paraId="0BC8BAFF" w14:textId="77777777" w:rsidR="000C5076" w:rsidRDefault="000C5076" w:rsidP="00510EB4">
      <w:pPr>
        <w:pStyle w:val="ListParagraph"/>
        <w:spacing w:after="0" w:line="360" w:lineRule="auto"/>
        <w:jc w:val="both"/>
        <w:rPr>
          <w:rFonts w:ascii="David" w:hAnsi="David" w:cs="David"/>
          <w:sz w:val="24"/>
          <w:szCs w:val="24"/>
          <w:rtl/>
        </w:rPr>
      </w:pPr>
      <w:r>
        <w:rPr>
          <w:rFonts w:ascii="David" w:hAnsi="David" w:cs="David"/>
          <w:sz w:val="24"/>
          <w:szCs w:val="24"/>
          <w:rtl/>
        </w:rPr>
        <w:t xml:space="preserve">וכן לדבריו של כב' השופט י. אלרון </w:t>
      </w:r>
      <w:r w:rsidR="00510EB4" w:rsidRPr="00510EB4">
        <w:rPr>
          <w:rFonts w:ascii="David" w:hAnsi="David" w:cs="David" w:hint="cs"/>
          <w:b/>
          <w:bCs/>
          <w:sz w:val="24"/>
          <w:szCs w:val="24"/>
          <w:rtl/>
        </w:rPr>
        <w:t>ב</w:t>
      </w:r>
      <w:hyperlink r:id="rId47" w:history="1">
        <w:r w:rsidR="00510EB4" w:rsidRPr="00510EB4">
          <w:rPr>
            <w:rStyle w:val="Hyperlink"/>
            <w:rFonts w:ascii="David" w:hAnsi="David" w:cs="David" w:hint="eastAsia"/>
            <w:b/>
            <w:bCs/>
            <w:sz w:val="24"/>
            <w:szCs w:val="24"/>
            <w:rtl/>
          </w:rPr>
          <w:t>ע</w:t>
        </w:r>
        <w:r w:rsidR="00510EB4" w:rsidRPr="00510EB4">
          <w:rPr>
            <w:rStyle w:val="Hyperlink"/>
            <w:rFonts w:ascii="David" w:hAnsi="David" w:cs="David"/>
            <w:b/>
            <w:bCs/>
            <w:sz w:val="24"/>
            <w:szCs w:val="24"/>
            <w:rtl/>
          </w:rPr>
          <w:t>"פ 6590/17</w:t>
        </w:r>
      </w:hyperlink>
      <w:r>
        <w:rPr>
          <w:rFonts w:ascii="David" w:hAnsi="David" w:cs="David"/>
          <w:sz w:val="24"/>
          <w:szCs w:val="24"/>
          <w:rtl/>
        </w:rPr>
        <w:t xml:space="preserve"> </w:t>
      </w:r>
      <w:r>
        <w:rPr>
          <w:rFonts w:ascii="David" w:hAnsi="David" w:cs="David"/>
          <w:b/>
          <w:bCs/>
          <w:sz w:val="24"/>
          <w:szCs w:val="24"/>
          <w:rtl/>
        </w:rPr>
        <w:t>מדינת ישראל נ' פלוני</w:t>
      </w:r>
      <w:r>
        <w:rPr>
          <w:rFonts w:ascii="David" w:hAnsi="David" w:cs="David"/>
          <w:sz w:val="24"/>
          <w:szCs w:val="24"/>
          <w:rtl/>
        </w:rPr>
        <w:t xml:space="preserve"> </w:t>
      </w:r>
      <w:r w:rsidR="00510EB4" w:rsidRPr="00510EB4">
        <w:rPr>
          <w:rFonts w:ascii="Times New Roman" w:hAnsi="Times New Roman" w:cs="David"/>
          <w:szCs w:val="24"/>
          <w:rtl/>
        </w:rPr>
        <w:t xml:space="preserve">[פורסם בנבו] </w:t>
      </w:r>
      <w:r>
        <w:rPr>
          <w:rFonts w:ascii="David" w:hAnsi="David" w:cs="David"/>
          <w:sz w:val="24"/>
          <w:szCs w:val="24"/>
          <w:rtl/>
        </w:rPr>
        <w:t xml:space="preserve">(11.11.2018): </w:t>
      </w:r>
    </w:p>
    <w:p w14:paraId="2EBA7598" w14:textId="77777777" w:rsidR="000C5076" w:rsidRDefault="000C5076" w:rsidP="00534CFF">
      <w:pPr>
        <w:pStyle w:val="ListParagraph"/>
        <w:spacing w:after="0" w:line="360" w:lineRule="auto"/>
        <w:jc w:val="both"/>
        <w:rPr>
          <w:rFonts w:ascii="David" w:hAnsi="David" w:cs="David"/>
          <w:sz w:val="24"/>
          <w:szCs w:val="24"/>
          <w:rtl/>
        </w:rPr>
      </w:pPr>
    </w:p>
    <w:p w14:paraId="423E2175" w14:textId="77777777" w:rsidR="000C5076" w:rsidRDefault="000C5076" w:rsidP="00510EB4">
      <w:pPr>
        <w:pStyle w:val="Ruller4"/>
        <w:numPr>
          <w:ilvl w:val="0"/>
          <w:numId w:val="0"/>
        </w:numPr>
        <w:ind w:left="1134"/>
        <w:rPr>
          <w:rFonts w:ascii="David" w:hAnsi="David" w:cs="David"/>
          <w:b/>
          <w:bCs/>
          <w:szCs w:val="24"/>
          <w:rtl/>
        </w:rPr>
      </w:pPr>
      <w:r>
        <w:rPr>
          <w:rFonts w:ascii="David" w:hAnsi="David" w:cs="David"/>
          <w:b/>
          <w:bCs/>
          <w:szCs w:val="24"/>
          <w:rtl/>
        </w:rPr>
        <w:t xml:space="preserve">"בית משפט זה הדגיש לא אחת כי עבירת ההצתה הינה עבירה חמורה במיוחד. זאת, הן בשל הסיכון הגלום בהצתה עצמה, והן בשל העובדה שלא ניתן לשלוט בתוצאותיה (ראו למשל </w:t>
      </w:r>
      <w:hyperlink r:id="rId48" w:history="1">
        <w:r w:rsidR="00510EB4" w:rsidRPr="00510EB4">
          <w:rPr>
            <w:rStyle w:val="Hyperlink"/>
            <w:rFonts w:ascii="David" w:hAnsi="David" w:cs="David" w:hint="eastAsia"/>
            <w:b/>
            <w:bCs/>
            <w:szCs w:val="24"/>
            <w:rtl/>
          </w:rPr>
          <w:t>ע</w:t>
        </w:r>
        <w:r w:rsidR="00510EB4" w:rsidRPr="00510EB4">
          <w:rPr>
            <w:rStyle w:val="Hyperlink"/>
            <w:rFonts w:ascii="David" w:hAnsi="David" w:cs="David"/>
            <w:b/>
            <w:bCs/>
            <w:szCs w:val="24"/>
            <w:rtl/>
          </w:rPr>
          <w:t>"פ 4036/13</w:t>
        </w:r>
      </w:hyperlink>
      <w:r w:rsidR="00510EB4">
        <w:rPr>
          <w:rFonts w:ascii="David" w:hAnsi="David" w:cs="David" w:hint="cs"/>
          <w:b/>
          <w:bCs/>
          <w:szCs w:val="24"/>
          <w:rtl/>
        </w:rPr>
        <w:t xml:space="preserve"> </w:t>
      </w:r>
      <w:r>
        <w:rPr>
          <w:rStyle w:val="aa"/>
          <w:rFonts w:ascii="David" w:hAnsi="David" w:cs="David"/>
          <w:b/>
          <w:bCs/>
          <w:spacing w:val="0"/>
          <w:szCs w:val="24"/>
          <w:rtl/>
        </w:rPr>
        <w:t>מובארכ אמארה נ' מדינת ישראל</w:t>
      </w:r>
      <w:r>
        <w:rPr>
          <w:rFonts w:ascii="David" w:hAnsi="David" w:cs="David"/>
          <w:b/>
          <w:bCs/>
          <w:szCs w:val="24"/>
          <w:rtl/>
        </w:rPr>
        <w:t xml:space="preserve"> </w:t>
      </w:r>
      <w:r>
        <w:rPr>
          <w:rFonts w:ascii="David" w:hAnsi="David" w:cs="David"/>
          <w:b/>
          <w:bCs/>
          <w:spacing w:val="0"/>
          <w:szCs w:val="24"/>
          <w:rtl/>
        </w:rPr>
        <w:t xml:space="preserve">[פורסם בנבו] </w:t>
      </w:r>
      <w:r>
        <w:rPr>
          <w:rFonts w:ascii="David" w:hAnsi="David" w:cs="David"/>
          <w:b/>
          <w:bCs/>
          <w:szCs w:val="24"/>
          <w:rtl/>
        </w:rPr>
        <w:t xml:space="preserve">(5.10.2014))". </w:t>
      </w:r>
    </w:p>
    <w:p w14:paraId="64966C27" w14:textId="77777777" w:rsidR="000C5076" w:rsidRDefault="000C5076" w:rsidP="00534CFF">
      <w:pPr>
        <w:pStyle w:val="10"/>
        <w:spacing w:after="0" w:line="360" w:lineRule="auto"/>
        <w:jc w:val="both"/>
        <w:rPr>
          <w:rFonts w:ascii="David" w:hAnsi="David" w:cs="David"/>
          <w:b/>
          <w:bCs/>
          <w:sz w:val="24"/>
          <w:szCs w:val="24"/>
          <w:rtl/>
        </w:rPr>
      </w:pPr>
    </w:p>
    <w:p w14:paraId="79C00E86" w14:textId="77777777" w:rsidR="000C5076" w:rsidRDefault="000C5076" w:rsidP="00534CFF">
      <w:pPr>
        <w:pStyle w:val="10"/>
        <w:spacing w:after="0" w:line="360" w:lineRule="auto"/>
        <w:jc w:val="both"/>
        <w:rPr>
          <w:rFonts w:ascii="David" w:hAnsi="David" w:cs="David"/>
          <w:sz w:val="24"/>
          <w:szCs w:val="24"/>
          <w:rtl/>
        </w:rPr>
      </w:pPr>
      <w:r>
        <w:rPr>
          <w:rFonts w:ascii="David" w:hAnsi="David" w:cs="David"/>
          <w:sz w:val="24"/>
          <w:szCs w:val="24"/>
          <w:rtl/>
        </w:rPr>
        <w:t>בענייננו, בל נשכח, כי לצד עבירת ההצתה, הורשע הנאשם גם בעבירה של החזקה ושימוש.</w:t>
      </w:r>
    </w:p>
    <w:p w14:paraId="57FA1C45" w14:textId="77777777" w:rsidR="000C5076" w:rsidRDefault="000C5076" w:rsidP="00534CFF">
      <w:pPr>
        <w:spacing w:line="360" w:lineRule="auto"/>
        <w:ind w:left="720" w:hanging="720"/>
        <w:jc w:val="both"/>
        <w:rPr>
          <w:rFonts w:ascii="David" w:hAnsi="David"/>
          <w:rtl/>
        </w:rPr>
      </w:pPr>
    </w:p>
    <w:p w14:paraId="311B6AFE" w14:textId="77777777" w:rsidR="000C5076" w:rsidRDefault="000C5076" w:rsidP="00534CFF">
      <w:pPr>
        <w:spacing w:line="360" w:lineRule="auto"/>
        <w:ind w:left="720" w:hanging="720"/>
        <w:jc w:val="both"/>
        <w:rPr>
          <w:rFonts w:ascii="David" w:hAnsi="David"/>
          <w:rtl/>
        </w:rPr>
      </w:pPr>
      <w:r>
        <w:rPr>
          <w:rFonts w:ascii="David" w:hAnsi="David"/>
          <w:rtl/>
        </w:rPr>
        <w:t>11.</w:t>
      </w:r>
      <w:r>
        <w:rPr>
          <w:rFonts w:ascii="David" w:hAnsi="David"/>
          <w:rtl/>
        </w:rPr>
        <w:tab/>
        <w:t>במעשיו פגע הנאשם בערכים חברתיים מוגנים רבים, לרבות, בערך כבוד-האדם, בתחושת הביטחון האישי, בסדר החברתי ושלום הציבור, וכן ברכוש ובקניין.</w:t>
      </w:r>
    </w:p>
    <w:p w14:paraId="03E469A5" w14:textId="77777777" w:rsidR="000C5076" w:rsidRDefault="000C5076" w:rsidP="00534CFF">
      <w:pPr>
        <w:spacing w:line="360" w:lineRule="auto"/>
        <w:ind w:left="720" w:hanging="720"/>
        <w:jc w:val="both"/>
        <w:rPr>
          <w:rFonts w:ascii="David" w:hAnsi="David"/>
          <w:rtl/>
        </w:rPr>
      </w:pPr>
    </w:p>
    <w:p w14:paraId="6CB58A79" w14:textId="77777777" w:rsidR="000C5076" w:rsidRDefault="000C5076" w:rsidP="00534CFF">
      <w:pPr>
        <w:spacing w:line="360" w:lineRule="auto"/>
        <w:ind w:left="720"/>
        <w:jc w:val="both"/>
        <w:rPr>
          <w:rFonts w:ascii="David" w:hAnsi="David"/>
          <w:rtl/>
        </w:rPr>
      </w:pPr>
      <w:r>
        <w:rPr>
          <w:rFonts w:ascii="David" w:hAnsi="David"/>
          <w:rtl/>
        </w:rPr>
        <w:t>ודוק, ראשית התפתח בין הנוכחים בדירה עימות שכלל צעקות והחלפת מהלומות, שלאחריו עזב הנאשם את הדירה.</w:t>
      </w:r>
    </w:p>
    <w:p w14:paraId="0B8E3241" w14:textId="77777777" w:rsidR="000C5076" w:rsidRDefault="000C5076" w:rsidP="00534CFF">
      <w:pPr>
        <w:spacing w:line="360" w:lineRule="auto"/>
        <w:ind w:left="720" w:hanging="720"/>
        <w:jc w:val="both"/>
        <w:rPr>
          <w:rFonts w:ascii="David" w:hAnsi="David"/>
          <w:rtl/>
        </w:rPr>
      </w:pPr>
      <w:r>
        <w:rPr>
          <w:rFonts w:ascii="David" w:hAnsi="David"/>
          <w:rtl/>
        </w:rPr>
        <w:tab/>
        <w:t>מספר שעות לאחר מכן, על רקע העימות, חזר הנאשם לבניין המגורים כשברשותו מיכל שבתוכו חומר דליק, במטרה לשלח אש בדירה. הנאשם עלה לקומה הראשונה של הבניין, שפך את החומר הדליק בכניסה למסדרון חדר המדרגות ועל דלת הדירה, העלה את דלת הדירה באש ונמלט מן המקום. באותה עת ישן א' בדירה, ובבניין שהו אנשים נוספים בדירות שונות.</w:t>
      </w:r>
    </w:p>
    <w:p w14:paraId="692AA979" w14:textId="77777777" w:rsidR="000C5076" w:rsidRDefault="000C5076" w:rsidP="00534CFF">
      <w:pPr>
        <w:spacing w:line="360" w:lineRule="auto"/>
        <w:ind w:left="720" w:hanging="720"/>
        <w:jc w:val="both"/>
        <w:rPr>
          <w:rFonts w:ascii="David" w:hAnsi="David"/>
          <w:rtl/>
        </w:rPr>
      </w:pPr>
    </w:p>
    <w:p w14:paraId="24B47A33" w14:textId="77777777" w:rsidR="000C5076" w:rsidRDefault="000C5076" w:rsidP="00534CFF">
      <w:pPr>
        <w:spacing w:line="360" w:lineRule="auto"/>
        <w:ind w:left="720" w:hanging="720"/>
        <w:jc w:val="both"/>
        <w:rPr>
          <w:rFonts w:ascii="David" w:hAnsi="David"/>
          <w:rtl/>
        </w:rPr>
      </w:pPr>
      <w:r>
        <w:rPr>
          <w:rFonts w:ascii="David" w:hAnsi="David"/>
          <w:rtl/>
        </w:rPr>
        <w:tab/>
        <w:t>כתוצאה ממעשיו של הנאשם, עלתה הדירה שהוצתה על-ידי הנאשם באש, שהתפשטה ושרפה גם את ארון ומפסק החשמל בחדר המדרגות ליד הדירה. האש כובתה על-ידי שירותי כבאות והצלה, אשר הוזעקו למקום על-ידי שכניו לבניין של א', שהבחינו בדליקה שפרצה. כל אותה עת, עד הגעת שירותי הכבאות למקום, א' ישן בדירתו.</w:t>
      </w:r>
    </w:p>
    <w:p w14:paraId="3AC0B7F1" w14:textId="77777777" w:rsidR="000C5076" w:rsidRDefault="000C5076" w:rsidP="00534CFF">
      <w:pPr>
        <w:spacing w:line="360" w:lineRule="auto"/>
        <w:ind w:left="720" w:hanging="720"/>
        <w:jc w:val="both"/>
        <w:rPr>
          <w:rFonts w:ascii="David" w:hAnsi="David"/>
          <w:rtl/>
        </w:rPr>
      </w:pPr>
    </w:p>
    <w:p w14:paraId="0E5D61FC" w14:textId="77777777" w:rsidR="000C5076" w:rsidRDefault="000C5076" w:rsidP="00534CFF">
      <w:pPr>
        <w:spacing w:line="360" w:lineRule="auto"/>
        <w:ind w:left="720" w:hanging="720"/>
        <w:jc w:val="both"/>
        <w:rPr>
          <w:rFonts w:ascii="David" w:hAnsi="David"/>
          <w:rtl/>
        </w:rPr>
      </w:pPr>
      <w:r>
        <w:rPr>
          <w:rFonts w:ascii="David" w:hAnsi="David"/>
          <w:rtl/>
        </w:rPr>
        <w:tab/>
        <w:t>כתוצאה ממעשי הנאשם, נגרמו נזקי חריכה ופיח בחלקה התחתון של דלת הרב-בריח בכניסה לדירה ובדירה עצמה, וכן נגרמו נזקי פיח כבדים ומרובים בחדר המדרגות של הבניין, וכן נשרף המפסק החשמלי שבקיר הכניסה.</w:t>
      </w:r>
    </w:p>
    <w:p w14:paraId="2F84B453" w14:textId="77777777" w:rsidR="000C5076" w:rsidRDefault="000C5076" w:rsidP="00534CFF">
      <w:pPr>
        <w:spacing w:line="360" w:lineRule="auto"/>
        <w:ind w:left="720" w:hanging="720"/>
        <w:jc w:val="both"/>
        <w:rPr>
          <w:rFonts w:ascii="David" w:hAnsi="David"/>
          <w:rtl/>
        </w:rPr>
      </w:pPr>
    </w:p>
    <w:p w14:paraId="11069B56" w14:textId="77777777" w:rsidR="000C5076" w:rsidRDefault="000C5076" w:rsidP="00534CFF">
      <w:pPr>
        <w:spacing w:line="360" w:lineRule="auto"/>
        <w:ind w:left="720"/>
        <w:jc w:val="both"/>
        <w:rPr>
          <w:rFonts w:ascii="David" w:hAnsi="David"/>
          <w:rtl/>
        </w:rPr>
      </w:pPr>
      <w:r>
        <w:rPr>
          <w:rFonts w:ascii="David" w:hAnsi="David"/>
          <w:rtl/>
        </w:rPr>
        <w:t>עולה בבירור מן האמור לעיל, כי לנאשם היו הזדמנויות למכביר לעצור את מעשיו בכל רגע נתון מחפץ ליבו, דא עקא, הוא לא עשה כן. נהפוך הוא – הנאשם עשה כל שלאל ידו על-מנת שמעשה ההצתה יצלח. הנאשם חזר לבניין המגורים כשברשותו מיכל שבתוכו חומר דליק, במטרה לשלח אש בדירה, עלה לקומה הראשונה של הבניין, שפך את החומר הדליק בכניסה למסדרון חדר המדרגות ועל דלת הדירה, העלה את דלת הדירה באש, ועזב את המקום מבלי להודיע על כך לאיש.</w:t>
      </w:r>
    </w:p>
    <w:p w14:paraId="4581FB26" w14:textId="77777777" w:rsidR="000C5076" w:rsidRDefault="000C5076" w:rsidP="00534CFF">
      <w:pPr>
        <w:spacing w:line="360" w:lineRule="auto"/>
        <w:ind w:left="720"/>
        <w:jc w:val="both"/>
        <w:rPr>
          <w:rFonts w:ascii="David" w:hAnsi="David"/>
          <w:rtl/>
        </w:rPr>
      </w:pPr>
    </w:p>
    <w:p w14:paraId="268CB088" w14:textId="77777777" w:rsidR="000C5076" w:rsidRDefault="000C5076" w:rsidP="00534CFF">
      <w:pPr>
        <w:pStyle w:val="Ruller43"/>
        <w:ind w:left="720"/>
        <w:rPr>
          <w:rFonts w:ascii="David" w:hAnsi="David" w:cs="David"/>
          <w:sz w:val="24"/>
          <w:szCs w:val="24"/>
          <w:rtl/>
        </w:rPr>
      </w:pPr>
      <w:r>
        <w:rPr>
          <w:rFonts w:ascii="David" w:hAnsi="David" w:cs="David"/>
          <w:sz w:val="24"/>
          <w:szCs w:val="24"/>
          <w:rtl/>
        </w:rPr>
        <w:t>בנוסף, גם אם במבחן התוצאה לא נגרם נזק נוסף מלבד נזק ממוני, הרי שאין לתוצאה מבורכת זו כל קשר להתנהגותו והתנהלותו של הנאשם. בהתאם לפסיקה אליה הפניתי לעיל, "</w:t>
      </w:r>
      <w:r>
        <w:rPr>
          <w:rFonts w:ascii="David" w:hAnsi="David" w:cs="David"/>
          <w:b/>
          <w:bCs/>
          <w:sz w:val="24"/>
          <w:szCs w:val="24"/>
          <w:rtl/>
        </w:rPr>
        <w:t>טבעה של הצתה שראשיתה ידוע, אולם כיצד תתפשט ומה יהיה היקף הנזק הכרוך בה הוא עניין שת המצית, בדרך כלל, אין שליטה עליו</w:t>
      </w:r>
      <w:r>
        <w:rPr>
          <w:rFonts w:ascii="David" w:hAnsi="David" w:cs="David"/>
          <w:sz w:val="24"/>
          <w:szCs w:val="24"/>
          <w:rtl/>
        </w:rPr>
        <w:t>". הדברים אמורים מקל וחומר בשים לב לשעת הבוקר המוקדמת בה בוצעה העבירה, וכן למיקום מעשה ההצתה –בבית מגורים.</w:t>
      </w:r>
    </w:p>
    <w:p w14:paraId="7E5D0F12" w14:textId="77777777" w:rsidR="000C5076" w:rsidRDefault="000C5076" w:rsidP="00534CFF">
      <w:pPr>
        <w:pStyle w:val="Ruller43"/>
        <w:rPr>
          <w:rFonts w:ascii="David" w:hAnsi="David" w:cs="David"/>
          <w:sz w:val="24"/>
          <w:szCs w:val="24"/>
          <w:rtl/>
        </w:rPr>
      </w:pPr>
    </w:p>
    <w:p w14:paraId="5318122F" w14:textId="77777777" w:rsidR="000C5076" w:rsidRDefault="000C5076" w:rsidP="00534CFF">
      <w:pPr>
        <w:pStyle w:val="Ruller43"/>
        <w:ind w:left="720" w:hanging="720"/>
        <w:rPr>
          <w:rFonts w:ascii="David" w:hAnsi="David" w:cs="David"/>
          <w:sz w:val="24"/>
          <w:szCs w:val="24"/>
          <w:rtl/>
        </w:rPr>
      </w:pPr>
      <w:r>
        <w:rPr>
          <w:rFonts w:ascii="David" w:hAnsi="David" w:cs="David"/>
          <w:sz w:val="24"/>
          <w:szCs w:val="24"/>
          <w:rtl/>
        </w:rPr>
        <w:t>12.</w:t>
      </w:r>
      <w:r>
        <w:rPr>
          <w:rFonts w:ascii="David" w:hAnsi="David" w:cs="David"/>
          <w:sz w:val="24"/>
          <w:szCs w:val="24"/>
          <w:rtl/>
        </w:rPr>
        <w:tab/>
        <w:t xml:space="preserve">מידת העונש בעבירות ההצתה תלויה בנסיבותיו המיוחדות של כל מקרה ומקרה, וכך נקבע בעניין פדר: </w:t>
      </w:r>
    </w:p>
    <w:p w14:paraId="5D7E7D99" w14:textId="77777777" w:rsidR="000C5076" w:rsidRDefault="000C5076" w:rsidP="00BD0937">
      <w:pPr>
        <w:spacing w:before="240" w:after="240" w:line="360" w:lineRule="auto"/>
        <w:ind w:left="1440"/>
        <w:jc w:val="both"/>
        <w:rPr>
          <w:rFonts w:ascii="David" w:hAnsi="David"/>
          <w:rtl/>
        </w:rPr>
      </w:pPr>
      <w:r>
        <w:rPr>
          <w:rFonts w:ascii="David" w:hAnsi="David"/>
          <w:b/>
          <w:bCs/>
          <w:rtl/>
        </w:rPr>
        <w:t>אף על פי כן, מעיון בפסיקה עולה כי טווחי הענישה שנקבעו בפועל בעבירות הצתה לסוגיהן אינם אחידים, הואיל ובמסגרת שיקולי הענישה על בית המשפט לתת דעתו, בין היתר, לתוצאות המעשה, לפוטנציאל הסיכון לחיי אדם ולרכוש הגלום במעשה ההצתה, לתכנון המוקדם ולעברו הפלילי של מבצע העבירה במקרה הקונקרטי [ראו:</w:t>
      </w:r>
      <w:r w:rsidR="00510EB4">
        <w:rPr>
          <w:rFonts w:ascii="David" w:hAnsi="David" w:hint="cs"/>
          <w:b/>
          <w:bCs/>
          <w:rtl/>
        </w:rPr>
        <w:t xml:space="preserve"> </w:t>
      </w:r>
      <w:hyperlink r:id="rId49" w:history="1">
        <w:r w:rsidR="00510EB4" w:rsidRPr="00510EB4">
          <w:rPr>
            <w:rStyle w:val="Hyperlink"/>
            <w:rFonts w:ascii="David" w:hAnsi="David" w:hint="eastAsia"/>
            <w:b/>
            <w:bCs/>
            <w:rtl/>
          </w:rPr>
          <w:t>ע</w:t>
        </w:r>
        <w:r w:rsidR="00510EB4" w:rsidRPr="00510EB4">
          <w:rPr>
            <w:rStyle w:val="Hyperlink"/>
            <w:rFonts w:ascii="David" w:hAnsi="David"/>
            <w:b/>
            <w:bCs/>
            <w:rtl/>
          </w:rPr>
          <w:t>"פ 10221/06</w:t>
        </w:r>
      </w:hyperlink>
      <w:r>
        <w:rPr>
          <w:rFonts w:ascii="David" w:hAnsi="David"/>
          <w:b/>
          <w:bCs/>
          <w:rtl/>
        </w:rPr>
        <w:t xml:space="preserve"> ג'ורן נ' מדינת ישראל [פורסם בנבו] (17.1.2008) פסקה 28; עניין סורי פסקה 6]. אולם, נראה כי במהלך השנים האחרונות מסתמנת מגמת החמרה מסוימת ברמת הענישה ובית משפט זה אף הביע דעתו לאחרונה בדבר הצורך בהחמרה שכזו לאור השיקולים שהוזכרו מעלה [ראו</w:t>
      </w:r>
      <w:r w:rsidR="00510EB4">
        <w:rPr>
          <w:rFonts w:ascii="David" w:hAnsi="David" w:hint="cs"/>
          <w:b/>
          <w:bCs/>
          <w:rtl/>
        </w:rPr>
        <w:t xml:space="preserve">: </w:t>
      </w:r>
      <w:hyperlink r:id="rId50" w:history="1">
        <w:r w:rsidR="00510EB4" w:rsidRPr="00510EB4">
          <w:rPr>
            <w:rStyle w:val="Hyperlink"/>
            <w:rFonts w:ascii="David" w:hAnsi="David" w:hint="eastAsia"/>
            <w:b/>
            <w:bCs/>
            <w:rtl/>
          </w:rPr>
          <w:t>ע</w:t>
        </w:r>
        <w:r w:rsidR="00510EB4" w:rsidRPr="00510EB4">
          <w:rPr>
            <w:rStyle w:val="Hyperlink"/>
            <w:rFonts w:ascii="David" w:hAnsi="David"/>
            <w:b/>
            <w:bCs/>
            <w:rtl/>
          </w:rPr>
          <w:t>"פ 5960/13</w:t>
        </w:r>
      </w:hyperlink>
      <w:r>
        <w:rPr>
          <w:rFonts w:ascii="David" w:hAnsi="David"/>
          <w:b/>
          <w:bCs/>
          <w:rtl/>
        </w:rPr>
        <w:t xml:space="preserve"> מדינת ישראל נ' עון, [פורסם בנבו] פסקה 9 וההפניות שם (23.4.2014);</w:t>
      </w:r>
      <w:r w:rsidR="00BD0937">
        <w:rPr>
          <w:rFonts w:ascii="David" w:hAnsi="David" w:hint="cs"/>
          <w:b/>
          <w:bCs/>
          <w:rtl/>
        </w:rPr>
        <w:t xml:space="preserve"> </w:t>
      </w:r>
      <w:hyperlink r:id="rId51" w:history="1">
        <w:r w:rsidR="00BD0937" w:rsidRPr="00BD0937">
          <w:rPr>
            <w:rStyle w:val="Hyperlink"/>
            <w:rFonts w:ascii="David" w:hAnsi="David" w:hint="eastAsia"/>
            <w:b/>
            <w:bCs/>
            <w:rtl/>
          </w:rPr>
          <w:t>ע</w:t>
        </w:r>
        <w:r w:rsidR="00BD0937" w:rsidRPr="00BD0937">
          <w:rPr>
            <w:rStyle w:val="Hyperlink"/>
            <w:rFonts w:ascii="David" w:hAnsi="David"/>
            <w:b/>
            <w:bCs/>
            <w:rtl/>
          </w:rPr>
          <w:t xml:space="preserve">"פ 7887/12 </w:t>
        </w:r>
      </w:hyperlink>
      <w:r>
        <w:rPr>
          <w:rFonts w:ascii="David" w:hAnsi="David"/>
          <w:b/>
          <w:bCs/>
          <w:rtl/>
        </w:rPr>
        <w:t xml:space="preserve"> שאול נ' מדינת ישראל [פורסם בנבו] (24.4.2013)]. יחד עם זאת, בנסיבות מיוחדות מצא בית המשפט להשית עונשים קלים יותר ממדיניות הענישה הנהוגה. זאת, מאחר וקיימת הבחנה בין הצתה אחת לאחרת ולא מן הנמנע שהעונשים שיושתו בגין אותה עבירה יהיו שונים בהתאם לשונות נסיבות ביצוע העבירה ומבצעה [ראו למשל: עניין סורי;</w:t>
      </w:r>
      <w:r w:rsidR="00BD0937">
        <w:rPr>
          <w:rFonts w:ascii="David" w:hAnsi="David" w:hint="cs"/>
          <w:b/>
          <w:bCs/>
          <w:rtl/>
        </w:rPr>
        <w:t xml:space="preserve"> </w:t>
      </w:r>
      <w:hyperlink r:id="rId52" w:history="1">
        <w:r w:rsidR="00BD0937" w:rsidRPr="00BD0937">
          <w:rPr>
            <w:rStyle w:val="Hyperlink"/>
            <w:rFonts w:ascii="David" w:hAnsi="David" w:hint="eastAsia"/>
            <w:b/>
            <w:bCs/>
            <w:rtl/>
          </w:rPr>
          <w:t>ע</w:t>
        </w:r>
        <w:r w:rsidR="00BD0937" w:rsidRPr="00BD0937">
          <w:rPr>
            <w:rStyle w:val="Hyperlink"/>
            <w:rFonts w:ascii="David" w:hAnsi="David"/>
            <w:b/>
            <w:bCs/>
            <w:rtl/>
          </w:rPr>
          <w:t>"פ 1727/14</w:t>
        </w:r>
      </w:hyperlink>
      <w:r>
        <w:rPr>
          <w:rFonts w:ascii="David" w:hAnsi="David"/>
          <w:b/>
          <w:bCs/>
          <w:rtl/>
        </w:rPr>
        <w:t xml:space="preserve"> מימון נ' מדינת ישראל [פורסם בנבו] (6.1.2015) פסקה </w:t>
      </w:r>
      <w:hyperlink r:id="rId53" w:history="1">
        <w:r w:rsidR="00BD0937" w:rsidRPr="00BD0937">
          <w:rPr>
            <w:rStyle w:val="Hyperlink"/>
            <w:rFonts w:ascii="David" w:hAnsi="David" w:hint="eastAsia"/>
            <w:b/>
            <w:bCs/>
            <w:rtl/>
          </w:rPr>
          <w:t>ע</w:t>
        </w:r>
        <w:r w:rsidR="00BD0937" w:rsidRPr="00BD0937">
          <w:rPr>
            <w:rStyle w:val="Hyperlink"/>
            <w:rFonts w:ascii="David" w:hAnsi="David"/>
            <w:b/>
            <w:bCs/>
            <w:rtl/>
          </w:rPr>
          <w:t xml:space="preserve">"פ 4036/13 </w:t>
        </w:r>
      </w:hyperlink>
      <w:r w:rsidR="00BD0937">
        <w:rPr>
          <w:rFonts w:ascii="David" w:hAnsi="David" w:hint="cs"/>
          <w:b/>
          <w:bCs/>
          <w:rtl/>
        </w:rPr>
        <w:t xml:space="preserve"> </w:t>
      </w:r>
      <w:r>
        <w:rPr>
          <w:rFonts w:ascii="David" w:hAnsi="David"/>
          <w:b/>
          <w:bCs/>
          <w:rtl/>
        </w:rPr>
        <w:t xml:space="preserve">אמארה נ' מדינת ישראל, [פורסם בנבו] פסקה 6 (5.10.2014)]. </w:t>
      </w:r>
    </w:p>
    <w:p w14:paraId="58A53F55" w14:textId="77777777" w:rsidR="000C5076" w:rsidRDefault="000C5076" w:rsidP="00854CB7">
      <w:pPr>
        <w:spacing w:line="360" w:lineRule="auto"/>
        <w:ind w:left="720" w:hanging="720"/>
        <w:jc w:val="both"/>
        <w:rPr>
          <w:rFonts w:ascii="David" w:hAnsi="David"/>
          <w:rtl/>
        </w:rPr>
      </w:pPr>
      <w:r>
        <w:rPr>
          <w:rFonts w:ascii="David" w:hAnsi="David"/>
          <w:rtl/>
        </w:rPr>
        <w:tab/>
        <w:t xml:space="preserve">בנוסף אפנה לדבריו של כב' השופט ג. קרא </w:t>
      </w:r>
      <w:hyperlink r:id="rId54" w:history="1">
        <w:r w:rsidR="009F6543" w:rsidRPr="009F6543">
          <w:rPr>
            <w:rFonts w:ascii="David" w:hAnsi="David"/>
            <w:color w:val="0000FF"/>
            <w:u w:val="single"/>
            <w:rtl/>
          </w:rPr>
          <w:t>ע"פ 6326/17</w:t>
        </w:r>
      </w:hyperlink>
      <w:r>
        <w:rPr>
          <w:rFonts w:ascii="David" w:hAnsi="David"/>
          <w:rtl/>
        </w:rPr>
        <w:t xml:space="preserve"> </w:t>
      </w:r>
      <w:r>
        <w:rPr>
          <w:rFonts w:ascii="David" w:hAnsi="David"/>
          <w:b/>
          <w:bCs/>
          <w:rtl/>
        </w:rPr>
        <w:t>פלוני נ' מדינת ישראל</w:t>
      </w:r>
      <w:r>
        <w:rPr>
          <w:rFonts w:ascii="David" w:hAnsi="David"/>
          <w:rtl/>
        </w:rPr>
        <w:t xml:space="preserve"> </w:t>
      </w:r>
      <w:r w:rsidR="00387D9D" w:rsidRPr="00387D9D">
        <w:rPr>
          <w:sz w:val="22"/>
          <w:rtl/>
        </w:rPr>
        <w:t xml:space="preserve">[פורסם בנבו] </w:t>
      </w:r>
      <w:r>
        <w:rPr>
          <w:rFonts w:ascii="David" w:hAnsi="David"/>
          <w:rtl/>
        </w:rPr>
        <w:t>(03.12.2017):</w:t>
      </w:r>
    </w:p>
    <w:p w14:paraId="567B772B" w14:textId="77777777" w:rsidR="000C5076" w:rsidRDefault="000C5076" w:rsidP="00534CFF">
      <w:pPr>
        <w:spacing w:line="360" w:lineRule="auto"/>
        <w:ind w:left="720"/>
        <w:jc w:val="both"/>
        <w:rPr>
          <w:rFonts w:ascii="David" w:hAnsi="David"/>
          <w:rtl/>
        </w:rPr>
      </w:pPr>
    </w:p>
    <w:p w14:paraId="59979DE9" w14:textId="77777777" w:rsidR="000C5076" w:rsidRDefault="000C5076" w:rsidP="00BD0937">
      <w:pPr>
        <w:spacing w:line="360" w:lineRule="auto"/>
        <w:ind w:left="1440"/>
        <w:jc w:val="both"/>
        <w:rPr>
          <w:rFonts w:ascii="David" w:hAnsi="David"/>
          <w:b/>
          <w:bCs/>
          <w:rtl/>
        </w:rPr>
      </w:pPr>
      <w:r>
        <w:rPr>
          <w:rFonts w:ascii="David" w:hAnsi="David"/>
          <w:b/>
          <w:bCs/>
          <w:rtl/>
        </w:rPr>
        <w:t>"....מנעד הענישה בעבירות ההצתה הוא רחב ובקביעת מידת העונש בכל מקרה ומקרה יש לקחת בחשבון את תוצאות המעשה, את מידת הסיכון שנשקפה בעטיו לחיי אדם ולרכוש, את קיומו או העדרו של תכנון מוקדם ואת עברו הפלילי של הנאשם (</w:t>
      </w:r>
      <w:hyperlink r:id="rId55" w:history="1">
        <w:r w:rsidR="00010BBA" w:rsidRPr="00010BBA">
          <w:rPr>
            <w:rStyle w:val="Hyperlink"/>
            <w:rFonts w:ascii="David" w:hAnsi="David" w:hint="eastAsia"/>
            <w:b/>
            <w:bCs/>
            <w:rtl/>
          </w:rPr>
          <w:t>ע</w:t>
        </w:r>
        <w:r w:rsidR="00010BBA" w:rsidRPr="00010BBA">
          <w:rPr>
            <w:rStyle w:val="Hyperlink"/>
            <w:rFonts w:ascii="David" w:hAnsi="David"/>
            <w:b/>
            <w:bCs/>
            <w:rtl/>
          </w:rPr>
          <w:t>"פ 4006/12</w:t>
        </w:r>
      </w:hyperlink>
      <w:r w:rsidR="00010BBA">
        <w:rPr>
          <w:rFonts w:ascii="David" w:hAnsi="David" w:hint="cs"/>
          <w:b/>
          <w:bCs/>
          <w:rtl/>
        </w:rPr>
        <w:t xml:space="preserve"> </w:t>
      </w:r>
      <w:r>
        <w:rPr>
          <w:rFonts w:ascii="David" w:hAnsi="David"/>
          <w:b/>
          <w:bCs/>
          <w:rtl/>
        </w:rPr>
        <w:t>מלאך נ' מדינת ישראל [פורסם בנבו] (5.2.2013))".</w:t>
      </w:r>
    </w:p>
    <w:p w14:paraId="2891E610" w14:textId="77777777" w:rsidR="000C5076" w:rsidRDefault="000C5076" w:rsidP="00534CFF">
      <w:pPr>
        <w:pStyle w:val="Ruller43"/>
        <w:ind w:left="720" w:hanging="720"/>
        <w:rPr>
          <w:rFonts w:ascii="David" w:hAnsi="David" w:cs="David"/>
          <w:sz w:val="24"/>
          <w:szCs w:val="24"/>
          <w:rtl/>
        </w:rPr>
      </w:pPr>
      <w:r>
        <w:rPr>
          <w:rFonts w:ascii="David" w:hAnsi="David" w:cs="David"/>
          <w:sz w:val="24"/>
          <w:szCs w:val="24"/>
          <w:rtl/>
        </w:rPr>
        <w:tab/>
      </w:r>
    </w:p>
    <w:p w14:paraId="0033B54E" w14:textId="77777777" w:rsidR="000C5076" w:rsidRDefault="000C5076" w:rsidP="00534CFF">
      <w:pPr>
        <w:pStyle w:val="Ruller43"/>
        <w:ind w:left="720" w:hanging="720"/>
        <w:rPr>
          <w:rFonts w:ascii="David" w:hAnsi="David" w:cs="David"/>
          <w:sz w:val="24"/>
          <w:szCs w:val="24"/>
          <w:rtl/>
        </w:rPr>
      </w:pPr>
      <w:r>
        <w:rPr>
          <w:rFonts w:ascii="David" w:hAnsi="David" w:cs="David"/>
          <w:sz w:val="24"/>
          <w:szCs w:val="24"/>
          <w:rtl/>
        </w:rPr>
        <w:tab/>
        <w:t>באי-כוח הצדדים הפנו לפסיקה רלוונטית, והגישו לעיוני אסופה נרחבת של פסיקה הן מבית המשפט העליון והן מבתי המשפט המחוזיים.</w:t>
      </w:r>
    </w:p>
    <w:p w14:paraId="5ABF1B5F" w14:textId="77777777" w:rsidR="000C5076" w:rsidRDefault="000C5076" w:rsidP="00534CFF">
      <w:pPr>
        <w:pStyle w:val="Ruller43"/>
        <w:rPr>
          <w:rFonts w:ascii="David" w:hAnsi="David" w:cs="David"/>
          <w:sz w:val="24"/>
          <w:szCs w:val="24"/>
          <w:rtl/>
        </w:rPr>
      </w:pPr>
    </w:p>
    <w:p w14:paraId="7089E187" w14:textId="77777777" w:rsidR="000C5076" w:rsidRDefault="000C5076" w:rsidP="00534CFF">
      <w:pPr>
        <w:pStyle w:val="Ruller43"/>
        <w:ind w:left="720"/>
        <w:rPr>
          <w:rFonts w:ascii="David" w:hAnsi="David" w:cs="David"/>
          <w:sz w:val="24"/>
          <w:szCs w:val="24"/>
          <w:rtl/>
        </w:rPr>
      </w:pPr>
      <w:r>
        <w:rPr>
          <w:rFonts w:ascii="David" w:hAnsi="David" w:cs="David"/>
          <w:sz w:val="24"/>
          <w:szCs w:val="24"/>
          <w:rtl/>
        </w:rPr>
        <w:t>עולה בבירור, כי קיים מנעד רחב ביותר של פסיקה באשר לענישת קטינים בעבירות האמורות. מחד-גיסא, קיימת פסיקה שבה הסתפקו בתי המשפט בהטלת עונשי מאסר מותנים, וכן עונשי מאסר לריצוי בעבודות שירות, ומאידך גיסא, קיימת פסיקה, שבה עמדו בתי המשפט על-כך שלא ניתן להימנע בעבירה מסוג זה מלהטיל על הנאשם עונש של מאסר בפועל לריצוי מאחורי סורג ובריח.</w:t>
      </w:r>
    </w:p>
    <w:p w14:paraId="749DF459" w14:textId="77777777" w:rsidR="000C5076" w:rsidRDefault="000C5076" w:rsidP="00534CFF">
      <w:pPr>
        <w:pStyle w:val="Ruller43"/>
        <w:ind w:left="720"/>
        <w:rPr>
          <w:rFonts w:ascii="David" w:hAnsi="David" w:cs="David"/>
          <w:sz w:val="24"/>
          <w:szCs w:val="24"/>
          <w:rtl/>
        </w:rPr>
      </w:pPr>
    </w:p>
    <w:p w14:paraId="6AB3E15B" w14:textId="77777777" w:rsidR="000C5076" w:rsidRDefault="000C5076" w:rsidP="00534CFF">
      <w:pPr>
        <w:spacing w:line="360" w:lineRule="auto"/>
        <w:ind w:left="720"/>
        <w:jc w:val="both"/>
        <w:rPr>
          <w:rFonts w:ascii="David" w:hAnsi="David"/>
          <w:rtl/>
        </w:rPr>
      </w:pPr>
      <w:r>
        <w:rPr>
          <w:rFonts w:ascii="David" w:hAnsi="David"/>
          <w:rtl/>
        </w:rPr>
        <w:t xml:space="preserve">וראו דבריו לדבריו של כב' השופט ג. קרא </w:t>
      </w:r>
      <w:hyperlink r:id="rId56" w:history="1">
        <w:r w:rsidR="009F6543" w:rsidRPr="009F6543">
          <w:rPr>
            <w:rFonts w:ascii="David" w:hAnsi="David"/>
            <w:color w:val="0000FF"/>
            <w:u w:val="single"/>
            <w:rtl/>
          </w:rPr>
          <w:t>ע"פ 6326/17</w:t>
        </w:r>
      </w:hyperlink>
      <w:r>
        <w:rPr>
          <w:rFonts w:ascii="David" w:hAnsi="David"/>
          <w:rtl/>
        </w:rPr>
        <w:t xml:space="preserve"> </w:t>
      </w:r>
      <w:r>
        <w:rPr>
          <w:rFonts w:ascii="David" w:hAnsi="David"/>
          <w:b/>
          <w:bCs/>
          <w:rtl/>
        </w:rPr>
        <w:t>פלוני נ' מדינת ישראל</w:t>
      </w:r>
      <w:r>
        <w:rPr>
          <w:rFonts w:ascii="David" w:hAnsi="David"/>
          <w:rtl/>
        </w:rPr>
        <w:t xml:space="preserve"> </w:t>
      </w:r>
      <w:r w:rsidR="00387D9D" w:rsidRPr="00387D9D">
        <w:rPr>
          <w:sz w:val="22"/>
          <w:rtl/>
        </w:rPr>
        <w:t xml:space="preserve">[פורסם בנבו] </w:t>
      </w:r>
      <w:r>
        <w:rPr>
          <w:rFonts w:ascii="David" w:hAnsi="David"/>
          <w:rtl/>
        </w:rPr>
        <w:t>(03.12.2017):</w:t>
      </w:r>
    </w:p>
    <w:p w14:paraId="11D956F9" w14:textId="77777777" w:rsidR="000C5076" w:rsidRDefault="000C5076" w:rsidP="00534CFF">
      <w:pPr>
        <w:pStyle w:val="Ruller43"/>
        <w:ind w:left="720"/>
        <w:rPr>
          <w:rFonts w:ascii="David" w:hAnsi="David" w:cs="David"/>
          <w:sz w:val="24"/>
          <w:szCs w:val="24"/>
          <w:rtl/>
        </w:rPr>
      </w:pPr>
    </w:p>
    <w:p w14:paraId="59EA4C0C" w14:textId="77777777" w:rsidR="000C5076" w:rsidRDefault="000C5076" w:rsidP="00010BBA">
      <w:pPr>
        <w:pStyle w:val="Ruller43"/>
        <w:ind w:left="1440"/>
        <w:rPr>
          <w:rFonts w:ascii="David" w:hAnsi="David" w:cs="David"/>
          <w:b/>
          <w:bCs/>
          <w:sz w:val="24"/>
          <w:szCs w:val="24"/>
          <w:rtl/>
        </w:rPr>
      </w:pPr>
      <w:r>
        <w:rPr>
          <w:rFonts w:ascii="David" w:hAnsi="David" w:cs="David"/>
          <w:b/>
          <w:bCs/>
          <w:sz w:val="24"/>
          <w:szCs w:val="24"/>
          <w:rtl/>
        </w:rPr>
        <w:t>"אין חולק כי עבירת ההצתה היא עבירה חמורה הנושאת בצידה עונשים לתקופות מאסר ארוכות, בייחוד כך על פי סיפת הסעיף, שבה הורשע המערער, ועניינה במי ששילח אש בדבר לא לו במטרה, בין היתר, לפגוע באתר טבע או בצמחייה והעונש בצידה הוא עשרים שנות מאסר. ככלל, בעבירות ההצתה לסוגיהן, לרבות בחלופה המחמירה פחות שברישת הסעיף, נהוגה ענישה ממשית של מאסרים בפועל לריצוי מאחורי סורג ובריח כביטוי לסיכון הרב הגלום בה לחיי אדם ולרכוש לנוכח הקושי לשלוט בהיקף הנזקים שהיא עלולה לגרום (</w:t>
      </w:r>
      <w:hyperlink r:id="rId57" w:history="1">
        <w:r w:rsidR="00010BBA" w:rsidRPr="00010BBA">
          <w:rPr>
            <w:rStyle w:val="Hyperlink"/>
            <w:rFonts w:ascii="David" w:hAnsi="David" w:cs="David" w:hint="eastAsia"/>
            <w:b/>
            <w:bCs/>
            <w:spacing w:val="0"/>
            <w:sz w:val="24"/>
            <w:szCs w:val="24"/>
            <w:rtl/>
          </w:rPr>
          <w:t>ע</w:t>
        </w:r>
        <w:r w:rsidR="00010BBA" w:rsidRPr="00010BBA">
          <w:rPr>
            <w:rStyle w:val="Hyperlink"/>
            <w:rFonts w:ascii="David" w:hAnsi="David" w:cs="David"/>
            <w:b/>
            <w:bCs/>
            <w:spacing w:val="0"/>
            <w:sz w:val="24"/>
            <w:szCs w:val="24"/>
            <w:rtl/>
          </w:rPr>
          <w:t>"פ 8659/13</w:t>
        </w:r>
      </w:hyperlink>
      <w:r w:rsidR="00010BBA" w:rsidRPr="00010BBA">
        <w:rPr>
          <w:rFonts w:ascii="David" w:hAnsi="David" w:cs="David" w:hint="cs"/>
          <w:b/>
          <w:bCs/>
          <w:spacing w:val="0"/>
          <w:sz w:val="24"/>
          <w:szCs w:val="24"/>
          <w:rtl/>
        </w:rPr>
        <w:t xml:space="preserve"> </w:t>
      </w:r>
      <w:r>
        <w:rPr>
          <w:rFonts w:ascii="David" w:hAnsi="David" w:cs="David"/>
          <w:b/>
          <w:bCs/>
          <w:spacing w:val="0"/>
          <w:sz w:val="24"/>
          <w:szCs w:val="24"/>
          <w:rtl/>
        </w:rPr>
        <w:t>אלמליח נ' מדינת ישראל [פורסם בנבו] (</w:t>
      </w:r>
      <w:r>
        <w:rPr>
          <w:rFonts w:ascii="David" w:hAnsi="David" w:cs="David"/>
          <w:b/>
          <w:bCs/>
          <w:sz w:val="24"/>
          <w:szCs w:val="24"/>
          <w:rtl/>
        </w:rPr>
        <w:t xml:space="preserve">14.5.2014), </w:t>
      </w:r>
      <w:hyperlink r:id="rId58" w:history="1">
        <w:r w:rsidR="00010BBA" w:rsidRPr="00010BBA">
          <w:rPr>
            <w:rStyle w:val="Hyperlink"/>
            <w:rFonts w:ascii="David" w:hAnsi="David" w:cs="David" w:hint="eastAsia"/>
            <w:b/>
            <w:bCs/>
            <w:sz w:val="24"/>
            <w:szCs w:val="24"/>
            <w:rtl/>
          </w:rPr>
          <w:t>ע</w:t>
        </w:r>
        <w:r w:rsidR="00010BBA" w:rsidRPr="00010BBA">
          <w:rPr>
            <w:rStyle w:val="Hyperlink"/>
            <w:rFonts w:ascii="David" w:hAnsi="David" w:cs="David"/>
            <w:b/>
            <w:bCs/>
            <w:sz w:val="24"/>
            <w:szCs w:val="24"/>
            <w:rtl/>
          </w:rPr>
          <w:t>"פ 4761/15</w:t>
        </w:r>
      </w:hyperlink>
      <w:r w:rsidR="00010BBA">
        <w:rPr>
          <w:rFonts w:ascii="David" w:hAnsi="David" w:cs="David" w:hint="cs"/>
          <w:b/>
          <w:bCs/>
          <w:sz w:val="24"/>
          <w:szCs w:val="24"/>
          <w:rtl/>
        </w:rPr>
        <w:t xml:space="preserve"> </w:t>
      </w:r>
      <w:r>
        <w:rPr>
          <w:rFonts w:ascii="David" w:hAnsi="David" w:cs="David"/>
          <w:b/>
          <w:bCs/>
          <w:spacing w:val="0"/>
          <w:sz w:val="24"/>
          <w:szCs w:val="24"/>
          <w:rtl/>
        </w:rPr>
        <w:t xml:space="preserve">ג'ורבאן  נ' מדינת ישראל [פורסם בנבו] </w:t>
      </w:r>
      <w:r>
        <w:rPr>
          <w:rFonts w:ascii="David" w:hAnsi="David" w:cs="David"/>
          <w:b/>
          <w:bCs/>
          <w:sz w:val="24"/>
          <w:szCs w:val="24"/>
          <w:rtl/>
        </w:rPr>
        <w:t xml:space="preserve">(23.11.2015), </w:t>
      </w:r>
      <w:hyperlink r:id="rId59" w:history="1">
        <w:r w:rsidR="00010BBA" w:rsidRPr="00010BBA">
          <w:rPr>
            <w:rStyle w:val="Hyperlink"/>
            <w:rFonts w:ascii="David" w:hAnsi="David" w:cs="David" w:hint="eastAsia"/>
            <w:b/>
            <w:bCs/>
            <w:sz w:val="24"/>
            <w:szCs w:val="24"/>
            <w:rtl/>
          </w:rPr>
          <w:t>בש</w:t>
        </w:r>
        <w:r w:rsidR="00010BBA" w:rsidRPr="00010BBA">
          <w:rPr>
            <w:rStyle w:val="Hyperlink"/>
            <w:rFonts w:ascii="David" w:hAnsi="David" w:cs="David"/>
            <w:b/>
            <w:bCs/>
            <w:sz w:val="24"/>
            <w:szCs w:val="24"/>
            <w:rtl/>
          </w:rPr>
          <w:t xml:space="preserve">"פ 1751/17 </w:t>
        </w:r>
      </w:hyperlink>
      <w:r w:rsidR="00010BBA">
        <w:rPr>
          <w:rFonts w:ascii="David" w:hAnsi="David" w:cs="David" w:hint="cs"/>
          <w:b/>
          <w:bCs/>
          <w:sz w:val="24"/>
          <w:szCs w:val="24"/>
          <w:rtl/>
        </w:rPr>
        <w:t xml:space="preserve"> </w:t>
      </w:r>
      <w:r>
        <w:rPr>
          <w:rFonts w:ascii="David" w:hAnsi="David" w:cs="David"/>
          <w:b/>
          <w:bCs/>
          <w:spacing w:val="0"/>
          <w:sz w:val="24"/>
          <w:szCs w:val="24"/>
          <w:rtl/>
        </w:rPr>
        <w:t xml:space="preserve">מדינת ישראל נ' פלוני [פורסם בנבו] </w:t>
      </w:r>
      <w:r>
        <w:rPr>
          <w:rFonts w:ascii="David" w:hAnsi="David" w:cs="David"/>
          <w:b/>
          <w:bCs/>
          <w:sz w:val="24"/>
          <w:szCs w:val="24"/>
          <w:rtl/>
        </w:rPr>
        <w:t>(להלן:</w:t>
      </w:r>
      <w:r>
        <w:rPr>
          <w:rFonts w:ascii="David" w:hAnsi="David" w:cs="David"/>
          <w:b/>
          <w:bCs/>
          <w:spacing w:val="0"/>
          <w:sz w:val="24"/>
          <w:szCs w:val="24"/>
          <w:rtl/>
        </w:rPr>
        <w:t xml:space="preserve"> עניין פלוני</w:t>
      </w:r>
      <w:r>
        <w:rPr>
          <w:rFonts w:ascii="David" w:hAnsi="David" w:cs="David"/>
          <w:b/>
          <w:bCs/>
          <w:sz w:val="24"/>
          <w:szCs w:val="24"/>
          <w:rtl/>
        </w:rPr>
        <w:t xml:space="preserve">) (7.3.2017)). עונשי מאסר לריצוי בעבודות שירות הוטלו על מי שהורשעו בעבירה זו, במקרים חריגים שהצדיקו זאת לנוכח שיקולי שיקום משמעותיים </w:t>
      </w:r>
      <w:hyperlink w:history="1">
        <w:r w:rsidR="00010BBA" w:rsidRPr="00010BBA">
          <w:rPr>
            <w:rFonts w:ascii="David" w:hAnsi="David" w:cs="David" w:hint="cs"/>
            <w:b/>
            <w:bCs/>
            <w:spacing w:val="0"/>
            <w:sz w:val="24"/>
            <w:szCs w:val="24"/>
            <w:rtl/>
          </w:rPr>
          <w:t>(</w:t>
        </w:r>
      </w:hyperlink>
      <w:hyperlink r:id="rId60" w:history="1">
        <w:r w:rsidR="00010BBA" w:rsidRPr="00010BBA">
          <w:rPr>
            <w:rStyle w:val="Hyperlink"/>
            <w:rFonts w:ascii="David" w:hAnsi="David" w:cs="David" w:hint="eastAsia"/>
            <w:b/>
            <w:bCs/>
            <w:spacing w:val="0"/>
            <w:sz w:val="24"/>
            <w:szCs w:val="24"/>
            <w:rtl/>
          </w:rPr>
          <w:t>ע</w:t>
        </w:r>
        <w:r w:rsidR="00010BBA" w:rsidRPr="00010BBA">
          <w:rPr>
            <w:rStyle w:val="Hyperlink"/>
            <w:rFonts w:ascii="David" w:hAnsi="David" w:cs="David"/>
            <w:b/>
            <w:bCs/>
            <w:spacing w:val="0"/>
            <w:sz w:val="24"/>
            <w:szCs w:val="24"/>
            <w:rtl/>
          </w:rPr>
          <w:t>"פ 1951/14</w:t>
        </w:r>
      </w:hyperlink>
      <w:r w:rsidR="00010BBA" w:rsidRPr="00010BBA">
        <w:rPr>
          <w:rFonts w:ascii="David" w:hAnsi="David" w:cs="David" w:hint="cs"/>
          <w:b/>
          <w:bCs/>
          <w:spacing w:val="0"/>
          <w:sz w:val="24"/>
          <w:szCs w:val="24"/>
          <w:rtl/>
        </w:rPr>
        <w:t xml:space="preserve"> </w:t>
      </w:r>
      <w:r>
        <w:rPr>
          <w:rFonts w:ascii="David" w:hAnsi="David" w:cs="David"/>
          <w:b/>
          <w:bCs/>
          <w:spacing w:val="0"/>
          <w:sz w:val="24"/>
          <w:szCs w:val="24"/>
          <w:rtl/>
        </w:rPr>
        <w:t>מקונן נ' מדינת ישראל</w:t>
      </w:r>
      <w:r>
        <w:rPr>
          <w:rFonts w:ascii="David" w:hAnsi="David" w:cs="David"/>
          <w:b/>
          <w:bCs/>
          <w:sz w:val="24"/>
          <w:szCs w:val="24"/>
          <w:rtl/>
        </w:rPr>
        <w:t xml:space="preserve"> </w:t>
      </w:r>
      <w:r>
        <w:rPr>
          <w:rFonts w:ascii="David" w:hAnsi="David" w:cs="David"/>
          <w:b/>
          <w:bCs/>
          <w:spacing w:val="0"/>
          <w:sz w:val="24"/>
          <w:szCs w:val="24"/>
          <w:rtl/>
        </w:rPr>
        <w:t xml:space="preserve">[פורסם בנבו] </w:t>
      </w:r>
      <w:r>
        <w:rPr>
          <w:rFonts w:ascii="David" w:hAnsi="David" w:cs="David"/>
          <w:b/>
          <w:bCs/>
          <w:sz w:val="24"/>
          <w:szCs w:val="24"/>
          <w:rtl/>
        </w:rPr>
        <w:t>(15.2.2015) ואלו הם פני הדברים גם בפסקי הדין שהוגשו לעיוננו מטעמו של המערער (</w:t>
      </w:r>
      <w:hyperlink r:id="rId61" w:history="1">
        <w:r w:rsidR="00010BBA" w:rsidRPr="00010BBA">
          <w:rPr>
            <w:rStyle w:val="Hyperlink"/>
            <w:rFonts w:ascii="David" w:hAnsi="David" w:cs="David" w:hint="eastAsia"/>
            <w:b/>
            <w:bCs/>
            <w:sz w:val="24"/>
            <w:szCs w:val="24"/>
            <w:rtl/>
          </w:rPr>
          <w:t>ע</w:t>
        </w:r>
        <w:r w:rsidR="00010BBA" w:rsidRPr="00010BBA">
          <w:rPr>
            <w:rStyle w:val="Hyperlink"/>
            <w:rFonts w:ascii="David" w:hAnsi="David" w:cs="David"/>
            <w:b/>
            <w:bCs/>
            <w:sz w:val="24"/>
            <w:szCs w:val="24"/>
            <w:rtl/>
          </w:rPr>
          <w:t>"פ 4311/12</w:t>
        </w:r>
      </w:hyperlink>
      <w:r w:rsidR="00010BBA">
        <w:rPr>
          <w:rFonts w:ascii="David" w:hAnsi="David" w:cs="David" w:hint="cs"/>
          <w:b/>
          <w:bCs/>
          <w:sz w:val="24"/>
          <w:szCs w:val="24"/>
          <w:rtl/>
        </w:rPr>
        <w:t xml:space="preserve"> </w:t>
      </w:r>
      <w:r>
        <w:rPr>
          <w:rFonts w:ascii="David" w:hAnsi="David" w:cs="David"/>
          <w:b/>
          <w:bCs/>
          <w:spacing w:val="0"/>
          <w:sz w:val="24"/>
          <w:szCs w:val="24"/>
          <w:rtl/>
        </w:rPr>
        <w:t xml:space="preserve">סורי נ' מדינת ישראל [פורסם בנבו]  </w:t>
      </w:r>
      <w:r>
        <w:rPr>
          <w:rFonts w:ascii="David" w:hAnsi="David" w:cs="David"/>
          <w:b/>
          <w:bCs/>
          <w:sz w:val="24"/>
          <w:szCs w:val="24"/>
          <w:rtl/>
        </w:rPr>
        <w:t>8.11.2012),</w:t>
      </w:r>
      <w:r w:rsidR="00010BBA">
        <w:rPr>
          <w:rFonts w:ascii="David" w:hAnsi="David" w:cs="David" w:hint="cs"/>
          <w:b/>
          <w:bCs/>
          <w:sz w:val="24"/>
          <w:szCs w:val="24"/>
          <w:rtl/>
        </w:rPr>
        <w:t xml:space="preserve"> </w:t>
      </w:r>
      <w:hyperlink r:id="rId62" w:history="1">
        <w:r w:rsidR="00010BBA" w:rsidRPr="00010BBA">
          <w:rPr>
            <w:rStyle w:val="Hyperlink"/>
            <w:rFonts w:ascii="David" w:hAnsi="David" w:cs="David" w:hint="eastAsia"/>
            <w:b/>
            <w:bCs/>
            <w:sz w:val="24"/>
            <w:szCs w:val="24"/>
            <w:rtl/>
          </w:rPr>
          <w:t>ע</w:t>
        </w:r>
        <w:r w:rsidR="00010BBA" w:rsidRPr="00010BBA">
          <w:rPr>
            <w:rStyle w:val="Hyperlink"/>
            <w:rFonts w:ascii="David" w:hAnsi="David" w:cs="David"/>
            <w:b/>
            <w:bCs/>
            <w:sz w:val="24"/>
            <w:szCs w:val="24"/>
            <w:rtl/>
          </w:rPr>
          <w:t>"פ 8501/09</w:t>
        </w:r>
      </w:hyperlink>
      <w:r w:rsidR="00010BBA">
        <w:rPr>
          <w:rFonts w:ascii="David" w:hAnsi="David" w:cs="David" w:hint="cs"/>
          <w:b/>
          <w:bCs/>
          <w:sz w:val="24"/>
          <w:szCs w:val="24"/>
          <w:rtl/>
        </w:rPr>
        <w:t xml:space="preserve"> </w:t>
      </w:r>
      <w:r>
        <w:rPr>
          <w:rFonts w:ascii="David" w:hAnsi="David" w:cs="David"/>
          <w:b/>
          <w:bCs/>
          <w:spacing w:val="0"/>
          <w:sz w:val="24"/>
          <w:szCs w:val="24"/>
          <w:rtl/>
        </w:rPr>
        <w:t xml:space="preserve">בוכרע נ' מדינת ישראל [פורסם בנבו] </w:t>
      </w:r>
      <w:r>
        <w:rPr>
          <w:rFonts w:ascii="David" w:hAnsi="David" w:cs="David"/>
          <w:b/>
          <w:bCs/>
          <w:sz w:val="24"/>
          <w:szCs w:val="24"/>
          <w:rtl/>
        </w:rPr>
        <w:t>(10.8.2010))".</w:t>
      </w:r>
    </w:p>
    <w:p w14:paraId="0C744E0A" w14:textId="77777777" w:rsidR="000C5076" w:rsidRDefault="000C5076" w:rsidP="00534CFF">
      <w:pPr>
        <w:pStyle w:val="Ruller43"/>
        <w:rPr>
          <w:rFonts w:ascii="David" w:hAnsi="David" w:cs="David"/>
          <w:sz w:val="24"/>
          <w:szCs w:val="24"/>
          <w:rtl/>
        </w:rPr>
      </w:pPr>
    </w:p>
    <w:p w14:paraId="64E29BC4" w14:textId="77777777" w:rsidR="000C5076" w:rsidRDefault="000C5076" w:rsidP="00534CFF">
      <w:pPr>
        <w:pStyle w:val="Ruller43"/>
        <w:rPr>
          <w:rFonts w:ascii="David" w:hAnsi="David" w:cs="David"/>
          <w:sz w:val="24"/>
          <w:szCs w:val="24"/>
          <w:rtl/>
        </w:rPr>
      </w:pPr>
      <w:r>
        <w:rPr>
          <w:rFonts w:ascii="David" w:hAnsi="David" w:cs="David"/>
          <w:sz w:val="24"/>
          <w:szCs w:val="24"/>
          <w:rtl/>
        </w:rPr>
        <w:t>13.</w:t>
      </w:r>
      <w:r>
        <w:rPr>
          <w:rFonts w:ascii="David" w:hAnsi="David" w:cs="David"/>
          <w:sz w:val="24"/>
          <w:szCs w:val="24"/>
          <w:rtl/>
        </w:rPr>
        <w:tab/>
        <w:t xml:space="preserve">קראתי את הפסיקה אליה הפנו הצדדים. </w:t>
      </w:r>
    </w:p>
    <w:p w14:paraId="647E88A4" w14:textId="77777777" w:rsidR="000C5076" w:rsidRDefault="000C5076" w:rsidP="00534CFF">
      <w:pPr>
        <w:pStyle w:val="Ruller43"/>
        <w:rPr>
          <w:rFonts w:ascii="David" w:hAnsi="David" w:cs="David"/>
          <w:sz w:val="24"/>
          <w:szCs w:val="24"/>
          <w:rtl/>
        </w:rPr>
      </w:pPr>
    </w:p>
    <w:p w14:paraId="654CDEA2" w14:textId="77777777" w:rsidR="000C5076" w:rsidRDefault="000C5076" w:rsidP="00534CFF">
      <w:pPr>
        <w:spacing w:line="360" w:lineRule="auto"/>
        <w:ind w:left="720"/>
        <w:jc w:val="both"/>
        <w:rPr>
          <w:rFonts w:ascii="David" w:hAnsi="David"/>
          <w:rtl/>
        </w:rPr>
      </w:pPr>
      <w:r>
        <w:rPr>
          <w:rFonts w:ascii="David" w:hAnsi="David"/>
          <w:rtl/>
        </w:rPr>
        <w:t>ב"כ המאשימה, כאמור כבר לעיל, הפנה לעניין פלוני 1, שם אישר בית המשפט העליון עונש מאסר בפועל של 18 חודשים, בגין עבירות של קשירת קשר לבצע פשע, חבלה במזיד והצתה.</w:t>
      </w:r>
    </w:p>
    <w:p w14:paraId="5105CBA3" w14:textId="77777777" w:rsidR="000C5076" w:rsidRDefault="000C5076" w:rsidP="00534CFF">
      <w:pPr>
        <w:spacing w:line="360" w:lineRule="auto"/>
        <w:ind w:left="720"/>
        <w:jc w:val="both"/>
        <w:rPr>
          <w:rFonts w:ascii="David" w:hAnsi="David"/>
          <w:rtl/>
        </w:rPr>
      </w:pPr>
      <w:r>
        <w:rPr>
          <w:rFonts w:ascii="David" w:hAnsi="David"/>
          <w:rtl/>
        </w:rPr>
        <w:t>כן הפנה ב"כ המאשימה לעניין פלוני 2,  שם אישר בית המשפט העליון עונש של 27 חודשי מאסר בגין עבירת הצתה בבניין מגורים. הנאשם צירף להליך שלושה תיקים נוספים, אשר כללו עבירות של הפרעה לשוטר בשעת מילוי תפקידו, החזקת סכין שלא כדין, ועבירה של תגרה במקום ציבורי.</w:t>
      </w:r>
    </w:p>
    <w:p w14:paraId="6661FD6F" w14:textId="77777777" w:rsidR="000C5076" w:rsidRDefault="000C5076" w:rsidP="00534CFF">
      <w:pPr>
        <w:spacing w:line="360" w:lineRule="auto"/>
        <w:ind w:left="720"/>
        <w:jc w:val="both"/>
        <w:rPr>
          <w:rFonts w:ascii="David" w:hAnsi="David"/>
          <w:rtl/>
        </w:rPr>
      </w:pPr>
    </w:p>
    <w:p w14:paraId="584487A1" w14:textId="77777777" w:rsidR="000C5076" w:rsidRDefault="000C5076" w:rsidP="00534CFF">
      <w:pPr>
        <w:pStyle w:val="Ruller43"/>
        <w:ind w:left="720"/>
        <w:rPr>
          <w:rFonts w:ascii="David" w:hAnsi="David" w:cs="David"/>
          <w:sz w:val="24"/>
          <w:szCs w:val="24"/>
          <w:rtl/>
        </w:rPr>
      </w:pPr>
      <w:r>
        <w:rPr>
          <w:rFonts w:ascii="David" w:hAnsi="David" w:cs="David"/>
          <w:sz w:val="24"/>
          <w:szCs w:val="24"/>
          <w:rtl/>
        </w:rPr>
        <w:t>מן הפסיקה אליה הפנתה המאשימה עולות נסיבות חמורות מן הנסיבות אשר מתוארות בכתב-האישום בענייננו.</w:t>
      </w:r>
    </w:p>
    <w:p w14:paraId="58141270" w14:textId="77777777" w:rsidR="000C5076" w:rsidRDefault="000C5076" w:rsidP="00534CFF">
      <w:pPr>
        <w:pStyle w:val="Ruller43"/>
        <w:ind w:left="720"/>
        <w:rPr>
          <w:rFonts w:ascii="David" w:hAnsi="David" w:cs="David"/>
          <w:sz w:val="24"/>
          <w:szCs w:val="24"/>
          <w:rtl/>
        </w:rPr>
      </w:pPr>
    </w:p>
    <w:p w14:paraId="1514428F" w14:textId="77777777" w:rsidR="000C5076" w:rsidRDefault="000C5076" w:rsidP="00534CFF">
      <w:pPr>
        <w:pStyle w:val="Ruller43"/>
        <w:ind w:left="720"/>
        <w:rPr>
          <w:rFonts w:ascii="David" w:hAnsi="David" w:cs="David"/>
          <w:sz w:val="24"/>
          <w:szCs w:val="24"/>
          <w:rtl/>
        </w:rPr>
      </w:pPr>
      <w:r>
        <w:rPr>
          <w:rFonts w:ascii="David" w:hAnsi="David" w:cs="David"/>
          <w:sz w:val="24"/>
          <w:szCs w:val="24"/>
          <w:rtl/>
        </w:rPr>
        <w:t>מנגד, לאורכה ולרוחבה של הפסיקה אליה הפנה ב"כ הנאשם עולה, כי גם בהן הנסיבות שונות בתכלית מאלו שבעניינו של הנאשם שבפניי, לרבות תסקירים חיוביים והיעדר עבר פלילי.</w:t>
      </w:r>
    </w:p>
    <w:p w14:paraId="454A22B1" w14:textId="77777777" w:rsidR="000C5076" w:rsidRDefault="000C5076" w:rsidP="00534CFF">
      <w:pPr>
        <w:pStyle w:val="Ruller43"/>
        <w:ind w:left="720"/>
        <w:rPr>
          <w:rFonts w:ascii="David" w:hAnsi="David" w:cs="David"/>
          <w:sz w:val="24"/>
          <w:szCs w:val="24"/>
          <w:rtl/>
        </w:rPr>
      </w:pPr>
    </w:p>
    <w:p w14:paraId="4821C9BA" w14:textId="77777777" w:rsidR="000C5076" w:rsidRDefault="000C5076" w:rsidP="00534CFF">
      <w:pPr>
        <w:pStyle w:val="Ruller43"/>
        <w:ind w:left="720"/>
        <w:rPr>
          <w:rFonts w:ascii="David" w:hAnsi="David" w:cs="David"/>
          <w:sz w:val="24"/>
          <w:szCs w:val="24"/>
          <w:rtl/>
        </w:rPr>
      </w:pPr>
      <w:r>
        <w:rPr>
          <w:rFonts w:ascii="David" w:hAnsi="David" w:cs="David"/>
          <w:sz w:val="24"/>
          <w:szCs w:val="24"/>
          <w:rtl/>
        </w:rPr>
        <w:t xml:space="preserve">ב"כ הנאשם הפנה ל- </w:t>
      </w:r>
      <w:hyperlink r:id="rId63" w:history="1">
        <w:r w:rsidR="009F6543" w:rsidRPr="009F6543">
          <w:rPr>
            <w:rFonts w:ascii="David" w:hAnsi="David" w:cs="David"/>
            <w:color w:val="0000FF"/>
            <w:sz w:val="24"/>
            <w:szCs w:val="24"/>
            <w:u w:val="single"/>
            <w:rtl/>
          </w:rPr>
          <w:t>ת"פ 1540-03-19</w:t>
        </w:r>
      </w:hyperlink>
      <w:r>
        <w:rPr>
          <w:rFonts w:ascii="David" w:hAnsi="David" w:cs="David"/>
          <w:sz w:val="24"/>
          <w:szCs w:val="24"/>
          <w:rtl/>
        </w:rPr>
        <w:t xml:space="preserve"> </w:t>
      </w:r>
      <w:r>
        <w:rPr>
          <w:rFonts w:ascii="David" w:hAnsi="David" w:cs="David"/>
          <w:b/>
          <w:bCs/>
          <w:sz w:val="24"/>
          <w:szCs w:val="24"/>
          <w:rtl/>
        </w:rPr>
        <w:t>מדינת ישראל נ' פלוני</w:t>
      </w:r>
      <w:r>
        <w:rPr>
          <w:rFonts w:ascii="David" w:hAnsi="David" w:cs="David"/>
          <w:sz w:val="24"/>
          <w:szCs w:val="24"/>
          <w:rtl/>
        </w:rPr>
        <w:t xml:space="preserve"> </w:t>
      </w:r>
      <w:r w:rsidR="00387D9D" w:rsidRPr="00387D9D">
        <w:rPr>
          <w:rFonts w:ascii="Times New Roman" w:hAnsi="Times New Roman" w:cs="David"/>
          <w:spacing w:val="0"/>
          <w:szCs w:val="24"/>
          <w:rtl/>
        </w:rPr>
        <w:t xml:space="preserve">[פורסם בנבו] </w:t>
      </w:r>
      <w:r>
        <w:rPr>
          <w:rFonts w:ascii="David" w:hAnsi="David" w:cs="David"/>
          <w:sz w:val="24"/>
          <w:szCs w:val="24"/>
          <w:rtl/>
        </w:rPr>
        <w:t>(22.09.2019), שם הורשע הנאשם בעבירת הצתה, ונגזרו עליו 6 חודשי מאסר בפועל, 4 חודשי מאסר על-תנאי, ופיצוי למתלוננת בסך 1,000 ₪.</w:t>
      </w:r>
    </w:p>
    <w:p w14:paraId="5344ADD9" w14:textId="77777777" w:rsidR="000C5076" w:rsidRDefault="000C5076" w:rsidP="00534CFF">
      <w:pPr>
        <w:pStyle w:val="Ruller43"/>
        <w:ind w:left="720"/>
        <w:rPr>
          <w:rFonts w:ascii="David" w:hAnsi="David" w:cs="David"/>
          <w:sz w:val="24"/>
          <w:szCs w:val="24"/>
          <w:rtl/>
        </w:rPr>
      </w:pPr>
    </w:p>
    <w:p w14:paraId="0CCE5067" w14:textId="77777777" w:rsidR="000C5076" w:rsidRDefault="000C5076" w:rsidP="00534CFF">
      <w:pPr>
        <w:pStyle w:val="Ruller43"/>
        <w:ind w:left="720"/>
        <w:rPr>
          <w:rFonts w:ascii="David" w:hAnsi="David" w:cs="David"/>
          <w:sz w:val="24"/>
          <w:szCs w:val="24"/>
          <w:rtl/>
        </w:rPr>
      </w:pPr>
      <w:r>
        <w:rPr>
          <w:rFonts w:ascii="David" w:hAnsi="David" w:cs="David"/>
          <w:sz w:val="24"/>
          <w:szCs w:val="24"/>
          <w:rtl/>
        </w:rPr>
        <w:t>כמו-כן הפנה ב"כ הנאשם ל-</w:t>
      </w:r>
      <w:hyperlink r:id="rId64" w:history="1">
        <w:r w:rsidR="009F6543" w:rsidRPr="009F6543">
          <w:rPr>
            <w:rFonts w:ascii="David" w:hAnsi="David" w:cs="David"/>
            <w:color w:val="0000FF"/>
            <w:sz w:val="24"/>
            <w:szCs w:val="24"/>
            <w:u w:val="single"/>
            <w:rtl/>
          </w:rPr>
          <w:t>ת"פ 45517-09-13</w:t>
        </w:r>
      </w:hyperlink>
      <w:r>
        <w:rPr>
          <w:rFonts w:ascii="David" w:hAnsi="David" w:cs="David"/>
          <w:sz w:val="24"/>
          <w:szCs w:val="24"/>
          <w:rtl/>
        </w:rPr>
        <w:t xml:space="preserve"> </w:t>
      </w:r>
      <w:r>
        <w:rPr>
          <w:rFonts w:ascii="David" w:hAnsi="David" w:cs="David"/>
          <w:b/>
          <w:bCs/>
          <w:sz w:val="24"/>
          <w:szCs w:val="24"/>
          <w:rtl/>
        </w:rPr>
        <w:t>מדינת ישראל נ' פלוני</w:t>
      </w:r>
      <w:r>
        <w:rPr>
          <w:rFonts w:ascii="David" w:hAnsi="David" w:cs="David"/>
          <w:sz w:val="24"/>
          <w:szCs w:val="24"/>
          <w:rtl/>
        </w:rPr>
        <w:t xml:space="preserve"> </w:t>
      </w:r>
      <w:r w:rsidR="00387D9D" w:rsidRPr="00387D9D">
        <w:rPr>
          <w:rFonts w:ascii="Times New Roman" w:hAnsi="Times New Roman" w:cs="David"/>
          <w:spacing w:val="0"/>
          <w:szCs w:val="24"/>
          <w:rtl/>
        </w:rPr>
        <w:t xml:space="preserve">[פורסם בנבו] </w:t>
      </w:r>
      <w:r>
        <w:rPr>
          <w:rFonts w:ascii="David" w:hAnsi="David" w:cs="David"/>
          <w:sz w:val="24"/>
          <w:szCs w:val="24"/>
          <w:rtl/>
        </w:rPr>
        <w:t>(06.10.2015), שם הורשע הנאשם בעבירות של תקיפה והצתה, וכן צורף להליך תיק נוסף הכולל שני אישומים של גניבה וקבלת דבר במרמה, ונגזרו עליו עונשי מאסר מותנים.</w:t>
      </w:r>
    </w:p>
    <w:p w14:paraId="61EF287A" w14:textId="77777777" w:rsidR="000C5076" w:rsidRDefault="000C5076" w:rsidP="00534CFF">
      <w:pPr>
        <w:pStyle w:val="Ruller43"/>
        <w:ind w:left="720"/>
        <w:rPr>
          <w:rFonts w:ascii="David" w:hAnsi="David" w:cs="David"/>
          <w:sz w:val="24"/>
          <w:szCs w:val="24"/>
          <w:rtl/>
        </w:rPr>
      </w:pPr>
    </w:p>
    <w:p w14:paraId="2EF0BED7" w14:textId="77777777" w:rsidR="000C5076" w:rsidRDefault="000C5076" w:rsidP="00534CFF">
      <w:pPr>
        <w:pStyle w:val="Ruller43"/>
        <w:ind w:left="720"/>
        <w:rPr>
          <w:rFonts w:ascii="David" w:hAnsi="David" w:cs="David"/>
          <w:sz w:val="24"/>
          <w:szCs w:val="24"/>
          <w:rtl/>
        </w:rPr>
      </w:pPr>
      <w:r>
        <w:rPr>
          <w:rFonts w:ascii="David" w:hAnsi="David" w:cs="David"/>
          <w:sz w:val="24"/>
          <w:szCs w:val="24"/>
          <w:rtl/>
        </w:rPr>
        <w:t>עוד הפנה ב"כ הנאשם ל-</w:t>
      </w:r>
      <w:hyperlink r:id="rId65" w:history="1">
        <w:r w:rsidR="009F6543" w:rsidRPr="009F6543">
          <w:rPr>
            <w:rFonts w:ascii="David" w:hAnsi="David" w:cs="David"/>
            <w:color w:val="0000FF"/>
            <w:sz w:val="24"/>
            <w:szCs w:val="24"/>
            <w:u w:val="single"/>
            <w:rtl/>
          </w:rPr>
          <w:t>ע"פ 2166/18</w:t>
        </w:r>
      </w:hyperlink>
      <w:r>
        <w:rPr>
          <w:rFonts w:ascii="David" w:hAnsi="David" w:cs="David"/>
          <w:sz w:val="24"/>
          <w:szCs w:val="24"/>
          <w:rtl/>
        </w:rPr>
        <w:t xml:space="preserve"> </w:t>
      </w:r>
      <w:r>
        <w:rPr>
          <w:rFonts w:ascii="David" w:hAnsi="David" w:cs="David"/>
          <w:b/>
          <w:bCs/>
          <w:sz w:val="24"/>
          <w:szCs w:val="24"/>
          <w:rtl/>
        </w:rPr>
        <w:t xml:space="preserve">פלוני נ' מדינת ישראל </w:t>
      </w:r>
      <w:r w:rsidR="00387D9D" w:rsidRPr="00387D9D">
        <w:rPr>
          <w:rFonts w:ascii="Times New Roman" w:hAnsi="Times New Roman" w:cs="David"/>
          <w:spacing w:val="0"/>
          <w:szCs w:val="24"/>
          <w:rtl/>
        </w:rPr>
        <w:t xml:space="preserve">[פורסם בנבו] </w:t>
      </w:r>
      <w:r>
        <w:rPr>
          <w:rFonts w:ascii="David" w:hAnsi="David" w:cs="David"/>
          <w:sz w:val="24"/>
          <w:szCs w:val="24"/>
          <w:rtl/>
        </w:rPr>
        <w:t>(17.05.2018</w:t>
      </w:r>
      <w:r>
        <w:rPr>
          <w:rFonts w:ascii="David" w:hAnsi="David" w:cs="David"/>
          <w:b/>
          <w:bCs/>
          <w:sz w:val="24"/>
          <w:szCs w:val="24"/>
          <w:rtl/>
        </w:rPr>
        <w:t>)</w:t>
      </w:r>
      <w:r>
        <w:rPr>
          <w:rFonts w:ascii="David" w:hAnsi="David" w:cs="David"/>
          <w:sz w:val="24"/>
          <w:szCs w:val="24"/>
          <w:rtl/>
        </w:rPr>
        <w:t>, שם קיבל בית המשפט העליון את ערעורו של הנאשם והטיל עליו 6 חודשי מאסר לריצוי בעבודות שירות, חלף 9 חודשים שגזר עליו בית המשפט המחוזי בגין עבירת הצתה, וזאת גם בשים-לב לעקרון אחדות הענישה, וחלקו הקטן יחסית של הנאשם בביצוע העבירה, גילו הצעיר, נסיבות חייו הקשות, והעדר עבר פלילי.</w:t>
      </w:r>
    </w:p>
    <w:p w14:paraId="64D614DF" w14:textId="77777777" w:rsidR="000C5076" w:rsidRDefault="000C5076" w:rsidP="00534CFF">
      <w:pPr>
        <w:pStyle w:val="Ruller43"/>
        <w:ind w:left="720"/>
        <w:rPr>
          <w:rFonts w:ascii="David" w:hAnsi="David" w:cs="David"/>
          <w:sz w:val="24"/>
          <w:szCs w:val="24"/>
          <w:rtl/>
        </w:rPr>
      </w:pPr>
    </w:p>
    <w:p w14:paraId="03EB95E4" w14:textId="77777777" w:rsidR="000C5076" w:rsidRDefault="000C5076" w:rsidP="00534CFF">
      <w:pPr>
        <w:pStyle w:val="Ruller43"/>
        <w:ind w:left="720"/>
        <w:rPr>
          <w:rFonts w:ascii="David" w:hAnsi="David" w:cs="David"/>
          <w:sz w:val="24"/>
          <w:szCs w:val="24"/>
          <w:rtl/>
        </w:rPr>
      </w:pPr>
      <w:r>
        <w:rPr>
          <w:rFonts w:ascii="David" w:hAnsi="David" w:cs="David"/>
          <w:sz w:val="24"/>
          <w:szCs w:val="24"/>
          <w:rtl/>
        </w:rPr>
        <w:t>עוד ובנוסף הפנה ב"כ הנאשם ל-</w:t>
      </w:r>
      <w:hyperlink r:id="rId66" w:history="1">
        <w:r w:rsidR="009F6543" w:rsidRPr="009F6543">
          <w:rPr>
            <w:rFonts w:ascii="David" w:hAnsi="David" w:cs="David"/>
            <w:color w:val="0000FF"/>
            <w:sz w:val="24"/>
            <w:szCs w:val="24"/>
            <w:u w:val="single"/>
            <w:rtl/>
          </w:rPr>
          <w:t>ע"פ 2196/06</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w:t>
      </w:r>
      <w:r w:rsidR="00387D9D" w:rsidRPr="00387D9D">
        <w:rPr>
          <w:rFonts w:ascii="Times New Roman" w:hAnsi="Times New Roman" w:cs="David"/>
          <w:spacing w:val="0"/>
          <w:szCs w:val="24"/>
          <w:rtl/>
        </w:rPr>
        <w:t xml:space="preserve">[פורסם בנבו] </w:t>
      </w:r>
      <w:r>
        <w:rPr>
          <w:rFonts w:ascii="David" w:hAnsi="David" w:cs="David"/>
          <w:sz w:val="24"/>
          <w:szCs w:val="24"/>
          <w:rtl/>
        </w:rPr>
        <w:t>(27.09.2006), שם נדחה ערעורו של נאשם, אשר הורשע בעבירת הצתה, ונגזרו עליו 21 חודשי מאסר, מתוכם 12 לריצוי בפועל.</w:t>
      </w:r>
    </w:p>
    <w:p w14:paraId="7FE20E5C" w14:textId="77777777" w:rsidR="000C5076" w:rsidRDefault="000C5076" w:rsidP="00534CFF">
      <w:pPr>
        <w:pStyle w:val="Ruller43"/>
        <w:ind w:left="720"/>
        <w:rPr>
          <w:rFonts w:ascii="David" w:hAnsi="David" w:cs="David"/>
          <w:sz w:val="24"/>
          <w:szCs w:val="24"/>
          <w:rtl/>
        </w:rPr>
      </w:pPr>
    </w:p>
    <w:p w14:paraId="1E4DEB04" w14:textId="77777777" w:rsidR="000C5076" w:rsidRDefault="000C5076" w:rsidP="00534CFF">
      <w:pPr>
        <w:spacing w:line="360" w:lineRule="auto"/>
        <w:ind w:left="720" w:hanging="720"/>
        <w:jc w:val="both"/>
        <w:rPr>
          <w:rFonts w:ascii="David" w:hAnsi="David"/>
          <w:rtl/>
        </w:rPr>
      </w:pPr>
      <w:r>
        <w:rPr>
          <w:rFonts w:ascii="David" w:hAnsi="David"/>
          <w:spacing w:val="10"/>
          <w:rtl/>
        </w:rPr>
        <w:t>14.</w:t>
      </w:r>
      <w:r>
        <w:rPr>
          <w:rFonts w:ascii="David" w:hAnsi="David"/>
          <w:spacing w:val="10"/>
          <w:rtl/>
        </w:rPr>
        <w:tab/>
        <w:t xml:space="preserve">בענייננו, </w:t>
      </w:r>
      <w:r>
        <w:rPr>
          <w:rFonts w:ascii="David" w:hAnsi="David"/>
          <w:rtl/>
        </w:rPr>
        <w:t xml:space="preserve">מחד גיסא, במעשה ההצתה לא גרם הנאשם לנזקי גוף, מאידך גיסא, בל נשכח, כי כעולה מעובדות כתב-האישום המתוקן, בהן הודה הנאשם, הוא ביצע את עבירת ההצתה על רקע העימות, אשר אירע מספר שעות קודם. כמו-כן, סבורני, כי, כטענת ב"כ המאשימה, למעשיו של הנאשם קדמה מידה מסוימת של תכנון מוקדם, עת הוא שב לדירה, לאחר שעזב אותה מספר שעות קודם. </w:t>
      </w:r>
    </w:p>
    <w:p w14:paraId="2E3DBB37" w14:textId="77777777" w:rsidR="000C5076" w:rsidRDefault="000C5076" w:rsidP="00534CFF">
      <w:pPr>
        <w:spacing w:line="360" w:lineRule="auto"/>
        <w:ind w:left="720" w:hanging="720"/>
        <w:jc w:val="both"/>
        <w:rPr>
          <w:rFonts w:ascii="David" w:hAnsi="David"/>
          <w:rtl/>
        </w:rPr>
      </w:pPr>
    </w:p>
    <w:p w14:paraId="114400C1" w14:textId="77777777" w:rsidR="000C5076" w:rsidRDefault="000C5076" w:rsidP="00534CFF">
      <w:pPr>
        <w:spacing w:line="360" w:lineRule="auto"/>
        <w:ind w:left="720"/>
        <w:jc w:val="both"/>
        <w:rPr>
          <w:rFonts w:ascii="David" w:hAnsi="David"/>
          <w:rtl/>
        </w:rPr>
      </w:pPr>
      <w:r>
        <w:rPr>
          <w:rFonts w:ascii="David" w:hAnsi="David"/>
          <w:rtl/>
        </w:rPr>
        <w:t>בנוסף, וזה העיקר, מעשה ההצתה בוצע בבניין מגורים, בלב אזור מאוכלס, ובשעה בה ברור, כי אנשים שוהים בבניין. עולה מעובדות כתב-האישום המתוקן, כי לבניין נגרם נזק רב, וברי, כי רק פסע היה בין נזק זה לאבדות בנפש.</w:t>
      </w:r>
    </w:p>
    <w:p w14:paraId="78DDA26F" w14:textId="77777777" w:rsidR="000C5076" w:rsidRDefault="000C5076" w:rsidP="00534CFF">
      <w:pPr>
        <w:spacing w:line="360" w:lineRule="auto"/>
        <w:ind w:left="720"/>
        <w:jc w:val="both"/>
        <w:rPr>
          <w:rFonts w:ascii="David" w:hAnsi="David"/>
          <w:rtl/>
        </w:rPr>
      </w:pPr>
    </w:p>
    <w:p w14:paraId="69AD709C" w14:textId="77777777" w:rsidR="000C5076" w:rsidRDefault="000C5076" w:rsidP="00534CFF">
      <w:pPr>
        <w:spacing w:line="360" w:lineRule="auto"/>
        <w:ind w:left="720"/>
        <w:jc w:val="both"/>
        <w:rPr>
          <w:rFonts w:ascii="David" w:hAnsi="David"/>
          <w:rtl/>
        </w:rPr>
      </w:pPr>
      <w:r>
        <w:rPr>
          <w:rFonts w:ascii="David" w:hAnsi="David"/>
          <w:rtl/>
        </w:rPr>
        <w:t>בנוסף, כאמור כבר לעיל, יש ליתן את הדעת לכך הנאשם עשה כל שלאל ידו על-מנת שמעשה ההצתה יצלח, הנאשם חזר לבניין המגורים כשברשותו מיכל שבתוכו חומר דליק, במטרה לשלח אש בדירה, עלה לקומה הראשונה של הבניין, שפך את החומר הדליק בכניסה למסדרון חדר המדרגות ועל דלת הדירה, העלה את דלת הדירה באש, ועזב את המקום מבלי להודיע על כך לאיש.</w:t>
      </w:r>
    </w:p>
    <w:p w14:paraId="3DC60D47" w14:textId="77777777" w:rsidR="000C5076" w:rsidRDefault="000C5076" w:rsidP="00534CFF">
      <w:pPr>
        <w:spacing w:line="360" w:lineRule="auto"/>
        <w:ind w:left="720"/>
        <w:jc w:val="both"/>
        <w:rPr>
          <w:rFonts w:ascii="David" w:hAnsi="David"/>
          <w:rtl/>
        </w:rPr>
      </w:pPr>
    </w:p>
    <w:p w14:paraId="71F83940" w14:textId="77777777" w:rsidR="000C5076" w:rsidRDefault="000C5076" w:rsidP="00534CFF">
      <w:pPr>
        <w:spacing w:line="360" w:lineRule="auto"/>
        <w:ind w:left="720"/>
        <w:jc w:val="both"/>
        <w:rPr>
          <w:rFonts w:ascii="David" w:hAnsi="David"/>
          <w:rtl/>
        </w:rPr>
      </w:pPr>
      <w:r>
        <w:rPr>
          <w:rFonts w:ascii="David" w:hAnsi="David"/>
          <w:rtl/>
        </w:rPr>
        <w:t>עוד ובנוסף, יש להתחשב גם בעקרון ההרתעה בעבירות בהן הורשע הנאשם, ובצורך ההולך וגובר למגרן, שעה שמעשים אלו הופכים ל"מכת-מדינה", ועל הנאשם להבין, כי הדרך בה הוא בחר היא דרך חתחתים, שעלולה להובילו לדרך ללא מוצא, ועל מסר זה לעבור גם הלאה.</w:t>
      </w:r>
    </w:p>
    <w:p w14:paraId="5AB951FF" w14:textId="77777777" w:rsidR="000C5076" w:rsidRDefault="000C5076" w:rsidP="00534CFF">
      <w:pPr>
        <w:spacing w:line="360" w:lineRule="auto"/>
        <w:ind w:left="720"/>
        <w:jc w:val="both"/>
        <w:rPr>
          <w:rFonts w:ascii="David" w:hAnsi="David"/>
          <w:rtl/>
        </w:rPr>
      </w:pPr>
      <w:r>
        <w:rPr>
          <w:rFonts w:ascii="David" w:hAnsi="David"/>
          <w:rtl/>
        </w:rPr>
        <w:t xml:space="preserve">תסקיר שירות המבחן, אשר פורט בהרחבה בפסקה 3 לעיל, מדבר בעד עצמו, ודומה, כי גם אליבא דהתרשמות קצין המבחן עצמו, אשר אף העיד, כאמור לעיל עולה, כי הנאשם זקוק לגבולות חיצוניים ברורים לשם הפנמת המותר והאסור בכל הקשור להתנהגות עוברת חוק, מתוך תקווה שבמסגרת הכלא יינתן טיפול שיסייע בהפנמת גבולות החוק. </w:t>
      </w:r>
    </w:p>
    <w:p w14:paraId="128B8652" w14:textId="77777777" w:rsidR="000C5076" w:rsidRDefault="000C5076" w:rsidP="00534CFF">
      <w:pPr>
        <w:spacing w:line="360" w:lineRule="auto"/>
        <w:ind w:left="720"/>
        <w:jc w:val="both"/>
        <w:rPr>
          <w:rFonts w:ascii="David" w:hAnsi="David"/>
          <w:rtl/>
        </w:rPr>
      </w:pPr>
    </w:p>
    <w:p w14:paraId="0DACB3BC" w14:textId="77777777" w:rsidR="000C5076" w:rsidRDefault="000C5076" w:rsidP="00534CFF">
      <w:pPr>
        <w:spacing w:line="360" w:lineRule="auto"/>
        <w:ind w:left="720"/>
        <w:jc w:val="both"/>
        <w:rPr>
          <w:rFonts w:ascii="David" w:hAnsi="David"/>
          <w:rtl/>
        </w:rPr>
      </w:pPr>
      <w:r>
        <w:rPr>
          <w:rFonts w:ascii="David" w:hAnsi="David"/>
          <w:rtl/>
        </w:rPr>
        <w:t>כעולה מתסקיר שירות המבחן, בשים-לב לניסיונות הרבים שנעשו על-מנת לגייס את הנאשם להליך טיפולי משמעותי בשירות המבחן כולל שילובו של הנאשם במעון נעול ללא הצלחה ובשל ההתרשמות מחוסר המוטיבציה לשינוי וטיפול, לא ניתנה המלצה טיפולית בעניינו של הנאשם. עוד ובנוסף המליץ שירות המבחן להרשיעו, וזאת גם בשים-לב לחומרת העבירות המיוחסות לנאשם.</w:t>
      </w:r>
    </w:p>
    <w:p w14:paraId="3577F2C3" w14:textId="77777777" w:rsidR="000C5076" w:rsidRDefault="000C5076" w:rsidP="00534CFF">
      <w:pPr>
        <w:spacing w:line="360" w:lineRule="auto"/>
        <w:ind w:left="720"/>
        <w:jc w:val="both"/>
        <w:rPr>
          <w:rFonts w:ascii="David" w:hAnsi="David"/>
          <w:rtl/>
        </w:rPr>
      </w:pPr>
    </w:p>
    <w:p w14:paraId="55A8F6E9" w14:textId="77777777" w:rsidR="000C5076" w:rsidRDefault="000C5076" w:rsidP="00534CFF">
      <w:pPr>
        <w:spacing w:line="360" w:lineRule="auto"/>
        <w:ind w:left="720"/>
        <w:jc w:val="both"/>
        <w:rPr>
          <w:rFonts w:ascii="David" w:hAnsi="David"/>
          <w:rtl/>
        </w:rPr>
      </w:pPr>
      <w:r>
        <w:rPr>
          <w:rFonts w:ascii="David" w:hAnsi="David"/>
          <w:rtl/>
        </w:rPr>
        <w:t>עוד אציין, כי בהתאם לגיליון המרשם הפלילי, ולעולה מתסקיר שירות המבחן, לנאשם נפתחו עד כה 42 תיקים במשטרה. בתאריך 19.07.2020 נגזרו על הנאשם, בגין עבירות שוד, החזקה ושימוש בסמים, מאסרים מותנים, וביום 17.12.2020 נגזרו על הנאשם מאסרים מותנים נוספים בגין עבירות של שוד מזויין, החזקה ושימוש בסמים.</w:t>
      </w:r>
    </w:p>
    <w:p w14:paraId="4E151AD7" w14:textId="77777777" w:rsidR="000C5076" w:rsidRDefault="000C5076" w:rsidP="00534CFF">
      <w:pPr>
        <w:spacing w:line="360" w:lineRule="auto"/>
        <w:ind w:left="720"/>
        <w:jc w:val="both"/>
        <w:rPr>
          <w:rFonts w:ascii="David" w:hAnsi="David"/>
          <w:rtl/>
        </w:rPr>
      </w:pPr>
    </w:p>
    <w:p w14:paraId="1AB38DEA" w14:textId="77777777" w:rsidR="000C5076" w:rsidRDefault="000C5076" w:rsidP="00534CFF">
      <w:pPr>
        <w:spacing w:line="360" w:lineRule="auto"/>
        <w:ind w:left="720"/>
        <w:jc w:val="both"/>
        <w:rPr>
          <w:rFonts w:ascii="David" w:hAnsi="David"/>
          <w:rtl/>
        </w:rPr>
      </w:pPr>
      <w:r>
        <w:rPr>
          <w:rFonts w:ascii="David" w:hAnsi="David"/>
          <w:rtl/>
        </w:rPr>
        <w:t>לצד זאת, יש להביא בחשבון את הודאתו של הנאשם במיוחס לו בכתב- האישום המתוקן, בהזדמנות הראשונה, מבלי שיהא צורך בקיום הליך ראייתי ותוך חיסכון בזמן שיפוטי יקר.</w:t>
      </w:r>
    </w:p>
    <w:p w14:paraId="7557FB62" w14:textId="77777777" w:rsidR="000C5076" w:rsidRDefault="000C5076" w:rsidP="00534CFF">
      <w:pPr>
        <w:spacing w:line="360" w:lineRule="auto"/>
        <w:ind w:left="720"/>
        <w:jc w:val="both"/>
        <w:rPr>
          <w:rFonts w:ascii="David" w:hAnsi="David"/>
          <w:rtl/>
        </w:rPr>
      </w:pPr>
      <w:r>
        <w:rPr>
          <w:rFonts w:ascii="David" w:hAnsi="David"/>
          <w:rtl/>
        </w:rPr>
        <w:t>בנוסף, סבורני, כי יש ליתן את הדעת, לנסיבות חייו הקשות של הנאשם, עת מדובר בנער כבן 17.5, אשר כעולה מתסקיר שירות המבחן, בן להורים גרושים מזה כ----- שנים, אשר אין לו קשר רציף עם אביו. עוד עולה מן התסקיר, כי האם והילדים, טופלו בעבר במקלט לנשים מוכות על רקע שימוש האב בסמים, והפעלת אלימות פיזית ונפשית מצידו כלפי הנאשם, אימו ואחיו.</w:t>
      </w:r>
    </w:p>
    <w:p w14:paraId="4B53D357" w14:textId="77777777" w:rsidR="000C5076" w:rsidRDefault="000C5076" w:rsidP="00534CFF">
      <w:pPr>
        <w:spacing w:line="360" w:lineRule="auto"/>
        <w:ind w:left="720"/>
        <w:jc w:val="both"/>
        <w:rPr>
          <w:rFonts w:ascii="David" w:hAnsi="David"/>
          <w:rtl/>
        </w:rPr>
      </w:pPr>
    </w:p>
    <w:p w14:paraId="69DF8A71" w14:textId="77777777" w:rsidR="000C5076" w:rsidRDefault="000C5076" w:rsidP="00534CFF">
      <w:pPr>
        <w:spacing w:line="360" w:lineRule="auto"/>
        <w:ind w:left="720"/>
        <w:jc w:val="both"/>
        <w:rPr>
          <w:rFonts w:ascii="David" w:hAnsi="David"/>
          <w:rtl/>
        </w:rPr>
      </w:pPr>
      <w:r>
        <w:rPr>
          <w:rFonts w:ascii="David" w:hAnsi="David"/>
          <w:rtl/>
        </w:rPr>
        <w:t>לכך יש להוסיף את התאונה, בה נפגע אביו של הנאשם, ודומני, כי האירועים האמורים, נותנים את אותותיהם בנאשם מידי יום ביומו.</w:t>
      </w:r>
    </w:p>
    <w:p w14:paraId="3FCF0916" w14:textId="77777777" w:rsidR="000C5076" w:rsidRDefault="000C5076" w:rsidP="00534CFF">
      <w:pPr>
        <w:spacing w:line="360" w:lineRule="auto"/>
        <w:ind w:left="720"/>
        <w:jc w:val="both"/>
        <w:rPr>
          <w:rFonts w:ascii="David" w:hAnsi="David"/>
          <w:rtl/>
        </w:rPr>
      </w:pPr>
    </w:p>
    <w:p w14:paraId="049C6A63" w14:textId="77777777" w:rsidR="000C5076" w:rsidRDefault="000C5076" w:rsidP="00534CFF">
      <w:pPr>
        <w:spacing w:line="360" w:lineRule="auto"/>
        <w:ind w:left="720"/>
        <w:jc w:val="both"/>
        <w:rPr>
          <w:rFonts w:ascii="David" w:hAnsi="David"/>
          <w:rtl/>
        </w:rPr>
      </w:pPr>
      <w:r>
        <w:rPr>
          <w:rFonts w:ascii="David" w:hAnsi="David"/>
          <w:rtl/>
        </w:rPr>
        <w:t xml:space="preserve">לא נעלמו מעיניי, לא דבריו של הנאשם בפניי, ולא חוות-דעתו של העובד-הסוציאלי המטפל בבית-הסוהר "אופק", ולפיה הנאשם משולב במסגרת חינוכית, משמש כאסיר חוליה, ומצוי בקשר מעקבי על-פי הצורך עם עובד-סוציאלי באגף. </w:t>
      </w:r>
    </w:p>
    <w:p w14:paraId="7FA9FFD3" w14:textId="77777777" w:rsidR="000C5076" w:rsidRDefault="000C5076" w:rsidP="00534CFF">
      <w:pPr>
        <w:spacing w:line="360" w:lineRule="auto"/>
        <w:ind w:left="720"/>
        <w:jc w:val="both"/>
        <w:rPr>
          <w:rFonts w:ascii="David" w:hAnsi="David"/>
          <w:rtl/>
        </w:rPr>
      </w:pPr>
    </w:p>
    <w:p w14:paraId="37C833C5" w14:textId="77777777" w:rsidR="000C5076" w:rsidRDefault="000C5076" w:rsidP="00534CFF">
      <w:pPr>
        <w:spacing w:line="360" w:lineRule="auto"/>
        <w:ind w:left="720" w:hanging="720"/>
        <w:jc w:val="both"/>
        <w:rPr>
          <w:rFonts w:ascii="David" w:hAnsi="David"/>
          <w:rtl/>
        </w:rPr>
      </w:pPr>
      <w:r>
        <w:rPr>
          <w:rFonts w:ascii="David" w:hAnsi="David"/>
          <w:rtl/>
        </w:rPr>
        <w:t>21.</w:t>
      </w:r>
      <w:r>
        <w:rPr>
          <w:rFonts w:ascii="David" w:hAnsi="David"/>
          <w:rtl/>
        </w:rPr>
        <w:tab/>
        <w:t xml:space="preserve">נוכח כל האמור לעיל, עת מן העבר האחד, אין בידי להתעלם מן האמור בתסקיר שירות המבחן, לפיו הנאשם לא נטל חלק בהליכים טיפוליים ושיקומיים שונים בעניינו, בשים-לב לחומרת העבירות מושא כתב-האישום המתוקן שבפנינו, והצורך בהרתעתו של הנאשם, סבורני, כי על עונשו של הנאשם לכלול מאסר בפועל. </w:t>
      </w:r>
    </w:p>
    <w:p w14:paraId="1676D89F" w14:textId="77777777" w:rsidR="000C5076" w:rsidRDefault="000C5076" w:rsidP="00534CFF">
      <w:pPr>
        <w:spacing w:line="360" w:lineRule="auto"/>
        <w:ind w:left="720" w:hanging="720"/>
        <w:jc w:val="both"/>
        <w:rPr>
          <w:rFonts w:ascii="David" w:hAnsi="David"/>
          <w:rtl/>
        </w:rPr>
      </w:pPr>
    </w:p>
    <w:p w14:paraId="68610D3F" w14:textId="77777777" w:rsidR="000C5076" w:rsidRDefault="000C5076" w:rsidP="00534CFF">
      <w:pPr>
        <w:spacing w:line="360" w:lineRule="auto"/>
        <w:ind w:left="720" w:hanging="720"/>
        <w:jc w:val="both"/>
        <w:rPr>
          <w:rFonts w:ascii="David" w:hAnsi="David"/>
          <w:rtl/>
        </w:rPr>
      </w:pPr>
      <w:r>
        <w:rPr>
          <w:rFonts w:ascii="David" w:hAnsi="David"/>
          <w:rtl/>
        </w:rPr>
        <w:tab/>
        <w:t>לצד זאת סבורני, כי הגם שבענייננו מדובר בתהליך סיזיפי, יש להתמיד בניסיונות לשקם את הנאשם, ולעשות כל שלאל ידינו על-מנת לשלבו מחדש בחברה, וזאת הן בראי טובתו של הנאשם, והן בראי טובתה של החברה כולה, עת היא עשויה לזכות באזרח שומר-חוק נוסף בין שורותיה.</w:t>
      </w:r>
    </w:p>
    <w:p w14:paraId="6E4620A5" w14:textId="77777777" w:rsidR="000C5076" w:rsidRDefault="000C5076" w:rsidP="00534CFF">
      <w:pPr>
        <w:spacing w:line="360" w:lineRule="auto"/>
        <w:ind w:left="720" w:hanging="720"/>
        <w:jc w:val="both"/>
        <w:rPr>
          <w:rFonts w:ascii="David" w:hAnsi="David"/>
          <w:rtl/>
        </w:rPr>
      </w:pPr>
    </w:p>
    <w:p w14:paraId="135F5653" w14:textId="77777777" w:rsidR="000C5076" w:rsidRDefault="000C5076" w:rsidP="00534CFF">
      <w:pPr>
        <w:spacing w:line="360" w:lineRule="auto"/>
        <w:ind w:left="720"/>
        <w:jc w:val="both"/>
        <w:rPr>
          <w:rFonts w:ascii="David" w:hAnsi="David"/>
          <w:rtl/>
        </w:rPr>
      </w:pPr>
      <w:r>
        <w:rPr>
          <w:rFonts w:ascii="David" w:hAnsi="David"/>
          <w:rtl/>
        </w:rPr>
        <w:t xml:space="preserve">באיזון הנסיבות והנתונים המפורטים לעיל, אני קובע, כי העונש הראוי במקרה שלנו הוא עונש של </w:t>
      </w:r>
      <w:r w:rsidRPr="003B6D2C">
        <w:rPr>
          <w:rFonts w:ascii="David" w:hAnsi="David"/>
          <w:rtl/>
        </w:rPr>
        <w:t>18</w:t>
      </w:r>
      <w:r>
        <w:rPr>
          <w:rFonts w:ascii="David" w:hAnsi="David"/>
          <w:rtl/>
        </w:rPr>
        <w:t xml:space="preserve"> חודשי מאסר, בניכוי ימי המעצר בהם נשא הנאשם עד כה מכוח המעצר עד תום ההליכים אשר הושת עליו, החל מיום 02.07.2020.</w:t>
      </w:r>
    </w:p>
    <w:p w14:paraId="4B7F75B5" w14:textId="77777777" w:rsidR="000C5076" w:rsidRDefault="000C5076" w:rsidP="00534CFF">
      <w:pPr>
        <w:spacing w:line="360" w:lineRule="auto"/>
        <w:ind w:left="720"/>
        <w:jc w:val="both"/>
        <w:rPr>
          <w:rFonts w:ascii="David" w:hAnsi="David"/>
          <w:rtl/>
        </w:rPr>
      </w:pPr>
      <w:r>
        <w:rPr>
          <w:rFonts w:ascii="David" w:hAnsi="David"/>
          <w:rtl/>
        </w:rPr>
        <w:t xml:space="preserve"> </w:t>
      </w:r>
    </w:p>
    <w:p w14:paraId="73D38C7F" w14:textId="77777777" w:rsidR="000C5076" w:rsidRDefault="000C5076" w:rsidP="00534CFF">
      <w:pPr>
        <w:spacing w:line="360" w:lineRule="auto"/>
        <w:ind w:left="720"/>
        <w:jc w:val="both"/>
        <w:rPr>
          <w:rFonts w:ascii="David" w:hAnsi="David"/>
          <w:rtl/>
        </w:rPr>
      </w:pPr>
      <w:r>
        <w:rPr>
          <w:rFonts w:ascii="David" w:hAnsi="David"/>
          <w:rtl/>
        </w:rPr>
        <w:t>עוד ובנוסף, נוכח התוצאה אליה הגעתי, סבורני, כי אין להשית על הנאשם פיצוי כספי כבקשת המאשימה, וכך אני מורה.</w:t>
      </w:r>
    </w:p>
    <w:p w14:paraId="15C1EBFC" w14:textId="77777777" w:rsidR="000C5076" w:rsidRDefault="000C5076" w:rsidP="00534CFF">
      <w:pPr>
        <w:spacing w:line="360" w:lineRule="auto"/>
        <w:ind w:left="720" w:hanging="720"/>
        <w:jc w:val="both"/>
        <w:rPr>
          <w:rFonts w:ascii="David" w:hAnsi="David"/>
          <w:rtl/>
        </w:rPr>
      </w:pPr>
    </w:p>
    <w:p w14:paraId="4B86E229" w14:textId="77777777" w:rsidR="000C5076" w:rsidRDefault="000C5076" w:rsidP="00534CFF">
      <w:pPr>
        <w:spacing w:line="360" w:lineRule="auto"/>
        <w:jc w:val="both"/>
        <w:rPr>
          <w:rFonts w:ascii="David" w:hAnsi="David"/>
          <w:rtl/>
        </w:rPr>
      </w:pPr>
      <w:r>
        <w:rPr>
          <w:rFonts w:ascii="David" w:hAnsi="David"/>
          <w:rtl/>
        </w:rPr>
        <w:t>22.</w:t>
      </w:r>
      <w:r>
        <w:rPr>
          <w:rFonts w:ascii="David" w:hAnsi="David"/>
          <w:rtl/>
        </w:rPr>
        <w:tab/>
        <w:t>אשר על כן אני גוזר על הנאשם:</w:t>
      </w:r>
    </w:p>
    <w:p w14:paraId="109F20E7" w14:textId="77777777" w:rsidR="000C5076" w:rsidRDefault="000C5076" w:rsidP="00534CFF">
      <w:pPr>
        <w:pStyle w:val="10"/>
        <w:spacing w:after="0" w:line="360" w:lineRule="auto"/>
        <w:ind w:left="1440" w:hanging="720"/>
        <w:jc w:val="both"/>
        <w:rPr>
          <w:rFonts w:ascii="David" w:hAnsi="David" w:cs="David"/>
          <w:sz w:val="24"/>
          <w:szCs w:val="24"/>
          <w:rtl/>
        </w:rPr>
      </w:pPr>
      <w:r>
        <w:rPr>
          <w:rFonts w:ascii="David" w:hAnsi="David" w:cs="David"/>
          <w:sz w:val="24"/>
          <w:szCs w:val="24"/>
          <w:rtl/>
        </w:rPr>
        <w:t>א.</w:t>
      </w:r>
      <w:r>
        <w:rPr>
          <w:rFonts w:ascii="David" w:hAnsi="David" w:cs="David"/>
          <w:sz w:val="24"/>
          <w:szCs w:val="24"/>
          <w:rtl/>
        </w:rPr>
        <w:tab/>
        <w:t xml:space="preserve">מאסר למשך </w:t>
      </w:r>
      <w:r w:rsidRPr="003B6D2C">
        <w:rPr>
          <w:rFonts w:ascii="David" w:hAnsi="David" w:cs="David"/>
          <w:sz w:val="24"/>
          <w:szCs w:val="24"/>
          <w:rtl/>
        </w:rPr>
        <w:t>18</w:t>
      </w:r>
      <w:r>
        <w:rPr>
          <w:rFonts w:ascii="David" w:hAnsi="David" w:cs="David"/>
          <w:sz w:val="24"/>
          <w:szCs w:val="24"/>
          <w:rtl/>
        </w:rPr>
        <w:t xml:space="preserve">  חודשים, בניכוי ימי מעצרו החל מיום 03.03.2020.</w:t>
      </w:r>
    </w:p>
    <w:p w14:paraId="43BE07DF" w14:textId="77777777" w:rsidR="000C5076" w:rsidRDefault="000C5076" w:rsidP="00534CFF">
      <w:pPr>
        <w:pStyle w:val="10"/>
        <w:spacing w:after="0" w:line="360" w:lineRule="auto"/>
        <w:ind w:left="1440" w:hanging="720"/>
        <w:jc w:val="both"/>
        <w:rPr>
          <w:rFonts w:ascii="David" w:hAnsi="David" w:cs="David"/>
          <w:sz w:val="24"/>
          <w:szCs w:val="24"/>
          <w:rtl/>
        </w:rPr>
      </w:pPr>
      <w:r>
        <w:rPr>
          <w:rFonts w:ascii="David" w:hAnsi="David" w:cs="David"/>
          <w:sz w:val="24"/>
          <w:szCs w:val="24"/>
          <w:rtl/>
        </w:rPr>
        <w:tab/>
      </w:r>
    </w:p>
    <w:p w14:paraId="6C40DA90" w14:textId="77777777" w:rsidR="000C5076" w:rsidRDefault="000C5076" w:rsidP="00534CFF">
      <w:pPr>
        <w:spacing w:line="360" w:lineRule="auto"/>
        <w:ind w:left="1440" w:hanging="720"/>
        <w:jc w:val="both"/>
        <w:rPr>
          <w:rFonts w:ascii="David" w:hAnsi="David"/>
          <w:rtl/>
        </w:rPr>
      </w:pPr>
      <w:r>
        <w:rPr>
          <w:rFonts w:ascii="David" w:hAnsi="David"/>
          <w:rtl/>
        </w:rPr>
        <w:t>ב.</w:t>
      </w:r>
      <w:r>
        <w:rPr>
          <w:rFonts w:ascii="David" w:hAnsi="David"/>
          <w:rtl/>
        </w:rPr>
        <w:tab/>
        <w:t>מאסר על תנאי לתקופה של 6 חודשים שיופעל במידה והנאשם יעבור תוך 3 שנים מיום שחרורו, עבירה של הצתה או ניסיון להצתה או עבירת החזקה ושימוש בסמים.</w:t>
      </w:r>
    </w:p>
    <w:p w14:paraId="0F0DBD60" w14:textId="77777777" w:rsidR="000C5076" w:rsidRDefault="000C5076" w:rsidP="00534CFF">
      <w:pPr>
        <w:spacing w:line="360" w:lineRule="auto"/>
        <w:ind w:left="1440" w:hanging="720"/>
        <w:jc w:val="both"/>
        <w:rPr>
          <w:rFonts w:ascii="David" w:hAnsi="David"/>
          <w:rtl/>
        </w:rPr>
      </w:pPr>
    </w:p>
    <w:p w14:paraId="1D26D77B" w14:textId="77777777" w:rsidR="000C5076" w:rsidRDefault="000C5076" w:rsidP="00534CFF">
      <w:pPr>
        <w:shd w:val="clear" w:color="auto" w:fill="FFFFFF"/>
        <w:spacing w:line="360" w:lineRule="auto"/>
        <w:ind w:right="426"/>
        <w:jc w:val="both"/>
        <w:rPr>
          <w:rFonts w:ascii="David" w:hAnsi="David"/>
          <w:b/>
          <w:bCs/>
          <w:u w:val="single"/>
          <w:rtl/>
        </w:rPr>
      </w:pPr>
      <w:r>
        <w:rPr>
          <w:rFonts w:ascii="David" w:hAnsi="David"/>
          <w:b/>
          <w:bCs/>
          <w:u w:val="single"/>
          <w:rtl/>
        </w:rPr>
        <w:t>המזכירות תשלח עותק מגזר-הדין לשב"ס ולשירות המבחן לנוער.</w:t>
      </w:r>
    </w:p>
    <w:p w14:paraId="762547B9" w14:textId="77777777" w:rsidR="000C5076" w:rsidRPr="009F6543" w:rsidRDefault="009F6543">
      <w:pPr>
        <w:rPr>
          <w:color w:val="FFFFFF"/>
          <w:sz w:val="2"/>
          <w:szCs w:val="2"/>
          <w:rtl/>
        </w:rPr>
      </w:pPr>
      <w:r w:rsidRPr="009F6543">
        <w:rPr>
          <w:color w:val="FFFFFF"/>
          <w:sz w:val="2"/>
          <w:szCs w:val="2"/>
          <w:rtl/>
        </w:rPr>
        <w:t>5129371</w:t>
      </w:r>
    </w:p>
    <w:p w14:paraId="0F3D6D56" w14:textId="77777777" w:rsidR="000C5076" w:rsidRPr="009F6543" w:rsidRDefault="009F6543">
      <w:pPr>
        <w:rPr>
          <w:color w:val="FFFFFF"/>
          <w:sz w:val="2"/>
          <w:szCs w:val="2"/>
          <w:rtl/>
        </w:rPr>
      </w:pPr>
      <w:r w:rsidRPr="009F6543">
        <w:rPr>
          <w:color w:val="FFFFFF"/>
          <w:sz w:val="2"/>
          <w:szCs w:val="2"/>
          <w:rtl/>
        </w:rPr>
        <w:t>54678313</w:t>
      </w:r>
    </w:p>
    <w:p w14:paraId="429829B9" w14:textId="77777777" w:rsidR="000C5076" w:rsidRPr="00010BBA" w:rsidRDefault="009F6543">
      <w:pPr>
        <w:rPr>
          <w:rFonts w:cs="FrankRuehl"/>
          <w:b/>
          <w:bCs/>
          <w:sz w:val="28"/>
          <w:szCs w:val="28"/>
          <w:rtl/>
        </w:rPr>
      </w:pPr>
      <w:bookmarkStart w:id="9" w:name="Nitan"/>
      <w:r w:rsidRPr="00010BBA">
        <w:rPr>
          <w:rFonts w:ascii="Arial" w:hAnsi="Arial"/>
          <w:b/>
          <w:bCs/>
          <w:rtl/>
        </w:rPr>
        <w:t xml:space="preserve">ניתן היום,  י"ג אדר תשפ"א, 25 פברואר 2021, בהעדר הצדדים. </w:t>
      </w:r>
      <w:bookmarkEnd w:id="9"/>
    </w:p>
    <w:p w14:paraId="628581DC" w14:textId="77777777" w:rsidR="000C5076" w:rsidRDefault="000C5076" w:rsidP="009F6543">
      <w:pPr>
        <w:jc w:val="center"/>
      </w:pPr>
      <w:r>
        <w:rPr>
          <w:rtl/>
        </w:rPr>
        <w:t xml:space="preserve">   </w:t>
      </w:r>
      <w:r>
        <w:rPr>
          <w:rtl/>
        </w:rPr>
        <w:tab/>
      </w:r>
      <w:r>
        <w:rPr>
          <w:rtl/>
        </w:rPr>
        <w:tab/>
      </w:r>
      <w:r>
        <w:rPr>
          <w:rtl/>
        </w:rPr>
        <w:tab/>
      </w:r>
      <w:r>
        <w:rPr>
          <w:rtl/>
        </w:rPr>
        <w:tab/>
      </w:r>
      <w:r>
        <w:rPr>
          <w:rtl/>
        </w:rPr>
        <w:tab/>
      </w:r>
    </w:p>
    <w:p w14:paraId="36D3C517" w14:textId="77777777" w:rsidR="000C5076" w:rsidRDefault="000C5076" w:rsidP="003E0C9F">
      <w:pPr>
        <w:jc w:val="center"/>
        <w:rPr>
          <w:rFonts w:ascii="Arial" w:hAnsi="Arial" w:cs="FrankRuehl"/>
          <w:sz w:val="28"/>
          <w:szCs w:val="28"/>
          <w:rtl/>
        </w:rPr>
      </w:pPr>
    </w:p>
    <w:p w14:paraId="753CD9F8" w14:textId="77777777" w:rsidR="000C5076" w:rsidRDefault="000C5076">
      <w:pPr>
        <w:rPr>
          <w:rFonts w:cs="FrankRuehl"/>
          <w:sz w:val="28"/>
          <w:szCs w:val="28"/>
          <w:rtl/>
        </w:rPr>
      </w:pPr>
    </w:p>
    <w:p w14:paraId="3A82FE66" w14:textId="77777777" w:rsidR="000C5076" w:rsidRPr="009F6543" w:rsidRDefault="000C5076" w:rsidP="009F6543">
      <w:pPr>
        <w:pStyle w:val="a3"/>
        <w:keepNext/>
        <w:rPr>
          <w:rFonts w:ascii="David" w:hAnsi="David"/>
          <w:color w:val="000000"/>
          <w:sz w:val="22"/>
          <w:szCs w:val="22"/>
          <w:rtl/>
        </w:rPr>
      </w:pPr>
    </w:p>
    <w:p w14:paraId="4E6659E8" w14:textId="77777777" w:rsidR="009F6543" w:rsidRPr="009F6543" w:rsidRDefault="009F6543" w:rsidP="009F6543">
      <w:pPr>
        <w:pStyle w:val="a3"/>
        <w:keepNext/>
        <w:rPr>
          <w:rFonts w:ascii="David" w:hAnsi="David"/>
          <w:color w:val="000000"/>
          <w:sz w:val="22"/>
          <w:szCs w:val="22"/>
          <w:rtl/>
        </w:rPr>
      </w:pPr>
      <w:r w:rsidRPr="009F6543">
        <w:rPr>
          <w:rFonts w:ascii="David" w:hAnsi="David"/>
          <w:color w:val="000000"/>
          <w:sz w:val="22"/>
          <w:szCs w:val="22"/>
          <w:rtl/>
        </w:rPr>
        <w:t>סארי ג'יוסי 54678313</w:t>
      </w:r>
    </w:p>
    <w:p w14:paraId="479404BA" w14:textId="77777777" w:rsidR="009F6543" w:rsidRDefault="009F6543" w:rsidP="009F6543">
      <w:pPr>
        <w:pStyle w:val="a3"/>
        <w:rPr>
          <w:rtl/>
        </w:rPr>
      </w:pPr>
      <w:r w:rsidRPr="009F6543">
        <w:rPr>
          <w:color w:val="000000"/>
          <w:rtl/>
        </w:rPr>
        <w:t>נוסח מסמך זה כפוף לשינויי ניסוח ועריכה</w:t>
      </w:r>
    </w:p>
    <w:p w14:paraId="14863F8C" w14:textId="77777777" w:rsidR="009F6543" w:rsidRDefault="009F6543" w:rsidP="009F6543">
      <w:pPr>
        <w:pStyle w:val="a3"/>
        <w:rPr>
          <w:rtl/>
        </w:rPr>
      </w:pPr>
    </w:p>
    <w:p w14:paraId="7D408784" w14:textId="77777777" w:rsidR="009F6543" w:rsidRDefault="009F6543" w:rsidP="009F6543">
      <w:pPr>
        <w:pStyle w:val="a3"/>
        <w:jc w:val="center"/>
        <w:rPr>
          <w:color w:val="0000FF"/>
          <w:u w:val="single"/>
          <w:rtl/>
        </w:rPr>
      </w:pPr>
      <w:hyperlink r:id="rId67" w:history="1">
        <w:r>
          <w:rPr>
            <w:color w:val="0000FF"/>
            <w:u w:val="single"/>
            <w:rtl/>
          </w:rPr>
          <w:t>בעניין עריכה ושינויים במסמכי פסיקה, חקיקה ועוד באתר נבו – הקש כאן</w:t>
        </w:r>
      </w:hyperlink>
    </w:p>
    <w:p w14:paraId="2F9BD2DB" w14:textId="77777777" w:rsidR="009F6543" w:rsidRPr="009F6543" w:rsidRDefault="009F6543" w:rsidP="009F6543">
      <w:pPr>
        <w:pStyle w:val="a3"/>
        <w:jc w:val="center"/>
        <w:rPr>
          <w:color w:val="0000FF"/>
          <w:u w:val="single"/>
          <w:rtl/>
        </w:rPr>
      </w:pPr>
    </w:p>
    <w:sectPr w:rsidR="009F6543" w:rsidRPr="009F6543" w:rsidSect="009F6543">
      <w:headerReference w:type="even" r:id="rId68"/>
      <w:headerReference w:type="default" r:id="rId69"/>
      <w:footerReference w:type="even" r:id="rId70"/>
      <w:footerReference w:type="default" r:id="rId71"/>
      <w:pgSz w:w="11907" w:h="16840" w:code="9"/>
      <w:pgMar w:top="1701" w:right="1701" w:bottom="2552" w:left="1701" w:header="187" w:footer="720"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66970" w14:textId="77777777" w:rsidR="00D55A3F" w:rsidRDefault="00D55A3F">
      <w:r>
        <w:separator/>
      </w:r>
    </w:p>
  </w:endnote>
  <w:endnote w:type="continuationSeparator" w:id="0">
    <w:p w14:paraId="03BE260F" w14:textId="77777777" w:rsidR="00D55A3F" w:rsidRDefault="00D55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99706" w14:textId="77777777" w:rsidR="00980DAB" w:rsidRDefault="00980DAB" w:rsidP="009F654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643BA91" w14:textId="77777777" w:rsidR="00980DAB" w:rsidRPr="009F6543" w:rsidRDefault="00980DAB" w:rsidP="009F6543">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318C5" w14:textId="77777777" w:rsidR="00980DAB" w:rsidRDefault="00980DAB" w:rsidP="009F654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55815">
      <w:rPr>
        <w:rFonts w:ascii="FrankRuehl" w:hAnsi="FrankRuehl" w:cs="FrankRuehl"/>
        <w:noProof/>
        <w:rtl/>
      </w:rPr>
      <w:t>1</w:t>
    </w:r>
    <w:r>
      <w:rPr>
        <w:rFonts w:ascii="FrankRuehl" w:hAnsi="FrankRuehl" w:cs="FrankRuehl"/>
        <w:rtl/>
      </w:rPr>
      <w:fldChar w:fldCharType="end"/>
    </w:r>
  </w:p>
  <w:p w14:paraId="043A1011" w14:textId="77777777" w:rsidR="00980DAB" w:rsidRPr="009F6543" w:rsidRDefault="00980DAB" w:rsidP="009F6543">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51A3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31796" w14:textId="77777777" w:rsidR="00D55A3F" w:rsidRDefault="00D55A3F">
      <w:r>
        <w:separator/>
      </w:r>
    </w:p>
  </w:footnote>
  <w:footnote w:type="continuationSeparator" w:id="0">
    <w:p w14:paraId="5249BD14" w14:textId="77777777" w:rsidR="00D55A3F" w:rsidRDefault="00D55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2E719" w14:textId="77777777" w:rsidR="00980DAB" w:rsidRPr="009F6543" w:rsidRDefault="00980DAB" w:rsidP="009F65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17252-07-20</w:t>
    </w:r>
    <w:r>
      <w:rPr>
        <w:rFonts w:ascii="David" w:hAnsi="David"/>
        <w:color w:val="000000"/>
        <w:sz w:val="22"/>
        <w:szCs w:val="22"/>
        <w:rtl/>
      </w:rPr>
      <w:tab/>
      <w:t xml:space="preserve"> מדינת ישראל נ' ט' (קטין)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D2D0E" w14:textId="77777777" w:rsidR="00980DAB" w:rsidRPr="009F6543" w:rsidRDefault="00980DAB" w:rsidP="009F65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17252-07-20</w:t>
    </w:r>
    <w:r>
      <w:rPr>
        <w:rFonts w:ascii="David" w:hAnsi="David"/>
        <w:color w:val="000000"/>
        <w:sz w:val="22"/>
        <w:szCs w:val="22"/>
        <w:rtl/>
      </w:rPr>
      <w:tab/>
      <w:t xml:space="preserve"> מדינת ישראל נ' ט' (קטין)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0BD2EE5C"/>
    <w:lvl w:ilvl="0" w:tplc="77EE6C88">
      <w:start w:val="1"/>
      <w:numFmt w:val="decimal"/>
      <w:pStyle w:val="Ruller4"/>
      <w:lvlText w:val="%1."/>
      <w:lvlJc w:val="left"/>
      <w:pPr>
        <w:tabs>
          <w:tab w:val="num" w:pos="907"/>
        </w:tabs>
      </w:pPr>
      <w:rPr>
        <w:rFonts w:cs="Times New Roman"/>
        <w:sz w:val="24"/>
        <w:szCs w:val="24"/>
      </w:rPr>
    </w:lvl>
    <w:lvl w:ilvl="1" w:tplc="3362C248">
      <w:start w:val="1"/>
      <w:numFmt w:val="lowerLetter"/>
      <w:lvlText w:val="%2."/>
      <w:lvlJc w:val="left"/>
      <w:pPr>
        <w:tabs>
          <w:tab w:val="num" w:pos="1440"/>
        </w:tabs>
        <w:ind w:left="1440" w:hanging="360"/>
      </w:pPr>
      <w:rPr>
        <w:rFonts w:cs="Times New Roman"/>
      </w:rPr>
    </w:lvl>
    <w:lvl w:ilvl="2" w:tplc="DBEC94FE">
      <w:start w:val="1"/>
      <w:numFmt w:val="lowerRoman"/>
      <w:lvlText w:val="%3."/>
      <w:lvlJc w:val="right"/>
      <w:pPr>
        <w:tabs>
          <w:tab w:val="num" w:pos="2160"/>
        </w:tabs>
        <w:ind w:left="2160" w:hanging="180"/>
      </w:pPr>
      <w:rPr>
        <w:rFonts w:cs="Times New Roman"/>
      </w:rPr>
    </w:lvl>
    <w:lvl w:ilvl="3" w:tplc="60DC4B4C">
      <w:start w:val="1"/>
      <w:numFmt w:val="decimal"/>
      <w:lvlText w:val="%4."/>
      <w:lvlJc w:val="left"/>
      <w:pPr>
        <w:tabs>
          <w:tab w:val="num" w:pos="2880"/>
        </w:tabs>
        <w:ind w:left="2880" w:hanging="360"/>
      </w:pPr>
      <w:rPr>
        <w:rFonts w:cs="Times New Roman"/>
      </w:rPr>
    </w:lvl>
    <w:lvl w:ilvl="4" w:tplc="22D6F562">
      <w:start w:val="1"/>
      <w:numFmt w:val="lowerLetter"/>
      <w:lvlText w:val="%5."/>
      <w:lvlJc w:val="left"/>
      <w:pPr>
        <w:tabs>
          <w:tab w:val="num" w:pos="3600"/>
        </w:tabs>
        <w:ind w:left="3600" w:hanging="360"/>
      </w:pPr>
      <w:rPr>
        <w:rFonts w:cs="Times New Roman"/>
      </w:rPr>
    </w:lvl>
    <w:lvl w:ilvl="5" w:tplc="6C2EC388">
      <w:start w:val="1"/>
      <w:numFmt w:val="lowerRoman"/>
      <w:lvlText w:val="%6."/>
      <w:lvlJc w:val="right"/>
      <w:pPr>
        <w:tabs>
          <w:tab w:val="num" w:pos="4320"/>
        </w:tabs>
        <w:ind w:left="4320" w:hanging="180"/>
      </w:pPr>
      <w:rPr>
        <w:rFonts w:cs="Times New Roman"/>
      </w:rPr>
    </w:lvl>
    <w:lvl w:ilvl="6" w:tplc="E4729344">
      <w:start w:val="1"/>
      <w:numFmt w:val="decimal"/>
      <w:lvlText w:val="%7."/>
      <w:lvlJc w:val="left"/>
      <w:pPr>
        <w:tabs>
          <w:tab w:val="num" w:pos="5040"/>
        </w:tabs>
        <w:ind w:left="5040" w:hanging="360"/>
      </w:pPr>
      <w:rPr>
        <w:rFonts w:cs="Times New Roman"/>
      </w:rPr>
    </w:lvl>
    <w:lvl w:ilvl="7" w:tplc="418AC746">
      <w:start w:val="1"/>
      <w:numFmt w:val="lowerLetter"/>
      <w:lvlText w:val="%8."/>
      <w:lvlJc w:val="left"/>
      <w:pPr>
        <w:tabs>
          <w:tab w:val="num" w:pos="5760"/>
        </w:tabs>
        <w:ind w:left="5760" w:hanging="360"/>
      </w:pPr>
      <w:rPr>
        <w:rFonts w:cs="Times New Roman"/>
      </w:rPr>
    </w:lvl>
    <w:lvl w:ilvl="8" w:tplc="43021ED4">
      <w:start w:val="1"/>
      <w:numFmt w:val="lowerRoman"/>
      <w:lvlText w:val="%9."/>
      <w:lvlJc w:val="right"/>
      <w:pPr>
        <w:tabs>
          <w:tab w:val="num" w:pos="6480"/>
        </w:tabs>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864824995">
    <w:abstractNumId w:val="2"/>
  </w:num>
  <w:num w:numId="2" w16cid:durableId="1296105852">
    <w:abstractNumId w:val="1"/>
  </w:num>
  <w:num w:numId="3" w16cid:durableId="7456917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10BBA"/>
    <w:rsid w:val="00031F8A"/>
    <w:rsid w:val="00051341"/>
    <w:rsid w:val="00054FC4"/>
    <w:rsid w:val="0006726A"/>
    <w:rsid w:val="000C5076"/>
    <w:rsid w:val="00100577"/>
    <w:rsid w:val="0011760A"/>
    <w:rsid w:val="001975E6"/>
    <w:rsid w:val="001A22FE"/>
    <w:rsid w:val="001D63C6"/>
    <w:rsid w:val="00212125"/>
    <w:rsid w:val="00276E38"/>
    <w:rsid w:val="002A0FA6"/>
    <w:rsid w:val="002D6C61"/>
    <w:rsid w:val="00344C14"/>
    <w:rsid w:val="00367565"/>
    <w:rsid w:val="00387D9D"/>
    <w:rsid w:val="003B6D2C"/>
    <w:rsid w:val="003E0C9F"/>
    <w:rsid w:val="003F5B22"/>
    <w:rsid w:val="004215DC"/>
    <w:rsid w:val="00455165"/>
    <w:rsid w:val="004D15F0"/>
    <w:rsid w:val="00507694"/>
    <w:rsid w:val="00510EB4"/>
    <w:rsid w:val="005146AD"/>
    <w:rsid w:val="00534CFF"/>
    <w:rsid w:val="005C3E23"/>
    <w:rsid w:val="005C7B0B"/>
    <w:rsid w:val="005F5DCF"/>
    <w:rsid w:val="00610299"/>
    <w:rsid w:val="00616F3E"/>
    <w:rsid w:val="006275B1"/>
    <w:rsid w:val="00683ABD"/>
    <w:rsid w:val="00684E84"/>
    <w:rsid w:val="006A40BE"/>
    <w:rsid w:val="006C2095"/>
    <w:rsid w:val="00700CDE"/>
    <w:rsid w:val="00757983"/>
    <w:rsid w:val="00772A18"/>
    <w:rsid w:val="007A30C6"/>
    <w:rsid w:val="007D35DF"/>
    <w:rsid w:val="007D46DD"/>
    <w:rsid w:val="00821F29"/>
    <w:rsid w:val="00832D73"/>
    <w:rsid w:val="00854CB7"/>
    <w:rsid w:val="00855962"/>
    <w:rsid w:val="008819B4"/>
    <w:rsid w:val="008B5274"/>
    <w:rsid w:val="00925154"/>
    <w:rsid w:val="009639A0"/>
    <w:rsid w:val="00980DAB"/>
    <w:rsid w:val="00991364"/>
    <w:rsid w:val="009D1B11"/>
    <w:rsid w:val="009E35A7"/>
    <w:rsid w:val="009E49A1"/>
    <w:rsid w:val="009F504D"/>
    <w:rsid w:val="009F6543"/>
    <w:rsid w:val="00A17F73"/>
    <w:rsid w:val="00A504C4"/>
    <w:rsid w:val="00A74E27"/>
    <w:rsid w:val="00A765AA"/>
    <w:rsid w:val="00B05847"/>
    <w:rsid w:val="00B22E0A"/>
    <w:rsid w:val="00B24F49"/>
    <w:rsid w:val="00B84951"/>
    <w:rsid w:val="00BD0937"/>
    <w:rsid w:val="00BD67E7"/>
    <w:rsid w:val="00BE0015"/>
    <w:rsid w:val="00BE260C"/>
    <w:rsid w:val="00BF07F6"/>
    <w:rsid w:val="00C02463"/>
    <w:rsid w:val="00C10A11"/>
    <w:rsid w:val="00C13CAC"/>
    <w:rsid w:val="00C55E62"/>
    <w:rsid w:val="00C572E8"/>
    <w:rsid w:val="00C944C3"/>
    <w:rsid w:val="00D202F4"/>
    <w:rsid w:val="00D3203D"/>
    <w:rsid w:val="00D55A3F"/>
    <w:rsid w:val="00DD0370"/>
    <w:rsid w:val="00E70F9C"/>
    <w:rsid w:val="00E843E6"/>
    <w:rsid w:val="00EC7780"/>
    <w:rsid w:val="00F260F2"/>
    <w:rsid w:val="00F55815"/>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9DE6375"/>
  <w15:chartTrackingRefBased/>
  <w15:docId w15:val="{BC5E2B1C-0531-4D5C-8C6E-5959AB1E0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Hyperlink">
    <w:name w:val="Hyperlink"/>
    <w:semiHidden/>
    <w:rsid w:val="00534CFF"/>
    <w:rPr>
      <w:color w:val="0000FF"/>
      <w:u w:val="single"/>
    </w:rPr>
  </w:style>
  <w:style w:type="character" w:styleId="aa">
    <w:name w:val="Emphasis"/>
    <w:qFormat/>
    <w:rsid w:val="00534CFF"/>
    <w:rPr>
      <w:rFonts w:ascii="Miriam" w:hAnsi="Miriam"/>
    </w:rPr>
  </w:style>
  <w:style w:type="paragraph" w:customStyle="1" w:styleId="ListParagraph">
    <w:name w:val="List Paragraph"/>
    <w:basedOn w:val="a"/>
    <w:qFormat/>
    <w:rsid w:val="00534CFF"/>
    <w:pPr>
      <w:spacing w:after="160" w:line="256" w:lineRule="auto"/>
      <w:ind w:left="720"/>
      <w:contextualSpacing/>
    </w:pPr>
    <w:rPr>
      <w:rFonts w:ascii="Calibri" w:hAnsi="Calibri" w:cs="Arial"/>
      <w:sz w:val="22"/>
      <w:szCs w:val="22"/>
    </w:rPr>
  </w:style>
  <w:style w:type="paragraph" w:customStyle="1" w:styleId="David">
    <w:name w:val="סגנון (עברית ושפות אחרות) David מיושר לשני הצדדים מרווח בין שורות..."/>
    <w:basedOn w:val="a"/>
    <w:rsid w:val="00534CFF"/>
    <w:pPr>
      <w:spacing w:line="360" w:lineRule="auto"/>
      <w:jc w:val="both"/>
    </w:pPr>
  </w:style>
  <w:style w:type="paragraph" w:customStyle="1" w:styleId="10">
    <w:name w:val="פיסקת רשימה1"/>
    <w:basedOn w:val="a"/>
    <w:rsid w:val="00534CFF"/>
    <w:pPr>
      <w:spacing w:after="160" w:line="254" w:lineRule="auto"/>
      <w:ind w:left="720"/>
      <w:contextualSpacing/>
    </w:pPr>
    <w:rPr>
      <w:rFonts w:ascii="Calibri" w:hAnsi="Calibri" w:cs="Arial"/>
      <w:sz w:val="22"/>
      <w:szCs w:val="22"/>
    </w:rPr>
  </w:style>
  <w:style w:type="paragraph" w:customStyle="1" w:styleId="Ruller4">
    <w:name w:val="Ruller 4 ממוספר"/>
    <w:basedOn w:val="a"/>
    <w:next w:val="a"/>
    <w:rsid w:val="00534CFF"/>
    <w:pPr>
      <w:numPr>
        <w:numId w:val="3"/>
      </w:numPr>
      <w:tabs>
        <w:tab w:val="left" w:pos="800"/>
      </w:tabs>
      <w:overflowPunct w:val="0"/>
      <w:autoSpaceDE w:val="0"/>
      <w:autoSpaceDN w:val="0"/>
      <w:adjustRightInd w:val="0"/>
      <w:spacing w:line="360" w:lineRule="auto"/>
      <w:jc w:val="both"/>
    </w:pPr>
    <w:rPr>
      <w:rFonts w:ascii="Garamond" w:hAnsi="Garamond" w:cs="FrankRuehl"/>
      <w:spacing w:val="10"/>
      <w:szCs w:val="28"/>
    </w:rPr>
  </w:style>
  <w:style w:type="paragraph" w:customStyle="1" w:styleId="ruller40">
    <w:name w:val="ruller4"/>
    <w:basedOn w:val="a"/>
    <w:rsid w:val="00534CFF"/>
    <w:pPr>
      <w:overflowPunct w:val="0"/>
      <w:autoSpaceDE w:val="0"/>
      <w:autoSpaceDN w:val="0"/>
      <w:spacing w:line="360" w:lineRule="auto"/>
      <w:jc w:val="both"/>
    </w:pPr>
    <w:rPr>
      <w:rFonts w:ascii="Arial TUR" w:hAnsi="Arial TUR" w:cs="Arial TUR"/>
      <w:spacing w:val="10"/>
      <w:sz w:val="22"/>
      <w:szCs w:val="22"/>
    </w:rPr>
  </w:style>
  <w:style w:type="character" w:customStyle="1" w:styleId="Ruller41">
    <w:name w:val="Ruller4 תו תו"/>
    <w:link w:val="Ruller42"/>
    <w:locked/>
    <w:rsid w:val="00534CFF"/>
    <w:rPr>
      <w:rFonts w:ascii="Arial TUR" w:hAnsi="Arial TUR"/>
      <w:spacing w:val="10"/>
      <w:sz w:val="28"/>
      <w:lang w:val="x-none" w:eastAsia="he-IL" w:bidi="he-IL"/>
    </w:rPr>
  </w:style>
  <w:style w:type="paragraph" w:customStyle="1" w:styleId="Ruller42">
    <w:name w:val="Ruller4 תו"/>
    <w:basedOn w:val="a"/>
    <w:link w:val="Ruller41"/>
    <w:rsid w:val="00534CFF"/>
    <w:pPr>
      <w:tabs>
        <w:tab w:val="left" w:pos="800"/>
      </w:tabs>
      <w:overflowPunct w:val="0"/>
      <w:autoSpaceDE w:val="0"/>
      <w:autoSpaceDN w:val="0"/>
      <w:adjustRightInd w:val="0"/>
      <w:spacing w:line="360" w:lineRule="auto"/>
      <w:jc w:val="both"/>
    </w:pPr>
    <w:rPr>
      <w:rFonts w:ascii="Arial TUR" w:hAnsi="Arial TUR" w:cs="Times New Roman"/>
      <w:spacing w:val="10"/>
      <w:sz w:val="20"/>
      <w:szCs w:val="28"/>
      <w:lang w:eastAsia="he-IL"/>
    </w:rPr>
  </w:style>
  <w:style w:type="paragraph" w:customStyle="1" w:styleId="Ruller43">
    <w:name w:val="Ruller4"/>
    <w:basedOn w:val="a"/>
    <w:rsid w:val="00534CFF"/>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p00">
    <w:name w:val="p00"/>
    <w:basedOn w:val="a"/>
    <w:rsid w:val="00534CFF"/>
    <w:pPr>
      <w:autoSpaceDE w:val="0"/>
      <w:autoSpaceDN w:val="0"/>
      <w:spacing w:before="60"/>
      <w:ind w:left="2835"/>
      <w:jc w:val="both"/>
    </w:pPr>
    <w:rPr>
      <w:rFonts w:cs="Times New Roman"/>
      <w:sz w:val="20"/>
      <w:szCs w:val="20"/>
    </w:rPr>
  </w:style>
  <w:style w:type="paragraph" w:customStyle="1" w:styleId="p22">
    <w:name w:val="p22"/>
    <w:basedOn w:val="a"/>
    <w:rsid w:val="00534CFF"/>
    <w:pPr>
      <w:autoSpaceDE w:val="0"/>
      <w:autoSpaceDN w:val="0"/>
      <w:spacing w:before="60"/>
      <w:ind w:left="2835" w:right="1021"/>
      <w:jc w:val="both"/>
    </w:pPr>
    <w:rPr>
      <w:rFonts w:cs="Times New Roman"/>
      <w:sz w:val="20"/>
      <w:szCs w:val="20"/>
    </w:rPr>
  </w:style>
  <w:style w:type="paragraph" w:customStyle="1" w:styleId="40">
    <w:name w:val="4"/>
    <w:basedOn w:val="a"/>
    <w:rsid w:val="00534CFF"/>
    <w:pPr>
      <w:autoSpaceDE w:val="0"/>
      <w:autoSpaceDN w:val="0"/>
      <w:spacing w:line="480" w:lineRule="auto"/>
      <w:jc w:val="both"/>
    </w:pPr>
    <w:rPr>
      <w:rFonts w:cs="Times New Roman"/>
      <w:sz w:val="22"/>
      <w:szCs w:val="22"/>
      <w:lang w:eastAsia="he-IL"/>
    </w:rPr>
  </w:style>
  <w:style w:type="character" w:customStyle="1" w:styleId="default">
    <w:name w:val="default"/>
    <w:rsid w:val="00534CFF"/>
    <w:rPr>
      <w:rFonts w:ascii="Times New Roman" w:hAnsi="Times New Roman" w:cs="Times New Roman"/>
    </w:rPr>
  </w:style>
  <w:style w:type="character" w:customStyle="1" w:styleId="TimesNewRomanTimesNewRoman">
    <w:name w:val="סגנון (לטיני) Times New Roman (עברית ושפות אחרות) Times New Roman..."/>
    <w:rsid w:val="00534CFF"/>
    <w:rPr>
      <w:rFonts w:ascii="Times New Roman" w:hAnsi="Times New Roman" w:cs="David"/>
      <w:b/>
      <w:bCs/>
      <w:sz w:val="26"/>
      <w:szCs w:val="26"/>
    </w:rPr>
  </w:style>
  <w:style w:type="character" w:styleId="ab">
    <w:name w:val="line number"/>
    <w:semiHidden/>
    <w:rsid w:val="00534CF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448.a" TargetMode="External"/><Relationship Id="rId21" Type="http://schemas.openxmlformats.org/officeDocument/2006/relationships/hyperlink" Target="http://www.nevo.co.il/law/70301/448.a"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2934536" TargetMode="External"/><Relationship Id="rId63" Type="http://schemas.openxmlformats.org/officeDocument/2006/relationships/hyperlink" Target="http://www.nevo.co.il/case/25500827" TargetMode="External"/><Relationship Id="rId6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evo.co.il/law/70301" TargetMode="External"/><Relationship Id="rId29" Type="http://schemas.openxmlformats.org/officeDocument/2006/relationships/hyperlink" Target="http://www.nevo.co.il/law/4216" TargetMode="External"/><Relationship Id="rId11" Type="http://schemas.openxmlformats.org/officeDocument/2006/relationships/hyperlink" Target="http://www.nevo.co.il/law/4216/7.a."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6544682" TargetMode="External"/><Relationship Id="rId37" Type="http://schemas.openxmlformats.org/officeDocument/2006/relationships/hyperlink" Target="http://www.nevo.co.il/case/18052275" TargetMode="External"/><Relationship Id="rId40" Type="http://schemas.openxmlformats.org/officeDocument/2006/relationships/hyperlink" Target="http://www.nevo.co.il/case/17908563" TargetMode="External"/><Relationship Id="rId45" Type="http://schemas.openxmlformats.org/officeDocument/2006/relationships/hyperlink" Target="http://www.nevo.co.il/case/6959068" TargetMode="External"/><Relationship Id="rId53" Type="http://schemas.openxmlformats.org/officeDocument/2006/relationships/hyperlink" Target="http://www.nevo.co.il/case/7665459" TargetMode="External"/><Relationship Id="rId58" Type="http://schemas.openxmlformats.org/officeDocument/2006/relationships/hyperlink" Target="http://www.nevo.co.il/case/20426325" TargetMode="External"/><Relationship Id="rId66" Type="http://schemas.openxmlformats.org/officeDocument/2006/relationships/hyperlink" Target="http://www.nevo.co.il/case/6205068" TargetMode="External"/><Relationship Id="rId5" Type="http://schemas.openxmlformats.org/officeDocument/2006/relationships/webSettings" Target="webSettings.xml"/><Relationship Id="rId61" Type="http://schemas.openxmlformats.org/officeDocument/2006/relationships/hyperlink" Target="http://www.nevo.co.il/case/5587202" TargetMode="External"/><Relationship Id="rId19" Type="http://schemas.openxmlformats.org/officeDocument/2006/relationships/hyperlink" Target="http://www.nevo.co.il/case/6247916" TargetMode="External"/><Relationship Id="rId14" Type="http://schemas.openxmlformats.org/officeDocument/2006/relationships/hyperlink" Target="http://www.nevo.co.il/law/70348/24"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48/24" TargetMode="External"/><Relationship Id="rId35" Type="http://schemas.openxmlformats.org/officeDocument/2006/relationships/hyperlink" Target="http://www.nevo.co.il/law/70348" TargetMode="External"/><Relationship Id="rId43" Type="http://schemas.openxmlformats.org/officeDocument/2006/relationships/hyperlink" Target="http://www.nevo.co.il/case/20050835" TargetMode="External"/><Relationship Id="rId48" Type="http://schemas.openxmlformats.org/officeDocument/2006/relationships/hyperlink" Target="http://www.nevo.co.il/case/7665459" TargetMode="External"/><Relationship Id="rId56" Type="http://schemas.openxmlformats.org/officeDocument/2006/relationships/hyperlink" Target="http://www.nevo.co.il/case/22923903" TargetMode="External"/><Relationship Id="rId64" Type="http://schemas.openxmlformats.org/officeDocument/2006/relationships/hyperlink" Target="http://www.nevo.co.il/case/10458837" TargetMode="External"/><Relationship Id="rId69" Type="http://schemas.openxmlformats.org/officeDocument/2006/relationships/header" Target="header2.xml"/><Relationship Id="rId8" Type="http://schemas.openxmlformats.org/officeDocument/2006/relationships/hyperlink" Target="http://www.nevo.co.il/law/70301" TargetMode="External"/><Relationship Id="rId51" Type="http://schemas.openxmlformats.org/officeDocument/2006/relationships/hyperlink" Target="http://www.nevo.co.il/case/5604013"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nevo.co.il/law/4216/7.c"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237972" TargetMode="External"/><Relationship Id="rId33" Type="http://schemas.openxmlformats.org/officeDocument/2006/relationships/hyperlink" Target="http://www.nevo.co.il/case/6225883"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6731208" TargetMode="External"/><Relationship Id="rId59" Type="http://schemas.openxmlformats.org/officeDocument/2006/relationships/hyperlink" Target="http://www.nevo.co.il/case/22303593"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case/23751289" TargetMode="External"/><Relationship Id="rId41" Type="http://schemas.openxmlformats.org/officeDocument/2006/relationships/hyperlink" Target="http://www.nevo.co.il/case/6669251" TargetMode="External"/><Relationship Id="rId54" Type="http://schemas.openxmlformats.org/officeDocument/2006/relationships/hyperlink" Target="http://www.nevo.co.il/case/22923903" TargetMode="External"/><Relationship Id="rId62" Type="http://schemas.openxmlformats.org/officeDocument/2006/relationships/hyperlink" Target="http://www.nevo.co.il/case/6130987" TargetMode="External"/><Relationship Id="rId7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448.a" TargetMode="External"/><Relationship Id="rId23" Type="http://schemas.openxmlformats.org/officeDocument/2006/relationships/hyperlink" Target="http://www.nevo.co.il/law/4216/7.a.;7.c" TargetMode="External"/><Relationship Id="rId28" Type="http://schemas.openxmlformats.org/officeDocument/2006/relationships/hyperlink" Target="http://www.nevo.co.il/law/4216/7.a.;7.c" TargetMode="External"/><Relationship Id="rId36" Type="http://schemas.openxmlformats.org/officeDocument/2006/relationships/hyperlink" Target="http://www.nevo.co.il/case/6247596" TargetMode="External"/><Relationship Id="rId49" Type="http://schemas.openxmlformats.org/officeDocument/2006/relationships/hyperlink" Target="http://www.nevo.co.il/case/6166921" TargetMode="External"/><Relationship Id="rId57" Type="http://schemas.openxmlformats.org/officeDocument/2006/relationships/hyperlink" Target="http://www.nevo.co.il/case/10541031" TargetMode="External"/><Relationship Id="rId10" Type="http://schemas.openxmlformats.org/officeDocument/2006/relationships/hyperlink" Target="http://www.nevo.co.il/law/4216" TargetMode="External"/><Relationship Id="rId31" Type="http://schemas.openxmlformats.org/officeDocument/2006/relationships/hyperlink" Target="http://www.nevo.co.il/law/70348" TargetMode="External"/><Relationship Id="rId44" Type="http://schemas.openxmlformats.org/officeDocument/2006/relationships/hyperlink" Target="http://www.nevo.co.il/case/5587202" TargetMode="External"/><Relationship Id="rId52" Type="http://schemas.openxmlformats.org/officeDocument/2006/relationships/hyperlink" Target="http://www.nevo.co.il/case/17016454" TargetMode="External"/><Relationship Id="rId60" Type="http://schemas.openxmlformats.org/officeDocument/2006/relationships/hyperlink" Target="http://www.nevo.co.il/case/13077164" TargetMode="External"/><Relationship Id="rId65" Type="http://schemas.openxmlformats.org/officeDocument/2006/relationships/hyperlink" Target="http://www.nevo.co.il/case/23789831"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70301/448.a" TargetMode="External"/><Relationship Id="rId13" Type="http://schemas.openxmlformats.org/officeDocument/2006/relationships/hyperlink" Target="http://www.nevo.co.il/law/70348" TargetMode="External"/><Relationship Id="rId18" Type="http://schemas.openxmlformats.org/officeDocument/2006/relationships/hyperlink" Target="http://www.nevo.co.il/law/4216" TargetMode="External"/><Relationship Id="rId39" Type="http://schemas.openxmlformats.org/officeDocument/2006/relationships/hyperlink" Target="http://www.nevo.co.il/case/24263410" TargetMode="External"/><Relationship Id="rId34" Type="http://schemas.openxmlformats.org/officeDocument/2006/relationships/hyperlink" Target="http://www.nevo.co.il/case/2237972" TargetMode="External"/><Relationship Id="rId50" Type="http://schemas.openxmlformats.org/officeDocument/2006/relationships/hyperlink" Target="http://www.nevo.co.il/case/7980175" TargetMode="External"/><Relationship Id="rId55" Type="http://schemas.openxmlformats.org/officeDocument/2006/relationships/hyperlink" Target="http://www.nevo.co.il/case/5585564" TargetMode="External"/><Relationship Id="rId7" Type="http://schemas.openxmlformats.org/officeDocument/2006/relationships/endnotes" Target="endnotes.xm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6338</Words>
  <Characters>31694</Characters>
  <Application>Microsoft Office Word</Application>
  <DocSecurity>0</DocSecurity>
  <Lines>264</Lines>
  <Paragraphs>75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37957</CharactersWithSpaces>
  <SharedDoc>false</SharedDoc>
  <HLinks>
    <vt:vector size="360" baseType="variant">
      <vt:variant>
        <vt:i4>393283</vt:i4>
      </vt:variant>
      <vt:variant>
        <vt:i4>201</vt:i4>
      </vt:variant>
      <vt:variant>
        <vt:i4>0</vt:i4>
      </vt:variant>
      <vt:variant>
        <vt:i4>5</vt:i4>
      </vt:variant>
      <vt:variant>
        <vt:lpwstr>http://www.nevo.co.il/advertisements/nevo-100.doc</vt:lpwstr>
      </vt:variant>
      <vt:variant>
        <vt:lpwstr/>
      </vt:variant>
      <vt:variant>
        <vt:i4>4063349</vt:i4>
      </vt:variant>
      <vt:variant>
        <vt:i4>198</vt:i4>
      </vt:variant>
      <vt:variant>
        <vt:i4>0</vt:i4>
      </vt:variant>
      <vt:variant>
        <vt:i4>5</vt:i4>
      </vt:variant>
      <vt:variant>
        <vt:lpwstr>http://www.nevo.co.il/case/6205068</vt:lpwstr>
      </vt:variant>
      <vt:variant>
        <vt:lpwstr/>
      </vt:variant>
      <vt:variant>
        <vt:i4>4128887</vt:i4>
      </vt:variant>
      <vt:variant>
        <vt:i4>195</vt:i4>
      </vt:variant>
      <vt:variant>
        <vt:i4>0</vt:i4>
      </vt:variant>
      <vt:variant>
        <vt:i4>5</vt:i4>
      </vt:variant>
      <vt:variant>
        <vt:lpwstr>http://www.nevo.co.il/case/23789831</vt:lpwstr>
      </vt:variant>
      <vt:variant>
        <vt:lpwstr/>
      </vt:variant>
      <vt:variant>
        <vt:i4>4063353</vt:i4>
      </vt:variant>
      <vt:variant>
        <vt:i4>192</vt:i4>
      </vt:variant>
      <vt:variant>
        <vt:i4>0</vt:i4>
      </vt:variant>
      <vt:variant>
        <vt:i4>5</vt:i4>
      </vt:variant>
      <vt:variant>
        <vt:lpwstr>http://www.nevo.co.il/case/10458837</vt:lpwstr>
      </vt:variant>
      <vt:variant>
        <vt:lpwstr/>
      </vt:variant>
      <vt:variant>
        <vt:i4>3473529</vt:i4>
      </vt:variant>
      <vt:variant>
        <vt:i4>189</vt:i4>
      </vt:variant>
      <vt:variant>
        <vt:i4>0</vt:i4>
      </vt:variant>
      <vt:variant>
        <vt:i4>5</vt:i4>
      </vt:variant>
      <vt:variant>
        <vt:lpwstr>http://www.nevo.co.il/case/25500827</vt:lpwstr>
      </vt:variant>
      <vt:variant>
        <vt:lpwstr/>
      </vt:variant>
      <vt:variant>
        <vt:i4>3866749</vt:i4>
      </vt:variant>
      <vt:variant>
        <vt:i4>186</vt:i4>
      </vt:variant>
      <vt:variant>
        <vt:i4>0</vt:i4>
      </vt:variant>
      <vt:variant>
        <vt:i4>5</vt:i4>
      </vt:variant>
      <vt:variant>
        <vt:lpwstr>http://www.nevo.co.il/case/6130987</vt:lpwstr>
      </vt:variant>
      <vt:variant>
        <vt:lpwstr/>
      </vt:variant>
      <vt:variant>
        <vt:i4>3997814</vt:i4>
      </vt:variant>
      <vt:variant>
        <vt:i4>183</vt:i4>
      </vt:variant>
      <vt:variant>
        <vt:i4>0</vt:i4>
      </vt:variant>
      <vt:variant>
        <vt:i4>5</vt:i4>
      </vt:variant>
      <vt:variant>
        <vt:lpwstr>http://www.nevo.co.il/case/5587202</vt:lpwstr>
      </vt:variant>
      <vt:variant>
        <vt:lpwstr/>
      </vt:variant>
      <vt:variant>
        <vt:i4>3145841</vt:i4>
      </vt:variant>
      <vt:variant>
        <vt:i4>180</vt:i4>
      </vt:variant>
      <vt:variant>
        <vt:i4>0</vt:i4>
      </vt:variant>
      <vt:variant>
        <vt:i4>5</vt:i4>
      </vt:variant>
      <vt:variant>
        <vt:lpwstr>http://www.nevo.co.il/case/13077164</vt:lpwstr>
      </vt:variant>
      <vt:variant>
        <vt:lpwstr/>
      </vt:variant>
      <vt:variant>
        <vt:i4>3866739</vt:i4>
      </vt:variant>
      <vt:variant>
        <vt:i4>174</vt:i4>
      </vt:variant>
      <vt:variant>
        <vt:i4>0</vt:i4>
      </vt:variant>
      <vt:variant>
        <vt:i4>5</vt:i4>
      </vt:variant>
      <vt:variant>
        <vt:lpwstr>http://www.nevo.co.il/case/22303593</vt:lpwstr>
      </vt:variant>
      <vt:variant>
        <vt:lpwstr/>
      </vt:variant>
      <vt:variant>
        <vt:i4>3276917</vt:i4>
      </vt:variant>
      <vt:variant>
        <vt:i4>171</vt:i4>
      </vt:variant>
      <vt:variant>
        <vt:i4>0</vt:i4>
      </vt:variant>
      <vt:variant>
        <vt:i4>5</vt:i4>
      </vt:variant>
      <vt:variant>
        <vt:lpwstr>http://www.nevo.co.il/case/20426325</vt:lpwstr>
      </vt:variant>
      <vt:variant>
        <vt:lpwstr/>
      </vt:variant>
      <vt:variant>
        <vt:i4>3539056</vt:i4>
      </vt:variant>
      <vt:variant>
        <vt:i4>168</vt:i4>
      </vt:variant>
      <vt:variant>
        <vt:i4>0</vt:i4>
      </vt:variant>
      <vt:variant>
        <vt:i4>5</vt:i4>
      </vt:variant>
      <vt:variant>
        <vt:lpwstr>http://www.nevo.co.il/case/10541031</vt:lpwstr>
      </vt:variant>
      <vt:variant>
        <vt:lpwstr/>
      </vt:variant>
      <vt:variant>
        <vt:i4>3670141</vt:i4>
      </vt:variant>
      <vt:variant>
        <vt:i4>165</vt:i4>
      </vt:variant>
      <vt:variant>
        <vt:i4>0</vt:i4>
      </vt:variant>
      <vt:variant>
        <vt:i4>5</vt:i4>
      </vt:variant>
      <vt:variant>
        <vt:lpwstr>http://www.nevo.co.il/case/22923903</vt:lpwstr>
      </vt:variant>
      <vt:variant>
        <vt:lpwstr/>
      </vt:variant>
      <vt:variant>
        <vt:i4>3932274</vt:i4>
      </vt:variant>
      <vt:variant>
        <vt:i4>162</vt:i4>
      </vt:variant>
      <vt:variant>
        <vt:i4>0</vt:i4>
      </vt:variant>
      <vt:variant>
        <vt:i4>5</vt:i4>
      </vt:variant>
      <vt:variant>
        <vt:lpwstr>http://www.nevo.co.il/case/5585564</vt:lpwstr>
      </vt:variant>
      <vt:variant>
        <vt:lpwstr/>
      </vt:variant>
      <vt:variant>
        <vt:i4>3670141</vt:i4>
      </vt:variant>
      <vt:variant>
        <vt:i4>159</vt:i4>
      </vt:variant>
      <vt:variant>
        <vt:i4>0</vt:i4>
      </vt:variant>
      <vt:variant>
        <vt:i4>5</vt:i4>
      </vt:variant>
      <vt:variant>
        <vt:lpwstr>http://www.nevo.co.il/case/22923903</vt:lpwstr>
      </vt:variant>
      <vt:variant>
        <vt:lpwstr/>
      </vt:variant>
      <vt:variant>
        <vt:i4>3932274</vt:i4>
      </vt:variant>
      <vt:variant>
        <vt:i4>156</vt:i4>
      </vt:variant>
      <vt:variant>
        <vt:i4>0</vt:i4>
      </vt:variant>
      <vt:variant>
        <vt:i4>5</vt:i4>
      </vt:variant>
      <vt:variant>
        <vt:lpwstr>http://www.nevo.co.il/case/7665459</vt:lpwstr>
      </vt:variant>
      <vt:variant>
        <vt:lpwstr/>
      </vt:variant>
      <vt:variant>
        <vt:i4>3276918</vt:i4>
      </vt:variant>
      <vt:variant>
        <vt:i4>153</vt:i4>
      </vt:variant>
      <vt:variant>
        <vt:i4>0</vt:i4>
      </vt:variant>
      <vt:variant>
        <vt:i4>5</vt:i4>
      </vt:variant>
      <vt:variant>
        <vt:lpwstr>http://www.nevo.co.il/case/17016454</vt:lpwstr>
      </vt:variant>
      <vt:variant>
        <vt:lpwstr/>
      </vt:variant>
      <vt:variant>
        <vt:i4>3539063</vt:i4>
      </vt:variant>
      <vt:variant>
        <vt:i4>150</vt:i4>
      </vt:variant>
      <vt:variant>
        <vt:i4>0</vt:i4>
      </vt:variant>
      <vt:variant>
        <vt:i4>5</vt:i4>
      </vt:variant>
      <vt:variant>
        <vt:lpwstr>http://www.nevo.co.il/case/5604013</vt:lpwstr>
      </vt:variant>
      <vt:variant>
        <vt:lpwstr/>
      </vt:variant>
      <vt:variant>
        <vt:i4>3866746</vt:i4>
      </vt:variant>
      <vt:variant>
        <vt:i4>147</vt:i4>
      </vt:variant>
      <vt:variant>
        <vt:i4>0</vt:i4>
      </vt:variant>
      <vt:variant>
        <vt:i4>5</vt:i4>
      </vt:variant>
      <vt:variant>
        <vt:lpwstr>http://www.nevo.co.il/case/7980175</vt:lpwstr>
      </vt:variant>
      <vt:variant>
        <vt:lpwstr/>
      </vt:variant>
      <vt:variant>
        <vt:i4>3670129</vt:i4>
      </vt:variant>
      <vt:variant>
        <vt:i4>144</vt:i4>
      </vt:variant>
      <vt:variant>
        <vt:i4>0</vt:i4>
      </vt:variant>
      <vt:variant>
        <vt:i4>5</vt:i4>
      </vt:variant>
      <vt:variant>
        <vt:lpwstr>http://www.nevo.co.il/case/6166921</vt:lpwstr>
      </vt:variant>
      <vt:variant>
        <vt:lpwstr/>
      </vt:variant>
      <vt:variant>
        <vt:i4>3932274</vt:i4>
      </vt:variant>
      <vt:variant>
        <vt:i4>141</vt:i4>
      </vt:variant>
      <vt:variant>
        <vt:i4>0</vt:i4>
      </vt:variant>
      <vt:variant>
        <vt:i4>5</vt:i4>
      </vt:variant>
      <vt:variant>
        <vt:lpwstr>http://www.nevo.co.il/case/7665459</vt:lpwstr>
      </vt:variant>
      <vt:variant>
        <vt:lpwstr/>
      </vt:variant>
      <vt:variant>
        <vt:i4>3932272</vt:i4>
      </vt:variant>
      <vt:variant>
        <vt:i4>138</vt:i4>
      </vt:variant>
      <vt:variant>
        <vt:i4>0</vt:i4>
      </vt:variant>
      <vt:variant>
        <vt:i4>5</vt:i4>
      </vt:variant>
      <vt:variant>
        <vt:lpwstr>http://www.nevo.co.il/case/22934536</vt:lpwstr>
      </vt:variant>
      <vt:variant>
        <vt:lpwstr/>
      </vt:variant>
      <vt:variant>
        <vt:i4>4128882</vt:i4>
      </vt:variant>
      <vt:variant>
        <vt:i4>135</vt:i4>
      </vt:variant>
      <vt:variant>
        <vt:i4>0</vt:i4>
      </vt:variant>
      <vt:variant>
        <vt:i4>5</vt:i4>
      </vt:variant>
      <vt:variant>
        <vt:lpwstr>http://www.nevo.co.il/case/6731208</vt:lpwstr>
      </vt:variant>
      <vt:variant>
        <vt:lpwstr/>
      </vt:variant>
      <vt:variant>
        <vt:i4>3866738</vt:i4>
      </vt:variant>
      <vt:variant>
        <vt:i4>132</vt:i4>
      </vt:variant>
      <vt:variant>
        <vt:i4>0</vt:i4>
      </vt:variant>
      <vt:variant>
        <vt:i4>5</vt:i4>
      </vt:variant>
      <vt:variant>
        <vt:lpwstr>http://www.nevo.co.il/case/6959068</vt:lpwstr>
      </vt:variant>
      <vt:variant>
        <vt:lpwstr/>
      </vt:variant>
      <vt:variant>
        <vt:i4>3997814</vt:i4>
      </vt:variant>
      <vt:variant>
        <vt:i4>126</vt:i4>
      </vt:variant>
      <vt:variant>
        <vt:i4>0</vt:i4>
      </vt:variant>
      <vt:variant>
        <vt:i4>5</vt:i4>
      </vt:variant>
      <vt:variant>
        <vt:lpwstr>http://www.nevo.co.il/case/5587202</vt:lpwstr>
      </vt:variant>
      <vt:variant>
        <vt:lpwstr/>
      </vt:variant>
      <vt:variant>
        <vt:i4>3211385</vt:i4>
      </vt:variant>
      <vt:variant>
        <vt:i4>123</vt:i4>
      </vt:variant>
      <vt:variant>
        <vt:i4>0</vt:i4>
      </vt:variant>
      <vt:variant>
        <vt:i4>5</vt:i4>
      </vt:variant>
      <vt:variant>
        <vt:lpwstr>http://www.nevo.co.il/case/20050835</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3342462</vt:i4>
      </vt:variant>
      <vt:variant>
        <vt:i4>117</vt:i4>
      </vt:variant>
      <vt:variant>
        <vt:i4>0</vt:i4>
      </vt:variant>
      <vt:variant>
        <vt:i4>5</vt:i4>
      </vt:variant>
      <vt:variant>
        <vt:lpwstr>http://www.nevo.co.il/case/6669251</vt:lpwstr>
      </vt:variant>
      <vt:variant>
        <vt:lpwstr/>
      </vt:variant>
      <vt:variant>
        <vt:i4>3539062</vt:i4>
      </vt:variant>
      <vt:variant>
        <vt:i4>114</vt:i4>
      </vt:variant>
      <vt:variant>
        <vt:i4>0</vt:i4>
      </vt:variant>
      <vt:variant>
        <vt:i4>5</vt:i4>
      </vt:variant>
      <vt:variant>
        <vt:lpwstr>http://www.nevo.co.il/case/17908563</vt:lpwstr>
      </vt:variant>
      <vt:variant>
        <vt:lpwstr/>
      </vt:variant>
      <vt:variant>
        <vt:i4>3276914</vt:i4>
      </vt:variant>
      <vt:variant>
        <vt:i4>102</vt:i4>
      </vt:variant>
      <vt:variant>
        <vt:i4>0</vt:i4>
      </vt:variant>
      <vt:variant>
        <vt:i4>5</vt:i4>
      </vt:variant>
      <vt:variant>
        <vt:lpwstr>http://www.nevo.co.il/case/24263410</vt:lpwstr>
      </vt:variant>
      <vt:variant>
        <vt:lpwstr/>
      </vt:variant>
      <vt:variant>
        <vt:i4>7995492</vt:i4>
      </vt:variant>
      <vt:variant>
        <vt:i4>99</vt:i4>
      </vt:variant>
      <vt:variant>
        <vt:i4>0</vt:i4>
      </vt:variant>
      <vt:variant>
        <vt:i4>5</vt:i4>
      </vt:variant>
      <vt:variant>
        <vt:lpwstr>http://www.nevo.co.il/law/70301</vt:lpwstr>
      </vt:variant>
      <vt:variant>
        <vt:lpwstr/>
      </vt:variant>
      <vt:variant>
        <vt:i4>3407995</vt:i4>
      </vt:variant>
      <vt:variant>
        <vt:i4>96</vt:i4>
      </vt:variant>
      <vt:variant>
        <vt:i4>0</vt:i4>
      </vt:variant>
      <vt:variant>
        <vt:i4>5</vt:i4>
      </vt:variant>
      <vt:variant>
        <vt:lpwstr>http://www.nevo.co.il/case/18052275</vt:lpwstr>
      </vt:variant>
      <vt:variant>
        <vt:lpwstr/>
      </vt:variant>
      <vt:variant>
        <vt:i4>3211384</vt:i4>
      </vt:variant>
      <vt:variant>
        <vt:i4>84</vt:i4>
      </vt:variant>
      <vt:variant>
        <vt:i4>0</vt:i4>
      </vt:variant>
      <vt:variant>
        <vt:i4>5</vt:i4>
      </vt:variant>
      <vt:variant>
        <vt:lpwstr>http://www.nevo.co.il/case/6247596</vt:lpwstr>
      </vt:variant>
      <vt:variant>
        <vt:lpwstr/>
      </vt:variant>
      <vt:variant>
        <vt:i4>8257636</vt:i4>
      </vt:variant>
      <vt:variant>
        <vt:i4>81</vt:i4>
      </vt:variant>
      <vt:variant>
        <vt:i4>0</vt:i4>
      </vt:variant>
      <vt:variant>
        <vt:i4>5</vt:i4>
      </vt:variant>
      <vt:variant>
        <vt:lpwstr>http://www.nevo.co.il/law/70348</vt:lpwstr>
      </vt:variant>
      <vt:variant>
        <vt:lpwstr/>
      </vt:variant>
      <vt:variant>
        <vt:i4>3801206</vt:i4>
      </vt:variant>
      <vt:variant>
        <vt:i4>78</vt:i4>
      </vt:variant>
      <vt:variant>
        <vt:i4>0</vt:i4>
      </vt:variant>
      <vt:variant>
        <vt:i4>5</vt:i4>
      </vt:variant>
      <vt:variant>
        <vt:lpwstr>http://www.nevo.co.il/case/2237972</vt:lpwstr>
      </vt:variant>
      <vt:variant>
        <vt:lpwstr/>
      </vt:variant>
      <vt:variant>
        <vt:i4>4128891</vt:i4>
      </vt:variant>
      <vt:variant>
        <vt:i4>75</vt:i4>
      </vt:variant>
      <vt:variant>
        <vt:i4>0</vt:i4>
      </vt:variant>
      <vt:variant>
        <vt:i4>5</vt:i4>
      </vt:variant>
      <vt:variant>
        <vt:lpwstr>http://www.nevo.co.il/case/6225883</vt:lpwstr>
      </vt:variant>
      <vt:variant>
        <vt:lpwstr/>
      </vt:variant>
      <vt:variant>
        <vt:i4>3866736</vt:i4>
      </vt:variant>
      <vt:variant>
        <vt:i4>72</vt:i4>
      </vt:variant>
      <vt:variant>
        <vt:i4>0</vt:i4>
      </vt:variant>
      <vt:variant>
        <vt:i4>5</vt:i4>
      </vt:variant>
      <vt:variant>
        <vt:lpwstr>http://www.nevo.co.il/case/26544682</vt:lpwstr>
      </vt:variant>
      <vt:variant>
        <vt:lpwstr/>
      </vt:variant>
      <vt:variant>
        <vt:i4>8257636</vt:i4>
      </vt:variant>
      <vt:variant>
        <vt:i4>69</vt:i4>
      </vt:variant>
      <vt:variant>
        <vt:i4>0</vt:i4>
      </vt:variant>
      <vt:variant>
        <vt:i4>5</vt:i4>
      </vt:variant>
      <vt:variant>
        <vt:lpwstr>http://www.nevo.co.il/law/70348</vt:lpwstr>
      </vt:variant>
      <vt:variant>
        <vt:lpwstr/>
      </vt:variant>
      <vt:variant>
        <vt:i4>6619246</vt:i4>
      </vt:variant>
      <vt:variant>
        <vt:i4>66</vt:i4>
      </vt:variant>
      <vt:variant>
        <vt:i4>0</vt:i4>
      </vt:variant>
      <vt:variant>
        <vt:i4>5</vt:i4>
      </vt:variant>
      <vt:variant>
        <vt:lpwstr>http://www.nevo.co.il/law/70348/24</vt:lpwstr>
      </vt:variant>
      <vt:variant>
        <vt:lpwstr/>
      </vt:variant>
      <vt:variant>
        <vt:i4>8257637</vt:i4>
      </vt:variant>
      <vt:variant>
        <vt:i4>63</vt:i4>
      </vt:variant>
      <vt:variant>
        <vt:i4>0</vt:i4>
      </vt:variant>
      <vt:variant>
        <vt:i4>5</vt:i4>
      </vt:variant>
      <vt:variant>
        <vt:lpwstr>http://www.nevo.co.il/law/4216</vt:lpwstr>
      </vt:variant>
      <vt:variant>
        <vt:lpwstr/>
      </vt:variant>
      <vt:variant>
        <vt:i4>3997821</vt:i4>
      </vt:variant>
      <vt:variant>
        <vt:i4>60</vt:i4>
      </vt:variant>
      <vt:variant>
        <vt:i4>0</vt:i4>
      </vt:variant>
      <vt:variant>
        <vt:i4>5</vt:i4>
      </vt:variant>
      <vt:variant>
        <vt:lpwstr>http://www.nevo.co.il/law/4216/7.a.;7.c</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5177433</vt:i4>
      </vt:variant>
      <vt:variant>
        <vt:i4>54</vt:i4>
      </vt:variant>
      <vt:variant>
        <vt:i4>0</vt:i4>
      </vt:variant>
      <vt:variant>
        <vt:i4>5</vt:i4>
      </vt:variant>
      <vt:variant>
        <vt:lpwstr>http://www.nevo.co.il/law/70301/448.a</vt:lpwstr>
      </vt:variant>
      <vt:variant>
        <vt:lpwstr/>
      </vt:variant>
      <vt:variant>
        <vt:i4>3801206</vt:i4>
      </vt:variant>
      <vt:variant>
        <vt:i4>51</vt:i4>
      </vt:variant>
      <vt:variant>
        <vt:i4>0</vt:i4>
      </vt:variant>
      <vt:variant>
        <vt:i4>5</vt:i4>
      </vt:variant>
      <vt:variant>
        <vt:lpwstr>http://www.nevo.co.il/case/2237972</vt:lpwstr>
      </vt:variant>
      <vt:variant>
        <vt:lpwstr/>
      </vt:variant>
      <vt:variant>
        <vt:i4>8257637</vt:i4>
      </vt:variant>
      <vt:variant>
        <vt:i4>48</vt:i4>
      </vt:variant>
      <vt:variant>
        <vt:i4>0</vt:i4>
      </vt:variant>
      <vt:variant>
        <vt:i4>5</vt:i4>
      </vt:variant>
      <vt:variant>
        <vt:lpwstr>http://www.nevo.co.il/law/4216</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5177433</vt:i4>
      </vt:variant>
      <vt:variant>
        <vt:i4>39</vt:i4>
      </vt:variant>
      <vt:variant>
        <vt:i4>0</vt:i4>
      </vt:variant>
      <vt:variant>
        <vt:i4>5</vt:i4>
      </vt:variant>
      <vt:variant>
        <vt:lpwstr>http://www.nevo.co.il/law/70301/448.a</vt:lpwstr>
      </vt:variant>
      <vt:variant>
        <vt:lpwstr/>
      </vt:variant>
      <vt:variant>
        <vt:i4>3932272</vt:i4>
      </vt:variant>
      <vt:variant>
        <vt:i4>36</vt:i4>
      </vt:variant>
      <vt:variant>
        <vt:i4>0</vt:i4>
      </vt:variant>
      <vt:variant>
        <vt:i4>5</vt:i4>
      </vt:variant>
      <vt:variant>
        <vt:lpwstr>http://www.nevo.co.il/case/23751289</vt:lpwstr>
      </vt:variant>
      <vt:variant>
        <vt:lpwstr/>
      </vt:variant>
      <vt:variant>
        <vt:i4>3997808</vt:i4>
      </vt:variant>
      <vt:variant>
        <vt:i4>33</vt:i4>
      </vt:variant>
      <vt:variant>
        <vt:i4>0</vt:i4>
      </vt:variant>
      <vt:variant>
        <vt:i4>5</vt:i4>
      </vt:variant>
      <vt:variant>
        <vt:lpwstr>http://www.nevo.co.il/case/6247916</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5177433</vt:i4>
      </vt:variant>
      <vt:variant>
        <vt:i4>21</vt:i4>
      </vt:variant>
      <vt:variant>
        <vt:i4>0</vt:i4>
      </vt:variant>
      <vt:variant>
        <vt:i4>5</vt:i4>
      </vt:variant>
      <vt:variant>
        <vt:lpwstr>http://www.nevo.co.il/law/70301/448.a</vt:lpwstr>
      </vt:variant>
      <vt:variant>
        <vt:lpwstr/>
      </vt:variant>
      <vt:variant>
        <vt:i4>6619246</vt:i4>
      </vt:variant>
      <vt:variant>
        <vt:i4>18</vt:i4>
      </vt:variant>
      <vt:variant>
        <vt:i4>0</vt:i4>
      </vt:variant>
      <vt:variant>
        <vt:i4>5</vt:i4>
      </vt:variant>
      <vt:variant>
        <vt:lpwstr>http://www.nevo.co.il/law/70348/24</vt:lpwstr>
      </vt:variant>
      <vt:variant>
        <vt:lpwstr/>
      </vt:variant>
      <vt:variant>
        <vt:i4>8257636</vt:i4>
      </vt:variant>
      <vt:variant>
        <vt:i4>15</vt:i4>
      </vt:variant>
      <vt:variant>
        <vt:i4>0</vt:i4>
      </vt:variant>
      <vt:variant>
        <vt:i4>5</vt:i4>
      </vt:variant>
      <vt:variant>
        <vt:lpwstr>http://www.nevo.co.il/law/70348</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5177433</vt:i4>
      </vt:variant>
      <vt:variant>
        <vt:i4>3</vt:i4>
      </vt:variant>
      <vt:variant>
        <vt:i4>0</vt:i4>
      </vt:variant>
      <vt:variant>
        <vt:i4>5</vt:i4>
      </vt:variant>
      <vt:variant>
        <vt:lpwstr>http://www.nevo.co.il/law/70301/448.a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2025-04-22T21:06:00Z</dcterms:created>
  <dcterms:modified xsi:type="dcterms:W3CDTF">2025-04-22T21:06:00Z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17252</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ט' (קטין)</vt:lpwstr>
  </property>
  <property fmtid="{D5CDD505-2E9C-101B-9397-08002B2CF9AE}" pid="10" name="LAWYER">
    <vt:lpwstr>בריק</vt:lpwstr>
  </property>
  <property fmtid="{D5CDD505-2E9C-101B-9397-08002B2CF9AE}" pid="11" name="JUDGE">
    <vt:lpwstr>סארי ג'יוסי</vt:lpwstr>
  </property>
  <property fmtid="{D5CDD505-2E9C-101B-9397-08002B2CF9AE}" pid="12" name="CITY">
    <vt:lpwstr>חי'</vt:lpwstr>
  </property>
  <property fmtid="{D5CDD505-2E9C-101B-9397-08002B2CF9AE}" pid="13" name="DATE">
    <vt:lpwstr>20210225</vt:lpwstr>
  </property>
  <property fmtid="{D5CDD505-2E9C-101B-9397-08002B2CF9AE}" pid="14" name="TYPE_N_DATE">
    <vt:lpwstr>39020210225</vt:lpwstr>
  </property>
  <property fmtid="{D5CDD505-2E9C-101B-9397-08002B2CF9AE}" pid="15" name="WORDNUMPAGES">
    <vt:lpwstr>20</vt:lpwstr>
  </property>
  <property fmtid="{D5CDD505-2E9C-101B-9397-08002B2CF9AE}" pid="16" name="TYPE_ABS_DATE">
    <vt:lpwstr>390120210225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6247916;23751289;2237972:2;26544682;6225883;6247596;18052275;24263410;17908563;6669251;20050835;5587202:2;6959068;6731208;22934536;7665459:2;6166921;7980175;5604013;17016454;22923903:2;5585564;10541031;20426325;22303593;13077164;6130987;25500827</vt:lpwstr>
  </property>
  <property fmtid="{D5CDD505-2E9C-101B-9397-08002B2CF9AE}" pid="36" name="CASESLISTTMP2">
    <vt:lpwstr>10458837;23789831;6205068</vt:lpwstr>
  </property>
  <property fmtid="{D5CDD505-2E9C-101B-9397-08002B2CF9AE}" pid="37" name="LAWLISTTMP1">
    <vt:lpwstr>70301/448.a:3</vt:lpwstr>
  </property>
  <property fmtid="{D5CDD505-2E9C-101B-9397-08002B2CF9AE}" pid="38" name="LAWLISTTMP2">
    <vt:lpwstr>4216/007.a:3;007.c:3</vt:lpwstr>
  </property>
  <property fmtid="{D5CDD505-2E9C-101B-9397-08002B2CF9AE}" pid="39" name="LAWLISTTMP3">
    <vt:lpwstr>70348/024</vt:lpwstr>
  </property>
  <property fmtid="{D5CDD505-2E9C-101B-9397-08002B2CF9AE}" pid="40" name="NOSE1ID">
    <vt:lpwstr>77;77</vt:lpwstr>
  </property>
  <property fmtid="{D5CDD505-2E9C-101B-9397-08002B2CF9AE}" pid="41" name="NOSE2ID">
    <vt:lpwstr>1446;1446</vt:lpwstr>
  </property>
  <property fmtid="{D5CDD505-2E9C-101B-9397-08002B2CF9AE}" pid="42" name="NOSE3ID">
    <vt:lpwstr>14248;15357</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קטינים</vt:lpwstr>
  </property>
  <property fmtid="{D5CDD505-2E9C-101B-9397-08002B2CF9AE}" pid="46" name="NOSE12">
    <vt:lpwstr>עונשין</vt:lpwstr>
  </property>
  <property fmtid="{D5CDD505-2E9C-101B-9397-08002B2CF9AE}" pid="47" name="NOSE22">
    <vt:lpwstr>ענישה</vt:lpwstr>
  </property>
  <property fmtid="{D5CDD505-2E9C-101B-9397-08002B2CF9AE}" pid="48" name="NOSE32">
    <vt:lpwstr>מדיניות ענישה: הצתה</vt:lpwstr>
  </property>
  <property fmtid="{D5CDD505-2E9C-101B-9397-08002B2CF9AE}" pid="49" name="NOSE13">
    <vt:lpwstr/>
  </property>
  <property fmtid="{D5CDD505-2E9C-101B-9397-08002B2CF9AE}" pid="50" name="NOSE23">
    <vt:lpwstr/>
  </property>
  <property fmtid="{D5CDD505-2E9C-101B-9397-08002B2CF9AE}" pid="51" name="NOSE33">
    <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20210321</vt:lpwstr>
  </property>
  <property fmtid="{D5CDD505-2E9C-101B-9397-08002B2CF9AE}" pid="74" name="METAKZER">
    <vt:lpwstr>מיכל</vt:lpwstr>
  </property>
</Properties>
</file>