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0F04C9" w:rsidRPr="00AE431E" w14:paraId="5F9EBA5D" w14:textId="77777777" w:rsidTr="00A67C8F">
        <w:trPr>
          <w:trHeight w:hRule="exact" w:val="418"/>
          <w:jc w:val="center"/>
        </w:trPr>
        <w:tc>
          <w:tcPr>
            <w:tcW w:w="8721" w:type="dxa"/>
            <w:gridSpan w:val="2"/>
          </w:tcPr>
          <w:p w14:paraId="003DD847" w14:textId="77777777" w:rsidR="000F04C9" w:rsidRPr="00AE431E" w:rsidRDefault="000F04C9" w:rsidP="00251AB5">
            <w:pPr>
              <w:pStyle w:val="a3"/>
              <w:jc w:val="center"/>
              <w:rPr>
                <w:rFonts w:ascii="Tahoma" w:hAnsi="Tahoma" w:cs="Tahoma"/>
                <w:color w:val="000080"/>
                <w:rtl/>
              </w:rPr>
            </w:pPr>
            <w:bookmarkStart w:id="0" w:name="FirstLawyer"/>
            <w:bookmarkStart w:id="1" w:name="LastJudge"/>
            <w:r w:rsidRPr="00AE431E">
              <w:rPr>
                <w:rFonts w:ascii="Tahoma" w:hAnsi="Tahoma" w:cs="Tahoma"/>
                <w:b/>
                <w:bCs/>
                <w:color w:val="000080"/>
                <w:rtl/>
              </w:rPr>
              <w:t>בית המשפט המחוזי בירושלים</w:t>
            </w:r>
          </w:p>
        </w:tc>
      </w:tr>
      <w:tr w:rsidR="000F04C9" w:rsidRPr="00AE431E" w14:paraId="1504FC2A" w14:textId="77777777" w:rsidTr="00A67C8F">
        <w:trPr>
          <w:trHeight w:val="337"/>
          <w:jc w:val="center"/>
        </w:trPr>
        <w:tc>
          <w:tcPr>
            <w:tcW w:w="5058" w:type="dxa"/>
          </w:tcPr>
          <w:p w14:paraId="67605FD2" w14:textId="77777777" w:rsidR="000F04C9" w:rsidRPr="00AE431E" w:rsidRDefault="000F04C9" w:rsidP="00251AB5">
            <w:pPr>
              <w:rPr>
                <w:rFonts w:cs="FrankRuehl"/>
                <w:sz w:val="28"/>
                <w:szCs w:val="28"/>
                <w:rtl/>
              </w:rPr>
            </w:pPr>
            <w:r w:rsidRPr="00AE431E">
              <w:rPr>
                <w:rFonts w:cs="FrankRuehl"/>
                <w:sz w:val="28"/>
                <w:szCs w:val="28"/>
                <w:rtl/>
              </w:rPr>
              <w:t>ת"פ</w:t>
            </w:r>
            <w:r w:rsidRPr="00AE431E">
              <w:rPr>
                <w:rFonts w:cs="FrankRuehl" w:hint="cs"/>
                <w:sz w:val="28"/>
                <w:szCs w:val="28"/>
                <w:rtl/>
              </w:rPr>
              <w:t xml:space="preserve"> </w:t>
            </w:r>
            <w:r w:rsidRPr="00AE431E">
              <w:rPr>
                <w:rFonts w:cs="FrankRuehl"/>
                <w:sz w:val="28"/>
                <w:szCs w:val="28"/>
                <w:rtl/>
              </w:rPr>
              <w:t>52883-07-20</w:t>
            </w:r>
            <w:r w:rsidRPr="00AE431E">
              <w:rPr>
                <w:rFonts w:cs="FrankRuehl" w:hint="cs"/>
                <w:sz w:val="28"/>
                <w:szCs w:val="28"/>
                <w:rtl/>
              </w:rPr>
              <w:t xml:space="preserve"> </w:t>
            </w:r>
            <w:r w:rsidRPr="00AE431E">
              <w:rPr>
                <w:rFonts w:cs="FrankRuehl"/>
                <w:sz w:val="28"/>
                <w:szCs w:val="28"/>
                <w:rtl/>
              </w:rPr>
              <w:t>מדינת ישראל נ' חגאזי(עציר)</w:t>
            </w:r>
          </w:p>
          <w:p w14:paraId="7748E1F0" w14:textId="77777777" w:rsidR="000F04C9" w:rsidRPr="00AE431E" w:rsidRDefault="000F04C9" w:rsidP="00251AB5">
            <w:pPr>
              <w:pStyle w:val="a3"/>
              <w:rPr>
                <w:rFonts w:cs="FrankRuehl"/>
                <w:sz w:val="28"/>
                <w:szCs w:val="28"/>
                <w:rtl/>
              </w:rPr>
            </w:pPr>
          </w:p>
        </w:tc>
        <w:tc>
          <w:tcPr>
            <w:tcW w:w="3663" w:type="dxa"/>
          </w:tcPr>
          <w:p w14:paraId="4210AE8C" w14:textId="77777777" w:rsidR="000F04C9" w:rsidRPr="00AE431E" w:rsidRDefault="000F04C9" w:rsidP="00251AB5">
            <w:pPr>
              <w:pStyle w:val="a3"/>
              <w:jc w:val="right"/>
              <w:rPr>
                <w:rFonts w:cs="FrankRuehl"/>
                <w:sz w:val="28"/>
                <w:szCs w:val="28"/>
                <w:rtl/>
              </w:rPr>
            </w:pPr>
          </w:p>
        </w:tc>
      </w:tr>
    </w:tbl>
    <w:p w14:paraId="7B4A9FC9" w14:textId="77777777" w:rsidR="000F04C9" w:rsidRPr="00AE431E" w:rsidRDefault="000F04C9" w:rsidP="000F04C9">
      <w:pPr>
        <w:pStyle w:val="a3"/>
        <w:rPr>
          <w:rtl/>
        </w:rPr>
      </w:pPr>
      <w:r w:rsidRPr="00AE431E">
        <w:rPr>
          <w:rFonts w:hint="cs"/>
          <w:rtl/>
        </w:rPr>
        <w:t xml:space="preserve"> </w:t>
      </w:r>
    </w:p>
    <w:p w14:paraId="78E0DBA0" w14:textId="77777777" w:rsidR="000F04C9" w:rsidRPr="00AE431E" w:rsidRDefault="000F04C9" w:rsidP="000F04C9">
      <w:pPr>
        <w:rPr>
          <w:rFonts w:ascii="David" w:hAnsi="David"/>
          <w:b/>
          <w:bCs/>
          <w:rtl/>
        </w:rPr>
      </w:pPr>
    </w:p>
    <w:p w14:paraId="655681D5" w14:textId="77777777" w:rsidR="000F04C9" w:rsidRPr="00AE431E" w:rsidRDefault="000F04C9" w:rsidP="000F04C9">
      <w:pPr>
        <w:rPr>
          <w:rFonts w:ascii="David" w:hAnsi="David"/>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0F04C9" w:rsidRPr="00AE431E" w14:paraId="25197C7F" w14:textId="77777777" w:rsidTr="000F04C9">
        <w:trPr>
          <w:trHeight w:val="295"/>
          <w:jc w:val="center"/>
        </w:trPr>
        <w:tc>
          <w:tcPr>
            <w:tcW w:w="923" w:type="dxa"/>
            <w:tcBorders>
              <w:top w:val="nil"/>
              <w:left w:val="nil"/>
              <w:bottom w:val="nil"/>
              <w:right w:val="nil"/>
            </w:tcBorders>
            <w:shd w:val="clear" w:color="auto" w:fill="auto"/>
          </w:tcPr>
          <w:p w14:paraId="42BFBA32" w14:textId="77777777" w:rsidR="000F04C9" w:rsidRPr="00AE431E" w:rsidRDefault="000F04C9" w:rsidP="000F04C9">
            <w:pPr>
              <w:jc w:val="both"/>
              <w:rPr>
                <w:rFonts w:ascii="David" w:hAnsi="David"/>
                <w:b/>
                <w:bCs/>
                <w:sz w:val="28"/>
                <w:szCs w:val="28"/>
              </w:rPr>
            </w:pPr>
            <w:r w:rsidRPr="00AE431E">
              <w:rPr>
                <w:rFonts w:ascii="David" w:hAnsi="David"/>
                <w:b/>
                <w:bCs/>
                <w:sz w:val="28"/>
                <w:szCs w:val="28"/>
                <w:rtl/>
              </w:rPr>
              <w:t xml:space="preserve">בפני </w:t>
            </w:r>
          </w:p>
        </w:tc>
        <w:tc>
          <w:tcPr>
            <w:tcW w:w="7897" w:type="dxa"/>
            <w:gridSpan w:val="2"/>
            <w:tcBorders>
              <w:top w:val="nil"/>
              <w:left w:val="nil"/>
              <w:bottom w:val="nil"/>
              <w:right w:val="nil"/>
            </w:tcBorders>
            <w:shd w:val="clear" w:color="auto" w:fill="auto"/>
          </w:tcPr>
          <w:p w14:paraId="5056E6A1" w14:textId="77777777" w:rsidR="000F04C9" w:rsidRPr="00AE431E" w:rsidRDefault="000F04C9" w:rsidP="00251AB5">
            <w:pPr>
              <w:rPr>
                <w:rFonts w:ascii="David" w:hAnsi="David"/>
                <w:b/>
                <w:bCs/>
                <w:rtl/>
              </w:rPr>
            </w:pPr>
            <w:r w:rsidRPr="00AE431E">
              <w:rPr>
                <w:rFonts w:ascii="David" w:hAnsi="David"/>
                <w:b/>
                <w:bCs/>
                <w:rtl/>
              </w:rPr>
              <w:t>כבוד השופטת  חגית מאק-קלמנוביץ</w:t>
            </w:r>
          </w:p>
          <w:p w14:paraId="30DA9FDB" w14:textId="77777777" w:rsidR="000F04C9" w:rsidRPr="00AE431E" w:rsidRDefault="000F04C9" w:rsidP="00251AB5">
            <w:pPr>
              <w:rPr>
                <w:rFonts w:ascii="David" w:hAnsi="David"/>
                <w:b/>
                <w:bCs/>
                <w:rtl/>
              </w:rPr>
            </w:pPr>
          </w:p>
          <w:p w14:paraId="4E336794" w14:textId="77777777" w:rsidR="000F04C9" w:rsidRPr="00AE431E" w:rsidRDefault="000F04C9" w:rsidP="000F04C9">
            <w:pPr>
              <w:jc w:val="both"/>
              <w:rPr>
                <w:rFonts w:ascii="David" w:hAnsi="David"/>
                <w:b/>
                <w:bCs/>
                <w:sz w:val="28"/>
                <w:szCs w:val="28"/>
              </w:rPr>
            </w:pPr>
          </w:p>
        </w:tc>
      </w:tr>
      <w:tr w:rsidR="000F04C9" w:rsidRPr="00AE431E" w14:paraId="3B0648F3" w14:textId="77777777" w:rsidTr="000F04C9">
        <w:trPr>
          <w:trHeight w:val="355"/>
          <w:jc w:val="center"/>
        </w:trPr>
        <w:tc>
          <w:tcPr>
            <w:tcW w:w="923" w:type="dxa"/>
            <w:tcBorders>
              <w:top w:val="nil"/>
              <w:left w:val="nil"/>
              <w:bottom w:val="nil"/>
              <w:right w:val="nil"/>
            </w:tcBorders>
            <w:shd w:val="clear" w:color="auto" w:fill="auto"/>
          </w:tcPr>
          <w:p w14:paraId="5DC9E4E8" w14:textId="77777777" w:rsidR="000F04C9" w:rsidRPr="00AE431E" w:rsidRDefault="000F04C9" w:rsidP="000F04C9">
            <w:pPr>
              <w:jc w:val="both"/>
              <w:rPr>
                <w:rFonts w:ascii="David" w:hAnsi="David"/>
                <w:b/>
                <w:bCs/>
                <w:sz w:val="28"/>
                <w:szCs w:val="28"/>
              </w:rPr>
            </w:pPr>
            <w:bookmarkStart w:id="2" w:name="FirstAppellant"/>
            <w:r w:rsidRPr="00AE431E">
              <w:rPr>
                <w:rFonts w:ascii="David" w:hAnsi="David"/>
                <w:b/>
                <w:bCs/>
                <w:sz w:val="28"/>
                <w:szCs w:val="28"/>
                <w:rtl/>
              </w:rPr>
              <w:t>בעניין:</w:t>
            </w:r>
          </w:p>
        </w:tc>
        <w:tc>
          <w:tcPr>
            <w:tcW w:w="4126" w:type="dxa"/>
            <w:tcBorders>
              <w:top w:val="nil"/>
              <w:left w:val="nil"/>
              <w:bottom w:val="nil"/>
              <w:right w:val="nil"/>
            </w:tcBorders>
            <w:shd w:val="clear" w:color="auto" w:fill="auto"/>
          </w:tcPr>
          <w:p w14:paraId="255F9124" w14:textId="77777777" w:rsidR="000F04C9" w:rsidRPr="00AE431E" w:rsidRDefault="000F04C9" w:rsidP="00251AB5">
            <w:pPr>
              <w:rPr>
                <w:rFonts w:ascii="David" w:hAnsi="David"/>
                <w:b/>
                <w:bCs/>
              </w:rPr>
            </w:pPr>
            <w:r w:rsidRPr="00AE431E">
              <w:rPr>
                <w:rFonts w:ascii="David" w:hAnsi="David"/>
                <w:b/>
                <w:bCs/>
                <w:sz w:val="28"/>
                <w:szCs w:val="28"/>
                <w:rtl/>
              </w:rPr>
              <w:t>מדינת ישראל</w:t>
            </w:r>
            <w:r w:rsidRPr="00AE431E">
              <w:rPr>
                <w:rFonts w:ascii="David" w:hAnsi="David"/>
                <w:b/>
                <w:bCs/>
                <w:sz w:val="28"/>
                <w:szCs w:val="28"/>
                <w:rtl/>
              </w:rPr>
              <w:br/>
            </w:r>
            <w:r w:rsidRPr="00AE431E">
              <w:rPr>
                <w:rFonts w:ascii="David" w:hAnsi="David" w:hint="cs"/>
                <w:b/>
                <w:bCs/>
                <w:rtl/>
              </w:rPr>
              <w:t>ע"י עו"ד אילן אקוקה</w:t>
            </w:r>
            <w:r w:rsidRPr="00AE431E">
              <w:rPr>
                <w:rFonts w:ascii="David" w:hAnsi="David"/>
                <w:b/>
                <w:bCs/>
                <w:rtl/>
              </w:rPr>
              <w:br/>
            </w:r>
            <w:r w:rsidRPr="00AE431E">
              <w:rPr>
                <w:rFonts w:ascii="David" w:hAnsi="David" w:hint="cs"/>
                <w:b/>
                <w:bCs/>
                <w:rtl/>
              </w:rPr>
              <w:t>מפרקליטות מחוז ירושלים (פלילי)</w:t>
            </w:r>
          </w:p>
        </w:tc>
        <w:tc>
          <w:tcPr>
            <w:tcW w:w="3771" w:type="dxa"/>
            <w:tcBorders>
              <w:top w:val="nil"/>
              <w:left w:val="nil"/>
              <w:bottom w:val="nil"/>
              <w:right w:val="nil"/>
            </w:tcBorders>
            <w:shd w:val="clear" w:color="auto" w:fill="auto"/>
          </w:tcPr>
          <w:p w14:paraId="5E4FEB64" w14:textId="77777777" w:rsidR="000F04C9" w:rsidRPr="00AE431E" w:rsidRDefault="000F04C9" w:rsidP="000F04C9">
            <w:pPr>
              <w:jc w:val="both"/>
              <w:rPr>
                <w:rFonts w:ascii="David" w:hAnsi="David"/>
                <w:b/>
                <w:bCs/>
                <w:sz w:val="28"/>
                <w:szCs w:val="28"/>
              </w:rPr>
            </w:pPr>
          </w:p>
        </w:tc>
      </w:tr>
      <w:bookmarkEnd w:id="2"/>
      <w:tr w:rsidR="000F04C9" w:rsidRPr="00AE431E" w14:paraId="688AFD29" w14:textId="77777777" w:rsidTr="000F04C9">
        <w:trPr>
          <w:trHeight w:val="355"/>
          <w:jc w:val="center"/>
        </w:trPr>
        <w:tc>
          <w:tcPr>
            <w:tcW w:w="923" w:type="dxa"/>
            <w:tcBorders>
              <w:top w:val="nil"/>
              <w:left w:val="nil"/>
              <w:bottom w:val="nil"/>
              <w:right w:val="nil"/>
            </w:tcBorders>
            <w:shd w:val="clear" w:color="auto" w:fill="auto"/>
          </w:tcPr>
          <w:p w14:paraId="7B296226" w14:textId="77777777" w:rsidR="000F04C9" w:rsidRPr="00AE431E" w:rsidRDefault="000F04C9" w:rsidP="000F04C9">
            <w:pPr>
              <w:jc w:val="both"/>
              <w:rPr>
                <w:rFonts w:ascii="David" w:hAnsi="David"/>
                <w:b/>
                <w:bCs/>
                <w:sz w:val="28"/>
                <w:szCs w:val="28"/>
                <w:rtl/>
              </w:rPr>
            </w:pPr>
          </w:p>
        </w:tc>
        <w:tc>
          <w:tcPr>
            <w:tcW w:w="4126" w:type="dxa"/>
            <w:tcBorders>
              <w:top w:val="nil"/>
              <w:left w:val="nil"/>
              <w:bottom w:val="nil"/>
              <w:right w:val="nil"/>
            </w:tcBorders>
            <w:shd w:val="clear" w:color="auto" w:fill="auto"/>
          </w:tcPr>
          <w:p w14:paraId="7DA73DC4" w14:textId="77777777" w:rsidR="000F04C9" w:rsidRPr="00AE431E" w:rsidRDefault="000F04C9" w:rsidP="000F04C9">
            <w:pPr>
              <w:jc w:val="both"/>
              <w:rPr>
                <w:rFonts w:ascii="David" w:hAnsi="David"/>
                <w:b/>
                <w:bCs/>
                <w:rtl/>
              </w:rPr>
            </w:pPr>
          </w:p>
        </w:tc>
        <w:tc>
          <w:tcPr>
            <w:tcW w:w="3771" w:type="dxa"/>
            <w:tcBorders>
              <w:top w:val="nil"/>
              <w:left w:val="nil"/>
              <w:bottom w:val="nil"/>
              <w:right w:val="nil"/>
            </w:tcBorders>
            <w:shd w:val="clear" w:color="auto" w:fill="auto"/>
          </w:tcPr>
          <w:p w14:paraId="13F9930C" w14:textId="77777777" w:rsidR="000F04C9" w:rsidRPr="00AE431E" w:rsidRDefault="000F04C9" w:rsidP="000F04C9">
            <w:pPr>
              <w:jc w:val="right"/>
              <w:rPr>
                <w:rFonts w:ascii="David" w:hAnsi="David"/>
                <w:b/>
                <w:bCs/>
                <w:sz w:val="28"/>
                <w:szCs w:val="28"/>
                <w:rtl/>
              </w:rPr>
            </w:pPr>
            <w:r w:rsidRPr="00AE431E">
              <w:rPr>
                <w:rFonts w:ascii="David" w:hAnsi="David"/>
                <w:b/>
                <w:bCs/>
                <w:sz w:val="28"/>
                <w:szCs w:val="28"/>
                <w:rtl/>
              </w:rPr>
              <w:t>המאשימה</w:t>
            </w:r>
          </w:p>
        </w:tc>
      </w:tr>
      <w:tr w:rsidR="000F04C9" w:rsidRPr="00AE431E" w14:paraId="29F6B33E" w14:textId="77777777" w:rsidTr="000F04C9">
        <w:trPr>
          <w:trHeight w:val="355"/>
          <w:jc w:val="center"/>
        </w:trPr>
        <w:tc>
          <w:tcPr>
            <w:tcW w:w="923" w:type="dxa"/>
            <w:tcBorders>
              <w:top w:val="nil"/>
              <w:left w:val="nil"/>
              <w:bottom w:val="nil"/>
              <w:right w:val="nil"/>
            </w:tcBorders>
            <w:shd w:val="clear" w:color="auto" w:fill="auto"/>
          </w:tcPr>
          <w:p w14:paraId="371F0AE0" w14:textId="77777777" w:rsidR="000F04C9" w:rsidRPr="00AE431E" w:rsidRDefault="000F04C9" w:rsidP="000F04C9">
            <w:pPr>
              <w:jc w:val="both"/>
              <w:rPr>
                <w:rFonts w:ascii="David" w:hAnsi="David"/>
                <w:b/>
                <w:bCs/>
                <w:sz w:val="28"/>
                <w:szCs w:val="28"/>
                <w:rtl/>
              </w:rPr>
            </w:pPr>
          </w:p>
        </w:tc>
        <w:tc>
          <w:tcPr>
            <w:tcW w:w="7897" w:type="dxa"/>
            <w:gridSpan w:val="2"/>
            <w:tcBorders>
              <w:top w:val="nil"/>
              <w:left w:val="nil"/>
              <w:bottom w:val="nil"/>
              <w:right w:val="nil"/>
            </w:tcBorders>
            <w:shd w:val="clear" w:color="auto" w:fill="auto"/>
          </w:tcPr>
          <w:p w14:paraId="3CF10C51" w14:textId="77777777" w:rsidR="000F04C9" w:rsidRPr="00AE431E" w:rsidRDefault="000F04C9" w:rsidP="000F04C9">
            <w:pPr>
              <w:jc w:val="center"/>
              <w:rPr>
                <w:rFonts w:ascii="David" w:hAnsi="David"/>
                <w:b/>
                <w:bCs/>
                <w:sz w:val="28"/>
                <w:szCs w:val="28"/>
                <w:rtl/>
              </w:rPr>
            </w:pPr>
          </w:p>
          <w:p w14:paraId="06724A35" w14:textId="77777777" w:rsidR="000F04C9" w:rsidRPr="00AE431E" w:rsidRDefault="000F04C9" w:rsidP="000F04C9">
            <w:pPr>
              <w:jc w:val="center"/>
              <w:rPr>
                <w:rFonts w:ascii="David" w:hAnsi="David"/>
                <w:b/>
                <w:bCs/>
                <w:sz w:val="28"/>
                <w:szCs w:val="28"/>
                <w:rtl/>
              </w:rPr>
            </w:pPr>
            <w:r w:rsidRPr="00AE431E">
              <w:rPr>
                <w:rFonts w:ascii="David" w:hAnsi="David"/>
                <w:b/>
                <w:bCs/>
                <w:sz w:val="28"/>
                <w:szCs w:val="28"/>
                <w:rtl/>
              </w:rPr>
              <w:t>נגד</w:t>
            </w:r>
          </w:p>
          <w:p w14:paraId="6995915E" w14:textId="77777777" w:rsidR="000F04C9" w:rsidRPr="00AE431E" w:rsidRDefault="000F04C9" w:rsidP="000F04C9">
            <w:pPr>
              <w:jc w:val="both"/>
              <w:rPr>
                <w:rFonts w:ascii="David" w:hAnsi="David"/>
                <w:b/>
                <w:bCs/>
                <w:sz w:val="28"/>
                <w:szCs w:val="28"/>
              </w:rPr>
            </w:pPr>
          </w:p>
        </w:tc>
      </w:tr>
      <w:tr w:rsidR="000F04C9" w:rsidRPr="00AE431E" w14:paraId="2293E095" w14:textId="77777777" w:rsidTr="000F04C9">
        <w:trPr>
          <w:trHeight w:val="355"/>
          <w:jc w:val="center"/>
        </w:trPr>
        <w:tc>
          <w:tcPr>
            <w:tcW w:w="923" w:type="dxa"/>
            <w:tcBorders>
              <w:top w:val="nil"/>
              <w:left w:val="nil"/>
              <w:bottom w:val="nil"/>
              <w:right w:val="nil"/>
            </w:tcBorders>
            <w:shd w:val="clear" w:color="auto" w:fill="auto"/>
          </w:tcPr>
          <w:p w14:paraId="7847212B" w14:textId="77777777" w:rsidR="000F04C9" w:rsidRPr="00AE431E" w:rsidRDefault="000F04C9" w:rsidP="00251AB5">
            <w:pPr>
              <w:rPr>
                <w:rFonts w:ascii="David" w:hAnsi="David"/>
                <w:b/>
                <w:bCs/>
                <w:sz w:val="28"/>
                <w:szCs w:val="28"/>
                <w:rtl/>
              </w:rPr>
            </w:pPr>
          </w:p>
        </w:tc>
        <w:tc>
          <w:tcPr>
            <w:tcW w:w="4126" w:type="dxa"/>
            <w:tcBorders>
              <w:top w:val="nil"/>
              <w:left w:val="nil"/>
              <w:bottom w:val="nil"/>
              <w:right w:val="nil"/>
            </w:tcBorders>
            <w:shd w:val="clear" w:color="auto" w:fill="auto"/>
          </w:tcPr>
          <w:p w14:paraId="5BD0720B" w14:textId="77777777" w:rsidR="000F04C9" w:rsidRPr="00AE431E" w:rsidRDefault="000F04C9" w:rsidP="00251AB5">
            <w:pPr>
              <w:rPr>
                <w:rFonts w:ascii="David" w:hAnsi="David"/>
                <w:b/>
                <w:bCs/>
                <w:rtl/>
              </w:rPr>
            </w:pPr>
            <w:r w:rsidRPr="00AE431E">
              <w:rPr>
                <w:rFonts w:ascii="David" w:hAnsi="David"/>
                <w:b/>
                <w:bCs/>
                <w:sz w:val="28"/>
                <w:szCs w:val="28"/>
                <w:rtl/>
              </w:rPr>
              <w:t>סעד חגאזי (עציר)</w:t>
            </w:r>
            <w:r w:rsidRPr="00AE431E">
              <w:rPr>
                <w:rFonts w:ascii="David" w:hAnsi="David"/>
                <w:b/>
                <w:bCs/>
                <w:sz w:val="28"/>
                <w:szCs w:val="28"/>
                <w:rtl/>
              </w:rPr>
              <w:br/>
            </w:r>
            <w:r w:rsidRPr="00AE431E">
              <w:rPr>
                <w:rFonts w:ascii="David" w:hAnsi="David" w:hint="cs"/>
                <w:b/>
                <w:bCs/>
                <w:rtl/>
              </w:rPr>
              <w:t>ע"י ב"כ עו"ד מוחמד חלאילה</w:t>
            </w:r>
          </w:p>
        </w:tc>
        <w:tc>
          <w:tcPr>
            <w:tcW w:w="3771" w:type="dxa"/>
            <w:tcBorders>
              <w:top w:val="nil"/>
              <w:left w:val="nil"/>
              <w:bottom w:val="nil"/>
              <w:right w:val="nil"/>
            </w:tcBorders>
            <w:shd w:val="clear" w:color="auto" w:fill="auto"/>
          </w:tcPr>
          <w:p w14:paraId="66B400E9" w14:textId="77777777" w:rsidR="000F04C9" w:rsidRPr="00AE431E" w:rsidRDefault="000F04C9" w:rsidP="000F04C9">
            <w:pPr>
              <w:jc w:val="right"/>
              <w:rPr>
                <w:rFonts w:ascii="David" w:hAnsi="David"/>
                <w:b/>
                <w:bCs/>
                <w:sz w:val="28"/>
                <w:szCs w:val="28"/>
              </w:rPr>
            </w:pPr>
          </w:p>
        </w:tc>
      </w:tr>
      <w:tr w:rsidR="000F04C9" w:rsidRPr="00AE431E" w14:paraId="7221174E" w14:textId="77777777" w:rsidTr="000F04C9">
        <w:trPr>
          <w:trHeight w:val="355"/>
          <w:jc w:val="center"/>
        </w:trPr>
        <w:tc>
          <w:tcPr>
            <w:tcW w:w="923" w:type="dxa"/>
            <w:tcBorders>
              <w:top w:val="nil"/>
              <w:left w:val="nil"/>
              <w:bottom w:val="nil"/>
              <w:right w:val="nil"/>
            </w:tcBorders>
            <w:shd w:val="clear" w:color="auto" w:fill="auto"/>
          </w:tcPr>
          <w:p w14:paraId="1E1B8A39" w14:textId="77777777" w:rsidR="000F04C9" w:rsidRPr="00AE431E" w:rsidRDefault="000F04C9" w:rsidP="000F04C9">
            <w:pPr>
              <w:jc w:val="both"/>
              <w:rPr>
                <w:rFonts w:ascii="David" w:hAnsi="David"/>
                <w:b/>
                <w:bCs/>
                <w:sz w:val="28"/>
                <w:szCs w:val="28"/>
                <w:rtl/>
              </w:rPr>
            </w:pPr>
          </w:p>
        </w:tc>
        <w:tc>
          <w:tcPr>
            <w:tcW w:w="4126" w:type="dxa"/>
            <w:tcBorders>
              <w:top w:val="nil"/>
              <w:left w:val="nil"/>
              <w:bottom w:val="nil"/>
              <w:right w:val="nil"/>
            </w:tcBorders>
            <w:shd w:val="clear" w:color="auto" w:fill="auto"/>
          </w:tcPr>
          <w:p w14:paraId="21927B3C" w14:textId="77777777" w:rsidR="000F04C9" w:rsidRPr="00AE431E" w:rsidRDefault="000F04C9" w:rsidP="000F04C9">
            <w:pPr>
              <w:jc w:val="both"/>
              <w:rPr>
                <w:rFonts w:ascii="David" w:hAnsi="David"/>
                <w:b/>
                <w:bCs/>
                <w:rtl/>
              </w:rPr>
            </w:pPr>
          </w:p>
        </w:tc>
        <w:tc>
          <w:tcPr>
            <w:tcW w:w="3771" w:type="dxa"/>
            <w:tcBorders>
              <w:top w:val="nil"/>
              <w:left w:val="nil"/>
              <w:bottom w:val="nil"/>
              <w:right w:val="nil"/>
            </w:tcBorders>
            <w:shd w:val="clear" w:color="auto" w:fill="auto"/>
          </w:tcPr>
          <w:p w14:paraId="0B8E6E10" w14:textId="77777777" w:rsidR="000F04C9" w:rsidRPr="00AE431E" w:rsidRDefault="000F04C9" w:rsidP="000F04C9">
            <w:pPr>
              <w:jc w:val="right"/>
              <w:rPr>
                <w:rFonts w:ascii="David" w:hAnsi="David"/>
                <w:b/>
                <w:bCs/>
                <w:sz w:val="28"/>
                <w:szCs w:val="28"/>
              </w:rPr>
            </w:pPr>
            <w:r w:rsidRPr="00AE431E">
              <w:rPr>
                <w:rFonts w:ascii="David" w:hAnsi="David"/>
                <w:b/>
                <w:bCs/>
                <w:sz w:val="28"/>
                <w:szCs w:val="28"/>
                <w:rtl/>
              </w:rPr>
              <w:t>הנאשמים</w:t>
            </w:r>
          </w:p>
        </w:tc>
      </w:tr>
    </w:tbl>
    <w:p w14:paraId="7A87EDB7" w14:textId="77777777" w:rsidR="00550C0D" w:rsidRDefault="00550C0D" w:rsidP="00550C0D">
      <w:pPr>
        <w:rPr>
          <w:rFonts w:ascii="David" w:hAnsi="David"/>
          <w:rtl/>
        </w:rPr>
      </w:pPr>
      <w:bookmarkStart w:id="3" w:name="LawTable"/>
      <w:bookmarkEnd w:id="3"/>
    </w:p>
    <w:p w14:paraId="4BB7725A" w14:textId="77777777" w:rsidR="00550C0D" w:rsidRPr="00550C0D" w:rsidRDefault="00550C0D" w:rsidP="00550C0D">
      <w:pPr>
        <w:spacing w:before="120" w:after="120" w:line="240" w:lineRule="exact"/>
        <w:ind w:left="283" w:hanging="283"/>
        <w:jc w:val="both"/>
        <w:rPr>
          <w:rFonts w:ascii="FrankRuehl" w:hAnsi="FrankRuehl" w:cs="FrankRuehl"/>
          <w:rtl/>
        </w:rPr>
      </w:pPr>
    </w:p>
    <w:p w14:paraId="57AABDB0" w14:textId="77777777" w:rsidR="00550C0D" w:rsidRPr="00550C0D" w:rsidRDefault="00550C0D" w:rsidP="00550C0D">
      <w:pPr>
        <w:spacing w:before="120" w:after="120" w:line="240" w:lineRule="exact"/>
        <w:ind w:left="283" w:hanging="283"/>
        <w:jc w:val="both"/>
        <w:rPr>
          <w:rFonts w:ascii="FrankRuehl" w:hAnsi="FrankRuehl" w:cs="FrankRuehl"/>
          <w:rtl/>
        </w:rPr>
      </w:pPr>
    </w:p>
    <w:p w14:paraId="4C3BDE5B" w14:textId="77777777" w:rsidR="00550C0D" w:rsidRPr="00550C0D" w:rsidRDefault="00550C0D" w:rsidP="00550C0D">
      <w:pPr>
        <w:spacing w:before="120" w:after="120" w:line="240" w:lineRule="exact"/>
        <w:ind w:left="283" w:hanging="283"/>
        <w:jc w:val="both"/>
        <w:rPr>
          <w:rFonts w:ascii="FrankRuehl" w:hAnsi="FrankRuehl" w:cs="FrankRuehl"/>
          <w:rtl/>
        </w:rPr>
      </w:pPr>
      <w:r w:rsidRPr="00550C0D">
        <w:rPr>
          <w:rFonts w:ascii="FrankRuehl" w:hAnsi="FrankRuehl" w:cs="FrankRuehl"/>
          <w:rtl/>
        </w:rPr>
        <w:t xml:space="preserve">חקיקה שאוזכרה: </w:t>
      </w:r>
    </w:p>
    <w:p w14:paraId="2FCE2599" w14:textId="77777777" w:rsidR="00550C0D" w:rsidRPr="00550C0D" w:rsidRDefault="00550C0D" w:rsidP="00550C0D">
      <w:pPr>
        <w:spacing w:before="120" w:after="120" w:line="240" w:lineRule="exact"/>
        <w:ind w:left="283" w:hanging="283"/>
        <w:jc w:val="both"/>
        <w:rPr>
          <w:rFonts w:ascii="FrankRuehl" w:hAnsi="FrankRuehl" w:cs="FrankRuehl"/>
          <w:rtl/>
        </w:rPr>
      </w:pPr>
      <w:hyperlink r:id="rId6" w:history="1">
        <w:r w:rsidRPr="00550C0D">
          <w:rPr>
            <w:rFonts w:ascii="FrankRuehl" w:hAnsi="FrankRuehl" w:cs="FrankRuehl"/>
            <w:color w:val="0000FF"/>
            <w:rtl/>
          </w:rPr>
          <w:t>חוק העונשין, תשל"ז-1977</w:t>
        </w:r>
      </w:hyperlink>
      <w:r w:rsidRPr="00550C0D">
        <w:rPr>
          <w:rFonts w:ascii="FrankRuehl" w:hAnsi="FrankRuehl" w:cs="FrankRuehl"/>
          <w:rtl/>
        </w:rPr>
        <w:t xml:space="preserve">: סע'  </w:t>
      </w:r>
      <w:hyperlink r:id="rId7" w:history="1">
        <w:r w:rsidRPr="00550C0D">
          <w:rPr>
            <w:rFonts w:ascii="FrankRuehl" w:hAnsi="FrankRuehl" w:cs="FrankRuehl"/>
            <w:color w:val="0000FF"/>
            <w:rtl/>
          </w:rPr>
          <w:t>275</w:t>
        </w:r>
      </w:hyperlink>
      <w:r w:rsidRPr="00550C0D">
        <w:rPr>
          <w:rFonts w:ascii="FrankRuehl" w:hAnsi="FrankRuehl" w:cs="FrankRuehl"/>
          <w:rtl/>
        </w:rPr>
        <w:t xml:space="preserve">, </w:t>
      </w:r>
      <w:hyperlink r:id="rId8" w:history="1">
        <w:r w:rsidRPr="00550C0D">
          <w:rPr>
            <w:rFonts w:ascii="FrankRuehl" w:hAnsi="FrankRuehl" w:cs="FrankRuehl"/>
            <w:color w:val="0000FF"/>
            <w:rtl/>
          </w:rPr>
          <w:t>287(א)</w:t>
        </w:r>
      </w:hyperlink>
      <w:r w:rsidRPr="00550C0D">
        <w:rPr>
          <w:rFonts w:ascii="FrankRuehl" w:hAnsi="FrankRuehl" w:cs="FrankRuehl"/>
          <w:rtl/>
        </w:rPr>
        <w:t xml:space="preserve">, </w:t>
      </w:r>
      <w:hyperlink r:id="rId9" w:history="1">
        <w:r w:rsidRPr="00550C0D">
          <w:rPr>
            <w:rFonts w:ascii="FrankRuehl" w:hAnsi="FrankRuehl" w:cs="FrankRuehl"/>
            <w:color w:val="0000FF"/>
            <w:rtl/>
          </w:rPr>
          <w:t>332(2)</w:t>
        </w:r>
      </w:hyperlink>
      <w:r w:rsidRPr="00550C0D">
        <w:rPr>
          <w:rFonts w:ascii="FrankRuehl" w:hAnsi="FrankRuehl" w:cs="FrankRuehl"/>
          <w:rtl/>
        </w:rPr>
        <w:t xml:space="preserve">, </w:t>
      </w:r>
      <w:hyperlink r:id="rId10" w:history="1">
        <w:r w:rsidRPr="00550C0D">
          <w:rPr>
            <w:rFonts w:ascii="FrankRuehl" w:hAnsi="FrankRuehl" w:cs="FrankRuehl"/>
            <w:color w:val="0000FF"/>
            <w:rtl/>
          </w:rPr>
          <w:t>338(א)(1)</w:t>
        </w:r>
      </w:hyperlink>
      <w:r w:rsidRPr="00550C0D">
        <w:rPr>
          <w:rFonts w:ascii="FrankRuehl" w:hAnsi="FrankRuehl" w:cs="FrankRuehl"/>
          <w:rtl/>
        </w:rPr>
        <w:t xml:space="preserve">, </w:t>
      </w:r>
      <w:hyperlink r:id="rId11" w:history="1">
        <w:r w:rsidRPr="00550C0D">
          <w:rPr>
            <w:rFonts w:ascii="FrankRuehl" w:hAnsi="FrankRuehl" w:cs="FrankRuehl"/>
            <w:color w:val="0000FF"/>
            <w:rtl/>
          </w:rPr>
          <w:t>380</w:t>
        </w:r>
      </w:hyperlink>
      <w:r w:rsidRPr="00550C0D">
        <w:rPr>
          <w:rFonts w:ascii="FrankRuehl" w:hAnsi="FrankRuehl" w:cs="FrankRuehl"/>
          <w:rtl/>
        </w:rPr>
        <w:t xml:space="preserve">, </w:t>
      </w:r>
      <w:hyperlink r:id="rId12" w:history="1">
        <w:r w:rsidRPr="00550C0D">
          <w:rPr>
            <w:rFonts w:ascii="FrankRuehl" w:hAnsi="FrankRuehl" w:cs="FrankRuehl"/>
            <w:color w:val="0000FF"/>
            <w:rtl/>
          </w:rPr>
          <w:t>384</w:t>
        </w:r>
      </w:hyperlink>
      <w:r w:rsidRPr="00550C0D">
        <w:rPr>
          <w:rFonts w:ascii="FrankRuehl" w:hAnsi="FrankRuehl" w:cs="FrankRuehl"/>
          <w:rtl/>
        </w:rPr>
        <w:t xml:space="preserve">, </w:t>
      </w:r>
      <w:hyperlink r:id="rId13" w:history="1">
        <w:r w:rsidRPr="00550C0D">
          <w:rPr>
            <w:rFonts w:ascii="FrankRuehl" w:hAnsi="FrankRuehl" w:cs="FrankRuehl"/>
            <w:color w:val="0000FF"/>
            <w:rtl/>
          </w:rPr>
          <w:t>413ב</w:t>
        </w:r>
      </w:hyperlink>
      <w:r w:rsidRPr="00550C0D">
        <w:rPr>
          <w:rFonts w:ascii="FrankRuehl" w:hAnsi="FrankRuehl" w:cs="FrankRuehl"/>
          <w:rtl/>
        </w:rPr>
        <w:t xml:space="preserve">, </w:t>
      </w:r>
      <w:hyperlink r:id="rId14" w:history="1">
        <w:r w:rsidRPr="00550C0D">
          <w:rPr>
            <w:rFonts w:ascii="FrankRuehl" w:hAnsi="FrankRuehl" w:cs="FrankRuehl"/>
            <w:color w:val="0000FF"/>
            <w:rtl/>
          </w:rPr>
          <w:t>413ב.א.</w:t>
        </w:r>
      </w:hyperlink>
      <w:r w:rsidRPr="00550C0D">
        <w:rPr>
          <w:rFonts w:ascii="FrankRuehl" w:hAnsi="FrankRuehl" w:cs="FrankRuehl"/>
          <w:rtl/>
        </w:rPr>
        <w:t xml:space="preserve">, </w:t>
      </w:r>
      <w:hyperlink r:id="rId15" w:history="1">
        <w:r w:rsidRPr="00550C0D">
          <w:rPr>
            <w:rFonts w:ascii="FrankRuehl" w:hAnsi="FrankRuehl" w:cs="FrankRuehl"/>
            <w:color w:val="0000FF"/>
            <w:rtl/>
          </w:rPr>
          <w:t>413ב.ב</w:t>
        </w:r>
      </w:hyperlink>
      <w:r w:rsidRPr="00550C0D">
        <w:rPr>
          <w:rFonts w:ascii="FrankRuehl" w:hAnsi="FrankRuehl" w:cs="FrankRuehl"/>
          <w:rtl/>
        </w:rPr>
        <w:t xml:space="preserve">, </w:t>
      </w:r>
      <w:hyperlink r:id="rId16" w:history="1">
        <w:r w:rsidRPr="00550C0D">
          <w:rPr>
            <w:rFonts w:ascii="FrankRuehl" w:hAnsi="FrankRuehl" w:cs="FrankRuehl"/>
            <w:color w:val="0000FF"/>
            <w:rtl/>
          </w:rPr>
          <w:t>413ה</w:t>
        </w:r>
      </w:hyperlink>
    </w:p>
    <w:p w14:paraId="12851E93" w14:textId="77777777" w:rsidR="00550C0D" w:rsidRPr="00550C0D" w:rsidRDefault="00550C0D" w:rsidP="00550C0D">
      <w:pPr>
        <w:spacing w:before="120" w:after="120" w:line="240" w:lineRule="exact"/>
        <w:ind w:left="283" w:hanging="283"/>
        <w:jc w:val="both"/>
        <w:rPr>
          <w:rFonts w:ascii="FrankRuehl" w:hAnsi="FrankRuehl" w:cs="FrankRuehl"/>
          <w:rtl/>
        </w:rPr>
      </w:pPr>
      <w:hyperlink r:id="rId17" w:history="1">
        <w:r w:rsidRPr="00550C0D">
          <w:rPr>
            <w:rFonts w:ascii="FrankRuehl" w:hAnsi="FrankRuehl" w:cs="FrankRuehl"/>
            <w:color w:val="0000FF"/>
            <w:rtl/>
          </w:rPr>
          <w:t>פקודת הסמים המסוכנים [נוסח חדש], תשל"ג-1973</w:t>
        </w:r>
      </w:hyperlink>
      <w:r w:rsidRPr="00550C0D">
        <w:rPr>
          <w:rFonts w:ascii="FrankRuehl" w:hAnsi="FrankRuehl" w:cs="FrankRuehl"/>
          <w:rtl/>
        </w:rPr>
        <w:t xml:space="preserve">: סע'  </w:t>
      </w:r>
      <w:hyperlink r:id="rId18" w:history="1">
        <w:r w:rsidRPr="00550C0D">
          <w:rPr>
            <w:rFonts w:ascii="FrankRuehl" w:hAnsi="FrankRuehl" w:cs="FrankRuehl"/>
            <w:color w:val="0000FF"/>
            <w:rtl/>
          </w:rPr>
          <w:t>7.א.</w:t>
        </w:r>
      </w:hyperlink>
      <w:r w:rsidRPr="00550C0D">
        <w:rPr>
          <w:rFonts w:ascii="FrankRuehl" w:hAnsi="FrankRuehl" w:cs="FrankRuehl"/>
          <w:rtl/>
        </w:rPr>
        <w:t xml:space="preserve">, </w:t>
      </w:r>
      <w:hyperlink r:id="rId19" w:history="1">
        <w:r w:rsidRPr="00550C0D">
          <w:rPr>
            <w:rFonts w:ascii="FrankRuehl" w:hAnsi="FrankRuehl" w:cs="FrankRuehl"/>
            <w:color w:val="0000FF"/>
            <w:rtl/>
          </w:rPr>
          <w:t>7.ג</w:t>
        </w:r>
      </w:hyperlink>
    </w:p>
    <w:p w14:paraId="17F2A587" w14:textId="77777777" w:rsidR="00550C0D" w:rsidRPr="00550C0D" w:rsidRDefault="00550C0D" w:rsidP="00550C0D">
      <w:pPr>
        <w:spacing w:before="120" w:after="120" w:line="240" w:lineRule="exact"/>
        <w:ind w:left="283" w:hanging="283"/>
        <w:jc w:val="both"/>
        <w:rPr>
          <w:rFonts w:ascii="FrankRuehl" w:hAnsi="FrankRuehl" w:cs="FrankRuehl"/>
          <w:rtl/>
        </w:rPr>
      </w:pPr>
      <w:hyperlink r:id="rId20" w:history="1">
        <w:r w:rsidRPr="00550C0D">
          <w:rPr>
            <w:rFonts w:ascii="FrankRuehl" w:hAnsi="FrankRuehl" w:cs="FrankRuehl"/>
            <w:color w:val="0000FF"/>
            <w:rtl/>
          </w:rPr>
          <w:t>חוק הכניסה לישראל, תשי"ב-1952</w:t>
        </w:r>
      </w:hyperlink>
      <w:r w:rsidRPr="00550C0D">
        <w:rPr>
          <w:rFonts w:ascii="FrankRuehl" w:hAnsi="FrankRuehl" w:cs="FrankRuehl"/>
          <w:rtl/>
        </w:rPr>
        <w:t xml:space="preserve">: סע'  </w:t>
      </w:r>
      <w:hyperlink r:id="rId21" w:history="1">
        <w:r w:rsidRPr="00550C0D">
          <w:rPr>
            <w:rFonts w:ascii="FrankRuehl" w:hAnsi="FrankRuehl" w:cs="FrankRuehl"/>
            <w:color w:val="0000FF"/>
            <w:rtl/>
          </w:rPr>
          <w:t>12א(ג)</w:t>
        </w:r>
      </w:hyperlink>
    </w:p>
    <w:p w14:paraId="52C4E164" w14:textId="77777777" w:rsidR="00550C0D" w:rsidRPr="00550C0D" w:rsidRDefault="00550C0D" w:rsidP="00550C0D">
      <w:pPr>
        <w:rPr>
          <w:rFonts w:ascii="David" w:hAnsi="David"/>
          <w:rtl/>
        </w:rPr>
      </w:pPr>
      <w:bookmarkStart w:id="4" w:name="LawTable_End"/>
      <w:bookmarkEnd w:id="4"/>
    </w:p>
    <w:p w14:paraId="66079FC1" w14:textId="77777777" w:rsidR="000F04C9" w:rsidRPr="00A67C8F" w:rsidRDefault="000F04C9" w:rsidP="00A67C8F">
      <w:pPr>
        <w:rPr>
          <w:rFonts w:ascii="David" w:hAnsi="David"/>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F04C9" w:rsidRPr="00554832" w14:paraId="39D25581" w14:textId="77777777" w:rsidTr="000F04C9">
        <w:trPr>
          <w:trHeight w:val="355"/>
          <w:jc w:val="center"/>
        </w:trPr>
        <w:tc>
          <w:tcPr>
            <w:tcW w:w="8820" w:type="dxa"/>
            <w:tcBorders>
              <w:top w:val="nil"/>
              <w:left w:val="nil"/>
              <w:bottom w:val="nil"/>
              <w:right w:val="nil"/>
            </w:tcBorders>
            <w:shd w:val="clear" w:color="auto" w:fill="auto"/>
          </w:tcPr>
          <w:p w14:paraId="4D889491" w14:textId="77777777" w:rsidR="00AE431E" w:rsidRPr="00AE431E" w:rsidRDefault="00AE431E" w:rsidP="00AE431E">
            <w:pPr>
              <w:jc w:val="center"/>
              <w:rPr>
                <w:rFonts w:ascii="David" w:hAnsi="David"/>
                <w:b/>
                <w:bCs/>
                <w:sz w:val="32"/>
                <w:szCs w:val="32"/>
                <w:u w:val="single"/>
                <w:rtl/>
              </w:rPr>
            </w:pPr>
            <w:bookmarkStart w:id="5" w:name="PsakDin" w:colFirst="0" w:colLast="0"/>
            <w:bookmarkEnd w:id="0"/>
            <w:bookmarkEnd w:id="1"/>
            <w:r w:rsidRPr="00AE431E">
              <w:rPr>
                <w:rFonts w:ascii="David" w:hAnsi="David"/>
                <w:b/>
                <w:bCs/>
                <w:sz w:val="32"/>
                <w:szCs w:val="32"/>
                <w:u w:val="single"/>
                <w:rtl/>
              </w:rPr>
              <w:t>גזר דין</w:t>
            </w:r>
          </w:p>
          <w:p w14:paraId="0BB85645" w14:textId="77777777" w:rsidR="000F04C9" w:rsidRPr="00AE431E" w:rsidRDefault="000F04C9" w:rsidP="00AE431E">
            <w:pPr>
              <w:jc w:val="center"/>
              <w:rPr>
                <w:rFonts w:ascii="David" w:hAnsi="David"/>
                <w:b/>
                <w:bCs/>
                <w:sz w:val="32"/>
                <w:szCs w:val="32"/>
                <w:u w:val="single"/>
                <w:rtl/>
              </w:rPr>
            </w:pPr>
          </w:p>
        </w:tc>
      </w:tr>
      <w:bookmarkEnd w:id="5"/>
    </w:tbl>
    <w:p w14:paraId="552717CB" w14:textId="77777777" w:rsidR="000F04C9" w:rsidRPr="00554832" w:rsidRDefault="000F04C9" w:rsidP="000F04C9">
      <w:pPr>
        <w:spacing w:after="240" w:line="360" w:lineRule="auto"/>
        <w:jc w:val="both"/>
        <w:rPr>
          <w:rFonts w:ascii="David" w:hAnsi="David"/>
          <w:b/>
          <w:bCs/>
          <w:rtl/>
        </w:rPr>
      </w:pPr>
    </w:p>
    <w:p w14:paraId="57C8B018" w14:textId="77777777" w:rsidR="000F04C9" w:rsidRPr="008562BC" w:rsidRDefault="000F04C9" w:rsidP="000F04C9">
      <w:pPr>
        <w:spacing w:after="240" w:line="360" w:lineRule="auto"/>
        <w:jc w:val="both"/>
        <w:rPr>
          <w:b/>
          <w:bCs/>
          <w:u w:val="single"/>
          <w:rtl/>
        </w:rPr>
      </w:pPr>
      <w:r w:rsidRPr="008562BC">
        <w:rPr>
          <w:rFonts w:hint="cs"/>
          <w:b/>
          <w:bCs/>
          <w:u w:val="single"/>
          <w:rtl/>
        </w:rPr>
        <w:t>כתב האישום</w:t>
      </w:r>
    </w:p>
    <w:p w14:paraId="49187165" w14:textId="77777777" w:rsidR="000F04C9" w:rsidRDefault="000F04C9" w:rsidP="000F04C9">
      <w:pPr>
        <w:spacing w:after="240" w:line="360" w:lineRule="auto"/>
        <w:jc w:val="both"/>
        <w:rPr>
          <w:rtl/>
        </w:rPr>
      </w:pPr>
      <w:r>
        <w:rPr>
          <w:rFonts w:hint="cs"/>
          <w:rtl/>
        </w:rPr>
        <w:t>1.</w:t>
      </w:r>
      <w:r>
        <w:rPr>
          <w:rFonts w:hint="cs"/>
          <w:rtl/>
        </w:rPr>
        <w:tab/>
      </w:r>
      <w:bookmarkStart w:id="6" w:name="ABSTRACT_START"/>
      <w:bookmarkEnd w:id="6"/>
      <w:r>
        <w:rPr>
          <w:rFonts w:hint="cs"/>
          <w:rtl/>
        </w:rPr>
        <w:t xml:space="preserve">הנאשם הודה והורשע במסגרת הסדר טיעון בכתב אישום מתוקן בעבירות של גניבת רכב </w:t>
      </w:r>
      <w:r>
        <w:rPr>
          <w:rtl/>
        </w:rPr>
        <w:t>–</w:t>
      </w:r>
      <w:r>
        <w:rPr>
          <w:rFonts w:hint="cs"/>
          <w:rtl/>
        </w:rPr>
        <w:t xml:space="preserve"> עבירה לפי </w:t>
      </w:r>
      <w:hyperlink r:id="rId22" w:history="1">
        <w:r w:rsidR="00A67C8F" w:rsidRPr="00A67C8F">
          <w:rPr>
            <w:rStyle w:val="Hyperlink"/>
            <w:rFonts w:hint="eastAsia"/>
            <w:rtl/>
          </w:rPr>
          <w:t>סעיף</w:t>
        </w:r>
        <w:r w:rsidR="00A67C8F" w:rsidRPr="00A67C8F">
          <w:rPr>
            <w:rStyle w:val="Hyperlink"/>
            <w:rtl/>
          </w:rPr>
          <w:t xml:space="preserve"> 413ב(א)+(ב)</w:t>
        </w:r>
      </w:hyperlink>
      <w:r>
        <w:rPr>
          <w:rFonts w:hint="cs"/>
          <w:rtl/>
        </w:rPr>
        <w:t xml:space="preserve"> ל</w:t>
      </w:r>
      <w:hyperlink r:id="rId23" w:history="1">
        <w:r w:rsidR="00AE431E" w:rsidRPr="00AE431E">
          <w:rPr>
            <w:color w:val="0000FF"/>
            <w:u w:val="single"/>
            <w:rtl/>
          </w:rPr>
          <w:t>חוק העונשין</w:t>
        </w:r>
      </w:hyperlink>
      <w:r>
        <w:rPr>
          <w:rFonts w:hint="cs"/>
          <w:rtl/>
        </w:rPr>
        <w:t xml:space="preserve"> תשל"ז-1977 (להלן: </w:t>
      </w:r>
      <w:r w:rsidRPr="005C184B">
        <w:rPr>
          <w:rFonts w:hint="cs"/>
          <w:b/>
          <w:bCs/>
          <w:rtl/>
        </w:rPr>
        <w:t>חוק העונשין</w:t>
      </w:r>
      <w:r>
        <w:rPr>
          <w:rFonts w:hint="cs"/>
          <w:b/>
          <w:bCs/>
          <w:rtl/>
        </w:rPr>
        <w:t>; החוק</w:t>
      </w:r>
      <w:r>
        <w:rPr>
          <w:rFonts w:hint="cs"/>
          <w:rtl/>
        </w:rPr>
        <w:t xml:space="preserve">), סיכון חיי אדם במזיד בנתיב תחבורה </w:t>
      </w:r>
      <w:r>
        <w:rPr>
          <w:rtl/>
        </w:rPr>
        <w:t>–</w:t>
      </w:r>
      <w:r>
        <w:rPr>
          <w:rFonts w:hint="cs"/>
          <w:rtl/>
        </w:rPr>
        <w:t xml:space="preserve"> עבירה לפי </w:t>
      </w:r>
      <w:hyperlink r:id="rId24" w:history="1">
        <w:r w:rsidR="00A67C8F" w:rsidRPr="00A67C8F">
          <w:rPr>
            <w:rStyle w:val="Hyperlink"/>
            <w:rFonts w:hint="eastAsia"/>
            <w:rtl/>
          </w:rPr>
          <w:t>סעיף</w:t>
        </w:r>
        <w:r w:rsidR="00A67C8F" w:rsidRPr="00A67C8F">
          <w:rPr>
            <w:rStyle w:val="Hyperlink"/>
            <w:rtl/>
          </w:rPr>
          <w:t xml:space="preserve"> 332(2)</w:t>
        </w:r>
      </w:hyperlink>
      <w:r>
        <w:rPr>
          <w:rFonts w:hint="cs"/>
          <w:rtl/>
        </w:rPr>
        <w:t xml:space="preserve"> לחוק, חבלה במזיד ברכב </w:t>
      </w:r>
      <w:r>
        <w:rPr>
          <w:rtl/>
        </w:rPr>
        <w:t>–</w:t>
      </w:r>
      <w:r>
        <w:rPr>
          <w:rFonts w:hint="cs"/>
          <w:rtl/>
        </w:rPr>
        <w:t xml:space="preserve"> עבירה לפי </w:t>
      </w:r>
      <w:hyperlink r:id="rId25" w:history="1">
        <w:r w:rsidR="00A67C8F" w:rsidRPr="00A67C8F">
          <w:rPr>
            <w:rStyle w:val="Hyperlink"/>
            <w:rFonts w:hint="eastAsia"/>
            <w:rtl/>
          </w:rPr>
          <w:t>סעיף</w:t>
        </w:r>
        <w:r w:rsidR="00A67C8F" w:rsidRPr="00A67C8F">
          <w:rPr>
            <w:rStyle w:val="Hyperlink"/>
            <w:rtl/>
          </w:rPr>
          <w:t xml:space="preserve"> 413ה</w:t>
        </w:r>
      </w:hyperlink>
      <w:r>
        <w:rPr>
          <w:rFonts w:hint="cs"/>
          <w:rtl/>
        </w:rPr>
        <w:t xml:space="preserve"> לחוק, תקיפה הגורמת חבלה ממשית </w:t>
      </w:r>
      <w:r>
        <w:rPr>
          <w:rtl/>
        </w:rPr>
        <w:t>–</w:t>
      </w:r>
      <w:r>
        <w:rPr>
          <w:rFonts w:hint="cs"/>
          <w:rtl/>
        </w:rPr>
        <w:t xml:space="preserve"> עבירה לפי </w:t>
      </w:r>
      <w:hyperlink r:id="rId26" w:history="1">
        <w:r w:rsidR="00A67C8F" w:rsidRPr="00A67C8F">
          <w:rPr>
            <w:rStyle w:val="Hyperlink"/>
            <w:rFonts w:hint="eastAsia"/>
            <w:rtl/>
          </w:rPr>
          <w:t>סעיף</w:t>
        </w:r>
        <w:r w:rsidR="00A67C8F" w:rsidRPr="00A67C8F">
          <w:rPr>
            <w:rStyle w:val="Hyperlink"/>
            <w:rtl/>
          </w:rPr>
          <w:t xml:space="preserve"> 380</w:t>
        </w:r>
      </w:hyperlink>
      <w:r>
        <w:rPr>
          <w:rFonts w:hint="cs"/>
          <w:rtl/>
        </w:rPr>
        <w:t xml:space="preserve"> לחוק, והחזקה ושימוש בסם מסוכן </w:t>
      </w:r>
      <w:r>
        <w:rPr>
          <w:rtl/>
        </w:rPr>
        <w:t>–</w:t>
      </w:r>
      <w:r>
        <w:rPr>
          <w:rFonts w:hint="cs"/>
          <w:rtl/>
        </w:rPr>
        <w:t xml:space="preserve"> עבירה לפי </w:t>
      </w:r>
      <w:hyperlink r:id="rId27" w:history="1">
        <w:r w:rsidR="00A67C8F" w:rsidRPr="00A67C8F">
          <w:rPr>
            <w:rStyle w:val="Hyperlink"/>
            <w:rFonts w:hint="eastAsia"/>
            <w:rtl/>
          </w:rPr>
          <w:t>סעיף</w:t>
        </w:r>
        <w:r w:rsidR="00A67C8F" w:rsidRPr="00A67C8F">
          <w:rPr>
            <w:rStyle w:val="Hyperlink"/>
            <w:rtl/>
          </w:rPr>
          <w:t xml:space="preserve"> 7 (א) +(ג)</w:t>
        </w:r>
      </w:hyperlink>
      <w:r>
        <w:rPr>
          <w:rFonts w:hint="cs"/>
          <w:rtl/>
        </w:rPr>
        <w:t xml:space="preserve"> ל</w:t>
      </w:r>
      <w:hyperlink r:id="rId28" w:history="1">
        <w:r w:rsidR="00AE431E" w:rsidRPr="00AE431E">
          <w:rPr>
            <w:color w:val="0000FF"/>
            <w:u w:val="single"/>
            <w:rtl/>
          </w:rPr>
          <w:t>פקודת הסמים המסוכנים</w:t>
        </w:r>
      </w:hyperlink>
      <w:r>
        <w:rPr>
          <w:rFonts w:hint="cs"/>
          <w:rtl/>
        </w:rPr>
        <w:t xml:space="preserve"> [נוסח חדש] תשל"ג-1937. </w:t>
      </w:r>
    </w:p>
    <w:p w14:paraId="49C30004" w14:textId="77777777" w:rsidR="000F04C9" w:rsidRDefault="000F04C9" w:rsidP="000F04C9">
      <w:pPr>
        <w:spacing w:after="240" w:line="360" w:lineRule="auto"/>
        <w:jc w:val="both"/>
        <w:rPr>
          <w:rtl/>
        </w:rPr>
      </w:pPr>
      <w:bookmarkStart w:id="7" w:name="ABSTRACT_END"/>
      <w:bookmarkEnd w:id="7"/>
      <w:r>
        <w:rPr>
          <w:rFonts w:hint="cs"/>
          <w:rtl/>
        </w:rPr>
        <w:lastRenderedPageBreak/>
        <w:t>2.</w:t>
      </w:r>
      <w:r>
        <w:rPr>
          <w:rtl/>
        </w:rPr>
        <w:tab/>
      </w:r>
      <w:r>
        <w:rPr>
          <w:rFonts w:hint="cs"/>
          <w:rtl/>
        </w:rPr>
        <w:t xml:space="preserve">על פי עובדות כתב האישום המתוקן, בלבו של הנאשם גמלה החלטה לגנוב רכב, והוא הגיע לתחנת דלק בלוד, שם נכנס לתוך רכב שבעליו השאיר כשהוא מונע ונסע ברכב בכוונה לגנוב אותו. הנאשם החל בנסיעה לכיוון מחנה פליטים שועפאט. בעקבות דיווח של בעל הרכב הקימה המשטרה מחסומים בנתיב נסיעתו של הנאשם. </w:t>
      </w:r>
    </w:p>
    <w:p w14:paraId="58E46880" w14:textId="77777777" w:rsidR="000F04C9" w:rsidRDefault="000F04C9" w:rsidP="000F04C9">
      <w:pPr>
        <w:spacing w:after="240" w:line="360" w:lineRule="auto"/>
        <w:jc w:val="both"/>
        <w:rPr>
          <w:rtl/>
        </w:rPr>
      </w:pPr>
      <w:r>
        <w:rPr>
          <w:rtl/>
        </w:rPr>
        <w:tab/>
      </w:r>
      <w:r>
        <w:rPr>
          <w:rFonts w:hint="cs"/>
          <w:rtl/>
        </w:rPr>
        <w:t xml:space="preserve">הנאשם הגיע לחסם ראשון שהוקם בכביש מס' 1, לא נענה לסימונים שכוונה לעברו שוטרת באמצעות פנס, סטה לנתיב השמאלי ועקף את החסימה, והמשיך בנסיעה מהירה לכיוון ירושלים. ביציאה ממנהרת הארזים בכביש 9 נהג הנאשם כשהוא עובר מנתיב לנתיב בצורה מסוכנת, ועקף ניידת משטרה מזוהה שעמדה במקום בטרם הספיקו השוטרים להקים את החסימה. בהמשך הקימו שוטרים חסימה בכביש 9 בסמוך לצומת הגבעה הצרפתית. החסימה הוקמה באמצעות ניידת משטרתית מזוהה עם אורות כחולים מהבהבים והנחת דוקרנים על הכביש. הנאשם עבר את החסימה על ידי נסיעה בנתיב התנועה הנגדי, בניגוד לכיוון התנועה, במהירות שאינה תואמת את תנאי הכביש. בהמשך הדרך הקימו שוטרים אחרים חסימה במחסום מחנה פליטים שועפאט, באמצעות דוקרנים וגדרות ברזל. כשהנאשם הגיע למקום השוטרים סימנו לו בידיהם לעצור ושוטר נוסף כיוון נשק לעבר הנאשם, אולם הנאשם המשיך בנסיעה והשוטרים נאלצו לזוז הצידה כדי להימנע מפגיעה. הנאשם עלה על המדרכה המפרידה בין נתיבי היציאה והכניסה ממחנה הפליטים, ונסע בנתיב הנגדי בניגוד לכיוון התנועה לתוך מחנה הפליטים שועפאט. לאחר מכן רכש סמים מסוג "קריסטל". </w:t>
      </w:r>
    </w:p>
    <w:p w14:paraId="4D89E88A" w14:textId="77777777" w:rsidR="000F04C9" w:rsidRDefault="000F04C9" w:rsidP="000F04C9">
      <w:pPr>
        <w:spacing w:after="240" w:line="360" w:lineRule="auto"/>
        <w:jc w:val="both"/>
        <w:rPr>
          <w:rtl/>
        </w:rPr>
      </w:pPr>
      <w:r>
        <w:rPr>
          <w:rtl/>
        </w:rPr>
        <w:tab/>
      </w:r>
      <w:r>
        <w:rPr>
          <w:rFonts w:hint="cs"/>
          <w:rtl/>
        </w:rPr>
        <w:t xml:space="preserve">בעקבות האירוע הוכנסו למחנה הפליטים ארבעה ג'יפים ממוגנים ומזוהים, והחלו בסריקות אחר הרכב. אחד הג'יפים הבחין בנאשם כשהוא נוסע במהירות שאינה תואמת את מהירות הכביש, והנאשם נצמד לרכב הקרקל הראשון. לאחר שהשוטרים יצאו וסימנו לו לעצור, הנאשם נסע לאחור, ביצע פניית פרסה והחל בנסיעה מהירה לכיוון המחסום בכוונה להימלט מהשוטרים. בעקבות הדיווח חסמו שני רכבי קרקל נוספים את דרכו של הנאשם ואת הנתיב הנגדי, וסימנו לו לעצור. הנאשם סטה למסלול הנגדי והתנגש חזיתית בקרקל שהוצב שם. השוטרים מרכבי הקרקל רצו לעבר הנאשם וקראו לו לעצור, אך הוא החל בנסיעה לאחור, וכתוצאה מכך אחד השוטרים שאחז בידית הרכב נגרר לאחור ונפל. כשהשוטרים חסמו את נתיב נסיעתו לאחור הנאשם החל בנסיעה קדימה, תוך שהוא מסכן את השוטרים שעמדו לפניו, ואף פגע באחד השוטרים אשר נהדף לאחור ונפל על הקרקע. בהמשך הצליח הנאשם להימלט מהרכב, אך נעצר במרחק של כ-15 מטר לאחר מאבק בינו לבין השוטרים. </w:t>
      </w:r>
    </w:p>
    <w:p w14:paraId="3EAAE181" w14:textId="77777777" w:rsidR="000F04C9" w:rsidRDefault="000F04C9" w:rsidP="000F04C9">
      <w:pPr>
        <w:spacing w:after="240" w:line="360" w:lineRule="auto"/>
        <w:jc w:val="both"/>
        <w:rPr>
          <w:rtl/>
        </w:rPr>
      </w:pPr>
      <w:r>
        <w:rPr>
          <w:rtl/>
        </w:rPr>
        <w:tab/>
      </w:r>
      <w:r>
        <w:rPr>
          <w:rFonts w:hint="cs"/>
          <w:rtl/>
        </w:rPr>
        <w:t>כתוצאה ממעשי הנאשם נפצעו שני שוטרים פציעות קלות וחבלות כמתואר בכתב האישום, וכן נגרמו נזקים לרכב המשטרתי.</w:t>
      </w:r>
    </w:p>
    <w:p w14:paraId="3C99F6DE" w14:textId="77777777" w:rsidR="000F04C9" w:rsidRPr="008562BC" w:rsidRDefault="000F04C9" w:rsidP="000F04C9">
      <w:pPr>
        <w:spacing w:after="240" w:line="360" w:lineRule="auto"/>
        <w:jc w:val="both"/>
        <w:rPr>
          <w:b/>
          <w:bCs/>
          <w:u w:val="single"/>
          <w:rtl/>
        </w:rPr>
      </w:pPr>
      <w:r w:rsidRPr="008562BC">
        <w:rPr>
          <w:rFonts w:hint="cs"/>
          <w:b/>
          <w:bCs/>
          <w:u w:val="single"/>
          <w:rtl/>
        </w:rPr>
        <w:t xml:space="preserve">הסדר הטיעון והתיקים המצורפים </w:t>
      </w:r>
    </w:p>
    <w:p w14:paraId="79A076CA" w14:textId="77777777" w:rsidR="000F04C9" w:rsidRDefault="000F04C9" w:rsidP="000F04C9">
      <w:pPr>
        <w:spacing w:after="240" w:line="360" w:lineRule="auto"/>
        <w:jc w:val="both"/>
        <w:rPr>
          <w:rtl/>
        </w:rPr>
      </w:pPr>
      <w:r>
        <w:rPr>
          <w:rFonts w:hint="cs"/>
          <w:rtl/>
        </w:rPr>
        <w:lastRenderedPageBreak/>
        <w:t>3.</w:t>
      </w:r>
      <w:r>
        <w:rPr>
          <w:rFonts w:hint="cs"/>
          <w:rtl/>
        </w:rPr>
        <w:tab/>
        <w:t xml:space="preserve">הצדדים הגיעו להסדר טיעון שבגדרו עתרו במשותף להטיל על הנאשם עונש מאסר של 4 שנים, הכולל גם הפעלת מאסר על תנאי בר הפעלה, וכן מאסר על תנאי, קנס ופיצוי על פי שיקול דעת בית המשפט. </w:t>
      </w:r>
    </w:p>
    <w:p w14:paraId="1BFA22EA" w14:textId="77777777" w:rsidR="000F04C9" w:rsidRDefault="000F04C9" w:rsidP="000F04C9">
      <w:pPr>
        <w:spacing w:after="240" w:line="360" w:lineRule="auto"/>
        <w:jc w:val="both"/>
        <w:rPr>
          <w:rtl/>
        </w:rPr>
      </w:pPr>
      <w:r>
        <w:rPr>
          <w:rFonts w:hint="cs"/>
          <w:rtl/>
        </w:rPr>
        <w:t>4.</w:t>
      </w:r>
      <w:r>
        <w:rPr>
          <w:rFonts w:hint="cs"/>
          <w:rtl/>
        </w:rPr>
        <w:tab/>
        <w:t xml:space="preserve">במסגרת ההסדר הסכימו הצדדים על צירוף שני תיקים שבהם הודה הנאשם בבית משפט השלום בירושלים (בשניהם הורשע והרשעתו בוטלה לצורך הצירוף): </w:t>
      </w:r>
    </w:p>
    <w:p w14:paraId="661A247A" w14:textId="77777777" w:rsidR="000F04C9" w:rsidRDefault="000F04C9" w:rsidP="000F04C9">
      <w:pPr>
        <w:spacing w:after="240" w:line="360" w:lineRule="auto"/>
        <w:jc w:val="both"/>
        <w:rPr>
          <w:rtl/>
        </w:rPr>
      </w:pPr>
      <w:r w:rsidRPr="004F4C82">
        <w:rPr>
          <w:rFonts w:hint="cs"/>
          <w:b/>
          <w:bCs/>
          <w:rtl/>
        </w:rPr>
        <w:t>ב</w:t>
      </w:r>
      <w:hyperlink r:id="rId29" w:history="1">
        <w:r w:rsidR="00AE431E" w:rsidRPr="00AE431E">
          <w:rPr>
            <w:b/>
            <w:bCs/>
            <w:color w:val="0000FF"/>
            <w:u w:val="single"/>
            <w:rtl/>
          </w:rPr>
          <w:t>ת"פ 38836-09-19</w:t>
        </w:r>
      </w:hyperlink>
      <w:r>
        <w:rPr>
          <w:rFonts w:hint="cs"/>
          <w:rtl/>
        </w:rPr>
        <w:t xml:space="preserve"> הורשע הנאשם בעבירות של גניבת רכב לפי </w:t>
      </w:r>
      <w:hyperlink r:id="rId30" w:history="1">
        <w:r w:rsidR="00A67C8F" w:rsidRPr="00A67C8F">
          <w:rPr>
            <w:rStyle w:val="Hyperlink"/>
            <w:rFonts w:hint="eastAsia"/>
            <w:rtl/>
          </w:rPr>
          <w:t>סעיף</w:t>
        </w:r>
        <w:r w:rsidR="00A67C8F" w:rsidRPr="00A67C8F">
          <w:rPr>
            <w:rStyle w:val="Hyperlink"/>
            <w:rtl/>
          </w:rPr>
          <w:t xml:space="preserve"> 413ב</w:t>
        </w:r>
      </w:hyperlink>
      <w:r>
        <w:rPr>
          <w:rFonts w:hint="cs"/>
          <w:rtl/>
        </w:rPr>
        <w:t xml:space="preserve"> ל</w:t>
      </w:r>
      <w:hyperlink r:id="rId31" w:history="1">
        <w:r w:rsidR="00AE431E" w:rsidRPr="00AE431E">
          <w:rPr>
            <w:color w:val="0000FF"/>
            <w:u w:val="single"/>
            <w:rtl/>
          </w:rPr>
          <w:t>חוק העונשין</w:t>
        </w:r>
      </w:hyperlink>
      <w:r>
        <w:rPr>
          <w:rFonts w:hint="cs"/>
          <w:rtl/>
        </w:rPr>
        <w:t xml:space="preserve">, נהיגה פוחזת של רכב לפי </w:t>
      </w:r>
      <w:hyperlink r:id="rId32" w:history="1">
        <w:r w:rsidR="00A67C8F" w:rsidRPr="00A67C8F">
          <w:rPr>
            <w:rStyle w:val="Hyperlink"/>
            <w:rFonts w:hint="eastAsia"/>
            <w:rtl/>
          </w:rPr>
          <w:t>סעיף</w:t>
        </w:r>
        <w:r w:rsidR="00A67C8F" w:rsidRPr="00A67C8F">
          <w:rPr>
            <w:rStyle w:val="Hyperlink"/>
            <w:rtl/>
          </w:rPr>
          <w:t xml:space="preserve"> 338(א)(1)</w:t>
        </w:r>
      </w:hyperlink>
      <w:r>
        <w:rPr>
          <w:rFonts w:hint="cs"/>
          <w:rtl/>
        </w:rPr>
        <w:t xml:space="preserve"> לחוק, גניבה לפי </w:t>
      </w:r>
      <w:hyperlink r:id="rId33" w:history="1">
        <w:r w:rsidR="00A67C8F" w:rsidRPr="00A67C8F">
          <w:rPr>
            <w:rStyle w:val="Hyperlink"/>
            <w:rFonts w:hint="eastAsia"/>
            <w:rtl/>
          </w:rPr>
          <w:t>סעיף</w:t>
        </w:r>
        <w:r w:rsidR="00A67C8F" w:rsidRPr="00A67C8F">
          <w:rPr>
            <w:rStyle w:val="Hyperlink"/>
            <w:rtl/>
          </w:rPr>
          <w:t xml:space="preserve"> 384</w:t>
        </w:r>
      </w:hyperlink>
      <w:r>
        <w:rPr>
          <w:rFonts w:hint="cs"/>
          <w:rtl/>
        </w:rPr>
        <w:t xml:space="preserve"> לחוק, הפרעה לשוטר במילוי תפקידו לפי </w:t>
      </w:r>
      <w:hyperlink r:id="rId34" w:history="1">
        <w:r w:rsidR="00A67C8F" w:rsidRPr="00A67C8F">
          <w:rPr>
            <w:rStyle w:val="Hyperlink"/>
            <w:rFonts w:hint="eastAsia"/>
            <w:rtl/>
          </w:rPr>
          <w:t>סעיף</w:t>
        </w:r>
        <w:r w:rsidR="00A67C8F" w:rsidRPr="00A67C8F">
          <w:rPr>
            <w:rStyle w:val="Hyperlink"/>
            <w:rtl/>
          </w:rPr>
          <w:t xml:space="preserve"> 275</w:t>
        </w:r>
      </w:hyperlink>
      <w:r>
        <w:rPr>
          <w:rFonts w:hint="cs"/>
          <w:rtl/>
        </w:rPr>
        <w:t xml:space="preserve"> לחוק, חבלה במזיד ברכב לפי סעיף </w:t>
      </w:r>
      <w:hyperlink r:id="rId35" w:history="1">
        <w:r w:rsidR="00A67C8F" w:rsidRPr="00A67C8F">
          <w:rPr>
            <w:rStyle w:val="Hyperlink"/>
            <w:rtl/>
          </w:rPr>
          <w:t>413 ה</w:t>
        </w:r>
      </w:hyperlink>
      <w:r>
        <w:rPr>
          <w:rFonts w:hint="cs"/>
          <w:rtl/>
        </w:rPr>
        <w:t xml:space="preserve"> לחוק והפרת הוראה חוקית לפי </w:t>
      </w:r>
      <w:hyperlink r:id="rId36" w:history="1">
        <w:r w:rsidR="00A67C8F" w:rsidRPr="00A67C8F">
          <w:rPr>
            <w:rStyle w:val="Hyperlink"/>
            <w:rFonts w:hint="eastAsia"/>
            <w:rtl/>
          </w:rPr>
          <w:t>סעיף</w:t>
        </w:r>
        <w:r w:rsidR="00A67C8F" w:rsidRPr="00A67C8F">
          <w:rPr>
            <w:rStyle w:val="Hyperlink"/>
            <w:rtl/>
          </w:rPr>
          <w:t xml:space="preserve"> 287(א)</w:t>
        </w:r>
      </w:hyperlink>
      <w:r>
        <w:rPr>
          <w:rFonts w:hint="cs"/>
          <w:rtl/>
        </w:rPr>
        <w:t xml:space="preserve"> לחוק. מדובר באירוע מיום 6.9.19, בעל מאפיינים דומים לאירוע נשוא התיק העיקרי שבפני. הנאשם גנב רכב בנוכחות בעליו, לאחר שהנאשם טען באזני הבעלים כי הפנס נוטה ליפול וניצל את יציאתו של המתלונן מהרכב כדי לבדוק את הפנס. הנאשם גנב את הרכב והחל בנסיעה כשהמתלונן נתלה על דלת הנהג כדי למנוע ממנו לנסוע. גם במקרה זה נמלט הנאשם משוטרים שרדפו אחריו, ואף גרם לתאונת דרכים. הנאשם גנב מהרכב פלאפון, תיק, כסף ומסמכים. </w:t>
      </w:r>
    </w:p>
    <w:p w14:paraId="13F64260" w14:textId="77777777" w:rsidR="000F04C9" w:rsidRDefault="000F04C9" w:rsidP="000F04C9">
      <w:pPr>
        <w:spacing w:after="240" w:line="360" w:lineRule="auto"/>
        <w:jc w:val="both"/>
        <w:rPr>
          <w:rtl/>
        </w:rPr>
      </w:pPr>
      <w:r w:rsidRPr="004F4C82">
        <w:rPr>
          <w:rFonts w:hint="cs"/>
          <w:b/>
          <w:bCs/>
          <w:rtl/>
        </w:rPr>
        <w:t>ב</w:t>
      </w:r>
      <w:hyperlink r:id="rId37" w:history="1">
        <w:r w:rsidR="00AE431E" w:rsidRPr="00AE431E">
          <w:rPr>
            <w:b/>
            <w:bCs/>
            <w:color w:val="0000FF"/>
            <w:u w:val="single"/>
            <w:rtl/>
          </w:rPr>
          <w:t>ת"פ 48125-07-20</w:t>
        </w:r>
      </w:hyperlink>
      <w:r>
        <w:rPr>
          <w:rFonts w:hint="cs"/>
          <w:rtl/>
        </w:rPr>
        <w:t xml:space="preserve"> הורשע הנאשם בעבירות של הפרעה לשוטר במילוי תפקידו, עבירה לפי </w:t>
      </w:r>
      <w:hyperlink r:id="rId38" w:history="1">
        <w:r w:rsidR="00A67C8F" w:rsidRPr="00A67C8F">
          <w:rPr>
            <w:rStyle w:val="Hyperlink"/>
            <w:rFonts w:hint="eastAsia"/>
            <w:rtl/>
          </w:rPr>
          <w:t>סעיף</w:t>
        </w:r>
        <w:r w:rsidR="00A67C8F" w:rsidRPr="00A67C8F">
          <w:rPr>
            <w:rStyle w:val="Hyperlink"/>
            <w:rtl/>
          </w:rPr>
          <w:t xml:space="preserve"> 275</w:t>
        </w:r>
      </w:hyperlink>
      <w:r>
        <w:rPr>
          <w:rFonts w:hint="cs"/>
          <w:rtl/>
        </w:rPr>
        <w:t xml:space="preserve"> ל</w:t>
      </w:r>
      <w:hyperlink r:id="rId39" w:history="1">
        <w:r w:rsidR="00AE431E" w:rsidRPr="00AE431E">
          <w:rPr>
            <w:color w:val="0000FF"/>
            <w:u w:val="single"/>
            <w:rtl/>
          </w:rPr>
          <w:t>חוק העונשין</w:t>
        </w:r>
      </w:hyperlink>
      <w:r>
        <w:rPr>
          <w:rFonts w:hint="cs"/>
          <w:rtl/>
        </w:rPr>
        <w:t xml:space="preserve">, ובהסעת תושב זר </w:t>
      </w:r>
      <w:r>
        <w:rPr>
          <w:rtl/>
        </w:rPr>
        <w:t>–</w:t>
      </w:r>
      <w:r>
        <w:rPr>
          <w:rFonts w:hint="cs"/>
          <w:rtl/>
        </w:rPr>
        <w:t xml:space="preserve"> עבירה לפי </w:t>
      </w:r>
      <w:hyperlink r:id="rId40" w:history="1">
        <w:r w:rsidR="00A67C8F" w:rsidRPr="00A67C8F">
          <w:rPr>
            <w:rStyle w:val="Hyperlink"/>
            <w:rFonts w:hint="eastAsia"/>
            <w:rtl/>
          </w:rPr>
          <w:t>סעיף</w:t>
        </w:r>
        <w:r w:rsidR="00A67C8F" w:rsidRPr="00A67C8F">
          <w:rPr>
            <w:rStyle w:val="Hyperlink"/>
            <w:rtl/>
          </w:rPr>
          <w:t xml:space="preserve"> 12א(ג)</w:t>
        </w:r>
      </w:hyperlink>
      <w:r>
        <w:rPr>
          <w:rFonts w:hint="cs"/>
          <w:rtl/>
        </w:rPr>
        <w:t xml:space="preserve"> ל</w:t>
      </w:r>
      <w:hyperlink r:id="rId41" w:history="1">
        <w:r w:rsidR="00AE431E" w:rsidRPr="00AE431E">
          <w:rPr>
            <w:color w:val="0000FF"/>
            <w:u w:val="single"/>
            <w:rtl/>
          </w:rPr>
          <w:t>חוק הכניסה לישראל</w:t>
        </w:r>
      </w:hyperlink>
      <w:r>
        <w:rPr>
          <w:rFonts w:hint="cs"/>
          <w:rtl/>
        </w:rPr>
        <w:t xml:space="preserve"> תשחי"ב-1952. במקרה זה מדובר באירוע שתחילתו בהסעת שני שוהים בלתי חוקיים, והמשכו בכך שהנאשם סירה להוראות שוטר וחיילים במחסום א-זעיים לעצור, המשיך בנסיעה כשהמחסום יורד, המשיך בנסיעה כאשר צמיגי הרכב נוקבו בשל פריצת המחסום עד שהרכב נעצר בשל ניקוב הצמיגים.</w:t>
      </w:r>
    </w:p>
    <w:p w14:paraId="695D1F7C" w14:textId="77777777" w:rsidR="000F04C9" w:rsidRDefault="000F04C9" w:rsidP="000F04C9">
      <w:pPr>
        <w:spacing w:after="240" w:line="360" w:lineRule="auto"/>
        <w:jc w:val="both"/>
        <w:rPr>
          <w:rtl/>
        </w:rPr>
      </w:pPr>
      <w:r>
        <w:rPr>
          <w:rFonts w:hint="cs"/>
          <w:rtl/>
        </w:rPr>
        <w:t>5.</w:t>
      </w:r>
      <w:r>
        <w:rPr>
          <w:rFonts w:hint="cs"/>
          <w:rtl/>
        </w:rPr>
        <w:tab/>
        <w:t>בנוסף לתיקים בהם הורשע, לחובת הנאשם שני מאסרים מותנים, לתקופות של 4 ו-8 חודשים, שנגזרו עליו ב</w:t>
      </w:r>
      <w:hyperlink r:id="rId42" w:history="1">
        <w:r w:rsidR="00AE431E" w:rsidRPr="00AE431E">
          <w:rPr>
            <w:color w:val="0000FF"/>
            <w:u w:val="single"/>
            <w:rtl/>
          </w:rPr>
          <w:t>ת"פ 26707-05-13</w:t>
        </w:r>
      </w:hyperlink>
      <w:r>
        <w:rPr>
          <w:rFonts w:hint="cs"/>
          <w:rtl/>
        </w:rPr>
        <w:t xml:space="preserve"> בבית משפט השלום בירושלים. באותו תיק הורשע הנאשם בתקיפת עובד חירום ותקיפה הגורמת חבלה של ממש. מדובר בתקיפה של רופא בבית חולים בו עמדה אשתו של הנאשם לעבור ניתוח קיסרי. הנאשם היכה את הנאשם מכות רבות במשך זמן ממושך ורופאה אחרת שנחלצה לעזרה נפגעה אף היא. לתיק זה צורף תיק נוסף שכלל בין היתר עבירות של גניבה, תקיפה לשם גניבה ועבירות ברכב. אציין כי באותו מקרה בית המשפט מצא לנכון לסטות מהסדר טיעון ולהחמיר בעונשו של הנאשם, בשל חומרת העבירות בהן הורשע. </w:t>
      </w:r>
    </w:p>
    <w:p w14:paraId="348DC43F" w14:textId="77777777" w:rsidR="000F04C9" w:rsidRDefault="000F04C9" w:rsidP="000F04C9">
      <w:pPr>
        <w:spacing w:after="240" w:line="360" w:lineRule="auto"/>
        <w:jc w:val="both"/>
        <w:rPr>
          <w:b/>
          <w:bCs/>
          <w:u w:val="single"/>
          <w:rtl/>
        </w:rPr>
      </w:pPr>
      <w:r>
        <w:rPr>
          <w:rFonts w:hint="cs"/>
          <w:b/>
          <w:bCs/>
          <w:u w:val="single"/>
          <w:rtl/>
        </w:rPr>
        <w:t>הטיעונים לעונש</w:t>
      </w:r>
    </w:p>
    <w:p w14:paraId="3DAE6374" w14:textId="77777777" w:rsidR="000F04C9" w:rsidRDefault="000F04C9" w:rsidP="000F04C9">
      <w:pPr>
        <w:spacing w:after="240" w:line="360" w:lineRule="auto"/>
        <w:jc w:val="both"/>
        <w:rPr>
          <w:rtl/>
        </w:rPr>
      </w:pPr>
      <w:r>
        <w:rPr>
          <w:rFonts w:hint="cs"/>
          <w:rtl/>
        </w:rPr>
        <w:t>6.</w:t>
      </w:r>
      <w:r>
        <w:rPr>
          <w:rFonts w:hint="cs"/>
          <w:rtl/>
        </w:rPr>
        <w:tab/>
        <w:t xml:space="preserve">בטיעונים לעונש ביקשו שני הצדדים לכבד את הסדר הטיעון. ב"כ המאשימה טען כי ההסדר מאזן בין הודאתו של הנאשם, נטילת האחריות והחיסכון בזמן שיפוטי, לבין חומרת המעשים, אשר בשניים מהתיקים קיים ביניהם מכנה משותף, ועברו הפלילי של הנאשם הכולל גם מאסרים על תנאי שיש להפעילם. הסניגור הצטרף לדברים, טען כי הנאשם הודה על אף קשיים ראייתיים בתיק, וציין את נסיבות חייו הקשות של הנאשם ואת העובדה שהחל בעבר בהליך שיקום שלא הגיע לכלל סיום. הסניגור ביקש להימנע מעונש כספי של קנס ופיצוי בשל מצבו הכלכלי הקשה של הנאשם, ולחלופין ביקש להסתפק בסכום סמלי שישולם לאחר ריצוי המאסר. הוא ציין שלנאשם 3 ילדים שאחד מהם נולדת בתקופת מעצרו של הנאשם. </w:t>
      </w:r>
    </w:p>
    <w:p w14:paraId="662A2651" w14:textId="77777777" w:rsidR="000F04C9" w:rsidRDefault="000F04C9" w:rsidP="000F04C9">
      <w:pPr>
        <w:spacing w:after="240" w:line="360" w:lineRule="auto"/>
        <w:jc w:val="both"/>
        <w:rPr>
          <w:rtl/>
        </w:rPr>
      </w:pPr>
      <w:r>
        <w:rPr>
          <w:rFonts w:hint="cs"/>
          <w:rtl/>
        </w:rPr>
        <w:t>7.</w:t>
      </w:r>
      <w:r>
        <w:rPr>
          <w:rFonts w:hint="cs"/>
          <w:rtl/>
        </w:rPr>
        <w:tab/>
        <w:t>הנאשם עצמו הביע צער וחרטה על מעשיו. הוא טען כי המעשים נעשו על רקע שימוש בסמים, והביע רצון להיגמל. לדבריו הוא נחשב בשב"ס כאסיר בסכנת בריחה ולפיכך נמנע ממנו טיפול במסגרת שב"ס, וביקש מבית המשפט לסייע לו בעניין זה.</w:t>
      </w:r>
    </w:p>
    <w:p w14:paraId="7A0CCEB5" w14:textId="77777777" w:rsidR="000F04C9" w:rsidRDefault="000F04C9" w:rsidP="000F04C9">
      <w:pPr>
        <w:spacing w:after="240" w:line="360" w:lineRule="auto"/>
        <w:jc w:val="both"/>
        <w:rPr>
          <w:rtl/>
        </w:rPr>
      </w:pPr>
      <w:r>
        <w:rPr>
          <w:rFonts w:hint="cs"/>
          <w:rtl/>
        </w:rPr>
        <w:t>8.</w:t>
      </w:r>
      <w:r>
        <w:rPr>
          <w:rFonts w:hint="cs"/>
          <w:rtl/>
        </w:rPr>
        <w:tab/>
      </w:r>
      <w:r w:rsidRPr="008562BC">
        <w:rPr>
          <w:rFonts w:hint="cs"/>
          <w:rtl/>
        </w:rPr>
        <w:t xml:space="preserve">בהמשך לטיעוניה לעונש הגישה המאשימה בכתב פירוט העונשים המבוקשים בכל אחד מהתיקים נגד הנאשם. היא ביקשה לגזור על הנאשם 30 חודשי מאסר בפועל בגין התיק הנוכחי, 8 חודשי מאסר בגין כל אחד מהתיקים המצורפים והפעלת המאסרים המותנים לתקופות של 8 חודשים ו-4 חודשים. ב"כ הנאשם לא הביע עמדה באשר לחלוקת המאסרים בגין התיקים השונים, ובלבד שהתקופה המצטברת לא תחרוג מהתקופה שעליה הסכימו הצדדים בהסדר הטיעון.   </w:t>
      </w:r>
    </w:p>
    <w:p w14:paraId="5862FB6D" w14:textId="77777777" w:rsidR="000F04C9" w:rsidRPr="008562BC" w:rsidRDefault="000F04C9" w:rsidP="000F04C9">
      <w:pPr>
        <w:spacing w:after="240" w:line="360" w:lineRule="auto"/>
        <w:jc w:val="both"/>
        <w:rPr>
          <w:b/>
          <w:bCs/>
          <w:u w:val="single"/>
          <w:rtl/>
        </w:rPr>
      </w:pPr>
      <w:r w:rsidRPr="008562BC">
        <w:rPr>
          <w:rFonts w:hint="cs"/>
          <w:b/>
          <w:bCs/>
          <w:u w:val="single"/>
          <w:rtl/>
        </w:rPr>
        <w:t>דיון והכרעה</w:t>
      </w:r>
    </w:p>
    <w:p w14:paraId="6854603C" w14:textId="77777777" w:rsidR="000F04C9" w:rsidRDefault="000F04C9" w:rsidP="000F04C9">
      <w:pPr>
        <w:spacing w:after="240" w:line="360" w:lineRule="auto"/>
        <w:jc w:val="both"/>
        <w:rPr>
          <w:rtl/>
        </w:rPr>
      </w:pPr>
      <w:r>
        <w:rPr>
          <w:rFonts w:hint="cs"/>
          <w:rtl/>
        </w:rPr>
        <w:t>9.</w:t>
      </w:r>
      <w:r>
        <w:rPr>
          <w:rFonts w:hint="cs"/>
          <w:rtl/>
        </w:rPr>
        <w:tab/>
        <w:t>אני מרשיעה את הנאשם בתיקים שצורפו מבית משפט השלום (</w:t>
      </w:r>
      <w:hyperlink r:id="rId43" w:history="1">
        <w:r w:rsidR="00AE431E" w:rsidRPr="00AE431E">
          <w:rPr>
            <w:color w:val="0000FF"/>
            <w:u w:val="single"/>
            <w:rtl/>
          </w:rPr>
          <w:t>ת"פ 48125-07-20</w:t>
        </w:r>
      </w:hyperlink>
      <w:r>
        <w:rPr>
          <w:rFonts w:hint="cs"/>
          <w:rtl/>
        </w:rPr>
        <w:t xml:space="preserve"> ו</w:t>
      </w:r>
      <w:hyperlink r:id="rId44" w:history="1">
        <w:r w:rsidR="00AE431E" w:rsidRPr="00AE431E">
          <w:rPr>
            <w:color w:val="0000FF"/>
            <w:u w:val="single"/>
            <w:rtl/>
          </w:rPr>
          <w:t>ת"פ 38836-09-19</w:t>
        </w:r>
      </w:hyperlink>
      <w:r>
        <w:rPr>
          <w:rFonts w:hint="cs"/>
          <w:rtl/>
        </w:rPr>
        <w:t xml:space="preserve">)  לאחר שהרשעתו בוטלה לצורך הצירוף כאן. </w:t>
      </w:r>
    </w:p>
    <w:p w14:paraId="07FCBD42" w14:textId="77777777" w:rsidR="000F04C9" w:rsidRDefault="000F04C9" w:rsidP="000F04C9">
      <w:pPr>
        <w:spacing w:after="240" w:line="360" w:lineRule="auto"/>
        <w:jc w:val="both"/>
        <w:rPr>
          <w:rtl/>
        </w:rPr>
      </w:pPr>
      <w:r>
        <w:rPr>
          <w:rFonts w:hint="cs"/>
          <w:rtl/>
        </w:rPr>
        <w:t>10.</w:t>
      </w:r>
      <w:r>
        <w:rPr>
          <w:rFonts w:hint="cs"/>
          <w:rtl/>
        </w:rPr>
        <w:tab/>
        <w:t>הנאשם הודה במיוחס לו בתיק שבפני ובשני התיקים שצורפו מבית משפט השלום. הוא הכיר באחריותו וחסך זמן שיפוטי. לטענת הסניגור ההודאה באה על אף קשיים ראייתיים שהתעוררו, אם כי קשיים אלה לא פורטו ועל פני הדברים נראה כי לא צפוי קושי מיוחד בתיק מעין זה.</w:t>
      </w:r>
    </w:p>
    <w:p w14:paraId="05F55031" w14:textId="77777777" w:rsidR="000F04C9" w:rsidRPr="00B05847" w:rsidRDefault="000F04C9" w:rsidP="000F04C9">
      <w:pPr>
        <w:spacing w:after="240" w:line="360" w:lineRule="auto"/>
        <w:jc w:val="both"/>
        <w:rPr>
          <w:rtl/>
        </w:rPr>
      </w:pPr>
      <w:r>
        <w:rPr>
          <w:rFonts w:hint="cs"/>
          <w:rtl/>
        </w:rPr>
        <w:t>11.</w:t>
      </w:r>
      <w:r>
        <w:rPr>
          <w:rFonts w:hint="cs"/>
          <w:rtl/>
        </w:rPr>
        <w:tab/>
        <w:t xml:space="preserve">אין ספק באשר לחומרת העבירות המיוחסות לנאשם. הנאשם נהג בפזיזות בכבישים מרכזיים, וכשנתקל במחסומים סטה לנתיב הנגדי ונהג בניגוד לכיוון התנועה. בכך העמיד בסיכון ממשי את כלל משתמשי הדרך, ובאופן מיוחד את מי שנקרה בדרכו </w:t>
      </w:r>
      <w:r>
        <w:rPr>
          <w:rtl/>
        </w:rPr>
        <w:t>–</w:t>
      </w:r>
      <w:r>
        <w:rPr>
          <w:rFonts w:hint="cs"/>
          <w:rtl/>
        </w:rPr>
        <w:t xml:space="preserve"> השוטרים במחסומים ובעל הרכב שנגנב. שני שוטרים ובעל הרכב אף נפגעו, למרבה המזל פגיעות קלות בלבד. בכתב האישום בתיק העיקרי שבפני עבר הנאשם 3 מחסומים בניגוד להוראות שוטרים, בשניים מהם עבר חסימות פיזיות שהוצבו. גם בתיק שצורף פרץ מחסום והמשיך לנסוע גם לאחר שצמיגי רכבו נוקבו. העובדה שהנאשם הורשע (בתיק זה ובהרשעות קודמות) גם בעבירות סמים, ואף העיד על עצמו שהוא מכור לסמים, מחמירה ומעצימה את המסוכנות. </w:t>
      </w:r>
    </w:p>
    <w:p w14:paraId="2F1218A8" w14:textId="77777777" w:rsidR="000F04C9" w:rsidRDefault="000F04C9" w:rsidP="000F04C9">
      <w:pPr>
        <w:spacing w:after="240" w:line="360" w:lineRule="auto"/>
        <w:jc w:val="both"/>
        <w:rPr>
          <w:rtl/>
        </w:rPr>
      </w:pPr>
      <w:r>
        <w:rPr>
          <w:rtl/>
        </w:rPr>
        <w:tab/>
      </w:r>
      <w:r>
        <w:rPr>
          <w:rFonts w:hint="cs"/>
          <w:rtl/>
        </w:rPr>
        <w:t xml:space="preserve">זאת ועוד, אין מדובר באירוע חד פעמי, שכן קיימים מאפיינים דומים בין שלושת התיקים שבפני, שכולם כוללים מאפיינם דומים של נהיגה מסוכנת תוך התעלמות מהוראות השוטרים. גם גניבת הרכב בנוכחות המתלונן תוך ניצול מצב רגעי מתקיימת בשניים מהתיקים שבפני. לנאשם עבר פלילי מכביד, הכולל הרשעות בעשרות עבירות וריצוי מאסרים בעבר. קיימת זיקה בין המעשים באירועים הנדונים בפני לבין הרשעותיו הקודמות של הנאשם, הכוללות עבירות רכוש רבות, עבירות סמים, נהיגה פוחזת, הפרעה לשוטר והסעת תושבים זרים.  </w:t>
      </w:r>
    </w:p>
    <w:p w14:paraId="6448A8FD" w14:textId="77777777" w:rsidR="000F04C9" w:rsidRDefault="000F04C9" w:rsidP="000F04C9">
      <w:pPr>
        <w:spacing w:after="240" w:line="360" w:lineRule="auto"/>
        <w:jc w:val="both"/>
        <w:rPr>
          <w:rtl/>
        </w:rPr>
      </w:pPr>
      <w:r>
        <w:rPr>
          <w:rFonts w:hint="cs"/>
          <w:rtl/>
        </w:rPr>
        <w:t>12.</w:t>
      </w:r>
      <w:r>
        <w:rPr>
          <w:rFonts w:hint="cs"/>
          <w:rtl/>
        </w:rPr>
        <w:tab/>
        <w:t xml:space="preserve">לא התבקש ואין בפני תסקיר של שירות המבחן, אולם מדברי הסניגור והנאשם עולה כי הנאשם שהה בעבר בקהילה לצורך הליך שיקום, אך לא עמד בתנאי המסגרת ואינו מעוניין בהליך כזה. הנאשם הביע אמנם רצון כללי בהליך טיפולי במסגרת שב"ס אך בד בבד הבהיר כי מבחינת שב"ס אינו מועמד להליך כזה. </w:t>
      </w:r>
    </w:p>
    <w:p w14:paraId="5287E872" w14:textId="77777777" w:rsidR="000F04C9" w:rsidRDefault="000F04C9" w:rsidP="000F04C9">
      <w:pPr>
        <w:spacing w:after="240" w:line="360" w:lineRule="auto"/>
        <w:jc w:val="both"/>
        <w:rPr>
          <w:rtl/>
        </w:rPr>
      </w:pPr>
      <w:r>
        <w:rPr>
          <w:rFonts w:hint="cs"/>
          <w:rtl/>
        </w:rPr>
        <w:t>13.</w:t>
      </w:r>
      <w:r>
        <w:rPr>
          <w:rFonts w:hint="cs"/>
          <w:rtl/>
        </w:rPr>
        <w:tab/>
        <w:t>לנוכח חומרתם וריבויים של האישומים, עברו המכביד והרלוונטי של הנאשם והרצידביזם העולה ממנו, ומאחר שאין על הפרק הליך שיקום מלבד הבעת רצון כללי בלתי מחייב מצד הנאשם, אני סבורה שראוי להחמיר בעונשו של הנאשם. במסגרת המדיניות של כיבוד הסדרי טיעון לא אחרוג מהמסגרת הכללית של הענישה שעליה הוסכם, אם כי אני סבורה שראוי היה לגזור על הנאשם עונש משמעותי בגין כל אחד מהתיקים בהם הורשע, וזאת בנוסף להפעלת המאסרים המותנים. אני סבורה גם כי בנסיבות העניין, על אף מצבו הכלכלי הנטען של הנאשם, יש לגזור עליו גם עונש כספי, ובכך לתת ביטוי, ולו חלקי, לנזקים שנגרמו לאדם ולרכוש. בנוגע למתלונן ב</w:t>
      </w:r>
      <w:hyperlink r:id="rId45" w:history="1">
        <w:r w:rsidR="00AE431E" w:rsidRPr="00AE431E">
          <w:rPr>
            <w:color w:val="0000FF"/>
            <w:u w:val="single"/>
            <w:rtl/>
          </w:rPr>
          <w:t>ת"פ 38836-09-19</w:t>
        </w:r>
      </w:hyperlink>
      <w:r>
        <w:rPr>
          <w:rFonts w:hint="cs"/>
          <w:rtl/>
        </w:rPr>
        <w:t xml:space="preserve">, שהוא אדם פרטי ואינו נהנה מהמסגרת הממסדית שיש לשוטרים הנפגעים במהלך עבודתם. מעבר לנזק הכספי הישיר שנגרם לרכב, יש מקום לפיצוי גם בגין הטרחה, הזמן וההוצאות הנגרמים בשל הצורך לטפל ברכב שניזוק, במסמכים שנגנבו וכיוצ"ב. </w:t>
      </w:r>
    </w:p>
    <w:p w14:paraId="42ED44E4" w14:textId="77777777" w:rsidR="000F04C9" w:rsidRDefault="000F04C9" w:rsidP="000F04C9">
      <w:pPr>
        <w:spacing w:after="240" w:line="360" w:lineRule="auto"/>
        <w:jc w:val="both"/>
        <w:rPr>
          <w:rtl/>
        </w:rPr>
      </w:pPr>
      <w:r>
        <w:rPr>
          <w:rFonts w:hint="cs"/>
          <w:rtl/>
        </w:rPr>
        <w:t>14.</w:t>
      </w:r>
      <w:r>
        <w:rPr>
          <w:rFonts w:hint="cs"/>
          <w:rtl/>
        </w:rPr>
        <w:tab/>
        <w:t>לאור כל האמור אני דנה את הנאשם לעונש כמפורט להלן:</w:t>
      </w:r>
    </w:p>
    <w:p w14:paraId="2378B2C0" w14:textId="77777777" w:rsidR="000F04C9" w:rsidRPr="00E412A3" w:rsidRDefault="000F04C9" w:rsidP="000F04C9">
      <w:pPr>
        <w:spacing w:after="120" w:line="360" w:lineRule="auto"/>
        <w:jc w:val="both"/>
        <w:rPr>
          <w:rtl/>
        </w:rPr>
      </w:pPr>
      <w:r>
        <w:rPr>
          <w:rFonts w:hint="cs"/>
          <w:rtl/>
        </w:rPr>
        <w:t xml:space="preserve">(1) </w:t>
      </w:r>
      <w:r w:rsidRPr="00E412A3">
        <w:rPr>
          <w:rFonts w:hint="cs"/>
          <w:rtl/>
        </w:rPr>
        <w:t xml:space="preserve">בתיק זה </w:t>
      </w:r>
      <w:r w:rsidRPr="00E412A3">
        <w:rPr>
          <w:rtl/>
        </w:rPr>
        <w:t>–</w:t>
      </w:r>
      <w:r w:rsidRPr="00E412A3">
        <w:rPr>
          <w:rFonts w:hint="cs"/>
          <w:rtl/>
        </w:rPr>
        <w:t xml:space="preserve"> מאסר בפועל למשך 36 חודש. </w:t>
      </w:r>
    </w:p>
    <w:p w14:paraId="686E3402" w14:textId="77777777" w:rsidR="000F04C9" w:rsidRPr="00E412A3" w:rsidRDefault="000F04C9" w:rsidP="000F04C9">
      <w:pPr>
        <w:spacing w:after="120" w:line="360" w:lineRule="auto"/>
        <w:jc w:val="both"/>
        <w:rPr>
          <w:rtl/>
        </w:rPr>
      </w:pPr>
      <w:r w:rsidRPr="00E412A3">
        <w:rPr>
          <w:rFonts w:hint="cs"/>
          <w:rtl/>
        </w:rPr>
        <w:t>ב</w:t>
      </w:r>
      <w:r>
        <w:rPr>
          <w:rFonts w:hint="cs"/>
          <w:rtl/>
        </w:rPr>
        <w:t xml:space="preserve">כל אחד מהתיקים המצורפים </w:t>
      </w:r>
      <w:r w:rsidRPr="00E412A3">
        <w:rPr>
          <w:rFonts w:hint="cs"/>
          <w:rtl/>
        </w:rPr>
        <w:t>7 חודשי</w:t>
      </w:r>
      <w:r>
        <w:rPr>
          <w:rFonts w:hint="cs"/>
          <w:rtl/>
        </w:rPr>
        <w:t xml:space="preserve"> מאסר בפועל, שירוצו בחופף זה עם זה וכן </w:t>
      </w:r>
      <w:r w:rsidRPr="00E412A3">
        <w:rPr>
          <w:rFonts w:hint="cs"/>
          <w:rtl/>
        </w:rPr>
        <w:t>בחפיפה חלקית</w:t>
      </w:r>
      <w:r>
        <w:rPr>
          <w:rFonts w:hint="cs"/>
          <w:rtl/>
        </w:rPr>
        <w:t xml:space="preserve"> עם העונש בתיק העיקרי, </w:t>
      </w:r>
      <w:r w:rsidRPr="00E412A3">
        <w:rPr>
          <w:rFonts w:hint="cs"/>
          <w:rtl/>
        </w:rPr>
        <w:t xml:space="preserve">כך ש-10 חודשים ירוצו בחופף ו-4 במצטבר. </w:t>
      </w:r>
    </w:p>
    <w:p w14:paraId="66CE1CC5" w14:textId="77777777" w:rsidR="000F04C9" w:rsidRPr="00E412A3" w:rsidRDefault="000F04C9" w:rsidP="000F04C9">
      <w:pPr>
        <w:spacing w:after="120" w:line="360" w:lineRule="auto"/>
        <w:jc w:val="both"/>
        <w:rPr>
          <w:rtl/>
        </w:rPr>
      </w:pPr>
      <w:r>
        <w:rPr>
          <w:rFonts w:hint="cs"/>
          <w:rtl/>
        </w:rPr>
        <w:t xml:space="preserve">הפעלת </w:t>
      </w:r>
      <w:r w:rsidRPr="00E412A3">
        <w:rPr>
          <w:rFonts w:hint="cs"/>
          <w:rtl/>
        </w:rPr>
        <w:t>מאסרים על תנאי</w:t>
      </w:r>
      <w:r>
        <w:rPr>
          <w:rFonts w:hint="cs"/>
          <w:rtl/>
        </w:rPr>
        <w:t xml:space="preserve"> </w:t>
      </w:r>
      <w:r w:rsidRPr="00E412A3">
        <w:rPr>
          <w:rFonts w:hint="cs"/>
          <w:rtl/>
        </w:rPr>
        <w:t xml:space="preserve"> </w:t>
      </w:r>
      <w:r w:rsidRPr="00A5562A">
        <w:rPr>
          <w:rFonts w:hint="cs"/>
          <w:rtl/>
        </w:rPr>
        <w:t>ב</w:t>
      </w:r>
      <w:hyperlink r:id="rId46" w:history="1">
        <w:r w:rsidR="00AE431E" w:rsidRPr="00AE431E">
          <w:rPr>
            <w:color w:val="0000FF"/>
            <w:u w:val="single"/>
            <w:rtl/>
          </w:rPr>
          <w:t>ת"פ 26707-05-13</w:t>
        </w:r>
      </w:hyperlink>
      <w:r w:rsidRPr="00A5562A">
        <w:rPr>
          <w:rFonts w:hint="cs"/>
          <w:rtl/>
        </w:rPr>
        <w:t xml:space="preserve"> בבית משפט השלום בירושלים</w:t>
      </w:r>
      <w:r w:rsidRPr="00A5562A">
        <w:rPr>
          <w:rtl/>
        </w:rPr>
        <w:t xml:space="preserve"> </w:t>
      </w:r>
      <w:r w:rsidRPr="00E412A3">
        <w:rPr>
          <w:rtl/>
        </w:rPr>
        <w:t>–</w:t>
      </w:r>
      <w:r w:rsidRPr="00E412A3">
        <w:rPr>
          <w:rFonts w:hint="cs"/>
          <w:rtl/>
        </w:rPr>
        <w:t xml:space="preserve"> מאחר שנגזרו באותו תיק יופעלו </w:t>
      </w:r>
      <w:r>
        <w:rPr>
          <w:rFonts w:hint="cs"/>
          <w:rtl/>
        </w:rPr>
        <w:t>המאסרים המותנים בחופף</w:t>
      </w:r>
      <w:r w:rsidRPr="00E412A3">
        <w:rPr>
          <w:rFonts w:hint="cs"/>
          <w:rtl/>
        </w:rPr>
        <w:t>,</w:t>
      </w:r>
      <w:r>
        <w:rPr>
          <w:rFonts w:hint="cs"/>
          <w:rtl/>
        </w:rPr>
        <w:t>ובסך הכל ירוצו</w:t>
      </w:r>
      <w:r w:rsidRPr="00E412A3">
        <w:rPr>
          <w:rFonts w:hint="cs"/>
          <w:rtl/>
        </w:rPr>
        <w:t xml:space="preserve"> 8 חודשי</w:t>
      </w:r>
      <w:r>
        <w:rPr>
          <w:rFonts w:hint="cs"/>
          <w:rtl/>
        </w:rPr>
        <w:t xml:space="preserve"> מאסר</w:t>
      </w:r>
      <w:r w:rsidRPr="00E412A3">
        <w:rPr>
          <w:rFonts w:hint="cs"/>
          <w:rtl/>
        </w:rPr>
        <w:t xml:space="preserve">. </w:t>
      </w:r>
    </w:p>
    <w:p w14:paraId="0C32AEED" w14:textId="77777777" w:rsidR="000F04C9" w:rsidRPr="00E412A3" w:rsidRDefault="000F04C9" w:rsidP="000F04C9">
      <w:pPr>
        <w:spacing w:after="120" w:line="360" w:lineRule="auto"/>
        <w:jc w:val="both"/>
        <w:rPr>
          <w:rtl/>
        </w:rPr>
      </w:pPr>
      <w:r w:rsidRPr="00A5562A">
        <w:rPr>
          <w:rFonts w:hint="cs"/>
          <w:b/>
          <w:bCs/>
          <w:rtl/>
        </w:rPr>
        <w:t>בסך הכל ירצה הנאשם 4 שנות מאסר, בניכוי ימי מעצרו, בהתאם להסדר הטיעון</w:t>
      </w:r>
      <w:r w:rsidRPr="00E412A3">
        <w:rPr>
          <w:rFonts w:hint="cs"/>
          <w:rtl/>
        </w:rPr>
        <w:t>.</w:t>
      </w:r>
    </w:p>
    <w:p w14:paraId="0F6D6928" w14:textId="77777777" w:rsidR="000F04C9" w:rsidRPr="00E412A3" w:rsidRDefault="000F04C9" w:rsidP="000F04C9">
      <w:pPr>
        <w:spacing w:after="240" w:line="360" w:lineRule="auto"/>
        <w:jc w:val="both"/>
        <w:rPr>
          <w:rtl/>
        </w:rPr>
      </w:pPr>
      <w:r>
        <w:rPr>
          <w:rFonts w:hint="cs"/>
          <w:rtl/>
        </w:rPr>
        <w:t xml:space="preserve">(2) </w:t>
      </w:r>
      <w:r w:rsidRPr="00E412A3">
        <w:rPr>
          <w:rFonts w:hint="cs"/>
          <w:rtl/>
        </w:rPr>
        <w:t xml:space="preserve">מאסר על תנאי ל-8 חודשים למשך 3 שנים על כל עבירה נגד שוטרים ועובדי ציבור במילוי תפקידם, על גניבת רכב, נהיגה פוחזת וסיכון חיי אדם במזיד בנתיב תחבורה. </w:t>
      </w:r>
    </w:p>
    <w:p w14:paraId="7367D9B4" w14:textId="77777777" w:rsidR="000F04C9" w:rsidRPr="00E412A3" w:rsidRDefault="000F04C9" w:rsidP="000F04C9">
      <w:pPr>
        <w:spacing w:after="240" w:line="360" w:lineRule="auto"/>
        <w:jc w:val="both"/>
        <w:rPr>
          <w:rtl/>
        </w:rPr>
      </w:pPr>
      <w:r>
        <w:rPr>
          <w:rFonts w:hint="cs"/>
          <w:rtl/>
        </w:rPr>
        <w:t xml:space="preserve">(3) </w:t>
      </w:r>
      <w:r w:rsidRPr="00E412A3">
        <w:rPr>
          <w:rFonts w:hint="cs"/>
          <w:rtl/>
        </w:rPr>
        <w:t xml:space="preserve">מאסר על תנאי ל-4 חודשים על כל עבירת רכוש מסוג פשע. </w:t>
      </w:r>
    </w:p>
    <w:p w14:paraId="7217B4BD" w14:textId="77777777" w:rsidR="000F04C9" w:rsidRPr="00E412A3" w:rsidRDefault="000F04C9" w:rsidP="000F04C9">
      <w:pPr>
        <w:spacing w:after="240" w:line="360" w:lineRule="auto"/>
        <w:jc w:val="both"/>
        <w:rPr>
          <w:rtl/>
        </w:rPr>
      </w:pPr>
      <w:r>
        <w:rPr>
          <w:rFonts w:hint="cs"/>
          <w:rtl/>
        </w:rPr>
        <w:t xml:space="preserve">(4) </w:t>
      </w:r>
      <w:r w:rsidRPr="00E412A3">
        <w:rPr>
          <w:rFonts w:hint="cs"/>
          <w:rtl/>
        </w:rPr>
        <w:t xml:space="preserve">פיצוי שני השוטרים שנפגעו בסך 5,000 ₪ כל אחד. </w:t>
      </w:r>
    </w:p>
    <w:p w14:paraId="127DBBA9" w14:textId="77777777" w:rsidR="000F04C9" w:rsidRPr="00E412A3" w:rsidRDefault="000F04C9" w:rsidP="000F04C9">
      <w:pPr>
        <w:spacing w:after="240" w:line="360" w:lineRule="auto"/>
        <w:jc w:val="both"/>
        <w:rPr>
          <w:rtl/>
        </w:rPr>
      </w:pPr>
      <w:r>
        <w:rPr>
          <w:rFonts w:hint="cs"/>
          <w:rtl/>
        </w:rPr>
        <w:t xml:space="preserve">(5) </w:t>
      </w:r>
      <w:r w:rsidRPr="00E412A3">
        <w:rPr>
          <w:rFonts w:hint="cs"/>
          <w:rtl/>
        </w:rPr>
        <w:t>פיצוי האזרח שנפגע, המתלונן ב</w:t>
      </w:r>
      <w:hyperlink r:id="rId47" w:history="1">
        <w:r w:rsidR="00AE431E" w:rsidRPr="00AE431E">
          <w:rPr>
            <w:color w:val="0000FF"/>
            <w:u w:val="single"/>
            <w:rtl/>
          </w:rPr>
          <w:t>ת"פ 38863-09-19</w:t>
        </w:r>
      </w:hyperlink>
      <w:r w:rsidRPr="00E412A3">
        <w:rPr>
          <w:rFonts w:hint="cs"/>
          <w:rtl/>
        </w:rPr>
        <w:t xml:space="preserve"> בסך 10,000 ₪.</w:t>
      </w:r>
    </w:p>
    <w:p w14:paraId="7C9505C0" w14:textId="77777777" w:rsidR="000F04C9" w:rsidRPr="00B05847" w:rsidRDefault="000F04C9" w:rsidP="000F04C9">
      <w:pPr>
        <w:spacing w:after="240" w:line="360" w:lineRule="auto"/>
        <w:jc w:val="both"/>
        <w:rPr>
          <w:rtl/>
        </w:rPr>
      </w:pPr>
      <w:r w:rsidRPr="00E412A3">
        <w:rPr>
          <w:rFonts w:hint="cs"/>
          <w:rtl/>
        </w:rPr>
        <w:t>הפיצויים ישולמו ב-10 תשלומים שווים ורצופים מיום 1.</w:t>
      </w:r>
      <w:r>
        <w:rPr>
          <w:rFonts w:hint="cs"/>
          <w:rtl/>
        </w:rPr>
        <w:t>5</w:t>
      </w:r>
      <w:r w:rsidRPr="00E412A3">
        <w:rPr>
          <w:rFonts w:hint="cs"/>
          <w:rtl/>
        </w:rPr>
        <w:t>.21.</w:t>
      </w:r>
      <w:r>
        <w:rPr>
          <w:rFonts w:hint="cs"/>
          <w:rtl/>
        </w:rPr>
        <w:t xml:space="preserve">  </w:t>
      </w:r>
    </w:p>
    <w:p w14:paraId="7C0AA243" w14:textId="77777777" w:rsidR="000F04C9" w:rsidRDefault="000F04C9" w:rsidP="000F04C9">
      <w:pPr>
        <w:spacing w:after="240" w:line="360" w:lineRule="auto"/>
        <w:jc w:val="both"/>
        <w:rPr>
          <w:rtl/>
        </w:rPr>
      </w:pPr>
    </w:p>
    <w:p w14:paraId="3EFFECEF" w14:textId="77777777" w:rsidR="000F04C9" w:rsidRPr="00B05847" w:rsidRDefault="00AE431E" w:rsidP="000F04C9">
      <w:pPr>
        <w:spacing w:after="240" w:line="360" w:lineRule="auto"/>
        <w:jc w:val="both"/>
        <w:rPr>
          <w:rtl/>
        </w:rPr>
      </w:pPr>
      <w:r w:rsidRPr="00AE431E">
        <w:rPr>
          <w:color w:val="FFFFFF"/>
          <w:sz w:val="2"/>
          <w:szCs w:val="2"/>
          <w:rtl/>
        </w:rPr>
        <w:t>5129371</w:t>
      </w:r>
      <w:r w:rsidR="000F04C9">
        <w:rPr>
          <w:rFonts w:hint="cs"/>
          <w:rtl/>
        </w:rPr>
        <w:t>זכות ערעור לבית המשפט העליון תוך 45 יום.</w:t>
      </w:r>
    </w:p>
    <w:p w14:paraId="7B316BC1" w14:textId="77777777" w:rsidR="000F04C9" w:rsidRDefault="00AE431E" w:rsidP="000F04C9">
      <w:pPr>
        <w:rPr>
          <w:rFonts w:cs="FrankRuehl"/>
          <w:sz w:val="28"/>
          <w:szCs w:val="28"/>
          <w:rtl/>
        </w:rPr>
      </w:pPr>
      <w:bookmarkStart w:id="8" w:name="Nitan"/>
      <w:r w:rsidRPr="00AE431E">
        <w:rPr>
          <w:rFonts w:ascii="Arial" w:hAnsi="Arial"/>
          <w:color w:val="FFFFFF"/>
          <w:sz w:val="2"/>
          <w:szCs w:val="2"/>
          <w:rtl/>
        </w:rPr>
        <w:t>54678313</w:t>
      </w:r>
      <w:r>
        <w:rPr>
          <w:rFonts w:ascii="Arial" w:hAnsi="Arial"/>
          <w:rtl/>
        </w:rPr>
        <w:t xml:space="preserve">ניתן היום,  כ"ו אדר תשפ"א, 10 מרץ 2021, בהעדר הצדדים. </w:t>
      </w:r>
      <w:bookmarkEnd w:id="8"/>
    </w:p>
    <w:p w14:paraId="31FFD0A3" w14:textId="77777777" w:rsidR="000F04C9" w:rsidRDefault="000F04C9" w:rsidP="00AE431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DF3CB11" w14:textId="77777777" w:rsidR="000F04C9" w:rsidRDefault="000F04C9" w:rsidP="000F04C9">
      <w:pPr>
        <w:jc w:val="center"/>
        <w:rPr>
          <w:rFonts w:ascii="Arial" w:hAnsi="Arial" w:cs="FrankRuehl"/>
          <w:sz w:val="28"/>
          <w:szCs w:val="28"/>
          <w:rtl/>
        </w:rPr>
      </w:pPr>
    </w:p>
    <w:p w14:paraId="4CC21A73" w14:textId="77777777" w:rsidR="000F04C9" w:rsidRDefault="000F04C9" w:rsidP="000F04C9">
      <w:pPr>
        <w:rPr>
          <w:rFonts w:cs="FrankRuehl"/>
          <w:sz w:val="28"/>
          <w:szCs w:val="28"/>
          <w:rtl/>
        </w:rPr>
      </w:pPr>
    </w:p>
    <w:p w14:paraId="4D7D8E5C" w14:textId="77777777" w:rsidR="000F04C9" w:rsidRPr="00A67C8F" w:rsidRDefault="00A67C8F" w:rsidP="000F04C9">
      <w:pPr>
        <w:pStyle w:val="a3"/>
        <w:jc w:val="center"/>
        <w:rPr>
          <w:color w:val="FFFFFF"/>
          <w:sz w:val="2"/>
          <w:szCs w:val="2"/>
          <w:rtl/>
        </w:rPr>
      </w:pPr>
      <w:r w:rsidRPr="00A67C8F">
        <w:rPr>
          <w:color w:val="FFFFFF"/>
          <w:sz w:val="2"/>
          <w:szCs w:val="2"/>
          <w:rtl/>
        </w:rPr>
        <w:t>5129371</w:t>
      </w:r>
    </w:p>
    <w:p w14:paraId="64CB3E6E" w14:textId="77777777" w:rsidR="00222CAD" w:rsidRPr="00A67C8F" w:rsidRDefault="00A67C8F" w:rsidP="00AE431E">
      <w:pPr>
        <w:keepNext/>
        <w:rPr>
          <w:rFonts w:ascii="David" w:hAnsi="David"/>
          <w:color w:val="FFFFFF"/>
          <w:sz w:val="2"/>
          <w:szCs w:val="2"/>
          <w:rtl/>
        </w:rPr>
      </w:pPr>
      <w:r w:rsidRPr="00A67C8F">
        <w:rPr>
          <w:rFonts w:ascii="David" w:hAnsi="David"/>
          <w:color w:val="FFFFFF"/>
          <w:sz w:val="2"/>
          <w:szCs w:val="2"/>
          <w:rtl/>
        </w:rPr>
        <w:t>54678313</w:t>
      </w:r>
    </w:p>
    <w:p w14:paraId="6426E816" w14:textId="77777777" w:rsidR="00AE431E" w:rsidRPr="00AE431E" w:rsidRDefault="00AE431E" w:rsidP="00AE431E">
      <w:pPr>
        <w:keepNext/>
        <w:rPr>
          <w:rFonts w:ascii="David" w:hAnsi="David"/>
          <w:color w:val="000000"/>
          <w:sz w:val="22"/>
          <w:szCs w:val="22"/>
          <w:rtl/>
        </w:rPr>
      </w:pPr>
      <w:r w:rsidRPr="00AE431E">
        <w:rPr>
          <w:rFonts w:ascii="David" w:hAnsi="David"/>
          <w:color w:val="000000"/>
          <w:sz w:val="22"/>
          <w:szCs w:val="22"/>
          <w:rtl/>
        </w:rPr>
        <w:t>חגית מאק קלמנוביץ 54678313</w:t>
      </w:r>
    </w:p>
    <w:p w14:paraId="43A283EF" w14:textId="77777777" w:rsidR="00AE431E" w:rsidRDefault="00AE431E" w:rsidP="00AE431E">
      <w:r w:rsidRPr="00AE431E">
        <w:rPr>
          <w:color w:val="000000"/>
          <w:rtl/>
        </w:rPr>
        <w:t>נוסח מסמך זה כפוף לשינויי ניסוח ועריכה</w:t>
      </w:r>
    </w:p>
    <w:p w14:paraId="4CAC4FE6" w14:textId="77777777" w:rsidR="00AE431E" w:rsidRDefault="00AE431E" w:rsidP="00AE431E">
      <w:pPr>
        <w:rPr>
          <w:rtl/>
        </w:rPr>
      </w:pPr>
    </w:p>
    <w:p w14:paraId="09820FDD" w14:textId="77777777" w:rsidR="00AE431E" w:rsidRDefault="00AE431E" w:rsidP="00AE431E">
      <w:pPr>
        <w:jc w:val="center"/>
        <w:rPr>
          <w:rFonts w:hint="cs"/>
          <w:color w:val="0000FF"/>
          <w:u w:val="single"/>
        </w:rPr>
      </w:pPr>
      <w:hyperlink r:id="rId48" w:history="1">
        <w:r>
          <w:rPr>
            <w:color w:val="0000FF"/>
            <w:u w:val="single"/>
            <w:rtl/>
          </w:rPr>
          <w:t>בעניין עריכה ושינויים במסמכי פסיקה, חקיקה ועוד באתר נבו – הקש כאן</w:t>
        </w:r>
      </w:hyperlink>
      <w:r w:rsidR="00D54706">
        <w:rPr>
          <w:rFonts w:hint="cs"/>
          <w:color w:val="0000FF"/>
          <w:u w:val="single"/>
          <w:rtl/>
        </w:rPr>
        <w:t xml:space="preserve"> </w:t>
      </w:r>
    </w:p>
    <w:p w14:paraId="5DA73493" w14:textId="77777777" w:rsidR="00A67C8F" w:rsidRPr="00A67C8F" w:rsidRDefault="00A67C8F" w:rsidP="00A67C8F">
      <w:pPr>
        <w:keepNext/>
        <w:rPr>
          <w:rFonts w:ascii="David" w:hAnsi="David"/>
          <w:color w:val="000000"/>
          <w:sz w:val="22"/>
          <w:szCs w:val="22"/>
          <w:rtl/>
        </w:rPr>
      </w:pPr>
    </w:p>
    <w:sectPr w:rsidR="00A67C8F" w:rsidRPr="00A67C8F" w:rsidSect="00A67C8F">
      <w:headerReference w:type="even" r:id="rId49"/>
      <w:headerReference w:type="default" r:id="rId50"/>
      <w:footerReference w:type="even" r:id="rId51"/>
      <w:footerReference w:type="default" r:id="rId5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66C804" w14:textId="77777777" w:rsidR="00033E67" w:rsidRDefault="00033E67" w:rsidP="00D81DB0">
      <w:r>
        <w:separator/>
      </w:r>
    </w:p>
  </w:endnote>
  <w:endnote w:type="continuationSeparator" w:id="0">
    <w:p w14:paraId="3BB4A0F4" w14:textId="77777777" w:rsidR="00033E67" w:rsidRDefault="00033E67" w:rsidP="00D81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471CA" w14:textId="77777777" w:rsidR="00A67C8F" w:rsidRDefault="00A67C8F" w:rsidP="00A67C8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EEE2089" w14:textId="77777777" w:rsidR="00251AB5" w:rsidRPr="00A67C8F" w:rsidRDefault="00A67C8F" w:rsidP="00A67C8F">
    <w:pPr>
      <w:pStyle w:val="a5"/>
      <w:pBdr>
        <w:top w:val="single" w:sz="4" w:space="1" w:color="auto"/>
        <w:between w:val="single" w:sz="4" w:space="0" w:color="auto"/>
      </w:pBdr>
      <w:spacing w:after="60"/>
      <w:jc w:val="center"/>
      <w:rPr>
        <w:rFonts w:ascii="FrankRuehl" w:hAnsi="FrankRuehl" w:cs="FrankRuehl"/>
        <w:color w:val="000000"/>
      </w:rPr>
    </w:pPr>
    <w:r w:rsidRPr="00A67C8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9D3AF" w14:textId="77777777" w:rsidR="00A67C8F" w:rsidRDefault="00A67C8F" w:rsidP="00A67C8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A1D68">
      <w:rPr>
        <w:rFonts w:ascii="FrankRuehl" w:hAnsi="FrankRuehl" w:cs="FrankRuehl"/>
        <w:noProof/>
        <w:rtl/>
      </w:rPr>
      <w:t>1</w:t>
    </w:r>
    <w:r>
      <w:rPr>
        <w:rFonts w:ascii="FrankRuehl" w:hAnsi="FrankRuehl" w:cs="FrankRuehl"/>
        <w:rtl/>
      </w:rPr>
      <w:fldChar w:fldCharType="end"/>
    </w:r>
  </w:p>
  <w:p w14:paraId="6FDAC115" w14:textId="77777777" w:rsidR="00251AB5" w:rsidRPr="00A67C8F" w:rsidRDefault="00A67C8F" w:rsidP="00A67C8F">
    <w:pPr>
      <w:pStyle w:val="a5"/>
      <w:pBdr>
        <w:top w:val="single" w:sz="4" w:space="1" w:color="auto"/>
        <w:between w:val="single" w:sz="4" w:space="0" w:color="auto"/>
      </w:pBdr>
      <w:spacing w:after="60"/>
      <w:jc w:val="center"/>
      <w:rPr>
        <w:rFonts w:ascii="FrankRuehl" w:hAnsi="FrankRuehl" w:cs="FrankRuehl"/>
        <w:color w:val="000000"/>
      </w:rPr>
    </w:pPr>
    <w:r w:rsidRPr="00A67C8F">
      <w:rPr>
        <w:rFonts w:ascii="FrankRuehl" w:hAnsi="FrankRuehl" w:cs="FrankRuehl"/>
        <w:color w:val="000000"/>
      </w:rPr>
      <w:pict w14:anchorId="5ECDDC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012898" w14:textId="77777777" w:rsidR="00033E67" w:rsidRDefault="00033E67" w:rsidP="00D81DB0">
      <w:r>
        <w:separator/>
      </w:r>
    </w:p>
  </w:footnote>
  <w:footnote w:type="continuationSeparator" w:id="0">
    <w:p w14:paraId="0CBB0F25" w14:textId="77777777" w:rsidR="00033E67" w:rsidRDefault="00033E67" w:rsidP="00D81D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28588" w14:textId="77777777" w:rsidR="00AE431E" w:rsidRPr="00A67C8F" w:rsidRDefault="00A67C8F" w:rsidP="00A67C8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52883-07-20</w:t>
    </w:r>
    <w:r>
      <w:rPr>
        <w:rFonts w:ascii="David" w:hAnsi="David"/>
        <w:color w:val="000000"/>
        <w:sz w:val="22"/>
        <w:szCs w:val="22"/>
        <w:rtl/>
      </w:rPr>
      <w:tab/>
      <w:t xml:space="preserve"> מדינת ישראל נ' סעד חגאזי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6D0D9" w14:textId="77777777" w:rsidR="00AE431E" w:rsidRPr="00A67C8F" w:rsidRDefault="00A67C8F" w:rsidP="00A67C8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52883-07-20</w:t>
    </w:r>
    <w:r>
      <w:rPr>
        <w:rFonts w:ascii="David" w:hAnsi="David"/>
        <w:color w:val="000000"/>
        <w:sz w:val="22"/>
        <w:szCs w:val="22"/>
        <w:rtl/>
      </w:rPr>
      <w:tab/>
      <w:t xml:space="preserve"> מדינת ישראל נ' סעד חגאזי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F04C9"/>
    <w:rsid w:val="00033E67"/>
    <w:rsid w:val="000F04C9"/>
    <w:rsid w:val="001B5A3B"/>
    <w:rsid w:val="00222CAD"/>
    <w:rsid w:val="00251AB5"/>
    <w:rsid w:val="00400D66"/>
    <w:rsid w:val="00463F69"/>
    <w:rsid w:val="00550C0D"/>
    <w:rsid w:val="006A1D68"/>
    <w:rsid w:val="008F1B2C"/>
    <w:rsid w:val="00A67C8F"/>
    <w:rsid w:val="00A7029B"/>
    <w:rsid w:val="00AE431E"/>
    <w:rsid w:val="00B876A2"/>
    <w:rsid w:val="00D54706"/>
    <w:rsid w:val="00D81DB0"/>
    <w:rsid w:val="00EF3C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477ADC"/>
  <w15:chartTrackingRefBased/>
  <w15:docId w15:val="{AA0B748D-FA5F-45FD-9774-8C4362011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F04C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F04C9"/>
    <w:pPr>
      <w:tabs>
        <w:tab w:val="center" w:pos="4153"/>
        <w:tab w:val="right" w:pos="8306"/>
      </w:tabs>
    </w:pPr>
  </w:style>
  <w:style w:type="character" w:customStyle="1" w:styleId="a4">
    <w:name w:val="כותרת עליונה תו"/>
    <w:link w:val="a3"/>
    <w:rsid w:val="000F04C9"/>
    <w:rPr>
      <w:rFonts w:ascii="Times New Roman" w:eastAsia="Times New Roman" w:hAnsi="Times New Roman" w:cs="David"/>
      <w:sz w:val="24"/>
      <w:szCs w:val="24"/>
    </w:rPr>
  </w:style>
  <w:style w:type="paragraph" w:styleId="a5">
    <w:name w:val="footer"/>
    <w:basedOn w:val="a"/>
    <w:link w:val="a6"/>
    <w:rsid w:val="000F04C9"/>
    <w:pPr>
      <w:tabs>
        <w:tab w:val="center" w:pos="4153"/>
        <w:tab w:val="right" w:pos="8306"/>
      </w:tabs>
    </w:pPr>
  </w:style>
  <w:style w:type="character" w:customStyle="1" w:styleId="a6">
    <w:name w:val="כותרת תחתונה תו"/>
    <w:link w:val="a5"/>
    <w:rsid w:val="000F04C9"/>
    <w:rPr>
      <w:rFonts w:ascii="Times New Roman" w:eastAsia="Times New Roman" w:hAnsi="Times New Roman" w:cs="David"/>
      <w:sz w:val="24"/>
      <w:szCs w:val="24"/>
    </w:rPr>
  </w:style>
  <w:style w:type="table" w:styleId="a7">
    <w:name w:val="Table Grid"/>
    <w:basedOn w:val="a1"/>
    <w:rsid w:val="000F04C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F04C9"/>
  </w:style>
  <w:style w:type="character" w:styleId="Hyperlink">
    <w:name w:val="Hyperlink"/>
    <w:rsid w:val="00AE43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13b" TargetMode="External"/><Relationship Id="rId18" Type="http://schemas.openxmlformats.org/officeDocument/2006/relationships/hyperlink" Target="http://www.nevo.co.il/law/4216/7.a." TargetMode="External"/><Relationship Id="rId26" Type="http://schemas.openxmlformats.org/officeDocument/2006/relationships/hyperlink" Target="http://www.nevo.co.il/law/70301/380" TargetMode="External"/><Relationship Id="rId39" Type="http://schemas.openxmlformats.org/officeDocument/2006/relationships/hyperlink" Target="http://www.nevo.co.il/law/70301" TargetMode="External"/><Relationship Id="rId21" Type="http://schemas.openxmlformats.org/officeDocument/2006/relationships/hyperlink" Target="http://www.nevo.co.il/law/90721/12a.c" TargetMode="External"/><Relationship Id="rId34" Type="http://schemas.openxmlformats.org/officeDocument/2006/relationships/hyperlink" Target="http://www.nevo.co.il/law/70301/275" TargetMode="External"/><Relationship Id="rId42" Type="http://schemas.openxmlformats.org/officeDocument/2006/relationships/hyperlink" Target="http://www.nevo.co.il/case/7015576" TargetMode="External"/><Relationship Id="rId47" Type="http://schemas.openxmlformats.org/officeDocument/2006/relationships/hyperlink" Target="http://www.nevo.co.il/case/26043158" TargetMode="External"/><Relationship Id="rId50" Type="http://schemas.openxmlformats.org/officeDocument/2006/relationships/header" Target="header2.xml"/><Relationship Id="rId7" Type="http://schemas.openxmlformats.org/officeDocument/2006/relationships/hyperlink" Target="http://www.nevo.co.il/law/70301/275" TargetMode="External"/><Relationship Id="rId2" Type="http://schemas.openxmlformats.org/officeDocument/2006/relationships/settings" Target="settings.xml"/><Relationship Id="rId16" Type="http://schemas.openxmlformats.org/officeDocument/2006/relationships/hyperlink" Target="http://www.nevo.co.il/law/70301/413e" TargetMode="External"/><Relationship Id="rId29" Type="http://schemas.openxmlformats.org/officeDocument/2006/relationships/hyperlink" Target="http://www.nevo.co.il/case/26043137" TargetMode="External"/><Relationship Id="rId11" Type="http://schemas.openxmlformats.org/officeDocument/2006/relationships/hyperlink" Target="http://www.nevo.co.il/law/70301/380" TargetMode="External"/><Relationship Id="rId24" Type="http://schemas.openxmlformats.org/officeDocument/2006/relationships/hyperlink" Target="http://www.nevo.co.il/law/70301/332.2" TargetMode="External"/><Relationship Id="rId32" Type="http://schemas.openxmlformats.org/officeDocument/2006/relationships/hyperlink" Target="http://www.nevo.co.il/law/70301/338.a.1" TargetMode="External"/><Relationship Id="rId37" Type="http://schemas.openxmlformats.org/officeDocument/2006/relationships/hyperlink" Target="http://www.nevo.co.il/case/26863530" TargetMode="External"/><Relationship Id="rId40" Type="http://schemas.openxmlformats.org/officeDocument/2006/relationships/hyperlink" Target="http://www.nevo.co.il/law/90721/12a.c" TargetMode="External"/><Relationship Id="rId45" Type="http://schemas.openxmlformats.org/officeDocument/2006/relationships/hyperlink" Target="http://www.nevo.co.il/case/26043137" TargetMode="External"/><Relationship Id="rId53"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nevo.co.il/law/70301/338.a.1" TargetMode="External"/><Relationship Id="rId19" Type="http://schemas.openxmlformats.org/officeDocument/2006/relationships/hyperlink" Target="http://www.nevo.co.il/law/4216/7.c"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26043137" TargetMode="External"/><Relationship Id="rId52"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332.2" TargetMode="External"/><Relationship Id="rId14" Type="http://schemas.openxmlformats.org/officeDocument/2006/relationships/hyperlink" Target="http://www.nevo.co.il/law/70301/413b.a." TargetMode="External"/><Relationship Id="rId22" Type="http://schemas.openxmlformats.org/officeDocument/2006/relationships/hyperlink" Target="http://www.nevo.co.il/law/70301/413b.a.;413b.b" TargetMode="External"/><Relationship Id="rId27" Type="http://schemas.openxmlformats.org/officeDocument/2006/relationships/hyperlink" Target="http://www.nevo.co.il/law/4216/7.a.;7.c" TargetMode="External"/><Relationship Id="rId30" Type="http://schemas.openxmlformats.org/officeDocument/2006/relationships/hyperlink" Target="http://www.nevo.co.il/law/70301/413b" TargetMode="External"/><Relationship Id="rId35" Type="http://schemas.openxmlformats.org/officeDocument/2006/relationships/hyperlink" Target="http://www.nevo.co.il/law/70301/413e" TargetMode="External"/><Relationship Id="rId43" Type="http://schemas.openxmlformats.org/officeDocument/2006/relationships/hyperlink" Target="http://www.nevo.co.il/case/26863530"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70301/287.a" TargetMode="External"/><Relationship Id="rId51"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nevo.co.il/law/70301/384"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413e" TargetMode="External"/><Relationship Id="rId33" Type="http://schemas.openxmlformats.org/officeDocument/2006/relationships/hyperlink" Target="http://www.nevo.co.il/law/70301/384" TargetMode="External"/><Relationship Id="rId38" Type="http://schemas.openxmlformats.org/officeDocument/2006/relationships/hyperlink" Target="http://www.nevo.co.il/law/70301/275" TargetMode="External"/><Relationship Id="rId46" Type="http://schemas.openxmlformats.org/officeDocument/2006/relationships/hyperlink" Target="http://www.nevo.co.il/case/7015576" TargetMode="External"/><Relationship Id="rId20" Type="http://schemas.openxmlformats.org/officeDocument/2006/relationships/hyperlink" Target="http://www.nevo.co.il/law/90721" TargetMode="External"/><Relationship Id="rId41" Type="http://schemas.openxmlformats.org/officeDocument/2006/relationships/hyperlink" Target="http://www.nevo.co.il/law/90721"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413b.b" TargetMode="External"/><Relationship Id="rId23" Type="http://schemas.openxmlformats.org/officeDocument/2006/relationships/hyperlink" Target="http://www.nevo.co.il/law/70301" TargetMode="External"/><Relationship Id="rId28" Type="http://schemas.openxmlformats.org/officeDocument/2006/relationships/hyperlink" Target="http://www.nevo.co.il/law/4216" TargetMode="External"/><Relationship Id="rId36" Type="http://schemas.openxmlformats.org/officeDocument/2006/relationships/hyperlink" Target="http://www.nevo.co.il/law/70301/287.a"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2046</Words>
  <Characters>10234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12256</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3407991</vt:i4>
      </vt:variant>
      <vt:variant>
        <vt:i4>123</vt:i4>
      </vt:variant>
      <vt:variant>
        <vt:i4>0</vt:i4>
      </vt:variant>
      <vt:variant>
        <vt:i4>5</vt:i4>
      </vt:variant>
      <vt:variant>
        <vt:lpwstr>http://www.nevo.co.il/case/26043158</vt:lpwstr>
      </vt:variant>
      <vt:variant>
        <vt:lpwstr/>
      </vt:variant>
      <vt:variant>
        <vt:i4>3473526</vt:i4>
      </vt:variant>
      <vt:variant>
        <vt:i4>120</vt:i4>
      </vt:variant>
      <vt:variant>
        <vt:i4>0</vt:i4>
      </vt:variant>
      <vt:variant>
        <vt:i4>5</vt:i4>
      </vt:variant>
      <vt:variant>
        <vt:lpwstr>http://www.nevo.co.il/case/7015576</vt:lpwstr>
      </vt:variant>
      <vt:variant>
        <vt:lpwstr/>
      </vt:variant>
      <vt:variant>
        <vt:i4>3276919</vt:i4>
      </vt:variant>
      <vt:variant>
        <vt:i4>117</vt:i4>
      </vt:variant>
      <vt:variant>
        <vt:i4>0</vt:i4>
      </vt:variant>
      <vt:variant>
        <vt:i4>5</vt:i4>
      </vt:variant>
      <vt:variant>
        <vt:lpwstr>http://www.nevo.co.il/case/26043137</vt:lpwstr>
      </vt:variant>
      <vt:variant>
        <vt:lpwstr/>
      </vt:variant>
      <vt:variant>
        <vt:i4>3276919</vt:i4>
      </vt:variant>
      <vt:variant>
        <vt:i4>114</vt:i4>
      </vt:variant>
      <vt:variant>
        <vt:i4>0</vt:i4>
      </vt:variant>
      <vt:variant>
        <vt:i4>5</vt:i4>
      </vt:variant>
      <vt:variant>
        <vt:lpwstr>http://www.nevo.co.il/case/26043137</vt:lpwstr>
      </vt:variant>
      <vt:variant>
        <vt:lpwstr/>
      </vt:variant>
      <vt:variant>
        <vt:i4>3801201</vt:i4>
      </vt:variant>
      <vt:variant>
        <vt:i4>111</vt:i4>
      </vt:variant>
      <vt:variant>
        <vt:i4>0</vt:i4>
      </vt:variant>
      <vt:variant>
        <vt:i4>5</vt:i4>
      </vt:variant>
      <vt:variant>
        <vt:lpwstr>http://www.nevo.co.il/case/26863530</vt:lpwstr>
      </vt:variant>
      <vt:variant>
        <vt:lpwstr/>
      </vt:variant>
      <vt:variant>
        <vt:i4>3473526</vt:i4>
      </vt:variant>
      <vt:variant>
        <vt:i4>108</vt:i4>
      </vt:variant>
      <vt:variant>
        <vt:i4>0</vt:i4>
      </vt:variant>
      <vt:variant>
        <vt:i4>5</vt:i4>
      </vt:variant>
      <vt:variant>
        <vt:lpwstr>http://www.nevo.co.il/case/7015576</vt:lpwstr>
      </vt:variant>
      <vt:variant>
        <vt:lpwstr/>
      </vt:variant>
      <vt:variant>
        <vt:i4>7864430</vt:i4>
      </vt:variant>
      <vt:variant>
        <vt:i4>105</vt:i4>
      </vt:variant>
      <vt:variant>
        <vt:i4>0</vt:i4>
      </vt:variant>
      <vt:variant>
        <vt:i4>5</vt:i4>
      </vt:variant>
      <vt:variant>
        <vt:lpwstr>http://www.nevo.co.il/law/90721</vt:lpwstr>
      </vt:variant>
      <vt:variant>
        <vt:lpwstr/>
      </vt:variant>
      <vt:variant>
        <vt:i4>4915215</vt:i4>
      </vt:variant>
      <vt:variant>
        <vt:i4>102</vt:i4>
      </vt:variant>
      <vt:variant>
        <vt:i4>0</vt:i4>
      </vt:variant>
      <vt:variant>
        <vt:i4>5</vt:i4>
      </vt:variant>
      <vt:variant>
        <vt:lpwstr>http://www.nevo.co.il/law/90721/12a.c</vt:lpwstr>
      </vt:variant>
      <vt:variant>
        <vt:lpwstr/>
      </vt:variant>
      <vt:variant>
        <vt:i4>7995492</vt:i4>
      </vt:variant>
      <vt:variant>
        <vt:i4>99</vt:i4>
      </vt:variant>
      <vt:variant>
        <vt:i4>0</vt:i4>
      </vt:variant>
      <vt:variant>
        <vt:i4>5</vt:i4>
      </vt:variant>
      <vt:variant>
        <vt:lpwstr>http://www.nevo.co.il/law/70301</vt:lpwstr>
      </vt:variant>
      <vt:variant>
        <vt:lpwstr/>
      </vt:variant>
      <vt:variant>
        <vt:i4>6422631</vt:i4>
      </vt:variant>
      <vt:variant>
        <vt:i4>96</vt:i4>
      </vt:variant>
      <vt:variant>
        <vt:i4>0</vt:i4>
      </vt:variant>
      <vt:variant>
        <vt:i4>5</vt:i4>
      </vt:variant>
      <vt:variant>
        <vt:lpwstr>http://www.nevo.co.il/law/70301/275</vt:lpwstr>
      </vt:variant>
      <vt:variant>
        <vt:lpwstr/>
      </vt:variant>
      <vt:variant>
        <vt:i4>3801201</vt:i4>
      </vt:variant>
      <vt:variant>
        <vt:i4>93</vt:i4>
      </vt:variant>
      <vt:variant>
        <vt:i4>0</vt:i4>
      </vt:variant>
      <vt:variant>
        <vt:i4>5</vt:i4>
      </vt:variant>
      <vt:variant>
        <vt:lpwstr>http://www.nevo.co.il/case/26863530</vt:lpwstr>
      </vt:variant>
      <vt:variant>
        <vt:lpwstr/>
      </vt:variant>
      <vt:variant>
        <vt:i4>4390992</vt:i4>
      </vt:variant>
      <vt:variant>
        <vt:i4>90</vt:i4>
      </vt:variant>
      <vt:variant>
        <vt:i4>0</vt:i4>
      </vt:variant>
      <vt:variant>
        <vt:i4>5</vt:i4>
      </vt:variant>
      <vt:variant>
        <vt:lpwstr>http://www.nevo.co.il/law/70301/287.a</vt:lpwstr>
      </vt:variant>
      <vt:variant>
        <vt:lpwstr/>
      </vt:variant>
      <vt:variant>
        <vt:i4>65618</vt:i4>
      </vt:variant>
      <vt:variant>
        <vt:i4>87</vt:i4>
      </vt:variant>
      <vt:variant>
        <vt:i4>0</vt:i4>
      </vt:variant>
      <vt:variant>
        <vt:i4>5</vt:i4>
      </vt:variant>
      <vt:variant>
        <vt:lpwstr>http://www.nevo.co.il/law/70301/413e</vt:lpwstr>
      </vt:variant>
      <vt:variant>
        <vt:lpwstr/>
      </vt:variant>
      <vt:variant>
        <vt:i4>6422631</vt:i4>
      </vt:variant>
      <vt:variant>
        <vt:i4>84</vt:i4>
      </vt:variant>
      <vt:variant>
        <vt:i4>0</vt:i4>
      </vt:variant>
      <vt:variant>
        <vt:i4>5</vt:i4>
      </vt:variant>
      <vt:variant>
        <vt:lpwstr>http://www.nevo.co.il/law/70301/275</vt:lpwstr>
      </vt:variant>
      <vt:variant>
        <vt:lpwstr/>
      </vt:variant>
      <vt:variant>
        <vt:i4>7143526</vt:i4>
      </vt:variant>
      <vt:variant>
        <vt:i4>81</vt:i4>
      </vt:variant>
      <vt:variant>
        <vt:i4>0</vt:i4>
      </vt:variant>
      <vt:variant>
        <vt:i4>5</vt:i4>
      </vt:variant>
      <vt:variant>
        <vt:lpwstr>http://www.nevo.co.il/law/70301/384</vt:lpwstr>
      </vt:variant>
      <vt:variant>
        <vt:lpwstr/>
      </vt:variant>
      <vt:variant>
        <vt:i4>6684735</vt:i4>
      </vt:variant>
      <vt:variant>
        <vt:i4>78</vt:i4>
      </vt:variant>
      <vt:variant>
        <vt:i4>0</vt:i4>
      </vt:variant>
      <vt:variant>
        <vt:i4>5</vt:i4>
      </vt:variant>
      <vt:variant>
        <vt:lpwstr>http://www.nevo.co.il/law/70301/338.a.1</vt:lpwstr>
      </vt:variant>
      <vt:variant>
        <vt:lpwstr/>
      </vt:variant>
      <vt:variant>
        <vt:i4>7995492</vt:i4>
      </vt:variant>
      <vt:variant>
        <vt:i4>75</vt:i4>
      </vt:variant>
      <vt:variant>
        <vt:i4>0</vt:i4>
      </vt:variant>
      <vt:variant>
        <vt:i4>5</vt:i4>
      </vt:variant>
      <vt:variant>
        <vt:lpwstr>http://www.nevo.co.il/law/70301</vt:lpwstr>
      </vt:variant>
      <vt:variant>
        <vt:lpwstr/>
      </vt:variant>
      <vt:variant>
        <vt:i4>393298</vt:i4>
      </vt:variant>
      <vt:variant>
        <vt:i4>72</vt:i4>
      </vt:variant>
      <vt:variant>
        <vt:i4>0</vt:i4>
      </vt:variant>
      <vt:variant>
        <vt:i4>5</vt:i4>
      </vt:variant>
      <vt:variant>
        <vt:lpwstr>http://www.nevo.co.il/law/70301/413b</vt:lpwstr>
      </vt:variant>
      <vt:variant>
        <vt:lpwstr/>
      </vt:variant>
      <vt:variant>
        <vt:i4>3276919</vt:i4>
      </vt:variant>
      <vt:variant>
        <vt:i4>69</vt:i4>
      </vt:variant>
      <vt:variant>
        <vt:i4>0</vt:i4>
      </vt:variant>
      <vt:variant>
        <vt:i4>5</vt:i4>
      </vt:variant>
      <vt:variant>
        <vt:lpwstr>http://www.nevo.co.il/case/26043137</vt:lpwstr>
      </vt:variant>
      <vt:variant>
        <vt:lpwstr/>
      </vt:variant>
      <vt:variant>
        <vt:i4>8257637</vt:i4>
      </vt:variant>
      <vt:variant>
        <vt:i4>66</vt:i4>
      </vt:variant>
      <vt:variant>
        <vt:i4>0</vt:i4>
      </vt:variant>
      <vt:variant>
        <vt:i4>5</vt:i4>
      </vt:variant>
      <vt:variant>
        <vt:lpwstr>http://www.nevo.co.il/law/4216</vt:lpwstr>
      </vt:variant>
      <vt:variant>
        <vt:lpwstr/>
      </vt:variant>
      <vt:variant>
        <vt:i4>3997821</vt:i4>
      </vt:variant>
      <vt:variant>
        <vt:i4>63</vt:i4>
      </vt:variant>
      <vt:variant>
        <vt:i4>0</vt:i4>
      </vt:variant>
      <vt:variant>
        <vt:i4>5</vt:i4>
      </vt:variant>
      <vt:variant>
        <vt:lpwstr>http://www.nevo.co.il/law/4216/7.a.;7.c</vt:lpwstr>
      </vt:variant>
      <vt:variant>
        <vt:lpwstr/>
      </vt:variant>
      <vt:variant>
        <vt:i4>7143526</vt:i4>
      </vt:variant>
      <vt:variant>
        <vt:i4>60</vt:i4>
      </vt:variant>
      <vt:variant>
        <vt:i4>0</vt:i4>
      </vt:variant>
      <vt:variant>
        <vt:i4>5</vt:i4>
      </vt:variant>
      <vt:variant>
        <vt:lpwstr>http://www.nevo.co.il/law/70301/380</vt:lpwstr>
      </vt:variant>
      <vt:variant>
        <vt:lpwstr/>
      </vt:variant>
      <vt:variant>
        <vt:i4>65618</vt:i4>
      </vt:variant>
      <vt:variant>
        <vt:i4>57</vt:i4>
      </vt:variant>
      <vt:variant>
        <vt:i4>0</vt:i4>
      </vt:variant>
      <vt:variant>
        <vt:i4>5</vt:i4>
      </vt:variant>
      <vt:variant>
        <vt:lpwstr>http://www.nevo.co.il/law/70301/413e</vt:lpwstr>
      </vt:variant>
      <vt:variant>
        <vt:lpwstr/>
      </vt:variant>
      <vt:variant>
        <vt:i4>4718676</vt:i4>
      </vt:variant>
      <vt:variant>
        <vt:i4>54</vt:i4>
      </vt:variant>
      <vt:variant>
        <vt:i4>0</vt:i4>
      </vt:variant>
      <vt:variant>
        <vt:i4>5</vt:i4>
      </vt:variant>
      <vt:variant>
        <vt:lpwstr>http://www.nevo.co.il/law/70301/332.2</vt:lpwstr>
      </vt:variant>
      <vt:variant>
        <vt:lpwstr/>
      </vt:variant>
      <vt:variant>
        <vt:i4>7995492</vt:i4>
      </vt:variant>
      <vt:variant>
        <vt:i4>51</vt:i4>
      </vt:variant>
      <vt:variant>
        <vt:i4>0</vt:i4>
      </vt:variant>
      <vt:variant>
        <vt:i4>5</vt:i4>
      </vt:variant>
      <vt:variant>
        <vt:lpwstr>http://www.nevo.co.il/law/70301</vt:lpwstr>
      </vt:variant>
      <vt:variant>
        <vt:lpwstr/>
      </vt:variant>
      <vt:variant>
        <vt:i4>7143547</vt:i4>
      </vt:variant>
      <vt:variant>
        <vt:i4>48</vt:i4>
      </vt:variant>
      <vt:variant>
        <vt:i4>0</vt:i4>
      </vt:variant>
      <vt:variant>
        <vt:i4>5</vt:i4>
      </vt:variant>
      <vt:variant>
        <vt:lpwstr>http://www.nevo.co.il/law/70301/413b.a.;413b.b</vt:lpwstr>
      </vt:variant>
      <vt:variant>
        <vt:lpwstr/>
      </vt:variant>
      <vt:variant>
        <vt:i4>4915215</vt:i4>
      </vt:variant>
      <vt:variant>
        <vt:i4>45</vt:i4>
      </vt:variant>
      <vt:variant>
        <vt:i4>0</vt:i4>
      </vt:variant>
      <vt:variant>
        <vt:i4>5</vt:i4>
      </vt:variant>
      <vt:variant>
        <vt:lpwstr>http://www.nevo.co.il/law/90721/12a.c</vt:lpwstr>
      </vt:variant>
      <vt:variant>
        <vt:lpwstr/>
      </vt:variant>
      <vt:variant>
        <vt:i4>7864430</vt:i4>
      </vt:variant>
      <vt:variant>
        <vt:i4>42</vt:i4>
      </vt:variant>
      <vt:variant>
        <vt:i4>0</vt:i4>
      </vt:variant>
      <vt:variant>
        <vt:i4>5</vt:i4>
      </vt:variant>
      <vt:variant>
        <vt:lpwstr>http://www.nevo.co.il/law/90721</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8257637</vt:i4>
      </vt:variant>
      <vt:variant>
        <vt:i4>33</vt:i4>
      </vt:variant>
      <vt:variant>
        <vt:i4>0</vt:i4>
      </vt:variant>
      <vt:variant>
        <vt:i4>5</vt:i4>
      </vt:variant>
      <vt:variant>
        <vt:lpwstr>http://www.nevo.co.il/law/4216</vt:lpwstr>
      </vt:variant>
      <vt:variant>
        <vt:lpwstr/>
      </vt:variant>
      <vt:variant>
        <vt:i4>65618</vt:i4>
      </vt:variant>
      <vt:variant>
        <vt:i4>30</vt:i4>
      </vt:variant>
      <vt:variant>
        <vt:i4>0</vt:i4>
      </vt:variant>
      <vt:variant>
        <vt:i4>5</vt:i4>
      </vt:variant>
      <vt:variant>
        <vt:lpwstr>http://www.nevo.co.il/law/70301/413e</vt:lpwstr>
      </vt:variant>
      <vt:variant>
        <vt:lpwstr/>
      </vt:variant>
      <vt:variant>
        <vt:i4>6553724</vt:i4>
      </vt:variant>
      <vt:variant>
        <vt:i4>27</vt:i4>
      </vt:variant>
      <vt:variant>
        <vt:i4>0</vt:i4>
      </vt:variant>
      <vt:variant>
        <vt:i4>5</vt:i4>
      </vt:variant>
      <vt:variant>
        <vt:lpwstr>http://www.nevo.co.il/law/70301/413b.b</vt:lpwstr>
      </vt:variant>
      <vt:variant>
        <vt:lpwstr/>
      </vt:variant>
      <vt:variant>
        <vt:i4>6750332</vt:i4>
      </vt:variant>
      <vt:variant>
        <vt:i4>24</vt:i4>
      </vt:variant>
      <vt:variant>
        <vt:i4>0</vt:i4>
      </vt:variant>
      <vt:variant>
        <vt:i4>5</vt:i4>
      </vt:variant>
      <vt:variant>
        <vt:lpwstr>http://www.nevo.co.il/law/70301/413b.a.</vt:lpwstr>
      </vt:variant>
      <vt:variant>
        <vt:lpwstr/>
      </vt:variant>
      <vt:variant>
        <vt:i4>393298</vt:i4>
      </vt:variant>
      <vt:variant>
        <vt:i4>21</vt:i4>
      </vt:variant>
      <vt:variant>
        <vt:i4>0</vt:i4>
      </vt:variant>
      <vt:variant>
        <vt:i4>5</vt:i4>
      </vt:variant>
      <vt:variant>
        <vt:lpwstr>http://www.nevo.co.il/law/70301/413b</vt:lpwstr>
      </vt:variant>
      <vt:variant>
        <vt:lpwstr/>
      </vt:variant>
      <vt:variant>
        <vt:i4>7143526</vt:i4>
      </vt:variant>
      <vt:variant>
        <vt:i4>18</vt:i4>
      </vt:variant>
      <vt:variant>
        <vt:i4>0</vt:i4>
      </vt:variant>
      <vt:variant>
        <vt:i4>5</vt:i4>
      </vt:variant>
      <vt:variant>
        <vt:lpwstr>http://www.nevo.co.il/law/70301/384</vt:lpwstr>
      </vt:variant>
      <vt:variant>
        <vt:lpwstr/>
      </vt:variant>
      <vt:variant>
        <vt:i4>7143526</vt:i4>
      </vt:variant>
      <vt:variant>
        <vt:i4>15</vt:i4>
      </vt:variant>
      <vt:variant>
        <vt:i4>0</vt:i4>
      </vt:variant>
      <vt:variant>
        <vt:i4>5</vt:i4>
      </vt:variant>
      <vt:variant>
        <vt:lpwstr>http://www.nevo.co.il/law/70301/380</vt:lpwstr>
      </vt:variant>
      <vt:variant>
        <vt:lpwstr/>
      </vt:variant>
      <vt:variant>
        <vt:i4>6684735</vt:i4>
      </vt:variant>
      <vt:variant>
        <vt:i4>12</vt:i4>
      </vt:variant>
      <vt:variant>
        <vt:i4>0</vt:i4>
      </vt:variant>
      <vt:variant>
        <vt:i4>5</vt:i4>
      </vt:variant>
      <vt:variant>
        <vt:lpwstr>http://www.nevo.co.il/law/70301/338.a.1</vt:lpwstr>
      </vt:variant>
      <vt:variant>
        <vt:lpwstr/>
      </vt:variant>
      <vt:variant>
        <vt:i4>4718676</vt:i4>
      </vt:variant>
      <vt:variant>
        <vt:i4>9</vt:i4>
      </vt:variant>
      <vt:variant>
        <vt:i4>0</vt:i4>
      </vt:variant>
      <vt:variant>
        <vt:i4>5</vt:i4>
      </vt:variant>
      <vt:variant>
        <vt:lpwstr>http://www.nevo.co.il/law/70301/332.2</vt:lpwstr>
      </vt:variant>
      <vt:variant>
        <vt:lpwstr/>
      </vt:variant>
      <vt:variant>
        <vt:i4>4390992</vt:i4>
      </vt:variant>
      <vt:variant>
        <vt:i4>6</vt:i4>
      </vt:variant>
      <vt:variant>
        <vt:i4>0</vt:i4>
      </vt:variant>
      <vt:variant>
        <vt:i4>5</vt:i4>
      </vt:variant>
      <vt:variant>
        <vt:lpwstr>http://www.nevo.co.il/law/70301/287.a</vt:lpwstr>
      </vt:variant>
      <vt:variant>
        <vt:lpwstr/>
      </vt:variant>
      <vt:variant>
        <vt:i4>6422631</vt:i4>
      </vt:variant>
      <vt:variant>
        <vt:i4>3</vt:i4>
      </vt:variant>
      <vt:variant>
        <vt:i4>0</vt:i4>
      </vt:variant>
      <vt:variant>
        <vt:i4>5</vt:i4>
      </vt:variant>
      <vt:variant>
        <vt:lpwstr>http://www.nevo.co.il/law/70301/275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2025-04-22T21:07:00Z</dcterms:created>
  <dcterms:modified xsi:type="dcterms:W3CDTF">2025-04-22T21:07:00Z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52883</vt:lpwstr>
  </property>
  <property fmtid="{D5CDD505-2E9C-101B-9397-08002B2CF9AE}" pid="6" name="NEWPARTB">
    <vt:lpwstr>07</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סעד חגאזי</vt:lpwstr>
  </property>
  <property fmtid="{D5CDD505-2E9C-101B-9397-08002B2CF9AE}" pid="10" name="LAWYER">
    <vt:lpwstr>מוחמד חלאילה;אילן אקוקה</vt:lpwstr>
  </property>
  <property fmtid="{D5CDD505-2E9C-101B-9397-08002B2CF9AE}" pid="11" name="JUDGE">
    <vt:lpwstr>חגית מאק קלמנוביץ</vt:lpwstr>
  </property>
  <property fmtid="{D5CDD505-2E9C-101B-9397-08002B2CF9AE}" pid="12" name="CITY">
    <vt:lpwstr>י-ם</vt:lpwstr>
  </property>
  <property fmtid="{D5CDD505-2E9C-101B-9397-08002B2CF9AE}" pid="13" name="DATE">
    <vt:lpwstr>20210310</vt:lpwstr>
  </property>
  <property fmtid="{D5CDD505-2E9C-101B-9397-08002B2CF9AE}" pid="14" name="TYPE_N_DATE">
    <vt:lpwstr>39020210310</vt:lpwstr>
  </property>
  <property fmtid="{D5CDD505-2E9C-101B-9397-08002B2CF9AE}" pid="15" name="WORDNUMPAGES">
    <vt:lpwstr>6</vt:lpwstr>
  </property>
  <property fmtid="{D5CDD505-2E9C-101B-9397-08002B2CF9AE}" pid="16" name="TYPE_ABS_DATE">
    <vt:lpwstr>390020210310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26043137:3;26863530:2;7015576:2;26043158</vt:lpwstr>
  </property>
  <property fmtid="{D5CDD505-2E9C-101B-9397-08002B2CF9AE}" pid="36" name="LAWLISTTMP1">
    <vt:lpwstr>70301/413b.a;413b.b;332.2;413e:2;380;413b;338.a.1;384;275:2;287.a</vt:lpwstr>
  </property>
  <property fmtid="{D5CDD505-2E9C-101B-9397-08002B2CF9AE}" pid="37" name="LAWLISTTMP2">
    <vt:lpwstr>4216/007.a;007.c</vt:lpwstr>
  </property>
  <property fmtid="{D5CDD505-2E9C-101B-9397-08002B2CF9AE}" pid="38" name="LAWLISTTMP3">
    <vt:lpwstr>90721/012a.c</vt:lpwstr>
  </property>
</Properties>
</file>