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505" w:type="dxa"/>
        <w:jc w:val="center"/>
        <w:tblLook w:val="0000" w:firstRow="0" w:lastRow="0" w:firstColumn="0" w:lastColumn="0" w:noHBand="0" w:noVBand="0"/>
      </w:tblPr>
      <w:tblGrid>
        <w:gridCol w:w="2547"/>
        <w:gridCol w:w="5958"/>
      </w:tblGrid>
      <w:tr w:rsidR="00E42E43" w:rsidRPr="009E3AFD" w14:paraId="123BFA6F" w14:textId="77777777" w:rsidTr="00014BC7">
        <w:trPr>
          <w:trHeight w:hRule="exact" w:val="1418"/>
          <w:jc w:val="center"/>
        </w:trPr>
        <w:tc>
          <w:tcPr>
            <w:tcW w:w="8505" w:type="dxa"/>
            <w:gridSpan w:val="2"/>
          </w:tcPr>
          <w:p w14:paraId="2E416334" w14:textId="77777777" w:rsidR="00E42E43" w:rsidRPr="009E3AFD" w:rsidRDefault="00E42E43" w:rsidP="00B617A3">
            <w:pPr>
              <w:pStyle w:val="a3"/>
              <w:jc w:val="center"/>
              <w:rPr>
                <w:rFonts w:ascii="Tahoma" w:hAnsi="Tahoma" w:cs="Tahoma"/>
                <w:b/>
                <w:bCs/>
                <w:color w:val="000080"/>
                <w:rtl/>
              </w:rPr>
            </w:pPr>
            <w:r w:rsidRPr="009E3AFD">
              <w:rPr>
                <w:rFonts w:ascii="Tahoma" w:hAnsi="Tahoma" w:cs="Tahoma"/>
                <w:b/>
                <w:bCs/>
                <w:color w:val="000080"/>
                <w:rtl/>
              </w:rPr>
              <w:t>בית המשפט המחוזי בירושלים</w:t>
            </w:r>
          </w:p>
          <w:p w14:paraId="1D8799B6" w14:textId="77777777" w:rsidR="00E42E43" w:rsidRPr="009E3AFD" w:rsidRDefault="00E42E43" w:rsidP="00B617A3">
            <w:pPr>
              <w:pStyle w:val="a3"/>
              <w:jc w:val="right"/>
              <w:rPr>
                <w:rFonts w:ascii="Tahoma" w:hAnsi="Tahoma" w:cs="Tahoma"/>
                <w:b/>
                <w:bCs/>
                <w:color w:val="000080"/>
                <w:rtl/>
              </w:rPr>
            </w:pPr>
            <w:r w:rsidRPr="009E3AFD">
              <w:rPr>
                <w:rFonts w:ascii="Tahoma" w:hAnsi="Tahoma" w:cs="Tahoma"/>
                <w:b/>
                <w:bCs/>
                <w:color w:val="000080"/>
                <w:rtl/>
              </w:rPr>
              <w:t>תפ"ח</w:t>
            </w:r>
            <w:r w:rsidRPr="009E3AFD">
              <w:rPr>
                <w:rFonts w:ascii="Tahoma" w:hAnsi="Tahoma" w:cs="Tahoma" w:hint="cs"/>
                <w:b/>
                <w:bCs/>
                <w:color w:val="000080"/>
                <w:rtl/>
              </w:rPr>
              <w:t xml:space="preserve"> </w:t>
            </w:r>
            <w:r w:rsidRPr="009E3AFD">
              <w:rPr>
                <w:rFonts w:ascii="Tahoma" w:hAnsi="Tahoma" w:cs="Tahoma"/>
                <w:b/>
                <w:bCs/>
                <w:color w:val="000080"/>
                <w:rtl/>
              </w:rPr>
              <w:t>55855-08-20</w:t>
            </w:r>
          </w:p>
          <w:p w14:paraId="76208A18" w14:textId="77777777" w:rsidR="00E42E43" w:rsidRPr="009E3AFD" w:rsidRDefault="00E42E43" w:rsidP="00B617A3">
            <w:pPr>
              <w:rPr>
                <w:b/>
                <w:bCs/>
                <w:sz w:val="26"/>
                <w:szCs w:val="26"/>
              </w:rPr>
            </w:pPr>
            <w:r w:rsidRPr="009E3AFD">
              <w:rPr>
                <w:b/>
                <w:bCs/>
                <w:sz w:val="26"/>
                <w:szCs w:val="26"/>
                <w:rtl/>
              </w:rPr>
              <w:t>לפני כב' השופט רפי כרמל, סגן נשיא, אב"ד</w:t>
            </w:r>
          </w:p>
          <w:p w14:paraId="595EB6A6" w14:textId="77777777" w:rsidR="00E42E43" w:rsidRPr="009E3AFD" w:rsidRDefault="00E42E43" w:rsidP="00B617A3">
            <w:pPr>
              <w:rPr>
                <w:b/>
                <w:bCs/>
                <w:sz w:val="26"/>
                <w:szCs w:val="26"/>
              </w:rPr>
            </w:pPr>
            <w:r w:rsidRPr="009E3AFD">
              <w:rPr>
                <w:b/>
                <w:bCs/>
                <w:sz w:val="26"/>
                <w:szCs w:val="26"/>
                <w:rtl/>
              </w:rPr>
              <w:t xml:space="preserve">        כב' השופט אריה רומנוב </w:t>
            </w:r>
          </w:p>
          <w:p w14:paraId="2191E8EE" w14:textId="77777777" w:rsidR="00E42E43" w:rsidRPr="009E3AFD" w:rsidRDefault="00E42E43" w:rsidP="00B617A3">
            <w:pPr>
              <w:rPr>
                <w:b/>
                <w:bCs/>
                <w:sz w:val="26"/>
                <w:szCs w:val="26"/>
              </w:rPr>
            </w:pPr>
            <w:r w:rsidRPr="009E3AFD">
              <w:rPr>
                <w:b/>
                <w:bCs/>
                <w:sz w:val="26"/>
                <w:szCs w:val="26"/>
                <w:rtl/>
              </w:rPr>
              <w:t xml:space="preserve">        כב' השופטת מרים ליפשיץ-פריבס</w:t>
            </w:r>
          </w:p>
          <w:p w14:paraId="75A1B824" w14:textId="77777777" w:rsidR="00E42E43" w:rsidRPr="009E3AFD" w:rsidRDefault="00E42E43" w:rsidP="00B617A3">
            <w:pPr>
              <w:rPr>
                <w:sz w:val="14"/>
                <w:szCs w:val="14"/>
              </w:rPr>
            </w:pPr>
          </w:p>
          <w:p w14:paraId="58223A6F" w14:textId="77777777" w:rsidR="00E42E43" w:rsidRPr="009E3AFD" w:rsidRDefault="00E42E43" w:rsidP="00B617A3"/>
          <w:p w14:paraId="342889D2" w14:textId="77777777" w:rsidR="00E42E43" w:rsidRPr="009E3AFD" w:rsidRDefault="00E42E43" w:rsidP="00B617A3">
            <w:pPr>
              <w:pStyle w:val="a3"/>
              <w:jc w:val="center"/>
              <w:rPr>
                <w:rFonts w:ascii="Tahoma" w:hAnsi="Tahoma" w:cs="Tahoma"/>
                <w:color w:val="000080"/>
                <w:rtl/>
              </w:rPr>
            </w:pPr>
          </w:p>
        </w:tc>
      </w:tr>
      <w:tr w:rsidR="00014BC7" w:rsidRPr="009E3AFD" w14:paraId="286C6143" w14:textId="77777777" w:rsidTr="00014B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47" w:type="dxa"/>
            <w:tcBorders>
              <w:top w:val="nil"/>
              <w:left w:val="nil"/>
              <w:bottom w:val="nil"/>
              <w:right w:val="nil"/>
            </w:tcBorders>
            <w:shd w:val="clear" w:color="auto" w:fill="auto"/>
          </w:tcPr>
          <w:p w14:paraId="22033032" w14:textId="77777777" w:rsidR="00014BC7" w:rsidRPr="009E3AFD" w:rsidRDefault="00014BC7" w:rsidP="00E42E43">
            <w:pPr>
              <w:suppressLineNumbers/>
              <w:spacing w:line="480" w:lineRule="auto"/>
              <w:rPr>
                <w:rFonts w:ascii="Arial" w:hAnsi="Arial"/>
                <w:b/>
                <w:bCs/>
                <w:sz w:val="28"/>
                <w:szCs w:val="28"/>
              </w:rPr>
            </w:pPr>
            <w:bookmarkStart w:id="0" w:name="LastJudge"/>
            <w:bookmarkStart w:id="1" w:name="FirstAppellant"/>
            <w:bookmarkEnd w:id="0"/>
            <w:r w:rsidRPr="009E3AFD">
              <w:rPr>
                <w:rFonts w:ascii="Arial" w:hAnsi="Arial" w:hint="cs"/>
                <w:b/>
                <w:bCs/>
                <w:sz w:val="28"/>
                <w:szCs w:val="28"/>
                <w:rtl/>
              </w:rPr>
              <w:t>ה</w:t>
            </w:r>
            <w:r w:rsidRPr="009E3AFD">
              <w:rPr>
                <w:rFonts w:ascii="Arial" w:hAnsi="Arial"/>
                <w:b/>
                <w:bCs/>
                <w:sz w:val="28"/>
                <w:szCs w:val="28"/>
                <w:rtl/>
              </w:rPr>
              <w:t>מאשימה</w:t>
            </w:r>
          </w:p>
          <w:p w14:paraId="6F5CA6A8" w14:textId="77777777" w:rsidR="00014BC7" w:rsidRPr="009E3AFD" w:rsidRDefault="00014BC7" w:rsidP="00E42E43">
            <w:pPr>
              <w:spacing w:line="480" w:lineRule="auto"/>
              <w:rPr>
                <w:rFonts w:ascii="Arial" w:hAnsi="Arial"/>
                <w:b/>
                <w:bCs/>
                <w:sz w:val="28"/>
                <w:szCs w:val="28"/>
              </w:rPr>
            </w:pPr>
          </w:p>
        </w:tc>
        <w:tc>
          <w:tcPr>
            <w:tcW w:w="5958" w:type="dxa"/>
            <w:tcBorders>
              <w:top w:val="nil"/>
              <w:left w:val="nil"/>
              <w:bottom w:val="nil"/>
              <w:right w:val="nil"/>
            </w:tcBorders>
            <w:shd w:val="clear" w:color="auto" w:fill="auto"/>
            <w:vAlign w:val="center"/>
          </w:tcPr>
          <w:p w14:paraId="50727996" w14:textId="77777777" w:rsidR="00014BC7" w:rsidRPr="009E3AFD" w:rsidRDefault="00014BC7" w:rsidP="00E42E43">
            <w:pPr>
              <w:suppressLineNumbers/>
              <w:spacing w:line="480" w:lineRule="auto"/>
              <w:rPr>
                <w:rFonts w:ascii="Arial" w:hAnsi="Arial"/>
                <w:b/>
                <w:bCs/>
                <w:sz w:val="28"/>
                <w:szCs w:val="28"/>
              </w:rPr>
            </w:pPr>
            <w:r w:rsidRPr="009E3AFD">
              <w:rPr>
                <w:rFonts w:ascii="Arial" w:hAnsi="Arial"/>
                <w:b/>
                <w:bCs/>
                <w:sz w:val="28"/>
                <w:szCs w:val="28"/>
                <w:rtl/>
              </w:rPr>
              <w:t>מדינת ישראל</w:t>
            </w:r>
            <w:r w:rsidRPr="009E3AFD">
              <w:rPr>
                <w:rFonts w:ascii="Arial" w:hAnsi="Arial"/>
                <w:b/>
                <w:bCs/>
                <w:sz w:val="28"/>
                <w:szCs w:val="28"/>
                <w:rtl/>
              </w:rPr>
              <w:br/>
            </w:r>
            <w:r w:rsidRPr="009E3AFD">
              <w:rPr>
                <w:rFonts w:ascii="Arial" w:hAnsi="Arial" w:hint="cs"/>
                <w:b/>
                <w:bCs/>
                <w:sz w:val="28"/>
                <w:szCs w:val="28"/>
                <w:rtl/>
              </w:rPr>
              <w:t>באמצעות פרקליטות מחוז ירושלים</w:t>
            </w:r>
          </w:p>
          <w:p w14:paraId="52AF4163" w14:textId="77777777" w:rsidR="00014BC7" w:rsidRPr="009E3AFD" w:rsidRDefault="00014BC7" w:rsidP="00E42E43">
            <w:pPr>
              <w:spacing w:line="480" w:lineRule="auto"/>
              <w:rPr>
                <w:rFonts w:ascii="Arial" w:hAnsi="Arial"/>
                <w:b/>
                <w:bCs/>
                <w:sz w:val="28"/>
                <w:szCs w:val="28"/>
              </w:rPr>
            </w:pPr>
          </w:p>
        </w:tc>
      </w:tr>
      <w:bookmarkEnd w:id="1"/>
      <w:tr w:rsidR="00014BC7" w:rsidRPr="009E3AFD" w14:paraId="15EB90B1" w14:textId="77777777" w:rsidTr="00014B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505" w:type="dxa"/>
            <w:gridSpan w:val="2"/>
            <w:tcBorders>
              <w:top w:val="nil"/>
              <w:left w:val="nil"/>
              <w:bottom w:val="nil"/>
              <w:right w:val="nil"/>
            </w:tcBorders>
            <w:shd w:val="clear" w:color="auto" w:fill="auto"/>
          </w:tcPr>
          <w:p w14:paraId="60DC0933" w14:textId="77777777" w:rsidR="00014BC7" w:rsidRPr="009E3AFD" w:rsidRDefault="00014BC7" w:rsidP="00E42E43">
            <w:pPr>
              <w:spacing w:line="480" w:lineRule="auto"/>
              <w:jc w:val="center"/>
              <w:rPr>
                <w:rFonts w:ascii="Arial" w:hAnsi="Arial"/>
                <w:b/>
                <w:bCs/>
                <w:sz w:val="28"/>
                <w:szCs w:val="28"/>
                <w:rtl/>
              </w:rPr>
            </w:pPr>
          </w:p>
          <w:p w14:paraId="7459DCC4" w14:textId="77777777" w:rsidR="00014BC7" w:rsidRPr="009E3AFD" w:rsidRDefault="00014BC7" w:rsidP="00E42E43">
            <w:pPr>
              <w:spacing w:line="480" w:lineRule="auto"/>
              <w:jc w:val="center"/>
              <w:rPr>
                <w:rFonts w:ascii="Arial" w:hAnsi="Arial"/>
                <w:b/>
                <w:bCs/>
                <w:sz w:val="28"/>
                <w:szCs w:val="28"/>
                <w:rtl/>
              </w:rPr>
            </w:pPr>
            <w:r w:rsidRPr="009E3AFD">
              <w:rPr>
                <w:rFonts w:ascii="Arial" w:hAnsi="Arial"/>
                <w:b/>
                <w:bCs/>
                <w:sz w:val="28"/>
                <w:szCs w:val="28"/>
                <w:rtl/>
              </w:rPr>
              <w:t>נגד</w:t>
            </w:r>
          </w:p>
          <w:p w14:paraId="367732FB" w14:textId="77777777" w:rsidR="00014BC7" w:rsidRPr="009E3AFD" w:rsidRDefault="00014BC7" w:rsidP="00E42E43">
            <w:pPr>
              <w:spacing w:line="480" w:lineRule="auto"/>
              <w:jc w:val="both"/>
              <w:rPr>
                <w:rFonts w:ascii="Arial" w:hAnsi="Arial"/>
                <w:b/>
                <w:bCs/>
                <w:sz w:val="28"/>
                <w:szCs w:val="28"/>
              </w:rPr>
            </w:pPr>
          </w:p>
        </w:tc>
      </w:tr>
      <w:tr w:rsidR="00014BC7" w:rsidRPr="009E3AFD" w14:paraId="0A89C485" w14:textId="77777777" w:rsidTr="00014B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47" w:type="dxa"/>
            <w:tcBorders>
              <w:top w:val="nil"/>
              <w:left w:val="nil"/>
              <w:bottom w:val="nil"/>
              <w:right w:val="nil"/>
            </w:tcBorders>
            <w:shd w:val="clear" w:color="auto" w:fill="auto"/>
          </w:tcPr>
          <w:p w14:paraId="091A910C" w14:textId="77777777" w:rsidR="00014BC7" w:rsidRPr="009E3AFD" w:rsidRDefault="00014BC7" w:rsidP="00E42E43">
            <w:pPr>
              <w:spacing w:line="480" w:lineRule="auto"/>
              <w:rPr>
                <w:rFonts w:ascii="Arial" w:hAnsi="Arial"/>
                <w:b/>
                <w:bCs/>
                <w:sz w:val="28"/>
                <w:szCs w:val="28"/>
                <w:rtl/>
              </w:rPr>
            </w:pPr>
            <w:bookmarkStart w:id="2" w:name="FirstLawyer"/>
            <w:r w:rsidRPr="009E3AFD">
              <w:rPr>
                <w:rFonts w:ascii="Arial" w:hAnsi="Arial"/>
                <w:b/>
                <w:bCs/>
                <w:sz w:val="28"/>
                <w:szCs w:val="28"/>
                <w:rtl/>
              </w:rPr>
              <w:t>הנאשם</w:t>
            </w:r>
          </w:p>
        </w:tc>
        <w:tc>
          <w:tcPr>
            <w:tcW w:w="5958" w:type="dxa"/>
            <w:tcBorders>
              <w:top w:val="nil"/>
              <w:left w:val="nil"/>
              <w:bottom w:val="nil"/>
              <w:right w:val="nil"/>
            </w:tcBorders>
            <w:shd w:val="clear" w:color="auto" w:fill="auto"/>
            <w:vAlign w:val="center"/>
          </w:tcPr>
          <w:p w14:paraId="5B3B3C6B" w14:textId="77777777" w:rsidR="00014BC7" w:rsidRPr="009E3AFD" w:rsidRDefault="00014BC7" w:rsidP="00E42E43">
            <w:pPr>
              <w:suppressLineNumbers/>
              <w:spacing w:line="480" w:lineRule="auto"/>
              <w:rPr>
                <w:rFonts w:ascii="Arial" w:hAnsi="Arial"/>
                <w:b/>
                <w:bCs/>
                <w:sz w:val="28"/>
                <w:szCs w:val="28"/>
              </w:rPr>
            </w:pPr>
            <w:r w:rsidRPr="009E3AFD">
              <w:rPr>
                <w:rFonts w:ascii="Arial" w:hAnsi="Arial"/>
                <w:b/>
                <w:bCs/>
                <w:sz w:val="28"/>
                <w:szCs w:val="28"/>
                <w:rtl/>
              </w:rPr>
              <w:t xml:space="preserve">נאור ביטון </w:t>
            </w:r>
            <w:r w:rsidRPr="009E3AFD">
              <w:rPr>
                <w:rFonts w:ascii="Arial" w:hAnsi="Arial"/>
                <w:b/>
                <w:bCs/>
                <w:sz w:val="28"/>
                <w:szCs w:val="28"/>
                <w:rtl/>
              </w:rPr>
              <w:br/>
            </w:r>
            <w:r w:rsidRPr="009E3AFD">
              <w:rPr>
                <w:rFonts w:ascii="Arial" w:hAnsi="Arial" w:hint="cs"/>
                <w:b/>
                <w:bCs/>
                <w:sz w:val="28"/>
                <w:szCs w:val="28"/>
                <w:rtl/>
              </w:rPr>
              <w:t xml:space="preserve"> </w:t>
            </w:r>
            <w:r w:rsidRPr="009E3AFD">
              <w:rPr>
                <w:rFonts w:ascii="Arial" w:hAnsi="Arial"/>
                <w:b/>
                <w:bCs/>
                <w:sz w:val="28"/>
                <w:szCs w:val="28"/>
                <w:rtl/>
              </w:rPr>
              <w:t>ע"י ב"כ עוה"ד</w:t>
            </w:r>
            <w:r w:rsidRPr="009E3AFD">
              <w:rPr>
                <w:rFonts w:ascii="Arial" w:hAnsi="Arial" w:hint="cs"/>
                <w:b/>
                <w:bCs/>
                <w:sz w:val="28"/>
                <w:szCs w:val="28"/>
                <w:rtl/>
              </w:rPr>
              <w:t xml:space="preserve"> ליאור אפשטיין</w:t>
            </w:r>
          </w:p>
        </w:tc>
      </w:tr>
      <w:bookmarkEnd w:id="2"/>
    </w:tbl>
    <w:p w14:paraId="6244C827" w14:textId="77777777" w:rsidR="00014BC7" w:rsidRDefault="00014BC7" w:rsidP="00E42E43">
      <w:pPr>
        <w:rPr>
          <w:spacing w:val="22"/>
          <w:sz w:val="26"/>
          <w:szCs w:val="26"/>
          <w:rtl/>
        </w:rPr>
      </w:pPr>
    </w:p>
    <w:p w14:paraId="03BF75F6" w14:textId="77777777" w:rsidR="00014BC7" w:rsidRPr="00014BC7" w:rsidRDefault="00014BC7" w:rsidP="00014BC7">
      <w:pPr>
        <w:spacing w:after="120" w:line="240" w:lineRule="exact"/>
        <w:ind w:left="283" w:hanging="283"/>
        <w:jc w:val="both"/>
        <w:rPr>
          <w:rFonts w:ascii="FrankRuehl" w:hAnsi="FrankRuehl" w:cs="FrankRuehl"/>
          <w:rtl/>
        </w:rPr>
      </w:pPr>
    </w:p>
    <w:p w14:paraId="631D0028" w14:textId="77777777" w:rsidR="00CB7A16" w:rsidRPr="00CB7A16" w:rsidRDefault="00CB7A16" w:rsidP="00CB7A16">
      <w:pPr>
        <w:spacing w:before="120" w:after="120" w:line="240" w:lineRule="exact"/>
        <w:ind w:left="283" w:hanging="283"/>
        <w:jc w:val="both"/>
        <w:rPr>
          <w:rFonts w:ascii="FrankRuehl" w:hAnsi="FrankRuehl" w:cs="FrankRuehl"/>
          <w:rtl/>
        </w:rPr>
      </w:pPr>
    </w:p>
    <w:p w14:paraId="6A9BFBA9" w14:textId="77777777" w:rsidR="009A7191" w:rsidRPr="009A7191" w:rsidRDefault="009A7191" w:rsidP="009A7191">
      <w:pPr>
        <w:spacing w:before="120" w:after="120" w:line="240" w:lineRule="exact"/>
        <w:ind w:left="283" w:hanging="283"/>
        <w:jc w:val="both"/>
        <w:rPr>
          <w:rFonts w:ascii="FrankRuehl" w:hAnsi="FrankRuehl" w:cs="FrankRuehl"/>
          <w:rtl/>
        </w:rPr>
      </w:pPr>
    </w:p>
    <w:p w14:paraId="7D126945" w14:textId="77777777" w:rsidR="00BF2160" w:rsidRDefault="00BF2160" w:rsidP="00BF2160">
      <w:pPr>
        <w:rPr>
          <w:rFonts w:ascii="Arial" w:hAnsi="Arial"/>
          <w:spacing w:val="22"/>
          <w:sz w:val="26"/>
          <w:szCs w:val="26"/>
          <w:rtl/>
        </w:rPr>
      </w:pPr>
      <w:bookmarkStart w:id="3" w:name="LawTable"/>
      <w:bookmarkEnd w:id="3"/>
    </w:p>
    <w:p w14:paraId="465D64F7" w14:textId="77777777" w:rsidR="00BF2160" w:rsidRPr="00BF2160" w:rsidRDefault="00BF2160" w:rsidP="00BF2160">
      <w:pPr>
        <w:spacing w:before="120" w:after="120" w:line="240" w:lineRule="exact"/>
        <w:ind w:left="283" w:hanging="283"/>
        <w:jc w:val="both"/>
        <w:rPr>
          <w:rFonts w:ascii="FrankRuehl" w:hAnsi="FrankRuehl" w:cs="FrankRuehl"/>
          <w:rtl/>
        </w:rPr>
      </w:pPr>
    </w:p>
    <w:p w14:paraId="07F73CF6" w14:textId="77777777" w:rsidR="00BF2160" w:rsidRPr="00BF2160" w:rsidRDefault="00BF2160" w:rsidP="00BF2160">
      <w:pPr>
        <w:spacing w:before="120" w:after="120" w:line="240" w:lineRule="exact"/>
        <w:ind w:left="283" w:hanging="283"/>
        <w:jc w:val="both"/>
        <w:rPr>
          <w:rFonts w:ascii="FrankRuehl" w:hAnsi="FrankRuehl" w:cs="FrankRuehl"/>
          <w:rtl/>
        </w:rPr>
      </w:pPr>
    </w:p>
    <w:p w14:paraId="32EA6C0E" w14:textId="77777777" w:rsidR="00BF2160" w:rsidRPr="00BF2160" w:rsidRDefault="00BF2160" w:rsidP="00BF2160">
      <w:pPr>
        <w:spacing w:before="120" w:after="120" w:line="240" w:lineRule="exact"/>
        <w:ind w:left="283" w:hanging="283"/>
        <w:jc w:val="both"/>
        <w:rPr>
          <w:rFonts w:ascii="FrankRuehl" w:hAnsi="FrankRuehl" w:cs="FrankRuehl"/>
          <w:rtl/>
        </w:rPr>
      </w:pPr>
      <w:r w:rsidRPr="00BF2160">
        <w:rPr>
          <w:rFonts w:ascii="FrankRuehl" w:hAnsi="FrankRuehl" w:cs="FrankRuehl"/>
          <w:rtl/>
        </w:rPr>
        <w:t xml:space="preserve">חקיקה שאוזכרה: </w:t>
      </w:r>
    </w:p>
    <w:p w14:paraId="664021E3" w14:textId="77777777" w:rsidR="00BF2160" w:rsidRPr="00BF2160" w:rsidRDefault="00BF2160" w:rsidP="00BF2160">
      <w:pPr>
        <w:spacing w:before="120" w:after="120" w:line="240" w:lineRule="exact"/>
        <w:ind w:left="283" w:hanging="283"/>
        <w:jc w:val="both"/>
        <w:rPr>
          <w:rFonts w:ascii="FrankRuehl" w:hAnsi="FrankRuehl" w:cs="FrankRuehl"/>
          <w:rtl/>
        </w:rPr>
      </w:pPr>
      <w:hyperlink r:id="rId7" w:history="1">
        <w:r w:rsidRPr="00BF2160">
          <w:rPr>
            <w:rFonts w:ascii="FrankRuehl" w:hAnsi="FrankRuehl" w:cs="FrankRuehl"/>
            <w:color w:val="0000FF"/>
            <w:rtl/>
          </w:rPr>
          <w:t>חוק העונשין, תשל"ז-1977</w:t>
        </w:r>
      </w:hyperlink>
      <w:r w:rsidRPr="00BF2160">
        <w:rPr>
          <w:rFonts w:ascii="FrankRuehl" w:hAnsi="FrankRuehl" w:cs="FrankRuehl"/>
          <w:rtl/>
        </w:rPr>
        <w:t xml:space="preserve">: סע'  </w:t>
      </w:r>
      <w:hyperlink r:id="rId8" w:history="1">
        <w:r w:rsidRPr="00BF2160">
          <w:rPr>
            <w:rFonts w:ascii="FrankRuehl" w:hAnsi="FrankRuehl" w:cs="FrankRuehl"/>
            <w:color w:val="0000FF"/>
            <w:rtl/>
          </w:rPr>
          <w:t>34ט(ב)</w:t>
        </w:r>
      </w:hyperlink>
      <w:r w:rsidRPr="00BF2160">
        <w:rPr>
          <w:rFonts w:ascii="FrankRuehl" w:hAnsi="FrankRuehl" w:cs="FrankRuehl"/>
          <w:rtl/>
        </w:rPr>
        <w:t xml:space="preserve">, </w:t>
      </w:r>
      <w:hyperlink r:id="rId9" w:history="1">
        <w:r w:rsidRPr="00BF2160">
          <w:rPr>
            <w:rFonts w:ascii="FrankRuehl" w:hAnsi="FrankRuehl" w:cs="FrankRuehl"/>
            <w:color w:val="0000FF"/>
            <w:rtl/>
          </w:rPr>
          <w:t>298</w:t>
        </w:r>
      </w:hyperlink>
      <w:r w:rsidRPr="00BF2160">
        <w:rPr>
          <w:rFonts w:ascii="FrankRuehl" w:hAnsi="FrankRuehl" w:cs="FrankRuehl"/>
          <w:rtl/>
        </w:rPr>
        <w:t xml:space="preserve">, </w:t>
      </w:r>
      <w:hyperlink r:id="rId10" w:history="1">
        <w:r w:rsidRPr="00BF2160">
          <w:rPr>
            <w:rFonts w:ascii="FrankRuehl" w:hAnsi="FrankRuehl" w:cs="FrankRuehl"/>
            <w:color w:val="0000FF"/>
            <w:rtl/>
          </w:rPr>
          <w:t>300(א)</w:t>
        </w:r>
      </w:hyperlink>
      <w:r w:rsidRPr="00BF2160">
        <w:rPr>
          <w:rFonts w:ascii="FrankRuehl" w:hAnsi="FrankRuehl" w:cs="FrankRuehl"/>
          <w:rtl/>
        </w:rPr>
        <w:t xml:space="preserve">, </w:t>
      </w:r>
      <w:hyperlink r:id="rId11" w:history="1">
        <w:r w:rsidRPr="00BF2160">
          <w:rPr>
            <w:rFonts w:ascii="FrankRuehl" w:hAnsi="FrankRuehl" w:cs="FrankRuehl"/>
            <w:color w:val="0000FF"/>
            <w:rtl/>
          </w:rPr>
          <w:t>301ב(ב)(1)</w:t>
        </w:r>
      </w:hyperlink>
      <w:r w:rsidRPr="00BF2160">
        <w:rPr>
          <w:rFonts w:ascii="FrankRuehl" w:hAnsi="FrankRuehl" w:cs="FrankRuehl"/>
          <w:rtl/>
        </w:rPr>
        <w:t xml:space="preserve">, </w:t>
      </w:r>
      <w:hyperlink r:id="rId12" w:history="1">
        <w:r w:rsidRPr="00BF2160">
          <w:rPr>
            <w:rFonts w:ascii="FrankRuehl" w:hAnsi="FrankRuehl" w:cs="FrankRuehl"/>
            <w:color w:val="0000FF"/>
            <w:rtl/>
          </w:rPr>
          <w:t>301ב(ג)</w:t>
        </w:r>
      </w:hyperlink>
    </w:p>
    <w:p w14:paraId="4560E246" w14:textId="77777777" w:rsidR="00BF2160" w:rsidRPr="00BF2160" w:rsidRDefault="00BF2160" w:rsidP="00BF2160">
      <w:pPr>
        <w:spacing w:before="120" w:after="120" w:line="240" w:lineRule="exact"/>
        <w:ind w:left="283" w:hanging="283"/>
        <w:jc w:val="both"/>
        <w:rPr>
          <w:rFonts w:ascii="FrankRuehl" w:hAnsi="FrankRuehl" w:cs="FrankRuehl"/>
          <w:rtl/>
        </w:rPr>
      </w:pPr>
      <w:hyperlink r:id="rId13" w:history="1">
        <w:r w:rsidRPr="00BF2160">
          <w:rPr>
            <w:rFonts w:ascii="FrankRuehl" w:hAnsi="FrankRuehl" w:cs="FrankRuehl"/>
            <w:color w:val="0000FF"/>
            <w:rtl/>
          </w:rPr>
          <w:t>פקודת הסמים המסוכנים [נוסח חדש], תשל"ג-1973</w:t>
        </w:r>
      </w:hyperlink>
      <w:r w:rsidRPr="00BF2160">
        <w:rPr>
          <w:rFonts w:ascii="FrankRuehl" w:hAnsi="FrankRuehl" w:cs="FrankRuehl"/>
          <w:rtl/>
        </w:rPr>
        <w:t xml:space="preserve">: סע'  </w:t>
      </w:r>
      <w:hyperlink r:id="rId14" w:history="1">
        <w:r w:rsidRPr="00BF2160">
          <w:rPr>
            <w:rFonts w:ascii="FrankRuehl" w:hAnsi="FrankRuehl" w:cs="FrankRuehl"/>
            <w:color w:val="0000FF"/>
            <w:rtl/>
          </w:rPr>
          <w:t>13</w:t>
        </w:r>
      </w:hyperlink>
      <w:r w:rsidRPr="00BF2160">
        <w:rPr>
          <w:rFonts w:ascii="FrankRuehl" w:hAnsi="FrankRuehl" w:cs="FrankRuehl"/>
          <w:rtl/>
        </w:rPr>
        <w:t xml:space="preserve">, </w:t>
      </w:r>
      <w:hyperlink r:id="rId15" w:history="1">
        <w:r w:rsidRPr="00BF2160">
          <w:rPr>
            <w:rFonts w:ascii="FrankRuehl" w:hAnsi="FrankRuehl" w:cs="FrankRuehl"/>
            <w:color w:val="0000FF"/>
            <w:rtl/>
          </w:rPr>
          <w:t>19</w:t>
        </w:r>
      </w:hyperlink>
    </w:p>
    <w:p w14:paraId="30D564FB" w14:textId="77777777" w:rsidR="00BF2160" w:rsidRPr="00BF2160" w:rsidRDefault="00BF2160" w:rsidP="00BF2160">
      <w:pPr>
        <w:rPr>
          <w:rFonts w:ascii="Arial" w:hAnsi="Arial"/>
          <w:spacing w:val="22"/>
          <w:sz w:val="26"/>
          <w:szCs w:val="26"/>
          <w:rtl/>
        </w:rPr>
      </w:pPr>
      <w:bookmarkStart w:id="4" w:name="LawTable_End"/>
      <w:bookmarkEnd w:id="4"/>
    </w:p>
    <w:p w14:paraId="058FCAF4" w14:textId="77777777" w:rsidR="00E42E43" w:rsidRPr="009A7191" w:rsidRDefault="00E42E43" w:rsidP="009A7191">
      <w:pPr>
        <w:rPr>
          <w:rFonts w:ascii="Arial" w:hAnsi="Arial"/>
          <w:spacing w:val="22"/>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2E43" w:rsidRPr="0027334A" w14:paraId="633E9283" w14:textId="77777777" w:rsidTr="00E42E43">
        <w:trPr>
          <w:trHeight w:val="355"/>
          <w:jc w:val="center"/>
        </w:trPr>
        <w:tc>
          <w:tcPr>
            <w:tcW w:w="8820" w:type="dxa"/>
            <w:tcBorders>
              <w:top w:val="nil"/>
              <w:left w:val="nil"/>
              <w:bottom w:val="nil"/>
              <w:right w:val="nil"/>
            </w:tcBorders>
            <w:shd w:val="clear" w:color="auto" w:fill="auto"/>
          </w:tcPr>
          <w:p w14:paraId="786996FA" w14:textId="77777777" w:rsidR="009E3AFD" w:rsidRPr="009E3AFD" w:rsidRDefault="009E3AFD" w:rsidP="009E3AFD">
            <w:pPr>
              <w:jc w:val="center"/>
              <w:rPr>
                <w:rFonts w:ascii="David" w:hAnsi="David"/>
                <w:b/>
                <w:bCs/>
                <w:spacing w:val="22"/>
                <w:sz w:val="32"/>
                <w:szCs w:val="32"/>
                <w:u w:val="single"/>
                <w:rtl/>
              </w:rPr>
            </w:pPr>
            <w:bookmarkStart w:id="5" w:name="PsakDin" w:colFirst="0" w:colLast="0"/>
            <w:r w:rsidRPr="009E3AFD">
              <w:rPr>
                <w:rFonts w:ascii="David" w:hAnsi="David"/>
                <w:b/>
                <w:bCs/>
                <w:spacing w:val="22"/>
                <w:sz w:val="32"/>
                <w:szCs w:val="32"/>
                <w:u w:val="single"/>
                <w:rtl/>
              </w:rPr>
              <w:t>גזר דין</w:t>
            </w:r>
          </w:p>
          <w:p w14:paraId="05D1F8B3" w14:textId="77777777" w:rsidR="00E42E43" w:rsidRPr="009E3AFD" w:rsidRDefault="00E42E43" w:rsidP="009E3AFD">
            <w:pPr>
              <w:jc w:val="center"/>
              <w:rPr>
                <w:rFonts w:ascii="David" w:hAnsi="David"/>
                <w:bCs/>
                <w:spacing w:val="22"/>
                <w:sz w:val="32"/>
                <w:szCs w:val="32"/>
                <w:u w:val="single"/>
                <w:rtl/>
              </w:rPr>
            </w:pPr>
          </w:p>
        </w:tc>
      </w:tr>
      <w:bookmarkEnd w:id="5"/>
    </w:tbl>
    <w:p w14:paraId="7287A139" w14:textId="77777777" w:rsidR="00E42E43" w:rsidRPr="0027334A" w:rsidRDefault="00E42E43" w:rsidP="00E42E43">
      <w:pPr>
        <w:rPr>
          <w:rFonts w:ascii="Arial" w:hAnsi="Arial"/>
          <w:b/>
          <w:bCs/>
          <w:spacing w:val="22"/>
          <w:sz w:val="26"/>
          <w:szCs w:val="26"/>
          <w:rtl/>
        </w:rPr>
      </w:pPr>
    </w:p>
    <w:p w14:paraId="58410EA7" w14:textId="77777777" w:rsidR="00E42E43" w:rsidRPr="0027334A" w:rsidRDefault="00E42E43" w:rsidP="00E42E43">
      <w:pPr>
        <w:spacing w:line="360" w:lineRule="auto"/>
        <w:jc w:val="both"/>
        <w:rPr>
          <w:rFonts w:ascii="Arial" w:hAnsi="Arial"/>
          <w:b/>
          <w:bCs/>
          <w:spacing w:val="22"/>
          <w:sz w:val="26"/>
          <w:szCs w:val="26"/>
          <w:rtl/>
        </w:rPr>
      </w:pPr>
    </w:p>
    <w:p w14:paraId="52DBFBC0" w14:textId="77777777" w:rsidR="00E42E43" w:rsidRPr="0027334A" w:rsidRDefault="00E42E43" w:rsidP="00E42E43">
      <w:pPr>
        <w:spacing w:line="360" w:lineRule="auto"/>
        <w:jc w:val="both"/>
        <w:rPr>
          <w:rFonts w:ascii="Arial" w:hAnsi="Arial"/>
          <w:b/>
          <w:bCs/>
          <w:spacing w:val="22"/>
          <w:sz w:val="26"/>
          <w:szCs w:val="26"/>
          <w:rtl/>
        </w:rPr>
      </w:pPr>
    </w:p>
    <w:p w14:paraId="5C55E1D8" w14:textId="77777777" w:rsidR="00E42E43" w:rsidRPr="0027334A" w:rsidRDefault="00E42E43" w:rsidP="00E42E43">
      <w:pPr>
        <w:spacing w:line="360" w:lineRule="auto"/>
        <w:rPr>
          <w:rFonts w:ascii="Arial" w:hAnsi="Arial"/>
          <w:b/>
          <w:bCs/>
          <w:spacing w:val="22"/>
          <w:sz w:val="26"/>
          <w:szCs w:val="26"/>
        </w:rPr>
      </w:pPr>
      <w:bookmarkStart w:id="6" w:name="ABSTRACT_START"/>
      <w:bookmarkEnd w:id="6"/>
    </w:p>
    <w:p w14:paraId="65C6074A"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lastRenderedPageBreak/>
        <w:t>1.</w:t>
      </w:r>
      <w:r w:rsidRPr="0027334A">
        <w:rPr>
          <w:rFonts w:ascii="Arial" w:hAnsi="Arial"/>
          <w:spacing w:val="22"/>
          <w:sz w:val="26"/>
          <w:szCs w:val="26"/>
          <w:rtl/>
        </w:rPr>
        <w:tab/>
        <w:t xml:space="preserve">הנאשם הורשע ברוב דעות ולאחר שמיעת ראיות בעבירה של המתה בנסיבות של אחריות מופחתת, לפי </w:t>
      </w:r>
      <w:hyperlink r:id="rId16" w:history="1">
        <w:r w:rsidR="00014BC7" w:rsidRPr="00014BC7">
          <w:rPr>
            <w:rStyle w:val="Hyperlink"/>
            <w:rFonts w:ascii="Arial" w:hAnsi="Arial"/>
            <w:spacing w:val="22"/>
            <w:sz w:val="26"/>
            <w:szCs w:val="26"/>
            <w:rtl/>
          </w:rPr>
          <w:t>סעיף301ב(ב)(1)</w:t>
        </w:r>
      </w:hyperlink>
      <w:r w:rsidRPr="0027334A">
        <w:rPr>
          <w:rFonts w:ascii="Arial" w:hAnsi="Arial"/>
          <w:spacing w:val="22"/>
          <w:sz w:val="26"/>
          <w:szCs w:val="26"/>
          <w:rtl/>
        </w:rPr>
        <w:t xml:space="preserve"> ל</w:t>
      </w:r>
      <w:hyperlink r:id="rId17" w:history="1">
        <w:r w:rsidR="009E3AFD" w:rsidRPr="009E3AFD">
          <w:rPr>
            <w:rFonts w:ascii="Arial" w:hAnsi="Arial"/>
            <w:color w:val="0000FF"/>
            <w:spacing w:val="22"/>
            <w:sz w:val="26"/>
            <w:szCs w:val="26"/>
            <w:u w:val="single"/>
            <w:rtl/>
          </w:rPr>
          <w:t>חוק העונשין</w:t>
        </w:r>
      </w:hyperlink>
      <w:r w:rsidRPr="0027334A">
        <w:rPr>
          <w:rFonts w:ascii="Arial" w:hAnsi="Arial"/>
          <w:spacing w:val="22"/>
          <w:sz w:val="26"/>
          <w:szCs w:val="26"/>
          <w:rtl/>
        </w:rPr>
        <w:t xml:space="preserve">, תשל"ז-1977 (להלן: "החוק"), ובעבירה של סחר בסם לפי סעיפים </w:t>
      </w:r>
      <w:hyperlink r:id="rId18" w:history="1">
        <w:r w:rsidR="00014BC7" w:rsidRPr="00014BC7">
          <w:rPr>
            <w:rStyle w:val="Hyperlink"/>
            <w:rFonts w:ascii="Arial" w:hAnsi="Arial"/>
            <w:spacing w:val="22"/>
            <w:sz w:val="26"/>
            <w:szCs w:val="26"/>
            <w:rtl/>
          </w:rPr>
          <w:t>13 ו–19</w:t>
        </w:r>
      </w:hyperlink>
      <w:r w:rsidRPr="0027334A">
        <w:rPr>
          <w:rFonts w:ascii="Arial" w:hAnsi="Arial"/>
          <w:spacing w:val="22"/>
          <w:sz w:val="26"/>
          <w:szCs w:val="26"/>
          <w:rtl/>
        </w:rPr>
        <w:t xml:space="preserve"> ל</w:t>
      </w:r>
      <w:hyperlink r:id="rId19" w:history="1">
        <w:r w:rsidR="009E3AFD" w:rsidRPr="009E3AFD">
          <w:rPr>
            <w:rFonts w:ascii="Arial" w:hAnsi="Arial"/>
            <w:color w:val="0000FF"/>
            <w:spacing w:val="22"/>
            <w:sz w:val="26"/>
            <w:szCs w:val="26"/>
            <w:u w:val="single"/>
            <w:rtl/>
          </w:rPr>
          <w:t>פקודת הסמים המסוכנים</w:t>
        </w:r>
      </w:hyperlink>
      <w:r w:rsidRPr="0027334A">
        <w:rPr>
          <w:rFonts w:ascii="Arial" w:hAnsi="Arial"/>
          <w:spacing w:val="22"/>
          <w:sz w:val="26"/>
          <w:szCs w:val="26"/>
          <w:rtl/>
        </w:rPr>
        <w:t xml:space="preserve"> (נוסח חדש), תשל"ג-1973. </w:t>
      </w:r>
    </w:p>
    <w:p w14:paraId="79128A54" w14:textId="77777777" w:rsidR="00E42E43" w:rsidRPr="0027334A" w:rsidRDefault="00E42E43" w:rsidP="00E42E43">
      <w:pPr>
        <w:spacing w:line="360" w:lineRule="auto"/>
        <w:jc w:val="both"/>
        <w:rPr>
          <w:rFonts w:ascii="Arial" w:hAnsi="Arial"/>
          <w:spacing w:val="22"/>
          <w:sz w:val="26"/>
          <w:szCs w:val="26"/>
          <w:rtl/>
        </w:rPr>
      </w:pPr>
      <w:bookmarkStart w:id="7" w:name="ABSTRACT_END"/>
      <w:bookmarkEnd w:id="7"/>
    </w:p>
    <w:p w14:paraId="5751C0A9"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 xml:space="preserve">כפי שפורט בהכרעת הדין, הנאשם, יליד 1997, שעבד כמאבטח והחזיק באקדח ברישיון, עסק גם במכירת סמים מסוג קנאביס באמצעות אפליקציית טלגרם. הנאשם היה מוביל את הסם, שנרכש על ידי אחרים, לנקודה עליה הוסכם מראש שם היה מוסר הסם ומקבל את התשלום עבור הסם. </w:t>
      </w:r>
    </w:p>
    <w:p w14:paraId="7658EEE1" w14:textId="77777777" w:rsidR="00E42E43" w:rsidRPr="0027334A" w:rsidRDefault="00E42E43" w:rsidP="00E42E43">
      <w:pPr>
        <w:spacing w:line="360" w:lineRule="auto"/>
        <w:jc w:val="both"/>
        <w:rPr>
          <w:rFonts w:ascii="Arial" w:hAnsi="Arial"/>
          <w:spacing w:val="22"/>
          <w:sz w:val="26"/>
          <w:szCs w:val="26"/>
          <w:rtl/>
        </w:rPr>
      </w:pPr>
    </w:p>
    <w:p w14:paraId="4CD125A0"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 xml:space="preserve">המנוח, מחמוד אבו חדיר, יליד 1993, הזמין סם באמצעות האפליקציה (50 גרם קנאביס תמורת 2,000 ₪). הנאשם יצא ברכבו מנתניה לירושלים ביום 14/8/20 לביצועה של העסקה (חלקו אמור היה להיות 350 ₪). בסמוך לשעה 00:30 הגיע הנאשם אל נקודת המפגש שנקבעה באזור הגבעה הצרפתית בירושלים, והתקשר אל המנוח אשר הכווין אותו לנקודת מפגש בשכונת שועפט. הנאשם הגיע למקום, יצא ממכוניתו והמתין למנוח שהגיע לאחר כשתי דקות. כאשר הגיע המנוח, מסר הנאשם למנוח את הסם ולאחר שהמנוח שאל מספר שאלות בנוגע עם איכות הסם, הכניס המנוח את ידו השמאלית לכיס השמאלי במכנסיו אולם במקום להוציא, כמצופה, את התשלום תמורת הסם, הוציא תרסיס גז פלפל, ריסס את הנאשם והחל להימלט מהמקום בריצה אל תוך השכונה. בעקבות ריסוס הגז, נרתע הנאשם מעט לאחור, אך בתוך שניות הוציא את אקדחו, דרך אותו והחל לרוץ בעקבות הנאשם. הנאשם ירה ירייה אחת באוויר ולאחר מכן, כאשר נוכח שהמנוח אינו עוצר, ירה שלוש יריות נוספות תוך כדי ריצה. אחד הקליעים פגע במרכז גופו של המנוח. הנאשם, בשלב זה, סב על עקבותיו, חזר למכוניתו ומשם נסע לביתו בנתניה, ואילו המנוח רץ עוד כ–150 מ', לבסוף התמוטט, פונה לבית חולים, אולם שם נקבע מותו. </w:t>
      </w:r>
    </w:p>
    <w:p w14:paraId="0E9D3695" w14:textId="77777777" w:rsidR="00E42E43" w:rsidRPr="0027334A" w:rsidRDefault="00E42E43" w:rsidP="00E42E43">
      <w:pPr>
        <w:spacing w:line="360" w:lineRule="auto"/>
        <w:jc w:val="both"/>
        <w:rPr>
          <w:rFonts w:ascii="Arial" w:hAnsi="Arial"/>
          <w:spacing w:val="22"/>
          <w:sz w:val="2"/>
          <w:szCs w:val="2"/>
          <w:rtl/>
        </w:rPr>
      </w:pPr>
    </w:p>
    <w:p w14:paraId="4043A23C" w14:textId="77777777" w:rsidR="00E42E43" w:rsidRPr="0027334A" w:rsidRDefault="00E42E43" w:rsidP="00E42E43">
      <w:pPr>
        <w:pStyle w:val="a9"/>
        <w:spacing w:line="360" w:lineRule="auto"/>
        <w:ind w:left="1080"/>
        <w:jc w:val="both"/>
        <w:rPr>
          <w:rFonts w:ascii="Arial" w:hAnsi="Arial"/>
          <w:spacing w:val="22"/>
          <w:sz w:val="26"/>
          <w:szCs w:val="26"/>
          <w:rtl/>
        </w:rPr>
      </w:pPr>
    </w:p>
    <w:p w14:paraId="7DB3A2CC"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2.</w:t>
      </w:r>
      <w:r w:rsidRPr="0027334A">
        <w:rPr>
          <w:rFonts w:ascii="Arial" w:hAnsi="Arial"/>
          <w:spacing w:val="22"/>
          <w:sz w:val="26"/>
          <w:szCs w:val="26"/>
          <w:rtl/>
        </w:rPr>
        <w:tab/>
        <w:t xml:space="preserve">הגעת הנאשם למקום המפגש, המפגש הראשוני, מסירת הסם, התזת הגז ורתיעת הנאשם, ההימלטות של המנוח ורדיפתו של הנאשם בעקבותיו כולל היריות הראשונה והשנייה, כל אלה מתועדים במצלמה שהייתה במקום. ההמשך, השלב שבו נורו יתר היריות והפגיעה במנוח – אינם </w:t>
      </w:r>
      <w:r w:rsidRPr="0027334A">
        <w:rPr>
          <w:rFonts w:ascii="Arial" w:hAnsi="Arial"/>
          <w:spacing w:val="22"/>
          <w:sz w:val="26"/>
          <w:szCs w:val="26"/>
          <w:rtl/>
        </w:rPr>
        <w:lastRenderedPageBreak/>
        <w:t xml:space="preserve">מתועדים. בהמשך, מתועדת החזרה של הנאשם למכוניתו ועזיבתו את המקום, כאשר כלל ההתרחשות ארכה פחות משתי דקות. </w:t>
      </w:r>
    </w:p>
    <w:p w14:paraId="6F79657E" w14:textId="77777777" w:rsidR="00E42E43" w:rsidRPr="0027334A" w:rsidRDefault="00E42E43" w:rsidP="00E42E43">
      <w:pPr>
        <w:spacing w:line="360" w:lineRule="auto"/>
        <w:jc w:val="both"/>
        <w:rPr>
          <w:rFonts w:ascii="Arial" w:hAnsi="Arial"/>
          <w:spacing w:val="22"/>
          <w:sz w:val="26"/>
          <w:szCs w:val="26"/>
          <w:rtl/>
        </w:rPr>
      </w:pPr>
    </w:p>
    <w:p w14:paraId="1F377681"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3.</w:t>
      </w:r>
      <w:r w:rsidRPr="0027334A">
        <w:rPr>
          <w:rFonts w:ascii="Arial" w:hAnsi="Arial"/>
          <w:spacing w:val="22"/>
          <w:sz w:val="26"/>
          <w:szCs w:val="26"/>
          <w:rtl/>
        </w:rPr>
        <w:tab/>
        <w:t xml:space="preserve">כן יש לציין כי כתב האישום ייחס לנאשם עבירת רצח לפי </w:t>
      </w:r>
      <w:hyperlink r:id="rId20" w:history="1">
        <w:r w:rsidR="00014BC7" w:rsidRPr="00014BC7">
          <w:rPr>
            <w:rStyle w:val="Hyperlink"/>
            <w:rFonts w:ascii="Arial" w:hAnsi="Arial"/>
            <w:spacing w:val="22"/>
            <w:sz w:val="26"/>
            <w:szCs w:val="26"/>
            <w:rtl/>
          </w:rPr>
          <w:t>סעיף 300(א)</w:t>
        </w:r>
      </w:hyperlink>
      <w:r w:rsidRPr="0027334A">
        <w:rPr>
          <w:rFonts w:ascii="Arial" w:hAnsi="Arial"/>
          <w:spacing w:val="22"/>
          <w:sz w:val="26"/>
          <w:szCs w:val="26"/>
          <w:rtl/>
        </w:rPr>
        <w:t xml:space="preserve"> ל</w:t>
      </w:r>
      <w:hyperlink r:id="rId21" w:history="1">
        <w:r w:rsidR="009E3AFD" w:rsidRPr="009E3AFD">
          <w:rPr>
            <w:rFonts w:ascii="Arial" w:hAnsi="Arial"/>
            <w:color w:val="0000FF"/>
            <w:spacing w:val="22"/>
            <w:sz w:val="26"/>
            <w:szCs w:val="26"/>
            <w:u w:val="single"/>
            <w:rtl/>
          </w:rPr>
          <w:t>חוק העונשין</w:t>
        </w:r>
      </w:hyperlink>
      <w:r w:rsidRPr="0027334A">
        <w:rPr>
          <w:rFonts w:ascii="Arial" w:hAnsi="Arial"/>
          <w:spacing w:val="22"/>
          <w:sz w:val="26"/>
          <w:szCs w:val="26"/>
          <w:rtl/>
        </w:rPr>
        <w:t xml:space="preserve"> (וכן עבירת סחר בסם), ולאחר שמיעת ראיות, הורשע כאמור הנאשם בעבירה של המתה בנסיבות של אחריות מופחתת. </w:t>
      </w:r>
    </w:p>
    <w:p w14:paraId="2DCA03B6" w14:textId="77777777" w:rsidR="00E42E43" w:rsidRPr="0027334A" w:rsidRDefault="00E42E43" w:rsidP="00E42E43">
      <w:pPr>
        <w:spacing w:line="360" w:lineRule="auto"/>
        <w:jc w:val="both"/>
        <w:rPr>
          <w:rFonts w:ascii="Arial" w:hAnsi="Arial"/>
          <w:spacing w:val="22"/>
          <w:sz w:val="38"/>
          <w:szCs w:val="38"/>
          <w:rtl/>
        </w:rPr>
      </w:pPr>
    </w:p>
    <w:p w14:paraId="39FD3695" w14:textId="77777777" w:rsidR="00E42E43" w:rsidRPr="0027334A" w:rsidRDefault="00E42E43" w:rsidP="00E42E43">
      <w:pPr>
        <w:spacing w:line="360" w:lineRule="auto"/>
        <w:jc w:val="both"/>
        <w:rPr>
          <w:rFonts w:ascii="Arial" w:hAnsi="Arial"/>
          <w:b/>
          <w:bCs/>
          <w:spacing w:val="22"/>
          <w:sz w:val="26"/>
          <w:szCs w:val="26"/>
          <w:rtl/>
        </w:rPr>
      </w:pPr>
      <w:r w:rsidRPr="0027334A">
        <w:rPr>
          <w:rFonts w:ascii="Arial" w:hAnsi="Arial"/>
          <w:spacing w:val="22"/>
          <w:sz w:val="26"/>
          <w:szCs w:val="26"/>
          <w:rtl/>
        </w:rPr>
        <w:tab/>
      </w:r>
      <w:r w:rsidRPr="0027334A">
        <w:rPr>
          <w:rFonts w:ascii="Arial" w:hAnsi="Arial"/>
          <w:b/>
          <w:bCs/>
          <w:spacing w:val="22"/>
          <w:sz w:val="26"/>
          <w:szCs w:val="26"/>
          <w:rtl/>
        </w:rPr>
        <w:t>טיעוני המאשימה</w:t>
      </w:r>
    </w:p>
    <w:p w14:paraId="4223C753" w14:textId="77777777" w:rsidR="00E42E43" w:rsidRPr="0027334A" w:rsidRDefault="00E42E43" w:rsidP="00E42E43">
      <w:pPr>
        <w:spacing w:line="360" w:lineRule="auto"/>
        <w:jc w:val="both"/>
        <w:rPr>
          <w:rFonts w:ascii="Arial" w:hAnsi="Arial"/>
          <w:b/>
          <w:bCs/>
          <w:spacing w:val="22"/>
          <w:sz w:val="14"/>
          <w:szCs w:val="14"/>
          <w:rtl/>
        </w:rPr>
      </w:pPr>
    </w:p>
    <w:p w14:paraId="71A282C8"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4.</w:t>
      </w:r>
      <w:r w:rsidRPr="0027334A">
        <w:rPr>
          <w:rFonts w:ascii="Arial" w:hAnsi="Arial"/>
          <w:spacing w:val="22"/>
          <w:sz w:val="26"/>
          <w:szCs w:val="26"/>
          <w:rtl/>
        </w:rPr>
        <w:tab/>
        <w:t xml:space="preserve">ב"כ המאשימה הפנתה לכך שנפגע הערך של קדושת החיים והעונש המרבי על העבירה בה הורשע הנאשם הנו 20 שנות מאסר, כעמדת המחוקק לעניין העונש הראוי. אמנם הנאשם לא תכנן מראש את מעשיו, אך מידת השליטה העצמית שלו נפגעה, בבחירתו לעסוק במכירת סמים. הנאשם היה זה שעשה שימוש באקדח, ירה מספר יריות, ולבסוף פגע במנוח. </w:t>
      </w:r>
    </w:p>
    <w:p w14:paraId="02802560" w14:textId="77777777" w:rsidR="00E42E43" w:rsidRPr="0027334A" w:rsidRDefault="00E42E43" w:rsidP="00E42E43">
      <w:pPr>
        <w:spacing w:line="360" w:lineRule="auto"/>
        <w:jc w:val="both"/>
        <w:rPr>
          <w:rFonts w:ascii="Arial" w:hAnsi="Arial"/>
          <w:spacing w:val="22"/>
          <w:sz w:val="26"/>
          <w:szCs w:val="26"/>
          <w:rtl/>
        </w:rPr>
      </w:pPr>
    </w:p>
    <w:p w14:paraId="09268AF3"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 xml:space="preserve">המתחם לו עתרה המאשימה הנו 16 ועד 20 שנות מאסר, בצירוף פיצויים ומאסר מותנה. נטען, כי את עונשו של הנאשם יש למקם בשליש התחתון. </w:t>
      </w:r>
    </w:p>
    <w:p w14:paraId="26AD532A" w14:textId="77777777" w:rsidR="00E42E43" w:rsidRPr="0027334A" w:rsidRDefault="00E42E43" w:rsidP="00E42E43">
      <w:pPr>
        <w:spacing w:line="360" w:lineRule="auto"/>
        <w:jc w:val="both"/>
        <w:rPr>
          <w:rFonts w:ascii="Arial" w:hAnsi="Arial"/>
          <w:spacing w:val="22"/>
          <w:sz w:val="26"/>
          <w:szCs w:val="26"/>
          <w:rtl/>
        </w:rPr>
      </w:pPr>
    </w:p>
    <w:p w14:paraId="625C3648"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 xml:space="preserve">המאשימה הפנתה לתסקיר לפיו הנאשם מתקשה להכיל את משמעות מותו של אדם אחר והוא עסוק בהשלכות העונש על עתידו. כן באה הפניה לתסקיר קורבן העבירה ולסבל משפחתו ובאה הפניה לפסיקה לעניין הטלת הפיצוי המקסימלי. לעניין עבירת הסמים נטען למתחם בין 4 חודשים שיכול שירוצו בעבודות שירות ועד לשנים עשר חודשי מאסר, ויש למקם הנאשם בתחתית מתחם זה. </w:t>
      </w:r>
    </w:p>
    <w:p w14:paraId="069B566B" w14:textId="77777777" w:rsidR="00E42E43" w:rsidRPr="0027334A" w:rsidRDefault="00E42E43" w:rsidP="00E42E43">
      <w:pPr>
        <w:spacing w:line="360" w:lineRule="auto"/>
        <w:jc w:val="both"/>
        <w:rPr>
          <w:rFonts w:ascii="Arial" w:hAnsi="Arial"/>
          <w:spacing w:val="22"/>
          <w:sz w:val="26"/>
          <w:szCs w:val="26"/>
          <w:rtl/>
        </w:rPr>
      </w:pPr>
    </w:p>
    <w:p w14:paraId="104EF208"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ab/>
        <w:t xml:space="preserve">ב"כ הנאשם הפנה </w:t>
      </w:r>
      <w:r w:rsidRPr="0027334A">
        <w:rPr>
          <w:rFonts w:ascii="Arial" w:hAnsi="Arial"/>
          <w:strike/>
          <w:spacing w:val="22"/>
          <w:sz w:val="26"/>
          <w:szCs w:val="26"/>
          <w:rtl/>
        </w:rPr>
        <w:t xml:space="preserve">גם </w:t>
      </w:r>
      <w:r w:rsidRPr="0027334A">
        <w:rPr>
          <w:rFonts w:ascii="Arial" w:hAnsi="Arial"/>
          <w:spacing w:val="22"/>
          <w:sz w:val="26"/>
          <w:szCs w:val="26"/>
          <w:rtl/>
        </w:rPr>
        <w:t>לכך שלעת הזו קשה למצוא פסיקה באשר למתחם הראוי לעבירת ההריגה בה הורשע הנאשם (הפנה ל</w:t>
      </w:r>
      <w:hyperlink r:id="rId22" w:history="1">
        <w:r w:rsidR="009E3AFD" w:rsidRPr="009E3AFD">
          <w:rPr>
            <w:rFonts w:ascii="Arial" w:hAnsi="Arial"/>
            <w:color w:val="0000FF"/>
            <w:spacing w:val="22"/>
            <w:sz w:val="26"/>
            <w:szCs w:val="26"/>
            <w:u w:val="single"/>
            <w:rtl/>
          </w:rPr>
          <w:t>תפ"ח 20966-01-21</w:t>
        </w:r>
      </w:hyperlink>
      <w:r w:rsidRPr="0027334A">
        <w:rPr>
          <w:rFonts w:ascii="Arial" w:hAnsi="Arial"/>
          <w:spacing w:val="22"/>
          <w:sz w:val="26"/>
          <w:szCs w:val="26"/>
          <w:rtl/>
        </w:rPr>
        <w:t xml:space="preserve">, לפסיקה בנוגע לעבירת ההריגה והמנעד הרחב לגביה). מדובר בענייננו, באחריות מופחתת שעה שהמעשה נעשה עקב קנטור, מבלי שהייתה לנאשם כוונת קטילה או תכנית לעשות כן והמנוח, היה זה אשר בעצם חולל את האירוע. בתיק זה, כך נטען, לא חלה "תרבות הסכין", תרבות עבריינית אלימה, אלא מדובר במפגש אקראי במסגרת עסקת סמים ומדובר באירוע אנושי. הנאשם הנו אדם צעיר שמעד, כל חייו לפניו ונטען כי המתחם הראוי בעניינו הנו 8 עד 14 שנות מאסר ויש למקם אותו בשליש התחתון של המתחם. אף שאין להתעלם מעסקת הסמים, היא אינה קשורה לאירוע. הנאשם, כך הוסיף הסנגור, שירת בצה"ל תיפקד ועבד, נעדר עבר פלילי.  האירוע ארך עשרות שניות כאשר הנאשם לא צפה את התקיפה אותה ספג (באמצעות גז הפלפל). </w:t>
      </w:r>
    </w:p>
    <w:p w14:paraId="3FA7E85C" w14:textId="77777777" w:rsidR="00E42E43" w:rsidRPr="0027334A" w:rsidRDefault="00E42E43" w:rsidP="00E42E43">
      <w:pPr>
        <w:spacing w:line="360" w:lineRule="auto"/>
        <w:jc w:val="both"/>
        <w:rPr>
          <w:rFonts w:ascii="Arial" w:hAnsi="Arial"/>
          <w:spacing w:val="22"/>
          <w:sz w:val="26"/>
          <w:szCs w:val="26"/>
          <w:rtl/>
        </w:rPr>
      </w:pPr>
    </w:p>
    <w:p w14:paraId="2789E7E4"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ab/>
        <w:t xml:space="preserve">הנאשם ביקש סליחה ממשפחת הקורבן, הוסיף כי לא היה בכוונתו להרוג אדם, הוא מבין שעליו לקבל עונשו, אך מבקש שיוטל עונש שיאפשר לו להמשיך את חייו. </w:t>
      </w:r>
    </w:p>
    <w:p w14:paraId="7091E0D4"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ab/>
      </w:r>
    </w:p>
    <w:p w14:paraId="276B1E67" w14:textId="77777777" w:rsidR="00E42E43"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5.</w:t>
      </w:r>
      <w:r w:rsidRPr="0027334A">
        <w:rPr>
          <w:rFonts w:ascii="Arial" w:hAnsi="Arial"/>
          <w:spacing w:val="22"/>
          <w:sz w:val="26"/>
          <w:szCs w:val="26"/>
          <w:rtl/>
        </w:rPr>
        <w:tab/>
        <w:t>במסגרת הטיעונים לעונש העיד אביו של המנוח, עבד אלטיף, אבו חדיר, אשר העיד על הצער הרב באובדן בן צעיר (עדותו הייתה קצרה מאוד)</w:t>
      </w:r>
      <w:r w:rsidRPr="0027334A">
        <w:rPr>
          <w:rFonts w:ascii="Arial" w:hAnsi="Arial" w:hint="cs"/>
          <w:spacing w:val="22"/>
          <w:sz w:val="26"/>
          <w:szCs w:val="26"/>
          <w:rtl/>
        </w:rPr>
        <w:t>.</w:t>
      </w:r>
    </w:p>
    <w:p w14:paraId="537A12C9"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 xml:space="preserve"> </w:t>
      </w:r>
    </w:p>
    <w:p w14:paraId="0D2F79CC"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6.</w:t>
      </w:r>
      <w:r w:rsidRPr="0027334A">
        <w:rPr>
          <w:rFonts w:ascii="Arial" w:hAnsi="Arial"/>
          <w:spacing w:val="22"/>
          <w:sz w:val="26"/>
          <w:szCs w:val="26"/>
          <w:rtl/>
        </w:rPr>
        <w:tab/>
        <w:t xml:space="preserve">מטעם הנאשם העידה אמו, אביבית פלד, אשר ביקשה כי בית המשפט ייקח בחשבון בעת גזירת העונש גם את האסון שנפל על בנה, ושיוכל, לאחר ריצוי עונשו, לחיות את חייו, זאת מבלי שהמעיטה מכאבם של בני משפחת המנוח. לדבריה, אביו של הנאשם עזב את הארץ לפני שנים רבות והקשר שלו עם הנאשם רופף. </w:t>
      </w:r>
    </w:p>
    <w:p w14:paraId="7160333D" w14:textId="77777777" w:rsidR="00E42E43" w:rsidRPr="0027334A" w:rsidRDefault="00E42E43" w:rsidP="00E42E43">
      <w:pPr>
        <w:spacing w:line="360" w:lineRule="auto"/>
        <w:jc w:val="both"/>
        <w:rPr>
          <w:rFonts w:ascii="Arial" w:hAnsi="Arial"/>
          <w:spacing w:val="22"/>
          <w:sz w:val="26"/>
          <w:szCs w:val="26"/>
          <w:rtl/>
        </w:rPr>
      </w:pPr>
    </w:p>
    <w:p w14:paraId="129AAAD7"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 xml:space="preserve">       כן הוגשה חוות דעת מטעם סגן אלוף גלעד מילס, שהיה מפקד הפלוגה בה שירת הנאשם בשירות סדיר. בחוות הדעת פורט, בין היתר, כי הנאשם היה "נקודת אור" במחלקה המורכבת בה שירת, היה חיל ממושמע, מקצועי, שאפשר היה לסמוך עליו. כן נאמר כי באות פניות לא מעטות לסגן אלוף מילס למתן חוות דעת, אך לא לכולן הוא נרתם, להבדיל מהנאשם.</w:t>
      </w:r>
    </w:p>
    <w:p w14:paraId="5298C15D" w14:textId="77777777" w:rsidR="00E42E43" w:rsidRPr="0027334A" w:rsidRDefault="00E42E43" w:rsidP="00E42E43">
      <w:pPr>
        <w:spacing w:line="360" w:lineRule="auto"/>
        <w:jc w:val="both"/>
        <w:rPr>
          <w:rFonts w:ascii="Arial" w:hAnsi="Arial"/>
          <w:spacing w:val="22"/>
          <w:sz w:val="32"/>
          <w:szCs w:val="32"/>
          <w:rtl/>
        </w:rPr>
      </w:pPr>
    </w:p>
    <w:p w14:paraId="493EDCA9"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ab/>
      </w:r>
      <w:r w:rsidRPr="0027334A">
        <w:rPr>
          <w:rFonts w:ascii="Arial" w:hAnsi="Arial"/>
          <w:b/>
          <w:bCs/>
          <w:spacing w:val="22"/>
          <w:sz w:val="26"/>
          <w:szCs w:val="26"/>
          <w:rtl/>
        </w:rPr>
        <w:t xml:space="preserve">תסקיר שירות המבחן: </w:t>
      </w:r>
    </w:p>
    <w:p w14:paraId="0BA40B00" w14:textId="77777777" w:rsidR="00E42E43" w:rsidRPr="0027334A" w:rsidRDefault="00E42E43" w:rsidP="00E42E43">
      <w:pPr>
        <w:spacing w:line="360" w:lineRule="auto"/>
        <w:jc w:val="both"/>
        <w:rPr>
          <w:rFonts w:ascii="Arial" w:hAnsi="Arial"/>
          <w:spacing w:val="22"/>
          <w:sz w:val="14"/>
          <w:szCs w:val="14"/>
          <w:rtl/>
        </w:rPr>
      </w:pPr>
    </w:p>
    <w:p w14:paraId="2F46BD0B"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7.</w:t>
      </w:r>
      <w:r w:rsidRPr="0027334A">
        <w:rPr>
          <w:rFonts w:ascii="Arial" w:hAnsi="Arial"/>
          <w:spacing w:val="22"/>
          <w:sz w:val="26"/>
          <w:szCs w:val="26"/>
          <w:rtl/>
        </w:rPr>
        <w:tab/>
        <w:t xml:space="preserve">תסקיר שירות מבחן שניתן בנוגע עם הנאשם מפרט את נסיבות חייו: רווק, התגורר בנתניה, עבד כמאבטח, שירת שירות מלא בצה"ל והובאו נסיבותיו המשפחתיות. שירות המבחן מפרט, בין היתר, כי הנאשם מכיר בחומרת מעשיו, ומקבל אחריות על התוצאה הקשה. שירות המבחן המליץ להתחשב בגילו הצעיר, בחלקים הנורמטיביים שבאישיותו, בחריגות האירוע ומורכבותו, כמו גם בקבלת אחריות על התנהגותו והמשבר שחווה. </w:t>
      </w:r>
    </w:p>
    <w:p w14:paraId="47CF11C2" w14:textId="77777777" w:rsidR="00E42E43" w:rsidRDefault="00E42E43" w:rsidP="00E42E43">
      <w:pPr>
        <w:spacing w:line="360" w:lineRule="auto"/>
        <w:jc w:val="both"/>
        <w:rPr>
          <w:rFonts w:ascii="Arial" w:hAnsi="Arial"/>
          <w:spacing w:val="22"/>
          <w:sz w:val="38"/>
          <w:szCs w:val="38"/>
          <w:rtl/>
        </w:rPr>
      </w:pPr>
    </w:p>
    <w:p w14:paraId="6DE9133E" w14:textId="77777777" w:rsidR="00E42E43" w:rsidRDefault="00E42E43" w:rsidP="00E42E43">
      <w:pPr>
        <w:spacing w:line="360" w:lineRule="auto"/>
        <w:jc w:val="both"/>
        <w:rPr>
          <w:rFonts w:ascii="Arial" w:hAnsi="Arial"/>
          <w:spacing w:val="22"/>
          <w:sz w:val="38"/>
          <w:szCs w:val="38"/>
          <w:rtl/>
        </w:rPr>
      </w:pPr>
    </w:p>
    <w:p w14:paraId="21943493" w14:textId="77777777" w:rsidR="00E42E43" w:rsidRDefault="00E42E43" w:rsidP="00E42E43">
      <w:pPr>
        <w:spacing w:line="360" w:lineRule="auto"/>
        <w:jc w:val="both"/>
        <w:rPr>
          <w:rFonts w:ascii="Arial" w:hAnsi="Arial"/>
          <w:spacing w:val="22"/>
          <w:sz w:val="26"/>
          <w:szCs w:val="26"/>
          <w:rtl/>
        </w:rPr>
      </w:pPr>
    </w:p>
    <w:p w14:paraId="4DB1B967" w14:textId="77777777" w:rsidR="00E42E43" w:rsidRPr="0027334A" w:rsidRDefault="00E42E43" w:rsidP="00E42E43">
      <w:pPr>
        <w:spacing w:line="360" w:lineRule="auto"/>
        <w:jc w:val="both"/>
        <w:rPr>
          <w:rFonts w:ascii="Arial" w:hAnsi="Arial"/>
          <w:b/>
          <w:bCs/>
          <w:spacing w:val="22"/>
          <w:sz w:val="26"/>
          <w:szCs w:val="26"/>
          <w:rtl/>
        </w:rPr>
      </w:pPr>
      <w:r w:rsidRPr="0027334A">
        <w:rPr>
          <w:rFonts w:ascii="Arial" w:hAnsi="Arial"/>
          <w:spacing w:val="22"/>
          <w:sz w:val="26"/>
          <w:szCs w:val="26"/>
          <w:rtl/>
        </w:rPr>
        <w:tab/>
      </w:r>
      <w:r w:rsidRPr="0027334A">
        <w:rPr>
          <w:rFonts w:ascii="Arial" w:hAnsi="Arial"/>
          <w:b/>
          <w:bCs/>
          <w:spacing w:val="22"/>
          <w:sz w:val="26"/>
          <w:szCs w:val="26"/>
          <w:rtl/>
        </w:rPr>
        <w:t>תסקיר הקורבן:</w:t>
      </w:r>
    </w:p>
    <w:p w14:paraId="362281A1" w14:textId="77777777" w:rsidR="00E42E43" w:rsidRPr="0027334A" w:rsidRDefault="00E42E43" w:rsidP="00E42E43">
      <w:pPr>
        <w:spacing w:line="360" w:lineRule="auto"/>
        <w:jc w:val="both"/>
        <w:rPr>
          <w:rFonts w:ascii="Arial" w:hAnsi="Arial"/>
          <w:b/>
          <w:bCs/>
          <w:spacing w:val="22"/>
          <w:sz w:val="16"/>
          <w:szCs w:val="16"/>
          <w:rtl/>
        </w:rPr>
      </w:pPr>
    </w:p>
    <w:p w14:paraId="64D3D5D4"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8.</w:t>
      </w:r>
      <w:r w:rsidRPr="0027334A">
        <w:rPr>
          <w:rFonts w:ascii="Arial" w:hAnsi="Arial"/>
          <w:spacing w:val="22"/>
          <w:sz w:val="26"/>
          <w:szCs w:val="26"/>
          <w:rtl/>
        </w:rPr>
        <w:tab/>
        <w:t xml:space="preserve">תסקיר נפגע העבירה מתייחס לכלל בני משפחת המנוח: הוריו, ולאחיו ואחיותיו. (למנוח זוג הורים ושישה אחים ואחיות). אין זה המקום לפרט האמור בתסקיר, אך ייאמר כי בא פירוט לנזקים הקשים שנגרמו לבני המשפחה כתוצאה ממות המנוח, שהיה דמות משמעותית ואהובה בקרב המשפחה, תוך התמודדות עם תחושות אשמה קשות באשר לשאלה האם היו יכולים לעשות יותר, לקדם הליך גמילה מסמים של המנוח, לעודדו לאמץ אורח חיים בונה ומאורגן יותר ובכך להפחית הסיכון הכרוך באורח חייו. בתסקיר באה התייחסות מפורטת לאב, לאם ולאחיו ואחיותיו של המנוח, והקושי שכל אחד ואחת מהם חווה עקב האירוע: הצער ממשיך ללוותם, מות המנוח אינו נותן להם שקט נפשי והם מתקשים להכיל את האובדן. בתסקיר נפגע עבירה באה המלצה להטיל על הנאשם פיצוי משמעותי. </w:t>
      </w:r>
    </w:p>
    <w:p w14:paraId="2DBF05C7" w14:textId="77777777" w:rsidR="00E42E43" w:rsidRPr="0027334A" w:rsidRDefault="00E42E43" w:rsidP="00E42E43">
      <w:pPr>
        <w:spacing w:line="360" w:lineRule="auto"/>
        <w:jc w:val="both"/>
        <w:rPr>
          <w:rFonts w:ascii="Arial" w:hAnsi="Arial"/>
          <w:spacing w:val="22"/>
          <w:sz w:val="34"/>
          <w:szCs w:val="34"/>
          <w:rtl/>
        </w:rPr>
      </w:pPr>
    </w:p>
    <w:p w14:paraId="144D5C04" w14:textId="77777777" w:rsidR="00E42E43" w:rsidRPr="0027334A" w:rsidRDefault="00E42E43" w:rsidP="00E42E43">
      <w:pPr>
        <w:spacing w:line="360" w:lineRule="auto"/>
        <w:jc w:val="both"/>
        <w:rPr>
          <w:rFonts w:ascii="Arial" w:hAnsi="Arial"/>
          <w:b/>
          <w:bCs/>
          <w:spacing w:val="22"/>
          <w:sz w:val="26"/>
          <w:szCs w:val="26"/>
          <w:rtl/>
        </w:rPr>
      </w:pPr>
      <w:r>
        <w:rPr>
          <w:rFonts w:ascii="Arial" w:hAnsi="Arial"/>
          <w:b/>
          <w:bCs/>
          <w:spacing w:val="22"/>
          <w:sz w:val="26"/>
          <w:szCs w:val="26"/>
          <w:rtl/>
        </w:rPr>
        <w:tab/>
      </w:r>
      <w:r w:rsidRPr="0027334A">
        <w:rPr>
          <w:rFonts w:ascii="Arial" w:hAnsi="Arial"/>
          <w:b/>
          <w:bCs/>
          <w:spacing w:val="22"/>
          <w:sz w:val="26"/>
          <w:szCs w:val="26"/>
          <w:rtl/>
        </w:rPr>
        <w:t xml:space="preserve">דיון ומסקנות: </w:t>
      </w:r>
    </w:p>
    <w:p w14:paraId="76CFCC2F" w14:textId="77777777" w:rsidR="00E42E43" w:rsidRPr="0027334A" w:rsidRDefault="00E42E43" w:rsidP="00E42E43">
      <w:pPr>
        <w:spacing w:line="360" w:lineRule="auto"/>
        <w:jc w:val="both"/>
        <w:rPr>
          <w:rFonts w:ascii="Arial" w:hAnsi="Arial"/>
          <w:b/>
          <w:bCs/>
          <w:spacing w:val="22"/>
          <w:sz w:val="26"/>
          <w:szCs w:val="26"/>
          <w:rtl/>
        </w:rPr>
      </w:pPr>
    </w:p>
    <w:p w14:paraId="1CD912E6" w14:textId="77777777" w:rsidR="00E42E43" w:rsidRPr="0027334A" w:rsidRDefault="00E42E43" w:rsidP="00E42E43">
      <w:pPr>
        <w:spacing w:line="360" w:lineRule="auto"/>
        <w:jc w:val="both"/>
        <w:rPr>
          <w:rFonts w:ascii="Arial" w:hAnsi="Arial"/>
          <w:spacing w:val="22"/>
          <w:sz w:val="26"/>
          <w:szCs w:val="26"/>
          <w:rtl/>
        </w:rPr>
      </w:pPr>
      <w:r w:rsidRPr="0027334A">
        <w:rPr>
          <w:rFonts w:ascii="Arial" w:hAnsi="Arial"/>
          <w:spacing w:val="22"/>
          <w:sz w:val="26"/>
          <w:szCs w:val="26"/>
          <w:rtl/>
        </w:rPr>
        <w:t>9.</w:t>
      </w:r>
      <w:r w:rsidRPr="0027334A">
        <w:rPr>
          <w:rFonts w:ascii="Arial" w:hAnsi="Arial"/>
          <w:spacing w:val="22"/>
          <w:sz w:val="26"/>
          <w:szCs w:val="26"/>
          <w:rtl/>
        </w:rPr>
        <w:tab/>
        <w:t>תיקון 137 ל</w:t>
      </w:r>
      <w:hyperlink r:id="rId23" w:history="1">
        <w:r w:rsidR="009E3AFD" w:rsidRPr="009E3AFD">
          <w:rPr>
            <w:rFonts w:ascii="Arial" w:hAnsi="Arial"/>
            <w:color w:val="0000FF"/>
            <w:spacing w:val="22"/>
            <w:sz w:val="26"/>
            <w:szCs w:val="26"/>
            <w:u w:val="single"/>
            <w:rtl/>
          </w:rPr>
          <w:t>חוק העונשין</w:t>
        </w:r>
      </w:hyperlink>
      <w:r w:rsidRPr="0027334A">
        <w:rPr>
          <w:rFonts w:ascii="Arial" w:hAnsi="Arial"/>
          <w:spacing w:val="22"/>
          <w:sz w:val="26"/>
          <w:szCs w:val="26"/>
          <w:rtl/>
        </w:rPr>
        <w:t xml:space="preserve"> משנת 2019 הוליד, בין היתר, את עבירת ההמתה בנסיבות של אחריות מופחתת: המתת קורבן בתכוף לאחר התגרות מצד הקורבן ובתגובה לאותה התגרות באופן שבעקבות ההתגרות, הנאשם התקשה במידה נכרת לשלוט בעצמו וכי יש בקושי זה כדי למתן את אשמת הנאשם בנסיבות העניין. כאמור, בעניינו של הנאשם, נמצא כי חלה הוראה זו – </w:t>
      </w:r>
      <w:hyperlink r:id="rId24" w:history="1">
        <w:r w:rsidR="00014BC7" w:rsidRPr="00014BC7">
          <w:rPr>
            <w:rStyle w:val="Hyperlink"/>
            <w:rFonts w:ascii="Arial" w:hAnsi="Arial"/>
            <w:spacing w:val="22"/>
            <w:sz w:val="26"/>
            <w:szCs w:val="26"/>
            <w:rtl/>
          </w:rPr>
          <w:t>סעיף 301ב(ב)(1)</w:t>
        </w:r>
      </w:hyperlink>
      <w:r w:rsidRPr="0027334A">
        <w:rPr>
          <w:rFonts w:ascii="Arial" w:hAnsi="Arial"/>
          <w:spacing w:val="22"/>
          <w:sz w:val="26"/>
          <w:szCs w:val="26"/>
          <w:rtl/>
        </w:rPr>
        <w:t xml:space="preserve"> לחוק. </w:t>
      </w:r>
    </w:p>
    <w:p w14:paraId="4EB6C3B7" w14:textId="77777777" w:rsidR="00E42E43" w:rsidRPr="003D7E1E" w:rsidRDefault="00E42E43" w:rsidP="00E42E43">
      <w:pPr>
        <w:spacing w:line="360" w:lineRule="auto"/>
        <w:jc w:val="both"/>
        <w:rPr>
          <w:rFonts w:ascii="Arial" w:hAnsi="Arial"/>
          <w:spacing w:val="22"/>
          <w:sz w:val="26"/>
          <w:szCs w:val="26"/>
          <w:rtl/>
        </w:rPr>
      </w:pPr>
    </w:p>
    <w:p w14:paraId="547F2C3B" w14:textId="77777777" w:rsidR="00E42E43" w:rsidRPr="003D7E1E" w:rsidRDefault="00E42E43" w:rsidP="00E42E43">
      <w:pPr>
        <w:spacing w:line="360" w:lineRule="auto"/>
        <w:jc w:val="both"/>
        <w:rPr>
          <w:rFonts w:ascii="Arial" w:hAnsi="Arial"/>
          <w:spacing w:val="22"/>
          <w:sz w:val="4"/>
          <w:szCs w:val="4"/>
          <w:rtl/>
        </w:rPr>
      </w:pPr>
      <w:r w:rsidRPr="003D7E1E">
        <w:rPr>
          <w:rFonts w:ascii="Arial" w:hAnsi="Arial"/>
          <w:spacing w:val="22"/>
          <w:sz w:val="26"/>
          <w:szCs w:val="26"/>
          <w:rtl/>
        </w:rPr>
        <w:t>10.</w:t>
      </w:r>
      <w:r w:rsidRPr="003D7E1E">
        <w:rPr>
          <w:rFonts w:ascii="Arial" w:hAnsi="Arial"/>
          <w:spacing w:val="22"/>
          <w:sz w:val="26"/>
          <w:szCs w:val="26"/>
          <w:rtl/>
        </w:rPr>
        <w:tab/>
        <w:t xml:space="preserve">הוראה זו מתייחסת לאותם מצבים שבעבר חסו תחת עבירת הריגה או תחת עבירת הרצח במקרים בהם הועלתה טענת קנטור (קנטור במובן של  מידת אשמה פחותה אך ללא פטור מאחריות פלילית, ובהתאם – הפחתה בעונש). כיום, ובשונה מהמצב הקודם, התקיימות קנטור הנה נסיבה המובילה להפחתה בעונש תוך קיומם של היבט סובייקטיבי בקושי במידה ניכרת לשליטה עצמית והאובייקטיבי </w:t>
      </w:r>
      <w:r w:rsidRPr="003D7E1E">
        <w:rPr>
          <w:rFonts w:ascii="Arial" w:hAnsi="Arial" w:hint="cs"/>
          <w:spacing w:val="22"/>
          <w:sz w:val="26"/>
          <w:szCs w:val="26"/>
          <w:rtl/>
        </w:rPr>
        <w:t>(</w:t>
      </w:r>
      <w:r w:rsidRPr="003D7E1E">
        <w:rPr>
          <w:rFonts w:ascii="Arial" w:hAnsi="Arial"/>
          <w:spacing w:val="22"/>
          <w:sz w:val="26"/>
          <w:szCs w:val="26"/>
          <w:rtl/>
        </w:rPr>
        <w:t>בקושי למתן את אשמתו של הנאשם בשים לב למכלול נסיבות העניין (ע"פ 1130/14)</w:t>
      </w:r>
      <w:r w:rsidRPr="003D7E1E">
        <w:rPr>
          <w:rFonts w:ascii="Arial" w:hAnsi="Arial" w:hint="cs"/>
          <w:spacing w:val="22"/>
          <w:sz w:val="26"/>
          <w:szCs w:val="26"/>
          <w:rtl/>
        </w:rPr>
        <w:t>.</w:t>
      </w:r>
      <w:r w:rsidRPr="003D7E1E">
        <w:rPr>
          <w:rFonts w:ascii="Arial" w:hAnsi="Arial"/>
          <w:spacing w:val="22"/>
          <w:sz w:val="4"/>
          <w:szCs w:val="4"/>
          <w:rtl/>
        </w:rPr>
        <w:t xml:space="preserve"> </w:t>
      </w:r>
    </w:p>
    <w:p w14:paraId="2DD0AABA" w14:textId="77777777" w:rsidR="00E42E43" w:rsidRPr="003D7E1E" w:rsidRDefault="00E42E43" w:rsidP="00E42E43">
      <w:pPr>
        <w:spacing w:line="360" w:lineRule="auto"/>
        <w:jc w:val="both"/>
        <w:rPr>
          <w:rFonts w:ascii="Arial" w:hAnsi="Arial"/>
          <w:b/>
          <w:bCs/>
          <w:spacing w:val="22"/>
          <w:sz w:val="26"/>
          <w:szCs w:val="26"/>
          <w:rtl/>
        </w:rPr>
      </w:pPr>
      <w:r w:rsidRPr="003D7E1E">
        <w:rPr>
          <w:rFonts w:ascii="Arial" w:hAnsi="Arial"/>
          <w:spacing w:val="22"/>
          <w:sz w:val="26"/>
          <w:szCs w:val="26"/>
          <w:rtl/>
        </w:rPr>
        <w:tab/>
      </w:r>
    </w:p>
    <w:p w14:paraId="39326C80"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6"/>
          <w:szCs w:val="26"/>
          <w:rtl/>
        </w:rPr>
        <w:t>11.</w:t>
      </w:r>
      <w:r w:rsidRPr="003D7E1E">
        <w:rPr>
          <w:rFonts w:ascii="Arial" w:hAnsi="Arial"/>
          <w:spacing w:val="22"/>
          <w:sz w:val="26"/>
          <w:szCs w:val="26"/>
          <w:rtl/>
        </w:rPr>
        <w:tab/>
        <w:t>הערכים המוגנים שנפגעו הנם הערכים החשובים בנמצא: שלמות הגוף וקדושת החיים. ב</w:t>
      </w:r>
      <w:hyperlink r:id="rId25" w:history="1">
        <w:r w:rsidR="009E3AFD" w:rsidRPr="009E3AFD">
          <w:rPr>
            <w:rFonts w:ascii="Arial" w:hAnsi="Arial"/>
            <w:color w:val="0000FF"/>
            <w:spacing w:val="22"/>
            <w:sz w:val="26"/>
            <w:szCs w:val="26"/>
            <w:u w:val="single"/>
            <w:rtl/>
          </w:rPr>
          <w:t>עפ9232/18</w:t>
        </w:r>
      </w:hyperlink>
      <w:r w:rsidRPr="003D7E1E">
        <w:rPr>
          <w:rFonts w:ascii="Arial" w:hAnsi="Arial"/>
          <w:b/>
          <w:bCs/>
          <w:spacing w:val="22"/>
          <w:sz w:val="26"/>
          <w:szCs w:val="26"/>
          <w:rtl/>
        </w:rPr>
        <w:t xml:space="preserve"> ‏גיאורגי טוטיקוב נ' מדינת ישראל</w:t>
      </w:r>
      <w:r w:rsidRPr="003D7E1E">
        <w:rPr>
          <w:rFonts w:ascii="Arial" w:hAnsi="Arial"/>
          <w:spacing w:val="22"/>
          <w:sz w:val="26"/>
          <w:szCs w:val="26"/>
          <w:rtl/>
        </w:rPr>
        <w:t xml:space="preserve"> (5.11.2020) נכתב לעניין זה: </w:t>
      </w:r>
      <w:r w:rsidRPr="003D7E1E">
        <w:rPr>
          <w:rFonts w:ascii="Arial" w:hAnsi="Arial"/>
          <w:b/>
          <w:bCs/>
          <w:spacing w:val="22"/>
          <w:sz w:val="26"/>
          <w:szCs w:val="26"/>
          <w:rtl/>
        </w:rPr>
        <w:t>"המערער</w:t>
      </w:r>
      <w:r w:rsidR="009E3AFD">
        <w:rPr>
          <w:rFonts w:ascii="Arial" w:hAnsi="Arial"/>
          <w:b/>
          <w:bCs/>
          <w:spacing w:val="22"/>
          <w:sz w:val="26"/>
          <w:szCs w:val="26"/>
          <w:rtl/>
        </w:rPr>
        <w:t xml:space="preserve"> </w:t>
      </w:r>
      <w:r w:rsidRPr="003D7E1E">
        <w:rPr>
          <w:rFonts w:ascii="Arial" w:hAnsi="Arial"/>
          <w:b/>
          <w:bCs/>
          <w:spacing w:val="22"/>
          <w:sz w:val="26"/>
          <w:szCs w:val="26"/>
          <w:rtl/>
        </w:rPr>
        <w:t xml:space="preserve">קטל אדם בגין עניין שאינו עניין, באופן שממחיש בצורה חמורה זילות של חיי אדם. ערך קדושת החיים, שנשען על המשקל הסגולי והייחודי של כל אדם, נסוג הרחק לאחור ערכים אלה מובילים בקביעת העונש בעבירות המתה" </w:t>
      </w:r>
      <w:r w:rsidRPr="003D7E1E">
        <w:rPr>
          <w:rFonts w:ascii="Arial" w:hAnsi="Arial"/>
          <w:spacing w:val="22"/>
          <w:sz w:val="26"/>
          <w:szCs w:val="26"/>
          <w:rtl/>
        </w:rPr>
        <w:t>(שם, פסקה 8).</w:t>
      </w:r>
      <w:r w:rsidRPr="003D7E1E">
        <w:rPr>
          <w:rFonts w:ascii="Arial" w:hAnsi="Arial"/>
          <w:b/>
          <w:bCs/>
          <w:spacing w:val="22"/>
          <w:sz w:val="26"/>
          <w:szCs w:val="26"/>
          <w:rtl/>
        </w:rPr>
        <w:t xml:space="preserve"> </w:t>
      </w:r>
    </w:p>
    <w:p w14:paraId="5E79368D" w14:textId="77777777" w:rsidR="00E42E43" w:rsidRPr="003D7E1E" w:rsidRDefault="00E42E43" w:rsidP="00E42E43">
      <w:pPr>
        <w:spacing w:line="360" w:lineRule="auto"/>
        <w:jc w:val="both"/>
        <w:rPr>
          <w:rFonts w:ascii="Arial" w:hAnsi="Arial"/>
          <w:spacing w:val="22"/>
          <w:sz w:val="26"/>
          <w:szCs w:val="26"/>
          <w:rtl/>
        </w:rPr>
      </w:pPr>
    </w:p>
    <w:p w14:paraId="6B2EA712" w14:textId="77777777" w:rsidR="00E42E43" w:rsidRPr="003D7E1E" w:rsidRDefault="00E42E43" w:rsidP="00E42E43">
      <w:pPr>
        <w:spacing w:line="360" w:lineRule="auto"/>
        <w:jc w:val="both"/>
        <w:rPr>
          <w:rFonts w:ascii="David" w:hAnsi="David"/>
          <w:spacing w:val="22"/>
          <w:rtl/>
        </w:rPr>
      </w:pPr>
      <w:r w:rsidRPr="003D7E1E">
        <w:rPr>
          <w:rFonts w:ascii="Arial" w:hAnsi="Arial"/>
          <w:spacing w:val="22"/>
          <w:sz w:val="26"/>
          <w:szCs w:val="26"/>
          <w:rtl/>
        </w:rPr>
        <w:tab/>
        <w:t>בבסיס האירוע שלפנינו מונחת התנהגות המנוח אשר גנב את הסמים והתיז גז פלפל אל עבר הנאשם, במקום שאינו מוכר לנאשם ושאינו המקום שנקבע כמקום המפגש (מקום המפגש שנקבע היה מקום ציבורי והומה יותר: תחנת הרכבת הקלה בגבעה הצרפתית), אלא מקום מבודד יחסית ושאינו ידידותי בהגעתו לשכונה ערבית כפי עדות הנאשם. מעשי הנאשם, אף שכאמור בהכרעת הדין היו פסולים, נעשו באופן ספונטני, ללא תכנון מוקדם, בתגובה להתזת גז פלפל וגניבת הסם, ובסופו של דבר הוא הורשע כאמור בעבירת המתה בנסיבות של אחריות מופחתת. עבירה זו הנה עבירה חדשה, כחלק  מתיקון 137 ל</w:t>
      </w:r>
      <w:hyperlink r:id="rId26" w:history="1">
        <w:r w:rsidR="009E3AFD" w:rsidRPr="009E3AFD">
          <w:rPr>
            <w:rFonts w:ascii="Arial" w:hAnsi="Arial"/>
            <w:color w:val="0000FF"/>
            <w:spacing w:val="22"/>
            <w:sz w:val="26"/>
            <w:szCs w:val="26"/>
            <w:u w:val="single"/>
            <w:rtl/>
          </w:rPr>
          <w:t>חוק העונשין</w:t>
        </w:r>
      </w:hyperlink>
      <w:r w:rsidRPr="003D7E1E">
        <w:rPr>
          <w:rFonts w:ascii="Arial" w:hAnsi="Arial"/>
          <w:spacing w:val="22"/>
          <w:sz w:val="26"/>
          <w:szCs w:val="26"/>
          <w:rtl/>
        </w:rPr>
        <w:t xml:space="preserve"> ובדומה לדברי ב"כ הצדדים בפנינו, התקשינו גם אנו למצוא פסיקה במקרים דומים למקרה ולנסיבות שבפנינו. קשה ללמוד מענישה שנקבעה בעניין עבירות הריגה לעניין מתחם העונש והעונש הראוי לעניין עבירה זו, שכן מנעד הענישה בעבירות הריגה היה רחב מאוד, כל מקרה לפי נסיבותיו. </w:t>
      </w:r>
    </w:p>
    <w:p w14:paraId="77CC544C" w14:textId="77777777" w:rsidR="00E42E43" w:rsidRPr="003D7E1E" w:rsidRDefault="00E42E43" w:rsidP="00E42E43">
      <w:pPr>
        <w:spacing w:line="360" w:lineRule="auto"/>
        <w:jc w:val="both"/>
        <w:rPr>
          <w:rFonts w:ascii="David" w:hAnsi="David"/>
          <w:spacing w:val="22"/>
          <w:rtl/>
        </w:rPr>
      </w:pPr>
    </w:p>
    <w:p w14:paraId="74CAE410"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8"/>
          <w:szCs w:val="28"/>
          <w:rtl/>
        </w:rPr>
        <w:tab/>
        <w:t>ב</w:t>
      </w:r>
      <w:hyperlink r:id="rId27" w:history="1">
        <w:r w:rsidR="009E3AFD" w:rsidRPr="009E3AFD">
          <w:rPr>
            <w:rFonts w:ascii="Arial" w:hAnsi="Arial"/>
            <w:color w:val="0000FF"/>
            <w:spacing w:val="22"/>
            <w:sz w:val="28"/>
            <w:szCs w:val="28"/>
            <w:u w:val="single"/>
            <w:rtl/>
          </w:rPr>
          <w:t>תפ"ח (מחוזי תל אביב)20966-01-21</w:t>
        </w:r>
      </w:hyperlink>
      <w:r w:rsidRPr="003D7E1E">
        <w:rPr>
          <w:rFonts w:ascii="Arial" w:hAnsi="Arial"/>
          <w:spacing w:val="22"/>
          <w:sz w:val="28"/>
          <w:szCs w:val="28"/>
          <w:rtl/>
        </w:rPr>
        <w:t xml:space="preserve"> </w:t>
      </w:r>
      <w:r w:rsidRPr="003D7E1E">
        <w:rPr>
          <w:rFonts w:ascii="Arial" w:hAnsi="Arial"/>
          <w:b/>
          <w:bCs/>
          <w:spacing w:val="22"/>
          <w:sz w:val="28"/>
          <w:szCs w:val="28"/>
          <w:rtl/>
        </w:rPr>
        <w:t>מדינת ישראל נ' עומרי דהן</w:t>
      </w:r>
      <w:r w:rsidRPr="003D7E1E">
        <w:rPr>
          <w:rFonts w:ascii="Arial" w:hAnsi="Arial"/>
          <w:spacing w:val="22"/>
          <w:sz w:val="28"/>
          <w:szCs w:val="28"/>
          <w:rtl/>
        </w:rPr>
        <w:t xml:space="preserve"> (14.4.2022)) </w:t>
      </w:r>
      <w:r w:rsidRPr="003D7E1E">
        <w:rPr>
          <w:rFonts w:ascii="David" w:hAnsi="David"/>
          <w:spacing w:val="22"/>
          <w:sz w:val="28"/>
          <w:szCs w:val="28"/>
          <w:rtl/>
        </w:rPr>
        <w:t xml:space="preserve">הורשע הנאשם בעבירת המתה בנסיבות של אחריות מופחתת לפי </w:t>
      </w:r>
      <w:hyperlink r:id="rId28" w:history="1">
        <w:r w:rsidR="00014BC7" w:rsidRPr="00014BC7">
          <w:rPr>
            <w:rStyle w:val="Hyperlink"/>
            <w:rFonts w:ascii="David" w:hAnsi="David"/>
            <w:spacing w:val="22"/>
            <w:sz w:val="28"/>
            <w:szCs w:val="28"/>
            <w:rtl/>
          </w:rPr>
          <w:t>סעיף 301ב(ב)(1)</w:t>
        </w:r>
      </w:hyperlink>
      <w:r w:rsidRPr="003D7E1E">
        <w:rPr>
          <w:rFonts w:ascii="David" w:hAnsi="David"/>
          <w:spacing w:val="22"/>
          <w:sz w:val="28"/>
          <w:szCs w:val="28"/>
          <w:rtl/>
        </w:rPr>
        <w:t xml:space="preserve"> ל</w:t>
      </w:r>
      <w:hyperlink r:id="rId29" w:history="1">
        <w:r w:rsidR="009E3AFD" w:rsidRPr="009E3AFD">
          <w:rPr>
            <w:rFonts w:ascii="David" w:hAnsi="David"/>
            <w:color w:val="0000FF"/>
            <w:spacing w:val="22"/>
            <w:sz w:val="28"/>
            <w:szCs w:val="28"/>
            <w:u w:val="single"/>
            <w:rtl/>
          </w:rPr>
          <w:t>חוק העונשין</w:t>
        </w:r>
      </w:hyperlink>
      <w:r w:rsidRPr="003D7E1E">
        <w:rPr>
          <w:rFonts w:ascii="David" w:hAnsi="David"/>
          <w:spacing w:val="22"/>
          <w:sz w:val="28"/>
          <w:szCs w:val="28"/>
          <w:rtl/>
        </w:rPr>
        <w:t xml:space="preserve">. זאת  על רקע עימות אלים בין הקורבן לנאשם שהחל בהתגרות מצדו של הקורבן שהביא לאיבוד עשתונות של הנאשם. על הנאשם הושת עונש של 11 שנות מאסר בפועל (וראו שם </w:t>
      </w:r>
      <w:r w:rsidRPr="003D7E1E">
        <w:rPr>
          <w:rFonts w:ascii="Arial" w:hAnsi="Arial"/>
          <w:spacing w:val="22"/>
          <w:sz w:val="26"/>
          <w:szCs w:val="26"/>
          <w:rtl/>
        </w:rPr>
        <w:t xml:space="preserve">סקירת עבירות ההריגה, העשויות להשליך וללמד על הרשעה לפי </w:t>
      </w:r>
      <w:hyperlink r:id="rId30" w:history="1">
        <w:r w:rsidR="00014BC7" w:rsidRPr="00014BC7">
          <w:rPr>
            <w:rStyle w:val="Hyperlink"/>
            <w:rFonts w:ascii="Arial" w:hAnsi="Arial"/>
            <w:spacing w:val="22"/>
            <w:sz w:val="26"/>
            <w:szCs w:val="26"/>
            <w:rtl/>
          </w:rPr>
          <w:t>סעיף 301ב(ב)(1)</w:t>
        </w:r>
      </w:hyperlink>
      <w:r w:rsidRPr="003D7E1E">
        <w:rPr>
          <w:rFonts w:ascii="Arial" w:hAnsi="Arial"/>
          <w:spacing w:val="22"/>
          <w:sz w:val="26"/>
          <w:szCs w:val="26"/>
          <w:rtl/>
        </w:rPr>
        <w:t xml:space="preserve"> ל</w:t>
      </w:r>
      <w:hyperlink r:id="rId31" w:history="1">
        <w:r w:rsidR="009E3AFD" w:rsidRPr="009E3AFD">
          <w:rPr>
            <w:rFonts w:ascii="Arial" w:hAnsi="Arial"/>
            <w:color w:val="0000FF"/>
            <w:spacing w:val="22"/>
            <w:sz w:val="26"/>
            <w:szCs w:val="26"/>
            <w:u w:val="single"/>
            <w:rtl/>
          </w:rPr>
          <w:t>חוק העונשין</w:t>
        </w:r>
      </w:hyperlink>
      <w:r w:rsidRPr="003D7E1E">
        <w:rPr>
          <w:rFonts w:ascii="Arial" w:hAnsi="Arial"/>
          <w:spacing w:val="22"/>
          <w:sz w:val="26"/>
          <w:szCs w:val="26"/>
          <w:rtl/>
        </w:rPr>
        <w:t xml:space="preserve"> והעונש בגינה).  </w:t>
      </w:r>
    </w:p>
    <w:p w14:paraId="269C2EC7" w14:textId="77777777" w:rsidR="00E42E43" w:rsidRPr="003D7E1E" w:rsidRDefault="00E42E43" w:rsidP="00E42E43">
      <w:pPr>
        <w:spacing w:line="360" w:lineRule="auto"/>
        <w:jc w:val="both"/>
        <w:rPr>
          <w:rFonts w:ascii="Arial" w:hAnsi="Arial"/>
          <w:spacing w:val="22"/>
          <w:sz w:val="26"/>
          <w:szCs w:val="26"/>
          <w:rtl/>
        </w:rPr>
      </w:pPr>
    </w:p>
    <w:p w14:paraId="50BB5099"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6"/>
          <w:szCs w:val="26"/>
          <w:rtl/>
        </w:rPr>
        <w:tab/>
        <w:t>ב</w:t>
      </w:r>
      <w:hyperlink r:id="rId32" w:history="1">
        <w:r w:rsidR="009E3AFD" w:rsidRPr="009E3AFD">
          <w:rPr>
            <w:rFonts w:ascii="Arial" w:hAnsi="Arial"/>
            <w:color w:val="0000FF"/>
            <w:spacing w:val="22"/>
            <w:sz w:val="26"/>
            <w:szCs w:val="26"/>
            <w:u w:val="single"/>
            <w:rtl/>
          </w:rPr>
          <w:t>ע"פ 405/16</w:t>
        </w:r>
      </w:hyperlink>
      <w:r w:rsidRPr="003D7E1E">
        <w:rPr>
          <w:rFonts w:ascii="Arial" w:hAnsi="Arial"/>
          <w:spacing w:val="22"/>
          <w:sz w:val="26"/>
          <w:szCs w:val="26"/>
          <w:rtl/>
        </w:rPr>
        <w:t xml:space="preserve"> </w:t>
      </w:r>
      <w:r w:rsidRPr="003D7E1E">
        <w:rPr>
          <w:rFonts w:ascii="Arial" w:hAnsi="Arial"/>
          <w:b/>
          <w:bCs/>
          <w:spacing w:val="22"/>
          <w:sz w:val="26"/>
          <w:szCs w:val="26"/>
          <w:rtl/>
        </w:rPr>
        <w:t xml:space="preserve">הייתם אבו עראר נ' מדינת ישראל </w:t>
      </w:r>
      <w:r w:rsidRPr="003D7E1E">
        <w:rPr>
          <w:rFonts w:ascii="Arial" w:hAnsi="Arial"/>
          <w:spacing w:val="22"/>
          <w:sz w:val="26"/>
          <w:szCs w:val="26"/>
          <w:rtl/>
        </w:rPr>
        <w:t>(10.5.2017)</w:t>
      </w:r>
      <w:r w:rsidRPr="003D7E1E">
        <w:rPr>
          <w:rFonts w:ascii="Arial" w:hAnsi="Arial"/>
          <w:b/>
          <w:bCs/>
          <w:spacing w:val="22"/>
          <w:sz w:val="26"/>
          <w:szCs w:val="26"/>
          <w:rtl/>
        </w:rPr>
        <w:t xml:space="preserve"> </w:t>
      </w:r>
      <w:r w:rsidRPr="003D7E1E">
        <w:rPr>
          <w:rFonts w:ascii="Arial" w:hAnsi="Arial"/>
          <w:spacing w:val="22"/>
          <w:sz w:val="26"/>
          <w:szCs w:val="26"/>
          <w:rtl/>
        </w:rPr>
        <w:t xml:space="preserve">שם הורשע המערער בהריגה לפי </w:t>
      </w:r>
      <w:hyperlink r:id="rId33" w:history="1">
        <w:r w:rsidR="00014BC7" w:rsidRPr="00014BC7">
          <w:rPr>
            <w:rStyle w:val="Hyperlink"/>
            <w:rFonts w:ascii="Arial" w:hAnsi="Arial"/>
            <w:spacing w:val="22"/>
            <w:sz w:val="26"/>
            <w:szCs w:val="26"/>
            <w:rtl/>
          </w:rPr>
          <w:t>סעיף 298</w:t>
        </w:r>
      </w:hyperlink>
      <w:r w:rsidRPr="003D7E1E">
        <w:rPr>
          <w:rFonts w:ascii="Arial" w:hAnsi="Arial"/>
          <w:spacing w:val="22"/>
          <w:sz w:val="26"/>
          <w:szCs w:val="26"/>
          <w:rtl/>
        </w:rPr>
        <w:t xml:space="preserve"> ל</w:t>
      </w:r>
      <w:hyperlink r:id="rId34" w:history="1">
        <w:r w:rsidR="009E3AFD" w:rsidRPr="009E3AFD">
          <w:rPr>
            <w:rFonts w:ascii="Arial" w:hAnsi="Arial"/>
            <w:color w:val="0000FF"/>
            <w:spacing w:val="22"/>
            <w:sz w:val="26"/>
            <w:szCs w:val="26"/>
            <w:u w:val="single"/>
            <w:rtl/>
          </w:rPr>
          <w:t>חוק העונשין</w:t>
        </w:r>
      </w:hyperlink>
      <w:r w:rsidRPr="003D7E1E">
        <w:rPr>
          <w:rFonts w:ascii="Arial" w:hAnsi="Arial"/>
          <w:spacing w:val="22"/>
          <w:sz w:val="26"/>
          <w:szCs w:val="26"/>
          <w:rtl/>
        </w:rPr>
        <w:t xml:space="preserve">, ובית המשפט התחשב בנסיבות המיוחדות של המקרה, במהלכו, בדומה לעניינינו, המנוח הוא שהחל במעשים בהתזה של גז מדמיע לעבר המערער אשר פעולתו נעשתה תוך שראייתו מטושטשת בשל הגז המדמיע והלה, נעדר עבר פלילי. בהינתן נסבות אלו וגילו הצעיר, הופחת עונשו בהעמדתו על 11 שנות מאסר בפועל חלף 13 שנות מאסר שנגזרו עליו. </w:t>
      </w:r>
    </w:p>
    <w:p w14:paraId="3D0FE249" w14:textId="77777777" w:rsidR="00E42E43" w:rsidRDefault="009E3AFD" w:rsidP="00E42E43">
      <w:pPr>
        <w:spacing w:line="360" w:lineRule="auto"/>
        <w:jc w:val="both"/>
        <w:rPr>
          <w:rFonts w:ascii="Arial" w:hAnsi="Arial"/>
          <w:spacing w:val="22"/>
          <w:sz w:val="26"/>
          <w:szCs w:val="26"/>
          <w:rtl/>
        </w:rPr>
      </w:pPr>
      <w:r>
        <w:rPr>
          <w:rFonts w:ascii="Arial" w:hAnsi="Arial"/>
          <w:spacing w:val="22"/>
          <w:sz w:val="26"/>
          <w:szCs w:val="26"/>
          <w:rtl/>
        </w:rPr>
        <w:t xml:space="preserve"> </w:t>
      </w:r>
    </w:p>
    <w:p w14:paraId="2568E928"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6"/>
          <w:szCs w:val="26"/>
        </w:rPr>
        <w:tab/>
      </w:r>
      <w:r w:rsidRPr="003D7E1E">
        <w:rPr>
          <w:rFonts w:ascii="Arial" w:hAnsi="Arial" w:hint="cs"/>
          <w:spacing w:val="22"/>
          <w:sz w:val="26"/>
          <w:szCs w:val="26"/>
          <w:rtl/>
        </w:rPr>
        <w:t>בתפ"ח</w:t>
      </w:r>
      <w:r w:rsidRPr="003D7E1E">
        <w:rPr>
          <w:rFonts w:ascii="Arial" w:hAnsi="Arial" w:hint="cs"/>
          <w:sz w:val="26"/>
          <w:szCs w:val="26"/>
          <w:rtl/>
        </w:rPr>
        <w:t xml:space="preserve"> (מחוזי מרכז 58264-02-20 </w:t>
      </w:r>
      <w:r w:rsidRPr="003D7E1E">
        <w:rPr>
          <w:rFonts w:ascii="Arial" w:hAnsi="Arial" w:hint="cs"/>
          <w:b/>
          <w:bCs/>
          <w:sz w:val="26"/>
          <w:szCs w:val="26"/>
          <w:rtl/>
        </w:rPr>
        <w:t>מדינת ישראל נ'</w:t>
      </w:r>
      <w:r w:rsidRPr="003D7E1E">
        <w:rPr>
          <w:rFonts w:ascii="Arial" w:hAnsi="Arial"/>
          <w:b/>
          <w:bCs/>
          <w:spacing w:val="22"/>
          <w:sz w:val="26"/>
          <w:szCs w:val="26"/>
          <w:rtl/>
        </w:rPr>
        <w:t xml:space="preserve"> ליסיצין</w:t>
      </w:r>
      <w:r w:rsidR="009E3AFD">
        <w:rPr>
          <w:rFonts w:ascii="Arial" w:hAnsi="Arial"/>
          <w:spacing w:val="22"/>
          <w:sz w:val="26"/>
          <w:szCs w:val="26"/>
          <w:rtl/>
        </w:rPr>
        <w:t xml:space="preserve"> </w:t>
      </w:r>
      <w:r w:rsidRPr="003D7E1E">
        <w:rPr>
          <w:rFonts w:ascii="Arial" w:hAnsi="Arial" w:hint="cs"/>
          <w:spacing w:val="22"/>
          <w:sz w:val="26"/>
          <w:szCs w:val="26"/>
          <w:rtl/>
        </w:rPr>
        <w:t xml:space="preserve"> </w:t>
      </w:r>
      <w:r w:rsidRPr="003D7E1E">
        <w:rPr>
          <w:rFonts w:ascii="Arial" w:hAnsi="Arial"/>
          <w:spacing w:val="22"/>
          <w:sz w:val="26"/>
          <w:szCs w:val="26"/>
          <w:rtl/>
        </w:rPr>
        <w:t xml:space="preserve">(22.2.2021): הורשע הנאשם בעבירה של המתה בנסיבות של אחריות מופחתת לפי </w:t>
      </w:r>
      <w:hyperlink r:id="rId35" w:history="1">
        <w:r w:rsidR="00014BC7" w:rsidRPr="00014BC7">
          <w:rPr>
            <w:rStyle w:val="Hyperlink"/>
            <w:rFonts w:ascii="Arial" w:hAnsi="Arial"/>
            <w:spacing w:val="22"/>
            <w:sz w:val="26"/>
            <w:szCs w:val="26"/>
            <w:rtl/>
          </w:rPr>
          <w:t>סעיף 301ב(ג)</w:t>
        </w:r>
      </w:hyperlink>
      <w:r w:rsidRPr="003D7E1E">
        <w:rPr>
          <w:rFonts w:ascii="Arial" w:hAnsi="Arial"/>
          <w:spacing w:val="22"/>
          <w:sz w:val="26"/>
          <w:szCs w:val="26"/>
          <w:rtl/>
        </w:rPr>
        <w:t xml:space="preserve"> עם הסייג </w:t>
      </w:r>
      <w:hyperlink r:id="rId36" w:history="1">
        <w:r w:rsidR="00014BC7" w:rsidRPr="00014BC7">
          <w:rPr>
            <w:rStyle w:val="Hyperlink"/>
            <w:rFonts w:ascii="Arial" w:hAnsi="Arial"/>
            <w:spacing w:val="22"/>
            <w:sz w:val="26"/>
            <w:szCs w:val="26"/>
            <w:rtl/>
          </w:rPr>
          <w:t>שבסעיף 34ט(ב)</w:t>
        </w:r>
      </w:hyperlink>
      <w:r w:rsidR="009E3AFD">
        <w:rPr>
          <w:rFonts w:ascii="Arial" w:hAnsi="Arial"/>
          <w:spacing w:val="22"/>
          <w:sz w:val="26"/>
          <w:szCs w:val="26"/>
          <w:rtl/>
        </w:rPr>
        <w:t xml:space="preserve"> </w:t>
      </w:r>
      <w:r w:rsidRPr="003D7E1E">
        <w:rPr>
          <w:rFonts w:ascii="Arial" w:hAnsi="Arial"/>
          <w:spacing w:val="22"/>
          <w:sz w:val="26"/>
          <w:szCs w:val="26"/>
          <w:rtl/>
        </w:rPr>
        <w:t>ל</w:t>
      </w:r>
      <w:hyperlink r:id="rId37" w:history="1">
        <w:r w:rsidR="009E3AFD" w:rsidRPr="009E3AFD">
          <w:rPr>
            <w:rFonts w:ascii="Arial" w:hAnsi="Arial"/>
            <w:color w:val="0000FF"/>
            <w:spacing w:val="22"/>
            <w:sz w:val="26"/>
            <w:szCs w:val="26"/>
            <w:u w:val="single"/>
            <w:rtl/>
          </w:rPr>
          <w:t>חוק העונשין</w:t>
        </w:r>
      </w:hyperlink>
      <w:r w:rsidRPr="003D7E1E">
        <w:rPr>
          <w:rFonts w:ascii="Arial" w:hAnsi="Arial"/>
          <w:spacing w:val="22"/>
          <w:sz w:val="26"/>
          <w:szCs w:val="26"/>
          <w:rtl/>
        </w:rPr>
        <w:t xml:space="preserve"> בהיותו במצב של שכרות. נגזר עליו עונש של מאסר בפועל למשך 14.5 שנים. התקבל ערעור שהגיש הנאשם על גזר הדין (</w:t>
      </w:r>
      <w:hyperlink r:id="rId38" w:history="1">
        <w:r w:rsidR="009E3AFD" w:rsidRPr="009E3AFD">
          <w:rPr>
            <w:rFonts w:ascii="Arial" w:hAnsi="Arial"/>
            <w:color w:val="0000FF"/>
            <w:spacing w:val="22"/>
            <w:sz w:val="26"/>
            <w:szCs w:val="26"/>
            <w:u w:val="single"/>
            <w:rtl/>
          </w:rPr>
          <w:t>ע"פ 6122/21</w:t>
        </w:r>
      </w:hyperlink>
      <w:r w:rsidR="009E3AFD">
        <w:rPr>
          <w:rFonts w:ascii="Arial" w:hAnsi="Arial"/>
          <w:spacing w:val="22"/>
          <w:sz w:val="26"/>
          <w:szCs w:val="26"/>
          <w:rtl/>
        </w:rPr>
        <w:t xml:space="preserve"> </w:t>
      </w:r>
      <w:r w:rsidRPr="003D7E1E">
        <w:rPr>
          <w:rFonts w:ascii="Arial" w:hAnsi="Arial"/>
          <w:b/>
          <w:bCs/>
          <w:spacing w:val="22"/>
          <w:sz w:val="26"/>
          <w:szCs w:val="26"/>
          <w:rtl/>
        </w:rPr>
        <w:t>ליסיצין נ' מדינת ישראל</w:t>
      </w:r>
      <w:r w:rsidR="009E3AFD">
        <w:rPr>
          <w:rFonts w:ascii="Arial" w:hAnsi="Arial"/>
          <w:b/>
          <w:bCs/>
          <w:spacing w:val="22"/>
          <w:sz w:val="26"/>
          <w:szCs w:val="26"/>
          <w:rtl/>
        </w:rPr>
        <w:t xml:space="preserve"> </w:t>
      </w:r>
      <w:r w:rsidRPr="003D7E1E">
        <w:rPr>
          <w:rFonts w:ascii="Arial" w:hAnsi="Arial"/>
          <w:spacing w:val="22"/>
          <w:sz w:val="26"/>
          <w:szCs w:val="26"/>
          <w:rtl/>
        </w:rPr>
        <w:t xml:space="preserve">(2.5.2022)) ועונשו הופחת והועמד על 12 שנות מאסר בפועל בהתחשב בשכרות שהביאה אותו למעשה. </w:t>
      </w:r>
    </w:p>
    <w:p w14:paraId="44C566D1" w14:textId="77777777" w:rsidR="00E42E43" w:rsidRPr="003D7E1E" w:rsidRDefault="009E3AFD" w:rsidP="00E42E43">
      <w:pPr>
        <w:spacing w:line="360" w:lineRule="auto"/>
        <w:jc w:val="both"/>
        <w:rPr>
          <w:rFonts w:ascii="Arial" w:hAnsi="Arial"/>
          <w:spacing w:val="22"/>
          <w:sz w:val="26"/>
          <w:szCs w:val="26"/>
          <w:rtl/>
        </w:rPr>
      </w:pPr>
      <w:r>
        <w:rPr>
          <w:rFonts w:ascii="Arial" w:hAnsi="Arial"/>
          <w:spacing w:val="22"/>
          <w:sz w:val="26"/>
          <w:szCs w:val="26"/>
          <w:rtl/>
        </w:rPr>
        <w:t xml:space="preserve"> </w:t>
      </w:r>
    </w:p>
    <w:p w14:paraId="64063E1C" w14:textId="77777777" w:rsidR="00E42E43" w:rsidRPr="003D7E1E" w:rsidRDefault="00E42E43" w:rsidP="00E42E43">
      <w:pPr>
        <w:spacing w:line="360" w:lineRule="auto"/>
        <w:jc w:val="both"/>
        <w:rPr>
          <w:rFonts w:ascii="Arial" w:hAnsi="Arial"/>
          <w:spacing w:val="22"/>
          <w:sz w:val="26"/>
          <w:szCs w:val="26"/>
          <w:rtl/>
        </w:rPr>
      </w:pPr>
      <w:r>
        <w:rPr>
          <w:rFonts w:ascii="Arial" w:hAnsi="Arial"/>
          <w:spacing w:val="22"/>
          <w:sz w:val="26"/>
          <w:szCs w:val="26"/>
          <w:rtl/>
        </w:rPr>
        <w:tab/>
      </w:r>
      <w:r w:rsidRPr="003D7E1E">
        <w:rPr>
          <w:rFonts w:ascii="Arial" w:hAnsi="Arial"/>
          <w:spacing w:val="22"/>
          <w:sz w:val="26"/>
          <w:szCs w:val="26"/>
          <w:rtl/>
        </w:rPr>
        <w:t xml:space="preserve">על פי הוראה זו, העונש המרבי הנו 20 שנות מאסר. בנסיבות העניין כפי שאלה פורטו בהרחבה בהכרעת הדין, כאשר, מחד, מדובר בקיפוח חיי אדם, ומאידך, במעשה שלא תוכנן מראש ושהולדתו הייתה בפרובוקציה מצד המנוח, אף, ושלא יהא ספק בכך, לא היה בה להצדיק שימוש בנשק חם ותגובה כה קיצונית, המתחם הראוי הנו </w:t>
      </w:r>
      <w:r>
        <w:rPr>
          <w:rFonts w:ascii="Arial" w:hAnsi="Arial" w:hint="cs"/>
          <w:spacing w:val="22"/>
          <w:sz w:val="26"/>
          <w:szCs w:val="26"/>
          <w:rtl/>
        </w:rPr>
        <w:t>9</w:t>
      </w:r>
      <w:r w:rsidRPr="003D7E1E">
        <w:rPr>
          <w:rFonts w:ascii="Arial" w:hAnsi="Arial"/>
          <w:spacing w:val="22"/>
          <w:sz w:val="26"/>
          <w:szCs w:val="26"/>
          <w:rtl/>
        </w:rPr>
        <w:t xml:space="preserve"> עד 15 שנות מאסר בפועל</w:t>
      </w:r>
      <w:r>
        <w:rPr>
          <w:rFonts w:ascii="Arial" w:hAnsi="Arial" w:hint="cs"/>
          <w:spacing w:val="22"/>
          <w:sz w:val="26"/>
          <w:szCs w:val="26"/>
          <w:rtl/>
        </w:rPr>
        <w:t>.</w:t>
      </w:r>
      <w:r w:rsidRPr="003D7E1E">
        <w:rPr>
          <w:rFonts w:ascii="Arial" w:hAnsi="Arial"/>
          <w:spacing w:val="22"/>
          <w:sz w:val="26"/>
          <w:szCs w:val="26"/>
          <w:rtl/>
        </w:rPr>
        <w:t xml:space="preserve"> </w:t>
      </w:r>
    </w:p>
    <w:p w14:paraId="5E899E5F" w14:textId="77777777" w:rsidR="00E42E43" w:rsidRPr="003D7E1E" w:rsidRDefault="00E42E43" w:rsidP="00E42E43">
      <w:pPr>
        <w:spacing w:line="360" w:lineRule="auto"/>
        <w:jc w:val="both"/>
        <w:rPr>
          <w:rFonts w:ascii="Arial" w:hAnsi="Arial"/>
          <w:spacing w:val="22"/>
          <w:sz w:val="26"/>
          <w:szCs w:val="26"/>
          <w:rtl/>
        </w:rPr>
      </w:pPr>
    </w:p>
    <w:p w14:paraId="608D996C"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6"/>
          <w:szCs w:val="26"/>
          <w:rtl/>
        </w:rPr>
        <w:t>12.</w:t>
      </w:r>
      <w:r w:rsidRPr="003D7E1E">
        <w:rPr>
          <w:rFonts w:ascii="Arial" w:hAnsi="Arial"/>
          <w:spacing w:val="22"/>
          <w:sz w:val="26"/>
          <w:szCs w:val="26"/>
          <w:rtl/>
        </w:rPr>
        <w:tab/>
        <w:t xml:space="preserve">באשר לקביעת מיקומו של העונש במתחם יש להביא בחשבון את גילו הצעיר של הנאשם, עברו הנקי, האחריות שקיבל על עצמו והחרטה הכנה שהביע בפנינו. </w:t>
      </w:r>
    </w:p>
    <w:p w14:paraId="3343A831" w14:textId="77777777" w:rsidR="00E42E43" w:rsidRPr="003D7E1E" w:rsidRDefault="00E42E43" w:rsidP="00E42E43">
      <w:pPr>
        <w:spacing w:line="360" w:lineRule="auto"/>
        <w:jc w:val="both"/>
        <w:rPr>
          <w:rFonts w:ascii="Arial" w:hAnsi="Arial"/>
          <w:spacing w:val="22"/>
          <w:sz w:val="26"/>
          <w:szCs w:val="26"/>
          <w:rtl/>
        </w:rPr>
      </w:pPr>
    </w:p>
    <w:p w14:paraId="45981F1D" w14:textId="77777777" w:rsidR="00E42E43" w:rsidRPr="003D7E1E" w:rsidRDefault="00E42E43" w:rsidP="00E42E43">
      <w:pPr>
        <w:spacing w:line="360" w:lineRule="auto"/>
        <w:jc w:val="both"/>
        <w:rPr>
          <w:rFonts w:ascii="Arial" w:hAnsi="Arial"/>
          <w:spacing w:val="22"/>
          <w:sz w:val="26"/>
          <w:szCs w:val="26"/>
          <w:rtl/>
        </w:rPr>
      </w:pPr>
      <w:r>
        <w:rPr>
          <w:rFonts w:ascii="Arial" w:hAnsi="Arial"/>
          <w:spacing w:val="22"/>
          <w:sz w:val="26"/>
          <w:szCs w:val="26"/>
          <w:rtl/>
        </w:rPr>
        <w:tab/>
      </w:r>
      <w:r w:rsidRPr="003D7E1E">
        <w:rPr>
          <w:rFonts w:ascii="Arial" w:hAnsi="Arial"/>
          <w:spacing w:val="22"/>
          <w:sz w:val="26"/>
          <w:szCs w:val="26"/>
          <w:rtl/>
        </w:rPr>
        <w:t xml:space="preserve">מנגד, אין להתעלם כמובן מחומרת האירוע ותוצאתו הטראגית למנוח שחייו קופדו ולקרוביו הוריו, אחיו ואחיותיו. אירוע שהתרחש למשך פחות משתי דקות, אשר נעשה אמנם ללא תכנון מוקדם. אך תחילתו, בביצוע של עבירה של סחר בסמים בחתירה לקבלת התמורה עבור הסם ותוצאתה מות המנוח בירי לעברו בנסיבות של קנטור כמובא בהרחבה בהכרעת הדין.  </w:t>
      </w:r>
    </w:p>
    <w:p w14:paraId="77EE8807"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6"/>
          <w:szCs w:val="26"/>
          <w:rtl/>
        </w:rPr>
        <w:t xml:space="preserve">  </w:t>
      </w:r>
    </w:p>
    <w:p w14:paraId="14E57559" w14:textId="77777777" w:rsidR="00E42E43" w:rsidRPr="003D7E1E" w:rsidRDefault="00E42E43" w:rsidP="00E42E43">
      <w:pPr>
        <w:spacing w:line="360" w:lineRule="auto"/>
        <w:jc w:val="both"/>
        <w:rPr>
          <w:rFonts w:ascii="Arial" w:hAnsi="Arial"/>
          <w:spacing w:val="22"/>
          <w:sz w:val="26"/>
          <w:szCs w:val="26"/>
          <w:rtl/>
        </w:rPr>
      </w:pPr>
      <w:r w:rsidRPr="003D7E1E">
        <w:rPr>
          <w:rFonts w:ascii="Arial" w:hAnsi="Arial"/>
          <w:spacing w:val="22"/>
          <w:sz w:val="26"/>
          <w:szCs w:val="26"/>
          <w:rtl/>
        </w:rPr>
        <w:t>13.</w:t>
      </w:r>
      <w:r w:rsidRPr="003D7E1E">
        <w:rPr>
          <w:rFonts w:ascii="Arial" w:hAnsi="Arial"/>
          <w:spacing w:val="22"/>
          <w:sz w:val="26"/>
          <w:szCs w:val="26"/>
          <w:rtl/>
        </w:rPr>
        <w:tab/>
        <w:t xml:space="preserve">נוכח אלה, אנו גוזרים על הנאשם כלהלן: </w:t>
      </w:r>
    </w:p>
    <w:p w14:paraId="41D39419" w14:textId="77777777" w:rsidR="00E42E43" w:rsidRPr="003D7E1E" w:rsidRDefault="00E42E43" w:rsidP="00E42E43">
      <w:pPr>
        <w:spacing w:line="360" w:lineRule="auto"/>
        <w:jc w:val="both"/>
        <w:rPr>
          <w:rFonts w:ascii="Arial" w:hAnsi="Arial"/>
          <w:spacing w:val="22"/>
          <w:sz w:val="26"/>
          <w:szCs w:val="26"/>
          <w:rtl/>
        </w:rPr>
      </w:pPr>
    </w:p>
    <w:p w14:paraId="6CE568D5" w14:textId="77777777" w:rsidR="00E42E43" w:rsidRDefault="00E42E43" w:rsidP="00E42E43">
      <w:pPr>
        <w:pStyle w:val="a9"/>
        <w:numPr>
          <w:ilvl w:val="0"/>
          <w:numId w:val="1"/>
        </w:numPr>
        <w:spacing w:line="360" w:lineRule="auto"/>
        <w:jc w:val="both"/>
        <w:rPr>
          <w:rFonts w:ascii="Arial" w:hAnsi="Arial"/>
          <w:spacing w:val="22"/>
          <w:sz w:val="26"/>
          <w:szCs w:val="26"/>
        </w:rPr>
      </w:pPr>
      <w:r w:rsidRPr="003D7E1E">
        <w:rPr>
          <w:rFonts w:ascii="Arial" w:hAnsi="Arial"/>
          <w:spacing w:val="22"/>
          <w:sz w:val="26"/>
          <w:szCs w:val="26"/>
          <w:rtl/>
        </w:rPr>
        <w:t xml:space="preserve">   מאסר בפועל לתקופה של 11 שנים. תחילת מאסרו מיום מעצרו. </w:t>
      </w:r>
    </w:p>
    <w:p w14:paraId="37F3A6D8" w14:textId="77777777" w:rsidR="00E42E43" w:rsidRDefault="00E42E43" w:rsidP="00E42E43">
      <w:pPr>
        <w:pStyle w:val="a9"/>
        <w:spacing w:line="360" w:lineRule="auto"/>
        <w:ind w:left="1080"/>
        <w:jc w:val="both"/>
        <w:rPr>
          <w:rFonts w:ascii="Arial" w:hAnsi="Arial"/>
          <w:spacing w:val="22"/>
          <w:sz w:val="26"/>
          <w:szCs w:val="26"/>
          <w:rtl/>
        </w:rPr>
      </w:pPr>
    </w:p>
    <w:p w14:paraId="195482DD" w14:textId="77777777" w:rsidR="00E42E43" w:rsidRPr="003D7E1E" w:rsidRDefault="00E42E43" w:rsidP="00E42E43">
      <w:pPr>
        <w:pStyle w:val="a9"/>
        <w:spacing w:line="360" w:lineRule="auto"/>
        <w:ind w:left="1080"/>
        <w:jc w:val="both"/>
        <w:rPr>
          <w:rFonts w:ascii="Arial" w:hAnsi="Arial"/>
          <w:spacing w:val="22"/>
          <w:sz w:val="6"/>
          <w:szCs w:val="6"/>
          <w:rtl/>
        </w:rPr>
      </w:pPr>
    </w:p>
    <w:p w14:paraId="5A2D1C52" w14:textId="77777777" w:rsidR="00E42E43" w:rsidRPr="003D7E1E" w:rsidRDefault="00E42E43" w:rsidP="00E42E43">
      <w:pPr>
        <w:pStyle w:val="a9"/>
        <w:numPr>
          <w:ilvl w:val="0"/>
          <w:numId w:val="1"/>
        </w:numPr>
        <w:spacing w:line="360" w:lineRule="auto"/>
        <w:jc w:val="both"/>
        <w:rPr>
          <w:rFonts w:ascii="Arial" w:hAnsi="Arial"/>
          <w:spacing w:val="22"/>
          <w:sz w:val="26"/>
          <w:szCs w:val="26"/>
        </w:rPr>
      </w:pPr>
      <w:r w:rsidRPr="003D7E1E">
        <w:rPr>
          <w:rFonts w:ascii="Arial" w:hAnsi="Arial"/>
          <w:spacing w:val="22"/>
          <w:sz w:val="26"/>
          <w:szCs w:val="26"/>
          <w:rtl/>
        </w:rPr>
        <w:t xml:space="preserve">מאסר על תנאי לתקופת 6 חודשים והתנאי שלא יעבור עבירה מסוג פשע בתוך 3 שנים מיום שחרורו ממאסר. </w:t>
      </w:r>
    </w:p>
    <w:p w14:paraId="0FA44CEF" w14:textId="77777777" w:rsidR="00E42E43" w:rsidRPr="003D7E1E" w:rsidRDefault="00E42E43" w:rsidP="00E42E43">
      <w:pPr>
        <w:pStyle w:val="a9"/>
        <w:spacing w:line="360" w:lineRule="auto"/>
        <w:ind w:left="1080"/>
        <w:jc w:val="both"/>
        <w:rPr>
          <w:rFonts w:ascii="Arial" w:hAnsi="Arial"/>
          <w:spacing w:val="22"/>
          <w:sz w:val="10"/>
          <w:szCs w:val="10"/>
        </w:rPr>
      </w:pPr>
    </w:p>
    <w:p w14:paraId="2D2829D1" w14:textId="77777777" w:rsidR="00E42E43" w:rsidRPr="003D7E1E" w:rsidRDefault="00E42E43" w:rsidP="00E42E43">
      <w:pPr>
        <w:pStyle w:val="a9"/>
        <w:numPr>
          <w:ilvl w:val="0"/>
          <w:numId w:val="1"/>
        </w:numPr>
        <w:spacing w:line="360" w:lineRule="auto"/>
        <w:jc w:val="both"/>
        <w:rPr>
          <w:rFonts w:ascii="Arial" w:hAnsi="Arial"/>
          <w:spacing w:val="22"/>
          <w:sz w:val="26"/>
          <w:szCs w:val="26"/>
        </w:rPr>
      </w:pPr>
      <w:r w:rsidRPr="003D7E1E">
        <w:rPr>
          <w:rFonts w:ascii="Arial" w:hAnsi="Arial"/>
          <w:spacing w:val="22"/>
          <w:sz w:val="26"/>
          <w:szCs w:val="26"/>
          <w:rtl/>
        </w:rPr>
        <w:t xml:space="preserve">פיצוי לעיזבון המנוח בסך </w:t>
      </w:r>
      <w:r>
        <w:rPr>
          <w:rFonts w:ascii="Arial" w:hAnsi="Arial" w:hint="cs"/>
          <w:spacing w:val="22"/>
          <w:sz w:val="26"/>
          <w:szCs w:val="26"/>
          <w:rtl/>
        </w:rPr>
        <w:t>40</w:t>
      </w:r>
      <w:r w:rsidRPr="003D7E1E">
        <w:rPr>
          <w:rFonts w:ascii="Arial" w:hAnsi="Arial"/>
          <w:spacing w:val="22"/>
          <w:sz w:val="26"/>
          <w:szCs w:val="26"/>
          <w:rtl/>
        </w:rPr>
        <w:t>,000 ₪. הפיצוי ישולם עד ליום 1.</w:t>
      </w:r>
      <w:r>
        <w:rPr>
          <w:rFonts w:ascii="Arial" w:hAnsi="Arial" w:hint="cs"/>
          <w:spacing w:val="22"/>
          <w:sz w:val="26"/>
          <w:szCs w:val="26"/>
          <w:rtl/>
        </w:rPr>
        <w:t>10</w:t>
      </w:r>
      <w:r w:rsidRPr="003D7E1E">
        <w:rPr>
          <w:rFonts w:ascii="Arial" w:hAnsi="Arial"/>
          <w:spacing w:val="22"/>
          <w:sz w:val="26"/>
          <w:szCs w:val="26"/>
          <w:rtl/>
        </w:rPr>
        <w:t xml:space="preserve">.23. </w:t>
      </w:r>
    </w:p>
    <w:p w14:paraId="78D90B38" w14:textId="77777777" w:rsidR="00E42E43" w:rsidRPr="00BA68CA" w:rsidRDefault="00E42E43" w:rsidP="00E42E43">
      <w:pPr>
        <w:pStyle w:val="a9"/>
        <w:rPr>
          <w:rFonts w:ascii="Arial" w:hAnsi="Arial"/>
          <w:spacing w:val="22"/>
          <w:sz w:val="6"/>
          <w:szCs w:val="6"/>
        </w:rPr>
      </w:pPr>
    </w:p>
    <w:p w14:paraId="39904A72" w14:textId="77777777" w:rsidR="00E42E43" w:rsidRPr="00BA68CA" w:rsidRDefault="00E42E43" w:rsidP="00E42E43">
      <w:pPr>
        <w:spacing w:line="360" w:lineRule="auto"/>
        <w:jc w:val="both"/>
        <w:rPr>
          <w:rFonts w:ascii="Arial" w:hAnsi="Arial"/>
          <w:b/>
          <w:bCs/>
          <w:spacing w:val="22"/>
          <w:sz w:val="18"/>
          <w:szCs w:val="18"/>
          <w:rtl/>
        </w:rPr>
      </w:pPr>
    </w:p>
    <w:p w14:paraId="6F84CEDA" w14:textId="77777777" w:rsidR="00E42E43" w:rsidRPr="003D7E1E" w:rsidRDefault="00E42E43" w:rsidP="00E42E43">
      <w:pPr>
        <w:spacing w:line="360" w:lineRule="auto"/>
        <w:ind w:left="720"/>
        <w:jc w:val="both"/>
        <w:rPr>
          <w:rFonts w:ascii="Arial" w:hAnsi="Arial"/>
          <w:b/>
          <w:bCs/>
          <w:spacing w:val="22"/>
          <w:sz w:val="26"/>
          <w:szCs w:val="26"/>
          <w:rtl/>
        </w:rPr>
      </w:pPr>
      <w:r w:rsidRPr="003D7E1E">
        <w:rPr>
          <w:rFonts w:ascii="Arial" w:hAnsi="Arial" w:hint="cs"/>
          <w:b/>
          <w:bCs/>
          <w:spacing w:val="22"/>
          <w:sz w:val="26"/>
          <w:szCs w:val="26"/>
          <w:rtl/>
        </w:rPr>
        <w:t xml:space="preserve">זכות ערעור לבית משפט העליון בתוך 45 יום מהיום. </w:t>
      </w:r>
    </w:p>
    <w:p w14:paraId="5500806C" w14:textId="77777777" w:rsidR="00E42E43" w:rsidRPr="003D7E1E" w:rsidRDefault="00E42E43" w:rsidP="00E42E43">
      <w:pPr>
        <w:spacing w:line="360" w:lineRule="auto"/>
        <w:jc w:val="both"/>
        <w:rPr>
          <w:rFonts w:ascii="Arial" w:hAnsi="Arial"/>
          <w:b/>
          <w:bCs/>
          <w:spacing w:val="22"/>
          <w:sz w:val="26"/>
          <w:szCs w:val="26"/>
          <w:rtl/>
        </w:rPr>
      </w:pPr>
    </w:p>
    <w:p w14:paraId="0F4B9990" w14:textId="77777777" w:rsidR="00E42E43" w:rsidRPr="0027334A" w:rsidRDefault="009E3AFD" w:rsidP="00E42E43">
      <w:pPr>
        <w:spacing w:line="360" w:lineRule="auto"/>
        <w:ind w:firstLine="720"/>
        <w:jc w:val="both"/>
        <w:rPr>
          <w:rFonts w:ascii="Arial" w:hAnsi="Arial"/>
          <w:b/>
          <w:bCs/>
          <w:spacing w:val="22"/>
          <w:sz w:val="26"/>
          <w:szCs w:val="26"/>
          <w:rtl/>
        </w:rPr>
      </w:pPr>
      <w:bookmarkStart w:id="8" w:name="Nitan"/>
      <w:r>
        <w:rPr>
          <w:rFonts w:ascii="Arial" w:hAnsi="Arial"/>
          <w:b/>
          <w:bCs/>
          <w:spacing w:val="22"/>
          <w:sz w:val="26"/>
          <w:szCs w:val="26"/>
          <w:rtl/>
        </w:rPr>
        <w:t xml:space="preserve">ניתן היום, ח' שבט תשפ"ג, 30 ינואר 2023, במעמד ב"כ המאשימה, </w:t>
      </w:r>
      <w:bookmarkEnd w:id="8"/>
      <w:r w:rsidR="00E42E43" w:rsidRPr="0027334A">
        <w:rPr>
          <w:rFonts w:ascii="Arial" w:hAnsi="Arial" w:hint="cs"/>
          <w:b/>
          <w:bCs/>
          <w:spacing w:val="22"/>
          <w:sz w:val="26"/>
          <w:szCs w:val="26"/>
          <w:rtl/>
        </w:rPr>
        <w:t xml:space="preserve">ב"כ הנאשם והנאשם בעצמו. </w:t>
      </w:r>
    </w:p>
    <w:p w14:paraId="624ED31F" w14:textId="77777777" w:rsidR="00E42E43" w:rsidRPr="009E3AFD" w:rsidRDefault="009E3AFD" w:rsidP="00E42E43">
      <w:pPr>
        <w:spacing w:line="360" w:lineRule="auto"/>
        <w:rPr>
          <w:b/>
          <w:bCs/>
          <w:color w:val="FFFFFF"/>
          <w:sz w:val="2"/>
          <w:szCs w:val="2"/>
        </w:rPr>
      </w:pPr>
      <w:r w:rsidRPr="009E3AFD">
        <w:rPr>
          <w:b/>
          <w:bCs/>
          <w:color w:val="FFFFFF"/>
          <w:sz w:val="2"/>
          <w:szCs w:val="2"/>
          <w:rtl/>
        </w:rPr>
        <w:t>5129371</w:t>
      </w:r>
    </w:p>
    <w:tbl>
      <w:tblPr>
        <w:bidiVisual/>
        <w:tblW w:w="10260" w:type="dxa"/>
        <w:tblInd w:w="-500" w:type="dxa"/>
        <w:tblLook w:val="01E0" w:firstRow="1" w:lastRow="1" w:firstColumn="1" w:lastColumn="1" w:noHBand="0" w:noVBand="0"/>
      </w:tblPr>
      <w:tblGrid>
        <w:gridCol w:w="4025"/>
        <w:gridCol w:w="2815"/>
        <w:gridCol w:w="3420"/>
      </w:tblGrid>
      <w:tr w:rsidR="00E42E43" w:rsidRPr="0027334A" w14:paraId="0067E40D" w14:textId="77777777" w:rsidTr="00E42E43">
        <w:tc>
          <w:tcPr>
            <w:tcW w:w="4025" w:type="dxa"/>
            <w:shd w:val="clear" w:color="auto" w:fill="auto"/>
          </w:tcPr>
          <w:p w14:paraId="050633BE" w14:textId="77777777" w:rsidR="00E42E43" w:rsidRPr="009E3AFD" w:rsidRDefault="009E3AFD" w:rsidP="00E42E43">
            <w:pPr>
              <w:jc w:val="center"/>
              <w:rPr>
                <w:noProof/>
                <w:color w:val="FFFFFF"/>
                <w:sz w:val="2"/>
                <w:szCs w:val="2"/>
                <w:rtl/>
              </w:rPr>
            </w:pPr>
            <w:r w:rsidRPr="009E3AFD">
              <w:rPr>
                <w:noProof/>
                <w:color w:val="FFFFFF"/>
                <w:sz w:val="2"/>
                <w:szCs w:val="2"/>
                <w:rtl/>
              </w:rPr>
              <w:t>54678313</w:t>
            </w:r>
          </w:p>
          <w:p w14:paraId="59FBAD94" w14:textId="77777777" w:rsidR="00E42E43" w:rsidRPr="0027334A" w:rsidRDefault="00E42E43" w:rsidP="00E42E43">
            <w:pPr>
              <w:jc w:val="center"/>
              <w:rPr>
                <w:rtl/>
              </w:rPr>
            </w:pPr>
          </w:p>
        </w:tc>
        <w:tc>
          <w:tcPr>
            <w:tcW w:w="2815" w:type="dxa"/>
            <w:shd w:val="clear" w:color="auto" w:fill="auto"/>
          </w:tcPr>
          <w:p w14:paraId="273EF164" w14:textId="77777777" w:rsidR="00E42E43" w:rsidRPr="0027334A" w:rsidRDefault="00E42E43" w:rsidP="00B617A3"/>
        </w:tc>
        <w:tc>
          <w:tcPr>
            <w:tcW w:w="3420" w:type="dxa"/>
            <w:shd w:val="clear" w:color="auto" w:fill="auto"/>
          </w:tcPr>
          <w:p w14:paraId="34BF4F03" w14:textId="77777777" w:rsidR="00E42E43" w:rsidRPr="0027334A" w:rsidRDefault="00E42E43" w:rsidP="00E42E43">
            <w:pPr>
              <w:jc w:val="center"/>
              <w:rPr>
                <w:noProof/>
                <w:rtl/>
              </w:rPr>
            </w:pPr>
          </w:p>
          <w:p w14:paraId="2A46FD15" w14:textId="77777777" w:rsidR="00E42E43" w:rsidRPr="0027334A" w:rsidRDefault="00E42E43" w:rsidP="00E42E43">
            <w:pPr>
              <w:jc w:val="center"/>
            </w:pPr>
          </w:p>
        </w:tc>
      </w:tr>
      <w:tr w:rsidR="00E42E43" w:rsidRPr="0027334A" w14:paraId="49C7A511" w14:textId="77777777" w:rsidTr="00E42E43">
        <w:tc>
          <w:tcPr>
            <w:tcW w:w="4025" w:type="dxa"/>
            <w:shd w:val="clear" w:color="auto" w:fill="auto"/>
          </w:tcPr>
          <w:p w14:paraId="2CA47CE6" w14:textId="77777777" w:rsidR="00E42E43" w:rsidRPr="00E42E43" w:rsidRDefault="00E42E43" w:rsidP="00E42E43">
            <w:pPr>
              <w:spacing w:line="360" w:lineRule="auto"/>
              <w:jc w:val="center"/>
              <w:rPr>
                <w:rFonts w:ascii="David" w:hAnsi="David"/>
                <w:b/>
                <w:bCs/>
              </w:rPr>
            </w:pPr>
            <w:r w:rsidRPr="00E42E43">
              <w:rPr>
                <w:rFonts w:ascii="David" w:hAnsi="David" w:hint="cs"/>
                <w:b/>
                <w:bCs/>
                <w:rtl/>
              </w:rPr>
              <w:t xml:space="preserve">  השופט רפי</w:t>
            </w:r>
            <w:r w:rsidRPr="00E42E43">
              <w:rPr>
                <w:rFonts w:hint="cs"/>
                <w:b/>
                <w:bCs/>
                <w:rtl/>
              </w:rPr>
              <w:t xml:space="preserve">  כרמל, אב"ד, סגן נשיא</w:t>
            </w:r>
          </w:p>
        </w:tc>
        <w:tc>
          <w:tcPr>
            <w:tcW w:w="2815" w:type="dxa"/>
            <w:shd w:val="clear" w:color="auto" w:fill="auto"/>
          </w:tcPr>
          <w:p w14:paraId="3D58438C" w14:textId="77777777" w:rsidR="00E42E43" w:rsidRPr="00E42E43" w:rsidRDefault="00E42E43" w:rsidP="00E42E43">
            <w:pPr>
              <w:spacing w:line="360" w:lineRule="auto"/>
              <w:jc w:val="center"/>
              <w:rPr>
                <w:rFonts w:ascii="David" w:hAnsi="David"/>
                <w:b/>
                <w:bCs/>
              </w:rPr>
            </w:pPr>
            <w:r w:rsidRPr="00E42E43">
              <w:rPr>
                <w:rFonts w:ascii="David" w:hAnsi="David" w:hint="cs"/>
                <w:b/>
                <w:bCs/>
                <w:rtl/>
              </w:rPr>
              <w:t>אריה</w:t>
            </w:r>
            <w:r w:rsidRPr="00E42E43">
              <w:rPr>
                <w:rFonts w:hint="cs"/>
                <w:b/>
                <w:bCs/>
                <w:rtl/>
              </w:rPr>
              <w:t xml:space="preserve"> רומנוב, שופט</w:t>
            </w:r>
          </w:p>
        </w:tc>
        <w:tc>
          <w:tcPr>
            <w:tcW w:w="3420" w:type="dxa"/>
            <w:shd w:val="clear" w:color="auto" w:fill="auto"/>
          </w:tcPr>
          <w:p w14:paraId="7E24185D" w14:textId="77777777" w:rsidR="00E42E43" w:rsidRPr="00E42E43" w:rsidRDefault="00E42E43" w:rsidP="00E42E43">
            <w:pPr>
              <w:spacing w:line="360" w:lineRule="auto"/>
              <w:jc w:val="center"/>
              <w:rPr>
                <w:rFonts w:ascii="David" w:hAnsi="David"/>
                <w:b/>
                <w:bCs/>
                <w:rtl/>
              </w:rPr>
            </w:pPr>
            <w:r w:rsidRPr="00E42E43">
              <w:rPr>
                <w:rFonts w:ascii="David" w:hAnsi="David" w:hint="cs"/>
                <w:b/>
                <w:bCs/>
                <w:rtl/>
              </w:rPr>
              <w:t>מרים</w:t>
            </w:r>
            <w:r w:rsidRPr="00E42E43">
              <w:rPr>
                <w:rFonts w:hint="cs"/>
                <w:b/>
                <w:bCs/>
                <w:rtl/>
              </w:rPr>
              <w:t xml:space="preserve"> ליפשיץ פריבס, שופטת</w:t>
            </w:r>
          </w:p>
        </w:tc>
      </w:tr>
    </w:tbl>
    <w:p w14:paraId="0B144BA1" w14:textId="77777777" w:rsidR="00E42E43" w:rsidRPr="00014BC7" w:rsidRDefault="00014BC7" w:rsidP="00E42E43">
      <w:pPr>
        <w:rPr>
          <w:color w:val="FFFFFF"/>
          <w:sz w:val="2"/>
          <w:szCs w:val="2"/>
        </w:rPr>
      </w:pPr>
      <w:r w:rsidRPr="00014BC7">
        <w:rPr>
          <w:color w:val="FFFFFF"/>
          <w:sz w:val="2"/>
          <w:szCs w:val="2"/>
          <w:rtl/>
        </w:rPr>
        <w:t>5129371</w:t>
      </w:r>
    </w:p>
    <w:p w14:paraId="24A619C9" w14:textId="77777777" w:rsidR="00D235F9" w:rsidRPr="00014BC7" w:rsidRDefault="00014BC7" w:rsidP="009E3AFD">
      <w:pPr>
        <w:keepNext/>
        <w:rPr>
          <w:rFonts w:ascii="David" w:hAnsi="David"/>
          <w:color w:val="FFFFFF"/>
          <w:sz w:val="2"/>
          <w:szCs w:val="2"/>
          <w:rtl/>
        </w:rPr>
      </w:pPr>
      <w:r w:rsidRPr="00014BC7">
        <w:rPr>
          <w:rFonts w:ascii="David" w:hAnsi="David"/>
          <w:color w:val="FFFFFF"/>
          <w:sz w:val="2"/>
          <w:szCs w:val="2"/>
          <w:rtl/>
        </w:rPr>
        <w:t>54678313</w:t>
      </w:r>
    </w:p>
    <w:p w14:paraId="1337F3A3" w14:textId="77777777" w:rsidR="009E3AFD" w:rsidRDefault="009E3AFD" w:rsidP="009E3AFD">
      <w:pPr>
        <w:rPr>
          <w:rtl/>
        </w:rPr>
      </w:pPr>
    </w:p>
    <w:p w14:paraId="648A6FDB" w14:textId="77777777" w:rsidR="009E3AFD" w:rsidRDefault="009E3AFD" w:rsidP="009E3AF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DF214E1" w14:textId="77777777" w:rsidR="00014BC7" w:rsidRPr="00014BC7" w:rsidRDefault="00014BC7" w:rsidP="00014BC7">
      <w:pPr>
        <w:keepNext/>
        <w:rPr>
          <w:rFonts w:ascii="David" w:hAnsi="David"/>
          <w:color w:val="000000"/>
          <w:sz w:val="22"/>
          <w:szCs w:val="22"/>
          <w:rtl/>
        </w:rPr>
      </w:pPr>
    </w:p>
    <w:p w14:paraId="3B17B9EE" w14:textId="77777777" w:rsidR="00014BC7" w:rsidRPr="00014BC7" w:rsidRDefault="00014BC7" w:rsidP="00014BC7">
      <w:pPr>
        <w:keepNext/>
        <w:rPr>
          <w:rFonts w:ascii="David" w:hAnsi="David"/>
          <w:color w:val="000000"/>
          <w:sz w:val="22"/>
          <w:szCs w:val="22"/>
          <w:rtl/>
        </w:rPr>
      </w:pPr>
      <w:r w:rsidRPr="00014BC7">
        <w:rPr>
          <w:rFonts w:ascii="David" w:hAnsi="David"/>
          <w:color w:val="000000"/>
          <w:sz w:val="22"/>
          <w:szCs w:val="22"/>
          <w:rtl/>
        </w:rPr>
        <w:t>רפי כרמל 54678313-/</w:t>
      </w:r>
    </w:p>
    <w:p w14:paraId="1844B029" w14:textId="77777777" w:rsidR="009E3AFD" w:rsidRPr="009E3AFD" w:rsidRDefault="00014BC7" w:rsidP="00014BC7">
      <w:pPr>
        <w:rPr>
          <w:color w:val="0000FF"/>
          <w:u w:val="single"/>
        </w:rPr>
      </w:pPr>
      <w:r w:rsidRPr="00014BC7">
        <w:rPr>
          <w:color w:val="000000"/>
          <w:u w:val="single"/>
          <w:rtl/>
        </w:rPr>
        <w:t>נוסח מסמך זה כפוף לשינויי ניסוח ועריכה</w:t>
      </w:r>
    </w:p>
    <w:sectPr w:rsidR="009E3AFD" w:rsidRPr="009E3AFD" w:rsidSect="00014BC7">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51DEC" w14:textId="77777777" w:rsidR="00EC6EB2" w:rsidRDefault="00EC6EB2" w:rsidP="001546BA">
      <w:r>
        <w:separator/>
      </w:r>
    </w:p>
  </w:endnote>
  <w:endnote w:type="continuationSeparator" w:id="0">
    <w:p w14:paraId="501BC284" w14:textId="77777777" w:rsidR="00EC6EB2" w:rsidRDefault="00EC6EB2" w:rsidP="0015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DB02" w14:textId="77777777" w:rsidR="00014BC7" w:rsidRDefault="00014BC7" w:rsidP="00014B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A4C1C7" w14:textId="77777777" w:rsidR="00B617A3" w:rsidRPr="00014BC7" w:rsidRDefault="00014BC7" w:rsidP="00014BC7">
    <w:pPr>
      <w:pStyle w:val="a5"/>
      <w:pBdr>
        <w:top w:val="single" w:sz="4" w:space="1" w:color="auto"/>
        <w:between w:val="single" w:sz="4" w:space="0" w:color="auto"/>
      </w:pBdr>
      <w:spacing w:after="60"/>
      <w:jc w:val="center"/>
      <w:rPr>
        <w:rFonts w:ascii="FrankRuehl" w:hAnsi="FrankRuehl" w:cs="FrankRuehl"/>
        <w:color w:val="000000"/>
      </w:rPr>
    </w:pPr>
    <w:r w:rsidRPr="00014B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794FA" w14:textId="77777777" w:rsidR="00014BC7" w:rsidRDefault="00014BC7" w:rsidP="00014B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0343">
      <w:rPr>
        <w:rFonts w:ascii="FrankRuehl" w:hAnsi="FrankRuehl" w:cs="FrankRuehl"/>
        <w:noProof/>
        <w:rtl/>
      </w:rPr>
      <w:t>1</w:t>
    </w:r>
    <w:r>
      <w:rPr>
        <w:rFonts w:ascii="FrankRuehl" w:hAnsi="FrankRuehl" w:cs="FrankRuehl"/>
        <w:rtl/>
      </w:rPr>
      <w:fldChar w:fldCharType="end"/>
    </w:r>
  </w:p>
  <w:p w14:paraId="045B005C" w14:textId="77777777" w:rsidR="00B617A3" w:rsidRPr="00014BC7" w:rsidRDefault="00014BC7" w:rsidP="00014BC7">
    <w:pPr>
      <w:pStyle w:val="a5"/>
      <w:pBdr>
        <w:top w:val="single" w:sz="4" w:space="1" w:color="auto"/>
        <w:between w:val="single" w:sz="4" w:space="0" w:color="auto"/>
      </w:pBdr>
      <w:spacing w:after="60"/>
      <w:jc w:val="center"/>
      <w:rPr>
        <w:rFonts w:ascii="FrankRuehl" w:hAnsi="FrankRuehl" w:cs="FrankRuehl"/>
        <w:color w:val="000000"/>
      </w:rPr>
    </w:pPr>
    <w:r w:rsidRPr="00014BC7">
      <w:rPr>
        <w:rFonts w:ascii="FrankRuehl" w:hAnsi="FrankRuehl" w:cs="FrankRuehl"/>
        <w:color w:val="000000"/>
      </w:rPr>
      <w:pict w14:anchorId="099AC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C6CAB" w14:textId="77777777" w:rsidR="00EC6EB2" w:rsidRDefault="00EC6EB2" w:rsidP="001546BA">
      <w:r>
        <w:separator/>
      </w:r>
    </w:p>
  </w:footnote>
  <w:footnote w:type="continuationSeparator" w:id="0">
    <w:p w14:paraId="7676EE8A" w14:textId="77777777" w:rsidR="00EC6EB2" w:rsidRDefault="00EC6EB2" w:rsidP="00154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6F7AB" w14:textId="77777777" w:rsidR="009E3AFD" w:rsidRPr="00014BC7" w:rsidRDefault="00014BC7" w:rsidP="00014B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55855-08-20</w:t>
    </w:r>
    <w:r>
      <w:rPr>
        <w:rFonts w:ascii="David" w:hAnsi="David"/>
        <w:color w:val="000000"/>
        <w:sz w:val="22"/>
        <w:szCs w:val="22"/>
        <w:rtl/>
      </w:rPr>
      <w:tab/>
      <w:t xml:space="preserve"> מדינת ישראל  נ' נאור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1D12" w14:textId="77777777" w:rsidR="009E3AFD" w:rsidRPr="00014BC7" w:rsidRDefault="00014BC7" w:rsidP="00014B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55855-08-20</w:t>
    </w:r>
    <w:r>
      <w:rPr>
        <w:rFonts w:ascii="David" w:hAnsi="David"/>
        <w:color w:val="000000"/>
        <w:sz w:val="22"/>
        <w:szCs w:val="22"/>
        <w:rtl/>
      </w:rPr>
      <w:tab/>
      <w:t xml:space="preserve"> מדינת ישראל  נ' נאור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15F78"/>
    <w:multiLevelType w:val="hybridMultilevel"/>
    <w:tmpl w:val="2F260D04"/>
    <w:lvl w:ilvl="0" w:tplc="603439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7218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2E43"/>
    <w:rsid w:val="00014BC7"/>
    <w:rsid w:val="00080343"/>
    <w:rsid w:val="001546BA"/>
    <w:rsid w:val="001B5A3B"/>
    <w:rsid w:val="00526354"/>
    <w:rsid w:val="00547298"/>
    <w:rsid w:val="0087664D"/>
    <w:rsid w:val="008B77C0"/>
    <w:rsid w:val="009A7191"/>
    <w:rsid w:val="009E3AFD"/>
    <w:rsid w:val="00B617A3"/>
    <w:rsid w:val="00BF2160"/>
    <w:rsid w:val="00CB7A16"/>
    <w:rsid w:val="00D21F1A"/>
    <w:rsid w:val="00D235F9"/>
    <w:rsid w:val="00E42E43"/>
    <w:rsid w:val="00EC6EB2"/>
    <w:rsid w:val="00F844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7A3DB1"/>
  <w15:chartTrackingRefBased/>
  <w15:docId w15:val="{706ADBA7-E451-4435-97B3-D4B858BB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2E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2E43"/>
    <w:pPr>
      <w:tabs>
        <w:tab w:val="center" w:pos="4153"/>
        <w:tab w:val="right" w:pos="8306"/>
      </w:tabs>
    </w:pPr>
  </w:style>
  <w:style w:type="character" w:customStyle="1" w:styleId="a4">
    <w:name w:val="כותרת עליונה תו"/>
    <w:link w:val="a3"/>
    <w:rsid w:val="00E42E43"/>
    <w:rPr>
      <w:rFonts w:ascii="Times New Roman" w:eastAsia="Times New Roman" w:hAnsi="Times New Roman" w:cs="David"/>
      <w:sz w:val="24"/>
      <w:szCs w:val="24"/>
    </w:rPr>
  </w:style>
  <w:style w:type="paragraph" w:styleId="a5">
    <w:name w:val="footer"/>
    <w:basedOn w:val="a"/>
    <w:link w:val="a6"/>
    <w:rsid w:val="00E42E43"/>
    <w:pPr>
      <w:tabs>
        <w:tab w:val="center" w:pos="4153"/>
        <w:tab w:val="right" w:pos="8306"/>
      </w:tabs>
    </w:pPr>
  </w:style>
  <w:style w:type="character" w:customStyle="1" w:styleId="a6">
    <w:name w:val="כותרת תחתונה תו"/>
    <w:link w:val="a5"/>
    <w:rsid w:val="00E42E43"/>
    <w:rPr>
      <w:rFonts w:ascii="Times New Roman" w:eastAsia="Times New Roman" w:hAnsi="Times New Roman" w:cs="David"/>
      <w:sz w:val="24"/>
      <w:szCs w:val="24"/>
    </w:rPr>
  </w:style>
  <w:style w:type="table" w:styleId="a7">
    <w:name w:val="Table Grid"/>
    <w:basedOn w:val="a1"/>
    <w:rsid w:val="00E42E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2E43"/>
  </w:style>
  <w:style w:type="character" w:styleId="Hyperlink">
    <w:name w:val="Hyperlink"/>
    <w:rsid w:val="00E42E43"/>
    <w:rPr>
      <w:color w:val="0000FF"/>
      <w:u w:val="single"/>
    </w:rPr>
  </w:style>
  <w:style w:type="paragraph" w:styleId="a9">
    <w:name w:val="List Paragraph"/>
    <w:basedOn w:val="a"/>
    <w:qFormat/>
    <w:rsid w:val="00E4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3;19" TargetMode="External"/><Relationship Id="rId26"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01b.b.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01b.b.1" TargetMode="External"/><Relationship Id="rId24" Type="http://schemas.openxmlformats.org/officeDocument/2006/relationships/hyperlink" Target="http://www.nevo.co.il/law/70301/301b.b.1" TargetMode="External"/><Relationship Id="rId32" Type="http://schemas.openxmlformats.org/officeDocument/2006/relationships/hyperlink" Target="http://www.nevo.co.il/case/20903137"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01b.b.1" TargetMode="External"/><Relationship Id="rId36" Type="http://schemas.openxmlformats.org/officeDocument/2006/relationships/hyperlink" Target="http://www.nevo.co.il/law/70301/34i.b" TargetMode="External"/><Relationship Id="rId10" Type="http://schemas.openxmlformats.org/officeDocument/2006/relationships/hyperlink" Target="http://www.nevo.co.il/law/70301/300.a"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8"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7317693" TargetMode="External"/><Relationship Id="rId27" Type="http://schemas.openxmlformats.org/officeDocument/2006/relationships/hyperlink" Target="http://www.nevo.co.il/case/27317693" TargetMode="External"/><Relationship Id="rId30" Type="http://schemas.openxmlformats.org/officeDocument/2006/relationships/hyperlink" Target="http://www.nevo.co.il/law/70301/301b.b.1" TargetMode="External"/><Relationship Id="rId35" Type="http://schemas.openxmlformats.org/officeDocument/2006/relationships/hyperlink" Target="http://www.nevo.co.il/law/70301/301b.c" TargetMode="External"/><Relationship Id="rId43" Type="http://schemas.openxmlformats.org/officeDocument/2006/relationships/footer" Target="footer2.xml"/><Relationship Id="rId8" Type="http://schemas.openxmlformats.org/officeDocument/2006/relationships/hyperlink" Target="http://www.nevo.co.il/law/70301/34i.b" TargetMode="External"/><Relationship Id="rId3" Type="http://schemas.openxmlformats.org/officeDocument/2006/relationships/settings" Target="settings.xml"/><Relationship Id="rId12" Type="http://schemas.openxmlformats.org/officeDocument/2006/relationships/hyperlink" Target="http://www.nevo.co.il/law/70301/301b.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274404" TargetMode="External"/><Relationship Id="rId33" Type="http://schemas.openxmlformats.org/officeDocument/2006/relationships/hyperlink" Target="http://www.nevo.co.il/law/70301/298" TargetMode="External"/><Relationship Id="rId38" Type="http://schemas.openxmlformats.org/officeDocument/2006/relationships/hyperlink" Target="http://www.nevo.co.il/case/27922142" TargetMode="External"/><Relationship Id="rId20" Type="http://schemas.openxmlformats.org/officeDocument/2006/relationships/hyperlink" Target="http://www.nevo.co.il/law/70301/300.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2038</Words>
  <Characters>10192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12206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3997808</vt:i4>
      </vt:variant>
      <vt:variant>
        <vt:i4>93</vt:i4>
      </vt:variant>
      <vt:variant>
        <vt:i4>0</vt:i4>
      </vt:variant>
      <vt:variant>
        <vt:i4>5</vt:i4>
      </vt:variant>
      <vt:variant>
        <vt:lpwstr>http://www.nevo.co.il/case/27922142</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5177359</vt:i4>
      </vt:variant>
      <vt:variant>
        <vt:i4>87</vt:i4>
      </vt:variant>
      <vt:variant>
        <vt:i4>0</vt:i4>
      </vt:variant>
      <vt:variant>
        <vt:i4>5</vt:i4>
      </vt:variant>
      <vt:variant>
        <vt:lpwstr>http://www.nevo.co.il/law/70301/34i.b</vt:lpwstr>
      </vt:variant>
      <vt:variant>
        <vt:lpwstr/>
      </vt:variant>
      <vt:variant>
        <vt:i4>6553721</vt:i4>
      </vt:variant>
      <vt:variant>
        <vt:i4>84</vt:i4>
      </vt:variant>
      <vt:variant>
        <vt:i4>0</vt:i4>
      </vt:variant>
      <vt:variant>
        <vt:i4>5</vt:i4>
      </vt:variant>
      <vt:variant>
        <vt:lpwstr>http://www.nevo.co.il/law/70301/301b.c</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7077991</vt:i4>
      </vt:variant>
      <vt:variant>
        <vt:i4>78</vt:i4>
      </vt:variant>
      <vt:variant>
        <vt:i4>0</vt:i4>
      </vt:variant>
      <vt:variant>
        <vt:i4>5</vt:i4>
      </vt:variant>
      <vt:variant>
        <vt:lpwstr>http://www.nevo.co.il/law/70301/298</vt:lpwstr>
      </vt:variant>
      <vt:variant>
        <vt:lpwstr/>
      </vt:variant>
      <vt:variant>
        <vt:i4>3866741</vt:i4>
      </vt:variant>
      <vt:variant>
        <vt:i4>75</vt:i4>
      </vt:variant>
      <vt:variant>
        <vt:i4>0</vt:i4>
      </vt:variant>
      <vt:variant>
        <vt:i4>5</vt:i4>
      </vt:variant>
      <vt:variant>
        <vt:lpwstr>http://www.nevo.co.il/case/20903137</vt:lpwstr>
      </vt:variant>
      <vt:variant>
        <vt:lpwstr/>
      </vt:variant>
      <vt:variant>
        <vt:i4>7995492</vt:i4>
      </vt:variant>
      <vt:variant>
        <vt:i4>72</vt:i4>
      </vt:variant>
      <vt:variant>
        <vt:i4>0</vt:i4>
      </vt:variant>
      <vt:variant>
        <vt:i4>5</vt:i4>
      </vt:variant>
      <vt:variant>
        <vt:lpwstr>http://www.nevo.co.il/law/70301</vt:lpwstr>
      </vt:variant>
      <vt:variant>
        <vt:lpwstr/>
      </vt:variant>
      <vt:variant>
        <vt:i4>5505111</vt:i4>
      </vt:variant>
      <vt:variant>
        <vt:i4>69</vt:i4>
      </vt:variant>
      <vt:variant>
        <vt:i4>0</vt:i4>
      </vt:variant>
      <vt:variant>
        <vt:i4>5</vt:i4>
      </vt:variant>
      <vt:variant>
        <vt:lpwstr>http://www.nevo.co.il/law/70301/301b.b.1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5505111</vt:i4>
      </vt:variant>
      <vt:variant>
        <vt:i4>63</vt:i4>
      </vt:variant>
      <vt:variant>
        <vt:i4>0</vt:i4>
      </vt:variant>
      <vt:variant>
        <vt:i4>5</vt:i4>
      </vt:variant>
      <vt:variant>
        <vt:lpwstr>http://www.nevo.co.il/law/70301/301b.b.1</vt:lpwstr>
      </vt:variant>
      <vt:variant>
        <vt:lpwstr/>
      </vt:variant>
      <vt:variant>
        <vt:i4>4128884</vt:i4>
      </vt:variant>
      <vt:variant>
        <vt:i4>60</vt:i4>
      </vt:variant>
      <vt:variant>
        <vt:i4>0</vt:i4>
      </vt:variant>
      <vt:variant>
        <vt:i4>5</vt:i4>
      </vt:variant>
      <vt:variant>
        <vt:lpwstr>http://www.nevo.co.il/case/27317693</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3407986</vt:i4>
      </vt:variant>
      <vt:variant>
        <vt:i4>54</vt:i4>
      </vt:variant>
      <vt:variant>
        <vt:i4>0</vt:i4>
      </vt:variant>
      <vt:variant>
        <vt:i4>5</vt:i4>
      </vt:variant>
      <vt:variant>
        <vt:lpwstr>http://www.nevo.co.il/case/25274404</vt:lpwstr>
      </vt:variant>
      <vt:variant>
        <vt:lpwstr/>
      </vt:variant>
      <vt:variant>
        <vt:i4>5505111</vt:i4>
      </vt:variant>
      <vt:variant>
        <vt:i4>51</vt:i4>
      </vt:variant>
      <vt:variant>
        <vt:i4>0</vt:i4>
      </vt:variant>
      <vt:variant>
        <vt:i4>5</vt:i4>
      </vt:variant>
      <vt:variant>
        <vt:lpwstr>http://www.nevo.co.il/law/70301/301b.b.1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4128884</vt:i4>
      </vt:variant>
      <vt:variant>
        <vt:i4>45</vt:i4>
      </vt:variant>
      <vt:variant>
        <vt:i4>0</vt:i4>
      </vt:variant>
      <vt:variant>
        <vt:i4>5</vt:i4>
      </vt:variant>
      <vt:variant>
        <vt:lpwstr>http://www.nevo.co.il/case/27317693</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4915286</vt:i4>
      </vt:variant>
      <vt:variant>
        <vt:i4>39</vt:i4>
      </vt:variant>
      <vt:variant>
        <vt:i4>0</vt:i4>
      </vt:variant>
      <vt:variant>
        <vt:i4>5</vt:i4>
      </vt:variant>
      <vt:variant>
        <vt:lpwstr>http://www.nevo.co.il/law/70301/300.a</vt:lpwstr>
      </vt:variant>
      <vt:variant>
        <vt:lpwstr/>
      </vt:variant>
      <vt:variant>
        <vt:i4>8257637</vt:i4>
      </vt:variant>
      <vt:variant>
        <vt:i4>36</vt:i4>
      </vt:variant>
      <vt:variant>
        <vt:i4>0</vt:i4>
      </vt:variant>
      <vt:variant>
        <vt:i4>5</vt:i4>
      </vt:variant>
      <vt:variant>
        <vt:lpwstr>http://www.nevo.co.il/law/4216</vt:lpwstr>
      </vt:variant>
      <vt:variant>
        <vt:lpwstr/>
      </vt:variant>
      <vt:variant>
        <vt:i4>5046344</vt:i4>
      </vt:variant>
      <vt:variant>
        <vt:i4>33</vt:i4>
      </vt:variant>
      <vt:variant>
        <vt:i4>0</vt:i4>
      </vt:variant>
      <vt:variant>
        <vt:i4>5</vt:i4>
      </vt:variant>
      <vt:variant>
        <vt:lpwstr>http://www.nevo.co.il/law/4216/13;19</vt:lpwstr>
      </vt:variant>
      <vt:variant>
        <vt:lpwstr/>
      </vt:variant>
      <vt:variant>
        <vt:i4>7995492</vt:i4>
      </vt:variant>
      <vt:variant>
        <vt:i4>30</vt:i4>
      </vt:variant>
      <vt:variant>
        <vt:i4>0</vt:i4>
      </vt:variant>
      <vt:variant>
        <vt:i4>5</vt:i4>
      </vt:variant>
      <vt:variant>
        <vt:lpwstr>http://www.nevo.co.il/law/70301</vt:lpwstr>
      </vt:variant>
      <vt:variant>
        <vt:lpwstr/>
      </vt:variant>
      <vt:variant>
        <vt:i4>5505111</vt:i4>
      </vt:variant>
      <vt:variant>
        <vt:i4>27</vt:i4>
      </vt:variant>
      <vt:variant>
        <vt:i4>0</vt:i4>
      </vt:variant>
      <vt:variant>
        <vt:i4>5</vt:i4>
      </vt:variant>
      <vt:variant>
        <vt:lpwstr>http://www.nevo.co.il/law/70301/301b.b.1</vt:lpwstr>
      </vt:variant>
      <vt:variant>
        <vt:lpwstr/>
      </vt:variant>
      <vt:variant>
        <vt:i4>5177418</vt:i4>
      </vt:variant>
      <vt:variant>
        <vt:i4>24</vt:i4>
      </vt:variant>
      <vt:variant>
        <vt:i4>0</vt:i4>
      </vt:variant>
      <vt:variant>
        <vt:i4>5</vt:i4>
      </vt:variant>
      <vt:variant>
        <vt:lpwstr>http://www.nevo.co.il/law/4216/19</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6553721</vt:i4>
      </vt:variant>
      <vt:variant>
        <vt:i4>15</vt:i4>
      </vt:variant>
      <vt:variant>
        <vt:i4>0</vt:i4>
      </vt:variant>
      <vt:variant>
        <vt:i4>5</vt:i4>
      </vt:variant>
      <vt:variant>
        <vt:lpwstr>http://www.nevo.co.il/law/70301/301b.c</vt:lpwstr>
      </vt:variant>
      <vt:variant>
        <vt:lpwstr/>
      </vt:variant>
      <vt:variant>
        <vt:i4>5505111</vt:i4>
      </vt:variant>
      <vt:variant>
        <vt:i4>12</vt:i4>
      </vt:variant>
      <vt:variant>
        <vt:i4>0</vt:i4>
      </vt:variant>
      <vt:variant>
        <vt:i4>5</vt:i4>
      </vt:variant>
      <vt:variant>
        <vt:lpwstr>http://www.nevo.co.il/law/70301/301b.b.1</vt:lpwstr>
      </vt:variant>
      <vt:variant>
        <vt:lpwstr/>
      </vt:variant>
      <vt:variant>
        <vt:i4>4915286</vt:i4>
      </vt:variant>
      <vt:variant>
        <vt:i4>9</vt:i4>
      </vt:variant>
      <vt:variant>
        <vt:i4>0</vt:i4>
      </vt:variant>
      <vt:variant>
        <vt:i4>5</vt:i4>
      </vt:variant>
      <vt:variant>
        <vt:lpwstr>http://www.nevo.co.il/law/70301/300.a</vt:lpwstr>
      </vt:variant>
      <vt:variant>
        <vt:lpwstr/>
      </vt:variant>
      <vt:variant>
        <vt:i4>7077991</vt:i4>
      </vt:variant>
      <vt:variant>
        <vt:i4>6</vt:i4>
      </vt:variant>
      <vt:variant>
        <vt:i4>0</vt:i4>
      </vt:variant>
      <vt:variant>
        <vt:i4>5</vt:i4>
      </vt:variant>
      <vt:variant>
        <vt:lpwstr>http://www.nevo.co.il/law/70301/298</vt:lpwstr>
      </vt:variant>
      <vt:variant>
        <vt:lpwstr/>
      </vt:variant>
      <vt:variant>
        <vt:i4>5177359</vt:i4>
      </vt:variant>
      <vt:variant>
        <vt:i4>3</vt:i4>
      </vt:variant>
      <vt:variant>
        <vt:i4>0</vt:i4>
      </vt:variant>
      <vt:variant>
        <vt:i4>5</vt:i4>
      </vt:variant>
      <vt:variant>
        <vt:lpwstr>http://www.nevo.co.il/law/70301/34i.b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55855</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נאור ביטון</vt:lpwstr>
  </property>
  <property fmtid="{D5CDD505-2E9C-101B-9397-08002B2CF9AE}" pid="10" name="LAWYER">
    <vt:lpwstr>ליאור אפשטיין</vt:lpwstr>
  </property>
  <property fmtid="{D5CDD505-2E9C-101B-9397-08002B2CF9AE}" pid="11" name="JUDGE">
    <vt:lpwstr>רפי כרמל;אריה רומנוב;מרים ליפשיץ פריבס</vt:lpwstr>
  </property>
  <property fmtid="{D5CDD505-2E9C-101B-9397-08002B2CF9AE}" pid="12" name="CITY">
    <vt:lpwstr>י-ם</vt:lpwstr>
  </property>
  <property fmtid="{D5CDD505-2E9C-101B-9397-08002B2CF9AE}" pid="13" name="DATE">
    <vt:lpwstr>20230130</vt:lpwstr>
  </property>
  <property fmtid="{D5CDD505-2E9C-101B-9397-08002B2CF9AE}" pid="14" name="TYPE_N_DATE">
    <vt:lpwstr>39020230130</vt:lpwstr>
  </property>
  <property fmtid="{D5CDD505-2E9C-101B-9397-08002B2CF9AE}" pid="15" name="WORDNUMPAGES">
    <vt:lpwstr>8</vt:lpwstr>
  </property>
  <property fmtid="{D5CDD505-2E9C-101B-9397-08002B2CF9AE}" pid="16" name="TYPE_ABS_DATE">
    <vt:lpwstr>390020230130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27317693:2;25274404;20903137;27922142</vt:lpwstr>
  </property>
  <property fmtid="{D5CDD505-2E9C-101B-9397-08002B2CF9AE}" pid="36" name="LAWLISTTMP1">
    <vt:lpwstr>70301/301b.b.1:4;300.a;298;301b.c;034i.b</vt:lpwstr>
  </property>
  <property fmtid="{D5CDD505-2E9C-101B-9397-08002B2CF9AE}" pid="37" name="LAWLISTTMP2">
    <vt:lpwstr>4216/013;019</vt:lpwstr>
  </property>
</Properties>
</file>