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D34A5F" w:rsidRPr="006311BA" w14:paraId="411C99CA" w14:textId="77777777" w:rsidTr="009E722B">
        <w:trPr>
          <w:trHeight w:hRule="exact" w:val="418"/>
          <w:jc w:val="center"/>
        </w:trPr>
        <w:tc>
          <w:tcPr>
            <w:tcW w:w="8861" w:type="dxa"/>
            <w:gridSpan w:val="2"/>
          </w:tcPr>
          <w:p w14:paraId="77ABED8E" w14:textId="77777777" w:rsidR="00D34A5F" w:rsidRPr="006311BA" w:rsidRDefault="00D34A5F" w:rsidP="009E722B">
            <w:pPr>
              <w:pStyle w:val="a3"/>
              <w:jc w:val="center"/>
              <w:rPr>
                <w:rFonts w:ascii="David" w:hAnsi="David"/>
                <w:b/>
                <w:bCs/>
                <w:color w:val="000080"/>
                <w:sz w:val="28"/>
                <w:szCs w:val="28"/>
                <w:rtl/>
              </w:rPr>
            </w:pPr>
            <w:r w:rsidRPr="006311BA">
              <w:rPr>
                <w:rFonts w:ascii="David" w:hAnsi="David"/>
                <w:b/>
                <w:bCs/>
                <w:color w:val="000080"/>
                <w:sz w:val="28"/>
                <w:szCs w:val="28"/>
                <w:rtl/>
              </w:rPr>
              <w:t>בית המשפט המחוזי בתל אביב – יפו</w:t>
            </w:r>
          </w:p>
          <w:p w14:paraId="19C54CB6" w14:textId="77777777" w:rsidR="00D34A5F" w:rsidRPr="006311BA" w:rsidRDefault="00D34A5F" w:rsidP="009E722B">
            <w:pPr>
              <w:pStyle w:val="a3"/>
              <w:jc w:val="center"/>
              <w:rPr>
                <w:rFonts w:ascii="David" w:hAnsi="David"/>
                <w:b/>
                <w:bCs/>
                <w:color w:val="000080"/>
                <w:sz w:val="28"/>
                <w:szCs w:val="28"/>
                <w:rtl/>
              </w:rPr>
            </w:pPr>
          </w:p>
        </w:tc>
      </w:tr>
      <w:tr w:rsidR="00D34A5F" w:rsidRPr="006311BA" w14:paraId="7B09BFEB" w14:textId="77777777" w:rsidTr="009E722B">
        <w:trPr>
          <w:trHeight w:val="337"/>
          <w:jc w:val="center"/>
        </w:trPr>
        <w:tc>
          <w:tcPr>
            <w:tcW w:w="5131" w:type="dxa"/>
          </w:tcPr>
          <w:p w14:paraId="0144B2A7" w14:textId="77777777" w:rsidR="00D34A5F" w:rsidRPr="006311BA" w:rsidRDefault="00D34A5F" w:rsidP="009E722B">
            <w:pPr>
              <w:rPr>
                <w:rFonts w:ascii="David" w:hAnsi="David"/>
                <w:b/>
                <w:bCs/>
                <w:rtl/>
              </w:rPr>
            </w:pPr>
            <w:r w:rsidRPr="006311BA">
              <w:rPr>
                <w:rFonts w:ascii="David" w:hAnsi="David"/>
                <w:b/>
                <w:bCs/>
                <w:rtl/>
              </w:rPr>
              <w:t>ת"פ 28847-09-20 מדינת ישראל נ' יבלונקה</w:t>
            </w:r>
          </w:p>
          <w:p w14:paraId="43866318" w14:textId="77777777" w:rsidR="00D34A5F" w:rsidRPr="006311BA" w:rsidRDefault="00D34A5F" w:rsidP="009E722B">
            <w:pPr>
              <w:rPr>
                <w:rFonts w:ascii="David" w:hAnsi="David"/>
                <w:b/>
                <w:bCs/>
                <w:rtl/>
              </w:rPr>
            </w:pPr>
          </w:p>
        </w:tc>
        <w:tc>
          <w:tcPr>
            <w:tcW w:w="3730" w:type="dxa"/>
          </w:tcPr>
          <w:p w14:paraId="159472EE" w14:textId="77777777" w:rsidR="00D34A5F" w:rsidRPr="006311BA" w:rsidRDefault="00D34A5F" w:rsidP="009E722B">
            <w:pPr>
              <w:pStyle w:val="a3"/>
              <w:jc w:val="right"/>
              <w:rPr>
                <w:rFonts w:ascii="David" w:hAnsi="David"/>
                <w:b/>
                <w:bCs/>
                <w:rtl/>
              </w:rPr>
            </w:pPr>
            <w:r w:rsidRPr="006311BA">
              <w:rPr>
                <w:rFonts w:ascii="David" w:hAnsi="David"/>
                <w:b/>
                <w:bCs/>
                <w:rtl/>
              </w:rPr>
              <w:t>12 ספטמבר 2021</w:t>
            </w:r>
          </w:p>
        </w:tc>
      </w:tr>
    </w:tbl>
    <w:p w14:paraId="401481B3" w14:textId="77777777" w:rsidR="00D34A5F" w:rsidRPr="006311BA" w:rsidRDefault="00D34A5F" w:rsidP="006519BC">
      <w:pPr>
        <w:pStyle w:val="a3"/>
        <w:rPr>
          <w:rFonts w:ascii="David" w:hAnsi="David"/>
          <w:rtl/>
        </w:rPr>
      </w:pPr>
      <w:r w:rsidRPr="006311BA">
        <w:rPr>
          <w:rtl/>
        </w:rPr>
        <w:t xml:space="preserve"> </w:t>
      </w:r>
    </w:p>
    <w:tbl>
      <w:tblPr>
        <w:bidiVisual/>
        <w:tblW w:w="8361" w:type="dxa"/>
        <w:tblInd w:w="413" w:type="dxa"/>
        <w:tblLook w:val="01E0" w:firstRow="1" w:lastRow="1" w:firstColumn="1" w:lastColumn="1" w:noHBand="0" w:noVBand="0"/>
      </w:tblPr>
      <w:tblGrid>
        <w:gridCol w:w="2439"/>
        <w:gridCol w:w="5922"/>
      </w:tblGrid>
      <w:tr w:rsidR="00D34A5F" w:rsidRPr="006311BA" w14:paraId="0B7EFD77" w14:textId="77777777" w:rsidTr="00D34A5F">
        <w:trPr>
          <w:cantSplit/>
          <w:trHeight w:val="724"/>
        </w:trPr>
        <w:tc>
          <w:tcPr>
            <w:tcW w:w="8361" w:type="dxa"/>
            <w:gridSpan w:val="2"/>
            <w:shd w:val="clear" w:color="auto" w:fill="auto"/>
          </w:tcPr>
          <w:p w14:paraId="6DC07615" w14:textId="77777777" w:rsidR="00D34A5F" w:rsidRPr="006311BA" w:rsidRDefault="00D34A5F" w:rsidP="00D34A5F">
            <w:pPr>
              <w:spacing w:line="360" w:lineRule="auto"/>
              <w:rPr>
                <w:rFonts w:ascii="David" w:hAnsi="David"/>
                <w:b/>
                <w:bCs/>
              </w:rPr>
            </w:pPr>
            <w:r w:rsidRPr="006311BA">
              <w:rPr>
                <w:rFonts w:ascii="David" w:hAnsi="David" w:hint="cs"/>
                <w:b/>
                <w:bCs/>
                <w:rtl/>
              </w:rPr>
              <w:t xml:space="preserve">                          ;בפני כב' השופט בני שגיא, סגן נשיא</w:t>
            </w:r>
          </w:p>
        </w:tc>
      </w:tr>
      <w:tr w:rsidR="00D34A5F" w:rsidRPr="006311BA" w14:paraId="4DE240A2" w14:textId="77777777" w:rsidTr="00D34A5F">
        <w:trPr>
          <w:cantSplit/>
          <w:trHeight w:val="724"/>
        </w:trPr>
        <w:tc>
          <w:tcPr>
            <w:tcW w:w="2439" w:type="dxa"/>
            <w:shd w:val="clear" w:color="auto" w:fill="auto"/>
          </w:tcPr>
          <w:p w14:paraId="21CE7F32" w14:textId="77777777" w:rsidR="00D34A5F" w:rsidRPr="006311BA" w:rsidRDefault="00D34A5F" w:rsidP="00D34A5F">
            <w:pPr>
              <w:spacing w:line="360" w:lineRule="auto"/>
              <w:ind w:left="26"/>
              <w:rPr>
                <w:b/>
                <w:bCs/>
              </w:rPr>
            </w:pPr>
            <w:bookmarkStart w:id="0" w:name="FirstAppellant"/>
            <w:bookmarkStart w:id="1" w:name="FirstLawyer"/>
            <w:bookmarkStart w:id="2" w:name="LastJudge"/>
            <w:bookmarkEnd w:id="2"/>
            <w:r w:rsidRPr="006311BA">
              <w:rPr>
                <w:rFonts w:ascii="David" w:hAnsi="David" w:hint="cs"/>
                <w:b/>
                <w:bCs/>
                <w:rtl/>
              </w:rPr>
              <w:t>המאשימה</w:t>
            </w:r>
            <w:r w:rsidRPr="006311BA">
              <w:rPr>
                <w:rFonts w:hint="cs"/>
                <w:b/>
                <w:bCs/>
                <w:rtl/>
              </w:rPr>
              <w:t>:</w:t>
            </w:r>
          </w:p>
        </w:tc>
        <w:tc>
          <w:tcPr>
            <w:tcW w:w="5922" w:type="dxa"/>
            <w:shd w:val="clear" w:color="auto" w:fill="auto"/>
          </w:tcPr>
          <w:p w14:paraId="09F26727" w14:textId="77777777" w:rsidR="00D34A5F" w:rsidRPr="006311BA" w:rsidRDefault="00D34A5F" w:rsidP="00D34A5F">
            <w:pPr>
              <w:spacing w:line="360" w:lineRule="auto"/>
              <w:rPr>
                <w:rtl/>
              </w:rPr>
            </w:pPr>
            <w:r w:rsidRPr="006311BA">
              <w:rPr>
                <w:rFonts w:hint="cs"/>
                <w:b/>
                <w:bCs/>
                <w:rtl/>
              </w:rPr>
              <w:t xml:space="preserve">מדינת ישראל </w:t>
            </w:r>
          </w:p>
          <w:p w14:paraId="336BE94F" w14:textId="77777777" w:rsidR="00D34A5F" w:rsidRPr="006311BA" w:rsidRDefault="00D34A5F" w:rsidP="00D34A5F">
            <w:pPr>
              <w:spacing w:line="360" w:lineRule="auto"/>
              <w:rPr>
                <w:rtl/>
              </w:rPr>
            </w:pPr>
            <w:r w:rsidRPr="006311BA">
              <w:rPr>
                <w:rFonts w:hint="cs"/>
                <w:rtl/>
              </w:rPr>
              <w:t>על-ידי ב"כ עו"ד ענת בן-זאב ועו"ד שלי קוטין</w:t>
            </w:r>
          </w:p>
        </w:tc>
      </w:tr>
      <w:bookmarkEnd w:id="0"/>
      <w:bookmarkEnd w:id="1"/>
      <w:tr w:rsidR="00D34A5F" w:rsidRPr="006311BA" w14:paraId="7381B23A" w14:textId="77777777" w:rsidTr="00D34A5F">
        <w:tc>
          <w:tcPr>
            <w:tcW w:w="8361" w:type="dxa"/>
            <w:gridSpan w:val="2"/>
            <w:shd w:val="clear" w:color="auto" w:fill="auto"/>
            <w:vAlign w:val="center"/>
          </w:tcPr>
          <w:p w14:paraId="7BD664E2" w14:textId="77777777" w:rsidR="00D34A5F" w:rsidRPr="006311BA" w:rsidRDefault="00D34A5F" w:rsidP="00D34A5F">
            <w:pPr>
              <w:spacing w:line="360" w:lineRule="auto"/>
              <w:jc w:val="center"/>
              <w:rPr>
                <w:rFonts w:ascii="Arial" w:hAnsi="Arial"/>
                <w:b/>
                <w:bCs/>
                <w:rtl/>
              </w:rPr>
            </w:pPr>
          </w:p>
          <w:p w14:paraId="6AE930BA" w14:textId="77777777" w:rsidR="00D34A5F" w:rsidRPr="006311BA" w:rsidRDefault="00D34A5F" w:rsidP="00D34A5F">
            <w:pPr>
              <w:spacing w:line="360" w:lineRule="auto"/>
              <w:jc w:val="center"/>
              <w:rPr>
                <w:rFonts w:ascii="Arial" w:hAnsi="Arial"/>
                <w:b/>
                <w:bCs/>
                <w:rtl/>
              </w:rPr>
            </w:pPr>
            <w:r w:rsidRPr="006311BA">
              <w:rPr>
                <w:rFonts w:ascii="Arial" w:hAnsi="Arial" w:hint="cs"/>
                <w:b/>
                <w:bCs/>
                <w:rtl/>
              </w:rPr>
              <w:t>נגד</w:t>
            </w:r>
          </w:p>
          <w:p w14:paraId="0EFF4EE0" w14:textId="77777777" w:rsidR="00D34A5F" w:rsidRPr="006311BA" w:rsidRDefault="00D34A5F" w:rsidP="00D34A5F">
            <w:pPr>
              <w:spacing w:line="360" w:lineRule="auto"/>
              <w:jc w:val="right"/>
              <w:rPr>
                <w:rFonts w:ascii="Arial" w:hAnsi="Arial"/>
                <w:b/>
                <w:bCs/>
                <w:rtl/>
              </w:rPr>
            </w:pPr>
          </w:p>
        </w:tc>
      </w:tr>
      <w:tr w:rsidR="00D34A5F" w:rsidRPr="006311BA" w14:paraId="5776940A" w14:textId="77777777" w:rsidTr="00D34A5F">
        <w:tc>
          <w:tcPr>
            <w:tcW w:w="2439" w:type="dxa"/>
            <w:shd w:val="clear" w:color="auto" w:fill="auto"/>
          </w:tcPr>
          <w:p w14:paraId="519F4684" w14:textId="77777777" w:rsidR="00D34A5F" w:rsidRPr="006311BA" w:rsidRDefault="00D34A5F" w:rsidP="00D34A5F">
            <w:pPr>
              <w:spacing w:line="360" w:lineRule="auto"/>
              <w:ind w:left="26"/>
              <w:rPr>
                <w:b/>
                <w:bCs/>
                <w:rtl/>
              </w:rPr>
            </w:pPr>
            <w:r w:rsidRPr="006311BA">
              <w:rPr>
                <w:rFonts w:hint="cs"/>
                <w:b/>
                <w:bCs/>
                <w:rtl/>
              </w:rPr>
              <w:t>הנאשם:</w:t>
            </w:r>
          </w:p>
        </w:tc>
        <w:tc>
          <w:tcPr>
            <w:tcW w:w="5922" w:type="dxa"/>
            <w:shd w:val="clear" w:color="auto" w:fill="auto"/>
          </w:tcPr>
          <w:p w14:paraId="66612213" w14:textId="77777777" w:rsidR="00D34A5F" w:rsidRPr="006311BA" w:rsidRDefault="00D34A5F" w:rsidP="00D34A5F">
            <w:pPr>
              <w:spacing w:line="360" w:lineRule="auto"/>
              <w:rPr>
                <w:b/>
                <w:bCs/>
                <w:rtl/>
              </w:rPr>
            </w:pPr>
            <w:r w:rsidRPr="006311BA">
              <w:rPr>
                <w:rFonts w:hint="cs"/>
                <w:b/>
                <w:bCs/>
                <w:rtl/>
              </w:rPr>
              <w:t xml:space="preserve">חנן יבלונקה ת"ז  </w:t>
            </w:r>
            <w:r w:rsidR="006311BA">
              <w:rPr>
                <w:b/>
                <w:bCs/>
              </w:rPr>
              <w:t>xxxxxxxxxx</w:t>
            </w:r>
          </w:p>
          <w:p w14:paraId="376510DD" w14:textId="77777777" w:rsidR="00D34A5F" w:rsidRPr="006311BA" w:rsidRDefault="00D34A5F" w:rsidP="00D34A5F">
            <w:pPr>
              <w:spacing w:line="360" w:lineRule="auto"/>
              <w:rPr>
                <w:rtl/>
              </w:rPr>
            </w:pPr>
            <w:r w:rsidRPr="006311BA">
              <w:rPr>
                <w:rFonts w:hint="cs"/>
                <w:rtl/>
              </w:rPr>
              <w:t>על-ידי ב"כ עו"ד דוד בוחבוט</w:t>
            </w:r>
          </w:p>
          <w:p w14:paraId="3B44BF95" w14:textId="77777777" w:rsidR="00D34A5F" w:rsidRPr="006311BA" w:rsidRDefault="00D34A5F" w:rsidP="00D34A5F">
            <w:pPr>
              <w:spacing w:line="360" w:lineRule="auto"/>
              <w:jc w:val="right"/>
              <w:rPr>
                <w:b/>
                <w:bCs/>
                <w:rtl/>
              </w:rPr>
            </w:pPr>
          </w:p>
        </w:tc>
      </w:tr>
    </w:tbl>
    <w:p w14:paraId="7B1A2676" w14:textId="77777777" w:rsidR="006519BC" w:rsidRDefault="006519BC" w:rsidP="00D34A5F">
      <w:pPr>
        <w:spacing w:line="360" w:lineRule="auto"/>
        <w:jc w:val="both"/>
        <w:rPr>
          <w:rFonts w:ascii="David" w:hAnsi="David"/>
          <w:rtl/>
        </w:rPr>
      </w:pPr>
    </w:p>
    <w:p w14:paraId="35426D1C" w14:textId="77777777" w:rsidR="006519BC" w:rsidRPr="006519BC" w:rsidRDefault="006519BC" w:rsidP="006519BC">
      <w:pPr>
        <w:spacing w:after="120" w:line="240" w:lineRule="exact"/>
        <w:ind w:left="283" w:hanging="283"/>
        <w:jc w:val="both"/>
        <w:rPr>
          <w:rFonts w:ascii="FrankRuehl" w:hAnsi="FrankRuehl" w:cs="FrankRuehl"/>
          <w:rtl/>
        </w:rPr>
      </w:pPr>
    </w:p>
    <w:p w14:paraId="5060A8E8" w14:textId="77777777" w:rsidR="00214954" w:rsidRDefault="00214954" w:rsidP="00214954">
      <w:pPr>
        <w:jc w:val="center"/>
        <w:rPr>
          <w:sz w:val="34"/>
          <w:szCs w:val="34"/>
          <w:rtl/>
        </w:rPr>
      </w:pPr>
      <w:bookmarkStart w:id="3" w:name="LawTable"/>
      <w:bookmarkEnd w:id="3"/>
    </w:p>
    <w:p w14:paraId="273CAF0A" w14:textId="77777777" w:rsidR="00214954" w:rsidRPr="00214954" w:rsidRDefault="00214954" w:rsidP="00214954">
      <w:pPr>
        <w:spacing w:before="120" w:after="120" w:line="240" w:lineRule="exact"/>
        <w:ind w:left="283" w:hanging="283"/>
        <w:jc w:val="both"/>
        <w:rPr>
          <w:rFonts w:ascii="FrankRuehl" w:hAnsi="FrankRuehl" w:cs="FrankRuehl"/>
          <w:rtl/>
        </w:rPr>
      </w:pPr>
    </w:p>
    <w:p w14:paraId="5E13D58B" w14:textId="77777777" w:rsidR="00214954" w:rsidRPr="00214954" w:rsidRDefault="00214954" w:rsidP="00214954">
      <w:pPr>
        <w:spacing w:before="120" w:after="120" w:line="240" w:lineRule="exact"/>
        <w:ind w:left="283" w:hanging="283"/>
        <w:jc w:val="both"/>
        <w:rPr>
          <w:rFonts w:ascii="FrankRuehl" w:hAnsi="FrankRuehl" w:cs="FrankRuehl"/>
          <w:rtl/>
        </w:rPr>
      </w:pPr>
    </w:p>
    <w:p w14:paraId="39F41734" w14:textId="77777777" w:rsidR="00214954" w:rsidRPr="00214954" w:rsidRDefault="00214954" w:rsidP="00214954">
      <w:pPr>
        <w:spacing w:before="120" w:after="120" w:line="240" w:lineRule="exact"/>
        <w:ind w:left="283" w:hanging="283"/>
        <w:jc w:val="both"/>
        <w:rPr>
          <w:rFonts w:ascii="FrankRuehl" w:hAnsi="FrankRuehl" w:cs="FrankRuehl"/>
          <w:rtl/>
        </w:rPr>
      </w:pPr>
      <w:r w:rsidRPr="00214954">
        <w:rPr>
          <w:rFonts w:ascii="FrankRuehl" w:hAnsi="FrankRuehl" w:cs="FrankRuehl"/>
          <w:rtl/>
        </w:rPr>
        <w:t xml:space="preserve">חקיקה שאוזכרה: </w:t>
      </w:r>
    </w:p>
    <w:p w14:paraId="642AFA55" w14:textId="77777777" w:rsidR="00214954" w:rsidRPr="00214954" w:rsidRDefault="00214954" w:rsidP="00214954">
      <w:pPr>
        <w:spacing w:before="120" w:after="120" w:line="240" w:lineRule="exact"/>
        <w:ind w:left="283" w:hanging="283"/>
        <w:jc w:val="both"/>
        <w:rPr>
          <w:rFonts w:ascii="FrankRuehl" w:hAnsi="FrankRuehl" w:cs="FrankRuehl"/>
          <w:rtl/>
        </w:rPr>
      </w:pPr>
      <w:hyperlink r:id="rId7" w:history="1">
        <w:r w:rsidRPr="00214954">
          <w:rPr>
            <w:rFonts w:ascii="FrankRuehl" w:hAnsi="FrankRuehl" w:cs="FrankRuehl"/>
            <w:color w:val="0000FF"/>
            <w:rtl/>
          </w:rPr>
          <w:t>פקודת הסמים המסוכנים [נוסח חדש], תשל"ג-1973</w:t>
        </w:r>
      </w:hyperlink>
      <w:r w:rsidRPr="00214954">
        <w:rPr>
          <w:rFonts w:ascii="FrankRuehl" w:hAnsi="FrankRuehl" w:cs="FrankRuehl"/>
          <w:rtl/>
        </w:rPr>
        <w:t xml:space="preserve">: סע'  </w:t>
      </w:r>
      <w:hyperlink r:id="rId8" w:history="1">
        <w:r w:rsidRPr="00214954">
          <w:rPr>
            <w:rFonts w:ascii="FrankRuehl" w:hAnsi="FrankRuehl" w:cs="FrankRuehl"/>
            <w:color w:val="0000FF"/>
            <w:rtl/>
          </w:rPr>
          <w:t>6</w:t>
        </w:r>
      </w:hyperlink>
      <w:r w:rsidRPr="00214954">
        <w:rPr>
          <w:rFonts w:ascii="FrankRuehl" w:hAnsi="FrankRuehl" w:cs="FrankRuehl"/>
          <w:rtl/>
        </w:rPr>
        <w:t xml:space="preserve">, </w:t>
      </w:r>
      <w:hyperlink r:id="rId9" w:history="1">
        <w:r w:rsidRPr="00214954">
          <w:rPr>
            <w:rFonts w:ascii="FrankRuehl" w:hAnsi="FrankRuehl" w:cs="FrankRuehl"/>
            <w:color w:val="0000FF"/>
            <w:rtl/>
          </w:rPr>
          <w:t>7.א.</w:t>
        </w:r>
      </w:hyperlink>
      <w:r w:rsidRPr="00214954">
        <w:rPr>
          <w:rFonts w:ascii="FrankRuehl" w:hAnsi="FrankRuehl" w:cs="FrankRuehl"/>
          <w:rtl/>
        </w:rPr>
        <w:t xml:space="preserve">, </w:t>
      </w:r>
      <w:hyperlink r:id="rId10" w:history="1">
        <w:r w:rsidRPr="00214954">
          <w:rPr>
            <w:rFonts w:ascii="FrankRuehl" w:hAnsi="FrankRuehl" w:cs="FrankRuehl"/>
            <w:color w:val="0000FF"/>
            <w:rtl/>
          </w:rPr>
          <w:t>7.ג</w:t>
        </w:r>
      </w:hyperlink>
      <w:r w:rsidRPr="00214954">
        <w:rPr>
          <w:rFonts w:ascii="FrankRuehl" w:hAnsi="FrankRuehl" w:cs="FrankRuehl"/>
          <w:rtl/>
        </w:rPr>
        <w:t xml:space="preserve">, </w:t>
      </w:r>
      <w:hyperlink r:id="rId11" w:history="1">
        <w:r w:rsidRPr="00214954">
          <w:rPr>
            <w:rFonts w:ascii="FrankRuehl" w:hAnsi="FrankRuehl" w:cs="FrankRuehl"/>
            <w:color w:val="0000FF"/>
            <w:rtl/>
          </w:rPr>
          <w:t>9.א.</w:t>
        </w:r>
      </w:hyperlink>
      <w:r w:rsidRPr="00214954">
        <w:rPr>
          <w:rFonts w:ascii="FrankRuehl" w:hAnsi="FrankRuehl" w:cs="FrankRuehl"/>
          <w:rtl/>
        </w:rPr>
        <w:t xml:space="preserve">, </w:t>
      </w:r>
      <w:hyperlink r:id="rId12" w:history="1">
        <w:r w:rsidRPr="00214954">
          <w:rPr>
            <w:rFonts w:ascii="FrankRuehl" w:hAnsi="FrankRuehl" w:cs="FrankRuehl"/>
            <w:color w:val="0000FF"/>
            <w:rtl/>
          </w:rPr>
          <w:t>9.ד</w:t>
        </w:r>
      </w:hyperlink>
      <w:r w:rsidRPr="00214954">
        <w:rPr>
          <w:rFonts w:ascii="FrankRuehl" w:hAnsi="FrankRuehl" w:cs="FrankRuehl"/>
          <w:rtl/>
        </w:rPr>
        <w:t xml:space="preserve">, </w:t>
      </w:r>
      <w:hyperlink r:id="rId13" w:history="1">
        <w:r w:rsidRPr="00214954">
          <w:rPr>
            <w:rFonts w:ascii="FrankRuehl" w:hAnsi="FrankRuehl" w:cs="FrankRuehl"/>
            <w:color w:val="0000FF"/>
            <w:rtl/>
          </w:rPr>
          <w:t>10</w:t>
        </w:r>
      </w:hyperlink>
    </w:p>
    <w:p w14:paraId="5FD283EA" w14:textId="77777777" w:rsidR="00214954" w:rsidRPr="00214954" w:rsidRDefault="00214954" w:rsidP="00214954">
      <w:pPr>
        <w:jc w:val="center"/>
        <w:rPr>
          <w:sz w:val="34"/>
          <w:szCs w:val="34"/>
          <w:rtl/>
        </w:rPr>
      </w:pPr>
      <w:bookmarkStart w:id="4" w:name="LawTable_End"/>
      <w:bookmarkEnd w:id="4"/>
    </w:p>
    <w:p w14:paraId="2A1B9D92" w14:textId="77777777" w:rsidR="006311BA" w:rsidRPr="006311BA" w:rsidRDefault="006311BA" w:rsidP="00D34A5F">
      <w:pPr>
        <w:jc w:val="center"/>
        <w:rPr>
          <w:b/>
          <w:bCs/>
          <w:sz w:val="34"/>
          <w:szCs w:val="34"/>
          <w:rtl/>
        </w:rPr>
      </w:pPr>
    </w:p>
    <w:p w14:paraId="0078C3A8" w14:textId="77777777" w:rsidR="006311BA" w:rsidRPr="006311BA" w:rsidRDefault="006311BA" w:rsidP="006311BA">
      <w:pPr>
        <w:pStyle w:val="a9"/>
        <w:spacing w:before="240" w:after="240" w:line="360" w:lineRule="auto"/>
        <w:ind w:left="360"/>
        <w:contextualSpacing w:val="0"/>
        <w:jc w:val="center"/>
        <w:rPr>
          <w:b/>
          <w:bCs/>
          <w:sz w:val="34"/>
          <w:szCs w:val="34"/>
          <w:u w:val="single"/>
          <w:rtl/>
        </w:rPr>
      </w:pPr>
      <w:bookmarkStart w:id="5" w:name="PsakDin"/>
      <w:r w:rsidRPr="006311BA">
        <w:rPr>
          <w:b/>
          <w:bCs/>
          <w:sz w:val="34"/>
          <w:szCs w:val="34"/>
          <w:u w:val="single"/>
          <w:rtl/>
        </w:rPr>
        <w:t>גזר דין</w:t>
      </w:r>
    </w:p>
    <w:bookmarkEnd w:id="5"/>
    <w:p w14:paraId="33F6C0CD" w14:textId="77777777" w:rsidR="00D34A5F" w:rsidRDefault="00D34A5F" w:rsidP="00D34A5F">
      <w:pPr>
        <w:pStyle w:val="a9"/>
        <w:spacing w:before="240" w:after="240" w:line="360" w:lineRule="auto"/>
        <w:ind w:left="360"/>
        <w:contextualSpacing w:val="0"/>
        <w:jc w:val="both"/>
        <w:rPr>
          <w:rFonts w:ascii="David" w:hAnsi="David"/>
          <w:b/>
          <w:bCs/>
        </w:rPr>
      </w:pPr>
      <w:r>
        <w:rPr>
          <w:rFonts w:ascii="David" w:hAnsi="David"/>
          <w:b/>
          <w:bCs/>
          <w:rtl/>
        </w:rPr>
        <w:t>כללי</w:t>
      </w:r>
    </w:p>
    <w:p w14:paraId="1C4F37DE" w14:textId="77777777" w:rsidR="00D34A5F" w:rsidRDefault="00D34A5F" w:rsidP="00D34A5F">
      <w:pPr>
        <w:pStyle w:val="a9"/>
        <w:numPr>
          <w:ilvl w:val="0"/>
          <w:numId w:val="1"/>
        </w:numPr>
        <w:spacing w:before="240" w:after="240" w:line="360" w:lineRule="auto"/>
        <w:ind w:left="357" w:hanging="357"/>
        <w:contextualSpacing w:val="0"/>
        <w:jc w:val="both"/>
        <w:rPr>
          <w:rFonts w:ascii="David" w:hAnsi="David"/>
        </w:rPr>
      </w:pPr>
      <w:bookmarkStart w:id="6" w:name="ABSTRACT_START"/>
      <w:bookmarkEnd w:id="6"/>
      <w:r w:rsidRPr="00D63E64">
        <w:rPr>
          <w:rFonts w:ascii="David" w:hAnsi="David"/>
          <w:rtl/>
        </w:rPr>
        <w:t xml:space="preserve">הנאשם הורשע על יסוד הודאתו בעבירות של ייצור, הכנה והפקת סמים מסוכנים, לפי </w:t>
      </w:r>
      <w:hyperlink r:id="rId14" w:history="1">
        <w:r w:rsidR="006519BC" w:rsidRPr="006519BC">
          <w:rPr>
            <w:rStyle w:val="Hyperlink"/>
            <w:rFonts w:ascii="David" w:hAnsi="David"/>
            <w:rtl/>
          </w:rPr>
          <w:t>סעיף 6</w:t>
        </w:r>
      </w:hyperlink>
      <w:r w:rsidRPr="00D63E64">
        <w:rPr>
          <w:rFonts w:ascii="David" w:hAnsi="David"/>
          <w:rtl/>
        </w:rPr>
        <w:t xml:space="preserve"> ל</w:t>
      </w:r>
      <w:hyperlink r:id="rId15" w:history="1">
        <w:r w:rsidR="006311BA" w:rsidRPr="006311BA">
          <w:rPr>
            <w:rFonts w:ascii="David" w:hAnsi="David"/>
            <w:color w:val="0000FF"/>
            <w:u w:val="single"/>
            <w:rtl/>
          </w:rPr>
          <w:t>פקודת הסמים המסוכנים</w:t>
        </w:r>
      </w:hyperlink>
      <w:r w:rsidRPr="00D63E64">
        <w:rPr>
          <w:rFonts w:ascii="David" w:hAnsi="David"/>
          <w:rtl/>
        </w:rPr>
        <w:t xml:space="preserve"> [נוסח חדש], תשל"ג-1973 (להלן</w:t>
      </w:r>
      <w:r w:rsidRPr="00D63E64">
        <w:rPr>
          <w:rFonts w:ascii="David" w:hAnsi="David" w:hint="cs"/>
          <w:rtl/>
        </w:rPr>
        <w:t xml:space="preserve"> </w:t>
      </w:r>
      <w:r w:rsidRPr="00D63E64">
        <w:rPr>
          <w:rFonts w:ascii="David" w:hAnsi="David"/>
          <w:rtl/>
        </w:rPr>
        <w:t xml:space="preserve">- </w:t>
      </w:r>
      <w:r w:rsidRPr="00D63E64">
        <w:rPr>
          <w:rFonts w:ascii="David" w:hAnsi="David"/>
          <w:b/>
          <w:bCs/>
          <w:rtl/>
        </w:rPr>
        <w:t>פקודת הסמים</w:t>
      </w:r>
      <w:r w:rsidRPr="00D63E64">
        <w:rPr>
          <w:rFonts w:ascii="David" w:hAnsi="David"/>
          <w:rtl/>
        </w:rPr>
        <w:t xml:space="preserve"> או </w:t>
      </w:r>
      <w:r w:rsidRPr="00D63E64">
        <w:rPr>
          <w:rFonts w:ascii="David" w:hAnsi="David"/>
          <w:b/>
          <w:bCs/>
          <w:rtl/>
        </w:rPr>
        <w:t>הפקודה</w:t>
      </w:r>
      <w:r w:rsidRPr="00D63E64">
        <w:rPr>
          <w:rFonts w:ascii="David" w:hAnsi="David"/>
          <w:rtl/>
        </w:rPr>
        <w:t>); החזקת סם שלא לצריכה עצמית, לפי סעיף</w:t>
      </w:r>
      <w:hyperlink r:id="rId16" w:history="1">
        <w:r w:rsidR="006519BC" w:rsidRPr="006519BC">
          <w:rPr>
            <w:rStyle w:val="Hyperlink"/>
            <w:rFonts w:ascii="David" w:hAnsi="David"/>
            <w:rtl/>
          </w:rPr>
          <w:t xml:space="preserve"> 7(א) ו- (ג)</w:t>
        </w:r>
      </w:hyperlink>
      <w:r w:rsidRPr="00D63E64">
        <w:rPr>
          <w:rFonts w:ascii="David" w:hAnsi="David"/>
          <w:rtl/>
        </w:rPr>
        <w:t xml:space="preserve"> רישא לפקודת הסמים; החזקת חצרים לשם הכנת סם מסוכן, לפי סעיף </w:t>
      </w:r>
      <w:hyperlink r:id="rId17" w:history="1">
        <w:r w:rsidR="006519BC" w:rsidRPr="006519BC">
          <w:rPr>
            <w:rStyle w:val="Hyperlink"/>
            <w:rFonts w:ascii="David" w:hAnsi="David"/>
            <w:rtl/>
          </w:rPr>
          <w:t>9(א) ו- (ד)</w:t>
        </w:r>
      </w:hyperlink>
      <w:r w:rsidRPr="00D63E64">
        <w:rPr>
          <w:rFonts w:ascii="David" w:hAnsi="David"/>
          <w:rtl/>
        </w:rPr>
        <w:t xml:space="preserve"> רישא לפקודת הסמים; </w:t>
      </w:r>
      <w:r w:rsidRPr="00D63E64">
        <w:rPr>
          <w:rFonts w:ascii="David" w:hAnsi="David" w:hint="cs"/>
          <w:rtl/>
        </w:rPr>
        <w:t>ו</w:t>
      </w:r>
      <w:r w:rsidRPr="00D63E64">
        <w:rPr>
          <w:rFonts w:ascii="David" w:hAnsi="David"/>
          <w:rtl/>
        </w:rPr>
        <w:t>החזקת כלים המשמשים להכנת סם מסוכן או לצריכתו,</w:t>
      </w:r>
      <w:r>
        <w:rPr>
          <w:rFonts w:ascii="David" w:hAnsi="David"/>
          <w:rtl/>
        </w:rPr>
        <w:t xml:space="preserve"> לפי </w:t>
      </w:r>
      <w:hyperlink r:id="rId18" w:history="1">
        <w:r w:rsidR="006519BC" w:rsidRPr="006519BC">
          <w:rPr>
            <w:rStyle w:val="Hyperlink"/>
            <w:rFonts w:ascii="David" w:hAnsi="David"/>
            <w:rtl/>
          </w:rPr>
          <w:t>סעיף 10</w:t>
        </w:r>
      </w:hyperlink>
      <w:r>
        <w:rPr>
          <w:rFonts w:ascii="David" w:hAnsi="David"/>
          <w:rtl/>
        </w:rPr>
        <w:t xml:space="preserve"> רישא לפקודת הסמים</w:t>
      </w:r>
      <w:r>
        <w:rPr>
          <w:rFonts w:ascii="David" w:hAnsi="David" w:hint="cs"/>
          <w:rtl/>
        </w:rPr>
        <w:t xml:space="preserve">. </w:t>
      </w:r>
    </w:p>
    <w:p w14:paraId="261EF1E4" w14:textId="77777777" w:rsidR="00D34A5F" w:rsidRDefault="00D34A5F" w:rsidP="00D34A5F">
      <w:pPr>
        <w:pStyle w:val="a9"/>
        <w:spacing w:before="240" w:after="240" w:line="360" w:lineRule="auto"/>
        <w:ind w:left="357"/>
        <w:contextualSpacing w:val="0"/>
        <w:jc w:val="both"/>
        <w:rPr>
          <w:rFonts w:ascii="David" w:hAnsi="David"/>
          <w:rtl/>
        </w:rPr>
      </w:pPr>
      <w:bookmarkStart w:id="7" w:name="ABSTRACT_END"/>
      <w:bookmarkEnd w:id="7"/>
      <w:r w:rsidRPr="00D63E64">
        <w:rPr>
          <w:rFonts w:ascii="David" w:hAnsi="David"/>
          <w:rtl/>
        </w:rPr>
        <w:t xml:space="preserve">הסדר הטיעון שגובש בין הצדדים כלל את תיקונו של כתב האישום מבלי שגובשה הסכמה לעניין העונש, ובהקשר זה טען כל צד על-פי מיטב שיקול דעתו. </w:t>
      </w:r>
      <w:r>
        <w:rPr>
          <w:rFonts w:ascii="David" w:hAnsi="David" w:hint="cs"/>
          <w:rtl/>
        </w:rPr>
        <w:t xml:space="preserve">הנאשם הופנה לשירות המבחן לקבלת תסקיר עובר לשלב הטיעונים לעונש. </w:t>
      </w:r>
    </w:p>
    <w:p w14:paraId="0C32766F" w14:textId="77777777" w:rsidR="00D34A5F" w:rsidRDefault="00D34A5F" w:rsidP="00D34A5F">
      <w:pPr>
        <w:pStyle w:val="a9"/>
        <w:numPr>
          <w:ilvl w:val="0"/>
          <w:numId w:val="1"/>
        </w:numPr>
        <w:spacing w:before="240" w:after="240" w:line="360" w:lineRule="auto"/>
        <w:contextualSpacing w:val="0"/>
        <w:jc w:val="both"/>
        <w:rPr>
          <w:rFonts w:ascii="David" w:hAnsi="David"/>
        </w:rPr>
      </w:pPr>
      <w:r>
        <w:rPr>
          <w:rFonts w:ascii="David" w:hAnsi="David"/>
          <w:rtl/>
        </w:rPr>
        <w:t>על</w:t>
      </w:r>
      <w:r>
        <w:rPr>
          <w:rFonts w:ascii="David" w:hAnsi="David" w:hint="cs"/>
          <w:rtl/>
        </w:rPr>
        <w:t>-</w:t>
      </w:r>
      <w:r>
        <w:rPr>
          <w:rFonts w:ascii="David" w:hAnsi="David"/>
          <w:rtl/>
        </w:rPr>
        <w:t>פי עובדות כתב האישום המתוקן</w:t>
      </w:r>
      <w:r>
        <w:rPr>
          <w:rFonts w:ascii="David" w:hAnsi="David" w:hint="cs"/>
          <w:rtl/>
        </w:rPr>
        <w:t xml:space="preserve"> בשנית</w:t>
      </w:r>
      <w:r>
        <w:rPr>
          <w:rFonts w:ascii="David" w:hAnsi="David"/>
          <w:rtl/>
        </w:rPr>
        <w:t xml:space="preserve">, </w:t>
      </w:r>
      <w:r>
        <w:rPr>
          <w:rFonts w:ascii="David" w:hAnsi="David" w:hint="cs"/>
          <w:rtl/>
        </w:rPr>
        <w:t xml:space="preserve">הנאשם שכר בית פרטי בן שלוש קומות ברמת השרון תמורת דמי שכירות בסך  8,000 ₪ לחודש, ובסיוע אדם אחר שזהותו אינה ידועה לתביעה (להלן - </w:t>
      </w:r>
      <w:r>
        <w:rPr>
          <w:rFonts w:ascii="David" w:hAnsi="David" w:hint="cs"/>
          <w:b/>
          <w:bCs/>
          <w:rtl/>
        </w:rPr>
        <w:t>האחר</w:t>
      </w:r>
      <w:r>
        <w:rPr>
          <w:rFonts w:ascii="David" w:hAnsi="David" w:hint="cs"/>
          <w:rtl/>
        </w:rPr>
        <w:t xml:space="preserve">), הסב הנאשם את </w:t>
      </w:r>
      <w:r>
        <w:rPr>
          <w:rFonts w:ascii="David" w:hAnsi="David" w:hint="cs"/>
          <w:rtl/>
        </w:rPr>
        <w:lastRenderedPageBreak/>
        <w:t xml:space="preserve">הבית למעבדה לגידול, ייצור והפקת סם מסוכן מסוג קנבוס, בה גידל והפיק 47 ק"ג קנבוס במשך כ- 3 חודשים. המעבדה  צוידה, בין היתר, בגופי תאורה ייעודים, מערכות אוורור, השקיה, אדניות וחומרי דישון. הנאשם שילם לאחר סך של 10,000 ₪ תמורת סיועו בהקמה. </w:t>
      </w:r>
    </w:p>
    <w:p w14:paraId="06F63DCF" w14:textId="77777777" w:rsidR="00D34A5F" w:rsidRPr="00207EAE" w:rsidRDefault="00D34A5F" w:rsidP="00D34A5F">
      <w:pPr>
        <w:pStyle w:val="a9"/>
        <w:spacing w:before="240" w:after="240" w:line="360" w:lineRule="auto"/>
        <w:ind w:left="360"/>
        <w:contextualSpacing w:val="0"/>
        <w:jc w:val="both"/>
        <w:rPr>
          <w:rFonts w:ascii="David" w:hAnsi="David"/>
        </w:rPr>
      </w:pPr>
      <w:r>
        <w:rPr>
          <w:rFonts w:ascii="David" w:hAnsi="David" w:hint="cs"/>
          <w:b/>
          <w:bCs/>
          <w:rtl/>
        </w:rPr>
        <w:t>תסקיר שירות המבחן</w:t>
      </w:r>
    </w:p>
    <w:p w14:paraId="2FADCFE1" w14:textId="77777777" w:rsidR="00D34A5F" w:rsidRDefault="00D34A5F" w:rsidP="00D34A5F">
      <w:pPr>
        <w:pStyle w:val="a9"/>
        <w:numPr>
          <w:ilvl w:val="0"/>
          <w:numId w:val="1"/>
        </w:numPr>
        <w:spacing w:before="240" w:after="240" w:line="360" w:lineRule="auto"/>
        <w:contextualSpacing w:val="0"/>
        <w:jc w:val="both"/>
        <w:rPr>
          <w:rFonts w:ascii="David" w:hAnsi="David"/>
        </w:rPr>
      </w:pPr>
      <w:r w:rsidRPr="0009228D">
        <w:rPr>
          <w:rFonts w:ascii="David" w:hAnsi="David" w:hint="cs"/>
          <w:rtl/>
        </w:rPr>
        <w:t>על-פי האמור בתסקיר שירות המבחן, מדובר בנאשם בן 40, נעדר הרשעות קודמות, גרוש ואב לשני ילדים בגילאי 6 ו-10, סיים 12 שנות לימוד. במהלך לימודיו שיחק כדורגל באופן מקצועי אולם פרש עקב פציעה בברך. שירת שירות צבאי מלא כטבח בבסיס פתוח. לאחר שחרורו מהצבא, עבד בבנק במשך 11 שנים. במקביל, החל לימודים אקדמאיים במנהל עסקים אך הפסיק לאחר כשנה עקב חוסר עניין ומוטיבציה. לאחר מכן עבד במשך 5 שנים במרכז הזמנות של רשת "קלאב הוטל", כאשר 3 חודשים עובר למעצרו הוצא לחל"ת בעקבות משבר נגיף הקורונה. הנאשם נישא בגיל 28. לפני כ- 4 שנים התגרש, ועקב כך חווה משבר רגשי ונפשי קשה</w:t>
      </w:r>
      <w:r>
        <w:rPr>
          <w:rFonts w:ascii="David" w:hAnsi="David" w:hint="cs"/>
          <w:rtl/>
        </w:rPr>
        <w:t>, בעקבותיו החל לצרוך סמים מסוג קנאביס באופן יום-יומי ובכמות גדולה</w:t>
      </w:r>
      <w:r w:rsidRPr="0009228D">
        <w:rPr>
          <w:rFonts w:ascii="David" w:hAnsi="David" w:hint="cs"/>
          <w:rtl/>
        </w:rPr>
        <w:t xml:space="preserve">. כיום משלם מזונות ומקיים קשר רציף וקרוב עם ילדיו. הנאשם תיאר קשר קרוב מאד עם בני משפחתו ובפרט עם הוריו אשר מהווים עבורו גורם תמיכה במישורים שונים לאורך השנים. </w:t>
      </w:r>
      <w:r>
        <w:rPr>
          <w:rFonts w:ascii="David" w:hAnsi="David" w:hint="cs"/>
          <w:rtl/>
        </w:rPr>
        <w:t xml:space="preserve">לדבריו, הפסיק לצרוך סמים עם פתיחת ההליך הפלילי נגדו. </w:t>
      </w:r>
    </w:p>
    <w:p w14:paraId="3A0CCA3C" w14:textId="77777777" w:rsidR="00D34A5F" w:rsidRDefault="00D34A5F" w:rsidP="00D34A5F">
      <w:pPr>
        <w:pStyle w:val="a9"/>
        <w:spacing w:before="240" w:after="240" w:line="360" w:lineRule="auto"/>
        <w:ind w:left="360"/>
        <w:contextualSpacing w:val="0"/>
        <w:jc w:val="both"/>
        <w:rPr>
          <w:rFonts w:ascii="David" w:hAnsi="David"/>
          <w:rtl/>
        </w:rPr>
      </w:pPr>
      <w:r>
        <w:rPr>
          <w:rFonts w:ascii="David" w:hAnsi="David" w:hint="cs"/>
          <w:rtl/>
        </w:rPr>
        <w:t xml:space="preserve">שירות המבחן ציין כי הנאשם הופנה ליחידה לטיפול בנפגעי סמים בתל-אביב לצורך בחינת התאמתו להליך טיפולי ואולם הוא לא שיתף פעולה, התקשה להבין את מהות הפנייתו ליחידה, טשטש את דפוסיו ההתמכרותיים ונמצא לא מתאים להשתלב במסגרת זו. </w:t>
      </w:r>
    </w:p>
    <w:p w14:paraId="17B739AD" w14:textId="77777777" w:rsidR="00D34A5F" w:rsidRPr="00B5307E" w:rsidRDefault="00D34A5F" w:rsidP="00D34A5F">
      <w:pPr>
        <w:pStyle w:val="a9"/>
        <w:spacing w:before="240" w:after="240" w:line="360" w:lineRule="auto"/>
        <w:ind w:left="360"/>
        <w:contextualSpacing w:val="0"/>
        <w:jc w:val="both"/>
        <w:rPr>
          <w:rFonts w:ascii="David" w:hAnsi="David"/>
          <w:rtl/>
        </w:rPr>
      </w:pPr>
      <w:r>
        <w:rPr>
          <w:rFonts w:ascii="David" w:hAnsi="David" w:hint="cs"/>
          <w:rtl/>
        </w:rPr>
        <w:t xml:space="preserve">בהתייחסו לביצוע העבירות בהן הודה, טען הנאשם כי </w:t>
      </w:r>
      <w:r w:rsidRPr="00B5307E">
        <w:rPr>
          <w:rFonts w:ascii="David" w:hAnsi="David" w:hint="cs"/>
          <w:rtl/>
        </w:rPr>
        <w:t xml:space="preserve">החליט לגדל סמים על רקע שימושו האינטנסיבי והרצון להימנע מרכישת סמים באיכות ירודה מאנשים זרים; כי לא התכוון למכור את הסמים שגידל; ולא ידע כי מדובר בעבירה פלילית. </w:t>
      </w:r>
    </w:p>
    <w:p w14:paraId="6B2C63C8" w14:textId="77777777" w:rsidR="00D34A5F" w:rsidRDefault="00D34A5F" w:rsidP="00D34A5F">
      <w:pPr>
        <w:pStyle w:val="a9"/>
        <w:spacing w:before="240" w:after="240" w:line="360" w:lineRule="auto"/>
        <w:ind w:left="360"/>
        <w:contextualSpacing w:val="0"/>
        <w:jc w:val="both"/>
        <w:rPr>
          <w:rFonts w:ascii="David" w:hAnsi="David"/>
          <w:rtl/>
        </w:rPr>
      </w:pPr>
      <w:r>
        <w:rPr>
          <w:rFonts w:ascii="David" w:hAnsi="David" w:hint="cs"/>
          <w:rtl/>
        </w:rPr>
        <w:t xml:space="preserve">מהתסקיר עולה כי מדובר בנאשם שהתנהל לאורך השנים באופן תקין אולם מתקשה להתמודד עם מצבי משבר ולחץ ומשייך ביצוע העבירות לשימוש בסמים כדי להימנע מבדיקה מעמיקה של הנסיבות שהביאו אותו לבצען. עוד נכתב, כי הנאשם היה ממוקד בהשגת רווחים כלכליים ולצורך כך מוכן לבצע עבירות פליליות. כגורמי סיכוי לשיקום נשקלו יכולותיו של הנאשם להסתגל למסגרות שונות, התמדתו במקומות עבודה והיעדר עבר פלילי קודם. עם זאת, שירות המבחן התרשם כי </w:t>
      </w:r>
      <w:r w:rsidRPr="00F23D70">
        <w:rPr>
          <w:rFonts w:ascii="David" w:hAnsi="David" w:hint="cs"/>
          <w:rtl/>
        </w:rPr>
        <w:t xml:space="preserve">הנאשם נוטה לצמצם ולמזער מחומרת מעשיו בביצוע העבירה, מתקשה לבחון המניעים לביצועה, אינו מכיר בהשלכות מעשיו על החברה וניכר כי מרוכז בעצמו ובמחירים האישיים שעלול לשלם. </w:t>
      </w:r>
      <w:r w:rsidRPr="00374E4A">
        <w:rPr>
          <w:rFonts w:ascii="David" w:hAnsi="David" w:hint="cs"/>
          <w:rtl/>
        </w:rPr>
        <w:t xml:space="preserve">אשר על כן, שירות המבחן נמנע מהמלצה טיפולית וסבר כי נדרשת במקרה זה ענישה מוחשית שתסייע בצמצום הסיכון ותהווה עבורו גבול חיצוני ברור. </w:t>
      </w:r>
    </w:p>
    <w:p w14:paraId="20FCE9DE" w14:textId="77777777" w:rsidR="00D34A5F" w:rsidRPr="004D2595" w:rsidRDefault="00D34A5F" w:rsidP="00D34A5F">
      <w:pPr>
        <w:pStyle w:val="a9"/>
        <w:spacing w:before="240" w:after="240" w:line="360" w:lineRule="auto"/>
        <w:ind w:left="360"/>
        <w:contextualSpacing w:val="0"/>
        <w:jc w:val="both"/>
        <w:rPr>
          <w:rFonts w:ascii="David" w:hAnsi="David"/>
          <w:b/>
          <w:bCs/>
        </w:rPr>
      </w:pPr>
      <w:r>
        <w:rPr>
          <w:rFonts w:ascii="David" w:hAnsi="David" w:hint="cs"/>
          <w:b/>
          <w:bCs/>
          <w:rtl/>
        </w:rPr>
        <w:t>ראיות לעונש</w:t>
      </w:r>
    </w:p>
    <w:p w14:paraId="21A4A704" w14:textId="77777777" w:rsidR="00D34A5F" w:rsidRDefault="00D34A5F" w:rsidP="00D34A5F">
      <w:pPr>
        <w:pStyle w:val="a9"/>
        <w:numPr>
          <w:ilvl w:val="0"/>
          <w:numId w:val="1"/>
        </w:numPr>
        <w:spacing w:before="240" w:after="240" w:line="360" w:lineRule="auto"/>
        <w:contextualSpacing w:val="0"/>
        <w:jc w:val="both"/>
        <w:rPr>
          <w:rFonts w:ascii="David" w:hAnsi="David"/>
        </w:rPr>
      </w:pPr>
      <w:r>
        <w:rPr>
          <w:rFonts w:ascii="David" w:hAnsi="David" w:hint="cs"/>
          <w:rtl/>
        </w:rPr>
        <w:t>מטעם ההגנה העידו 3 מכרים של המשפחה:</w:t>
      </w:r>
    </w:p>
    <w:p w14:paraId="44A8153A" w14:textId="77777777" w:rsidR="00D34A5F" w:rsidRDefault="00D34A5F" w:rsidP="00D34A5F">
      <w:pPr>
        <w:pStyle w:val="a9"/>
        <w:spacing w:before="240" w:after="240" w:line="360" w:lineRule="auto"/>
        <w:ind w:left="360"/>
        <w:contextualSpacing w:val="0"/>
        <w:jc w:val="both"/>
        <w:rPr>
          <w:rFonts w:ascii="David" w:hAnsi="David"/>
          <w:rtl/>
        </w:rPr>
      </w:pPr>
      <w:r w:rsidRPr="00A0790A">
        <w:rPr>
          <w:rFonts w:ascii="David" w:hAnsi="David" w:hint="cs"/>
          <w:u w:val="single"/>
          <w:rtl/>
        </w:rPr>
        <w:t>סנ"צ ניסים דאודי</w:t>
      </w:r>
      <w:r>
        <w:rPr>
          <w:rFonts w:ascii="David" w:hAnsi="David" w:hint="cs"/>
          <w:rtl/>
        </w:rPr>
        <w:t xml:space="preserve">, קצין משטרה לשעבר, אשר מכיר את משפחת הנאשם כ- 25 שנים, סיפר כי מדובר במשפחה נורמטיבית אשר תורמת ומסייעת לנזקקים. העד העיד כי הנאשם אדם חיובי שהקים משפחה לתפארת. לדבריו, </w:t>
      </w:r>
      <w:r w:rsidRPr="00C876DB">
        <w:rPr>
          <w:rFonts w:ascii="David" w:hAnsi="David" w:hint="cs"/>
          <w:rtl/>
        </w:rPr>
        <w:t xml:space="preserve">הליך הגירושין הקשה והאמוציונאלי שעבר הנאשם השפיע עליו עמוקות וזו הסיבה </w:t>
      </w:r>
      <w:r w:rsidRPr="00C876DB">
        <w:rPr>
          <w:rFonts w:ascii="David" w:hAnsi="David" w:hint="cs"/>
          <w:rtl/>
        </w:rPr>
        <w:lastRenderedPageBreak/>
        <w:t>להתדרדרות אליה נקלע.</w:t>
      </w:r>
      <w:r>
        <w:rPr>
          <w:rFonts w:ascii="David" w:hAnsi="David" w:hint="cs"/>
          <w:rtl/>
        </w:rPr>
        <w:t xml:space="preserve"> להתרשמותו של העד ומהיכרותו את הנאשם, הנאשם</w:t>
      </w:r>
      <w:r w:rsidRPr="00C876DB">
        <w:rPr>
          <w:rFonts w:ascii="David" w:hAnsi="David" w:hint="cs"/>
          <w:rtl/>
        </w:rPr>
        <w:t xml:space="preserve"> מבין את טעותו ומצר עליה ולא יחזור עליה שוב</w:t>
      </w:r>
      <w:r>
        <w:rPr>
          <w:rFonts w:ascii="David" w:hAnsi="David" w:hint="cs"/>
          <w:rtl/>
        </w:rPr>
        <w:t>.</w:t>
      </w:r>
    </w:p>
    <w:p w14:paraId="7F432490" w14:textId="77777777" w:rsidR="00D34A5F" w:rsidRDefault="00D34A5F" w:rsidP="00D34A5F">
      <w:pPr>
        <w:pStyle w:val="a9"/>
        <w:spacing w:before="240" w:after="240" w:line="360" w:lineRule="auto"/>
        <w:ind w:left="360"/>
        <w:contextualSpacing w:val="0"/>
        <w:jc w:val="both"/>
        <w:rPr>
          <w:rFonts w:ascii="David" w:hAnsi="David"/>
          <w:rtl/>
        </w:rPr>
      </w:pPr>
      <w:r w:rsidRPr="00A0790A">
        <w:rPr>
          <w:rFonts w:ascii="David" w:hAnsi="David" w:hint="cs"/>
          <w:u w:val="single"/>
          <w:rtl/>
        </w:rPr>
        <w:t>מר קותי ברזילי</w:t>
      </w:r>
      <w:r>
        <w:rPr>
          <w:rFonts w:ascii="David" w:hAnsi="David" w:hint="cs"/>
          <w:rtl/>
        </w:rPr>
        <w:t xml:space="preserve">, משנה למנכ"ל קלאב הוטל, סיפר כי מכיר את משפחת הנאשם כ- 30 שנים. לדבריו, הוכה בתדהמה כאשר גילה כי הנאשם הסתבך בפלילים הואיל ומדובר במשפחה נורמטיבית לחלוטין. לשיטתו, מדובר במעידה חד פעמית בודדת ויחידה. </w:t>
      </w:r>
    </w:p>
    <w:p w14:paraId="4DDEA7FD" w14:textId="77777777" w:rsidR="00D34A5F" w:rsidRPr="00A0790A" w:rsidRDefault="00D34A5F" w:rsidP="00D34A5F">
      <w:pPr>
        <w:pStyle w:val="a9"/>
        <w:numPr>
          <w:ilvl w:val="0"/>
          <w:numId w:val="1"/>
        </w:numPr>
        <w:spacing w:before="240" w:after="240" w:line="360" w:lineRule="auto"/>
        <w:contextualSpacing w:val="0"/>
        <w:jc w:val="both"/>
        <w:rPr>
          <w:rFonts w:ascii="David" w:hAnsi="David"/>
        </w:rPr>
      </w:pPr>
      <w:r w:rsidRPr="00A0790A">
        <w:rPr>
          <w:rFonts w:ascii="David" w:hAnsi="David" w:hint="cs"/>
          <w:u w:val="single"/>
          <w:rtl/>
        </w:rPr>
        <w:t>מר גדי גרין</w:t>
      </w:r>
      <w:r>
        <w:rPr>
          <w:rFonts w:ascii="David" w:hAnsi="David" w:hint="cs"/>
          <w:rtl/>
        </w:rPr>
        <w:t>, עוזרו האישי של מר עידן עופר, סיפר כי מכיר את משפחת הנאשם עשרות שנים. העיד כי משבר הגירושין של הנאשם "</w:t>
      </w:r>
      <w:r>
        <w:rPr>
          <w:rFonts w:ascii="David" w:hAnsi="David" w:hint="cs"/>
          <w:b/>
          <w:bCs/>
          <w:rtl/>
        </w:rPr>
        <w:t>גמר את המשפחה</w:t>
      </w:r>
      <w:r>
        <w:rPr>
          <w:rFonts w:ascii="David" w:hAnsi="David" w:hint="cs"/>
          <w:rtl/>
        </w:rPr>
        <w:t xml:space="preserve">". לדבריו, הנאשם למד לקח, המשפחה כולה חוותה טלטלה ומקווה כי תינתן לנאשם הזדמנות לחזור לחייו הרגילים. </w:t>
      </w:r>
    </w:p>
    <w:p w14:paraId="71DF8287" w14:textId="77777777" w:rsidR="00D34A5F" w:rsidRPr="00A0790A" w:rsidRDefault="00D34A5F" w:rsidP="00D34A5F">
      <w:pPr>
        <w:pStyle w:val="a9"/>
        <w:numPr>
          <w:ilvl w:val="0"/>
          <w:numId w:val="1"/>
        </w:numPr>
        <w:spacing w:before="240" w:after="240" w:line="360" w:lineRule="auto"/>
        <w:contextualSpacing w:val="0"/>
        <w:jc w:val="both"/>
        <w:rPr>
          <w:rFonts w:ascii="David" w:hAnsi="David"/>
          <w:rtl/>
        </w:rPr>
      </w:pPr>
      <w:r>
        <w:rPr>
          <w:rFonts w:ascii="David" w:hAnsi="David" w:hint="cs"/>
          <w:rtl/>
        </w:rPr>
        <w:t>כמו כן ההגנה הגישה אסופת מסמכים רפואיים בעניינו של הנאשם (</w:t>
      </w:r>
      <w:r w:rsidRPr="00F73D3E">
        <w:rPr>
          <w:rFonts w:ascii="David" w:hAnsi="David" w:hint="cs"/>
          <w:rtl/>
        </w:rPr>
        <w:t>נע/1)</w:t>
      </w:r>
      <w:r>
        <w:rPr>
          <w:rFonts w:ascii="David" w:hAnsi="David" w:hint="cs"/>
          <w:rtl/>
        </w:rPr>
        <w:t>, וכן מכתב המלצה (</w:t>
      </w:r>
      <w:r w:rsidRPr="00F73D3E">
        <w:rPr>
          <w:rFonts w:ascii="David" w:hAnsi="David" w:hint="cs"/>
          <w:rtl/>
        </w:rPr>
        <w:t>נע/2)</w:t>
      </w:r>
      <w:r>
        <w:rPr>
          <w:rFonts w:ascii="David" w:hAnsi="David" w:hint="cs"/>
          <w:rtl/>
        </w:rPr>
        <w:t xml:space="preserve">. </w:t>
      </w:r>
    </w:p>
    <w:p w14:paraId="269F6B48" w14:textId="77777777" w:rsidR="00D34A5F" w:rsidRPr="00E54ECE" w:rsidRDefault="00D34A5F" w:rsidP="00D34A5F">
      <w:pPr>
        <w:pStyle w:val="a9"/>
        <w:spacing w:before="240" w:after="240" w:line="360" w:lineRule="auto"/>
        <w:ind w:left="360"/>
        <w:contextualSpacing w:val="0"/>
        <w:jc w:val="both"/>
        <w:rPr>
          <w:rFonts w:ascii="David" w:hAnsi="David"/>
          <w:b/>
          <w:bCs/>
        </w:rPr>
      </w:pPr>
      <w:r w:rsidRPr="00E17B41">
        <w:rPr>
          <w:rFonts w:ascii="David" w:hAnsi="David"/>
          <w:b/>
          <w:bCs/>
          <w:rtl/>
        </w:rPr>
        <w:t>טענות הצדדים לעונש</w:t>
      </w:r>
    </w:p>
    <w:p w14:paraId="4CE374E9" w14:textId="77777777" w:rsidR="00D34A5F" w:rsidRDefault="00D34A5F" w:rsidP="00D34A5F">
      <w:pPr>
        <w:pStyle w:val="a9"/>
        <w:numPr>
          <w:ilvl w:val="0"/>
          <w:numId w:val="1"/>
        </w:numPr>
        <w:spacing w:before="240" w:after="240" w:line="360" w:lineRule="auto"/>
        <w:contextualSpacing w:val="0"/>
        <w:jc w:val="both"/>
        <w:rPr>
          <w:rFonts w:ascii="Arial" w:hAnsi="Arial"/>
        </w:rPr>
      </w:pPr>
      <w:r w:rsidRPr="005F60DA">
        <w:rPr>
          <w:rFonts w:ascii="David" w:hAnsi="David" w:hint="cs"/>
          <w:b/>
          <w:bCs/>
          <w:rtl/>
        </w:rPr>
        <w:t>התובעות</w:t>
      </w:r>
      <w:r w:rsidRPr="00E17B41">
        <w:rPr>
          <w:rFonts w:ascii="David" w:hAnsi="David"/>
          <w:rtl/>
        </w:rPr>
        <w:t>,</w:t>
      </w:r>
      <w:r>
        <w:rPr>
          <w:rFonts w:ascii="David" w:hAnsi="David" w:hint="cs"/>
          <w:rtl/>
        </w:rPr>
        <w:t xml:space="preserve"> עו"ד ענת בן-זאב ועו"ד שלי קוטין, עמדו בטיעוניהן על הערכים המוגנים הנפגעים כתוצאה ממעשים כגון אלה שביצע הנאשם, על ריבוי תיקי המעבדות המוקמות בעת האחרונה, ועל הצורך להשית ענישה שיהא בה משום ביטוי הולם לעקרון ההלימה. התובעות הדגישו כי מדובר במעבדה שפעלה בבית בן שלוש קומות במשך מספר חודשים, כאשר הנאשם הוא האחראי המרכזי והדומיננטי לפעילות המעבדה. </w:t>
      </w:r>
    </w:p>
    <w:p w14:paraId="4D08DA9F" w14:textId="77777777" w:rsidR="00D34A5F" w:rsidRDefault="00D34A5F" w:rsidP="00D34A5F">
      <w:pPr>
        <w:pStyle w:val="a9"/>
        <w:spacing w:before="240" w:after="240" w:line="360" w:lineRule="auto"/>
        <w:ind w:left="357"/>
        <w:contextualSpacing w:val="0"/>
        <w:jc w:val="both"/>
        <w:rPr>
          <w:rFonts w:ascii="David" w:hAnsi="David"/>
          <w:rtl/>
        </w:rPr>
      </w:pPr>
      <w:r>
        <w:rPr>
          <w:rFonts w:ascii="David" w:hAnsi="David" w:hint="cs"/>
          <w:rtl/>
        </w:rPr>
        <w:t xml:space="preserve">בשים לב לכמות הסם שנתפסה (47 ק"ג) - שעל-פי מדיניות העמדה לדין של התביעה, תיקי מעבדות בכמויות אלה מוגשים ככלל לבית משפט השלום - סברה התביעה כי יש לקבוע </w:t>
      </w:r>
      <w:r w:rsidRPr="007628B6">
        <w:rPr>
          <w:rFonts w:ascii="David" w:hAnsi="David" w:hint="cs"/>
          <w:b/>
          <w:bCs/>
          <w:rtl/>
        </w:rPr>
        <w:t>מתחם ענישה שנע בין</w:t>
      </w:r>
      <w:r>
        <w:rPr>
          <w:rFonts w:ascii="David" w:hAnsi="David" w:hint="cs"/>
          <w:rtl/>
        </w:rPr>
        <w:t xml:space="preserve"> </w:t>
      </w:r>
      <w:r w:rsidRPr="00230272">
        <w:rPr>
          <w:rFonts w:ascii="David" w:hAnsi="David" w:hint="cs"/>
          <w:b/>
          <w:bCs/>
          <w:rtl/>
        </w:rPr>
        <w:t>24 ל- 48 חודשי מאסר</w:t>
      </w:r>
      <w:r>
        <w:rPr>
          <w:rFonts w:ascii="David" w:hAnsi="David" w:hint="cs"/>
          <w:rtl/>
        </w:rPr>
        <w:t xml:space="preserve">, ולמקם את עונשו של הנאשם </w:t>
      </w:r>
      <w:r w:rsidRPr="007628B6">
        <w:rPr>
          <w:rFonts w:ascii="David" w:hAnsi="David" w:hint="cs"/>
          <w:rtl/>
        </w:rPr>
        <w:t>בתחתית המתחם</w:t>
      </w:r>
      <w:r>
        <w:rPr>
          <w:rFonts w:ascii="David" w:hAnsi="David" w:hint="cs"/>
          <w:rtl/>
        </w:rPr>
        <w:t xml:space="preserve">, בהתחשב בהודאתו, לקיחת האחריות והיעדר עבר פלילי קודם. </w:t>
      </w:r>
    </w:p>
    <w:p w14:paraId="67B7E6A4" w14:textId="77777777" w:rsidR="00D34A5F" w:rsidRDefault="00D34A5F" w:rsidP="00D34A5F">
      <w:pPr>
        <w:pStyle w:val="a9"/>
        <w:numPr>
          <w:ilvl w:val="0"/>
          <w:numId w:val="1"/>
        </w:numPr>
        <w:spacing w:before="240" w:after="240" w:line="360" w:lineRule="auto"/>
        <w:ind w:left="357"/>
        <w:contextualSpacing w:val="0"/>
        <w:jc w:val="both"/>
        <w:rPr>
          <w:rFonts w:ascii="Arial" w:hAnsi="Arial"/>
        </w:rPr>
      </w:pPr>
      <w:r>
        <w:rPr>
          <w:rFonts w:ascii="Arial" w:hAnsi="Arial" w:hint="cs"/>
          <w:b/>
          <w:bCs/>
          <w:rtl/>
        </w:rPr>
        <w:t>הסנגור</w:t>
      </w:r>
      <w:r>
        <w:rPr>
          <w:rFonts w:ascii="Arial" w:hAnsi="Arial" w:hint="cs"/>
          <w:rtl/>
        </w:rPr>
        <w:t xml:space="preserve">, עו"ד דוד בוחבוט, טען כי המתחם לו עתרה התביעה אינו הולם את נסיבות ביצוע העבירה. לשיטתו, פסיקת בית המשפט העליון מלמדת כי קיימת הבחנה בין מעבדות סמים "קלים" לבין מעבדות סמים "קשים" ועניינו של הנאשם לא מגלה חומרה מיוחדת - הן בשל סוג הסם והן בשל הכמות שנתפסה - ועל כן יש ליתן לכך ביטוי במסגרת גזר הדין.   </w:t>
      </w:r>
    </w:p>
    <w:p w14:paraId="15181C77" w14:textId="77777777" w:rsidR="00D34A5F" w:rsidRDefault="00D34A5F" w:rsidP="00D34A5F">
      <w:pPr>
        <w:pStyle w:val="a9"/>
        <w:spacing w:before="240" w:after="240" w:line="360" w:lineRule="auto"/>
        <w:ind w:left="357"/>
        <w:contextualSpacing w:val="0"/>
        <w:jc w:val="both"/>
        <w:rPr>
          <w:rFonts w:ascii="Arial" w:hAnsi="Arial"/>
          <w:rtl/>
        </w:rPr>
      </w:pPr>
      <w:r>
        <w:rPr>
          <w:rFonts w:ascii="Arial" w:hAnsi="Arial" w:hint="cs"/>
          <w:rtl/>
        </w:rPr>
        <w:t xml:space="preserve">הסנגור הוסיף וטען כי הגם שהנאשם לא הסתדר עם קצינת המבחן ועל אף ששירות המבחן לא בא בהמלצה טיפולית, הרי שמדובר בנאשם בן 40, נעדר עבר פלילי, שעשה כברת דרך, קיבל אחריות מלאה על מעשיו, הודה בהזדמנות הראשונה והביע חרטה כנה. הסנגור עתר להתחשב גם בנסיבותיו האישיות המורכבות של הנאשם, במצבו הרפואי ובקושי שחווה עת הוחזק במעצר במשך חודש ימים - דבר שגם לנאשם לזעזוע עמוק, הבנה והפנמה של מעשיו. </w:t>
      </w:r>
    </w:p>
    <w:p w14:paraId="5908B082" w14:textId="77777777" w:rsidR="00D34A5F" w:rsidRDefault="00D34A5F" w:rsidP="00D34A5F">
      <w:pPr>
        <w:pStyle w:val="a9"/>
        <w:spacing w:before="240" w:after="240" w:line="360" w:lineRule="auto"/>
        <w:ind w:left="357"/>
        <w:contextualSpacing w:val="0"/>
        <w:jc w:val="both"/>
        <w:rPr>
          <w:rFonts w:ascii="Arial" w:hAnsi="Arial"/>
          <w:rtl/>
        </w:rPr>
      </w:pPr>
      <w:r>
        <w:rPr>
          <w:rFonts w:ascii="Arial" w:hAnsi="Arial" w:hint="cs"/>
          <w:rtl/>
        </w:rPr>
        <w:t xml:space="preserve">בהינתן כלל הטיעונים, סבר הסנגור כי יש מקום לקבוע </w:t>
      </w:r>
      <w:r w:rsidRPr="001E766B">
        <w:rPr>
          <w:rFonts w:ascii="Arial" w:hAnsi="Arial" w:hint="cs"/>
          <w:b/>
          <w:bCs/>
          <w:rtl/>
        </w:rPr>
        <w:t>מתחם ענישה שנע בין מספר חודשי מאסר שניתן לרצות בעבודות שירות ל- 18 חודשי מאסר</w:t>
      </w:r>
      <w:r>
        <w:rPr>
          <w:rFonts w:ascii="Arial" w:hAnsi="Arial" w:hint="cs"/>
          <w:rtl/>
        </w:rPr>
        <w:t xml:space="preserve"> ולהסתפק בענישה שלא מאחורי סורג ובריח.</w:t>
      </w:r>
    </w:p>
    <w:p w14:paraId="3D685CAB" w14:textId="77777777" w:rsidR="00D34A5F" w:rsidRDefault="00D34A5F" w:rsidP="00D34A5F">
      <w:pPr>
        <w:pStyle w:val="a9"/>
        <w:numPr>
          <w:ilvl w:val="0"/>
          <w:numId w:val="1"/>
        </w:numPr>
        <w:spacing w:before="240" w:after="240" w:line="360" w:lineRule="auto"/>
        <w:contextualSpacing w:val="0"/>
        <w:jc w:val="both"/>
        <w:rPr>
          <w:rFonts w:ascii="Arial" w:hAnsi="Arial"/>
        </w:rPr>
      </w:pPr>
      <w:r w:rsidRPr="001E766B">
        <w:rPr>
          <w:rFonts w:ascii="Arial" w:hAnsi="Arial" w:hint="cs"/>
          <w:b/>
          <w:bCs/>
          <w:rtl/>
        </w:rPr>
        <w:t>הנאשם</w:t>
      </w:r>
      <w:r>
        <w:rPr>
          <w:rFonts w:ascii="Arial" w:hAnsi="Arial" w:hint="cs"/>
          <w:rtl/>
        </w:rPr>
        <w:t xml:space="preserve">, במילותיו האחרונות לעונש, הביע צער על הסתבכותו.   </w:t>
      </w:r>
    </w:p>
    <w:p w14:paraId="67B7E61C" w14:textId="77777777" w:rsidR="00D34A5F" w:rsidRDefault="00D34A5F" w:rsidP="00D34A5F">
      <w:pPr>
        <w:pStyle w:val="a9"/>
        <w:spacing w:before="240" w:after="240" w:line="360" w:lineRule="auto"/>
        <w:ind w:left="360"/>
        <w:contextualSpacing w:val="0"/>
        <w:jc w:val="both"/>
        <w:rPr>
          <w:rFonts w:ascii="Arial" w:hAnsi="Arial"/>
          <w:b/>
          <w:bCs/>
          <w:sz w:val="28"/>
          <w:szCs w:val="28"/>
          <w:rtl/>
        </w:rPr>
      </w:pPr>
      <w:r w:rsidRPr="001E766B">
        <w:rPr>
          <w:rFonts w:ascii="Arial" w:hAnsi="Arial" w:hint="cs"/>
          <w:b/>
          <w:bCs/>
          <w:sz w:val="28"/>
          <w:szCs w:val="28"/>
          <w:rtl/>
        </w:rPr>
        <w:t>דיון והכרעה</w:t>
      </w:r>
    </w:p>
    <w:p w14:paraId="15039FC9" w14:textId="77777777" w:rsidR="00D34A5F" w:rsidRDefault="00D34A5F" w:rsidP="00D34A5F">
      <w:pPr>
        <w:pStyle w:val="a9"/>
        <w:numPr>
          <w:ilvl w:val="0"/>
          <w:numId w:val="1"/>
        </w:numPr>
        <w:spacing w:before="240" w:after="240" w:line="360" w:lineRule="auto"/>
        <w:ind w:left="357"/>
        <w:contextualSpacing w:val="0"/>
        <w:jc w:val="both"/>
        <w:rPr>
          <w:rFonts w:ascii="Arial" w:hAnsi="Arial"/>
        </w:rPr>
      </w:pPr>
      <w:r>
        <w:rPr>
          <w:rFonts w:ascii="Arial" w:hAnsi="Arial" w:hint="cs"/>
          <w:rtl/>
        </w:rPr>
        <w:t xml:space="preserve">דומה, כי אין צורך להכביר מילים על החומרה הטמונה במעשים כגון אלו שביצע הנאשם, אשר פוגעים במגוון ערכים חברתיים ובהם הגנה על הציבור מפני הנזקים הישירים שנגרמים לגופם של הצרכנים הפוטנציאליים, והנזקים העקיפים שנגרמים כתוצאה מביצוע עבירות רכוש ואלימות הנלוות לצריכת הסם. </w:t>
      </w:r>
    </w:p>
    <w:p w14:paraId="47158CCE" w14:textId="77777777" w:rsidR="00D34A5F" w:rsidRDefault="00D34A5F" w:rsidP="00D34A5F">
      <w:pPr>
        <w:pStyle w:val="a9"/>
        <w:spacing w:before="240" w:after="240" w:line="360" w:lineRule="auto"/>
        <w:ind w:left="357"/>
        <w:contextualSpacing w:val="0"/>
        <w:jc w:val="both"/>
        <w:rPr>
          <w:rtl/>
        </w:rPr>
      </w:pPr>
      <w:r>
        <w:rPr>
          <w:rFonts w:hint="cs"/>
          <w:rtl/>
        </w:rPr>
        <w:t xml:space="preserve">לא אחת התייחסתי לתופעת ריבוי המעבדות אשר מוקמות בעת האחרונה כפי שנלמד מכתבי האישום המוגשים חדשות לבקרים לבתי המשפט (וניתן להניח כי רק חלקן נתפסות על-ידי המשטרה). מדובר בתופעה נפוצה ומסוכנת המחייבת ענישה הולמת, גם מקום בו מדובר בסמים "קלים" כגון קנבוס. </w:t>
      </w:r>
    </w:p>
    <w:p w14:paraId="20C789D0" w14:textId="77777777" w:rsidR="00D34A5F" w:rsidRPr="00203B4D" w:rsidRDefault="00D34A5F" w:rsidP="00D34A5F">
      <w:pPr>
        <w:pStyle w:val="a9"/>
        <w:spacing w:before="240" w:after="240" w:line="360" w:lineRule="auto"/>
        <w:ind w:left="357"/>
        <w:contextualSpacing w:val="0"/>
        <w:jc w:val="both"/>
        <w:rPr>
          <w:rtl/>
        </w:rPr>
      </w:pPr>
    </w:p>
    <w:p w14:paraId="21FEB546" w14:textId="77777777" w:rsidR="00D34A5F" w:rsidRDefault="00D34A5F" w:rsidP="00D34A5F">
      <w:pPr>
        <w:pStyle w:val="a9"/>
        <w:spacing w:before="240" w:after="240" w:line="360" w:lineRule="auto"/>
        <w:ind w:left="357"/>
        <w:contextualSpacing w:val="0"/>
        <w:jc w:val="both"/>
        <w:rPr>
          <w:rtl/>
        </w:rPr>
      </w:pPr>
      <w:r>
        <w:rPr>
          <w:rFonts w:hint="cs"/>
          <w:rtl/>
        </w:rPr>
        <w:t>בהקשר זה מצאתי להפנות ל</w:t>
      </w:r>
      <w:hyperlink r:id="rId19" w:history="1">
        <w:r w:rsidR="006311BA" w:rsidRPr="006311BA">
          <w:rPr>
            <w:color w:val="0000FF"/>
            <w:u w:val="single"/>
            <w:rtl/>
          </w:rPr>
          <w:t>ע"פ 2596/18</w:t>
        </w:r>
      </w:hyperlink>
      <w:r>
        <w:rPr>
          <w:rFonts w:hint="cs"/>
          <w:rtl/>
        </w:rPr>
        <w:t xml:space="preserve"> </w:t>
      </w:r>
      <w:r w:rsidRPr="007628B6">
        <w:rPr>
          <w:rFonts w:hint="cs"/>
          <w:b/>
          <w:bCs/>
          <w:rtl/>
        </w:rPr>
        <w:t>זנזורי נ' מדינת ישראל</w:t>
      </w:r>
      <w:r>
        <w:rPr>
          <w:rFonts w:hint="cs"/>
          <w:rtl/>
        </w:rPr>
        <w:t xml:space="preserve"> (12.8.2018):</w:t>
      </w:r>
    </w:p>
    <w:p w14:paraId="437D078F" w14:textId="77777777" w:rsidR="00D34A5F" w:rsidRPr="002D059E" w:rsidRDefault="00D34A5F" w:rsidP="00D34A5F">
      <w:pPr>
        <w:pStyle w:val="a9"/>
        <w:spacing w:before="240" w:after="240" w:line="360" w:lineRule="auto"/>
        <w:ind w:left="357"/>
        <w:contextualSpacing w:val="0"/>
        <w:jc w:val="both"/>
        <w:rPr>
          <w:rFonts w:ascii="David" w:hAnsi="David"/>
          <w:rtl/>
        </w:rPr>
      </w:pPr>
      <w:r>
        <w:rPr>
          <w:rFonts w:ascii="David" w:hAnsi="David" w:hint="cs"/>
          <w:color w:val="000000"/>
          <w:rtl/>
        </w:rPr>
        <w:t>"</w:t>
      </w:r>
      <w:r w:rsidRPr="00A66A38">
        <w:rPr>
          <w:rFonts w:ascii="David" w:hAnsi="David"/>
          <w:b/>
          <w:bCs/>
          <w:color w:val="000000"/>
          <w:rtl/>
        </w:rPr>
        <w:t>צרכנים ומשתמשים ואנשים נורמטיביים, שבעבר לא היו נכונים ליטול על עצמם סיכון להסתבך בעולם הפלילי,</w:t>
      </w:r>
      <w:r w:rsidR="006311BA">
        <w:rPr>
          <w:rFonts w:ascii="David" w:hAnsi="David"/>
          <w:b/>
          <w:bCs/>
          <w:color w:val="000000"/>
        </w:rPr>
        <w:t xml:space="preserve"> </w:t>
      </w:r>
      <w:r w:rsidRPr="00A66A38">
        <w:rPr>
          <w:rFonts w:ascii="David" w:hAnsi="David"/>
          <w:b/>
          <w:bCs/>
          <w:color w:val="000000"/>
          <w:rtl/>
        </w:rPr>
        <w:t>נכונים כיום לילך צעד נוסף ולהפוך למגדלים ולסוחרים בסם...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David" w:hAnsi="David" w:hint="cs"/>
          <w:color w:val="000000"/>
          <w:rtl/>
        </w:rPr>
        <w:t xml:space="preserve">". </w:t>
      </w:r>
    </w:p>
    <w:p w14:paraId="2E97DD94" w14:textId="77777777" w:rsidR="00D34A5F" w:rsidRDefault="00D34A5F" w:rsidP="00D34A5F">
      <w:pPr>
        <w:pStyle w:val="a9"/>
        <w:spacing w:before="240" w:after="240" w:line="360" w:lineRule="auto"/>
        <w:ind w:left="360"/>
        <w:contextualSpacing w:val="0"/>
        <w:jc w:val="both"/>
        <w:rPr>
          <w:rtl/>
        </w:rPr>
      </w:pPr>
      <w:r>
        <w:rPr>
          <w:rFonts w:hint="cs"/>
          <w:rtl/>
        </w:rPr>
        <w:t xml:space="preserve">דברים אלה יפים למקרה שבפניי. </w:t>
      </w:r>
    </w:p>
    <w:p w14:paraId="131C4E6F" w14:textId="77777777" w:rsidR="00D34A5F" w:rsidRDefault="00D34A5F" w:rsidP="00D34A5F">
      <w:pPr>
        <w:pStyle w:val="a9"/>
        <w:numPr>
          <w:ilvl w:val="0"/>
          <w:numId w:val="1"/>
        </w:numPr>
        <w:spacing w:before="240" w:after="240" w:line="360" w:lineRule="auto"/>
        <w:contextualSpacing w:val="0"/>
        <w:jc w:val="both"/>
      </w:pPr>
      <w:r>
        <w:rPr>
          <w:rFonts w:hint="cs"/>
          <w:rtl/>
        </w:rPr>
        <w:t xml:space="preserve">באשר למידת הפגיעה בערכים המוגנים, הרי שזו צריכה להילמד מאופייה של המעבדה וכמות הסם. בענייננו מדובר במעבדה "רגילה", שהכילה ציוד "סטנדרטי" המוחזק דרך קבע במעבדות - גופי תאורה ייעודיים, מערכות אוורור והשקיה, אדניות וחומרי דישון. כמות הסם (47 ק"ג) אינה מבוטלת, </w:t>
      </w:r>
      <w:r w:rsidRPr="00A21072">
        <w:rPr>
          <w:rFonts w:hint="cs"/>
          <w:b/>
          <w:bCs/>
          <w:rtl/>
        </w:rPr>
        <w:t>ואולם תיקי מעבדות בכמויות אלה מוגשים לבתי משפט השלום על-פי מדיניות העמדה לדין של התביעה</w:t>
      </w:r>
      <w:r>
        <w:rPr>
          <w:rFonts w:hint="cs"/>
          <w:rtl/>
        </w:rPr>
        <w:t xml:space="preserve">, כך שיש לנתון זה השפעה על מתחם העונש ההולם שייקבע. </w:t>
      </w:r>
    </w:p>
    <w:p w14:paraId="3FF9BFBB" w14:textId="77777777" w:rsidR="00D34A5F" w:rsidRDefault="00D34A5F" w:rsidP="00D34A5F">
      <w:pPr>
        <w:pStyle w:val="a9"/>
        <w:spacing w:before="240" w:after="240" w:line="360" w:lineRule="auto"/>
        <w:ind w:left="360"/>
        <w:contextualSpacing w:val="0"/>
        <w:jc w:val="both"/>
        <w:rPr>
          <w:rtl/>
        </w:rPr>
      </w:pPr>
      <w:r>
        <w:rPr>
          <w:rFonts w:hint="cs"/>
          <w:rtl/>
        </w:rPr>
        <w:t xml:space="preserve">במסגרת נסיבות ביצוע העבירה יש ליתן את הדעת גם לתכנון שקדם לביצוע העבירה, אשר בא לידי ביטוי בשכירת הבית ובהתקנת הציוד הרלוונטי. מכתב האישום עולה כי הנאשם אמנם הסתייע בשלב כלשהו באדם אחר שזהותו אינה ידועה, ואולם אין מחלוקת כי חלקו של הנאשם בנסיבות העניין היה מרכזי ודומיננטי. הסיבות שהביאו את הנאשם לביצוע העבירות הן כלכליות (ראו עמ' 3 לתסקיר).  </w:t>
      </w:r>
    </w:p>
    <w:p w14:paraId="6B3D46BE" w14:textId="77777777" w:rsidR="00D34A5F" w:rsidRDefault="00D34A5F" w:rsidP="00D34A5F">
      <w:pPr>
        <w:pStyle w:val="a9"/>
        <w:spacing w:before="240" w:after="240" w:line="360" w:lineRule="auto"/>
        <w:ind w:left="360"/>
        <w:contextualSpacing w:val="0"/>
        <w:jc w:val="both"/>
        <w:rPr>
          <w:rtl/>
        </w:rPr>
      </w:pPr>
      <w:r>
        <w:rPr>
          <w:rFonts w:hint="cs"/>
          <w:rtl/>
        </w:rPr>
        <w:t xml:space="preserve">הנזק הפוטנציאלי שהיה עלול להיגרם מהפצת הסם והמשך הפקתו הוא משמעותי. יחד עם זאת, הנזק הקונקרטי נמנע מאחר שהנאשם נתפס טרם הפצתו. </w:t>
      </w:r>
    </w:p>
    <w:p w14:paraId="28CFD0C0" w14:textId="77777777" w:rsidR="00D34A5F" w:rsidRDefault="00D34A5F" w:rsidP="00D34A5F">
      <w:pPr>
        <w:pStyle w:val="a9"/>
        <w:spacing w:before="240" w:after="240" w:line="360" w:lineRule="auto"/>
        <w:ind w:left="360"/>
        <w:contextualSpacing w:val="0"/>
        <w:jc w:val="both"/>
        <w:rPr>
          <w:rtl/>
        </w:rPr>
      </w:pPr>
      <w:r>
        <w:rPr>
          <w:rFonts w:hint="cs"/>
          <w:rtl/>
        </w:rPr>
        <w:t xml:space="preserve">בהינתן האמור, ניתן לסכם את מידת הפגיעה בערכים המוגנים, </w:t>
      </w:r>
      <w:r w:rsidRPr="00E8358B">
        <w:rPr>
          <w:rFonts w:hint="cs"/>
          <w:b/>
          <w:bCs/>
          <w:rtl/>
        </w:rPr>
        <w:t>כבינונית</w:t>
      </w:r>
      <w:r>
        <w:rPr>
          <w:rFonts w:hint="cs"/>
          <w:rtl/>
        </w:rPr>
        <w:t xml:space="preserve">. </w:t>
      </w:r>
    </w:p>
    <w:p w14:paraId="4788149D" w14:textId="77777777" w:rsidR="00D34A5F" w:rsidRDefault="00D34A5F" w:rsidP="00D34A5F">
      <w:pPr>
        <w:pStyle w:val="a9"/>
        <w:numPr>
          <w:ilvl w:val="0"/>
          <w:numId w:val="1"/>
        </w:numPr>
        <w:spacing w:before="240" w:after="240" w:line="360" w:lineRule="auto"/>
        <w:contextualSpacing w:val="0"/>
        <w:jc w:val="both"/>
      </w:pPr>
      <w:r>
        <w:rPr>
          <w:rFonts w:hint="cs"/>
          <w:rtl/>
        </w:rPr>
        <w:t>בבחינת מדיניות הענישה הנוהגת, מצאתי את פסקי הדין הבאים כרלוונטיים:</w:t>
      </w:r>
    </w:p>
    <w:p w14:paraId="4A8BB416" w14:textId="77777777" w:rsidR="00D34A5F" w:rsidRDefault="006311BA" w:rsidP="00D34A5F">
      <w:pPr>
        <w:pStyle w:val="a9"/>
        <w:numPr>
          <w:ilvl w:val="0"/>
          <w:numId w:val="2"/>
        </w:numPr>
        <w:spacing w:before="240" w:after="240" w:line="360" w:lineRule="auto"/>
        <w:contextualSpacing w:val="0"/>
        <w:jc w:val="both"/>
      </w:pPr>
      <w:hyperlink r:id="rId20" w:history="1">
        <w:r w:rsidRPr="006311BA">
          <w:rPr>
            <w:color w:val="0000FF"/>
            <w:u w:val="single"/>
            <w:rtl/>
          </w:rPr>
          <w:t>רע"פ 3287/21</w:t>
        </w:r>
      </w:hyperlink>
      <w:r w:rsidR="00D34A5F">
        <w:rPr>
          <w:rFonts w:hint="cs"/>
          <w:rtl/>
        </w:rPr>
        <w:t xml:space="preserve"> </w:t>
      </w:r>
      <w:r w:rsidR="00D34A5F" w:rsidRPr="005E634F">
        <w:rPr>
          <w:rFonts w:hint="cs"/>
          <w:b/>
          <w:bCs/>
          <w:rtl/>
        </w:rPr>
        <w:t xml:space="preserve">עתמין נ' מדינת ישראל </w:t>
      </w:r>
      <w:r w:rsidR="00D34A5F">
        <w:rPr>
          <w:rFonts w:hint="cs"/>
          <w:rtl/>
        </w:rPr>
        <w:t xml:space="preserve">(12.5.2021) - המבקש הורשע על יסוד הודאתו במסגרת הסדר טיעון בעבירות של ייצור, הכנה והפקת סם מסוכן והחזקת סם מסוכן שלא לצריכה עצמית בכך שגידל בביתו ובחממה בחצרו סם מסוכן מסוג קנבוס </w:t>
      </w:r>
      <w:r w:rsidR="00D34A5F" w:rsidRPr="002D29B2">
        <w:rPr>
          <w:rFonts w:hint="cs"/>
          <w:b/>
          <w:bCs/>
          <w:rtl/>
        </w:rPr>
        <w:t>במשקל כולל של 51 ק"ג</w:t>
      </w:r>
      <w:r w:rsidR="00D34A5F">
        <w:rPr>
          <w:rFonts w:hint="cs"/>
          <w:rtl/>
        </w:rPr>
        <w:t xml:space="preserve">. בית משפט השלום קבע מתחם ענישה שנע בין 20 ל- 40 חודשי מאסר, אך חרג מגבולות המתחם שקבע והשית על המבקש 9 חודשי מאסר לריצוי בעבודות שירות בשל שיקולי שיקום. ערעור שהוגש על קולת העונש התקבל, ובית המשפט המחוזי קבע </w:t>
      </w:r>
      <w:r w:rsidR="00D34A5F" w:rsidRPr="002D29B2">
        <w:rPr>
          <w:rFonts w:hint="cs"/>
          <w:b/>
          <w:bCs/>
          <w:rtl/>
        </w:rPr>
        <w:t>מתחם ענישה שנע בין 24 ל- 48 חודשי מאסר</w:t>
      </w:r>
      <w:r w:rsidR="00D34A5F">
        <w:rPr>
          <w:rFonts w:hint="cs"/>
          <w:rtl/>
        </w:rPr>
        <w:t xml:space="preserve">. בהתחשב בשיקולי שיקום ובשים לב לכלל שלפיו ערכאת הערעור אינה ממצה את הדין, השית על המבקש 20 חודשי מאסר בלבד, לצד ענישה נלווית. בית המשפט העליון דחה את בקשת רשות הערעור שהגיש המבקש.   </w:t>
      </w:r>
    </w:p>
    <w:p w14:paraId="6C887CCB" w14:textId="77777777" w:rsidR="00D34A5F" w:rsidRDefault="006311BA" w:rsidP="00D34A5F">
      <w:pPr>
        <w:pStyle w:val="a9"/>
        <w:numPr>
          <w:ilvl w:val="0"/>
          <w:numId w:val="2"/>
        </w:numPr>
        <w:spacing w:before="240" w:after="240" w:line="360" w:lineRule="auto"/>
        <w:contextualSpacing w:val="0"/>
        <w:jc w:val="both"/>
      </w:pPr>
      <w:hyperlink r:id="rId21" w:history="1">
        <w:r w:rsidRPr="006311BA">
          <w:rPr>
            <w:color w:val="0000FF"/>
            <w:u w:val="single"/>
            <w:rtl/>
          </w:rPr>
          <w:t>רע"פ 174/21</w:t>
        </w:r>
      </w:hyperlink>
      <w:r w:rsidR="00D34A5F">
        <w:rPr>
          <w:rFonts w:hint="cs"/>
          <w:rtl/>
        </w:rPr>
        <w:t xml:space="preserve"> </w:t>
      </w:r>
      <w:r w:rsidR="00D34A5F">
        <w:rPr>
          <w:rFonts w:hint="cs"/>
          <w:b/>
          <w:bCs/>
          <w:rtl/>
        </w:rPr>
        <w:t>סויסה נ' מדינת ישראל</w:t>
      </w:r>
      <w:r w:rsidR="00D34A5F">
        <w:rPr>
          <w:rFonts w:hint="cs"/>
          <w:rtl/>
        </w:rPr>
        <w:t xml:space="preserve"> (25.2.2021) - המבקש הורשע על יסוד הודאתו במסגרת הסדר טיעון בעבירות של ייצור, הכנה והפקת סם מסוכן והחזקת סם מסוכן שלא לצריכה עצמית בכך ששכר שתי יחידות ומחסן הצמודים לבית קרקע בהם הקים מעבדה לגידול קנבוס </w:t>
      </w:r>
      <w:r w:rsidR="00D34A5F" w:rsidRPr="00782FA2">
        <w:rPr>
          <w:rFonts w:hint="cs"/>
          <w:b/>
          <w:bCs/>
          <w:rtl/>
        </w:rPr>
        <w:t>במשקל כולל של 38 ק"ג</w:t>
      </w:r>
      <w:r w:rsidR="00D34A5F">
        <w:rPr>
          <w:rFonts w:hint="cs"/>
          <w:rtl/>
        </w:rPr>
        <w:t xml:space="preserve">. בית משפט השלום קבע מתחם ענישה שנע בין 10 ל- 28 חודשי מאסר, אך חרג מהמתחם שקבע והשית על המבקש 9 חודשי מאסר לריצוי בעבודות שירות בשל שיקולי שיקום. ערעור שהוגש על קולת העונש התקבל, ובית המשפט המחוזי קבע </w:t>
      </w:r>
      <w:r w:rsidR="00D34A5F">
        <w:rPr>
          <w:rFonts w:hint="cs"/>
          <w:b/>
          <w:bCs/>
          <w:rtl/>
        </w:rPr>
        <w:t>מתחם ענישה שנע בין 15 ל- 30 חודשי מאסר</w:t>
      </w:r>
      <w:r w:rsidR="00D34A5F">
        <w:rPr>
          <w:rFonts w:hint="cs"/>
          <w:rtl/>
        </w:rPr>
        <w:t xml:space="preserve">. בהתחשב בשיקולי שיקום ובשים לב לכלל שלפיו ערכאת הערעור אינה ממצה את הדין, השית על המבקש 12 חודשי מאסר, לצד ענישה נלווית.  בית המשפט העליון דחה את בקשת רשות הערעור שהגיש המבקש. </w:t>
      </w:r>
    </w:p>
    <w:p w14:paraId="4B28588E" w14:textId="77777777" w:rsidR="00D34A5F" w:rsidRDefault="006311BA" w:rsidP="00D34A5F">
      <w:pPr>
        <w:pStyle w:val="a9"/>
        <w:numPr>
          <w:ilvl w:val="0"/>
          <w:numId w:val="2"/>
        </w:numPr>
        <w:spacing w:before="240" w:after="240" w:line="360" w:lineRule="auto"/>
        <w:contextualSpacing w:val="0"/>
        <w:jc w:val="both"/>
      </w:pPr>
      <w:hyperlink r:id="rId22" w:history="1">
        <w:r w:rsidRPr="006311BA">
          <w:rPr>
            <w:color w:val="0000FF"/>
            <w:u w:val="single"/>
            <w:rtl/>
          </w:rPr>
          <w:t>רע"פ 6041/18</w:t>
        </w:r>
      </w:hyperlink>
      <w:r w:rsidR="00D34A5F">
        <w:rPr>
          <w:rFonts w:hint="cs"/>
          <w:rtl/>
        </w:rPr>
        <w:t xml:space="preserve"> </w:t>
      </w:r>
      <w:r w:rsidR="00D34A5F">
        <w:rPr>
          <w:rFonts w:hint="cs"/>
          <w:b/>
          <w:bCs/>
          <w:rtl/>
        </w:rPr>
        <w:t xml:space="preserve">כהן נ' מדינת ישראל </w:t>
      </w:r>
      <w:r w:rsidR="00D34A5F">
        <w:rPr>
          <w:rFonts w:hint="cs"/>
          <w:rtl/>
        </w:rPr>
        <w:t xml:space="preserve">(22.10.2018) - המבקש הורשע על יסוד הודאתו במסגרת הסדר טיעון בעבירות של ייצור, הכנה והפקת סם מסוכן, וגניבת חשמל בכך שגידל קנבוס </w:t>
      </w:r>
      <w:r w:rsidR="00D34A5F">
        <w:rPr>
          <w:rFonts w:hint="cs"/>
          <w:b/>
          <w:bCs/>
          <w:rtl/>
        </w:rPr>
        <w:t xml:space="preserve">במשקל כולל של 39.5 ק"ג </w:t>
      </w:r>
      <w:r w:rsidR="00D34A5F">
        <w:rPr>
          <w:rFonts w:hint="cs"/>
          <w:rtl/>
        </w:rPr>
        <w:t xml:space="preserve">וגנב חשמל בשווי 40,000 ₪. בית משפט השלום קבע </w:t>
      </w:r>
      <w:r w:rsidR="00D34A5F" w:rsidRPr="00856F74">
        <w:rPr>
          <w:rFonts w:hint="cs"/>
          <w:b/>
          <w:bCs/>
          <w:rtl/>
        </w:rPr>
        <w:t>מתחם ענישה שנע בין 18 ל- 36 חודשי מאסר</w:t>
      </w:r>
      <w:r w:rsidR="00D34A5F">
        <w:rPr>
          <w:rFonts w:hint="cs"/>
          <w:rtl/>
        </w:rPr>
        <w:t xml:space="preserve">, והשית על המבקש 20 חודשי מאסר, תוך מתן משקל לשיקולי שיקום אך חרף המלצת שירות המבחן לחריגה מהמתחם. בית המשפט המחוזי ובית המשפט העליון דחו את הערעורים שהגיש המבקש על חומרת העונש.   </w:t>
      </w:r>
    </w:p>
    <w:p w14:paraId="65DA0D22" w14:textId="77777777" w:rsidR="00D34A5F" w:rsidRDefault="006311BA" w:rsidP="00D34A5F">
      <w:pPr>
        <w:pStyle w:val="a9"/>
        <w:numPr>
          <w:ilvl w:val="0"/>
          <w:numId w:val="2"/>
        </w:numPr>
        <w:spacing w:before="240" w:after="240" w:line="360" w:lineRule="auto"/>
        <w:contextualSpacing w:val="0"/>
        <w:jc w:val="both"/>
      </w:pPr>
      <w:hyperlink r:id="rId23" w:history="1">
        <w:r w:rsidRPr="006311BA">
          <w:rPr>
            <w:color w:val="0000FF"/>
            <w:u w:val="single"/>
            <w:rtl/>
          </w:rPr>
          <w:t>ע"פ 2194/14</w:t>
        </w:r>
      </w:hyperlink>
      <w:r w:rsidR="00D34A5F">
        <w:rPr>
          <w:rFonts w:hint="cs"/>
          <w:rtl/>
        </w:rPr>
        <w:t xml:space="preserve"> </w:t>
      </w:r>
      <w:r w:rsidR="00D34A5F">
        <w:rPr>
          <w:rFonts w:hint="cs"/>
          <w:b/>
          <w:bCs/>
          <w:rtl/>
        </w:rPr>
        <w:t xml:space="preserve">בן שמעון נ' מדינת ישראל </w:t>
      </w:r>
      <w:r w:rsidR="00D34A5F">
        <w:rPr>
          <w:rFonts w:hint="cs"/>
          <w:rtl/>
        </w:rPr>
        <w:t xml:space="preserve">(10.9.2014) - המערער הורשע על יסוד הודאתו בעבירות של גידול סם מסוכן, החזקת סם מסוכן שלא לצריכה עצמית והחזקת כלים המשמשים להכנת סם מסוכן בכך ששכר דירה וגידל בה קנבוס </w:t>
      </w:r>
      <w:r w:rsidR="00D34A5F" w:rsidRPr="001416D2">
        <w:rPr>
          <w:rFonts w:hint="cs"/>
          <w:b/>
          <w:bCs/>
          <w:rtl/>
        </w:rPr>
        <w:t>במשקל כולל של 33.5 ק"ג</w:t>
      </w:r>
      <w:r w:rsidR="00D34A5F">
        <w:rPr>
          <w:rFonts w:hint="cs"/>
          <w:rtl/>
        </w:rPr>
        <w:t xml:space="preserve">. בית המשפט המחוזי קבע </w:t>
      </w:r>
      <w:r w:rsidR="00D34A5F" w:rsidRPr="00E90DE3">
        <w:rPr>
          <w:rFonts w:hint="cs"/>
          <w:b/>
          <w:bCs/>
          <w:rtl/>
        </w:rPr>
        <w:t>מתחם ענישה שנע בין 18 ל- 30 חודשי מאסר</w:t>
      </w:r>
      <w:r w:rsidR="00D34A5F">
        <w:rPr>
          <w:rFonts w:hint="cs"/>
          <w:rtl/>
        </w:rPr>
        <w:t xml:space="preserve">, והשית על המערער 23 חודשי מאסר (27 כולל הפעלת מאסר על תנאי), לצד ענישה נלווית. בית המשפט העליון קיבל ערעור שהוגש על חומרת העונש והעמיד את עונשו של המערער על 20 חודשי מאסר בשל שיקולי שיקום (והפעלת התנאי בחופף). </w:t>
      </w:r>
    </w:p>
    <w:p w14:paraId="7936D17A" w14:textId="77777777" w:rsidR="00D34A5F" w:rsidRDefault="006311BA" w:rsidP="00D34A5F">
      <w:pPr>
        <w:pStyle w:val="a9"/>
        <w:numPr>
          <w:ilvl w:val="0"/>
          <w:numId w:val="2"/>
        </w:numPr>
        <w:spacing w:before="240" w:after="240" w:line="360" w:lineRule="auto"/>
        <w:contextualSpacing w:val="0"/>
        <w:jc w:val="both"/>
      </w:pPr>
      <w:hyperlink r:id="rId24" w:history="1">
        <w:r w:rsidRPr="006311BA">
          <w:rPr>
            <w:color w:val="0000FF"/>
            <w:u w:val="single"/>
            <w:rtl/>
          </w:rPr>
          <w:t>ת"פ (מחוזי ת"א) 28397-10-19</w:t>
        </w:r>
      </w:hyperlink>
      <w:r w:rsidR="00D34A5F">
        <w:rPr>
          <w:rFonts w:hint="cs"/>
          <w:rtl/>
        </w:rPr>
        <w:t xml:space="preserve"> </w:t>
      </w:r>
      <w:r w:rsidR="00D34A5F">
        <w:rPr>
          <w:rFonts w:hint="cs"/>
          <w:b/>
          <w:bCs/>
          <w:rtl/>
        </w:rPr>
        <w:t>מדינת ישראל נ' פרולוב</w:t>
      </w:r>
      <w:r w:rsidR="00D34A5F">
        <w:rPr>
          <w:rFonts w:hint="cs"/>
          <w:rtl/>
        </w:rPr>
        <w:t xml:space="preserve"> (3.3.2021) - הנאשם הורשע על יסוד הודאתו בעבירות של ייצור, הכנה והפקה של סם מסוכן, החזקת סם מסוכן שלא לצריכה עצמית, החזקת כלים המשמשים להכנת סם מסוכן ונטילת חשמל שלא כדין בכך שהחזיק ותפעל מעבדה בה גידל קנבוס </w:t>
      </w:r>
      <w:r w:rsidR="00D34A5F" w:rsidRPr="00537CC7">
        <w:rPr>
          <w:rFonts w:hint="cs"/>
          <w:b/>
          <w:bCs/>
          <w:rtl/>
        </w:rPr>
        <w:t>במשקל כולל של 50 ק"ג</w:t>
      </w:r>
      <w:r w:rsidR="00D34A5F">
        <w:rPr>
          <w:rFonts w:hint="cs"/>
          <w:rtl/>
        </w:rPr>
        <w:t xml:space="preserve">. באותו מקרה קבעתי </w:t>
      </w:r>
      <w:r w:rsidR="00D34A5F">
        <w:rPr>
          <w:rFonts w:hint="cs"/>
          <w:b/>
          <w:bCs/>
          <w:rtl/>
        </w:rPr>
        <w:t>מתחם ענישה שנע בין 23 ל- 51 חודשי מאסר</w:t>
      </w:r>
      <w:r w:rsidR="00D34A5F">
        <w:rPr>
          <w:rFonts w:hint="cs"/>
          <w:rtl/>
        </w:rPr>
        <w:t xml:space="preserve">, והשתתי על הנאשם 23 חודשי מאסר בפועל, לצד ענישה נלווית.  </w:t>
      </w:r>
    </w:p>
    <w:p w14:paraId="470F2663" w14:textId="77777777" w:rsidR="00D34A5F" w:rsidRDefault="006311BA" w:rsidP="00D34A5F">
      <w:pPr>
        <w:pStyle w:val="a9"/>
        <w:numPr>
          <w:ilvl w:val="0"/>
          <w:numId w:val="2"/>
        </w:numPr>
        <w:spacing w:before="240" w:after="240" w:line="360" w:lineRule="auto"/>
        <w:contextualSpacing w:val="0"/>
        <w:jc w:val="both"/>
      </w:pPr>
      <w:hyperlink r:id="rId25" w:history="1">
        <w:r w:rsidRPr="006311BA">
          <w:rPr>
            <w:color w:val="0000FF"/>
            <w:u w:val="single"/>
            <w:rtl/>
          </w:rPr>
          <w:t>ת"פ (מחוזי ת"א) 6090-10-19</w:t>
        </w:r>
      </w:hyperlink>
      <w:r w:rsidR="00D34A5F">
        <w:rPr>
          <w:rFonts w:hint="cs"/>
          <w:rtl/>
        </w:rPr>
        <w:t xml:space="preserve"> </w:t>
      </w:r>
      <w:r w:rsidR="00D34A5F">
        <w:rPr>
          <w:rFonts w:hint="cs"/>
          <w:b/>
          <w:bCs/>
          <w:rtl/>
        </w:rPr>
        <w:t xml:space="preserve">מדינת ישראל נ' פלופסקי </w:t>
      </w:r>
      <w:r w:rsidR="00D34A5F">
        <w:rPr>
          <w:rFonts w:hint="cs"/>
          <w:rtl/>
        </w:rPr>
        <w:t xml:space="preserve">(13.7.2020) - הנאשם הורשע על יסוד הודאתו בעבירות של ייצור, הכנה והפקה של סם מסוכן, החזקת סם מסוכן שלא לצריכה עצמית וגניבת חשמל בכך שהקים מעבדה וגידל בה קנבוס </w:t>
      </w:r>
      <w:r w:rsidR="00D34A5F">
        <w:rPr>
          <w:rFonts w:hint="cs"/>
          <w:b/>
          <w:bCs/>
          <w:rtl/>
        </w:rPr>
        <w:t>במשקל כולל של 52 ק"ג</w:t>
      </w:r>
      <w:r w:rsidR="00D34A5F">
        <w:rPr>
          <w:rFonts w:hint="cs"/>
          <w:rtl/>
        </w:rPr>
        <w:t xml:space="preserve">. באותו מקרה קבעתי </w:t>
      </w:r>
      <w:r w:rsidR="00D34A5F" w:rsidRPr="00B734BE">
        <w:rPr>
          <w:rFonts w:hint="cs"/>
          <w:b/>
          <w:bCs/>
          <w:rtl/>
        </w:rPr>
        <w:t>מתחם ענישה שנע בין 24 ל- 52 חודשי מאסר</w:t>
      </w:r>
      <w:r w:rsidR="00D34A5F">
        <w:rPr>
          <w:rFonts w:hint="cs"/>
          <w:rtl/>
        </w:rPr>
        <w:t xml:space="preserve">, והשתתי על הנאשם 24 חודשי מאסר, לצד ענישה נלווית. </w:t>
      </w:r>
    </w:p>
    <w:p w14:paraId="2B40818D" w14:textId="77777777" w:rsidR="00D34A5F" w:rsidRDefault="006311BA" w:rsidP="00D34A5F">
      <w:pPr>
        <w:pStyle w:val="a9"/>
        <w:numPr>
          <w:ilvl w:val="0"/>
          <w:numId w:val="2"/>
        </w:numPr>
        <w:spacing w:before="240" w:after="240" w:line="360" w:lineRule="auto"/>
        <w:contextualSpacing w:val="0"/>
        <w:jc w:val="both"/>
      </w:pPr>
      <w:hyperlink r:id="rId26" w:history="1">
        <w:r w:rsidRPr="006311BA">
          <w:rPr>
            <w:color w:val="0000FF"/>
            <w:u w:val="single"/>
            <w:rtl/>
          </w:rPr>
          <w:t>ת"פ (מחוזי ת"א) 35223-09-19</w:t>
        </w:r>
      </w:hyperlink>
      <w:r w:rsidR="00D34A5F">
        <w:rPr>
          <w:rFonts w:hint="cs"/>
          <w:rtl/>
        </w:rPr>
        <w:t xml:space="preserve"> </w:t>
      </w:r>
      <w:r w:rsidR="00D34A5F">
        <w:rPr>
          <w:rFonts w:hint="cs"/>
          <w:b/>
          <w:bCs/>
          <w:rtl/>
        </w:rPr>
        <w:t xml:space="preserve">מדינת ישראל נ' הורוביץ </w:t>
      </w:r>
      <w:r w:rsidR="00D34A5F">
        <w:rPr>
          <w:rFonts w:hint="cs"/>
          <w:rtl/>
        </w:rPr>
        <w:t xml:space="preserve">(9.3.2020) - הנאשם הורשע על יסוד הודאתו בעבירות של </w:t>
      </w:r>
      <w:r w:rsidR="00D34A5F">
        <w:rPr>
          <w:rFonts w:ascii="David" w:hAnsi="David"/>
          <w:rtl/>
        </w:rPr>
        <w:t>ייצור, הכנה והפק</w:t>
      </w:r>
      <w:r w:rsidR="00D34A5F">
        <w:rPr>
          <w:rFonts w:ascii="David" w:hAnsi="David" w:hint="cs"/>
          <w:rtl/>
        </w:rPr>
        <w:t>ה של סם מסוכן</w:t>
      </w:r>
      <w:r w:rsidR="00D34A5F" w:rsidRPr="004721AA">
        <w:rPr>
          <w:rFonts w:ascii="David" w:hAnsi="David"/>
          <w:rtl/>
        </w:rPr>
        <w:t xml:space="preserve">, החזקת סם </w:t>
      </w:r>
      <w:r w:rsidR="00D34A5F">
        <w:rPr>
          <w:rFonts w:ascii="David" w:hAnsi="David" w:hint="cs"/>
          <w:rtl/>
        </w:rPr>
        <w:t xml:space="preserve">מסוכן </w:t>
      </w:r>
      <w:r w:rsidR="00D34A5F" w:rsidRPr="004721AA">
        <w:rPr>
          <w:rFonts w:ascii="David" w:hAnsi="David"/>
          <w:rtl/>
        </w:rPr>
        <w:t>שלא לצריכה עצמית, החזקת חצרים לשם הכנת סם מס</w:t>
      </w:r>
      <w:r w:rsidR="00D34A5F">
        <w:rPr>
          <w:rFonts w:ascii="David" w:hAnsi="David"/>
          <w:rtl/>
        </w:rPr>
        <w:t>וכן</w:t>
      </w:r>
      <w:r w:rsidR="00D34A5F" w:rsidRPr="004721AA">
        <w:rPr>
          <w:rFonts w:ascii="David" w:hAnsi="David"/>
          <w:rtl/>
        </w:rPr>
        <w:t xml:space="preserve"> </w:t>
      </w:r>
      <w:r w:rsidR="00D34A5F" w:rsidRPr="004721AA">
        <w:rPr>
          <w:rFonts w:ascii="David" w:hAnsi="David" w:hint="cs"/>
          <w:rtl/>
        </w:rPr>
        <w:t>ו</w:t>
      </w:r>
      <w:r w:rsidR="00D34A5F" w:rsidRPr="004721AA">
        <w:rPr>
          <w:rFonts w:ascii="David" w:hAnsi="David"/>
          <w:rtl/>
        </w:rPr>
        <w:t xml:space="preserve">החזקת כלים </w:t>
      </w:r>
      <w:r w:rsidR="00D34A5F">
        <w:rPr>
          <w:rFonts w:ascii="David" w:hAnsi="David"/>
          <w:rtl/>
        </w:rPr>
        <w:t xml:space="preserve">המשמשים להכנת סם מסוכן </w:t>
      </w:r>
      <w:r w:rsidR="00D34A5F">
        <w:rPr>
          <w:rFonts w:ascii="David" w:hAnsi="David" w:hint="cs"/>
          <w:rtl/>
        </w:rPr>
        <w:t xml:space="preserve">בכך שהקים בוילה ששכר מעבדה וגידל בה קנבוס </w:t>
      </w:r>
      <w:r w:rsidR="00D34A5F" w:rsidRPr="00AC2679">
        <w:rPr>
          <w:rFonts w:ascii="David" w:hAnsi="David" w:hint="cs"/>
          <w:b/>
          <w:bCs/>
          <w:rtl/>
        </w:rPr>
        <w:t>במשקל כולל של 54 ק"ג</w:t>
      </w:r>
      <w:r w:rsidR="00D34A5F">
        <w:rPr>
          <w:rFonts w:ascii="David" w:hAnsi="David" w:hint="cs"/>
          <w:rtl/>
        </w:rPr>
        <w:t xml:space="preserve">. במקרה זה קבעתי </w:t>
      </w:r>
      <w:r w:rsidR="00D34A5F" w:rsidRPr="00AC2679">
        <w:rPr>
          <w:rFonts w:ascii="David" w:hAnsi="David" w:hint="cs"/>
          <w:b/>
          <w:bCs/>
          <w:rtl/>
        </w:rPr>
        <w:t>מתחם ענישה שנע בין 22 ל- 50 חודשי מאסר</w:t>
      </w:r>
      <w:r w:rsidR="00D34A5F">
        <w:rPr>
          <w:rFonts w:ascii="David" w:hAnsi="David" w:hint="cs"/>
          <w:rtl/>
        </w:rPr>
        <w:t xml:space="preserve">, והשתתי על הנאשם 28 חודשי מאסר בפועל, לצד ענישה נלווית. </w:t>
      </w:r>
      <w:r w:rsidR="00D34A5F" w:rsidRPr="0017633E">
        <w:rPr>
          <w:rFonts w:ascii="David" w:hAnsi="David" w:hint="cs"/>
          <w:u w:val="single"/>
          <w:rtl/>
        </w:rPr>
        <w:t xml:space="preserve">באותו מקרה ציינתי, כי על בסיס עמדת בית המשפט העליון, לא מן הנמנע שבעתיד הקרוב יהיה </w:t>
      </w:r>
      <w:r w:rsidR="00D34A5F">
        <w:rPr>
          <w:rFonts w:ascii="David" w:hAnsi="David" w:hint="cs"/>
          <w:u w:val="single"/>
          <w:rtl/>
        </w:rPr>
        <w:t>מקום לבחון החמרה נוספת ב</w:t>
      </w:r>
      <w:r w:rsidR="00D34A5F" w:rsidRPr="0017633E">
        <w:rPr>
          <w:rFonts w:ascii="David" w:hAnsi="David" w:hint="cs"/>
          <w:u w:val="single"/>
          <w:rtl/>
        </w:rPr>
        <w:t>מתחמי הענישה ההולמים</w:t>
      </w:r>
      <w:r w:rsidR="00D34A5F">
        <w:rPr>
          <w:rFonts w:ascii="David" w:hAnsi="David" w:hint="cs"/>
          <w:rtl/>
        </w:rPr>
        <w:t xml:space="preserve">.  </w:t>
      </w:r>
    </w:p>
    <w:p w14:paraId="64B6D30A" w14:textId="77777777" w:rsidR="00D34A5F" w:rsidRDefault="006311BA" w:rsidP="00D34A5F">
      <w:pPr>
        <w:pStyle w:val="a9"/>
        <w:numPr>
          <w:ilvl w:val="0"/>
          <w:numId w:val="2"/>
        </w:numPr>
        <w:spacing w:before="240" w:after="240" w:line="360" w:lineRule="auto"/>
        <w:contextualSpacing w:val="0"/>
        <w:jc w:val="both"/>
        <w:rPr>
          <w:rtl/>
        </w:rPr>
      </w:pPr>
      <w:hyperlink r:id="rId27" w:history="1">
        <w:r w:rsidRPr="006311BA">
          <w:rPr>
            <w:color w:val="0000FF"/>
            <w:u w:val="single"/>
            <w:rtl/>
          </w:rPr>
          <w:t>ת"פ (שלום ב"ש) 52720-11-19</w:t>
        </w:r>
      </w:hyperlink>
      <w:r w:rsidR="00D34A5F">
        <w:rPr>
          <w:rFonts w:hint="cs"/>
          <w:rtl/>
        </w:rPr>
        <w:t xml:space="preserve"> </w:t>
      </w:r>
      <w:r w:rsidR="00D34A5F">
        <w:rPr>
          <w:rFonts w:hint="cs"/>
          <w:b/>
          <w:bCs/>
          <w:rtl/>
        </w:rPr>
        <w:t>מדינת ישראל נ' בן שושן</w:t>
      </w:r>
      <w:r w:rsidR="00D34A5F">
        <w:rPr>
          <w:rFonts w:hint="cs"/>
          <w:rtl/>
        </w:rPr>
        <w:t xml:space="preserve"> (18.11.2020) - הנאשם הורשע על יסוד הודאתו במסגרת הסדר טיעון בעבירות של ייצור, הכנה והפקה של סם מסוכן, החזקת סם מסוכן שלא לצריכה עצמית והפרת הוראה חוקית בכך שהקים, יחד עם שניים נוספים, בבית ששכר, מעבדה בה גידלו קנבוס </w:t>
      </w:r>
      <w:r w:rsidR="00D34A5F" w:rsidRPr="00544D81">
        <w:rPr>
          <w:rFonts w:hint="cs"/>
          <w:b/>
          <w:bCs/>
          <w:rtl/>
        </w:rPr>
        <w:t>במשקל כולל של 36 ק"ג</w:t>
      </w:r>
      <w:r w:rsidR="00D34A5F">
        <w:rPr>
          <w:rFonts w:hint="cs"/>
          <w:rtl/>
        </w:rPr>
        <w:t xml:space="preserve">, תוך שהוא מפר הוראה חוקית אשר הוטלה עליו במסגרת תיק מעצר. בית המשפט קבע </w:t>
      </w:r>
      <w:r w:rsidR="00D34A5F" w:rsidRPr="00544D81">
        <w:rPr>
          <w:rFonts w:hint="cs"/>
          <w:b/>
          <w:bCs/>
          <w:rtl/>
        </w:rPr>
        <w:t>מתחם ענישה כולל שנע בין 24 ל- 48 חודשי מאסר</w:t>
      </w:r>
      <w:r w:rsidR="00D34A5F">
        <w:rPr>
          <w:rFonts w:hint="cs"/>
          <w:rtl/>
        </w:rPr>
        <w:t xml:space="preserve">, והשית על הנאשם 28 חודשי מאסר בפועל, לצד ענישה נלווית. </w:t>
      </w:r>
    </w:p>
    <w:p w14:paraId="54CB1826" w14:textId="77777777" w:rsidR="00D34A5F" w:rsidRDefault="00D34A5F" w:rsidP="00D34A5F">
      <w:pPr>
        <w:pStyle w:val="a9"/>
        <w:spacing w:before="240" w:after="240" w:line="360" w:lineRule="auto"/>
        <w:ind w:left="360"/>
        <w:contextualSpacing w:val="0"/>
        <w:jc w:val="both"/>
        <w:rPr>
          <w:rFonts w:ascii="David" w:hAnsi="David"/>
          <w:rtl/>
        </w:rPr>
      </w:pPr>
      <w:r>
        <w:rPr>
          <w:rFonts w:ascii="David" w:hAnsi="David"/>
          <w:color w:val="000000"/>
          <w:rtl/>
        </w:rPr>
        <w:t>מטבע הדברים, כל פסק דין כולל היקף שונה של גידול סמי</w:t>
      </w:r>
      <w:r>
        <w:rPr>
          <w:rFonts w:ascii="David" w:hAnsi="David" w:hint="cs"/>
          <w:color w:val="000000"/>
          <w:rtl/>
        </w:rPr>
        <w:t>ם.</w:t>
      </w:r>
      <w:r w:rsidR="006311BA">
        <w:rPr>
          <w:rFonts w:ascii="David" w:hAnsi="David"/>
          <w:color w:val="000000"/>
        </w:rPr>
        <w:t xml:space="preserve"> </w:t>
      </w:r>
    </w:p>
    <w:p w14:paraId="0E6A4AC4" w14:textId="77777777" w:rsidR="00D34A5F" w:rsidRDefault="00D34A5F" w:rsidP="00D34A5F">
      <w:pPr>
        <w:pStyle w:val="a9"/>
        <w:numPr>
          <w:ilvl w:val="0"/>
          <w:numId w:val="1"/>
        </w:numPr>
        <w:spacing w:before="240" w:after="240" w:line="360" w:lineRule="auto"/>
        <w:contextualSpacing w:val="0"/>
        <w:jc w:val="both"/>
      </w:pPr>
      <w:r>
        <w:rPr>
          <w:rFonts w:hint="cs"/>
          <w:rtl/>
        </w:rPr>
        <w:t xml:space="preserve">על יסוד כלל הנתונים אשר פורטו לעיל, ראיתי להעמיד את מתחם העונש ההולם </w:t>
      </w:r>
      <w:r>
        <w:rPr>
          <w:rFonts w:hint="cs"/>
          <w:b/>
          <w:bCs/>
          <w:rtl/>
        </w:rPr>
        <w:t xml:space="preserve">ברף התחתון שלו על 20 חודשי מאסר וברף העליון שלו על 45 חודשי מאסר. </w:t>
      </w:r>
    </w:p>
    <w:p w14:paraId="1EC2F654" w14:textId="77777777" w:rsidR="00D34A5F" w:rsidRDefault="00D34A5F" w:rsidP="00D34A5F">
      <w:pPr>
        <w:pStyle w:val="a9"/>
        <w:numPr>
          <w:ilvl w:val="0"/>
          <w:numId w:val="1"/>
        </w:numPr>
        <w:spacing w:before="240" w:after="240" w:line="360" w:lineRule="auto"/>
        <w:contextualSpacing w:val="0"/>
        <w:jc w:val="both"/>
      </w:pPr>
      <w:r>
        <w:rPr>
          <w:rFonts w:hint="cs"/>
          <w:rtl/>
        </w:rPr>
        <w:t xml:space="preserve">באשר לעונש המתאים לנאשם, נדמה - והצדדים אינם חלוקים בהקשר זה - כי כל הנסיבות שאינן קשורות בביצוע העבירה פועלות במקרה דנא לזכותו של הנאשם, ויש בהן כדי להצדיק את אימוץ </w:t>
      </w:r>
      <w:r>
        <w:rPr>
          <w:rFonts w:hint="cs"/>
          <w:b/>
          <w:bCs/>
          <w:rtl/>
        </w:rPr>
        <w:t>הרף התחתון של מתחם העונש ההולם</w:t>
      </w:r>
      <w:r>
        <w:rPr>
          <w:rFonts w:hint="cs"/>
          <w:rtl/>
        </w:rPr>
        <w:t>:</w:t>
      </w:r>
    </w:p>
    <w:p w14:paraId="3870C60A" w14:textId="77777777" w:rsidR="00D34A5F" w:rsidRDefault="00D34A5F" w:rsidP="00D34A5F">
      <w:pPr>
        <w:pStyle w:val="a9"/>
        <w:spacing w:before="240" w:after="240" w:line="360" w:lineRule="auto"/>
        <w:ind w:left="360"/>
        <w:contextualSpacing w:val="0"/>
        <w:jc w:val="both"/>
        <w:rPr>
          <w:rtl/>
        </w:rPr>
      </w:pPr>
      <w:r>
        <w:rPr>
          <w:rFonts w:hint="cs"/>
          <w:rtl/>
        </w:rPr>
        <w:t xml:space="preserve">הנאשם לקח אחריות על מעשיו בשלב מוקדם של ההליך, הודה בעובדות כתב האישום המתוקן והביע חרטה. מעבר לחיסכון בזמן הציבורי, יש בהודאתו כדי ללמד על הפנמת הפסול במעשיו. </w:t>
      </w:r>
    </w:p>
    <w:p w14:paraId="596A3916" w14:textId="77777777" w:rsidR="00D34A5F" w:rsidRDefault="00D34A5F" w:rsidP="00D34A5F">
      <w:pPr>
        <w:pStyle w:val="a9"/>
        <w:spacing w:before="240" w:after="240" w:line="360" w:lineRule="auto"/>
        <w:ind w:left="360"/>
        <w:contextualSpacing w:val="0"/>
        <w:jc w:val="both"/>
        <w:rPr>
          <w:rtl/>
        </w:rPr>
      </w:pPr>
      <w:r>
        <w:rPr>
          <w:rFonts w:hint="cs"/>
          <w:rtl/>
        </w:rPr>
        <w:t xml:space="preserve">לזכותו של הנאשם נזקפת גם העובדה שזוהי הרשעתו הראשונה בפלילים. נוכח גילו של הנאשם (40 שנים), יש לכך משמעות מוגברת. </w:t>
      </w:r>
    </w:p>
    <w:p w14:paraId="5B1CD775" w14:textId="77777777" w:rsidR="00D34A5F" w:rsidRDefault="00D34A5F" w:rsidP="00D34A5F">
      <w:pPr>
        <w:pStyle w:val="a9"/>
        <w:spacing w:before="240" w:after="240" w:line="360" w:lineRule="auto"/>
        <w:ind w:left="360"/>
        <w:contextualSpacing w:val="0"/>
        <w:jc w:val="both"/>
        <w:rPr>
          <w:rtl/>
        </w:rPr>
      </w:pPr>
      <w:r>
        <w:rPr>
          <w:rFonts w:hint="cs"/>
          <w:rtl/>
        </w:rPr>
        <w:t xml:space="preserve">גם נסיבותיו האישיות המורכבות של הנאשם, כפי שבאו לידי ביטוי בתסקיר שירות המבחן, בטיעוני ההגנה ובעדויות שנשמעו בפניי לעניין העונש - עומדות לזכותו. כאמור, הליך הגירושין שעבר הנאשם היווה עבורו "נקודת תפנית", בעקבותיה החל לצרוך באופן יום-יומי סמים ובהמשך גם ביצע את העבירות הפליליות מושא הליך זה. עד אותו משבר רגשי היה אדם נורמטיבי ששירת שירות צבאי מלא והתמיד במסגרות תעסוקתיות. יש לציין בחיוב גם את התגייסות בני משפחתו (ובפרט הוריו) לצדו של הנאשם. יש בכך כדי להוות גורם מצמצם סיכון.   </w:t>
      </w:r>
    </w:p>
    <w:p w14:paraId="7C8294DE" w14:textId="77777777" w:rsidR="00D34A5F" w:rsidRDefault="00D34A5F" w:rsidP="00D34A5F">
      <w:pPr>
        <w:pStyle w:val="a9"/>
        <w:spacing w:before="240" w:after="240" w:line="360" w:lineRule="auto"/>
        <w:ind w:left="360"/>
        <w:contextualSpacing w:val="0"/>
        <w:jc w:val="both"/>
        <w:rPr>
          <w:rtl/>
        </w:rPr>
      </w:pPr>
      <w:r>
        <w:rPr>
          <w:rFonts w:hint="cs"/>
          <w:rtl/>
        </w:rPr>
        <w:t xml:space="preserve">נתתי דעתי למצבו הרפואי של הנאשם, כפי שנטען מפי סנגורו. </w:t>
      </w:r>
    </w:p>
    <w:p w14:paraId="38960208" w14:textId="77777777" w:rsidR="00D34A5F" w:rsidRDefault="00D34A5F" w:rsidP="00D34A5F">
      <w:pPr>
        <w:pStyle w:val="a9"/>
        <w:spacing w:before="240" w:after="240" w:line="360" w:lineRule="auto"/>
        <w:ind w:left="360"/>
        <w:contextualSpacing w:val="0"/>
        <w:jc w:val="both"/>
        <w:rPr>
          <w:rtl/>
        </w:rPr>
      </w:pPr>
      <w:r>
        <w:rPr>
          <w:rFonts w:hint="cs"/>
          <w:rtl/>
        </w:rPr>
        <w:t xml:space="preserve">לא נעלמה מעיני הימנעות שירות המבחן מהמלצה טיפולית בעניינו של הנאשם בעקבות נטייתו למזער מחומרת מעשיו והעדר שיתוף פעולה מצדו. יחד עם זאת, כפי ששירות המבחן ציין, מדובר בנאשם שהתנהל לאורך השנים באופן תקין. התרשמתי כי אין צורך במאמצים כבירים להחזירו למוטב וניכר כי ההליך הפלילי הרתיע אותו באופן משמעותי. </w:t>
      </w:r>
    </w:p>
    <w:p w14:paraId="6DD8D0A2" w14:textId="77777777" w:rsidR="00D34A5F" w:rsidRDefault="00D34A5F" w:rsidP="00D34A5F">
      <w:pPr>
        <w:pStyle w:val="a9"/>
        <w:numPr>
          <w:ilvl w:val="0"/>
          <w:numId w:val="1"/>
        </w:numPr>
        <w:spacing w:before="240" w:after="240" w:line="360" w:lineRule="auto"/>
        <w:contextualSpacing w:val="0"/>
        <w:jc w:val="both"/>
      </w:pPr>
      <w:r>
        <w:rPr>
          <w:rFonts w:hint="cs"/>
          <w:rtl/>
        </w:rPr>
        <w:t>על יסוד כלל השיקולים שפורטו לעיל, ראיתי להטיל על הנאשם את העונשים הבאים:</w:t>
      </w:r>
    </w:p>
    <w:p w14:paraId="31C8CDFD" w14:textId="77777777" w:rsidR="00D34A5F" w:rsidRDefault="00D34A5F" w:rsidP="00D34A5F">
      <w:pPr>
        <w:pStyle w:val="a9"/>
        <w:numPr>
          <w:ilvl w:val="0"/>
          <w:numId w:val="3"/>
        </w:numPr>
        <w:spacing w:before="240" w:after="240" w:line="360" w:lineRule="auto"/>
        <w:contextualSpacing w:val="0"/>
        <w:jc w:val="both"/>
      </w:pPr>
      <w:r>
        <w:rPr>
          <w:rFonts w:hint="cs"/>
          <w:rtl/>
        </w:rPr>
        <w:t>20 חודשי מאסר לריצוי בפועל (בניכוי ימי מעצרו 1.9.2020 עד 29.9.2020).</w:t>
      </w:r>
    </w:p>
    <w:p w14:paraId="7F93358D" w14:textId="77777777" w:rsidR="00D34A5F" w:rsidRDefault="00D34A5F" w:rsidP="00D34A5F">
      <w:pPr>
        <w:pStyle w:val="a9"/>
        <w:spacing w:before="240" w:after="240" w:line="360" w:lineRule="auto"/>
        <w:contextualSpacing w:val="0"/>
        <w:jc w:val="both"/>
      </w:pPr>
      <w:r>
        <w:rPr>
          <w:rFonts w:hint="cs"/>
          <w:rtl/>
        </w:rPr>
        <w:t xml:space="preserve">הנאשם יתייצב ביום 17.10.2021 שעה 09:00 במתקן ניצן או במתקן אחר עליו יורה שב"ס במסגרת הליך המיון המוקדם, ככל שייערך כזה. </w:t>
      </w:r>
    </w:p>
    <w:p w14:paraId="4D7A6FD6" w14:textId="77777777" w:rsidR="00D34A5F" w:rsidRDefault="00D34A5F" w:rsidP="00D34A5F">
      <w:pPr>
        <w:pStyle w:val="a9"/>
        <w:numPr>
          <w:ilvl w:val="0"/>
          <w:numId w:val="3"/>
        </w:numPr>
        <w:spacing w:before="240" w:after="240" w:line="360" w:lineRule="auto"/>
        <w:contextualSpacing w:val="0"/>
        <w:jc w:val="both"/>
      </w:pPr>
      <w:r>
        <w:rPr>
          <w:rFonts w:hint="cs"/>
          <w:rtl/>
        </w:rPr>
        <w:t xml:space="preserve">6 חודשי מאסר, אולם הנאשם לא יישא עונש זה אלא אם יעבור תוך שלוש שנים מיום שחרורו עבירה על פקודת הסמים מסוג פשע. </w:t>
      </w:r>
    </w:p>
    <w:p w14:paraId="6D214A45" w14:textId="77777777" w:rsidR="00D34A5F" w:rsidRDefault="00D34A5F" w:rsidP="00D34A5F">
      <w:pPr>
        <w:pStyle w:val="a9"/>
        <w:numPr>
          <w:ilvl w:val="0"/>
          <w:numId w:val="3"/>
        </w:numPr>
        <w:spacing w:before="240" w:after="240" w:line="360" w:lineRule="auto"/>
        <w:contextualSpacing w:val="0"/>
        <w:jc w:val="both"/>
      </w:pPr>
      <w:r>
        <w:rPr>
          <w:rFonts w:hint="cs"/>
          <w:rtl/>
        </w:rPr>
        <w:t xml:space="preserve">חודש (1) מאסר, אולם הנאשם לא יישא עונש זה אלא אם יעבור תוך שלוש שנים מיום שחרורו עבירה על פקודת הסמים מסוג עוון. </w:t>
      </w:r>
    </w:p>
    <w:p w14:paraId="312B17A1" w14:textId="77777777" w:rsidR="00D34A5F" w:rsidRDefault="00D34A5F" w:rsidP="00D34A5F">
      <w:pPr>
        <w:pStyle w:val="a9"/>
        <w:numPr>
          <w:ilvl w:val="0"/>
          <w:numId w:val="3"/>
        </w:numPr>
        <w:spacing w:before="240" w:after="240" w:line="360" w:lineRule="auto"/>
        <w:contextualSpacing w:val="0"/>
        <w:jc w:val="both"/>
      </w:pPr>
      <w:r>
        <w:rPr>
          <w:rFonts w:hint="cs"/>
          <w:rtl/>
        </w:rPr>
        <w:t xml:space="preserve">קנס בסך 3,000 ₪ אשר ישולם ב- 10 תשלומים חודשיים שווים החל מיום 1.11.2021 ועד לסיום התשלומים או 30 ימי מאסר תמורתו. בקביעת הקנס התחשבתי בדמי המזונות שמשלם הנאשם עבור ילדיו הקטינים. </w:t>
      </w:r>
    </w:p>
    <w:p w14:paraId="5D3637F4" w14:textId="77777777" w:rsidR="00D34A5F" w:rsidRDefault="00D34A5F" w:rsidP="00D34A5F">
      <w:pPr>
        <w:pStyle w:val="a9"/>
        <w:spacing w:before="240" w:after="240" w:line="360" w:lineRule="auto"/>
        <w:jc w:val="both"/>
        <w:rPr>
          <w:rtl/>
        </w:rPr>
      </w:pPr>
      <w:r>
        <w:rPr>
          <w:rFonts w:hint="cs"/>
          <w:rtl/>
        </w:rPr>
        <w:t xml:space="preserve">ניתן צו כללי למוצגים לשיקול דעת קצין משטרה ו/או התביעה. </w:t>
      </w:r>
    </w:p>
    <w:p w14:paraId="040D7BE3" w14:textId="77777777" w:rsidR="00D34A5F" w:rsidRDefault="00D34A5F" w:rsidP="00D34A5F">
      <w:pPr>
        <w:pStyle w:val="a9"/>
        <w:spacing w:before="240" w:after="240" w:line="360" w:lineRule="auto"/>
        <w:jc w:val="both"/>
        <w:rPr>
          <w:rtl/>
        </w:rPr>
      </w:pPr>
      <w:r>
        <w:rPr>
          <w:rFonts w:hint="cs"/>
          <w:rtl/>
        </w:rPr>
        <w:t>הציוד שנתפס במעבדה יחולט או יושמד. הסמים יושמדו.</w:t>
      </w:r>
    </w:p>
    <w:p w14:paraId="14566AB1" w14:textId="77777777" w:rsidR="00D34A5F" w:rsidRDefault="00D34A5F" w:rsidP="00D34A5F">
      <w:pPr>
        <w:pStyle w:val="a9"/>
        <w:spacing w:before="240" w:after="240" w:line="360" w:lineRule="auto"/>
        <w:jc w:val="both"/>
        <w:rPr>
          <w:rtl/>
        </w:rPr>
      </w:pPr>
    </w:p>
    <w:p w14:paraId="5247B6C1" w14:textId="77777777" w:rsidR="00D34A5F" w:rsidRDefault="00D34A5F" w:rsidP="00D34A5F">
      <w:pPr>
        <w:pStyle w:val="a9"/>
        <w:spacing w:before="240" w:after="240" w:line="360" w:lineRule="auto"/>
        <w:jc w:val="both"/>
        <w:rPr>
          <w:rtl/>
        </w:rPr>
      </w:pPr>
      <w:r>
        <w:rPr>
          <w:rFonts w:hint="cs"/>
          <w:rtl/>
        </w:rPr>
        <w:t xml:space="preserve">זכות ערעור כחוק. </w:t>
      </w:r>
    </w:p>
    <w:p w14:paraId="243AFBA2" w14:textId="77777777" w:rsidR="00D34A5F" w:rsidRDefault="00D34A5F" w:rsidP="00D34A5F">
      <w:pPr>
        <w:pStyle w:val="a9"/>
        <w:spacing w:before="240" w:after="240" w:line="360" w:lineRule="auto"/>
        <w:jc w:val="both"/>
        <w:rPr>
          <w:rtl/>
        </w:rPr>
      </w:pPr>
    </w:p>
    <w:p w14:paraId="05D43073" w14:textId="77777777" w:rsidR="00D34A5F" w:rsidRDefault="00D34A5F" w:rsidP="00D34A5F">
      <w:pPr>
        <w:pStyle w:val="a9"/>
        <w:spacing w:before="240" w:after="240" w:line="360" w:lineRule="auto"/>
        <w:jc w:val="both"/>
      </w:pPr>
    </w:p>
    <w:p w14:paraId="385360E7" w14:textId="77777777" w:rsidR="00D34A5F" w:rsidRPr="00250B83" w:rsidRDefault="006311BA" w:rsidP="00D34A5F">
      <w:pPr>
        <w:spacing w:line="360" w:lineRule="auto"/>
        <w:jc w:val="center"/>
        <w:rPr>
          <w:rFonts w:ascii="Arial" w:hAnsi="Arial"/>
        </w:rPr>
      </w:pPr>
      <w:bookmarkStart w:id="8" w:name="Nitan"/>
      <w:r>
        <w:rPr>
          <w:rFonts w:ascii="Arial" w:hAnsi="Arial"/>
          <w:rtl/>
        </w:rPr>
        <w:t xml:space="preserve">ניתן היום,  ו' תשרי תשפ"ב, 12 ספטמבר 2021, במעמד הצדדים. </w:t>
      </w:r>
      <w:bookmarkEnd w:id="8"/>
    </w:p>
    <w:p w14:paraId="71B94F70" w14:textId="77777777" w:rsidR="00D34A5F" w:rsidRPr="006311BA" w:rsidRDefault="006311BA" w:rsidP="00D34A5F">
      <w:pPr>
        <w:jc w:val="center"/>
        <w:rPr>
          <w:color w:val="FFFFFF"/>
          <w:sz w:val="2"/>
          <w:szCs w:val="2"/>
          <w:rtl/>
        </w:rPr>
      </w:pPr>
      <w:r w:rsidRPr="006311BA">
        <w:rPr>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D34A5F" w14:paraId="695AC467" w14:textId="77777777" w:rsidTr="00D34A5F">
        <w:trPr>
          <w:trHeight w:val="316"/>
        </w:trPr>
        <w:tc>
          <w:tcPr>
            <w:tcW w:w="3936" w:type="dxa"/>
            <w:tcBorders>
              <w:top w:val="nil"/>
              <w:left w:val="nil"/>
              <w:bottom w:val="single" w:sz="4" w:space="0" w:color="auto"/>
              <w:right w:val="nil"/>
            </w:tcBorders>
            <w:shd w:val="clear" w:color="auto" w:fill="auto"/>
            <w:vAlign w:val="bottom"/>
          </w:tcPr>
          <w:p w14:paraId="6D296D80" w14:textId="77777777" w:rsidR="00D34A5F" w:rsidRPr="006311BA" w:rsidRDefault="006311BA" w:rsidP="00D34A5F">
            <w:pPr>
              <w:jc w:val="center"/>
              <w:rPr>
                <w:rFonts w:cs="Times New Roman"/>
                <w:color w:val="FFFFFF"/>
                <w:sz w:val="2"/>
                <w:szCs w:val="2"/>
              </w:rPr>
            </w:pPr>
            <w:r w:rsidRPr="006311BA">
              <w:rPr>
                <w:rFonts w:cs="Times New Roman"/>
                <w:color w:val="FFFFFF"/>
                <w:sz w:val="2"/>
                <w:szCs w:val="2"/>
                <w:rtl/>
              </w:rPr>
              <w:t>54678313</w:t>
            </w:r>
          </w:p>
        </w:tc>
      </w:tr>
      <w:tr w:rsidR="00D34A5F" w14:paraId="377C6316" w14:textId="77777777" w:rsidTr="00D34A5F">
        <w:trPr>
          <w:trHeight w:val="361"/>
        </w:trPr>
        <w:tc>
          <w:tcPr>
            <w:tcW w:w="3936" w:type="dxa"/>
            <w:tcBorders>
              <w:top w:val="single" w:sz="4" w:space="0" w:color="auto"/>
              <w:left w:val="nil"/>
              <w:bottom w:val="nil"/>
              <w:right w:val="nil"/>
            </w:tcBorders>
            <w:shd w:val="clear" w:color="auto" w:fill="auto"/>
          </w:tcPr>
          <w:p w14:paraId="5A2D9BD4" w14:textId="77777777" w:rsidR="00D34A5F" w:rsidRPr="00D34A5F" w:rsidRDefault="00D34A5F" w:rsidP="00D34A5F">
            <w:pPr>
              <w:jc w:val="center"/>
              <w:rPr>
                <w:b/>
                <w:bCs/>
                <w:rtl/>
              </w:rPr>
            </w:pPr>
            <w:r w:rsidRPr="00D34A5F">
              <w:rPr>
                <w:b/>
                <w:bCs/>
                <w:rtl/>
              </w:rPr>
              <w:t>בני שגיא, שופט</w:t>
            </w:r>
          </w:p>
          <w:p w14:paraId="22BFE9E3" w14:textId="77777777" w:rsidR="00D34A5F" w:rsidRPr="00D34A5F" w:rsidRDefault="00D34A5F" w:rsidP="00D34A5F">
            <w:pPr>
              <w:jc w:val="center"/>
              <w:rPr>
                <w:b/>
                <w:bCs/>
                <w:rtl/>
                <w:lang w:eastAsia="he-IL"/>
              </w:rPr>
            </w:pPr>
            <w:r w:rsidRPr="00D34A5F">
              <w:rPr>
                <w:b/>
                <w:bCs/>
                <w:rtl/>
              </w:rPr>
              <w:t>סגן נשיא</w:t>
            </w:r>
          </w:p>
        </w:tc>
      </w:tr>
    </w:tbl>
    <w:p w14:paraId="39F2109E" w14:textId="77777777" w:rsidR="00D34A5F" w:rsidRPr="00250B83" w:rsidRDefault="00D34A5F" w:rsidP="00D34A5F">
      <w:pPr>
        <w:jc w:val="center"/>
        <w:rPr>
          <w:rtl/>
        </w:rPr>
      </w:pPr>
    </w:p>
    <w:p w14:paraId="16745E22" w14:textId="77777777" w:rsidR="00D34A5F" w:rsidRPr="00250B83" w:rsidRDefault="00D34A5F" w:rsidP="00D34A5F">
      <w:pPr>
        <w:jc w:val="center"/>
        <w:rPr>
          <w:rFonts w:ascii="Arial" w:hAnsi="Arial"/>
          <w:rtl/>
        </w:rPr>
      </w:pPr>
    </w:p>
    <w:p w14:paraId="094C04F0" w14:textId="77777777" w:rsidR="00D34A5F" w:rsidRPr="00AF1097" w:rsidRDefault="00D34A5F" w:rsidP="00D34A5F">
      <w:pPr>
        <w:jc w:val="center"/>
        <w:rPr>
          <w:rFonts w:ascii="Arial" w:hAnsi="Arial"/>
          <w:rtl/>
        </w:rPr>
      </w:pPr>
    </w:p>
    <w:p w14:paraId="446622B6" w14:textId="77777777" w:rsidR="006311BA" w:rsidRDefault="006311BA" w:rsidP="006311BA">
      <w:pPr>
        <w:rPr>
          <w:rtl/>
        </w:rPr>
      </w:pPr>
    </w:p>
    <w:p w14:paraId="1D4E6A73" w14:textId="77777777" w:rsidR="006311BA" w:rsidRDefault="006311BA" w:rsidP="006311BA">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4567872" w14:textId="77777777" w:rsidR="006519BC" w:rsidRPr="006519BC" w:rsidRDefault="006519BC" w:rsidP="006519BC">
      <w:pPr>
        <w:keepNext/>
        <w:rPr>
          <w:rFonts w:ascii="David" w:hAnsi="David"/>
          <w:color w:val="000000"/>
          <w:sz w:val="22"/>
          <w:szCs w:val="22"/>
          <w:rtl/>
        </w:rPr>
      </w:pPr>
    </w:p>
    <w:p w14:paraId="64578FDE" w14:textId="77777777" w:rsidR="006519BC" w:rsidRPr="006519BC" w:rsidRDefault="006519BC" w:rsidP="006519BC">
      <w:pPr>
        <w:keepNext/>
        <w:rPr>
          <w:rFonts w:ascii="David" w:hAnsi="David"/>
          <w:color w:val="000000"/>
          <w:sz w:val="22"/>
          <w:szCs w:val="22"/>
          <w:rtl/>
        </w:rPr>
      </w:pPr>
      <w:r w:rsidRPr="006519BC">
        <w:rPr>
          <w:rFonts w:ascii="David" w:hAnsi="David"/>
          <w:color w:val="000000"/>
          <w:sz w:val="22"/>
          <w:szCs w:val="22"/>
          <w:rtl/>
        </w:rPr>
        <w:t>בני שגיא 54678313-/</w:t>
      </w:r>
    </w:p>
    <w:p w14:paraId="0E372B6A" w14:textId="77777777" w:rsidR="006311BA" w:rsidRPr="006311BA" w:rsidRDefault="006519BC" w:rsidP="006519BC">
      <w:pPr>
        <w:rPr>
          <w:rFonts w:hint="cs"/>
          <w:color w:val="0000FF"/>
          <w:u w:val="single"/>
        </w:rPr>
      </w:pPr>
      <w:r w:rsidRPr="006519BC">
        <w:rPr>
          <w:color w:val="000000"/>
          <w:u w:val="single"/>
          <w:rtl/>
        </w:rPr>
        <w:t>נוסח מסמך זה כפוף לשינויי ניסוח ועריכה</w:t>
      </w:r>
      <w:r w:rsidR="0062645B">
        <w:rPr>
          <w:rFonts w:hint="cs"/>
          <w:color w:val="0000FF"/>
          <w:u w:val="single"/>
          <w:rtl/>
        </w:rPr>
        <w:t xml:space="preserve"> </w:t>
      </w:r>
    </w:p>
    <w:sectPr w:rsidR="006311BA" w:rsidRPr="006311BA" w:rsidSect="006519BC">
      <w:headerReference w:type="even" r:id="rId29"/>
      <w:headerReference w:type="default" r:id="rId30"/>
      <w:footerReference w:type="even" r:id="rId31"/>
      <w:footerReference w:type="default" r:id="rId32"/>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2532C" w14:textId="77777777" w:rsidR="003C5488" w:rsidRDefault="003C5488" w:rsidP="00713664">
      <w:r>
        <w:separator/>
      </w:r>
    </w:p>
  </w:endnote>
  <w:endnote w:type="continuationSeparator" w:id="0">
    <w:p w14:paraId="311E7EE2" w14:textId="77777777" w:rsidR="003C5488" w:rsidRDefault="003C5488" w:rsidP="0071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4AF7D" w14:textId="77777777" w:rsidR="006519BC" w:rsidRDefault="006519BC" w:rsidP="006519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5D35E4" w14:textId="77777777" w:rsidR="009E722B" w:rsidRPr="006519BC" w:rsidRDefault="006519BC" w:rsidP="006519BC">
    <w:pPr>
      <w:pStyle w:val="a5"/>
      <w:pBdr>
        <w:top w:val="single" w:sz="4" w:space="1" w:color="auto"/>
        <w:between w:val="single" w:sz="4" w:space="0" w:color="auto"/>
      </w:pBdr>
      <w:spacing w:after="60"/>
      <w:jc w:val="center"/>
      <w:rPr>
        <w:rFonts w:ascii="FrankRuehl" w:hAnsi="FrankRuehl" w:cs="FrankRuehl"/>
        <w:color w:val="000000"/>
      </w:rPr>
    </w:pPr>
    <w:r w:rsidRPr="006519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AF39" w14:textId="77777777" w:rsidR="006519BC" w:rsidRDefault="006519BC" w:rsidP="006519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577B">
      <w:rPr>
        <w:rFonts w:ascii="FrankRuehl" w:hAnsi="FrankRuehl" w:cs="FrankRuehl"/>
        <w:noProof/>
        <w:rtl/>
      </w:rPr>
      <w:t>1</w:t>
    </w:r>
    <w:r>
      <w:rPr>
        <w:rFonts w:ascii="FrankRuehl" w:hAnsi="FrankRuehl" w:cs="FrankRuehl"/>
        <w:rtl/>
      </w:rPr>
      <w:fldChar w:fldCharType="end"/>
    </w:r>
  </w:p>
  <w:p w14:paraId="567209C1" w14:textId="77777777" w:rsidR="009E722B" w:rsidRPr="006519BC" w:rsidRDefault="006519BC" w:rsidP="006519BC">
    <w:pPr>
      <w:pStyle w:val="a5"/>
      <w:pBdr>
        <w:top w:val="single" w:sz="4" w:space="1" w:color="auto"/>
        <w:between w:val="single" w:sz="4" w:space="0" w:color="auto"/>
      </w:pBdr>
      <w:spacing w:after="60"/>
      <w:jc w:val="center"/>
      <w:rPr>
        <w:rFonts w:ascii="FrankRuehl" w:hAnsi="FrankRuehl" w:cs="FrankRuehl"/>
        <w:color w:val="000000"/>
      </w:rPr>
    </w:pPr>
    <w:r w:rsidRPr="006519BC">
      <w:rPr>
        <w:rFonts w:ascii="FrankRuehl" w:hAnsi="FrankRuehl" w:cs="FrankRuehl"/>
        <w:color w:val="000000"/>
      </w:rPr>
      <w:pict w14:anchorId="262D6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8AF30" w14:textId="77777777" w:rsidR="003C5488" w:rsidRDefault="003C5488" w:rsidP="00713664">
      <w:r>
        <w:separator/>
      </w:r>
    </w:p>
  </w:footnote>
  <w:footnote w:type="continuationSeparator" w:id="0">
    <w:p w14:paraId="7ED8D64A" w14:textId="77777777" w:rsidR="003C5488" w:rsidRDefault="003C5488" w:rsidP="00713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1EE87" w14:textId="77777777" w:rsidR="006311BA" w:rsidRPr="006519BC" w:rsidRDefault="006519BC" w:rsidP="006519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28847-09-20</w:t>
    </w:r>
    <w:r>
      <w:rPr>
        <w:rFonts w:ascii="David" w:hAnsi="David"/>
        <w:color w:val="000000"/>
        <w:sz w:val="22"/>
        <w:szCs w:val="22"/>
        <w:rtl/>
      </w:rPr>
      <w:tab/>
      <w:t xml:space="preserve"> מדינת ישראל נ' חנן יבלונקה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35863" w14:textId="77777777" w:rsidR="006311BA" w:rsidRPr="006519BC" w:rsidRDefault="006519BC" w:rsidP="006519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28847-09-20</w:t>
    </w:r>
    <w:r>
      <w:rPr>
        <w:rFonts w:ascii="David" w:hAnsi="David"/>
        <w:color w:val="000000"/>
        <w:sz w:val="22"/>
        <w:szCs w:val="22"/>
        <w:rtl/>
      </w:rPr>
      <w:tab/>
      <w:t xml:space="preserve"> מדינת ישראל נ' חנן יבלונקה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A127C"/>
    <w:multiLevelType w:val="hybridMultilevel"/>
    <w:tmpl w:val="15C0B59A"/>
    <w:lvl w:ilvl="0" w:tplc="EFBC93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82721"/>
    <w:multiLevelType w:val="hybridMultilevel"/>
    <w:tmpl w:val="92BA93CE"/>
    <w:lvl w:ilvl="0" w:tplc="9578996C">
      <w:start w:val="1"/>
      <w:numFmt w:val="decimal"/>
      <w:lvlText w:val="%1."/>
      <w:lvlJc w:val="left"/>
      <w:pPr>
        <w:ind w:left="360" w:hanging="360"/>
      </w:pPr>
      <w:rPr>
        <w:rFonts w:ascii="Arial" w:eastAsia="Times New Roman" w:hAnsi="Arial" w:cs="David"/>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963790F"/>
    <w:multiLevelType w:val="hybridMultilevel"/>
    <w:tmpl w:val="5302FE84"/>
    <w:lvl w:ilvl="0" w:tplc="F1446D8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8210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2389906">
    <w:abstractNumId w:val="2"/>
  </w:num>
  <w:num w:numId="3" w16cid:durableId="1147169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4A5F"/>
    <w:rsid w:val="00165F14"/>
    <w:rsid w:val="001B5A3B"/>
    <w:rsid w:val="00214954"/>
    <w:rsid w:val="00335492"/>
    <w:rsid w:val="003C5488"/>
    <w:rsid w:val="0062645B"/>
    <w:rsid w:val="006311BA"/>
    <w:rsid w:val="006519BC"/>
    <w:rsid w:val="00713664"/>
    <w:rsid w:val="00900A5E"/>
    <w:rsid w:val="009659EB"/>
    <w:rsid w:val="00991C39"/>
    <w:rsid w:val="009E722B"/>
    <w:rsid w:val="00AA577B"/>
    <w:rsid w:val="00AC4191"/>
    <w:rsid w:val="00D34A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B3D646"/>
  <w15:chartTrackingRefBased/>
  <w15:docId w15:val="{E27C74EF-D91A-4FA6-B5B1-2C77D14A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4A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4A5F"/>
    <w:pPr>
      <w:tabs>
        <w:tab w:val="center" w:pos="4153"/>
        <w:tab w:val="right" w:pos="8306"/>
      </w:tabs>
    </w:pPr>
  </w:style>
  <w:style w:type="character" w:customStyle="1" w:styleId="a4">
    <w:name w:val="כותרת עליונה תו"/>
    <w:link w:val="a3"/>
    <w:rsid w:val="00D34A5F"/>
    <w:rPr>
      <w:rFonts w:ascii="Times New Roman" w:eastAsia="Times New Roman" w:hAnsi="Times New Roman" w:cs="David"/>
      <w:sz w:val="24"/>
      <w:szCs w:val="24"/>
    </w:rPr>
  </w:style>
  <w:style w:type="paragraph" w:styleId="a5">
    <w:name w:val="footer"/>
    <w:basedOn w:val="a"/>
    <w:link w:val="a6"/>
    <w:rsid w:val="00D34A5F"/>
    <w:pPr>
      <w:tabs>
        <w:tab w:val="center" w:pos="4153"/>
        <w:tab w:val="right" w:pos="8306"/>
      </w:tabs>
    </w:pPr>
  </w:style>
  <w:style w:type="character" w:customStyle="1" w:styleId="a6">
    <w:name w:val="כותרת תחתונה תו"/>
    <w:link w:val="a5"/>
    <w:rsid w:val="00D34A5F"/>
    <w:rPr>
      <w:rFonts w:ascii="Times New Roman" w:eastAsia="Times New Roman" w:hAnsi="Times New Roman" w:cs="David"/>
      <w:sz w:val="24"/>
      <w:szCs w:val="24"/>
    </w:rPr>
  </w:style>
  <w:style w:type="table" w:styleId="a7">
    <w:name w:val="Table Grid"/>
    <w:basedOn w:val="a1"/>
    <w:rsid w:val="00D34A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4A5F"/>
  </w:style>
  <w:style w:type="paragraph" w:styleId="a9">
    <w:name w:val="List Paragraph"/>
    <w:basedOn w:val="a"/>
    <w:qFormat/>
    <w:rsid w:val="00D34A5F"/>
    <w:pPr>
      <w:ind w:left="720"/>
      <w:contextualSpacing/>
    </w:pPr>
  </w:style>
  <w:style w:type="character" w:styleId="Hyperlink">
    <w:name w:val="Hyperlink"/>
    <w:rsid w:val="006311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6039206" TargetMode="External"/><Relationship Id="rId3" Type="http://schemas.openxmlformats.org/officeDocument/2006/relationships/settings" Target="settings.xml"/><Relationship Id="rId21" Type="http://schemas.openxmlformats.org/officeDocument/2006/relationships/hyperlink" Target="http://www.nevo.co.il/case/27313460"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9.d" TargetMode="External"/><Relationship Id="rId17" Type="http://schemas.openxmlformats.org/officeDocument/2006/relationships/hyperlink" Target="http://www.nevo.co.il/law/4216/9.a.;9.d" TargetMode="External"/><Relationship Id="rId25" Type="http://schemas.openxmlformats.org/officeDocument/2006/relationships/hyperlink" Target="http://www.nevo.co.il/case/2608459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761580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9.a." TargetMode="External"/><Relationship Id="rId24" Type="http://schemas.openxmlformats.org/officeDocument/2006/relationships/hyperlink" Target="http://www.nevo.co.il/case/26112530"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307071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3827604"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4929127" TargetMode="External"/><Relationship Id="rId27" Type="http://schemas.openxmlformats.org/officeDocument/2006/relationships/hyperlink" Target="http://www.nevo.co.il/case/26209616"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2605</Words>
  <Characters>13025</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15599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3670132</vt:i4>
      </vt:variant>
      <vt:variant>
        <vt:i4>60</vt:i4>
      </vt:variant>
      <vt:variant>
        <vt:i4>0</vt:i4>
      </vt:variant>
      <vt:variant>
        <vt:i4>5</vt:i4>
      </vt:variant>
      <vt:variant>
        <vt:lpwstr>http://www.nevo.co.il/case/26209616</vt:lpwstr>
      </vt:variant>
      <vt:variant>
        <vt:lpwstr/>
      </vt:variant>
      <vt:variant>
        <vt:i4>3866739</vt:i4>
      </vt:variant>
      <vt:variant>
        <vt:i4>57</vt:i4>
      </vt:variant>
      <vt:variant>
        <vt:i4>0</vt:i4>
      </vt:variant>
      <vt:variant>
        <vt:i4>5</vt:i4>
      </vt:variant>
      <vt:variant>
        <vt:lpwstr>http://www.nevo.co.il/case/26039206</vt:lpwstr>
      </vt:variant>
      <vt:variant>
        <vt:lpwstr/>
      </vt:variant>
      <vt:variant>
        <vt:i4>4128895</vt:i4>
      </vt:variant>
      <vt:variant>
        <vt:i4>54</vt:i4>
      </vt:variant>
      <vt:variant>
        <vt:i4>0</vt:i4>
      </vt:variant>
      <vt:variant>
        <vt:i4>5</vt:i4>
      </vt:variant>
      <vt:variant>
        <vt:lpwstr>http://www.nevo.co.il/case/26084597</vt:lpwstr>
      </vt:variant>
      <vt:variant>
        <vt:lpwstr/>
      </vt:variant>
      <vt:variant>
        <vt:i4>3276918</vt:i4>
      </vt:variant>
      <vt:variant>
        <vt:i4>51</vt:i4>
      </vt:variant>
      <vt:variant>
        <vt:i4>0</vt:i4>
      </vt:variant>
      <vt:variant>
        <vt:i4>5</vt:i4>
      </vt:variant>
      <vt:variant>
        <vt:lpwstr>http://www.nevo.co.il/case/26112530</vt:lpwstr>
      </vt:variant>
      <vt:variant>
        <vt:lpwstr/>
      </vt:variant>
      <vt:variant>
        <vt:i4>3145847</vt:i4>
      </vt:variant>
      <vt:variant>
        <vt:i4>48</vt:i4>
      </vt:variant>
      <vt:variant>
        <vt:i4>0</vt:i4>
      </vt:variant>
      <vt:variant>
        <vt:i4>5</vt:i4>
      </vt:variant>
      <vt:variant>
        <vt:lpwstr>http://www.nevo.co.il/case/13070717</vt:lpwstr>
      </vt:variant>
      <vt:variant>
        <vt:lpwstr/>
      </vt:variant>
      <vt:variant>
        <vt:i4>3145843</vt:i4>
      </vt:variant>
      <vt:variant>
        <vt:i4>45</vt:i4>
      </vt:variant>
      <vt:variant>
        <vt:i4>0</vt:i4>
      </vt:variant>
      <vt:variant>
        <vt:i4>5</vt:i4>
      </vt:variant>
      <vt:variant>
        <vt:lpwstr>http://www.nevo.co.il/case/24929127</vt:lpwstr>
      </vt:variant>
      <vt:variant>
        <vt:lpwstr/>
      </vt:variant>
      <vt:variant>
        <vt:i4>3407990</vt:i4>
      </vt:variant>
      <vt:variant>
        <vt:i4>42</vt:i4>
      </vt:variant>
      <vt:variant>
        <vt:i4>0</vt:i4>
      </vt:variant>
      <vt:variant>
        <vt:i4>5</vt:i4>
      </vt:variant>
      <vt:variant>
        <vt:lpwstr>http://www.nevo.co.il/case/27313460</vt:lpwstr>
      </vt:variant>
      <vt:variant>
        <vt:lpwstr/>
      </vt:variant>
      <vt:variant>
        <vt:i4>3211386</vt:i4>
      </vt:variant>
      <vt:variant>
        <vt:i4>39</vt:i4>
      </vt:variant>
      <vt:variant>
        <vt:i4>0</vt:i4>
      </vt:variant>
      <vt:variant>
        <vt:i4>5</vt:i4>
      </vt:variant>
      <vt:variant>
        <vt:lpwstr>http://www.nevo.co.il/case/27615803</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5177418</vt:i4>
      </vt:variant>
      <vt:variant>
        <vt:i4>33</vt:i4>
      </vt:variant>
      <vt:variant>
        <vt:i4>0</vt:i4>
      </vt:variant>
      <vt:variant>
        <vt:i4>5</vt:i4>
      </vt:variant>
      <vt:variant>
        <vt:lpwstr>http://www.nevo.co.il/law/4216/10</vt:lpwstr>
      </vt:variant>
      <vt:variant>
        <vt:lpwstr/>
      </vt:variant>
      <vt:variant>
        <vt:i4>3342451</vt:i4>
      </vt:variant>
      <vt:variant>
        <vt:i4>30</vt:i4>
      </vt:variant>
      <vt:variant>
        <vt:i4>0</vt:i4>
      </vt:variant>
      <vt:variant>
        <vt:i4>5</vt:i4>
      </vt:variant>
      <vt:variant>
        <vt:lpwstr>http://www.nevo.co.il/law/4216/9.a.;9.d</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28847</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חנן יבלונקה </vt:lpwstr>
  </property>
  <property fmtid="{D5CDD505-2E9C-101B-9397-08002B2CF9AE}" pid="10" name="LAWYER">
    <vt:lpwstr>ענת בן זאב;שלי קוטין;דוד בוחבוט</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20210912</vt:lpwstr>
  </property>
  <property fmtid="{D5CDD505-2E9C-101B-9397-08002B2CF9AE}" pid="14" name="TYPE_N_DATE">
    <vt:lpwstr>39020210912</vt:lpwstr>
  </property>
  <property fmtid="{D5CDD505-2E9C-101B-9397-08002B2CF9AE}" pid="15" name="WORDNUMPAGES">
    <vt:lpwstr>7</vt:lpwstr>
  </property>
  <property fmtid="{D5CDD505-2E9C-101B-9397-08002B2CF9AE}" pid="16" name="TYPE_ABS_DATE">
    <vt:lpwstr>390020210912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23827604;27615803;27313460;24929127;13070717;26112530;26084597;26039206;26209616</vt:lpwstr>
  </property>
  <property fmtid="{D5CDD505-2E9C-101B-9397-08002B2CF9AE}" pid="36" name="LAWLISTTMP1">
    <vt:lpwstr>4216/006;007.a;007.c;009.a;009.d;010</vt:lpwstr>
  </property>
</Properties>
</file>