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87529" w:rsidRPr="00AD4E5B" w14:paraId="443FFF07" w14:textId="77777777" w:rsidTr="00A743DC">
        <w:trPr>
          <w:trHeight w:hRule="exact" w:val="418"/>
          <w:jc w:val="center"/>
        </w:trPr>
        <w:tc>
          <w:tcPr>
            <w:tcW w:w="8721" w:type="dxa"/>
            <w:gridSpan w:val="2"/>
          </w:tcPr>
          <w:p w14:paraId="3DD234CA" w14:textId="77777777" w:rsidR="00487529" w:rsidRPr="00AD4E5B" w:rsidRDefault="00487529" w:rsidP="00621E8E">
            <w:pPr>
              <w:pStyle w:val="a3"/>
              <w:jc w:val="center"/>
              <w:rPr>
                <w:rFonts w:ascii="Tahoma" w:hAnsi="Tahoma" w:cs="Tahoma"/>
                <w:color w:val="000080"/>
                <w:rtl/>
              </w:rPr>
            </w:pPr>
            <w:bookmarkStart w:id="0" w:name="LastJudge"/>
            <w:r w:rsidRPr="00AD4E5B">
              <w:rPr>
                <w:rFonts w:ascii="Tahoma" w:hAnsi="Tahoma" w:cs="Tahoma"/>
                <w:b/>
                <w:bCs/>
                <w:color w:val="000080"/>
                <w:rtl/>
              </w:rPr>
              <w:t>בית המשפט המחוזי מרכז-לוד</w:t>
            </w:r>
          </w:p>
        </w:tc>
      </w:tr>
      <w:tr w:rsidR="00487529" w:rsidRPr="00AD4E5B" w14:paraId="0253C293" w14:textId="77777777" w:rsidTr="00A743DC">
        <w:trPr>
          <w:trHeight w:val="337"/>
          <w:jc w:val="center"/>
        </w:trPr>
        <w:tc>
          <w:tcPr>
            <w:tcW w:w="5057" w:type="dxa"/>
          </w:tcPr>
          <w:p w14:paraId="66277A9E" w14:textId="77777777" w:rsidR="00487529" w:rsidRPr="00AD4E5B" w:rsidRDefault="00487529" w:rsidP="00621E8E">
            <w:pPr>
              <w:rPr>
                <w:rFonts w:cs="FrankRuehl"/>
                <w:sz w:val="28"/>
                <w:szCs w:val="28"/>
                <w:rtl/>
              </w:rPr>
            </w:pPr>
            <w:r w:rsidRPr="00AD4E5B">
              <w:rPr>
                <w:rFonts w:cs="FrankRuehl"/>
                <w:sz w:val="28"/>
                <w:szCs w:val="28"/>
                <w:rtl/>
              </w:rPr>
              <w:t>ת"פ</w:t>
            </w:r>
            <w:r w:rsidRPr="00AD4E5B">
              <w:rPr>
                <w:rFonts w:cs="FrankRuehl" w:hint="cs"/>
                <w:sz w:val="28"/>
                <w:szCs w:val="28"/>
                <w:rtl/>
              </w:rPr>
              <w:t xml:space="preserve"> </w:t>
            </w:r>
            <w:r w:rsidRPr="00AD4E5B">
              <w:rPr>
                <w:rFonts w:cs="FrankRuehl"/>
                <w:sz w:val="28"/>
                <w:szCs w:val="28"/>
                <w:rtl/>
              </w:rPr>
              <w:t>10810-11-20</w:t>
            </w:r>
            <w:r w:rsidRPr="00AD4E5B">
              <w:rPr>
                <w:rFonts w:cs="FrankRuehl" w:hint="cs"/>
                <w:sz w:val="28"/>
                <w:szCs w:val="28"/>
                <w:rtl/>
              </w:rPr>
              <w:t xml:space="preserve"> </w:t>
            </w:r>
            <w:r w:rsidRPr="00AD4E5B">
              <w:rPr>
                <w:rFonts w:cs="FrankRuehl"/>
                <w:sz w:val="28"/>
                <w:szCs w:val="28"/>
                <w:rtl/>
              </w:rPr>
              <w:t>מדינת ישראל נ' עיסא(עציר)</w:t>
            </w:r>
          </w:p>
          <w:p w14:paraId="1397FFC1" w14:textId="77777777" w:rsidR="00487529" w:rsidRPr="00AD4E5B" w:rsidRDefault="00487529" w:rsidP="00621E8E">
            <w:pPr>
              <w:pStyle w:val="a3"/>
              <w:rPr>
                <w:rFonts w:cs="FrankRuehl"/>
                <w:sz w:val="28"/>
                <w:szCs w:val="28"/>
                <w:rtl/>
              </w:rPr>
            </w:pPr>
          </w:p>
        </w:tc>
        <w:tc>
          <w:tcPr>
            <w:tcW w:w="3664" w:type="dxa"/>
          </w:tcPr>
          <w:p w14:paraId="493B485C" w14:textId="77777777" w:rsidR="00487529" w:rsidRPr="00AD4E5B" w:rsidRDefault="00487529" w:rsidP="00621E8E">
            <w:pPr>
              <w:pStyle w:val="a3"/>
              <w:jc w:val="right"/>
              <w:rPr>
                <w:rFonts w:cs="FrankRuehl"/>
                <w:sz w:val="28"/>
                <w:szCs w:val="28"/>
                <w:rtl/>
              </w:rPr>
            </w:pPr>
          </w:p>
        </w:tc>
      </w:tr>
    </w:tbl>
    <w:p w14:paraId="625C2A03" w14:textId="77777777" w:rsidR="00487529" w:rsidRPr="00AD4E5B" w:rsidRDefault="00487529" w:rsidP="00487529">
      <w:pPr>
        <w:pStyle w:val="a3"/>
        <w:rPr>
          <w:rtl/>
        </w:rPr>
      </w:pPr>
      <w:r w:rsidRPr="00AD4E5B">
        <w:rPr>
          <w:rFonts w:hint="cs"/>
          <w:rtl/>
        </w:rPr>
        <w:t xml:space="preserve"> </w:t>
      </w:r>
    </w:p>
    <w:p w14:paraId="04C4A02B" w14:textId="77777777" w:rsidR="00487529" w:rsidRPr="00AD4E5B" w:rsidRDefault="00487529" w:rsidP="00487529">
      <w:pPr>
        <w:rPr>
          <w:sz w:val="26"/>
          <w:szCs w:val="26"/>
          <w:rtl/>
        </w:rPr>
      </w:pPr>
    </w:p>
    <w:p w14:paraId="06414B65" w14:textId="77777777" w:rsidR="00487529" w:rsidRPr="00AD4E5B" w:rsidRDefault="00487529" w:rsidP="00487529">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87529" w:rsidRPr="00AD4E5B" w14:paraId="28133D4B" w14:textId="77777777" w:rsidTr="00487529">
        <w:trPr>
          <w:trHeight w:val="295"/>
          <w:jc w:val="center"/>
        </w:trPr>
        <w:tc>
          <w:tcPr>
            <w:tcW w:w="923" w:type="dxa"/>
            <w:tcBorders>
              <w:top w:val="nil"/>
              <w:left w:val="nil"/>
              <w:bottom w:val="nil"/>
              <w:right w:val="nil"/>
            </w:tcBorders>
            <w:shd w:val="clear" w:color="auto" w:fill="auto"/>
          </w:tcPr>
          <w:p w14:paraId="11F616E5" w14:textId="77777777" w:rsidR="00487529" w:rsidRPr="00AD4E5B" w:rsidRDefault="00487529" w:rsidP="00487529">
            <w:pPr>
              <w:jc w:val="both"/>
              <w:rPr>
                <w:rFonts w:ascii="David" w:hAnsi="David"/>
                <w:sz w:val="26"/>
                <w:szCs w:val="26"/>
              </w:rPr>
            </w:pPr>
            <w:r w:rsidRPr="00AD4E5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8D90152" w14:textId="77777777" w:rsidR="00487529" w:rsidRPr="00AD4E5B" w:rsidRDefault="00487529" w:rsidP="00621E8E">
            <w:pPr>
              <w:rPr>
                <w:rFonts w:ascii="David" w:hAnsi="David"/>
                <w:b/>
                <w:bCs/>
                <w:sz w:val="26"/>
                <w:szCs w:val="26"/>
                <w:rtl/>
              </w:rPr>
            </w:pPr>
            <w:r w:rsidRPr="00AD4E5B">
              <w:rPr>
                <w:rFonts w:ascii="David" w:hAnsi="David"/>
                <w:b/>
                <w:bCs/>
                <w:sz w:val="26"/>
                <w:szCs w:val="26"/>
                <w:rtl/>
              </w:rPr>
              <w:t>כבוד השופטת  דנה מרשק מרום</w:t>
            </w:r>
          </w:p>
          <w:p w14:paraId="28146E1F" w14:textId="77777777" w:rsidR="00487529" w:rsidRPr="00AD4E5B" w:rsidRDefault="00487529" w:rsidP="00621E8E">
            <w:pPr>
              <w:rPr>
                <w:rFonts w:ascii="David" w:hAnsi="David"/>
                <w:sz w:val="26"/>
                <w:szCs w:val="26"/>
                <w:rtl/>
              </w:rPr>
            </w:pPr>
          </w:p>
          <w:p w14:paraId="32D1721B" w14:textId="77777777" w:rsidR="00487529" w:rsidRPr="00AD4E5B" w:rsidRDefault="00487529" w:rsidP="00487529">
            <w:pPr>
              <w:jc w:val="both"/>
              <w:rPr>
                <w:rFonts w:ascii="David" w:hAnsi="David"/>
                <w:sz w:val="26"/>
                <w:szCs w:val="26"/>
              </w:rPr>
            </w:pPr>
          </w:p>
        </w:tc>
      </w:tr>
      <w:tr w:rsidR="00487529" w:rsidRPr="00AD4E5B" w14:paraId="1CF601D2" w14:textId="77777777" w:rsidTr="00487529">
        <w:trPr>
          <w:trHeight w:val="355"/>
          <w:jc w:val="center"/>
        </w:trPr>
        <w:tc>
          <w:tcPr>
            <w:tcW w:w="923" w:type="dxa"/>
            <w:tcBorders>
              <w:top w:val="nil"/>
              <w:left w:val="nil"/>
              <w:bottom w:val="nil"/>
              <w:right w:val="nil"/>
            </w:tcBorders>
            <w:shd w:val="clear" w:color="auto" w:fill="auto"/>
          </w:tcPr>
          <w:p w14:paraId="052324AA" w14:textId="77777777" w:rsidR="00487529" w:rsidRPr="00AD4E5B" w:rsidRDefault="00487529" w:rsidP="00487529">
            <w:pPr>
              <w:jc w:val="both"/>
              <w:rPr>
                <w:rFonts w:ascii="David" w:hAnsi="David"/>
                <w:sz w:val="26"/>
                <w:szCs w:val="26"/>
              </w:rPr>
            </w:pPr>
            <w:bookmarkStart w:id="1" w:name="FirstAppellant"/>
            <w:bookmarkStart w:id="2" w:name="FirstLawyer"/>
            <w:r w:rsidRPr="00AD4E5B">
              <w:rPr>
                <w:rFonts w:ascii="David" w:hAnsi="David"/>
                <w:sz w:val="26"/>
                <w:szCs w:val="26"/>
                <w:rtl/>
              </w:rPr>
              <w:t>בעניין:</w:t>
            </w:r>
          </w:p>
        </w:tc>
        <w:tc>
          <w:tcPr>
            <w:tcW w:w="4126" w:type="dxa"/>
            <w:tcBorders>
              <w:top w:val="nil"/>
              <w:left w:val="nil"/>
              <w:bottom w:val="nil"/>
              <w:right w:val="nil"/>
            </w:tcBorders>
            <w:shd w:val="clear" w:color="auto" w:fill="auto"/>
          </w:tcPr>
          <w:p w14:paraId="30424D00" w14:textId="77777777" w:rsidR="00487529" w:rsidRPr="00AD4E5B" w:rsidRDefault="00487529" w:rsidP="00621E8E">
            <w:pPr>
              <w:rPr>
                <w:rFonts w:ascii="David" w:hAnsi="David"/>
                <w:sz w:val="26"/>
                <w:szCs w:val="26"/>
              </w:rPr>
            </w:pPr>
            <w:r w:rsidRPr="00AD4E5B">
              <w:rPr>
                <w:rFonts w:ascii="David" w:hAnsi="David"/>
                <w:sz w:val="26"/>
                <w:szCs w:val="26"/>
                <w:rtl/>
              </w:rPr>
              <w:t xml:space="preserve">מדינת ישראל – באמצעות </w:t>
            </w:r>
            <w:r w:rsidRPr="00AD4E5B">
              <w:rPr>
                <w:rFonts w:ascii="David" w:hAnsi="David" w:hint="cs"/>
                <w:sz w:val="26"/>
                <w:szCs w:val="26"/>
                <w:rtl/>
              </w:rPr>
              <w:t>פמ"מ וע"י עו"ד שחף קליינמן</w:t>
            </w:r>
          </w:p>
        </w:tc>
        <w:tc>
          <w:tcPr>
            <w:tcW w:w="3771" w:type="dxa"/>
            <w:tcBorders>
              <w:top w:val="nil"/>
              <w:left w:val="nil"/>
              <w:bottom w:val="nil"/>
              <w:right w:val="nil"/>
            </w:tcBorders>
            <w:shd w:val="clear" w:color="auto" w:fill="auto"/>
          </w:tcPr>
          <w:p w14:paraId="7A90B829" w14:textId="77777777" w:rsidR="00487529" w:rsidRPr="00AD4E5B" w:rsidRDefault="00487529" w:rsidP="00487529">
            <w:pPr>
              <w:jc w:val="both"/>
              <w:rPr>
                <w:rFonts w:ascii="David" w:hAnsi="David"/>
                <w:sz w:val="26"/>
                <w:szCs w:val="26"/>
              </w:rPr>
            </w:pPr>
          </w:p>
        </w:tc>
      </w:tr>
      <w:bookmarkEnd w:id="1"/>
      <w:bookmarkEnd w:id="2"/>
      <w:tr w:rsidR="00487529" w:rsidRPr="00AD4E5B" w14:paraId="6DCA9FC2" w14:textId="77777777" w:rsidTr="00487529">
        <w:trPr>
          <w:trHeight w:val="355"/>
          <w:jc w:val="center"/>
        </w:trPr>
        <w:tc>
          <w:tcPr>
            <w:tcW w:w="923" w:type="dxa"/>
            <w:tcBorders>
              <w:top w:val="nil"/>
              <w:left w:val="nil"/>
              <w:bottom w:val="nil"/>
              <w:right w:val="nil"/>
            </w:tcBorders>
            <w:shd w:val="clear" w:color="auto" w:fill="auto"/>
          </w:tcPr>
          <w:p w14:paraId="24B091C2" w14:textId="77777777" w:rsidR="00487529" w:rsidRPr="00AD4E5B" w:rsidRDefault="00487529" w:rsidP="00487529">
            <w:pPr>
              <w:jc w:val="both"/>
              <w:rPr>
                <w:rFonts w:ascii="David" w:hAnsi="David"/>
                <w:sz w:val="26"/>
                <w:szCs w:val="26"/>
                <w:rtl/>
              </w:rPr>
            </w:pPr>
          </w:p>
        </w:tc>
        <w:tc>
          <w:tcPr>
            <w:tcW w:w="4126" w:type="dxa"/>
            <w:tcBorders>
              <w:top w:val="nil"/>
              <w:left w:val="nil"/>
              <w:bottom w:val="nil"/>
              <w:right w:val="nil"/>
            </w:tcBorders>
            <w:shd w:val="clear" w:color="auto" w:fill="auto"/>
          </w:tcPr>
          <w:p w14:paraId="24D4895C" w14:textId="77777777" w:rsidR="00487529" w:rsidRPr="00AD4E5B" w:rsidRDefault="00487529" w:rsidP="00487529">
            <w:pPr>
              <w:jc w:val="both"/>
              <w:rPr>
                <w:rFonts w:ascii="David" w:hAnsi="David"/>
                <w:sz w:val="26"/>
                <w:szCs w:val="26"/>
                <w:rtl/>
              </w:rPr>
            </w:pPr>
          </w:p>
        </w:tc>
        <w:tc>
          <w:tcPr>
            <w:tcW w:w="3771" w:type="dxa"/>
            <w:tcBorders>
              <w:top w:val="nil"/>
              <w:left w:val="nil"/>
              <w:bottom w:val="nil"/>
              <w:right w:val="nil"/>
            </w:tcBorders>
            <w:shd w:val="clear" w:color="auto" w:fill="auto"/>
          </w:tcPr>
          <w:p w14:paraId="08A645A6" w14:textId="77777777" w:rsidR="00487529" w:rsidRPr="00AD4E5B" w:rsidRDefault="00487529" w:rsidP="00487529">
            <w:pPr>
              <w:jc w:val="right"/>
              <w:rPr>
                <w:rFonts w:ascii="David" w:hAnsi="David"/>
                <w:sz w:val="26"/>
                <w:szCs w:val="26"/>
                <w:rtl/>
              </w:rPr>
            </w:pPr>
            <w:r w:rsidRPr="00AD4E5B">
              <w:rPr>
                <w:rFonts w:ascii="David" w:hAnsi="David"/>
                <w:sz w:val="26"/>
                <w:szCs w:val="26"/>
                <w:rtl/>
              </w:rPr>
              <w:t>המאשימה</w:t>
            </w:r>
          </w:p>
        </w:tc>
      </w:tr>
      <w:tr w:rsidR="00487529" w:rsidRPr="00AD4E5B" w14:paraId="3A3F5A26" w14:textId="77777777" w:rsidTr="00487529">
        <w:trPr>
          <w:trHeight w:val="355"/>
          <w:jc w:val="center"/>
        </w:trPr>
        <w:tc>
          <w:tcPr>
            <w:tcW w:w="923" w:type="dxa"/>
            <w:tcBorders>
              <w:top w:val="nil"/>
              <w:left w:val="nil"/>
              <w:bottom w:val="nil"/>
              <w:right w:val="nil"/>
            </w:tcBorders>
            <w:shd w:val="clear" w:color="auto" w:fill="auto"/>
          </w:tcPr>
          <w:p w14:paraId="115FC6FF" w14:textId="77777777" w:rsidR="00487529" w:rsidRPr="00AD4E5B" w:rsidRDefault="00487529" w:rsidP="0048752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261DF4F" w14:textId="77777777" w:rsidR="00487529" w:rsidRPr="00AD4E5B" w:rsidRDefault="00487529" w:rsidP="00487529">
            <w:pPr>
              <w:jc w:val="center"/>
              <w:rPr>
                <w:rFonts w:ascii="David" w:hAnsi="David"/>
                <w:b/>
                <w:bCs/>
                <w:sz w:val="26"/>
                <w:szCs w:val="26"/>
                <w:rtl/>
              </w:rPr>
            </w:pPr>
            <w:r w:rsidRPr="00AD4E5B">
              <w:rPr>
                <w:rFonts w:ascii="David" w:hAnsi="David"/>
                <w:b/>
                <w:bCs/>
                <w:sz w:val="26"/>
                <w:szCs w:val="26"/>
                <w:rtl/>
              </w:rPr>
              <w:t>נגד</w:t>
            </w:r>
          </w:p>
          <w:p w14:paraId="1FC095CB" w14:textId="77777777" w:rsidR="00487529" w:rsidRPr="00AD4E5B" w:rsidRDefault="00487529" w:rsidP="00487529">
            <w:pPr>
              <w:jc w:val="both"/>
              <w:rPr>
                <w:rFonts w:ascii="David" w:hAnsi="David"/>
                <w:sz w:val="26"/>
                <w:szCs w:val="26"/>
              </w:rPr>
            </w:pPr>
          </w:p>
        </w:tc>
      </w:tr>
      <w:tr w:rsidR="00487529" w:rsidRPr="00AD4E5B" w14:paraId="11D1C1E9" w14:textId="77777777" w:rsidTr="00487529">
        <w:trPr>
          <w:trHeight w:val="355"/>
          <w:jc w:val="center"/>
        </w:trPr>
        <w:tc>
          <w:tcPr>
            <w:tcW w:w="923" w:type="dxa"/>
            <w:tcBorders>
              <w:top w:val="nil"/>
              <w:left w:val="nil"/>
              <w:bottom w:val="nil"/>
              <w:right w:val="nil"/>
            </w:tcBorders>
            <w:shd w:val="clear" w:color="auto" w:fill="auto"/>
          </w:tcPr>
          <w:p w14:paraId="2B722FA2" w14:textId="77777777" w:rsidR="00487529" w:rsidRPr="00AD4E5B" w:rsidRDefault="00487529" w:rsidP="00621E8E">
            <w:pPr>
              <w:rPr>
                <w:rFonts w:ascii="David" w:hAnsi="David"/>
                <w:sz w:val="26"/>
                <w:szCs w:val="26"/>
                <w:rtl/>
              </w:rPr>
            </w:pPr>
          </w:p>
        </w:tc>
        <w:tc>
          <w:tcPr>
            <w:tcW w:w="4126" w:type="dxa"/>
            <w:tcBorders>
              <w:top w:val="nil"/>
              <w:left w:val="nil"/>
              <w:bottom w:val="nil"/>
              <w:right w:val="nil"/>
            </w:tcBorders>
            <w:shd w:val="clear" w:color="auto" w:fill="auto"/>
          </w:tcPr>
          <w:p w14:paraId="569A2CCC" w14:textId="77777777" w:rsidR="00487529" w:rsidRPr="00AD4E5B" w:rsidRDefault="00487529" w:rsidP="00621E8E">
            <w:pPr>
              <w:rPr>
                <w:rFonts w:ascii="David" w:hAnsi="David"/>
                <w:sz w:val="26"/>
                <w:szCs w:val="26"/>
                <w:rtl/>
              </w:rPr>
            </w:pPr>
            <w:r w:rsidRPr="00AD4E5B">
              <w:rPr>
                <w:rFonts w:ascii="David" w:hAnsi="David"/>
                <w:sz w:val="26"/>
                <w:szCs w:val="26"/>
                <w:rtl/>
              </w:rPr>
              <w:t>חסן אמיר עיסא (עציר) – ע"</w:t>
            </w:r>
            <w:r w:rsidRPr="00AD4E5B">
              <w:rPr>
                <w:rFonts w:ascii="David" w:hAnsi="David" w:hint="cs"/>
                <w:sz w:val="26"/>
                <w:szCs w:val="26"/>
                <w:rtl/>
              </w:rPr>
              <w:t>י עו"ד דוד ונטורה</w:t>
            </w:r>
          </w:p>
        </w:tc>
        <w:tc>
          <w:tcPr>
            <w:tcW w:w="3771" w:type="dxa"/>
            <w:tcBorders>
              <w:top w:val="nil"/>
              <w:left w:val="nil"/>
              <w:bottom w:val="nil"/>
              <w:right w:val="nil"/>
            </w:tcBorders>
            <w:shd w:val="clear" w:color="auto" w:fill="auto"/>
          </w:tcPr>
          <w:p w14:paraId="73B56ADE" w14:textId="77777777" w:rsidR="00487529" w:rsidRPr="00AD4E5B" w:rsidRDefault="00487529" w:rsidP="00487529">
            <w:pPr>
              <w:jc w:val="right"/>
              <w:rPr>
                <w:rFonts w:ascii="David" w:hAnsi="David"/>
                <w:sz w:val="26"/>
                <w:szCs w:val="26"/>
              </w:rPr>
            </w:pPr>
          </w:p>
        </w:tc>
      </w:tr>
      <w:tr w:rsidR="00487529" w:rsidRPr="00AD4E5B" w14:paraId="19AE2687" w14:textId="77777777" w:rsidTr="00487529">
        <w:trPr>
          <w:trHeight w:val="355"/>
          <w:jc w:val="center"/>
        </w:trPr>
        <w:tc>
          <w:tcPr>
            <w:tcW w:w="923" w:type="dxa"/>
            <w:tcBorders>
              <w:top w:val="nil"/>
              <w:left w:val="nil"/>
              <w:bottom w:val="nil"/>
              <w:right w:val="nil"/>
            </w:tcBorders>
            <w:shd w:val="clear" w:color="auto" w:fill="auto"/>
          </w:tcPr>
          <w:p w14:paraId="3708B37A" w14:textId="77777777" w:rsidR="00487529" w:rsidRPr="00AD4E5B" w:rsidRDefault="00487529" w:rsidP="00487529">
            <w:pPr>
              <w:jc w:val="both"/>
              <w:rPr>
                <w:rFonts w:ascii="David" w:hAnsi="David"/>
                <w:sz w:val="26"/>
                <w:szCs w:val="26"/>
                <w:rtl/>
              </w:rPr>
            </w:pPr>
          </w:p>
        </w:tc>
        <w:tc>
          <w:tcPr>
            <w:tcW w:w="4126" w:type="dxa"/>
            <w:tcBorders>
              <w:top w:val="nil"/>
              <w:left w:val="nil"/>
              <w:bottom w:val="nil"/>
              <w:right w:val="nil"/>
            </w:tcBorders>
            <w:shd w:val="clear" w:color="auto" w:fill="auto"/>
          </w:tcPr>
          <w:p w14:paraId="63DA331F" w14:textId="77777777" w:rsidR="00487529" w:rsidRPr="00AD4E5B" w:rsidRDefault="00487529" w:rsidP="00487529">
            <w:pPr>
              <w:jc w:val="both"/>
              <w:rPr>
                <w:rFonts w:ascii="David" w:hAnsi="David"/>
                <w:sz w:val="26"/>
                <w:szCs w:val="26"/>
                <w:rtl/>
              </w:rPr>
            </w:pPr>
          </w:p>
        </w:tc>
        <w:tc>
          <w:tcPr>
            <w:tcW w:w="3771" w:type="dxa"/>
            <w:tcBorders>
              <w:top w:val="nil"/>
              <w:left w:val="nil"/>
              <w:bottom w:val="nil"/>
              <w:right w:val="nil"/>
            </w:tcBorders>
            <w:shd w:val="clear" w:color="auto" w:fill="auto"/>
          </w:tcPr>
          <w:p w14:paraId="44E82A5E" w14:textId="77777777" w:rsidR="00487529" w:rsidRPr="00AD4E5B" w:rsidRDefault="00487529" w:rsidP="00487529">
            <w:pPr>
              <w:jc w:val="right"/>
              <w:rPr>
                <w:rFonts w:ascii="David" w:hAnsi="David"/>
                <w:sz w:val="26"/>
                <w:szCs w:val="26"/>
              </w:rPr>
            </w:pPr>
            <w:r w:rsidRPr="00AD4E5B">
              <w:rPr>
                <w:rFonts w:ascii="David" w:hAnsi="David"/>
                <w:sz w:val="26"/>
                <w:szCs w:val="26"/>
                <w:rtl/>
              </w:rPr>
              <w:t>הנאשם</w:t>
            </w:r>
          </w:p>
        </w:tc>
      </w:tr>
    </w:tbl>
    <w:p w14:paraId="4908BC5E" w14:textId="77777777" w:rsidR="00487529" w:rsidRPr="00AD4E5B" w:rsidRDefault="00487529" w:rsidP="00487529">
      <w:pPr>
        <w:rPr>
          <w:sz w:val="26"/>
          <w:szCs w:val="26"/>
        </w:rPr>
      </w:pPr>
    </w:p>
    <w:p w14:paraId="6F2F4C3F" w14:textId="77777777" w:rsidR="00D92A7E" w:rsidRDefault="00D92A7E" w:rsidP="00D92A7E">
      <w:pPr>
        <w:rPr>
          <w:rFonts w:ascii="David" w:hAnsi="David"/>
          <w:sz w:val="26"/>
          <w:szCs w:val="26"/>
          <w:rtl/>
        </w:rPr>
      </w:pPr>
      <w:bookmarkStart w:id="3" w:name="LawTable"/>
      <w:bookmarkEnd w:id="3"/>
    </w:p>
    <w:p w14:paraId="048CEE86" w14:textId="77777777" w:rsidR="00D92A7E" w:rsidRPr="00D92A7E" w:rsidRDefault="00D92A7E" w:rsidP="00D92A7E">
      <w:pPr>
        <w:spacing w:before="120" w:after="120" w:line="240" w:lineRule="exact"/>
        <w:ind w:left="283" w:hanging="283"/>
        <w:jc w:val="both"/>
        <w:rPr>
          <w:rFonts w:ascii="FrankRuehl" w:hAnsi="FrankRuehl" w:cs="FrankRuehl"/>
          <w:rtl/>
        </w:rPr>
      </w:pPr>
    </w:p>
    <w:p w14:paraId="2DA731DE" w14:textId="77777777" w:rsidR="00D92A7E" w:rsidRPr="00D92A7E" w:rsidRDefault="00D92A7E" w:rsidP="00D92A7E">
      <w:pPr>
        <w:spacing w:before="120" w:after="120" w:line="240" w:lineRule="exact"/>
        <w:ind w:left="283" w:hanging="283"/>
        <w:jc w:val="both"/>
        <w:rPr>
          <w:rFonts w:ascii="FrankRuehl" w:hAnsi="FrankRuehl" w:cs="FrankRuehl"/>
          <w:rtl/>
        </w:rPr>
      </w:pPr>
    </w:p>
    <w:p w14:paraId="0230EB6B" w14:textId="77777777" w:rsidR="00D92A7E" w:rsidRPr="00D92A7E" w:rsidRDefault="00D92A7E" w:rsidP="00D92A7E">
      <w:pPr>
        <w:spacing w:before="120" w:after="120" w:line="240" w:lineRule="exact"/>
        <w:ind w:left="283" w:hanging="283"/>
        <w:jc w:val="both"/>
        <w:rPr>
          <w:rFonts w:ascii="FrankRuehl" w:hAnsi="FrankRuehl" w:cs="FrankRuehl"/>
          <w:rtl/>
        </w:rPr>
      </w:pPr>
      <w:r w:rsidRPr="00D92A7E">
        <w:rPr>
          <w:rFonts w:ascii="FrankRuehl" w:hAnsi="FrankRuehl" w:cs="FrankRuehl"/>
          <w:rtl/>
        </w:rPr>
        <w:t xml:space="preserve">חקיקה שאוזכרה: </w:t>
      </w:r>
    </w:p>
    <w:p w14:paraId="29C40C37" w14:textId="77777777" w:rsidR="00D92A7E" w:rsidRPr="00D92A7E" w:rsidRDefault="00D92A7E" w:rsidP="00D92A7E">
      <w:pPr>
        <w:spacing w:before="120" w:after="120" w:line="240" w:lineRule="exact"/>
        <w:ind w:left="283" w:hanging="283"/>
        <w:jc w:val="both"/>
        <w:rPr>
          <w:rFonts w:ascii="FrankRuehl" w:hAnsi="FrankRuehl" w:cs="FrankRuehl"/>
          <w:rtl/>
        </w:rPr>
      </w:pPr>
      <w:hyperlink r:id="rId7" w:history="1">
        <w:r w:rsidRPr="00D92A7E">
          <w:rPr>
            <w:rFonts w:ascii="FrankRuehl" w:hAnsi="FrankRuehl" w:cs="FrankRuehl"/>
            <w:color w:val="0000FF"/>
            <w:rtl/>
          </w:rPr>
          <w:t>פקודת הסמים המסוכנים [נוסח חדש], תשל"ג-1973</w:t>
        </w:r>
      </w:hyperlink>
      <w:r w:rsidRPr="00D92A7E">
        <w:rPr>
          <w:rFonts w:ascii="FrankRuehl" w:hAnsi="FrankRuehl" w:cs="FrankRuehl"/>
          <w:rtl/>
        </w:rPr>
        <w:t xml:space="preserve">: סע'  </w:t>
      </w:r>
      <w:hyperlink r:id="rId8" w:history="1">
        <w:r w:rsidRPr="00D92A7E">
          <w:rPr>
            <w:rFonts w:ascii="FrankRuehl" w:hAnsi="FrankRuehl" w:cs="FrankRuehl"/>
            <w:color w:val="0000FF"/>
            <w:rtl/>
          </w:rPr>
          <w:t>7.א.</w:t>
        </w:r>
      </w:hyperlink>
      <w:r w:rsidRPr="00D92A7E">
        <w:rPr>
          <w:rFonts w:ascii="FrankRuehl" w:hAnsi="FrankRuehl" w:cs="FrankRuehl"/>
          <w:rtl/>
        </w:rPr>
        <w:t xml:space="preserve">, </w:t>
      </w:r>
      <w:hyperlink r:id="rId9" w:history="1">
        <w:r w:rsidRPr="00D92A7E">
          <w:rPr>
            <w:rFonts w:ascii="FrankRuehl" w:hAnsi="FrankRuehl" w:cs="FrankRuehl"/>
            <w:color w:val="0000FF"/>
            <w:rtl/>
          </w:rPr>
          <w:t>7.ג</w:t>
        </w:r>
      </w:hyperlink>
    </w:p>
    <w:p w14:paraId="61155121" w14:textId="77777777" w:rsidR="00D92A7E" w:rsidRPr="00D92A7E" w:rsidRDefault="00D92A7E" w:rsidP="00D92A7E">
      <w:pPr>
        <w:spacing w:before="120" w:after="120" w:line="240" w:lineRule="exact"/>
        <w:ind w:left="283" w:hanging="283"/>
        <w:jc w:val="both"/>
        <w:rPr>
          <w:rFonts w:ascii="FrankRuehl" w:hAnsi="FrankRuehl" w:cs="FrankRuehl"/>
          <w:rtl/>
        </w:rPr>
      </w:pPr>
      <w:hyperlink r:id="rId10" w:history="1">
        <w:r w:rsidRPr="00D92A7E">
          <w:rPr>
            <w:rFonts w:ascii="FrankRuehl" w:hAnsi="FrankRuehl" w:cs="FrankRuehl"/>
            <w:color w:val="0000FF"/>
            <w:rtl/>
          </w:rPr>
          <w:t>חוק העונשין, תשל"ז-1977</w:t>
        </w:r>
      </w:hyperlink>
      <w:r w:rsidRPr="00D92A7E">
        <w:rPr>
          <w:rFonts w:ascii="FrankRuehl" w:hAnsi="FrankRuehl" w:cs="FrankRuehl"/>
          <w:rtl/>
        </w:rPr>
        <w:t xml:space="preserve">: סע'  </w:t>
      </w:r>
      <w:hyperlink r:id="rId11" w:history="1">
        <w:r w:rsidRPr="00D92A7E">
          <w:rPr>
            <w:rFonts w:ascii="FrankRuehl" w:hAnsi="FrankRuehl" w:cs="FrankRuehl"/>
            <w:color w:val="0000FF"/>
            <w:rtl/>
          </w:rPr>
          <w:t>40ג(א)</w:t>
        </w:r>
      </w:hyperlink>
      <w:r w:rsidRPr="00D92A7E">
        <w:rPr>
          <w:rFonts w:ascii="FrankRuehl" w:hAnsi="FrankRuehl" w:cs="FrankRuehl"/>
          <w:rtl/>
        </w:rPr>
        <w:t xml:space="preserve">, </w:t>
      </w:r>
      <w:hyperlink r:id="rId12" w:history="1">
        <w:r w:rsidRPr="00D92A7E">
          <w:rPr>
            <w:rFonts w:ascii="FrankRuehl" w:hAnsi="FrankRuehl" w:cs="FrankRuehl"/>
            <w:color w:val="0000FF"/>
            <w:rtl/>
          </w:rPr>
          <w:t>40יא'</w:t>
        </w:r>
      </w:hyperlink>
    </w:p>
    <w:p w14:paraId="09D643D8" w14:textId="77777777" w:rsidR="00D92A7E" w:rsidRPr="00D92A7E" w:rsidRDefault="00D92A7E" w:rsidP="00D92A7E">
      <w:pPr>
        <w:rPr>
          <w:rFonts w:ascii="David" w:hAnsi="David"/>
          <w:sz w:val="26"/>
          <w:szCs w:val="26"/>
          <w:rtl/>
        </w:rPr>
      </w:pPr>
      <w:bookmarkStart w:id="4" w:name="LawTable_End"/>
      <w:bookmarkEnd w:id="4"/>
    </w:p>
    <w:p w14:paraId="7BF57BAC" w14:textId="77777777" w:rsidR="00487529" w:rsidRPr="00A743DC" w:rsidRDefault="00487529" w:rsidP="00A743DC">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7529" w14:paraId="0BF1AB06" w14:textId="77777777" w:rsidTr="00487529">
        <w:trPr>
          <w:trHeight w:val="355"/>
          <w:jc w:val="center"/>
        </w:trPr>
        <w:tc>
          <w:tcPr>
            <w:tcW w:w="8820" w:type="dxa"/>
            <w:tcBorders>
              <w:top w:val="nil"/>
              <w:left w:val="nil"/>
              <w:bottom w:val="nil"/>
              <w:right w:val="nil"/>
            </w:tcBorders>
            <w:shd w:val="clear" w:color="auto" w:fill="auto"/>
          </w:tcPr>
          <w:p w14:paraId="13967D42" w14:textId="77777777" w:rsidR="00AD4E5B" w:rsidRPr="00AD4E5B" w:rsidRDefault="00AD4E5B" w:rsidP="00AD4E5B">
            <w:pPr>
              <w:jc w:val="center"/>
              <w:rPr>
                <w:rFonts w:ascii="David" w:hAnsi="David"/>
                <w:b/>
                <w:bCs/>
                <w:sz w:val="32"/>
                <w:szCs w:val="32"/>
                <w:u w:val="single"/>
                <w:rtl/>
              </w:rPr>
            </w:pPr>
            <w:bookmarkStart w:id="5" w:name="PsakDin" w:colFirst="0" w:colLast="0"/>
            <w:bookmarkEnd w:id="0"/>
            <w:r w:rsidRPr="00AD4E5B">
              <w:rPr>
                <w:rFonts w:ascii="David" w:hAnsi="David"/>
                <w:b/>
                <w:bCs/>
                <w:sz w:val="32"/>
                <w:szCs w:val="32"/>
                <w:u w:val="single"/>
                <w:rtl/>
              </w:rPr>
              <w:t>גזר דין</w:t>
            </w:r>
          </w:p>
          <w:p w14:paraId="0F50058D" w14:textId="77777777" w:rsidR="00487529" w:rsidRPr="00AD4E5B" w:rsidRDefault="00487529" w:rsidP="00AD4E5B">
            <w:pPr>
              <w:jc w:val="center"/>
              <w:rPr>
                <w:rFonts w:ascii="David" w:hAnsi="David"/>
                <w:bCs/>
                <w:sz w:val="32"/>
                <w:szCs w:val="32"/>
                <w:u w:val="single"/>
                <w:rtl/>
              </w:rPr>
            </w:pPr>
          </w:p>
        </w:tc>
      </w:tr>
      <w:bookmarkEnd w:id="5"/>
    </w:tbl>
    <w:p w14:paraId="513AAC84" w14:textId="77777777" w:rsidR="00487529" w:rsidRDefault="00487529" w:rsidP="00487529">
      <w:pPr>
        <w:rPr>
          <w:rFonts w:ascii="David" w:hAnsi="David"/>
          <w:sz w:val="26"/>
          <w:szCs w:val="26"/>
          <w:rtl/>
        </w:rPr>
      </w:pPr>
    </w:p>
    <w:p w14:paraId="52F92BA7" w14:textId="77777777" w:rsidR="00487529" w:rsidRDefault="00487529" w:rsidP="00487529">
      <w:pPr>
        <w:spacing w:line="360" w:lineRule="auto"/>
        <w:ind w:left="720" w:hanging="720"/>
        <w:jc w:val="both"/>
        <w:rPr>
          <w:b/>
          <w:bCs/>
          <w:u w:val="single"/>
        </w:rPr>
      </w:pPr>
      <w:r>
        <w:rPr>
          <w:rFonts w:hint="cs"/>
          <w:b/>
          <w:bCs/>
          <w:u w:val="single"/>
          <w:rtl/>
        </w:rPr>
        <w:t>כתב-האישום</w:t>
      </w:r>
    </w:p>
    <w:p w14:paraId="3C0C8E7E" w14:textId="77777777" w:rsidR="00487529" w:rsidRDefault="00487529" w:rsidP="00487529">
      <w:pPr>
        <w:spacing w:line="360" w:lineRule="auto"/>
        <w:ind w:left="720" w:hanging="720"/>
        <w:jc w:val="both"/>
        <w:rPr>
          <w:rtl/>
        </w:rPr>
      </w:pPr>
    </w:p>
    <w:p w14:paraId="48C35608" w14:textId="77777777" w:rsidR="00487529" w:rsidRDefault="00487529" w:rsidP="00487529">
      <w:pPr>
        <w:pStyle w:val="a9"/>
        <w:numPr>
          <w:ilvl w:val="0"/>
          <w:numId w:val="1"/>
        </w:numPr>
        <w:spacing w:line="360" w:lineRule="auto"/>
        <w:jc w:val="both"/>
        <w:rPr>
          <w:rtl/>
        </w:rPr>
      </w:pPr>
      <w:bookmarkStart w:id="6" w:name="ABSTRACT_START"/>
      <w:bookmarkEnd w:id="6"/>
      <w:r>
        <w:rPr>
          <w:rFonts w:hint="cs"/>
          <w:rtl/>
        </w:rPr>
        <w:t xml:space="preserve">הנאשם הודה בעובדות כתב אישום מתוקן, שגובש במסגרת הסדר טיעון, והורשע בעבירה של </w:t>
      </w:r>
      <w:r>
        <w:rPr>
          <w:rFonts w:hint="cs"/>
          <w:b/>
          <w:bCs/>
          <w:rtl/>
        </w:rPr>
        <w:t xml:space="preserve">החזקת סם מסוכן שלא לצריכה עצמית </w:t>
      </w:r>
      <w:r>
        <w:rPr>
          <w:rFonts w:hint="cs"/>
          <w:rtl/>
        </w:rPr>
        <w:t xml:space="preserve">לפי סעיף </w:t>
      </w:r>
      <w:hyperlink r:id="rId13" w:history="1">
        <w:r w:rsidR="00A743DC" w:rsidRPr="00A743DC">
          <w:rPr>
            <w:rStyle w:val="Hyperlink"/>
            <w:rtl/>
          </w:rPr>
          <w:t>7(א) + (ג)</w:t>
        </w:r>
      </w:hyperlink>
      <w:r>
        <w:rPr>
          <w:rFonts w:hint="cs"/>
          <w:rtl/>
        </w:rPr>
        <w:t xml:space="preserve"> רישה ל</w:t>
      </w:r>
      <w:hyperlink r:id="rId14" w:history="1">
        <w:r w:rsidR="00AD4E5B" w:rsidRPr="00AD4E5B">
          <w:rPr>
            <w:color w:val="0000FF"/>
            <w:u w:val="single"/>
            <w:rtl/>
          </w:rPr>
          <w:t>פקודת הסמים המסוכנים</w:t>
        </w:r>
      </w:hyperlink>
      <w:r>
        <w:rPr>
          <w:rFonts w:hint="cs"/>
          <w:rtl/>
        </w:rPr>
        <w:t xml:space="preserve"> [נוסח חדש], תשל"ג- 1973</w:t>
      </w:r>
      <w:bookmarkStart w:id="7" w:name="ABSTRACT_END"/>
      <w:bookmarkEnd w:id="7"/>
      <w:r>
        <w:rPr>
          <w:rFonts w:hint="cs"/>
          <w:rtl/>
        </w:rPr>
        <w:t xml:space="preserve"> [להלן: פקודת הסמים].</w:t>
      </w:r>
    </w:p>
    <w:p w14:paraId="08C85E15" w14:textId="77777777" w:rsidR="00487529" w:rsidRPr="002870B2" w:rsidRDefault="00487529" w:rsidP="00487529">
      <w:pPr>
        <w:overflowPunct w:val="0"/>
        <w:autoSpaceDE w:val="0"/>
        <w:autoSpaceDN w:val="0"/>
        <w:adjustRightInd w:val="0"/>
        <w:spacing w:line="360" w:lineRule="auto"/>
        <w:ind w:left="713" w:hanging="713"/>
        <w:jc w:val="both"/>
        <w:rPr>
          <w:rFonts w:ascii="Calibri" w:eastAsia="Calibri" w:hAnsi="Calibri"/>
        </w:rPr>
      </w:pPr>
    </w:p>
    <w:p w14:paraId="09CDF1B2" w14:textId="77777777" w:rsidR="00487529" w:rsidRDefault="00487529" w:rsidP="00487529">
      <w:pPr>
        <w:pStyle w:val="a9"/>
        <w:numPr>
          <w:ilvl w:val="0"/>
          <w:numId w:val="1"/>
        </w:numPr>
        <w:spacing w:line="360" w:lineRule="auto"/>
        <w:jc w:val="both"/>
        <w:rPr>
          <w:rtl/>
        </w:rPr>
      </w:pPr>
      <w:r>
        <w:rPr>
          <w:rFonts w:hint="cs"/>
          <w:rtl/>
        </w:rPr>
        <w:t xml:space="preserve">מכתב האישום המתוקן עולה, כי הנאשם מתגורר בלוד, בבית פרטי המוקף בחצר. במועד שאינו ידוע במדויק, עובר ליום 20.10.20 ובמהלכו, החזיק הנאשם בסמים מסוכנים מסוגים שונים, שהיו מוסלקים במקומות שונים בחצר המתחם: בארון צמוד לקיר האחורי של הבית (להלן: "הארון") שקית ובה 369.03 גרם קנבוס, וכן נמצאה גם כמות גדולה של חומר המיועד לערבוב עם סמים מסוכנים על מנת להגדיל את נפחם ואת שוויים הכספי. בנוסף, </w:t>
      </w:r>
      <w:r>
        <w:rPr>
          <w:rFonts w:hint="cs"/>
          <w:rtl/>
        </w:rPr>
        <w:lastRenderedPageBreak/>
        <w:t xml:space="preserve">בסמוך לארון, מעל תנור ומתחת לכיור הפוך, שאינם בשימוש, החזיק הנאשם 99.24 גרם קוקאין עטוף בניילון נצמד בגוון ירוק, ששוויו מוערך בכ- 50 אלף ₪.   </w:t>
      </w:r>
    </w:p>
    <w:p w14:paraId="3CBDF7A1" w14:textId="77777777" w:rsidR="00487529" w:rsidRPr="002870B2" w:rsidRDefault="00487529" w:rsidP="00487529">
      <w:pPr>
        <w:overflowPunct w:val="0"/>
        <w:autoSpaceDE w:val="0"/>
        <w:autoSpaceDN w:val="0"/>
        <w:adjustRightInd w:val="0"/>
        <w:spacing w:line="360" w:lineRule="auto"/>
        <w:ind w:left="713" w:hanging="713"/>
        <w:jc w:val="both"/>
        <w:rPr>
          <w:rFonts w:ascii="Calibri" w:eastAsia="Calibri" w:hAnsi="Calibri"/>
          <w:rtl/>
        </w:rPr>
      </w:pPr>
    </w:p>
    <w:p w14:paraId="5ED1BDA5" w14:textId="77777777" w:rsidR="00487529" w:rsidRDefault="00487529" w:rsidP="00487529">
      <w:pPr>
        <w:pStyle w:val="a9"/>
        <w:numPr>
          <w:ilvl w:val="0"/>
          <w:numId w:val="1"/>
        </w:numPr>
        <w:spacing w:line="360" w:lineRule="auto"/>
        <w:jc w:val="both"/>
        <w:rPr>
          <w:rtl/>
        </w:rPr>
      </w:pPr>
      <w:r>
        <w:rPr>
          <w:rFonts w:hint="cs"/>
          <w:rtl/>
        </w:rPr>
        <w:t xml:space="preserve">על-פי הסדר הטיעון, המאשימה הגבילה עצמה לעתירה לעונש ראוי של 28 חודשי מאסר, מאסר על תנאי וקנס, וההגנה תהיה חופשית בטיעוניה. </w:t>
      </w:r>
    </w:p>
    <w:p w14:paraId="2F653AD5" w14:textId="77777777" w:rsidR="00487529" w:rsidRPr="002870B2" w:rsidRDefault="00487529" w:rsidP="00487529">
      <w:pPr>
        <w:overflowPunct w:val="0"/>
        <w:autoSpaceDE w:val="0"/>
        <w:autoSpaceDN w:val="0"/>
        <w:adjustRightInd w:val="0"/>
        <w:spacing w:line="360" w:lineRule="auto"/>
        <w:ind w:left="713" w:hanging="713"/>
        <w:jc w:val="both"/>
        <w:rPr>
          <w:rFonts w:ascii="Calibri" w:eastAsia="Calibri" w:hAnsi="Calibri"/>
          <w:rtl/>
        </w:rPr>
      </w:pPr>
    </w:p>
    <w:p w14:paraId="598ED9B0" w14:textId="77777777" w:rsidR="00487529" w:rsidRDefault="00487529" w:rsidP="00487529">
      <w:pPr>
        <w:spacing w:line="360" w:lineRule="auto"/>
        <w:ind w:left="720" w:hanging="720"/>
        <w:jc w:val="both"/>
        <w:rPr>
          <w:rFonts w:ascii="Calibri" w:hAnsi="Calibri"/>
          <w:b/>
          <w:bCs/>
          <w:u w:val="single"/>
        </w:rPr>
      </w:pPr>
      <w:r>
        <w:rPr>
          <w:rFonts w:ascii="Calibri" w:hAnsi="Calibri" w:hint="cs"/>
          <w:b/>
          <w:bCs/>
          <w:u w:val="single"/>
          <w:rtl/>
        </w:rPr>
        <w:t>ראיות לעונש</w:t>
      </w:r>
    </w:p>
    <w:p w14:paraId="58422CBF" w14:textId="77777777" w:rsidR="00487529" w:rsidRDefault="00487529" w:rsidP="00487529">
      <w:pPr>
        <w:spacing w:line="360" w:lineRule="auto"/>
        <w:ind w:left="720" w:hanging="720"/>
        <w:jc w:val="both"/>
        <w:rPr>
          <w:rFonts w:ascii="Calibri" w:hAnsi="Calibri"/>
          <w:b/>
          <w:bCs/>
          <w:u w:val="single"/>
          <w:rtl/>
        </w:rPr>
      </w:pPr>
    </w:p>
    <w:p w14:paraId="7DBB863B" w14:textId="77777777" w:rsidR="00487529" w:rsidRDefault="00487529" w:rsidP="00487529">
      <w:pPr>
        <w:pStyle w:val="a9"/>
        <w:numPr>
          <w:ilvl w:val="0"/>
          <w:numId w:val="1"/>
        </w:numPr>
        <w:spacing w:line="360" w:lineRule="auto"/>
        <w:jc w:val="both"/>
      </w:pPr>
      <w:r w:rsidRPr="002870B2">
        <w:rPr>
          <w:rFonts w:ascii="Calibri" w:hAnsi="Calibri" w:hint="cs"/>
          <w:rtl/>
        </w:rPr>
        <w:t>מטעם התביעה הוגש גליון ר.פ. (ת/1) ממנו עולה, כי לחובתו של הנאשם</w:t>
      </w:r>
      <w:r>
        <w:rPr>
          <w:rFonts w:hint="cs"/>
          <w:rtl/>
        </w:rPr>
        <w:t xml:space="preserve"> 6 הרשעות קודמות בעבירות של נהיגה פוחזת, מרמה, הפרה הוראה חוקית, גניבה וגניבה בידי עובד ממעביד והפרעה לשוטר. הנאשם נשא שלושה מאסרים מאחורי סורג ובריח ומאסר נוסף בעבודות שירות, כשהמאסר האחרון הוא משנת 2014 לתקופה של שנה בגין ביצוע עבירה של נהיגה פוחזת. </w:t>
      </w:r>
    </w:p>
    <w:p w14:paraId="1E198663" w14:textId="77777777" w:rsidR="00487529" w:rsidRPr="002870B2" w:rsidRDefault="00487529" w:rsidP="00487529">
      <w:pPr>
        <w:overflowPunct w:val="0"/>
        <w:autoSpaceDE w:val="0"/>
        <w:autoSpaceDN w:val="0"/>
        <w:adjustRightInd w:val="0"/>
        <w:spacing w:line="360" w:lineRule="auto"/>
        <w:ind w:left="713" w:hanging="713"/>
        <w:jc w:val="both"/>
        <w:rPr>
          <w:rFonts w:ascii="Calibri" w:eastAsia="Calibri" w:hAnsi="Calibri"/>
          <w:rtl/>
        </w:rPr>
      </w:pPr>
    </w:p>
    <w:p w14:paraId="54454EAB" w14:textId="77777777" w:rsidR="00487529" w:rsidRDefault="00487529" w:rsidP="00487529">
      <w:pPr>
        <w:spacing w:line="360" w:lineRule="auto"/>
        <w:jc w:val="both"/>
      </w:pPr>
      <w:r>
        <w:rPr>
          <w:rFonts w:hint="cs"/>
          <w:b/>
          <w:bCs/>
          <w:u w:val="single"/>
          <w:rtl/>
        </w:rPr>
        <w:t>טיעוני הצדדים</w:t>
      </w:r>
    </w:p>
    <w:p w14:paraId="01E7D3A3" w14:textId="77777777" w:rsidR="00487529" w:rsidRDefault="00487529" w:rsidP="00487529">
      <w:pPr>
        <w:spacing w:line="360" w:lineRule="auto"/>
        <w:jc w:val="both"/>
        <w:rPr>
          <w:rtl/>
        </w:rPr>
      </w:pPr>
    </w:p>
    <w:p w14:paraId="35AEBBB4" w14:textId="77777777" w:rsidR="00487529" w:rsidRDefault="00487529" w:rsidP="00487529">
      <w:pPr>
        <w:pStyle w:val="a9"/>
        <w:numPr>
          <w:ilvl w:val="0"/>
          <w:numId w:val="1"/>
        </w:numPr>
        <w:spacing w:line="360" w:lineRule="auto"/>
        <w:jc w:val="both"/>
        <w:rPr>
          <w:rtl/>
        </w:rPr>
      </w:pPr>
      <w:r>
        <w:rPr>
          <w:rFonts w:hint="cs"/>
          <w:rtl/>
        </w:rPr>
        <w:t xml:space="preserve">ב"כ המאשימה </w:t>
      </w:r>
      <w:r>
        <w:rPr>
          <w:rFonts w:eastAsia="David" w:hint="cs"/>
          <w:rtl/>
        </w:rPr>
        <w:t xml:space="preserve">הסבירה שהסדר הטיעון גובש בשל קושי ראייתי. פירטה באשר לערך החברתי המוגן שנפגע, לשווי הגבוה של סם הקוקאין ולכך שבדרך כלל המניע לביצוע העבירה הוא בצע כסף. באשר לנסיבות ציינה, כי לחובתו עבר פלילי, אם כי לא בעבירות סמים, ויש לשקול לזכותו את החיסכון בזמן שיפוטי ואת התיקון לקולה המשמעותי בכתב-האישום. עתרה לקביעת מתחם שנע בין 48 – 24 חודשי מאסר בפועל, ולמיקום הנאשם בחלק האמצעי התחתון של המתחם כך שהעונש הראוי הוא 28 חודשי מאסר בפועל, לצד מאסר על תנאי וקנס משמעותי – בהתחשב בשווי הסם אותו החזיק.  </w:t>
      </w:r>
    </w:p>
    <w:p w14:paraId="0B63B7AC" w14:textId="77777777" w:rsidR="00487529" w:rsidRDefault="00487529" w:rsidP="00487529">
      <w:pPr>
        <w:pStyle w:val="a9"/>
        <w:spacing w:line="360" w:lineRule="auto"/>
        <w:jc w:val="both"/>
      </w:pPr>
    </w:p>
    <w:p w14:paraId="0B89EC59" w14:textId="77777777" w:rsidR="00487529" w:rsidRDefault="00487529" w:rsidP="00487529">
      <w:pPr>
        <w:pStyle w:val="a9"/>
        <w:numPr>
          <w:ilvl w:val="0"/>
          <w:numId w:val="1"/>
        </w:numPr>
        <w:spacing w:line="360" w:lineRule="auto"/>
        <w:jc w:val="both"/>
        <w:rPr>
          <w:rFonts w:eastAsia="David"/>
          <w:rtl/>
        </w:rPr>
      </w:pPr>
      <w:r>
        <w:rPr>
          <w:rFonts w:hint="cs"/>
          <w:rtl/>
        </w:rPr>
        <w:t xml:space="preserve">ב"כ הנאשם הרחיב באשר לקשיים הראייתיים שעלו בתיק החקירה ואף הלין כנגד העובדה, שאחר – שהוא "שורש כל הרע" על-פי מידע מודיעיני, שוחרר בשלב מעצר הימים ולא הוגש כנגדו כתב-אישום. לשיטתו, הגשת כתב-אישום רק כנגד הנאשם, כמי שהחזיק בסם בלבד, בחצריו, מחייבת את בית-המשפט לחרוג לקולה ממתחם העונש ההולם. </w:t>
      </w:r>
    </w:p>
    <w:p w14:paraId="453CC1E9" w14:textId="77777777" w:rsidR="00487529" w:rsidRDefault="00487529" w:rsidP="00487529">
      <w:pPr>
        <w:pStyle w:val="a9"/>
        <w:spacing w:line="360" w:lineRule="auto"/>
        <w:jc w:val="both"/>
        <w:rPr>
          <w:rFonts w:eastAsia="David"/>
        </w:rPr>
      </w:pPr>
      <w:r>
        <w:rPr>
          <w:rFonts w:eastAsia="David" w:hint="cs"/>
          <w:rtl/>
        </w:rPr>
        <w:t xml:space="preserve">הנאשם חסך בזמן שיפוטי, לקח אחריות, עברו הפלילי אינו כולל עבריינות סמים, והוא אב לחמישה ילדים, אחד מהם נכה בצורה קשה עד כדי עיוורון. הנאשם מצוי במעצר כ – 15 חודשים, בטרם מעצרו עבד למחייתו באופן קבוע, וסמים אינם מקור פרנסתו. </w:t>
      </w:r>
    </w:p>
    <w:p w14:paraId="46E7EE99" w14:textId="77777777" w:rsidR="00487529" w:rsidRDefault="00487529" w:rsidP="00487529">
      <w:pPr>
        <w:pStyle w:val="a9"/>
        <w:spacing w:line="360" w:lineRule="auto"/>
        <w:jc w:val="both"/>
        <w:rPr>
          <w:rFonts w:eastAsia="David"/>
          <w:b/>
          <w:rtl/>
        </w:rPr>
      </w:pPr>
      <w:r>
        <w:rPr>
          <w:rFonts w:eastAsia="David" w:hint="cs"/>
          <w:rtl/>
        </w:rPr>
        <w:t xml:space="preserve">הסניגור הגיש מגוון פסיקה, לרבות גזרי-דין של בתי-משפט השלום המשקפת מדיניות ענישה נוהגת וטען, כי מתחם העונש ההולם נע בין 9 חודשי מאסר בעבודות שירות ועד 20 חודשי מאסר במקרים החמורים ביותר. במקרה דנן, סבור הוא, שנוכח האפליה מול האחר העונש הראוי עומד על 9 חודשי מאסר בעבודות שירות, אך לאור תקופת מעצרו – עותר הוא </w:t>
      </w:r>
      <w:r>
        <w:rPr>
          <w:rFonts w:eastAsia="David" w:hint="cs"/>
          <w:rtl/>
        </w:rPr>
        <w:lastRenderedPageBreak/>
        <w:t xml:space="preserve">להסתפק בהשתת עונש מאסר בפועל כתקופת המעצר. </w:t>
      </w:r>
      <w:r>
        <w:rPr>
          <w:rFonts w:eastAsia="David" w:hint="cs"/>
          <w:b/>
          <w:rtl/>
        </w:rPr>
        <w:t xml:space="preserve">כן עתר להסתפק בקנס סמלי לאור מצבו הכלכלי הקשה של הנאשם. </w:t>
      </w:r>
    </w:p>
    <w:p w14:paraId="4AB92D16" w14:textId="77777777" w:rsidR="00487529" w:rsidRDefault="00487529" w:rsidP="00487529">
      <w:pPr>
        <w:rPr>
          <w:rtl/>
        </w:rPr>
      </w:pPr>
    </w:p>
    <w:p w14:paraId="3D03861A" w14:textId="77777777" w:rsidR="00487529" w:rsidRDefault="00487529" w:rsidP="00487529">
      <w:pPr>
        <w:rPr>
          <w:rtl/>
        </w:rPr>
      </w:pPr>
    </w:p>
    <w:p w14:paraId="4B3C5681" w14:textId="77777777" w:rsidR="00487529" w:rsidRDefault="00487529" w:rsidP="00487529">
      <w:pPr>
        <w:pStyle w:val="a9"/>
        <w:numPr>
          <w:ilvl w:val="0"/>
          <w:numId w:val="1"/>
        </w:numPr>
        <w:spacing w:line="360" w:lineRule="auto"/>
        <w:jc w:val="both"/>
        <w:rPr>
          <w:rFonts w:eastAsia="David"/>
          <w:rtl/>
        </w:rPr>
      </w:pPr>
      <w:r>
        <w:rPr>
          <w:rFonts w:eastAsia="David" w:hint="cs"/>
          <w:rtl/>
        </w:rPr>
        <w:t>בדברו לבית- המשפט אמר הנאשם: "</w:t>
      </w:r>
      <w:r>
        <w:rPr>
          <w:rFonts w:eastAsia="David" w:hint="cs"/>
          <w:b/>
          <w:bCs/>
          <w:rtl/>
        </w:rPr>
        <w:t>יש לי חמישה ילדים ואישה עם קוצב לב, יש לי ילד שעבר 3 ניתוחים בשנה האחרונה בעין, המצב הרפואי לא כל כך טוב. אני לא ילד קטן, אני בן 43. אני צריך לפרנס את המשפחה שלי, יש לי משפחה מאוד גדולה ואין מי שיפרנס אותה. אני 15 חודשים בפנים ואף אחד לא עוזר, לא ביטוח לאומי ולא רווחה. הם צריכים אבא. אני מצטער על הטעות הזאת, אין לי מילים. ההחלטה בידי ביהמ"ש</w:t>
      </w:r>
      <w:r>
        <w:rPr>
          <w:rFonts w:eastAsia="David" w:hint="cs"/>
          <w:rtl/>
        </w:rPr>
        <w:t xml:space="preserve">" (עמ' 14 לפרוטוקול). </w:t>
      </w:r>
    </w:p>
    <w:p w14:paraId="64CF8281" w14:textId="77777777" w:rsidR="00487529" w:rsidRDefault="00487529" w:rsidP="00487529">
      <w:pPr>
        <w:pStyle w:val="a9"/>
        <w:spacing w:line="360" w:lineRule="auto"/>
        <w:jc w:val="both"/>
        <w:rPr>
          <w:rFonts w:eastAsia="David"/>
        </w:rPr>
      </w:pPr>
    </w:p>
    <w:p w14:paraId="07CE816F" w14:textId="77777777" w:rsidR="00487529" w:rsidRDefault="00487529" w:rsidP="00487529">
      <w:pPr>
        <w:spacing w:line="360" w:lineRule="auto"/>
        <w:ind w:left="720" w:hanging="720"/>
        <w:jc w:val="both"/>
        <w:rPr>
          <w:b/>
          <w:bCs/>
          <w:u w:val="single"/>
        </w:rPr>
      </w:pPr>
      <w:r>
        <w:rPr>
          <w:rFonts w:hint="cs"/>
          <w:b/>
          <w:bCs/>
          <w:u w:val="single"/>
          <w:rtl/>
        </w:rPr>
        <w:t>דיון והכרעה</w:t>
      </w:r>
    </w:p>
    <w:p w14:paraId="18482863" w14:textId="77777777" w:rsidR="00487529" w:rsidRDefault="00487529" w:rsidP="00487529">
      <w:pPr>
        <w:spacing w:line="360" w:lineRule="auto"/>
        <w:ind w:left="720" w:hanging="720"/>
        <w:jc w:val="both"/>
        <w:rPr>
          <w:b/>
          <w:bCs/>
          <w:u w:val="single"/>
          <w:rtl/>
        </w:rPr>
      </w:pPr>
    </w:p>
    <w:p w14:paraId="2342261F" w14:textId="77777777" w:rsidR="00487529" w:rsidRDefault="00487529" w:rsidP="00487529">
      <w:pPr>
        <w:pStyle w:val="a9"/>
        <w:numPr>
          <w:ilvl w:val="0"/>
          <w:numId w:val="1"/>
        </w:numPr>
        <w:spacing w:line="360" w:lineRule="auto"/>
        <w:jc w:val="both"/>
        <w:rPr>
          <w:rFonts w:ascii="Calibri" w:eastAsia="Calibri" w:hAnsi="Calibri"/>
          <w:rtl/>
        </w:rPr>
      </w:pPr>
      <w:r>
        <w:rPr>
          <w:rFonts w:ascii="Calibri" w:eastAsia="Calibri" w:hAnsi="Calibri" w:hint="cs"/>
          <w:rtl/>
        </w:rPr>
        <w:t>בהתאם להוראות תיקון 113 ל</w:t>
      </w:r>
      <w:hyperlink r:id="rId15" w:history="1">
        <w:r w:rsidR="00AD4E5B" w:rsidRPr="00AD4E5B">
          <w:rPr>
            <w:rFonts w:ascii="Calibri" w:eastAsia="Calibri" w:hAnsi="Calibri" w:hint="cs"/>
            <w:color w:val="0000FF"/>
            <w:u w:val="single"/>
            <w:rtl/>
          </w:rPr>
          <w:t>חוק</w:t>
        </w:r>
        <w:r w:rsidR="00AD4E5B" w:rsidRPr="00AD4E5B">
          <w:rPr>
            <w:rFonts w:ascii="Calibri" w:eastAsia="Calibri" w:hAnsi="Calibri"/>
            <w:color w:val="0000FF"/>
            <w:u w:val="single"/>
            <w:rtl/>
          </w:rPr>
          <w:t xml:space="preserve"> </w:t>
        </w:r>
        <w:r w:rsidR="00AD4E5B" w:rsidRPr="00AD4E5B">
          <w:rPr>
            <w:rFonts w:ascii="Calibri" w:eastAsia="Calibri" w:hAnsi="Calibri" w:hint="cs"/>
            <w:color w:val="0000FF"/>
            <w:u w:val="single"/>
            <w:rtl/>
          </w:rPr>
          <w:t>העונשין</w:t>
        </w:r>
      </w:hyperlink>
      <w:r>
        <w:rPr>
          <w:rFonts w:ascii="Calibri" w:eastAsia="Calibri" w:hAnsi="Calibri" w:hint="cs"/>
          <w:rtl/>
        </w:rPr>
        <w:t xml:space="preserve"> </w:t>
      </w:r>
      <w:hyperlink r:id="rId16" w:history="1">
        <w:r w:rsidR="00A743DC" w:rsidRPr="00A743DC">
          <w:rPr>
            <w:rStyle w:val="Hyperlink"/>
            <w:rFonts w:ascii="Calibri" w:eastAsia="Calibri" w:hAnsi="Calibri" w:hint="cs"/>
            <w:rtl/>
          </w:rPr>
          <w:t>בסעיף</w:t>
        </w:r>
        <w:r w:rsidR="00A743DC" w:rsidRPr="00A743DC">
          <w:rPr>
            <w:rStyle w:val="Hyperlink"/>
            <w:rFonts w:ascii="Calibri" w:eastAsia="Calibri" w:hAnsi="Calibri"/>
            <w:rtl/>
          </w:rPr>
          <w:t xml:space="preserve"> 40</w:t>
        </w:r>
        <w:r w:rsidR="00A743DC" w:rsidRPr="00A743DC">
          <w:rPr>
            <w:rStyle w:val="Hyperlink"/>
            <w:rFonts w:ascii="Calibri" w:eastAsia="Calibri" w:hAnsi="Calibri" w:hint="cs"/>
            <w:rtl/>
          </w:rPr>
          <w:t>ג</w:t>
        </w:r>
        <w:r w:rsidR="00A743DC" w:rsidRPr="00A743DC">
          <w:rPr>
            <w:rStyle w:val="Hyperlink"/>
            <w:rFonts w:ascii="Calibri" w:eastAsia="Calibri" w:hAnsi="Calibri"/>
            <w:rtl/>
          </w:rPr>
          <w:t>(</w:t>
        </w:r>
        <w:r w:rsidR="00A743DC" w:rsidRPr="00A743DC">
          <w:rPr>
            <w:rStyle w:val="Hyperlink"/>
            <w:rFonts w:ascii="Calibri" w:eastAsia="Calibri" w:hAnsi="Calibri" w:hint="cs"/>
            <w:rtl/>
          </w:rPr>
          <w:t>א</w:t>
        </w:r>
        <w:r w:rsidR="00A743DC" w:rsidRPr="00A743DC">
          <w:rPr>
            <w:rStyle w:val="Hyperlink"/>
            <w:rFonts w:ascii="Calibri" w:eastAsia="Calibri" w:hAnsi="Calibri"/>
            <w:rtl/>
          </w:rPr>
          <w:t>)</w:t>
        </w:r>
      </w:hyperlink>
      <w:r>
        <w:rPr>
          <w:rFonts w:ascii="Calibri" w:eastAsia="Calibri" w:hAnsi="Calibri" w:hint="cs"/>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3BBD4A07" w14:textId="77777777" w:rsidR="00487529" w:rsidRPr="002870B2" w:rsidRDefault="00487529" w:rsidP="00487529">
      <w:pPr>
        <w:pStyle w:val="a9"/>
        <w:spacing w:line="360" w:lineRule="auto"/>
        <w:jc w:val="both"/>
      </w:pPr>
    </w:p>
    <w:p w14:paraId="67CDD56B" w14:textId="77777777" w:rsidR="00487529" w:rsidRDefault="00487529" w:rsidP="00487529">
      <w:pPr>
        <w:pStyle w:val="a9"/>
        <w:numPr>
          <w:ilvl w:val="0"/>
          <w:numId w:val="1"/>
        </w:numPr>
        <w:spacing w:line="360" w:lineRule="auto"/>
        <w:jc w:val="both"/>
        <w:rPr>
          <w:rFonts w:ascii="Calibri" w:eastAsia="Calibri" w:hAnsi="Calibri"/>
          <w:rtl/>
        </w:rPr>
      </w:pPr>
      <w:r>
        <w:rPr>
          <w:rFonts w:ascii="Calibri" w:eastAsia="Calibri" w:hAnsi="Calibri" w:hint="cs"/>
          <w:rtl/>
        </w:rPr>
        <w:t xml:space="preserve">אשר </w:t>
      </w:r>
      <w:r>
        <w:rPr>
          <w:rFonts w:ascii="Calibri" w:eastAsia="Calibri" w:hAnsi="Calibri" w:hint="cs"/>
          <w:u w:val="single"/>
          <w:rtl/>
        </w:rPr>
        <w:t>לערך החברתי המוגן</w:t>
      </w:r>
      <w:r>
        <w:rPr>
          <w:rFonts w:ascii="Calibri" w:eastAsia="Calibri" w:hAnsi="Calibri" w:hint="cs"/>
          <w:rtl/>
        </w:rPr>
        <w:t xml:space="preserve">, </w:t>
      </w:r>
      <w:r>
        <w:rPr>
          <w:rFonts w:ascii="Times New Roman" w:hAnsi="Times New Roman" w:hint="cs"/>
          <w:rtl/>
        </w:rPr>
        <w:t>הנאשם במעשיו פגע בערך המוגן של הגנה על שלום הציבור ובריאותו מפני הנזקים הנגרמים כתוצאה מהשימוש בסמים.</w:t>
      </w:r>
      <w:r>
        <w:rPr>
          <w:rFonts w:ascii="Times New Roman" w:hAnsi="Times New Roman" w:hint="cs"/>
          <w:b/>
          <w:bCs/>
          <w:rtl/>
        </w:rPr>
        <w:t xml:space="preserve"> </w:t>
      </w:r>
      <w:r>
        <w:rPr>
          <w:rFonts w:ascii="Calibri" w:hAnsi="Calibri" w:hint="cs"/>
          <w:rtl/>
        </w:rPr>
        <w:t xml:space="preserve">הפגיעה בערך המוגן היא בעוצמה יחסית גבוהה, על רקע מגוון סוגי הסם בהם החזיק, לרבות סם קשה מסוג קוקאין בכמות שאינה מבוטלת, קנבוס בכמות גדולה, וחומר המיועד לערבוב עם סמים מסוכנים, שמטרתו להגדיל את נפחם ואת שוויים הכספי של הסמים.  </w:t>
      </w:r>
    </w:p>
    <w:p w14:paraId="5E8152C5" w14:textId="77777777" w:rsidR="00487529" w:rsidRPr="002870B2" w:rsidRDefault="00487529" w:rsidP="00487529">
      <w:pPr>
        <w:pStyle w:val="a9"/>
        <w:spacing w:line="360" w:lineRule="auto"/>
        <w:jc w:val="both"/>
      </w:pPr>
    </w:p>
    <w:p w14:paraId="225134CC" w14:textId="77777777" w:rsidR="00487529" w:rsidRDefault="00487529" w:rsidP="00487529">
      <w:pPr>
        <w:pStyle w:val="a9"/>
        <w:spacing w:line="360" w:lineRule="auto"/>
        <w:jc w:val="both"/>
        <w:rPr>
          <w:rFonts w:ascii="Times New Roman" w:hAnsi="Times New Roman"/>
          <w:b/>
          <w:bCs/>
          <w:rtl/>
        </w:rPr>
      </w:pPr>
      <w:r>
        <w:rPr>
          <w:rFonts w:ascii="Calibri" w:hAnsi="Calibri" w:hint="cs"/>
          <w:rtl/>
        </w:rPr>
        <w:t xml:space="preserve">באשר לסם הקוקאין, יפים דבריו של כב' השופט (כתוארו אז) הנדל: </w:t>
      </w:r>
      <w:r>
        <w:rPr>
          <w:rFonts w:ascii="Times New Roman" w:hAnsi="Times New Roman" w:hint="cs"/>
          <w:b/>
          <w:bCs/>
          <w:rtl/>
        </w:rPr>
        <w:tab/>
      </w:r>
    </w:p>
    <w:p w14:paraId="206338CC" w14:textId="77777777" w:rsidR="00487529" w:rsidRDefault="00487529" w:rsidP="00487529">
      <w:pPr>
        <w:spacing w:line="360" w:lineRule="auto"/>
        <w:ind w:left="1440"/>
        <w:jc w:val="both"/>
        <w:rPr>
          <w:b/>
          <w:bCs/>
          <w:rtl/>
        </w:rPr>
      </w:pPr>
      <w:r>
        <w:rPr>
          <w:rFonts w:hint="cs"/>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p>
    <w:p w14:paraId="1986B6EA" w14:textId="77777777" w:rsidR="00487529" w:rsidRDefault="00DA66B9" w:rsidP="00487529">
      <w:pPr>
        <w:spacing w:line="360" w:lineRule="auto"/>
        <w:ind w:left="1440"/>
        <w:jc w:val="both"/>
        <w:rPr>
          <w:rFonts w:ascii="Calibri" w:hAnsi="Calibri"/>
          <w:rtl/>
        </w:rPr>
      </w:pPr>
      <w:hyperlink r:id="rId17" w:history="1">
        <w:r w:rsidR="00487529">
          <w:rPr>
            <w:rStyle w:val="Hyperlink"/>
            <w:b/>
            <w:bCs/>
          </w:rPr>
          <w:t>http://www.antidrugs.org.il/pages/924.aspx</w:t>
        </w:r>
      </w:hyperlink>
      <w:r w:rsidR="00487529">
        <w:rPr>
          <w:rFonts w:hint="cs"/>
          <w:b/>
          <w:bCs/>
          <w:rtl/>
        </w:rPr>
        <w:t xml:space="preserve">).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r w:rsidR="00487529">
        <w:rPr>
          <w:rFonts w:hint="cs"/>
          <w:rtl/>
        </w:rPr>
        <w:t>(ראו ב</w:t>
      </w:r>
      <w:hyperlink r:id="rId18" w:history="1">
        <w:r w:rsidR="00AD4E5B" w:rsidRPr="00AD4E5B">
          <w:rPr>
            <w:color w:val="0000FF"/>
            <w:u w:val="single"/>
            <w:rtl/>
          </w:rPr>
          <w:t>ע"פ 972/11</w:t>
        </w:r>
      </w:hyperlink>
      <w:r w:rsidR="00487529">
        <w:rPr>
          <w:rFonts w:hint="cs"/>
          <w:rtl/>
        </w:rPr>
        <w:t xml:space="preserve"> </w:t>
      </w:r>
      <w:r w:rsidR="00487529">
        <w:rPr>
          <w:rFonts w:hint="cs"/>
          <w:b/>
          <w:bCs/>
          <w:rtl/>
        </w:rPr>
        <w:t>מדינת ישראל נגד יונה</w:t>
      </w:r>
      <w:r w:rsidR="00487529">
        <w:rPr>
          <w:rFonts w:hint="cs"/>
          <w:rtl/>
        </w:rPr>
        <w:t xml:space="preserve"> [4.7.12], בפסקה 4).</w:t>
      </w:r>
    </w:p>
    <w:p w14:paraId="6023E973" w14:textId="77777777" w:rsidR="00487529" w:rsidRDefault="00487529" w:rsidP="00487529">
      <w:pPr>
        <w:pStyle w:val="a9"/>
        <w:spacing w:line="360" w:lineRule="auto"/>
        <w:jc w:val="both"/>
        <w:rPr>
          <w:rFonts w:ascii="Calibri" w:hAnsi="Calibri"/>
          <w:rtl/>
        </w:rPr>
      </w:pPr>
    </w:p>
    <w:p w14:paraId="5CBFD4B1" w14:textId="77777777" w:rsidR="00487529" w:rsidRDefault="00487529" w:rsidP="00487529">
      <w:pPr>
        <w:pStyle w:val="a9"/>
        <w:numPr>
          <w:ilvl w:val="0"/>
          <w:numId w:val="1"/>
        </w:numPr>
        <w:spacing w:line="360" w:lineRule="auto"/>
        <w:jc w:val="both"/>
        <w:rPr>
          <w:rFonts w:ascii="Calibri" w:hAnsi="Calibri"/>
          <w:rtl/>
        </w:rPr>
      </w:pPr>
      <w:r>
        <w:rPr>
          <w:rFonts w:ascii="Times New Roman" w:hAnsi="Times New Roman" w:hint="cs"/>
          <w:rtl/>
        </w:rPr>
        <w:t xml:space="preserve">אשר </w:t>
      </w:r>
      <w:r>
        <w:rPr>
          <w:rFonts w:ascii="Times New Roman" w:hAnsi="Times New Roman" w:hint="cs"/>
          <w:u w:val="single"/>
          <w:rtl/>
        </w:rPr>
        <w:t>לנסיבות הקשורות בביצוע העבירה</w:t>
      </w:r>
      <w:r>
        <w:rPr>
          <w:rFonts w:ascii="Times New Roman" w:hAnsi="Times New Roman" w:hint="cs"/>
          <w:rtl/>
        </w:rPr>
        <w:t xml:space="preserve">, ייאמר, כי המדובר במעשים  המעידים על תכנון מסוים, כאשר הסמים נמצאו מוסלקים במקומות שונים בחצר הבית הפרטי בו מתגורר הנאשם. בסופו של יום, הסמים לא הופצו לרחובות, אך הנזק הפוטנציאלי מהחזקת קנבוס במשקל כ – 369 גרם וקוקאין במשקל של כ – 99 גרם, לצד חומר ערבוב, הוא משמעותי. לא הובאו ראיות קונקרטיות למניע לביצוע העבירה, אך יש להניח שבצע כסף עומד מאחורי החזקת מגוון הסמים, כאשר שווי סם הקוקאין לבדו עומד על סך </w:t>
      </w:r>
      <w:r>
        <w:rPr>
          <w:rFonts w:ascii="Calibri" w:hAnsi="Calibri" w:hint="cs"/>
          <w:rtl/>
        </w:rPr>
        <w:t>50,000 ₪.</w:t>
      </w:r>
    </w:p>
    <w:p w14:paraId="464F6411" w14:textId="77777777" w:rsidR="00487529" w:rsidRDefault="00487529" w:rsidP="00487529">
      <w:pPr>
        <w:tabs>
          <w:tab w:val="left" w:pos="288"/>
          <w:tab w:val="left" w:pos="1008"/>
          <w:tab w:val="left" w:pos="1296"/>
          <w:tab w:val="left" w:pos="4896"/>
        </w:tabs>
        <w:overflowPunct w:val="0"/>
        <w:autoSpaceDE w:val="0"/>
        <w:autoSpaceDN w:val="0"/>
        <w:adjustRightInd w:val="0"/>
        <w:spacing w:line="360" w:lineRule="auto"/>
        <w:jc w:val="both"/>
        <w:rPr>
          <w:b/>
          <w:bCs/>
          <w:rtl/>
        </w:rPr>
      </w:pPr>
    </w:p>
    <w:p w14:paraId="6EBEAAE0" w14:textId="77777777" w:rsidR="00487529" w:rsidRDefault="00487529" w:rsidP="00487529">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Pr>
          <w:rFonts w:hint="cs"/>
          <w:rtl/>
        </w:rPr>
        <w:t>11.</w:t>
      </w:r>
      <w:r>
        <w:rPr>
          <w:rFonts w:hint="cs"/>
          <w:rtl/>
        </w:rPr>
        <w:tab/>
      </w:r>
      <w:r>
        <w:rPr>
          <w:rFonts w:hint="cs"/>
          <w:rtl/>
        </w:rPr>
        <w:tab/>
      </w:r>
      <w:r>
        <w:rPr>
          <w:rFonts w:ascii="Calibri" w:hAnsi="Calibri" w:hint="cs"/>
          <w:rtl/>
        </w:rPr>
        <w:t xml:space="preserve">לעניין </w:t>
      </w:r>
      <w:r>
        <w:rPr>
          <w:rFonts w:ascii="Calibri" w:hAnsi="Calibri" w:hint="cs"/>
          <w:u w:val="single"/>
          <w:rtl/>
        </w:rPr>
        <w:t xml:space="preserve">מדיניות הענישה </w:t>
      </w:r>
      <w:r>
        <w:rPr>
          <w:rFonts w:ascii="Calibri" w:hAnsi="Calibri" w:hint="cs"/>
          <w:rtl/>
        </w:rPr>
        <w:t>המתחייבת בנסיבות אלו,</w:t>
      </w:r>
      <w:r>
        <w:rPr>
          <w:rFonts w:ascii="Calibri" w:hAnsi="Calibri" w:hint="cs"/>
          <w:b/>
          <w:bCs/>
          <w:rtl/>
        </w:rPr>
        <w:t xml:space="preserve"> </w:t>
      </w:r>
      <w:r>
        <w:rPr>
          <w:rFonts w:ascii="Calibri" w:hAnsi="Calibri" w:hint="cs"/>
          <w:rtl/>
        </w:rPr>
        <w:t>ייאמר באופן כללי כי:</w:t>
      </w:r>
    </w:p>
    <w:p w14:paraId="23AE5740" w14:textId="77777777" w:rsidR="00487529" w:rsidRDefault="00487529" w:rsidP="00487529">
      <w:pPr>
        <w:jc w:val="both"/>
        <w:rPr>
          <w:rFonts w:ascii="David" w:hAnsi="David"/>
          <w:color w:val="000000"/>
          <w:rtl/>
        </w:rPr>
      </w:pPr>
      <w:r>
        <w:rPr>
          <w:rFonts w:hint="cs"/>
          <w:color w:val="000000"/>
          <w:sz w:val="27"/>
          <w:szCs w:val="27"/>
          <w:rtl/>
        </w:rPr>
        <w:tab/>
      </w:r>
    </w:p>
    <w:p w14:paraId="72560019" w14:textId="77777777" w:rsidR="00487529" w:rsidRDefault="00487529" w:rsidP="00487529">
      <w:pPr>
        <w:spacing w:line="360" w:lineRule="auto"/>
        <w:ind w:left="1440"/>
        <w:jc w:val="both"/>
        <w:rPr>
          <w:rFonts w:ascii="Calibri" w:hAnsi="Calibri"/>
        </w:rPr>
      </w:pPr>
      <w:r>
        <w:rPr>
          <w:rFonts w:hint="cs"/>
          <w:color w:val="000000"/>
          <w:rtl/>
        </w:rPr>
        <w:t>"</w:t>
      </w:r>
      <w:r>
        <w:rPr>
          <w:rFonts w:hint="cs"/>
          <w:b/>
          <w:bCs/>
          <w:color w:val="000000"/>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19" w:history="1">
        <w:r w:rsidR="00AD4E5B" w:rsidRPr="00AD4E5B">
          <w:rPr>
            <w:b/>
            <w:bCs/>
            <w:color w:val="0000FF"/>
            <w:u w:val="single"/>
            <w:rtl/>
          </w:rPr>
          <w:t>חוק העונשין</w:t>
        </w:r>
      </w:hyperlink>
      <w:r>
        <w:rPr>
          <w:rFonts w:hint="cs"/>
          <w:b/>
          <w:bCs/>
          <w:color w:val="000000"/>
          <w:rtl/>
        </w:rPr>
        <w:t xml:space="preserve">... </w:t>
      </w:r>
      <w:r>
        <w:rPr>
          <w:rFonts w:hint="cs"/>
          <w:color w:val="000000"/>
          <w:rtl/>
        </w:rPr>
        <w:t>(ראו ב</w:t>
      </w:r>
      <w:hyperlink r:id="rId20" w:history="1">
        <w:r w:rsidR="00AD4E5B" w:rsidRPr="00AD4E5B">
          <w:rPr>
            <w:color w:val="0000FF"/>
            <w:u w:val="single"/>
            <w:rtl/>
          </w:rPr>
          <w:t>ע"פ 1345/08</w:t>
        </w:r>
      </w:hyperlink>
      <w:r w:rsidR="00AD4E5B">
        <w:rPr>
          <w:rFonts w:hint="cs"/>
          <w:color w:val="000000"/>
          <w:rtl/>
        </w:rPr>
        <w:t xml:space="preserve"> </w:t>
      </w:r>
      <w:r>
        <w:rPr>
          <w:rFonts w:hint="cs"/>
          <w:b/>
          <w:bCs/>
          <w:color w:val="000000"/>
          <w:rtl/>
        </w:rPr>
        <w:t xml:space="preserve"> איסטחרוב נ' מדינת ישראל</w:t>
      </w:r>
      <w:r w:rsidR="00AD4E5B">
        <w:rPr>
          <w:rFonts w:hint="cs"/>
          <w:color w:val="000000"/>
          <w:rtl/>
        </w:rPr>
        <w:t xml:space="preserve"> </w:t>
      </w:r>
      <w:r>
        <w:rPr>
          <w:rFonts w:hint="cs"/>
          <w:color w:val="000000"/>
          <w:rtl/>
        </w:rPr>
        <w:t>[18.5.09], פסקה כ"ג).</w:t>
      </w:r>
    </w:p>
    <w:p w14:paraId="684EB4B8" w14:textId="77777777" w:rsidR="00487529" w:rsidRDefault="00487529" w:rsidP="00487529">
      <w:pPr>
        <w:tabs>
          <w:tab w:val="left" w:pos="288"/>
          <w:tab w:val="left" w:pos="1008"/>
          <w:tab w:val="left" w:pos="1296"/>
          <w:tab w:val="left" w:pos="4896"/>
        </w:tabs>
        <w:overflowPunct w:val="0"/>
        <w:autoSpaceDE w:val="0"/>
        <w:autoSpaceDN w:val="0"/>
        <w:adjustRightInd w:val="0"/>
        <w:spacing w:line="360" w:lineRule="auto"/>
        <w:jc w:val="both"/>
        <w:rPr>
          <w:rtl/>
        </w:rPr>
      </w:pPr>
    </w:p>
    <w:p w14:paraId="2E77D794" w14:textId="77777777" w:rsidR="00487529" w:rsidRDefault="00487529" w:rsidP="00487529">
      <w:pPr>
        <w:overflowPunct w:val="0"/>
        <w:autoSpaceDE w:val="0"/>
        <w:autoSpaceDN w:val="0"/>
        <w:adjustRightInd w:val="0"/>
        <w:spacing w:line="360" w:lineRule="auto"/>
        <w:ind w:left="720" w:hanging="720"/>
        <w:jc w:val="both"/>
        <w:rPr>
          <w:rFonts w:ascii="Calibri" w:eastAsia="Calibri" w:hAnsi="Calibri"/>
          <w:rtl/>
        </w:rPr>
      </w:pPr>
      <w:r>
        <w:rPr>
          <w:rFonts w:ascii="Calibri" w:eastAsia="Calibri" w:hAnsi="Calibri" w:hint="cs"/>
          <w:rtl/>
        </w:rPr>
        <w:t>12.</w:t>
      </w:r>
      <w:r>
        <w:rPr>
          <w:rFonts w:ascii="Calibri" w:eastAsia="Calibri" w:hAnsi="Calibri" w:hint="cs"/>
          <w:rtl/>
        </w:rPr>
        <w:tab/>
        <w:t>עיינתי בפסיקה שהוצגה על-ידי ב"כ הצדדים ובפסיקה נוספת, ולצורך קביעת מתחם העונש ההולם אציין את המרכזיים שבהם:</w:t>
      </w:r>
    </w:p>
    <w:p w14:paraId="46960F59" w14:textId="77777777" w:rsidR="00487529" w:rsidRDefault="00487529" w:rsidP="00487529">
      <w:pPr>
        <w:overflowPunct w:val="0"/>
        <w:autoSpaceDE w:val="0"/>
        <w:autoSpaceDN w:val="0"/>
        <w:adjustRightInd w:val="0"/>
        <w:spacing w:line="360" w:lineRule="auto"/>
        <w:ind w:left="713" w:hanging="713"/>
        <w:jc w:val="both"/>
        <w:rPr>
          <w:rFonts w:ascii="Calibri" w:eastAsia="Calibri" w:hAnsi="Calibri"/>
          <w:rtl/>
        </w:rPr>
      </w:pPr>
      <w:r>
        <w:rPr>
          <w:rFonts w:ascii="Calibri" w:eastAsia="Calibri" w:hAnsi="Calibri" w:hint="cs"/>
          <w:b/>
          <w:bCs/>
          <w:rtl/>
        </w:rPr>
        <w:tab/>
      </w:r>
    </w:p>
    <w:p w14:paraId="05D7A739" w14:textId="77777777" w:rsidR="00487529" w:rsidRDefault="00AD4E5B" w:rsidP="00487529">
      <w:pPr>
        <w:overflowPunct w:val="0"/>
        <w:autoSpaceDE w:val="0"/>
        <w:autoSpaceDN w:val="0"/>
        <w:adjustRightInd w:val="0"/>
        <w:spacing w:line="360" w:lineRule="auto"/>
        <w:ind w:left="713"/>
        <w:jc w:val="both"/>
        <w:rPr>
          <w:rFonts w:ascii="Calibri" w:eastAsia="Calibri" w:hAnsi="Calibri"/>
          <w:rtl/>
        </w:rPr>
      </w:pPr>
      <w:hyperlink r:id="rId21" w:history="1">
        <w:r w:rsidRPr="00AD4E5B">
          <w:rPr>
            <w:rFonts w:ascii="Calibri" w:eastAsia="Calibri" w:hAnsi="Calibri" w:hint="cs"/>
            <w:color w:val="0000FF"/>
            <w:u w:val="single"/>
            <w:rtl/>
          </w:rPr>
          <w:t>ע</w:t>
        </w:r>
        <w:r w:rsidRPr="00AD4E5B">
          <w:rPr>
            <w:rFonts w:ascii="Calibri" w:eastAsia="Calibri" w:hAnsi="Calibri"/>
            <w:color w:val="0000FF"/>
            <w:u w:val="single"/>
            <w:rtl/>
          </w:rPr>
          <w:t>"</w:t>
        </w:r>
        <w:r w:rsidRPr="00AD4E5B">
          <w:rPr>
            <w:rFonts w:ascii="Calibri" w:eastAsia="Calibri" w:hAnsi="Calibri" w:hint="cs"/>
            <w:color w:val="0000FF"/>
            <w:u w:val="single"/>
            <w:rtl/>
          </w:rPr>
          <w:t>פ</w:t>
        </w:r>
        <w:r w:rsidRPr="00AD4E5B">
          <w:rPr>
            <w:rFonts w:ascii="Calibri" w:eastAsia="Calibri" w:hAnsi="Calibri"/>
            <w:color w:val="0000FF"/>
            <w:u w:val="single"/>
            <w:rtl/>
          </w:rPr>
          <w:t xml:space="preserve"> 2279/15</w:t>
        </w:r>
      </w:hyperlink>
      <w:r w:rsidR="00487529">
        <w:rPr>
          <w:rFonts w:ascii="Calibri" w:eastAsia="Calibri" w:hAnsi="Calibri" w:hint="cs"/>
          <w:rtl/>
        </w:rPr>
        <w:t xml:space="preserve"> </w:t>
      </w:r>
      <w:r w:rsidR="00487529">
        <w:rPr>
          <w:rFonts w:ascii="Calibri" w:eastAsia="Calibri" w:hAnsi="Calibri" w:hint="cs"/>
          <w:b/>
          <w:bCs/>
          <w:rtl/>
        </w:rPr>
        <w:t>בורוחוב נ' מדינת ישראל</w:t>
      </w:r>
      <w:r w:rsidR="00487529">
        <w:rPr>
          <w:rFonts w:ascii="Calibri" w:eastAsia="Calibri" w:hAnsi="Calibri" w:hint="cs"/>
          <w:rtl/>
        </w:rPr>
        <w:t xml:space="preserve"> [31.1.16] (הוגש על-ידי התביעה): המערער הורשע לאחר ניהול הוכחות בעבירות של החזקת סמים שלא לצריכה עצמית, ובהחזקת סמים וכלים לצריכה עצמית. המערער החזיק בביתו ובחצר קוקאין במשקל של כ- 50 גרם, חשיש במשקל של כ- 17 גרם, מאות כדורים של </w:t>
      </w:r>
      <w:r w:rsidR="00487529">
        <w:rPr>
          <w:rFonts w:ascii="Calibri" w:eastAsia="Calibri" w:hAnsi="Calibri"/>
        </w:rPr>
        <w:t xml:space="preserve">MDMA </w:t>
      </w:r>
      <w:r w:rsidR="00487529">
        <w:rPr>
          <w:rFonts w:ascii="Calibri" w:eastAsia="Calibri" w:hAnsi="Calibri" w:hint="cs"/>
          <w:rtl/>
        </w:rPr>
        <w:t xml:space="preserve"> ומשקל אלקטרוני. בגין האישום שעניינו בהחזקת סם שלא לצריכה עצמית נקבע מתחם עונש הולם שנע בין 24- 48 חודשי מאסר. על המערער, שלחובתו עבר פלילי מכביד, לרבות בעבירות סמים, נגזר עונש מאסר בפועל בן 28 חודשים. ערעור שהגיש נדחה וצוין, כי עונשו של המערער מצוי בסמוך לרף התחתון של מתחם הענישה חרף עברו הפלילי המכביד.</w:t>
      </w:r>
    </w:p>
    <w:p w14:paraId="3D36D9AC" w14:textId="77777777" w:rsidR="00487529" w:rsidRDefault="00487529" w:rsidP="00487529">
      <w:pPr>
        <w:overflowPunct w:val="0"/>
        <w:autoSpaceDE w:val="0"/>
        <w:autoSpaceDN w:val="0"/>
        <w:adjustRightInd w:val="0"/>
        <w:spacing w:line="360" w:lineRule="auto"/>
        <w:ind w:left="713"/>
        <w:jc w:val="both"/>
        <w:rPr>
          <w:rFonts w:ascii="Calibri" w:eastAsia="Calibri" w:hAnsi="Calibri"/>
          <w:rtl/>
        </w:rPr>
      </w:pPr>
    </w:p>
    <w:p w14:paraId="7C497C83" w14:textId="77777777" w:rsidR="00487529" w:rsidRDefault="00AD4E5B" w:rsidP="00487529">
      <w:pPr>
        <w:overflowPunct w:val="0"/>
        <w:autoSpaceDE w:val="0"/>
        <w:autoSpaceDN w:val="0"/>
        <w:adjustRightInd w:val="0"/>
        <w:spacing w:line="360" w:lineRule="auto"/>
        <w:ind w:left="713"/>
        <w:jc w:val="both"/>
        <w:rPr>
          <w:rFonts w:ascii="Calibri" w:eastAsia="Calibri" w:hAnsi="Calibri"/>
          <w:rtl/>
        </w:rPr>
      </w:pPr>
      <w:hyperlink r:id="rId22" w:history="1">
        <w:r w:rsidRPr="00AD4E5B">
          <w:rPr>
            <w:rFonts w:ascii="Calibri" w:eastAsia="Calibri" w:hAnsi="Calibri" w:hint="cs"/>
            <w:color w:val="0000FF"/>
            <w:u w:val="single"/>
            <w:rtl/>
          </w:rPr>
          <w:t>ע</w:t>
        </w:r>
        <w:r w:rsidRPr="00AD4E5B">
          <w:rPr>
            <w:rFonts w:ascii="Calibri" w:eastAsia="Calibri" w:hAnsi="Calibri"/>
            <w:color w:val="0000FF"/>
            <w:u w:val="single"/>
            <w:rtl/>
          </w:rPr>
          <w:t>"</w:t>
        </w:r>
        <w:r w:rsidRPr="00AD4E5B">
          <w:rPr>
            <w:rFonts w:ascii="Calibri" w:eastAsia="Calibri" w:hAnsi="Calibri" w:hint="cs"/>
            <w:color w:val="0000FF"/>
            <w:u w:val="single"/>
            <w:rtl/>
          </w:rPr>
          <w:t>פ</w:t>
        </w:r>
        <w:r w:rsidRPr="00AD4E5B">
          <w:rPr>
            <w:rFonts w:ascii="Calibri" w:eastAsia="Calibri" w:hAnsi="Calibri"/>
            <w:color w:val="0000FF"/>
            <w:u w:val="single"/>
            <w:rtl/>
          </w:rPr>
          <w:t xml:space="preserve"> 8048/19</w:t>
        </w:r>
      </w:hyperlink>
      <w:r w:rsidR="00487529">
        <w:rPr>
          <w:rFonts w:ascii="Calibri" w:eastAsia="Calibri" w:hAnsi="Calibri" w:hint="cs"/>
          <w:rtl/>
        </w:rPr>
        <w:t xml:space="preserve"> </w:t>
      </w:r>
      <w:r w:rsidR="00487529">
        <w:rPr>
          <w:rFonts w:ascii="Calibri" w:eastAsia="Calibri" w:hAnsi="Calibri" w:hint="cs"/>
          <w:b/>
          <w:bCs/>
          <w:rtl/>
        </w:rPr>
        <w:t>פיצ'חדזה נ' מדינת ישראל</w:t>
      </w:r>
      <w:r w:rsidR="00487529">
        <w:rPr>
          <w:rFonts w:ascii="Calibri" w:eastAsia="Calibri" w:hAnsi="Calibri" w:hint="cs"/>
          <w:rtl/>
        </w:rPr>
        <w:t xml:space="preserve"> [4.6.20] (הוגש על-ידי התביעה): פסק-דין שהוא רלבנטי בעיקר לביסוס מתחם העונש ההולם לו עתרה התביעה. המערער החזיק בביתו 55 גרם של קוקאין המחולק ל- 38 מנות, וכן משקל אלקטרוני, והורשע על יסוד הודאתו בעבירות של החזקת סמים שלא לצריכה עצמית והחזקת כלים להכנת סם. בית-המשפט המחוזי קבע מתחם עונש הולם שנע בין 24 ל – 42 חודשי מאסר. למערער עבר פלילי שכלל עבירות אלימות ושוד, אך בית-המשפט המחוזי קבע שיש לחרוג ממתחם העונש ההולם בשל הליך טיפול משמעותי שעבר, והשית עליו עונש של 18 חודשי מאסר בפועל לצד קנס בסך 10,000 ₪. ערעור על חומרת העונש נדחה.</w:t>
      </w:r>
    </w:p>
    <w:p w14:paraId="2A3AB669" w14:textId="77777777" w:rsidR="00487529" w:rsidRDefault="00AD4E5B" w:rsidP="00487529">
      <w:pPr>
        <w:overflowPunct w:val="0"/>
        <w:autoSpaceDE w:val="0"/>
        <w:autoSpaceDN w:val="0"/>
        <w:adjustRightInd w:val="0"/>
        <w:spacing w:line="360" w:lineRule="auto"/>
        <w:ind w:left="713"/>
        <w:jc w:val="both"/>
        <w:rPr>
          <w:rFonts w:ascii="Calibri" w:eastAsia="Calibri" w:hAnsi="Calibri"/>
          <w:rtl/>
        </w:rPr>
      </w:pPr>
      <w:hyperlink r:id="rId23" w:history="1">
        <w:r w:rsidRPr="00AD4E5B">
          <w:rPr>
            <w:rFonts w:ascii="Calibri" w:eastAsia="Calibri" w:hAnsi="Calibri" w:hint="cs"/>
            <w:color w:val="0000FF"/>
            <w:u w:val="single"/>
            <w:rtl/>
          </w:rPr>
          <w:t>ת</w:t>
        </w:r>
        <w:r w:rsidRPr="00AD4E5B">
          <w:rPr>
            <w:rFonts w:ascii="Calibri" w:eastAsia="Calibri" w:hAnsi="Calibri"/>
            <w:color w:val="0000FF"/>
            <w:u w:val="single"/>
            <w:rtl/>
          </w:rPr>
          <w:t>"</w:t>
        </w:r>
        <w:r w:rsidRPr="00AD4E5B">
          <w:rPr>
            <w:rFonts w:ascii="Calibri" w:eastAsia="Calibri" w:hAnsi="Calibri" w:hint="cs"/>
            <w:color w:val="0000FF"/>
            <w:u w:val="single"/>
            <w:rtl/>
          </w:rPr>
          <w:t>פ</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מחוזי</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ת</w:t>
        </w:r>
        <w:r w:rsidRPr="00AD4E5B">
          <w:rPr>
            <w:rFonts w:ascii="Calibri" w:eastAsia="Calibri" w:hAnsi="Calibri"/>
            <w:color w:val="0000FF"/>
            <w:u w:val="single"/>
            <w:rtl/>
          </w:rPr>
          <w:t>"</w:t>
        </w:r>
        <w:r w:rsidRPr="00AD4E5B">
          <w:rPr>
            <w:rFonts w:ascii="Calibri" w:eastAsia="Calibri" w:hAnsi="Calibri" w:hint="cs"/>
            <w:color w:val="0000FF"/>
            <w:u w:val="single"/>
            <w:rtl/>
          </w:rPr>
          <w:t>א</w:t>
        </w:r>
        <w:r w:rsidRPr="00AD4E5B">
          <w:rPr>
            <w:rFonts w:ascii="Calibri" w:eastAsia="Calibri" w:hAnsi="Calibri"/>
            <w:color w:val="0000FF"/>
            <w:u w:val="single"/>
            <w:rtl/>
          </w:rPr>
          <w:t>) 6678-12-20</w:t>
        </w:r>
      </w:hyperlink>
      <w:r w:rsidR="00487529">
        <w:rPr>
          <w:rFonts w:ascii="Calibri" w:eastAsia="Calibri" w:hAnsi="Calibri" w:hint="cs"/>
          <w:rtl/>
        </w:rPr>
        <w:t xml:space="preserve"> </w:t>
      </w:r>
      <w:r w:rsidR="00487529">
        <w:rPr>
          <w:rFonts w:ascii="Calibri" w:eastAsia="Calibri" w:hAnsi="Calibri" w:hint="cs"/>
          <w:b/>
          <w:bCs/>
          <w:rtl/>
        </w:rPr>
        <w:t>מדינת ישראל נ' פלוני</w:t>
      </w:r>
      <w:r w:rsidR="00487529">
        <w:rPr>
          <w:rFonts w:ascii="Calibri" w:eastAsia="Calibri" w:hAnsi="Calibri" w:hint="cs"/>
          <w:rtl/>
        </w:rPr>
        <w:t xml:space="preserve"> [25.11.21] (הוגש על-ידי ההגנה): הנאשם הורשע על בסיס הודאתו בעבירה של החזקת סם מסוכן שלא לצריכה עצמית בכך שהחזיק במקומות שונים בדירתו סמים מסוכנים </w:t>
      </w:r>
      <w:r w:rsidR="00487529">
        <w:rPr>
          <w:rFonts w:ascii="Calibri" w:eastAsia="Calibri" w:hAnsi="Calibri"/>
        </w:rPr>
        <w:t>KETAMINE</w:t>
      </w:r>
      <w:r w:rsidR="00487529">
        <w:rPr>
          <w:rFonts w:ascii="Calibri" w:eastAsia="Calibri" w:hAnsi="Calibri" w:hint="cs"/>
          <w:rtl/>
        </w:rPr>
        <w:t xml:space="preserve"> ו- </w:t>
      </w:r>
      <w:r w:rsidR="00487529">
        <w:rPr>
          <w:rFonts w:ascii="Calibri" w:eastAsia="Calibri" w:hAnsi="Calibri"/>
        </w:rPr>
        <w:t>MDMA</w:t>
      </w:r>
      <w:r w:rsidR="00487529">
        <w:rPr>
          <w:rFonts w:ascii="Calibri" w:eastAsia="Calibri" w:hAnsi="Calibri" w:hint="cs"/>
          <w:rtl/>
        </w:rPr>
        <w:t xml:space="preserve"> במשקל של מאות גרמים. המאשימה הגבילה את עתירתה העונשית ל- 20 חודשי מאסר. נקבע מתחם עונש הולם שנע מ- 12 ועד 36 חודשי מאסר בפועל, ולאחר חריגה מהמתחם בשל שיקולי שיקום (וכן נסיבות אישיות קשות ביותר) העונש הועמד על 9 חודשי עבודות שירות, וקנס בסך 7000 ₪. </w:t>
      </w:r>
    </w:p>
    <w:p w14:paraId="2974A7B2" w14:textId="77777777" w:rsidR="00487529" w:rsidRPr="002870B2" w:rsidRDefault="00487529" w:rsidP="00487529">
      <w:pPr>
        <w:pStyle w:val="a9"/>
        <w:spacing w:line="360" w:lineRule="auto"/>
        <w:jc w:val="both"/>
        <w:rPr>
          <w:rtl/>
        </w:rPr>
      </w:pPr>
    </w:p>
    <w:p w14:paraId="7B52316D" w14:textId="77777777" w:rsidR="00487529" w:rsidRDefault="00AD4E5B" w:rsidP="00487529">
      <w:pPr>
        <w:overflowPunct w:val="0"/>
        <w:autoSpaceDE w:val="0"/>
        <w:autoSpaceDN w:val="0"/>
        <w:adjustRightInd w:val="0"/>
        <w:spacing w:line="360" w:lineRule="auto"/>
        <w:ind w:left="713"/>
        <w:jc w:val="both"/>
        <w:rPr>
          <w:rFonts w:ascii="Calibri" w:eastAsia="Calibri" w:hAnsi="Calibri"/>
          <w:rtl/>
        </w:rPr>
      </w:pPr>
      <w:hyperlink r:id="rId24" w:history="1">
        <w:r w:rsidRPr="00AD4E5B">
          <w:rPr>
            <w:rFonts w:ascii="Calibri" w:eastAsia="Calibri" w:hAnsi="Calibri" w:hint="cs"/>
            <w:color w:val="0000FF"/>
            <w:u w:val="single"/>
            <w:rtl/>
          </w:rPr>
          <w:t>ת</w:t>
        </w:r>
        <w:r w:rsidRPr="00AD4E5B">
          <w:rPr>
            <w:rFonts w:ascii="Calibri" w:eastAsia="Calibri" w:hAnsi="Calibri"/>
            <w:color w:val="0000FF"/>
            <w:u w:val="single"/>
            <w:rtl/>
          </w:rPr>
          <w:t>"</w:t>
        </w:r>
        <w:r w:rsidRPr="00AD4E5B">
          <w:rPr>
            <w:rFonts w:ascii="Calibri" w:eastAsia="Calibri" w:hAnsi="Calibri" w:hint="cs"/>
            <w:color w:val="0000FF"/>
            <w:u w:val="single"/>
            <w:rtl/>
          </w:rPr>
          <w:t>פ</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מחוזי</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ת</w:t>
        </w:r>
        <w:r w:rsidRPr="00AD4E5B">
          <w:rPr>
            <w:rFonts w:ascii="Calibri" w:eastAsia="Calibri" w:hAnsi="Calibri"/>
            <w:color w:val="0000FF"/>
            <w:u w:val="single"/>
            <w:rtl/>
          </w:rPr>
          <w:t>"</w:t>
        </w:r>
        <w:r w:rsidRPr="00AD4E5B">
          <w:rPr>
            <w:rFonts w:ascii="Calibri" w:eastAsia="Calibri" w:hAnsi="Calibri" w:hint="cs"/>
            <w:color w:val="0000FF"/>
            <w:u w:val="single"/>
            <w:rtl/>
          </w:rPr>
          <w:t>א</w:t>
        </w:r>
        <w:r w:rsidRPr="00AD4E5B">
          <w:rPr>
            <w:rFonts w:ascii="Calibri" w:eastAsia="Calibri" w:hAnsi="Calibri"/>
            <w:color w:val="0000FF"/>
            <w:u w:val="single"/>
            <w:rtl/>
          </w:rPr>
          <w:t>) 44129-09-19</w:t>
        </w:r>
      </w:hyperlink>
      <w:r w:rsidR="00487529">
        <w:rPr>
          <w:rFonts w:ascii="Calibri" w:eastAsia="Calibri" w:hAnsi="Calibri" w:hint="cs"/>
          <w:rtl/>
        </w:rPr>
        <w:t xml:space="preserve"> </w:t>
      </w:r>
      <w:r w:rsidR="00487529">
        <w:rPr>
          <w:rFonts w:ascii="Calibri" w:eastAsia="Calibri" w:hAnsi="Calibri" w:hint="cs"/>
          <w:b/>
          <w:bCs/>
          <w:rtl/>
        </w:rPr>
        <w:t>מדינת ישראל נ' אלקאים</w:t>
      </w:r>
      <w:r w:rsidR="00487529">
        <w:rPr>
          <w:rFonts w:ascii="Calibri" w:eastAsia="Calibri" w:hAnsi="Calibri" w:hint="cs"/>
          <w:rtl/>
        </w:rPr>
        <w:t xml:space="preserve"> [9.11.20] (הוגש על-ידי התביעה): הנאשם הורשע על יסוד הודאתו בעבירות של החזקת סם שלא לצריכה עצמית והחזקת כלים המשמשים להכנת סם בכך, שהחזיק ברכב שבבעלות אימו, בשני מקומות שונים, בארבע אריזות המכילות קוקאין במשקל של כ- 80 גרם, וכן באריזה פתוחה המכילה קוקאין במשקל של כ- 20 גרם. לנאשם 7 הרשעות קודמות, בגין ביצוע עבירות אלימות וסמים, וכן נשא מאסרים בעברו. נקבע מתחם עונש הולם שנע בין 24 ל- 60 חודשי מאסר, ולא היתה מחלוקת כי יש למקם את עונשו סמוך לרף התחתון של המתחם על רקע שילובו בקהילה טיפולית. על הנאשם הוטל עונש של 28 חודשי מאסר בפועל. </w:t>
      </w:r>
    </w:p>
    <w:p w14:paraId="1B3F13AB" w14:textId="77777777" w:rsidR="00487529" w:rsidRPr="002870B2" w:rsidRDefault="00487529" w:rsidP="00487529">
      <w:pPr>
        <w:pStyle w:val="a9"/>
        <w:spacing w:line="360" w:lineRule="auto"/>
        <w:jc w:val="both"/>
        <w:rPr>
          <w:rtl/>
        </w:rPr>
      </w:pPr>
    </w:p>
    <w:p w14:paraId="5DE23E57" w14:textId="77777777" w:rsidR="00487529" w:rsidRDefault="00AD4E5B" w:rsidP="00487529">
      <w:pPr>
        <w:overflowPunct w:val="0"/>
        <w:autoSpaceDE w:val="0"/>
        <w:autoSpaceDN w:val="0"/>
        <w:adjustRightInd w:val="0"/>
        <w:spacing w:line="360" w:lineRule="auto"/>
        <w:ind w:left="713"/>
        <w:jc w:val="both"/>
        <w:rPr>
          <w:rFonts w:ascii="Calibri" w:eastAsia="Calibri" w:hAnsi="Calibri"/>
          <w:rtl/>
        </w:rPr>
      </w:pPr>
      <w:hyperlink r:id="rId25" w:history="1">
        <w:r w:rsidRPr="00AD4E5B">
          <w:rPr>
            <w:rFonts w:ascii="Calibri" w:eastAsia="Calibri" w:hAnsi="Calibri" w:hint="cs"/>
            <w:color w:val="0000FF"/>
            <w:u w:val="single"/>
            <w:rtl/>
          </w:rPr>
          <w:t>ת</w:t>
        </w:r>
        <w:r w:rsidRPr="00AD4E5B">
          <w:rPr>
            <w:rFonts w:ascii="Calibri" w:eastAsia="Calibri" w:hAnsi="Calibri"/>
            <w:color w:val="0000FF"/>
            <w:u w:val="single"/>
            <w:rtl/>
          </w:rPr>
          <w:t>"</w:t>
        </w:r>
        <w:r w:rsidRPr="00AD4E5B">
          <w:rPr>
            <w:rFonts w:ascii="Calibri" w:eastAsia="Calibri" w:hAnsi="Calibri" w:hint="cs"/>
            <w:color w:val="0000FF"/>
            <w:u w:val="single"/>
            <w:rtl/>
          </w:rPr>
          <w:t>פ</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שלום</w:t>
        </w:r>
        <w:r w:rsidRPr="00AD4E5B">
          <w:rPr>
            <w:rFonts w:ascii="Calibri" w:eastAsia="Calibri" w:hAnsi="Calibri"/>
            <w:color w:val="0000FF"/>
            <w:u w:val="single"/>
            <w:rtl/>
          </w:rPr>
          <w:t xml:space="preserve"> </w:t>
        </w:r>
        <w:r w:rsidRPr="00AD4E5B">
          <w:rPr>
            <w:rFonts w:ascii="Calibri" w:eastAsia="Calibri" w:hAnsi="Calibri" w:hint="cs"/>
            <w:color w:val="0000FF"/>
            <w:u w:val="single"/>
            <w:rtl/>
          </w:rPr>
          <w:t>חיפה</w:t>
        </w:r>
        <w:r w:rsidRPr="00AD4E5B">
          <w:rPr>
            <w:rFonts w:ascii="Calibri" w:eastAsia="Calibri" w:hAnsi="Calibri"/>
            <w:color w:val="0000FF"/>
            <w:u w:val="single"/>
            <w:rtl/>
          </w:rPr>
          <w:t>) 37062-10-20</w:t>
        </w:r>
      </w:hyperlink>
      <w:r w:rsidR="00487529">
        <w:rPr>
          <w:rFonts w:ascii="Calibri" w:eastAsia="Calibri" w:hAnsi="Calibri" w:hint="cs"/>
          <w:rtl/>
        </w:rPr>
        <w:t xml:space="preserve"> </w:t>
      </w:r>
      <w:r w:rsidR="00487529">
        <w:rPr>
          <w:rFonts w:ascii="Calibri" w:eastAsia="Calibri" w:hAnsi="Calibri" w:hint="cs"/>
          <w:b/>
          <w:bCs/>
          <w:rtl/>
        </w:rPr>
        <w:t>מדינת ישראל נ' מחרום</w:t>
      </w:r>
      <w:r w:rsidR="00487529">
        <w:rPr>
          <w:rFonts w:ascii="Calibri" w:eastAsia="Calibri" w:hAnsi="Calibri" w:hint="cs"/>
          <w:rtl/>
        </w:rPr>
        <w:t xml:space="preserve"> [21.4.21] (הוגש על-ידי ההגנה): הנאשם הורשע על פי הודאתו בעבירה של החזקת סמים שלא לצריכה עצמית, בכך שבעת שנסע ברכב יחד אחר שנהג, החזיק במכנסיו כפפה ובה קוקאין במשקל של כ- 60 גרם. הנאשם שיתף כי כשנה לאחר שאביו נרצח לנגד עיניו, כשהיה בן 18, החל לצרוך קנאביס והסתובב בחברה שולית הצורכת סמי רחוב. לחובתו הרשעה בעבירת סיוע לשוד בחבורה, ונדון בעבר למאסר בעבודות שירות. נקבע מתחם עונש הולם שנע בין 15 ל- 30 חודשי מאסר, ועל הנאשם הוטל עונש של 17 חודשי מאסר בפועל. </w:t>
      </w:r>
    </w:p>
    <w:p w14:paraId="4B7E8ACA" w14:textId="77777777" w:rsidR="00487529" w:rsidRDefault="00487529" w:rsidP="00487529">
      <w:pPr>
        <w:overflowPunct w:val="0"/>
        <w:autoSpaceDE w:val="0"/>
        <w:autoSpaceDN w:val="0"/>
        <w:adjustRightInd w:val="0"/>
        <w:spacing w:line="360" w:lineRule="auto"/>
        <w:ind w:left="713" w:hanging="713"/>
        <w:jc w:val="both"/>
        <w:rPr>
          <w:rFonts w:ascii="Calibri" w:eastAsia="Calibri" w:hAnsi="Calibri"/>
          <w:rtl/>
        </w:rPr>
      </w:pPr>
    </w:p>
    <w:p w14:paraId="509F3289" w14:textId="77777777" w:rsidR="00487529" w:rsidRDefault="00487529" w:rsidP="00487529">
      <w:pPr>
        <w:overflowPunct w:val="0"/>
        <w:autoSpaceDE w:val="0"/>
        <w:autoSpaceDN w:val="0"/>
        <w:adjustRightInd w:val="0"/>
        <w:spacing w:line="360" w:lineRule="auto"/>
        <w:ind w:left="713" w:hanging="713"/>
        <w:jc w:val="both"/>
        <w:rPr>
          <w:rFonts w:ascii="David" w:hAnsi="David"/>
          <w:rtl/>
        </w:rPr>
      </w:pPr>
      <w:r>
        <w:rPr>
          <w:rFonts w:ascii="Calibri" w:eastAsia="Calibri" w:hAnsi="Calibri" w:hint="cs"/>
          <w:rtl/>
        </w:rPr>
        <w:t>13.</w:t>
      </w:r>
      <w:r>
        <w:rPr>
          <w:rFonts w:ascii="Calibri" w:eastAsia="Calibri" w:hAnsi="Calibri" w:hint="cs"/>
          <w:b/>
          <w:bCs/>
          <w:rtl/>
        </w:rPr>
        <w:tab/>
      </w:r>
      <w:r>
        <w:rPr>
          <w:rFonts w:ascii="Calibri" w:eastAsia="Calibri" w:hAnsi="Calibri" w:hint="cs"/>
          <w:rtl/>
        </w:rPr>
        <w:t xml:space="preserve">סקירה זו משקפת קשת מקרים רלבנטיים, כאשר לאחר ביצוע אבחנות מתבקשות, אני קובעת </w:t>
      </w:r>
      <w:r w:rsidRPr="002870B2">
        <w:rPr>
          <w:rFonts w:ascii="Calibri" w:eastAsia="Calibri" w:hAnsi="Calibri" w:hint="cs"/>
          <w:rtl/>
        </w:rPr>
        <w:t>מתחם</w:t>
      </w:r>
      <w:r>
        <w:rPr>
          <w:rFonts w:ascii="Calibri" w:eastAsia="Calibri" w:hAnsi="Calibri" w:hint="cs"/>
          <w:u w:val="single"/>
          <w:rtl/>
        </w:rPr>
        <w:t xml:space="preserve"> עונש הולם אשר נע בין </w:t>
      </w:r>
      <w:r>
        <w:rPr>
          <w:rFonts w:hint="cs"/>
          <w:u w:val="single"/>
          <w:rtl/>
        </w:rPr>
        <w:t>24 - 48 חודשי מאסר בפועל</w:t>
      </w:r>
      <w:r>
        <w:rPr>
          <w:rFonts w:hint="cs"/>
          <w:rtl/>
        </w:rPr>
        <w:t>, מתחם לו עתרה התביעה.</w:t>
      </w:r>
    </w:p>
    <w:p w14:paraId="066292BB" w14:textId="77777777" w:rsidR="00487529" w:rsidRDefault="00487529" w:rsidP="00487529">
      <w:pPr>
        <w:overflowPunct w:val="0"/>
        <w:autoSpaceDE w:val="0"/>
        <w:autoSpaceDN w:val="0"/>
        <w:adjustRightInd w:val="0"/>
        <w:spacing w:line="360" w:lineRule="auto"/>
        <w:jc w:val="both"/>
        <w:rPr>
          <w:rFonts w:ascii="Calibri" w:eastAsia="Calibri" w:hAnsi="Calibri"/>
          <w:rtl/>
        </w:rPr>
      </w:pPr>
    </w:p>
    <w:p w14:paraId="0EA3C510" w14:textId="77777777" w:rsidR="00487529" w:rsidRDefault="00487529" w:rsidP="00487529">
      <w:pPr>
        <w:spacing w:after="200" w:line="360" w:lineRule="auto"/>
        <w:ind w:left="713" w:hanging="720"/>
        <w:jc w:val="both"/>
        <w:rPr>
          <w:rFonts w:ascii="Calibri" w:eastAsia="Calibri" w:hAnsi="Calibri"/>
          <w:rtl/>
        </w:rPr>
      </w:pPr>
      <w:r>
        <w:rPr>
          <w:rFonts w:ascii="Calibri" w:eastAsia="Calibri" w:hAnsi="Calibri" w:hint="cs"/>
          <w:rtl/>
        </w:rPr>
        <w:t>14.</w:t>
      </w:r>
      <w:r>
        <w:rPr>
          <w:rFonts w:ascii="Calibri" w:eastAsia="Calibri" w:hAnsi="Calibri" w:hint="cs"/>
          <w:rtl/>
        </w:rPr>
        <w:tab/>
      </w:r>
      <w:r>
        <w:rPr>
          <w:rFonts w:ascii="Calibri" w:eastAsia="Calibri" w:hAnsi="Calibri" w:hint="cs"/>
          <w:rtl/>
        </w:rPr>
        <w:tab/>
        <w:t xml:space="preserve">בעניינו של הנאשם לא נטען ולא הוצג כל שיקול אשר מצדיק חריגה מהמתחם מטעמי שיקום (או מטעמי הגנה על שלום הציבור). על כן, עונשו ייגזר בתוך המתחם ויש להתחשב בנסיבות אשר אינן קשורות בביצוע העבירות, כמפורט </w:t>
      </w:r>
      <w:hyperlink r:id="rId26" w:history="1">
        <w:r w:rsidR="00A743DC" w:rsidRPr="00A743DC">
          <w:rPr>
            <w:rStyle w:val="Hyperlink"/>
            <w:rFonts w:ascii="Calibri" w:eastAsia="Calibri" w:hAnsi="Calibri" w:hint="cs"/>
            <w:rtl/>
          </w:rPr>
          <w:t>בסעיף</w:t>
        </w:r>
        <w:r w:rsidR="00A743DC" w:rsidRPr="00A743DC">
          <w:rPr>
            <w:rStyle w:val="Hyperlink"/>
            <w:rFonts w:ascii="Calibri" w:eastAsia="Calibri" w:hAnsi="Calibri"/>
            <w:rtl/>
          </w:rPr>
          <w:t xml:space="preserve"> 40</w:t>
        </w:r>
        <w:r w:rsidR="00A743DC" w:rsidRPr="00A743DC">
          <w:rPr>
            <w:rStyle w:val="Hyperlink"/>
            <w:rFonts w:ascii="Calibri" w:eastAsia="Calibri" w:hAnsi="Calibri" w:hint="cs"/>
            <w:rtl/>
          </w:rPr>
          <w:t>יא</w:t>
        </w:r>
        <w:r w:rsidR="00A743DC" w:rsidRPr="00A743DC">
          <w:rPr>
            <w:rStyle w:val="Hyperlink"/>
            <w:rFonts w:ascii="Calibri" w:eastAsia="Calibri" w:hAnsi="Calibri"/>
            <w:rtl/>
          </w:rPr>
          <w:t>'</w:t>
        </w:r>
      </w:hyperlink>
      <w:r>
        <w:rPr>
          <w:rFonts w:ascii="Calibri" w:eastAsia="Calibri" w:hAnsi="Calibri" w:hint="cs"/>
          <w:rtl/>
        </w:rPr>
        <w:t xml:space="preserve"> ל</w:t>
      </w:r>
      <w:hyperlink r:id="rId27" w:history="1">
        <w:r w:rsidR="00AD4E5B" w:rsidRPr="00AD4E5B">
          <w:rPr>
            <w:rFonts w:ascii="Calibri" w:eastAsia="Calibri" w:hAnsi="Calibri" w:hint="cs"/>
            <w:color w:val="0000FF"/>
            <w:u w:val="single"/>
            <w:rtl/>
          </w:rPr>
          <w:t>חוק</w:t>
        </w:r>
        <w:r w:rsidR="00AD4E5B" w:rsidRPr="00AD4E5B">
          <w:rPr>
            <w:rFonts w:ascii="Calibri" w:eastAsia="Calibri" w:hAnsi="Calibri"/>
            <w:color w:val="0000FF"/>
            <w:u w:val="single"/>
            <w:rtl/>
          </w:rPr>
          <w:t xml:space="preserve"> </w:t>
        </w:r>
        <w:r w:rsidR="00AD4E5B" w:rsidRPr="00AD4E5B">
          <w:rPr>
            <w:rFonts w:ascii="Calibri" w:eastAsia="Calibri" w:hAnsi="Calibri" w:hint="cs"/>
            <w:color w:val="0000FF"/>
            <w:u w:val="single"/>
            <w:rtl/>
          </w:rPr>
          <w:t>העונשין</w:t>
        </w:r>
      </w:hyperlink>
      <w:r>
        <w:rPr>
          <w:rFonts w:ascii="Calibri" w:eastAsia="Calibri" w:hAnsi="Calibri" w:hint="cs"/>
          <w:rtl/>
        </w:rPr>
        <w:t xml:space="preserve">. </w:t>
      </w:r>
    </w:p>
    <w:p w14:paraId="3BCBA1F9" w14:textId="77777777" w:rsidR="00487529" w:rsidRDefault="00487529" w:rsidP="00487529">
      <w:pPr>
        <w:overflowPunct w:val="0"/>
        <w:autoSpaceDE w:val="0"/>
        <w:autoSpaceDN w:val="0"/>
        <w:adjustRightInd w:val="0"/>
        <w:spacing w:line="360" w:lineRule="auto"/>
        <w:jc w:val="both"/>
        <w:rPr>
          <w:rFonts w:ascii="Calibri" w:eastAsia="Calibri" w:hAnsi="Calibri"/>
          <w:rtl/>
        </w:rPr>
      </w:pPr>
    </w:p>
    <w:p w14:paraId="0E1198EA" w14:textId="77777777" w:rsidR="00487529" w:rsidRDefault="00487529" w:rsidP="00487529">
      <w:pPr>
        <w:spacing w:after="200" w:line="360" w:lineRule="auto"/>
        <w:ind w:left="713" w:hanging="720"/>
        <w:jc w:val="both"/>
        <w:rPr>
          <w:rFonts w:ascii="Calibri" w:eastAsia="Calibri" w:hAnsi="Calibri"/>
          <w:rtl/>
        </w:rPr>
      </w:pPr>
      <w:r>
        <w:rPr>
          <w:rFonts w:ascii="Calibri" w:eastAsia="Calibri" w:hAnsi="Calibri" w:hint="cs"/>
          <w:rtl/>
        </w:rPr>
        <w:t>15.</w:t>
      </w:r>
      <w:r>
        <w:rPr>
          <w:rFonts w:ascii="Calibri" w:eastAsia="Calibri" w:hAnsi="Calibri" w:hint="cs"/>
          <w:rtl/>
        </w:rPr>
        <w:tab/>
      </w:r>
      <w:r>
        <w:rPr>
          <w:rFonts w:ascii="Calibri" w:eastAsia="Calibri" w:hAnsi="Calibri" w:hint="cs"/>
          <w:rtl/>
        </w:rPr>
        <w:tab/>
        <w:t xml:space="preserve">באשר </w:t>
      </w:r>
      <w:r>
        <w:rPr>
          <w:rFonts w:ascii="Calibri" w:eastAsia="Calibri" w:hAnsi="Calibri" w:hint="cs"/>
          <w:u w:val="single"/>
          <w:rtl/>
        </w:rPr>
        <w:t>לנסיבות שאינן קשורות לביצוע העבירות</w:t>
      </w:r>
      <w:r>
        <w:rPr>
          <w:rFonts w:ascii="Calibri" w:eastAsia="Calibri" w:hAnsi="Calibri" w:hint="cs"/>
          <w:rtl/>
        </w:rPr>
        <w:t>, ייאמר, כי איני נותנת משקל לטענת ההגנה כי יש באי-העמדתו לדין של אחר כדי להשפיע על ענישת הנאשם. לא הובאו לפניי כל ראיות המבססות "אכיפה בררנית", ומהמענה שניתן לשאלותיי במהלך הדיון עלה, כי טענות הסניגור בהקשר זה בנוסף לחומר הראיות עצמו הביאו לתיקון משמעותי ביותר בכתב-האישום.</w:t>
      </w:r>
    </w:p>
    <w:p w14:paraId="5423F91C" w14:textId="77777777" w:rsidR="00487529" w:rsidRDefault="00487529" w:rsidP="00487529">
      <w:pPr>
        <w:spacing w:after="200" w:line="360" w:lineRule="auto"/>
        <w:ind w:left="713" w:hanging="720"/>
        <w:jc w:val="both"/>
        <w:rPr>
          <w:rFonts w:ascii="Calibri" w:eastAsia="Calibri" w:hAnsi="Calibri"/>
          <w:rtl/>
        </w:rPr>
      </w:pPr>
      <w:r>
        <w:rPr>
          <w:rFonts w:ascii="Calibri" w:eastAsia="Calibri" w:hAnsi="Calibri" w:hint="cs"/>
          <w:rtl/>
        </w:rPr>
        <w:tab/>
        <w:t xml:space="preserve">יש לשקול לזכותו של הנאשם את הודאתו של הנאשם בכתב אישום שתוקן לקולה באופן משמעותי, לקיחת האחריות בבית-המשפט וחסכון בזמן שיפוטי. עוד אני לוקחת בחשבון את התקופה בה הוא שוהה בתנאי מעצר. כמו-כן, ברור שמאסרו של הנאשם פוגע במשפחתו, כאשר דווח לי שהוא אב לחמישה ילדים, ואחד מילדיו סובל מנכות. אלא, שהעולם הפלילי אינו זר לנאשם, אשר נשא מספר מאסרים בפועל, האחרון משנת 2014 – אם כי זו הסתבכותו הראשונה בעבריינות סמים. באשר לענישה כלכלית – חרף שווי הגבוה של הסם שהחזיק, בכוונתי להטיל עליו קנס מתון, בעיקר על-מנת שלא לפגוע בבני משפחתו. </w:t>
      </w:r>
    </w:p>
    <w:p w14:paraId="0318988B" w14:textId="77777777" w:rsidR="00487529" w:rsidRDefault="00487529" w:rsidP="00487529">
      <w:pPr>
        <w:overflowPunct w:val="0"/>
        <w:autoSpaceDE w:val="0"/>
        <w:autoSpaceDN w:val="0"/>
        <w:adjustRightInd w:val="0"/>
        <w:spacing w:line="360" w:lineRule="auto"/>
        <w:jc w:val="both"/>
        <w:rPr>
          <w:rFonts w:ascii="Calibri" w:eastAsia="Calibri" w:hAnsi="Calibri"/>
          <w:rtl/>
        </w:rPr>
      </w:pPr>
    </w:p>
    <w:p w14:paraId="61A0B927" w14:textId="77777777" w:rsidR="00487529" w:rsidRDefault="00487529" w:rsidP="00487529">
      <w:pPr>
        <w:spacing w:after="200" w:line="360" w:lineRule="auto"/>
        <w:ind w:left="713" w:hanging="720"/>
        <w:jc w:val="both"/>
        <w:rPr>
          <w:rFonts w:ascii="Calibri" w:eastAsia="Calibri" w:hAnsi="Calibri"/>
          <w:rtl/>
        </w:rPr>
      </w:pPr>
      <w:r>
        <w:rPr>
          <w:rFonts w:ascii="Calibri" w:eastAsia="Calibri" w:hAnsi="Calibri" w:hint="cs"/>
          <w:rtl/>
        </w:rPr>
        <w:t>16.</w:t>
      </w:r>
      <w:r>
        <w:rPr>
          <w:rFonts w:ascii="Calibri" w:eastAsia="Calibri" w:hAnsi="Calibri" w:hint="cs"/>
          <w:rtl/>
        </w:rPr>
        <w:tab/>
        <w:t>מכלול הנתונים מביא לכך, שיש להעמיד את עונשו של הנאשם מעט מעל הרף התחתון של המתחם שנקבע, ועל כן עתירת המאשימה היא אכן עתירה מאוזנת וראויה.</w:t>
      </w:r>
    </w:p>
    <w:p w14:paraId="6DEBF0E6" w14:textId="77777777" w:rsidR="00487529" w:rsidRPr="002870B2" w:rsidRDefault="00487529" w:rsidP="00487529">
      <w:pPr>
        <w:overflowPunct w:val="0"/>
        <w:autoSpaceDE w:val="0"/>
        <w:autoSpaceDN w:val="0"/>
        <w:adjustRightInd w:val="0"/>
        <w:spacing w:line="360" w:lineRule="auto"/>
        <w:jc w:val="both"/>
        <w:rPr>
          <w:rFonts w:ascii="Calibri" w:eastAsia="Calibri" w:hAnsi="Calibri"/>
          <w:rtl/>
        </w:rPr>
      </w:pPr>
    </w:p>
    <w:p w14:paraId="0F858F55" w14:textId="77777777" w:rsidR="00487529" w:rsidRDefault="00487529" w:rsidP="00487529">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Pr>
          <w:rFonts w:ascii="Calibri" w:eastAsia="Calibri" w:hAnsi="Calibri" w:hint="cs"/>
          <w:rtl/>
        </w:rPr>
        <w:t>17.</w:t>
      </w:r>
      <w:r>
        <w:rPr>
          <w:rFonts w:ascii="Calibri" w:eastAsia="Calibri" w:hAnsi="Calibri" w:hint="cs"/>
          <w:rtl/>
        </w:rPr>
        <w:tab/>
      </w:r>
      <w:r>
        <w:rPr>
          <w:rFonts w:ascii="Calibri" w:eastAsia="Calibri" w:hAnsi="Calibri" w:hint="cs"/>
          <w:rtl/>
        </w:rPr>
        <w:tab/>
      </w:r>
      <w:r>
        <w:rPr>
          <w:rFonts w:ascii="Symbol" w:hAnsi="Symbol" w:hint="cs"/>
          <w:rtl/>
        </w:rPr>
        <w:t xml:space="preserve">לאור כל האמור לעיל אני גוזרת את דינו של הנאשם כדלקמן: </w:t>
      </w:r>
    </w:p>
    <w:p w14:paraId="11D87963" w14:textId="77777777" w:rsidR="00487529" w:rsidRDefault="00487529" w:rsidP="00487529">
      <w:pPr>
        <w:spacing w:line="360" w:lineRule="auto"/>
        <w:ind w:left="-7"/>
        <w:jc w:val="center"/>
        <w:rPr>
          <w:rFonts w:ascii="David" w:hAnsi="David"/>
          <w:rtl/>
        </w:rPr>
      </w:pPr>
    </w:p>
    <w:p w14:paraId="38B585B6" w14:textId="77777777" w:rsidR="00487529" w:rsidRDefault="00487529" w:rsidP="00487529">
      <w:pPr>
        <w:spacing w:line="360" w:lineRule="auto"/>
        <w:ind w:left="702"/>
        <w:jc w:val="both"/>
        <w:rPr>
          <w:rtl/>
        </w:rPr>
      </w:pPr>
      <w:r>
        <w:rPr>
          <w:rFonts w:hint="cs"/>
          <w:rtl/>
        </w:rPr>
        <w:t>28 חודשי מאסר בפועל, שיימנו מיום מעצרו: 20.10.20.</w:t>
      </w:r>
    </w:p>
    <w:p w14:paraId="26D75A2E" w14:textId="77777777" w:rsidR="00487529" w:rsidRDefault="00487529" w:rsidP="00487529">
      <w:pPr>
        <w:spacing w:line="360" w:lineRule="auto"/>
        <w:ind w:left="702"/>
        <w:jc w:val="both"/>
        <w:rPr>
          <w:rtl/>
        </w:rPr>
      </w:pPr>
    </w:p>
    <w:p w14:paraId="2EAB5FFE" w14:textId="77777777" w:rsidR="00487529" w:rsidRDefault="00487529" w:rsidP="00487529">
      <w:pPr>
        <w:spacing w:line="360" w:lineRule="auto"/>
        <w:ind w:left="702"/>
        <w:jc w:val="both"/>
        <w:rPr>
          <w:rtl/>
        </w:rPr>
      </w:pPr>
      <w:r>
        <w:rPr>
          <w:rFonts w:hint="cs"/>
          <w:rtl/>
        </w:rPr>
        <w:t>10 חודשי מאסר על תנאי שלא יעבור בתוך 3 שנים מיום שחרורו עבירות סמים מסוג פשע; 3 חודשי מאסר על תנאי שלא יעבור בתוך 3 שנים מיום שחרורו עבירות סמים מסוג עוון.</w:t>
      </w:r>
    </w:p>
    <w:p w14:paraId="7F8E5F79" w14:textId="77777777" w:rsidR="00487529" w:rsidRDefault="00487529" w:rsidP="00487529">
      <w:pPr>
        <w:spacing w:line="360" w:lineRule="auto"/>
        <w:ind w:left="713"/>
        <w:jc w:val="both"/>
        <w:rPr>
          <w:rtl/>
        </w:rPr>
      </w:pPr>
    </w:p>
    <w:p w14:paraId="13F19ABF" w14:textId="77777777" w:rsidR="00487529" w:rsidRDefault="00487529" w:rsidP="00487529">
      <w:pPr>
        <w:spacing w:line="360" w:lineRule="auto"/>
        <w:ind w:left="713"/>
        <w:jc w:val="both"/>
        <w:rPr>
          <w:rtl/>
        </w:rPr>
      </w:pPr>
      <w:r>
        <w:rPr>
          <w:rFonts w:hint="cs"/>
          <w:rtl/>
        </w:rPr>
        <w:t xml:space="preserve">קנס בסך 7500 ₪ או 75 ימי מאסר תמורתו, לתשלום עד ליום 1.6.22. </w:t>
      </w:r>
    </w:p>
    <w:p w14:paraId="36CA598B" w14:textId="77777777" w:rsidR="00487529" w:rsidRDefault="00487529" w:rsidP="00487529">
      <w:pPr>
        <w:spacing w:line="360" w:lineRule="auto"/>
        <w:ind w:left="713"/>
        <w:jc w:val="both"/>
        <w:rPr>
          <w:rtl/>
        </w:rPr>
      </w:pPr>
    </w:p>
    <w:p w14:paraId="0BDA0044" w14:textId="77777777" w:rsidR="00487529" w:rsidRDefault="00487529" w:rsidP="00487529">
      <w:pPr>
        <w:spacing w:line="360" w:lineRule="auto"/>
        <w:ind w:left="713"/>
        <w:jc w:val="both"/>
        <w:rPr>
          <w:rtl/>
        </w:rPr>
      </w:pPr>
      <w:r>
        <w:rPr>
          <w:rFonts w:hint="cs"/>
          <w:rtl/>
        </w:rPr>
        <w:t xml:space="preserve">ניתן צו להשמדת הסמים. </w:t>
      </w:r>
    </w:p>
    <w:p w14:paraId="4548F137" w14:textId="77777777" w:rsidR="00487529" w:rsidRDefault="00487529" w:rsidP="00487529">
      <w:pPr>
        <w:spacing w:line="360" w:lineRule="auto"/>
        <w:ind w:left="713"/>
        <w:jc w:val="both"/>
        <w:rPr>
          <w:rtl/>
        </w:rPr>
      </w:pPr>
    </w:p>
    <w:p w14:paraId="1A5AB3E2" w14:textId="77777777" w:rsidR="00487529" w:rsidRDefault="00AD4E5B" w:rsidP="00487529">
      <w:pPr>
        <w:spacing w:line="360" w:lineRule="auto"/>
        <w:ind w:left="-7"/>
        <w:jc w:val="both"/>
        <w:rPr>
          <w:b/>
          <w:bCs/>
          <w:u w:val="single"/>
          <w:rtl/>
        </w:rPr>
      </w:pPr>
      <w:r w:rsidRPr="00AD4E5B">
        <w:rPr>
          <w:b/>
          <w:bCs/>
          <w:color w:val="FFFFFF"/>
          <w:sz w:val="2"/>
          <w:szCs w:val="2"/>
          <w:u w:val="single"/>
          <w:rtl/>
        </w:rPr>
        <w:t>5129371</w:t>
      </w:r>
      <w:r w:rsidR="00487529">
        <w:rPr>
          <w:rFonts w:hint="cs"/>
          <w:b/>
          <w:bCs/>
          <w:u w:val="single"/>
          <w:rtl/>
        </w:rPr>
        <w:t xml:space="preserve">הודעה זכות ערעור לבית-המשפט העליון תוך 45 יום. </w:t>
      </w:r>
    </w:p>
    <w:p w14:paraId="24B3A3F8" w14:textId="77777777" w:rsidR="00487529" w:rsidRPr="00AD4E5B" w:rsidRDefault="00AD4E5B" w:rsidP="00487529">
      <w:pPr>
        <w:rPr>
          <w:rFonts w:ascii="David" w:hAnsi="David"/>
          <w:color w:val="FFFFFF"/>
          <w:sz w:val="2"/>
          <w:szCs w:val="2"/>
          <w:rtl/>
        </w:rPr>
      </w:pPr>
      <w:r w:rsidRPr="00AD4E5B">
        <w:rPr>
          <w:rFonts w:ascii="David" w:hAnsi="David"/>
          <w:color w:val="FFFFFF"/>
          <w:sz w:val="2"/>
          <w:szCs w:val="2"/>
          <w:rtl/>
        </w:rPr>
        <w:t>54678313</w:t>
      </w:r>
    </w:p>
    <w:p w14:paraId="1AA623C8" w14:textId="77777777" w:rsidR="00487529" w:rsidRPr="002B7D23" w:rsidRDefault="00487529" w:rsidP="00487529">
      <w:pPr>
        <w:rPr>
          <w:rFonts w:ascii="David" w:hAnsi="David"/>
          <w:sz w:val="26"/>
          <w:szCs w:val="26"/>
          <w:rtl/>
        </w:rPr>
      </w:pPr>
    </w:p>
    <w:p w14:paraId="72B77C74" w14:textId="77777777" w:rsidR="00487529" w:rsidRPr="002B7D23" w:rsidRDefault="00AD4E5B" w:rsidP="00487529">
      <w:pPr>
        <w:rPr>
          <w:rFonts w:ascii="David" w:hAnsi="David"/>
          <w:sz w:val="26"/>
          <w:szCs w:val="26"/>
          <w:rtl/>
        </w:rPr>
      </w:pPr>
      <w:bookmarkStart w:id="8" w:name="Nitan"/>
      <w:r>
        <w:rPr>
          <w:rFonts w:ascii="David" w:hAnsi="David"/>
          <w:sz w:val="26"/>
          <w:szCs w:val="26"/>
          <w:rtl/>
        </w:rPr>
        <w:t xml:space="preserve">ניתן היום,  ל' שבט תשפ"ב, 01 פברואר 2022, בהעדר הצדדים. </w:t>
      </w:r>
      <w:bookmarkEnd w:id="8"/>
    </w:p>
    <w:p w14:paraId="042E7551" w14:textId="77777777" w:rsidR="00487529" w:rsidRPr="002B7D23" w:rsidRDefault="00487529" w:rsidP="00AD4E5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5574B9E" w14:textId="77777777" w:rsidR="00487529" w:rsidRPr="00A743DC" w:rsidRDefault="00A743DC" w:rsidP="00487529">
      <w:pPr>
        <w:jc w:val="center"/>
        <w:rPr>
          <w:rFonts w:ascii="David" w:hAnsi="David"/>
          <w:color w:val="FFFFFF"/>
          <w:sz w:val="2"/>
          <w:szCs w:val="2"/>
          <w:rtl/>
        </w:rPr>
      </w:pPr>
      <w:r w:rsidRPr="00A743DC">
        <w:rPr>
          <w:rFonts w:ascii="David" w:hAnsi="David"/>
          <w:color w:val="FFFFFF"/>
          <w:sz w:val="2"/>
          <w:szCs w:val="2"/>
          <w:rtl/>
        </w:rPr>
        <w:t>5129371</w:t>
      </w:r>
    </w:p>
    <w:p w14:paraId="00FC9FCE" w14:textId="77777777" w:rsidR="000D450B" w:rsidRPr="00A743DC" w:rsidRDefault="00A743DC" w:rsidP="00AD4E5B">
      <w:pPr>
        <w:keepNext/>
        <w:rPr>
          <w:rFonts w:ascii="David" w:hAnsi="David"/>
          <w:color w:val="FFFFFF"/>
          <w:sz w:val="2"/>
          <w:szCs w:val="2"/>
          <w:rtl/>
        </w:rPr>
      </w:pPr>
      <w:r w:rsidRPr="00A743DC">
        <w:rPr>
          <w:rFonts w:ascii="David" w:hAnsi="David"/>
          <w:color w:val="FFFFFF"/>
          <w:sz w:val="2"/>
          <w:szCs w:val="2"/>
          <w:rtl/>
        </w:rPr>
        <w:t>54678313</w:t>
      </w:r>
    </w:p>
    <w:p w14:paraId="768B462C" w14:textId="77777777" w:rsidR="00AD4E5B" w:rsidRPr="00AD4E5B" w:rsidRDefault="00AD4E5B" w:rsidP="00AD4E5B">
      <w:pPr>
        <w:keepNext/>
        <w:rPr>
          <w:rFonts w:ascii="David" w:hAnsi="David" w:hint="cs"/>
          <w:color w:val="000000"/>
          <w:sz w:val="22"/>
          <w:szCs w:val="22"/>
          <w:rtl/>
        </w:rPr>
      </w:pPr>
      <w:r w:rsidRPr="00AD4E5B">
        <w:rPr>
          <w:rFonts w:ascii="David" w:hAnsi="David"/>
          <w:color w:val="000000"/>
          <w:sz w:val="22"/>
          <w:szCs w:val="22"/>
          <w:rtl/>
        </w:rPr>
        <w:t>דנה מרשק מרום 54678313</w:t>
      </w:r>
      <w:r w:rsidR="0030299A">
        <w:rPr>
          <w:rFonts w:ascii="David" w:hAnsi="David" w:hint="cs"/>
          <w:color w:val="000000"/>
          <w:sz w:val="22"/>
          <w:szCs w:val="22"/>
          <w:rtl/>
        </w:rPr>
        <w:t xml:space="preserve"> </w:t>
      </w:r>
    </w:p>
    <w:p w14:paraId="581009DC" w14:textId="77777777" w:rsidR="00AD4E5B" w:rsidRDefault="00AD4E5B" w:rsidP="00AD4E5B">
      <w:r w:rsidRPr="00AD4E5B">
        <w:rPr>
          <w:color w:val="000000"/>
          <w:rtl/>
        </w:rPr>
        <w:t>נוסח מסמך זה כפוף לשינויי ניסוח ועריכה</w:t>
      </w:r>
    </w:p>
    <w:p w14:paraId="7A57164F" w14:textId="77777777" w:rsidR="00AD4E5B" w:rsidRDefault="00AD4E5B" w:rsidP="00AD4E5B">
      <w:pPr>
        <w:rPr>
          <w:rtl/>
        </w:rPr>
      </w:pPr>
    </w:p>
    <w:p w14:paraId="79FFC949" w14:textId="77777777" w:rsidR="00AD4E5B" w:rsidRDefault="00AD4E5B" w:rsidP="00AD4E5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4D9E7A2" w14:textId="77777777" w:rsidR="00A743DC" w:rsidRPr="00A743DC" w:rsidRDefault="00A743DC" w:rsidP="00A743DC">
      <w:pPr>
        <w:keepNext/>
        <w:rPr>
          <w:rFonts w:ascii="David" w:hAnsi="David"/>
          <w:color w:val="000000"/>
          <w:sz w:val="22"/>
          <w:szCs w:val="22"/>
          <w:rtl/>
        </w:rPr>
      </w:pPr>
    </w:p>
    <w:sectPr w:rsidR="00A743DC" w:rsidRPr="00A743DC" w:rsidSect="00A743DC">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87D2F" w14:textId="77777777" w:rsidR="00C045FC" w:rsidRDefault="00C045FC" w:rsidP="00DA66B9">
      <w:r>
        <w:separator/>
      </w:r>
    </w:p>
  </w:endnote>
  <w:endnote w:type="continuationSeparator" w:id="0">
    <w:p w14:paraId="7D9A50B3" w14:textId="77777777" w:rsidR="00C045FC" w:rsidRDefault="00C045FC" w:rsidP="00DA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AC80" w14:textId="77777777" w:rsidR="00A743DC" w:rsidRDefault="00A743DC" w:rsidP="00A743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086E62" w14:textId="77777777" w:rsidR="00621E8E" w:rsidRPr="00A743DC" w:rsidRDefault="00A743DC" w:rsidP="00A743DC">
    <w:pPr>
      <w:pStyle w:val="a5"/>
      <w:pBdr>
        <w:top w:val="single" w:sz="4" w:space="1" w:color="auto"/>
        <w:between w:val="single" w:sz="4" w:space="0" w:color="auto"/>
      </w:pBdr>
      <w:spacing w:after="60"/>
      <w:jc w:val="center"/>
      <w:rPr>
        <w:rFonts w:ascii="FrankRuehl" w:hAnsi="FrankRuehl" w:cs="FrankRuehl"/>
        <w:color w:val="000000"/>
      </w:rPr>
    </w:pPr>
    <w:r w:rsidRPr="00A743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7E37" w14:textId="77777777" w:rsidR="00A743DC" w:rsidRDefault="00A743DC" w:rsidP="00A743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2344">
      <w:rPr>
        <w:rFonts w:ascii="FrankRuehl" w:hAnsi="FrankRuehl" w:cs="FrankRuehl"/>
        <w:noProof/>
        <w:rtl/>
      </w:rPr>
      <w:t>1</w:t>
    </w:r>
    <w:r>
      <w:rPr>
        <w:rFonts w:ascii="FrankRuehl" w:hAnsi="FrankRuehl" w:cs="FrankRuehl"/>
        <w:rtl/>
      </w:rPr>
      <w:fldChar w:fldCharType="end"/>
    </w:r>
  </w:p>
  <w:p w14:paraId="0D18FDE4" w14:textId="77777777" w:rsidR="00621E8E" w:rsidRPr="00A743DC" w:rsidRDefault="00A743DC" w:rsidP="00A743DC">
    <w:pPr>
      <w:pStyle w:val="a5"/>
      <w:pBdr>
        <w:top w:val="single" w:sz="4" w:space="1" w:color="auto"/>
        <w:between w:val="single" w:sz="4" w:space="0" w:color="auto"/>
      </w:pBdr>
      <w:spacing w:after="60"/>
      <w:jc w:val="center"/>
      <w:rPr>
        <w:rFonts w:ascii="FrankRuehl" w:hAnsi="FrankRuehl" w:cs="FrankRuehl"/>
        <w:color w:val="000000"/>
      </w:rPr>
    </w:pPr>
    <w:r w:rsidRPr="00A743DC">
      <w:rPr>
        <w:rFonts w:ascii="FrankRuehl" w:hAnsi="FrankRuehl" w:cs="FrankRuehl"/>
        <w:color w:val="000000"/>
      </w:rPr>
      <w:pict w14:anchorId="34A1B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42C8D" w14:textId="77777777" w:rsidR="00C045FC" w:rsidRDefault="00C045FC" w:rsidP="00DA66B9">
      <w:r>
        <w:separator/>
      </w:r>
    </w:p>
  </w:footnote>
  <w:footnote w:type="continuationSeparator" w:id="0">
    <w:p w14:paraId="38F18091" w14:textId="77777777" w:rsidR="00C045FC" w:rsidRDefault="00C045FC" w:rsidP="00DA6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61E1D" w14:textId="77777777" w:rsidR="00AD4E5B" w:rsidRPr="00A743DC" w:rsidRDefault="00A743DC" w:rsidP="00A743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10810-11-20</w:t>
    </w:r>
    <w:r>
      <w:rPr>
        <w:rFonts w:ascii="David" w:hAnsi="David"/>
        <w:color w:val="000000"/>
        <w:sz w:val="22"/>
        <w:szCs w:val="22"/>
        <w:rtl/>
      </w:rPr>
      <w:tab/>
      <w:t xml:space="preserve"> מדינת ישראל  נ' חסן אמיר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230E4" w14:textId="77777777" w:rsidR="00AD4E5B" w:rsidRPr="00A743DC" w:rsidRDefault="00A743DC" w:rsidP="00A743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10810-11-20</w:t>
    </w:r>
    <w:r>
      <w:rPr>
        <w:rFonts w:ascii="David" w:hAnsi="David"/>
        <w:color w:val="000000"/>
        <w:sz w:val="22"/>
        <w:szCs w:val="22"/>
        <w:rtl/>
      </w:rPr>
      <w:tab/>
      <w:t xml:space="preserve"> מדינת ישראל  נ' חסן אמיר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2B14"/>
    <w:multiLevelType w:val="hybridMultilevel"/>
    <w:tmpl w:val="960AA0BE"/>
    <w:lvl w:ilvl="0" w:tplc="31D0894E">
      <w:start w:val="1"/>
      <w:numFmt w:val="decimal"/>
      <w:lvlText w:val="%1."/>
      <w:lvlJc w:val="left"/>
      <w:pPr>
        <w:ind w:left="720" w:hanging="72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745761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7529"/>
    <w:rsid w:val="000D450B"/>
    <w:rsid w:val="00242344"/>
    <w:rsid w:val="0030299A"/>
    <w:rsid w:val="00425C50"/>
    <w:rsid w:val="00487529"/>
    <w:rsid w:val="00621E8E"/>
    <w:rsid w:val="007A34A7"/>
    <w:rsid w:val="0095126D"/>
    <w:rsid w:val="009A4E4C"/>
    <w:rsid w:val="009C0624"/>
    <w:rsid w:val="00A743DC"/>
    <w:rsid w:val="00AD4E5B"/>
    <w:rsid w:val="00C045FC"/>
    <w:rsid w:val="00C24CE1"/>
    <w:rsid w:val="00D92A7E"/>
    <w:rsid w:val="00DA66B9"/>
    <w:rsid w:val="00EC6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FB6460"/>
  <w15:chartTrackingRefBased/>
  <w15:docId w15:val="{FF8566C2-DE8F-488F-A61C-CB95FA90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752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7529"/>
    <w:pPr>
      <w:tabs>
        <w:tab w:val="center" w:pos="4153"/>
        <w:tab w:val="right" w:pos="8306"/>
      </w:tabs>
    </w:pPr>
  </w:style>
  <w:style w:type="character" w:customStyle="1" w:styleId="a4">
    <w:name w:val="כותרת עליונה תו"/>
    <w:link w:val="a3"/>
    <w:rsid w:val="00487529"/>
    <w:rPr>
      <w:rFonts w:ascii="Times New Roman" w:eastAsia="Times New Roman" w:hAnsi="Times New Roman" w:cs="David"/>
      <w:sz w:val="24"/>
      <w:szCs w:val="24"/>
    </w:rPr>
  </w:style>
  <w:style w:type="paragraph" w:styleId="a5">
    <w:name w:val="footer"/>
    <w:basedOn w:val="a"/>
    <w:link w:val="a6"/>
    <w:rsid w:val="00487529"/>
    <w:pPr>
      <w:tabs>
        <w:tab w:val="center" w:pos="4153"/>
        <w:tab w:val="right" w:pos="8306"/>
      </w:tabs>
    </w:pPr>
  </w:style>
  <w:style w:type="character" w:customStyle="1" w:styleId="a6">
    <w:name w:val="כותרת תחתונה תו"/>
    <w:link w:val="a5"/>
    <w:rsid w:val="00487529"/>
    <w:rPr>
      <w:rFonts w:ascii="Times New Roman" w:eastAsia="Times New Roman" w:hAnsi="Times New Roman" w:cs="David"/>
      <w:sz w:val="24"/>
      <w:szCs w:val="24"/>
    </w:rPr>
  </w:style>
  <w:style w:type="table" w:styleId="a7">
    <w:name w:val="Table Grid"/>
    <w:basedOn w:val="a1"/>
    <w:rsid w:val="004875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7529"/>
  </w:style>
  <w:style w:type="paragraph" w:styleId="a9">
    <w:name w:val="List Paragraph"/>
    <w:basedOn w:val="a"/>
    <w:qFormat/>
    <w:rsid w:val="00487529"/>
    <w:pPr>
      <w:ind w:left="720"/>
      <w:contextualSpacing/>
    </w:pPr>
    <w:rPr>
      <w:rFonts w:ascii="David" w:hAnsi="David"/>
    </w:rPr>
  </w:style>
  <w:style w:type="character" w:styleId="Hyperlink">
    <w:name w:val="Hyperlink"/>
    <w:rsid w:val="00487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738608"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015139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antidrugs.org.il/pages/924.aspx" TargetMode="External"/><Relationship Id="rId25" Type="http://schemas.openxmlformats.org/officeDocument/2006/relationships/hyperlink" Target="http://www.nevo.co.il/case/2708414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576316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604930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20827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2000</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11977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3276922</vt:i4>
      </vt:variant>
      <vt:variant>
        <vt:i4>54</vt:i4>
      </vt:variant>
      <vt:variant>
        <vt:i4>0</vt:i4>
      </vt:variant>
      <vt:variant>
        <vt:i4>5</vt:i4>
      </vt:variant>
      <vt:variant>
        <vt:lpwstr>http://www.nevo.co.il/case/27084144</vt:lpwstr>
      </vt:variant>
      <vt:variant>
        <vt:lpwstr/>
      </vt:variant>
      <vt:variant>
        <vt:i4>3866741</vt:i4>
      </vt:variant>
      <vt:variant>
        <vt:i4>51</vt:i4>
      </vt:variant>
      <vt:variant>
        <vt:i4>0</vt:i4>
      </vt:variant>
      <vt:variant>
        <vt:i4>5</vt:i4>
      </vt:variant>
      <vt:variant>
        <vt:lpwstr>http://www.nevo.co.il/case/26049302</vt:lpwstr>
      </vt:variant>
      <vt:variant>
        <vt:lpwstr/>
      </vt:variant>
      <vt:variant>
        <vt:i4>4128881</vt:i4>
      </vt:variant>
      <vt:variant>
        <vt:i4>48</vt:i4>
      </vt:variant>
      <vt:variant>
        <vt:i4>0</vt:i4>
      </vt:variant>
      <vt:variant>
        <vt:i4>5</vt:i4>
      </vt:variant>
      <vt:variant>
        <vt:lpwstr>http://www.nevo.co.il/case/27208273</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3866738</vt:i4>
      </vt:variant>
      <vt:variant>
        <vt:i4>42</vt:i4>
      </vt:variant>
      <vt:variant>
        <vt:i4>0</vt:i4>
      </vt:variant>
      <vt:variant>
        <vt:i4>5</vt:i4>
      </vt:variant>
      <vt:variant>
        <vt:lpwstr>http://www.nevo.co.il/case/20151395</vt:lpwstr>
      </vt:variant>
      <vt:variant>
        <vt:lpwstr/>
      </vt:variant>
      <vt:variant>
        <vt:i4>3407990</vt:i4>
      </vt:variant>
      <vt:variant>
        <vt:i4>39</vt:i4>
      </vt:variant>
      <vt:variant>
        <vt:i4>0</vt:i4>
      </vt:variant>
      <vt:variant>
        <vt:i4>5</vt:i4>
      </vt:variant>
      <vt:variant>
        <vt:lpwstr>http://www.nevo.co.il/case/5763166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3014692</vt:i4>
      </vt:variant>
      <vt:variant>
        <vt:i4>30</vt:i4>
      </vt:variant>
      <vt:variant>
        <vt:i4>0</vt:i4>
      </vt:variant>
      <vt:variant>
        <vt:i4>5</vt:i4>
      </vt:variant>
      <vt:variant>
        <vt:lpwstr>http://www.antidrugs.org.il/pages/924.aspx</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10810</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חסן אמיר עיסא</vt:lpwstr>
  </property>
  <property fmtid="{D5CDD505-2E9C-101B-9397-08002B2CF9AE}" pid="10" name="LAWYER">
    <vt:lpwstr>שחף קליינמן;דוד ונטורה</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20220201</vt:lpwstr>
  </property>
  <property fmtid="{D5CDD505-2E9C-101B-9397-08002B2CF9AE}" pid="14" name="TYPE_N_DATE">
    <vt:lpwstr>39020220201</vt:lpwstr>
  </property>
  <property fmtid="{D5CDD505-2E9C-101B-9397-08002B2CF9AE}" pid="15" name="WORDNUMPAGES">
    <vt:lpwstr>7</vt:lpwstr>
  </property>
  <property fmtid="{D5CDD505-2E9C-101B-9397-08002B2CF9AE}" pid="16" name="TYPE_ABS_DATE">
    <vt:lpwstr>390020220201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5738608;5763166;20151395;26246488;27208273;26049302;27084144</vt:lpwstr>
  </property>
  <property fmtid="{D5CDD505-2E9C-101B-9397-08002B2CF9AE}" pid="36" name="LAWLISTTMP1">
    <vt:lpwstr>4216/007.a;007.c</vt:lpwstr>
  </property>
  <property fmtid="{D5CDD505-2E9C-101B-9397-08002B2CF9AE}" pid="37" name="LAWLISTTMP2">
    <vt:lpwstr>70301/040c.a;40ja</vt:lpwstr>
  </property>
</Properties>
</file>