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8"/>
        <w:gridCol w:w="3630"/>
        <w:gridCol w:w="31"/>
        <w:gridCol w:w="53"/>
      </w:tblGrid>
      <w:tr w:rsidR="000D5F34" w:rsidRPr="007A57BD" w14:paraId="359C48BE" w14:textId="77777777" w:rsidTr="009C4C53">
        <w:trPr>
          <w:gridBefore w:val="1"/>
          <w:gridAfter w:val="1"/>
          <w:wBefore w:w="28" w:type="dxa"/>
          <w:wAfter w:w="53" w:type="dxa"/>
          <w:trHeight w:hRule="exact" w:val="418"/>
          <w:jc w:val="center"/>
        </w:trPr>
        <w:tc>
          <w:tcPr>
            <w:tcW w:w="8721" w:type="dxa"/>
            <w:gridSpan w:val="4"/>
          </w:tcPr>
          <w:p w14:paraId="16863497" w14:textId="77777777" w:rsidR="000D5F34" w:rsidRPr="007A57BD" w:rsidRDefault="000D5F34" w:rsidP="00943880">
            <w:pPr>
              <w:pStyle w:val="a3"/>
              <w:jc w:val="center"/>
              <w:rPr>
                <w:rFonts w:ascii="Tahoma" w:hAnsi="Tahoma" w:cs="Tahoma"/>
                <w:color w:val="000080"/>
                <w:rtl/>
              </w:rPr>
            </w:pPr>
            <w:r w:rsidRPr="007A57BD">
              <w:rPr>
                <w:rFonts w:ascii="Tahoma" w:hAnsi="Tahoma" w:cs="Tahoma"/>
                <w:b/>
                <w:bCs/>
                <w:color w:val="000080"/>
                <w:rtl/>
              </w:rPr>
              <w:t>בית המשפט המחוזי בחיפה</w:t>
            </w:r>
          </w:p>
        </w:tc>
      </w:tr>
      <w:tr w:rsidR="000D5F34" w:rsidRPr="007A57BD" w14:paraId="1840BCE8" w14:textId="77777777" w:rsidTr="009C4C53">
        <w:trPr>
          <w:gridBefore w:val="1"/>
          <w:gridAfter w:val="1"/>
          <w:wBefore w:w="28" w:type="dxa"/>
          <w:wAfter w:w="53" w:type="dxa"/>
          <w:trHeight w:val="337"/>
          <w:jc w:val="center"/>
        </w:trPr>
        <w:tc>
          <w:tcPr>
            <w:tcW w:w="5060" w:type="dxa"/>
            <w:gridSpan w:val="2"/>
          </w:tcPr>
          <w:p w14:paraId="479F6A3A" w14:textId="77777777" w:rsidR="000D5F34" w:rsidRPr="007A57BD" w:rsidRDefault="000D5F34" w:rsidP="00943880">
            <w:pPr>
              <w:rPr>
                <w:rFonts w:cs="FrankRuehl"/>
                <w:sz w:val="28"/>
                <w:szCs w:val="28"/>
                <w:rtl/>
              </w:rPr>
            </w:pPr>
            <w:r w:rsidRPr="007A57BD">
              <w:rPr>
                <w:b/>
                <w:bCs/>
                <w:sz w:val="26"/>
                <w:szCs w:val="26"/>
                <w:rtl/>
              </w:rPr>
              <w:t>ת"פ</w:t>
            </w:r>
            <w:r w:rsidRPr="007A57BD">
              <w:rPr>
                <w:rFonts w:cs="FrankRuehl" w:hint="cs"/>
                <w:sz w:val="28"/>
                <w:szCs w:val="28"/>
                <w:rtl/>
              </w:rPr>
              <w:t xml:space="preserve"> </w:t>
            </w:r>
            <w:r w:rsidRPr="007A57BD">
              <w:rPr>
                <w:b/>
                <w:bCs/>
                <w:sz w:val="26"/>
                <w:szCs w:val="26"/>
                <w:rtl/>
              </w:rPr>
              <w:t>45388-11-20</w:t>
            </w:r>
            <w:r w:rsidRPr="007A57BD">
              <w:rPr>
                <w:rFonts w:cs="FrankRuehl" w:hint="cs"/>
                <w:sz w:val="28"/>
                <w:szCs w:val="28"/>
                <w:rtl/>
              </w:rPr>
              <w:t xml:space="preserve"> </w:t>
            </w:r>
            <w:r w:rsidRPr="007A57BD">
              <w:rPr>
                <w:b/>
                <w:bCs/>
                <w:sz w:val="26"/>
                <w:szCs w:val="26"/>
                <w:rtl/>
              </w:rPr>
              <w:t>מדינת ישראל נ' טבראני(עציר)</w:t>
            </w:r>
          </w:p>
          <w:p w14:paraId="49BB1EAB" w14:textId="77777777" w:rsidR="000D5F34" w:rsidRPr="007A57BD" w:rsidRDefault="000D5F34" w:rsidP="00943880">
            <w:pPr>
              <w:pStyle w:val="a3"/>
              <w:rPr>
                <w:rFonts w:cs="FrankRuehl"/>
                <w:sz w:val="28"/>
                <w:szCs w:val="28"/>
                <w:rtl/>
              </w:rPr>
            </w:pPr>
          </w:p>
        </w:tc>
        <w:tc>
          <w:tcPr>
            <w:tcW w:w="3661" w:type="dxa"/>
            <w:gridSpan w:val="2"/>
          </w:tcPr>
          <w:p w14:paraId="2A9459AB" w14:textId="77777777" w:rsidR="000D5F34" w:rsidRPr="007A57BD" w:rsidRDefault="000D5F34" w:rsidP="00943880">
            <w:pPr>
              <w:pStyle w:val="a3"/>
              <w:jc w:val="right"/>
              <w:rPr>
                <w:rFonts w:cs="FrankRuehl"/>
                <w:sz w:val="28"/>
                <w:szCs w:val="28"/>
                <w:rtl/>
              </w:rPr>
            </w:pPr>
          </w:p>
        </w:tc>
      </w:tr>
      <w:tr w:rsidR="000D5F34" w:rsidRPr="007A57BD" w14:paraId="730BF589" w14:textId="77777777" w:rsidTr="009C4C53">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69BC436" w14:textId="77777777" w:rsidR="000D5F34" w:rsidRPr="007A57BD" w:rsidRDefault="000D5F34" w:rsidP="00943880">
            <w:pPr>
              <w:rPr>
                <w:b/>
                <w:bCs/>
                <w:sz w:val="28"/>
                <w:szCs w:val="28"/>
                <w:rtl/>
              </w:rPr>
            </w:pPr>
            <w:r w:rsidRPr="007A57BD">
              <w:rPr>
                <w:rFonts w:hint="cs"/>
                <w:rtl/>
              </w:rPr>
              <w:t xml:space="preserve"> </w:t>
            </w:r>
            <w:r w:rsidRPr="007A57BD">
              <w:rPr>
                <w:rFonts w:hint="cs"/>
                <w:b/>
                <w:bCs/>
                <w:sz w:val="28"/>
                <w:szCs w:val="28"/>
                <w:rtl/>
              </w:rPr>
              <w:t xml:space="preserve">בפני כב' השופט רון שפירא, נשיא </w:t>
            </w:r>
          </w:p>
          <w:p w14:paraId="20C2FA60" w14:textId="77777777" w:rsidR="000D5F34" w:rsidRPr="007A57BD" w:rsidRDefault="000D5F34" w:rsidP="00943880">
            <w:pPr>
              <w:rPr>
                <w:rStyle w:val="TimesNewRomanTimesNewRoman"/>
                <w:rFonts w:ascii="David" w:hAnsi="David"/>
                <w:b w:val="0"/>
                <w:bCs w:val="0"/>
                <w:rtl/>
              </w:rPr>
            </w:pPr>
          </w:p>
        </w:tc>
      </w:tr>
      <w:tr w:rsidR="000D5F34" w:rsidRPr="007A57BD" w14:paraId="6199F8C9" w14:textId="77777777" w:rsidTr="009C4C53">
        <w:tblPrEx>
          <w:jc w:val="left"/>
          <w:tblInd w:w="-28" w:type="dxa"/>
          <w:tblLook w:val="01E0" w:firstRow="1" w:lastRow="1" w:firstColumn="1" w:lastColumn="1" w:noHBand="0" w:noVBand="0"/>
        </w:tblPrEx>
        <w:trPr>
          <w:cantSplit/>
          <w:trHeight w:val="493"/>
        </w:trPr>
        <w:tc>
          <w:tcPr>
            <w:tcW w:w="2880" w:type="dxa"/>
            <w:gridSpan w:val="2"/>
            <w:shd w:val="clear" w:color="auto" w:fill="auto"/>
          </w:tcPr>
          <w:p w14:paraId="2CD77F9B" w14:textId="77777777" w:rsidR="000D5F34" w:rsidRPr="007A57BD" w:rsidRDefault="000D5F34" w:rsidP="00943880">
            <w:pPr>
              <w:rPr>
                <w:rFonts w:ascii="David" w:hAnsi="David"/>
                <w:b/>
                <w:bCs/>
                <w:rtl/>
              </w:rPr>
            </w:pPr>
            <w:bookmarkStart w:id="0" w:name="FirstAppellant"/>
            <w:bookmarkStart w:id="1" w:name="LastJudge"/>
            <w:bookmarkEnd w:id="1"/>
            <w:r w:rsidRPr="007A57BD">
              <w:rPr>
                <w:rFonts w:ascii="David" w:hAnsi="David"/>
                <w:b/>
                <w:bCs/>
                <w:rtl/>
              </w:rPr>
              <w:t>המאשימה</w:t>
            </w:r>
          </w:p>
        </w:tc>
        <w:tc>
          <w:tcPr>
            <w:tcW w:w="5922" w:type="dxa"/>
            <w:gridSpan w:val="4"/>
            <w:shd w:val="clear" w:color="auto" w:fill="auto"/>
          </w:tcPr>
          <w:p w14:paraId="62473A71" w14:textId="77777777" w:rsidR="000D5F34" w:rsidRPr="007A57BD" w:rsidRDefault="000D5F34" w:rsidP="00943880">
            <w:pPr>
              <w:rPr>
                <w:rFonts w:ascii="David" w:hAnsi="David"/>
                <w:b/>
                <w:bCs/>
                <w:rtl/>
              </w:rPr>
            </w:pPr>
            <w:r w:rsidRPr="007A57BD">
              <w:rPr>
                <w:rFonts w:ascii="David" w:hAnsi="David"/>
                <w:b/>
                <w:bCs/>
                <w:rtl/>
              </w:rPr>
              <w:t>מדינת ישראל</w:t>
            </w:r>
          </w:p>
        </w:tc>
      </w:tr>
      <w:bookmarkEnd w:id="0"/>
      <w:tr w:rsidR="000D5F34" w:rsidRPr="007A57BD" w14:paraId="39316B12" w14:textId="77777777" w:rsidTr="009C4C53">
        <w:tblPrEx>
          <w:jc w:val="left"/>
          <w:tblInd w:w="-28" w:type="dxa"/>
          <w:tblLook w:val="01E0" w:firstRow="1" w:lastRow="1" w:firstColumn="1" w:lastColumn="1" w:noHBand="0" w:noVBand="0"/>
        </w:tblPrEx>
        <w:tc>
          <w:tcPr>
            <w:tcW w:w="8802" w:type="dxa"/>
            <w:gridSpan w:val="6"/>
            <w:shd w:val="clear" w:color="auto" w:fill="auto"/>
            <w:vAlign w:val="center"/>
          </w:tcPr>
          <w:p w14:paraId="6AEA1AE6" w14:textId="77777777" w:rsidR="000D5F34" w:rsidRPr="007A57BD" w:rsidRDefault="000D5F34" w:rsidP="000D5F34">
            <w:pPr>
              <w:jc w:val="center"/>
              <w:rPr>
                <w:rFonts w:ascii="David" w:hAnsi="David"/>
                <w:b/>
                <w:bCs/>
                <w:rtl/>
              </w:rPr>
            </w:pPr>
          </w:p>
          <w:p w14:paraId="3216C844" w14:textId="77777777" w:rsidR="000D5F34" w:rsidRPr="007A57BD" w:rsidRDefault="000D5F34" w:rsidP="000D5F34">
            <w:pPr>
              <w:jc w:val="center"/>
              <w:rPr>
                <w:rFonts w:ascii="David" w:hAnsi="David"/>
                <w:b/>
                <w:bCs/>
                <w:rtl/>
              </w:rPr>
            </w:pPr>
            <w:r w:rsidRPr="007A57BD">
              <w:rPr>
                <w:rFonts w:ascii="David" w:hAnsi="David"/>
                <w:b/>
                <w:bCs/>
                <w:rtl/>
              </w:rPr>
              <w:t>נגד</w:t>
            </w:r>
          </w:p>
          <w:p w14:paraId="2F0DA2F5" w14:textId="77777777" w:rsidR="000D5F34" w:rsidRPr="007A57BD" w:rsidRDefault="000D5F34" w:rsidP="000D5F34">
            <w:pPr>
              <w:jc w:val="right"/>
              <w:rPr>
                <w:rFonts w:ascii="David" w:hAnsi="David"/>
                <w:b/>
                <w:bCs/>
                <w:rtl/>
              </w:rPr>
            </w:pPr>
          </w:p>
        </w:tc>
      </w:tr>
      <w:tr w:rsidR="000D5F34" w:rsidRPr="007A57BD" w14:paraId="498A026D" w14:textId="77777777" w:rsidTr="009C4C53">
        <w:tblPrEx>
          <w:jc w:val="left"/>
          <w:tblInd w:w="-28" w:type="dxa"/>
          <w:tblLook w:val="01E0" w:firstRow="1" w:lastRow="1" w:firstColumn="1" w:lastColumn="1" w:noHBand="0" w:noVBand="0"/>
        </w:tblPrEx>
        <w:tc>
          <w:tcPr>
            <w:tcW w:w="2880" w:type="dxa"/>
            <w:gridSpan w:val="2"/>
            <w:shd w:val="clear" w:color="auto" w:fill="auto"/>
          </w:tcPr>
          <w:p w14:paraId="37E551C1" w14:textId="77777777" w:rsidR="000D5F34" w:rsidRPr="007A57BD" w:rsidRDefault="000D5F34" w:rsidP="00943880">
            <w:pPr>
              <w:rPr>
                <w:rFonts w:ascii="David" w:hAnsi="David"/>
                <w:b/>
                <w:bCs/>
                <w:rtl/>
              </w:rPr>
            </w:pPr>
            <w:r w:rsidRPr="007A57BD">
              <w:rPr>
                <w:rFonts w:ascii="David" w:hAnsi="David"/>
                <w:b/>
                <w:bCs/>
                <w:rtl/>
              </w:rPr>
              <w:t>הנאשם</w:t>
            </w:r>
          </w:p>
        </w:tc>
        <w:tc>
          <w:tcPr>
            <w:tcW w:w="5922" w:type="dxa"/>
            <w:gridSpan w:val="4"/>
            <w:shd w:val="clear" w:color="auto" w:fill="auto"/>
          </w:tcPr>
          <w:p w14:paraId="737E2623" w14:textId="77777777" w:rsidR="000D5F34" w:rsidRPr="007A57BD" w:rsidRDefault="000D5F34" w:rsidP="00943880">
            <w:pPr>
              <w:rPr>
                <w:rFonts w:ascii="David" w:hAnsi="David"/>
                <w:b/>
                <w:bCs/>
              </w:rPr>
            </w:pPr>
            <w:r w:rsidRPr="007A57BD">
              <w:rPr>
                <w:rFonts w:ascii="David" w:hAnsi="David"/>
                <w:rtl/>
              </w:rPr>
              <w:t xml:space="preserve"> </w:t>
            </w:r>
            <w:r w:rsidRPr="007A57BD">
              <w:rPr>
                <w:rFonts w:ascii="David" w:hAnsi="David"/>
                <w:b/>
                <w:bCs/>
                <w:rtl/>
              </w:rPr>
              <w:t>עלאא טבראני (עציר)</w:t>
            </w:r>
            <w:r w:rsidRPr="007A57BD">
              <w:rPr>
                <w:rFonts w:ascii="David" w:hAnsi="David"/>
                <w:rtl/>
              </w:rPr>
              <w:t xml:space="preserve">, </w:t>
            </w:r>
            <w:r w:rsidRPr="007A57BD">
              <w:rPr>
                <w:rFonts w:ascii="David" w:hAnsi="David"/>
                <w:b/>
                <w:bCs/>
                <w:rtl/>
              </w:rPr>
              <w:t xml:space="preserve">ת"ז  </w:t>
            </w:r>
            <w:r w:rsidR="007A57BD">
              <w:rPr>
                <w:rFonts w:ascii="David" w:hAnsi="David"/>
                <w:b/>
                <w:bCs/>
              </w:rPr>
              <w:t>xxxxxxxxxx</w:t>
            </w:r>
          </w:p>
        </w:tc>
      </w:tr>
    </w:tbl>
    <w:p w14:paraId="4E8BF739" w14:textId="77777777" w:rsidR="000D5F34" w:rsidRPr="007A57BD" w:rsidRDefault="000D5F34" w:rsidP="000D5F34">
      <w:pPr>
        <w:spacing w:line="360" w:lineRule="auto"/>
        <w:jc w:val="both"/>
        <w:rPr>
          <w:rFonts w:ascii="David" w:hAnsi="David"/>
          <w:rtl/>
        </w:rPr>
      </w:pPr>
    </w:p>
    <w:p w14:paraId="6A982790" w14:textId="77777777" w:rsidR="000D5F34" w:rsidRPr="007A57BD" w:rsidRDefault="000D5F34" w:rsidP="000D5F34">
      <w:pPr>
        <w:spacing w:line="360" w:lineRule="auto"/>
        <w:jc w:val="both"/>
        <w:rPr>
          <w:rFonts w:ascii="David" w:hAnsi="David"/>
          <w:sz w:val="6"/>
          <w:szCs w:val="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5F34" w:rsidRPr="007A57BD" w14:paraId="3371F019" w14:textId="77777777" w:rsidTr="000D5F34">
        <w:trPr>
          <w:trHeight w:val="355"/>
          <w:jc w:val="center"/>
        </w:trPr>
        <w:tc>
          <w:tcPr>
            <w:tcW w:w="8820" w:type="dxa"/>
            <w:tcBorders>
              <w:top w:val="nil"/>
              <w:left w:val="nil"/>
              <w:bottom w:val="nil"/>
              <w:right w:val="nil"/>
            </w:tcBorders>
            <w:shd w:val="clear" w:color="auto" w:fill="auto"/>
          </w:tcPr>
          <w:p w14:paraId="6A32A1B1" w14:textId="77777777" w:rsidR="000D5F34" w:rsidRPr="007A57BD" w:rsidRDefault="000D5F34" w:rsidP="000D5F34">
            <w:pPr>
              <w:jc w:val="center"/>
              <w:rPr>
                <w:rFonts w:ascii="Arial" w:hAnsi="Arial"/>
                <w:sz w:val="28"/>
                <w:szCs w:val="28"/>
                <w:rtl/>
              </w:rPr>
            </w:pPr>
          </w:p>
        </w:tc>
      </w:tr>
    </w:tbl>
    <w:p w14:paraId="3514BF08" w14:textId="77777777" w:rsidR="000D5F34" w:rsidRPr="007A57BD" w:rsidRDefault="000D5F34" w:rsidP="000D5F34">
      <w:pPr>
        <w:spacing w:line="360" w:lineRule="auto"/>
        <w:jc w:val="both"/>
        <w:rPr>
          <w:rFonts w:ascii="David" w:hAnsi="David"/>
          <w:sz w:val="6"/>
          <w:szCs w:val="6"/>
          <w:rtl/>
        </w:rPr>
      </w:pPr>
      <w:r w:rsidRPr="007A57BD">
        <w:rPr>
          <w:rFonts w:ascii="David" w:hAnsi="David"/>
          <w:sz w:val="6"/>
          <w:szCs w:val="6"/>
          <w:rtl/>
        </w:rPr>
        <w:t>&lt;#2#&gt;</w:t>
      </w:r>
    </w:p>
    <w:p w14:paraId="77F16879" w14:textId="77777777" w:rsidR="000D5F34" w:rsidRPr="007A57BD" w:rsidRDefault="000D5F34" w:rsidP="000D5F34">
      <w:pPr>
        <w:pStyle w:val="12"/>
        <w:rPr>
          <w:rFonts w:ascii="David" w:hAnsi="David"/>
          <w:u w:val="none"/>
          <w:rtl/>
        </w:rPr>
      </w:pPr>
      <w:r w:rsidRPr="007A57BD">
        <w:rPr>
          <w:rFonts w:ascii="David" w:hAnsi="David"/>
          <w:u w:val="none"/>
          <w:rtl/>
        </w:rPr>
        <w:t>נוכחים:</w:t>
      </w:r>
    </w:p>
    <w:p w14:paraId="0341F09B" w14:textId="77777777" w:rsidR="000D5F34" w:rsidRPr="007A57BD" w:rsidRDefault="000D5F34" w:rsidP="000D5F34">
      <w:pPr>
        <w:pStyle w:val="12"/>
        <w:rPr>
          <w:rFonts w:ascii="David" w:hAnsi="David"/>
          <w:b w:val="0"/>
          <w:bCs w:val="0"/>
          <w:sz w:val="4"/>
          <w:szCs w:val="4"/>
          <w:u w:val="none"/>
          <w:rtl/>
        </w:rPr>
      </w:pPr>
    </w:p>
    <w:p w14:paraId="13B82D86" w14:textId="77777777" w:rsidR="000D5F34" w:rsidRPr="007A57BD" w:rsidRDefault="000D5F34" w:rsidP="000D5F34">
      <w:pPr>
        <w:rPr>
          <w:rFonts w:ascii="David" w:hAnsi="David"/>
          <w:b/>
          <w:bCs/>
          <w:rtl/>
        </w:rPr>
      </w:pPr>
      <w:bookmarkStart w:id="2" w:name="FirstLawyer"/>
      <w:r w:rsidRPr="007A57BD">
        <w:rPr>
          <w:rFonts w:ascii="David" w:hAnsi="David"/>
          <w:b/>
          <w:bCs/>
          <w:rtl/>
        </w:rPr>
        <w:t>ב"כ</w:t>
      </w:r>
      <w:bookmarkEnd w:id="2"/>
      <w:r w:rsidRPr="007A57BD">
        <w:rPr>
          <w:rFonts w:ascii="David" w:hAnsi="David"/>
          <w:b/>
          <w:bCs/>
          <w:rtl/>
        </w:rPr>
        <w:t xml:space="preserve"> המאשימה: עו"ד חאלד חכרוש </w:t>
      </w:r>
    </w:p>
    <w:p w14:paraId="1BB71E8A" w14:textId="77777777" w:rsidR="000D5F34" w:rsidRPr="007A57BD" w:rsidRDefault="000D5F34" w:rsidP="000D5F34">
      <w:pPr>
        <w:rPr>
          <w:rFonts w:ascii="David" w:hAnsi="David"/>
          <w:b/>
          <w:bCs/>
          <w:rtl/>
        </w:rPr>
      </w:pPr>
      <w:r w:rsidRPr="007A57BD">
        <w:rPr>
          <w:rFonts w:ascii="David" w:hAnsi="David"/>
          <w:b/>
          <w:bCs/>
          <w:rtl/>
        </w:rPr>
        <w:t>ב"כ הנאשם: עו"ד משה גלעד</w:t>
      </w:r>
    </w:p>
    <w:p w14:paraId="5B1B48BB" w14:textId="77777777" w:rsidR="009C4C53" w:rsidRDefault="000D5F34" w:rsidP="000D5F34">
      <w:pPr>
        <w:spacing w:line="360" w:lineRule="auto"/>
        <w:jc w:val="both"/>
        <w:rPr>
          <w:rFonts w:ascii="David" w:hAnsi="David"/>
          <w:b/>
          <w:bCs/>
          <w:rtl/>
        </w:rPr>
      </w:pPr>
      <w:r w:rsidRPr="007A57BD">
        <w:rPr>
          <w:rFonts w:ascii="David" w:hAnsi="David"/>
          <w:b/>
          <w:bCs/>
          <w:rtl/>
        </w:rPr>
        <w:t>הנאשם: באמצעות שב"ס</w:t>
      </w:r>
      <w:bookmarkStart w:id="3" w:name="LawTable"/>
      <w:bookmarkEnd w:id="3"/>
    </w:p>
    <w:p w14:paraId="40C21B67" w14:textId="77777777" w:rsidR="009C4C53" w:rsidRPr="009C4C53" w:rsidRDefault="009C4C53" w:rsidP="009C4C53">
      <w:pPr>
        <w:spacing w:after="120" w:line="240" w:lineRule="exact"/>
        <w:ind w:left="283" w:hanging="283"/>
        <w:jc w:val="both"/>
        <w:rPr>
          <w:rFonts w:ascii="FrankRuehl" w:hAnsi="FrankRuehl" w:cs="FrankRuehl"/>
          <w:rtl/>
        </w:rPr>
      </w:pPr>
    </w:p>
    <w:p w14:paraId="71A226B7" w14:textId="77777777" w:rsidR="009C4C53" w:rsidRPr="009C4C53" w:rsidRDefault="009C4C53" w:rsidP="009C4C53">
      <w:pPr>
        <w:spacing w:after="120" w:line="240" w:lineRule="exact"/>
        <w:ind w:left="283" w:hanging="283"/>
        <w:jc w:val="both"/>
        <w:rPr>
          <w:rFonts w:ascii="FrankRuehl" w:hAnsi="FrankRuehl" w:cs="FrankRuehl"/>
          <w:rtl/>
        </w:rPr>
      </w:pPr>
      <w:r w:rsidRPr="009C4C53">
        <w:rPr>
          <w:rFonts w:ascii="FrankRuehl" w:hAnsi="FrankRuehl" w:cs="FrankRuehl"/>
          <w:rtl/>
        </w:rPr>
        <w:t xml:space="preserve">חקיקה שאוזכרה: </w:t>
      </w:r>
    </w:p>
    <w:p w14:paraId="74B434B0" w14:textId="77777777" w:rsidR="009C4C53" w:rsidRPr="009C4C53" w:rsidRDefault="009C4C53" w:rsidP="009C4C53">
      <w:pPr>
        <w:spacing w:after="120" w:line="240" w:lineRule="exact"/>
        <w:ind w:left="283" w:hanging="283"/>
        <w:jc w:val="both"/>
        <w:rPr>
          <w:rFonts w:ascii="FrankRuehl" w:hAnsi="FrankRuehl" w:cs="FrankRuehl"/>
          <w:color w:val="0000FF"/>
          <w:u w:val="single"/>
          <w:rtl/>
        </w:rPr>
      </w:pPr>
      <w:hyperlink r:id="rId6" w:history="1">
        <w:r w:rsidRPr="009C4C53">
          <w:rPr>
            <w:rStyle w:val="Hyperlink"/>
            <w:rFonts w:ascii="FrankRuehl" w:hAnsi="FrankRuehl" w:cs="FrankRuehl"/>
            <w:rtl/>
          </w:rPr>
          <w:t>פקודת הסמים המסוכנים [נוסח חדש], תשל"ג-1973</w:t>
        </w:r>
      </w:hyperlink>
      <w:r w:rsidRPr="009C4C53">
        <w:rPr>
          <w:rFonts w:ascii="FrankRuehl" w:hAnsi="FrankRuehl" w:cs="FrankRuehl"/>
          <w:color w:val="0000FF"/>
          <w:u w:val="single"/>
          <w:rtl/>
        </w:rPr>
        <w:t xml:space="preserve">: סע'  </w:t>
      </w:r>
      <w:hyperlink r:id="rId7" w:history="1">
        <w:r w:rsidRPr="009C4C53">
          <w:rPr>
            <w:rStyle w:val="Hyperlink"/>
            <w:rFonts w:ascii="FrankRuehl" w:hAnsi="FrankRuehl" w:cs="FrankRuehl"/>
          </w:rPr>
          <w:t>7.</w:t>
        </w:r>
        <w:r w:rsidRPr="009C4C53">
          <w:rPr>
            <w:rStyle w:val="Hyperlink"/>
            <w:rFonts w:ascii="FrankRuehl" w:hAnsi="FrankRuehl" w:cs="FrankRuehl"/>
            <w:rtl/>
          </w:rPr>
          <w:t>א</w:t>
        </w:r>
        <w:r w:rsidRPr="009C4C53">
          <w:rPr>
            <w:rStyle w:val="Hyperlink"/>
            <w:rFonts w:ascii="FrankRuehl" w:hAnsi="FrankRuehl" w:cs="FrankRuehl"/>
          </w:rPr>
          <w:t>.</w:t>
        </w:r>
      </w:hyperlink>
      <w:r w:rsidRPr="009C4C53">
        <w:rPr>
          <w:rFonts w:ascii="FrankRuehl" w:hAnsi="FrankRuehl" w:cs="FrankRuehl"/>
          <w:color w:val="0000FF"/>
          <w:u w:val="single"/>
          <w:rtl/>
        </w:rPr>
        <w:t xml:space="preserve">, </w:t>
      </w:r>
      <w:hyperlink r:id="rId8" w:history="1">
        <w:r w:rsidRPr="009C4C53">
          <w:rPr>
            <w:rStyle w:val="Hyperlink"/>
            <w:rFonts w:ascii="FrankRuehl" w:hAnsi="FrankRuehl" w:cs="FrankRuehl"/>
          </w:rPr>
          <w:t>7.</w:t>
        </w:r>
        <w:r w:rsidRPr="009C4C53">
          <w:rPr>
            <w:rStyle w:val="Hyperlink"/>
            <w:rFonts w:ascii="FrankRuehl" w:hAnsi="FrankRuehl" w:cs="FrankRuehl"/>
            <w:rtl/>
          </w:rPr>
          <w:t>ג</w:t>
        </w:r>
      </w:hyperlink>
    </w:p>
    <w:p w14:paraId="405627AB" w14:textId="77777777" w:rsidR="009C4C53" w:rsidRPr="009C4C53" w:rsidRDefault="009C4C53" w:rsidP="009C4C53">
      <w:pPr>
        <w:spacing w:after="120" w:line="240" w:lineRule="exact"/>
        <w:ind w:left="283" w:hanging="283"/>
        <w:jc w:val="both"/>
        <w:rPr>
          <w:rFonts w:ascii="FrankRuehl" w:hAnsi="FrankRuehl" w:cs="FrankRuehl"/>
          <w:color w:val="0000FF"/>
          <w:u w:val="single"/>
          <w:rtl/>
        </w:rPr>
      </w:pPr>
      <w:hyperlink r:id="rId9" w:history="1">
        <w:r w:rsidRPr="009C4C53">
          <w:rPr>
            <w:rStyle w:val="Hyperlink"/>
            <w:rFonts w:ascii="FrankRuehl" w:hAnsi="FrankRuehl" w:cs="FrankRuehl"/>
            <w:rtl/>
          </w:rPr>
          <w:t>חוק העונשין, תשל"ז-1977</w:t>
        </w:r>
      </w:hyperlink>
      <w:r w:rsidRPr="009C4C53">
        <w:rPr>
          <w:rFonts w:ascii="FrankRuehl" w:hAnsi="FrankRuehl" w:cs="FrankRuehl"/>
          <w:color w:val="0000FF"/>
          <w:u w:val="single"/>
          <w:rtl/>
        </w:rPr>
        <w:t xml:space="preserve">: סע'  </w:t>
      </w:r>
      <w:hyperlink r:id="rId10" w:history="1">
        <w:r w:rsidRPr="009C4C53">
          <w:rPr>
            <w:rStyle w:val="Hyperlink"/>
            <w:rFonts w:ascii="FrankRuehl" w:hAnsi="FrankRuehl" w:cs="FrankRuehl"/>
          </w:rPr>
          <w:t>244</w:t>
        </w:r>
      </w:hyperlink>
      <w:r w:rsidRPr="009C4C53">
        <w:rPr>
          <w:rFonts w:ascii="FrankRuehl" w:hAnsi="FrankRuehl" w:cs="FrankRuehl"/>
          <w:color w:val="0000FF"/>
          <w:u w:val="single"/>
          <w:rtl/>
        </w:rPr>
        <w:t xml:space="preserve">, </w:t>
      </w:r>
      <w:hyperlink r:id="rId11" w:history="1">
        <w:r w:rsidRPr="009C4C53">
          <w:rPr>
            <w:rStyle w:val="Hyperlink"/>
            <w:rFonts w:ascii="FrankRuehl" w:hAnsi="FrankRuehl" w:cs="FrankRuehl"/>
          </w:rPr>
          <w:t>275</w:t>
        </w:r>
      </w:hyperlink>
    </w:p>
    <w:p w14:paraId="443C9BF8" w14:textId="77777777" w:rsidR="009C4C53" w:rsidRPr="009C4C53" w:rsidRDefault="009C4C53" w:rsidP="009C4C53">
      <w:pPr>
        <w:spacing w:after="120" w:line="240" w:lineRule="exact"/>
        <w:ind w:left="283" w:hanging="283"/>
        <w:jc w:val="both"/>
        <w:rPr>
          <w:rFonts w:ascii="FrankRuehl" w:hAnsi="FrankRuehl" w:cs="FrankRuehl"/>
          <w:rtl/>
        </w:rPr>
      </w:pPr>
    </w:p>
    <w:p w14:paraId="6438528E" w14:textId="77777777" w:rsidR="007A57BD" w:rsidRPr="007A57BD" w:rsidRDefault="007A57BD" w:rsidP="000D5F34">
      <w:pPr>
        <w:spacing w:line="360" w:lineRule="auto"/>
        <w:jc w:val="center"/>
        <w:rPr>
          <w:rFonts w:ascii="Arial" w:hAnsi="Arial"/>
          <w:b/>
          <w:bCs/>
          <w:sz w:val="28"/>
          <w:szCs w:val="28"/>
          <w:rtl/>
        </w:rPr>
      </w:pPr>
      <w:bookmarkStart w:id="4" w:name="LawTable_End"/>
      <w:bookmarkEnd w:id="4"/>
    </w:p>
    <w:p w14:paraId="5FC40D24" w14:textId="77777777" w:rsidR="007A57BD" w:rsidRPr="007A57BD" w:rsidRDefault="007A57BD" w:rsidP="007A57BD">
      <w:pPr>
        <w:spacing w:line="360" w:lineRule="auto"/>
        <w:jc w:val="center"/>
        <w:rPr>
          <w:rFonts w:ascii="Arial" w:hAnsi="Arial"/>
          <w:b/>
          <w:bCs/>
          <w:sz w:val="28"/>
          <w:szCs w:val="28"/>
          <w:u w:val="single"/>
          <w:rtl/>
        </w:rPr>
      </w:pPr>
      <w:bookmarkStart w:id="5" w:name="PsakDin"/>
      <w:r w:rsidRPr="007A57BD">
        <w:rPr>
          <w:rFonts w:ascii="Arial" w:hAnsi="Arial"/>
          <w:b/>
          <w:bCs/>
          <w:sz w:val="28"/>
          <w:szCs w:val="28"/>
          <w:u w:val="single"/>
          <w:rtl/>
        </w:rPr>
        <w:t>גזר דין</w:t>
      </w:r>
    </w:p>
    <w:p w14:paraId="7F390C12" w14:textId="77777777" w:rsidR="000D5F34" w:rsidRDefault="000D5F34" w:rsidP="000D5F34">
      <w:pPr>
        <w:spacing w:line="360" w:lineRule="auto"/>
        <w:jc w:val="center"/>
        <w:rPr>
          <w:rtl/>
        </w:rPr>
      </w:pPr>
      <w:bookmarkStart w:id="6" w:name="ABSTRACT_START"/>
      <w:bookmarkEnd w:id="5"/>
      <w:bookmarkEnd w:id="6"/>
    </w:p>
    <w:p w14:paraId="4A910141" w14:textId="77777777" w:rsidR="000D5F34" w:rsidRDefault="000D5F34" w:rsidP="009C4C53">
      <w:pPr>
        <w:spacing w:line="360" w:lineRule="auto"/>
        <w:jc w:val="both"/>
        <w:rPr>
          <w:rtl/>
        </w:rPr>
      </w:pPr>
      <w:r>
        <w:rPr>
          <w:rFonts w:hint="cs"/>
          <w:rtl/>
        </w:rPr>
        <w:t xml:space="preserve">ביום 2.11.2020 נעצר הנאשם שבפני וביום 18.11.2020 הוגש כנגדו כתב אישום המייחס לו  </w:t>
      </w:r>
      <w:r w:rsidRPr="00023C72">
        <w:rPr>
          <w:rtl/>
        </w:rPr>
        <w:t xml:space="preserve">עבירה של החזקת סם מסוכן שלא כדין ושלא לצריכה עצמית, עבירה לפי </w:t>
      </w:r>
      <w:hyperlink r:id="rId12" w:history="1">
        <w:r w:rsidR="009C4C53" w:rsidRPr="009C4C53">
          <w:rPr>
            <w:rStyle w:val="Hyperlink"/>
            <w:color w:val="0000FF"/>
            <w:rtl/>
          </w:rPr>
          <w:t>סעיף 7(א)+(ג)</w:t>
        </w:r>
      </w:hyperlink>
      <w:r w:rsidRPr="00023C72">
        <w:rPr>
          <w:rtl/>
        </w:rPr>
        <w:t xml:space="preserve"> רישא ל</w:t>
      </w:r>
      <w:hyperlink r:id="rId13" w:history="1">
        <w:r w:rsidR="007A57BD" w:rsidRPr="007A57BD">
          <w:rPr>
            <w:color w:val="0000FF"/>
            <w:u w:val="single"/>
            <w:rtl/>
          </w:rPr>
          <w:t>פקודת הסמים המסוכנים</w:t>
        </w:r>
      </w:hyperlink>
      <w:r w:rsidRPr="00023C72">
        <w:rPr>
          <w:rtl/>
        </w:rPr>
        <w:t xml:space="preserve">; עבירה של הפרעה לשוטר במילוי תפקידו, עבירה לפי </w:t>
      </w:r>
      <w:hyperlink r:id="rId14" w:history="1">
        <w:r w:rsidR="009C4C53" w:rsidRPr="009C4C53">
          <w:rPr>
            <w:rStyle w:val="Hyperlink"/>
            <w:color w:val="0000FF"/>
            <w:rtl/>
          </w:rPr>
          <w:t>סעיף 275</w:t>
        </w:r>
      </w:hyperlink>
      <w:r w:rsidRPr="00023C72">
        <w:rPr>
          <w:rtl/>
        </w:rPr>
        <w:t xml:space="preserve"> ל</w:t>
      </w:r>
      <w:hyperlink r:id="rId15" w:history="1">
        <w:r w:rsidR="007A57BD" w:rsidRPr="007A57BD">
          <w:rPr>
            <w:color w:val="0000FF"/>
            <w:u w:val="single"/>
            <w:rtl/>
          </w:rPr>
          <w:t>חוק העונשין</w:t>
        </w:r>
      </w:hyperlink>
      <w:r w:rsidRPr="00023C72">
        <w:rPr>
          <w:rtl/>
        </w:rPr>
        <w:t xml:space="preserve">; עבירה של שיבוש מהלכי משפט לפי </w:t>
      </w:r>
      <w:hyperlink r:id="rId16" w:history="1">
        <w:r w:rsidR="009C4C53" w:rsidRPr="009C4C53">
          <w:rPr>
            <w:rStyle w:val="Hyperlink"/>
            <w:color w:val="0000FF"/>
            <w:rtl/>
          </w:rPr>
          <w:t>סעיף 244</w:t>
        </w:r>
      </w:hyperlink>
      <w:r w:rsidRPr="00023C72">
        <w:rPr>
          <w:rtl/>
        </w:rPr>
        <w:t xml:space="preserve"> לחוק העונשין.</w:t>
      </w:r>
    </w:p>
    <w:p w14:paraId="37E9F80D" w14:textId="77777777" w:rsidR="000D5F34" w:rsidRDefault="000D5F34" w:rsidP="000D5F34">
      <w:pPr>
        <w:jc w:val="both"/>
        <w:rPr>
          <w:rtl/>
        </w:rPr>
      </w:pPr>
    </w:p>
    <w:p w14:paraId="25DDD19B" w14:textId="77777777" w:rsidR="000D5F34" w:rsidRDefault="000D5F34" w:rsidP="000D5F34">
      <w:pPr>
        <w:spacing w:line="360" w:lineRule="auto"/>
        <w:jc w:val="both"/>
        <w:rPr>
          <w:rtl/>
        </w:rPr>
      </w:pPr>
      <w:bookmarkStart w:id="7" w:name="ABSTRACT_END"/>
      <w:bookmarkEnd w:id="7"/>
      <w:r>
        <w:rPr>
          <w:rFonts w:hint="cs"/>
          <w:rtl/>
        </w:rPr>
        <w:t xml:space="preserve">בראשית ההליך כפר הנאשם במיוחס לו. הראיות נשמעו בפני כב' השופט נאסר ג'השאן. התקיימו במהלך התקופה מעל חמישים (50) ישיבות, מהן רבות לשמיעת עדים. בסיומו של הליך ממושך וערב קביעת מועד לסיכום טענות הצדדים שקלו שני הצדדים את התמונה הראייתית והקשיים שהתעוררו במהלך ניהול הדיון וגיבשו הסדר טיעון.  הסדר הטיעון שיקף את הקשיים שהתעוררו במהלך שמיעת התיק, כמו גם את חומרת העבירות ויתר הנתונים הקשורים בנאשם ובעברו הפלילי. </w:t>
      </w:r>
    </w:p>
    <w:p w14:paraId="49BEFAB4" w14:textId="77777777" w:rsidR="000D5F34" w:rsidRDefault="000D5F34" w:rsidP="000D5F34">
      <w:pPr>
        <w:jc w:val="both"/>
        <w:rPr>
          <w:rtl/>
        </w:rPr>
      </w:pPr>
    </w:p>
    <w:p w14:paraId="3EA4AB99" w14:textId="77777777" w:rsidR="000D5F34" w:rsidRDefault="000D5F34" w:rsidP="000D5F34">
      <w:pPr>
        <w:spacing w:line="360" w:lineRule="auto"/>
        <w:jc w:val="both"/>
        <w:rPr>
          <w:rtl/>
        </w:rPr>
      </w:pPr>
      <w:r>
        <w:rPr>
          <w:rFonts w:hint="cs"/>
          <w:rtl/>
        </w:rPr>
        <w:t xml:space="preserve">מאחר ונבצר מהשופט ג'השאן לקיים דיון בעת הקרובה, לבקשת ב"כ הצדדים, בהסכמת הנאשם ובהסכמתו של השופט ג'השאן, עבר התיק לשמיעה בפני וזאת לצורך הצגת ההסדר וגזירת הדין. היום, לאחר שהדיון נדחה כדי לאפשר לנאשם לשקול את כל ההיבטים של הסדר, הודיעו הצדדים על גיבוש הסכמה סופית להסדר הטיעון. הנאשם חזר בו מכפירתו והודה בכתב האישום, כמפורט בפרוטוקול הדיון שנערך בפני בשעה מוקדמת יותר הבוקר.   </w:t>
      </w:r>
    </w:p>
    <w:p w14:paraId="4E57EF1D" w14:textId="77777777" w:rsidR="000D5F34" w:rsidRDefault="000D5F34" w:rsidP="000D5F34">
      <w:pPr>
        <w:jc w:val="both"/>
        <w:rPr>
          <w:rtl/>
        </w:rPr>
      </w:pPr>
    </w:p>
    <w:p w14:paraId="1E7CFFE8" w14:textId="77777777" w:rsidR="000D5F34" w:rsidRDefault="000D5F34" w:rsidP="000D5F34">
      <w:pPr>
        <w:spacing w:line="360" w:lineRule="auto"/>
        <w:jc w:val="both"/>
        <w:rPr>
          <w:rtl/>
        </w:rPr>
      </w:pPr>
      <w:r>
        <w:rPr>
          <w:rFonts w:hint="cs"/>
          <w:rtl/>
        </w:rPr>
        <w:lastRenderedPageBreak/>
        <w:t>בהתאם להסדר הוסכם כי הנאשם יחזור בו מהכפירה ולאחר הודאה והרשעה ייגזר עליו עונש של ארבעים וחמישה (</w:t>
      </w:r>
      <w:r>
        <w:rPr>
          <w:rtl/>
        </w:rPr>
        <w:t>45</w:t>
      </w:r>
      <w:r>
        <w:rPr>
          <w:rFonts w:hint="cs"/>
          <w:rtl/>
        </w:rPr>
        <w:t>)</w:t>
      </w:r>
      <w:r>
        <w:rPr>
          <w:rtl/>
        </w:rPr>
        <w:t xml:space="preserve"> חודשי מאסר בפועל בניכוי ימי מעצרו. כמו כן </w:t>
      </w:r>
      <w:r>
        <w:rPr>
          <w:rFonts w:hint="cs"/>
          <w:rtl/>
        </w:rPr>
        <w:t>ה</w:t>
      </w:r>
      <w:r>
        <w:rPr>
          <w:rtl/>
        </w:rPr>
        <w:t xml:space="preserve">וסכם כי מאסר מותנה </w:t>
      </w:r>
      <w:r>
        <w:rPr>
          <w:rFonts w:hint="cs"/>
          <w:rtl/>
        </w:rPr>
        <w:t xml:space="preserve">שנגזר על הנאשם </w:t>
      </w:r>
      <w:r>
        <w:rPr>
          <w:rtl/>
        </w:rPr>
        <w:t>בתיק 21338-01-20</w:t>
      </w:r>
      <w:r>
        <w:rPr>
          <w:rFonts w:hint="cs"/>
          <w:rtl/>
        </w:rPr>
        <w:t xml:space="preserve"> של בית משפט השלום בחיפה ביום 22.6.2020, שעניינו בעבירה של אחזקת סמים שלא לצריכה עצמית ומשכו חודש אחד,</w:t>
      </w:r>
      <w:r>
        <w:rPr>
          <w:rtl/>
        </w:rPr>
        <w:t xml:space="preserve"> יופעל באופן חופף לעונש שהוטל עליו בתיק זה, כך שבסה"כ יוטלו על הנאשם 45 חודשי מאסר בפועל בניכוי ימי מעצרו מיום 2/11/2020. </w:t>
      </w:r>
    </w:p>
    <w:p w14:paraId="3C722EFD" w14:textId="77777777" w:rsidR="000D5F34" w:rsidRDefault="000D5F34" w:rsidP="000D5F34">
      <w:pPr>
        <w:jc w:val="both"/>
        <w:rPr>
          <w:rtl/>
        </w:rPr>
      </w:pPr>
    </w:p>
    <w:p w14:paraId="0381733C" w14:textId="77777777" w:rsidR="000D5F34" w:rsidRDefault="000D5F34" w:rsidP="000D5F34">
      <w:pPr>
        <w:spacing w:line="360" w:lineRule="auto"/>
        <w:jc w:val="both"/>
        <w:rPr>
          <w:rtl/>
        </w:rPr>
      </w:pPr>
      <w:r>
        <w:rPr>
          <w:rFonts w:hint="cs"/>
          <w:rtl/>
        </w:rPr>
        <w:t>בנוסף הוסכם ש</w:t>
      </w:r>
      <w:r>
        <w:rPr>
          <w:rtl/>
        </w:rPr>
        <w:t>בעניין יתר רכיבי הענישה</w:t>
      </w:r>
      <w:r>
        <w:rPr>
          <w:rFonts w:hint="cs"/>
          <w:rtl/>
        </w:rPr>
        <w:t>, שלא הוסכמו בין הצדדים</w:t>
      </w:r>
      <w:r>
        <w:rPr>
          <w:rtl/>
        </w:rPr>
        <w:t>, כל צד יטען</w:t>
      </w:r>
      <w:r>
        <w:rPr>
          <w:rFonts w:hint="cs"/>
          <w:rtl/>
        </w:rPr>
        <w:t xml:space="preserve"> טענותיו כפי שימצא לנכון ובית המשפט יגזור את הדין בהתאם לשיקול דעתו. </w:t>
      </w:r>
    </w:p>
    <w:p w14:paraId="182E77AD" w14:textId="77777777" w:rsidR="000D5F34" w:rsidRDefault="000D5F34" w:rsidP="000D5F34">
      <w:pPr>
        <w:spacing w:line="360" w:lineRule="auto"/>
        <w:jc w:val="both"/>
        <w:rPr>
          <w:rtl/>
        </w:rPr>
      </w:pPr>
      <w:r>
        <w:rPr>
          <w:rFonts w:hint="cs"/>
          <w:rtl/>
        </w:rPr>
        <w:t xml:space="preserve">ב"כ הצדדים טענו טיעוניהם כמפורט בפרוטוקול הדיון מהיום. הנאשם הוסיף דברים מטעמו. אימו של הנאשם דיברה וטענה כי המשטרה מייחסת למשפחתה כל בעיה בעיר עכו ולדבריה מתנכלת למשפחתה. לאחר ששמעתי את טענות הצדדים, בשים לב לקשיים שהובילו להסדר הטיעון, אני מאשר את ההסדר. </w:t>
      </w:r>
    </w:p>
    <w:p w14:paraId="49B1E823" w14:textId="77777777" w:rsidR="000D5F34" w:rsidRDefault="000D5F34" w:rsidP="000D5F34">
      <w:pPr>
        <w:jc w:val="both"/>
        <w:rPr>
          <w:rtl/>
        </w:rPr>
      </w:pPr>
    </w:p>
    <w:p w14:paraId="49235AB6" w14:textId="77777777" w:rsidR="000D5F34" w:rsidRDefault="000D5F34" w:rsidP="000D5F34">
      <w:pPr>
        <w:spacing w:line="360" w:lineRule="auto"/>
        <w:jc w:val="both"/>
        <w:rPr>
          <w:rtl/>
        </w:rPr>
      </w:pPr>
      <w:r>
        <w:rPr>
          <w:rFonts w:hint="cs"/>
          <w:rtl/>
        </w:rPr>
        <w:t xml:space="preserve">לאחר ששקלתי את כלל הנתונים שבפני, לרבות עברו הפלילי העשיר של הנאשם, שעיקרו בעבירות סמים, רכוש ועבירות נגד שוטרים, ואת טיעוני הצדדים לרבות הרקע לגיבושו של ההסדר, החלטתי כי ההסדר משקף את חומרת העבירות תוך התחשבות במכלול הנסיבות, לרבות הקשיים הראייתיים. בשים לב לנסיבות אלו והנתונים כפי שהוצגו בפני בית המשפט מדובר בהסדר ראוי. בהתאם החלטתי לאשר את ההסדר ואת עיקר רכיבי הענישה המוסכמים ולגזור את דינו של הנאשם כדלקמן: </w:t>
      </w:r>
    </w:p>
    <w:p w14:paraId="6C5BC358" w14:textId="77777777" w:rsidR="000D5F34" w:rsidRDefault="000D5F34" w:rsidP="000D5F34">
      <w:pPr>
        <w:jc w:val="both"/>
        <w:rPr>
          <w:rtl/>
        </w:rPr>
      </w:pPr>
    </w:p>
    <w:p w14:paraId="1761EEE6" w14:textId="77777777" w:rsidR="000D5F34" w:rsidRDefault="000D5F34" w:rsidP="000D5F34">
      <w:pPr>
        <w:spacing w:line="360" w:lineRule="auto"/>
        <w:jc w:val="both"/>
        <w:rPr>
          <w:rtl/>
        </w:rPr>
      </w:pPr>
      <w:r>
        <w:rPr>
          <w:rFonts w:hint="cs"/>
          <w:rtl/>
        </w:rPr>
        <w:t>אני גוזר על הנאשם לרצות</w:t>
      </w:r>
      <w:r w:rsidRPr="008B29CB">
        <w:rPr>
          <w:rtl/>
        </w:rPr>
        <w:t xml:space="preserve"> ארבעים וחמישה (45) חודשי מאסר בפועל </w:t>
      </w:r>
      <w:r>
        <w:rPr>
          <w:rFonts w:hint="cs"/>
          <w:rtl/>
        </w:rPr>
        <w:t>שמניינם מיום 2.11.2020, מועד</w:t>
      </w:r>
      <w:r w:rsidRPr="008B29CB">
        <w:rPr>
          <w:rtl/>
        </w:rPr>
        <w:t xml:space="preserve"> מעצרו. </w:t>
      </w:r>
    </w:p>
    <w:p w14:paraId="23169EA3" w14:textId="77777777" w:rsidR="000D5F34" w:rsidRDefault="000D5F34" w:rsidP="000D5F34">
      <w:pPr>
        <w:jc w:val="both"/>
        <w:rPr>
          <w:rtl/>
        </w:rPr>
      </w:pPr>
    </w:p>
    <w:p w14:paraId="35D085B8" w14:textId="77777777" w:rsidR="000D5F34" w:rsidRDefault="000D5F34" w:rsidP="000D5F34">
      <w:pPr>
        <w:spacing w:line="360" w:lineRule="auto"/>
        <w:jc w:val="both"/>
        <w:rPr>
          <w:rtl/>
        </w:rPr>
      </w:pPr>
      <w:r>
        <w:rPr>
          <w:rFonts w:hint="cs"/>
          <w:rtl/>
        </w:rPr>
        <w:t>עוד אני מורה כי ה</w:t>
      </w:r>
      <w:r w:rsidRPr="008B29CB">
        <w:rPr>
          <w:rtl/>
        </w:rPr>
        <w:t xml:space="preserve">מאסר </w:t>
      </w:r>
      <w:r>
        <w:rPr>
          <w:rFonts w:hint="cs"/>
          <w:rtl/>
        </w:rPr>
        <w:t>ה</w:t>
      </w:r>
      <w:r w:rsidRPr="008B29CB">
        <w:rPr>
          <w:rtl/>
        </w:rPr>
        <w:t xml:space="preserve">מותנה שנגזר על הנאשם בתיק 21338-01-20 של בית משפט השלום בחיפה ביום 22.6.2020, שעניינו בעבירה של אחזקת סמים שלא לצריכה עצמית ומשכו חודש אחד, יופעל </w:t>
      </w:r>
      <w:r>
        <w:rPr>
          <w:rFonts w:hint="cs"/>
          <w:rtl/>
        </w:rPr>
        <w:t xml:space="preserve">וירוצה </w:t>
      </w:r>
      <w:r w:rsidRPr="008B29CB">
        <w:rPr>
          <w:rtl/>
        </w:rPr>
        <w:t>בחופף לעונש</w:t>
      </w:r>
      <w:r>
        <w:rPr>
          <w:rFonts w:hint="cs"/>
          <w:rtl/>
        </w:rPr>
        <w:t xml:space="preserve"> המאסר</w:t>
      </w:r>
      <w:r w:rsidRPr="008B29CB">
        <w:rPr>
          <w:rtl/>
        </w:rPr>
        <w:t xml:space="preserve"> </w:t>
      </w:r>
      <w:r>
        <w:rPr>
          <w:rFonts w:hint="cs"/>
          <w:rtl/>
        </w:rPr>
        <w:t>שנגזר על הנאשם כמפורט לעיל.</w:t>
      </w:r>
    </w:p>
    <w:p w14:paraId="1BA6A7A8" w14:textId="77777777" w:rsidR="000D5F34" w:rsidRDefault="000D5F34" w:rsidP="000D5F34">
      <w:pPr>
        <w:jc w:val="both"/>
        <w:rPr>
          <w:rtl/>
        </w:rPr>
      </w:pPr>
    </w:p>
    <w:p w14:paraId="637A9A44" w14:textId="77777777" w:rsidR="000D5F34" w:rsidRDefault="000D5F34" w:rsidP="000D5F34">
      <w:pPr>
        <w:spacing w:line="360" w:lineRule="auto"/>
        <w:jc w:val="both"/>
        <w:rPr>
          <w:rtl/>
        </w:rPr>
      </w:pPr>
      <w:r>
        <w:rPr>
          <w:rFonts w:hint="cs"/>
          <w:rtl/>
        </w:rPr>
        <w:t xml:space="preserve">בהתאם, ולעניין רכיב המאסר </w:t>
      </w:r>
      <w:r w:rsidRPr="008E629F">
        <w:rPr>
          <w:rFonts w:hint="cs"/>
          <w:u w:val="single"/>
          <w:rtl/>
        </w:rPr>
        <w:t>לריצוי בפועל</w:t>
      </w:r>
      <w:r>
        <w:rPr>
          <w:rFonts w:hint="cs"/>
          <w:rtl/>
        </w:rPr>
        <w:t xml:space="preserve">, נגזר על </w:t>
      </w:r>
      <w:r w:rsidRPr="008B29CB">
        <w:rPr>
          <w:rtl/>
        </w:rPr>
        <w:t>הנאשם</w:t>
      </w:r>
      <w:r>
        <w:rPr>
          <w:rFonts w:hint="cs"/>
          <w:rtl/>
        </w:rPr>
        <w:t xml:space="preserve"> לרצות בסה"כ תקופה של </w:t>
      </w:r>
      <w:r w:rsidRPr="008B29CB">
        <w:rPr>
          <w:rtl/>
        </w:rPr>
        <w:t xml:space="preserve">45 חודשי מאסר בפועל </w:t>
      </w:r>
      <w:r>
        <w:rPr>
          <w:rFonts w:hint="cs"/>
          <w:rtl/>
        </w:rPr>
        <w:t>שמניינם, כאמור,</w:t>
      </w:r>
      <w:r w:rsidRPr="008B29CB">
        <w:rPr>
          <w:rtl/>
        </w:rPr>
        <w:t xml:space="preserve"> מיום 2/11/2020</w:t>
      </w:r>
      <w:r>
        <w:rPr>
          <w:rFonts w:hint="cs"/>
          <w:rtl/>
        </w:rPr>
        <w:t>, מועד תקופת מעצרו</w:t>
      </w:r>
      <w:r w:rsidRPr="008B29CB">
        <w:rPr>
          <w:rtl/>
        </w:rPr>
        <w:t>.</w:t>
      </w:r>
      <w:r>
        <w:rPr>
          <w:rFonts w:hint="cs"/>
          <w:rtl/>
        </w:rPr>
        <w:t xml:space="preserve"> </w:t>
      </w:r>
    </w:p>
    <w:p w14:paraId="717D126B" w14:textId="77777777" w:rsidR="000D5F34" w:rsidRDefault="000D5F34" w:rsidP="000D5F34">
      <w:pPr>
        <w:jc w:val="both"/>
        <w:rPr>
          <w:rtl/>
        </w:rPr>
      </w:pPr>
    </w:p>
    <w:p w14:paraId="66388C67" w14:textId="77777777" w:rsidR="000D5F34" w:rsidRDefault="000D5F34" w:rsidP="000D5F34">
      <w:pPr>
        <w:spacing w:line="360" w:lineRule="auto"/>
        <w:jc w:val="both"/>
        <w:rPr>
          <w:rtl/>
        </w:rPr>
      </w:pPr>
      <w:r>
        <w:rPr>
          <w:rFonts w:hint="cs"/>
          <w:rtl/>
        </w:rPr>
        <w:t>בנוסף אני גוזר על הנאשם את העונשים הבאים, שעניינם ברכיבי ענישה שלא הוסכמו בין הצדדים במסגרת ההסדר, כפי שהוצג בפני:</w:t>
      </w:r>
    </w:p>
    <w:p w14:paraId="226F3D3C" w14:textId="77777777" w:rsidR="000D5F34" w:rsidRDefault="000D5F34" w:rsidP="000D5F34">
      <w:pPr>
        <w:jc w:val="both"/>
        <w:rPr>
          <w:rtl/>
        </w:rPr>
      </w:pPr>
    </w:p>
    <w:p w14:paraId="208CFD44" w14:textId="77777777" w:rsidR="000D5F34" w:rsidRDefault="000D5F34" w:rsidP="000D5F34">
      <w:pPr>
        <w:spacing w:line="360" w:lineRule="auto"/>
        <w:jc w:val="both"/>
        <w:rPr>
          <w:rtl/>
        </w:rPr>
      </w:pPr>
      <w:r>
        <w:rPr>
          <w:rFonts w:hint="cs"/>
          <w:rtl/>
        </w:rPr>
        <w:t xml:space="preserve">אני גוזר על הנאשם 12 חודשי מאסר מותנה והתנאי הוא שהנאשם לא יעבור עבירה </w:t>
      </w:r>
      <w:r w:rsidRPr="008F3C33">
        <w:rPr>
          <w:rtl/>
        </w:rPr>
        <w:t xml:space="preserve">של החזקת סם מסוכן שלא כדין ושלא לצריכה עצמית, עבירה לפי </w:t>
      </w:r>
      <w:hyperlink r:id="rId17" w:history="1">
        <w:r w:rsidR="009C4C53" w:rsidRPr="009C4C53">
          <w:rPr>
            <w:rStyle w:val="Hyperlink"/>
            <w:color w:val="0000FF"/>
            <w:rtl/>
          </w:rPr>
          <w:t>סעיף 7(א)+(ג)</w:t>
        </w:r>
      </w:hyperlink>
      <w:r w:rsidRPr="008F3C33">
        <w:rPr>
          <w:rtl/>
        </w:rPr>
        <w:t xml:space="preserve"> רישא ל</w:t>
      </w:r>
      <w:hyperlink r:id="rId18" w:history="1">
        <w:r w:rsidR="007A57BD" w:rsidRPr="007A57BD">
          <w:rPr>
            <w:color w:val="0000FF"/>
            <w:u w:val="single"/>
            <w:rtl/>
          </w:rPr>
          <w:t>פקודת הסמים המסוכנים</w:t>
        </w:r>
      </w:hyperlink>
      <w:r>
        <w:rPr>
          <w:rFonts w:hint="cs"/>
          <w:rtl/>
        </w:rPr>
        <w:t xml:space="preserve"> וכן עבירות של סחר ו/או ייצור והפקת סמים מסוכנים. </w:t>
      </w:r>
      <w:r w:rsidRPr="008F3C33">
        <w:rPr>
          <w:rtl/>
        </w:rPr>
        <w:t xml:space="preserve">תוקפו של התנאי ל </w:t>
      </w:r>
      <w:r>
        <w:rPr>
          <w:rFonts w:hint="cs"/>
          <w:rtl/>
        </w:rPr>
        <w:t>36</w:t>
      </w:r>
      <w:r w:rsidRPr="008F3C33">
        <w:rPr>
          <w:rtl/>
        </w:rPr>
        <w:t xml:space="preserve"> חודשים ממועד שחרורו ממאסרו הנוכחי.</w:t>
      </w:r>
    </w:p>
    <w:p w14:paraId="5BDCE4B4" w14:textId="77777777" w:rsidR="000D5F34" w:rsidRDefault="000D5F34" w:rsidP="000D5F34">
      <w:pPr>
        <w:jc w:val="both"/>
        <w:rPr>
          <w:rtl/>
        </w:rPr>
      </w:pPr>
    </w:p>
    <w:p w14:paraId="443EC6C6" w14:textId="77777777" w:rsidR="000D5F34" w:rsidRDefault="000D5F34" w:rsidP="000D5F34">
      <w:pPr>
        <w:spacing w:line="360" w:lineRule="auto"/>
        <w:jc w:val="both"/>
        <w:rPr>
          <w:rtl/>
        </w:rPr>
      </w:pPr>
      <w:r>
        <w:rPr>
          <w:rFonts w:hint="cs"/>
          <w:rtl/>
        </w:rPr>
        <w:t xml:space="preserve">אני גוזר על הנאשם עונש של 30 ימי מאסר מותנה והתנאי הוא שהנאשם לא יעבור </w:t>
      </w:r>
      <w:r w:rsidRPr="008F3C33">
        <w:rPr>
          <w:rtl/>
        </w:rPr>
        <w:t xml:space="preserve">עבירה של הפרעה לשוטר במילוי תפקידו, עבירה לפי </w:t>
      </w:r>
      <w:hyperlink r:id="rId19" w:history="1">
        <w:r w:rsidR="009C4C53" w:rsidRPr="009C4C53">
          <w:rPr>
            <w:rStyle w:val="Hyperlink"/>
            <w:color w:val="0000FF"/>
            <w:rtl/>
          </w:rPr>
          <w:t>סעיף 275</w:t>
        </w:r>
      </w:hyperlink>
      <w:r w:rsidRPr="008F3C33">
        <w:rPr>
          <w:rtl/>
        </w:rPr>
        <w:t xml:space="preserve"> ל</w:t>
      </w:r>
      <w:hyperlink r:id="rId20" w:history="1">
        <w:r w:rsidR="007A57BD" w:rsidRPr="007A57BD">
          <w:rPr>
            <w:color w:val="0000FF"/>
            <w:u w:val="single"/>
            <w:rtl/>
          </w:rPr>
          <w:t>חוק העונשין</w:t>
        </w:r>
      </w:hyperlink>
      <w:r>
        <w:rPr>
          <w:rFonts w:hint="cs"/>
          <w:rtl/>
        </w:rPr>
        <w:t xml:space="preserve"> ו</w:t>
      </w:r>
      <w:r w:rsidRPr="008F3C33">
        <w:rPr>
          <w:rtl/>
        </w:rPr>
        <w:t xml:space="preserve">עבירה של שיבוש מהלכי משפט לפי </w:t>
      </w:r>
      <w:hyperlink r:id="rId21" w:history="1">
        <w:r w:rsidR="009C4C53" w:rsidRPr="009C4C53">
          <w:rPr>
            <w:rStyle w:val="Hyperlink"/>
            <w:color w:val="0000FF"/>
            <w:rtl/>
          </w:rPr>
          <w:t>סעיף 244</w:t>
        </w:r>
      </w:hyperlink>
      <w:r w:rsidRPr="008F3C33">
        <w:rPr>
          <w:rtl/>
        </w:rPr>
        <w:t xml:space="preserve"> לחוק העונשין.</w:t>
      </w:r>
      <w:r>
        <w:rPr>
          <w:rFonts w:hint="cs"/>
          <w:rtl/>
        </w:rPr>
        <w:t xml:space="preserve"> תוקפו של התנאי ל 24 חודשים ממועד שחרורו ממאסרו הנוכחי. </w:t>
      </w:r>
    </w:p>
    <w:p w14:paraId="375C7DA9" w14:textId="77777777" w:rsidR="000D5F34" w:rsidRDefault="000D5F34" w:rsidP="000D5F34">
      <w:pPr>
        <w:jc w:val="both"/>
        <w:rPr>
          <w:rtl/>
        </w:rPr>
      </w:pPr>
    </w:p>
    <w:p w14:paraId="724D8D2A" w14:textId="77777777" w:rsidR="000D5F34" w:rsidRDefault="000D5F34" w:rsidP="000D5F34">
      <w:pPr>
        <w:spacing w:line="360" w:lineRule="auto"/>
        <w:jc w:val="both"/>
        <w:rPr>
          <w:rtl/>
        </w:rPr>
      </w:pPr>
      <w:r>
        <w:rPr>
          <w:rFonts w:hint="cs"/>
          <w:rtl/>
        </w:rPr>
        <w:t xml:space="preserve">אני גוזר על הנאשם לשלם קנס בסכום כולל של 36,000 ₪  או לרצות שישה (6) חודשי מאסר בתמורה. הקנס ישולם ב 12 תשלומים שווים ורצופים כשהתשלום הראשון ביום 1.10.2024 והיתרה בכל 1 לחודש שאחריו. איחור של שלושה (3) ימי עסקים בתשלום לא ייחשב כהפרת החיוב.  </w:t>
      </w:r>
    </w:p>
    <w:p w14:paraId="242D7D1F" w14:textId="77777777" w:rsidR="000D5F34" w:rsidRDefault="000D5F34" w:rsidP="000D5F34">
      <w:pPr>
        <w:spacing w:line="360" w:lineRule="auto"/>
        <w:jc w:val="both"/>
        <w:rPr>
          <w:rtl/>
        </w:rPr>
      </w:pPr>
    </w:p>
    <w:p w14:paraId="0025C14B" w14:textId="77777777" w:rsidR="000D5F34" w:rsidRDefault="000D5F34" w:rsidP="000D5F34">
      <w:pPr>
        <w:spacing w:line="360" w:lineRule="auto"/>
        <w:jc w:val="both"/>
        <w:rPr>
          <w:rtl/>
        </w:rPr>
      </w:pPr>
    </w:p>
    <w:p w14:paraId="4375021C" w14:textId="77777777" w:rsidR="000D5F34" w:rsidRDefault="000D5F34" w:rsidP="000D5F34">
      <w:pPr>
        <w:spacing w:line="360" w:lineRule="auto"/>
        <w:jc w:val="both"/>
        <w:rPr>
          <w:rtl/>
        </w:rPr>
      </w:pPr>
    </w:p>
    <w:p w14:paraId="7ADEB7EC" w14:textId="77777777" w:rsidR="000D5F34" w:rsidRDefault="000D5F34" w:rsidP="000D5F34">
      <w:pPr>
        <w:spacing w:line="360" w:lineRule="auto"/>
        <w:jc w:val="both"/>
        <w:rPr>
          <w:rtl/>
        </w:rPr>
      </w:pPr>
    </w:p>
    <w:p w14:paraId="4D42D976" w14:textId="77777777" w:rsidR="000D5F34" w:rsidRDefault="000D5F34" w:rsidP="000D5F34">
      <w:pPr>
        <w:jc w:val="both"/>
        <w:rPr>
          <w:rtl/>
        </w:rPr>
      </w:pPr>
    </w:p>
    <w:p w14:paraId="189D601B" w14:textId="77777777" w:rsidR="000D5F34" w:rsidRDefault="000D5F34" w:rsidP="000D5F34">
      <w:pPr>
        <w:spacing w:line="360" w:lineRule="auto"/>
        <w:jc w:val="both"/>
        <w:rPr>
          <w:rtl/>
        </w:rPr>
      </w:pPr>
      <w:r>
        <w:rPr>
          <w:rFonts w:hint="cs"/>
          <w:rtl/>
        </w:rPr>
        <w:t xml:space="preserve">עם סיומו של גזר הדין, וללא כל קשר לענישה שנגזרה, מצאתי לנכון להבהיר כי הקשבתי גם לטענות אימו של הנאשם. טענות אלו אינן קשורות ישירות לכתב האישום שבו הודה בנה, הנאשם, ולעובדותיו. </w:t>
      </w:r>
    </w:p>
    <w:p w14:paraId="687CB649" w14:textId="77777777" w:rsidR="000D5F34" w:rsidRDefault="000D5F34" w:rsidP="000D5F34">
      <w:pPr>
        <w:spacing w:line="360" w:lineRule="auto"/>
        <w:jc w:val="both"/>
        <w:rPr>
          <w:rtl/>
        </w:rPr>
      </w:pPr>
    </w:p>
    <w:p w14:paraId="1369FD7E" w14:textId="77777777" w:rsidR="000D5F34" w:rsidRDefault="000D5F34" w:rsidP="000D5F34">
      <w:pPr>
        <w:spacing w:line="360" w:lineRule="auto"/>
        <w:jc w:val="both"/>
        <w:rPr>
          <w:rtl/>
        </w:rPr>
      </w:pPr>
      <w:r>
        <w:rPr>
          <w:rFonts w:hint="cs"/>
          <w:rtl/>
        </w:rPr>
        <w:t xml:space="preserve">ממילא אין בטענות כלליות אלו כדי להשליך על גזר הדין, זאת מעבר לעובדה שהטענות לא נבחנו וממילא אין מקום להתייחס אליהן במסגרת הליך זה. אציין כי ככל שסבורה או חשה האם, שהיא חווה התנכלות מצד גורמי החקירה, פתוחה בפניה הדרך וזכותה, על פי חוק, לפנות בתלונה לגורמים המתאימים. ככל שתוגש תלונה היא תיבחן.  </w:t>
      </w:r>
    </w:p>
    <w:p w14:paraId="642E7E9F" w14:textId="77777777" w:rsidR="000D5F34" w:rsidRDefault="000D5F34" w:rsidP="000D5F34">
      <w:pPr>
        <w:jc w:val="both"/>
        <w:rPr>
          <w:rtl/>
        </w:rPr>
      </w:pPr>
    </w:p>
    <w:p w14:paraId="66BC8E46" w14:textId="77777777" w:rsidR="000D5F34" w:rsidRDefault="000D5F34" w:rsidP="000D5F34">
      <w:pPr>
        <w:spacing w:line="360" w:lineRule="auto"/>
        <w:jc w:val="both"/>
        <w:rPr>
          <w:rtl/>
        </w:rPr>
      </w:pPr>
      <w:r>
        <w:rPr>
          <w:rFonts w:hint="cs"/>
          <w:rtl/>
        </w:rPr>
        <w:t xml:space="preserve">אבהיר, למען הסר ספק, כי אין באמור כדי להביע עמדה כל שהיא בנוגע לתלונות והטענות שנטענו בפני ע"י האם. </w:t>
      </w:r>
    </w:p>
    <w:p w14:paraId="6AAAFE93" w14:textId="77777777" w:rsidR="000D5F34" w:rsidRDefault="000D5F34" w:rsidP="000D5F34">
      <w:pPr>
        <w:jc w:val="both"/>
        <w:rPr>
          <w:rtl/>
        </w:rPr>
      </w:pPr>
    </w:p>
    <w:p w14:paraId="3CF543DD" w14:textId="77777777" w:rsidR="000D5F34" w:rsidRDefault="000D5F34" w:rsidP="000D5F34">
      <w:pPr>
        <w:spacing w:line="360" w:lineRule="auto"/>
        <w:jc w:val="both"/>
        <w:rPr>
          <w:rtl/>
        </w:rPr>
      </w:pPr>
      <w:r>
        <w:rPr>
          <w:rFonts w:hint="cs"/>
          <w:rtl/>
        </w:rPr>
        <w:t xml:space="preserve">בסיכומו של דבר, הדין נגזר כפי שפורט לעיל.  </w:t>
      </w:r>
    </w:p>
    <w:p w14:paraId="283955CB" w14:textId="77777777" w:rsidR="000D5F34" w:rsidRDefault="000D5F34" w:rsidP="000D5F34">
      <w:pPr>
        <w:jc w:val="both"/>
        <w:rPr>
          <w:rtl/>
        </w:rPr>
      </w:pPr>
    </w:p>
    <w:p w14:paraId="3A9D24CA" w14:textId="77777777" w:rsidR="000D5F34" w:rsidRPr="009B6196" w:rsidRDefault="000D5F34" w:rsidP="000D5F34">
      <w:pPr>
        <w:spacing w:line="360" w:lineRule="auto"/>
        <w:jc w:val="both"/>
        <w:rPr>
          <w:b/>
          <w:bCs/>
          <w:u w:val="single"/>
          <w:rtl/>
        </w:rPr>
      </w:pPr>
      <w:r w:rsidRPr="009B6196">
        <w:rPr>
          <w:rFonts w:hint="cs"/>
          <w:b/>
          <w:bCs/>
          <w:u w:val="single"/>
          <w:rtl/>
        </w:rPr>
        <w:t xml:space="preserve">הודעה לנאשם זכותו לערער לבית המשפט העליון בתוך 45 ימים מהיום.  </w:t>
      </w:r>
    </w:p>
    <w:p w14:paraId="39991D45" w14:textId="77777777" w:rsidR="000D5F34" w:rsidRPr="00B05847" w:rsidRDefault="000D5F34" w:rsidP="000D5F34">
      <w:pPr>
        <w:spacing w:line="360" w:lineRule="auto"/>
        <w:jc w:val="both"/>
        <w:rPr>
          <w:rtl/>
        </w:rPr>
      </w:pPr>
    </w:p>
    <w:p w14:paraId="4204A946" w14:textId="77777777" w:rsidR="000D5F34" w:rsidRDefault="007A57BD" w:rsidP="000D5F34">
      <w:pPr>
        <w:spacing w:line="360" w:lineRule="auto"/>
        <w:jc w:val="both"/>
        <w:rPr>
          <w:rFonts w:ascii="Arial" w:hAnsi="Arial"/>
          <w:rtl/>
        </w:rPr>
      </w:pPr>
      <w:bookmarkStart w:id="8" w:name="Nitan"/>
      <w:r w:rsidRPr="007A57BD">
        <w:rPr>
          <w:rFonts w:ascii="Arial" w:hAnsi="Arial"/>
          <w:color w:val="FFFFFF"/>
          <w:sz w:val="2"/>
          <w:szCs w:val="2"/>
          <w:rtl/>
        </w:rPr>
        <w:t>5129371</w:t>
      </w:r>
      <w:r>
        <w:rPr>
          <w:rFonts w:ascii="Arial" w:hAnsi="Arial"/>
          <w:rtl/>
        </w:rPr>
        <w:t xml:space="preserve">ניתן היום,  כ"ז ניסן תשפ"ג, 18 אפריל 2023, במעמד באי כח הצדדים והנאשם.  </w:t>
      </w:r>
      <w:bookmarkEnd w:id="8"/>
    </w:p>
    <w:tbl>
      <w:tblPr>
        <w:tblpPr w:leftFromText="180" w:rightFromText="180" w:vertAnchor="text" w:horzAnchor="page" w:tblpX="1182" w:tblpY="277"/>
        <w:bidiVisual/>
        <w:tblW w:w="0" w:type="auto"/>
        <w:tblBorders>
          <w:insideH w:val="single" w:sz="4" w:space="0" w:color="auto"/>
          <w:insideV w:val="single" w:sz="4" w:space="0" w:color="auto"/>
        </w:tblBorders>
        <w:tblLook w:val="01E0" w:firstRow="1" w:lastRow="1" w:firstColumn="1" w:lastColumn="1" w:noHBand="0" w:noVBand="0"/>
      </w:tblPr>
      <w:tblGrid>
        <w:gridCol w:w="3708"/>
      </w:tblGrid>
      <w:tr w:rsidR="000D5F34" w14:paraId="43D2F84E" w14:textId="77777777" w:rsidTr="000D5F34">
        <w:trPr>
          <w:trHeight w:val="364"/>
        </w:trPr>
        <w:tc>
          <w:tcPr>
            <w:tcW w:w="3708" w:type="dxa"/>
            <w:tcBorders>
              <w:top w:val="nil"/>
              <w:left w:val="nil"/>
              <w:bottom w:val="single" w:sz="4" w:space="0" w:color="auto"/>
              <w:right w:val="nil"/>
            </w:tcBorders>
            <w:shd w:val="clear" w:color="auto" w:fill="auto"/>
          </w:tcPr>
          <w:p w14:paraId="47DEA7AA" w14:textId="77777777" w:rsidR="000D5F34" w:rsidRPr="007A57BD" w:rsidRDefault="007A57BD" w:rsidP="000D5F34">
            <w:pPr>
              <w:bidi w:val="0"/>
              <w:jc w:val="center"/>
              <w:rPr>
                <w:color w:val="FFFFFF"/>
                <w:sz w:val="2"/>
                <w:szCs w:val="2"/>
              </w:rPr>
            </w:pPr>
            <w:r w:rsidRPr="007A57BD">
              <w:rPr>
                <w:color w:val="FFFFFF"/>
                <w:sz w:val="2"/>
                <w:szCs w:val="2"/>
              </w:rPr>
              <w:t>54678313</w:t>
            </w:r>
          </w:p>
        </w:tc>
      </w:tr>
      <w:tr w:rsidR="000D5F34" w14:paraId="1E81A930" w14:textId="77777777" w:rsidTr="000D5F34">
        <w:trPr>
          <w:trHeight w:val="415"/>
        </w:trPr>
        <w:tc>
          <w:tcPr>
            <w:tcW w:w="3708" w:type="dxa"/>
            <w:tcBorders>
              <w:top w:val="single" w:sz="4" w:space="0" w:color="auto"/>
              <w:left w:val="nil"/>
              <w:bottom w:val="nil"/>
              <w:right w:val="nil"/>
            </w:tcBorders>
            <w:shd w:val="clear" w:color="auto" w:fill="auto"/>
          </w:tcPr>
          <w:p w14:paraId="0F8C901F" w14:textId="77777777" w:rsidR="000D5F34" w:rsidRPr="000D5F34" w:rsidRDefault="000D5F34" w:rsidP="000D5F34">
            <w:pPr>
              <w:jc w:val="center"/>
              <w:rPr>
                <w:b/>
                <w:bCs/>
                <w:rtl/>
              </w:rPr>
            </w:pPr>
            <w:r w:rsidRPr="000D5F34">
              <w:rPr>
                <w:rFonts w:hint="cs"/>
                <w:b/>
                <w:bCs/>
                <w:rtl/>
              </w:rPr>
              <w:t xml:space="preserve"> רון שפירא, נשיא</w:t>
            </w:r>
          </w:p>
        </w:tc>
      </w:tr>
    </w:tbl>
    <w:p w14:paraId="6F446B8E" w14:textId="77777777" w:rsidR="000D5F34" w:rsidRDefault="000D5F34" w:rsidP="000D5F34">
      <w:pPr>
        <w:spacing w:line="360" w:lineRule="auto"/>
        <w:jc w:val="both"/>
        <w:rPr>
          <w:rFonts w:ascii="Arial" w:hAnsi="Arial"/>
          <w:rtl/>
        </w:rPr>
      </w:pPr>
    </w:p>
    <w:p w14:paraId="2EDF0D9D" w14:textId="77777777" w:rsidR="000D5F34" w:rsidRPr="004B5A61" w:rsidRDefault="000D5F34" w:rsidP="000D5F34">
      <w:pPr>
        <w:rPr>
          <w:rtl/>
        </w:rPr>
      </w:pPr>
    </w:p>
    <w:p w14:paraId="3E1A1095" w14:textId="77777777" w:rsidR="000D5F34" w:rsidRDefault="000D5F34" w:rsidP="000D5F34">
      <w:pPr>
        <w:rPr>
          <w:rFonts w:cs="FrankRuehl"/>
          <w:sz w:val="28"/>
          <w:szCs w:val="28"/>
          <w:rtl/>
        </w:rPr>
      </w:pPr>
    </w:p>
    <w:p w14:paraId="08FB0816" w14:textId="77777777" w:rsidR="000D5F34" w:rsidRPr="009C4C53" w:rsidRDefault="009C4C53" w:rsidP="000D5F34">
      <w:pPr>
        <w:pStyle w:val="a3"/>
        <w:jc w:val="center"/>
        <w:rPr>
          <w:color w:val="FFFFFF"/>
          <w:sz w:val="2"/>
          <w:szCs w:val="2"/>
          <w:rtl/>
        </w:rPr>
      </w:pPr>
      <w:r w:rsidRPr="009C4C53">
        <w:rPr>
          <w:color w:val="FFFFFF"/>
          <w:sz w:val="2"/>
          <w:szCs w:val="2"/>
          <w:rtl/>
        </w:rPr>
        <w:t>5129371</w:t>
      </w:r>
    </w:p>
    <w:p w14:paraId="2171F34F" w14:textId="77777777" w:rsidR="00AA028F" w:rsidRPr="009C4C53" w:rsidRDefault="009C4C53" w:rsidP="007A57BD">
      <w:pPr>
        <w:keepNext/>
        <w:rPr>
          <w:rFonts w:ascii="David" w:hAnsi="David" w:hint="cs"/>
          <w:color w:val="FFFFFF"/>
          <w:sz w:val="2"/>
          <w:szCs w:val="2"/>
          <w:rtl/>
        </w:rPr>
      </w:pPr>
      <w:r w:rsidRPr="009C4C53">
        <w:rPr>
          <w:rFonts w:ascii="David" w:hAnsi="David"/>
          <w:color w:val="FFFFFF"/>
          <w:sz w:val="2"/>
          <w:szCs w:val="2"/>
          <w:rtl/>
        </w:rPr>
        <w:t>54678313</w:t>
      </w:r>
    </w:p>
    <w:p w14:paraId="2B8FE3D5" w14:textId="77777777" w:rsidR="007A57BD" w:rsidRDefault="007A57BD" w:rsidP="007A57BD">
      <w:pPr>
        <w:rPr>
          <w:rtl/>
        </w:rPr>
      </w:pPr>
    </w:p>
    <w:p w14:paraId="4A243CD1" w14:textId="77777777" w:rsidR="007A57BD" w:rsidRDefault="007A57BD" w:rsidP="007A57B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B3E00FB" w14:textId="77777777" w:rsidR="009C4C53" w:rsidRPr="009C4C53" w:rsidRDefault="009C4C53" w:rsidP="009C4C53">
      <w:pPr>
        <w:keepNext/>
        <w:rPr>
          <w:rFonts w:ascii="David" w:hAnsi="David" w:hint="cs"/>
          <w:color w:val="000000"/>
          <w:sz w:val="22"/>
          <w:szCs w:val="22"/>
          <w:rtl/>
        </w:rPr>
      </w:pPr>
    </w:p>
    <w:p w14:paraId="44B87BF8" w14:textId="77777777" w:rsidR="009C4C53" w:rsidRPr="009C4C53" w:rsidRDefault="009C4C53" w:rsidP="009C4C53">
      <w:pPr>
        <w:keepNext/>
        <w:rPr>
          <w:rFonts w:ascii="David" w:hAnsi="David"/>
          <w:color w:val="000000"/>
          <w:sz w:val="22"/>
          <w:szCs w:val="22"/>
          <w:rtl/>
        </w:rPr>
      </w:pPr>
      <w:r w:rsidRPr="009C4C53">
        <w:rPr>
          <w:rFonts w:ascii="David" w:hAnsi="David"/>
          <w:color w:val="000000"/>
          <w:sz w:val="22"/>
          <w:szCs w:val="22"/>
          <w:rtl/>
        </w:rPr>
        <w:t>רון שפירא 54678313-/</w:t>
      </w:r>
    </w:p>
    <w:p w14:paraId="7478AA63" w14:textId="77777777" w:rsidR="007A57BD" w:rsidRPr="007A57BD" w:rsidRDefault="009C4C53" w:rsidP="009C4C53">
      <w:pPr>
        <w:rPr>
          <w:rFonts w:hint="cs"/>
          <w:color w:val="0000FF"/>
          <w:u w:val="single"/>
        </w:rPr>
      </w:pPr>
      <w:r w:rsidRPr="009C4C53">
        <w:rPr>
          <w:color w:val="000000"/>
          <w:u w:val="single"/>
          <w:rtl/>
        </w:rPr>
        <w:t>נוסח מסמך זה כפוף לשינויי ניסוח ועריכה</w:t>
      </w:r>
    </w:p>
    <w:sectPr w:rsidR="007A57BD" w:rsidRPr="007A57BD" w:rsidSect="009C4C53">
      <w:headerReference w:type="even" r:id="rId23"/>
      <w:headerReference w:type="default" r:id="rId24"/>
      <w:footerReference w:type="even" r:id="rId25"/>
      <w:footerReference w:type="default" r:id="rId26"/>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8F3C3" w14:textId="77777777" w:rsidR="00975460" w:rsidRDefault="00975460" w:rsidP="00EB6861">
      <w:r>
        <w:separator/>
      </w:r>
    </w:p>
  </w:endnote>
  <w:endnote w:type="continuationSeparator" w:id="0">
    <w:p w14:paraId="5EE74E84" w14:textId="77777777" w:rsidR="00975460" w:rsidRDefault="00975460" w:rsidP="00EB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A91E3" w14:textId="77777777" w:rsidR="009C4C53" w:rsidRDefault="009C4C53" w:rsidP="009C4C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7B634B" w14:textId="77777777" w:rsidR="00943880" w:rsidRPr="009C4C53" w:rsidRDefault="009C4C53" w:rsidP="009C4C53">
    <w:pPr>
      <w:pStyle w:val="a5"/>
      <w:pBdr>
        <w:top w:val="single" w:sz="4" w:space="1" w:color="auto"/>
        <w:between w:val="single" w:sz="4" w:space="0" w:color="auto"/>
      </w:pBdr>
      <w:spacing w:after="60"/>
      <w:jc w:val="center"/>
      <w:rPr>
        <w:rFonts w:ascii="FrankRuehl" w:hAnsi="FrankRuehl" w:cs="FrankRuehl"/>
        <w:color w:val="000000"/>
      </w:rPr>
    </w:pPr>
    <w:r w:rsidRPr="009C4C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EA181" w14:textId="77777777" w:rsidR="009C4C53" w:rsidRDefault="009C4C53" w:rsidP="009C4C5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005F">
      <w:rPr>
        <w:rFonts w:ascii="FrankRuehl" w:hAnsi="FrankRuehl" w:cs="FrankRuehl"/>
        <w:noProof/>
        <w:rtl/>
      </w:rPr>
      <w:t>1</w:t>
    </w:r>
    <w:r>
      <w:rPr>
        <w:rFonts w:ascii="FrankRuehl" w:hAnsi="FrankRuehl" w:cs="FrankRuehl"/>
        <w:rtl/>
      </w:rPr>
      <w:fldChar w:fldCharType="end"/>
    </w:r>
  </w:p>
  <w:p w14:paraId="148697D9" w14:textId="77777777" w:rsidR="00943880" w:rsidRPr="009C4C53" w:rsidRDefault="009C4C53" w:rsidP="009C4C53">
    <w:pPr>
      <w:pStyle w:val="a5"/>
      <w:pBdr>
        <w:top w:val="single" w:sz="4" w:space="1" w:color="auto"/>
        <w:between w:val="single" w:sz="4" w:space="0" w:color="auto"/>
      </w:pBdr>
      <w:spacing w:after="60"/>
      <w:jc w:val="center"/>
      <w:rPr>
        <w:rFonts w:ascii="FrankRuehl" w:hAnsi="FrankRuehl" w:cs="FrankRuehl"/>
        <w:color w:val="000000"/>
      </w:rPr>
    </w:pPr>
    <w:r w:rsidRPr="009C4C53">
      <w:rPr>
        <w:rFonts w:ascii="FrankRuehl" w:hAnsi="FrankRuehl" w:cs="FrankRuehl"/>
        <w:color w:val="000000"/>
      </w:rPr>
      <w:pict w14:anchorId="7E50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955FD" w14:textId="77777777" w:rsidR="00975460" w:rsidRDefault="00975460" w:rsidP="00EB6861">
      <w:r>
        <w:separator/>
      </w:r>
    </w:p>
  </w:footnote>
  <w:footnote w:type="continuationSeparator" w:id="0">
    <w:p w14:paraId="109CA4E8" w14:textId="77777777" w:rsidR="00975460" w:rsidRDefault="00975460" w:rsidP="00EB6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44958" w14:textId="77777777" w:rsidR="007A57BD" w:rsidRPr="009C4C53" w:rsidRDefault="009C4C53" w:rsidP="009C4C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45388-11-20</w:t>
    </w:r>
    <w:r>
      <w:rPr>
        <w:rFonts w:ascii="David" w:hAnsi="David"/>
        <w:color w:val="000000"/>
        <w:sz w:val="22"/>
        <w:szCs w:val="22"/>
        <w:rtl/>
      </w:rPr>
      <w:tab/>
      <w:t xml:space="preserve"> מדינת ישראל נ' עלאא טבראני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2B45F" w14:textId="77777777" w:rsidR="007A57BD" w:rsidRPr="009C4C53" w:rsidRDefault="009C4C53" w:rsidP="009C4C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45388-11-20</w:t>
    </w:r>
    <w:r>
      <w:rPr>
        <w:rFonts w:ascii="David" w:hAnsi="David"/>
        <w:color w:val="000000"/>
        <w:sz w:val="22"/>
        <w:szCs w:val="22"/>
        <w:rtl/>
      </w:rPr>
      <w:tab/>
      <w:t xml:space="preserve"> מדינת ישראל נ' עלאא טבראני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5F34"/>
    <w:rsid w:val="000D5F34"/>
    <w:rsid w:val="001B5A3B"/>
    <w:rsid w:val="004F005F"/>
    <w:rsid w:val="00727E7F"/>
    <w:rsid w:val="007A57BD"/>
    <w:rsid w:val="00943880"/>
    <w:rsid w:val="00975460"/>
    <w:rsid w:val="009C4C53"/>
    <w:rsid w:val="00AA028F"/>
    <w:rsid w:val="00EB68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DD897"/>
  <w15:chartTrackingRefBased/>
  <w15:docId w15:val="{EEDE0946-378F-49D2-8FE4-DD9989E5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5F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5F34"/>
    <w:pPr>
      <w:tabs>
        <w:tab w:val="center" w:pos="4153"/>
        <w:tab w:val="right" w:pos="8306"/>
      </w:tabs>
    </w:pPr>
  </w:style>
  <w:style w:type="character" w:customStyle="1" w:styleId="a4">
    <w:name w:val="כותרת עליונה תו"/>
    <w:link w:val="a3"/>
    <w:rsid w:val="000D5F34"/>
    <w:rPr>
      <w:rFonts w:ascii="Times New Roman" w:eastAsia="Times New Roman" w:hAnsi="Times New Roman" w:cs="David"/>
      <w:sz w:val="24"/>
      <w:szCs w:val="24"/>
    </w:rPr>
  </w:style>
  <w:style w:type="paragraph" w:styleId="a5">
    <w:name w:val="footer"/>
    <w:basedOn w:val="a"/>
    <w:link w:val="a6"/>
    <w:rsid w:val="000D5F34"/>
    <w:pPr>
      <w:tabs>
        <w:tab w:val="center" w:pos="4153"/>
        <w:tab w:val="right" w:pos="8306"/>
      </w:tabs>
    </w:pPr>
  </w:style>
  <w:style w:type="character" w:customStyle="1" w:styleId="a6">
    <w:name w:val="כותרת תחתונה תו"/>
    <w:link w:val="a5"/>
    <w:rsid w:val="000D5F34"/>
    <w:rPr>
      <w:rFonts w:ascii="Times New Roman" w:eastAsia="Times New Roman" w:hAnsi="Times New Roman" w:cs="David"/>
      <w:sz w:val="24"/>
      <w:szCs w:val="24"/>
    </w:rPr>
  </w:style>
  <w:style w:type="table" w:styleId="a7">
    <w:name w:val="Table Grid"/>
    <w:basedOn w:val="a1"/>
    <w:rsid w:val="000D5F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5F34"/>
  </w:style>
  <w:style w:type="paragraph" w:customStyle="1" w:styleId="12">
    <w:name w:val="רגיל + ‏12 נק'"/>
    <w:aliases w:val="מיושר לשני הצדדים,מרווח בין שורות:  שורה וחצי"/>
    <w:basedOn w:val="a"/>
    <w:rsid w:val="000D5F34"/>
    <w:rPr>
      <w:b/>
      <w:bCs/>
      <w:u w:val="single"/>
    </w:rPr>
  </w:style>
  <w:style w:type="character" w:customStyle="1" w:styleId="TimesNewRomanTimesNewRoman">
    <w:name w:val="סגנון (לטיני) Times New Roman (עברית ושפות אחרות) Times New Roman..."/>
    <w:rsid w:val="000D5F34"/>
    <w:rPr>
      <w:rFonts w:ascii="Times New Roman" w:hAnsi="Times New Roman" w:cs="David" w:hint="default"/>
      <w:b/>
      <w:bCs/>
      <w:sz w:val="26"/>
      <w:szCs w:val="26"/>
    </w:rPr>
  </w:style>
  <w:style w:type="character" w:styleId="Hyperlink">
    <w:name w:val="Hyperlink"/>
    <w:rsid w:val="007A57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244"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4216/7.a.;7.c"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244"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75"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244" TargetMode="External"/><Relationship Id="rId19" Type="http://schemas.openxmlformats.org/officeDocument/2006/relationships/hyperlink" Target="http://www.nevo.co.il/law/70301/275"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5917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45388</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עלאא טבראני</vt:lpwstr>
  </property>
  <property fmtid="{D5CDD505-2E9C-101B-9397-08002B2CF9AE}" pid="10" name="LAWYER">
    <vt:lpwstr>חאלד חכרוש;משה גלעד</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20230418</vt:lpwstr>
  </property>
  <property fmtid="{D5CDD505-2E9C-101B-9397-08002B2CF9AE}" pid="14" name="TYPE_N_DATE">
    <vt:lpwstr>39020230418</vt:lpwstr>
  </property>
  <property fmtid="{D5CDD505-2E9C-101B-9397-08002B2CF9AE}" pid="15" name="WORDNUMPAGES">
    <vt:lpwstr>3</vt:lpwstr>
  </property>
  <property fmtid="{D5CDD505-2E9C-101B-9397-08002B2CF9AE}" pid="16" name="TYPE_ABS_DATE">
    <vt:lpwstr>390020230418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4216/007.a:2;007.c:2</vt:lpwstr>
  </property>
  <property fmtid="{D5CDD505-2E9C-101B-9397-08002B2CF9AE}" pid="36" name="LAWLISTTMP2">
    <vt:lpwstr>70301/275:2;244:2</vt:lpwstr>
  </property>
</Properties>
</file>