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834"/>
        <w:gridCol w:w="403"/>
        <w:gridCol w:w="3253"/>
        <w:gridCol w:w="99"/>
      </w:tblGrid>
      <w:tr w:rsidR="00C36FD4" w:rsidRPr="004C69CA" w14:paraId="04CD0F2E" w14:textId="77777777" w:rsidTr="000862DE">
        <w:trPr>
          <w:gridAfter w:val="1"/>
          <w:wAfter w:w="99" w:type="dxa"/>
          <w:trHeight w:hRule="exact" w:val="418"/>
          <w:jc w:val="center"/>
        </w:trPr>
        <w:tc>
          <w:tcPr>
            <w:tcW w:w="8721" w:type="dxa"/>
            <w:gridSpan w:val="4"/>
          </w:tcPr>
          <w:p w14:paraId="27D72C59" w14:textId="77777777" w:rsidR="00C36FD4" w:rsidRPr="00072940" w:rsidRDefault="00C36FD4" w:rsidP="00AE2EAB">
            <w:pPr>
              <w:pStyle w:val="a3"/>
              <w:jc w:val="center"/>
              <w:rPr>
                <w:rFonts w:ascii="Tahoma" w:hAnsi="Tahoma" w:cs="Tahoma"/>
                <w:color w:val="000080"/>
                <w:rtl/>
              </w:rPr>
            </w:pPr>
            <w:bookmarkStart w:id="0" w:name="LastJudge"/>
            <w:r w:rsidRPr="00072940">
              <w:rPr>
                <w:rFonts w:ascii="Tahoma" w:hAnsi="Tahoma" w:cs="Tahoma"/>
                <w:b/>
                <w:bCs/>
                <w:color w:val="000080"/>
                <w:rtl/>
              </w:rPr>
              <w:t>בית המשפט המחוזי בתל אביב - יפו</w:t>
            </w:r>
          </w:p>
        </w:tc>
      </w:tr>
      <w:tr w:rsidR="00C36FD4" w:rsidRPr="004C69CA" w14:paraId="349839FD" w14:textId="77777777" w:rsidTr="000862DE">
        <w:trPr>
          <w:gridAfter w:val="1"/>
          <w:wAfter w:w="99" w:type="dxa"/>
          <w:trHeight w:val="337"/>
          <w:jc w:val="center"/>
        </w:trPr>
        <w:tc>
          <w:tcPr>
            <w:tcW w:w="5065" w:type="dxa"/>
            <w:gridSpan w:val="2"/>
          </w:tcPr>
          <w:p w14:paraId="49CBF7B4" w14:textId="77777777" w:rsidR="00C36FD4" w:rsidRPr="00072940" w:rsidRDefault="00C36FD4" w:rsidP="00072940">
            <w:pPr>
              <w:pStyle w:val="a3"/>
              <w:spacing w:before="120" w:after="120" w:line="240" w:lineRule="exact"/>
              <w:rPr>
                <w:rFonts w:cs="FrankRuehl"/>
                <w:b/>
                <w:bCs/>
                <w:sz w:val="28"/>
                <w:szCs w:val="28"/>
                <w:rtl/>
              </w:rPr>
            </w:pPr>
            <w:r w:rsidRPr="00072940">
              <w:rPr>
                <w:b/>
                <w:bCs/>
                <w:sz w:val="26"/>
                <w:szCs w:val="26"/>
                <w:rtl/>
              </w:rPr>
              <w:t>ת"פ</w:t>
            </w:r>
            <w:r w:rsidRPr="00072940">
              <w:rPr>
                <w:rFonts w:hint="cs"/>
                <w:b/>
                <w:bCs/>
                <w:sz w:val="26"/>
                <w:szCs w:val="26"/>
                <w:rtl/>
              </w:rPr>
              <w:t xml:space="preserve"> </w:t>
            </w:r>
            <w:r w:rsidRPr="00072940">
              <w:rPr>
                <w:b/>
                <w:bCs/>
                <w:sz w:val="26"/>
                <w:szCs w:val="26"/>
                <w:rtl/>
              </w:rPr>
              <w:t>6678-12-20</w:t>
            </w:r>
            <w:r w:rsidRPr="00072940">
              <w:rPr>
                <w:rFonts w:hint="cs"/>
                <w:b/>
                <w:bCs/>
                <w:sz w:val="26"/>
                <w:szCs w:val="26"/>
                <w:rtl/>
              </w:rPr>
              <w:t xml:space="preserve"> </w:t>
            </w:r>
            <w:r w:rsidRPr="00072940">
              <w:rPr>
                <w:b/>
                <w:bCs/>
                <w:sz w:val="26"/>
                <w:szCs w:val="26"/>
                <w:rtl/>
              </w:rPr>
              <w:t>מדינת ישראל נ' שטרית(עצור/אסיר בפיקוח)</w:t>
            </w:r>
          </w:p>
        </w:tc>
        <w:tc>
          <w:tcPr>
            <w:tcW w:w="3656" w:type="dxa"/>
            <w:gridSpan w:val="2"/>
          </w:tcPr>
          <w:p w14:paraId="30EAA3BC" w14:textId="77777777" w:rsidR="00C36FD4" w:rsidRPr="00072940" w:rsidRDefault="00C36FD4" w:rsidP="00072940">
            <w:pPr>
              <w:pStyle w:val="a3"/>
              <w:spacing w:before="120" w:after="120" w:line="240" w:lineRule="exact"/>
              <w:jc w:val="right"/>
              <w:rPr>
                <w:rFonts w:cs="FrankRuehl"/>
                <w:b/>
                <w:bCs/>
                <w:sz w:val="28"/>
                <w:szCs w:val="28"/>
                <w:rtl/>
              </w:rPr>
            </w:pPr>
          </w:p>
        </w:tc>
      </w:tr>
      <w:tr w:rsidR="00C36FD4" w:rsidRPr="004C69CA" w14:paraId="4A3D9CC4" w14:textId="77777777" w:rsidTr="00086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4EF57ED1" w14:textId="77777777" w:rsidR="00C36FD4" w:rsidRPr="00072940" w:rsidRDefault="00C36FD4" w:rsidP="00072940">
            <w:pPr>
              <w:spacing w:before="120" w:after="120" w:line="240" w:lineRule="exact"/>
              <w:jc w:val="both"/>
              <w:rPr>
                <w:rFonts w:ascii="Arial" w:hAnsi="Arial"/>
                <w:b/>
                <w:bCs/>
                <w:sz w:val="26"/>
                <w:szCs w:val="26"/>
              </w:rPr>
            </w:pPr>
            <w:r w:rsidRPr="00072940">
              <w:rPr>
                <w:rFonts w:hint="cs"/>
                <w:b/>
                <w:bCs/>
                <w:rtl/>
              </w:rPr>
              <w:t xml:space="preserve"> </w:t>
            </w:r>
            <w:r w:rsidRPr="00072940">
              <w:rPr>
                <w:rFonts w:ascii="Arial" w:hAnsi="Arial" w:hint="cs"/>
                <w:b/>
                <w:bCs/>
                <w:sz w:val="26"/>
                <w:szCs w:val="26"/>
                <w:rtl/>
              </w:rPr>
              <w:t>ל</w:t>
            </w:r>
            <w:r w:rsidRPr="00072940">
              <w:rPr>
                <w:rFonts w:ascii="Arial" w:hAnsi="Arial"/>
                <w:b/>
                <w:bCs/>
                <w:sz w:val="26"/>
                <w:szCs w:val="26"/>
                <w:rtl/>
              </w:rPr>
              <w:t xml:space="preserve">פני </w:t>
            </w:r>
          </w:p>
        </w:tc>
        <w:tc>
          <w:tcPr>
            <w:tcW w:w="7589" w:type="dxa"/>
            <w:gridSpan w:val="4"/>
            <w:tcBorders>
              <w:top w:val="nil"/>
              <w:left w:val="nil"/>
              <w:bottom w:val="nil"/>
              <w:right w:val="nil"/>
            </w:tcBorders>
            <w:shd w:val="clear" w:color="auto" w:fill="auto"/>
          </w:tcPr>
          <w:p w14:paraId="3B0F04F2" w14:textId="77777777" w:rsidR="00C36FD4" w:rsidRPr="00072940" w:rsidRDefault="00C36FD4" w:rsidP="00072940">
            <w:pPr>
              <w:spacing w:before="120" w:after="120" w:line="240" w:lineRule="exact"/>
              <w:jc w:val="both"/>
              <w:rPr>
                <w:rFonts w:ascii="Arial" w:hAnsi="Arial"/>
                <w:b/>
                <w:bCs/>
                <w:sz w:val="26"/>
                <w:szCs w:val="26"/>
              </w:rPr>
            </w:pPr>
            <w:r w:rsidRPr="00072940">
              <w:rPr>
                <w:rFonts w:ascii="Arial" w:hAnsi="Arial" w:hint="cs"/>
                <w:b/>
                <w:bCs/>
                <w:sz w:val="26"/>
                <w:szCs w:val="26"/>
                <w:rtl/>
              </w:rPr>
              <w:t>כבוד ה</w:t>
            </w:r>
            <w:r w:rsidRPr="00072940">
              <w:rPr>
                <w:rFonts w:ascii="Arial" w:hAnsi="Arial"/>
                <w:b/>
                <w:bCs/>
                <w:sz w:val="26"/>
                <w:szCs w:val="26"/>
                <w:rtl/>
              </w:rPr>
              <w:t>שופטת</w:t>
            </w:r>
            <w:r w:rsidRPr="00072940">
              <w:rPr>
                <w:rFonts w:ascii="Arial" w:hAnsi="Arial" w:hint="cs"/>
                <w:b/>
                <w:bCs/>
                <w:sz w:val="26"/>
                <w:szCs w:val="26"/>
                <w:rtl/>
              </w:rPr>
              <w:t xml:space="preserve">  </w:t>
            </w:r>
            <w:r w:rsidRPr="00072940">
              <w:rPr>
                <w:rFonts w:ascii="Arial" w:hAnsi="Arial"/>
                <w:b/>
                <w:bCs/>
                <w:sz w:val="26"/>
                <w:szCs w:val="26"/>
                <w:rtl/>
              </w:rPr>
              <w:t>מעין בן ארי</w:t>
            </w:r>
          </w:p>
        </w:tc>
      </w:tr>
      <w:tr w:rsidR="00C36FD4" w:rsidRPr="004C69CA" w14:paraId="744EEBDF" w14:textId="77777777" w:rsidTr="00086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38B3F7C6" w14:textId="77777777" w:rsidR="00C36FD4" w:rsidRPr="00072940" w:rsidRDefault="00C36FD4" w:rsidP="00072940">
            <w:pPr>
              <w:spacing w:before="120" w:after="120" w:line="240" w:lineRule="exact"/>
              <w:jc w:val="both"/>
              <w:rPr>
                <w:rFonts w:ascii="Arial" w:hAnsi="Arial"/>
                <w:b/>
                <w:bCs/>
                <w:sz w:val="26"/>
                <w:szCs w:val="26"/>
              </w:rPr>
            </w:pPr>
            <w:bookmarkStart w:id="1" w:name="FirstAppellant"/>
            <w:bookmarkStart w:id="2" w:name="FirstLawyer"/>
            <w:r w:rsidRPr="00072940">
              <w:rPr>
                <w:rFonts w:ascii="Arial" w:hAnsi="Arial" w:hint="cs"/>
                <w:b/>
                <w:bCs/>
                <w:sz w:val="26"/>
                <w:szCs w:val="26"/>
                <w:rtl/>
              </w:rPr>
              <w:t>ה</w:t>
            </w:r>
            <w:r w:rsidRPr="00072940">
              <w:rPr>
                <w:rFonts w:ascii="Arial" w:hAnsi="Arial"/>
                <w:b/>
                <w:bCs/>
                <w:sz w:val="26"/>
                <w:szCs w:val="26"/>
                <w:rtl/>
              </w:rPr>
              <w:t>מאשימה</w:t>
            </w:r>
          </w:p>
        </w:tc>
        <w:tc>
          <w:tcPr>
            <w:tcW w:w="4237" w:type="dxa"/>
            <w:gridSpan w:val="2"/>
            <w:tcBorders>
              <w:top w:val="nil"/>
              <w:left w:val="nil"/>
              <w:bottom w:val="nil"/>
              <w:right w:val="nil"/>
            </w:tcBorders>
            <w:shd w:val="clear" w:color="auto" w:fill="auto"/>
          </w:tcPr>
          <w:p w14:paraId="6B354856" w14:textId="77777777" w:rsidR="00C36FD4" w:rsidRPr="00072940" w:rsidRDefault="00C36FD4" w:rsidP="00072940">
            <w:pPr>
              <w:spacing w:before="120" w:after="120" w:line="240" w:lineRule="exact"/>
              <w:rPr>
                <w:b/>
                <w:bCs/>
                <w:sz w:val="26"/>
                <w:szCs w:val="26"/>
                <w:rtl/>
              </w:rPr>
            </w:pPr>
            <w:r w:rsidRPr="00072940">
              <w:rPr>
                <w:rFonts w:ascii="Arial" w:hAnsi="Arial"/>
                <w:b/>
                <w:bCs/>
                <w:sz w:val="26"/>
                <w:szCs w:val="26"/>
                <w:rtl/>
              </w:rPr>
              <w:t>מדינת ישראל</w:t>
            </w:r>
          </w:p>
          <w:p w14:paraId="7624EA2C" w14:textId="77777777" w:rsidR="00C36FD4" w:rsidRPr="00072940" w:rsidRDefault="00C36FD4" w:rsidP="00072940">
            <w:pPr>
              <w:spacing w:before="120" w:after="120" w:line="240" w:lineRule="exact"/>
              <w:rPr>
                <w:b/>
                <w:bCs/>
                <w:sz w:val="26"/>
                <w:szCs w:val="26"/>
              </w:rPr>
            </w:pPr>
            <w:r w:rsidRPr="00072940">
              <w:rPr>
                <w:rFonts w:hint="cs"/>
                <w:b/>
                <w:bCs/>
                <w:sz w:val="26"/>
                <w:szCs w:val="26"/>
                <w:rtl/>
              </w:rPr>
              <w:t>ע"י ב"כ עו"ד לילך שטיבל</w:t>
            </w:r>
          </w:p>
        </w:tc>
        <w:tc>
          <w:tcPr>
            <w:tcW w:w="3352" w:type="dxa"/>
            <w:gridSpan w:val="2"/>
            <w:tcBorders>
              <w:top w:val="nil"/>
              <w:left w:val="nil"/>
              <w:bottom w:val="nil"/>
              <w:right w:val="nil"/>
            </w:tcBorders>
            <w:shd w:val="clear" w:color="auto" w:fill="auto"/>
          </w:tcPr>
          <w:p w14:paraId="01389F96" w14:textId="77777777" w:rsidR="00C36FD4" w:rsidRPr="004C69CA" w:rsidRDefault="00C36FD4" w:rsidP="00C36FD4">
            <w:pPr>
              <w:jc w:val="both"/>
              <w:rPr>
                <w:rFonts w:ascii="Arial" w:hAnsi="Arial"/>
                <w:sz w:val="26"/>
                <w:szCs w:val="26"/>
              </w:rPr>
            </w:pPr>
          </w:p>
        </w:tc>
      </w:tr>
      <w:bookmarkEnd w:id="1"/>
      <w:bookmarkEnd w:id="2"/>
      <w:tr w:rsidR="00072940" w:rsidRPr="004C69CA" w14:paraId="460AC291" w14:textId="77777777" w:rsidTr="00CB01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12BBB490" w14:textId="77777777" w:rsidR="00072940" w:rsidRPr="00072940" w:rsidRDefault="00072940" w:rsidP="00072940">
            <w:pPr>
              <w:spacing w:before="240" w:after="240" w:line="240" w:lineRule="exact"/>
              <w:jc w:val="center"/>
              <w:rPr>
                <w:rFonts w:ascii="Arial" w:hAnsi="Arial" w:hint="cs"/>
                <w:b/>
                <w:bCs/>
                <w:sz w:val="26"/>
                <w:szCs w:val="26"/>
              </w:rPr>
            </w:pPr>
            <w:r w:rsidRPr="00072940">
              <w:rPr>
                <w:rFonts w:ascii="Arial" w:hAnsi="Arial"/>
                <w:b/>
                <w:bCs/>
                <w:sz w:val="26"/>
                <w:szCs w:val="26"/>
                <w:rtl/>
              </w:rPr>
              <w:t>נגד</w:t>
            </w:r>
          </w:p>
        </w:tc>
      </w:tr>
      <w:tr w:rsidR="00C36FD4" w:rsidRPr="004C69CA" w14:paraId="1220CA93" w14:textId="77777777" w:rsidTr="00086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25D70EBE" w14:textId="77777777" w:rsidR="00C36FD4" w:rsidRPr="00072940" w:rsidRDefault="00C36FD4" w:rsidP="00072940">
            <w:pPr>
              <w:spacing w:before="120" w:after="120" w:line="240" w:lineRule="exact"/>
              <w:rPr>
                <w:rFonts w:ascii="Arial" w:hAnsi="Arial"/>
                <w:b/>
                <w:bCs/>
                <w:sz w:val="26"/>
                <w:szCs w:val="26"/>
                <w:rtl/>
              </w:rPr>
            </w:pPr>
            <w:r w:rsidRPr="00072940">
              <w:rPr>
                <w:rFonts w:ascii="Arial" w:hAnsi="Arial" w:hint="cs"/>
                <w:b/>
                <w:bCs/>
                <w:sz w:val="26"/>
                <w:szCs w:val="26"/>
                <w:rtl/>
              </w:rPr>
              <w:t>ה</w:t>
            </w:r>
            <w:r w:rsidRPr="00072940">
              <w:rPr>
                <w:rFonts w:ascii="Arial" w:hAnsi="Arial"/>
                <w:b/>
                <w:bCs/>
                <w:sz w:val="26"/>
                <w:szCs w:val="26"/>
                <w:rtl/>
              </w:rPr>
              <w:t>נאשם</w:t>
            </w:r>
          </w:p>
        </w:tc>
        <w:tc>
          <w:tcPr>
            <w:tcW w:w="4237" w:type="dxa"/>
            <w:gridSpan w:val="2"/>
            <w:tcBorders>
              <w:top w:val="nil"/>
              <w:left w:val="nil"/>
              <w:bottom w:val="nil"/>
              <w:right w:val="nil"/>
            </w:tcBorders>
            <w:shd w:val="clear" w:color="auto" w:fill="auto"/>
          </w:tcPr>
          <w:p w14:paraId="465D4F3D" w14:textId="77777777" w:rsidR="00C36FD4" w:rsidRPr="00072940" w:rsidRDefault="00C36FD4" w:rsidP="00072940">
            <w:pPr>
              <w:spacing w:before="120" w:after="120" w:line="240" w:lineRule="exact"/>
              <w:rPr>
                <w:b/>
                <w:bCs/>
                <w:sz w:val="26"/>
                <w:szCs w:val="26"/>
                <w:rtl/>
              </w:rPr>
            </w:pPr>
            <w:r w:rsidRPr="00072940">
              <w:rPr>
                <w:rFonts w:hint="cs"/>
                <w:b/>
                <w:bCs/>
                <w:sz w:val="26"/>
                <w:szCs w:val="26"/>
                <w:rtl/>
              </w:rPr>
              <w:t xml:space="preserve">שניר שטרית </w:t>
            </w:r>
          </w:p>
          <w:p w14:paraId="04B5A431" w14:textId="77777777" w:rsidR="00C36FD4" w:rsidRPr="00072940" w:rsidRDefault="00C36FD4" w:rsidP="00072940">
            <w:pPr>
              <w:spacing w:before="120" w:after="120" w:line="240" w:lineRule="exact"/>
              <w:rPr>
                <w:b/>
                <w:bCs/>
                <w:sz w:val="26"/>
                <w:szCs w:val="26"/>
                <w:rtl/>
              </w:rPr>
            </w:pPr>
            <w:r w:rsidRPr="00072940">
              <w:rPr>
                <w:rFonts w:hint="cs"/>
                <w:b/>
                <w:bCs/>
                <w:sz w:val="26"/>
                <w:szCs w:val="26"/>
                <w:rtl/>
              </w:rPr>
              <w:t>ע"י ב"כ עו"ד שחר חצרוני</w:t>
            </w:r>
          </w:p>
        </w:tc>
        <w:tc>
          <w:tcPr>
            <w:tcW w:w="3352" w:type="dxa"/>
            <w:gridSpan w:val="2"/>
            <w:tcBorders>
              <w:top w:val="nil"/>
              <w:left w:val="nil"/>
              <w:bottom w:val="nil"/>
              <w:right w:val="nil"/>
            </w:tcBorders>
            <w:shd w:val="clear" w:color="auto" w:fill="auto"/>
          </w:tcPr>
          <w:p w14:paraId="476894C9" w14:textId="77777777" w:rsidR="00C36FD4" w:rsidRPr="004C69CA" w:rsidRDefault="00C36FD4" w:rsidP="00C36FD4">
            <w:pPr>
              <w:jc w:val="right"/>
              <w:rPr>
                <w:rFonts w:ascii="Arial" w:hAnsi="Arial"/>
                <w:sz w:val="26"/>
                <w:szCs w:val="26"/>
              </w:rPr>
            </w:pPr>
          </w:p>
        </w:tc>
      </w:tr>
    </w:tbl>
    <w:p w14:paraId="0F081DEE" w14:textId="77777777" w:rsidR="000862DE" w:rsidRDefault="000862DE" w:rsidP="004C69CA">
      <w:pPr>
        <w:rPr>
          <w:rtl/>
        </w:rPr>
      </w:pPr>
    </w:p>
    <w:p w14:paraId="4570F399" w14:textId="77777777" w:rsidR="00072940" w:rsidRPr="00072940" w:rsidRDefault="00072940" w:rsidP="00072940">
      <w:pPr>
        <w:spacing w:before="120" w:after="120" w:line="240" w:lineRule="exact"/>
        <w:ind w:left="283" w:hanging="283"/>
        <w:jc w:val="both"/>
        <w:rPr>
          <w:rFonts w:ascii="FrankRuehl" w:hAnsi="FrankRuehl" w:cs="FrankRuehl"/>
          <w:rtl/>
        </w:rPr>
      </w:pPr>
      <w:bookmarkStart w:id="3" w:name="LawTable"/>
      <w:bookmarkEnd w:id="3"/>
      <w:r w:rsidRPr="00072940">
        <w:rPr>
          <w:rFonts w:ascii="FrankRuehl" w:hAnsi="FrankRuehl" w:cs="FrankRuehl"/>
          <w:rtl/>
        </w:rPr>
        <w:t xml:space="preserve">חקיקה שאוזכרה: </w:t>
      </w:r>
    </w:p>
    <w:p w14:paraId="193E2102" w14:textId="77777777" w:rsidR="00072940" w:rsidRPr="00072940" w:rsidRDefault="00072940" w:rsidP="00072940">
      <w:pPr>
        <w:spacing w:before="120" w:after="120" w:line="240" w:lineRule="exact"/>
        <w:ind w:left="283" w:hanging="283"/>
        <w:jc w:val="both"/>
        <w:rPr>
          <w:rFonts w:ascii="FrankRuehl" w:hAnsi="FrankRuehl" w:cs="FrankRuehl"/>
          <w:color w:val="0000FF"/>
          <w:rtl/>
        </w:rPr>
      </w:pPr>
      <w:hyperlink r:id="rId7" w:history="1">
        <w:r w:rsidRPr="00072940">
          <w:rPr>
            <w:rStyle w:val="Hyperlink"/>
            <w:rFonts w:ascii="FrankRuehl" w:hAnsi="FrankRuehl" w:cs="FrankRuehl"/>
            <w:u w:val="none"/>
            <w:rtl/>
          </w:rPr>
          <w:t>פקודת הסמים המסוכנים [נוסח חדש], תשל"ג-1973</w:t>
        </w:r>
      </w:hyperlink>
      <w:r w:rsidRPr="00072940">
        <w:rPr>
          <w:rFonts w:ascii="FrankRuehl" w:hAnsi="FrankRuehl" w:cs="FrankRuehl"/>
          <w:color w:val="0000FF"/>
          <w:rtl/>
        </w:rPr>
        <w:t xml:space="preserve">: סע'  </w:t>
      </w:r>
      <w:hyperlink r:id="rId8" w:history="1">
        <w:r w:rsidRPr="00072940">
          <w:rPr>
            <w:rStyle w:val="Hyperlink"/>
            <w:rFonts w:ascii="FrankRuehl" w:hAnsi="FrankRuehl" w:cs="FrankRuehl"/>
            <w:u w:val="none"/>
          </w:rPr>
          <w:t>7</w:t>
        </w:r>
      </w:hyperlink>
      <w:r w:rsidRPr="00072940">
        <w:rPr>
          <w:rFonts w:ascii="FrankRuehl" w:hAnsi="FrankRuehl" w:cs="FrankRuehl"/>
          <w:color w:val="0000FF"/>
          <w:rtl/>
        </w:rPr>
        <w:t xml:space="preserve">(א), </w:t>
      </w:r>
      <w:hyperlink r:id="rId9" w:history="1">
        <w:r w:rsidRPr="00072940">
          <w:rPr>
            <w:rStyle w:val="Hyperlink"/>
            <w:rFonts w:ascii="FrankRuehl" w:hAnsi="FrankRuehl" w:cs="FrankRuehl"/>
            <w:u w:val="none"/>
          </w:rPr>
          <w:t>7</w:t>
        </w:r>
      </w:hyperlink>
      <w:r w:rsidRPr="00072940">
        <w:rPr>
          <w:rFonts w:ascii="FrankRuehl" w:hAnsi="FrankRuehl" w:cs="FrankRuehl"/>
          <w:color w:val="0000FF"/>
          <w:rtl/>
        </w:rPr>
        <w:t>(ג)</w:t>
      </w:r>
    </w:p>
    <w:p w14:paraId="7F84F6D4" w14:textId="77777777" w:rsidR="00072940" w:rsidRPr="00072940" w:rsidRDefault="00072940" w:rsidP="00072940">
      <w:pPr>
        <w:spacing w:before="120" w:after="120" w:line="240" w:lineRule="exact"/>
        <w:ind w:left="283" w:hanging="283"/>
        <w:jc w:val="both"/>
        <w:rPr>
          <w:rFonts w:ascii="FrankRuehl" w:hAnsi="FrankRuehl" w:cs="FrankRuehl"/>
          <w:color w:val="0000FF"/>
          <w:rtl/>
        </w:rPr>
      </w:pPr>
      <w:hyperlink r:id="rId10" w:history="1">
        <w:r w:rsidRPr="00072940">
          <w:rPr>
            <w:rStyle w:val="Hyperlink"/>
            <w:rFonts w:ascii="FrankRuehl" w:hAnsi="FrankRuehl" w:cs="FrankRuehl"/>
            <w:u w:val="none"/>
            <w:rtl/>
          </w:rPr>
          <w:t>חוק העונשין, תשל"ז-1977</w:t>
        </w:r>
      </w:hyperlink>
      <w:r w:rsidRPr="00072940">
        <w:rPr>
          <w:rFonts w:ascii="FrankRuehl" w:hAnsi="FrankRuehl" w:cs="FrankRuehl"/>
          <w:color w:val="0000FF"/>
          <w:rtl/>
        </w:rPr>
        <w:t xml:space="preserve">: סע'  </w:t>
      </w:r>
      <w:hyperlink r:id="rId11" w:history="1">
        <w:r w:rsidRPr="00072940">
          <w:rPr>
            <w:rStyle w:val="Hyperlink"/>
            <w:rFonts w:ascii="FrankRuehl" w:hAnsi="FrankRuehl" w:cs="FrankRuehl"/>
            <w:u w:val="none"/>
          </w:rPr>
          <w:t>40</w:t>
        </w:r>
        <w:r w:rsidRPr="00072940">
          <w:rPr>
            <w:rStyle w:val="Hyperlink"/>
            <w:rFonts w:ascii="FrankRuehl" w:hAnsi="FrankRuehl" w:cs="FrankRuehl"/>
            <w:u w:val="none"/>
            <w:rtl/>
          </w:rPr>
          <w:t>ד</w:t>
        </w:r>
      </w:hyperlink>
      <w:r w:rsidRPr="00072940">
        <w:rPr>
          <w:rFonts w:ascii="FrankRuehl" w:hAnsi="FrankRuehl" w:cs="FrankRuehl"/>
          <w:color w:val="0000FF"/>
          <w:rtl/>
        </w:rPr>
        <w:t xml:space="preserve">, </w:t>
      </w:r>
      <w:hyperlink r:id="rId12" w:history="1">
        <w:r w:rsidRPr="00072940">
          <w:rPr>
            <w:rStyle w:val="Hyperlink"/>
            <w:rFonts w:ascii="FrankRuehl" w:hAnsi="FrankRuehl" w:cs="FrankRuehl"/>
            <w:u w:val="none"/>
          </w:rPr>
          <w:t>40</w:t>
        </w:r>
        <w:r w:rsidRPr="00072940">
          <w:rPr>
            <w:rStyle w:val="Hyperlink"/>
            <w:rFonts w:ascii="FrankRuehl" w:hAnsi="FrankRuehl" w:cs="FrankRuehl"/>
            <w:u w:val="none"/>
            <w:rtl/>
          </w:rPr>
          <w:t>ט</w:t>
        </w:r>
        <w:r w:rsidRPr="00072940">
          <w:rPr>
            <w:rStyle w:val="Hyperlink"/>
            <w:rFonts w:ascii="FrankRuehl" w:hAnsi="FrankRuehl" w:cs="FrankRuehl"/>
            <w:u w:val="none"/>
          </w:rPr>
          <w:t>'</w:t>
        </w:r>
      </w:hyperlink>
      <w:r w:rsidRPr="00072940">
        <w:rPr>
          <w:rFonts w:ascii="FrankRuehl" w:hAnsi="FrankRuehl" w:cs="FrankRuehl"/>
          <w:color w:val="0000FF"/>
          <w:rtl/>
        </w:rPr>
        <w:t xml:space="preserve">(5), </w:t>
      </w:r>
      <w:hyperlink r:id="rId13" w:history="1">
        <w:r w:rsidRPr="00072940">
          <w:rPr>
            <w:rStyle w:val="Hyperlink"/>
            <w:rFonts w:ascii="FrankRuehl" w:hAnsi="FrankRuehl" w:cs="FrankRuehl"/>
            <w:u w:val="none"/>
          </w:rPr>
          <w:t>34</w:t>
        </w:r>
        <w:r w:rsidRPr="00072940">
          <w:rPr>
            <w:rStyle w:val="Hyperlink"/>
            <w:rFonts w:ascii="FrankRuehl" w:hAnsi="FrankRuehl" w:cs="FrankRuehl"/>
            <w:u w:val="none"/>
            <w:rtl/>
          </w:rPr>
          <w:t>כא</w:t>
        </w:r>
      </w:hyperlink>
      <w:r w:rsidRPr="00072940">
        <w:rPr>
          <w:rFonts w:ascii="FrankRuehl" w:hAnsi="FrankRuehl" w:cs="FrankRuehl"/>
          <w:color w:val="0000FF"/>
          <w:rtl/>
        </w:rPr>
        <w:t xml:space="preserve">, </w:t>
      </w:r>
      <w:hyperlink r:id="rId14" w:history="1">
        <w:r w:rsidRPr="00072940">
          <w:rPr>
            <w:rStyle w:val="Hyperlink"/>
            <w:rFonts w:ascii="FrankRuehl" w:hAnsi="FrankRuehl" w:cs="FrankRuehl"/>
            <w:u w:val="none"/>
          </w:rPr>
          <w:t>40</w:t>
        </w:r>
        <w:r w:rsidRPr="00072940">
          <w:rPr>
            <w:rStyle w:val="Hyperlink"/>
            <w:rFonts w:ascii="FrankRuehl" w:hAnsi="FrankRuehl" w:cs="FrankRuehl"/>
            <w:u w:val="none"/>
            <w:rtl/>
          </w:rPr>
          <w:t>יא</w:t>
        </w:r>
      </w:hyperlink>
    </w:p>
    <w:p w14:paraId="2AFE308F" w14:textId="77777777" w:rsidR="00C36FD4" w:rsidRDefault="00C36FD4" w:rsidP="00072940">
      <w:pPr>
        <w:rPr>
          <w:rFonts w:hint="cs"/>
          <w:rtl/>
        </w:rPr>
      </w:pPr>
      <w:bookmarkStart w:id="4" w:name="LawTable_End"/>
      <w:bookmarkEnd w:id="4"/>
    </w:p>
    <w:p w14:paraId="74999611" w14:textId="77777777" w:rsidR="00F70329" w:rsidRDefault="00F70329" w:rsidP="00072940">
      <w:pPr>
        <w:rPr>
          <w:rFonts w:hint="cs"/>
          <w:rtl/>
        </w:rPr>
      </w:pPr>
    </w:p>
    <w:p w14:paraId="431F0C40" w14:textId="77777777" w:rsidR="00F70329" w:rsidRDefault="00F70329" w:rsidP="00F7032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925D9AE" w14:textId="77777777" w:rsidR="00F70329" w:rsidRPr="00E2504D" w:rsidRDefault="00F70329" w:rsidP="00F7032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E2504D">
        <w:rPr>
          <w:rFonts w:cs="FrankRuehl" w:hint="cs"/>
          <w:szCs w:val="26"/>
          <w:rtl/>
        </w:rPr>
        <w:t xml:space="preserve">בית המשפט גזר את דינו של נאשם שהורשע </w:t>
      </w:r>
      <w:r w:rsidRPr="00E2504D">
        <w:rPr>
          <w:rFonts w:cs="FrankRuehl"/>
          <w:szCs w:val="26"/>
          <w:rtl/>
        </w:rPr>
        <w:t xml:space="preserve">בעבירה של החזקת סם מסוכן שלא לצריכה עצמית. בהתחשב במכלול </w:t>
      </w:r>
      <w:r w:rsidRPr="00E2504D">
        <w:rPr>
          <w:rFonts w:cs="FrankRuehl" w:hint="cs"/>
          <w:szCs w:val="26"/>
          <w:rtl/>
        </w:rPr>
        <w:t>הוטלו</w:t>
      </w:r>
      <w:r w:rsidRPr="00E2504D">
        <w:rPr>
          <w:rFonts w:cs="FrankRuehl"/>
          <w:szCs w:val="26"/>
          <w:rtl/>
        </w:rPr>
        <w:t xml:space="preserve"> על הנאשם מאסר למשך 9 חודשים בדרך של עבודות שירות; מאסר מותנה למשך 8 חודשים; קנס כספי בסך 7,000 ₪ או מאסר תמורתם; צו מבחן לתקופה בת 12 חודשים.</w:t>
      </w:r>
    </w:p>
    <w:p w14:paraId="5C1CA74D" w14:textId="77777777" w:rsidR="00F70329" w:rsidRDefault="00F70329" w:rsidP="00F7032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524B0C90" w14:textId="77777777" w:rsidR="00F70329" w:rsidRDefault="00F70329" w:rsidP="00F7032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2DD71E" w14:textId="77777777" w:rsidR="00F70329" w:rsidRPr="00E2504D" w:rsidRDefault="00F70329" w:rsidP="00F70329">
      <w:pPr>
        <w:pBdr>
          <w:top w:val="single" w:sz="4" w:space="1" w:color="auto"/>
          <w:bottom w:val="single" w:sz="4" w:space="1" w:color="auto"/>
        </w:pBdr>
        <w:spacing w:after="120" w:line="320" w:lineRule="exact"/>
        <w:jc w:val="both"/>
        <w:rPr>
          <w:rFonts w:cs="FrankRuehl"/>
          <w:szCs w:val="26"/>
          <w:rtl/>
        </w:rPr>
      </w:pPr>
      <w:r w:rsidRPr="00E2504D">
        <w:rPr>
          <w:rFonts w:cs="FrankRuehl"/>
          <w:szCs w:val="26"/>
          <w:rtl/>
        </w:rPr>
        <w:t xml:space="preserve">הנאשם הורשע על בסיס הודאתו בעובדות כתב אישום מתוקן, בעבירה של החזקת סם מסוכן שלא לצריכה עצמית. </w:t>
      </w:r>
    </w:p>
    <w:p w14:paraId="0DA25578" w14:textId="77777777" w:rsidR="00F70329" w:rsidRDefault="00F70329" w:rsidP="00F7032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B59F95" w14:textId="77777777" w:rsidR="00F70329" w:rsidRPr="00E2504D" w:rsidRDefault="00F70329" w:rsidP="00F70329">
      <w:pPr>
        <w:pBdr>
          <w:top w:val="single" w:sz="4" w:space="1" w:color="auto"/>
          <w:bottom w:val="single" w:sz="4" w:space="1" w:color="auto"/>
        </w:pBdr>
        <w:spacing w:after="120" w:line="320" w:lineRule="exact"/>
        <w:jc w:val="both"/>
        <w:rPr>
          <w:rFonts w:cs="FrankRuehl"/>
          <w:szCs w:val="26"/>
          <w:rtl/>
        </w:rPr>
      </w:pPr>
      <w:r w:rsidRPr="00E2504D">
        <w:rPr>
          <w:rFonts w:cs="FrankRuehl"/>
          <w:szCs w:val="26"/>
          <w:rtl/>
        </w:rPr>
        <w:t>בית המשפט המחוזי</w:t>
      </w:r>
      <w:r w:rsidRPr="00E2504D">
        <w:rPr>
          <w:rFonts w:cs="FrankRuehl" w:hint="cs"/>
          <w:szCs w:val="26"/>
          <w:rtl/>
        </w:rPr>
        <w:t xml:space="preserve"> גזר את הדין כדלהלן:</w:t>
      </w:r>
    </w:p>
    <w:p w14:paraId="7DB7D970" w14:textId="77777777" w:rsidR="00F70329" w:rsidRPr="00E2504D" w:rsidRDefault="00F70329" w:rsidP="00F70329">
      <w:pPr>
        <w:pBdr>
          <w:top w:val="single" w:sz="4" w:space="1" w:color="auto"/>
          <w:bottom w:val="single" w:sz="4" w:space="1" w:color="auto"/>
        </w:pBdr>
        <w:spacing w:after="120" w:line="320" w:lineRule="exact"/>
        <w:jc w:val="both"/>
        <w:rPr>
          <w:rFonts w:cs="FrankRuehl"/>
          <w:szCs w:val="26"/>
        </w:rPr>
      </w:pPr>
      <w:r w:rsidRPr="00E2504D">
        <w:rPr>
          <w:rFonts w:cs="FrankRuehl"/>
          <w:szCs w:val="26"/>
          <w:rtl/>
        </w:rPr>
        <w:t xml:space="preserve">כאשר מדובר בעבירות סמים, מדיניות הענישה ומידת הפגיעה בערך החברתי נגזרות מהצורך להילחם בנגע הסמים ומהשלכותיו ההרסניות על החברה בכללותה. מידת הפגיעה בערך החברתי תהא מושפעת מכמות הסם וסוגו, כאשר מקובל שיש לנקוט במדיניות המבחינה בין אלה המחזיקים בסמים לשימוש עצמי לבין אלה המחזיקים בסם שלא לצריכה עצמית או הסוחרים בו; כמו גם בין אלה המחזיקים סמים הנחשבים קלים, דוגמת חשיש או קנבוס, לבין אלה, המחזיקים בסמים מסוגים הנחשבים קשים יותר.  </w:t>
      </w:r>
    </w:p>
    <w:p w14:paraId="111D9461" w14:textId="77777777" w:rsidR="00F70329" w:rsidRPr="00E2504D" w:rsidRDefault="00F70329" w:rsidP="00F70329">
      <w:pPr>
        <w:pBdr>
          <w:top w:val="single" w:sz="4" w:space="1" w:color="auto"/>
          <w:bottom w:val="single" w:sz="4" w:space="1" w:color="auto"/>
        </w:pBdr>
        <w:spacing w:after="120" w:line="320" w:lineRule="exact"/>
        <w:jc w:val="both"/>
        <w:rPr>
          <w:rFonts w:cs="FrankRuehl"/>
          <w:szCs w:val="26"/>
          <w:rtl/>
        </w:rPr>
      </w:pPr>
      <w:r w:rsidRPr="00E2504D">
        <w:rPr>
          <w:rFonts w:cs="FrankRuehl"/>
          <w:szCs w:val="26"/>
          <w:rtl/>
        </w:rPr>
        <w:t xml:space="preserve">בענייננו, יש לתת ביטוי בקביעת המתחם לכך שהנאשם החזיק שני סוגים של סם שאינם נחשבים קלים, וזאת בכמות העולה על זו המוכרת לצריכה עצמית (מאות גרמים). בחינת מדיניות הענישה הנוהגת </w:t>
      </w:r>
      <w:r w:rsidRPr="00E2504D">
        <w:rPr>
          <w:rFonts w:cs="FrankRuehl"/>
          <w:szCs w:val="26"/>
          <w:rtl/>
        </w:rPr>
        <w:lastRenderedPageBreak/>
        <w:t>בנסיבות דומות, מעלה כי מנעד הענישה מגוון ורחב וכולל, דרך הכלל, הטלת עונשי מאסר, לעיתים ממושכים. מתחם העונש ההולם נע בין מאסר שמשכו 12 חודשים ועד ל-36 חודשים. בחינת עניינו של הנאשם, הביאה למסקנה כי מתקיימות אותן נסיבות ייחודיות המצדיקות מתן משקל מסוים לתהליך השיקום, באופן בו יש להימנע מהטלת מאסר בפועל, אלא הטלת עבודות שירות ברף העליון.</w:t>
      </w:r>
      <w:r w:rsidRPr="00E2504D">
        <w:rPr>
          <w:rFonts w:cs="FrankRuehl" w:hint="cs"/>
          <w:szCs w:val="26"/>
          <w:rtl/>
        </w:rPr>
        <w:t xml:space="preserve"> </w:t>
      </w:r>
      <w:r w:rsidRPr="00E2504D">
        <w:rPr>
          <w:rFonts w:cs="FrankRuehl"/>
          <w:szCs w:val="26"/>
          <w:rtl/>
        </w:rPr>
        <w:t>בהתחשב במכלול הנתונים יש להטיל על הנאשם מאסר למשך 9 חודשים בדרך של עבודות שירות; מאסר מותנה למשך 8 חודשים; קנס כספי בסך 7,000 ₪ או 3 חודשי מאסר תמורתם; צו מבחן לתקופה בת 12 חודשים.</w:t>
      </w:r>
    </w:p>
    <w:p w14:paraId="36D1F5ED" w14:textId="77777777" w:rsidR="00F70329" w:rsidRDefault="00F70329" w:rsidP="00072940">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6FD4" w14:paraId="48BE19FA" w14:textId="77777777" w:rsidTr="00C36FD4">
        <w:trPr>
          <w:trHeight w:val="355"/>
          <w:jc w:val="center"/>
        </w:trPr>
        <w:tc>
          <w:tcPr>
            <w:tcW w:w="8820" w:type="dxa"/>
            <w:tcBorders>
              <w:top w:val="nil"/>
              <w:left w:val="nil"/>
              <w:bottom w:val="nil"/>
              <w:right w:val="nil"/>
            </w:tcBorders>
            <w:shd w:val="clear" w:color="auto" w:fill="auto"/>
          </w:tcPr>
          <w:p w14:paraId="2FD450C7" w14:textId="77777777" w:rsidR="004C69CA" w:rsidRPr="004C69CA" w:rsidRDefault="004C69CA" w:rsidP="004C69CA">
            <w:pPr>
              <w:jc w:val="center"/>
              <w:rPr>
                <w:rFonts w:ascii="Arial" w:hAnsi="Arial"/>
                <w:b/>
                <w:bCs/>
                <w:sz w:val="28"/>
                <w:szCs w:val="28"/>
                <w:u w:val="single"/>
                <w:rtl/>
              </w:rPr>
            </w:pPr>
            <w:bookmarkStart w:id="7" w:name="PsakDin" w:colFirst="0" w:colLast="0"/>
            <w:bookmarkEnd w:id="0"/>
            <w:r w:rsidRPr="004C69CA">
              <w:rPr>
                <w:rFonts w:ascii="Arial" w:hAnsi="Arial"/>
                <w:b/>
                <w:bCs/>
                <w:sz w:val="28"/>
                <w:szCs w:val="28"/>
                <w:u w:val="single"/>
                <w:rtl/>
              </w:rPr>
              <w:t>גזר דין</w:t>
            </w:r>
          </w:p>
          <w:p w14:paraId="7F2BA74C" w14:textId="77777777" w:rsidR="00C36FD4" w:rsidRPr="004C69CA" w:rsidRDefault="00C36FD4" w:rsidP="004C69CA">
            <w:pPr>
              <w:jc w:val="center"/>
              <w:rPr>
                <w:rFonts w:ascii="Arial" w:hAnsi="Arial"/>
                <w:bCs/>
                <w:sz w:val="28"/>
                <w:szCs w:val="28"/>
                <w:u w:val="single"/>
                <w:rtl/>
              </w:rPr>
            </w:pPr>
          </w:p>
        </w:tc>
      </w:tr>
      <w:bookmarkEnd w:id="7"/>
    </w:tbl>
    <w:p w14:paraId="3FF75FF7" w14:textId="77777777" w:rsidR="00C36FD4" w:rsidRPr="00B05847" w:rsidRDefault="00C36FD4" w:rsidP="00C36FD4">
      <w:pPr>
        <w:rPr>
          <w:rFonts w:ascii="Arial" w:hAnsi="Arial"/>
          <w:rtl/>
        </w:rPr>
      </w:pPr>
    </w:p>
    <w:p w14:paraId="10295FE6" w14:textId="77777777" w:rsidR="00C36FD4" w:rsidRDefault="00C36FD4" w:rsidP="00C36FD4">
      <w:pPr>
        <w:spacing w:line="360" w:lineRule="auto"/>
        <w:ind w:left="720" w:hanging="720"/>
        <w:jc w:val="both"/>
        <w:rPr>
          <w:rFonts w:ascii="Calibri" w:hAnsi="Calibri"/>
          <w:b/>
          <w:bCs/>
          <w:u w:val="single"/>
          <w:rtl/>
        </w:rPr>
      </w:pPr>
      <w:r>
        <w:rPr>
          <w:rFonts w:ascii="Calibri" w:hAnsi="Calibri" w:hint="cs"/>
          <w:b/>
          <w:bCs/>
          <w:u w:val="single"/>
          <w:rtl/>
        </w:rPr>
        <w:t>כללי</w:t>
      </w:r>
    </w:p>
    <w:p w14:paraId="1E50B3E1" w14:textId="77777777" w:rsidR="00C36FD4" w:rsidRPr="00667AC2" w:rsidRDefault="00C36FD4" w:rsidP="00C36FD4">
      <w:pPr>
        <w:spacing w:line="360" w:lineRule="auto"/>
        <w:ind w:left="720" w:hanging="720"/>
        <w:jc w:val="both"/>
        <w:rPr>
          <w:rFonts w:ascii="Calibri" w:hAnsi="Calibri"/>
          <w:b/>
          <w:bCs/>
          <w:u w:val="single"/>
          <w:rtl/>
        </w:rPr>
      </w:pPr>
    </w:p>
    <w:p w14:paraId="1911707E" w14:textId="77777777" w:rsidR="00C36FD4" w:rsidRPr="00CA7954" w:rsidRDefault="00C36FD4" w:rsidP="00C36FD4">
      <w:pPr>
        <w:spacing w:line="360" w:lineRule="auto"/>
        <w:jc w:val="both"/>
        <w:rPr>
          <w:rFonts w:ascii="Calibri" w:hAnsi="Calibri"/>
          <w:rtl/>
        </w:rPr>
      </w:pPr>
      <w:r w:rsidRPr="00CA7954">
        <w:rPr>
          <w:rFonts w:ascii="Calibri" w:hAnsi="Calibri" w:hint="eastAsia"/>
          <w:rtl/>
        </w:rPr>
        <w:t>הנאשם</w:t>
      </w:r>
      <w:r w:rsidRPr="00CA7954">
        <w:rPr>
          <w:rFonts w:ascii="Calibri" w:hAnsi="Calibri"/>
          <w:rtl/>
        </w:rPr>
        <w:t xml:space="preserve"> </w:t>
      </w:r>
      <w:r w:rsidRPr="00CA7954">
        <w:rPr>
          <w:rFonts w:ascii="Calibri" w:hAnsi="Calibri" w:hint="eastAsia"/>
          <w:rtl/>
        </w:rPr>
        <w:t>הורשע</w:t>
      </w:r>
      <w:r w:rsidRPr="00CA7954">
        <w:rPr>
          <w:rFonts w:ascii="Calibri" w:hAnsi="Calibri"/>
          <w:rtl/>
        </w:rPr>
        <w:t xml:space="preserve"> </w:t>
      </w:r>
      <w:r w:rsidRPr="00CA7954">
        <w:rPr>
          <w:rFonts w:ascii="Calibri" w:hAnsi="Calibri" w:hint="eastAsia"/>
          <w:rtl/>
        </w:rPr>
        <w:t>על</w:t>
      </w:r>
      <w:r w:rsidRPr="00CA7954">
        <w:rPr>
          <w:rFonts w:ascii="Calibri" w:hAnsi="Calibri"/>
          <w:rtl/>
        </w:rPr>
        <w:t xml:space="preserve"> </w:t>
      </w:r>
      <w:r w:rsidRPr="00CA7954">
        <w:rPr>
          <w:rFonts w:ascii="Calibri" w:hAnsi="Calibri" w:hint="eastAsia"/>
          <w:rtl/>
        </w:rPr>
        <w:t>בסיס</w:t>
      </w:r>
      <w:r w:rsidRPr="00CA7954">
        <w:rPr>
          <w:rFonts w:ascii="Calibri" w:hAnsi="Calibri"/>
          <w:rtl/>
        </w:rPr>
        <w:t xml:space="preserve"> </w:t>
      </w:r>
      <w:r w:rsidRPr="00CA7954">
        <w:rPr>
          <w:rFonts w:ascii="Calibri" w:hAnsi="Calibri" w:hint="eastAsia"/>
          <w:rtl/>
        </w:rPr>
        <w:t>הודאתו</w:t>
      </w:r>
      <w:r w:rsidRPr="00CA7954">
        <w:rPr>
          <w:rFonts w:ascii="Calibri" w:hAnsi="Calibri"/>
          <w:rtl/>
        </w:rPr>
        <w:t xml:space="preserve"> </w:t>
      </w:r>
      <w:r w:rsidRPr="00CA7954">
        <w:rPr>
          <w:rFonts w:ascii="Calibri" w:hAnsi="Calibri" w:hint="eastAsia"/>
          <w:rtl/>
        </w:rPr>
        <w:t>בעובדות</w:t>
      </w:r>
      <w:r w:rsidRPr="00CA7954">
        <w:rPr>
          <w:rFonts w:ascii="Calibri" w:hAnsi="Calibri"/>
          <w:rtl/>
        </w:rPr>
        <w:t xml:space="preserve"> </w:t>
      </w:r>
      <w:r w:rsidRPr="00CA7954">
        <w:rPr>
          <w:rFonts w:ascii="Calibri" w:hAnsi="Calibri" w:hint="eastAsia"/>
          <w:rtl/>
        </w:rPr>
        <w:t>כתב</w:t>
      </w:r>
      <w:r w:rsidRPr="00CA7954">
        <w:rPr>
          <w:rFonts w:ascii="Calibri" w:hAnsi="Calibri"/>
          <w:rtl/>
        </w:rPr>
        <w:t xml:space="preserve"> </w:t>
      </w:r>
      <w:r w:rsidRPr="00CA7954">
        <w:rPr>
          <w:rFonts w:ascii="Calibri" w:hAnsi="Calibri" w:hint="eastAsia"/>
          <w:rtl/>
        </w:rPr>
        <w:t>אישום</w:t>
      </w:r>
      <w:r w:rsidRPr="00CA7954">
        <w:rPr>
          <w:rFonts w:ascii="Calibri" w:hAnsi="Calibri"/>
          <w:rtl/>
        </w:rPr>
        <w:t xml:space="preserve"> </w:t>
      </w:r>
      <w:r w:rsidRPr="00CA7954">
        <w:rPr>
          <w:rFonts w:ascii="Calibri" w:hAnsi="Calibri" w:hint="eastAsia"/>
          <w:rtl/>
        </w:rPr>
        <w:t>מתוקן</w:t>
      </w:r>
      <w:r w:rsidRPr="00CA7954">
        <w:rPr>
          <w:rFonts w:ascii="Calibri" w:hAnsi="Calibri"/>
          <w:rtl/>
        </w:rPr>
        <w:t xml:space="preserve">, </w:t>
      </w:r>
      <w:r w:rsidRPr="00CA7954">
        <w:rPr>
          <w:rFonts w:ascii="Calibri" w:hAnsi="Calibri" w:hint="eastAsia"/>
          <w:rtl/>
        </w:rPr>
        <w:t>במסגרת</w:t>
      </w:r>
      <w:r w:rsidRPr="00CA7954">
        <w:rPr>
          <w:rFonts w:ascii="Calibri" w:hAnsi="Calibri"/>
          <w:rtl/>
        </w:rPr>
        <w:t xml:space="preserve"> </w:t>
      </w:r>
      <w:r w:rsidRPr="00CA7954">
        <w:rPr>
          <w:rFonts w:ascii="Calibri" w:hAnsi="Calibri" w:hint="eastAsia"/>
          <w:rtl/>
        </w:rPr>
        <w:t>הסכמה</w:t>
      </w:r>
      <w:r w:rsidRPr="00CA7954">
        <w:rPr>
          <w:rFonts w:ascii="Calibri" w:hAnsi="Calibri"/>
          <w:rtl/>
        </w:rPr>
        <w:t xml:space="preserve"> </w:t>
      </w:r>
      <w:r w:rsidRPr="00CA7954">
        <w:rPr>
          <w:rFonts w:ascii="Calibri" w:hAnsi="Calibri" w:hint="eastAsia"/>
          <w:rtl/>
        </w:rPr>
        <w:t>דיונית</w:t>
      </w:r>
      <w:r w:rsidRPr="00CA7954">
        <w:rPr>
          <w:rFonts w:ascii="Calibri" w:hAnsi="Calibri"/>
          <w:rtl/>
        </w:rPr>
        <w:t xml:space="preserve">, </w:t>
      </w:r>
      <w:r w:rsidRPr="00CA7954">
        <w:rPr>
          <w:rFonts w:ascii="Calibri" w:hAnsi="Calibri" w:hint="eastAsia"/>
          <w:rtl/>
        </w:rPr>
        <w:t>בעבירה</w:t>
      </w:r>
      <w:r w:rsidRPr="00CA7954">
        <w:rPr>
          <w:rFonts w:ascii="Calibri" w:hAnsi="Calibri"/>
          <w:rtl/>
        </w:rPr>
        <w:t xml:space="preserve"> </w:t>
      </w:r>
      <w:r w:rsidRPr="00CA7954">
        <w:rPr>
          <w:rFonts w:ascii="Calibri" w:hAnsi="Calibri" w:hint="eastAsia"/>
          <w:rtl/>
        </w:rPr>
        <w:t>של</w:t>
      </w:r>
      <w:r w:rsidRPr="00CA7954">
        <w:rPr>
          <w:rFonts w:ascii="Calibri" w:hAnsi="Calibri"/>
          <w:rtl/>
        </w:rPr>
        <w:t xml:space="preserve"> </w:t>
      </w:r>
      <w:r w:rsidRPr="00CA7954">
        <w:rPr>
          <w:rFonts w:ascii="Calibri" w:hAnsi="Calibri" w:hint="cs"/>
          <w:b/>
          <w:bCs/>
          <w:rtl/>
        </w:rPr>
        <w:t>החזקת</w:t>
      </w:r>
      <w:r w:rsidRPr="00CA7954">
        <w:rPr>
          <w:rFonts w:ascii="Calibri" w:hAnsi="Calibri"/>
          <w:b/>
          <w:bCs/>
          <w:rtl/>
        </w:rPr>
        <w:t xml:space="preserve"> </w:t>
      </w:r>
      <w:r w:rsidRPr="00CA7954">
        <w:rPr>
          <w:rFonts w:ascii="Calibri" w:hAnsi="Calibri" w:hint="eastAsia"/>
          <w:b/>
          <w:bCs/>
          <w:rtl/>
        </w:rPr>
        <w:t>סם</w:t>
      </w:r>
      <w:r w:rsidRPr="00CA7954">
        <w:rPr>
          <w:rFonts w:ascii="Calibri" w:hAnsi="Calibri"/>
          <w:b/>
          <w:bCs/>
          <w:rtl/>
        </w:rPr>
        <w:t xml:space="preserve"> </w:t>
      </w:r>
      <w:r w:rsidRPr="00CA7954">
        <w:rPr>
          <w:rFonts w:ascii="Calibri" w:hAnsi="Calibri" w:hint="eastAsia"/>
          <w:b/>
          <w:bCs/>
          <w:rtl/>
        </w:rPr>
        <w:t>מסוכן</w:t>
      </w:r>
      <w:r w:rsidRPr="00CA7954">
        <w:rPr>
          <w:rFonts w:ascii="Calibri" w:hAnsi="Calibri" w:hint="cs"/>
          <w:b/>
          <w:bCs/>
          <w:rtl/>
        </w:rPr>
        <w:t xml:space="preserve"> שלא לצריכה עצ</w:t>
      </w:r>
      <w:r>
        <w:rPr>
          <w:rFonts w:ascii="Calibri" w:hAnsi="Calibri" w:hint="cs"/>
          <w:b/>
          <w:bCs/>
          <w:rtl/>
        </w:rPr>
        <w:t>מי</w:t>
      </w:r>
      <w:r w:rsidRPr="00CA7954">
        <w:rPr>
          <w:rFonts w:ascii="Calibri" w:hAnsi="Calibri" w:hint="cs"/>
          <w:b/>
          <w:bCs/>
          <w:rtl/>
        </w:rPr>
        <w:t>ת</w:t>
      </w:r>
      <w:r w:rsidRPr="00CA7954">
        <w:rPr>
          <w:rFonts w:ascii="Calibri" w:hAnsi="Calibri"/>
          <w:rtl/>
        </w:rPr>
        <w:t xml:space="preserve"> </w:t>
      </w:r>
      <w:r w:rsidRPr="00CA7954">
        <w:rPr>
          <w:rFonts w:ascii="Calibri" w:hAnsi="Calibri" w:hint="eastAsia"/>
          <w:rtl/>
        </w:rPr>
        <w:t>לפי</w:t>
      </w:r>
      <w:r w:rsidRPr="00CA7954">
        <w:rPr>
          <w:rFonts w:ascii="Calibri" w:hAnsi="Calibri"/>
          <w:rtl/>
        </w:rPr>
        <w:t xml:space="preserve"> </w:t>
      </w:r>
      <w:hyperlink r:id="rId15" w:history="1">
        <w:r w:rsidR="000862DE" w:rsidRPr="000862DE">
          <w:rPr>
            <w:rStyle w:val="Hyperlink"/>
            <w:rFonts w:ascii="Calibri" w:hAnsi="Calibri" w:hint="eastAsia"/>
            <w:rtl/>
          </w:rPr>
          <w:t>סעיפים</w:t>
        </w:r>
        <w:r w:rsidR="000862DE" w:rsidRPr="000862DE">
          <w:rPr>
            <w:rStyle w:val="Hyperlink"/>
            <w:rFonts w:ascii="Calibri" w:hAnsi="Calibri"/>
            <w:rtl/>
          </w:rPr>
          <w:t xml:space="preserve"> 7(</w:t>
        </w:r>
        <w:r w:rsidR="000862DE" w:rsidRPr="000862DE">
          <w:rPr>
            <w:rStyle w:val="Hyperlink"/>
            <w:rFonts w:ascii="Calibri" w:hAnsi="Calibri" w:hint="eastAsia"/>
            <w:rtl/>
          </w:rPr>
          <w:t>א</w:t>
        </w:r>
        <w:r w:rsidR="000862DE" w:rsidRPr="000862DE">
          <w:rPr>
            <w:rStyle w:val="Hyperlink"/>
            <w:rFonts w:ascii="Calibri" w:hAnsi="Calibri"/>
            <w:rtl/>
          </w:rPr>
          <w:t>)</w:t>
        </w:r>
      </w:hyperlink>
      <w:r w:rsidRPr="004C69CA">
        <w:rPr>
          <w:rFonts w:ascii="Calibri" w:hAnsi="Calibri" w:hint="cs"/>
          <w:color w:val="000000"/>
          <w:rtl/>
        </w:rPr>
        <w:t xml:space="preserve"> ו- </w:t>
      </w:r>
      <w:hyperlink r:id="rId16" w:history="1">
        <w:r w:rsidR="000862DE" w:rsidRPr="000862DE">
          <w:rPr>
            <w:rStyle w:val="Hyperlink"/>
            <w:rFonts w:ascii="Calibri" w:hAnsi="Calibri"/>
            <w:rtl/>
          </w:rPr>
          <w:t>7(</w:t>
        </w:r>
        <w:r w:rsidR="000862DE" w:rsidRPr="000862DE">
          <w:rPr>
            <w:rStyle w:val="Hyperlink"/>
            <w:rFonts w:ascii="Calibri" w:hAnsi="Calibri" w:hint="eastAsia"/>
            <w:rtl/>
          </w:rPr>
          <w:t>ג</w:t>
        </w:r>
        <w:r w:rsidR="000862DE" w:rsidRPr="000862DE">
          <w:rPr>
            <w:rStyle w:val="Hyperlink"/>
            <w:rFonts w:ascii="Calibri" w:hAnsi="Calibri"/>
            <w:rtl/>
          </w:rPr>
          <w:t>)</w:t>
        </w:r>
      </w:hyperlink>
      <w:r>
        <w:rPr>
          <w:rFonts w:ascii="Calibri" w:hAnsi="Calibri" w:hint="cs"/>
          <w:rtl/>
        </w:rPr>
        <w:t xml:space="preserve"> רישא</w:t>
      </w:r>
      <w:r w:rsidRPr="00CA7954">
        <w:rPr>
          <w:rFonts w:ascii="Calibri" w:hAnsi="Calibri" w:hint="cs"/>
          <w:rtl/>
        </w:rPr>
        <w:t xml:space="preserve"> </w:t>
      </w:r>
      <w:r w:rsidRPr="00CA7954">
        <w:rPr>
          <w:rFonts w:ascii="Calibri" w:hAnsi="Calibri" w:hint="eastAsia"/>
          <w:rtl/>
        </w:rPr>
        <w:t>ל</w:t>
      </w:r>
      <w:hyperlink r:id="rId17" w:history="1">
        <w:r w:rsidR="004C69CA" w:rsidRPr="004C69CA">
          <w:rPr>
            <w:rFonts w:ascii="Calibri" w:hAnsi="Calibri" w:hint="eastAsia"/>
            <w:color w:val="0000FF"/>
            <w:u w:val="single"/>
            <w:rtl/>
          </w:rPr>
          <w:t>פקודת</w:t>
        </w:r>
        <w:r w:rsidR="004C69CA" w:rsidRPr="004C69CA">
          <w:rPr>
            <w:rFonts w:ascii="Calibri" w:hAnsi="Calibri"/>
            <w:color w:val="0000FF"/>
            <w:u w:val="single"/>
            <w:rtl/>
          </w:rPr>
          <w:t xml:space="preserve"> </w:t>
        </w:r>
        <w:r w:rsidR="004C69CA" w:rsidRPr="004C69CA">
          <w:rPr>
            <w:rFonts w:ascii="Calibri" w:hAnsi="Calibri" w:hint="eastAsia"/>
            <w:color w:val="0000FF"/>
            <w:u w:val="single"/>
            <w:rtl/>
          </w:rPr>
          <w:t>הסמים</w:t>
        </w:r>
        <w:r w:rsidR="004C69CA" w:rsidRPr="004C69CA">
          <w:rPr>
            <w:rFonts w:ascii="Calibri" w:hAnsi="Calibri"/>
            <w:color w:val="0000FF"/>
            <w:u w:val="single"/>
            <w:rtl/>
          </w:rPr>
          <w:t xml:space="preserve"> </w:t>
        </w:r>
        <w:r w:rsidR="004C69CA" w:rsidRPr="004C69CA">
          <w:rPr>
            <w:rFonts w:ascii="Calibri" w:hAnsi="Calibri" w:hint="eastAsia"/>
            <w:color w:val="0000FF"/>
            <w:u w:val="single"/>
            <w:rtl/>
          </w:rPr>
          <w:t>המסוכנים</w:t>
        </w:r>
      </w:hyperlink>
      <w:r w:rsidRPr="00CA7954">
        <w:rPr>
          <w:rFonts w:ascii="Calibri" w:hAnsi="Calibri"/>
          <w:rtl/>
        </w:rPr>
        <w:t xml:space="preserve"> [</w:t>
      </w:r>
      <w:r w:rsidRPr="00CA7954">
        <w:rPr>
          <w:rFonts w:ascii="Calibri" w:hAnsi="Calibri" w:hint="eastAsia"/>
          <w:rtl/>
        </w:rPr>
        <w:t>נוסח</w:t>
      </w:r>
      <w:r w:rsidRPr="00CA7954">
        <w:rPr>
          <w:rFonts w:ascii="Calibri" w:hAnsi="Calibri"/>
          <w:rtl/>
        </w:rPr>
        <w:t xml:space="preserve"> </w:t>
      </w:r>
      <w:r w:rsidRPr="00CA7954">
        <w:rPr>
          <w:rFonts w:ascii="Calibri" w:hAnsi="Calibri" w:hint="eastAsia"/>
          <w:rtl/>
        </w:rPr>
        <w:t>חדש</w:t>
      </w:r>
      <w:r w:rsidRPr="00CA7954">
        <w:rPr>
          <w:rFonts w:ascii="Calibri" w:hAnsi="Calibri"/>
          <w:rtl/>
        </w:rPr>
        <w:t xml:space="preserve">] </w:t>
      </w:r>
      <w:r w:rsidRPr="00CA7954">
        <w:rPr>
          <w:rFonts w:ascii="Calibri" w:hAnsi="Calibri" w:hint="eastAsia"/>
          <w:rtl/>
        </w:rPr>
        <w:t>תשל</w:t>
      </w:r>
      <w:r w:rsidRPr="00CA7954">
        <w:rPr>
          <w:rFonts w:ascii="Calibri" w:hAnsi="Calibri"/>
          <w:rtl/>
        </w:rPr>
        <w:t>"</w:t>
      </w:r>
      <w:r w:rsidRPr="00CA7954">
        <w:rPr>
          <w:rFonts w:ascii="Calibri" w:hAnsi="Calibri" w:hint="eastAsia"/>
          <w:rtl/>
        </w:rPr>
        <w:t>ג</w:t>
      </w:r>
      <w:r w:rsidRPr="00CA7954">
        <w:rPr>
          <w:rFonts w:ascii="Calibri" w:hAnsi="Calibri"/>
          <w:rtl/>
        </w:rPr>
        <w:t xml:space="preserve"> – 1973. </w:t>
      </w:r>
    </w:p>
    <w:p w14:paraId="4D155CA0" w14:textId="77777777" w:rsidR="00C36FD4" w:rsidRDefault="00C36FD4" w:rsidP="00C36FD4">
      <w:pPr>
        <w:spacing w:line="360" w:lineRule="auto"/>
        <w:jc w:val="both"/>
        <w:rPr>
          <w:rtl/>
        </w:rPr>
      </w:pPr>
      <w:r>
        <w:rPr>
          <w:rFonts w:ascii="Calibri" w:hAnsi="Calibri" w:hint="cs"/>
          <w:rtl/>
        </w:rPr>
        <w:t xml:space="preserve">על פי עובדות </w:t>
      </w:r>
      <w:r w:rsidRPr="00CA7954">
        <w:rPr>
          <w:rFonts w:ascii="Calibri" w:hAnsi="Calibri" w:hint="cs"/>
          <w:rtl/>
        </w:rPr>
        <w:t>כתב האישום המתוקן</w:t>
      </w:r>
      <w:r w:rsidRPr="00CA7954">
        <w:rPr>
          <w:rFonts w:ascii="Calibri" w:hAnsi="Calibri"/>
          <w:rtl/>
        </w:rPr>
        <w:t xml:space="preserve">, </w:t>
      </w:r>
      <w:r w:rsidRPr="00CA7954">
        <w:rPr>
          <w:rFonts w:ascii="Calibri" w:hAnsi="Calibri" w:hint="cs"/>
          <w:rtl/>
        </w:rPr>
        <w:t>ביום 26</w:t>
      </w:r>
      <w:r>
        <w:rPr>
          <w:rFonts w:ascii="Calibri" w:hAnsi="Calibri" w:hint="cs"/>
          <w:rtl/>
        </w:rPr>
        <w:t>/</w:t>
      </w:r>
      <w:r w:rsidRPr="00CA7954">
        <w:rPr>
          <w:rFonts w:ascii="Calibri" w:hAnsi="Calibri" w:hint="cs"/>
          <w:rtl/>
        </w:rPr>
        <w:t>11</w:t>
      </w:r>
      <w:r>
        <w:rPr>
          <w:rFonts w:ascii="Calibri" w:hAnsi="Calibri" w:hint="cs"/>
          <w:rtl/>
        </w:rPr>
        <w:t>/</w:t>
      </w:r>
      <w:r w:rsidRPr="00CA7954">
        <w:rPr>
          <w:rFonts w:ascii="Calibri" w:hAnsi="Calibri" w:hint="cs"/>
          <w:rtl/>
        </w:rPr>
        <w:t xml:space="preserve">2020 החזיק הנאשם </w:t>
      </w:r>
      <w:r>
        <w:rPr>
          <w:rFonts w:ascii="Calibri" w:hAnsi="Calibri" w:hint="cs"/>
          <w:rtl/>
        </w:rPr>
        <w:t xml:space="preserve">במקומות שונים </w:t>
      </w:r>
      <w:r w:rsidRPr="00CA7954">
        <w:rPr>
          <w:rFonts w:ascii="Calibri" w:hAnsi="Calibri" w:hint="cs"/>
          <w:rtl/>
        </w:rPr>
        <w:t xml:space="preserve">בדירתו </w:t>
      </w:r>
      <w:r>
        <w:rPr>
          <w:rFonts w:ascii="Calibri" w:hAnsi="Calibri" w:hint="cs"/>
          <w:rtl/>
        </w:rPr>
        <w:t xml:space="preserve">ברחוב אליפלט 26 </w:t>
      </w:r>
      <w:r w:rsidRPr="00CA7954">
        <w:rPr>
          <w:rFonts w:ascii="Calibri" w:hAnsi="Calibri" w:hint="cs"/>
          <w:rtl/>
        </w:rPr>
        <w:t>בתל אביב</w:t>
      </w:r>
      <w:r>
        <w:rPr>
          <w:rFonts w:ascii="Calibri" w:hAnsi="Calibri" w:hint="cs"/>
          <w:rtl/>
        </w:rPr>
        <w:t>,</w:t>
      </w:r>
      <w:r w:rsidRPr="00CA7954">
        <w:rPr>
          <w:rFonts w:ascii="Calibri" w:hAnsi="Calibri" w:hint="cs"/>
          <w:rtl/>
        </w:rPr>
        <w:t xml:space="preserve"> סמים מסוכנים מסוג </w:t>
      </w:r>
      <w:r w:rsidRPr="00CA7954">
        <w:rPr>
          <w:rFonts w:ascii="Calibri" w:hAnsi="Calibri" w:hint="cs"/>
        </w:rPr>
        <w:t>KETAMINE</w:t>
      </w:r>
      <w:r w:rsidRPr="00CA7954">
        <w:rPr>
          <w:rFonts w:ascii="Calibri" w:hAnsi="Calibri" w:hint="cs"/>
          <w:rtl/>
        </w:rPr>
        <w:t xml:space="preserve"> ו- </w:t>
      </w:r>
      <w:r w:rsidRPr="00CA7954">
        <w:rPr>
          <w:rFonts w:ascii="Calibri" w:hAnsi="Calibri" w:hint="cs"/>
        </w:rPr>
        <w:t>MD</w:t>
      </w:r>
      <w:r w:rsidRPr="00CA7954">
        <w:rPr>
          <w:rFonts w:ascii="Calibri" w:hAnsi="Calibri"/>
        </w:rPr>
        <w:t>MA</w:t>
      </w:r>
      <w:r w:rsidRPr="00CA7954">
        <w:rPr>
          <w:rFonts w:ascii="Calibri" w:hAnsi="Calibri" w:hint="cs"/>
          <w:rtl/>
        </w:rPr>
        <w:t xml:space="preserve"> </w:t>
      </w:r>
      <w:r w:rsidRPr="00CA7954">
        <w:rPr>
          <w:rFonts w:hint="cs"/>
          <w:rtl/>
        </w:rPr>
        <w:t>במשקל של מאות גרמים</w:t>
      </w:r>
      <w:r>
        <w:rPr>
          <w:rFonts w:hint="cs"/>
          <w:rtl/>
        </w:rPr>
        <w:t>.</w:t>
      </w:r>
    </w:p>
    <w:p w14:paraId="478F5192" w14:textId="77777777" w:rsidR="00C36FD4" w:rsidRPr="00CA7954" w:rsidRDefault="00C36FD4" w:rsidP="00C36FD4">
      <w:pPr>
        <w:spacing w:line="360" w:lineRule="auto"/>
        <w:jc w:val="both"/>
        <w:rPr>
          <w:rtl/>
        </w:rPr>
      </w:pPr>
    </w:p>
    <w:p w14:paraId="60393A02" w14:textId="77777777" w:rsidR="00C36FD4" w:rsidRDefault="00C36FD4" w:rsidP="00C36FD4">
      <w:pPr>
        <w:spacing w:line="360" w:lineRule="auto"/>
        <w:ind w:left="-58"/>
        <w:jc w:val="both"/>
        <w:rPr>
          <w:rtl/>
        </w:rPr>
      </w:pPr>
      <w:r w:rsidRPr="00215D4B">
        <w:rPr>
          <w:rFonts w:ascii="Calibri" w:hAnsi="Calibri" w:hint="cs"/>
          <w:rtl/>
        </w:rPr>
        <w:t xml:space="preserve">בהתאם להסכמות בין הצדדים, המאשימה הגבילה עתירתה לעונש של 20 חודשי מאסר בפועל, ואילו ההגנה רשאית לטעון כראות עיניה. </w:t>
      </w:r>
      <w:r>
        <w:rPr>
          <w:rFonts w:ascii="Calibri" w:hAnsi="Calibri" w:hint="cs"/>
          <w:rtl/>
        </w:rPr>
        <w:t xml:space="preserve">עוד הוסכם על חילוט כספים שנתפסו </w:t>
      </w:r>
      <w:r w:rsidRPr="00215D4B">
        <w:rPr>
          <w:rFonts w:ascii="Calibri" w:hAnsi="Calibri" w:hint="cs"/>
          <w:rtl/>
        </w:rPr>
        <w:t>מהנאשם</w:t>
      </w:r>
      <w:r>
        <w:rPr>
          <w:rFonts w:hint="cs"/>
          <w:rtl/>
        </w:rPr>
        <w:t>.</w:t>
      </w:r>
    </w:p>
    <w:p w14:paraId="0E73551E" w14:textId="77777777" w:rsidR="00C36FD4" w:rsidRPr="00CA7954" w:rsidRDefault="00C36FD4" w:rsidP="00C36FD4">
      <w:pPr>
        <w:spacing w:line="360" w:lineRule="auto"/>
        <w:ind w:left="-58"/>
        <w:jc w:val="both"/>
        <w:rPr>
          <w:rtl/>
        </w:rPr>
      </w:pPr>
    </w:p>
    <w:p w14:paraId="79951312" w14:textId="77777777" w:rsidR="00C36FD4" w:rsidRDefault="00C36FD4" w:rsidP="00C36FD4">
      <w:pPr>
        <w:spacing w:line="360" w:lineRule="auto"/>
        <w:ind w:left="720" w:hanging="720"/>
        <w:jc w:val="both"/>
        <w:rPr>
          <w:b/>
          <w:bCs/>
          <w:u w:val="single"/>
          <w:rtl/>
        </w:rPr>
      </w:pPr>
      <w:r w:rsidRPr="00667AC2">
        <w:rPr>
          <w:rFonts w:hint="cs"/>
          <w:b/>
          <w:bCs/>
          <w:u w:val="single"/>
          <w:rtl/>
        </w:rPr>
        <w:t>תסקיר שירות המבחן</w:t>
      </w:r>
    </w:p>
    <w:p w14:paraId="67099C10" w14:textId="77777777" w:rsidR="00C36FD4" w:rsidRPr="00667AC2" w:rsidRDefault="00C36FD4" w:rsidP="00C36FD4">
      <w:pPr>
        <w:spacing w:line="360" w:lineRule="auto"/>
        <w:ind w:left="720" w:hanging="720"/>
        <w:jc w:val="both"/>
        <w:rPr>
          <w:b/>
          <w:bCs/>
          <w:u w:val="single"/>
          <w:rtl/>
        </w:rPr>
      </w:pPr>
    </w:p>
    <w:p w14:paraId="76B4FBD5" w14:textId="77777777" w:rsidR="00C36FD4" w:rsidRDefault="00C36FD4" w:rsidP="00C36FD4">
      <w:pPr>
        <w:spacing w:line="360" w:lineRule="auto"/>
        <w:ind w:left="-58"/>
        <w:jc w:val="both"/>
        <w:rPr>
          <w:rFonts w:ascii="Calibri" w:hAnsi="Calibri"/>
          <w:rtl/>
        </w:rPr>
      </w:pPr>
      <w:r w:rsidRPr="00215D4B">
        <w:rPr>
          <w:rFonts w:ascii="Calibri" w:hAnsi="Calibri" w:hint="cs"/>
          <w:rtl/>
        </w:rPr>
        <w:t xml:space="preserve">בתסקיר מיום 24/10/21 פורטו </w:t>
      </w:r>
      <w:r>
        <w:rPr>
          <w:rFonts w:ascii="Calibri" w:hAnsi="Calibri" w:hint="cs"/>
          <w:rtl/>
        </w:rPr>
        <w:t xml:space="preserve">בהרחבה </w:t>
      </w:r>
      <w:r w:rsidRPr="00215D4B">
        <w:rPr>
          <w:rFonts w:ascii="Calibri" w:hAnsi="Calibri" w:hint="cs"/>
          <w:rtl/>
        </w:rPr>
        <w:t xml:space="preserve">נסיבות חייו של הנאשם, בן 29, נשוי ואב לילד בן 3 אשר עובד </w:t>
      </w:r>
      <w:r>
        <w:rPr>
          <w:rFonts w:ascii="Calibri" w:hAnsi="Calibri" w:hint="cs"/>
          <w:rtl/>
        </w:rPr>
        <w:t xml:space="preserve">כעת </w:t>
      </w:r>
      <w:r w:rsidRPr="00215D4B">
        <w:rPr>
          <w:rFonts w:ascii="Calibri" w:hAnsi="Calibri" w:hint="cs"/>
          <w:rtl/>
        </w:rPr>
        <w:t>כקופאי.</w:t>
      </w:r>
      <w:r>
        <w:rPr>
          <w:rFonts w:ascii="Calibri" w:hAnsi="Calibri" w:hint="cs"/>
          <w:rtl/>
        </w:rPr>
        <w:t xml:space="preserve"> </w:t>
      </w:r>
    </w:p>
    <w:p w14:paraId="182E1B68" w14:textId="77777777" w:rsidR="00C36FD4" w:rsidRPr="00215D4B" w:rsidRDefault="00C36FD4" w:rsidP="00C36FD4">
      <w:pPr>
        <w:spacing w:line="360" w:lineRule="auto"/>
        <w:ind w:left="-58"/>
        <w:jc w:val="both"/>
        <w:rPr>
          <w:rtl/>
        </w:rPr>
      </w:pPr>
      <w:r>
        <w:rPr>
          <w:rFonts w:ascii="Calibri" w:hAnsi="Calibri" w:hint="cs"/>
          <w:rtl/>
        </w:rPr>
        <w:t xml:space="preserve">בשנת 2005 נכח הנאשם בזירת פיגוע התאבדות בשוק חדרה במסגרתו נפצע אחיו באורח קשה ונותר משותק לצמיתות. </w:t>
      </w:r>
      <w:r>
        <w:rPr>
          <w:rFonts w:hint="cs"/>
          <w:rtl/>
        </w:rPr>
        <w:t xml:space="preserve">בעקבות האירוע, במסגרתו נחשף הנאשם למראות קשים, </w:t>
      </w:r>
      <w:r w:rsidRPr="00CA7954">
        <w:rPr>
          <w:rFonts w:hint="cs"/>
          <w:rtl/>
        </w:rPr>
        <w:t xml:space="preserve">ובצל תאונת דרכים במסגרתה נפצע מספר שנים מאוחר יותר, החל לסבול מתסמינים פוסט-טראומטיים, שהחמירו בשנים האחרונות. הידרדרות נוספת במצבו הנפשי הגיעה על רקע תקופה קשה שעבר לנוכח משבר הקורונה והשפעותיו הקשות עליו ועל משפחתו. </w:t>
      </w:r>
    </w:p>
    <w:p w14:paraId="3BDE3687" w14:textId="77777777" w:rsidR="00C36FD4" w:rsidRDefault="00C36FD4" w:rsidP="00C36FD4">
      <w:pPr>
        <w:spacing w:line="360" w:lineRule="auto"/>
        <w:ind w:left="-58"/>
        <w:jc w:val="both"/>
        <w:rPr>
          <w:rFonts w:ascii="Calibri" w:hAnsi="Calibri"/>
          <w:rtl/>
        </w:rPr>
      </w:pPr>
      <w:r>
        <w:rPr>
          <w:rFonts w:ascii="Calibri" w:hAnsi="Calibri" w:hint="cs"/>
          <w:rtl/>
        </w:rPr>
        <w:t>הנאשם אובחן כסובל מהפרעה פוסט-טראומתית, צורך קנביס באישור ונתון במעקב פסיכיאטרי ובטיפול פסיכולוגי.</w:t>
      </w:r>
    </w:p>
    <w:p w14:paraId="56DEB966" w14:textId="77777777" w:rsidR="00C36FD4" w:rsidRDefault="00C36FD4" w:rsidP="00C36FD4">
      <w:pPr>
        <w:spacing w:line="360" w:lineRule="auto"/>
        <w:ind w:left="-58"/>
        <w:jc w:val="both"/>
        <w:rPr>
          <w:rFonts w:ascii="Calibri" w:hAnsi="Calibri"/>
          <w:rtl/>
        </w:rPr>
      </w:pPr>
      <w:r>
        <w:rPr>
          <w:rFonts w:ascii="Calibri" w:hAnsi="Calibri" w:hint="cs"/>
          <w:rtl/>
        </w:rPr>
        <w:lastRenderedPageBreak/>
        <w:t>שירות המבחן מציין כי ממסמכים שהתקבלו על ידי המומחה בפסיכיאטריה עולה כי הנאשם פיתח סימנים דיסוציאטיביים, ואף הפרעות שינה, מצבי חרדה וירידה כללית בתפקוד. לשיטת הפסיכיאטר, תקופת המעצר אף החמירה את מצבו הנפשי.</w:t>
      </w:r>
    </w:p>
    <w:p w14:paraId="397B6E86" w14:textId="77777777" w:rsidR="00C36FD4" w:rsidRDefault="00C36FD4" w:rsidP="00C36FD4">
      <w:pPr>
        <w:spacing w:line="360" w:lineRule="auto"/>
        <w:ind w:left="-58"/>
        <w:jc w:val="both"/>
        <w:rPr>
          <w:rFonts w:ascii="Calibri" w:hAnsi="Calibri"/>
          <w:rtl/>
        </w:rPr>
      </w:pPr>
    </w:p>
    <w:p w14:paraId="4F4BD6CE" w14:textId="77777777" w:rsidR="00C36FD4" w:rsidRDefault="00C36FD4" w:rsidP="00C36FD4">
      <w:pPr>
        <w:spacing w:line="360" w:lineRule="auto"/>
        <w:ind w:left="-58"/>
        <w:jc w:val="both"/>
        <w:rPr>
          <w:rFonts w:ascii="Calibri" w:hAnsi="Calibri"/>
          <w:rtl/>
        </w:rPr>
      </w:pPr>
      <w:r>
        <w:rPr>
          <w:rFonts w:ascii="Calibri" w:hAnsi="Calibri" w:hint="cs"/>
          <w:rtl/>
        </w:rPr>
        <w:t>אשר למיוחס לו בכתב האישום, נטל הנאשם אחריות מלאה והביע חרטה עמוקה, והסביר ביצוע העבירה על רקע קושי כלכלי אליו נקלע ומתח נפשי שבעטיים יצר קשרים עם אנשים שוליים מאזור מגוריו, על מנת להרוויח "כסף קל".</w:t>
      </w:r>
    </w:p>
    <w:p w14:paraId="2B7C8BA8" w14:textId="77777777" w:rsidR="00C36FD4" w:rsidRDefault="00C36FD4" w:rsidP="00C36FD4">
      <w:pPr>
        <w:spacing w:line="360" w:lineRule="auto"/>
        <w:ind w:left="-58"/>
        <w:jc w:val="both"/>
        <w:rPr>
          <w:rFonts w:ascii="Calibri" w:hAnsi="Calibri"/>
          <w:rtl/>
        </w:rPr>
      </w:pPr>
    </w:p>
    <w:p w14:paraId="6406784E" w14:textId="77777777" w:rsidR="00C36FD4" w:rsidRDefault="00C36FD4" w:rsidP="00C36FD4">
      <w:pPr>
        <w:spacing w:line="360" w:lineRule="auto"/>
        <w:ind w:left="-58"/>
        <w:jc w:val="both"/>
        <w:rPr>
          <w:rtl/>
        </w:rPr>
      </w:pPr>
      <w:r w:rsidRPr="00CA7954">
        <w:rPr>
          <w:rFonts w:hint="cs"/>
          <w:rtl/>
        </w:rPr>
        <w:t xml:space="preserve">עם שחרורו </w:t>
      </w:r>
      <w:r>
        <w:rPr>
          <w:rFonts w:hint="cs"/>
          <w:rtl/>
        </w:rPr>
        <w:t xml:space="preserve">של הנאשם </w:t>
      </w:r>
      <w:r w:rsidRPr="00CA7954">
        <w:rPr>
          <w:rFonts w:hint="cs"/>
          <w:rtl/>
        </w:rPr>
        <w:t>למעצר בית</w:t>
      </w:r>
      <w:r>
        <w:rPr>
          <w:rFonts w:hint="cs"/>
          <w:rtl/>
        </w:rPr>
        <w:t>,</w:t>
      </w:r>
      <w:r w:rsidRPr="00CA7954">
        <w:rPr>
          <w:rFonts w:hint="cs"/>
          <w:rtl/>
        </w:rPr>
        <w:t xml:space="preserve"> שולב בקבוצה טיפולית לעצורי בית, שיתף פעולה בטיפול ומסר בדיקות שהצביעו על ניקיון מסמים, למעט מסוג קנאביס, המשמש את הנאשם לצרכים רפואיים באופן מאושר ומפוקח. הנאשם השתלב בקבוצה </w:t>
      </w:r>
      <w:r>
        <w:rPr>
          <w:rFonts w:hint="cs"/>
          <w:rtl/>
        </w:rPr>
        <w:t>ב</w:t>
      </w:r>
      <w:r w:rsidRPr="00CA7954">
        <w:rPr>
          <w:rFonts w:hint="cs"/>
          <w:rtl/>
        </w:rPr>
        <w:t>משך מספר חודשים, הגיע בעקביות וניכר כי נתרם מהטיפול.</w:t>
      </w:r>
      <w:r>
        <w:rPr>
          <w:rFonts w:ascii="Calibri" w:hAnsi="Calibri" w:hint="cs"/>
          <w:rtl/>
        </w:rPr>
        <w:t xml:space="preserve"> </w:t>
      </w:r>
      <w:r w:rsidRPr="00CA7954">
        <w:rPr>
          <w:rFonts w:hint="cs"/>
          <w:rtl/>
        </w:rPr>
        <w:t xml:space="preserve">בהמשך, השתלב בטיפול פרטי אצל נוירו-פסיכולוג, מומחה בפסיכולוגיה שיקומית. מדובר בטיפול פרטני, חד שבועי, שנותן מענה ייעודי לקשייו של הנאשם ותפור </w:t>
      </w:r>
      <w:r>
        <w:rPr>
          <w:rFonts w:hint="cs"/>
          <w:rtl/>
        </w:rPr>
        <w:t>לצרכיו</w:t>
      </w:r>
      <w:r w:rsidRPr="00CA7954">
        <w:rPr>
          <w:rFonts w:hint="cs"/>
          <w:rtl/>
        </w:rPr>
        <w:t>.</w:t>
      </w:r>
    </w:p>
    <w:p w14:paraId="67424517" w14:textId="77777777" w:rsidR="00C36FD4" w:rsidRDefault="00C36FD4" w:rsidP="00C36FD4">
      <w:pPr>
        <w:spacing w:line="360" w:lineRule="auto"/>
        <w:ind w:left="-58"/>
        <w:jc w:val="both"/>
        <w:rPr>
          <w:rtl/>
        </w:rPr>
      </w:pPr>
    </w:p>
    <w:p w14:paraId="74616DC0" w14:textId="77777777" w:rsidR="00C36FD4" w:rsidRDefault="00C36FD4" w:rsidP="00C36FD4">
      <w:pPr>
        <w:spacing w:line="360" w:lineRule="auto"/>
        <w:ind w:left="-58"/>
        <w:jc w:val="both"/>
        <w:rPr>
          <w:rtl/>
        </w:rPr>
      </w:pPr>
      <w:r>
        <w:rPr>
          <w:rFonts w:hint="cs"/>
          <w:rtl/>
        </w:rPr>
        <w:t>בבוא שירות המבחן להעריך את המסוכנות הנשקפת מפני הנאשם, הובאו בחשבון הקושי להתמודד במצבי לחץ ודחק, וקושי להיעזר בגורמי תמיכה חיצוניים, שאז עלול להתנהג באופן אימפולסיבי. לצד האמור, הודגש כי הנאשם נעדר קווים עברייניים באישיותו, כאשר הוא אוחז בנורמות ועמדות תקינות וניכר כי עושה מאמצים לשמור על יציבות לימודית, משפחתית ותעסוקתית חרף ההפרעה הפוסט טראומתית ממנה סובל. כן, מפגין היענות והתגייסות להליך טיפולי בו משולב.</w:t>
      </w:r>
      <w:r w:rsidRPr="00CA7954">
        <w:rPr>
          <w:rFonts w:hint="cs"/>
          <w:rtl/>
        </w:rPr>
        <w:t xml:space="preserve"> ניכר כי מונע ממוטיבציה פנימית, רצונו לשקם ולקדם את חייו וחיי משפחתו לאפיק מיטיב. </w:t>
      </w:r>
      <w:r>
        <w:rPr>
          <w:rFonts w:hint="cs"/>
          <w:rtl/>
        </w:rPr>
        <w:t>התרשמות שירות המבחן הינה כי הליכי הטיפול מהווים גורם מייצב מחזק ומפחית סיכון, לפיכך אין מקום להתערבות השירות כגורם טיפולי סמכותי נוסף.</w:t>
      </w:r>
    </w:p>
    <w:p w14:paraId="58BC5C41" w14:textId="77777777" w:rsidR="00C36FD4" w:rsidRPr="00CA7954" w:rsidRDefault="00C36FD4" w:rsidP="00C36FD4">
      <w:pPr>
        <w:spacing w:line="360" w:lineRule="auto"/>
        <w:ind w:left="-58"/>
        <w:jc w:val="both"/>
        <w:rPr>
          <w:rtl/>
        </w:rPr>
      </w:pPr>
    </w:p>
    <w:p w14:paraId="4D2C0D0B" w14:textId="77777777" w:rsidR="00C36FD4" w:rsidRDefault="00C36FD4" w:rsidP="00C36FD4">
      <w:pPr>
        <w:spacing w:line="360" w:lineRule="auto"/>
        <w:jc w:val="both"/>
        <w:rPr>
          <w:rtl/>
        </w:rPr>
      </w:pPr>
      <w:r w:rsidRPr="00CA7954">
        <w:rPr>
          <w:rFonts w:hint="cs"/>
          <w:rtl/>
        </w:rPr>
        <w:t xml:space="preserve">עוד </w:t>
      </w:r>
      <w:r>
        <w:rPr>
          <w:rFonts w:hint="cs"/>
          <w:rtl/>
        </w:rPr>
        <w:t>צוין בתסקיר</w:t>
      </w:r>
      <w:r w:rsidRPr="00CA7954">
        <w:rPr>
          <w:rFonts w:hint="cs"/>
          <w:rtl/>
        </w:rPr>
        <w:t xml:space="preserve"> כי ענישה בדמות מאסר בפועל, </w:t>
      </w:r>
      <w:r>
        <w:rPr>
          <w:rFonts w:hint="cs"/>
          <w:rtl/>
        </w:rPr>
        <w:t>אפילו</w:t>
      </w:r>
      <w:r w:rsidRPr="00CA7954">
        <w:rPr>
          <w:rFonts w:hint="cs"/>
          <w:rtl/>
        </w:rPr>
        <w:t xml:space="preserve"> </w:t>
      </w:r>
      <w:r>
        <w:rPr>
          <w:rFonts w:hint="cs"/>
          <w:rtl/>
        </w:rPr>
        <w:t xml:space="preserve">בדרך של </w:t>
      </w:r>
      <w:r w:rsidRPr="00CA7954">
        <w:rPr>
          <w:rFonts w:hint="cs"/>
          <w:rtl/>
        </w:rPr>
        <w:t>עבודות שירות</w:t>
      </w:r>
      <w:r>
        <w:rPr>
          <w:rFonts w:hint="cs"/>
          <w:rtl/>
        </w:rPr>
        <w:t>,</w:t>
      </w:r>
      <w:r w:rsidRPr="00CA7954">
        <w:rPr>
          <w:rFonts w:hint="cs"/>
          <w:rtl/>
        </w:rPr>
        <w:t xml:space="preserve"> </w:t>
      </w:r>
      <w:r>
        <w:rPr>
          <w:rFonts w:hint="cs"/>
          <w:rtl/>
        </w:rPr>
        <w:t xml:space="preserve">עלולה להוביל </w:t>
      </w:r>
      <w:r w:rsidRPr="00CA7954">
        <w:rPr>
          <w:rFonts w:hint="cs"/>
          <w:rtl/>
        </w:rPr>
        <w:t xml:space="preserve">להידרדרות ונסיגה במצבו הנפשי ועל כן המליץ לנקוט בעניינו בענישה של צו שירות לתועלת הציבור, </w:t>
      </w:r>
      <w:r>
        <w:rPr>
          <w:rFonts w:hint="cs"/>
          <w:rtl/>
        </w:rPr>
        <w:t xml:space="preserve">בהיקף של 150 שעות, </w:t>
      </w:r>
      <w:r w:rsidRPr="00CA7954">
        <w:rPr>
          <w:rFonts w:hint="cs"/>
          <w:rtl/>
        </w:rPr>
        <w:t xml:space="preserve">לצד ענישה הרתעתית וקנס כספי. </w:t>
      </w:r>
    </w:p>
    <w:p w14:paraId="2DFD3A43" w14:textId="77777777" w:rsidR="00C36FD4" w:rsidRDefault="00C36FD4" w:rsidP="00C36FD4">
      <w:pPr>
        <w:spacing w:line="360" w:lineRule="auto"/>
        <w:jc w:val="both"/>
        <w:rPr>
          <w:b/>
          <w:bCs/>
          <w:u w:val="single"/>
          <w:rtl/>
        </w:rPr>
      </w:pPr>
      <w:r>
        <w:rPr>
          <w:rFonts w:hint="cs"/>
          <w:b/>
          <w:bCs/>
          <w:u w:val="single"/>
          <w:rtl/>
        </w:rPr>
        <w:t>ראיות לעונש</w:t>
      </w:r>
    </w:p>
    <w:p w14:paraId="66B0D8F4" w14:textId="77777777" w:rsidR="00C36FD4" w:rsidRDefault="00C36FD4" w:rsidP="00C36FD4">
      <w:pPr>
        <w:spacing w:line="360" w:lineRule="auto"/>
        <w:jc w:val="both"/>
        <w:rPr>
          <w:b/>
          <w:bCs/>
          <w:u w:val="single"/>
          <w:rtl/>
        </w:rPr>
      </w:pPr>
    </w:p>
    <w:p w14:paraId="298006D2" w14:textId="77777777" w:rsidR="00C36FD4" w:rsidRDefault="00C36FD4" w:rsidP="00C36FD4">
      <w:pPr>
        <w:spacing w:line="360" w:lineRule="auto"/>
        <w:jc w:val="both"/>
        <w:rPr>
          <w:rtl/>
        </w:rPr>
      </w:pPr>
      <w:r>
        <w:rPr>
          <w:rFonts w:hint="cs"/>
          <w:rtl/>
        </w:rPr>
        <w:t xml:space="preserve">במסגרת טיעוניו, הגיש ב"כ הנאשם מסמכים, כדלקמן: סיכום בדיקה פסיכיאטרית מיום 10/1/19 מאת ד"ר רודינסקי, מומחה לפסיכיאטריה; מסמך רפואי נוסף מאת ד"ר רודינסקי מיום 11/1/21; מסמך מסכם מאת מר אמיר כץ, מומחה בנוירופסיכולוגיה מיום 25/10/21; </w:t>
      </w:r>
      <w:r w:rsidRPr="004409FF">
        <w:rPr>
          <w:rFonts w:hint="cs"/>
          <w:rtl/>
        </w:rPr>
        <w:t xml:space="preserve">אסמכתאות לזכאות לטיפול בקנאביס רפואי; ומסמכים רפואיים של אחי הנאשם לאחר הפציעה. </w:t>
      </w:r>
    </w:p>
    <w:p w14:paraId="2F927BA2" w14:textId="77777777" w:rsidR="00C36FD4" w:rsidRDefault="00C36FD4" w:rsidP="00C36FD4">
      <w:pPr>
        <w:spacing w:line="360" w:lineRule="auto"/>
        <w:jc w:val="both"/>
        <w:rPr>
          <w:rtl/>
        </w:rPr>
      </w:pPr>
    </w:p>
    <w:p w14:paraId="219DCB6C" w14:textId="77777777" w:rsidR="00C36FD4" w:rsidRDefault="00C36FD4" w:rsidP="00C36FD4">
      <w:pPr>
        <w:spacing w:line="360" w:lineRule="auto"/>
        <w:jc w:val="both"/>
        <w:rPr>
          <w:rtl/>
        </w:rPr>
      </w:pPr>
      <w:r>
        <w:rPr>
          <w:rFonts w:hint="cs"/>
          <w:rtl/>
        </w:rPr>
        <w:t xml:space="preserve">מהמסמכים מתקבלת התמונה הבאה: </w:t>
      </w:r>
    </w:p>
    <w:p w14:paraId="3D91B258" w14:textId="77777777" w:rsidR="00C36FD4" w:rsidRDefault="00C36FD4" w:rsidP="00C36FD4">
      <w:pPr>
        <w:spacing w:line="360" w:lineRule="auto"/>
        <w:jc w:val="both"/>
        <w:rPr>
          <w:rtl/>
        </w:rPr>
      </w:pPr>
      <w:r>
        <w:rPr>
          <w:rFonts w:hint="cs"/>
          <w:rtl/>
        </w:rPr>
        <w:t xml:space="preserve">בשנת 2005, בהיותו בן 13, היה הנאשם עד לפיגוע התאבדות בשוק חדרה, כאשר עמד כ- 20 מטר ממקום הפיצוץ, ונחשף למראה של גופות, ופינה את אחיו שנפצע קשה בפיגוע. הנאשם חיפש את אחיו כשהוא חשוף למראות קשים בעקבות הפיצוץ ואף סחב את אחיו עד לאמבולנס. מיד לאחר הפיגוע, ובעקבותיו, פיתח הנאשם סימנים דיסוציאטיביים, החלו אצל הנאשם הפרעות שינה, חוויות חוזרות של מראות האימה. בנוסף, החלה התנהגות המנעותית, כך למשל הנאשם נמנע מלהגיע לאזור הפיגוע. </w:t>
      </w:r>
    </w:p>
    <w:p w14:paraId="1973B815" w14:textId="77777777" w:rsidR="00C36FD4" w:rsidRDefault="00C36FD4" w:rsidP="00C36FD4">
      <w:pPr>
        <w:spacing w:line="360" w:lineRule="auto"/>
        <w:jc w:val="both"/>
        <w:rPr>
          <w:rtl/>
        </w:rPr>
      </w:pPr>
    </w:p>
    <w:p w14:paraId="0769B681" w14:textId="77777777" w:rsidR="00C36FD4" w:rsidRDefault="00C36FD4" w:rsidP="00C36FD4">
      <w:pPr>
        <w:spacing w:line="360" w:lineRule="auto"/>
        <w:jc w:val="both"/>
        <w:rPr>
          <w:rtl/>
        </w:rPr>
      </w:pPr>
      <w:r>
        <w:rPr>
          <w:rFonts w:hint="cs"/>
          <w:rtl/>
        </w:rPr>
        <w:t>בראשית שנת 2019, חלה החמרה נוספת במצבו של הנאשם, כאשר תדירות ה"פלאשבקים" עלתה לתדירות של 3 עד 4 פעמים ביום. בנוסף, החלו תסמינים דיכאוניים נוספים, הנאשם לא הצליח להתמיד בעבודה וכן חלה ירידה בתפקודו הבינאישי והחברתי. בשל אלה, הומלץ על טיפול פסיכיאטרי תרופתי. לאחר שהטיפול התרופתי לא שיפר באופן משמעותי את מצבו של הנאשם, התקבל אישור לשימוש בקנאביס רפואי.</w:t>
      </w:r>
    </w:p>
    <w:p w14:paraId="7D8B212A" w14:textId="77777777" w:rsidR="00C36FD4" w:rsidRDefault="00C36FD4" w:rsidP="00C36FD4">
      <w:pPr>
        <w:spacing w:line="360" w:lineRule="auto"/>
        <w:jc w:val="both"/>
        <w:rPr>
          <w:rtl/>
        </w:rPr>
      </w:pPr>
      <w:r>
        <w:rPr>
          <w:rFonts w:hint="cs"/>
          <w:rtl/>
        </w:rPr>
        <w:t xml:space="preserve"> </w:t>
      </w:r>
    </w:p>
    <w:p w14:paraId="5D845233" w14:textId="77777777" w:rsidR="00C36FD4" w:rsidRDefault="00C36FD4" w:rsidP="00C36FD4">
      <w:pPr>
        <w:spacing w:line="360" w:lineRule="auto"/>
        <w:jc w:val="both"/>
        <w:rPr>
          <w:rtl/>
        </w:rPr>
      </w:pPr>
      <w:r>
        <w:rPr>
          <w:rFonts w:hint="cs"/>
          <w:rtl/>
        </w:rPr>
        <w:t xml:space="preserve">במסמך מיום 11/1/21, אשר התקבל לאחר שחרורו של הנאשם ממעצר מושא תיק זה, צוין כדלקמן: "אחרי השחרור, ישנה החמרה בהרגשתו: מרגיש במתח, מצבי חרדה דמוי פאניקה במהלך היום, דריכות כללית, כמו כן מתקשה  להירדם, חולם חלומות מפחידים, פלאשבקים יותר עוצמתיים. החל לקבל כדורי </w:t>
      </w:r>
      <w:r>
        <w:t>miro</w:t>
      </w:r>
      <w:r>
        <w:rPr>
          <w:rFonts w:hint="cs"/>
          <w:rtl/>
        </w:rPr>
        <w:t xml:space="preserve"> שהיו ברשותו, ללא שיפור במצבו. נוצר רושם כי ישנה החמרה בתסמינים פוסט-טראומטיים".</w:t>
      </w:r>
    </w:p>
    <w:p w14:paraId="385257CD" w14:textId="77777777" w:rsidR="00C36FD4" w:rsidRDefault="00C36FD4" w:rsidP="00C36FD4">
      <w:pPr>
        <w:spacing w:line="360" w:lineRule="auto"/>
        <w:jc w:val="both"/>
        <w:rPr>
          <w:rtl/>
        </w:rPr>
      </w:pPr>
    </w:p>
    <w:p w14:paraId="49FF352E" w14:textId="77777777" w:rsidR="00C36FD4" w:rsidRDefault="00C36FD4" w:rsidP="00C36FD4">
      <w:pPr>
        <w:spacing w:line="360" w:lineRule="auto"/>
        <w:jc w:val="both"/>
        <w:rPr>
          <w:rtl/>
        </w:rPr>
      </w:pPr>
      <w:r>
        <w:rPr>
          <w:rFonts w:hint="cs"/>
          <w:rtl/>
        </w:rPr>
        <w:t>מאז 15/3/21 החל הנאשם טיפול נוירו-פסיכולוגי (על ידי מומחה בפסיכולוגיה שיקומית), כשהוא משתף פעולה באופן מלא, ומגיע למפגשים בהתמדה. המסמך מעלה כי הנאשם סובל מהתקפי חרדה על בסיס יום-יומי, כאשר הוא סובל מהפרעות בשינה, צמצום חברתי, ניכרת ירידה בדימוי עצמי ומגלה הימנעויות ממצבים שעלולים להגביר אצלו את הלחץ. המטפל מתרשם כדלקמן: "שניר מגלה תסמינים של הפרעה פוסט-טראומטית (</w:t>
      </w:r>
      <w:r>
        <w:rPr>
          <w:rFonts w:hint="cs"/>
        </w:rPr>
        <w:t>PTSD</w:t>
      </w:r>
      <w:r>
        <w:rPr>
          <w:rFonts w:hint="cs"/>
          <w:rtl/>
        </w:rPr>
        <w:t xml:space="preserve">) כשהיא כרונית וממושכת. שניר מגלה דריכות יתר ומתח, מרבה להתפרץ בכעס ולאחר מכן חש אשמה וחרטה. הוא סובל מקהות רגשית ולא פעם מרגיש מנותק מאנשים סביבו". המטפל, מתמקד בנושאים הקשורים ביחסיו של הנאשם עם משפחתו וכן בכל הנוגע לעבירה הפלילית שביצע, מתרשם כי הנאשם ממוקד בשיפור מצבו, כאשר הוא שואף לנהל אורח חיים נורמטיבי הכולל ציות לחוקים ולנורמות חברתיות והוא מביע צער וחרטה על העבירה שביצע, מבין את חומרתה ורוצה לשקם את חייו. </w:t>
      </w:r>
    </w:p>
    <w:p w14:paraId="5EA7FA27" w14:textId="77777777" w:rsidR="00C36FD4" w:rsidRDefault="00C36FD4" w:rsidP="00C36FD4">
      <w:pPr>
        <w:spacing w:line="360" w:lineRule="auto"/>
        <w:jc w:val="both"/>
        <w:rPr>
          <w:rtl/>
        </w:rPr>
      </w:pPr>
      <w:r>
        <w:rPr>
          <w:rFonts w:hint="cs"/>
          <w:rtl/>
        </w:rPr>
        <w:t>המטפל הדגיש כי המשך תעסוקה יאפשר לנאשם להשתלב חזרה בחברה ולקדם את שיקומו. לאור כל האמור, הומלץ על המשך טיפול במתכונת הנוכחית.</w:t>
      </w:r>
    </w:p>
    <w:p w14:paraId="6D349F34" w14:textId="77777777" w:rsidR="00C36FD4" w:rsidRPr="009C2495" w:rsidRDefault="00C36FD4" w:rsidP="00C36FD4">
      <w:pPr>
        <w:spacing w:line="360" w:lineRule="auto"/>
        <w:jc w:val="both"/>
        <w:rPr>
          <w:rtl/>
        </w:rPr>
      </w:pPr>
    </w:p>
    <w:p w14:paraId="16CC8375" w14:textId="77777777" w:rsidR="00C36FD4" w:rsidRDefault="00C36FD4" w:rsidP="00C36FD4">
      <w:pPr>
        <w:spacing w:line="360" w:lineRule="auto"/>
        <w:jc w:val="both"/>
        <w:rPr>
          <w:b/>
          <w:bCs/>
          <w:u w:val="single"/>
          <w:rtl/>
        </w:rPr>
      </w:pPr>
      <w:r w:rsidRPr="008A37A3">
        <w:rPr>
          <w:rFonts w:hint="cs"/>
          <w:b/>
          <w:bCs/>
          <w:u w:val="single"/>
          <w:rtl/>
        </w:rPr>
        <w:t>טענות הצדדים</w:t>
      </w:r>
    </w:p>
    <w:p w14:paraId="3EDBD2D5" w14:textId="77777777" w:rsidR="00C36FD4" w:rsidRPr="008A37A3" w:rsidRDefault="00C36FD4" w:rsidP="00C36FD4">
      <w:pPr>
        <w:spacing w:line="360" w:lineRule="auto"/>
        <w:jc w:val="both"/>
        <w:rPr>
          <w:b/>
          <w:bCs/>
          <w:u w:val="single"/>
          <w:rtl/>
        </w:rPr>
      </w:pPr>
    </w:p>
    <w:p w14:paraId="1233F91E" w14:textId="77777777" w:rsidR="00C36FD4" w:rsidRDefault="00C36FD4" w:rsidP="00C36FD4">
      <w:pPr>
        <w:spacing w:line="360" w:lineRule="auto"/>
        <w:jc w:val="both"/>
        <w:rPr>
          <w:rtl/>
        </w:rPr>
      </w:pPr>
      <w:r w:rsidRPr="004409FF">
        <w:rPr>
          <w:rFonts w:hint="cs"/>
          <w:u w:val="single"/>
          <w:rtl/>
        </w:rPr>
        <w:t>ב"כ המאשימה</w:t>
      </w:r>
      <w:r w:rsidRPr="00CA7954">
        <w:rPr>
          <w:rFonts w:hint="cs"/>
          <w:rtl/>
        </w:rPr>
        <w:t xml:space="preserve"> עמדה בטיעוניה על הערכים המוגנים שנפגעו כתוצאה ממעשיו של הנאשם, </w:t>
      </w:r>
      <w:r>
        <w:rPr>
          <w:rFonts w:hint="cs"/>
          <w:rtl/>
        </w:rPr>
        <w:t>ו</w:t>
      </w:r>
      <w:r w:rsidRPr="00CA7954">
        <w:rPr>
          <w:rFonts w:hint="cs"/>
          <w:rtl/>
        </w:rPr>
        <w:t xml:space="preserve">בהם </w:t>
      </w:r>
      <w:r>
        <w:rPr>
          <w:rFonts w:hint="cs"/>
          <w:rtl/>
        </w:rPr>
        <w:t xml:space="preserve">הצורך להגן על </w:t>
      </w:r>
      <w:r w:rsidRPr="00CA7954">
        <w:rPr>
          <w:rFonts w:hint="cs"/>
          <w:rtl/>
        </w:rPr>
        <w:t xml:space="preserve">הציבור מפני נגע הסמים והשלכותיו ההרסניות על גופו ונפשו של האדם ושל החברה כולה. </w:t>
      </w:r>
      <w:r>
        <w:rPr>
          <w:rFonts w:hint="cs"/>
          <w:rtl/>
        </w:rPr>
        <w:t xml:space="preserve">באשר לנסיבות המעשה, </w:t>
      </w:r>
      <w:r w:rsidRPr="00CA7954">
        <w:rPr>
          <w:rFonts w:hint="cs"/>
          <w:rtl/>
        </w:rPr>
        <w:t xml:space="preserve">הדגישה כי מדובר בהחזקת כמות גדולה של סמים מסוכנים </w:t>
      </w:r>
      <w:r>
        <w:rPr>
          <w:rFonts w:hint="cs"/>
          <w:rtl/>
        </w:rPr>
        <w:t xml:space="preserve">משני סוגים </w:t>
      </w:r>
      <w:r w:rsidRPr="00CA7954">
        <w:rPr>
          <w:rFonts w:hint="cs"/>
          <w:rtl/>
        </w:rPr>
        <w:t>ו</w:t>
      </w:r>
      <w:r>
        <w:rPr>
          <w:rFonts w:hint="cs"/>
          <w:rtl/>
        </w:rPr>
        <w:t xml:space="preserve">בשל כך </w:t>
      </w:r>
      <w:r w:rsidRPr="00CA7954">
        <w:rPr>
          <w:rFonts w:hint="cs"/>
          <w:rtl/>
        </w:rPr>
        <w:t xml:space="preserve">מידת הפגיעה בערך החברתי רבה. </w:t>
      </w:r>
    </w:p>
    <w:p w14:paraId="6EE8AF2A" w14:textId="77777777" w:rsidR="00C36FD4" w:rsidRDefault="00C36FD4" w:rsidP="00C36FD4">
      <w:pPr>
        <w:spacing w:line="360" w:lineRule="auto"/>
        <w:jc w:val="both"/>
        <w:rPr>
          <w:rtl/>
        </w:rPr>
      </w:pPr>
    </w:p>
    <w:p w14:paraId="6F94D218" w14:textId="77777777" w:rsidR="00C36FD4" w:rsidRDefault="00C36FD4" w:rsidP="00C36FD4">
      <w:pPr>
        <w:spacing w:line="360" w:lineRule="auto"/>
        <w:jc w:val="both"/>
        <w:rPr>
          <w:rtl/>
        </w:rPr>
      </w:pPr>
      <w:r>
        <w:rPr>
          <w:rFonts w:hint="cs"/>
          <w:rtl/>
        </w:rPr>
        <w:t xml:space="preserve">צוין, כי המאשימה </w:t>
      </w:r>
      <w:r w:rsidRPr="00CA7954">
        <w:rPr>
          <w:rFonts w:hint="cs"/>
          <w:rtl/>
        </w:rPr>
        <w:t>מכירה בכך שמורכבות מצבו ונסיבותיו הייחודיות</w:t>
      </w:r>
      <w:r>
        <w:rPr>
          <w:rFonts w:hint="cs"/>
          <w:rtl/>
        </w:rPr>
        <w:t xml:space="preserve"> של הנאשם</w:t>
      </w:r>
      <w:r w:rsidRPr="00CA7954">
        <w:rPr>
          <w:rFonts w:hint="cs"/>
          <w:rtl/>
        </w:rPr>
        <w:t>, הן בעלות השפעה על קביעת מתחם הענישה</w:t>
      </w:r>
      <w:r>
        <w:rPr>
          <w:rFonts w:hint="cs"/>
          <w:rtl/>
        </w:rPr>
        <w:t>,</w:t>
      </w:r>
      <w:r w:rsidRPr="00CA7954">
        <w:rPr>
          <w:rFonts w:hint="cs"/>
          <w:rtl/>
        </w:rPr>
        <w:t xml:space="preserve"> שכן מדובר בסיבות שדרדרו את מצבו של הנאשם </w:t>
      </w:r>
      <w:r>
        <w:rPr>
          <w:rFonts w:hint="cs"/>
          <w:rtl/>
        </w:rPr>
        <w:t>ותרמו</w:t>
      </w:r>
      <w:r w:rsidRPr="00CA7954">
        <w:rPr>
          <w:rFonts w:hint="cs"/>
          <w:rtl/>
        </w:rPr>
        <w:t xml:space="preserve"> לעשיית המעשה. </w:t>
      </w:r>
    </w:p>
    <w:p w14:paraId="3B4CDC07" w14:textId="77777777" w:rsidR="00C36FD4" w:rsidRDefault="00C36FD4" w:rsidP="00C36FD4">
      <w:pPr>
        <w:spacing w:line="360" w:lineRule="auto"/>
        <w:jc w:val="both"/>
        <w:rPr>
          <w:rtl/>
        </w:rPr>
      </w:pPr>
      <w:r w:rsidRPr="00CA7954">
        <w:rPr>
          <w:rFonts w:hint="cs"/>
          <w:rtl/>
        </w:rPr>
        <w:t xml:space="preserve"> </w:t>
      </w:r>
    </w:p>
    <w:p w14:paraId="0EA1D562" w14:textId="77777777" w:rsidR="00C36FD4" w:rsidRDefault="00C36FD4" w:rsidP="00C36FD4">
      <w:pPr>
        <w:spacing w:line="360" w:lineRule="auto"/>
        <w:jc w:val="both"/>
        <w:rPr>
          <w:rtl/>
        </w:rPr>
      </w:pPr>
      <w:r>
        <w:rPr>
          <w:rFonts w:hint="cs"/>
          <w:rtl/>
        </w:rPr>
        <w:t xml:space="preserve">לפיכך, </w:t>
      </w:r>
      <w:r w:rsidRPr="00CA7954">
        <w:rPr>
          <w:rFonts w:hint="cs"/>
          <w:rtl/>
        </w:rPr>
        <w:t>בעניינו של הנאשם עתרה למתחם מתון</w:t>
      </w:r>
      <w:r>
        <w:rPr>
          <w:rFonts w:hint="cs"/>
          <w:rtl/>
        </w:rPr>
        <w:t>, לטעמה, הנע בין</w:t>
      </w:r>
      <w:r w:rsidRPr="00CA7954">
        <w:rPr>
          <w:rFonts w:hint="cs"/>
          <w:rtl/>
        </w:rPr>
        <w:t xml:space="preserve"> 20</w:t>
      </w:r>
      <w:r>
        <w:rPr>
          <w:rFonts w:hint="cs"/>
          <w:rtl/>
        </w:rPr>
        <w:t xml:space="preserve"> ל-</w:t>
      </w:r>
      <w:r w:rsidRPr="00CA7954">
        <w:rPr>
          <w:rFonts w:hint="cs"/>
          <w:rtl/>
        </w:rPr>
        <w:t xml:space="preserve"> 40 חודשי מאסר. </w:t>
      </w:r>
    </w:p>
    <w:p w14:paraId="7183C619" w14:textId="77777777" w:rsidR="00C36FD4" w:rsidRDefault="00C36FD4" w:rsidP="00C36FD4">
      <w:pPr>
        <w:spacing w:line="360" w:lineRule="auto"/>
        <w:jc w:val="both"/>
        <w:rPr>
          <w:rtl/>
        </w:rPr>
      </w:pPr>
    </w:p>
    <w:p w14:paraId="6753A172" w14:textId="77777777" w:rsidR="00C36FD4" w:rsidRDefault="00C36FD4" w:rsidP="00C36FD4">
      <w:pPr>
        <w:spacing w:line="360" w:lineRule="auto"/>
        <w:jc w:val="both"/>
        <w:rPr>
          <w:rtl/>
        </w:rPr>
      </w:pPr>
      <w:r>
        <w:rPr>
          <w:rFonts w:hint="cs"/>
          <w:rtl/>
        </w:rPr>
        <w:t xml:space="preserve">ב"כ המאשימה הטעימה כי </w:t>
      </w:r>
      <w:r w:rsidRPr="00CA7954">
        <w:rPr>
          <w:rFonts w:hint="cs"/>
          <w:rtl/>
        </w:rPr>
        <w:t xml:space="preserve">לא מתקיימים בעניינו של הנאשם שיקולי שיקום </w:t>
      </w:r>
      <w:r>
        <w:rPr>
          <w:rFonts w:hint="cs"/>
          <w:rtl/>
        </w:rPr>
        <w:t>המצדיקים</w:t>
      </w:r>
      <w:r w:rsidRPr="00CA7954">
        <w:rPr>
          <w:rFonts w:hint="cs"/>
          <w:rtl/>
        </w:rPr>
        <w:t xml:space="preserve"> </w:t>
      </w:r>
      <w:r>
        <w:rPr>
          <w:rFonts w:hint="cs"/>
          <w:rtl/>
        </w:rPr>
        <w:t xml:space="preserve">חריגה ממתחם הענישה, שכן </w:t>
      </w:r>
      <w:r w:rsidRPr="00CA7954">
        <w:rPr>
          <w:rFonts w:ascii="David" w:hAnsi="David" w:hint="cs"/>
          <w:rtl/>
        </w:rPr>
        <w:t xml:space="preserve">כאשר מדובר על החזקה של סמים מסוכנים מהסוג הנדון, במשקלים גבוהים, </w:t>
      </w:r>
      <w:r w:rsidRPr="00CA7954">
        <w:rPr>
          <w:rFonts w:ascii="David" w:hAnsi="David"/>
          <w:rtl/>
        </w:rPr>
        <w:t xml:space="preserve">האינטרס הציבורי של גמול והרתעה </w:t>
      </w:r>
      <w:r w:rsidRPr="00CA7954">
        <w:rPr>
          <w:rFonts w:ascii="David" w:hAnsi="David" w:hint="cs"/>
          <w:rtl/>
        </w:rPr>
        <w:t>גובר</w:t>
      </w:r>
      <w:r w:rsidRPr="00CA7954">
        <w:rPr>
          <w:rFonts w:ascii="David" w:hAnsi="David"/>
          <w:rtl/>
        </w:rPr>
        <w:t xml:space="preserve"> על אינטרס השיקום</w:t>
      </w:r>
      <w:r w:rsidRPr="00CA7954">
        <w:rPr>
          <w:rFonts w:ascii="David" w:hAnsi="David" w:hint="cs"/>
          <w:rtl/>
        </w:rPr>
        <w:t>.</w:t>
      </w:r>
      <w:r w:rsidRPr="00CA7954">
        <w:rPr>
          <w:rFonts w:ascii="David" w:hAnsi="David"/>
          <w:rtl/>
        </w:rPr>
        <w:t xml:space="preserve"> </w:t>
      </w:r>
      <w:r>
        <w:rPr>
          <w:rFonts w:ascii="David" w:hAnsi="David" w:hint="cs"/>
          <w:rtl/>
        </w:rPr>
        <w:t>לפיכך, ו</w:t>
      </w:r>
      <w:r w:rsidRPr="00CA7954">
        <w:rPr>
          <w:rFonts w:ascii="David" w:hAnsi="David"/>
          <w:rtl/>
        </w:rPr>
        <w:t>על אף ה</w:t>
      </w:r>
      <w:r w:rsidRPr="00CA7954">
        <w:rPr>
          <w:rFonts w:ascii="David" w:hAnsi="David" w:hint="cs"/>
          <w:rtl/>
        </w:rPr>
        <w:t>ה</w:t>
      </w:r>
      <w:r w:rsidRPr="00CA7954">
        <w:rPr>
          <w:rFonts w:ascii="David" w:hAnsi="David"/>
          <w:rtl/>
        </w:rPr>
        <w:t xml:space="preserve">ערכה למאמצי </w:t>
      </w:r>
      <w:r w:rsidRPr="00CA7954">
        <w:rPr>
          <w:rFonts w:ascii="David" w:hAnsi="David" w:hint="cs"/>
          <w:rtl/>
        </w:rPr>
        <w:t>ה</w:t>
      </w:r>
      <w:r w:rsidRPr="00CA7954">
        <w:rPr>
          <w:rFonts w:ascii="David" w:hAnsi="David"/>
          <w:rtl/>
        </w:rPr>
        <w:t>שיק</w:t>
      </w:r>
      <w:r w:rsidRPr="00CA7954">
        <w:rPr>
          <w:rFonts w:ascii="David" w:hAnsi="David" w:hint="cs"/>
          <w:rtl/>
        </w:rPr>
        <w:t>ו</w:t>
      </w:r>
      <w:r w:rsidRPr="00CA7954">
        <w:rPr>
          <w:rFonts w:ascii="David" w:hAnsi="David"/>
          <w:rtl/>
        </w:rPr>
        <w:t>ם</w:t>
      </w:r>
      <w:r>
        <w:rPr>
          <w:rFonts w:ascii="David" w:hAnsi="David" w:hint="cs"/>
          <w:rtl/>
        </w:rPr>
        <w:t xml:space="preserve"> בהם נקט הנאשם</w:t>
      </w:r>
      <w:r w:rsidRPr="00CA7954">
        <w:rPr>
          <w:rFonts w:ascii="David" w:hAnsi="David"/>
          <w:rtl/>
        </w:rPr>
        <w:t xml:space="preserve">, </w:t>
      </w:r>
      <w:r w:rsidRPr="00CA7954">
        <w:rPr>
          <w:rFonts w:ascii="David" w:hAnsi="David" w:hint="cs"/>
          <w:rtl/>
        </w:rPr>
        <w:t>לא ניתן להימנע מהטלת מאסר לריצוי מאחורי סורג ובריח.</w:t>
      </w:r>
    </w:p>
    <w:p w14:paraId="0E656FB4" w14:textId="77777777" w:rsidR="00C36FD4" w:rsidRDefault="00C36FD4" w:rsidP="00C36FD4">
      <w:pPr>
        <w:spacing w:line="360" w:lineRule="auto"/>
        <w:jc w:val="both"/>
        <w:rPr>
          <w:rtl/>
        </w:rPr>
      </w:pPr>
      <w:r w:rsidRPr="00CA7954">
        <w:rPr>
          <w:rFonts w:hint="cs"/>
          <w:rtl/>
        </w:rPr>
        <w:t xml:space="preserve">נוכח גילו של הנאשם, היעדר עבר פלילי </w:t>
      </w:r>
      <w:r>
        <w:rPr>
          <w:rFonts w:hint="cs"/>
          <w:rtl/>
        </w:rPr>
        <w:t>והליכי הטיפול בהם משולב, סברה ב"כ המאשימה</w:t>
      </w:r>
      <w:r w:rsidRPr="00CA7954">
        <w:rPr>
          <w:rFonts w:hint="cs"/>
          <w:rtl/>
        </w:rPr>
        <w:t xml:space="preserve"> כי יש למקמו בתחתית מתחם הענישה ולהשית עליו מאסר לריצוי בפועל לתקופה של 20 חודשים. </w:t>
      </w:r>
    </w:p>
    <w:p w14:paraId="647B0556" w14:textId="77777777" w:rsidR="00C36FD4" w:rsidRDefault="00C36FD4" w:rsidP="00C36FD4">
      <w:pPr>
        <w:spacing w:line="360" w:lineRule="auto"/>
        <w:jc w:val="both"/>
        <w:rPr>
          <w:rtl/>
        </w:rPr>
      </w:pPr>
    </w:p>
    <w:p w14:paraId="5E888FE1" w14:textId="77777777" w:rsidR="00C36FD4" w:rsidRDefault="00C36FD4" w:rsidP="00C36FD4">
      <w:pPr>
        <w:spacing w:line="360" w:lineRule="auto"/>
        <w:jc w:val="both"/>
        <w:rPr>
          <w:rtl/>
        </w:rPr>
      </w:pPr>
      <w:r w:rsidRPr="004409FF">
        <w:rPr>
          <w:rFonts w:hint="cs"/>
          <w:u w:val="single"/>
          <w:rtl/>
        </w:rPr>
        <w:t>ב"כ הנאשם</w:t>
      </w:r>
      <w:r w:rsidRPr="00CA7954">
        <w:rPr>
          <w:rFonts w:hint="cs"/>
          <w:rtl/>
        </w:rPr>
        <w:t xml:space="preserve"> לא התעלם מחומרת מעשיו של הנאשם, אך </w:t>
      </w:r>
      <w:r>
        <w:rPr>
          <w:rFonts w:hint="cs"/>
          <w:rtl/>
        </w:rPr>
        <w:t>סבר</w:t>
      </w:r>
      <w:r w:rsidRPr="00CA7954">
        <w:rPr>
          <w:rFonts w:hint="cs"/>
          <w:rtl/>
        </w:rPr>
        <w:t xml:space="preserve"> שיש ליתן משקל </w:t>
      </w:r>
      <w:r>
        <w:rPr>
          <w:rFonts w:hint="cs"/>
          <w:rtl/>
        </w:rPr>
        <w:t xml:space="preserve">בכורה </w:t>
      </w:r>
      <w:r w:rsidRPr="00CA7954">
        <w:rPr>
          <w:rFonts w:hint="cs"/>
          <w:rtl/>
        </w:rPr>
        <w:t xml:space="preserve">לנסיבות חייו המורכבות והחריגות ביותר, לדרכו השיקומית המוצלחת, לנכונותו להמשיך בטיפול שמיטיב עמו ולהשלכות ההרסניות שעלול לגבות מאסר על מצבו הנפשי והמשך חייו. </w:t>
      </w:r>
    </w:p>
    <w:p w14:paraId="38048A33" w14:textId="77777777" w:rsidR="00C36FD4" w:rsidRDefault="00C36FD4" w:rsidP="00C36FD4">
      <w:pPr>
        <w:spacing w:line="360" w:lineRule="auto"/>
        <w:jc w:val="both"/>
        <w:rPr>
          <w:rtl/>
        </w:rPr>
      </w:pPr>
    </w:p>
    <w:p w14:paraId="213689BD" w14:textId="77777777" w:rsidR="00C36FD4" w:rsidRDefault="00C36FD4" w:rsidP="00C36FD4">
      <w:pPr>
        <w:spacing w:line="360" w:lineRule="auto"/>
        <w:jc w:val="both"/>
        <w:rPr>
          <w:rtl/>
        </w:rPr>
      </w:pPr>
      <w:r>
        <w:rPr>
          <w:rFonts w:hint="cs"/>
          <w:rtl/>
        </w:rPr>
        <w:t xml:space="preserve">ב"כ הנאשם </w:t>
      </w:r>
      <w:r w:rsidRPr="00CA7954">
        <w:rPr>
          <w:rFonts w:hint="cs"/>
          <w:rtl/>
        </w:rPr>
        <w:t xml:space="preserve">עמד על הטעמים </w:t>
      </w:r>
      <w:r>
        <w:rPr>
          <w:rFonts w:hint="cs"/>
          <w:rtl/>
        </w:rPr>
        <w:t xml:space="preserve">העומדים בבסיס הסדר הטיעון, ובהם קושי ראייתי, </w:t>
      </w:r>
      <w:r w:rsidRPr="00CA7954">
        <w:rPr>
          <w:rFonts w:hint="cs"/>
          <w:rtl/>
        </w:rPr>
        <w:t>התייחס לערפול בכתב האישום בנוגע למשקל הסמים שהחזקתם מיוחסת לנאשם ועתר ל</w:t>
      </w:r>
      <w:r>
        <w:rPr>
          <w:rFonts w:hint="cs"/>
          <w:rtl/>
        </w:rPr>
        <w:t xml:space="preserve">יישום </w:t>
      </w:r>
      <w:r w:rsidRPr="00CA7954">
        <w:rPr>
          <w:rFonts w:hint="cs"/>
          <w:rtl/>
        </w:rPr>
        <w:t xml:space="preserve">פרשנות המקלה עם הנאשם כאמור </w:t>
      </w:r>
      <w:hyperlink r:id="rId18" w:history="1">
        <w:r w:rsidR="000862DE" w:rsidRPr="000862DE">
          <w:rPr>
            <w:rStyle w:val="Hyperlink"/>
            <w:rFonts w:hint="eastAsia"/>
            <w:rtl/>
          </w:rPr>
          <w:t>בסעיף</w:t>
        </w:r>
        <w:r w:rsidR="000862DE" w:rsidRPr="000862DE">
          <w:rPr>
            <w:rStyle w:val="Hyperlink"/>
            <w:rtl/>
          </w:rPr>
          <w:t xml:space="preserve"> 34כא</w:t>
        </w:r>
      </w:hyperlink>
      <w:r w:rsidRPr="00CA7954">
        <w:rPr>
          <w:rFonts w:hint="cs"/>
          <w:rtl/>
        </w:rPr>
        <w:t xml:space="preserve"> ל</w:t>
      </w:r>
      <w:hyperlink r:id="rId19" w:history="1">
        <w:r w:rsidR="004C69CA" w:rsidRPr="004C69CA">
          <w:rPr>
            <w:color w:val="0000FF"/>
            <w:u w:val="single"/>
            <w:rtl/>
          </w:rPr>
          <w:t>חוק העונשין</w:t>
        </w:r>
      </w:hyperlink>
      <w:r>
        <w:rPr>
          <w:rFonts w:hint="cs"/>
          <w:rtl/>
        </w:rPr>
        <w:t xml:space="preserve">, תשל"ז- 1977 (להלן- </w:t>
      </w:r>
      <w:r w:rsidRPr="004409FF">
        <w:rPr>
          <w:rFonts w:hint="cs"/>
          <w:b/>
          <w:bCs/>
          <w:rtl/>
        </w:rPr>
        <w:t>חוק העונשין</w:t>
      </w:r>
      <w:r>
        <w:rPr>
          <w:rFonts w:hint="cs"/>
          <w:rtl/>
        </w:rPr>
        <w:t>)</w:t>
      </w:r>
      <w:r w:rsidRPr="00CA7954">
        <w:rPr>
          <w:rFonts w:hint="cs"/>
          <w:rtl/>
        </w:rPr>
        <w:t xml:space="preserve">. </w:t>
      </w:r>
      <w:r>
        <w:rPr>
          <w:rFonts w:hint="cs"/>
          <w:rtl/>
        </w:rPr>
        <w:t>נ</w:t>
      </w:r>
      <w:r w:rsidRPr="00CA7954">
        <w:rPr>
          <w:rFonts w:hint="cs"/>
          <w:rtl/>
        </w:rPr>
        <w:t>טען שמדובר בהחזקה ללא כוונ</w:t>
      </w:r>
      <w:r>
        <w:rPr>
          <w:rFonts w:hint="cs"/>
          <w:rtl/>
        </w:rPr>
        <w:t>ת</w:t>
      </w:r>
      <w:r w:rsidRPr="00CA7954">
        <w:rPr>
          <w:rFonts w:hint="cs"/>
          <w:rtl/>
        </w:rPr>
        <w:t xml:space="preserve"> </w:t>
      </w:r>
      <w:r>
        <w:rPr>
          <w:rFonts w:hint="cs"/>
          <w:rtl/>
        </w:rPr>
        <w:t>סחר</w:t>
      </w:r>
      <w:r w:rsidRPr="00CA7954">
        <w:rPr>
          <w:rFonts w:hint="cs"/>
          <w:rtl/>
        </w:rPr>
        <w:t xml:space="preserve"> </w:t>
      </w:r>
      <w:r>
        <w:rPr>
          <w:rFonts w:hint="cs"/>
          <w:rtl/>
        </w:rPr>
        <w:t>וכי</w:t>
      </w:r>
      <w:r w:rsidRPr="00CA7954">
        <w:rPr>
          <w:rFonts w:hint="cs"/>
          <w:rtl/>
        </w:rPr>
        <w:t xml:space="preserve"> מתחם הענישה מתחיל בחודשי מאסר בודדים בעבודות שירות ועד חודשי מאסר ארוכים. </w:t>
      </w:r>
    </w:p>
    <w:p w14:paraId="444EEEE0" w14:textId="77777777" w:rsidR="00C36FD4" w:rsidRDefault="00C36FD4" w:rsidP="00C36FD4">
      <w:pPr>
        <w:spacing w:line="360" w:lineRule="auto"/>
        <w:jc w:val="both"/>
        <w:rPr>
          <w:rtl/>
        </w:rPr>
      </w:pPr>
    </w:p>
    <w:p w14:paraId="232EF1B3" w14:textId="77777777" w:rsidR="00C36FD4" w:rsidRDefault="00C36FD4" w:rsidP="00C36FD4">
      <w:pPr>
        <w:spacing w:line="360" w:lineRule="auto"/>
        <w:jc w:val="both"/>
        <w:rPr>
          <w:rtl/>
        </w:rPr>
      </w:pPr>
      <w:r>
        <w:rPr>
          <w:rFonts w:hint="cs"/>
          <w:rtl/>
        </w:rPr>
        <w:t xml:space="preserve">ב"כ הנאשם </w:t>
      </w:r>
      <w:r w:rsidRPr="00CA7954">
        <w:rPr>
          <w:rFonts w:hint="cs"/>
          <w:rtl/>
        </w:rPr>
        <w:t xml:space="preserve">הרחיב באשר לנסיבותיו האישיות של הנאשם, להשפעת תקופת המעצר על מצבו הנפשי ולהחמרה משמעותית בתסמינים הפוסט </w:t>
      </w:r>
      <w:r>
        <w:rPr>
          <w:rFonts w:hint="cs"/>
          <w:rtl/>
        </w:rPr>
        <w:t>-</w:t>
      </w:r>
      <w:r w:rsidRPr="00CA7954">
        <w:rPr>
          <w:rFonts w:hint="cs"/>
          <w:rtl/>
        </w:rPr>
        <w:t xml:space="preserve">טראומתיים בעקבותיו. אשר לסיכויי שיקומו של הנאשם, הדגיש היותו מטופל בטיפול ייעודי ומותאם אישי עבורו, המשלב טיפול תרופתי וליווי פרטני על ידי מטפל נוירו-פסיכולוג מומחה. </w:t>
      </w:r>
      <w:r>
        <w:rPr>
          <w:rFonts w:hint="cs"/>
          <w:rtl/>
        </w:rPr>
        <w:t xml:space="preserve">עוד </w:t>
      </w:r>
      <w:r w:rsidRPr="00CA7954">
        <w:rPr>
          <w:rFonts w:hint="cs"/>
          <w:rtl/>
        </w:rPr>
        <w:t xml:space="preserve">עמד על גילו הצעיר והמוטיבציה הממשית אותה מגלה לשיקום חייו בכל המישורים. בנסיבות אלה, </w:t>
      </w:r>
      <w:r>
        <w:rPr>
          <w:rFonts w:hint="cs"/>
          <w:rtl/>
        </w:rPr>
        <w:t>סבר</w:t>
      </w:r>
      <w:r w:rsidRPr="00CA7954">
        <w:rPr>
          <w:rFonts w:hint="cs"/>
          <w:rtl/>
        </w:rPr>
        <w:t xml:space="preserve"> כי יש לח</w:t>
      </w:r>
      <w:r>
        <w:rPr>
          <w:rFonts w:hint="cs"/>
          <w:rtl/>
        </w:rPr>
        <w:t>רוג ממתחם הענישה משיקולי שיקום ולאמץ את המלצת שירות המבחן.</w:t>
      </w:r>
    </w:p>
    <w:p w14:paraId="5AFB3033" w14:textId="77777777" w:rsidR="00C36FD4" w:rsidRPr="00CA7954" w:rsidRDefault="00C36FD4" w:rsidP="00C36FD4">
      <w:pPr>
        <w:spacing w:line="360" w:lineRule="auto"/>
        <w:jc w:val="both"/>
        <w:rPr>
          <w:rtl/>
        </w:rPr>
      </w:pPr>
    </w:p>
    <w:p w14:paraId="7174FC00" w14:textId="77777777" w:rsidR="00C36FD4" w:rsidRDefault="00C36FD4" w:rsidP="00C36FD4">
      <w:pPr>
        <w:spacing w:line="360" w:lineRule="auto"/>
        <w:jc w:val="both"/>
        <w:rPr>
          <w:rtl/>
        </w:rPr>
      </w:pPr>
      <w:r w:rsidRPr="00CA7954">
        <w:rPr>
          <w:rFonts w:hint="cs"/>
          <w:rtl/>
        </w:rPr>
        <w:t xml:space="preserve">הנאשם </w:t>
      </w:r>
      <w:r>
        <w:rPr>
          <w:rFonts w:hint="cs"/>
          <w:rtl/>
        </w:rPr>
        <w:t xml:space="preserve">בדברו האחרון </w:t>
      </w:r>
      <w:r w:rsidRPr="00CA7954">
        <w:rPr>
          <w:rFonts w:hint="cs"/>
          <w:rtl/>
        </w:rPr>
        <w:t xml:space="preserve">הביע צער וחרטה על מעשיו, הדגיש כי נמצא כיום בעיצומו של הליך שיקומי, מטופל </w:t>
      </w:r>
      <w:r>
        <w:rPr>
          <w:rFonts w:hint="cs"/>
          <w:rtl/>
        </w:rPr>
        <w:t xml:space="preserve">מזה </w:t>
      </w:r>
      <w:r w:rsidRPr="00CA7954">
        <w:rPr>
          <w:rFonts w:hint="cs"/>
          <w:rtl/>
        </w:rPr>
        <w:t>תקופה ארוכה, עובד מזה מספר חודשים וחושש שמאסר יביא להידרדרות מצבו.</w:t>
      </w:r>
    </w:p>
    <w:p w14:paraId="2FF48649" w14:textId="77777777" w:rsidR="00C36FD4" w:rsidRDefault="00C36FD4" w:rsidP="00C36FD4">
      <w:pPr>
        <w:spacing w:line="360" w:lineRule="auto"/>
        <w:jc w:val="both"/>
        <w:rPr>
          <w:rtl/>
        </w:rPr>
      </w:pPr>
    </w:p>
    <w:p w14:paraId="52D062C7" w14:textId="77777777" w:rsidR="00C36FD4" w:rsidRDefault="00C36FD4" w:rsidP="00C36FD4">
      <w:pPr>
        <w:spacing w:line="360" w:lineRule="auto"/>
        <w:jc w:val="both"/>
        <w:rPr>
          <w:b/>
          <w:bCs/>
          <w:u w:val="single"/>
          <w:rtl/>
        </w:rPr>
      </w:pPr>
      <w:r w:rsidRPr="00667AC2">
        <w:rPr>
          <w:rFonts w:hint="cs"/>
          <w:b/>
          <w:bCs/>
          <w:u w:val="single"/>
          <w:rtl/>
        </w:rPr>
        <w:t>דיון והכרעה</w:t>
      </w:r>
    </w:p>
    <w:p w14:paraId="1F6A5858" w14:textId="77777777" w:rsidR="00C36FD4" w:rsidRPr="00667AC2" w:rsidRDefault="00C36FD4" w:rsidP="00C36FD4">
      <w:pPr>
        <w:spacing w:line="360" w:lineRule="auto"/>
        <w:jc w:val="both"/>
        <w:rPr>
          <w:b/>
          <w:bCs/>
          <w:u w:val="single"/>
          <w:rtl/>
        </w:rPr>
      </w:pPr>
    </w:p>
    <w:p w14:paraId="4DCBD899" w14:textId="77777777" w:rsidR="00C36FD4" w:rsidRDefault="00C36FD4" w:rsidP="00C36FD4">
      <w:pPr>
        <w:spacing w:line="360" w:lineRule="auto"/>
        <w:jc w:val="both"/>
        <w:rPr>
          <w:b/>
          <w:bCs/>
          <w:rtl/>
        </w:rPr>
      </w:pPr>
      <w:r w:rsidRPr="00667AC2">
        <w:rPr>
          <w:rFonts w:hint="cs"/>
          <w:b/>
          <w:bCs/>
          <w:rtl/>
        </w:rPr>
        <w:t>מתחם העונש ההולם</w:t>
      </w:r>
    </w:p>
    <w:p w14:paraId="20413B01" w14:textId="77777777" w:rsidR="00C36FD4" w:rsidRPr="00667AC2" w:rsidRDefault="00C36FD4" w:rsidP="00C36FD4">
      <w:pPr>
        <w:spacing w:line="360" w:lineRule="auto"/>
        <w:jc w:val="both"/>
        <w:rPr>
          <w:b/>
          <w:bCs/>
          <w:rtl/>
        </w:rPr>
      </w:pPr>
    </w:p>
    <w:p w14:paraId="01814B8A" w14:textId="77777777" w:rsidR="00C36FD4" w:rsidRDefault="00C36FD4" w:rsidP="00C36FD4">
      <w:pPr>
        <w:spacing w:line="360" w:lineRule="auto"/>
        <w:jc w:val="both"/>
        <w:rPr>
          <w:rtl/>
        </w:rPr>
      </w:pPr>
      <w:r w:rsidRPr="001048C0">
        <w:rPr>
          <w:rFonts w:hint="cs"/>
          <w:rtl/>
        </w:rPr>
        <w:t>בהתאם להוראות תיקון 113 ל</w:t>
      </w:r>
      <w:hyperlink r:id="rId20" w:history="1">
        <w:r w:rsidR="004C69CA" w:rsidRPr="004C69CA">
          <w:rPr>
            <w:color w:val="0000FF"/>
            <w:u w:val="single"/>
            <w:rtl/>
          </w:rPr>
          <w:t>חוק העונשין</w:t>
        </w:r>
      </w:hyperlink>
      <w:r w:rsidRPr="001048C0">
        <w:rPr>
          <w:rFonts w:hint="cs"/>
          <w:rtl/>
        </w:rPr>
        <w:t>, יש לקבוע</w:t>
      </w:r>
      <w:r>
        <w:rPr>
          <w:rFonts w:hint="cs"/>
          <w:rtl/>
        </w:rPr>
        <w:t>,</w:t>
      </w:r>
      <w:r w:rsidRPr="001048C0">
        <w:rPr>
          <w:rFonts w:hint="cs"/>
          <w:rtl/>
        </w:rPr>
        <w:t xml:space="preserve"> ראשית</w:t>
      </w:r>
      <w:r>
        <w:rPr>
          <w:rFonts w:hint="cs"/>
          <w:rtl/>
        </w:rPr>
        <w:t>,</w:t>
      </w:r>
      <w:r w:rsidRPr="001048C0">
        <w:rPr>
          <w:rFonts w:hint="cs"/>
          <w:rtl/>
        </w:rPr>
        <w:t xml:space="preserve"> את מתחם העונש ההולם למעשי הנאשם, בשים לב לערכים המוגנים שנפגעו, לנסיבות האירוע ולפסיקה הנוהגת בנסיבות דומות.</w:t>
      </w:r>
    </w:p>
    <w:p w14:paraId="583BAD1F" w14:textId="77777777" w:rsidR="00C36FD4" w:rsidRPr="001048C0" w:rsidRDefault="00C36FD4" w:rsidP="00C36FD4">
      <w:pPr>
        <w:spacing w:line="360" w:lineRule="auto"/>
        <w:jc w:val="both"/>
        <w:rPr>
          <w:rtl/>
        </w:rPr>
      </w:pPr>
    </w:p>
    <w:p w14:paraId="046D5CC0" w14:textId="77777777" w:rsidR="00C36FD4" w:rsidRDefault="00C36FD4" w:rsidP="00C36FD4">
      <w:pPr>
        <w:autoSpaceDE w:val="0"/>
        <w:autoSpaceDN w:val="0"/>
        <w:adjustRightInd w:val="0"/>
        <w:spacing w:line="360" w:lineRule="auto"/>
        <w:contextualSpacing/>
        <w:jc w:val="both"/>
        <w:rPr>
          <w:rFonts w:ascii="Calibri" w:hAnsi="Calibri"/>
          <w:rtl/>
        </w:rPr>
      </w:pPr>
      <w:r>
        <w:rPr>
          <w:rFonts w:ascii="Calibri" w:hAnsi="Calibri" w:hint="cs"/>
          <w:rtl/>
        </w:rPr>
        <w:t>כ</w:t>
      </w:r>
      <w:r w:rsidRPr="00CA7954">
        <w:rPr>
          <w:rFonts w:ascii="Calibri" w:hAnsi="Calibri" w:hint="cs"/>
          <w:rtl/>
        </w:rPr>
        <w:t xml:space="preserve">אשר מדובר בעבירות סמים, מדיניות הענישה </w:t>
      </w:r>
      <w:r>
        <w:rPr>
          <w:rFonts w:ascii="Calibri" w:hAnsi="Calibri" w:hint="cs"/>
          <w:rtl/>
        </w:rPr>
        <w:t xml:space="preserve">ומידת הפגיעה בערך החברתי </w:t>
      </w:r>
      <w:r w:rsidRPr="00CA7954">
        <w:rPr>
          <w:rFonts w:ascii="Calibri" w:hAnsi="Calibri" w:hint="cs"/>
          <w:rtl/>
        </w:rPr>
        <w:t>נגזר</w:t>
      </w:r>
      <w:r>
        <w:rPr>
          <w:rFonts w:ascii="Calibri" w:hAnsi="Calibri" w:hint="cs"/>
          <w:rtl/>
        </w:rPr>
        <w:t>ו</w:t>
      </w:r>
      <w:r w:rsidRPr="00CA7954">
        <w:rPr>
          <w:rFonts w:ascii="Calibri" w:hAnsi="Calibri" w:hint="cs"/>
          <w:rtl/>
        </w:rPr>
        <w:t xml:space="preserve">ת </w:t>
      </w:r>
      <w:r>
        <w:rPr>
          <w:rFonts w:ascii="Calibri" w:hAnsi="Calibri" w:hint="cs"/>
          <w:rtl/>
        </w:rPr>
        <w:t>מהצורך להילחם בנגע הסמים ו</w:t>
      </w:r>
      <w:r w:rsidRPr="00CA7954">
        <w:rPr>
          <w:rFonts w:ascii="Calibri" w:hAnsi="Calibri" w:hint="cs"/>
          <w:rtl/>
        </w:rPr>
        <w:t xml:space="preserve">מהשלכותיו ההרסניות על החברה בכללותה (ראה </w:t>
      </w:r>
      <w:hyperlink r:id="rId21" w:history="1">
        <w:r w:rsidR="004C69CA" w:rsidRPr="004C69CA">
          <w:rPr>
            <w:rFonts w:ascii="Calibri" w:hAnsi="Calibri" w:hint="eastAsia"/>
            <w:color w:val="0000FF"/>
            <w:u w:val="single"/>
            <w:rtl/>
          </w:rPr>
          <w:t>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211/09</w:t>
        </w:r>
      </w:hyperlink>
      <w:r w:rsidRPr="00CA7954">
        <w:rPr>
          <w:rFonts w:ascii="Calibri" w:hAnsi="Calibri" w:hint="cs"/>
          <w:rtl/>
        </w:rPr>
        <w:t xml:space="preserve"> </w:t>
      </w:r>
      <w:r w:rsidRPr="00CA7954">
        <w:rPr>
          <w:rFonts w:ascii="Calibri" w:hAnsi="Calibri" w:hint="cs"/>
          <w:b/>
          <w:bCs/>
          <w:rtl/>
        </w:rPr>
        <w:t>אזולאי נ' מדינת ישראל</w:t>
      </w:r>
      <w:r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Pr="00CA7954">
        <w:rPr>
          <w:rFonts w:ascii="Calibri" w:hAnsi="Calibri" w:hint="cs"/>
          <w:rtl/>
        </w:rPr>
        <w:t xml:space="preserve">(22/6/2010); </w:t>
      </w:r>
      <w:hyperlink r:id="rId22" w:history="1">
        <w:r w:rsidR="004C69CA" w:rsidRPr="004C69CA">
          <w:rPr>
            <w:rFonts w:ascii="Calibri" w:hAnsi="Calibri" w:hint="eastAsia"/>
            <w:color w:val="0000FF"/>
            <w:u w:val="single"/>
            <w:rtl/>
          </w:rPr>
          <w:t>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3117/12</w:t>
        </w:r>
      </w:hyperlink>
      <w:r w:rsidRPr="00CA7954">
        <w:rPr>
          <w:rFonts w:ascii="Calibri" w:hAnsi="Calibri" w:hint="cs"/>
          <w:rtl/>
        </w:rPr>
        <w:t xml:space="preserve"> </w:t>
      </w:r>
      <w:r w:rsidRPr="00CA7954">
        <w:rPr>
          <w:rFonts w:ascii="Calibri" w:hAnsi="Calibri" w:hint="cs"/>
          <w:b/>
          <w:bCs/>
          <w:rtl/>
        </w:rPr>
        <w:t>ארביב נ' מדינת ישראל</w:t>
      </w:r>
      <w:r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Pr="00CA7954">
        <w:rPr>
          <w:rFonts w:ascii="Calibri" w:hAnsi="Calibri" w:hint="cs"/>
          <w:rtl/>
        </w:rPr>
        <w:t xml:space="preserve">(6/9/2012); </w:t>
      </w:r>
      <w:hyperlink r:id="rId23" w:history="1">
        <w:r w:rsidR="004C69CA" w:rsidRPr="004C69CA">
          <w:rPr>
            <w:rFonts w:ascii="Calibri" w:hAnsi="Calibri" w:hint="eastAsia"/>
            <w:color w:val="0000FF"/>
            <w:u w:val="single"/>
            <w:rtl/>
          </w:rPr>
          <w:t>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347/12</w:t>
        </w:r>
      </w:hyperlink>
      <w:r w:rsidRPr="00CA7954">
        <w:rPr>
          <w:rFonts w:ascii="Calibri" w:hAnsi="Calibri" w:hint="cs"/>
          <w:rtl/>
        </w:rPr>
        <w:t xml:space="preserve"> </w:t>
      </w:r>
      <w:r w:rsidRPr="00CA7954">
        <w:rPr>
          <w:rFonts w:ascii="Calibri" w:hAnsi="Calibri" w:hint="cs"/>
          <w:b/>
          <w:bCs/>
          <w:rtl/>
        </w:rPr>
        <w:t xml:space="preserve">מרזוק נ' מדינת ישראל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Pr="00CA7954">
        <w:rPr>
          <w:rFonts w:ascii="Calibri" w:hAnsi="Calibri" w:hint="cs"/>
          <w:rtl/>
        </w:rPr>
        <w:t>(25/6/2012)</w:t>
      </w:r>
      <w:r>
        <w:rPr>
          <w:rFonts w:ascii="Calibri" w:hAnsi="Calibri" w:hint="cs"/>
          <w:rtl/>
        </w:rPr>
        <w:t xml:space="preserve">; </w:t>
      </w:r>
      <w:hyperlink r:id="rId24" w:history="1">
        <w:r w:rsidR="004C69CA" w:rsidRPr="004C69CA">
          <w:rPr>
            <w:rFonts w:ascii="Calibri" w:hAnsi="Calibri" w:hint="eastAsia"/>
            <w:color w:val="0000FF"/>
            <w:u w:val="single"/>
            <w:rtl/>
          </w:rPr>
          <w:t>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1932/15</w:t>
        </w:r>
      </w:hyperlink>
      <w:r>
        <w:rPr>
          <w:rFonts w:ascii="Calibri" w:hAnsi="Calibri" w:hint="cs"/>
          <w:rtl/>
        </w:rPr>
        <w:t xml:space="preserve"> </w:t>
      </w:r>
      <w:r>
        <w:rPr>
          <w:rFonts w:ascii="Calibri" w:hAnsi="Calibri" w:hint="cs"/>
          <w:b/>
          <w:bCs/>
          <w:rtl/>
        </w:rPr>
        <w:t xml:space="preserve">בן סעדון נ' מדינת ישראל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Pr>
          <w:rFonts w:ascii="Calibri" w:hAnsi="Calibri" w:hint="cs"/>
          <w:rtl/>
        </w:rPr>
        <w:t>(17/4/2016)</w:t>
      </w:r>
      <w:r w:rsidRPr="00CA7954">
        <w:rPr>
          <w:rFonts w:ascii="Calibri" w:hAnsi="Calibri" w:hint="cs"/>
          <w:rtl/>
        </w:rPr>
        <w:t xml:space="preserve">). </w:t>
      </w:r>
    </w:p>
    <w:p w14:paraId="728BF28F" w14:textId="77777777" w:rsidR="00C36FD4" w:rsidRDefault="00C36FD4" w:rsidP="00C36FD4">
      <w:pPr>
        <w:autoSpaceDE w:val="0"/>
        <w:autoSpaceDN w:val="0"/>
        <w:adjustRightInd w:val="0"/>
        <w:spacing w:line="360" w:lineRule="auto"/>
        <w:contextualSpacing/>
        <w:jc w:val="both"/>
        <w:rPr>
          <w:rFonts w:ascii="Calibri" w:hAnsi="Calibri"/>
          <w:rtl/>
        </w:rPr>
      </w:pPr>
      <w:r w:rsidRPr="00CA7954">
        <w:rPr>
          <w:rFonts w:ascii="Calibri" w:hAnsi="Calibri" w:hint="cs"/>
          <w:rtl/>
        </w:rPr>
        <w:t xml:space="preserve">באשר למידת הפגיעה בערך החברתי, ברי כי זו תהא מושפעת מכמות הסם וסוגו, כאשר מקובל </w:t>
      </w:r>
      <w:r>
        <w:rPr>
          <w:rFonts w:ascii="Calibri" w:hAnsi="Calibri" w:hint="cs"/>
          <w:rtl/>
        </w:rPr>
        <w:t>ש</w:t>
      </w:r>
      <w:r w:rsidRPr="00CA7954">
        <w:rPr>
          <w:rFonts w:ascii="Calibri" w:hAnsi="Calibri" w:hint="cs"/>
          <w:rtl/>
        </w:rPr>
        <w:t xml:space="preserve">יש לנקוט במדיניות המבחינה בין אלה המחזיקים בסמים לשימוש עצמי לבין אלה המחזיקים בסם שלא לצריכה עצמית או הסוחרים בו; כמו גם בין אלה המחזיקים סמים הנחשבים קלים, דוגמת חשיש או קנבוס, לבין אלה, המחזיקים בסמים מסוגים הנחשבים קשים יותר.  </w:t>
      </w:r>
    </w:p>
    <w:p w14:paraId="7DE55CB8" w14:textId="77777777" w:rsidR="00C36FD4" w:rsidRPr="00CA7954" w:rsidRDefault="00C36FD4" w:rsidP="00C36FD4">
      <w:pPr>
        <w:autoSpaceDE w:val="0"/>
        <w:autoSpaceDN w:val="0"/>
        <w:adjustRightInd w:val="0"/>
        <w:spacing w:line="360" w:lineRule="auto"/>
        <w:contextualSpacing/>
        <w:jc w:val="both"/>
        <w:rPr>
          <w:rFonts w:ascii="Calibri" w:hAnsi="Calibri"/>
        </w:rPr>
      </w:pPr>
    </w:p>
    <w:p w14:paraId="6322F9F3" w14:textId="77777777" w:rsidR="00C36FD4" w:rsidRDefault="00C36FD4" w:rsidP="00C36FD4">
      <w:pPr>
        <w:spacing w:line="360" w:lineRule="auto"/>
        <w:jc w:val="both"/>
        <w:rPr>
          <w:rtl/>
        </w:rPr>
      </w:pPr>
      <w:r w:rsidRPr="001048C0">
        <w:rPr>
          <w:rFonts w:hint="cs"/>
          <w:rtl/>
        </w:rPr>
        <w:t>בענייננו, יש לתת ביטוי בקביעת המתחם לכך שהנאשם החזיק שני סוגים של סם שאינם נחשבים קלים, וזאת בכמות העולה על זו המוכרת</w:t>
      </w:r>
      <w:r>
        <w:rPr>
          <w:rFonts w:hint="cs"/>
          <w:rtl/>
        </w:rPr>
        <w:t xml:space="preserve"> לצריכה עצמית (מאות גרמים). </w:t>
      </w:r>
    </w:p>
    <w:p w14:paraId="4FDBC9E6" w14:textId="77777777" w:rsidR="00C36FD4" w:rsidRDefault="00C36FD4" w:rsidP="00C36FD4">
      <w:pPr>
        <w:spacing w:line="360" w:lineRule="auto"/>
        <w:jc w:val="both"/>
        <w:rPr>
          <w:rtl/>
        </w:rPr>
      </w:pPr>
    </w:p>
    <w:p w14:paraId="3DDD689A" w14:textId="77777777" w:rsidR="00C36FD4" w:rsidRDefault="00C36FD4" w:rsidP="00C36FD4">
      <w:pPr>
        <w:spacing w:line="360" w:lineRule="auto"/>
        <w:jc w:val="both"/>
        <w:rPr>
          <w:rtl/>
        </w:rPr>
      </w:pPr>
      <w:r>
        <w:rPr>
          <w:rFonts w:hint="cs"/>
          <w:rtl/>
        </w:rPr>
        <w:t xml:space="preserve">לצד זאת, </w:t>
      </w:r>
      <w:r w:rsidRPr="001048C0">
        <w:rPr>
          <w:rFonts w:hint="cs"/>
          <w:rtl/>
        </w:rPr>
        <w:t xml:space="preserve">יש להדגיש, כי משקלם של הסמים שהחזיק הנאשם, פרמטר </w:t>
      </w:r>
      <w:r>
        <w:rPr>
          <w:rFonts w:hint="cs"/>
          <w:rtl/>
        </w:rPr>
        <w:t>משמעותי</w:t>
      </w:r>
      <w:r w:rsidRPr="001048C0">
        <w:rPr>
          <w:rFonts w:hint="cs"/>
          <w:rtl/>
        </w:rPr>
        <w:t xml:space="preserve"> בקביעת המתחם, נותר </w:t>
      </w:r>
      <w:r>
        <w:rPr>
          <w:rFonts w:hint="cs"/>
          <w:rtl/>
        </w:rPr>
        <w:t>"פרוץ"</w:t>
      </w:r>
      <w:r w:rsidRPr="001048C0">
        <w:rPr>
          <w:rFonts w:hint="cs"/>
          <w:rtl/>
        </w:rPr>
        <w:t xml:space="preserve"> במסגרת עובדות כת</w:t>
      </w:r>
      <w:r>
        <w:rPr>
          <w:rFonts w:hint="cs"/>
          <w:rtl/>
        </w:rPr>
        <w:t>ב האישום המתוקן בהן הודה הנאשם, ויכול לנוע, לכאורה, בין 200 גרם ל- 900 גרם, על כל המשתמע מכך. בהינתן כי עצמת הפגיעה בערכים המוגנים וגודל הנזק שנגרם מביצוע העבירה נגזרים בין היתר מכמות הסם, הרי שעמימותו של נתון זה צריכה להשתקף בטווח של המתחם שייקבע באופן בו יינתן ביטוי למנעד הרחב של האפשרויות.</w:t>
      </w:r>
    </w:p>
    <w:p w14:paraId="7202B2EF" w14:textId="77777777" w:rsidR="00C36FD4" w:rsidRDefault="00C36FD4" w:rsidP="00C36FD4">
      <w:pPr>
        <w:spacing w:line="360" w:lineRule="auto"/>
        <w:jc w:val="both"/>
        <w:rPr>
          <w:rtl/>
        </w:rPr>
      </w:pPr>
    </w:p>
    <w:p w14:paraId="6C97769A" w14:textId="77777777" w:rsidR="00C36FD4" w:rsidRDefault="00C36FD4" w:rsidP="00C36FD4">
      <w:pPr>
        <w:spacing w:line="360" w:lineRule="auto"/>
        <w:jc w:val="both"/>
        <w:rPr>
          <w:rtl/>
        </w:rPr>
      </w:pPr>
      <w:r>
        <w:rPr>
          <w:rFonts w:hint="cs"/>
          <w:rtl/>
        </w:rPr>
        <w:t>נתון נוסף שהינו רלוונטי למידת האשם שיש לייחס לנאשם הינו נסיבותיו הייחודיות, דהיינו היותו סובל מפוסט-טראומה, שנודעת לה השלכה על הסיבות שהביאו אותו לבצע את העבירה (</w:t>
      </w:r>
      <w:hyperlink r:id="rId25" w:history="1">
        <w:r w:rsidR="000862DE" w:rsidRPr="000862DE">
          <w:rPr>
            <w:rStyle w:val="Hyperlink"/>
            <w:rFonts w:hint="eastAsia"/>
            <w:rtl/>
          </w:rPr>
          <w:t>סעיף</w:t>
        </w:r>
        <w:r w:rsidR="000862DE" w:rsidRPr="000862DE">
          <w:rPr>
            <w:rStyle w:val="Hyperlink"/>
            <w:rtl/>
          </w:rPr>
          <w:t xml:space="preserve"> 40ט'(5)</w:t>
        </w:r>
      </w:hyperlink>
      <w:r>
        <w:rPr>
          <w:rFonts w:hint="cs"/>
          <w:rtl/>
        </w:rPr>
        <w:t xml:space="preserve"> ל</w:t>
      </w:r>
      <w:hyperlink r:id="rId26" w:history="1">
        <w:r w:rsidR="004C69CA" w:rsidRPr="004C69CA">
          <w:rPr>
            <w:color w:val="0000FF"/>
            <w:u w:val="single"/>
            <w:rtl/>
          </w:rPr>
          <w:t>חוק העונשין</w:t>
        </w:r>
      </w:hyperlink>
      <w:r>
        <w:rPr>
          <w:rFonts w:hint="cs"/>
          <w:rtl/>
        </w:rPr>
        <w:t>). המאשימה מכירה בכך כי ישנה השלכה של נסיבות אלה על קביעת המתחם עצמו, כפי שטענה במסגרת הטיעון לעונש, הגם שיש לציין כי ראתה להציב 20 חודשי מאסר כרף תחתון.</w:t>
      </w:r>
    </w:p>
    <w:p w14:paraId="09ADF4D9" w14:textId="77777777" w:rsidR="00C36FD4" w:rsidRDefault="00C36FD4" w:rsidP="00C36FD4">
      <w:pPr>
        <w:spacing w:line="360" w:lineRule="auto"/>
        <w:jc w:val="both"/>
        <w:rPr>
          <w:rtl/>
        </w:rPr>
      </w:pPr>
    </w:p>
    <w:p w14:paraId="7196E8E5" w14:textId="77777777" w:rsidR="00C36FD4" w:rsidRDefault="00C36FD4" w:rsidP="00C36FD4">
      <w:pPr>
        <w:spacing w:line="360" w:lineRule="auto"/>
        <w:jc w:val="both"/>
        <w:rPr>
          <w:rFonts w:ascii="Calibri" w:hAnsi="Calibri"/>
          <w:rtl/>
        </w:rPr>
      </w:pPr>
      <w:r w:rsidRPr="00CA7954">
        <w:rPr>
          <w:rFonts w:hint="cs"/>
          <w:rtl/>
        </w:rPr>
        <w:t>בחינת מדיניות הענישה הנוהגת</w:t>
      </w:r>
      <w:r>
        <w:rPr>
          <w:rFonts w:hint="cs"/>
          <w:rtl/>
        </w:rPr>
        <w:t xml:space="preserve"> בנסיבות דומות, </w:t>
      </w:r>
      <w:r w:rsidRPr="00CA7954">
        <w:rPr>
          <w:rFonts w:hint="cs"/>
          <w:rtl/>
        </w:rPr>
        <w:t xml:space="preserve">מעלה כי </w:t>
      </w:r>
      <w:r>
        <w:rPr>
          <w:rFonts w:hint="cs"/>
          <w:rtl/>
        </w:rPr>
        <w:t>מנעד</w:t>
      </w:r>
      <w:r w:rsidRPr="00CA7954">
        <w:rPr>
          <w:rFonts w:hint="cs"/>
          <w:rtl/>
        </w:rPr>
        <w:t xml:space="preserve"> הענישה מגוון ורחב וכולל, דרך הכלל, </w:t>
      </w:r>
      <w:r>
        <w:rPr>
          <w:rFonts w:hint="cs"/>
          <w:rtl/>
        </w:rPr>
        <w:t>הטלת עונשי מאסר, לעיתים ממושכים</w:t>
      </w:r>
      <w:r w:rsidRPr="00CA7954">
        <w:rPr>
          <w:rFonts w:hint="cs"/>
          <w:rtl/>
        </w:rPr>
        <w:t xml:space="preserve">. </w:t>
      </w:r>
    </w:p>
    <w:p w14:paraId="45717EA5" w14:textId="77777777" w:rsidR="00C36FD4" w:rsidRDefault="00C36FD4" w:rsidP="00C36FD4">
      <w:pPr>
        <w:spacing w:line="360" w:lineRule="auto"/>
        <w:jc w:val="both"/>
        <w:rPr>
          <w:rFonts w:ascii="Calibri" w:hAnsi="Calibri"/>
          <w:rtl/>
        </w:rPr>
      </w:pPr>
    </w:p>
    <w:p w14:paraId="2E1457AF" w14:textId="77777777" w:rsidR="00C36FD4" w:rsidRDefault="00C36FD4" w:rsidP="00C36FD4">
      <w:pPr>
        <w:spacing w:line="360" w:lineRule="auto"/>
        <w:jc w:val="both"/>
        <w:rPr>
          <w:rFonts w:ascii="Calibri" w:hAnsi="Calibri"/>
          <w:rtl/>
        </w:rPr>
      </w:pPr>
      <w:r w:rsidRPr="00CA7954">
        <w:rPr>
          <w:rFonts w:ascii="Calibri" w:hAnsi="Calibri" w:hint="cs"/>
          <w:rtl/>
        </w:rPr>
        <w:t>אפנה לפסיקה</w:t>
      </w:r>
      <w:r>
        <w:rPr>
          <w:rFonts w:ascii="Calibri" w:hAnsi="Calibri" w:hint="cs"/>
          <w:rtl/>
        </w:rPr>
        <w:t xml:space="preserve">, </w:t>
      </w:r>
      <w:r>
        <w:rPr>
          <w:rFonts w:hint="cs"/>
          <w:rtl/>
        </w:rPr>
        <w:t>שחלקה הוגש על ידי ב"כ הצדדים,</w:t>
      </w:r>
      <w:r w:rsidRPr="00CA7954">
        <w:rPr>
          <w:rFonts w:ascii="Calibri" w:hAnsi="Calibri" w:hint="cs"/>
          <w:rtl/>
        </w:rPr>
        <w:t xml:space="preserve"> </w:t>
      </w:r>
      <w:r>
        <w:rPr>
          <w:rFonts w:ascii="Calibri" w:hAnsi="Calibri" w:hint="cs"/>
          <w:rtl/>
        </w:rPr>
        <w:t>כדלקמן:</w:t>
      </w:r>
    </w:p>
    <w:p w14:paraId="5D74A2F3" w14:textId="77777777" w:rsidR="00C36FD4" w:rsidRDefault="004C69CA" w:rsidP="00C36FD4">
      <w:pPr>
        <w:spacing w:line="360" w:lineRule="auto"/>
        <w:jc w:val="both"/>
        <w:rPr>
          <w:rFonts w:ascii="Calibri" w:hAnsi="Calibri"/>
          <w:rtl/>
        </w:rPr>
      </w:pPr>
      <w:hyperlink r:id="rId27" w:history="1">
        <w:r w:rsidRPr="004C69CA">
          <w:rPr>
            <w:rFonts w:ascii="Calibri" w:hAnsi="Calibri" w:hint="eastAsia"/>
            <w:color w:val="0000FF"/>
            <w:u w:val="single"/>
            <w:rtl/>
          </w:rPr>
          <w:t>ע</w:t>
        </w:r>
        <w:r w:rsidRPr="004C69CA">
          <w:rPr>
            <w:rFonts w:ascii="Calibri" w:hAnsi="Calibri"/>
            <w:color w:val="0000FF"/>
            <w:u w:val="single"/>
            <w:rtl/>
          </w:rPr>
          <w:t>"</w:t>
        </w:r>
        <w:r w:rsidRPr="004C69CA">
          <w:rPr>
            <w:rFonts w:ascii="Calibri" w:hAnsi="Calibri" w:hint="eastAsia"/>
            <w:color w:val="0000FF"/>
            <w:u w:val="single"/>
            <w:rtl/>
          </w:rPr>
          <w:t>פ</w:t>
        </w:r>
        <w:r w:rsidRPr="004C69CA">
          <w:rPr>
            <w:rFonts w:ascii="Calibri" w:hAnsi="Calibri"/>
            <w:color w:val="0000FF"/>
            <w:u w:val="single"/>
            <w:rtl/>
          </w:rPr>
          <w:t xml:space="preserve"> 8361/17</w:t>
        </w:r>
      </w:hyperlink>
      <w:r w:rsidR="00C36FD4" w:rsidRPr="00CA7954">
        <w:rPr>
          <w:rFonts w:ascii="Calibri" w:hAnsi="Calibri" w:hint="cs"/>
          <w:rtl/>
        </w:rPr>
        <w:t xml:space="preserve"> </w:t>
      </w:r>
      <w:r w:rsidR="00C36FD4" w:rsidRPr="00CA7954">
        <w:rPr>
          <w:rFonts w:ascii="Calibri" w:hAnsi="Calibri" w:hint="cs"/>
          <w:b/>
          <w:bCs/>
          <w:rtl/>
        </w:rPr>
        <w:t>חליל עומר נ' מדינת ישראל</w:t>
      </w:r>
      <w:r w:rsidR="00C36FD4"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00C36FD4" w:rsidRPr="00CA7954">
        <w:rPr>
          <w:rFonts w:ascii="Calibri" w:hAnsi="Calibri" w:hint="cs"/>
          <w:rtl/>
        </w:rPr>
        <w:t xml:space="preserve">(11/7/2018), </w:t>
      </w:r>
      <w:r w:rsidR="00C36FD4">
        <w:rPr>
          <w:rFonts w:ascii="Calibri" w:hAnsi="Calibri" w:hint="cs"/>
          <w:rtl/>
        </w:rPr>
        <w:t>במסגרתו</w:t>
      </w:r>
      <w:r w:rsidR="00C36FD4" w:rsidRPr="00CA7954">
        <w:rPr>
          <w:rFonts w:ascii="Calibri" w:hAnsi="Calibri" w:hint="cs"/>
          <w:rtl/>
        </w:rPr>
        <w:t xml:space="preserve"> </w:t>
      </w:r>
      <w:r w:rsidR="00C36FD4">
        <w:rPr>
          <w:rFonts w:ascii="Calibri" w:hAnsi="Calibri" w:hint="cs"/>
          <w:rtl/>
        </w:rPr>
        <w:t>קבעה</w:t>
      </w:r>
      <w:r w:rsidR="00C36FD4" w:rsidRPr="00CA7954">
        <w:rPr>
          <w:rFonts w:ascii="Calibri" w:hAnsi="Calibri" w:hint="cs"/>
          <w:rtl/>
        </w:rPr>
        <w:t xml:space="preserve"> הערכאה דיונית</w:t>
      </w:r>
      <w:r w:rsidR="00C36FD4">
        <w:rPr>
          <w:rFonts w:ascii="Calibri" w:hAnsi="Calibri" w:hint="cs"/>
          <w:rtl/>
        </w:rPr>
        <w:t xml:space="preserve"> </w:t>
      </w:r>
      <w:r w:rsidR="00C36FD4" w:rsidRPr="00CA7954">
        <w:rPr>
          <w:rFonts w:ascii="Calibri" w:hAnsi="Calibri" w:hint="cs"/>
          <w:rtl/>
        </w:rPr>
        <w:t xml:space="preserve">מתחם של </w:t>
      </w:r>
      <w:r w:rsidR="00C36FD4">
        <w:rPr>
          <w:rFonts w:ascii="Calibri" w:hAnsi="Calibri" w:hint="cs"/>
          <w:rtl/>
        </w:rPr>
        <w:t>15</w:t>
      </w:r>
      <w:r w:rsidR="00C36FD4" w:rsidRPr="00CA7954">
        <w:rPr>
          <w:rFonts w:ascii="Calibri" w:hAnsi="Calibri" w:hint="cs"/>
          <w:rtl/>
        </w:rPr>
        <w:t xml:space="preserve"> עד 36 חודשי מאסר לנאשם שהחזיק 701 טבליות סם מסוג </w:t>
      </w:r>
      <w:r w:rsidR="00C36FD4" w:rsidRPr="00CA7954">
        <w:rPr>
          <w:rFonts w:ascii="Calibri" w:hAnsi="Calibri" w:hint="cs"/>
        </w:rPr>
        <w:t>MDMA</w:t>
      </w:r>
      <w:r w:rsidR="00C36FD4">
        <w:rPr>
          <w:rFonts w:ascii="Calibri" w:hAnsi="Calibri" w:hint="cs"/>
          <w:rtl/>
        </w:rPr>
        <w:t xml:space="preserve"> שלא לצריכה עצמית. הנאשם ערער על חומרת העונש אך לבסוף, בהמלצת בית המשפט, חזר בו מהערעור;</w:t>
      </w:r>
    </w:p>
    <w:p w14:paraId="5E9C1DF7" w14:textId="77777777" w:rsidR="00C36FD4" w:rsidRDefault="004C69CA" w:rsidP="00C36FD4">
      <w:pPr>
        <w:spacing w:line="360" w:lineRule="auto"/>
        <w:jc w:val="both"/>
        <w:rPr>
          <w:rFonts w:ascii="Calibri" w:hAnsi="Calibri"/>
          <w:rtl/>
        </w:rPr>
      </w:pPr>
      <w:hyperlink r:id="rId28" w:history="1">
        <w:r w:rsidRPr="004C69CA">
          <w:rPr>
            <w:rFonts w:ascii="Calibri" w:hAnsi="Calibri" w:hint="eastAsia"/>
            <w:color w:val="0000FF"/>
            <w:u w:val="single"/>
            <w:rtl/>
          </w:rPr>
          <w:t>ע</w:t>
        </w:r>
        <w:r w:rsidRPr="004C69CA">
          <w:rPr>
            <w:rFonts w:ascii="Calibri" w:hAnsi="Calibri"/>
            <w:color w:val="0000FF"/>
            <w:u w:val="single"/>
            <w:rtl/>
          </w:rPr>
          <w:t>"</w:t>
        </w:r>
        <w:r w:rsidRPr="004C69CA">
          <w:rPr>
            <w:rFonts w:ascii="Calibri" w:hAnsi="Calibri" w:hint="eastAsia"/>
            <w:color w:val="0000FF"/>
            <w:u w:val="single"/>
            <w:rtl/>
          </w:rPr>
          <w:t>פ</w:t>
        </w:r>
        <w:r w:rsidRPr="004C69CA">
          <w:rPr>
            <w:rFonts w:ascii="Calibri" w:hAnsi="Calibri"/>
            <w:color w:val="0000FF"/>
            <w:u w:val="single"/>
            <w:rtl/>
          </w:rPr>
          <w:t xml:space="preserve"> 2279/15</w:t>
        </w:r>
      </w:hyperlink>
      <w:r w:rsidR="00C36FD4" w:rsidRPr="00CA7954">
        <w:rPr>
          <w:rFonts w:ascii="Calibri" w:hAnsi="Calibri" w:hint="cs"/>
          <w:rtl/>
        </w:rPr>
        <w:t xml:space="preserve"> </w:t>
      </w:r>
      <w:r w:rsidR="00C36FD4" w:rsidRPr="00CA7954">
        <w:rPr>
          <w:rFonts w:ascii="Calibri" w:hAnsi="Calibri" w:hint="cs"/>
          <w:b/>
          <w:bCs/>
          <w:rtl/>
        </w:rPr>
        <w:t xml:space="preserve">בורוחוב נ' מדינת ישראל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00C36FD4" w:rsidRPr="00CA7954">
        <w:rPr>
          <w:rFonts w:ascii="Calibri" w:hAnsi="Calibri" w:hint="cs"/>
          <w:rtl/>
        </w:rPr>
        <w:t xml:space="preserve">(31/1/2016) </w:t>
      </w:r>
      <w:r w:rsidR="00C36FD4">
        <w:rPr>
          <w:rFonts w:ascii="Calibri" w:hAnsi="Calibri" w:hint="cs"/>
          <w:rtl/>
        </w:rPr>
        <w:t>במסגרתו נדון נאשם שהורשע בעבירות של החזקת סם מסוכן מסוג חשיש לצריכה עצמית ובהחזקת כלים להכנת סם, ובאישום נוסף הורשע בעבירת החזקת</w:t>
      </w:r>
      <w:r w:rsidR="00C36FD4" w:rsidRPr="00CA7954">
        <w:rPr>
          <w:rFonts w:ascii="Calibri" w:hAnsi="Calibri"/>
          <w:rtl/>
        </w:rPr>
        <w:t xml:space="preserve"> ס</w:t>
      </w:r>
      <w:r w:rsidR="00C36FD4">
        <w:rPr>
          <w:rFonts w:ascii="Calibri" w:hAnsi="Calibri" w:hint="cs"/>
          <w:rtl/>
        </w:rPr>
        <w:t>מים שלא לצריכה עצמית. באישום זה, דובר בסוגי סם מגוונים, בין היתר</w:t>
      </w:r>
      <w:r w:rsidR="00C36FD4" w:rsidRPr="00CA7954">
        <w:rPr>
          <w:rFonts w:ascii="Calibri" w:hAnsi="Calibri"/>
          <w:rtl/>
        </w:rPr>
        <w:t xml:space="preserve"> קוקאין</w:t>
      </w:r>
      <w:r w:rsidR="00C36FD4">
        <w:rPr>
          <w:rFonts w:ascii="Calibri" w:hAnsi="Calibri" w:hint="cs"/>
          <w:rtl/>
        </w:rPr>
        <w:t xml:space="preserve"> במשקל כולל של כ- 50 גרם</w:t>
      </w:r>
      <w:r w:rsidR="00C36FD4" w:rsidRPr="00CA7954">
        <w:rPr>
          <w:rFonts w:ascii="Calibri" w:hAnsi="Calibri"/>
          <w:rtl/>
        </w:rPr>
        <w:t>, חשיש</w:t>
      </w:r>
      <w:r w:rsidR="00C36FD4">
        <w:rPr>
          <w:rFonts w:ascii="Calibri" w:hAnsi="Calibri" w:hint="cs"/>
          <w:rtl/>
        </w:rPr>
        <w:t xml:space="preserve"> במשקל כשל כ- 17.5 גרם</w:t>
      </w:r>
      <w:r w:rsidR="00C36FD4" w:rsidRPr="00CA7954">
        <w:rPr>
          <w:rFonts w:ascii="Calibri" w:hAnsi="Calibri"/>
          <w:rtl/>
        </w:rPr>
        <w:t xml:space="preserve"> ו-</w:t>
      </w:r>
      <w:r w:rsidR="00C36FD4">
        <w:rPr>
          <w:rFonts w:ascii="Calibri" w:hAnsi="Calibri" w:hint="cs"/>
          <w:rtl/>
        </w:rPr>
        <w:t xml:space="preserve"> 293 טבליות </w:t>
      </w:r>
      <w:r w:rsidR="00C36FD4" w:rsidRPr="00CA7954">
        <w:rPr>
          <w:rFonts w:ascii="Calibri" w:hAnsi="Calibri"/>
        </w:rPr>
        <w:t>MDMA</w:t>
      </w:r>
      <w:r w:rsidR="00C36FD4">
        <w:rPr>
          <w:rFonts w:ascii="Calibri" w:hAnsi="Calibri" w:hint="cs"/>
          <w:rtl/>
        </w:rPr>
        <w:t xml:space="preserve"> שהיו מחולקים לאריזות רבות. ביחס לעבירת ההחזקה, </w:t>
      </w:r>
      <w:r w:rsidR="00C36FD4" w:rsidRPr="00CA7954">
        <w:rPr>
          <w:rFonts w:ascii="Calibri" w:hAnsi="Calibri" w:hint="cs"/>
          <w:rtl/>
        </w:rPr>
        <w:t>קבע</w:t>
      </w:r>
      <w:r w:rsidR="00C36FD4">
        <w:rPr>
          <w:rFonts w:ascii="Calibri" w:hAnsi="Calibri" w:hint="cs"/>
          <w:rtl/>
        </w:rPr>
        <w:t xml:space="preserve">ה הערכאה הדיונית </w:t>
      </w:r>
      <w:r w:rsidR="00C36FD4" w:rsidRPr="00CA7954">
        <w:rPr>
          <w:rFonts w:ascii="Calibri" w:hAnsi="Calibri" w:hint="cs"/>
          <w:rtl/>
        </w:rPr>
        <w:t>מתחם של</w:t>
      </w:r>
      <w:r w:rsidR="00C36FD4">
        <w:rPr>
          <w:rFonts w:ascii="Calibri" w:hAnsi="Calibri" w:hint="cs"/>
          <w:rtl/>
        </w:rPr>
        <w:t xml:space="preserve"> 24 עד 48 חודשי מאסר. ערעור שהגיש הנאשם על חומרת העונש נדחה;</w:t>
      </w:r>
      <w:r w:rsidR="00C36FD4" w:rsidRPr="00CA7954">
        <w:rPr>
          <w:rFonts w:ascii="Calibri" w:hAnsi="Calibri" w:hint="cs"/>
          <w:rtl/>
        </w:rPr>
        <w:t xml:space="preserve"> </w:t>
      </w:r>
    </w:p>
    <w:p w14:paraId="263676D5" w14:textId="77777777" w:rsidR="00C36FD4" w:rsidRDefault="00C36FD4" w:rsidP="00C36FD4">
      <w:pPr>
        <w:spacing w:line="360" w:lineRule="auto"/>
        <w:jc w:val="both"/>
        <w:rPr>
          <w:rFonts w:ascii="Calibri" w:hAnsi="Calibri"/>
          <w:rtl/>
        </w:rPr>
      </w:pPr>
      <w:r>
        <w:rPr>
          <w:rFonts w:ascii="Calibri" w:hAnsi="Calibri" w:hint="cs"/>
          <w:rtl/>
        </w:rPr>
        <w:t>ב</w:t>
      </w:r>
      <w:hyperlink r:id="rId29" w:history="1">
        <w:r w:rsidR="004C69CA" w:rsidRPr="004C69CA">
          <w:rPr>
            <w:rFonts w:ascii="Calibri" w:hAnsi="Calibri" w:hint="eastAsia"/>
            <w:color w:val="0000FF"/>
            <w:u w:val="single"/>
            <w:rtl/>
          </w:rPr>
          <w:t>עפ</w:t>
        </w:r>
        <w:r w:rsidR="004C69CA" w:rsidRPr="004C69CA">
          <w:rPr>
            <w:rFonts w:ascii="Calibri" w:hAnsi="Calibri"/>
            <w:color w:val="0000FF"/>
            <w:u w:val="single"/>
            <w:rtl/>
          </w:rPr>
          <w:t>"</w:t>
        </w:r>
        <w:r w:rsidR="004C69CA" w:rsidRPr="004C69CA">
          <w:rPr>
            <w:rFonts w:ascii="Calibri" w:hAnsi="Calibri" w:hint="eastAsia"/>
            <w:color w:val="0000FF"/>
            <w:u w:val="single"/>
            <w:rtl/>
          </w:rPr>
          <w:t>ג</w:t>
        </w:r>
        <w:r w:rsidR="004C69CA" w:rsidRPr="004C69CA">
          <w:rPr>
            <w:rFonts w:ascii="Calibri" w:hAnsi="Calibri"/>
            <w:color w:val="0000FF"/>
            <w:u w:val="single"/>
            <w:rtl/>
          </w:rPr>
          <w:t xml:space="preserve"> (</w:t>
        </w:r>
        <w:r w:rsidR="004C69CA" w:rsidRPr="004C69CA">
          <w:rPr>
            <w:rFonts w:ascii="Calibri" w:hAnsi="Calibri" w:hint="eastAsia"/>
            <w:color w:val="0000FF"/>
            <w:u w:val="single"/>
            <w:rtl/>
          </w:rPr>
          <w:t>י</w:t>
        </w:r>
        <w:r w:rsidR="004C69CA" w:rsidRPr="004C69CA">
          <w:rPr>
            <w:rFonts w:ascii="Calibri" w:hAnsi="Calibri"/>
            <w:color w:val="0000FF"/>
            <w:u w:val="single"/>
            <w:rtl/>
          </w:rPr>
          <w:t>-</w:t>
        </w:r>
        <w:r w:rsidR="004C69CA" w:rsidRPr="004C69CA">
          <w:rPr>
            <w:rFonts w:ascii="Calibri" w:hAnsi="Calibri" w:hint="eastAsia"/>
            <w:color w:val="0000FF"/>
            <w:u w:val="single"/>
            <w:rtl/>
          </w:rPr>
          <w:t>ם</w:t>
        </w:r>
        <w:r w:rsidR="004C69CA" w:rsidRPr="004C69CA">
          <w:rPr>
            <w:rFonts w:ascii="Calibri" w:hAnsi="Calibri"/>
            <w:color w:val="0000FF"/>
            <w:u w:val="single"/>
            <w:rtl/>
          </w:rPr>
          <w:t>) 29138-07-17</w:t>
        </w:r>
      </w:hyperlink>
      <w:r>
        <w:rPr>
          <w:rFonts w:ascii="Calibri" w:hAnsi="Calibri" w:hint="cs"/>
          <w:rtl/>
        </w:rPr>
        <w:t xml:space="preserve"> </w:t>
      </w:r>
      <w:r>
        <w:rPr>
          <w:rFonts w:ascii="Calibri" w:hAnsi="Calibri" w:hint="cs"/>
          <w:b/>
          <w:bCs/>
          <w:rtl/>
        </w:rPr>
        <w:t>מדינת ישראל נ' בלאל ג'ית</w:t>
      </w:r>
      <w:r>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Pr>
          <w:rFonts w:ascii="Calibri" w:hAnsi="Calibri" w:hint="cs"/>
          <w:rtl/>
        </w:rPr>
        <w:t xml:space="preserve">(17/8/2017), נדון עניינו של המשיב שהורשע בהחזקת סם מסוכן שלא לצריכה עצמית. כך, החזיק המשיב 12 פלטות סם מסוכן מסוג חשיש במשקל של 1.188 ק"ג ברוטו, ו- 408 טבליות סם מסוכן מסוג </w:t>
      </w:r>
      <w:r>
        <w:rPr>
          <w:rFonts w:ascii="Calibri" w:hAnsi="Calibri" w:hint="cs"/>
        </w:rPr>
        <w:t>MDMA</w:t>
      </w:r>
      <w:r>
        <w:rPr>
          <w:rFonts w:ascii="Calibri" w:hAnsi="Calibri" w:hint="cs"/>
          <w:rtl/>
        </w:rPr>
        <w:t xml:space="preserve">. בית משפט השלום קבע מתחם הנע בין 5 ועד 16 חודשי מאסר וגזר על הנאשם 9 חודשי מאסר בפועל לצד ענישה נלווית. בערעור נקבע כי בנסיבות אלה יש להעמיד את מתחם העונש על 10 ועד 32 חודשי מאסר. עונשו של המשיב הוחמר והוטל עליו 14 חודשי מאסר לצד ענישה נלווית; </w:t>
      </w:r>
    </w:p>
    <w:p w14:paraId="127984A6" w14:textId="77777777" w:rsidR="00C36FD4" w:rsidRDefault="004C69CA" w:rsidP="00C36FD4">
      <w:pPr>
        <w:spacing w:line="360" w:lineRule="auto"/>
        <w:jc w:val="both"/>
        <w:rPr>
          <w:rFonts w:ascii="Calibri" w:hAnsi="Calibri"/>
          <w:rtl/>
        </w:rPr>
      </w:pPr>
      <w:hyperlink r:id="rId30" w:history="1">
        <w:r w:rsidRPr="004C69CA">
          <w:rPr>
            <w:rFonts w:ascii="Calibri" w:hAnsi="Calibri" w:hint="eastAsia"/>
            <w:color w:val="0000FF"/>
            <w:u w:val="single"/>
            <w:rtl/>
          </w:rPr>
          <w:t>ת</w:t>
        </w:r>
        <w:r w:rsidRPr="004C69CA">
          <w:rPr>
            <w:rFonts w:ascii="Calibri" w:hAnsi="Calibri"/>
            <w:color w:val="0000FF"/>
            <w:u w:val="single"/>
            <w:rtl/>
          </w:rPr>
          <w:t>"</w:t>
        </w:r>
        <w:r w:rsidRPr="004C69CA">
          <w:rPr>
            <w:rFonts w:ascii="Calibri" w:hAnsi="Calibri" w:hint="eastAsia"/>
            <w:color w:val="0000FF"/>
            <w:u w:val="single"/>
            <w:rtl/>
          </w:rPr>
          <w:t>פ</w:t>
        </w:r>
        <w:r w:rsidRPr="004C69CA">
          <w:rPr>
            <w:rFonts w:ascii="Calibri" w:hAnsi="Calibri"/>
            <w:color w:val="0000FF"/>
            <w:u w:val="single"/>
            <w:rtl/>
          </w:rPr>
          <w:t xml:space="preserve"> (</w:t>
        </w:r>
        <w:r w:rsidRPr="004C69CA">
          <w:rPr>
            <w:rFonts w:ascii="Calibri" w:hAnsi="Calibri" w:hint="eastAsia"/>
            <w:color w:val="0000FF"/>
            <w:u w:val="single"/>
            <w:rtl/>
          </w:rPr>
          <w:t>י</w:t>
        </w:r>
        <w:r w:rsidRPr="004C69CA">
          <w:rPr>
            <w:rFonts w:ascii="Calibri" w:hAnsi="Calibri"/>
            <w:color w:val="0000FF"/>
            <w:u w:val="single"/>
            <w:rtl/>
          </w:rPr>
          <w:t>-</w:t>
        </w:r>
        <w:r w:rsidRPr="004C69CA">
          <w:rPr>
            <w:rFonts w:ascii="Calibri" w:hAnsi="Calibri" w:hint="eastAsia"/>
            <w:color w:val="0000FF"/>
            <w:u w:val="single"/>
            <w:rtl/>
          </w:rPr>
          <w:t>ם</w:t>
        </w:r>
        <w:r w:rsidRPr="004C69CA">
          <w:rPr>
            <w:rFonts w:ascii="Calibri" w:hAnsi="Calibri"/>
            <w:color w:val="0000FF"/>
            <w:u w:val="single"/>
            <w:rtl/>
          </w:rPr>
          <w:t>) 691-09-19</w:t>
        </w:r>
      </w:hyperlink>
      <w:r w:rsidR="00C36FD4" w:rsidRPr="00CA7954">
        <w:rPr>
          <w:rFonts w:ascii="Calibri" w:hAnsi="Calibri" w:hint="cs"/>
          <w:rtl/>
        </w:rPr>
        <w:t xml:space="preserve"> </w:t>
      </w:r>
      <w:r w:rsidR="00C36FD4" w:rsidRPr="00CA7954">
        <w:rPr>
          <w:rFonts w:ascii="Calibri" w:hAnsi="Calibri" w:hint="cs"/>
          <w:b/>
          <w:bCs/>
          <w:rtl/>
        </w:rPr>
        <w:t>מדינת ישראל נ' אחמד אידריס</w:t>
      </w:r>
      <w:r w:rsidR="00C36FD4"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00C36FD4" w:rsidRPr="00CA7954">
        <w:rPr>
          <w:rFonts w:ascii="Calibri" w:hAnsi="Calibri" w:hint="cs"/>
          <w:rtl/>
        </w:rPr>
        <w:t xml:space="preserve">(19/10/2020) </w:t>
      </w:r>
      <w:r w:rsidR="00C36FD4">
        <w:rPr>
          <w:rFonts w:ascii="Calibri" w:hAnsi="Calibri" w:hint="cs"/>
          <w:rtl/>
        </w:rPr>
        <w:t>במסגרתו</w:t>
      </w:r>
      <w:r w:rsidR="00C36FD4" w:rsidRPr="00CA7954">
        <w:rPr>
          <w:rFonts w:ascii="Calibri" w:hAnsi="Calibri" w:hint="cs"/>
          <w:rtl/>
        </w:rPr>
        <w:t xml:space="preserve"> קבע בית המשפט מתחם של 10 עד 36 חודשי מאסר לנאשם שהחזיק לכל הפחות 600 טבליות סם מסוג </w:t>
      </w:r>
      <w:r w:rsidR="00C36FD4" w:rsidRPr="00CA7954">
        <w:rPr>
          <w:rFonts w:ascii="Calibri" w:hAnsi="Calibri" w:hint="cs"/>
        </w:rPr>
        <w:t>MDMA</w:t>
      </w:r>
      <w:r w:rsidR="00C36FD4" w:rsidRPr="00CA7954">
        <w:rPr>
          <w:rFonts w:ascii="Calibri" w:hAnsi="Calibri" w:hint="cs"/>
          <w:rtl/>
        </w:rPr>
        <w:t xml:space="preserve">; </w:t>
      </w:r>
    </w:p>
    <w:p w14:paraId="5AE2A1C7" w14:textId="77777777" w:rsidR="00C36FD4" w:rsidRDefault="004C69CA" w:rsidP="00C36FD4">
      <w:pPr>
        <w:spacing w:line="360" w:lineRule="auto"/>
        <w:jc w:val="both"/>
        <w:rPr>
          <w:rFonts w:ascii="Calibri" w:hAnsi="Calibri"/>
          <w:rtl/>
        </w:rPr>
      </w:pPr>
      <w:hyperlink r:id="rId31" w:history="1">
        <w:r w:rsidRPr="004C69CA">
          <w:rPr>
            <w:rFonts w:ascii="Calibri" w:hAnsi="Calibri" w:hint="eastAsia"/>
            <w:color w:val="0000FF"/>
            <w:u w:val="single"/>
            <w:rtl/>
          </w:rPr>
          <w:t>ת</w:t>
        </w:r>
        <w:r w:rsidRPr="004C69CA">
          <w:rPr>
            <w:rFonts w:ascii="Calibri" w:hAnsi="Calibri"/>
            <w:color w:val="0000FF"/>
            <w:u w:val="single"/>
            <w:rtl/>
          </w:rPr>
          <w:t>"</w:t>
        </w:r>
        <w:r w:rsidRPr="004C69CA">
          <w:rPr>
            <w:rFonts w:ascii="Calibri" w:hAnsi="Calibri" w:hint="eastAsia"/>
            <w:color w:val="0000FF"/>
            <w:u w:val="single"/>
            <w:rtl/>
          </w:rPr>
          <w:t>פ</w:t>
        </w:r>
        <w:r w:rsidRPr="004C69CA">
          <w:rPr>
            <w:rFonts w:ascii="Calibri" w:hAnsi="Calibri"/>
            <w:color w:val="0000FF"/>
            <w:u w:val="single"/>
            <w:rtl/>
          </w:rPr>
          <w:t xml:space="preserve"> (</w:t>
        </w:r>
        <w:r w:rsidRPr="004C69CA">
          <w:rPr>
            <w:rFonts w:ascii="Calibri" w:hAnsi="Calibri" w:hint="eastAsia"/>
            <w:color w:val="0000FF"/>
            <w:u w:val="single"/>
            <w:rtl/>
          </w:rPr>
          <w:t>ת</w:t>
        </w:r>
        <w:r w:rsidRPr="004C69CA">
          <w:rPr>
            <w:rFonts w:ascii="Calibri" w:hAnsi="Calibri"/>
            <w:color w:val="0000FF"/>
            <w:u w:val="single"/>
            <w:rtl/>
          </w:rPr>
          <w:t>"</w:t>
        </w:r>
        <w:r w:rsidRPr="004C69CA">
          <w:rPr>
            <w:rFonts w:ascii="Calibri" w:hAnsi="Calibri" w:hint="eastAsia"/>
            <w:color w:val="0000FF"/>
            <w:u w:val="single"/>
            <w:rtl/>
          </w:rPr>
          <w:t>א</w:t>
        </w:r>
        <w:r w:rsidRPr="004C69CA">
          <w:rPr>
            <w:rFonts w:ascii="Calibri" w:hAnsi="Calibri"/>
            <w:color w:val="0000FF"/>
            <w:u w:val="single"/>
            <w:rtl/>
          </w:rPr>
          <w:t>) 43983-05-19</w:t>
        </w:r>
      </w:hyperlink>
      <w:r w:rsidR="00C36FD4" w:rsidRPr="00CA7954">
        <w:rPr>
          <w:rFonts w:ascii="Calibri" w:hAnsi="Calibri" w:hint="cs"/>
          <w:rtl/>
        </w:rPr>
        <w:t xml:space="preserve"> </w:t>
      </w:r>
      <w:r w:rsidR="00C36FD4" w:rsidRPr="00CA7954">
        <w:rPr>
          <w:rFonts w:ascii="Calibri" w:hAnsi="Calibri" w:hint="cs"/>
          <w:b/>
          <w:bCs/>
          <w:rtl/>
        </w:rPr>
        <w:t>מדינת ישראל נ' ראובן</w:t>
      </w:r>
      <w:r w:rsidR="00C36FD4"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00C36FD4" w:rsidRPr="00CA7954">
        <w:rPr>
          <w:rFonts w:ascii="Calibri" w:hAnsi="Calibri" w:hint="cs"/>
          <w:rtl/>
        </w:rPr>
        <w:t xml:space="preserve">(19/03/2020) </w:t>
      </w:r>
      <w:r w:rsidR="00C36FD4">
        <w:rPr>
          <w:rFonts w:ascii="Calibri" w:hAnsi="Calibri" w:hint="cs"/>
          <w:rtl/>
        </w:rPr>
        <w:t>במסגרתו</w:t>
      </w:r>
      <w:r w:rsidR="00C36FD4" w:rsidRPr="00CA7954">
        <w:rPr>
          <w:rFonts w:ascii="Calibri" w:hAnsi="Calibri" w:hint="cs"/>
          <w:rtl/>
        </w:rPr>
        <w:t xml:space="preserve"> קבע בית המשפט מתחם של 18 עד 42 חודשי מאסר לנאשם שהחזיק בין היתר, </w:t>
      </w:r>
      <w:r w:rsidR="00C36FD4" w:rsidRPr="00CA7954">
        <w:rPr>
          <w:rFonts w:ascii="Calibri" w:hAnsi="Calibri" w:hint="cs"/>
        </w:rPr>
        <w:t>MDMA</w:t>
      </w:r>
      <w:r w:rsidR="00C36FD4" w:rsidRPr="00CA7954">
        <w:rPr>
          <w:rFonts w:ascii="Calibri" w:hAnsi="Calibri" w:hint="cs"/>
          <w:rtl/>
        </w:rPr>
        <w:t xml:space="preserve"> במשקל של מעל 300 גרם מחולק, 19 טבליות </w:t>
      </w:r>
      <w:r w:rsidR="00C36FD4" w:rsidRPr="00CA7954">
        <w:rPr>
          <w:rFonts w:ascii="Calibri" w:hAnsi="Calibri" w:hint="cs"/>
        </w:rPr>
        <w:t>MDMA</w:t>
      </w:r>
      <w:r w:rsidR="00C36FD4" w:rsidRPr="00CA7954">
        <w:rPr>
          <w:rFonts w:ascii="Calibri" w:hAnsi="Calibri" w:hint="cs"/>
          <w:rtl/>
        </w:rPr>
        <w:t xml:space="preserve">, קוקאין במשקל 10 גרם, </w:t>
      </w:r>
      <w:r w:rsidR="00C36FD4" w:rsidRPr="00CA7954">
        <w:rPr>
          <w:rFonts w:ascii="Calibri" w:hAnsi="Calibri" w:hint="cs"/>
        </w:rPr>
        <w:t>KETAMINE</w:t>
      </w:r>
      <w:r w:rsidR="00C36FD4" w:rsidRPr="00CA7954">
        <w:rPr>
          <w:rFonts w:ascii="Calibri" w:hAnsi="Calibri" w:hint="cs"/>
          <w:rtl/>
        </w:rPr>
        <w:t xml:space="preserve"> במשקל 12 גרם, 56 בולים של סם מסוג </w:t>
      </w:r>
      <w:r w:rsidR="00C36FD4" w:rsidRPr="00CA7954">
        <w:rPr>
          <w:rFonts w:ascii="Calibri" w:hAnsi="Calibri" w:hint="cs"/>
        </w:rPr>
        <w:t>LSD</w:t>
      </w:r>
      <w:r w:rsidR="00C36FD4" w:rsidRPr="00CA7954">
        <w:rPr>
          <w:rFonts w:ascii="Calibri" w:hAnsi="Calibri" w:hint="cs"/>
          <w:rtl/>
        </w:rPr>
        <w:t xml:space="preserve"> וכן החזיק כלים להכנת סם; </w:t>
      </w:r>
    </w:p>
    <w:p w14:paraId="43654874" w14:textId="77777777" w:rsidR="00C36FD4" w:rsidRDefault="004C69CA" w:rsidP="00C36FD4">
      <w:pPr>
        <w:spacing w:line="360" w:lineRule="auto"/>
        <w:jc w:val="both"/>
        <w:rPr>
          <w:rFonts w:ascii="Calibri" w:hAnsi="Calibri"/>
          <w:rtl/>
        </w:rPr>
      </w:pPr>
      <w:hyperlink r:id="rId32" w:history="1">
        <w:r w:rsidRPr="004C69CA">
          <w:rPr>
            <w:rFonts w:ascii="Calibri" w:hAnsi="Calibri" w:hint="eastAsia"/>
            <w:color w:val="0000FF"/>
            <w:u w:val="single"/>
            <w:rtl/>
          </w:rPr>
          <w:t>ת</w:t>
        </w:r>
        <w:r w:rsidRPr="004C69CA">
          <w:rPr>
            <w:rFonts w:ascii="Calibri" w:hAnsi="Calibri"/>
            <w:color w:val="0000FF"/>
            <w:u w:val="single"/>
            <w:rtl/>
          </w:rPr>
          <w:t>"</w:t>
        </w:r>
        <w:r w:rsidRPr="004C69CA">
          <w:rPr>
            <w:rFonts w:ascii="Calibri" w:hAnsi="Calibri" w:hint="eastAsia"/>
            <w:color w:val="0000FF"/>
            <w:u w:val="single"/>
            <w:rtl/>
          </w:rPr>
          <w:t>פ</w:t>
        </w:r>
        <w:r w:rsidRPr="004C69CA">
          <w:rPr>
            <w:rFonts w:ascii="Calibri" w:hAnsi="Calibri"/>
            <w:color w:val="0000FF"/>
            <w:u w:val="single"/>
            <w:rtl/>
          </w:rPr>
          <w:t xml:space="preserve"> (</w:t>
        </w:r>
        <w:r w:rsidRPr="004C69CA">
          <w:rPr>
            <w:rFonts w:ascii="Calibri" w:hAnsi="Calibri" w:hint="eastAsia"/>
            <w:color w:val="0000FF"/>
            <w:u w:val="single"/>
            <w:rtl/>
          </w:rPr>
          <w:t>ת</w:t>
        </w:r>
        <w:r w:rsidRPr="004C69CA">
          <w:rPr>
            <w:rFonts w:ascii="Calibri" w:hAnsi="Calibri"/>
            <w:color w:val="0000FF"/>
            <w:u w:val="single"/>
            <w:rtl/>
          </w:rPr>
          <w:t>"</w:t>
        </w:r>
        <w:r w:rsidRPr="004C69CA">
          <w:rPr>
            <w:rFonts w:ascii="Calibri" w:hAnsi="Calibri" w:hint="eastAsia"/>
            <w:color w:val="0000FF"/>
            <w:u w:val="single"/>
            <w:rtl/>
          </w:rPr>
          <w:t>א</w:t>
        </w:r>
        <w:r w:rsidRPr="004C69CA">
          <w:rPr>
            <w:rFonts w:ascii="Calibri" w:hAnsi="Calibri"/>
            <w:color w:val="0000FF"/>
            <w:u w:val="single"/>
            <w:rtl/>
          </w:rPr>
          <w:t>) 24514-09-15</w:t>
        </w:r>
      </w:hyperlink>
      <w:r w:rsidR="00C36FD4">
        <w:rPr>
          <w:rFonts w:ascii="Calibri" w:hAnsi="Calibri" w:hint="cs"/>
          <w:rtl/>
        </w:rPr>
        <w:t xml:space="preserve"> </w:t>
      </w:r>
      <w:r w:rsidR="00C36FD4">
        <w:rPr>
          <w:rFonts w:ascii="Calibri" w:hAnsi="Calibri" w:hint="cs"/>
          <w:b/>
          <w:bCs/>
          <w:rtl/>
        </w:rPr>
        <w:t>מדינת ישראל נ' פורת ואח'</w:t>
      </w:r>
      <w:r w:rsidR="00C36FD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00C36FD4">
        <w:rPr>
          <w:rFonts w:ascii="Calibri" w:hAnsi="Calibri" w:hint="cs"/>
          <w:rtl/>
        </w:rPr>
        <w:t xml:space="preserve">(2/1/2017) במסגרתו הורשע הנאשם בעבירה של החזקת סמים מסוכנים שלא לצריכה עצמית בכך שהחזיק בארון בדירתו סם מסוג </w:t>
      </w:r>
      <w:r w:rsidR="00C36FD4">
        <w:rPr>
          <w:rFonts w:ascii="Calibri" w:hAnsi="Calibri" w:hint="cs"/>
        </w:rPr>
        <w:t>MDMA</w:t>
      </w:r>
      <w:r w:rsidR="00C36FD4">
        <w:rPr>
          <w:rFonts w:ascii="Calibri" w:hAnsi="Calibri" w:hint="cs"/>
          <w:rtl/>
        </w:rPr>
        <w:t xml:space="preserve"> במשקל 901 גרם, ובמקומות שונים נוספים בדירה החזיק סם מסוג </w:t>
      </w:r>
      <w:r w:rsidR="00C36FD4">
        <w:rPr>
          <w:rFonts w:ascii="Calibri" w:hAnsi="Calibri" w:hint="cs"/>
        </w:rPr>
        <w:t>MDMA</w:t>
      </w:r>
      <w:r w:rsidR="00C36FD4">
        <w:rPr>
          <w:rFonts w:ascii="Calibri" w:hAnsi="Calibri" w:hint="cs"/>
          <w:rtl/>
        </w:rPr>
        <w:t xml:space="preserve"> במשקל 1.49 גרם, סם מסוג קנבוס במשקל כולל של כ- 117 גרם וסם מסוג קוקאין במשקל של 0.85 גרם. נקבע כי סוג הסמים המוחזקים וכמותם מובילים לקביעת מתחם ענישה הנע בין 18 ועד 36 חודשי מאסר, אך לבסוף נקט בית המשפט בענישה שהייתה תולדה של סטייה מהמתחם מטעמי שיקום. </w:t>
      </w:r>
    </w:p>
    <w:p w14:paraId="1F9958F8" w14:textId="77777777" w:rsidR="00C36FD4" w:rsidRPr="008920AD" w:rsidRDefault="00C36FD4" w:rsidP="00C36FD4">
      <w:pPr>
        <w:spacing w:line="360" w:lineRule="auto"/>
        <w:jc w:val="both"/>
        <w:rPr>
          <w:rFonts w:ascii="Calibri" w:hAnsi="Calibri"/>
          <w:rtl/>
        </w:rPr>
      </w:pPr>
    </w:p>
    <w:p w14:paraId="58F6D8DD" w14:textId="77777777" w:rsidR="00C36FD4" w:rsidRDefault="00C36FD4" w:rsidP="00C36FD4">
      <w:pPr>
        <w:autoSpaceDE w:val="0"/>
        <w:autoSpaceDN w:val="0"/>
        <w:adjustRightInd w:val="0"/>
        <w:spacing w:line="360" w:lineRule="auto"/>
        <w:jc w:val="both"/>
        <w:rPr>
          <w:rFonts w:ascii="Calibri" w:hAnsi="Calibri"/>
          <w:rtl/>
        </w:rPr>
      </w:pPr>
      <w:r>
        <w:rPr>
          <w:rFonts w:ascii="Calibri" w:hAnsi="Calibri" w:hint="cs"/>
          <w:rtl/>
        </w:rPr>
        <w:t xml:space="preserve">לאור כל המפורט לעיל, </w:t>
      </w:r>
      <w:r w:rsidRPr="00CA7954">
        <w:rPr>
          <w:rFonts w:ascii="Calibri" w:hAnsi="Calibri" w:hint="cs"/>
          <w:rtl/>
        </w:rPr>
        <w:t xml:space="preserve">הגעתי למסקנה כי מתחם העונש ההולם </w:t>
      </w:r>
      <w:r>
        <w:rPr>
          <w:rFonts w:ascii="Calibri" w:hAnsi="Calibri" w:hint="cs"/>
          <w:rtl/>
        </w:rPr>
        <w:t xml:space="preserve">נע בין </w:t>
      </w:r>
      <w:r w:rsidRPr="00CA7954">
        <w:rPr>
          <w:rFonts w:ascii="Calibri" w:hAnsi="Calibri" w:hint="cs"/>
          <w:rtl/>
        </w:rPr>
        <w:t xml:space="preserve">מאסר שמשכו 12 חודשים ועד ל-36 חודשים.  </w:t>
      </w:r>
    </w:p>
    <w:p w14:paraId="10EA8E06" w14:textId="77777777" w:rsidR="00C36FD4" w:rsidRPr="0039347B" w:rsidRDefault="00C36FD4" w:rsidP="00C36FD4">
      <w:pPr>
        <w:autoSpaceDE w:val="0"/>
        <w:autoSpaceDN w:val="0"/>
        <w:adjustRightInd w:val="0"/>
        <w:spacing w:line="360" w:lineRule="auto"/>
        <w:jc w:val="both"/>
        <w:rPr>
          <w:rFonts w:ascii="Calibri" w:hAnsi="Calibri"/>
          <w:rtl/>
        </w:rPr>
      </w:pPr>
    </w:p>
    <w:p w14:paraId="115739B3" w14:textId="77777777" w:rsidR="00C36FD4" w:rsidRDefault="00C36FD4" w:rsidP="00C36FD4">
      <w:pPr>
        <w:autoSpaceDE w:val="0"/>
        <w:autoSpaceDN w:val="0"/>
        <w:adjustRightInd w:val="0"/>
        <w:spacing w:line="360" w:lineRule="auto"/>
        <w:jc w:val="both"/>
        <w:rPr>
          <w:rFonts w:ascii="Calibri" w:hAnsi="Calibri"/>
          <w:b/>
          <w:bCs/>
          <w:rtl/>
        </w:rPr>
      </w:pPr>
      <w:r w:rsidRPr="00667AC2">
        <w:rPr>
          <w:rFonts w:ascii="Calibri" w:hAnsi="Calibri" w:hint="cs"/>
          <w:b/>
          <w:bCs/>
          <w:rtl/>
        </w:rPr>
        <w:t>העונש המתאים ובחינת שיקולי שיקום</w:t>
      </w:r>
    </w:p>
    <w:p w14:paraId="5A4D405F" w14:textId="77777777" w:rsidR="00C36FD4" w:rsidRPr="00667AC2" w:rsidRDefault="00C36FD4" w:rsidP="00C36FD4">
      <w:pPr>
        <w:autoSpaceDE w:val="0"/>
        <w:autoSpaceDN w:val="0"/>
        <w:adjustRightInd w:val="0"/>
        <w:spacing w:line="360" w:lineRule="auto"/>
        <w:jc w:val="both"/>
        <w:rPr>
          <w:rFonts w:ascii="Calibri" w:hAnsi="Calibri"/>
          <w:b/>
          <w:bCs/>
        </w:rPr>
      </w:pPr>
    </w:p>
    <w:p w14:paraId="60AB6D21" w14:textId="77777777" w:rsidR="00C36FD4" w:rsidRDefault="00C36FD4" w:rsidP="00C36FD4">
      <w:pPr>
        <w:spacing w:line="360" w:lineRule="auto"/>
        <w:jc w:val="both"/>
        <w:rPr>
          <w:rtl/>
        </w:rPr>
      </w:pPr>
      <w:r w:rsidRPr="00CA7954">
        <w:rPr>
          <w:rFonts w:ascii="Calibri" w:hAnsi="Calibri"/>
          <w:rtl/>
        </w:rPr>
        <w:t>בגזירת העונש המתאים לנאשם, יש להתחשב בנסיבות שאינן קשורות בביצוע העבירה</w:t>
      </w:r>
      <w:r w:rsidRPr="00CA7954">
        <w:rPr>
          <w:rFonts w:ascii="Calibri" w:hAnsi="Calibri" w:hint="cs"/>
          <w:rtl/>
        </w:rPr>
        <w:t xml:space="preserve"> בהתאם </w:t>
      </w:r>
      <w:hyperlink r:id="rId33" w:history="1">
        <w:r w:rsidR="000862DE" w:rsidRPr="000862DE">
          <w:rPr>
            <w:rStyle w:val="Hyperlink"/>
            <w:rFonts w:ascii="Calibri" w:hAnsi="Calibri" w:hint="eastAsia"/>
            <w:rtl/>
          </w:rPr>
          <w:t>לסעיף</w:t>
        </w:r>
        <w:r w:rsidR="000862DE" w:rsidRPr="000862DE">
          <w:rPr>
            <w:rStyle w:val="Hyperlink"/>
            <w:rFonts w:ascii="Calibri" w:hAnsi="Calibri"/>
            <w:rtl/>
          </w:rPr>
          <w:t xml:space="preserve"> 40</w:t>
        </w:r>
        <w:r w:rsidR="000862DE" w:rsidRPr="000862DE">
          <w:rPr>
            <w:rStyle w:val="Hyperlink"/>
            <w:rFonts w:ascii="Calibri" w:hAnsi="Calibri" w:hint="eastAsia"/>
            <w:rtl/>
          </w:rPr>
          <w:t>יא</w:t>
        </w:r>
      </w:hyperlink>
      <w:r w:rsidRPr="00CA7954">
        <w:rPr>
          <w:rFonts w:ascii="Calibri" w:hAnsi="Calibri" w:hint="cs"/>
          <w:rtl/>
        </w:rPr>
        <w:t xml:space="preserve"> ל</w:t>
      </w:r>
      <w:hyperlink r:id="rId34" w:history="1">
        <w:r w:rsidR="004C69CA" w:rsidRPr="004C69CA">
          <w:rPr>
            <w:rFonts w:ascii="Calibri" w:hAnsi="Calibri" w:hint="eastAsia"/>
            <w:color w:val="0000FF"/>
            <w:u w:val="single"/>
            <w:rtl/>
          </w:rPr>
          <w:t>חוק</w:t>
        </w:r>
        <w:r w:rsidR="004C69CA" w:rsidRPr="004C69CA">
          <w:rPr>
            <w:rFonts w:ascii="Calibri" w:hAnsi="Calibri"/>
            <w:color w:val="0000FF"/>
            <w:u w:val="single"/>
            <w:rtl/>
          </w:rPr>
          <w:t xml:space="preserve"> </w:t>
        </w:r>
        <w:r w:rsidR="004C69CA" w:rsidRPr="004C69CA">
          <w:rPr>
            <w:rFonts w:ascii="Calibri" w:hAnsi="Calibri" w:hint="eastAsia"/>
            <w:color w:val="0000FF"/>
            <w:u w:val="single"/>
            <w:rtl/>
          </w:rPr>
          <w:t>העונשין</w:t>
        </w:r>
      </w:hyperlink>
      <w:r>
        <w:rPr>
          <w:rFonts w:ascii="Calibri" w:hAnsi="Calibri" w:hint="cs"/>
          <w:rtl/>
        </w:rPr>
        <w:t>, וכן לבחון האם עניינו של הנאשם מצדיק סטייה ממתחם העונש, מטעמי שיקום</w:t>
      </w:r>
      <w:r w:rsidRPr="00CA7954">
        <w:rPr>
          <w:rFonts w:ascii="Calibri" w:hAnsi="Calibri"/>
          <w:rtl/>
        </w:rPr>
        <w:t xml:space="preserve">. </w:t>
      </w:r>
    </w:p>
    <w:p w14:paraId="2B86650E" w14:textId="77777777" w:rsidR="00C36FD4" w:rsidRDefault="00C36FD4" w:rsidP="00C36FD4">
      <w:pPr>
        <w:spacing w:line="360" w:lineRule="auto"/>
        <w:jc w:val="both"/>
        <w:rPr>
          <w:rtl/>
        </w:rPr>
      </w:pPr>
    </w:p>
    <w:p w14:paraId="5DDF8A4C" w14:textId="77777777" w:rsidR="00C36FD4" w:rsidRDefault="00C36FD4" w:rsidP="00C36FD4">
      <w:pPr>
        <w:spacing w:line="360" w:lineRule="auto"/>
        <w:jc w:val="both"/>
        <w:rPr>
          <w:rFonts w:ascii="Calibri" w:hAnsi="Calibri"/>
          <w:rtl/>
        </w:rPr>
      </w:pPr>
      <w:r w:rsidRPr="00CA7954">
        <w:rPr>
          <w:rFonts w:hint="cs"/>
          <w:rtl/>
        </w:rPr>
        <w:t xml:space="preserve">מדובר בנאשם צעיר כבן 29, נעדר עבר פלילי, </w:t>
      </w:r>
      <w:r w:rsidRPr="00CA7954">
        <w:rPr>
          <w:rFonts w:ascii="Calibri" w:hAnsi="Calibri"/>
          <w:rtl/>
        </w:rPr>
        <w:t>נשוי ואב לילד כב</w:t>
      </w:r>
      <w:r>
        <w:rPr>
          <w:rFonts w:ascii="Calibri" w:hAnsi="Calibri" w:hint="cs"/>
          <w:rtl/>
        </w:rPr>
        <w:t>ן 3, אשר הודה ונטל אחריות מלאה על מעשיו בהזדמנות הראשונה, כאשר שירות המבחן התרשם כי הוא נעדר דפוסים עברייניים.</w:t>
      </w:r>
    </w:p>
    <w:p w14:paraId="63C978FF" w14:textId="77777777" w:rsidR="00C36FD4" w:rsidRDefault="00C36FD4" w:rsidP="00C36FD4">
      <w:pPr>
        <w:spacing w:line="360" w:lineRule="auto"/>
        <w:jc w:val="both"/>
        <w:rPr>
          <w:rFonts w:ascii="Calibri" w:hAnsi="Calibri"/>
          <w:rtl/>
        </w:rPr>
      </w:pPr>
    </w:p>
    <w:p w14:paraId="4333C459" w14:textId="77777777" w:rsidR="00C36FD4" w:rsidRDefault="00C36FD4" w:rsidP="00C36FD4">
      <w:pPr>
        <w:spacing w:line="360" w:lineRule="auto"/>
        <w:jc w:val="both"/>
        <w:rPr>
          <w:rtl/>
        </w:rPr>
      </w:pPr>
      <w:r>
        <w:rPr>
          <w:rFonts w:ascii="Calibri" w:hAnsi="Calibri" w:hint="cs"/>
          <w:rtl/>
        </w:rPr>
        <w:t>עובר למעצרו, עבר הנאשם</w:t>
      </w:r>
      <w:r w:rsidRPr="00CA7954">
        <w:rPr>
          <w:rFonts w:hint="cs"/>
          <w:rtl/>
        </w:rPr>
        <w:t xml:space="preserve"> תקופה משברית על רקע מצוקה כלכלית </w:t>
      </w:r>
      <w:r>
        <w:rPr>
          <w:rFonts w:hint="cs"/>
          <w:rtl/>
        </w:rPr>
        <w:t>משמעותית</w:t>
      </w:r>
      <w:r w:rsidRPr="00CA7954">
        <w:rPr>
          <w:rFonts w:hint="cs"/>
          <w:rtl/>
        </w:rPr>
        <w:t xml:space="preserve"> אליה נקלע לאחר ש</w:t>
      </w:r>
      <w:r>
        <w:rPr>
          <w:rFonts w:hint="cs"/>
          <w:rtl/>
        </w:rPr>
        <w:t>איבד מקום עבודתו בתקופת הקורונה, דבר שהוביל ל</w:t>
      </w:r>
      <w:r w:rsidRPr="00CA7954">
        <w:rPr>
          <w:rFonts w:hint="cs"/>
          <w:rtl/>
        </w:rPr>
        <w:t>הידרדרות מערכת היחסים עם אשתו</w:t>
      </w:r>
      <w:r>
        <w:rPr>
          <w:rFonts w:hint="cs"/>
          <w:rtl/>
        </w:rPr>
        <w:t xml:space="preserve"> תוך </w:t>
      </w:r>
      <w:r w:rsidRPr="00CA7954">
        <w:rPr>
          <w:rFonts w:hint="cs"/>
          <w:rtl/>
        </w:rPr>
        <w:t xml:space="preserve">תחושת תסכול שאינו ממלא תפקידו כבעל וכאב, כמצופה. אלה, החריפו באופן משמעותי ביותר את מצבו הנפשי </w:t>
      </w:r>
      <w:r>
        <w:rPr>
          <w:rFonts w:hint="cs"/>
          <w:rtl/>
        </w:rPr>
        <w:t>והרגשי, את החרדות ותסמיני הפוסט</w:t>
      </w:r>
      <w:r>
        <w:rPr>
          <w:rtl/>
        </w:rPr>
        <w:t>–</w:t>
      </w:r>
      <w:r w:rsidRPr="00CA7954">
        <w:rPr>
          <w:rFonts w:hint="cs"/>
          <w:rtl/>
        </w:rPr>
        <w:t>טראו</w:t>
      </w:r>
      <w:r>
        <w:rPr>
          <w:rFonts w:hint="cs"/>
          <w:rtl/>
        </w:rPr>
        <w:t>מה, שלוו אף בדיכאון, כך שהיה נתון במצוקה של ממש.</w:t>
      </w:r>
    </w:p>
    <w:p w14:paraId="340071E2" w14:textId="77777777" w:rsidR="00C36FD4" w:rsidRDefault="00C36FD4" w:rsidP="00C36FD4">
      <w:pPr>
        <w:spacing w:line="360" w:lineRule="auto"/>
        <w:jc w:val="both"/>
        <w:rPr>
          <w:rtl/>
        </w:rPr>
      </w:pPr>
    </w:p>
    <w:p w14:paraId="101DC5FE" w14:textId="77777777" w:rsidR="00C36FD4" w:rsidRPr="00CA7954" w:rsidRDefault="00C36FD4" w:rsidP="00C36FD4">
      <w:pPr>
        <w:spacing w:line="360" w:lineRule="auto"/>
        <w:jc w:val="both"/>
        <w:rPr>
          <w:rtl/>
        </w:rPr>
      </w:pPr>
      <w:r>
        <w:rPr>
          <w:rFonts w:hint="cs"/>
          <w:rtl/>
        </w:rPr>
        <w:t>אין חולק כי עניינו של הנאשם מצדיק מיקומו ברף התחתון של מתחם הענישה שנקבע. אלא, שהנסיבות המיוחדות של המקרה שבפני, ובמיוחד לאור התהליך השיקומי אותו עבר הנאשם, מצדיקים במקובץ סטייה, הגם שמתונה, מהמתחם האמור.</w:t>
      </w:r>
    </w:p>
    <w:p w14:paraId="61416169" w14:textId="77777777" w:rsidR="00C36FD4" w:rsidRDefault="00C36FD4" w:rsidP="00C36FD4">
      <w:pPr>
        <w:autoSpaceDE w:val="0"/>
        <w:autoSpaceDN w:val="0"/>
        <w:adjustRightInd w:val="0"/>
        <w:spacing w:line="360" w:lineRule="auto"/>
        <w:jc w:val="both"/>
        <w:rPr>
          <w:rtl/>
        </w:rPr>
      </w:pPr>
      <w:r w:rsidRPr="00CA7954">
        <w:rPr>
          <w:rFonts w:ascii="Calibri" w:hAnsi="Calibri" w:hint="cs"/>
          <w:rtl/>
        </w:rPr>
        <w:t xml:space="preserve">בעבירות החזקת סם שלא לצריכה עצמית, בדומה לעבירות סחר בסם, </w:t>
      </w:r>
      <w:r>
        <w:rPr>
          <w:rFonts w:ascii="Calibri" w:hAnsi="Calibri" w:hint="cs"/>
          <w:rtl/>
        </w:rPr>
        <w:t xml:space="preserve">דרך </w:t>
      </w:r>
      <w:r w:rsidRPr="00CA7954">
        <w:rPr>
          <w:rFonts w:ascii="Calibri" w:hAnsi="Calibri" w:hint="cs"/>
          <w:rtl/>
        </w:rPr>
        <w:t xml:space="preserve">כלל, עומדים שיקולי גמול והלימה כעקרונות מנחים, כאשר שיקולי שיקום, יכולים לגבור רק בכפוף לנסיבות המתאימות, ונתונים לשיקול דעתו של בית המשפט (ראה </w:t>
      </w:r>
      <w:hyperlink r:id="rId35" w:history="1">
        <w:r w:rsidR="004C69CA" w:rsidRPr="004C69CA">
          <w:rPr>
            <w:rFonts w:ascii="Calibri" w:hAnsi="Calibri" w:hint="eastAsia"/>
            <w:color w:val="0000FF"/>
            <w:u w:val="single"/>
            <w:rtl/>
          </w:rPr>
          <w:t>רע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262/14</w:t>
        </w:r>
      </w:hyperlink>
      <w:r w:rsidRPr="00CA7954">
        <w:rPr>
          <w:rFonts w:ascii="Calibri" w:hAnsi="Calibri" w:hint="cs"/>
          <w:rtl/>
        </w:rPr>
        <w:t xml:space="preserve"> </w:t>
      </w:r>
      <w:r w:rsidRPr="00CA7954">
        <w:rPr>
          <w:rFonts w:ascii="Calibri" w:hAnsi="Calibri" w:hint="cs"/>
          <w:b/>
          <w:bCs/>
          <w:rtl/>
        </w:rPr>
        <w:t>נאשף נ' מדינת ישראל</w:t>
      </w:r>
      <w:r>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Pr>
          <w:rFonts w:ascii="Calibri" w:hAnsi="Calibri" w:hint="cs"/>
          <w:rtl/>
        </w:rPr>
        <w:t>(22/1/2014))</w:t>
      </w:r>
      <w:r>
        <w:rPr>
          <w:rFonts w:hint="cs"/>
          <w:rtl/>
        </w:rPr>
        <w:t xml:space="preserve">. </w:t>
      </w:r>
    </w:p>
    <w:p w14:paraId="2442E591" w14:textId="77777777" w:rsidR="00C36FD4" w:rsidRDefault="00C36FD4" w:rsidP="00C36FD4">
      <w:pPr>
        <w:autoSpaceDE w:val="0"/>
        <w:autoSpaceDN w:val="0"/>
        <w:adjustRightInd w:val="0"/>
        <w:spacing w:line="360" w:lineRule="auto"/>
        <w:jc w:val="both"/>
        <w:rPr>
          <w:rtl/>
        </w:rPr>
      </w:pPr>
    </w:p>
    <w:p w14:paraId="356DBF26" w14:textId="77777777" w:rsidR="00C36FD4" w:rsidRPr="00CA7954" w:rsidRDefault="00C36FD4" w:rsidP="00C36FD4">
      <w:pPr>
        <w:autoSpaceDE w:val="0"/>
        <w:autoSpaceDN w:val="0"/>
        <w:adjustRightInd w:val="0"/>
        <w:spacing w:line="360" w:lineRule="auto"/>
        <w:jc w:val="both"/>
        <w:rPr>
          <w:rtl/>
        </w:rPr>
      </w:pPr>
      <w:r w:rsidRPr="00CA7954">
        <w:rPr>
          <w:rFonts w:hint="cs"/>
          <w:rtl/>
        </w:rPr>
        <w:t xml:space="preserve">לשון </w:t>
      </w:r>
      <w:hyperlink r:id="rId36" w:history="1">
        <w:r w:rsidR="000862DE" w:rsidRPr="000862DE">
          <w:rPr>
            <w:rStyle w:val="Hyperlink"/>
            <w:rFonts w:hint="eastAsia"/>
            <w:rtl/>
          </w:rPr>
          <w:t>סעיף</w:t>
        </w:r>
        <w:r w:rsidR="000862DE" w:rsidRPr="000862DE">
          <w:rPr>
            <w:rStyle w:val="Hyperlink"/>
            <w:rtl/>
          </w:rPr>
          <w:t xml:space="preserve"> 40ד</w:t>
        </w:r>
      </w:hyperlink>
      <w:r w:rsidRPr="00CA7954">
        <w:rPr>
          <w:rFonts w:hint="cs"/>
          <w:rtl/>
        </w:rPr>
        <w:t xml:space="preserve"> ל</w:t>
      </w:r>
      <w:hyperlink r:id="rId37" w:history="1">
        <w:r w:rsidR="004C69CA" w:rsidRPr="004C69CA">
          <w:rPr>
            <w:color w:val="0000FF"/>
            <w:u w:val="single"/>
            <w:rtl/>
          </w:rPr>
          <w:t>חוק העונשין</w:t>
        </w:r>
      </w:hyperlink>
      <w:r>
        <w:rPr>
          <w:rFonts w:hint="cs"/>
          <w:rtl/>
        </w:rPr>
        <w:t xml:space="preserve"> </w:t>
      </w:r>
      <w:r w:rsidRPr="00CA7954">
        <w:rPr>
          <w:rFonts w:hint="cs"/>
          <w:rtl/>
        </w:rPr>
        <w:t>מלמדת, כי במקרים בהם "</w:t>
      </w:r>
      <w:r w:rsidRPr="004F214E">
        <w:rPr>
          <w:rFonts w:hint="cs"/>
          <w:rtl/>
        </w:rPr>
        <w:t>נאשם השתקם</w:t>
      </w:r>
      <w:r w:rsidRPr="00CA7954">
        <w:rPr>
          <w:rFonts w:hint="cs"/>
          <w:rtl/>
        </w:rPr>
        <w:t>" או בהם "</w:t>
      </w:r>
      <w:r w:rsidRPr="004F214E">
        <w:rPr>
          <w:rFonts w:hint="cs"/>
          <w:rtl/>
        </w:rPr>
        <w:t>יש סיכוי של ממש שישתקם</w:t>
      </w:r>
      <w:r w:rsidRPr="00CA7954">
        <w:rPr>
          <w:rFonts w:hint="cs"/>
          <w:rtl/>
        </w:rPr>
        <w:t xml:space="preserve">", עשויים שיקולי השיקום לגבור על שיקולי ההרתעה והגמול (ראו </w:t>
      </w:r>
      <w:hyperlink r:id="rId38" w:history="1">
        <w:r w:rsidR="004C69CA" w:rsidRPr="004C69CA">
          <w:rPr>
            <w:color w:val="0000FF"/>
            <w:u w:val="single"/>
            <w:rtl/>
          </w:rPr>
          <w:t>רע"פ 7572/12</w:t>
        </w:r>
      </w:hyperlink>
      <w:r w:rsidRPr="00CA7954">
        <w:rPr>
          <w:rFonts w:hint="cs"/>
          <w:rtl/>
        </w:rPr>
        <w:t xml:space="preserve"> </w:t>
      </w:r>
      <w:r w:rsidRPr="00CA7954">
        <w:rPr>
          <w:rFonts w:hint="cs"/>
          <w:b/>
          <w:bCs/>
          <w:rtl/>
        </w:rPr>
        <w:t>הזייל נ' מדינת ישראל</w:t>
      </w:r>
      <w:r w:rsidRPr="00CA7954">
        <w:rPr>
          <w:rFonts w:hint="cs"/>
          <w:rtl/>
        </w:rPr>
        <w:t xml:space="preserve"> </w:t>
      </w:r>
      <w:r w:rsidR="00072940" w:rsidRPr="00072940">
        <w:rPr>
          <w:sz w:val="22"/>
          <w:rtl/>
        </w:rPr>
        <w:t xml:space="preserve">[פורסם בנבו] </w:t>
      </w:r>
      <w:r w:rsidRPr="00CA7954">
        <w:rPr>
          <w:rFonts w:hint="cs"/>
          <w:rtl/>
        </w:rPr>
        <w:t xml:space="preserve">(23/10/12)). על הטוען להציג הליך משמעותי המגלה פוטנציאל שיקומי גבוה וממשי, תוך קביעה כי הסיכוי לביצוע עבירות נוספות בעתיד הוא נמוך ביותר (ראו </w:t>
      </w:r>
      <w:hyperlink r:id="rId39" w:history="1">
        <w:r w:rsidR="004C69CA" w:rsidRPr="004C69CA">
          <w:rPr>
            <w:color w:val="0000FF"/>
            <w:u w:val="single"/>
            <w:rtl/>
          </w:rPr>
          <w:t>ע"פ 1903/13</w:t>
        </w:r>
      </w:hyperlink>
      <w:r w:rsidRPr="00CA7954">
        <w:rPr>
          <w:rFonts w:hint="cs"/>
          <w:rtl/>
        </w:rPr>
        <w:t xml:space="preserve"> </w:t>
      </w:r>
      <w:r w:rsidRPr="00CA7954">
        <w:rPr>
          <w:rFonts w:hint="cs"/>
          <w:b/>
          <w:bCs/>
          <w:rtl/>
        </w:rPr>
        <w:t>עיאשה נ' מדינת ישראל</w:t>
      </w:r>
      <w:r w:rsidRPr="00CA7954">
        <w:rPr>
          <w:rFonts w:hint="cs"/>
          <w:rtl/>
        </w:rPr>
        <w:t xml:space="preserve"> </w:t>
      </w:r>
      <w:r w:rsidR="00072940" w:rsidRPr="00072940">
        <w:rPr>
          <w:sz w:val="22"/>
          <w:rtl/>
        </w:rPr>
        <w:t xml:space="preserve">[פורסם בנבו] </w:t>
      </w:r>
      <w:r w:rsidRPr="00CA7954">
        <w:rPr>
          <w:rFonts w:hint="cs"/>
          <w:rtl/>
        </w:rPr>
        <w:t>(</w:t>
      </w:r>
      <w:r>
        <w:rPr>
          <w:rFonts w:hint="cs"/>
          <w:rtl/>
        </w:rPr>
        <w:t>14/7/2013</w:t>
      </w:r>
      <w:r w:rsidRPr="00CA7954">
        <w:rPr>
          <w:rFonts w:hint="cs"/>
          <w:rtl/>
        </w:rPr>
        <w:t xml:space="preserve">); </w:t>
      </w:r>
      <w:hyperlink r:id="rId40" w:history="1">
        <w:r w:rsidR="004C69CA" w:rsidRPr="004C69CA">
          <w:rPr>
            <w:color w:val="0000FF"/>
            <w:u w:val="single"/>
            <w:rtl/>
          </w:rPr>
          <w:t>ע"פ 5146/14</w:t>
        </w:r>
      </w:hyperlink>
      <w:r w:rsidRPr="00CA7954">
        <w:rPr>
          <w:rFonts w:hint="cs"/>
          <w:rtl/>
        </w:rPr>
        <w:t xml:space="preserve"> </w:t>
      </w:r>
      <w:r w:rsidRPr="00CA7954">
        <w:rPr>
          <w:rFonts w:hint="cs"/>
          <w:b/>
          <w:bCs/>
          <w:rtl/>
        </w:rPr>
        <w:t>עדי אורן נ' מדינת ישראל</w:t>
      </w:r>
      <w:r w:rsidRPr="00CA7954">
        <w:rPr>
          <w:rFonts w:hint="cs"/>
          <w:rtl/>
        </w:rPr>
        <w:t xml:space="preserve"> </w:t>
      </w:r>
      <w:r w:rsidR="00072940" w:rsidRPr="00072940">
        <w:rPr>
          <w:sz w:val="22"/>
          <w:rtl/>
        </w:rPr>
        <w:t xml:space="preserve">[פורסם בנבו] </w:t>
      </w:r>
      <w:r w:rsidRPr="00CA7954">
        <w:rPr>
          <w:rFonts w:hint="cs"/>
          <w:rtl/>
        </w:rPr>
        <w:t>(05/02/2015)). לא ניתן להסתפק בנכונותו של הנאשם להשתלב בהליכי שיקום, וכן אין די בהוכחת הליך</w:t>
      </w:r>
      <w:r>
        <w:rPr>
          <w:rFonts w:ascii="Calibri" w:hAnsi="Calibri" w:hint="cs"/>
          <w:rtl/>
        </w:rPr>
        <w:t xml:space="preserve"> שיקום המצוי בתחילתו </w:t>
      </w:r>
      <w:r w:rsidRPr="00CA7954">
        <w:rPr>
          <w:rFonts w:ascii="Calibri" w:hAnsi="Calibri" w:hint="cs"/>
          <w:rtl/>
        </w:rPr>
        <w:t>(</w:t>
      </w:r>
      <w:hyperlink r:id="rId41" w:history="1">
        <w:r w:rsidR="004C69CA" w:rsidRPr="004C69CA">
          <w:rPr>
            <w:rFonts w:ascii="Calibri" w:hAnsi="Calibri" w:hint="eastAsia"/>
            <w:color w:val="0000FF"/>
            <w:u w:val="single"/>
            <w:rtl/>
          </w:rPr>
          <w:t>רע</w:t>
        </w:r>
        <w:r w:rsidR="004C69CA" w:rsidRPr="004C69CA">
          <w:rPr>
            <w:rFonts w:ascii="Calibri" w:hAnsi="Calibri"/>
            <w:color w:val="0000FF"/>
            <w:u w:val="single"/>
            <w:rtl/>
          </w:rPr>
          <w:t>"</w:t>
        </w:r>
        <w:r w:rsidR="004C69CA" w:rsidRPr="004C69CA">
          <w:rPr>
            <w:rFonts w:ascii="Calibri" w:hAnsi="Calibri" w:hint="eastAsia"/>
            <w:color w:val="0000FF"/>
            <w:u w:val="single"/>
            <w:rtl/>
          </w:rPr>
          <w:t>פ</w:t>
        </w:r>
        <w:r w:rsidR="004C69CA" w:rsidRPr="004C69CA">
          <w:rPr>
            <w:rFonts w:ascii="Calibri" w:hAnsi="Calibri"/>
            <w:color w:val="0000FF"/>
            <w:u w:val="single"/>
            <w:rtl/>
          </w:rPr>
          <w:t xml:space="preserve"> 747/14</w:t>
        </w:r>
      </w:hyperlink>
      <w:r w:rsidRPr="00CA7954">
        <w:rPr>
          <w:rFonts w:ascii="Calibri" w:hAnsi="Calibri" w:hint="cs"/>
          <w:rtl/>
        </w:rPr>
        <w:t xml:space="preserve"> </w:t>
      </w:r>
      <w:r w:rsidRPr="00CA7954">
        <w:rPr>
          <w:rFonts w:ascii="Calibri" w:hAnsi="Calibri" w:hint="cs"/>
          <w:b/>
          <w:bCs/>
          <w:rtl/>
        </w:rPr>
        <w:t>אלי לוי נ' מדינת ישראל</w:t>
      </w:r>
      <w:r w:rsidRPr="00CA7954">
        <w:rPr>
          <w:rFonts w:ascii="Calibri" w:hAnsi="Calibri" w:hint="cs"/>
          <w:rtl/>
        </w:rPr>
        <w:t xml:space="preserve"> </w:t>
      </w:r>
      <w:r w:rsidR="00072940" w:rsidRPr="00072940">
        <w:rPr>
          <w:sz w:val="22"/>
          <w:rtl/>
        </w:rPr>
        <w:t>[</w:t>
      </w:r>
      <w:r w:rsidR="00072940" w:rsidRPr="00072940">
        <w:rPr>
          <w:rFonts w:hint="eastAsia"/>
          <w:sz w:val="22"/>
          <w:rtl/>
        </w:rPr>
        <w:t>פורסם</w:t>
      </w:r>
      <w:r w:rsidR="00072940" w:rsidRPr="00072940">
        <w:rPr>
          <w:sz w:val="22"/>
          <w:rtl/>
        </w:rPr>
        <w:t xml:space="preserve"> </w:t>
      </w:r>
      <w:r w:rsidR="00072940" w:rsidRPr="00072940">
        <w:rPr>
          <w:rFonts w:hint="eastAsia"/>
          <w:sz w:val="22"/>
          <w:rtl/>
        </w:rPr>
        <w:t>בנבו</w:t>
      </w:r>
      <w:r w:rsidR="00072940" w:rsidRPr="00072940">
        <w:rPr>
          <w:sz w:val="22"/>
          <w:rtl/>
        </w:rPr>
        <w:t xml:space="preserve">] </w:t>
      </w:r>
      <w:r w:rsidRPr="00CA7954">
        <w:rPr>
          <w:rFonts w:ascii="Calibri" w:hAnsi="Calibri" w:hint="cs"/>
          <w:rtl/>
        </w:rPr>
        <w:t xml:space="preserve">(11/2/2014)). </w:t>
      </w:r>
      <w:r w:rsidRPr="00CA7954">
        <w:rPr>
          <w:rFonts w:hint="cs"/>
          <w:rtl/>
        </w:rPr>
        <w:t>תסקיר שירות המבחן, בהקשר זה, בעל מעמד משמעותי, אם כי כמובן שאינו מחייב את בית המשפט (</w:t>
      </w:r>
      <w:hyperlink r:id="rId42" w:history="1">
        <w:r w:rsidR="004C69CA" w:rsidRPr="004C69CA">
          <w:rPr>
            <w:color w:val="0000FF"/>
            <w:u w:val="single"/>
            <w:rtl/>
          </w:rPr>
          <w:t>רע"פ 5434/07</w:t>
        </w:r>
      </w:hyperlink>
      <w:r w:rsidRPr="00CA7954">
        <w:rPr>
          <w:rFonts w:hint="cs"/>
          <w:rtl/>
        </w:rPr>
        <w:t xml:space="preserve"> </w:t>
      </w:r>
      <w:r w:rsidRPr="00CA7954">
        <w:rPr>
          <w:rFonts w:hint="cs"/>
          <w:b/>
          <w:bCs/>
          <w:rtl/>
        </w:rPr>
        <w:t>שאדי פריג' נ' מדינת ישראל</w:t>
      </w:r>
      <w:r w:rsidRPr="00CA7954">
        <w:rPr>
          <w:rFonts w:hint="cs"/>
          <w:rtl/>
        </w:rPr>
        <w:t xml:space="preserve"> </w:t>
      </w:r>
      <w:r w:rsidR="00072940" w:rsidRPr="00072940">
        <w:rPr>
          <w:sz w:val="22"/>
          <w:rtl/>
        </w:rPr>
        <w:t xml:space="preserve">[פורסם בנבו] </w:t>
      </w:r>
      <w:r w:rsidRPr="00CA7954">
        <w:rPr>
          <w:rFonts w:hint="cs"/>
          <w:rtl/>
        </w:rPr>
        <w:t>(20/6/2007)</w:t>
      </w:r>
      <w:r>
        <w:rPr>
          <w:rFonts w:hint="cs"/>
          <w:rtl/>
        </w:rPr>
        <w:t>)</w:t>
      </w:r>
      <w:r w:rsidRPr="00CA7954">
        <w:rPr>
          <w:rFonts w:hint="cs"/>
          <w:rtl/>
        </w:rPr>
        <w:t xml:space="preserve">.  </w:t>
      </w:r>
    </w:p>
    <w:p w14:paraId="4E4AD59E" w14:textId="77777777" w:rsidR="00C36FD4" w:rsidRDefault="00C36FD4" w:rsidP="00C36FD4">
      <w:pPr>
        <w:autoSpaceDE w:val="0"/>
        <w:autoSpaceDN w:val="0"/>
        <w:adjustRightInd w:val="0"/>
        <w:spacing w:line="360" w:lineRule="auto"/>
        <w:jc w:val="both"/>
        <w:rPr>
          <w:rtl/>
        </w:rPr>
      </w:pPr>
    </w:p>
    <w:p w14:paraId="27F1ECCF" w14:textId="77777777" w:rsidR="00C36FD4" w:rsidRDefault="00C36FD4" w:rsidP="00C36FD4">
      <w:pPr>
        <w:spacing w:line="360" w:lineRule="auto"/>
        <w:jc w:val="both"/>
        <w:rPr>
          <w:rtl/>
        </w:rPr>
      </w:pPr>
      <w:r>
        <w:rPr>
          <w:rFonts w:hint="cs"/>
          <w:rtl/>
        </w:rPr>
        <w:t xml:space="preserve">בחינת עניינו של הנאשם, הביאה אותי למסקנה כי מתקיימות אותן נסיבות ייחודיות המצדיקות מתן משקל מסוים לתהליך השיקום, באופן בו יש להימנע מהטלת מאסר בפועל, אלא הטלת עבודות שירות ברף העליון, כפי שיפורט להלן: </w:t>
      </w:r>
    </w:p>
    <w:p w14:paraId="071695F2" w14:textId="77777777" w:rsidR="00C36FD4" w:rsidRDefault="00C36FD4" w:rsidP="00C36FD4">
      <w:pPr>
        <w:spacing w:line="360" w:lineRule="auto"/>
        <w:jc w:val="both"/>
        <w:rPr>
          <w:rtl/>
        </w:rPr>
      </w:pPr>
    </w:p>
    <w:p w14:paraId="0883291A" w14:textId="77777777" w:rsidR="00C36FD4" w:rsidRDefault="00C36FD4" w:rsidP="00C36FD4">
      <w:pPr>
        <w:spacing w:line="360" w:lineRule="auto"/>
        <w:jc w:val="both"/>
        <w:rPr>
          <w:rtl/>
        </w:rPr>
      </w:pPr>
      <w:r w:rsidRPr="006C2C00">
        <w:rPr>
          <w:rFonts w:hint="cs"/>
          <w:u w:val="single"/>
          <w:rtl/>
        </w:rPr>
        <w:t>ראשית</w:t>
      </w:r>
      <w:r>
        <w:rPr>
          <w:rFonts w:hint="cs"/>
          <w:rtl/>
        </w:rPr>
        <w:t>, הנאשם נתון ב</w:t>
      </w:r>
      <w:r w:rsidRPr="00CA7954">
        <w:rPr>
          <w:rFonts w:hint="cs"/>
          <w:rtl/>
        </w:rPr>
        <w:t xml:space="preserve">הליך טיפולי </w:t>
      </w:r>
      <w:r>
        <w:rPr>
          <w:rFonts w:hint="cs"/>
          <w:rtl/>
        </w:rPr>
        <w:t xml:space="preserve">רצוף, מעל שנה. יודגש, כי הנאשם פנה לטיפול באופן יזום, עקב החמרה במצבו הרגשי והנפשי עוד בשנת 2019. בעקבות האירוע מושא כתב האישום, בעת ששהה בתנאים מגבילים, נרתם להליך טיפולי במסגרת שירות המבחן, כאשר דווח על התגייסות מלאה והתמדה. בהמשך, פנה למומחה לפסיכולוגיה שיקומית והוא ממשיך לקבל טיפול במסגרת זו עד היום, כאשר גובשה תכנית טיפולית ארוכת טווח. במקביל, מטופל הנאשם גם על ידי פסיכיאטר, לרבות קבלת תרופות הנדרשות במצבו כמאובחן </w:t>
      </w:r>
      <w:r>
        <w:rPr>
          <w:rFonts w:hint="cs"/>
        </w:rPr>
        <w:t>PTSD</w:t>
      </w:r>
      <w:r>
        <w:rPr>
          <w:rFonts w:hint="cs"/>
          <w:rtl/>
        </w:rPr>
        <w:t xml:space="preserve"> והמשך מעקב פסיכיאטרי מובנה.</w:t>
      </w:r>
    </w:p>
    <w:p w14:paraId="2ACC8929" w14:textId="77777777" w:rsidR="00C36FD4" w:rsidRDefault="00C36FD4" w:rsidP="00C36FD4">
      <w:pPr>
        <w:spacing w:line="360" w:lineRule="auto"/>
        <w:jc w:val="both"/>
        <w:rPr>
          <w:rtl/>
        </w:rPr>
      </w:pPr>
    </w:p>
    <w:p w14:paraId="03B6C503" w14:textId="77777777" w:rsidR="00C36FD4" w:rsidRDefault="00C36FD4" w:rsidP="00C36FD4">
      <w:pPr>
        <w:spacing w:line="360" w:lineRule="auto"/>
        <w:jc w:val="both"/>
        <w:rPr>
          <w:rtl/>
        </w:rPr>
      </w:pPr>
      <w:r w:rsidRPr="006C2C00">
        <w:rPr>
          <w:rFonts w:hint="cs"/>
          <w:u w:val="single"/>
          <w:rtl/>
        </w:rPr>
        <w:t>שנית</w:t>
      </w:r>
      <w:r>
        <w:rPr>
          <w:rFonts w:hint="cs"/>
          <w:rtl/>
        </w:rPr>
        <w:t>, הטיפול אותו עובר הנאשם הינו ייעודי לצרכיו ונותן מענה למסוכנות הנשקפת מפניו. נודעת חשיבות רבה לעובדה כי הטיפול המשולב בו נתון הנאשם, עונה על צרכיו ובעיותיו כפי שעמדו ברקע לביצוע העבירה. לא בכדי, שירות המבחן מצביע על הפחתה במסוכנות בעקבות הטיפול. כאן המקום להדגיש, כי בכוונתי להטיל על הנאשם צו פיקוח של שירות המבחן לצורך בחינת התמדתו בהמשך ההליך השיקומי.</w:t>
      </w:r>
    </w:p>
    <w:p w14:paraId="15B0B2C6" w14:textId="77777777" w:rsidR="00C36FD4" w:rsidRDefault="00C36FD4" w:rsidP="00C36FD4">
      <w:pPr>
        <w:spacing w:line="360" w:lineRule="auto"/>
        <w:jc w:val="both"/>
        <w:rPr>
          <w:rtl/>
        </w:rPr>
      </w:pPr>
    </w:p>
    <w:p w14:paraId="36C70FA0" w14:textId="77777777" w:rsidR="00C36FD4" w:rsidRDefault="00C36FD4" w:rsidP="00C36FD4">
      <w:pPr>
        <w:autoSpaceDE w:val="0"/>
        <w:autoSpaceDN w:val="0"/>
        <w:adjustRightInd w:val="0"/>
        <w:spacing w:line="360" w:lineRule="auto"/>
        <w:jc w:val="both"/>
        <w:rPr>
          <w:rtl/>
        </w:rPr>
      </w:pPr>
      <w:r w:rsidRPr="006C2C00">
        <w:rPr>
          <w:rFonts w:hint="cs"/>
          <w:u w:val="single"/>
          <w:rtl/>
        </w:rPr>
        <w:t>שלישית</w:t>
      </w:r>
      <w:r>
        <w:rPr>
          <w:rFonts w:hint="cs"/>
          <w:rtl/>
        </w:rPr>
        <w:t>, גורמי הטיפול מתרשמים מפוטנציאל שיקומי גבוה ביותר: הנאשם</w:t>
      </w:r>
      <w:r w:rsidRPr="00CA7954">
        <w:rPr>
          <w:rFonts w:hint="cs"/>
          <w:rtl/>
        </w:rPr>
        <w:t xml:space="preserve"> מצליח להיעזר בטיפול, </w:t>
      </w:r>
      <w:r>
        <w:rPr>
          <w:rFonts w:hint="cs"/>
          <w:rtl/>
        </w:rPr>
        <w:t xml:space="preserve">וחלה הטבה ניכרת במצבו הרגשי, </w:t>
      </w:r>
      <w:r w:rsidRPr="00CA7954">
        <w:rPr>
          <w:rFonts w:hint="cs"/>
          <w:rtl/>
        </w:rPr>
        <w:t xml:space="preserve">עסוק וממוקד בגורמים מקדמים, ומלא במוטיבציה לשקם את חייו ולנתבם לאפיק נורמטיבי. </w:t>
      </w:r>
      <w:r>
        <w:rPr>
          <w:rFonts w:hint="cs"/>
          <w:rtl/>
        </w:rPr>
        <w:t>הנאשם</w:t>
      </w:r>
      <w:r w:rsidRPr="00CA7954">
        <w:rPr>
          <w:rFonts w:hint="cs"/>
          <w:rtl/>
        </w:rPr>
        <w:t xml:space="preserve"> מקיים קשרי זוגי</w:t>
      </w:r>
      <w:r>
        <w:rPr>
          <w:rFonts w:hint="cs"/>
          <w:rtl/>
        </w:rPr>
        <w:t xml:space="preserve">ות ומשפחה, מגויס להליך הטיפולי, </w:t>
      </w:r>
      <w:r w:rsidRPr="00CA7954">
        <w:rPr>
          <w:rFonts w:hint="cs"/>
          <w:rtl/>
        </w:rPr>
        <w:t>רגשי ופסיכיאטרי, נוקט פעולות אקטיביות לשיפור חייו- פעל לשיפור מצוקתו הכלכלית כך ששינה מקום מגוריו, מצא עבודה חדשה ומתמיד בה מזה מספר חודשים, שומר על תפקוד תקין ויציב בחייו חרף קשיים הנובעים מהתמודדות עם הפרעת הפוסט-טראומה.</w:t>
      </w:r>
      <w:r>
        <w:rPr>
          <w:rFonts w:hint="cs"/>
          <w:rtl/>
        </w:rPr>
        <w:t xml:space="preserve"> </w:t>
      </w:r>
    </w:p>
    <w:p w14:paraId="0DAF41B9" w14:textId="77777777" w:rsidR="00C36FD4" w:rsidRDefault="00C36FD4" w:rsidP="00C36FD4">
      <w:pPr>
        <w:autoSpaceDE w:val="0"/>
        <w:autoSpaceDN w:val="0"/>
        <w:adjustRightInd w:val="0"/>
        <w:spacing w:line="360" w:lineRule="auto"/>
        <w:jc w:val="both"/>
        <w:rPr>
          <w:rtl/>
        </w:rPr>
      </w:pPr>
      <w:r w:rsidRPr="00CA7954">
        <w:rPr>
          <w:rFonts w:hint="cs"/>
          <w:rtl/>
        </w:rPr>
        <w:t>הנאשם מגלה תובנה לחומרת מעשיו ונוטל עליהם אחריות מלאה, כמו גם לגורמים שעמדו ברקע לביצועם.</w:t>
      </w:r>
    </w:p>
    <w:p w14:paraId="17790C75" w14:textId="77777777" w:rsidR="00C36FD4" w:rsidRDefault="00C36FD4" w:rsidP="00C36FD4">
      <w:pPr>
        <w:autoSpaceDE w:val="0"/>
        <w:autoSpaceDN w:val="0"/>
        <w:adjustRightInd w:val="0"/>
        <w:spacing w:line="360" w:lineRule="auto"/>
        <w:jc w:val="both"/>
        <w:rPr>
          <w:rtl/>
        </w:rPr>
      </w:pPr>
      <w:r>
        <w:rPr>
          <w:rFonts w:hint="cs"/>
          <w:rtl/>
        </w:rPr>
        <w:t>כל גורמי הטיפול מעידים על פרוגנוזה שיקומית גבוהה, ולא בכדי</w:t>
      </w:r>
      <w:r w:rsidRPr="0085711B">
        <w:rPr>
          <w:rFonts w:hint="cs"/>
          <w:rtl/>
        </w:rPr>
        <w:t xml:space="preserve"> </w:t>
      </w:r>
      <w:r w:rsidRPr="00CA7954">
        <w:rPr>
          <w:rFonts w:hint="cs"/>
          <w:rtl/>
        </w:rPr>
        <w:t xml:space="preserve">שירות המבחן </w:t>
      </w:r>
      <w:r>
        <w:rPr>
          <w:rFonts w:hint="cs"/>
          <w:rtl/>
        </w:rPr>
        <w:t>מצא בכל אלה</w:t>
      </w:r>
      <w:r w:rsidRPr="00CA7954">
        <w:rPr>
          <w:rFonts w:hint="cs"/>
          <w:rtl/>
        </w:rPr>
        <w:t xml:space="preserve"> גורמים המפחיתים</w:t>
      </w:r>
      <w:r>
        <w:rPr>
          <w:rFonts w:hint="cs"/>
          <w:rtl/>
        </w:rPr>
        <w:t xml:space="preserve"> את הסיכון לביצוע עבירות נוספות.</w:t>
      </w:r>
      <w:r w:rsidRPr="00CA7954">
        <w:rPr>
          <w:rFonts w:hint="cs"/>
          <w:rtl/>
        </w:rPr>
        <w:t xml:space="preserve"> </w:t>
      </w:r>
    </w:p>
    <w:p w14:paraId="19DFAB77" w14:textId="77777777" w:rsidR="00C36FD4" w:rsidRDefault="00C36FD4" w:rsidP="00C36FD4">
      <w:pPr>
        <w:autoSpaceDE w:val="0"/>
        <w:autoSpaceDN w:val="0"/>
        <w:adjustRightInd w:val="0"/>
        <w:spacing w:line="360" w:lineRule="auto"/>
        <w:jc w:val="both"/>
        <w:rPr>
          <w:rtl/>
        </w:rPr>
      </w:pPr>
    </w:p>
    <w:p w14:paraId="34C1A83B" w14:textId="77777777" w:rsidR="00C36FD4" w:rsidRDefault="00C36FD4" w:rsidP="00C36FD4">
      <w:pPr>
        <w:autoSpaceDE w:val="0"/>
        <w:autoSpaceDN w:val="0"/>
        <w:adjustRightInd w:val="0"/>
        <w:spacing w:line="360" w:lineRule="auto"/>
        <w:jc w:val="both"/>
        <w:rPr>
          <w:rtl/>
        </w:rPr>
      </w:pPr>
      <w:r w:rsidRPr="006C2C00">
        <w:rPr>
          <w:rFonts w:hint="cs"/>
          <w:u w:val="single"/>
          <w:rtl/>
        </w:rPr>
        <w:t>רביעית</w:t>
      </w:r>
      <w:r>
        <w:rPr>
          <w:rFonts w:hint="cs"/>
          <w:rtl/>
        </w:rPr>
        <w:t xml:space="preserve">, </w:t>
      </w:r>
      <w:r w:rsidRPr="00CA7954">
        <w:rPr>
          <w:rtl/>
        </w:rPr>
        <w:t>הבאתי בחשבון את</w:t>
      </w:r>
      <w:r w:rsidRPr="00CA7954">
        <w:rPr>
          <w:rFonts w:hint="cs"/>
          <w:rtl/>
        </w:rPr>
        <w:t xml:space="preserve"> הפגיעה </w:t>
      </w:r>
      <w:r>
        <w:rPr>
          <w:rFonts w:hint="cs"/>
          <w:rtl/>
        </w:rPr>
        <w:t xml:space="preserve">בנאשם עקב הטלת </w:t>
      </w:r>
      <w:r w:rsidRPr="00CA7954">
        <w:rPr>
          <w:rtl/>
        </w:rPr>
        <w:t>ענישה</w:t>
      </w:r>
      <w:r w:rsidRPr="00CA7954">
        <w:rPr>
          <w:rFonts w:hint="cs"/>
          <w:rtl/>
        </w:rPr>
        <w:t xml:space="preserve"> בדמות מאסר </w:t>
      </w:r>
      <w:r>
        <w:rPr>
          <w:rFonts w:hint="cs"/>
          <w:rtl/>
        </w:rPr>
        <w:t>בפועל וכן בסיכויי שיקומו, זאת על רקע נתוניו הקונקרטיים. כך, ממסמך הפסיכיאטר מיום 11/1/21 עלה כי לאחר תקופת המעצר בה שהה הנאשם חלה החמרה בהרגשתו שכן הוא הרגיש במתח, סבל מצבי חרדה דמויי פאניקה, דריכות כללית ונדודי שינה. מתסקיר שירות המבחן וסיכום פסיכיאטרי מיום 25/10/21, עולה כי השבתו של הנאשם לתעסוקה רציפה תתרום להשתלבותו בחזרה בחברה, באופן שיקדם את שיקומו.</w:t>
      </w:r>
    </w:p>
    <w:p w14:paraId="045FBB86" w14:textId="77777777" w:rsidR="00C36FD4" w:rsidRDefault="00C36FD4" w:rsidP="00C36FD4">
      <w:pPr>
        <w:autoSpaceDE w:val="0"/>
        <w:autoSpaceDN w:val="0"/>
        <w:adjustRightInd w:val="0"/>
        <w:spacing w:line="360" w:lineRule="auto"/>
        <w:jc w:val="both"/>
        <w:rPr>
          <w:rtl/>
        </w:rPr>
      </w:pPr>
    </w:p>
    <w:p w14:paraId="67A9C038" w14:textId="77777777" w:rsidR="00C36FD4" w:rsidRDefault="00C36FD4" w:rsidP="00C36FD4">
      <w:pPr>
        <w:spacing w:line="360" w:lineRule="auto"/>
        <w:jc w:val="both"/>
        <w:rPr>
          <w:rtl/>
        </w:rPr>
      </w:pPr>
      <w:r w:rsidRPr="006C2C00">
        <w:rPr>
          <w:rFonts w:hint="cs"/>
          <w:u w:val="single"/>
          <w:rtl/>
        </w:rPr>
        <w:t>חמישית</w:t>
      </w:r>
      <w:r>
        <w:rPr>
          <w:rFonts w:hint="cs"/>
          <w:rtl/>
        </w:rPr>
        <w:t>, שקלתי את התקופה בה שהה הנאשם במעצר מאחורי סורג ובריח, ובהמשך, מספר חודשים במעצר בפיקוח אלקטרוני. תקופה זו וההליך המשפטי, מהווים גורמי הרתעה משמעותיים עבורו, להתרשמות גורמי הטיפול ושירות המבחן. בנוסף, תקופה זו לא תנוכה מהעונש שיוטל עליו.</w:t>
      </w:r>
    </w:p>
    <w:p w14:paraId="76401B8D" w14:textId="77777777" w:rsidR="00C36FD4" w:rsidRDefault="00C36FD4" w:rsidP="00C36FD4">
      <w:pPr>
        <w:spacing w:line="360" w:lineRule="auto"/>
        <w:jc w:val="both"/>
        <w:rPr>
          <w:rtl/>
        </w:rPr>
      </w:pPr>
    </w:p>
    <w:p w14:paraId="146DF00E" w14:textId="77777777" w:rsidR="00C36FD4" w:rsidRDefault="00C36FD4" w:rsidP="00C36FD4">
      <w:pPr>
        <w:autoSpaceDE w:val="0"/>
        <w:autoSpaceDN w:val="0"/>
        <w:adjustRightInd w:val="0"/>
        <w:spacing w:line="360" w:lineRule="auto"/>
        <w:jc w:val="both"/>
        <w:rPr>
          <w:rtl/>
        </w:rPr>
      </w:pPr>
      <w:r>
        <w:rPr>
          <w:rFonts w:hint="cs"/>
          <w:rtl/>
        </w:rPr>
        <w:t xml:space="preserve">לאור כל האמור, סבורתני כי קיימת הצדקה לסטות סטייה, הגם שמידתית, ממתחם העונש אותו קבעתי לעיל. </w:t>
      </w:r>
    </w:p>
    <w:p w14:paraId="589EF811" w14:textId="77777777" w:rsidR="00C36FD4" w:rsidRDefault="00C36FD4" w:rsidP="00C36FD4">
      <w:pPr>
        <w:autoSpaceDE w:val="0"/>
        <w:autoSpaceDN w:val="0"/>
        <w:adjustRightInd w:val="0"/>
        <w:spacing w:line="360" w:lineRule="auto"/>
        <w:jc w:val="both"/>
        <w:rPr>
          <w:rtl/>
        </w:rPr>
      </w:pPr>
    </w:p>
    <w:p w14:paraId="659F79BE" w14:textId="77777777" w:rsidR="00C36FD4" w:rsidRDefault="00C36FD4" w:rsidP="00C36FD4">
      <w:pPr>
        <w:autoSpaceDE w:val="0"/>
        <w:autoSpaceDN w:val="0"/>
        <w:adjustRightInd w:val="0"/>
        <w:spacing w:line="360" w:lineRule="auto"/>
        <w:jc w:val="both"/>
        <w:rPr>
          <w:rtl/>
        </w:rPr>
      </w:pPr>
      <w:r>
        <w:rPr>
          <w:rFonts w:hint="cs"/>
          <w:rtl/>
        </w:rPr>
        <w:t xml:space="preserve"> משנקבע כי הרף התחתון של מתחם העונש ההולם עומד על 12 חודשים ובשים לב לכך שהנאשם שהה שבועיים ימים במעצר מאחורי סורג ובריח, עסקינן בסטייה של כחודשיים ימים, על כל המשתמע מכך (אשר לסטייה מתונה ממתחם עונש הולם, ראו לאחרונה </w:t>
      </w:r>
      <w:hyperlink r:id="rId43" w:history="1">
        <w:r w:rsidR="004C69CA" w:rsidRPr="004C69CA">
          <w:rPr>
            <w:color w:val="0000FF"/>
            <w:u w:val="single"/>
            <w:rtl/>
          </w:rPr>
          <w:t>ע"פ 4536/21</w:t>
        </w:r>
      </w:hyperlink>
      <w:r>
        <w:rPr>
          <w:rFonts w:hint="cs"/>
          <w:rtl/>
        </w:rPr>
        <w:t xml:space="preserve"> </w:t>
      </w:r>
      <w:r w:rsidRPr="006C2C00">
        <w:rPr>
          <w:rFonts w:hint="cs"/>
          <w:b/>
          <w:bCs/>
          <w:rtl/>
        </w:rPr>
        <w:t>פרץ נ' מדינת ישראל</w:t>
      </w:r>
      <w:r>
        <w:rPr>
          <w:rFonts w:hint="cs"/>
          <w:rtl/>
        </w:rPr>
        <w:t xml:space="preserve"> </w:t>
      </w:r>
      <w:r w:rsidR="00072940" w:rsidRPr="00072940">
        <w:rPr>
          <w:sz w:val="22"/>
          <w:rtl/>
        </w:rPr>
        <w:t xml:space="preserve">[פורסם בנבו] </w:t>
      </w:r>
      <w:r>
        <w:rPr>
          <w:rFonts w:hint="cs"/>
          <w:rtl/>
        </w:rPr>
        <w:t>(4/11/2021)). כל זאת, ביתר שאת, כשאין חולק שנוכח נתוניו של הנאשם מאסר בפועל מאחורי סורג ובריח מהווה פגיעה חמורה עבורו.</w:t>
      </w:r>
    </w:p>
    <w:p w14:paraId="320E587F" w14:textId="77777777" w:rsidR="00C36FD4" w:rsidRDefault="00C36FD4" w:rsidP="00C36FD4">
      <w:pPr>
        <w:autoSpaceDE w:val="0"/>
        <w:autoSpaceDN w:val="0"/>
        <w:adjustRightInd w:val="0"/>
        <w:spacing w:line="360" w:lineRule="auto"/>
        <w:jc w:val="both"/>
        <w:rPr>
          <w:rtl/>
        </w:rPr>
      </w:pPr>
    </w:p>
    <w:p w14:paraId="6B65DE3F" w14:textId="77777777" w:rsidR="00C36FD4" w:rsidRDefault="00C36FD4" w:rsidP="00C36FD4">
      <w:pPr>
        <w:autoSpaceDE w:val="0"/>
        <w:autoSpaceDN w:val="0"/>
        <w:adjustRightInd w:val="0"/>
        <w:spacing w:line="360" w:lineRule="auto"/>
        <w:jc w:val="both"/>
        <w:rPr>
          <w:rtl/>
        </w:rPr>
      </w:pPr>
      <w:r>
        <w:rPr>
          <w:rFonts w:hint="cs"/>
          <w:rtl/>
        </w:rPr>
        <w:t xml:space="preserve">אדגיש, כי ככל שהיה מדובר בנאשם בעל הרשעות קודמות, ושלא נקבע לגביו על ידי שירות המבחן כי הוא נעדר קווי אישיות עברייניים, ואלמלא אותו טיפול שנותן כבר בשלב זה את אותותיו, ואלמלא נתוניו הייחודיים של הנאשם כמפורט בהרחבה - לא ניתן היה לסטות, ולו במעט, ממתחם העונש ההולם בעבירות אלה. </w:t>
      </w:r>
    </w:p>
    <w:p w14:paraId="3E0BF61F" w14:textId="77777777" w:rsidR="00C36FD4" w:rsidRDefault="00C36FD4" w:rsidP="00C36FD4">
      <w:pPr>
        <w:autoSpaceDE w:val="0"/>
        <w:autoSpaceDN w:val="0"/>
        <w:adjustRightInd w:val="0"/>
        <w:spacing w:line="360" w:lineRule="auto"/>
        <w:jc w:val="both"/>
        <w:rPr>
          <w:rtl/>
        </w:rPr>
      </w:pPr>
    </w:p>
    <w:p w14:paraId="6BEDD801" w14:textId="77777777" w:rsidR="00C36FD4" w:rsidRDefault="00C36FD4" w:rsidP="00C36FD4">
      <w:pPr>
        <w:spacing w:line="360" w:lineRule="auto"/>
        <w:jc w:val="both"/>
        <w:rPr>
          <w:rtl/>
        </w:rPr>
      </w:pPr>
      <w:r>
        <w:rPr>
          <w:rFonts w:hint="cs"/>
          <w:rtl/>
        </w:rPr>
        <w:t>אשר לרכיב הקנס, נוכח קשיים כלכליים ונסיבותיו האישיות של הנאשם, ראיתי להטיל קנס מתון.</w:t>
      </w:r>
    </w:p>
    <w:p w14:paraId="1E8488EA" w14:textId="77777777" w:rsidR="00C36FD4" w:rsidRPr="004F214E" w:rsidRDefault="00C36FD4" w:rsidP="00C36FD4">
      <w:pPr>
        <w:spacing w:line="360" w:lineRule="auto"/>
        <w:jc w:val="both"/>
        <w:rPr>
          <w:rtl/>
        </w:rPr>
      </w:pPr>
    </w:p>
    <w:p w14:paraId="5D8537DF" w14:textId="77777777" w:rsidR="00C36FD4" w:rsidRPr="00550211" w:rsidRDefault="00C36FD4" w:rsidP="00C36FD4">
      <w:pPr>
        <w:spacing w:line="360" w:lineRule="auto"/>
        <w:jc w:val="both"/>
        <w:rPr>
          <w:rFonts w:ascii="David" w:hAnsi="David"/>
          <w:color w:val="000000"/>
          <w:u w:val="single"/>
          <w:rtl/>
          <w:lang w:eastAsia="he-IL"/>
        </w:rPr>
      </w:pPr>
      <w:r w:rsidRPr="00550211">
        <w:rPr>
          <w:rFonts w:ascii="David" w:hAnsi="David" w:hint="cs"/>
          <w:color w:val="000000"/>
          <w:u w:val="single"/>
          <w:rtl/>
          <w:lang w:eastAsia="he-IL"/>
        </w:rPr>
        <w:t xml:space="preserve">לאור כל האמור, אני גוזרת </w:t>
      </w:r>
      <w:r>
        <w:rPr>
          <w:rFonts w:ascii="David" w:hAnsi="David" w:hint="cs"/>
          <w:color w:val="000000"/>
          <w:u w:val="single"/>
          <w:rtl/>
          <w:lang w:eastAsia="he-IL"/>
        </w:rPr>
        <w:t>על הנאשם</w:t>
      </w:r>
      <w:r w:rsidRPr="00550211">
        <w:rPr>
          <w:rFonts w:ascii="David" w:hAnsi="David" w:hint="cs"/>
          <w:color w:val="000000"/>
          <w:u w:val="single"/>
          <w:rtl/>
          <w:lang w:eastAsia="he-IL"/>
        </w:rPr>
        <w:t xml:space="preserve"> את העונשים הבאים:</w:t>
      </w:r>
    </w:p>
    <w:p w14:paraId="5ABD4F0F" w14:textId="77777777" w:rsidR="00C36FD4" w:rsidRPr="00CA7954" w:rsidRDefault="00C36FD4" w:rsidP="00C36FD4">
      <w:pPr>
        <w:pStyle w:val="ListParagraph"/>
        <w:numPr>
          <w:ilvl w:val="0"/>
          <w:numId w:val="1"/>
        </w:numPr>
        <w:autoSpaceDE w:val="0"/>
        <w:autoSpaceDN w:val="0"/>
        <w:adjustRightInd w:val="0"/>
        <w:spacing w:before="0" w:after="0" w:line="360" w:lineRule="auto"/>
        <w:jc w:val="both"/>
        <w:rPr>
          <w:rFonts w:ascii="David" w:hAnsi="David"/>
          <w:color w:val="000000"/>
          <w:lang w:eastAsia="he-IL"/>
        </w:rPr>
      </w:pPr>
      <w:r w:rsidRPr="00CA7954">
        <w:rPr>
          <w:rFonts w:ascii="David" w:hAnsi="David" w:hint="cs"/>
          <w:color w:val="000000"/>
          <w:rtl/>
          <w:lang w:eastAsia="he-IL"/>
        </w:rPr>
        <w:t xml:space="preserve">מאסר למשך </w:t>
      </w:r>
      <w:r>
        <w:rPr>
          <w:rFonts w:ascii="David" w:hAnsi="David" w:hint="cs"/>
          <w:color w:val="000000"/>
          <w:rtl/>
          <w:lang w:eastAsia="he-IL"/>
        </w:rPr>
        <w:t>9</w:t>
      </w:r>
      <w:r w:rsidRPr="00CA7954">
        <w:rPr>
          <w:rFonts w:ascii="David" w:hAnsi="David" w:hint="cs"/>
          <w:color w:val="000000"/>
          <w:rtl/>
          <w:lang w:eastAsia="he-IL"/>
        </w:rPr>
        <w:t xml:space="preserve"> חודשי</w:t>
      </w:r>
      <w:r>
        <w:rPr>
          <w:rFonts w:ascii="David" w:hAnsi="David" w:hint="cs"/>
          <w:color w:val="000000"/>
          <w:rtl/>
          <w:lang w:eastAsia="he-IL"/>
        </w:rPr>
        <w:t>ם אשר ירוצו בדרך של עבודות שירות בהתאם לחוות דעת ממונה מיום 31/1/2022. תשומת הלב להערות הממונה בכל הנוגע למצבו הנפשי של הנאשם ומכסת השעות הפחותה המומלצת עקב כך.</w:t>
      </w:r>
    </w:p>
    <w:p w14:paraId="2B8EE59E" w14:textId="77777777" w:rsidR="00C36FD4" w:rsidRPr="00CA7954" w:rsidRDefault="00C36FD4" w:rsidP="00C36FD4">
      <w:pPr>
        <w:pStyle w:val="ListParagraph"/>
        <w:numPr>
          <w:ilvl w:val="0"/>
          <w:numId w:val="1"/>
        </w:numPr>
        <w:autoSpaceDE w:val="0"/>
        <w:autoSpaceDN w:val="0"/>
        <w:adjustRightInd w:val="0"/>
        <w:spacing w:before="0" w:after="0" w:line="360" w:lineRule="auto"/>
        <w:jc w:val="both"/>
        <w:rPr>
          <w:rFonts w:ascii="David" w:hAnsi="David"/>
          <w:color w:val="000000"/>
          <w:lang w:eastAsia="he-IL"/>
        </w:rPr>
      </w:pPr>
      <w:r w:rsidRPr="00CA7954">
        <w:rPr>
          <w:rFonts w:ascii="David" w:hAnsi="David" w:hint="cs"/>
          <w:color w:val="000000"/>
          <w:rtl/>
          <w:lang w:eastAsia="he-IL"/>
        </w:rPr>
        <w:t xml:space="preserve">מאסר למשך </w:t>
      </w:r>
      <w:r>
        <w:rPr>
          <w:rFonts w:ascii="David" w:hAnsi="David" w:hint="cs"/>
          <w:color w:val="000000"/>
          <w:rtl/>
          <w:lang w:eastAsia="he-IL"/>
        </w:rPr>
        <w:t>8</w:t>
      </w:r>
      <w:r w:rsidRPr="00CA7954">
        <w:rPr>
          <w:rFonts w:ascii="David" w:hAnsi="David" w:hint="cs"/>
          <w:color w:val="000000"/>
          <w:rtl/>
          <w:lang w:eastAsia="he-IL"/>
        </w:rPr>
        <w:t xml:space="preserve"> חודשים אותו לא ירצה אלא אם יעבור במשך שלוש שנים מ</w:t>
      </w:r>
      <w:r>
        <w:rPr>
          <w:rFonts w:ascii="David" w:hAnsi="David" w:hint="cs"/>
          <w:color w:val="000000"/>
          <w:rtl/>
          <w:lang w:eastAsia="he-IL"/>
        </w:rPr>
        <w:t>ה</w:t>
      </w:r>
      <w:r w:rsidRPr="00CA7954">
        <w:rPr>
          <w:rFonts w:ascii="David" w:hAnsi="David" w:hint="cs"/>
          <w:color w:val="000000"/>
          <w:rtl/>
          <w:lang w:eastAsia="he-IL"/>
        </w:rPr>
        <w:t>יום עבירה לפי פקודת הסמים מסוג פשע.</w:t>
      </w:r>
    </w:p>
    <w:p w14:paraId="240B98D8" w14:textId="77777777" w:rsidR="00C36FD4" w:rsidRDefault="00C36FD4" w:rsidP="00C36FD4">
      <w:pPr>
        <w:pStyle w:val="ListParagraph"/>
        <w:numPr>
          <w:ilvl w:val="0"/>
          <w:numId w:val="1"/>
        </w:numPr>
        <w:autoSpaceDE w:val="0"/>
        <w:autoSpaceDN w:val="0"/>
        <w:adjustRightInd w:val="0"/>
        <w:spacing w:before="0" w:after="0" w:line="360" w:lineRule="auto"/>
        <w:jc w:val="both"/>
        <w:rPr>
          <w:rFonts w:ascii="David" w:hAnsi="David"/>
          <w:color w:val="000000"/>
          <w:lang w:eastAsia="he-IL"/>
        </w:rPr>
      </w:pPr>
      <w:r>
        <w:rPr>
          <w:rFonts w:ascii="David" w:hAnsi="David" w:hint="cs"/>
          <w:color w:val="000000"/>
          <w:rtl/>
          <w:lang w:eastAsia="he-IL"/>
        </w:rPr>
        <w:t xml:space="preserve">קנס כספי בסך 7,000 ₪ </w:t>
      </w:r>
      <w:r w:rsidRPr="00CA7954">
        <w:rPr>
          <w:rFonts w:ascii="David" w:hAnsi="David" w:hint="cs"/>
          <w:color w:val="000000"/>
          <w:rtl/>
          <w:lang w:eastAsia="he-IL"/>
        </w:rPr>
        <w:t xml:space="preserve">או </w:t>
      </w:r>
      <w:r>
        <w:rPr>
          <w:rFonts w:ascii="David" w:hAnsi="David" w:hint="cs"/>
          <w:color w:val="000000"/>
          <w:rtl/>
          <w:lang w:eastAsia="he-IL"/>
        </w:rPr>
        <w:t xml:space="preserve">3 </w:t>
      </w:r>
      <w:r w:rsidRPr="00CA7954">
        <w:rPr>
          <w:rFonts w:ascii="David" w:hAnsi="David" w:hint="cs"/>
          <w:color w:val="000000"/>
          <w:rtl/>
          <w:lang w:eastAsia="he-IL"/>
        </w:rPr>
        <w:t>חודש</w:t>
      </w:r>
      <w:r>
        <w:rPr>
          <w:rFonts w:ascii="David" w:hAnsi="David" w:hint="cs"/>
          <w:color w:val="000000"/>
          <w:rtl/>
          <w:lang w:eastAsia="he-IL"/>
        </w:rPr>
        <w:t>י מאסר תמורתם.</w:t>
      </w:r>
      <w:r w:rsidRPr="00CA7954">
        <w:rPr>
          <w:rFonts w:ascii="David" w:hAnsi="David" w:hint="cs"/>
          <w:color w:val="000000"/>
          <w:rtl/>
          <w:lang w:eastAsia="he-IL"/>
        </w:rPr>
        <w:t xml:space="preserve"> הקנס יופקד במזכירות בית המשפט עד ליום</w:t>
      </w:r>
      <w:r>
        <w:rPr>
          <w:rFonts w:ascii="David" w:hAnsi="David" w:hint="cs"/>
          <w:color w:val="000000"/>
          <w:rtl/>
          <w:lang w:eastAsia="he-IL"/>
        </w:rPr>
        <w:t xml:space="preserve"> 15/12/21. ניתן לקזז הפקדות בתיק המעצר.</w:t>
      </w:r>
    </w:p>
    <w:p w14:paraId="6BF36404" w14:textId="77777777" w:rsidR="00C36FD4" w:rsidRPr="00D3711E" w:rsidRDefault="00C36FD4" w:rsidP="00C36FD4">
      <w:pPr>
        <w:pStyle w:val="ListParagraph"/>
        <w:numPr>
          <w:ilvl w:val="0"/>
          <w:numId w:val="1"/>
        </w:numPr>
        <w:spacing w:line="360" w:lineRule="auto"/>
        <w:jc w:val="both"/>
        <w:rPr>
          <w:rFonts w:ascii="Arial" w:hAnsi="Arial"/>
        </w:rPr>
      </w:pPr>
      <w:r w:rsidRPr="00D3711E">
        <w:rPr>
          <w:rFonts w:ascii="Arial" w:hAnsi="Arial" w:hint="cs"/>
          <w:rtl/>
        </w:rPr>
        <w:t>אני מעמיד</w:t>
      </w:r>
      <w:r>
        <w:rPr>
          <w:rFonts w:ascii="Arial" w:hAnsi="Arial" w:hint="cs"/>
          <w:rtl/>
        </w:rPr>
        <w:t>ה</w:t>
      </w:r>
      <w:r w:rsidRPr="00D3711E">
        <w:rPr>
          <w:rFonts w:ascii="Arial" w:hAnsi="Arial" w:hint="cs"/>
          <w:rtl/>
        </w:rPr>
        <w:t xml:space="preserve"> את הנאשם בפיקוח שרות המבחן לתקופה בת 1</w:t>
      </w:r>
      <w:r>
        <w:rPr>
          <w:rFonts w:ascii="Arial" w:hAnsi="Arial" w:hint="cs"/>
          <w:rtl/>
        </w:rPr>
        <w:t>2</w:t>
      </w:r>
      <w:r w:rsidRPr="00D3711E">
        <w:rPr>
          <w:rFonts w:ascii="Arial" w:hAnsi="Arial" w:hint="cs"/>
          <w:rtl/>
        </w:rPr>
        <w:t xml:space="preserve"> חודשים. הובהר לנאשם כי היה ויפר את צו המבחן, ניתן יהא להשיבו את עניינו לבית המשפט ולגזור את דינו מחדש. </w:t>
      </w:r>
    </w:p>
    <w:p w14:paraId="7350ED94" w14:textId="77777777" w:rsidR="00C36FD4" w:rsidRPr="00D3711E" w:rsidRDefault="00C36FD4" w:rsidP="00C36FD4">
      <w:pPr>
        <w:pStyle w:val="ListParagraph"/>
        <w:autoSpaceDE w:val="0"/>
        <w:autoSpaceDN w:val="0"/>
        <w:adjustRightInd w:val="0"/>
        <w:spacing w:before="0" w:after="0" w:line="360" w:lineRule="auto"/>
        <w:ind w:left="1080"/>
        <w:jc w:val="both"/>
        <w:rPr>
          <w:rFonts w:ascii="David" w:hAnsi="David"/>
          <w:color w:val="000000"/>
          <w:lang w:eastAsia="he-IL"/>
        </w:rPr>
      </w:pPr>
    </w:p>
    <w:p w14:paraId="02B737FD"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r>
        <w:rPr>
          <w:rFonts w:ascii="David" w:hAnsi="David" w:hint="cs"/>
          <w:color w:val="000000"/>
          <w:rtl/>
          <w:lang w:eastAsia="he-IL"/>
        </w:rPr>
        <w:t xml:space="preserve">נוכח הסכמת הצדדים- אני </w:t>
      </w:r>
      <w:r w:rsidRPr="00CA7954">
        <w:rPr>
          <w:rFonts w:ascii="David" w:hAnsi="David" w:hint="cs"/>
          <w:color w:val="000000"/>
          <w:rtl/>
          <w:lang w:eastAsia="he-IL"/>
        </w:rPr>
        <w:t xml:space="preserve">מורה על חילוט </w:t>
      </w:r>
      <w:r>
        <w:rPr>
          <w:rFonts w:ascii="David" w:hAnsi="David" w:hint="cs"/>
          <w:color w:val="000000"/>
          <w:rtl/>
          <w:lang w:eastAsia="he-IL"/>
        </w:rPr>
        <w:t>12,490 ₪ ו 400$ שנתפסו מהנאשם.</w:t>
      </w:r>
    </w:p>
    <w:p w14:paraId="49EB83B5" w14:textId="77777777" w:rsidR="00C36FD4" w:rsidRPr="00CA7954" w:rsidRDefault="00C36FD4" w:rsidP="00C36FD4">
      <w:pPr>
        <w:pStyle w:val="ListParagraph"/>
        <w:autoSpaceDE w:val="0"/>
        <w:autoSpaceDN w:val="0"/>
        <w:adjustRightInd w:val="0"/>
        <w:spacing w:before="0" w:after="0" w:line="360" w:lineRule="auto"/>
        <w:ind w:left="1080"/>
        <w:jc w:val="both"/>
        <w:rPr>
          <w:rFonts w:ascii="David" w:hAnsi="David"/>
          <w:color w:val="000000"/>
          <w:lang w:eastAsia="he-IL"/>
        </w:rPr>
      </w:pPr>
    </w:p>
    <w:p w14:paraId="6B288355"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r>
        <w:rPr>
          <w:rFonts w:ascii="David" w:hAnsi="David" w:hint="cs"/>
          <w:color w:val="000000"/>
          <w:rtl/>
          <w:lang w:eastAsia="he-IL"/>
        </w:rPr>
        <w:t xml:space="preserve">אני </w:t>
      </w:r>
      <w:r w:rsidRPr="00CA7954">
        <w:rPr>
          <w:rFonts w:ascii="David" w:hAnsi="David" w:hint="cs"/>
          <w:color w:val="000000"/>
          <w:rtl/>
          <w:lang w:eastAsia="he-IL"/>
        </w:rPr>
        <w:t>מורה על השבת רכבו של הנאשם</w:t>
      </w:r>
      <w:r>
        <w:rPr>
          <w:rFonts w:ascii="David" w:hAnsi="David" w:hint="cs"/>
          <w:color w:val="000000"/>
          <w:rtl/>
          <w:lang w:eastAsia="he-IL"/>
        </w:rPr>
        <w:t>, מאזדה מ.ר 67-154-11</w:t>
      </w:r>
      <w:r w:rsidRPr="00CA7954">
        <w:rPr>
          <w:rFonts w:ascii="David" w:hAnsi="David" w:hint="cs"/>
          <w:color w:val="000000"/>
          <w:rtl/>
          <w:lang w:eastAsia="he-IL"/>
        </w:rPr>
        <w:t xml:space="preserve"> לחזקתו.</w:t>
      </w:r>
    </w:p>
    <w:p w14:paraId="0C4336CA" w14:textId="77777777" w:rsidR="00C36FD4" w:rsidRPr="00CA7954" w:rsidRDefault="00C36FD4" w:rsidP="00C36FD4">
      <w:pPr>
        <w:pStyle w:val="ListParagraph"/>
        <w:autoSpaceDE w:val="0"/>
        <w:autoSpaceDN w:val="0"/>
        <w:adjustRightInd w:val="0"/>
        <w:spacing w:before="0" w:after="0" w:line="360" w:lineRule="auto"/>
        <w:ind w:left="1080"/>
        <w:jc w:val="both"/>
        <w:rPr>
          <w:rFonts w:ascii="David" w:hAnsi="David"/>
          <w:color w:val="000000"/>
          <w:lang w:eastAsia="he-IL"/>
        </w:rPr>
      </w:pPr>
    </w:p>
    <w:p w14:paraId="09998DDF"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r>
        <w:rPr>
          <w:rFonts w:ascii="David" w:hAnsi="David" w:hint="cs"/>
          <w:color w:val="000000"/>
          <w:rtl/>
          <w:lang w:eastAsia="he-IL"/>
        </w:rPr>
        <w:t>ניתן צו כללי ומוצגים.</w:t>
      </w:r>
    </w:p>
    <w:p w14:paraId="62E4571C"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p>
    <w:p w14:paraId="6CEEC8BA"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r>
        <w:rPr>
          <w:rFonts w:ascii="David" w:hAnsi="David" w:hint="cs"/>
          <w:color w:val="000000"/>
          <w:rtl/>
          <w:lang w:eastAsia="he-IL"/>
        </w:rPr>
        <w:t>זכות ערעור כחוק.</w:t>
      </w:r>
    </w:p>
    <w:p w14:paraId="1F977591"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p>
    <w:p w14:paraId="10860808" w14:textId="77777777" w:rsidR="00C36FD4" w:rsidRDefault="00C36FD4" w:rsidP="00C36FD4">
      <w:pPr>
        <w:pStyle w:val="ListParagraph"/>
        <w:autoSpaceDE w:val="0"/>
        <w:autoSpaceDN w:val="0"/>
        <w:adjustRightInd w:val="0"/>
        <w:spacing w:before="0" w:after="0" w:line="360" w:lineRule="auto"/>
        <w:ind w:left="1080"/>
        <w:jc w:val="both"/>
        <w:rPr>
          <w:rFonts w:ascii="David" w:hAnsi="David"/>
          <w:color w:val="000000"/>
          <w:rtl/>
          <w:lang w:eastAsia="he-IL"/>
        </w:rPr>
      </w:pPr>
      <w:r w:rsidRPr="005F1CAC">
        <w:rPr>
          <w:rFonts w:ascii="David" w:hAnsi="David" w:hint="cs"/>
          <w:color w:val="000000"/>
          <w:u w:val="single"/>
          <w:rtl/>
          <w:lang w:eastAsia="he-IL"/>
        </w:rPr>
        <w:t>המזכירות</w:t>
      </w:r>
      <w:r>
        <w:rPr>
          <w:rFonts w:ascii="David" w:hAnsi="David" w:hint="cs"/>
          <w:color w:val="000000"/>
          <w:rtl/>
          <w:lang w:eastAsia="he-IL"/>
        </w:rPr>
        <w:t xml:space="preserve"> תשלח העתק לשירות מבחן.</w:t>
      </w:r>
    </w:p>
    <w:p w14:paraId="00EED1E8" w14:textId="77777777" w:rsidR="00C36FD4" w:rsidRDefault="00C36FD4" w:rsidP="00C36FD4">
      <w:pPr>
        <w:autoSpaceDE w:val="0"/>
        <w:autoSpaceDN w:val="0"/>
        <w:adjustRightInd w:val="0"/>
        <w:spacing w:line="360" w:lineRule="auto"/>
        <w:ind w:left="720" w:hanging="720"/>
        <w:jc w:val="both"/>
        <w:rPr>
          <w:rFonts w:ascii="David" w:hAnsi="David"/>
          <w:color w:val="000000"/>
          <w:rtl/>
          <w:lang w:eastAsia="he-IL"/>
        </w:rPr>
      </w:pPr>
    </w:p>
    <w:p w14:paraId="64F77131" w14:textId="77777777" w:rsidR="00C36FD4" w:rsidRPr="00072940" w:rsidRDefault="004C69CA" w:rsidP="00C36FD4">
      <w:pPr>
        <w:rPr>
          <w:b/>
          <w:bCs/>
          <w:rtl/>
        </w:rPr>
      </w:pPr>
      <w:bookmarkStart w:id="8" w:name="Nitan"/>
      <w:r w:rsidRPr="00072940">
        <w:rPr>
          <w:rFonts w:ascii="Arial" w:hAnsi="Arial"/>
          <w:b/>
          <w:bCs/>
          <w:color w:val="FFFFFF"/>
          <w:sz w:val="2"/>
          <w:szCs w:val="2"/>
          <w:rtl/>
        </w:rPr>
        <w:t>5129371</w:t>
      </w:r>
      <w:r w:rsidRPr="00072940">
        <w:rPr>
          <w:rFonts w:ascii="Arial" w:hAnsi="Arial"/>
          <w:b/>
          <w:bCs/>
          <w:rtl/>
        </w:rPr>
        <w:t xml:space="preserve">ניתן היום,  כ"א כסלו תשפ"ב, 25 נובמבר 2021, במעמד הצדדים. </w:t>
      </w:r>
      <w:bookmarkEnd w:id="8"/>
    </w:p>
    <w:tbl>
      <w:tblPr>
        <w:tblpPr w:leftFromText="180" w:rightFromText="180" w:vertAnchor="text" w:horzAnchor="page" w:tblpX="1163" w:tblpY="171"/>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C36FD4" w14:paraId="5ED39143" w14:textId="77777777" w:rsidTr="00C36FD4">
        <w:trPr>
          <w:trHeight w:val="316"/>
        </w:trPr>
        <w:tc>
          <w:tcPr>
            <w:tcW w:w="3936" w:type="dxa"/>
            <w:tcBorders>
              <w:top w:val="nil"/>
              <w:left w:val="nil"/>
              <w:bottom w:val="single" w:sz="4" w:space="0" w:color="auto"/>
              <w:right w:val="nil"/>
            </w:tcBorders>
            <w:shd w:val="clear" w:color="auto" w:fill="auto"/>
            <w:vAlign w:val="center"/>
          </w:tcPr>
          <w:p w14:paraId="03BE62AF" w14:textId="77777777" w:rsidR="00C36FD4" w:rsidRPr="004C69CA" w:rsidRDefault="004C69CA" w:rsidP="00C36FD4">
            <w:pPr>
              <w:jc w:val="center"/>
              <w:rPr>
                <w:rFonts w:cs="Times New Roman"/>
                <w:color w:val="FFFFFF"/>
                <w:sz w:val="2"/>
                <w:szCs w:val="2"/>
              </w:rPr>
            </w:pPr>
            <w:r w:rsidRPr="004C69CA">
              <w:rPr>
                <w:rFonts w:cs="Times New Roman"/>
                <w:color w:val="FFFFFF"/>
                <w:sz w:val="2"/>
                <w:szCs w:val="2"/>
                <w:rtl/>
              </w:rPr>
              <w:t>54678313</w:t>
            </w:r>
          </w:p>
          <w:p w14:paraId="39DC9882" w14:textId="77777777" w:rsidR="00C36FD4" w:rsidRDefault="00C36FD4" w:rsidP="00C36FD4">
            <w:pPr>
              <w:jc w:val="center"/>
            </w:pPr>
          </w:p>
        </w:tc>
      </w:tr>
      <w:tr w:rsidR="00C36FD4" w14:paraId="2D2A061A" w14:textId="77777777" w:rsidTr="00C36FD4">
        <w:trPr>
          <w:trHeight w:val="361"/>
        </w:trPr>
        <w:tc>
          <w:tcPr>
            <w:tcW w:w="3936" w:type="dxa"/>
            <w:tcBorders>
              <w:top w:val="single" w:sz="4" w:space="0" w:color="auto"/>
              <w:left w:val="nil"/>
              <w:bottom w:val="nil"/>
              <w:right w:val="nil"/>
            </w:tcBorders>
            <w:shd w:val="clear" w:color="auto" w:fill="auto"/>
            <w:vAlign w:val="center"/>
          </w:tcPr>
          <w:p w14:paraId="75788F9A" w14:textId="77777777" w:rsidR="00C36FD4" w:rsidRPr="00C36FD4" w:rsidRDefault="00C36FD4" w:rsidP="00C36FD4">
            <w:pPr>
              <w:jc w:val="center"/>
              <w:rPr>
                <w:b/>
                <w:bCs/>
                <w:rtl/>
              </w:rPr>
            </w:pPr>
            <w:r w:rsidRPr="00C36FD4">
              <w:rPr>
                <w:rFonts w:hint="cs"/>
                <w:b/>
                <w:bCs/>
                <w:rtl/>
              </w:rPr>
              <w:t>מעין בן ארי, שופטת</w:t>
            </w:r>
          </w:p>
        </w:tc>
      </w:tr>
    </w:tbl>
    <w:p w14:paraId="4038D05D" w14:textId="77777777" w:rsidR="00C36FD4" w:rsidRDefault="00C36FD4" w:rsidP="00C36FD4">
      <w:pPr>
        <w:jc w:val="center"/>
        <w:rPr>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p>
    <w:p w14:paraId="5E9E4D1C" w14:textId="77777777" w:rsidR="00D36F7E" w:rsidRPr="004C69CA" w:rsidRDefault="00D36F7E" w:rsidP="004C69CA">
      <w:pPr>
        <w:keepNext/>
        <w:rPr>
          <w:rFonts w:ascii="David" w:hAnsi="David"/>
          <w:color w:val="000000"/>
          <w:sz w:val="22"/>
          <w:szCs w:val="22"/>
          <w:rtl/>
        </w:rPr>
      </w:pPr>
    </w:p>
    <w:p w14:paraId="7A011664" w14:textId="77777777" w:rsidR="004C69CA" w:rsidRPr="004C69CA" w:rsidRDefault="004C69CA" w:rsidP="004C69CA">
      <w:pPr>
        <w:keepNext/>
        <w:rPr>
          <w:rFonts w:ascii="David" w:hAnsi="David"/>
          <w:color w:val="000000"/>
          <w:sz w:val="22"/>
          <w:szCs w:val="22"/>
          <w:rtl/>
        </w:rPr>
      </w:pPr>
      <w:r w:rsidRPr="004C69CA">
        <w:rPr>
          <w:rFonts w:ascii="David" w:hAnsi="David"/>
          <w:color w:val="000000"/>
          <w:sz w:val="22"/>
          <w:szCs w:val="22"/>
          <w:rtl/>
        </w:rPr>
        <w:t>מעין בן ארי 54678313</w:t>
      </w:r>
    </w:p>
    <w:p w14:paraId="16C4F7C3" w14:textId="77777777" w:rsidR="004C69CA" w:rsidRDefault="004C69CA" w:rsidP="004C69CA">
      <w:r w:rsidRPr="004C69CA">
        <w:rPr>
          <w:color w:val="000000"/>
          <w:rtl/>
        </w:rPr>
        <w:t>נוסח מסמך זה כפוף לשינויי ניסוח ועריכה</w:t>
      </w:r>
    </w:p>
    <w:p w14:paraId="1D61AA04" w14:textId="77777777" w:rsidR="004C69CA" w:rsidRDefault="004C69CA" w:rsidP="004C69CA">
      <w:pPr>
        <w:rPr>
          <w:rtl/>
        </w:rPr>
      </w:pPr>
    </w:p>
    <w:p w14:paraId="46C41B71" w14:textId="77777777" w:rsidR="004C69CA" w:rsidRDefault="004C69CA" w:rsidP="004C69CA">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C5D9C88" w14:textId="77777777" w:rsidR="004C69CA" w:rsidRPr="004C69CA" w:rsidRDefault="004C69CA" w:rsidP="004C69CA">
      <w:pPr>
        <w:jc w:val="center"/>
        <w:rPr>
          <w:color w:val="0000FF"/>
          <w:u w:val="single"/>
        </w:rPr>
      </w:pPr>
    </w:p>
    <w:sectPr w:rsidR="004C69CA" w:rsidRPr="004C69CA" w:rsidSect="004C69CA">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2734D" w14:textId="77777777" w:rsidR="00491FE8" w:rsidRDefault="00491FE8" w:rsidP="00BA66C8">
      <w:r>
        <w:separator/>
      </w:r>
    </w:p>
  </w:endnote>
  <w:endnote w:type="continuationSeparator" w:id="0">
    <w:p w14:paraId="566F414D" w14:textId="77777777" w:rsidR="00491FE8" w:rsidRDefault="00491FE8" w:rsidP="00B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11B2" w14:textId="77777777" w:rsidR="004C69CA" w:rsidRDefault="004C69CA" w:rsidP="004C69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E4D479" w14:textId="77777777" w:rsidR="00AE2EAB" w:rsidRPr="004C69CA" w:rsidRDefault="004C69CA" w:rsidP="004C69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399EC" w14:textId="77777777" w:rsidR="004C69CA" w:rsidRDefault="004C69CA" w:rsidP="004C69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6D5A">
      <w:rPr>
        <w:rFonts w:ascii="FrankRuehl" w:hAnsi="FrankRuehl" w:cs="FrankRuehl"/>
        <w:noProof/>
        <w:rtl/>
      </w:rPr>
      <w:t>1</w:t>
    </w:r>
    <w:r>
      <w:rPr>
        <w:rFonts w:ascii="FrankRuehl" w:hAnsi="FrankRuehl" w:cs="FrankRuehl"/>
        <w:rtl/>
      </w:rPr>
      <w:fldChar w:fldCharType="end"/>
    </w:r>
  </w:p>
  <w:p w14:paraId="23A4C83B" w14:textId="77777777" w:rsidR="00AE2EAB" w:rsidRPr="004C69CA" w:rsidRDefault="004C69CA" w:rsidP="004C69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16E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DC81D" w14:textId="77777777" w:rsidR="00491FE8" w:rsidRDefault="00491FE8" w:rsidP="00BA66C8">
      <w:r>
        <w:separator/>
      </w:r>
    </w:p>
  </w:footnote>
  <w:footnote w:type="continuationSeparator" w:id="0">
    <w:p w14:paraId="2A4E34B8" w14:textId="77777777" w:rsidR="00491FE8" w:rsidRDefault="00491FE8" w:rsidP="00B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18E6C" w14:textId="77777777" w:rsidR="004C69CA" w:rsidRPr="004C69CA" w:rsidRDefault="004C69CA" w:rsidP="004C69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6678-12-20</w:t>
    </w:r>
    <w:r>
      <w:rPr>
        <w:rFonts w:ascii="David" w:hAnsi="David"/>
        <w:color w:val="000000"/>
        <w:sz w:val="22"/>
        <w:szCs w:val="22"/>
        <w:rtl/>
      </w:rPr>
      <w:tab/>
      <w:t xml:space="preserve"> מדינת ישראל נ' שניר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2911" w14:textId="77777777" w:rsidR="004C69CA" w:rsidRPr="004C69CA" w:rsidRDefault="004C69CA" w:rsidP="004C69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6678-12-20</w:t>
    </w:r>
    <w:r>
      <w:rPr>
        <w:rFonts w:ascii="David" w:hAnsi="David"/>
        <w:color w:val="000000"/>
        <w:sz w:val="22"/>
        <w:szCs w:val="22"/>
        <w:rtl/>
      </w:rPr>
      <w:tab/>
      <w:t xml:space="preserve"> מדינת ישראל נ' שניר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C344FA"/>
    <w:multiLevelType w:val="hybridMultilevel"/>
    <w:tmpl w:val="6DCCA4EC"/>
    <w:lvl w:ilvl="0" w:tplc="9E64D5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490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6FD4"/>
    <w:rsid w:val="00026D5A"/>
    <w:rsid w:val="00072940"/>
    <w:rsid w:val="000862DE"/>
    <w:rsid w:val="001B5A3B"/>
    <w:rsid w:val="00491FE8"/>
    <w:rsid w:val="004C69CA"/>
    <w:rsid w:val="008E031A"/>
    <w:rsid w:val="00977402"/>
    <w:rsid w:val="00AE2EAB"/>
    <w:rsid w:val="00BA66C8"/>
    <w:rsid w:val="00C36FD4"/>
    <w:rsid w:val="00CA5552"/>
    <w:rsid w:val="00CB0189"/>
    <w:rsid w:val="00D36F7E"/>
    <w:rsid w:val="00F70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E83B83"/>
  <w15:chartTrackingRefBased/>
  <w15:docId w15:val="{8BE798A4-B3B8-40F9-A745-55F8506C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6FD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6FD4"/>
    <w:pPr>
      <w:tabs>
        <w:tab w:val="center" w:pos="4153"/>
        <w:tab w:val="right" w:pos="8306"/>
      </w:tabs>
    </w:pPr>
  </w:style>
  <w:style w:type="character" w:customStyle="1" w:styleId="a4">
    <w:name w:val="כותרת עליונה תו"/>
    <w:link w:val="a3"/>
    <w:rsid w:val="00C36FD4"/>
    <w:rPr>
      <w:rFonts w:ascii="Times New Roman" w:eastAsia="Times New Roman" w:hAnsi="Times New Roman" w:cs="David"/>
      <w:sz w:val="24"/>
      <w:szCs w:val="24"/>
    </w:rPr>
  </w:style>
  <w:style w:type="paragraph" w:styleId="a5">
    <w:name w:val="footer"/>
    <w:basedOn w:val="a"/>
    <w:link w:val="a6"/>
    <w:rsid w:val="00C36FD4"/>
    <w:pPr>
      <w:tabs>
        <w:tab w:val="center" w:pos="4153"/>
        <w:tab w:val="right" w:pos="8306"/>
      </w:tabs>
    </w:pPr>
  </w:style>
  <w:style w:type="character" w:customStyle="1" w:styleId="a6">
    <w:name w:val="כותרת תחתונה תו"/>
    <w:link w:val="a5"/>
    <w:rsid w:val="00C36FD4"/>
    <w:rPr>
      <w:rFonts w:ascii="Times New Roman" w:eastAsia="Times New Roman" w:hAnsi="Times New Roman" w:cs="David"/>
      <w:sz w:val="24"/>
      <w:szCs w:val="24"/>
    </w:rPr>
  </w:style>
  <w:style w:type="table" w:styleId="a7">
    <w:name w:val="Table Grid"/>
    <w:basedOn w:val="a1"/>
    <w:rsid w:val="00C36F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6FD4"/>
  </w:style>
  <w:style w:type="paragraph" w:customStyle="1" w:styleId="ListParagraph">
    <w:name w:val="List Paragraph"/>
    <w:basedOn w:val="a"/>
    <w:qFormat/>
    <w:rsid w:val="00C36FD4"/>
    <w:pPr>
      <w:spacing w:before="120" w:after="280" w:line="259" w:lineRule="auto"/>
      <w:ind w:left="720"/>
      <w:contextualSpacing/>
    </w:pPr>
    <w:rPr>
      <w:rFonts w:ascii="Calibri" w:eastAsia="Calibri" w:hAnsi="Calibri"/>
      <w:sz w:val="22"/>
    </w:rPr>
  </w:style>
  <w:style w:type="character" w:styleId="a9">
    <w:name w:val="line number"/>
    <w:rsid w:val="00C36FD4"/>
  </w:style>
  <w:style w:type="character" w:styleId="Hyperlink">
    <w:name w:val="Hyperlink"/>
    <w:rsid w:val="004C6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ka" TargetMode="External"/><Relationship Id="rId18" Type="http://schemas.openxmlformats.org/officeDocument/2006/relationships/hyperlink" Target="http://www.nevo.co.il/law/70301/34k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6824952" TargetMode="External"/><Relationship Id="rId21" Type="http://schemas.openxmlformats.org/officeDocument/2006/relationships/hyperlink" Target="http://www.nevo.co.il/case/5698919"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01158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2828581"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0118363" TargetMode="External"/><Relationship Id="rId32" Type="http://schemas.openxmlformats.org/officeDocument/2006/relationships/hyperlink" Target="http://www.nevo.co.il/case/2057153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708947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5571560" TargetMode="External"/><Relationship Id="rId28" Type="http://schemas.openxmlformats.org/officeDocument/2006/relationships/hyperlink" Target="http://www.nevo.co.il/case/20151395" TargetMode="External"/><Relationship Id="rId36" Type="http://schemas.openxmlformats.org/officeDocument/2006/relationships/hyperlink" Target="http://www.nevo.co.il/law/70301/40d"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70882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3226242" TargetMode="External"/><Relationship Id="rId30" Type="http://schemas.openxmlformats.org/officeDocument/2006/relationships/hyperlink" Target="http://www.nevo.co.il/case/25999719" TargetMode="External"/><Relationship Id="rId35" Type="http://schemas.openxmlformats.org/officeDocument/2006/relationships/hyperlink" Target="http://www.nevo.co.il/case/11269647" TargetMode="External"/><Relationship Id="rId43" Type="http://schemas.openxmlformats.org/officeDocument/2006/relationships/hyperlink" Target="http://www.nevo.co.il/case/27742715"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5"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5"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case/5601732"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1127920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3628</Words>
  <Characters>18143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21728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3539056</vt:i4>
      </vt:variant>
      <vt:variant>
        <vt:i4>108</vt:i4>
      </vt:variant>
      <vt:variant>
        <vt:i4>0</vt:i4>
      </vt:variant>
      <vt:variant>
        <vt:i4>5</vt:i4>
      </vt:variant>
      <vt:variant>
        <vt:lpwstr>http://www.nevo.co.il/case/27742715</vt:lpwstr>
      </vt:variant>
      <vt:variant>
        <vt:lpwstr/>
      </vt:variant>
      <vt:variant>
        <vt:i4>3407997</vt:i4>
      </vt:variant>
      <vt:variant>
        <vt:i4>105</vt:i4>
      </vt:variant>
      <vt:variant>
        <vt:i4>0</vt:i4>
      </vt:variant>
      <vt:variant>
        <vt:i4>5</vt:i4>
      </vt:variant>
      <vt:variant>
        <vt:lpwstr>http://www.nevo.co.il/case/6011586</vt:lpwstr>
      </vt:variant>
      <vt:variant>
        <vt:lpwstr/>
      </vt:variant>
      <vt:variant>
        <vt:i4>3801200</vt:i4>
      </vt:variant>
      <vt:variant>
        <vt:i4>102</vt:i4>
      </vt:variant>
      <vt:variant>
        <vt:i4>0</vt:i4>
      </vt:variant>
      <vt:variant>
        <vt:i4>5</vt:i4>
      </vt:variant>
      <vt:variant>
        <vt:lpwstr>http://www.nevo.co.il/case/11279208</vt:lpwstr>
      </vt:variant>
      <vt:variant>
        <vt:lpwstr/>
      </vt:variant>
      <vt:variant>
        <vt:i4>4128895</vt:i4>
      </vt:variant>
      <vt:variant>
        <vt:i4>99</vt:i4>
      </vt:variant>
      <vt:variant>
        <vt:i4>0</vt:i4>
      </vt:variant>
      <vt:variant>
        <vt:i4>5</vt:i4>
      </vt:variant>
      <vt:variant>
        <vt:lpwstr>http://www.nevo.co.il/case/17089471</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3145840</vt:i4>
      </vt:variant>
      <vt:variant>
        <vt:i4>93</vt:i4>
      </vt:variant>
      <vt:variant>
        <vt:i4>0</vt:i4>
      </vt:variant>
      <vt:variant>
        <vt:i4>5</vt:i4>
      </vt:variant>
      <vt:variant>
        <vt:lpwstr>http://www.nevo.co.il/case/5601732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http://www.nevo.co.il/law/70301/40d</vt:lpwstr>
      </vt:variant>
      <vt:variant>
        <vt:lpwstr/>
      </vt:variant>
      <vt:variant>
        <vt:i4>4063349</vt:i4>
      </vt:variant>
      <vt:variant>
        <vt:i4>84</vt:i4>
      </vt:variant>
      <vt:variant>
        <vt:i4>0</vt:i4>
      </vt:variant>
      <vt:variant>
        <vt:i4>5</vt:i4>
      </vt:variant>
      <vt:variant>
        <vt:lpwstr>http://www.nevo.co.il/case/11269647</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3473526</vt:i4>
      </vt:variant>
      <vt:variant>
        <vt:i4>75</vt:i4>
      </vt:variant>
      <vt:variant>
        <vt:i4>0</vt:i4>
      </vt:variant>
      <vt:variant>
        <vt:i4>5</vt:i4>
      </vt:variant>
      <vt:variant>
        <vt:lpwstr>http://www.nevo.co.il/case/20571533</vt:lpwstr>
      </vt:variant>
      <vt:variant>
        <vt:lpwstr/>
      </vt:variant>
      <vt:variant>
        <vt:i4>4128889</vt:i4>
      </vt:variant>
      <vt:variant>
        <vt:i4>72</vt:i4>
      </vt:variant>
      <vt:variant>
        <vt:i4>0</vt:i4>
      </vt:variant>
      <vt:variant>
        <vt:i4>5</vt:i4>
      </vt:variant>
      <vt:variant>
        <vt:lpwstr>http://www.nevo.co.il/case/25708829</vt:lpwstr>
      </vt:variant>
      <vt:variant>
        <vt:lpwstr/>
      </vt:variant>
      <vt:variant>
        <vt:i4>3342463</vt:i4>
      </vt:variant>
      <vt:variant>
        <vt:i4>69</vt:i4>
      </vt:variant>
      <vt:variant>
        <vt:i4>0</vt:i4>
      </vt:variant>
      <vt:variant>
        <vt:i4>5</vt:i4>
      </vt:variant>
      <vt:variant>
        <vt:lpwstr>http://www.nevo.co.il/case/25999719</vt:lpwstr>
      </vt:variant>
      <vt:variant>
        <vt:lpwstr/>
      </vt:variant>
      <vt:variant>
        <vt:i4>3801201</vt:i4>
      </vt:variant>
      <vt:variant>
        <vt:i4>66</vt:i4>
      </vt:variant>
      <vt:variant>
        <vt:i4>0</vt:i4>
      </vt:variant>
      <vt:variant>
        <vt:i4>5</vt:i4>
      </vt:variant>
      <vt:variant>
        <vt:lpwstr>http://www.nevo.co.il/case/22828581</vt:lpwstr>
      </vt:variant>
      <vt:variant>
        <vt:lpwstr/>
      </vt:variant>
      <vt:variant>
        <vt:i4>3866738</vt:i4>
      </vt:variant>
      <vt:variant>
        <vt:i4>63</vt:i4>
      </vt:variant>
      <vt:variant>
        <vt:i4>0</vt:i4>
      </vt:variant>
      <vt:variant>
        <vt:i4>5</vt:i4>
      </vt:variant>
      <vt:variant>
        <vt:lpwstr>http://www.nevo.co.il/case/20151395</vt:lpwstr>
      </vt:variant>
      <vt:variant>
        <vt:lpwstr/>
      </vt:variant>
      <vt:variant>
        <vt:i4>3276919</vt:i4>
      </vt:variant>
      <vt:variant>
        <vt:i4>60</vt:i4>
      </vt:variant>
      <vt:variant>
        <vt:i4>0</vt:i4>
      </vt:variant>
      <vt:variant>
        <vt:i4>5</vt:i4>
      </vt:variant>
      <vt:variant>
        <vt:lpwstr>http://www.nevo.co.il/case/23226242</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http://www.nevo.co.il/law/70301/40i.5</vt:lpwstr>
      </vt:variant>
      <vt:variant>
        <vt:lpwstr/>
      </vt:variant>
      <vt:variant>
        <vt:i4>3997814</vt:i4>
      </vt:variant>
      <vt:variant>
        <vt:i4>51</vt:i4>
      </vt:variant>
      <vt:variant>
        <vt:i4>0</vt:i4>
      </vt:variant>
      <vt:variant>
        <vt:i4>5</vt:i4>
      </vt:variant>
      <vt:variant>
        <vt:lpwstr>http://www.nevo.co.il/case/20118363</vt:lpwstr>
      </vt:variant>
      <vt:variant>
        <vt:lpwstr/>
      </vt:variant>
      <vt:variant>
        <vt:i4>3604598</vt:i4>
      </vt:variant>
      <vt:variant>
        <vt:i4>48</vt:i4>
      </vt:variant>
      <vt:variant>
        <vt:i4>0</vt:i4>
      </vt:variant>
      <vt:variant>
        <vt:i4>5</vt:i4>
      </vt:variant>
      <vt:variant>
        <vt:lpwstr>http://www.nevo.co.il/case/5571560</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13</vt:i4>
      </vt:variant>
      <vt:variant>
        <vt:i4>33</vt:i4>
      </vt:variant>
      <vt:variant>
        <vt:i4>0</vt:i4>
      </vt:variant>
      <vt:variant>
        <vt:i4>5</vt:i4>
      </vt:variant>
      <vt:variant>
        <vt:lpwstr>http://www.nevo.co.il/law/70301/34ka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13</vt:i4>
      </vt:variant>
      <vt:variant>
        <vt:i4>18</vt:i4>
      </vt:variant>
      <vt:variant>
        <vt:i4>0</vt:i4>
      </vt:variant>
      <vt:variant>
        <vt:i4>5</vt:i4>
      </vt:variant>
      <vt:variant>
        <vt:lpwstr>http://www.nevo.co.il/law/70301/34ka</vt:lpwstr>
      </vt:variant>
      <vt:variant>
        <vt:lpwstr/>
      </vt:variant>
      <vt:variant>
        <vt:i4>4915208</vt:i4>
      </vt:variant>
      <vt:variant>
        <vt:i4>15</vt:i4>
      </vt:variant>
      <vt:variant>
        <vt:i4>0</vt:i4>
      </vt:variant>
      <vt:variant>
        <vt:i4>5</vt:i4>
      </vt:variant>
      <vt:variant>
        <vt:lpwstr>http://www.nevo.co.il/law/70301/40i.5</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6678</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שניר שטרית</vt:lpwstr>
  </property>
  <property fmtid="{D5CDD505-2E9C-101B-9397-08002B2CF9AE}" pid="10" name="LAWYER">
    <vt:lpwstr>לילך שטיבל;שחר חצרוני</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20211125</vt:lpwstr>
  </property>
  <property fmtid="{D5CDD505-2E9C-101B-9397-08002B2CF9AE}" pid="14" name="TYPE_N_DATE">
    <vt:lpwstr>39020211125</vt:lpwstr>
  </property>
  <property fmtid="{D5CDD505-2E9C-101B-9397-08002B2CF9AE}" pid="15" name="WORDNUMPAGES">
    <vt:lpwstr>11</vt:lpwstr>
  </property>
  <property fmtid="{D5CDD505-2E9C-101B-9397-08002B2CF9AE}" pid="16" name="TYPE_ABS_DATE">
    <vt:lpwstr>390120211125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5698919;5583030;5571560;20118363;23226242;20151395;22828581;25999719;25708829;20571533;11269647;5601732;6824952;17089471;11279208;6011586;27742715</vt:lpwstr>
  </property>
  <property fmtid="{D5CDD505-2E9C-101B-9397-08002B2CF9AE}" pid="36" name="LAWLISTTMP1">
    <vt:lpwstr>4216/007.a;007.c</vt:lpwstr>
  </property>
  <property fmtid="{D5CDD505-2E9C-101B-9397-08002B2CF9AE}" pid="37" name="LAWLISTTMP2">
    <vt:lpwstr>70301/34ka;040i.5;40ja;040d</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20211202</vt:lpwstr>
  </property>
  <property fmtid="{D5CDD505-2E9C-101B-9397-08002B2CF9AE}" pid="72" name="METAKZER">
    <vt:lpwstr>מיכל</vt:lpwstr>
  </property>
</Properties>
</file>