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07D1E" w:rsidRPr="00BF60CF" w14:paraId="214D0588" w14:textId="77777777" w:rsidTr="007B583C">
        <w:trPr>
          <w:trHeight w:hRule="exact" w:val="418"/>
          <w:jc w:val="center"/>
        </w:trPr>
        <w:tc>
          <w:tcPr>
            <w:tcW w:w="8861" w:type="dxa"/>
            <w:gridSpan w:val="2"/>
          </w:tcPr>
          <w:p w14:paraId="3FD9CAFC" w14:textId="77777777" w:rsidR="00407D1E" w:rsidRPr="00BF60CF" w:rsidRDefault="00407D1E" w:rsidP="007B583C">
            <w:pPr>
              <w:pStyle w:val="a3"/>
              <w:jc w:val="center"/>
              <w:rPr>
                <w:rFonts w:ascii="Tahoma" w:hAnsi="Tahoma"/>
                <w:color w:val="000080"/>
                <w:sz w:val="32"/>
                <w:szCs w:val="32"/>
                <w:rtl/>
              </w:rPr>
            </w:pPr>
            <w:r w:rsidRPr="00BF60CF">
              <w:rPr>
                <w:rFonts w:ascii="Tahoma" w:hAnsi="Tahoma"/>
                <w:b/>
                <w:bCs/>
                <w:color w:val="000080"/>
                <w:sz w:val="32"/>
                <w:szCs w:val="32"/>
                <w:rtl/>
              </w:rPr>
              <w:t>בית המשפט המחוזי בתל אביב - יפו</w:t>
            </w:r>
          </w:p>
        </w:tc>
      </w:tr>
      <w:tr w:rsidR="00407D1E" w:rsidRPr="00BF60CF" w14:paraId="50569FC7" w14:textId="77777777" w:rsidTr="007B583C">
        <w:trPr>
          <w:trHeight w:val="337"/>
          <w:jc w:val="center"/>
        </w:trPr>
        <w:tc>
          <w:tcPr>
            <w:tcW w:w="5131" w:type="dxa"/>
          </w:tcPr>
          <w:p w14:paraId="22DA0009" w14:textId="77777777" w:rsidR="00407D1E" w:rsidRPr="00BF60CF" w:rsidRDefault="00407D1E" w:rsidP="007B583C">
            <w:pPr>
              <w:rPr>
                <w:sz w:val="26"/>
                <w:szCs w:val="26"/>
                <w:rtl/>
              </w:rPr>
            </w:pPr>
            <w:r w:rsidRPr="00BF60CF">
              <w:rPr>
                <w:sz w:val="26"/>
                <w:szCs w:val="26"/>
                <w:rtl/>
              </w:rPr>
              <w:t>ת"פ</w:t>
            </w:r>
            <w:r w:rsidRPr="00BF60CF">
              <w:rPr>
                <w:rFonts w:hint="cs"/>
                <w:sz w:val="26"/>
                <w:szCs w:val="26"/>
                <w:rtl/>
              </w:rPr>
              <w:t xml:space="preserve"> </w:t>
            </w:r>
            <w:r w:rsidRPr="00BF60CF">
              <w:rPr>
                <w:sz w:val="26"/>
                <w:szCs w:val="26"/>
                <w:rtl/>
              </w:rPr>
              <w:t>73906-12-20</w:t>
            </w:r>
            <w:r w:rsidRPr="00BF60CF">
              <w:rPr>
                <w:rFonts w:hint="cs"/>
                <w:sz w:val="26"/>
                <w:szCs w:val="26"/>
                <w:rtl/>
              </w:rPr>
              <w:t xml:space="preserve"> </w:t>
            </w:r>
            <w:r w:rsidRPr="00BF60CF">
              <w:rPr>
                <w:sz w:val="26"/>
                <w:szCs w:val="26"/>
                <w:rtl/>
              </w:rPr>
              <w:t>מדינת ישראל נ' קניובסקי</w:t>
            </w:r>
          </w:p>
          <w:p w14:paraId="204013A4" w14:textId="77777777" w:rsidR="00407D1E" w:rsidRPr="00BF60CF" w:rsidRDefault="00407D1E" w:rsidP="007B583C">
            <w:pPr>
              <w:pStyle w:val="a3"/>
              <w:rPr>
                <w:rFonts w:cs="FrankRuehl"/>
                <w:sz w:val="28"/>
                <w:szCs w:val="28"/>
                <w:rtl/>
              </w:rPr>
            </w:pPr>
          </w:p>
        </w:tc>
        <w:tc>
          <w:tcPr>
            <w:tcW w:w="3730" w:type="dxa"/>
          </w:tcPr>
          <w:p w14:paraId="553E4129" w14:textId="77777777" w:rsidR="00407D1E" w:rsidRPr="00BF60CF" w:rsidRDefault="00407D1E" w:rsidP="007B583C">
            <w:pPr>
              <w:pStyle w:val="a3"/>
              <w:jc w:val="right"/>
              <w:rPr>
                <w:rFonts w:cs="FrankRuehl"/>
                <w:sz w:val="28"/>
                <w:szCs w:val="28"/>
                <w:rtl/>
              </w:rPr>
            </w:pPr>
          </w:p>
        </w:tc>
      </w:tr>
    </w:tbl>
    <w:p w14:paraId="263C85FD" w14:textId="77777777" w:rsidR="00407D1E" w:rsidRPr="00BF60CF" w:rsidRDefault="00407D1E" w:rsidP="00407D1E">
      <w:pPr>
        <w:pStyle w:val="a3"/>
        <w:rPr>
          <w:rtl/>
        </w:rPr>
      </w:pPr>
      <w:r w:rsidRPr="00BF60CF">
        <w:rPr>
          <w:rFonts w:hint="cs"/>
          <w:rtl/>
        </w:rPr>
        <w:t xml:space="preserve"> </w:t>
      </w:r>
    </w:p>
    <w:tbl>
      <w:tblPr>
        <w:bidiVisual/>
        <w:tblW w:w="8219" w:type="dxa"/>
        <w:tblInd w:w="555" w:type="dxa"/>
        <w:tblLook w:val="01E0" w:firstRow="1" w:lastRow="1" w:firstColumn="1" w:lastColumn="1" w:noHBand="0" w:noVBand="0"/>
      </w:tblPr>
      <w:tblGrid>
        <w:gridCol w:w="2297"/>
        <w:gridCol w:w="5866"/>
        <w:gridCol w:w="56"/>
      </w:tblGrid>
      <w:tr w:rsidR="00407D1E" w:rsidRPr="00BF60CF" w14:paraId="6F961138" w14:textId="77777777" w:rsidTr="00407D1E">
        <w:trPr>
          <w:gridAfter w:val="1"/>
          <w:wAfter w:w="56" w:type="dxa"/>
        </w:trPr>
        <w:tc>
          <w:tcPr>
            <w:tcW w:w="8163" w:type="dxa"/>
            <w:gridSpan w:val="2"/>
            <w:shd w:val="clear" w:color="auto" w:fill="auto"/>
          </w:tcPr>
          <w:p w14:paraId="7AECF593" w14:textId="77777777" w:rsidR="00407D1E" w:rsidRPr="00BF60CF" w:rsidRDefault="00407D1E" w:rsidP="00407D1E">
            <w:pPr>
              <w:spacing w:line="360" w:lineRule="auto"/>
              <w:jc w:val="both"/>
              <w:rPr>
                <w:b/>
                <w:bCs/>
              </w:rPr>
            </w:pPr>
            <w:r w:rsidRPr="00BF60CF">
              <w:rPr>
                <w:b/>
                <w:bCs/>
                <w:rtl/>
              </w:rPr>
              <w:t>פני כבוד השופט בני שגיא, סגן נשיא</w:t>
            </w:r>
          </w:p>
        </w:tc>
      </w:tr>
      <w:tr w:rsidR="00407D1E" w:rsidRPr="00BF60CF" w14:paraId="4831B384" w14:textId="77777777" w:rsidTr="00407D1E">
        <w:trPr>
          <w:cantSplit/>
          <w:trHeight w:val="724"/>
        </w:trPr>
        <w:tc>
          <w:tcPr>
            <w:tcW w:w="2297" w:type="dxa"/>
            <w:shd w:val="clear" w:color="auto" w:fill="auto"/>
          </w:tcPr>
          <w:p w14:paraId="6B1F8541" w14:textId="77777777" w:rsidR="00407D1E" w:rsidRPr="00BF60CF" w:rsidRDefault="00407D1E" w:rsidP="00407D1E">
            <w:pPr>
              <w:ind w:left="26"/>
              <w:jc w:val="right"/>
              <w:rPr>
                <w:b/>
                <w:bCs/>
                <w:rtl/>
              </w:rPr>
            </w:pPr>
            <w:bookmarkStart w:id="0" w:name="FirstAppellant"/>
            <w:bookmarkStart w:id="1" w:name="FirstLawyer"/>
            <w:bookmarkStart w:id="2" w:name="LastJudge"/>
            <w:bookmarkEnd w:id="2"/>
          </w:p>
          <w:p w14:paraId="33480ED1" w14:textId="77777777" w:rsidR="00407D1E" w:rsidRPr="00BF60CF" w:rsidRDefault="00407D1E" w:rsidP="00407D1E">
            <w:pPr>
              <w:ind w:left="26"/>
              <w:rPr>
                <w:b/>
                <w:bCs/>
                <w:rtl/>
              </w:rPr>
            </w:pPr>
            <w:r w:rsidRPr="00BF60CF">
              <w:rPr>
                <w:b/>
                <w:bCs/>
                <w:rtl/>
              </w:rPr>
              <w:t>המאשימה:</w:t>
            </w:r>
          </w:p>
        </w:tc>
        <w:tc>
          <w:tcPr>
            <w:tcW w:w="5922" w:type="dxa"/>
            <w:gridSpan w:val="2"/>
            <w:shd w:val="clear" w:color="auto" w:fill="auto"/>
          </w:tcPr>
          <w:p w14:paraId="6E6D39AC" w14:textId="77777777" w:rsidR="00407D1E" w:rsidRPr="00BF60CF" w:rsidRDefault="00407D1E" w:rsidP="00407D1E">
            <w:pPr>
              <w:jc w:val="right"/>
              <w:rPr>
                <w:rtl/>
              </w:rPr>
            </w:pPr>
          </w:p>
          <w:p w14:paraId="6F4A5BD7" w14:textId="77777777" w:rsidR="00407D1E" w:rsidRPr="00BF60CF" w:rsidRDefault="00407D1E" w:rsidP="00407D1E">
            <w:pPr>
              <w:spacing w:line="360" w:lineRule="auto"/>
              <w:rPr>
                <w:b/>
                <w:bCs/>
                <w:rtl/>
              </w:rPr>
            </w:pPr>
            <w:r w:rsidRPr="00BF60CF">
              <w:rPr>
                <w:b/>
                <w:bCs/>
                <w:rtl/>
              </w:rPr>
              <w:t>מדינת ישראל</w:t>
            </w:r>
          </w:p>
          <w:p w14:paraId="12B237BA" w14:textId="77777777" w:rsidR="00407D1E" w:rsidRPr="00BF60CF" w:rsidRDefault="00407D1E" w:rsidP="00407D1E">
            <w:pPr>
              <w:spacing w:line="360" w:lineRule="auto"/>
              <w:rPr>
                <w:rtl/>
              </w:rPr>
            </w:pPr>
            <w:r w:rsidRPr="00BF60CF">
              <w:rPr>
                <w:rtl/>
              </w:rPr>
              <w:t>באמצעות פרקליטות מחוז תל-אביב (פלילי)</w:t>
            </w:r>
          </w:p>
          <w:p w14:paraId="5A108E58" w14:textId="77777777" w:rsidR="00407D1E" w:rsidRPr="00BF60CF" w:rsidRDefault="00407D1E" w:rsidP="00407D1E">
            <w:pPr>
              <w:spacing w:line="360" w:lineRule="auto"/>
              <w:rPr>
                <w:rtl/>
              </w:rPr>
            </w:pPr>
            <w:r w:rsidRPr="00BF60CF">
              <w:rPr>
                <w:rtl/>
              </w:rPr>
              <w:t>על-ידי ב"כ עו"ד לילך כץ</w:t>
            </w:r>
          </w:p>
        </w:tc>
      </w:tr>
      <w:bookmarkEnd w:id="0"/>
      <w:bookmarkEnd w:id="1"/>
      <w:tr w:rsidR="00407D1E" w:rsidRPr="00BF60CF" w14:paraId="530277F8" w14:textId="77777777" w:rsidTr="00407D1E">
        <w:tc>
          <w:tcPr>
            <w:tcW w:w="8219" w:type="dxa"/>
            <w:gridSpan w:val="3"/>
            <w:shd w:val="clear" w:color="auto" w:fill="auto"/>
            <w:vAlign w:val="center"/>
          </w:tcPr>
          <w:p w14:paraId="35C097DC" w14:textId="77777777" w:rsidR="00407D1E" w:rsidRPr="00BF60CF" w:rsidRDefault="00407D1E" w:rsidP="00407D1E">
            <w:pPr>
              <w:jc w:val="center"/>
              <w:rPr>
                <w:rFonts w:ascii="Arial" w:hAnsi="Arial"/>
                <w:b/>
                <w:bCs/>
                <w:rtl/>
              </w:rPr>
            </w:pPr>
            <w:r w:rsidRPr="00BF60CF">
              <w:rPr>
                <w:rFonts w:ascii="Arial" w:hAnsi="Arial"/>
                <w:b/>
                <w:bCs/>
                <w:rtl/>
              </w:rPr>
              <w:t>נגד</w:t>
            </w:r>
          </w:p>
          <w:p w14:paraId="388EA2A5" w14:textId="77777777" w:rsidR="00407D1E" w:rsidRPr="00BF60CF" w:rsidRDefault="00407D1E" w:rsidP="00407D1E">
            <w:pPr>
              <w:jc w:val="right"/>
              <w:rPr>
                <w:rFonts w:ascii="Arial" w:hAnsi="Arial"/>
                <w:b/>
                <w:bCs/>
                <w:rtl/>
              </w:rPr>
            </w:pPr>
          </w:p>
        </w:tc>
      </w:tr>
      <w:tr w:rsidR="00407D1E" w:rsidRPr="00BF60CF" w14:paraId="41EDD12A" w14:textId="77777777" w:rsidTr="00407D1E">
        <w:tc>
          <w:tcPr>
            <w:tcW w:w="2297" w:type="dxa"/>
            <w:shd w:val="clear" w:color="auto" w:fill="auto"/>
          </w:tcPr>
          <w:p w14:paraId="20C151BE" w14:textId="77777777" w:rsidR="00407D1E" w:rsidRPr="00BF60CF" w:rsidRDefault="00407D1E" w:rsidP="00407D1E">
            <w:pPr>
              <w:ind w:left="26"/>
              <w:rPr>
                <w:b/>
                <w:bCs/>
                <w:rtl/>
              </w:rPr>
            </w:pPr>
            <w:r w:rsidRPr="00BF60CF">
              <w:rPr>
                <w:b/>
                <w:bCs/>
                <w:rtl/>
              </w:rPr>
              <w:t>הנאשם:</w:t>
            </w:r>
          </w:p>
        </w:tc>
        <w:tc>
          <w:tcPr>
            <w:tcW w:w="5922" w:type="dxa"/>
            <w:gridSpan w:val="2"/>
            <w:shd w:val="clear" w:color="auto" w:fill="auto"/>
          </w:tcPr>
          <w:p w14:paraId="3369A809" w14:textId="77777777" w:rsidR="00407D1E" w:rsidRPr="00BF60CF" w:rsidRDefault="00407D1E" w:rsidP="00407D1E">
            <w:pPr>
              <w:spacing w:line="360" w:lineRule="auto"/>
              <w:rPr>
                <w:b/>
                <w:bCs/>
                <w:rtl/>
              </w:rPr>
            </w:pPr>
            <w:r w:rsidRPr="00BF60CF">
              <w:rPr>
                <w:rFonts w:hint="cs"/>
                <w:b/>
                <w:bCs/>
                <w:rtl/>
              </w:rPr>
              <w:t>מיכאל קניובסקי</w:t>
            </w:r>
            <w:r w:rsidRPr="00BF60CF">
              <w:rPr>
                <w:b/>
                <w:bCs/>
                <w:rtl/>
              </w:rPr>
              <w:t xml:space="preserve"> ת.ז. </w:t>
            </w:r>
            <w:r w:rsidR="00BF60CF">
              <w:rPr>
                <w:b/>
                <w:bCs/>
              </w:rPr>
              <w:t>xxxxxxxxxx</w:t>
            </w:r>
          </w:p>
          <w:p w14:paraId="77603C14" w14:textId="77777777" w:rsidR="00407D1E" w:rsidRPr="00BF60CF" w:rsidRDefault="00407D1E" w:rsidP="007B583C">
            <w:pPr>
              <w:rPr>
                <w:rtl/>
              </w:rPr>
            </w:pPr>
            <w:r w:rsidRPr="00BF60CF">
              <w:rPr>
                <w:rtl/>
              </w:rPr>
              <w:t xml:space="preserve">על-ידי ב"כ עו"ד </w:t>
            </w:r>
            <w:r w:rsidRPr="00BF60CF">
              <w:rPr>
                <w:rFonts w:hint="cs"/>
                <w:rtl/>
              </w:rPr>
              <w:t>שי נודל</w:t>
            </w:r>
          </w:p>
        </w:tc>
      </w:tr>
    </w:tbl>
    <w:p w14:paraId="5B7E0283" w14:textId="77777777" w:rsidR="001C12C1" w:rsidRDefault="001C12C1" w:rsidP="001C12C1">
      <w:pPr>
        <w:spacing w:before="120" w:after="120" w:line="240" w:lineRule="exact"/>
        <w:ind w:left="283" w:hanging="283"/>
        <w:jc w:val="both"/>
        <w:rPr>
          <w:rFonts w:ascii="FrankRuehl" w:hAnsi="FrankRuehl" w:cs="FrankRuehl"/>
          <w:rtl/>
        </w:rPr>
      </w:pPr>
      <w:bookmarkStart w:id="3" w:name="PsakDin"/>
      <w:bookmarkStart w:id="4" w:name="LawTable"/>
      <w:bookmarkEnd w:id="4"/>
    </w:p>
    <w:p w14:paraId="0C3335A8" w14:textId="77777777" w:rsidR="001C12C1" w:rsidRPr="001C12C1" w:rsidRDefault="001C12C1" w:rsidP="001C12C1">
      <w:pPr>
        <w:spacing w:before="120" w:after="120" w:line="240" w:lineRule="exact"/>
        <w:ind w:left="283" w:hanging="283"/>
        <w:jc w:val="both"/>
        <w:rPr>
          <w:rFonts w:ascii="FrankRuehl" w:hAnsi="FrankRuehl" w:cs="FrankRuehl"/>
          <w:rtl/>
        </w:rPr>
      </w:pPr>
    </w:p>
    <w:p w14:paraId="239E2E3F" w14:textId="77777777" w:rsidR="001C12C1" w:rsidRPr="001C12C1" w:rsidRDefault="001C12C1" w:rsidP="001C12C1">
      <w:pPr>
        <w:spacing w:before="120" w:after="120" w:line="240" w:lineRule="exact"/>
        <w:ind w:left="283" w:hanging="283"/>
        <w:jc w:val="both"/>
        <w:rPr>
          <w:rFonts w:ascii="FrankRuehl" w:hAnsi="FrankRuehl" w:cs="FrankRuehl"/>
          <w:rtl/>
        </w:rPr>
      </w:pPr>
    </w:p>
    <w:p w14:paraId="0660F3EB" w14:textId="77777777" w:rsidR="001C12C1" w:rsidRPr="001C12C1" w:rsidRDefault="001C12C1" w:rsidP="001C12C1">
      <w:pPr>
        <w:spacing w:before="120" w:after="120" w:line="240" w:lineRule="exact"/>
        <w:ind w:left="283" w:hanging="283"/>
        <w:jc w:val="both"/>
        <w:rPr>
          <w:rFonts w:ascii="FrankRuehl" w:hAnsi="FrankRuehl" w:cs="FrankRuehl"/>
          <w:rtl/>
        </w:rPr>
      </w:pPr>
      <w:r w:rsidRPr="001C12C1">
        <w:rPr>
          <w:rFonts w:ascii="FrankRuehl" w:hAnsi="FrankRuehl" w:cs="FrankRuehl"/>
          <w:rtl/>
        </w:rPr>
        <w:t xml:space="preserve">חקיקה שאוזכרה: </w:t>
      </w:r>
    </w:p>
    <w:p w14:paraId="507A275B" w14:textId="77777777" w:rsidR="001C12C1" w:rsidRPr="001C12C1" w:rsidRDefault="001C12C1" w:rsidP="001C12C1">
      <w:pPr>
        <w:spacing w:before="120" w:after="120" w:line="240" w:lineRule="exact"/>
        <w:ind w:left="283" w:hanging="283"/>
        <w:jc w:val="both"/>
        <w:rPr>
          <w:rFonts w:ascii="FrankRuehl" w:hAnsi="FrankRuehl" w:cs="FrankRuehl"/>
          <w:color w:val="0000FF"/>
          <w:rtl/>
        </w:rPr>
      </w:pPr>
      <w:hyperlink r:id="rId7" w:history="1">
        <w:r w:rsidRPr="001C12C1">
          <w:rPr>
            <w:rStyle w:val="Hyperlink"/>
            <w:rFonts w:ascii="FrankRuehl" w:hAnsi="FrankRuehl" w:cs="FrankRuehl"/>
            <w:u w:val="none"/>
            <w:rtl/>
          </w:rPr>
          <w:t>פקודת הסמים המסוכנים [נוסח חדש], תשל"ג-1973</w:t>
        </w:r>
      </w:hyperlink>
      <w:r w:rsidRPr="001C12C1">
        <w:rPr>
          <w:rFonts w:ascii="FrankRuehl" w:hAnsi="FrankRuehl" w:cs="FrankRuehl"/>
          <w:color w:val="0000FF"/>
          <w:rtl/>
        </w:rPr>
        <w:t xml:space="preserve">: סע'  </w:t>
      </w:r>
      <w:hyperlink r:id="rId8" w:history="1">
        <w:r w:rsidRPr="001C12C1">
          <w:rPr>
            <w:rStyle w:val="Hyperlink"/>
            <w:rFonts w:ascii="FrankRuehl" w:hAnsi="FrankRuehl" w:cs="FrankRuehl"/>
            <w:u w:val="none"/>
          </w:rPr>
          <w:t>6</w:t>
        </w:r>
      </w:hyperlink>
      <w:r w:rsidRPr="001C12C1">
        <w:rPr>
          <w:rFonts w:ascii="FrankRuehl" w:hAnsi="FrankRuehl" w:cs="FrankRuehl"/>
          <w:color w:val="0000FF"/>
          <w:rtl/>
        </w:rPr>
        <w:t xml:space="preserve">, </w:t>
      </w:r>
      <w:hyperlink r:id="rId9" w:history="1">
        <w:r w:rsidRPr="001C12C1">
          <w:rPr>
            <w:rStyle w:val="Hyperlink"/>
            <w:rFonts w:ascii="FrankRuehl" w:hAnsi="FrankRuehl" w:cs="FrankRuehl"/>
            <w:u w:val="none"/>
          </w:rPr>
          <w:t>10</w:t>
        </w:r>
      </w:hyperlink>
    </w:p>
    <w:p w14:paraId="7944B59B" w14:textId="77777777" w:rsidR="001C12C1" w:rsidRPr="001C12C1" w:rsidRDefault="001C12C1" w:rsidP="001C12C1">
      <w:pPr>
        <w:spacing w:before="120" w:after="120" w:line="240" w:lineRule="exact"/>
        <w:ind w:left="283" w:hanging="283"/>
        <w:jc w:val="both"/>
        <w:rPr>
          <w:rFonts w:ascii="FrankRuehl" w:hAnsi="FrankRuehl" w:cs="FrankRuehl"/>
          <w:color w:val="0000FF"/>
          <w:rtl/>
        </w:rPr>
      </w:pPr>
      <w:hyperlink r:id="rId10" w:history="1">
        <w:r w:rsidRPr="001C12C1">
          <w:rPr>
            <w:rStyle w:val="Hyperlink"/>
            <w:rFonts w:ascii="FrankRuehl" w:hAnsi="FrankRuehl" w:cs="FrankRuehl"/>
            <w:u w:val="none"/>
            <w:rtl/>
          </w:rPr>
          <w:t>חוק העונשין, תשל"ז-1977</w:t>
        </w:r>
      </w:hyperlink>
      <w:r w:rsidRPr="001C12C1">
        <w:rPr>
          <w:rFonts w:ascii="FrankRuehl" w:hAnsi="FrankRuehl" w:cs="FrankRuehl"/>
          <w:color w:val="0000FF"/>
          <w:rtl/>
        </w:rPr>
        <w:t xml:space="preserve">: סע'  </w:t>
      </w:r>
      <w:hyperlink r:id="rId11" w:history="1">
        <w:r w:rsidRPr="001C12C1">
          <w:rPr>
            <w:rStyle w:val="Hyperlink"/>
            <w:rFonts w:ascii="FrankRuehl" w:hAnsi="FrankRuehl" w:cs="FrankRuehl"/>
            <w:u w:val="none"/>
          </w:rPr>
          <w:t>400</w:t>
        </w:r>
      </w:hyperlink>
    </w:p>
    <w:p w14:paraId="5BF7FC8F" w14:textId="77777777" w:rsidR="00650929" w:rsidRPr="001C12C1" w:rsidRDefault="00650929" w:rsidP="001C12C1">
      <w:pPr>
        <w:spacing w:before="120" w:after="120" w:line="240" w:lineRule="exact"/>
        <w:ind w:left="283" w:hanging="283"/>
        <w:jc w:val="both"/>
        <w:rPr>
          <w:rFonts w:ascii="FrankRuehl" w:hAnsi="FrankRuehl" w:cs="FrankRuehl"/>
          <w:rtl/>
        </w:rPr>
      </w:pPr>
      <w:bookmarkStart w:id="5" w:name="LawTable_End"/>
      <w:bookmarkEnd w:id="5"/>
    </w:p>
    <w:p w14:paraId="53A0E086" w14:textId="77777777" w:rsidR="00650929" w:rsidRPr="00650929" w:rsidRDefault="00650929" w:rsidP="00650929">
      <w:pPr>
        <w:spacing w:before="120" w:after="120" w:line="240" w:lineRule="exact"/>
        <w:ind w:left="283" w:hanging="283"/>
        <w:jc w:val="both"/>
        <w:rPr>
          <w:rFonts w:ascii="FrankRuehl" w:hAnsi="FrankRuehl" w:cs="FrankRuehl"/>
          <w:rtl/>
        </w:rPr>
      </w:pPr>
      <w:r w:rsidRPr="00650929">
        <w:rPr>
          <w:rFonts w:ascii="FrankRuehl" w:hAnsi="FrankRuehl" w:cs="FrankRuehl"/>
          <w:rtl/>
        </w:rPr>
        <w:t xml:space="preserve">חקיקה שאוזכרה: </w:t>
      </w:r>
    </w:p>
    <w:p w14:paraId="5DD26811" w14:textId="77777777" w:rsidR="00650929" w:rsidRPr="00650929" w:rsidRDefault="00650929" w:rsidP="00650929">
      <w:pPr>
        <w:spacing w:before="120" w:after="120" w:line="240" w:lineRule="exact"/>
        <w:ind w:left="283" w:hanging="283"/>
        <w:jc w:val="both"/>
        <w:rPr>
          <w:rFonts w:ascii="FrankRuehl" w:hAnsi="FrankRuehl" w:cs="FrankRuehl"/>
          <w:rtl/>
        </w:rPr>
      </w:pPr>
      <w:hyperlink r:id="rId12" w:history="1">
        <w:r w:rsidRPr="00650929">
          <w:rPr>
            <w:rFonts w:ascii="FrankRuehl" w:hAnsi="FrankRuehl" w:cs="FrankRuehl"/>
            <w:color w:val="0000FF"/>
            <w:rtl/>
          </w:rPr>
          <w:t>פקודת הסמים המסוכנים [נוסח חדש], תשל"ג-1973</w:t>
        </w:r>
      </w:hyperlink>
      <w:r w:rsidRPr="00650929">
        <w:rPr>
          <w:rFonts w:ascii="FrankRuehl" w:hAnsi="FrankRuehl" w:cs="FrankRuehl"/>
          <w:rtl/>
        </w:rPr>
        <w:t xml:space="preserve">: סע'  </w:t>
      </w:r>
      <w:hyperlink r:id="rId13" w:history="1">
        <w:r w:rsidRPr="00650929">
          <w:rPr>
            <w:rFonts w:ascii="FrankRuehl" w:hAnsi="FrankRuehl" w:cs="FrankRuehl"/>
            <w:color w:val="0000FF"/>
            <w:rtl/>
          </w:rPr>
          <w:t>6</w:t>
        </w:r>
      </w:hyperlink>
      <w:r w:rsidRPr="00650929">
        <w:rPr>
          <w:rFonts w:ascii="FrankRuehl" w:hAnsi="FrankRuehl" w:cs="FrankRuehl"/>
          <w:color w:val="0000FF"/>
          <w:rtl/>
        </w:rPr>
        <w:t xml:space="preserve">, </w:t>
      </w:r>
      <w:hyperlink r:id="rId14" w:history="1">
        <w:r w:rsidRPr="00650929">
          <w:rPr>
            <w:rFonts w:ascii="FrankRuehl" w:hAnsi="FrankRuehl" w:cs="FrankRuehl"/>
            <w:color w:val="0000FF"/>
            <w:rtl/>
          </w:rPr>
          <w:t>10</w:t>
        </w:r>
      </w:hyperlink>
    </w:p>
    <w:p w14:paraId="6BEF49E3" w14:textId="77777777" w:rsidR="00650929" w:rsidRPr="00650929" w:rsidRDefault="00650929" w:rsidP="00650929">
      <w:pPr>
        <w:spacing w:before="120" w:after="120" w:line="240" w:lineRule="exact"/>
        <w:ind w:left="283" w:hanging="283"/>
        <w:jc w:val="both"/>
        <w:rPr>
          <w:rFonts w:ascii="FrankRuehl" w:hAnsi="FrankRuehl" w:cs="FrankRuehl"/>
          <w:rtl/>
        </w:rPr>
      </w:pPr>
      <w:hyperlink r:id="rId15" w:history="1">
        <w:r w:rsidRPr="00650929">
          <w:rPr>
            <w:rFonts w:ascii="FrankRuehl" w:hAnsi="FrankRuehl" w:cs="FrankRuehl"/>
            <w:color w:val="0000FF"/>
            <w:rtl/>
          </w:rPr>
          <w:t>חוק העונשין, תשל"ז-1977</w:t>
        </w:r>
      </w:hyperlink>
      <w:r w:rsidRPr="00650929">
        <w:rPr>
          <w:rFonts w:ascii="FrankRuehl" w:hAnsi="FrankRuehl" w:cs="FrankRuehl"/>
          <w:rtl/>
        </w:rPr>
        <w:t xml:space="preserve">: סע'  </w:t>
      </w:r>
      <w:hyperlink r:id="rId16" w:history="1">
        <w:r w:rsidRPr="00650929">
          <w:rPr>
            <w:rFonts w:ascii="FrankRuehl" w:hAnsi="FrankRuehl" w:cs="FrankRuehl"/>
            <w:color w:val="0000FF"/>
            <w:rtl/>
          </w:rPr>
          <w:t>400</w:t>
        </w:r>
      </w:hyperlink>
    </w:p>
    <w:p w14:paraId="55F27104" w14:textId="77777777" w:rsidR="006E0F37" w:rsidRPr="00650929" w:rsidRDefault="006E0F37" w:rsidP="00650929">
      <w:pPr>
        <w:spacing w:before="240" w:after="120" w:line="240" w:lineRule="exact"/>
        <w:ind w:left="283" w:hanging="283"/>
        <w:jc w:val="both"/>
        <w:rPr>
          <w:rFonts w:ascii="FrankRuehl" w:hAnsi="FrankRuehl" w:cs="FrankRuehl"/>
          <w:rtl/>
        </w:rPr>
      </w:pPr>
    </w:p>
    <w:p w14:paraId="50E6817E" w14:textId="77777777" w:rsidR="006E0F37" w:rsidRPr="006E0F37" w:rsidRDefault="006E0F37" w:rsidP="006E0F37">
      <w:pPr>
        <w:spacing w:before="240" w:after="120" w:line="240" w:lineRule="exact"/>
        <w:ind w:left="283" w:hanging="283"/>
        <w:jc w:val="both"/>
        <w:rPr>
          <w:rFonts w:ascii="FrankRuehl" w:hAnsi="FrankRuehl" w:cs="FrankRuehl"/>
          <w:rtl/>
        </w:rPr>
      </w:pPr>
      <w:r w:rsidRPr="006E0F37">
        <w:rPr>
          <w:rFonts w:ascii="FrankRuehl" w:hAnsi="FrankRuehl" w:cs="FrankRuehl"/>
          <w:rtl/>
        </w:rPr>
        <w:t xml:space="preserve">חקיקה שאוזכרה: </w:t>
      </w:r>
    </w:p>
    <w:p w14:paraId="36028CDA" w14:textId="77777777" w:rsidR="006E0F37" w:rsidRPr="006E0F37" w:rsidRDefault="006E0F37" w:rsidP="006E0F37">
      <w:pPr>
        <w:spacing w:before="240" w:after="120" w:line="240" w:lineRule="exact"/>
        <w:ind w:left="283" w:hanging="283"/>
        <w:jc w:val="both"/>
        <w:rPr>
          <w:rFonts w:ascii="FrankRuehl" w:hAnsi="FrankRuehl" w:cs="FrankRuehl"/>
          <w:color w:val="0000FF"/>
          <w:u w:val="single"/>
          <w:rtl/>
        </w:rPr>
      </w:pPr>
      <w:hyperlink r:id="rId17" w:history="1">
        <w:r w:rsidRPr="006E0F37">
          <w:rPr>
            <w:rStyle w:val="Hyperlink"/>
            <w:rFonts w:ascii="FrankRuehl" w:hAnsi="FrankRuehl" w:cs="FrankRuehl"/>
            <w:rtl/>
          </w:rPr>
          <w:t>פקודת הסמים המסוכנים [נוסח חדש], תשל"ג-1973</w:t>
        </w:r>
      </w:hyperlink>
      <w:r w:rsidRPr="006E0F37">
        <w:rPr>
          <w:rFonts w:ascii="FrankRuehl" w:hAnsi="FrankRuehl" w:cs="FrankRuehl"/>
          <w:color w:val="0000FF"/>
          <w:u w:val="single"/>
          <w:rtl/>
        </w:rPr>
        <w:t xml:space="preserve">: סע'  </w:t>
      </w:r>
      <w:hyperlink r:id="rId18" w:history="1">
        <w:r w:rsidRPr="006E0F37">
          <w:rPr>
            <w:rStyle w:val="Hyperlink"/>
            <w:rFonts w:ascii="FrankRuehl" w:hAnsi="FrankRuehl" w:cs="FrankRuehl"/>
          </w:rPr>
          <w:t>6</w:t>
        </w:r>
      </w:hyperlink>
      <w:r w:rsidRPr="006E0F37">
        <w:rPr>
          <w:rFonts w:ascii="FrankRuehl" w:hAnsi="FrankRuehl" w:cs="FrankRuehl"/>
          <w:color w:val="0000FF"/>
          <w:u w:val="single"/>
          <w:rtl/>
        </w:rPr>
        <w:t xml:space="preserve">, </w:t>
      </w:r>
      <w:hyperlink r:id="rId19" w:history="1">
        <w:r w:rsidRPr="006E0F37">
          <w:rPr>
            <w:rStyle w:val="Hyperlink"/>
            <w:rFonts w:ascii="FrankRuehl" w:hAnsi="FrankRuehl" w:cs="FrankRuehl"/>
          </w:rPr>
          <w:t>10</w:t>
        </w:r>
      </w:hyperlink>
    </w:p>
    <w:p w14:paraId="1AE24504" w14:textId="77777777" w:rsidR="006E0F37" w:rsidRPr="006E0F37" w:rsidRDefault="006E0F37" w:rsidP="006E0F37">
      <w:pPr>
        <w:spacing w:before="240" w:after="120" w:line="240" w:lineRule="exact"/>
        <w:ind w:left="283" w:hanging="283"/>
        <w:jc w:val="both"/>
        <w:rPr>
          <w:rFonts w:ascii="FrankRuehl" w:hAnsi="FrankRuehl" w:cs="FrankRuehl"/>
          <w:color w:val="0000FF"/>
          <w:u w:val="single"/>
          <w:rtl/>
        </w:rPr>
      </w:pPr>
      <w:hyperlink r:id="rId20" w:history="1">
        <w:r w:rsidRPr="006E0F37">
          <w:rPr>
            <w:rStyle w:val="Hyperlink"/>
            <w:rFonts w:ascii="FrankRuehl" w:hAnsi="FrankRuehl" w:cs="FrankRuehl"/>
            <w:rtl/>
          </w:rPr>
          <w:t>חוק העונשין, תשל"ז-1977</w:t>
        </w:r>
      </w:hyperlink>
      <w:r w:rsidRPr="006E0F37">
        <w:rPr>
          <w:rFonts w:ascii="FrankRuehl" w:hAnsi="FrankRuehl" w:cs="FrankRuehl"/>
          <w:color w:val="0000FF"/>
          <w:u w:val="single"/>
          <w:rtl/>
        </w:rPr>
        <w:t xml:space="preserve">: סע'  </w:t>
      </w:r>
      <w:hyperlink r:id="rId21" w:history="1">
        <w:r w:rsidRPr="006E0F37">
          <w:rPr>
            <w:rStyle w:val="Hyperlink"/>
            <w:rFonts w:ascii="FrankRuehl" w:hAnsi="FrankRuehl" w:cs="FrankRuehl"/>
          </w:rPr>
          <w:t>400</w:t>
        </w:r>
      </w:hyperlink>
    </w:p>
    <w:p w14:paraId="757E584E" w14:textId="77777777" w:rsidR="006E0F37" w:rsidRPr="006E0F37" w:rsidRDefault="006E0F37" w:rsidP="006E0F37">
      <w:pPr>
        <w:spacing w:before="240" w:after="120" w:line="240" w:lineRule="exact"/>
        <w:ind w:left="283" w:hanging="283"/>
        <w:jc w:val="both"/>
        <w:rPr>
          <w:rFonts w:ascii="FrankRuehl" w:hAnsi="FrankRuehl" w:cs="FrankRuehl"/>
          <w:rtl/>
        </w:rPr>
      </w:pPr>
    </w:p>
    <w:p w14:paraId="0B0EAED6" w14:textId="77777777" w:rsidR="00BF60CF" w:rsidRPr="00BF60CF" w:rsidRDefault="00BF60CF" w:rsidP="00BF60CF">
      <w:pPr>
        <w:spacing w:before="240" w:after="240" w:line="360" w:lineRule="auto"/>
        <w:ind w:firstLine="357"/>
        <w:jc w:val="center"/>
        <w:rPr>
          <w:b/>
          <w:bCs/>
          <w:sz w:val="32"/>
          <w:szCs w:val="32"/>
          <w:u w:val="single"/>
          <w:rtl/>
        </w:rPr>
      </w:pPr>
      <w:r w:rsidRPr="00BF60CF">
        <w:rPr>
          <w:b/>
          <w:bCs/>
          <w:sz w:val="32"/>
          <w:szCs w:val="32"/>
          <w:u w:val="single"/>
          <w:rtl/>
        </w:rPr>
        <w:t>גזר דין</w:t>
      </w:r>
    </w:p>
    <w:bookmarkEnd w:id="3"/>
    <w:p w14:paraId="4D55FD04" w14:textId="77777777" w:rsidR="00407D1E" w:rsidRPr="000243D9" w:rsidRDefault="00407D1E" w:rsidP="00407D1E">
      <w:pPr>
        <w:spacing w:before="240" w:after="240" w:line="360" w:lineRule="auto"/>
        <w:ind w:firstLine="357"/>
        <w:jc w:val="both"/>
        <w:rPr>
          <w:rFonts w:ascii="David" w:hAnsi="David"/>
          <w:u w:val="single"/>
        </w:rPr>
      </w:pPr>
      <w:r w:rsidRPr="000243D9">
        <w:rPr>
          <w:rFonts w:ascii="David" w:hAnsi="David"/>
          <w:u w:val="single"/>
          <w:rtl/>
        </w:rPr>
        <w:t>כללי</w:t>
      </w:r>
    </w:p>
    <w:p w14:paraId="76D861E9" w14:textId="77777777" w:rsidR="00407D1E" w:rsidRDefault="00407D1E" w:rsidP="00407D1E">
      <w:pPr>
        <w:pStyle w:val="a9"/>
        <w:numPr>
          <w:ilvl w:val="0"/>
          <w:numId w:val="1"/>
        </w:numPr>
        <w:spacing w:before="240" w:after="240" w:line="360" w:lineRule="auto"/>
        <w:ind w:left="357" w:hanging="357"/>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יסוד הודאתו בעבירות של </w:t>
      </w:r>
      <w:r>
        <w:rPr>
          <w:rFonts w:ascii="David" w:hAnsi="David" w:cs="David" w:hint="cs"/>
          <w:sz w:val="24"/>
          <w:szCs w:val="24"/>
          <w:rtl/>
        </w:rPr>
        <w:t xml:space="preserve">ייצור, הכנה והפקת סמים מסוכנים, לפי </w:t>
      </w:r>
      <w:hyperlink r:id="rId22" w:history="1">
        <w:r w:rsidR="006E0F37" w:rsidRPr="006E0F37">
          <w:rPr>
            <w:rStyle w:val="Hyperlink"/>
            <w:rFonts w:ascii="David" w:hAnsi="David" w:cs="David" w:hint="cs"/>
            <w:sz w:val="24"/>
            <w:szCs w:val="24"/>
            <w:rtl/>
          </w:rPr>
          <w:t>סעיף</w:t>
        </w:r>
        <w:r w:rsidR="006E0F37" w:rsidRPr="006E0F37">
          <w:rPr>
            <w:rStyle w:val="Hyperlink"/>
            <w:rFonts w:ascii="David" w:hAnsi="David" w:cs="David"/>
            <w:sz w:val="24"/>
            <w:szCs w:val="24"/>
            <w:rtl/>
          </w:rPr>
          <w:t xml:space="preserve"> 6</w:t>
        </w:r>
      </w:hyperlink>
      <w:r>
        <w:rPr>
          <w:rFonts w:ascii="David" w:hAnsi="David" w:cs="David" w:hint="cs"/>
          <w:sz w:val="24"/>
          <w:szCs w:val="24"/>
          <w:rtl/>
        </w:rPr>
        <w:t xml:space="preserve"> ל</w:t>
      </w:r>
      <w:hyperlink r:id="rId23" w:history="1">
        <w:r w:rsidR="00BF60CF" w:rsidRPr="00BF60CF">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החזקת כלים המשמשים להכנת סם מסוכן או לצריכתו, לפי </w:t>
      </w:r>
      <w:hyperlink r:id="rId24" w:history="1">
        <w:r w:rsidR="006E0F37" w:rsidRPr="006E0F37">
          <w:rPr>
            <w:rStyle w:val="Hyperlink"/>
            <w:rFonts w:ascii="David" w:hAnsi="David" w:cs="David" w:hint="cs"/>
            <w:sz w:val="24"/>
            <w:szCs w:val="24"/>
            <w:rtl/>
          </w:rPr>
          <w:t>סעיף</w:t>
        </w:r>
        <w:r w:rsidR="006E0F37" w:rsidRPr="006E0F37">
          <w:rPr>
            <w:rStyle w:val="Hyperlink"/>
            <w:rFonts w:ascii="David" w:hAnsi="David" w:cs="David"/>
            <w:sz w:val="24"/>
            <w:szCs w:val="24"/>
            <w:rtl/>
          </w:rPr>
          <w:t xml:space="preserve"> 10</w:t>
        </w:r>
      </w:hyperlink>
      <w:r>
        <w:rPr>
          <w:rFonts w:ascii="David" w:hAnsi="David" w:cs="David" w:hint="cs"/>
          <w:sz w:val="24"/>
          <w:szCs w:val="24"/>
          <w:rtl/>
        </w:rPr>
        <w:t xml:space="preserve"> רישא לפקודה; ונטילת חשמל שלא כדין, לפי </w:t>
      </w:r>
      <w:hyperlink r:id="rId25" w:history="1">
        <w:r w:rsidR="006E0F37" w:rsidRPr="006E0F37">
          <w:rPr>
            <w:rStyle w:val="Hyperlink"/>
            <w:rFonts w:ascii="David" w:hAnsi="David" w:cs="David" w:hint="cs"/>
            <w:sz w:val="24"/>
            <w:szCs w:val="24"/>
            <w:rtl/>
          </w:rPr>
          <w:t>סעיף</w:t>
        </w:r>
        <w:r w:rsidR="006E0F37" w:rsidRPr="006E0F37">
          <w:rPr>
            <w:rStyle w:val="Hyperlink"/>
            <w:rFonts w:ascii="David" w:hAnsi="David" w:cs="David"/>
            <w:sz w:val="24"/>
            <w:szCs w:val="24"/>
            <w:rtl/>
          </w:rPr>
          <w:t xml:space="preserve"> 400</w:t>
        </w:r>
      </w:hyperlink>
      <w:r>
        <w:rPr>
          <w:rFonts w:ascii="David" w:hAnsi="David" w:cs="David" w:hint="cs"/>
          <w:sz w:val="24"/>
          <w:szCs w:val="24"/>
          <w:rtl/>
        </w:rPr>
        <w:t xml:space="preserve"> ל</w:t>
      </w:r>
      <w:hyperlink r:id="rId26" w:history="1">
        <w:r w:rsidR="00BF60CF" w:rsidRPr="00BF60CF">
          <w:rPr>
            <w:rFonts w:ascii="David" w:hAnsi="David" w:cs="David"/>
            <w:color w:val="0000FF"/>
            <w:sz w:val="24"/>
            <w:szCs w:val="24"/>
            <w:u w:val="single"/>
            <w:rtl/>
          </w:rPr>
          <w:t>חוק העונשין</w:t>
        </w:r>
      </w:hyperlink>
      <w:r>
        <w:rPr>
          <w:rFonts w:ascii="David" w:hAnsi="David" w:cs="David" w:hint="cs"/>
          <w:sz w:val="24"/>
          <w:szCs w:val="24"/>
          <w:rtl/>
        </w:rPr>
        <w:t xml:space="preserve">. </w:t>
      </w:r>
    </w:p>
    <w:p w14:paraId="66311137" w14:textId="77777777" w:rsidR="00407D1E" w:rsidRDefault="00407D1E" w:rsidP="00407D1E">
      <w:pPr>
        <w:pStyle w:val="a9"/>
        <w:numPr>
          <w:ilvl w:val="0"/>
          <w:numId w:val="1"/>
        </w:numPr>
        <w:spacing w:before="240" w:after="240" w:line="360" w:lineRule="auto"/>
        <w:contextualSpacing w:val="0"/>
        <w:jc w:val="both"/>
        <w:rPr>
          <w:rFonts w:ascii="David" w:hAnsi="David" w:cs="David"/>
          <w:sz w:val="24"/>
          <w:szCs w:val="24"/>
        </w:rPr>
      </w:pPr>
      <w:bookmarkStart w:id="7" w:name="ABSTRACT_END"/>
      <w:bookmarkEnd w:id="7"/>
      <w:r>
        <w:rPr>
          <w:rFonts w:ascii="David" w:hAnsi="David" w:cs="David"/>
          <w:sz w:val="24"/>
          <w:szCs w:val="24"/>
          <w:rtl/>
        </w:rPr>
        <w:t xml:space="preserve">על-פי עובדות כתב האישום המתוקן, </w:t>
      </w:r>
      <w:r>
        <w:rPr>
          <w:rFonts w:ascii="David" w:hAnsi="David" w:cs="David" w:hint="cs"/>
          <w:sz w:val="24"/>
          <w:szCs w:val="24"/>
          <w:rtl/>
        </w:rPr>
        <w:t xml:space="preserve">הנאשם הקים מעבדה לגידול והפקת סם מסוכן מסוג קנבוס במחסן של דירה ששכר בתל-אביב, בו גידל והחזיק 215 שתילים במשקל כולל של </w:t>
      </w:r>
      <w:r w:rsidRPr="00774475">
        <w:rPr>
          <w:rFonts w:ascii="David" w:hAnsi="David" w:cs="David" w:hint="cs"/>
          <w:b/>
          <w:bCs/>
          <w:sz w:val="24"/>
          <w:szCs w:val="24"/>
          <w:rtl/>
        </w:rPr>
        <w:t>100 ק"ג</w:t>
      </w:r>
      <w:r>
        <w:rPr>
          <w:rFonts w:ascii="David" w:hAnsi="David" w:cs="David" w:hint="cs"/>
          <w:sz w:val="24"/>
          <w:szCs w:val="24"/>
          <w:rtl/>
        </w:rPr>
        <w:t xml:space="preserve"> נטו במשך כחודשיים. המעבדה </w:t>
      </w:r>
      <w:r>
        <w:rPr>
          <w:rFonts w:ascii="David" w:hAnsi="David" w:cs="David" w:hint="cs"/>
          <w:sz w:val="24"/>
          <w:szCs w:val="24"/>
          <w:rtl/>
        </w:rPr>
        <w:lastRenderedPageBreak/>
        <w:t xml:space="preserve">כללה 43 שנאים, 15 מאווררים, 40 מנורות, 3 מפוחים, 2 מסננים, 3 מזגנים, 4 מדי טמפרטורה ו- 191 אדניות. זאת ועוד, לשם תפעול המעבדה והספקת החשמל הדרוש לפעילותה, התחבר הנאשם באופן לא חוקי לקו ההזנה של הבניין באמצעות מהדקי תיל אווירי מבודד ונטל חשמל שלא כדין.  </w:t>
      </w:r>
    </w:p>
    <w:p w14:paraId="036E68A4" w14:textId="77777777" w:rsidR="00407D1E" w:rsidRDefault="00407D1E" w:rsidP="00407D1E">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 xml:space="preserve">הסדר הטיעון שגובש בין הצדדים כלל את תיקונו של כתב האישום מבלי שגובשה הסכמה לעניין העונש, ובהקשר זה טען כל צד על-פי מיטב שיקול דעתו. </w:t>
      </w:r>
      <w:r>
        <w:rPr>
          <w:rFonts w:ascii="David" w:hAnsi="David" w:cs="David" w:hint="cs"/>
          <w:sz w:val="24"/>
          <w:szCs w:val="24"/>
          <w:rtl/>
        </w:rPr>
        <w:t xml:space="preserve">הנאשם הופנה לשירות המבחן לקבלת תסקיר עובר לשלב הטיעונים לעונש. </w:t>
      </w:r>
    </w:p>
    <w:p w14:paraId="3DB10025" w14:textId="77777777" w:rsidR="00407D1E" w:rsidRDefault="00407D1E" w:rsidP="00407D1E">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להשלמת התמונה יצוין, כי ביום 31.8.2021 התקבל בעניינו של הנאשם תסקיר שירות מבחן אשר כלל, באופן מפתיע, המלצה סופית על אף שהנאשם טרם שולב בהליך טיפולי. נוכח קושי זה בעמדת שירות המבחן, מצאתי להורות על המשך מעקב אחר השתלבותו של הנאשם בהליך טיפולי וקבלת תסקיר נוסף. </w:t>
      </w:r>
    </w:p>
    <w:p w14:paraId="4A5F577E"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התסקיר הבא, מיום 31.1.2022 כלל, פעם נוספת, המלצה סופית (להסתפקות בעונש מאסר לריצוי בדרך של עבודות שירות), על אף שהנאשם השתתף רק בארבעה מפגשים שנערכו במסגרת קבוצה טיפולית. </w:t>
      </w:r>
    </w:p>
    <w:p w14:paraId="46AC64A0"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בהחלטתי מיום 15.2.2022 ציינתי כי סיום ההליך בדרך של עבודות שירות בתיק מעבדת סמים, במשקל 100 ק"ג, הוא אקט חריג שבחריגים ואינו יכול להתיישב עם הליך טיפולי שכלל השתתפות בארבעה מפגשים טיפוליים בלבד. אשר על כן, ובהסכמת הצדדים, הוריתי על המשך מעקב אחר התקדמות הנאשם בהליך הטיפולי לתקופה קצובה נוספת. </w:t>
      </w:r>
    </w:p>
    <w:p w14:paraId="5E9D1E86" w14:textId="77777777" w:rsidR="00407D1E" w:rsidRDefault="00407D1E" w:rsidP="00407D1E">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ביום 17.5.2022 התקבל התסקיר האחרון בעניינו של הנאשם. </w:t>
      </w:r>
    </w:p>
    <w:p w14:paraId="4CA8D0B2" w14:textId="77777777" w:rsidR="00407D1E" w:rsidRDefault="00407D1E" w:rsidP="00407D1E">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תסקירי שירות המבחן</w:t>
      </w:r>
    </w:p>
    <w:p w14:paraId="035B2A97" w14:textId="77777777" w:rsidR="00407D1E" w:rsidRDefault="00407D1E" w:rsidP="00407D1E">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כאמור, בעניינו של הנאשם נערכו שלושה תסקירים. </w:t>
      </w:r>
    </w:p>
    <w:p w14:paraId="5B7D81E0"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sidRPr="00435AD6">
        <w:rPr>
          <w:rFonts w:ascii="David" w:hAnsi="David" w:cs="David" w:hint="cs"/>
          <w:b/>
          <w:bCs/>
          <w:sz w:val="24"/>
          <w:szCs w:val="24"/>
          <w:rtl/>
        </w:rPr>
        <w:t>בתסקיר הראשון</w:t>
      </w:r>
      <w:r>
        <w:rPr>
          <w:rFonts w:ascii="David" w:hAnsi="David" w:cs="David" w:hint="cs"/>
          <w:sz w:val="24"/>
          <w:szCs w:val="24"/>
          <w:rtl/>
        </w:rPr>
        <w:t xml:space="preserve">, התייחס שירות המבחן לנתוניו האישיים של הנאשם, לנסיבות חייו ולהתייחסותו לביצוע העבירות. הנאשם בן 24, מתגורר עם בת זוגו ושלושת ילדיהם (בגילאי שנה וחצי ועד ארבע) בדירה בתל-אביב ורואה במשפחתו עוגן ומקור ליציבות ושייכות. לנאשם 10 שנות לימוד. בהיותו בן 12 שולב בפנימיה על ידי משרד הרווחה על רקע בקשת הוריו נוכח הקשיים שחוו בגידול ילדיהם. הנאשם לא גויס לצבא על רקע מעורבות פלילית. עבד בתחום התקנת מזגנים כחמש שנים עד להוצאתו לחל"ת נוכח התפרצות מגפת הקורונה ומאותה עת חלה לדבריו הדרדרות ומצוקה כלכלית. מאז מעצרו ועד היום עובד, כשהוא נתון לפיקוח, בתחום השיפוצים יחד עם אחיו. </w:t>
      </w:r>
    </w:p>
    <w:p w14:paraId="78EC4FDB"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לחובתו רישום פלילי ללא הרשעה מהיותו נער, והרשעה אחת משנת 2020 בגין שבל"ר בגינה נדון למאסר על תנאי והתחייבות. מלבד התיק הנוכחי תלויים נגדו שני תיקי מב"ד נוספים משנת 2021 שעניינם תקיפת בת זוג. לדבריו, בתקופה האחרונה התגלעו בינו לבין בת זוגו פערים על רקע מצבם הכלכלי שגרמו למתח ולוויכוחים רבים שלוו באלימות מילולית האחד כלפי השנייה. </w:t>
      </w:r>
    </w:p>
    <w:p w14:paraId="1CC06A77"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לדברי הנאשם, ביצע את העבירות על רקע מצוקה כלכלית קשה, בין היתר, בשל יציאתו לחל"ת נוכח התפרצות מגפת הקורונה וקושי לפרנס את משפחתו באופן בסיסי ולאורך זמן כך שנאלץ לפנות לגורמים פרטיים לצורך </w:t>
      </w:r>
      <w:r>
        <w:rPr>
          <w:rFonts w:ascii="David" w:hAnsi="David" w:cs="David" w:hint="cs"/>
          <w:sz w:val="24"/>
          <w:szCs w:val="24"/>
          <w:rtl/>
        </w:rPr>
        <w:lastRenderedPageBreak/>
        <w:t xml:space="preserve">קבלת הלוואה כספית. משהתקשה להחזיר חובותיו, קיבל איומים על חייו ועל כן פעל על-פי דרישתם של הגורמים השוליים וגידל סמים בדירה. הנאשם קיבל אחריות, ביטא הבנה לחומרת מעשיו והביע חרטה. לדבריו, ערך חשבון נפש פנימי והפיק לקחים. הביע מוטיבציה ורצון להשתלב בהמשך בהליך טיפולי.   </w:t>
      </w:r>
    </w:p>
    <w:p w14:paraId="1CC10BE8"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על-פי האמור בתסקיר, הנאשם הגיע לפגישות בשירות המבחן בזמן וכנדרש, שיתף פעולה וענה על השאלות באופן פתוח וכנה. שירות המבחן התרשם מבחור צעיר שגדל במערכת משפחתית מורכבת, כשהוא נעדר גורמי תמיכה והכוונה בחייו, תוך שהיה חשוף להזנחה ריגשית שהובילה לקושי בהתמודדות עם גבולות ולנטייה לפנות למענים שוליים בעת קושי ומצוקה. להתרשמות שירות המבחן, הנאשם ביצע את העבירות על רקע משבר כלכלי קשה שחווה, היעדר כלים להתמודדות עם קשייו, תסכול, לחץ ותחושת חוסר אונים ממצבו. </w:t>
      </w:r>
    </w:p>
    <w:p w14:paraId="34F2915C"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כאמור, שירות המבחן המליץ על הטלת עונש מאסר לריצוי בעבודות שירות לצד צו מבחן למשך שנה.  </w:t>
      </w:r>
    </w:p>
    <w:p w14:paraId="58BF343D"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b/>
          <w:bCs/>
          <w:sz w:val="24"/>
          <w:szCs w:val="24"/>
          <w:rtl/>
        </w:rPr>
        <w:t>בתסקיר השני</w:t>
      </w:r>
      <w:r>
        <w:rPr>
          <w:rFonts w:ascii="David" w:hAnsi="David" w:cs="David" w:hint="cs"/>
          <w:sz w:val="24"/>
          <w:szCs w:val="24"/>
          <w:rtl/>
        </w:rPr>
        <w:t xml:space="preserve"> צוין כי הנאשם השתלב בקבוצה טיפולית ארוכת טווח לעוברי חוק מבוגרים המתקיימת אחת לשבוע, מגיע בזמן לכל המפגשים ומשתף פעולה באופן מלא. על אף השלב הראשוני בו הקבוצה מצויה, הנאשם מבטא מוטיבציה פנימית גבוהה לערוך שינוי באורחות חייו ומגלה מחויבות רבה להליך הטיפולי. </w:t>
      </w:r>
    </w:p>
    <w:p w14:paraId="3A43DC61"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מהשיחות עמו עלה, כי בשל מצב נפשי ירוד וחרדות מהן סובל, קיבל אישור לשימוש קנביס רפואי. </w:t>
      </w:r>
    </w:p>
    <w:p w14:paraId="586A555F"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שירות המבחן חזר על המלצתו לאמץ את הפן הטיפולי-שיקומי ולאפשר המשך הליך שיקום במסגרת צו מבחן במקביל להטלת עונש מאסר לריצוי בעבודות שירות וזאת לאור שיתוף הפעולה שהנאשם מגלה והתגייסותו להמשך טיפול ארוך טווח.</w:t>
      </w:r>
    </w:p>
    <w:p w14:paraId="0259F914"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b/>
          <w:bCs/>
          <w:sz w:val="24"/>
          <w:szCs w:val="24"/>
          <w:rtl/>
        </w:rPr>
        <w:t>בתסקיר השלישי</w:t>
      </w:r>
      <w:r>
        <w:rPr>
          <w:rFonts w:ascii="David" w:hAnsi="David" w:cs="David" w:hint="cs"/>
          <w:sz w:val="24"/>
          <w:szCs w:val="24"/>
          <w:rtl/>
        </w:rPr>
        <w:t xml:space="preserve"> עמד שירות המבחן על התמדתו של הנאשם בעבודתו בשיפוצים והשתתפותו הקבועה והפעילה בקבוצה הטיפולית בה שולב. לשיטת שירות המבחן, הנאשם מצליח ליצור קשר חיובי ופתוח עם חברי הקבוצה, משתף מעולמו הפנימי בפתיחות, עושה מאמצים להתבונן בביקורתיות על דפוסיו הבעייתיים ומביע נכונות להמשיך בהליך בטיפולי במסגרת הטיפול הקבוצתי. </w:t>
      </w:r>
    </w:p>
    <w:p w14:paraId="50B52664"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בחלק ההמלצות, שירות המבחן המליץ פעם נוספת להסתפק במאסר לריצוי בדרך של עבודות שירות לצד הטלת צו מבחן למשך שנה.</w:t>
      </w:r>
    </w:p>
    <w:p w14:paraId="508EB806" w14:textId="77777777" w:rsidR="00407D1E" w:rsidRDefault="00407D1E" w:rsidP="00407D1E">
      <w:pPr>
        <w:pStyle w:val="a9"/>
        <w:spacing w:before="240" w:after="240" w:line="360" w:lineRule="auto"/>
        <w:ind w:left="360"/>
        <w:contextualSpacing w:val="0"/>
        <w:jc w:val="both"/>
        <w:rPr>
          <w:rFonts w:ascii="David" w:hAnsi="David" w:cs="David"/>
          <w:sz w:val="24"/>
          <w:szCs w:val="24"/>
          <w:u w:val="single"/>
          <w:rtl/>
        </w:rPr>
      </w:pPr>
      <w:r>
        <w:rPr>
          <w:rFonts w:ascii="David" w:hAnsi="David" w:cs="David" w:hint="cs"/>
          <w:sz w:val="24"/>
          <w:szCs w:val="24"/>
          <w:u w:val="single"/>
          <w:rtl/>
        </w:rPr>
        <w:t>טיעוני הצדדים לעונש</w:t>
      </w:r>
    </w:p>
    <w:p w14:paraId="0E36AC07" w14:textId="77777777" w:rsidR="00407D1E" w:rsidRPr="00FD2CE3" w:rsidRDefault="00407D1E" w:rsidP="00407D1E">
      <w:pPr>
        <w:pStyle w:val="a9"/>
        <w:numPr>
          <w:ilvl w:val="0"/>
          <w:numId w:val="1"/>
        </w:numPr>
        <w:spacing w:before="240" w:after="240" w:line="360" w:lineRule="auto"/>
        <w:contextualSpacing w:val="0"/>
        <w:jc w:val="both"/>
        <w:rPr>
          <w:rFonts w:ascii="David" w:hAnsi="David" w:cs="David"/>
          <w:sz w:val="24"/>
          <w:szCs w:val="24"/>
        </w:rPr>
      </w:pPr>
      <w:r w:rsidRPr="00FD2CE3">
        <w:rPr>
          <w:rFonts w:ascii="David" w:hAnsi="David" w:cs="David" w:hint="cs"/>
          <w:b/>
          <w:bCs/>
          <w:sz w:val="24"/>
          <w:szCs w:val="24"/>
          <w:rtl/>
        </w:rPr>
        <w:t>התביעה</w:t>
      </w:r>
      <w:r w:rsidRPr="00FD2CE3">
        <w:rPr>
          <w:rFonts w:ascii="David" w:hAnsi="David" w:cs="David" w:hint="cs"/>
          <w:sz w:val="24"/>
          <w:szCs w:val="24"/>
          <w:rtl/>
        </w:rPr>
        <w:t xml:space="preserve">, באמצעות עו"ד לילך כץ, התנגדה להמלצת שירות המבחן להטלת עונש מאסר לריצוי בדרך של עבודות שירות וטענה כי מדובר בהמלצה אשר חורגת באופן קיצוני מהענישה הנהוגה בנסיבות העניין. </w:t>
      </w:r>
      <w:r>
        <w:rPr>
          <w:rFonts w:ascii="David" w:hAnsi="David" w:cs="David" w:hint="cs"/>
          <w:sz w:val="24"/>
          <w:szCs w:val="24"/>
          <w:rtl/>
        </w:rPr>
        <w:t>בהקשר זה</w:t>
      </w:r>
      <w:r w:rsidRPr="00FD2CE3">
        <w:rPr>
          <w:rFonts w:ascii="David" w:hAnsi="David" w:cs="David" w:hint="cs"/>
          <w:sz w:val="24"/>
          <w:szCs w:val="24"/>
          <w:rtl/>
        </w:rPr>
        <w:t xml:space="preserve"> נטען</w:t>
      </w:r>
      <w:r>
        <w:rPr>
          <w:rFonts w:ascii="David" w:hAnsi="David" w:cs="David" w:hint="cs"/>
          <w:sz w:val="24"/>
          <w:szCs w:val="24"/>
          <w:rtl/>
        </w:rPr>
        <w:t>,</w:t>
      </w:r>
      <w:r w:rsidRPr="00FD2CE3">
        <w:rPr>
          <w:rFonts w:ascii="David" w:hAnsi="David" w:cs="David" w:hint="cs"/>
          <w:sz w:val="24"/>
          <w:szCs w:val="24"/>
          <w:rtl/>
        </w:rPr>
        <w:t xml:space="preserve"> כי אין הלימה בין אמירות שליליות מסוימות שצוינו בתסקירים לבין ההמלצה העונשית הסופית ו</w:t>
      </w:r>
      <w:r>
        <w:rPr>
          <w:rFonts w:ascii="David" w:hAnsi="David" w:cs="David" w:hint="cs"/>
          <w:sz w:val="24"/>
          <w:szCs w:val="24"/>
          <w:rtl/>
        </w:rPr>
        <w:t xml:space="preserve">כי </w:t>
      </w:r>
      <w:r w:rsidRPr="00FD2CE3">
        <w:rPr>
          <w:rFonts w:ascii="David" w:hAnsi="David" w:cs="David" w:hint="cs"/>
          <w:sz w:val="24"/>
          <w:szCs w:val="24"/>
          <w:rtl/>
        </w:rPr>
        <w:t xml:space="preserve">מדובר בנאשם כמעט נורמטיבי, שאינו מכור לסמים ואינו בתחלואה כפולה ועל כן לא ברור עד כמה הליך השיקום בנסיבות אלה רלוונטי. </w:t>
      </w:r>
      <w:r>
        <w:rPr>
          <w:rFonts w:ascii="David" w:hAnsi="David" w:cs="David" w:hint="cs"/>
          <w:sz w:val="24"/>
          <w:szCs w:val="24"/>
          <w:rtl/>
        </w:rPr>
        <w:t xml:space="preserve">התביעה סבורה כי </w:t>
      </w:r>
      <w:r w:rsidRPr="00FD2CE3">
        <w:rPr>
          <w:rFonts w:ascii="David" w:hAnsi="David" w:cs="David" w:hint="cs"/>
          <w:sz w:val="24"/>
          <w:szCs w:val="24"/>
          <w:rtl/>
        </w:rPr>
        <w:t xml:space="preserve">אין בדרך הטיפולית שעבר הנאשם כדי להצדיק סטייה ממתחם העונש ההולם, אלא לכל היותר, </w:t>
      </w:r>
      <w:r>
        <w:rPr>
          <w:rFonts w:ascii="David" w:hAnsi="David" w:cs="David" w:hint="cs"/>
          <w:sz w:val="24"/>
          <w:szCs w:val="24"/>
          <w:rtl/>
        </w:rPr>
        <w:t xml:space="preserve">יש בה - </w:t>
      </w:r>
      <w:r w:rsidRPr="00FD2CE3">
        <w:rPr>
          <w:rFonts w:ascii="David" w:hAnsi="David" w:cs="David" w:hint="cs"/>
          <w:sz w:val="24"/>
          <w:szCs w:val="24"/>
          <w:rtl/>
        </w:rPr>
        <w:t xml:space="preserve">בצירוף גילו הצעיר של הנאשם, הודאתו, נטילת האחריות ועברו הפלילי המינורי - כדי למקם את עונשו של הנאשם בתחתית המתחם, לצד עונשים נלווים. </w:t>
      </w:r>
    </w:p>
    <w:p w14:paraId="627246F5"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בשים לב לחומרת העבירות ונפיצותן, למניע הכלכלי לביצוען ולכמות הסם שהופק במעבדה - עתרה התביעה למתחם ענישה שנע בין 36 ל- 54 חודשי מאסר.</w:t>
      </w:r>
    </w:p>
    <w:p w14:paraId="55190A9B" w14:textId="77777777" w:rsidR="00407D1E" w:rsidRDefault="00407D1E" w:rsidP="00407D1E">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b/>
          <w:bCs/>
          <w:sz w:val="24"/>
          <w:szCs w:val="24"/>
          <w:rtl/>
        </w:rPr>
        <w:t>הסנגור</w:t>
      </w:r>
      <w:r>
        <w:rPr>
          <w:rFonts w:ascii="David" w:hAnsi="David" w:cs="David" w:hint="cs"/>
          <w:sz w:val="24"/>
          <w:szCs w:val="24"/>
          <w:rtl/>
        </w:rPr>
        <w:t xml:space="preserve">, עו"ד שי נודל, התייחס לנתוניו של הנאשם וטען כי יש ליתן משקל משמעותי להליך הטיפולי שעבר הנאשם באופן של הסתפקות ברכיבי הענישה שהוצעו על-ידי שירות המבחן, או לחלופין לדחות את מתן גזר הדין כדי ליתן לנאשם אפשרות להמשיך ולהעמיק בהליכי השיקום. </w:t>
      </w:r>
    </w:p>
    <w:p w14:paraId="3CB8C1D6"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הסנגור טען כי עסקינן בנאשם שנולד להורים לא יהודים ובשל כך המעמד שלו בארץ נותר בסימן שאלה ומלווה אותו עד היום כי לטענתו אינו יכול להתחתן ברבנות ועל רקע אי הוודאות גם לא גויס לצבא. לטענת הסנגור, הנאשם חווה ילדות קשה ומורכבת שנבעה, בין היתר, מקשיי שפה והסתגלות, הבדלי מנטליות, תחושת דחייה מהסביבה ומעבר לפנימיה עקב העדר מסוגלות הורית. כל אלו גרמו לנאשם לבעיות התנהגותיות, התנהגות אלימה, תחושת חוסר שייכות ואף הסתבכות בפלילים. </w:t>
      </w:r>
    </w:p>
    <w:p w14:paraId="16F10D4E"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עוד התייחס הסנגור למשבר הכלכלי אליו נקלע הנאשם ולמעורבותו בביצוע העבירות וציין כי בשנים האחרונות מאז שהתמסד ונולדו לו ילדים ועד למעצרו - ניהל חיים נורמטיביים לחלוטין. התפנית התרחשה, לטענתו, עם פרוץ מגפת הקורונה, עת הוצא לחל"ת ולא היה לו כסף למטרנה ולחיתולים ולא היה לו למי לפנות בבקשת עזרה: "</w:t>
      </w:r>
      <w:r>
        <w:rPr>
          <w:rFonts w:ascii="David" w:hAnsi="David" w:cs="David" w:hint="cs"/>
          <w:b/>
          <w:bCs/>
          <w:sz w:val="24"/>
          <w:szCs w:val="24"/>
          <w:rtl/>
        </w:rPr>
        <w:t>לאחר שבכל מוסד בנקאי לא נתנו לו הלוואות, הוא פנה לגורמים חוץ בנקאיים וביקש הלוואה, והקורונה המשיכה וכשהתחיל לאחר בתשלומים ולא היה מאיפה לשלם את ההלוואה התחילו לדפוק בדלת ולקבל איומים ובשתיים לפנות בוקר הוא ואשתו מתעוררים עם דפיקות בדלת ואיומים ויש לו שני תינוקות... אמרו לו 'אם לא תהיה קוף לא יהיה טוב. או שתחזיר את הכסף' כשכולם ידעו שאין מאיפה להחזיר...</w:t>
      </w:r>
      <w:r>
        <w:rPr>
          <w:rFonts w:ascii="David" w:hAnsi="David" w:cs="David" w:hint="cs"/>
          <w:sz w:val="24"/>
          <w:szCs w:val="24"/>
          <w:rtl/>
        </w:rPr>
        <w:t xml:space="preserve">" (פרוטו' עמ' 10 ש' 4-1, ש' 16-15). </w:t>
      </w:r>
    </w:p>
    <w:p w14:paraId="389825A7"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ביחס להליך הטיפולי נטען כי החל מהרגע בו שולב הנאשם בקבוצה לעצורי בית, הוא החל להרגיש שלמישהו אכפת ממנו - תחושה שהייתה חדשה וזרה לו. עוד הוסיף כי הנאשם הביע חרטה, לקח אחריות, גילה הבנה לחומרת העבירות, הביע מוטיבציה גבוהה לעריכת שינוי בחייו, התמיד בהגעתו לכל המפגשים, שיתף פעולה באופן מלא וזכה לשלושה תסקירים חיוביים ועקביים בהמלצה העונשית. </w:t>
      </w:r>
    </w:p>
    <w:p w14:paraId="3FE959F9"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הסנגור סבר כי הרף התחתון של המתחם העונש ההולם עומד על 18 חודשי מאסר אולם עתר כאמור לאמץ את המלצתו העונשית של שירות המבחן או לחלופין לדחות את מתן גזר הדין לצורך המשך ההליך השיקומי. </w:t>
      </w:r>
    </w:p>
    <w:p w14:paraId="762D8B48" w14:textId="77777777" w:rsidR="00407D1E" w:rsidRDefault="00407D1E" w:rsidP="00407D1E">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הנאשם בדברו האחרון לעניין העונש תיאר אף הוא את נסיבות חייו האישיות והמשפחתיות המורכבות והביע חרטה על מעשיו: "</w:t>
      </w:r>
      <w:r>
        <w:rPr>
          <w:rFonts w:ascii="David" w:hAnsi="David" w:cs="David" w:hint="cs"/>
          <w:b/>
          <w:bCs/>
          <w:sz w:val="24"/>
          <w:szCs w:val="24"/>
          <w:rtl/>
        </w:rPr>
        <w:t>כיום אני יודע לקחת אחריות על מה שאני עושה, אני רוצה לתקן כל מה שעשיתי לא טוב, יש לי שלושה ילדים אני רוצה לתת להם את החיים הכי מוצלחים שיש, ולהיות אבא - לא כמו שהיה לי בבית. אני מביע חרטה על כל מה שאני עושה, ובאמת מבקש שיתחשבו בהליך השיקומי שלי כי אני רוצה להוכיח את עצמי קודם כל למשפחה שלי וגם לבית משפט...</w:t>
      </w:r>
      <w:r>
        <w:rPr>
          <w:rFonts w:ascii="David" w:hAnsi="David" w:cs="David" w:hint="cs"/>
          <w:sz w:val="24"/>
          <w:szCs w:val="24"/>
          <w:rtl/>
        </w:rPr>
        <w:t xml:space="preserve">" (פרוטו' עמ' 12 ש' 26-23). </w:t>
      </w:r>
    </w:p>
    <w:p w14:paraId="4C454397"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b/>
          <w:bCs/>
          <w:sz w:val="24"/>
          <w:szCs w:val="24"/>
          <w:u w:val="single"/>
          <w:rtl/>
        </w:rPr>
        <w:t>דיון והכרעה</w:t>
      </w:r>
    </w:p>
    <w:p w14:paraId="183ECA34" w14:textId="77777777" w:rsidR="00407D1E" w:rsidRPr="007B5728" w:rsidRDefault="00407D1E" w:rsidP="00407D1E">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מתחם העונש ההולם</w:t>
      </w:r>
    </w:p>
    <w:p w14:paraId="3BDFF845" w14:textId="77777777" w:rsidR="00407D1E" w:rsidRPr="00341351" w:rsidRDefault="00407D1E" w:rsidP="00407D1E">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sz w:val="24"/>
          <w:szCs w:val="24"/>
          <w:rtl/>
        </w:rPr>
        <w:t xml:space="preserve">החומרה הטמונה במעשים כגון אלו שביצע הנאשם, ידועה ומוכרת, ובתי המשפט חזרו על כך פעם אחר פעם. מדובר במעשים אשר פוגעים במגוון </w:t>
      </w:r>
      <w:r w:rsidRPr="00E20B0B">
        <w:rPr>
          <w:rFonts w:ascii="David" w:hAnsi="David" w:cs="David" w:hint="cs"/>
          <w:sz w:val="24"/>
          <w:szCs w:val="24"/>
          <w:rtl/>
        </w:rPr>
        <w:t>ערכים חברתיים</w:t>
      </w:r>
      <w:r>
        <w:rPr>
          <w:rFonts w:ascii="David" w:hAnsi="David" w:cs="David" w:hint="cs"/>
          <w:sz w:val="24"/>
          <w:szCs w:val="24"/>
          <w:rtl/>
        </w:rPr>
        <w:t xml:space="preserve">, ובהם </w:t>
      </w:r>
      <w:r w:rsidRPr="00341351">
        <w:rPr>
          <w:rFonts w:ascii="David" w:hAnsi="David" w:cs="David"/>
          <w:color w:val="000000"/>
          <w:sz w:val="24"/>
          <w:szCs w:val="24"/>
          <w:rtl/>
        </w:rPr>
        <w:t>הגנה על הציבור מפני הנזקים הישירים שנגרמים לגופם של הצרכנים הפוטנציאליים, והנזקים העקיפים שנגרמים כתוצאה מביצוע עבירות רכוש ואלימות, הנלוות לצריכת הסם.</w:t>
      </w:r>
      <w:r w:rsidRPr="00341351">
        <w:rPr>
          <w:rFonts w:ascii="David" w:hAnsi="David" w:cs="David" w:hint="cs"/>
          <w:color w:val="000000"/>
          <w:sz w:val="24"/>
          <w:szCs w:val="24"/>
          <w:rtl/>
        </w:rPr>
        <w:t xml:space="preserve"> </w:t>
      </w:r>
      <w:r w:rsidRPr="00341351">
        <w:rPr>
          <w:rFonts w:ascii="David" w:hAnsi="David" w:cs="David"/>
          <w:color w:val="000000"/>
          <w:sz w:val="24"/>
          <w:szCs w:val="24"/>
          <w:rtl/>
        </w:rPr>
        <w:t>ריבוי המקרים של הקמת מעבדות לגידול סמים הפך בעת האחרונה לתופעה נפוצה ומסוכנת המחייבת ענישה הולמת, גם מקום בו מדובר בסמים "קלים" כגון קנבוס.</w:t>
      </w:r>
    </w:p>
    <w:p w14:paraId="1A443E91"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Pr>
          <w:rFonts w:ascii="David" w:hAnsi="David" w:cs="David" w:hint="cs"/>
          <w:color w:val="000000"/>
          <w:sz w:val="24"/>
          <w:szCs w:val="24"/>
          <w:rtl/>
        </w:rPr>
        <w:t>בהקשר זה מצאתי להפנות ל</w:t>
      </w:r>
      <w:hyperlink r:id="rId27" w:history="1">
        <w:r w:rsidR="00BF60CF" w:rsidRPr="00BF60CF">
          <w:rPr>
            <w:rFonts w:ascii="David" w:hAnsi="David" w:cs="David"/>
            <w:color w:val="0000FF"/>
            <w:sz w:val="24"/>
            <w:szCs w:val="24"/>
            <w:u w:val="single"/>
            <w:rtl/>
          </w:rPr>
          <w:t>ע"פ 2596/18</w:t>
        </w:r>
      </w:hyperlink>
      <w:r>
        <w:rPr>
          <w:rFonts w:ascii="David" w:hAnsi="David" w:cs="David" w:hint="cs"/>
          <w:color w:val="000000"/>
          <w:sz w:val="24"/>
          <w:szCs w:val="24"/>
          <w:rtl/>
        </w:rPr>
        <w:t xml:space="preserve"> </w:t>
      </w:r>
      <w:r>
        <w:rPr>
          <w:rFonts w:ascii="David" w:hAnsi="David" w:cs="David" w:hint="cs"/>
          <w:b/>
          <w:bCs/>
          <w:color w:val="000000"/>
          <w:sz w:val="24"/>
          <w:szCs w:val="24"/>
          <w:rtl/>
        </w:rPr>
        <w:t>זנזורי נ' מדינת ישראל</w:t>
      </w:r>
      <w:r>
        <w:rPr>
          <w:rFonts w:ascii="David" w:hAnsi="David" w:cs="David" w:hint="cs"/>
          <w:color w:val="000000"/>
          <w:sz w:val="24"/>
          <w:szCs w:val="24"/>
          <w:rtl/>
        </w:rPr>
        <w:t xml:space="preserve"> (12.8.2018) (להלן - </w:t>
      </w:r>
      <w:r>
        <w:rPr>
          <w:rFonts w:ascii="David" w:hAnsi="David" w:cs="David" w:hint="cs"/>
          <w:b/>
          <w:bCs/>
          <w:color w:val="000000"/>
          <w:sz w:val="24"/>
          <w:szCs w:val="24"/>
          <w:rtl/>
        </w:rPr>
        <w:t>עניין זנזורי</w:t>
      </w:r>
      <w:r>
        <w:rPr>
          <w:rFonts w:ascii="David" w:hAnsi="David" w:cs="David" w:hint="cs"/>
          <w:color w:val="000000"/>
          <w:sz w:val="24"/>
          <w:szCs w:val="24"/>
          <w:rtl/>
        </w:rPr>
        <w:t xml:space="preserve">): </w:t>
      </w:r>
    </w:p>
    <w:p w14:paraId="47210FCD" w14:textId="77777777" w:rsidR="00407D1E" w:rsidRPr="007C6E88" w:rsidRDefault="00407D1E" w:rsidP="00407D1E">
      <w:pPr>
        <w:pStyle w:val="a9"/>
        <w:spacing w:before="240" w:after="240" w:line="360" w:lineRule="auto"/>
        <w:ind w:left="360"/>
        <w:contextualSpacing w:val="0"/>
        <w:jc w:val="both"/>
        <w:rPr>
          <w:rFonts w:ascii="David" w:hAnsi="David" w:cs="David"/>
          <w:color w:val="000000"/>
          <w:sz w:val="24"/>
          <w:szCs w:val="24"/>
          <w:rtl/>
        </w:rPr>
      </w:pPr>
      <w:r w:rsidRPr="007C6E88">
        <w:rPr>
          <w:rFonts w:ascii="David" w:hAnsi="David" w:cs="David"/>
          <w:b/>
          <w:bCs/>
          <w:color w:val="000000"/>
          <w:sz w:val="24"/>
          <w:szCs w:val="24"/>
          <w:rtl/>
        </w:rPr>
        <w:t>"צרכנים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00BF60CF">
        <w:rPr>
          <w:rFonts w:ascii="David" w:hAnsi="David" w:cs="David"/>
          <w:b/>
          <w:bCs/>
          <w:color w:val="000000"/>
          <w:sz w:val="24"/>
          <w:szCs w:val="24"/>
          <w:rtl/>
        </w:rPr>
        <w:t xml:space="preserve"> </w:t>
      </w:r>
      <w:r w:rsidRPr="007C6E88">
        <w:rPr>
          <w:rFonts w:ascii="David" w:hAnsi="David" w:cs="David"/>
          <w:color w:val="000000"/>
          <w:sz w:val="24"/>
          <w:szCs w:val="24"/>
          <w:rtl/>
        </w:rPr>
        <w:t>(פס' 8 לפסק דינו של כב' השופט</w:t>
      </w:r>
      <w:r w:rsidR="00BF60CF">
        <w:rPr>
          <w:rFonts w:ascii="David" w:hAnsi="David" w:cs="David"/>
          <w:color w:val="000000"/>
          <w:sz w:val="24"/>
          <w:szCs w:val="24"/>
          <w:rtl/>
        </w:rPr>
        <w:t xml:space="preserve"> </w:t>
      </w:r>
      <w:r w:rsidRPr="007C6E88">
        <w:rPr>
          <w:rFonts w:ascii="David" w:hAnsi="David" w:cs="David"/>
          <w:color w:val="000000"/>
          <w:sz w:val="24"/>
          <w:szCs w:val="24"/>
          <w:rtl/>
        </w:rPr>
        <w:t>י' עמית).</w:t>
      </w:r>
    </w:p>
    <w:p w14:paraId="5A67FE1E" w14:textId="77777777" w:rsidR="00407D1E" w:rsidRPr="00AD01AE" w:rsidRDefault="00407D1E" w:rsidP="00407D1E">
      <w:pPr>
        <w:pStyle w:val="a9"/>
        <w:spacing w:before="240" w:after="240" w:line="360" w:lineRule="auto"/>
        <w:ind w:left="357"/>
        <w:contextualSpacing w:val="0"/>
        <w:jc w:val="both"/>
        <w:rPr>
          <w:rFonts w:cs="Calibri"/>
          <w:color w:val="000000"/>
          <w:sz w:val="24"/>
          <w:szCs w:val="24"/>
          <w:rtl/>
        </w:rPr>
      </w:pPr>
      <w:r w:rsidRPr="00AD01AE">
        <w:rPr>
          <w:rFonts w:ascii="David" w:hAnsi="David" w:cs="David"/>
          <w:color w:val="000000"/>
          <w:sz w:val="24"/>
          <w:szCs w:val="24"/>
          <w:rtl/>
        </w:rPr>
        <w:t>מידת הפגיעה בערכים המוגנים צריכה להילמד מאופייה של המעבדה; מכמות השתילים; ומכמות הסם.</w:t>
      </w:r>
    </w:p>
    <w:p w14:paraId="628CAC26" w14:textId="77777777" w:rsidR="00407D1E" w:rsidRDefault="00407D1E" w:rsidP="00407D1E">
      <w:pPr>
        <w:pStyle w:val="a9"/>
        <w:spacing w:before="240" w:after="240" w:line="360" w:lineRule="auto"/>
        <w:ind w:left="357"/>
        <w:contextualSpacing w:val="0"/>
        <w:jc w:val="both"/>
        <w:rPr>
          <w:rFonts w:ascii="David" w:hAnsi="David" w:cs="David"/>
          <w:color w:val="000000"/>
          <w:sz w:val="24"/>
          <w:szCs w:val="24"/>
          <w:rtl/>
        </w:rPr>
      </w:pPr>
      <w:r w:rsidRPr="00AD01AE">
        <w:rPr>
          <w:rFonts w:ascii="David" w:hAnsi="David" w:cs="David"/>
          <w:color w:val="000000"/>
          <w:sz w:val="24"/>
          <w:szCs w:val="24"/>
          <w:rtl/>
        </w:rPr>
        <w:t>אשר לאופייה של המעבדה - מדובר במעבדה "רגילה", שהכילה ציוד המוחזק דרך קבע במעבדות. בנסיבות התיק דנא התרחש אירוע עברייני נוסף של גניבת חשמל, אשר רלוונטי אף הוא לקביעת המתחם, ויש בו כדי לייצר הבחנה מסוימת, גם אם אינה משמעותית, בין מעבדה אחת לאחרת.</w:t>
      </w:r>
    </w:p>
    <w:p w14:paraId="49B5132F" w14:textId="77777777" w:rsidR="00407D1E" w:rsidRDefault="00407D1E" w:rsidP="00407D1E">
      <w:pPr>
        <w:pStyle w:val="a9"/>
        <w:spacing w:before="240" w:after="240" w:line="360" w:lineRule="auto"/>
        <w:ind w:left="357"/>
        <w:contextualSpacing w:val="0"/>
        <w:jc w:val="both"/>
        <w:rPr>
          <w:rFonts w:ascii="David" w:hAnsi="David" w:cs="David"/>
          <w:sz w:val="24"/>
          <w:szCs w:val="24"/>
          <w:rtl/>
        </w:rPr>
      </w:pPr>
      <w:r w:rsidRPr="007C6E88">
        <w:rPr>
          <w:rFonts w:ascii="David" w:hAnsi="David" w:cs="David"/>
          <w:sz w:val="24"/>
          <w:szCs w:val="24"/>
          <w:rtl/>
        </w:rPr>
        <w:t xml:space="preserve">אשר לכמות השתילים - </w:t>
      </w:r>
      <w:r>
        <w:rPr>
          <w:rFonts w:ascii="David" w:hAnsi="David" w:cs="David" w:hint="cs"/>
          <w:sz w:val="24"/>
          <w:szCs w:val="24"/>
          <w:rtl/>
        </w:rPr>
        <w:t>מ</w:t>
      </w:r>
      <w:r w:rsidRPr="007C6E88">
        <w:rPr>
          <w:rFonts w:ascii="David" w:hAnsi="David" w:cs="David"/>
          <w:sz w:val="24"/>
          <w:szCs w:val="24"/>
          <w:rtl/>
        </w:rPr>
        <w:t>דובר בכמות משמעותית (</w:t>
      </w:r>
      <w:r>
        <w:rPr>
          <w:rFonts w:ascii="David" w:hAnsi="David" w:cs="David" w:hint="cs"/>
          <w:sz w:val="24"/>
          <w:szCs w:val="24"/>
          <w:rtl/>
        </w:rPr>
        <w:t>215</w:t>
      </w:r>
      <w:r w:rsidRPr="007C6E88">
        <w:rPr>
          <w:rFonts w:ascii="David" w:hAnsi="David" w:cs="David"/>
          <w:sz w:val="24"/>
          <w:szCs w:val="24"/>
          <w:rtl/>
        </w:rPr>
        <w:t>), וכנלמד מסקירת הפסיקה הרלוונטית, לא מן הנמנע כי ככל שגילויה של המעבדה היה מתעכב, כמות הסם הייתה משמעותית יותר</w:t>
      </w:r>
      <w:r>
        <w:rPr>
          <w:rFonts w:ascii="David" w:hAnsi="David" w:cs="David" w:hint="cs"/>
          <w:sz w:val="24"/>
          <w:szCs w:val="24"/>
          <w:rtl/>
        </w:rPr>
        <w:t>.</w:t>
      </w:r>
      <w:r w:rsidRPr="007C6E88">
        <w:rPr>
          <w:rFonts w:ascii="David" w:hAnsi="David" w:cs="David"/>
          <w:sz w:val="24"/>
          <w:szCs w:val="24"/>
          <w:rtl/>
        </w:rPr>
        <w:t xml:space="preserve"> </w:t>
      </w:r>
    </w:p>
    <w:p w14:paraId="42ADC2B2" w14:textId="77777777" w:rsidR="00407D1E" w:rsidRDefault="00407D1E" w:rsidP="00407D1E">
      <w:pPr>
        <w:pStyle w:val="a9"/>
        <w:spacing w:before="240" w:after="240" w:line="360" w:lineRule="auto"/>
        <w:ind w:left="357"/>
        <w:contextualSpacing w:val="0"/>
        <w:jc w:val="both"/>
        <w:rPr>
          <w:rFonts w:ascii="David" w:hAnsi="David" w:cs="David"/>
          <w:color w:val="000000"/>
          <w:sz w:val="24"/>
          <w:szCs w:val="24"/>
          <w:rtl/>
        </w:rPr>
      </w:pPr>
      <w:r w:rsidRPr="007C6E88">
        <w:rPr>
          <w:rFonts w:ascii="David" w:hAnsi="David" w:cs="David"/>
          <w:color w:val="000000"/>
          <w:sz w:val="24"/>
          <w:szCs w:val="24"/>
          <w:rtl/>
        </w:rPr>
        <w:t>אשר לכמות הסם - הרי שמדובר בכמות לא מבוטלת</w:t>
      </w:r>
      <w:r>
        <w:rPr>
          <w:rFonts w:ascii="David" w:hAnsi="David" w:cs="David" w:hint="cs"/>
          <w:color w:val="000000"/>
          <w:sz w:val="24"/>
          <w:szCs w:val="24"/>
          <w:rtl/>
        </w:rPr>
        <w:t xml:space="preserve"> (100 ק"ג)</w:t>
      </w:r>
      <w:r w:rsidRPr="007C6E88">
        <w:rPr>
          <w:rFonts w:ascii="David" w:hAnsi="David" w:cs="David"/>
          <w:color w:val="000000"/>
          <w:sz w:val="24"/>
          <w:szCs w:val="24"/>
          <w:rtl/>
        </w:rPr>
        <w:t>, כך שהנזק הפוטנציאלי ממעשיו של הנאשם עשוי היה להיות משמעותי ביותר, וכך גם הפגיעה בערכים המוגנים.</w:t>
      </w:r>
      <w:r>
        <w:rPr>
          <w:rFonts w:ascii="David" w:hAnsi="David" w:cs="David" w:hint="cs"/>
          <w:color w:val="000000"/>
          <w:sz w:val="24"/>
          <w:szCs w:val="24"/>
          <w:rtl/>
        </w:rPr>
        <w:t xml:space="preserve"> יחד עם זאת, הנזק הקונקרטי נמנע מאחר שהנאשם נתפס טרם הפצת הסמים. </w:t>
      </w:r>
    </w:p>
    <w:p w14:paraId="1F131197" w14:textId="77777777" w:rsidR="00407D1E" w:rsidRPr="007C6E88" w:rsidRDefault="00407D1E" w:rsidP="00407D1E">
      <w:pPr>
        <w:pStyle w:val="a9"/>
        <w:spacing w:before="240" w:after="240" w:line="360" w:lineRule="auto"/>
        <w:ind w:left="357"/>
        <w:contextualSpacing w:val="0"/>
        <w:jc w:val="both"/>
        <w:rPr>
          <w:rFonts w:cs="Calibri"/>
          <w:color w:val="000000"/>
          <w:sz w:val="24"/>
          <w:szCs w:val="24"/>
          <w:rtl/>
        </w:rPr>
      </w:pPr>
      <w:r w:rsidRPr="007C6E88">
        <w:rPr>
          <w:rFonts w:ascii="David" w:hAnsi="David" w:cs="David"/>
          <w:color w:val="000000"/>
          <w:sz w:val="24"/>
          <w:szCs w:val="24"/>
          <w:rtl/>
        </w:rPr>
        <w:t xml:space="preserve">בהינתן </w:t>
      </w:r>
      <w:r>
        <w:rPr>
          <w:rFonts w:ascii="David" w:hAnsi="David" w:cs="David" w:hint="cs"/>
          <w:color w:val="000000"/>
          <w:sz w:val="24"/>
          <w:szCs w:val="24"/>
          <w:rtl/>
        </w:rPr>
        <w:t xml:space="preserve">כמות השתילים, </w:t>
      </w:r>
      <w:r w:rsidRPr="007C6E88">
        <w:rPr>
          <w:rFonts w:ascii="David" w:hAnsi="David" w:cs="David"/>
          <w:color w:val="000000"/>
          <w:sz w:val="24"/>
          <w:szCs w:val="24"/>
          <w:rtl/>
        </w:rPr>
        <w:t>כמות הסם ורכיב "נטילת החשמל", ניתן לומר כי</w:t>
      </w:r>
      <w:r w:rsidR="00BF60CF">
        <w:rPr>
          <w:rFonts w:ascii="David" w:hAnsi="David" w:cs="David"/>
          <w:color w:val="000000"/>
          <w:sz w:val="24"/>
          <w:szCs w:val="24"/>
          <w:rtl/>
        </w:rPr>
        <w:t xml:space="preserve"> </w:t>
      </w:r>
      <w:r w:rsidRPr="00E20B0B">
        <w:rPr>
          <w:rFonts w:ascii="David" w:hAnsi="David" w:cs="David"/>
          <w:color w:val="000000"/>
          <w:sz w:val="24"/>
          <w:szCs w:val="24"/>
          <w:rtl/>
        </w:rPr>
        <w:t>הפגיעה בערכים המוגנים</w:t>
      </w:r>
      <w:r w:rsidR="00BF60CF">
        <w:rPr>
          <w:rFonts w:ascii="David" w:hAnsi="David" w:cs="David"/>
          <w:color w:val="000000"/>
          <w:sz w:val="24"/>
          <w:szCs w:val="24"/>
          <w:rtl/>
        </w:rPr>
        <w:t xml:space="preserve"> </w:t>
      </w:r>
      <w:r w:rsidRPr="007C6E88">
        <w:rPr>
          <w:rFonts w:ascii="David" w:hAnsi="David" w:cs="David"/>
          <w:color w:val="000000"/>
          <w:sz w:val="24"/>
          <w:szCs w:val="24"/>
          <w:rtl/>
        </w:rPr>
        <w:t>היא בעוצמה משמעותית.</w:t>
      </w:r>
    </w:p>
    <w:p w14:paraId="3996890D" w14:textId="77777777" w:rsidR="00407D1E" w:rsidRPr="003D70D5" w:rsidRDefault="00407D1E" w:rsidP="00407D1E">
      <w:pPr>
        <w:pStyle w:val="a9"/>
        <w:numPr>
          <w:ilvl w:val="0"/>
          <w:numId w:val="1"/>
        </w:numPr>
        <w:spacing w:before="240" w:after="240" w:line="360" w:lineRule="auto"/>
        <w:contextualSpacing w:val="0"/>
        <w:jc w:val="both"/>
        <w:rPr>
          <w:rFonts w:ascii="David" w:hAnsi="David" w:cs="David"/>
          <w:color w:val="000000"/>
          <w:sz w:val="24"/>
          <w:szCs w:val="24"/>
          <w:rtl/>
        </w:rPr>
      </w:pPr>
      <w:r w:rsidRPr="003D70D5">
        <w:rPr>
          <w:rFonts w:ascii="David" w:hAnsi="David" w:cs="David"/>
          <w:color w:val="000000"/>
          <w:sz w:val="24"/>
          <w:szCs w:val="24"/>
          <w:rtl/>
        </w:rPr>
        <w:t xml:space="preserve">במסגרת הנסיבות הקשורות בביצוע העבירה, יש </w:t>
      </w:r>
      <w:r>
        <w:rPr>
          <w:rFonts w:ascii="David" w:hAnsi="David" w:cs="David" w:hint="cs"/>
          <w:color w:val="000000"/>
          <w:sz w:val="24"/>
          <w:szCs w:val="24"/>
          <w:rtl/>
        </w:rPr>
        <w:t xml:space="preserve">אף </w:t>
      </w:r>
      <w:r w:rsidRPr="003D70D5">
        <w:rPr>
          <w:rFonts w:ascii="David" w:hAnsi="David" w:cs="David"/>
          <w:color w:val="000000"/>
          <w:sz w:val="24"/>
          <w:szCs w:val="24"/>
          <w:rtl/>
        </w:rPr>
        <w:t xml:space="preserve">ליתן את הדעת </w:t>
      </w:r>
      <w:r w:rsidRPr="00E20B0B">
        <w:rPr>
          <w:rFonts w:ascii="David" w:hAnsi="David" w:cs="David"/>
          <w:color w:val="000000"/>
          <w:sz w:val="24"/>
          <w:szCs w:val="24"/>
          <w:rtl/>
        </w:rPr>
        <w:t>לתכנון שקדם</w:t>
      </w:r>
      <w:r w:rsidR="00BF60CF">
        <w:rPr>
          <w:rFonts w:ascii="David" w:hAnsi="David" w:cs="David"/>
          <w:b/>
          <w:bCs/>
          <w:color w:val="000000"/>
          <w:sz w:val="24"/>
          <w:szCs w:val="24"/>
          <w:rtl/>
        </w:rPr>
        <w:t xml:space="preserve"> </w:t>
      </w:r>
      <w:r w:rsidRPr="003D70D5">
        <w:rPr>
          <w:rFonts w:ascii="David" w:hAnsi="David" w:cs="David"/>
          <w:color w:val="000000"/>
          <w:sz w:val="24"/>
          <w:szCs w:val="24"/>
          <w:rtl/>
        </w:rPr>
        <w:t xml:space="preserve">לביצוע העבירה, אשר בא לידי ביטוי בשכירת דירה, בהמרת המחסן למעבדה ובהתקנת הציוד הרלוונטי </w:t>
      </w:r>
      <w:r>
        <w:rPr>
          <w:rFonts w:ascii="David" w:hAnsi="David" w:cs="David" w:hint="cs"/>
          <w:color w:val="000000"/>
          <w:sz w:val="24"/>
          <w:szCs w:val="24"/>
          <w:rtl/>
        </w:rPr>
        <w:t>-</w:t>
      </w:r>
      <w:r w:rsidRPr="003D70D5">
        <w:rPr>
          <w:rFonts w:ascii="David" w:hAnsi="David" w:cs="David"/>
          <w:color w:val="000000"/>
          <w:sz w:val="24"/>
          <w:szCs w:val="24"/>
          <w:rtl/>
        </w:rPr>
        <w:t xml:space="preserve"> שנאים, מאווררים, מנורות, מפוחים, מסננים, מזגנים, מדי טמפרטורה ואדניות. הנאשם אף התחבר שלא כדין לרשת החשמל לצורך תפעול הציוד ששימוש לגידול הסם.</w:t>
      </w:r>
    </w:p>
    <w:p w14:paraId="5F147E3B"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Pr>
          <w:rFonts w:ascii="David" w:hAnsi="David" w:cs="David" w:hint="cs"/>
          <w:color w:val="000000"/>
          <w:sz w:val="24"/>
          <w:szCs w:val="24"/>
          <w:rtl/>
        </w:rPr>
        <w:t xml:space="preserve">לטענת הסנגור, הנאשם שימש כ'קוף' על רקע קושי בהחזרת הלוואות שנטל מגורמים עבריינים. סבורני כי אין בטענת הגנה זו כדי להוריד </w:t>
      </w:r>
      <w:r w:rsidRPr="00E20B0B">
        <w:rPr>
          <w:rFonts w:ascii="David" w:hAnsi="David" w:cs="David" w:hint="cs"/>
          <w:color w:val="000000"/>
          <w:sz w:val="24"/>
          <w:szCs w:val="24"/>
          <w:rtl/>
        </w:rPr>
        <w:t>מחלקו של הנאשם</w:t>
      </w:r>
      <w:r>
        <w:rPr>
          <w:rFonts w:ascii="David" w:hAnsi="David" w:cs="David" w:hint="cs"/>
          <w:color w:val="000000"/>
          <w:sz w:val="24"/>
          <w:szCs w:val="24"/>
          <w:rtl/>
        </w:rPr>
        <w:t xml:space="preserve"> בנסיבות העניין, </w:t>
      </w:r>
      <w:r w:rsidRPr="003D70D5">
        <w:rPr>
          <w:rFonts w:ascii="David" w:hAnsi="David" w:cs="David"/>
          <w:color w:val="000000"/>
          <w:sz w:val="24"/>
          <w:szCs w:val="24"/>
          <w:rtl/>
        </w:rPr>
        <w:t xml:space="preserve">שכן גם אם </w:t>
      </w:r>
      <w:r>
        <w:rPr>
          <w:rFonts w:ascii="David" w:hAnsi="David" w:cs="David" w:hint="cs"/>
          <w:color w:val="000000"/>
          <w:sz w:val="24"/>
          <w:szCs w:val="24"/>
          <w:rtl/>
        </w:rPr>
        <w:t xml:space="preserve">מאחורי המעבדה עומדים גורמים נוספים או אחרים, עדיין יש </w:t>
      </w:r>
      <w:r>
        <w:rPr>
          <w:rFonts w:ascii="David" w:hAnsi="David" w:cs="David"/>
          <w:color w:val="000000"/>
          <w:sz w:val="24"/>
          <w:szCs w:val="24"/>
          <w:rtl/>
        </w:rPr>
        <w:t>לראות ב</w:t>
      </w:r>
      <w:r>
        <w:rPr>
          <w:rFonts w:ascii="David" w:hAnsi="David" w:cs="David" w:hint="cs"/>
          <w:color w:val="000000"/>
          <w:sz w:val="24"/>
          <w:szCs w:val="24"/>
          <w:rtl/>
        </w:rPr>
        <w:t>נאשם</w:t>
      </w:r>
      <w:r>
        <w:rPr>
          <w:rFonts w:ascii="David" w:hAnsi="David" w:cs="David"/>
          <w:color w:val="000000"/>
          <w:sz w:val="24"/>
          <w:szCs w:val="24"/>
          <w:rtl/>
        </w:rPr>
        <w:t xml:space="preserve"> - וכך עולה גם מהודאתו - </w:t>
      </w:r>
      <w:r w:rsidRPr="003D70D5">
        <w:rPr>
          <w:rFonts w:ascii="David" w:hAnsi="David" w:cs="David"/>
          <w:color w:val="000000"/>
          <w:sz w:val="24"/>
          <w:szCs w:val="24"/>
          <w:rtl/>
        </w:rPr>
        <w:t>חוליה חיונית ומשמעותית בשרשרת הפקת הסם.</w:t>
      </w:r>
      <w:r>
        <w:rPr>
          <w:rFonts w:ascii="David" w:hAnsi="David" w:cs="David" w:hint="cs"/>
          <w:color w:val="000000"/>
          <w:sz w:val="24"/>
          <w:szCs w:val="24"/>
          <w:rtl/>
        </w:rPr>
        <w:t xml:space="preserve"> </w:t>
      </w:r>
    </w:p>
    <w:p w14:paraId="303B745A"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sidRPr="0000693C">
        <w:rPr>
          <w:rFonts w:ascii="David" w:hAnsi="David" w:cs="David"/>
          <w:color w:val="000000"/>
          <w:sz w:val="24"/>
          <w:szCs w:val="24"/>
          <w:rtl/>
        </w:rPr>
        <w:t xml:space="preserve">שקלתי גם את </w:t>
      </w:r>
      <w:r w:rsidRPr="00E20B0B">
        <w:rPr>
          <w:rFonts w:ascii="David" w:hAnsi="David" w:cs="David"/>
          <w:color w:val="000000"/>
          <w:sz w:val="24"/>
          <w:szCs w:val="24"/>
          <w:rtl/>
        </w:rPr>
        <w:t xml:space="preserve">הסיבות </w:t>
      </w:r>
      <w:r>
        <w:rPr>
          <w:rFonts w:ascii="David" w:hAnsi="David" w:cs="David" w:hint="cs"/>
          <w:color w:val="000000"/>
          <w:sz w:val="24"/>
          <w:szCs w:val="24"/>
          <w:rtl/>
        </w:rPr>
        <w:t xml:space="preserve">הכלכליות </w:t>
      </w:r>
      <w:r w:rsidRPr="00E20B0B">
        <w:rPr>
          <w:rFonts w:ascii="David" w:hAnsi="David" w:cs="David"/>
          <w:color w:val="000000"/>
          <w:sz w:val="24"/>
          <w:szCs w:val="24"/>
          <w:rtl/>
        </w:rPr>
        <w:t>שהביאו את הנאשם לבצע את העבירות</w:t>
      </w:r>
      <w:r>
        <w:rPr>
          <w:rFonts w:ascii="David" w:hAnsi="David" w:cs="David" w:hint="cs"/>
          <w:color w:val="000000"/>
          <w:sz w:val="24"/>
          <w:szCs w:val="24"/>
          <w:rtl/>
        </w:rPr>
        <w:t xml:space="preserve"> כפי שטען הסנגור וכפי שצוין בתסקיר. </w:t>
      </w:r>
      <w:r w:rsidRPr="0000693C">
        <w:rPr>
          <w:rFonts w:ascii="David" w:hAnsi="David" w:cs="David"/>
          <w:color w:val="000000"/>
          <w:sz w:val="24"/>
          <w:szCs w:val="24"/>
          <w:rtl/>
        </w:rPr>
        <w:t xml:space="preserve"> </w:t>
      </w:r>
    </w:p>
    <w:p w14:paraId="73EB6F24" w14:textId="77777777" w:rsidR="00407D1E" w:rsidRPr="0063588E" w:rsidRDefault="00407D1E" w:rsidP="00407D1E">
      <w:pPr>
        <w:pStyle w:val="a9"/>
        <w:numPr>
          <w:ilvl w:val="0"/>
          <w:numId w:val="1"/>
        </w:numPr>
        <w:spacing w:before="240" w:after="240" w:line="360" w:lineRule="auto"/>
        <w:contextualSpacing w:val="0"/>
        <w:jc w:val="both"/>
        <w:rPr>
          <w:rFonts w:cs="Calibri"/>
          <w:color w:val="000000"/>
          <w:sz w:val="24"/>
          <w:szCs w:val="24"/>
        </w:rPr>
      </w:pPr>
      <w:r>
        <w:rPr>
          <w:rFonts w:ascii="David" w:hAnsi="David" w:cs="David" w:hint="cs"/>
          <w:color w:val="000000"/>
          <w:sz w:val="24"/>
          <w:szCs w:val="24"/>
          <w:rtl/>
        </w:rPr>
        <w:t>בבחינת מדיניות הענישה הנוהגת, מצאתי את פסקי הדין הבאים כרלוונטיים:</w:t>
      </w:r>
    </w:p>
    <w:p w14:paraId="2A13BF1A" w14:textId="77777777" w:rsidR="00407D1E" w:rsidRDefault="00BF60CF" w:rsidP="00407D1E">
      <w:pPr>
        <w:pStyle w:val="a9"/>
        <w:numPr>
          <w:ilvl w:val="0"/>
          <w:numId w:val="2"/>
        </w:numPr>
        <w:spacing w:before="240" w:after="240" w:line="360" w:lineRule="auto"/>
        <w:ind w:left="357"/>
        <w:contextualSpacing w:val="0"/>
        <w:jc w:val="both"/>
        <w:rPr>
          <w:rFonts w:ascii="David" w:hAnsi="David" w:cs="David"/>
          <w:color w:val="000000"/>
          <w:sz w:val="24"/>
          <w:szCs w:val="24"/>
        </w:rPr>
      </w:pPr>
      <w:hyperlink r:id="rId28" w:history="1">
        <w:r w:rsidRPr="00BF60CF">
          <w:rPr>
            <w:rFonts w:ascii="David" w:hAnsi="David" w:cs="David"/>
            <w:color w:val="0000FF"/>
            <w:sz w:val="24"/>
            <w:szCs w:val="24"/>
            <w:u w:val="single"/>
            <w:rtl/>
          </w:rPr>
          <w:t>ע"פ 6489/20</w:t>
        </w:r>
      </w:hyperlink>
      <w:r w:rsidR="00407D1E" w:rsidRPr="00192E34">
        <w:rPr>
          <w:rFonts w:ascii="David" w:hAnsi="David" w:cs="David" w:hint="cs"/>
          <w:color w:val="000000"/>
          <w:sz w:val="24"/>
          <w:szCs w:val="24"/>
          <w:rtl/>
        </w:rPr>
        <w:t xml:space="preserve"> </w:t>
      </w:r>
      <w:r w:rsidR="00407D1E" w:rsidRPr="00192E34">
        <w:rPr>
          <w:rFonts w:ascii="David" w:hAnsi="David" w:cs="David" w:hint="cs"/>
          <w:b/>
          <w:bCs/>
          <w:color w:val="000000"/>
          <w:sz w:val="24"/>
          <w:szCs w:val="24"/>
          <w:rtl/>
        </w:rPr>
        <w:t>פוקלונסקי נ' מדינת ישראל</w:t>
      </w:r>
      <w:r w:rsidR="00407D1E" w:rsidRPr="00192E34">
        <w:rPr>
          <w:rFonts w:ascii="David" w:hAnsi="David" w:cs="David" w:hint="cs"/>
          <w:color w:val="000000"/>
          <w:sz w:val="24"/>
          <w:szCs w:val="24"/>
          <w:rtl/>
        </w:rPr>
        <w:t xml:space="preserve"> (8.4.2021) - המערער הורשע על יסוד הודאתו בעבירות של </w:t>
      </w:r>
      <w:r w:rsidR="00407D1E" w:rsidRPr="00192E34">
        <w:rPr>
          <w:rFonts w:ascii="David" w:hAnsi="David" w:cs="David"/>
          <w:color w:val="000000"/>
          <w:sz w:val="24"/>
          <w:szCs w:val="24"/>
          <w:rtl/>
        </w:rPr>
        <w:t>ייצור, הכנה והפקת סם מסוכן, החזקת סם שלא לצריכה עצמית</w:t>
      </w:r>
      <w:r w:rsidR="00407D1E" w:rsidRPr="00192E34">
        <w:rPr>
          <w:rFonts w:ascii="David" w:hAnsi="David" w:cs="David" w:hint="cs"/>
          <w:color w:val="000000"/>
          <w:sz w:val="24"/>
          <w:szCs w:val="24"/>
          <w:rtl/>
        </w:rPr>
        <w:t xml:space="preserve"> ו</w:t>
      </w:r>
      <w:r w:rsidR="00407D1E" w:rsidRPr="00192E34">
        <w:rPr>
          <w:rFonts w:ascii="David" w:hAnsi="David" w:cs="David"/>
          <w:color w:val="000000"/>
          <w:sz w:val="24"/>
          <w:szCs w:val="24"/>
          <w:rtl/>
        </w:rPr>
        <w:t>החזקת כלים המשמשים להכנת סם מסוכן או לצריכתו</w:t>
      </w:r>
      <w:r w:rsidR="00407D1E" w:rsidRPr="00192E34">
        <w:rPr>
          <w:rFonts w:ascii="David" w:hAnsi="David" w:cs="David" w:hint="cs"/>
          <w:color w:val="000000"/>
          <w:sz w:val="24"/>
          <w:szCs w:val="24"/>
          <w:rtl/>
        </w:rPr>
        <w:t xml:space="preserve"> בכך שהקים מעבדה לגידול סם מסוכן מסוג קנבוס בדירה ששכר, בה נתפסו 950 שתילים שהגיעו למשקל של </w:t>
      </w:r>
      <w:r w:rsidR="00407D1E" w:rsidRPr="00192E34">
        <w:rPr>
          <w:rFonts w:ascii="David" w:hAnsi="David" w:cs="David" w:hint="cs"/>
          <w:b/>
          <w:bCs/>
          <w:color w:val="000000"/>
          <w:sz w:val="24"/>
          <w:szCs w:val="24"/>
          <w:rtl/>
        </w:rPr>
        <w:t>100 ק"ג</w:t>
      </w:r>
      <w:r w:rsidR="00407D1E" w:rsidRPr="00192E34">
        <w:rPr>
          <w:rFonts w:ascii="David" w:hAnsi="David" w:cs="David" w:hint="cs"/>
          <w:color w:val="000000"/>
          <w:sz w:val="24"/>
          <w:szCs w:val="24"/>
          <w:rtl/>
        </w:rPr>
        <w:t xml:space="preserve">. בית המשפט המחוזי קבע </w:t>
      </w:r>
      <w:r w:rsidR="00407D1E" w:rsidRPr="00192E34">
        <w:rPr>
          <w:rFonts w:ascii="David" w:hAnsi="David" w:cs="David" w:hint="cs"/>
          <w:b/>
          <w:bCs/>
          <w:color w:val="000000"/>
          <w:sz w:val="24"/>
          <w:szCs w:val="24"/>
          <w:rtl/>
        </w:rPr>
        <w:t>מתחם ענישה הנע בין 24 ל- 48 חודשי מאסר</w:t>
      </w:r>
      <w:r w:rsidR="00407D1E" w:rsidRPr="00192E34">
        <w:rPr>
          <w:rFonts w:ascii="David" w:hAnsi="David" w:cs="David" w:hint="cs"/>
          <w:color w:val="000000"/>
          <w:sz w:val="24"/>
          <w:szCs w:val="24"/>
          <w:rtl/>
        </w:rPr>
        <w:t xml:space="preserve">, והשית על הנאשם 33 חודשי מאסר לצד עונשים נלווים. </w:t>
      </w:r>
      <w:r w:rsidR="00407D1E" w:rsidRPr="0063588E">
        <w:rPr>
          <w:rFonts w:ascii="David" w:hAnsi="David" w:cs="David"/>
          <w:color w:val="000000"/>
          <w:sz w:val="24"/>
          <w:szCs w:val="24"/>
          <w:rtl/>
        </w:rPr>
        <w:t>בהמלצת בית המשפט העליון, חזר בו המערער מערעורו על חומרת העונש</w:t>
      </w:r>
      <w:r w:rsidR="00407D1E">
        <w:rPr>
          <w:rFonts w:cs="Calibri" w:hint="cs"/>
          <w:color w:val="000000"/>
          <w:rtl/>
        </w:rPr>
        <w:t>.</w:t>
      </w:r>
    </w:p>
    <w:p w14:paraId="52970835" w14:textId="77777777" w:rsidR="00407D1E" w:rsidRPr="00192E34" w:rsidRDefault="00407D1E" w:rsidP="00407D1E">
      <w:pPr>
        <w:pStyle w:val="a9"/>
        <w:spacing w:before="240" w:after="240" w:line="360" w:lineRule="auto"/>
        <w:ind w:left="357"/>
        <w:contextualSpacing w:val="0"/>
        <w:jc w:val="both"/>
        <w:rPr>
          <w:rFonts w:ascii="David" w:hAnsi="David" w:cs="David"/>
          <w:color w:val="000000"/>
          <w:sz w:val="24"/>
          <w:szCs w:val="24"/>
        </w:rPr>
      </w:pPr>
      <w:r w:rsidRPr="00192E34">
        <w:rPr>
          <w:rFonts w:ascii="David" w:hAnsi="David" w:cs="David" w:hint="cs"/>
          <w:color w:val="000000"/>
          <w:sz w:val="24"/>
          <w:szCs w:val="24"/>
          <w:rtl/>
        </w:rPr>
        <w:t>ענייננו חמור יותר בשל רכיב "נטילת החשמל"</w:t>
      </w:r>
      <w:r>
        <w:rPr>
          <w:rFonts w:ascii="David" w:hAnsi="David" w:cs="David" w:hint="cs"/>
          <w:color w:val="000000"/>
          <w:sz w:val="24"/>
          <w:szCs w:val="24"/>
          <w:rtl/>
        </w:rPr>
        <w:t xml:space="preserve"> שאינו קיים ב</w:t>
      </w:r>
      <w:r w:rsidRPr="00192E34">
        <w:rPr>
          <w:rFonts w:ascii="David" w:hAnsi="David" w:cs="David" w:hint="cs"/>
          <w:color w:val="000000"/>
          <w:sz w:val="24"/>
          <w:szCs w:val="24"/>
          <w:rtl/>
        </w:rPr>
        <w:t>עניינו של פוקלונסקי</w:t>
      </w:r>
      <w:r>
        <w:rPr>
          <w:rFonts w:ascii="David" w:hAnsi="David" w:cs="David" w:hint="cs"/>
          <w:color w:val="000000"/>
          <w:sz w:val="24"/>
          <w:szCs w:val="24"/>
          <w:rtl/>
        </w:rPr>
        <w:t xml:space="preserve">. </w:t>
      </w:r>
    </w:p>
    <w:p w14:paraId="0722C933" w14:textId="77777777" w:rsidR="00407D1E" w:rsidRPr="0063588E" w:rsidRDefault="00BF60CF" w:rsidP="00407D1E">
      <w:pPr>
        <w:pStyle w:val="a9"/>
        <w:numPr>
          <w:ilvl w:val="0"/>
          <w:numId w:val="2"/>
        </w:numPr>
        <w:spacing w:before="240" w:after="240" w:line="360" w:lineRule="auto"/>
        <w:contextualSpacing w:val="0"/>
        <w:jc w:val="both"/>
        <w:rPr>
          <w:rFonts w:cs="Calibri"/>
          <w:color w:val="000000"/>
        </w:rPr>
      </w:pPr>
      <w:hyperlink r:id="rId29" w:history="1">
        <w:r w:rsidRPr="00BF60CF">
          <w:rPr>
            <w:rFonts w:ascii="David" w:hAnsi="David" w:cs="David"/>
            <w:color w:val="0000FF"/>
            <w:sz w:val="24"/>
            <w:szCs w:val="24"/>
            <w:u w:val="single"/>
            <w:rtl/>
          </w:rPr>
          <w:t>ע"פ 6299/20</w:t>
        </w:r>
      </w:hyperlink>
      <w:r w:rsidR="00407D1E">
        <w:rPr>
          <w:rFonts w:ascii="David" w:hAnsi="David" w:cs="David" w:hint="cs"/>
          <w:color w:val="000000"/>
          <w:sz w:val="24"/>
          <w:szCs w:val="24"/>
          <w:rtl/>
        </w:rPr>
        <w:t xml:space="preserve"> </w:t>
      </w:r>
      <w:r w:rsidR="00407D1E">
        <w:rPr>
          <w:rFonts w:ascii="David" w:hAnsi="David" w:cs="David" w:hint="cs"/>
          <w:b/>
          <w:bCs/>
          <w:color w:val="000000"/>
          <w:sz w:val="24"/>
          <w:szCs w:val="24"/>
          <w:rtl/>
        </w:rPr>
        <w:t>שחר חן נ' מדינת ישראל</w:t>
      </w:r>
      <w:r w:rsidR="00407D1E">
        <w:rPr>
          <w:rFonts w:ascii="David" w:hAnsi="David" w:cs="David" w:hint="cs"/>
          <w:color w:val="000000"/>
          <w:sz w:val="24"/>
          <w:szCs w:val="24"/>
          <w:rtl/>
        </w:rPr>
        <w:t xml:space="preserve"> (4.2.2021) -</w:t>
      </w:r>
      <w:r w:rsidR="00407D1E" w:rsidRPr="0063588E">
        <w:rPr>
          <w:rFonts w:ascii="David" w:hAnsi="David" w:cs="David"/>
          <w:color w:val="000000"/>
          <w:sz w:val="24"/>
          <w:szCs w:val="24"/>
          <w:rtl/>
        </w:rPr>
        <w:t xml:space="preserve"> המערער הורשע על יסוד הודאתו בעבירות של ייצור, הכנה והפקת סם מסוכן, החזקת סם שלא לצריכה עצמית, החזקת חצרים לשם הכנת סם מסוכן, החזקת כלים המשמשים להכנת סם מסוכן או לצריכתו ונטילת חשמל שלא כדין בכך שהקים מעבדה לגידול סם מסוכן מסוג קנבוס בדירה ששכר בתל-אביב במשקל כולל של</w:t>
      </w:r>
      <w:r>
        <w:rPr>
          <w:rFonts w:ascii="David" w:hAnsi="David" w:cs="David"/>
          <w:color w:val="000000"/>
          <w:sz w:val="24"/>
          <w:szCs w:val="24"/>
          <w:rtl/>
        </w:rPr>
        <w:t xml:space="preserve"> </w:t>
      </w:r>
      <w:r w:rsidR="00407D1E" w:rsidRPr="0063588E">
        <w:rPr>
          <w:rFonts w:ascii="David" w:hAnsi="David" w:cs="David"/>
          <w:b/>
          <w:bCs/>
          <w:color w:val="000000"/>
          <w:sz w:val="24"/>
          <w:szCs w:val="24"/>
          <w:rtl/>
        </w:rPr>
        <w:t>90 ק"ג</w:t>
      </w:r>
      <w:r w:rsidR="00407D1E" w:rsidRPr="0063588E">
        <w:rPr>
          <w:rFonts w:ascii="David" w:hAnsi="David" w:cs="David"/>
          <w:color w:val="000000"/>
          <w:sz w:val="24"/>
          <w:szCs w:val="24"/>
          <w:rtl/>
        </w:rPr>
        <w:t>. לשם תפעול המעבדה, נטל</w:t>
      </w:r>
      <w:r w:rsidR="00407D1E">
        <w:rPr>
          <w:rFonts w:ascii="David" w:hAnsi="David" w:cs="David"/>
          <w:color w:val="000000"/>
          <w:sz w:val="24"/>
          <w:szCs w:val="24"/>
          <w:rtl/>
        </w:rPr>
        <w:t xml:space="preserve"> ה</w:t>
      </w:r>
      <w:r w:rsidR="00407D1E">
        <w:rPr>
          <w:rFonts w:ascii="David" w:hAnsi="David" w:cs="David" w:hint="cs"/>
          <w:color w:val="000000"/>
          <w:sz w:val="24"/>
          <w:szCs w:val="24"/>
          <w:rtl/>
        </w:rPr>
        <w:t>מערער</w:t>
      </w:r>
      <w:r w:rsidR="00407D1E" w:rsidRPr="0063588E">
        <w:rPr>
          <w:rFonts w:ascii="David" w:hAnsi="David" w:cs="David"/>
          <w:color w:val="000000"/>
          <w:sz w:val="24"/>
          <w:szCs w:val="24"/>
          <w:rtl/>
        </w:rPr>
        <w:t xml:space="preserve"> והשתמש בחשמל שלא כדין. באותו מקרה קבעתי</w:t>
      </w:r>
      <w:r>
        <w:rPr>
          <w:rFonts w:ascii="David" w:hAnsi="David" w:cs="David"/>
          <w:color w:val="000000"/>
          <w:sz w:val="24"/>
          <w:szCs w:val="24"/>
          <w:rtl/>
        </w:rPr>
        <w:t xml:space="preserve"> </w:t>
      </w:r>
      <w:r w:rsidR="00407D1E" w:rsidRPr="0063588E">
        <w:rPr>
          <w:rFonts w:ascii="David" w:hAnsi="David" w:cs="David"/>
          <w:b/>
          <w:bCs/>
          <w:color w:val="000000"/>
          <w:sz w:val="24"/>
          <w:szCs w:val="24"/>
          <w:rtl/>
        </w:rPr>
        <w:t>מתחם ענישה הנע בין 29 ל- 54 חודשי מאסר</w:t>
      </w:r>
      <w:r w:rsidR="00407D1E">
        <w:rPr>
          <w:rFonts w:ascii="David" w:hAnsi="David" w:cs="David"/>
          <w:color w:val="000000"/>
          <w:sz w:val="24"/>
          <w:szCs w:val="24"/>
          <w:rtl/>
        </w:rPr>
        <w:t>, והשתתי על ה</w:t>
      </w:r>
      <w:r w:rsidR="00407D1E">
        <w:rPr>
          <w:rFonts w:ascii="David" w:hAnsi="David" w:cs="David" w:hint="cs"/>
          <w:color w:val="000000"/>
          <w:sz w:val="24"/>
          <w:szCs w:val="24"/>
          <w:rtl/>
        </w:rPr>
        <w:t>מערער</w:t>
      </w:r>
      <w:r w:rsidR="00407D1E" w:rsidRPr="0063588E">
        <w:rPr>
          <w:rFonts w:ascii="David" w:hAnsi="David" w:cs="David"/>
          <w:color w:val="000000"/>
          <w:sz w:val="24"/>
          <w:szCs w:val="24"/>
          <w:rtl/>
        </w:rPr>
        <w:t xml:space="preserve"> 29 חודשי מאסר לצד עונשים נלווים. בהמלצת בית המשפט העליון, חזר בו המערער מערעורו על חומרת העונש</w:t>
      </w:r>
      <w:r w:rsidR="00407D1E">
        <w:rPr>
          <w:rFonts w:cs="Calibri" w:hint="cs"/>
          <w:color w:val="000000"/>
          <w:rtl/>
        </w:rPr>
        <w:t>.</w:t>
      </w:r>
    </w:p>
    <w:p w14:paraId="5C8D6B3D"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sidRPr="0063588E">
        <w:rPr>
          <w:rFonts w:ascii="David" w:hAnsi="David" w:cs="David"/>
          <w:color w:val="000000"/>
          <w:sz w:val="24"/>
          <w:szCs w:val="24"/>
          <w:rtl/>
        </w:rPr>
        <w:t xml:space="preserve">כמות הסם שנתפסה אצל הנאשם </w:t>
      </w:r>
      <w:r>
        <w:rPr>
          <w:rFonts w:ascii="David" w:hAnsi="David" w:cs="David" w:hint="cs"/>
          <w:color w:val="000000"/>
          <w:sz w:val="24"/>
          <w:szCs w:val="24"/>
          <w:rtl/>
        </w:rPr>
        <w:t xml:space="preserve">מעט גדולה יותר </w:t>
      </w:r>
      <w:r w:rsidRPr="0063588E">
        <w:rPr>
          <w:rFonts w:ascii="David" w:hAnsi="David" w:cs="David"/>
          <w:color w:val="000000"/>
          <w:sz w:val="24"/>
          <w:szCs w:val="24"/>
          <w:rtl/>
        </w:rPr>
        <w:t>מזו שנתפסה אצל חן</w:t>
      </w:r>
      <w:r>
        <w:rPr>
          <w:rFonts w:ascii="David" w:hAnsi="David" w:cs="David" w:hint="cs"/>
          <w:color w:val="000000"/>
          <w:sz w:val="24"/>
          <w:szCs w:val="24"/>
          <w:rtl/>
        </w:rPr>
        <w:t xml:space="preserve"> (100 ק"ג לעומת 90 ק"ג)</w:t>
      </w:r>
      <w:r w:rsidRPr="0063588E">
        <w:rPr>
          <w:rFonts w:ascii="David" w:hAnsi="David" w:cs="David"/>
          <w:color w:val="000000"/>
          <w:sz w:val="24"/>
          <w:szCs w:val="24"/>
          <w:rtl/>
        </w:rPr>
        <w:t>.</w:t>
      </w:r>
      <w:r>
        <w:rPr>
          <w:rFonts w:ascii="David" w:hAnsi="David" w:cs="David" w:hint="cs"/>
          <w:color w:val="000000"/>
          <w:sz w:val="24"/>
          <w:szCs w:val="24"/>
          <w:rtl/>
        </w:rPr>
        <w:t xml:space="preserve"> </w:t>
      </w:r>
    </w:p>
    <w:p w14:paraId="3857E877"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p>
    <w:p w14:paraId="1F7DE6E3" w14:textId="77777777" w:rsidR="00407D1E" w:rsidRDefault="00407D1E" w:rsidP="00407D1E">
      <w:pPr>
        <w:pStyle w:val="a9"/>
        <w:numPr>
          <w:ilvl w:val="0"/>
          <w:numId w:val="2"/>
        </w:numPr>
        <w:spacing w:before="240" w:after="240" w:line="360" w:lineRule="auto"/>
        <w:contextualSpacing w:val="0"/>
        <w:jc w:val="both"/>
        <w:rPr>
          <w:rFonts w:ascii="David" w:hAnsi="David" w:cs="David"/>
          <w:color w:val="000000"/>
          <w:sz w:val="24"/>
          <w:szCs w:val="24"/>
        </w:rPr>
      </w:pPr>
      <w:r>
        <w:rPr>
          <w:rFonts w:ascii="David" w:hAnsi="David" w:cs="David" w:hint="cs"/>
          <w:color w:val="000000"/>
          <w:sz w:val="24"/>
          <w:szCs w:val="24"/>
          <w:rtl/>
        </w:rPr>
        <w:t>ע"פ 817/</w:t>
      </w:r>
      <w:r w:rsidRPr="003C2699">
        <w:rPr>
          <w:rFonts w:ascii="David" w:hAnsi="David" w:cs="David" w:hint="cs"/>
          <w:color w:val="000000"/>
          <w:sz w:val="24"/>
          <w:szCs w:val="24"/>
          <w:rtl/>
        </w:rPr>
        <w:t xml:space="preserve">20 </w:t>
      </w:r>
      <w:r w:rsidRPr="003C2699">
        <w:rPr>
          <w:rFonts w:ascii="David" w:hAnsi="David" w:cs="David" w:hint="cs"/>
          <w:b/>
          <w:bCs/>
          <w:color w:val="000000"/>
          <w:sz w:val="24"/>
          <w:szCs w:val="24"/>
          <w:rtl/>
        </w:rPr>
        <w:t xml:space="preserve">אברג'יל נ' מדינת ישראל </w:t>
      </w:r>
      <w:r w:rsidRPr="003C2699">
        <w:rPr>
          <w:rFonts w:ascii="David" w:hAnsi="David" w:cs="David" w:hint="cs"/>
          <w:color w:val="000000"/>
          <w:sz w:val="24"/>
          <w:szCs w:val="24"/>
          <w:rtl/>
        </w:rPr>
        <w:t xml:space="preserve">(30.3.2020) - </w:t>
      </w:r>
      <w:r w:rsidRPr="003C2699">
        <w:rPr>
          <w:rFonts w:ascii="David" w:hAnsi="David" w:cs="David"/>
          <w:color w:val="000000"/>
          <w:sz w:val="24"/>
          <w:szCs w:val="24"/>
          <w:rtl/>
        </w:rPr>
        <w:t>המערער הורשע בהתאם להודאתו בעבירות של ייצור, הכנה והפקה של סם מסוכן מסוג קנבוס, ובהחזקת סם מסוכן שלא לצריכה עצמית, לאחר שהקים והפעיל מעבדה לגידול סם מסוכן בה נתפסו מאות שתילים שהגיעו למשקל של</w:t>
      </w:r>
      <w:r w:rsidR="00BF60CF">
        <w:rPr>
          <w:rFonts w:ascii="David" w:hAnsi="David" w:cs="David"/>
          <w:color w:val="000000"/>
          <w:sz w:val="24"/>
          <w:szCs w:val="24"/>
          <w:rtl/>
        </w:rPr>
        <w:t xml:space="preserve"> </w:t>
      </w:r>
      <w:r w:rsidRPr="003C2699">
        <w:rPr>
          <w:rFonts w:ascii="David" w:hAnsi="David" w:cs="David"/>
          <w:b/>
          <w:bCs/>
          <w:color w:val="000000"/>
          <w:sz w:val="24"/>
          <w:szCs w:val="24"/>
          <w:rtl/>
        </w:rPr>
        <w:t>80 ק"ג</w:t>
      </w:r>
      <w:r w:rsidRPr="003C2699">
        <w:rPr>
          <w:rFonts w:ascii="David" w:hAnsi="David" w:cs="David"/>
          <w:color w:val="000000"/>
          <w:sz w:val="24"/>
          <w:szCs w:val="24"/>
          <w:rtl/>
        </w:rPr>
        <w:t xml:space="preserve">. נקבע </w:t>
      </w:r>
      <w:r w:rsidRPr="00141CF5">
        <w:rPr>
          <w:rFonts w:ascii="David" w:hAnsi="David" w:cs="David"/>
          <w:b/>
          <w:bCs/>
          <w:color w:val="000000"/>
          <w:sz w:val="24"/>
          <w:szCs w:val="24"/>
          <w:rtl/>
        </w:rPr>
        <w:t>מתחם ענישה שנע בין</w:t>
      </w:r>
      <w:r w:rsidR="00BF60CF">
        <w:rPr>
          <w:rFonts w:ascii="David" w:hAnsi="David" w:cs="David"/>
          <w:color w:val="000000"/>
          <w:sz w:val="24"/>
          <w:szCs w:val="24"/>
          <w:rtl/>
        </w:rPr>
        <w:t xml:space="preserve"> </w:t>
      </w:r>
      <w:r w:rsidRPr="003C2699">
        <w:rPr>
          <w:rFonts w:ascii="David" w:hAnsi="David" w:cs="David"/>
          <w:b/>
          <w:bCs/>
          <w:color w:val="000000"/>
          <w:sz w:val="24"/>
          <w:szCs w:val="24"/>
          <w:rtl/>
        </w:rPr>
        <w:t>22 ל- 46 חודשי מאסר בפועל</w:t>
      </w:r>
      <w:r w:rsidRPr="003C2699">
        <w:rPr>
          <w:rFonts w:ascii="David" w:hAnsi="David" w:cs="David"/>
          <w:color w:val="000000"/>
          <w:sz w:val="24"/>
          <w:szCs w:val="24"/>
          <w:rtl/>
        </w:rPr>
        <w:t>. על המערער הושת מאסר בפועל של 26 חודשים. בית המשפט העליון דחה את הערעור על חומרת העונש.</w:t>
      </w:r>
    </w:p>
    <w:p w14:paraId="3C0F5B25"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Pr>
      </w:pPr>
      <w:r>
        <w:rPr>
          <w:rFonts w:ascii="David" w:hAnsi="David" w:cs="David" w:hint="cs"/>
          <w:color w:val="000000"/>
          <w:sz w:val="24"/>
          <w:szCs w:val="24"/>
          <w:rtl/>
        </w:rPr>
        <w:t xml:space="preserve">ענייננו חמור יותר מעניינו של אברג'יל הן נוכח העובדה כי כמות הסם גדולה יותר (100 ק"ג לעומת 80 ק"ג) והן נוכח רכיב נטילת החשמל שאינו קיים בעניינו של אברג'יל. </w:t>
      </w:r>
    </w:p>
    <w:p w14:paraId="34287BA0" w14:textId="77777777" w:rsidR="00407D1E" w:rsidRPr="00382F45" w:rsidRDefault="00BF60CF" w:rsidP="00407D1E">
      <w:pPr>
        <w:pStyle w:val="a9"/>
        <w:numPr>
          <w:ilvl w:val="0"/>
          <w:numId w:val="2"/>
        </w:numPr>
        <w:spacing w:before="240" w:after="240" w:line="360" w:lineRule="auto"/>
        <w:contextualSpacing w:val="0"/>
        <w:jc w:val="both"/>
        <w:rPr>
          <w:rFonts w:ascii="David" w:hAnsi="David" w:cs="David"/>
          <w:color w:val="000000"/>
          <w:sz w:val="24"/>
          <w:szCs w:val="24"/>
        </w:rPr>
      </w:pPr>
      <w:hyperlink r:id="rId30" w:history="1">
        <w:r w:rsidRPr="00BF60CF">
          <w:rPr>
            <w:rFonts w:ascii="David" w:hAnsi="David" w:cs="David"/>
            <w:color w:val="0000FF"/>
            <w:sz w:val="24"/>
            <w:szCs w:val="24"/>
            <w:u w:val="single"/>
            <w:rtl/>
          </w:rPr>
          <w:t>ע"פ 8191/19</w:t>
        </w:r>
      </w:hyperlink>
      <w:r w:rsidR="00407D1E" w:rsidRPr="00382F45">
        <w:rPr>
          <w:rFonts w:ascii="David" w:hAnsi="David" w:cs="David" w:hint="cs"/>
          <w:color w:val="000000"/>
          <w:sz w:val="24"/>
          <w:szCs w:val="24"/>
          <w:rtl/>
        </w:rPr>
        <w:t xml:space="preserve"> </w:t>
      </w:r>
      <w:r w:rsidR="00407D1E" w:rsidRPr="00382F45">
        <w:rPr>
          <w:rFonts w:ascii="David" w:hAnsi="David" w:cs="David" w:hint="cs"/>
          <w:b/>
          <w:bCs/>
          <w:color w:val="000000"/>
          <w:sz w:val="24"/>
          <w:szCs w:val="24"/>
          <w:rtl/>
        </w:rPr>
        <w:t xml:space="preserve">אלוכילי נ' מדינת ישראל </w:t>
      </w:r>
      <w:r w:rsidR="00407D1E" w:rsidRPr="00382F45">
        <w:rPr>
          <w:rFonts w:ascii="David" w:hAnsi="David" w:cs="David" w:hint="cs"/>
          <w:color w:val="000000"/>
          <w:sz w:val="24"/>
          <w:szCs w:val="24"/>
          <w:rtl/>
        </w:rPr>
        <w:t xml:space="preserve">(7.9.2020) - המערער הורשע </w:t>
      </w:r>
      <w:r w:rsidR="00407D1E" w:rsidRPr="00382F45">
        <w:rPr>
          <w:rFonts w:ascii="David" w:hAnsi="David" w:cs="David"/>
          <w:color w:val="000000"/>
          <w:sz w:val="24"/>
          <w:szCs w:val="24"/>
          <w:rtl/>
        </w:rPr>
        <w:t>בעבירות של ייצור, הכנה והפקה של סם מסוכן והחזקת סם מסוכן שלא לצריכה עצמית לאחר שגידל בחממות המצויות בתוך מחסן במתחם ביתו</w:t>
      </w:r>
      <w:r>
        <w:rPr>
          <w:rFonts w:ascii="David" w:hAnsi="David" w:cs="David"/>
          <w:color w:val="000000"/>
          <w:sz w:val="24"/>
          <w:szCs w:val="24"/>
          <w:rtl/>
        </w:rPr>
        <w:t xml:space="preserve"> </w:t>
      </w:r>
      <w:r w:rsidR="00407D1E" w:rsidRPr="00404084">
        <w:rPr>
          <w:rFonts w:ascii="David" w:hAnsi="David" w:cs="David"/>
          <w:color w:val="000000"/>
          <w:sz w:val="24"/>
          <w:szCs w:val="24"/>
        </w:rPr>
        <w:t xml:space="preserve">558 </w:t>
      </w:r>
      <w:r w:rsidR="00407D1E" w:rsidRPr="00404084">
        <w:rPr>
          <w:rFonts w:ascii="David" w:hAnsi="David" w:cs="David"/>
          <w:color w:val="000000"/>
          <w:sz w:val="24"/>
          <w:szCs w:val="24"/>
          <w:rtl/>
        </w:rPr>
        <w:t>שתילים</w:t>
      </w:r>
      <w:r>
        <w:rPr>
          <w:rFonts w:ascii="David" w:hAnsi="David" w:cs="David"/>
          <w:color w:val="000000"/>
          <w:sz w:val="24"/>
          <w:szCs w:val="24"/>
          <w:rtl/>
        </w:rPr>
        <w:t xml:space="preserve"> </w:t>
      </w:r>
      <w:r w:rsidR="00407D1E" w:rsidRPr="00382F45">
        <w:rPr>
          <w:rFonts w:ascii="David" w:hAnsi="David" w:cs="David"/>
          <w:color w:val="000000"/>
          <w:sz w:val="24"/>
          <w:szCs w:val="24"/>
          <w:rtl/>
        </w:rPr>
        <w:t>שהגיעו למשקל ש</w:t>
      </w:r>
      <w:r w:rsidR="00407D1E">
        <w:rPr>
          <w:rFonts w:ascii="David" w:hAnsi="David" w:cs="David" w:hint="cs"/>
          <w:color w:val="000000"/>
          <w:sz w:val="24"/>
          <w:szCs w:val="24"/>
          <w:rtl/>
        </w:rPr>
        <w:t xml:space="preserve">ל </w:t>
      </w:r>
      <w:r w:rsidR="00407D1E" w:rsidRPr="00382F45">
        <w:rPr>
          <w:rFonts w:ascii="David" w:hAnsi="David" w:cs="David" w:hint="cs"/>
          <w:b/>
          <w:bCs/>
          <w:color w:val="000000"/>
          <w:sz w:val="24"/>
          <w:szCs w:val="24"/>
          <w:rtl/>
        </w:rPr>
        <w:t>97 ק"ג</w:t>
      </w:r>
      <w:r w:rsidR="00407D1E">
        <w:rPr>
          <w:rFonts w:ascii="David" w:hAnsi="David" w:cs="David" w:hint="cs"/>
          <w:color w:val="000000"/>
          <w:sz w:val="24"/>
          <w:szCs w:val="24"/>
          <w:rtl/>
        </w:rPr>
        <w:t xml:space="preserve">. בית המשפט המחוזי </w:t>
      </w:r>
      <w:r w:rsidR="00407D1E" w:rsidRPr="00382F45">
        <w:rPr>
          <w:rFonts w:ascii="David" w:hAnsi="David" w:cs="David"/>
          <w:color w:val="000000"/>
          <w:sz w:val="24"/>
          <w:szCs w:val="24"/>
          <w:rtl/>
        </w:rPr>
        <w:t xml:space="preserve">קבע </w:t>
      </w:r>
      <w:r w:rsidR="00407D1E" w:rsidRPr="00404084">
        <w:rPr>
          <w:rFonts w:ascii="David" w:hAnsi="David" w:cs="David"/>
          <w:b/>
          <w:bCs/>
          <w:color w:val="000000"/>
          <w:sz w:val="24"/>
          <w:szCs w:val="24"/>
          <w:rtl/>
        </w:rPr>
        <w:t>מתחם הנע בי</w:t>
      </w:r>
      <w:r w:rsidR="00407D1E" w:rsidRPr="00404084">
        <w:rPr>
          <w:rFonts w:ascii="David" w:hAnsi="David" w:cs="David" w:hint="cs"/>
          <w:b/>
          <w:bCs/>
          <w:color w:val="000000"/>
          <w:sz w:val="24"/>
          <w:szCs w:val="24"/>
          <w:rtl/>
        </w:rPr>
        <w:t>ן 18 ל- 48 חודשי מאסר</w:t>
      </w:r>
      <w:r w:rsidR="00407D1E">
        <w:rPr>
          <w:rFonts w:ascii="David" w:hAnsi="David" w:cs="David" w:hint="cs"/>
          <w:color w:val="000000"/>
          <w:sz w:val="24"/>
          <w:szCs w:val="24"/>
          <w:rtl/>
        </w:rPr>
        <w:t xml:space="preserve"> והשית על המערער 27 חודשי מאסר. בהמלצת בית המשפט העליון, חזר בו המערער מהערעור שהגיש על חומרת העונש. </w:t>
      </w:r>
    </w:p>
    <w:p w14:paraId="101B7328" w14:textId="77777777" w:rsidR="00407D1E" w:rsidRDefault="00407D1E" w:rsidP="00407D1E">
      <w:pPr>
        <w:pStyle w:val="a9"/>
        <w:numPr>
          <w:ilvl w:val="0"/>
          <w:numId w:val="2"/>
        </w:numPr>
        <w:spacing w:before="240" w:after="240" w:line="360" w:lineRule="auto"/>
        <w:contextualSpacing w:val="0"/>
        <w:jc w:val="both"/>
        <w:rPr>
          <w:rFonts w:ascii="David" w:hAnsi="David" w:cs="David"/>
          <w:color w:val="000000"/>
          <w:sz w:val="24"/>
          <w:szCs w:val="24"/>
        </w:rPr>
      </w:pPr>
      <w:r w:rsidRPr="003C2699">
        <w:rPr>
          <w:rFonts w:ascii="David" w:hAnsi="David" w:cs="David"/>
          <w:color w:val="000000"/>
          <w:sz w:val="24"/>
          <w:szCs w:val="24"/>
          <w:rtl/>
        </w:rPr>
        <w:t>עניין</w:t>
      </w:r>
      <w:r w:rsidR="00BF60CF">
        <w:rPr>
          <w:rFonts w:ascii="David" w:hAnsi="David" w:cs="David"/>
          <w:color w:val="000000"/>
          <w:sz w:val="24"/>
          <w:szCs w:val="24"/>
          <w:rtl/>
        </w:rPr>
        <w:t xml:space="preserve"> </w:t>
      </w:r>
      <w:r w:rsidRPr="003C2699">
        <w:rPr>
          <w:rFonts w:ascii="David" w:hAnsi="David" w:cs="David"/>
          <w:b/>
          <w:bCs/>
          <w:color w:val="000000"/>
          <w:sz w:val="24"/>
          <w:szCs w:val="24"/>
          <w:rtl/>
        </w:rPr>
        <w:t>זנזורי</w:t>
      </w:r>
      <w:r w:rsidR="00BF60CF">
        <w:rPr>
          <w:rFonts w:ascii="David" w:hAnsi="David" w:cs="David"/>
          <w:color w:val="000000"/>
          <w:sz w:val="24"/>
          <w:szCs w:val="24"/>
          <w:rtl/>
        </w:rPr>
        <w:t xml:space="preserve"> </w:t>
      </w:r>
      <w:r w:rsidRPr="003C2699">
        <w:rPr>
          <w:rFonts w:ascii="David" w:hAnsi="David" w:cs="David"/>
          <w:color w:val="000000"/>
          <w:sz w:val="24"/>
          <w:szCs w:val="24"/>
          <w:rtl/>
        </w:rPr>
        <w:t>- המערער הורשע בעבירות של ייצור, הכנה והפקה של סם מסוגן מסוג קנבוס, קשירת קשר לפשע ושיבוש מהלכי משפט לאחר שהקים מעבדה לגידול קנבוס בה נתפסו</w:t>
      </w:r>
      <w:r w:rsidR="00BF60CF">
        <w:rPr>
          <w:rFonts w:ascii="David" w:hAnsi="David" w:cs="David"/>
          <w:color w:val="000000"/>
          <w:sz w:val="24"/>
          <w:szCs w:val="24"/>
          <w:rtl/>
        </w:rPr>
        <w:t xml:space="preserve"> </w:t>
      </w:r>
      <w:r w:rsidRPr="003C2699">
        <w:rPr>
          <w:rFonts w:ascii="David" w:hAnsi="David" w:cs="David"/>
          <w:b/>
          <w:bCs/>
          <w:color w:val="000000"/>
          <w:sz w:val="24"/>
          <w:szCs w:val="24"/>
          <w:rtl/>
        </w:rPr>
        <w:t>137.6 ק"ג של סם</w:t>
      </w:r>
      <w:r w:rsidRPr="003C2699">
        <w:rPr>
          <w:rFonts w:ascii="David" w:hAnsi="David" w:cs="David"/>
          <w:color w:val="000000"/>
          <w:sz w:val="24"/>
          <w:szCs w:val="24"/>
          <w:rtl/>
        </w:rPr>
        <w:t>. נקבע מתחם ענישה שנע בין</w:t>
      </w:r>
      <w:r w:rsidR="00BF60CF">
        <w:rPr>
          <w:rFonts w:ascii="David" w:hAnsi="David" w:cs="David"/>
          <w:color w:val="000000"/>
          <w:sz w:val="24"/>
          <w:szCs w:val="24"/>
          <w:rtl/>
        </w:rPr>
        <w:t xml:space="preserve"> </w:t>
      </w:r>
      <w:r w:rsidRPr="003C2699">
        <w:rPr>
          <w:rFonts w:ascii="David" w:hAnsi="David" w:cs="David"/>
          <w:b/>
          <w:bCs/>
          <w:color w:val="000000"/>
          <w:sz w:val="24"/>
          <w:szCs w:val="24"/>
          <w:rtl/>
        </w:rPr>
        <w:t>36 ל- 56 חודשי מאסר בפועל</w:t>
      </w:r>
      <w:r w:rsidRPr="003C2699">
        <w:rPr>
          <w:rFonts w:ascii="David" w:hAnsi="David" w:cs="David"/>
          <w:color w:val="000000"/>
          <w:sz w:val="24"/>
          <w:szCs w:val="24"/>
          <w:rtl/>
        </w:rPr>
        <w:t>. על המערער הושת מאסר בפועל של 26 חודשים, וזאת בשל הסיכוי הממשי לשיקום. בית המשפט עליון דחה את הערעור על חומרת העונש.</w:t>
      </w:r>
    </w:p>
    <w:p w14:paraId="081D8AB2"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sidRPr="003C2699">
        <w:rPr>
          <w:rFonts w:ascii="David" w:hAnsi="David" w:cs="David"/>
          <w:color w:val="000000"/>
          <w:sz w:val="24"/>
          <w:szCs w:val="24"/>
          <w:rtl/>
        </w:rPr>
        <w:t xml:space="preserve">המקרה </w:t>
      </w:r>
      <w:r>
        <w:rPr>
          <w:rFonts w:ascii="David" w:hAnsi="David" w:cs="David" w:hint="cs"/>
          <w:color w:val="000000"/>
          <w:sz w:val="24"/>
          <w:szCs w:val="24"/>
          <w:rtl/>
        </w:rPr>
        <w:t xml:space="preserve">של זנזורי </w:t>
      </w:r>
      <w:r w:rsidRPr="003C2699">
        <w:rPr>
          <w:rFonts w:ascii="David" w:hAnsi="David" w:cs="David"/>
          <w:color w:val="000000"/>
          <w:sz w:val="24"/>
          <w:szCs w:val="24"/>
          <w:rtl/>
        </w:rPr>
        <w:t>חמור יותר</w:t>
      </w:r>
      <w:r>
        <w:rPr>
          <w:rFonts w:ascii="David" w:hAnsi="David" w:cs="David"/>
          <w:color w:val="000000"/>
          <w:sz w:val="24"/>
          <w:szCs w:val="24"/>
          <w:rtl/>
        </w:rPr>
        <w:t xml:space="preserve"> מענייננו ביחס לכמות הסם שנתפסה</w:t>
      </w:r>
      <w:r w:rsidRPr="003C2699">
        <w:rPr>
          <w:rFonts w:ascii="David" w:hAnsi="David" w:cs="David"/>
          <w:color w:val="000000"/>
          <w:sz w:val="24"/>
          <w:szCs w:val="24"/>
          <w:rtl/>
        </w:rPr>
        <w:t xml:space="preserve"> ועל כן מתחם הענישה שנקבע גבוה.</w:t>
      </w:r>
      <w:r>
        <w:rPr>
          <w:rFonts w:ascii="David" w:hAnsi="David" w:cs="David" w:hint="cs"/>
          <w:color w:val="000000"/>
          <w:sz w:val="24"/>
          <w:szCs w:val="24"/>
          <w:rtl/>
        </w:rPr>
        <w:t xml:space="preserve"> </w:t>
      </w:r>
    </w:p>
    <w:p w14:paraId="705E74E0" w14:textId="77777777" w:rsidR="00407D1E" w:rsidRPr="00345E34" w:rsidRDefault="00BF60CF" w:rsidP="00407D1E">
      <w:pPr>
        <w:pStyle w:val="a9"/>
        <w:numPr>
          <w:ilvl w:val="0"/>
          <w:numId w:val="2"/>
        </w:numPr>
        <w:spacing w:before="240" w:after="240" w:line="360" w:lineRule="auto"/>
        <w:contextualSpacing w:val="0"/>
        <w:jc w:val="both"/>
        <w:rPr>
          <w:rFonts w:ascii="David" w:hAnsi="David" w:cs="David"/>
          <w:color w:val="000000"/>
          <w:sz w:val="24"/>
          <w:szCs w:val="24"/>
          <w:rtl/>
        </w:rPr>
      </w:pPr>
      <w:hyperlink r:id="rId31" w:history="1">
        <w:r w:rsidRPr="00BF60CF">
          <w:rPr>
            <w:rFonts w:ascii="David" w:hAnsi="David" w:cs="David"/>
            <w:color w:val="0000FF"/>
            <w:sz w:val="24"/>
            <w:szCs w:val="24"/>
            <w:u w:val="single"/>
            <w:rtl/>
          </w:rPr>
          <w:t>ע"פ 863/18</w:t>
        </w:r>
      </w:hyperlink>
      <w:r w:rsidR="00407D1E">
        <w:rPr>
          <w:rFonts w:ascii="David" w:hAnsi="David" w:cs="David" w:hint="cs"/>
          <w:color w:val="000000"/>
          <w:sz w:val="24"/>
          <w:szCs w:val="24"/>
          <w:rtl/>
        </w:rPr>
        <w:t xml:space="preserve"> </w:t>
      </w:r>
      <w:r w:rsidR="00407D1E">
        <w:rPr>
          <w:rFonts w:ascii="David" w:hAnsi="David" w:cs="David" w:hint="cs"/>
          <w:b/>
          <w:bCs/>
          <w:color w:val="000000"/>
          <w:sz w:val="24"/>
          <w:szCs w:val="24"/>
          <w:rtl/>
        </w:rPr>
        <w:t xml:space="preserve">לירן סבן נ' מדינת ישראל </w:t>
      </w:r>
      <w:r w:rsidR="00407D1E">
        <w:rPr>
          <w:rFonts w:ascii="David" w:hAnsi="David" w:cs="David" w:hint="cs"/>
          <w:color w:val="000000"/>
          <w:sz w:val="24"/>
          <w:szCs w:val="24"/>
          <w:rtl/>
        </w:rPr>
        <w:t xml:space="preserve">(15.11.2018) </w:t>
      </w:r>
      <w:r w:rsidR="00407D1E" w:rsidRPr="00345E34">
        <w:rPr>
          <w:rFonts w:ascii="David" w:hAnsi="David" w:cs="David" w:hint="cs"/>
          <w:color w:val="000000"/>
          <w:sz w:val="24"/>
          <w:szCs w:val="24"/>
          <w:rtl/>
        </w:rPr>
        <w:t xml:space="preserve">- </w:t>
      </w:r>
      <w:r w:rsidR="00407D1E" w:rsidRPr="00345E34">
        <w:rPr>
          <w:rFonts w:ascii="David" w:hAnsi="David" w:cs="David"/>
          <w:color w:val="000000"/>
          <w:sz w:val="24"/>
          <w:szCs w:val="24"/>
          <w:rtl/>
        </w:rPr>
        <w:t>המערער הורשע בעבירות של ייצור, הכנה והפקה של סם מסוכן מסוג קנבוס, החזקת סם מסוכן שלא לצריכה עצמית, החזקת חצרים לשם הכנת סם מסוכן וקשירת קשר לפשע, לאחר שהקים וניהל מעבדה לגידול סם מסוכן (בצוותא עם אחרים), בה נתפסו</w:t>
      </w:r>
      <w:r>
        <w:rPr>
          <w:rFonts w:ascii="David" w:hAnsi="David" w:cs="David"/>
          <w:color w:val="000000"/>
          <w:sz w:val="24"/>
          <w:szCs w:val="24"/>
          <w:rtl/>
        </w:rPr>
        <w:t xml:space="preserve"> </w:t>
      </w:r>
      <w:r w:rsidR="00407D1E" w:rsidRPr="00141CF5">
        <w:rPr>
          <w:rFonts w:ascii="David" w:hAnsi="David" w:cs="David"/>
          <w:color w:val="000000"/>
          <w:sz w:val="24"/>
          <w:szCs w:val="24"/>
          <w:rtl/>
        </w:rPr>
        <w:t>283 שתילים</w:t>
      </w:r>
      <w:r>
        <w:rPr>
          <w:rFonts w:ascii="David" w:hAnsi="David" w:cs="David"/>
          <w:color w:val="000000"/>
          <w:sz w:val="24"/>
          <w:szCs w:val="24"/>
          <w:rtl/>
        </w:rPr>
        <w:t xml:space="preserve"> </w:t>
      </w:r>
      <w:r w:rsidR="00407D1E" w:rsidRPr="00345E34">
        <w:rPr>
          <w:rFonts w:ascii="David" w:hAnsi="David" w:cs="David"/>
          <w:color w:val="000000"/>
          <w:sz w:val="24"/>
          <w:szCs w:val="24"/>
          <w:rtl/>
        </w:rPr>
        <w:t>שהגיעו למשקל של</w:t>
      </w:r>
      <w:r>
        <w:rPr>
          <w:rFonts w:ascii="David" w:hAnsi="David" w:cs="David"/>
          <w:b/>
          <w:bCs/>
          <w:color w:val="000000"/>
          <w:sz w:val="24"/>
          <w:szCs w:val="24"/>
          <w:rtl/>
        </w:rPr>
        <w:t xml:space="preserve"> </w:t>
      </w:r>
      <w:r w:rsidR="00407D1E" w:rsidRPr="00345E34">
        <w:rPr>
          <w:rFonts w:ascii="David" w:hAnsi="David" w:cs="David"/>
          <w:b/>
          <w:bCs/>
          <w:color w:val="000000"/>
          <w:sz w:val="24"/>
          <w:szCs w:val="24"/>
          <w:rtl/>
        </w:rPr>
        <w:t>92 ק"ג</w:t>
      </w:r>
      <w:r w:rsidR="00407D1E" w:rsidRPr="00345E34">
        <w:rPr>
          <w:rFonts w:ascii="David" w:hAnsi="David" w:cs="David"/>
          <w:color w:val="000000"/>
          <w:sz w:val="24"/>
          <w:szCs w:val="24"/>
          <w:rtl/>
        </w:rPr>
        <w:t>. נקבע מתחם שנע בין</w:t>
      </w:r>
      <w:r>
        <w:rPr>
          <w:rFonts w:ascii="David" w:hAnsi="David" w:cs="David"/>
          <w:color w:val="000000"/>
          <w:sz w:val="24"/>
          <w:szCs w:val="24"/>
          <w:rtl/>
        </w:rPr>
        <w:t xml:space="preserve"> </w:t>
      </w:r>
      <w:r w:rsidR="00407D1E" w:rsidRPr="00345E34">
        <w:rPr>
          <w:rFonts w:ascii="David" w:hAnsi="David" w:cs="David"/>
          <w:b/>
          <w:bCs/>
          <w:color w:val="000000"/>
          <w:sz w:val="24"/>
          <w:szCs w:val="24"/>
          <w:rtl/>
        </w:rPr>
        <w:t>28 ל- 52 חודשי מאסר בפועל</w:t>
      </w:r>
      <w:r w:rsidR="00407D1E" w:rsidRPr="00345E34">
        <w:rPr>
          <w:rFonts w:ascii="David" w:hAnsi="David" w:cs="David"/>
          <w:color w:val="000000"/>
          <w:sz w:val="24"/>
          <w:szCs w:val="24"/>
          <w:rtl/>
        </w:rPr>
        <w:t>. בית המשפט העליון החליט להקל בעונשו והעמידו על 36 חודשי מאסר (חלף עונש של 42 חודשי מאסר שהוטל בבית המשפט המחוזי).</w:t>
      </w:r>
    </w:p>
    <w:p w14:paraId="72B6A7A3" w14:textId="77777777" w:rsidR="00407D1E" w:rsidRPr="0063588E" w:rsidRDefault="00407D1E" w:rsidP="00407D1E">
      <w:pPr>
        <w:pStyle w:val="a9"/>
        <w:spacing w:before="240" w:after="240" w:line="360" w:lineRule="auto"/>
        <w:ind w:left="360"/>
        <w:contextualSpacing w:val="0"/>
        <w:jc w:val="both"/>
        <w:rPr>
          <w:rFonts w:ascii="David" w:hAnsi="David" w:cs="David"/>
          <w:color w:val="000000"/>
          <w:sz w:val="24"/>
          <w:szCs w:val="24"/>
          <w:rtl/>
        </w:rPr>
      </w:pPr>
      <w:r w:rsidRPr="00345E34">
        <w:rPr>
          <w:rFonts w:ascii="David" w:hAnsi="David" w:cs="David"/>
          <w:color w:val="000000"/>
          <w:sz w:val="24"/>
          <w:szCs w:val="24"/>
          <w:rtl/>
        </w:rPr>
        <w:t xml:space="preserve">ענייננו לכאורה חמור יותר מעניינו של הנאשם לירן סבן, </w:t>
      </w:r>
      <w:r>
        <w:rPr>
          <w:rFonts w:ascii="David" w:hAnsi="David" w:cs="David" w:hint="cs"/>
          <w:color w:val="000000"/>
          <w:sz w:val="24"/>
          <w:szCs w:val="24"/>
          <w:rtl/>
        </w:rPr>
        <w:t xml:space="preserve">הן </w:t>
      </w:r>
      <w:r w:rsidRPr="00345E34">
        <w:rPr>
          <w:rFonts w:ascii="David" w:hAnsi="David" w:cs="David"/>
          <w:color w:val="000000"/>
          <w:sz w:val="24"/>
          <w:szCs w:val="24"/>
          <w:rtl/>
        </w:rPr>
        <w:t>נוכח רכיב "נטילת החשמל" והן נוכח כמות ה</w:t>
      </w:r>
      <w:r>
        <w:rPr>
          <w:rFonts w:ascii="David" w:hAnsi="David" w:cs="David" w:hint="cs"/>
          <w:color w:val="000000"/>
          <w:sz w:val="24"/>
          <w:szCs w:val="24"/>
          <w:rtl/>
        </w:rPr>
        <w:t xml:space="preserve">סם. </w:t>
      </w:r>
    </w:p>
    <w:p w14:paraId="644A1891" w14:textId="77777777" w:rsidR="00407D1E" w:rsidRPr="008239DF" w:rsidRDefault="00BF60CF" w:rsidP="00407D1E">
      <w:pPr>
        <w:pStyle w:val="a9"/>
        <w:numPr>
          <w:ilvl w:val="0"/>
          <w:numId w:val="2"/>
        </w:numPr>
        <w:spacing w:before="240" w:after="240" w:line="360" w:lineRule="auto"/>
        <w:ind w:left="357"/>
        <w:contextualSpacing w:val="0"/>
        <w:jc w:val="both"/>
        <w:rPr>
          <w:rFonts w:ascii="David" w:hAnsi="David" w:cs="David"/>
          <w:sz w:val="24"/>
          <w:szCs w:val="24"/>
        </w:rPr>
      </w:pPr>
      <w:hyperlink r:id="rId32" w:history="1">
        <w:r w:rsidRPr="00BF60CF">
          <w:rPr>
            <w:rFonts w:ascii="David" w:hAnsi="David" w:cs="David"/>
            <w:color w:val="0000FF"/>
            <w:sz w:val="24"/>
            <w:szCs w:val="24"/>
            <w:u w:val="single"/>
            <w:rtl/>
          </w:rPr>
          <w:t>ע"פ 5807/17</w:t>
        </w:r>
      </w:hyperlink>
      <w:r w:rsidR="00407D1E" w:rsidRPr="008239DF">
        <w:rPr>
          <w:rFonts w:ascii="David" w:hAnsi="David" w:cs="David"/>
          <w:sz w:val="24"/>
          <w:szCs w:val="24"/>
          <w:rtl/>
        </w:rPr>
        <w:t xml:space="preserve"> </w:t>
      </w:r>
      <w:r w:rsidR="00407D1E" w:rsidRPr="008239DF">
        <w:rPr>
          <w:rFonts w:ascii="David" w:hAnsi="David" w:cs="David"/>
          <w:b/>
          <w:bCs/>
          <w:sz w:val="24"/>
          <w:szCs w:val="24"/>
          <w:rtl/>
        </w:rPr>
        <w:t xml:space="preserve">דרחי נ' מדינת ישראל </w:t>
      </w:r>
      <w:r w:rsidR="00407D1E" w:rsidRPr="008239DF">
        <w:rPr>
          <w:rFonts w:ascii="David" w:hAnsi="David" w:cs="David"/>
          <w:sz w:val="24"/>
          <w:szCs w:val="24"/>
          <w:rtl/>
        </w:rPr>
        <w:t xml:space="preserve">(18.6.2018) </w:t>
      </w:r>
      <w:r w:rsidR="00407D1E">
        <w:rPr>
          <w:rFonts w:ascii="David" w:hAnsi="David" w:cs="David" w:hint="cs"/>
          <w:sz w:val="24"/>
          <w:szCs w:val="24"/>
          <w:rtl/>
        </w:rPr>
        <w:t>-</w:t>
      </w:r>
      <w:r w:rsidR="00407D1E" w:rsidRPr="008239DF">
        <w:rPr>
          <w:rFonts w:ascii="David" w:hAnsi="David" w:cs="David"/>
          <w:sz w:val="24"/>
          <w:szCs w:val="24"/>
          <w:rtl/>
        </w:rPr>
        <w:t xml:space="preserve"> המערער </w:t>
      </w:r>
      <w:r w:rsidR="00407D1E" w:rsidRPr="008239DF">
        <w:rPr>
          <w:rFonts w:ascii="David" w:hAnsi="David" w:cs="David"/>
          <w:color w:val="000000"/>
          <w:sz w:val="24"/>
          <w:szCs w:val="24"/>
          <w:rtl/>
        </w:rPr>
        <w:t xml:space="preserve">הורשע בעבירות של גידול סם מסוכן והחזקת סם שלא לצריכה עצמית לאחר שהקים מעבדה לגידול סם מסוכן מסוג קנבוס בה נתפסו </w:t>
      </w:r>
      <w:r w:rsidR="00407D1E" w:rsidRPr="00141CF5">
        <w:rPr>
          <w:rFonts w:ascii="David" w:hAnsi="David" w:cs="David"/>
          <w:b/>
          <w:bCs/>
          <w:color w:val="000000"/>
          <w:sz w:val="24"/>
          <w:szCs w:val="24"/>
          <w:rtl/>
        </w:rPr>
        <w:t>76.85 ק"ג קנבוס</w:t>
      </w:r>
      <w:r w:rsidR="00407D1E" w:rsidRPr="008239DF">
        <w:rPr>
          <w:rFonts w:ascii="David" w:hAnsi="David" w:cs="David"/>
          <w:color w:val="000000"/>
          <w:sz w:val="24"/>
          <w:szCs w:val="24"/>
          <w:rtl/>
        </w:rPr>
        <w:t>. נקבע מתחם ענישה שנע בין</w:t>
      </w:r>
      <w:r>
        <w:rPr>
          <w:rFonts w:ascii="David" w:hAnsi="David" w:cs="David"/>
          <w:color w:val="000000"/>
          <w:sz w:val="24"/>
          <w:szCs w:val="24"/>
          <w:rtl/>
        </w:rPr>
        <w:t xml:space="preserve"> </w:t>
      </w:r>
      <w:r w:rsidR="00407D1E" w:rsidRPr="008239DF">
        <w:rPr>
          <w:rFonts w:ascii="David" w:hAnsi="David" w:cs="David"/>
          <w:b/>
          <w:bCs/>
          <w:color w:val="000000"/>
          <w:sz w:val="24"/>
          <w:szCs w:val="24"/>
          <w:rtl/>
        </w:rPr>
        <w:t>24 ל- 48 חודשי מאסר בפועל</w:t>
      </w:r>
      <w:r w:rsidR="00407D1E" w:rsidRPr="008239DF">
        <w:rPr>
          <w:rFonts w:ascii="David" w:hAnsi="David" w:cs="David"/>
          <w:color w:val="000000"/>
          <w:sz w:val="24"/>
          <w:szCs w:val="24"/>
          <w:rtl/>
        </w:rPr>
        <w:t>. על המערער הושת מאסר בפועל של</w:t>
      </w:r>
      <w:r>
        <w:rPr>
          <w:rFonts w:ascii="David" w:hAnsi="David" w:cs="David"/>
          <w:color w:val="000000"/>
          <w:sz w:val="24"/>
          <w:szCs w:val="24"/>
          <w:rtl/>
        </w:rPr>
        <w:t xml:space="preserve"> </w:t>
      </w:r>
      <w:r w:rsidR="00407D1E" w:rsidRPr="00141CF5">
        <w:rPr>
          <w:rFonts w:ascii="David" w:hAnsi="David" w:cs="David"/>
          <w:color w:val="000000"/>
          <w:sz w:val="24"/>
          <w:szCs w:val="24"/>
          <w:rtl/>
        </w:rPr>
        <w:t>30 חודשים</w:t>
      </w:r>
      <w:r w:rsidR="00407D1E" w:rsidRPr="008239DF">
        <w:rPr>
          <w:rFonts w:ascii="David" w:hAnsi="David" w:cs="David"/>
          <w:color w:val="000000"/>
          <w:sz w:val="24"/>
          <w:szCs w:val="24"/>
          <w:rtl/>
        </w:rPr>
        <w:t>. בית המשפט העליון דחה את הערעור על חומרת העונש.</w:t>
      </w:r>
    </w:p>
    <w:p w14:paraId="099D525D" w14:textId="77777777" w:rsidR="00407D1E" w:rsidRPr="008239DF" w:rsidRDefault="00407D1E" w:rsidP="00407D1E">
      <w:pPr>
        <w:pStyle w:val="a9"/>
        <w:spacing w:before="240" w:after="240" w:line="360" w:lineRule="auto"/>
        <w:ind w:left="357"/>
        <w:contextualSpacing w:val="0"/>
        <w:jc w:val="both"/>
        <w:rPr>
          <w:rFonts w:ascii="David" w:hAnsi="David" w:cs="David"/>
          <w:sz w:val="24"/>
          <w:szCs w:val="24"/>
        </w:rPr>
      </w:pPr>
      <w:r w:rsidRPr="008239DF">
        <w:rPr>
          <w:rFonts w:ascii="David" w:hAnsi="David" w:cs="David" w:hint="cs"/>
          <w:sz w:val="24"/>
          <w:szCs w:val="24"/>
          <w:rtl/>
        </w:rPr>
        <w:t xml:space="preserve">גם ביחס למקרה זה ענייננו חמור יותר מאותם טעמים שפורטו לעיל. </w:t>
      </w:r>
    </w:p>
    <w:p w14:paraId="736D6B89" w14:textId="77777777" w:rsidR="00407D1E" w:rsidRPr="008239DF" w:rsidRDefault="00BF60CF" w:rsidP="00407D1E">
      <w:pPr>
        <w:pStyle w:val="a9"/>
        <w:numPr>
          <w:ilvl w:val="0"/>
          <w:numId w:val="2"/>
        </w:numPr>
        <w:spacing w:before="240" w:after="240" w:line="360" w:lineRule="auto"/>
        <w:ind w:left="357"/>
        <w:contextualSpacing w:val="0"/>
        <w:jc w:val="both"/>
        <w:rPr>
          <w:rFonts w:cs="Calibri"/>
          <w:color w:val="000000"/>
          <w:sz w:val="24"/>
          <w:szCs w:val="24"/>
        </w:rPr>
      </w:pPr>
      <w:hyperlink r:id="rId33" w:history="1">
        <w:r w:rsidRPr="00BF60CF">
          <w:rPr>
            <w:rFonts w:ascii="David" w:hAnsi="David" w:cs="David"/>
            <w:color w:val="0000FF"/>
            <w:sz w:val="24"/>
            <w:szCs w:val="24"/>
            <w:u w:val="single"/>
            <w:rtl/>
          </w:rPr>
          <w:t>ע"פ 8988/16</w:t>
        </w:r>
      </w:hyperlink>
      <w:r>
        <w:rPr>
          <w:rFonts w:ascii="David" w:hAnsi="David" w:cs="David"/>
          <w:sz w:val="24"/>
          <w:szCs w:val="24"/>
          <w:rtl/>
        </w:rPr>
        <w:t xml:space="preserve"> </w:t>
      </w:r>
      <w:r w:rsidR="00407D1E" w:rsidRPr="008239DF">
        <w:rPr>
          <w:rFonts w:ascii="David" w:hAnsi="David" w:cs="David"/>
          <w:b/>
          <w:bCs/>
          <w:sz w:val="24"/>
          <w:szCs w:val="24"/>
          <w:rtl/>
        </w:rPr>
        <w:t>בן סימון נ' מדינת ישראל</w:t>
      </w:r>
      <w:r>
        <w:rPr>
          <w:rFonts w:ascii="David" w:hAnsi="David" w:cs="David"/>
          <w:b/>
          <w:bCs/>
          <w:sz w:val="24"/>
          <w:szCs w:val="24"/>
          <w:rtl/>
        </w:rPr>
        <w:t xml:space="preserve"> </w:t>
      </w:r>
      <w:r w:rsidR="00407D1E" w:rsidRPr="008239DF">
        <w:rPr>
          <w:rFonts w:ascii="David" w:hAnsi="David" w:cs="David"/>
          <w:sz w:val="24"/>
          <w:szCs w:val="24"/>
          <w:rtl/>
        </w:rPr>
        <w:t xml:space="preserve">(8.3.2017) - המערער הורשע בעבירות של ייצור, הכנה והפקה של סם מסוכן, סחר בסם ונטילת חשמל </w:t>
      </w:r>
      <w:r w:rsidR="00407D1E" w:rsidRPr="008239DF">
        <w:rPr>
          <w:rFonts w:ascii="David" w:hAnsi="David" w:cs="David"/>
          <w:color w:val="000000"/>
          <w:sz w:val="24"/>
          <w:szCs w:val="24"/>
          <w:rtl/>
        </w:rPr>
        <w:t>במרמה לאחר שהקים מעבדה לגידול סם מסוכן בה נתפסו</w:t>
      </w:r>
      <w:r>
        <w:rPr>
          <w:rFonts w:ascii="David" w:hAnsi="David" w:cs="David"/>
          <w:color w:val="000000"/>
          <w:sz w:val="24"/>
          <w:szCs w:val="24"/>
          <w:rtl/>
        </w:rPr>
        <w:t xml:space="preserve"> </w:t>
      </w:r>
      <w:r w:rsidR="00407D1E" w:rsidRPr="00141CF5">
        <w:rPr>
          <w:rFonts w:ascii="David" w:hAnsi="David" w:cs="David"/>
          <w:color w:val="000000"/>
          <w:sz w:val="24"/>
          <w:szCs w:val="24"/>
          <w:rtl/>
        </w:rPr>
        <w:t>282 שתילים</w:t>
      </w:r>
      <w:r w:rsidR="00407D1E" w:rsidRPr="008239DF">
        <w:rPr>
          <w:rFonts w:ascii="David" w:hAnsi="David" w:cs="David" w:hint="cs"/>
          <w:color w:val="000000"/>
          <w:sz w:val="24"/>
          <w:szCs w:val="24"/>
          <w:rtl/>
        </w:rPr>
        <w:t xml:space="preserve"> </w:t>
      </w:r>
      <w:r w:rsidR="00407D1E" w:rsidRPr="008239DF">
        <w:rPr>
          <w:rFonts w:ascii="David" w:hAnsi="David" w:cs="David"/>
          <w:color w:val="000000"/>
          <w:sz w:val="24"/>
          <w:szCs w:val="24"/>
          <w:rtl/>
        </w:rPr>
        <w:t>שהגיעו למשקל של</w:t>
      </w:r>
      <w:r>
        <w:rPr>
          <w:rFonts w:ascii="David" w:hAnsi="David" w:cs="David"/>
          <w:color w:val="000000"/>
          <w:sz w:val="24"/>
          <w:szCs w:val="24"/>
          <w:rtl/>
        </w:rPr>
        <w:t xml:space="preserve"> </w:t>
      </w:r>
      <w:r w:rsidR="00407D1E" w:rsidRPr="008239DF">
        <w:rPr>
          <w:rFonts w:ascii="David" w:hAnsi="David" w:cs="David"/>
          <w:b/>
          <w:bCs/>
          <w:color w:val="000000"/>
          <w:sz w:val="24"/>
          <w:szCs w:val="24"/>
          <w:rtl/>
        </w:rPr>
        <w:t>87.25 ק"</w:t>
      </w:r>
      <w:r w:rsidR="00407D1E" w:rsidRPr="008239DF">
        <w:rPr>
          <w:rFonts w:ascii="David" w:hAnsi="David" w:cs="David"/>
          <w:color w:val="000000"/>
          <w:sz w:val="24"/>
          <w:szCs w:val="24"/>
          <w:rtl/>
        </w:rPr>
        <w:t>ג. נקבע מתחם ענישה שנע בין</w:t>
      </w:r>
      <w:r>
        <w:rPr>
          <w:rFonts w:ascii="David" w:hAnsi="David" w:cs="David"/>
          <w:color w:val="000000"/>
          <w:sz w:val="24"/>
          <w:szCs w:val="24"/>
          <w:rtl/>
        </w:rPr>
        <w:t xml:space="preserve"> </w:t>
      </w:r>
      <w:r w:rsidR="00407D1E" w:rsidRPr="008239DF">
        <w:rPr>
          <w:rFonts w:ascii="David" w:hAnsi="David" w:cs="David"/>
          <w:b/>
          <w:bCs/>
          <w:color w:val="000000"/>
          <w:sz w:val="24"/>
          <w:szCs w:val="24"/>
          <w:rtl/>
        </w:rPr>
        <w:t>28 ל- 48 חודשי מאסר בפועל</w:t>
      </w:r>
      <w:r w:rsidR="00407D1E" w:rsidRPr="008239DF">
        <w:rPr>
          <w:rFonts w:ascii="David" w:hAnsi="David" w:cs="David"/>
          <w:color w:val="000000"/>
          <w:sz w:val="24"/>
          <w:szCs w:val="24"/>
          <w:rtl/>
        </w:rPr>
        <w:t>. על המערער הושת מאסר בפועל של 36 חודשים. בית המשפט העליון דחה את הערעור על חומרת העונש.</w:t>
      </w:r>
    </w:p>
    <w:p w14:paraId="47C357FC" w14:textId="77777777" w:rsidR="00407D1E" w:rsidRPr="00141CF5" w:rsidRDefault="00BF60CF" w:rsidP="00407D1E">
      <w:pPr>
        <w:pStyle w:val="a9"/>
        <w:numPr>
          <w:ilvl w:val="0"/>
          <w:numId w:val="2"/>
        </w:numPr>
        <w:spacing w:before="240" w:after="240" w:line="360" w:lineRule="auto"/>
        <w:ind w:left="357"/>
        <w:contextualSpacing w:val="0"/>
        <w:jc w:val="both"/>
        <w:rPr>
          <w:rFonts w:ascii="David" w:hAnsi="David" w:cs="David"/>
          <w:color w:val="000000"/>
          <w:sz w:val="24"/>
          <w:szCs w:val="24"/>
        </w:rPr>
      </w:pPr>
      <w:hyperlink r:id="rId34" w:history="1">
        <w:r w:rsidRPr="00BF60CF">
          <w:rPr>
            <w:rFonts w:ascii="David" w:hAnsi="David" w:cs="David"/>
            <w:color w:val="0000FF"/>
            <w:sz w:val="24"/>
            <w:szCs w:val="24"/>
            <w:u w:val="single"/>
            <w:rtl/>
          </w:rPr>
          <w:t>ת"פ (מחוזי ת"א) 35389-01-21</w:t>
        </w:r>
      </w:hyperlink>
      <w:r w:rsidR="00407D1E">
        <w:rPr>
          <w:rFonts w:ascii="David" w:hAnsi="David" w:cs="David" w:hint="cs"/>
          <w:color w:val="000000"/>
          <w:sz w:val="24"/>
          <w:szCs w:val="24"/>
          <w:rtl/>
        </w:rPr>
        <w:t xml:space="preserve"> </w:t>
      </w:r>
      <w:r w:rsidR="00407D1E">
        <w:rPr>
          <w:rFonts w:ascii="David" w:hAnsi="David" w:cs="David" w:hint="cs"/>
          <w:b/>
          <w:bCs/>
          <w:color w:val="000000"/>
          <w:sz w:val="24"/>
          <w:szCs w:val="24"/>
          <w:rtl/>
        </w:rPr>
        <w:t>מדינת ישראל נ' שדה</w:t>
      </w:r>
      <w:r w:rsidR="00407D1E">
        <w:rPr>
          <w:rFonts w:ascii="David" w:hAnsi="David" w:cs="David" w:hint="cs"/>
          <w:color w:val="000000"/>
          <w:sz w:val="24"/>
          <w:szCs w:val="24"/>
          <w:rtl/>
        </w:rPr>
        <w:t xml:space="preserve"> (7.11.2021) - הנאשם </w:t>
      </w:r>
      <w:r w:rsidR="00407D1E" w:rsidRPr="00141CF5">
        <w:rPr>
          <w:rFonts w:ascii="David" w:hAnsi="David" w:cs="David" w:hint="cs"/>
          <w:color w:val="000000"/>
          <w:sz w:val="24"/>
          <w:szCs w:val="24"/>
          <w:rtl/>
        </w:rPr>
        <w:t xml:space="preserve">הורשע </w:t>
      </w:r>
      <w:r w:rsidR="00407D1E" w:rsidRPr="00141CF5">
        <w:rPr>
          <w:rFonts w:ascii="David" w:hAnsi="David" w:cs="David"/>
          <w:color w:val="000000"/>
          <w:sz w:val="24"/>
          <w:szCs w:val="24"/>
          <w:rtl/>
        </w:rPr>
        <w:t>על יסוד הודאתו בעבירות של ייצור, הכנה והפקת סם מסוכן ונטילת חשמל בכך ששכר דירה והקים יחד עם אחרים שזהותם אינה ידועה מעבדה לגידול והפקת סם מסוכן מסוג קנבוס במשקל כולל ש</w:t>
      </w:r>
      <w:r w:rsidR="00407D1E">
        <w:rPr>
          <w:rFonts w:ascii="David" w:hAnsi="David" w:cs="David" w:hint="cs"/>
          <w:color w:val="000000"/>
          <w:sz w:val="24"/>
          <w:szCs w:val="24"/>
          <w:rtl/>
        </w:rPr>
        <w:t xml:space="preserve">ל </w:t>
      </w:r>
      <w:r w:rsidR="00407D1E" w:rsidRPr="00141CF5">
        <w:rPr>
          <w:rFonts w:ascii="David" w:hAnsi="David" w:cs="David" w:hint="cs"/>
          <w:b/>
          <w:bCs/>
          <w:color w:val="000000"/>
          <w:sz w:val="24"/>
          <w:szCs w:val="24"/>
          <w:rtl/>
        </w:rPr>
        <w:t>115 ק"ג</w:t>
      </w:r>
      <w:r w:rsidR="00407D1E">
        <w:rPr>
          <w:rFonts w:ascii="David" w:hAnsi="David" w:cs="David" w:hint="cs"/>
          <w:color w:val="000000"/>
          <w:sz w:val="24"/>
          <w:szCs w:val="24"/>
          <w:rtl/>
        </w:rPr>
        <w:t xml:space="preserve">. </w:t>
      </w:r>
      <w:r w:rsidR="00407D1E" w:rsidRPr="00141CF5">
        <w:rPr>
          <w:rFonts w:ascii="David" w:hAnsi="David" w:cs="David"/>
          <w:color w:val="000000"/>
          <w:sz w:val="24"/>
          <w:szCs w:val="24"/>
          <w:rtl/>
        </w:rPr>
        <w:t>לשם תפעול המעבדה נטל הנאשם חשמל שלא כדין. באותו מקרה קבעתי</w:t>
      </w:r>
      <w:r>
        <w:rPr>
          <w:rFonts w:ascii="David" w:hAnsi="David" w:cs="David"/>
          <w:color w:val="000000"/>
          <w:sz w:val="24"/>
          <w:szCs w:val="24"/>
          <w:rtl/>
        </w:rPr>
        <w:t xml:space="preserve"> </w:t>
      </w:r>
      <w:r w:rsidR="00407D1E" w:rsidRPr="00141CF5">
        <w:rPr>
          <w:rFonts w:ascii="David" w:hAnsi="David" w:cs="David"/>
          <w:b/>
          <w:bCs/>
          <w:color w:val="000000"/>
          <w:sz w:val="24"/>
          <w:szCs w:val="24"/>
          <w:rtl/>
        </w:rPr>
        <w:t>מתחם ענישה שנע בי</w:t>
      </w:r>
      <w:r w:rsidR="00407D1E">
        <w:rPr>
          <w:rFonts w:ascii="David" w:hAnsi="David" w:cs="David" w:hint="cs"/>
          <w:b/>
          <w:bCs/>
          <w:color w:val="000000"/>
          <w:sz w:val="24"/>
          <w:szCs w:val="24"/>
          <w:rtl/>
        </w:rPr>
        <w:t>ן 30 ל- 54 ק"ג</w:t>
      </w:r>
      <w:r w:rsidR="00407D1E">
        <w:rPr>
          <w:rFonts w:ascii="David" w:hAnsi="David" w:cs="David" w:hint="cs"/>
          <w:color w:val="000000"/>
          <w:sz w:val="24"/>
          <w:szCs w:val="24"/>
          <w:rtl/>
        </w:rPr>
        <w:t>,</w:t>
      </w:r>
      <w:r w:rsidR="00407D1E">
        <w:rPr>
          <w:rFonts w:ascii="David" w:hAnsi="David" w:cs="David" w:hint="cs"/>
          <w:b/>
          <w:bCs/>
          <w:color w:val="000000"/>
          <w:sz w:val="24"/>
          <w:szCs w:val="24"/>
          <w:rtl/>
        </w:rPr>
        <w:t xml:space="preserve"> </w:t>
      </w:r>
      <w:r w:rsidR="00407D1E" w:rsidRPr="00141CF5">
        <w:rPr>
          <w:rFonts w:ascii="David" w:hAnsi="David" w:cs="David"/>
          <w:color w:val="000000"/>
          <w:sz w:val="24"/>
          <w:szCs w:val="24"/>
          <w:rtl/>
        </w:rPr>
        <w:t>והשתתי על הנאשם 30 חודשי מאסר לצד עונשים נלווים</w:t>
      </w:r>
      <w:r w:rsidR="00407D1E" w:rsidRPr="00141CF5">
        <w:rPr>
          <w:rFonts w:ascii="David" w:hAnsi="David" w:cs="David"/>
          <w:color w:val="000000"/>
          <w:sz w:val="24"/>
          <w:szCs w:val="24"/>
        </w:rPr>
        <w:t>.</w:t>
      </w:r>
    </w:p>
    <w:p w14:paraId="2C134A12" w14:textId="77777777" w:rsidR="00407D1E" w:rsidRPr="008239DF" w:rsidRDefault="00BF60CF" w:rsidP="00407D1E">
      <w:pPr>
        <w:pStyle w:val="a9"/>
        <w:numPr>
          <w:ilvl w:val="0"/>
          <w:numId w:val="2"/>
        </w:numPr>
        <w:spacing w:before="240" w:after="240" w:line="360" w:lineRule="auto"/>
        <w:ind w:left="357"/>
        <w:contextualSpacing w:val="0"/>
        <w:jc w:val="both"/>
        <w:rPr>
          <w:rFonts w:cs="Calibri"/>
          <w:color w:val="000000"/>
          <w:sz w:val="24"/>
          <w:szCs w:val="24"/>
        </w:rPr>
      </w:pPr>
      <w:hyperlink r:id="rId35" w:history="1">
        <w:r w:rsidRPr="00BF60CF">
          <w:rPr>
            <w:rFonts w:ascii="David" w:hAnsi="David" w:cs="David"/>
            <w:color w:val="0000FF"/>
            <w:sz w:val="24"/>
            <w:szCs w:val="24"/>
            <w:u w:val="single"/>
            <w:rtl/>
          </w:rPr>
          <w:t>ת"פ (מחוזי ת"א) 6090-10-19</w:t>
        </w:r>
      </w:hyperlink>
      <w:r>
        <w:rPr>
          <w:rFonts w:ascii="David" w:hAnsi="David" w:cs="David"/>
          <w:sz w:val="24"/>
          <w:szCs w:val="24"/>
          <w:rtl/>
        </w:rPr>
        <w:t xml:space="preserve"> </w:t>
      </w:r>
      <w:r w:rsidR="00407D1E" w:rsidRPr="008239DF">
        <w:rPr>
          <w:rFonts w:ascii="David" w:hAnsi="David" w:cs="David"/>
          <w:b/>
          <w:bCs/>
          <w:sz w:val="24"/>
          <w:szCs w:val="24"/>
          <w:rtl/>
        </w:rPr>
        <w:t>מדינת ישראל נ' פלופסקי</w:t>
      </w:r>
      <w:r>
        <w:rPr>
          <w:rFonts w:ascii="David" w:hAnsi="David" w:cs="David"/>
          <w:sz w:val="24"/>
          <w:szCs w:val="24"/>
          <w:rtl/>
        </w:rPr>
        <w:t xml:space="preserve"> </w:t>
      </w:r>
      <w:r w:rsidR="00407D1E" w:rsidRPr="008239DF">
        <w:rPr>
          <w:rFonts w:ascii="David" w:hAnsi="David" w:cs="David"/>
          <w:sz w:val="24"/>
          <w:szCs w:val="24"/>
          <w:rtl/>
        </w:rPr>
        <w:t>(13.7.2020) - הנאשם הורשע בעבירות של ייצור, הכנה והפקה של סם מסוכן, החזקת סם מסוכן שלא לצריכה עצמית</w:t>
      </w:r>
      <w:r>
        <w:rPr>
          <w:rFonts w:ascii="David" w:hAnsi="David" w:cs="David"/>
          <w:sz w:val="24"/>
          <w:szCs w:val="24"/>
          <w:rtl/>
        </w:rPr>
        <w:t xml:space="preserve"> </w:t>
      </w:r>
      <w:r w:rsidR="00407D1E" w:rsidRPr="00A54853">
        <w:rPr>
          <w:rFonts w:ascii="David" w:hAnsi="David" w:cs="David"/>
          <w:sz w:val="24"/>
          <w:szCs w:val="24"/>
          <w:rtl/>
        </w:rPr>
        <w:t>ונטילת חשמל</w:t>
      </w:r>
      <w:r>
        <w:rPr>
          <w:rFonts w:ascii="David" w:hAnsi="David" w:cs="David"/>
          <w:sz w:val="24"/>
          <w:szCs w:val="24"/>
          <w:rtl/>
        </w:rPr>
        <w:t xml:space="preserve"> </w:t>
      </w:r>
      <w:r w:rsidR="00407D1E" w:rsidRPr="008239DF">
        <w:rPr>
          <w:rFonts w:ascii="David" w:hAnsi="David" w:cs="David"/>
          <w:sz w:val="24"/>
          <w:szCs w:val="24"/>
          <w:rtl/>
        </w:rPr>
        <w:t>שלא כדין לאחר שהקים מעבדה לגידול סם מסוכן מסוג קנבוס בה נתפסו כ-</w:t>
      </w:r>
      <w:r>
        <w:rPr>
          <w:rFonts w:ascii="David" w:hAnsi="David" w:cs="David"/>
          <w:sz w:val="24"/>
          <w:szCs w:val="24"/>
          <w:rtl/>
        </w:rPr>
        <w:t xml:space="preserve"> </w:t>
      </w:r>
      <w:r w:rsidR="00407D1E" w:rsidRPr="00141CF5">
        <w:rPr>
          <w:rFonts w:ascii="David" w:hAnsi="David" w:cs="David"/>
          <w:sz w:val="24"/>
          <w:szCs w:val="24"/>
          <w:rtl/>
        </w:rPr>
        <w:t>200 שתילים</w:t>
      </w:r>
      <w:r>
        <w:rPr>
          <w:rFonts w:ascii="David" w:hAnsi="David" w:cs="David"/>
          <w:sz w:val="24"/>
          <w:szCs w:val="24"/>
          <w:rtl/>
        </w:rPr>
        <w:t xml:space="preserve"> </w:t>
      </w:r>
      <w:r w:rsidR="00407D1E" w:rsidRPr="008239DF">
        <w:rPr>
          <w:rFonts w:ascii="David" w:hAnsi="David" w:cs="David"/>
          <w:sz w:val="24"/>
          <w:szCs w:val="24"/>
          <w:rtl/>
        </w:rPr>
        <w:t>שהגיעו למשקל של</w:t>
      </w:r>
      <w:r>
        <w:rPr>
          <w:rFonts w:ascii="David" w:hAnsi="David" w:cs="David"/>
          <w:sz w:val="24"/>
          <w:szCs w:val="24"/>
          <w:rtl/>
        </w:rPr>
        <w:t xml:space="preserve"> </w:t>
      </w:r>
      <w:r w:rsidR="00407D1E" w:rsidRPr="008239DF">
        <w:rPr>
          <w:rFonts w:ascii="David" w:hAnsi="David" w:cs="David"/>
          <w:b/>
          <w:bCs/>
          <w:sz w:val="24"/>
          <w:szCs w:val="24"/>
          <w:rtl/>
        </w:rPr>
        <w:t>52 ק"ג</w:t>
      </w:r>
      <w:r w:rsidR="00407D1E" w:rsidRPr="008239DF">
        <w:rPr>
          <w:rFonts w:ascii="David" w:hAnsi="David" w:cs="David"/>
          <w:sz w:val="24"/>
          <w:szCs w:val="24"/>
          <w:rtl/>
        </w:rPr>
        <w:t>. נקבע מתחם ענישה שנע בין</w:t>
      </w:r>
      <w:r>
        <w:rPr>
          <w:rFonts w:ascii="David" w:hAnsi="David" w:cs="David"/>
          <w:sz w:val="24"/>
          <w:szCs w:val="24"/>
          <w:rtl/>
        </w:rPr>
        <w:t xml:space="preserve"> </w:t>
      </w:r>
      <w:r w:rsidR="00407D1E" w:rsidRPr="008239DF">
        <w:rPr>
          <w:rFonts w:ascii="David" w:hAnsi="David" w:cs="David"/>
          <w:b/>
          <w:bCs/>
          <w:sz w:val="24"/>
          <w:szCs w:val="24"/>
          <w:rtl/>
        </w:rPr>
        <w:t>24 ל- 52 חודשי מאסר בפועל</w:t>
      </w:r>
      <w:r w:rsidR="00407D1E" w:rsidRPr="008239DF">
        <w:rPr>
          <w:rFonts w:ascii="David" w:hAnsi="David" w:cs="David"/>
          <w:sz w:val="24"/>
          <w:szCs w:val="24"/>
          <w:rtl/>
        </w:rPr>
        <w:t>. על הנאשם הושת מאסר בפועל של 24 חודשים.</w:t>
      </w:r>
    </w:p>
    <w:p w14:paraId="7B0D611D" w14:textId="77777777" w:rsidR="00407D1E" w:rsidRPr="008239DF" w:rsidRDefault="00407D1E" w:rsidP="00407D1E">
      <w:pPr>
        <w:pStyle w:val="a9"/>
        <w:spacing w:before="240" w:after="240" w:line="360" w:lineRule="auto"/>
        <w:ind w:left="357"/>
        <w:contextualSpacing w:val="0"/>
        <w:jc w:val="both"/>
        <w:rPr>
          <w:rFonts w:cs="Calibri"/>
          <w:sz w:val="24"/>
          <w:szCs w:val="24"/>
          <w:rtl/>
        </w:rPr>
      </w:pPr>
      <w:r w:rsidRPr="008239DF">
        <w:rPr>
          <w:rFonts w:ascii="David" w:hAnsi="David" w:cs="David"/>
          <w:sz w:val="24"/>
          <w:szCs w:val="24"/>
          <w:rtl/>
        </w:rPr>
        <w:t xml:space="preserve">בעניינו של פלופסקי, הגם שדובר בכמות סם שאינה מבוטלת, היא עדיין הייתה מצויה בסמוך לאותו קו תפר המבחין בין תיקי מעבדות המוגשים לבתי משפט השלום לתיקי המעבדות המוגשים לבתי המשפט המחוזיים על פי מדיניות העמדה לדין של התביעה. בענייננו הכמות שנתפסה </w:t>
      </w:r>
      <w:r>
        <w:rPr>
          <w:rFonts w:ascii="David" w:hAnsi="David" w:cs="David" w:hint="cs"/>
          <w:sz w:val="24"/>
          <w:szCs w:val="24"/>
          <w:rtl/>
        </w:rPr>
        <w:t>כפולה</w:t>
      </w:r>
      <w:r w:rsidRPr="008239DF">
        <w:rPr>
          <w:rFonts w:ascii="David" w:hAnsi="David" w:cs="David"/>
          <w:sz w:val="24"/>
          <w:szCs w:val="24"/>
          <w:rtl/>
        </w:rPr>
        <w:t xml:space="preserve"> מזו</w:t>
      </w:r>
      <w:r>
        <w:rPr>
          <w:rFonts w:ascii="David" w:hAnsi="David" w:cs="David"/>
          <w:sz w:val="24"/>
          <w:szCs w:val="24"/>
          <w:rtl/>
        </w:rPr>
        <w:t xml:space="preserve"> של פלופסקי</w:t>
      </w:r>
      <w:r w:rsidRPr="008239DF">
        <w:rPr>
          <w:rFonts w:ascii="David" w:hAnsi="David" w:cs="David"/>
          <w:sz w:val="24"/>
          <w:szCs w:val="24"/>
          <w:rtl/>
        </w:rPr>
        <w:t>, ומחייבת מתחם ענישה מחמיר יותר.</w:t>
      </w:r>
    </w:p>
    <w:p w14:paraId="4B5387CD" w14:textId="77777777" w:rsidR="00407D1E" w:rsidRPr="008927C0" w:rsidRDefault="00BF60CF" w:rsidP="00407D1E">
      <w:pPr>
        <w:pStyle w:val="a9"/>
        <w:numPr>
          <w:ilvl w:val="0"/>
          <w:numId w:val="2"/>
        </w:numPr>
        <w:spacing w:before="240" w:after="240" w:line="360" w:lineRule="auto"/>
        <w:contextualSpacing w:val="0"/>
        <w:jc w:val="both"/>
        <w:rPr>
          <w:rFonts w:cs="Calibri"/>
          <w:color w:val="000000"/>
          <w:sz w:val="24"/>
          <w:szCs w:val="24"/>
        </w:rPr>
      </w:pPr>
      <w:hyperlink r:id="rId36" w:history="1">
        <w:r w:rsidRPr="00BF60CF">
          <w:rPr>
            <w:rFonts w:ascii="David" w:hAnsi="David" w:cs="David"/>
            <w:color w:val="0000FF"/>
            <w:sz w:val="24"/>
            <w:szCs w:val="24"/>
            <w:u w:val="single"/>
            <w:rtl/>
          </w:rPr>
          <w:t>ת"פ (מחוזי מרכז) 45480-02-19</w:t>
        </w:r>
      </w:hyperlink>
      <w:r>
        <w:rPr>
          <w:rFonts w:ascii="David" w:hAnsi="David" w:cs="David"/>
          <w:sz w:val="24"/>
          <w:szCs w:val="24"/>
          <w:rtl/>
        </w:rPr>
        <w:t xml:space="preserve"> </w:t>
      </w:r>
      <w:r w:rsidR="00407D1E" w:rsidRPr="008239DF">
        <w:rPr>
          <w:rFonts w:ascii="David" w:hAnsi="David" w:cs="David"/>
          <w:b/>
          <w:bCs/>
          <w:sz w:val="24"/>
          <w:szCs w:val="24"/>
          <w:rtl/>
        </w:rPr>
        <w:t>מדינת ישראל נ' סויסה</w:t>
      </w:r>
      <w:r>
        <w:rPr>
          <w:rFonts w:ascii="David" w:hAnsi="David" w:cs="David"/>
          <w:sz w:val="24"/>
          <w:szCs w:val="24"/>
          <w:rtl/>
        </w:rPr>
        <w:t xml:space="preserve"> </w:t>
      </w:r>
      <w:r w:rsidR="00407D1E" w:rsidRPr="008239DF">
        <w:rPr>
          <w:rFonts w:ascii="David" w:hAnsi="David" w:cs="David"/>
          <w:sz w:val="24"/>
          <w:szCs w:val="24"/>
          <w:rtl/>
        </w:rPr>
        <w:t>(22.1.2020) - הנאשם הורשע בעבירות של ייצור, הכנה והפקה של סם מסוכן והחזקת סם מסוכן שלא לצריכה עצמית, לאחר שהקים מעבדה בה נתפס סם מסוכן מסוג קנבוס במשקל</w:t>
      </w:r>
      <w:r>
        <w:rPr>
          <w:rFonts w:ascii="David" w:hAnsi="David" w:cs="David"/>
          <w:sz w:val="24"/>
          <w:szCs w:val="24"/>
          <w:rtl/>
        </w:rPr>
        <w:t xml:space="preserve"> </w:t>
      </w:r>
      <w:r w:rsidR="00407D1E" w:rsidRPr="008239DF">
        <w:rPr>
          <w:rFonts w:ascii="David" w:hAnsi="David" w:cs="David"/>
          <w:b/>
          <w:bCs/>
          <w:sz w:val="24"/>
          <w:szCs w:val="24"/>
          <w:rtl/>
        </w:rPr>
        <w:t>79.9 ק"ג</w:t>
      </w:r>
      <w:r w:rsidR="00407D1E" w:rsidRPr="008239DF">
        <w:rPr>
          <w:rFonts w:ascii="David" w:hAnsi="David" w:cs="David"/>
          <w:sz w:val="24"/>
          <w:szCs w:val="24"/>
          <w:rtl/>
        </w:rPr>
        <w:t>. בית המשפט המחוזי קבע מתחם הנע בין</w:t>
      </w:r>
      <w:r>
        <w:rPr>
          <w:rFonts w:ascii="David" w:hAnsi="David" w:cs="David"/>
          <w:sz w:val="24"/>
          <w:szCs w:val="24"/>
          <w:rtl/>
        </w:rPr>
        <w:t xml:space="preserve"> </w:t>
      </w:r>
      <w:r w:rsidR="00407D1E" w:rsidRPr="008239DF">
        <w:rPr>
          <w:rFonts w:ascii="David" w:hAnsi="David" w:cs="David"/>
          <w:b/>
          <w:bCs/>
          <w:sz w:val="24"/>
          <w:szCs w:val="24"/>
          <w:rtl/>
        </w:rPr>
        <w:t>22 ל-46 חודשי מאסר בפועל</w:t>
      </w:r>
      <w:r w:rsidR="00407D1E" w:rsidRPr="008239DF">
        <w:rPr>
          <w:rFonts w:ascii="David" w:hAnsi="David" w:cs="David"/>
          <w:sz w:val="24"/>
          <w:szCs w:val="24"/>
          <w:rtl/>
        </w:rPr>
        <w:t>, והטיל על הנאשם</w:t>
      </w:r>
      <w:r>
        <w:rPr>
          <w:rFonts w:ascii="David" w:hAnsi="David" w:cs="David"/>
          <w:sz w:val="24"/>
          <w:szCs w:val="24"/>
          <w:rtl/>
        </w:rPr>
        <w:t xml:space="preserve"> </w:t>
      </w:r>
      <w:r w:rsidR="00407D1E" w:rsidRPr="00141CF5">
        <w:rPr>
          <w:rFonts w:ascii="David" w:hAnsi="David" w:cs="David"/>
          <w:sz w:val="24"/>
          <w:szCs w:val="24"/>
          <w:rtl/>
        </w:rPr>
        <w:t>36 חודשי מאסר</w:t>
      </w:r>
      <w:r>
        <w:rPr>
          <w:rFonts w:ascii="David" w:hAnsi="David" w:cs="David"/>
          <w:sz w:val="24"/>
          <w:szCs w:val="24"/>
          <w:rtl/>
        </w:rPr>
        <w:t xml:space="preserve"> </w:t>
      </w:r>
      <w:r w:rsidR="00407D1E" w:rsidRPr="008239DF">
        <w:rPr>
          <w:rFonts w:ascii="David" w:hAnsi="David" w:cs="David"/>
          <w:sz w:val="24"/>
          <w:szCs w:val="24"/>
          <w:rtl/>
        </w:rPr>
        <w:t>(הכוללים הפעלת מאסר מותנה של 6 חודשים</w:t>
      </w:r>
      <w:r w:rsidR="00407D1E" w:rsidRPr="008239DF">
        <w:rPr>
          <w:rFonts w:ascii="David" w:hAnsi="David" w:cs="David"/>
          <w:color w:val="000000"/>
          <w:sz w:val="24"/>
          <w:szCs w:val="24"/>
          <w:rtl/>
        </w:rPr>
        <w:t xml:space="preserve">). </w:t>
      </w:r>
    </w:p>
    <w:p w14:paraId="5E8D9D76" w14:textId="77777777" w:rsidR="00407D1E" w:rsidRPr="008927C0" w:rsidRDefault="00407D1E" w:rsidP="00407D1E">
      <w:pPr>
        <w:pStyle w:val="a9"/>
        <w:spacing w:before="240" w:after="240" w:line="360" w:lineRule="auto"/>
        <w:ind w:left="360"/>
        <w:contextualSpacing w:val="0"/>
        <w:jc w:val="both"/>
        <w:rPr>
          <w:rFonts w:cs="Calibri"/>
          <w:color w:val="000000"/>
          <w:sz w:val="24"/>
          <w:szCs w:val="24"/>
        </w:rPr>
      </w:pPr>
      <w:r w:rsidRPr="008239DF">
        <w:rPr>
          <w:rFonts w:ascii="David" w:hAnsi="David" w:cs="David"/>
          <w:color w:val="000000"/>
          <w:sz w:val="24"/>
          <w:szCs w:val="24"/>
          <w:rtl/>
        </w:rPr>
        <w:t>לציין כי במקרה זה, אין עסקינן במי שהורשע גם בנטילת חשמל.</w:t>
      </w:r>
    </w:p>
    <w:p w14:paraId="79DE9779" w14:textId="77777777" w:rsidR="00407D1E" w:rsidRPr="008239DF" w:rsidRDefault="00BF60CF" w:rsidP="00407D1E">
      <w:pPr>
        <w:pStyle w:val="a9"/>
        <w:numPr>
          <w:ilvl w:val="0"/>
          <w:numId w:val="2"/>
        </w:numPr>
        <w:spacing w:before="240" w:after="240" w:line="360" w:lineRule="auto"/>
        <w:contextualSpacing w:val="0"/>
        <w:jc w:val="both"/>
        <w:rPr>
          <w:rFonts w:cs="Calibri"/>
          <w:sz w:val="24"/>
          <w:szCs w:val="24"/>
          <w:rtl/>
        </w:rPr>
      </w:pPr>
      <w:hyperlink r:id="rId37" w:history="1">
        <w:r w:rsidRPr="00BF60CF">
          <w:rPr>
            <w:rFonts w:ascii="David" w:hAnsi="David" w:cs="David"/>
            <w:color w:val="0000FF"/>
            <w:sz w:val="24"/>
            <w:szCs w:val="24"/>
            <w:u w:val="single"/>
            <w:rtl/>
          </w:rPr>
          <w:t>ת"פ (מחוזי ת"א) 49034-02-19</w:t>
        </w:r>
      </w:hyperlink>
      <w:r>
        <w:rPr>
          <w:rFonts w:ascii="David" w:hAnsi="David" w:cs="David"/>
          <w:sz w:val="24"/>
          <w:szCs w:val="24"/>
          <w:rtl/>
        </w:rPr>
        <w:t xml:space="preserve"> </w:t>
      </w:r>
      <w:r w:rsidR="00407D1E" w:rsidRPr="008239DF">
        <w:rPr>
          <w:rFonts w:ascii="David" w:hAnsi="David" w:cs="David"/>
          <w:b/>
          <w:bCs/>
          <w:sz w:val="24"/>
          <w:szCs w:val="24"/>
          <w:rtl/>
        </w:rPr>
        <w:t>מדינת ישראל נ' אוחיון</w:t>
      </w:r>
      <w:r>
        <w:rPr>
          <w:rFonts w:ascii="David" w:hAnsi="David" w:cs="David"/>
          <w:sz w:val="24"/>
          <w:szCs w:val="24"/>
          <w:rtl/>
        </w:rPr>
        <w:t xml:space="preserve"> </w:t>
      </w:r>
      <w:r w:rsidR="00407D1E" w:rsidRPr="008239DF">
        <w:rPr>
          <w:rFonts w:ascii="David" w:hAnsi="David" w:cs="David"/>
          <w:sz w:val="24"/>
          <w:szCs w:val="24"/>
          <w:rtl/>
        </w:rPr>
        <w:t xml:space="preserve">(7.1.2020) </w:t>
      </w:r>
      <w:r w:rsidR="00407D1E">
        <w:rPr>
          <w:rFonts w:ascii="David" w:hAnsi="David" w:cs="David" w:hint="cs"/>
          <w:sz w:val="24"/>
          <w:szCs w:val="24"/>
          <w:rtl/>
        </w:rPr>
        <w:t xml:space="preserve">- </w:t>
      </w:r>
      <w:r w:rsidR="00407D1E" w:rsidRPr="008239DF">
        <w:rPr>
          <w:rFonts w:ascii="David" w:hAnsi="David" w:cs="David"/>
          <w:sz w:val="24"/>
          <w:szCs w:val="24"/>
          <w:rtl/>
        </w:rPr>
        <w:t>הנאשם הורשע בעבירות של ייצור, הכנה והפקה של סם מסוכן, החזקת סם מסוכן שלא לצריכה עצמית, החזקת כלים המשמשים להכנת סם מסוכן, החזקת חצרים לשם הכנת סם מסוכן ונטילת חשמל שלא כדין לאחר שהקים מעבדה לגידול סם מסוכן מסוג קנבוס בה נתפסו</w:t>
      </w:r>
      <w:r>
        <w:rPr>
          <w:rFonts w:ascii="David" w:hAnsi="David" w:cs="David"/>
          <w:sz w:val="24"/>
          <w:szCs w:val="24"/>
          <w:rtl/>
        </w:rPr>
        <w:t xml:space="preserve"> </w:t>
      </w:r>
      <w:r w:rsidR="00407D1E" w:rsidRPr="003370A5">
        <w:rPr>
          <w:rFonts w:ascii="David" w:hAnsi="David" w:cs="David"/>
          <w:sz w:val="24"/>
          <w:szCs w:val="24"/>
          <w:rtl/>
        </w:rPr>
        <w:t>725 שתילים</w:t>
      </w:r>
      <w:r>
        <w:rPr>
          <w:rFonts w:ascii="David" w:hAnsi="David" w:cs="David"/>
          <w:sz w:val="24"/>
          <w:szCs w:val="24"/>
          <w:rtl/>
        </w:rPr>
        <w:t xml:space="preserve"> </w:t>
      </w:r>
      <w:r w:rsidR="00407D1E" w:rsidRPr="008239DF">
        <w:rPr>
          <w:rFonts w:ascii="David" w:hAnsi="David" w:cs="David"/>
          <w:sz w:val="24"/>
          <w:szCs w:val="24"/>
          <w:rtl/>
        </w:rPr>
        <w:t>שהגיעו למשקל של</w:t>
      </w:r>
      <w:r>
        <w:rPr>
          <w:rFonts w:ascii="David" w:hAnsi="David" w:cs="David"/>
          <w:sz w:val="24"/>
          <w:szCs w:val="24"/>
          <w:rtl/>
        </w:rPr>
        <w:t xml:space="preserve"> </w:t>
      </w:r>
      <w:r w:rsidR="00407D1E" w:rsidRPr="008239DF">
        <w:rPr>
          <w:rFonts w:ascii="David" w:hAnsi="David" w:cs="David"/>
          <w:b/>
          <w:bCs/>
          <w:sz w:val="24"/>
          <w:szCs w:val="24"/>
          <w:rtl/>
        </w:rPr>
        <w:t>114 ק"ג</w:t>
      </w:r>
      <w:r w:rsidR="00407D1E" w:rsidRPr="008239DF">
        <w:rPr>
          <w:rFonts w:ascii="David" w:hAnsi="David" w:cs="David"/>
          <w:sz w:val="24"/>
          <w:szCs w:val="24"/>
          <w:rtl/>
        </w:rPr>
        <w:t>. נקבע מתחם ענישה הנע בין</w:t>
      </w:r>
      <w:r>
        <w:rPr>
          <w:rFonts w:ascii="David" w:hAnsi="David" w:cs="David"/>
          <w:b/>
          <w:bCs/>
          <w:sz w:val="24"/>
          <w:szCs w:val="24"/>
          <w:rtl/>
        </w:rPr>
        <w:t xml:space="preserve"> </w:t>
      </w:r>
      <w:r w:rsidR="00407D1E" w:rsidRPr="008239DF">
        <w:rPr>
          <w:rFonts w:ascii="David" w:hAnsi="David" w:cs="David"/>
          <w:b/>
          <w:bCs/>
          <w:sz w:val="24"/>
          <w:szCs w:val="24"/>
          <w:rtl/>
        </w:rPr>
        <w:t>18 ל- 40 חודשי מאסר בפועל.</w:t>
      </w:r>
      <w:r>
        <w:rPr>
          <w:rFonts w:ascii="David" w:hAnsi="David" w:cs="David"/>
          <w:b/>
          <w:bCs/>
          <w:sz w:val="24"/>
          <w:szCs w:val="24"/>
          <w:rtl/>
        </w:rPr>
        <w:t xml:space="preserve"> </w:t>
      </w:r>
      <w:r w:rsidR="00407D1E" w:rsidRPr="008239DF">
        <w:rPr>
          <w:rFonts w:ascii="David" w:hAnsi="David" w:cs="David"/>
          <w:sz w:val="24"/>
          <w:szCs w:val="24"/>
          <w:rtl/>
        </w:rPr>
        <w:t xml:space="preserve">על הנאשם הושת מאסר בפועל של </w:t>
      </w:r>
      <w:r w:rsidR="00407D1E" w:rsidRPr="003370A5">
        <w:rPr>
          <w:rFonts w:ascii="David" w:hAnsi="David" w:cs="David"/>
          <w:sz w:val="24"/>
          <w:szCs w:val="24"/>
          <w:rtl/>
        </w:rPr>
        <w:t>20 חודשים</w:t>
      </w:r>
      <w:r w:rsidR="00407D1E" w:rsidRPr="008239DF">
        <w:rPr>
          <w:rFonts w:ascii="David" w:hAnsi="David" w:cs="David"/>
          <w:sz w:val="24"/>
          <w:szCs w:val="24"/>
          <w:rtl/>
        </w:rPr>
        <w:t>.</w:t>
      </w:r>
    </w:p>
    <w:p w14:paraId="6B65F477" w14:textId="77777777" w:rsidR="00407D1E" w:rsidRPr="003370A5" w:rsidRDefault="00BF60CF" w:rsidP="00407D1E">
      <w:pPr>
        <w:pStyle w:val="a9"/>
        <w:numPr>
          <w:ilvl w:val="0"/>
          <w:numId w:val="2"/>
        </w:numPr>
        <w:spacing w:before="240" w:after="240" w:line="360" w:lineRule="auto"/>
        <w:ind w:left="357"/>
        <w:contextualSpacing w:val="0"/>
        <w:jc w:val="both"/>
        <w:rPr>
          <w:rFonts w:cs="Calibri"/>
          <w:color w:val="000000"/>
          <w:sz w:val="24"/>
          <w:szCs w:val="24"/>
        </w:rPr>
      </w:pPr>
      <w:hyperlink r:id="rId38" w:history="1">
        <w:r w:rsidRPr="00BF60CF">
          <w:rPr>
            <w:rFonts w:ascii="David" w:hAnsi="David" w:cs="David"/>
            <w:color w:val="0000FF"/>
            <w:sz w:val="24"/>
            <w:szCs w:val="24"/>
            <w:u w:val="single"/>
            <w:rtl/>
          </w:rPr>
          <w:t>ת"פ (מחוזי ת"א) 33001-11-14</w:t>
        </w:r>
      </w:hyperlink>
      <w:r>
        <w:rPr>
          <w:rFonts w:ascii="David" w:hAnsi="David" w:cs="David"/>
          <w:sz w:val="24"/>
          <w:szCs w:val="24"/>
          <w:rtl/>
        </w:rPr>
        <w:t xml:space="preserve"> </w:t>
      </w:r>
      <w:r w:rsidR="00407D1E" w:rsidRPr="003370A5">
        <w:rPr>
          <w:rFonts w:ascii="David" w:hAnsi="David" w:cs="David"/>
          <w:b/>
          <w:bCs/>
          <w:sz w:val="24"/>
          <w:szCs w:val="24"/>
          <w:rtl/>
        </w:rPr>
        <w:t xml:space="preserve">מדינת </w:t>
      </w:r>
      <w:r w:rsidR="00407D1E" w:rsidRPr="003370A5">
        <w:rPr>
          <w:rFonts w:ascii="David" w:hAnsi="David" w:cs="David"/>
          <w:b/>
          <w:bCs/>
          <w:color w:val="000000"/>
          <w:sz w:val="24"/>
          <w:szCs w:val="24"/>
          <w:rtl/>
        </w:rPr>
        <w:t>ישראל נ' אוחנה ואח'</w:t>
      </w:r>
      <w:r>
        <w:rPr>
          <w:rFonts w:ascii="David" w:hAnsi="David" w:cs="David"/>
          <w:color w:val="000000"/>
          <w:sz w:val="24"/>
          <w:szCs w:val="24"/>
          <w:rtl/>
        </w:rPr>
        <w:t xml:space="preserve"> </w:t>
      </w:r>
      <w:r w:rsidR="00407D1E" w:rsidRPr="003370A5">
        <w:rPr>
          <w:rFonts w:ascii="David" w:hAnsi="David" w:cs="David"/>
          <w:color w:val="000000"/>
          <w:sz w:val="24"/>
          <w:szCs w:val="24"/>
          <w:rtl/>
        </w:rPr>
        <w:t>(19.3.2015) - הנאשם הורשע על יסוד הודאתו בעבירות של גידול סם מסוכן והחזקת סם שלא לצריכה עצמית בכך ששכר מחסן אותו הסב לחממה והקים בו, בסיוע שני נאשמים אחרים, מעבדה לגידול קנבוס במשקל כולל של</w:t>
      </w:r>
      <w:r>
        <w:rPr>
          <w:rFonts w:ascii="David" w:hAnsi="David" w:cs="David"/>
          <w:color w:val="000000"/>
          <w:sz w:val="24"/>
          <w:szCs w:val="24"/>
          <w:rtl/>
        </w:rPr>
        <w:t xml:space="preserve"> </w:t>
      </w:r>
      <w:r w:rsidR="00407D1E" w:rsidRPr="003370A5">
        <w:rPr>
          <w:rFonts w:ascii="David" w:hAnsi="David" w:cs="David"/>
          <w:b/>
          <w:bCs/>
          <w:color w:val="000000"/>
          <w:sz w:val="24"/>
          <w:szCs w:val="24"/>
          <w:rtl/>
        </w:rPr>
        <w:t>99.3 ק"ג נטו</w:t>
      </w:r>
      <w:r w:rsidR="00407D1E" w:rsidRPr="003370A5">
        <w:rPr>
          <w:rFonts w:ascii="David" w:hAnsi="David" w:cs="David"/>
          <w:color w:val="000000"/>
          <w:sz w:val="24"/>
          <w:szCs w:val="24"/>
          <w:rtl/>
        </w:rPr>
        <w:t>. בית המשפט המחוזי קבע</w:t>
      </w:r>
      <w:r>
        <w:rPr>
          <w:rFonts w:ascii="David" w:hAnsi="David" w:cs="David"/>
          <w:color w:val="000000"/>
          <w:sz w:val="24"/>
          <w:szCs w:val="24"/>
          <w:rtl/>
        </w:rPr>
        <w:t xml:space="preserve"> </w:t>
      </w:r>
      <w:r w:rsidR="00407D1E" w:rsidRPr="003370A5">
        <w:rPr>
          <w:rFonts w:ascii="David" w:hAnsi="David" w:cs="David"/>
          <w:b/>
          <w:bCs/>
          <w:color w:val="000000"/>
          <w:sz w:val="24"/>
          <w:szCs w:val="24"/>
          <w:rtl/>
        </w:rPr>
        <w:t>מתחם ענישה הנע בין 30 ל- 48 חודשי מאסר</w:t>
      </w:r>
      <w:r>
        <w:rPr>
          <w:rFonts w:ascii="David" w:hAnsi="David" w:cs="David"/>
          <w:color w:val="000000"/>
          <w:sz w:val="24"/>
          <w:szCs w:val="24"/>
          <w:rtl/>
        </w:rPr>
        <w:t xml:space="preserve"> </w:t>
      </w:r>
      <w:r w:rsidR="00407D1E" w:rsidRPr="003370A5">
        <w:rPr>
          <w:rFonts w:ascii="David" w:hAnsi="David" w:cs="David"/>
          <w:color w:val="000000"/>
          <w:sz w:val="24"/>
          <w:szCs w:val="24"/>
          <w:rtl/>
        </w:rPr>
        <w:t>והשית על הנאשם 38 חודשי מאסר לצד עונשים נלווים.</w:t>
      </w:r>
    </w:p>
    <w:p w14:paraId="41606EA5" w14:textId="77777777" w:rsidR="00407D1E" w:rsidRDefault="00407D1E" w:rsidP="00407D1E">
      <w:pPr>
        <w:pStyle w:val="a9"/>
        <w:spacing w:before="240" w:after="240" w:line="360" w:lineRule="auto"/>
        <w:ind w:left="357"/>
        <w:contextualSpacing w:val="0"/>
        <w:jc w:val="both"/>
        <w:rPr>
          <w:rFonts w:ascii="David" w:hAnsi="David" w:cs="David"/>
          <w:color w:val="000000"/>
          <w:sz w:val="24"/>
          <w:szCs w:val="24"/>
          <w:rtl/>
        </w:rPr>
      </w:pPr>
      <w:r w:rsidRPr="003370A5">
        <w:rPr>
          <w:rFonts w:ascii="David" w:hAnsi="David" w:cs="David"/>
          <w:color w:val="000000"/>
          <w:sz w:val="24"/>
          <w:szCs w:val="24"/>
          <w:rtl/>
        </w:rPr>
        <w:t>בהשוואה לעניין אוחנה, ענייננו חמור יותר</w:t>
      </w:r>
      <w:r>
        <w:rPr>
          <w:rFonts w:ascii="David" w:hAnsi="David" w:cs="David" w:hint="cs"/>
          <w:color w:val="000000"/>
          <w:sz w:val="24"/>
          <w:szCs w:val="24"/>
          <w:rtl/>
        </w:rPr>
        <w:t xml:space="preserve"> בשל רכיב "נטילת החשמל". </w:t>
      </w:r>
    </w:p>
    <w:p w14:paraId="2B817BB2" w14:textId="77777777" w:rsidR="00407D1E" w:rsidRDefault="00407D1E" w:rsidP="00407D1E">
      <w:pPr>
        <w:pStyle w:val="a9"/>
        <w:spacing w:before="240" w:after="240" w:line="360" w:lineRule="auto"/>
        <w:ind w:left="357"/>
        <w:contextualSpacing w:val="0"/>
        <w:jc w:val="both"/>
        <w:rPr>
          <w:rFonts w:ascii="David" w:hAnsi="David" w:cs="David"/>
          <w:color w:val="000000"/>
          <w:sz w:val="24"/>
          <w:szCs w:val="24"/>
          <w:rtl/>
        </w:rPr>
      </w:pPr>
    </w:p>
    <w:p w14:paraId="217327A5" w14:textId="77777777" w:rsidR="00407D1E" w:rsidRPr="003370A5" w:rsidRDefault="00407D1E" w:rsidP="00407D1E">
      <w:pPr>
        <w:pStyle w:val="a9"/>
        <w:spacing w:before="240" w:after="240" w:line="360" w:lineRule="auto"/>
        <w:ind w:left="357"/>
        <w:contextualSpacing w:val="0"/>
        <w:jc w:val="both"/>
        <w:rPr>
          <w:rFonts w:cs="Calibri"/>
          <w:color w:val="000000"/>
          <w:sz w:val="24"/>
          <w:szCs w:val="24"/>
          <w:rtl/>
        </w:rPr>
      </w:pPr>
    </w:p>
    <w:p w14:paraId="59C49F76" w14:textId="77777777" w:rsidR="00407D1E" w:rsidRPr="00E62425" w:rsidRDefault="00407D1E" w:rsidP="00407D1E">
      <w:pPr>
        <w:pStyle w:val="a9"/>
        <w:spacing w:before="240" w:after="240" w:line="360" w:lineRule="auto"/>
        <w:ind w:left="360"/>
        <w:contextualSpacing w:val="0"/>
        <w:jc w:val="both"/>
        <w:rPr>
          <w:rFonts w:ascii="David" w:hAnsi="David" w:cs="David"/>
          <w:sz w:val="24"/>
          <w:szCs w:val="24"/>
          <w:u w:val="single"/>
          <w:rtl/>
        </w:rPr>
      </w:pPr>
      <w:r w:rsidRPr="00E62425">
        <w:rPr>
          <w:rFonts w:ascii="David" w:hAnsi="David" w:cs="David"/>
          <w:sz w:val="24"/>
          <w:szCs w:val="24"/>
          <w:u w:val="single"/>
          <w:rtl/>
        </w:rPr>
        <w:t xml:space="preserve">סיכום </w:t>
      </w:r>
      <w:r>
        <w:rPr>
          <w:rFonts w:ascii="David" w:hAnsi="David" w:cs="David" w:hint="cs"/>
          <w:sz w:val="24"/>
          <w:szCs w:val="24"/>
          <w:u w:val="single"/>
          <w:rtl/>
        </w:rPr>
        <w:t>-</w:t>
      </w:r>
      <w:r w:rsidRPr="00E62425">
        <w:rPr>
          <w:rFonts w:ascii="David" w:hAnsi="David" w:cs="David"/>
          <w:sz w:val="24"/>
          <w:szCs w:val="24"/>
          <w:u w:val="single"/>
          <w:rtl/>
        </w:rPr>
        <w:t xml:space="preserve"> מתחם העונש ההולם</w:t>
      </w:r>
    </w:p>
    <w:p w14:paraId="67264662" w14:textId="77777777" w:rsidR="00407D1E" w:rsidRDefault="00407D1E" w:rsidP="00407D1E">
      <w:pPr>
        <w:pStyle w:val="a9"/>
        <w:numPr>
          <w:ilvl w:val="0"/>
          <w:numId w:val="1"/>
        </w:numPr>
        <w:spacing w:before="240" w:after="240" w:line="360" w:lineRule="auto"/>
        <w:ind w:left="357"/>
        <w:contextualSpacing w:val="0"/>
        <w:jc w:val="both"/>
        <w:rPr>
          <w:rFonts w:ascii="David" w:hAnsi="David" w:cs="David"/>
          <w:sz w:val="24"/>
          <w:szCs w:val="24"/>
        </w:rPr>
      </w:pPr>
      <w:r w:rsidRPr="006F7905">
        <w:rPr>
          <w:rFonts w:ascii="David" w:hAnsi="David" w:cs="David"/>
          <w:sz w:val="24"/>
          <w:szCs w:val="24"/>
          <w:rtl/>
        </w:rPr>
        <w:t xml:space="preserve">כפי </w:t>
      </w:r>
      <w:r>
        <w:rPr>
          <w:rFonts w:ascii="David" w:hAnsi="David" w:cs="David" w:hint="cs"/>
          <w:sz w:val="24"/>
          <w:szCs w:val="24"/>
          <w:rtl/>
        </w:rPr>
        <w:t>שניתן להיווכח</w:t>
      </w:r>
      <w:r w:rsidRPr="006F7905">
        <w:rPr>
          <w:rFonts w:ascii="David" w:hAnsi="David" w:cs="David"/>
          <w:sz w:val="24"/>
          <w:szCs w:val="24"/>
          <w:rtl/>
        </w:rPr>
        <w:t xml:space="preserve">, בעבירות סמים, מטבע הדברים, קיים מנעד ענישה </w:t>
      </w:r>
      <w:r w:rsidRPr="00404084">
        <w:rPr>
          <w:rFonts w:ascii="David" w:hAnsi="David" w:cs="David"/>
          <w:sz w:val="24"/>
          <w:szCs w:val="24"/>
          <w:rtl/>
        </w:rPr>
        <w:t>רחב</w:t>
      </w:r>
      <w:r w:rsidRPr="00404084">
        <w:rPr>
          <w:rFonts w:ascii="David" w:hAnsi="David" w:cs="David" w:hint="cs"/>
          <w:sz w:val="24"/>
          <w:szCs w:val="24"/>
          <w:rtl/>
        </w:rPr>
        <w:t xml:space="preserve"> </w:t>
      </w:r>
      <w:r w:rsidR="00BF60CF">
        <w:rPr>
          <w:rFonts w:ascii="David" w:hAnsi="David" w:cs="David"/>
          <w:color w:val="000000"/>
          <w:sz w:val="24"/>
          <w:szCs w:val="24"/>
        </w:rPr>
        <w:t xml:space="preserve"> </w:t>
      </w:r>
      <w:r w:rsidRPr="00404084">
        <w:rPr>
          <w:rFonts w:ascii="David" w:hAnsi="David" w:cs="David"/>
          <w:color w:val="000000"/>
          <w:sz w:val="24"/>
          <w:szCs w:val="24"/>
          <w:rtl/>
        </w:rPr>
        <w:t>ואכן, כפי שהגיש כל אחד מהצדדים</w:t>
      </w:r>
      <w:r w:rsidRPr="00404084">
        <w:rPr>
          <w:rFonts w:ascii="David" w:hAnsi="David" w:cs="David"/>
          <w:color w:val="000000"/>
          <w:sz w:val="24"/>
          <w:szCs w:val="24"/>
        </w:rPr>
        <w:t>,</w:t>
      </w:r>
      <w:r>
        <w:rPr>
          <w:rFonts w:ascii="David" w:hAnsi="David" w:cs="David"/>
          <w:sz w:val="24"/>
          <w:szCs w:val="24"/>
          <w:rtl/>
        </w:rPr>
        <w:t xml:space="preserve"> </w:t>
      </w:r>
      <w:r w:rsidRPr="006F7905">
        <w:rPr>
          <w:rFonts w:ascii="David" w:hAnsi="David" w:cs="David"/>
          <w:sz w:val="24"/>
          <w:szCs w:val="24"/>
          <w:rtl/>
        </w:rPr>
        <w:t xml:space="preserve">ניתן למצוא פסיקה מחמירה ופסיקה מקלה. יחד עם זאת, המקרים אותם סקרתי לעיל משקפים את הקו המרכזי הנוהג בפסיקה ואת עמדתו העדכנית של בית המשפט העליון בעבירות שעניינן הקמת מעבדות לגידול סמים בהיקפים ובכמויות בהם עסקינן. </w:t>
      </w:r>
    </w:p>
    <w:p w14:paraId="4267199C" w14:textId="77777777" w:rsidR="00407D1E" w:rsidRPr="00B628AD" w:rsidRDefault="00407D1E" w:rsidP="00407D1E">
      <w:pPr>
        <w:pStyle w:val="a9"/>
        <w:spacing w:before="240" w:after="240" w:line="360" w:lineRule="auto"/>
        <w:ind w:left="357"/>
        <w:contextualSpacing w:val="0"/>
        <w:jc w:val="both"/>
        <w:rPr>
          <w:rFonts w:ascii="David" w:hAnsi="David" w:cs="David"/>
          <w:sz w:val="24"/>
          <w:szCs w:val="24"/>
          <w:rtl/>
        </w:rPr>
      </w:pPr>
      <w:r w:rsidRPr="00B628AD">
        <w:rPr>
          <w:rFonts w:ascii="David" w:hAnsi="David" w:cs="David"/>
          <w:sz w:val="24"/>
          <w:szCs w:val="24"/>
          <w:rtl/>
        </w:rPr>
        <w:t xml:space="preserve">לאור האמור, ועל יסוד כלל הנתונים שפורטו לעיל, ראיתי לקבוע </w:t>
      </w:r>
      <w:r w:rsidRPr="00B628AD">
        <w:rPr>
          <w:rFonts w:ascii="David" w:hAnsi="David" w:cs="David"/>
          <w:b/>
          <w:bCs/>
          <w:sz w:val="24"/>
          <w:szCs w:val="24"/>
          <w:rtl/>
        </w:rPr>
        <w:t>מתחם ענישה הנע בין 30 ל- 54 חודשי מאסר</w:t>
      </w:r>
      <w:r w:rsidRPr="00B628AD">
        <w:rPr>
          <w:rFonts w:ascii="David" w:hAnsi="David" w:cs="David"/>
          <w:sz w:val="24"/>
          <w:szCs w:val="24"/>
          <w:rtl/>
        </w:rPr>
        <w:t xml:space="preserve">. </w:t>
      </w:r>
    </w:p>
    <w:p w14:paraId="084E40C1" w14:textId="77777777" w:rsidR="00407D1E" w:rsidRPr="00B628AD" w:rsidRDefault="00407D1E" w:rsidP="00407D1E">
      <w:pPr>
        <w:pStyle w:val="a9"/>
        <w:spacing w:before="240" w:after="240" w:line="360" w:lineRule="auto"/>
        <w:ind w:left="357"/>
        <w:contextualSpacing w:val="0"/>
        <w:jc w:val="both"/>
        <w:rPr>
          <w:rFonts w:ascii="David" w:hAnsi="David" w:cs="David"/>
          <w:sz w:val="24"/>
          <w:szCs w:val="24"/>
        </w:rPr>
      </w:pPr>
      <w:r w:rsidRPr="00B628AD">
        <w:rPr>
          <w:rFonts w:ascii="David" w:hAnsi="David" w:cs="David"/>
          <w:color w:val="000000"/>
          <w:sz w:val="24"/>
          <w:szCs w:val="24"/>
          <w:u w:val="single"/>
          <w:rtl/>
        </w:rPr>
        <w:t xml:space="preserve">קביעת העונש המתאים לנאשם </w:t>
      </w:r>
    </w:p>
    <w:p w14:paraId="3D16DFBD" w14:textId="77777777" w:rsidR="00407D1E" w:rsidRDefault="00407D1E" w:rsidP="00407D1E">
      <w:pPr>
        <w:pStyle w:val="a9"/>
        <w:numPr>
          <w:ilvl w:val="0"/>
          <w:numId w:val="1"/>
        </w:numPr>
        <w:spacing w:before="240" w:after="240" w:line="360" w:lineRule="auto"/>
        <w:contextualSpacing w:val="0"/>
        <w:jc w:val="both"/>
        <w:rPr>
          <w:rFonts w:ascii="David" w:hAnsi="David" w:cs="David"/>
          <w:color w:val="000000"/>
          <w:sz w:val="24"/>
          <w:szCs w:val="24"/>
        </w:rPr>
      </w:pPr>
      <w:r>
        <w:rPr>
          <w:rFonts w:ascii="David" w:hAnsi="David" w:cs="David" w:hint="cs"/>
          <w:color w:val="000000"/>
          <w:sz w:val="24"/>
          <w:szCs w:val="24"/>
          <w:rtl/>
        </w:rPr>
        <w:t xml:space="preserve">קיימים מספר פרמטרים שמשקלם המצטבר מוביל למסקנה לפיה אין מקום למצות את הדין עם הנאשם. יחד עם זאת, סבורני כי בנסיבות העניין יש להטיל על הנאשם ענישה מתונה הנותנת משקל לשיקולי השיקום בתוך גבולות המתחם ולא ענישה החורגת מהמתחם כהמלצת שירות המבחן וכטענת ההגנה - אותן אין בידי לקבל.     </w:t>
      </w:r>
    </w:p>
    <w:p w14:paraId="31923545" w14:textId="77777777" w:rsidR="00407D1E" w:rsidRPr="00D95D21" w:rsidRDefault="00407D1E" w:rsidP="00407D1E">
      <w:pPr>
        <w:pStyle w:val="a9"/>
        <w:spacing w:before="240" w:after="240" w:line="360" w:lineRule="auto"/>
        <w:ind w:left="360"/>
        <w:contextualSpacing w:val="0"/>
        <w:jc w:val="both"/>
        <w:rPr>
          <w:rFonts w:ascii="David" w:hAnsi="David" w:cs="David"/>
          <w:color w:val="000000"/>
          <w:sz w:val="24"/>
          <w:szCs w:val="24"/>
          <w:rtl/>
        </w:rPr>
      </w:pPr>
      <w:r w:rsidRPr="00D95D21">
        <w:rPr>
          <w:rFonts w:ascii="David" w:hAnsi="David" w:cs="David"/>
          <w:color w:val="000000"/>
          <w:sz w:val="24"/>
          <w:szCs w:val="24"/>
          <w:rtl/>
        </w:rPr>
        <w:t>ואלה הנתונים אשר שקלתי לצורך קביעת העונש המתאים</w:t>
      </w:r>
      <w:r w:rsidRPr="00D95D21">
        <w:rPr>
          <w:rFonts w:ascii="David" w:hAnsi="David" w:cs="David"/>
          <w:color w:val="000000"/>
          <w:sz w:val="24"/>
          <w:szCs w:val="24"/>
        </w:rPr>
        <w:t>:</w:t>
      </w:r>
    </w:p>
    <w:p w14:paraId="51126937"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sidRPr="003031D0">
        <w:rPr>
          <w:rFonts w:ascii="David" w:hAnsi="David" w:cs="David" w:hint="cs"/>
          <w:b/>
          <w:bCs/>
          <w:color w:val="000000"/>
          <w:sz w:val="24"/>
          <w:szCs w:val="24"/>
          <w:rtl/>
        </w:rPr>
        <w:t>הודאה וקבלת אחריות</w:t>
      </w:r>
      <w:r>
        <w:rPr>
          <w:rFonts w:ascii="David" w:hAnsi="David" w:cs="David" w:hint="cs"/>
          <w:color w:val="000000"/>
          <w:sz w:val="24"/>
          <w:szCs w:val="24"/>
          <w:rtl/>
        </w:rPr>
        <w:t xml:space="preserve"> - מדובר במי שהודה</w:t>
      </w:r>
      <w:r w:rsidRPr="008A5C5B">
        <w:rPr>
          <w:rFonts w:ascii="David" w:hAnsi="David" w:cs="David" w:hint="cs"/>
          <w:color w:val="000000"/>
          <w:sz w:val="24"/>
          <w:szCs w:val="24"/>
          <w:rtl/>
        </w:rPr>
        <w:t xml:space="preserve"> </w:t>
      </w:r>
      <w:r>
        <w:rPr>
          <w:rFonts w:ascii="David" w:hAnsi="David" w:cs="David" w:hint="cs"/>
          <w:color w:val="000000"/>
          <w:sz w:val="24"/>
          <w:szCs w:val="24"/>
          <w:rtl/>
        </w:rPr>
        <w:t xml:space="preserve">במיוחס לו </w:t>
      </w:r>
      <w:r w:rsidRPr="008A5C5B">
        <w:rPr>
          <w:rFonts w:ascii="David" w:hAnsi="David" w:cs="David" w:hint="cs"/>
          <w:color w:val="000000"/>
          <w:sz w:val="24"/>
          <w:szCs w:val="24"/>
          <w:rtl/>
        </w:rPr>
        <w:t>ונטל</w:t>
      </w:r>
      <w:r w:rsidRPr="008A5C5B">
        <w:rPr>
          <w:rFonts w:ascii="David" w:hAnsi="David" w:cs="David"/>
          <w:color w:val="000000"/>
          <w:sz w:val="24"/>
          <w:szCs w:val="24"/>
          <w:rtl/>
        </w:rPr>
        <w:t xml:space="preserve"> אחריות על מעשיו מבלי שבית המשפט נדרש לשמיעת ראיות</w:t>
      </w:r>
      <w:r>
        <w:rPr>
          <w:rFonts w:ascii="David" w:hAnsi="David" w:cs="David" w:hint="cs"/>
          <w:color w:val="000000"/>
          <w:sz w:val="24"/>
          <w:szCs w:val="24"/>
          <w:rtl/>
        </w:rPr>
        <w:t xml:space="preserve"> ומכאן שיש להעניק לנאשם הקלה מסוימת בענישה</w:t>
      </w:r>
      <w:r w:rsidRPr="008A5C5B">
        <w:rPr>
          <w:rFonts w:ascii="David" w:hAnsi="David" w:cs="David"/>
          <w:color w:val="000000"/>
          <w:sz w:val="24"/>
          <w:szCs w:val="24"/>
          <w:rtl/>
        </w:rPr>
        <w:t xml:space="preserve">. </w:t>
      </w:r>
      <w:r>
        <w:rPr>
          <w:rFonts w:ascii="David" w:hAnsi="David" w:cs="David" w:hint="cs"/>
          <w:color w:val="000000"/>
          <w:sz w:val="24"/>
          <w:szCs w:val="24"/>
          <w:rtl/>
        </w:rPr>
        <w:t>הקלה זו מתבקשת הן לאור מוטיב ההפנמה הטמון בהודאה והן לאור ה</w:t>
      </w:r>
      <w:r>
        <w:rPr>
          <w:rFonts w:ascii="David" w:hAnsi="David" w:cs="David"/>
          <w:color w:val="000000"/>
          <w:sz w:val="24"/>
          <w:szCs w:val="24"/>
          <w:rtl/>
        </w:rPr>
        <w:t>חיסכון בזמן ציבורי</w:t>
      </w:r>
      <w:r>
        <w:rPr>
          <w:rFonts w:ascii="David" w:hAnsi="David" w:cs="David" w:hint="cs"/>
          <w:color w:val="000000"/>
          <w:sz w:val="24"/>
          <w:szCs w:val="24"/>
          <w:rtl/>
        </w:rPr>
        <w:t>.</w:t>
      </w:r>
    </w:p>
    <w:p w14:paraId="4A5B31F4" w14:textId="77777777" w:rsidR="00407D1E" w:rsidRDefault="00407D1E" w:rsidP="00407D1E">
      <w:pPr>
        <w:pStyle w:val="a9"/>
        <w:spacing w:before="240" w:after="240" w:line="360" w:lineRule="auto"/>
        <w:ind w:left="360"/>
        <w:contextualSpacing w:val="0"/>
        <w:jc w:val="both"/>
        <w:rPr>
          <w:rFonts w:ascii="David" w:hAnsi="David" w:cs="David"/>
          <w:color w:val="000000"/>
          <w:sz w:val="24"/>
          <w:szCs w:val="24"/>
          <w:rtl/>
        </w:rPr>
      </w:pPr>
      <w:r w:rsidRPr="003031D0">
        <w:rPr>
          <w:rFonts w:ascii="David" w:hAnsi="David" w:cs="David" w:hint="cs"/>
          <w:b/>
          <w:bCs/>
          <w:color w:val="000000"/>
          <w:sz w:val="24"/>
          <w:szCs w:val="24"/>
          <w:rtl/>
        </w:rPr>
        <w:t>עבר פלילי</w:t>
      </w:r>
      <w:r>
        <w:rPr>
          <w:rFonts w:ascii="David" w:hAnsi="David" w:cs="David" w:hint="cs"/>
          <w:color w:val="000000"/>
          <w:sz w:val="24"/>
          <w:szCs w:val="24"/>
          <w:rtl/>
        </w:rPr>
        <w:t xml:space="preserve"> - הגם שעברו הפלילי של הנאשם כולל הרשעה קודמת משנת 2020 מבית משפט השלום בעבירות של שבל"ר ונטישה, בגינן נדון לעונש מאסר מותנה; ורישום פלילי ללא הרשעה משנת 2018 מבית המשפט לנוער בעבירות של איומים והתנהגות פרועה במקום ציבורי בגינן נדון להתחייבות וקנס - הרי שמדובר בעבר מינורי ופחות' רלוונטי. עוד ראיתי לציין כי מדובר במאסרו הראשון של הנאשם, וכידוע, הפסיקה הכירה בתקופת המאסר הראשונה כקשה במיוחד ונתון זה מצדיק התחשבות נוספת בענישה.   </w:t>
      </w:r>
    </w:p>
    <w:p w14:paraId="279848B7" w14:textId="77777777" w:rsidR="00407D1E" w:rsidRDefault="00407D1E" w:rsidP="00407D1E">
      <w:pPr>
        <w:pStyle w:val="a9"/>
        <w:spacing w:before="240" w:after="240" w:line="360" w:lineRule="auto"/>
        <w:ind w:left="360"/>
        <w:contextualSpacing w:val="0"/>
        <w:jc w:val="both"/>
        <w:rPr>
          <w:rFonts w:ascii="David" w:hAnsi="David" w:cs="David"/>
          <w:sz w:val="24"/>
          <w:szCs w:val="24"/>
          <w:rtl/>
        </w:rPr>
      </w:pPr>
      <w:r>
        <w:rPr>
          <w:rFonts w:ascii="David" w:hAnsi="David" w:cs="David" w:hint="cs"/>
          <w:b/>
          <w:bCs/>
          <w:color w:val="000000"/>
          <w:sz w:val="24"/>
          <w:szCs w:val="24"/>
          <w:rtl/>
        </w:rPr>
        <w:t xml:space="preserve">נסיבות אישיות </w:t>
      </w:r>
      <w:r>
        <w:rPr>
          <w:rFonts w:ascii="David" w:hAnsi="David" w:cs="David" w:hint="cs"/>
          <w:color w:val="000000"/>
          <w:sz w:val="24"/>
          <w:szCs w:val="24"/>
          <w:rtl/>
        </w:rPr>
        <w:t xml:space="preserve">- גם גילו הצעיר ונסיבותיו האישיות של הנאשם כפי שבאו לידי ביטוי בהרחבה בתסקירי שירות המבחן ובטיעוני ההגנה,  עומדות לזכותו. </w:t>
      </w:r>
    </w:p>
    <w:p w14:paraId="182A5D9D" w14:textId="77777777" w:rsidR="00407D1E" w:rsidRDefault="00407D1E" w:rsidP="00407D1E">
      <w:pPr>
        <w:spacing w:before="240" w:after="240" w:line="330" w:lineRule="atLeast"/>
        <w:ind w:left="360"/>
        <w:jc w:val="both"/>
        <w:rPr>
          <w:rFonts w:ascii="David" w:hAnsi="David"/>
          <w:color w:val="000000"/>
          <w:rtl/>
        </w:rPr>
      </w:pPr>
      <w:r>
        <w:rPr>
          <w:rFonts w:ascii="David" w:hAnsi="David" w:hint="cs"/>
          <w:color w:val="000000"/>
          <w:rtl/>
        </w:rPr>
        <w:t xml:space="preserve">הנאשם בן 24, אב לשלושה ילדים קטנים וככל הנראה המשפחה נקלעה בעל כורחה למצוקה כלכלית ולכן יש להניח כי לחובות שצבא הנאשם ולאיומים שבאו בעקבותיהם הייתה השפעה על ביצוע העבירות. יחד עם זאת, חובות כלכליים אינם יכולים להצדיק ביצוען של עבירות מהסוג דנן (וזוהי ההנמקה ה"כמעט" סטנדרטית בתיקים אלה) ומשכך, לא מצאתי ליתן משקל משמעותי לנסיבות אלה. </w:t>
      </w:r>
    </w:p>
    <w:p w14:paraId="2C560E4D" w14:textId="77777777" w:rsidR="00407D1E" w:rsidRDefault="00407D1E" w:rsidP="00407D1E">
      <w:pPr>
        <w:spacing w:before="240" w:after="240" w:line="330" w:lineRule="atLeast"/>
        <w:ind w:left="360"/>
        <w:jc w:val="both"/>
        <w:rPr>
          <w:rFonts w:ascii="David" w:hAnsi="David"/>
          <w:color w:val="000000"/>
          <w:rtl/>
        </w:rPr>
      </w:pPr>
      <w:r>
        <w:rPr>
          <w:rFonts w:ascii="David" w:hAnsi="David" w:hint="cs"/>
          <w:b/>
          <w:bCs/>
          <w:color w:val="000000"/>
          <w:rtl/>
        </w:rPr>
        <w:t xml:space="preserve">שיקום </w:t>
      </w:r>
      <w:r>
        <w:rPr>
          <w:rFonts w:ascii="David" w:hAnsi="David" w:hint="cs"/>
          <w:color w:val="000000"/>
          <w:rtl/>
        </w:rPr>
        <w:t xml:space="preserve">- בחנתי את האמור בתסקירי שירות המבחן ונתתי דעתי לטיעון הסנגור. אין חולק כי מדובר בנאשם שעבר הליך שיקומי, וכאמור יש ליתן לכך משקל, אך איננו סבור כי מדובר באותם הליכים שיקומיים אשר יש בהם כדי להצדיק סטייה ממתחם העונש ההולם. </w:t>
      </w:r>
    </w:p>
    <w:p w14:paraId="7C6F77A3" w14:textId="77777777" w:rsidR="00407D1E" w:rsidRDefault="00407D1E" w:rsidP="00407D1E">
      <w:pPr>
        <w:spacing w:before="240" w:after="240" w:line="330" w:lineRule="atLeast"/>
        <w:ind w:left="360"/>
        <w:jc w:val="both"/>
        <w:rPr>
          <w:rFonts w:ascii="David" w:hAnsi="David"/>
          <w:color w:val="000000"/>
          <w:rtl/>
        </w:rPr>
      </w:pPr>
      <w:r>
        <w:rPr>
          <w:rFonts w:ascii="David" w:hAnsi="David" w:hint="cs"/>
          <w:color w:val="000000"/>
          <w:rtl/>
        </w:rPr>
        <w:t>בהקשר זה ראיתי להפנות ל</w:t>
      </w:r>
      <w:hyperlink r:id="rId39" w:history="1">
        <w:r w:rsidR="00BF60CF" w:rsidRPr="00BF60CF">
          <w:rPr>
            <w:rFonts w:ascii="David" w:hAnsi="David"/>
            <w:color w:val="0000FF"/>
            <w:u w:val="single"/>
            <w:rtl/>
          </w:rPr>
          <w:t>ע"פ 126/22</w:t>
        </w:r>
      </w:hyperlink>
      <w:r>
        <w:rPr>
          <w:rFonts w:ascii="David" w:hAnsi="David" w:hint="cs"/>
          <w:color w:val="000000"/>
          <w:rtl/>
        </w:rPr>
        <w:t xml:space="preserve"> </w:t>
      </w:r>
      <w:r>
        <w:rPr>
          <w:rFonts w:ascii="David" w:hAnsi="David" w:hint="cs"/>
          <w:b/>
          <w:bCs/>
          <w:color w:val="000000"/>
          <w:rtl/>
        </w:rPr>
        <w:t>מדינת ישראל נ' פלוני</w:t>
      </w:r>
      <w:r>
        <w:rPr>
          <w:rFonts w:ascii="David" w:hAnsi="David" w:hint="cs"/>
          <w:color w:val="000000"/>
          <w:rtl/>
        </w:rPr>
        <w:t xml:space="preserve"> (27.4.2022) - שאף הוא ניתן בתיק שעניינו הקמת מעבדה לגידול 286 שתילים של סם מסוכן מסוג קנבוס במשקל של כ- 63 ק"ג, תוך נטילת חשמל שלא כדין - בבחינת כל המוסיף גורע:</w:t>
      </w:r>
    </w:p>
    <w:p w14:paraId="5B4D95FC" w14:textId="77777777" w:rsidR="00407D1E" w:rsidRPr="00D3042D" w:rsidRDefault="00407D1E" w:rsidP="00407D1E">
      <w:pPr>
        <w:spacing w:before="240" w:after="240" w:line="360" w:lineRule="auto"/>
        <w:ind w:left="357"/>
        <w:jc w:val="both"/>
        <w:rPr>
          <w:rFonts w:ascii="David" w:hAnsi="David"/>
          <w:color w:val="000000"/>
          <w:rtl/>
        </w:rPr>
      </w:pPr>
      <w:r>
        <w:rPr>
          <w:rFonts w:ascii="David" w:hAnsi="David" w:hint="cs"/>
          <w:color w:val="000000"/>
          <w:rtl/>
        </w:rPr>
        <w:t>"</w:t>
      </w:r>
      <w:r>
        <w:rPr>
          <w:rFonts w:ascii="David" w:hAnsi="David" w:hint="cs"/>
          <w:b/>
          <w:bCs/>
          <w:color w:val="000000"/>
          <w:rtl/>
        </w:rPr>
        <w:t>... כפי שעולה בבירור מהוראות החוק, לא בכל מקרה שבו תהליך טיפולי מתקדם בכיוון חיובי, יש להפעיל את הסמכות הקבועה בסעיף 40ד ל</w:t>
      </w:r>
      <w:hyperlink r:id="rId40" w:history="1">
        <w:r w:rsidR="00BF60CF" w:rsidRPr="00BF60CF">
          <w:rPr>
            <w:rFonts w:ascii="David" w:hAnsi="David"/>
            <w:b/>
            <w:bCs/>
            <w:color w:val="0000FF"/>
            <w:u w:val="single"/>
            <w:rtl/>
          </w:rPr>
          <w:t>חוק העונשין</w:t>
        </w:r>
      </w:hyperlink>
      <w:r>
        <w:rPr>
          <w:rFonts w:ascii="David" w:hAnsi="David" w:hint="cs"/>
          <w:b/>
          <w:bCs/>
          <w:color w:val="000000"/>
          <w:rtl/>
        </w:rPr>
        <w:t>. אחרת, נמצא כי החריג מרוקן מתוכן את הכלל, שלפיו יש לגזור את העונש בתוך מתחם הענישה בהלימה לחומרת המעשה ולמידת האשם של העושה... לא בכדי אפוא, נקבע כי יש לנקוט זהירות רבה בהפעלת סעיף 40ד ל</w:t>
      </w:r>
      <w:hyperlink r:id="rId41" w:history="1">
        <w:r w:rsidR="00BF60CF" w:rsidRPr="00BF60CF">
          <w:rPr>
            <w:rFonts w:ascii="David" w:hAnsi="David"/>
            <w:b/>
            <w:bCs/>
            <w:color w:val="0000FF"/>
            <w:u w:val="single"/>
            <w:rtl/>
          </w:rPr>
          <w:t>חוק העונשין</w:t>
        </w:r>
      </w:hyperlink>
      <w:r>
        <w:rPr>
          <w:rFonts w:ascii="David" w:hAnsi="David" w:hint="cs"/>
          <w:b/>
          <w:bCs/>
          <w:color w:val="000000"/>
          <w:rtl/>
        </w:rPr>
        <w:t xml:space="preserve">, וכי סטייה ממתחם הענישה תיעשה אך </w:t>
      </w:r>
      <w:r w:rsidRPr="00D3042D">
        <w:rPr>
          <w:rFonts w:ascii="David" w:hAnsi="David"/>
          <w:b/>
          <w:bCs/>
          <w:color w:val="000000"/>
          <w:rtl/>
        </w:rPr>
        <w:t>במקרים חריגים, בבחינת יוצא מן הכלל, כאשר סיכויי שיקום מובהקים מצדיקים זאת"</w:t>
      </w:r>
      <w:r w:rsidRPr="00D3042D">
        <w:rPr>
          <w:rFonts w:ascii="David" w:hAnsi="David"/>
          <w:color w:val="000000"/>
          <w:rtl/>
        </w:rPr>
        <w:t xml:space="preserve">. </w:t>
      </w:r>
    </w:p>
    <w:p w14:paraId="4A7FC26F" w14:textId="77777777" w:rsidR="00407D1E" w:rsidRPr="00D3042D" w:rsidRDefault="00407D1E" w:rsidP="00407D1E">
      <w:pPr>
        <w:pStyle w:val="a9"/>
        <w:numPr>
          <w:ilvl w:val="0"/>
          <w:numId w:val="1"/>
        </w:numPr>
        <w:spacing w:before="240" w:after="240" w:line="360" w:lineRule="auto"/>
        <w:ind w:left="357"/>
        <w:contextualSpacing w:val="0"/>
        <w:jc w:val="both"/>
        <w:rPr>
          <w:rFonts w:ascii="David" w:hAnsi="David" w:cs="David"/>
          <w:color w:val="000000"/>
          <w:sz w:val="24"/>
          <w:szCs w:val="24"/>
        </w:rPr>
      </w:pPr>
      <w:r w:rsidRPr="00D3042D">
        <w:rPr>
          <w:rFonts w:ascii="David" w:hAnsi="David" w:cs="David"/>
          <w:color w:val="000000"/>
          <w:sz w:val="24"/>
          <w:szCs w:val="24"/>
          <w:rtl/>
        </w:rPr>
        <w:t xml:space="preserve">צבר הנתונים האמורים מצדיק העמדת העונש המתאים לנאשם </w:t>
      </w:r>
      <w:r>
        <w:rPr>
          <w:rFonts w:ascii="David" w:hAnsi="David" w:cs="David" w:hint="cs"/>
          <w:color w:val="000000"/>
          <w:sz w:val="24"/>
          <w:szCs w:val="24"/>
          <w:rtl/>
        </w:rPr>
        <w:t>בתחתית</w:t>
      </w:r>
      <w:r>
        <w:rPr>
          <w:rFonts w:ascii="David" w:hAnsi="David" w:cs="David"/>
          <w:color w:val="000000"/>
          <w:sz w:val="24"/>
          <w:szCs w:val="24"/>
          <w:rtl/>
        </w:rPr>
        <w:t xml:space="preserve"> המתחם</w:t>
      </w:r>
      <w:r>
        <w:rPr>
          <w:rFonts w:ascii="David" w:hAnsi="David" w:cs="David" w:hint="cs"/>
          <w:color w:val="000000"/>
          <w:sz w:val="24"/>
          <w:szCs w:val="24"/>
          <w:rtl/>
        </w:rPr>
        <w:t xml:space="preserve"> שנקבע. </w:t>
      </w:r>
    </w:p>
    <w:p w14:paraId="2252E6A8" w14:textId="77777777" w:rsidR="00407D1E" w:rsidRPr="00D3042D" w:rsidRDefault="00407D1E" w:rsidP="00407D1E">
      <w:pPr>
        <w:spacing w:before="240" w:after="240" w:line="360" w:lineRule="auto"/>
        <w:ind w:left="357"/>
        <w:jc w:val="both"/>
        <w:rPr>
          <w:rFonts w:ascii="David" w:hAnsi="David"/>
          <w:color w:val="000000"/>
          <w:rtl/>
        </w:rPr>
      </w:pPr>
      <w:r w:rsidRPr="00D3042D">
        <w:rPr>
          <w:rFonts w:ascii="David" w:hAnsi="David"/>
          <w:color w:val="000000"/>
          <w:u w:val="single"/>
          <w:rtl/>
        </w:rPr>
        <w:t>סוף דבר</w:t>
      </w:r>
    </w:p>
    <w:p w14:paraId="616775B3" w14:textId="77777777" w:rsidR="00407D1E" w:rsidRPr="002E3A85" w:rsidRDefault="00407D1E" w:rsidP="00407D1E">
      <w:pPr>
        <w:pStyle w:val="a9"/>
        <w:numPr>
          <w:ilvl w:val="0"/>
          <w:numId w:val="1"/>
        </w:numPr>
        <w:spacing w:before="240" w:after="240" w:line="360" w:lineRule="auto"/>
        <w:ind w:left="357" w:hanging="357"/>
        <w:contextualSpacing w:val="0"/>
        <w:jc w:val="both"/>
        <w:rPr>
          <w:rFonts w:ascii="David" w:hAnsi="David" w:cs="David"/>
          <w:color w:val="000000"/>
          <w:sz w:val="24"/>
          <w:szCs w:val="24"/>
        </w:rPr>
      </w:pPr>
      <w:r w:rsidRPr="00D3042D">
        <w:rPr>
          <w:rFonts w:ascii="David" w:hAnsi="David" w:cs="David"/>
          <w:color w:val="000000"/>
          <w:sz w:val="24"/>
          <w:szCs w:val="24"/>
          <w:rtl/>
        </w:rPr>
        <w:t>על יסוד כלל השיקולים</w:t>
      </w:r>
      <w:r w:rsidRPr="002E3A85">
        <w:rPr>
          <w:rFonts w:ascii="David" w:hAnsi="David" w:cs="David"/>
          <w:color w:val="000000"/>
          <w:sz w:val="24"/>
          <w:szCs w:val="24"/>
          <w:rtl/>
        </w:rPr>
        <w:t xml:space="preserve"> שפורטו לעיל, ראיתי להטיל על הנאשם את העונשים הבאים:</w:t>
      </w:r>
    </w:p>
    <w:p w14:paraId="591B367B" w14:textId="77777777" w:rsidR="00407D1E" w:rsidRDefault="00407D1E" w:rsidP="00407D1E">
      <w:pPr>
        <w:pStyle w:val="a9"/>
        <w:numPr>
          <w:ilvl w:val="0"/>
          <w:numId w:val="3"/>
        </w:numPr>
        <w:spacing w:before="240" w:after="240" w:line="360" w:lineRule="auto"/>
        <w:ind w:hanging="357"/>
        <w:contextualSpacing w:val="0"/>
        <w:jc w:val="both"/>
        <w:rPr>
          <w:rFonts w:ascii="David" w:hAnsi="David" w:cs="David"/>
          <w:color w:val="000000"/>
          <w:sz w:val="24"/>
          <w:szCs w:val="24"/>
        </w:rPr>
      </w:pPr>
      <w:r>
        <w:rPr>
          <w:rFonts w:ascii="David" w:hAnsi="David" w:cs="David" w:hint="cs"/>
          <w:color w:val="000000"/>
          <w:sz w:val="24"/>
          <w:szCs w:val="24"/>
          <w:rtl/>
        </w:rPr>
        <w:t>30</w:t>
      </w:r>
      <w:r w:rsidRPr="002E3A85">
        <w:rPr>
          <w:rFonts w:ascii="David" w:hAnsi="David" w:cs="David"/>
          <w:color w:val="000000"/>
          <w:sz w:val="24"/>
          <w:szCs w:val="24"/>
          <w:rtl/>
        </w:rPr>
        <w:t xml:space="preserve"> חודשי מא</w:t>
      </w:r>
      <w:r>
        <w:rPr>
          <w:rFonts w:ascii="David" w:hAnsi="David" w:cs="David"/>
          <w:color w:val="000000"/>
          <w:sz w:val="24"/>
          <w:szCs w:val="24"/>
          <w:rtl/>
        </w:rPr>
        <w:t xml:space="preserve">סר לריצוי בפועל </w:t>
      </w:r>
      <w:r>
        <w:rPr>
          <w:rFonts w:ascii="David" w:hAnsi="David" w:cs="David" w:hint="cs"/>
          <w:color w:val="000000"/>
          <w:sz w:val="24"/>
          <w:szCs w:val="24"/>
          <w:rtl/>
        </w:rPr>
        <w:t xml:space="preserve">בניכוי ימי מעצרו (מיום 22.12.2020 עד יום 10.2.2021). </w:t>
      </w:r>
    </w:p>
    <w:p w14:paraId="04060074" w14:textId="77777777" w:rsidR="00407D1E" w:rsidRPr="00374BEC" w:rsidRDefault="00407D1E" w:rsidP="00407D1E">
      <w:pPr>
        <w:pStyle w:val="a9"/>
        <w:spacing w:before="240" w:after="240" w:line="360" w:lineRule="auto"/>
        <w:contextualSpacing w:val="0"/>
        <w:jc w:val="both"/>
        <w:rPr>
          <w:rFonts w:ascii="David" w:hAnsi="David" w:cs="David"/>
          <w:color w:val="000000"/>
          <w:sz w:val="24"/>
          <w:szCs w:val="24"/>
        </w:rPr>
      </w:pPr>
      <w:r w:rsidRPr="00374BEC">
        <w:rPr>
          <w:rFonts w:ascii="David" w:hAnsi="David" w:cs="David"/>
          <w:color w:val="000000"/>
          <w:sz w:val="24"/>
          <w:szCs w:val="24"/>
          <w:rtl/>
        </w:rPr>
        <w:t xml:space="preserve">הנאשם יתייצב ביום </w:t>
      </w:r>
      <w:r>
        <w:rPr>
          <w:rFonts w:ascii="David" w:hAnsi="David" w:cs="David" w:hint="cs"/>
          <w:color w:val="000000"/>
          <w:sz w:val="24"/>
          <w:szCs w:val="24"/>
          <w:rtl/>
        </w:rPr>
        <w:t>4.9.2022</w:t>
      </w:r>
      <w:r w:rsidRPr="00374BEC">
        <w:rPr>
          <w:rFonts w:ascii="David" w:hAnsi="David" w:cs="David"/>
          <w:color w:val="000000"/>
          <w:sz w:val="24"/>
          <w:szCs w:val="24"/>
          <w:rtl/>
        </w:rPr>
        <w:t xml:space="preserve"> בשעה 08:00 במתקן ניצן או במתקן אחר עליו יורה שב"ס בהליך המיון המוקדם, ככל שייערך כזה</w:t>
      </w:r>
      <w:r w:rsidRPr="00374BEC">
        <w:rPr>
          <w:rFonts w:ascii="David" w:hAnsi="David" w:cs="David"/>
          <w:color w:val="000000"/>
          <w:sz w:val="24"/>
          <w:szCs w:val="24"/>
        </w:rPr>
        <w:t>.</w:t>
      </w:r>
      <w:r w:rsidRPr="00374BEC">
        <w:rPr>
          <w:rFonts w:ascii="David" w:hAnsi="David" w:cs="David" w:hint="cs"/>
          <w:color w:val="000000"/>
          <w:sz w:val="24"/>
          <w:szCs w:val="24"/>
          <w:rtl/>
        </w:rPr>
        <w:t xml:space="preserve"> </w:t>
      </w:r>
    </w:p>
    <w:p w14:paraId="754C079A" w14:textId="77777777" w:rsidR="00407D1E" w:rsidRPr="002E3A85" w:rsidRDefault="00407D1E" w:rsidP="00407D1E">
      <w:pPr>
        <w:pStyle w:val="a9"/>
        <w:numPr>
          <w:ilvl w:val="0"/>
          <w:numId w:val="3"/>
        </w:numPr>
        <w:spacing w:before="240" w:after="240" w:line="360" w:lineRule="auto"/>
        <w:ind w:hanging="357"/>
        <w:contextualSpacing w:val="0"/>
        <w:jc w:val="both"/>
        <w:rPr>
          <w:rFonts w:ascii="David" w:hAnsi="David" w:cs="David"/>
          <w:color w:val="000000"/>
          <w:sz w:val="24"/>
          <w:szCs w:val="24"/>
        </w:rPr>
      </w:pPr>
      <w:r w:rsidRPr="002E3A85">
        <w:rPr>
          <w:rFonts w:ascii="David" w:hAnsi="David" w:cs="David"/>
          <w:color w:val="000000"/>
          <w:sz w:val="24"/>
          <w:szCs w:val="24"/>
          <w:rtl/>
        </w:rPr>
        <w:t>6 חודשי מאסר, אולם הנאשם לא יישא עונש זה אלא עם יעבור תוך שלוש שנים מיום שחרורו עבירה על פקודת הסמים מסוג פשע.</w:t>
      </w:r>
    </w:p>
    <w:p w14:paraId="00CC9842" w14:textId="77777777" w:rsidR="00407D1E" w:rsidRPr="002E3A85" w:rsidRDefault="00407D1E" w:rsidP="00407D1E">
      <w:pPr>
        <w:pStyle w:val="a9"/>
        <w:numPr>
          <w:ilvl w:val="0"/>
          <w:numId w:val="3"/>
        </w:numPr>
        <w:spacing w:before="240" w:after="240" w:line="360" w:lineRule="auto"/>
        <w:ind w:hanging="357"/>
        <w:contextualSpacing w:val="0"/>
        <w:jc w:val="both"/>
        <w:rPr>
          <w:rFonts w:ascii="David" w:hAnsi="David" w:cs="David"/>
          <w:color w:val="000000"/>
          <w:sz w:val="24"/>
          <w:szCs w:val="24"/>
        </w:rPr>
      </w:pPr>
      <w:r w:rsidRPr="002E3A85">
        <w:rPr>
          <w:rFonts w:ascii="David" w:hAnsi="David" w:cs="David"/>
          <w:color w:val="000000"/>
          <w:sz w:val="24"/>
          <w:szCs w:val="24"/>
          <w:rtl/>
        </w:rPr>
        <w:t xml:space="preserve">חודש (1) מאסר, אולם הנאשם לא יישא עונש זה אלא אם יעבור תוך שלוש שנים מיום שחרורו עבירה על פקודת הסמים מסוג עוון. </w:t>
      </w:r>
    </w:p>
    <w:p w14:paraId="43F9D273" w14:textId="77777777" w:rsidR="00407D1E" w:rsidRPr="002E3A85" w:rsidRDefault="00407D1E" w:rsidP="00407D1E">
      <w:pPr>
        <w:pStyle w:val="a9"/>
        <w:numPr>
          <w:ilvl w:val="0"/>
          <w:numId w:val="3"/>
        </w:numPr>
        <w:spacing w:before="240" w:after="240" w:line="360" w:lineRule="auto"/>
        <w:ind w:hanging="357"/>
        <w:contextualSpacing w:val="0"/>
        <w:jc w:val="both"/>
        <w:rPr>
          <w:rFonts w:ascii="David" w:hAnsi="David" w:cs="David"/>
          <w:color w:val="000000"/>
          <w:sz w:val="24"/>
          <w:szCs w:val="24"/>
          <w:rtl/>
        </w:rPr>
      </w:pPr>
      <w:r w:rsidRPr="002E3A85">
        <w:rPr>
          <w:rFonts w:ascii="David" w:hAnsi="David" w:cs="David"/>
          <w:color w:val="000000"/>
          <w:sz w:val="24"/>
          <w:szCs w:val="24"/>
          <w:rtl/>
        </w:rPr>
        <w:t>קנס</w:t>
      </w:r>
      <w:r>
        <w:rPr>
          <w:rFonts w:ascii="David" w:hAnsi="David" w:cs="David" w:hint="cs"/>
          <w:color w:val="000000"/>
          <w:sz w:val="24"/>
          <w:szCs w:val="24"/>
          <w:rtl/>
        </w:rPr>
        <w:t xml:space="preserve"> בסך 5,000</w:t>
      </w:r>
      <w:r w:rsidRPr="002E3A85">
        <w:rPr>
          <w:rFonts w:ascii="David" w:hAnsi="David" w:cs="David"/>
          <w:color w:val="000000"/>
          <w:sz w:val="24"/>
          <w:szCs w:val="24"/>
          <w:rtl/>
        </w:rPr>
        <w:t xml:space="preserve"> ₪ אשר ישולם ב- </w:t>
      </w:r>
      <w:r>
        <w:rPr>
          <w:rFonts w:ascii="David" w:hAnsi="David" w:cs="David" w:hint="cs"/>
          <w:color w:val="000000"/>
          <w:sz w:val="24"/>
          <w:szCs w:val="24"/>
          <w:rtl/>
        </w:rPr>
        <w:t>10</w:t>
      </w:r>
      <w:r w:rsidRPr="002E3A85">
        <w:rPr>
          <w:rFonts w:ascii="David" w:hAnsi="David" w:cs="David"/>
          <w:color w:val="000000"/>
          <w:sz w:val="24"/>
          <w:szCs w:val="24"/>
          <w:rtl/>
        </w:rPr>
        <w:t xml:space="preserve"> תשלומים חודשיים שווים החל מיום </w:t>
      </w:r>
      <w:r>
        <w:rPr>
          <w:rFonts w:ascii="David" w:hAnsi="David" w:cs="David" w:hint="cs"/>
          <w:color w:val="000000"/>
          <w:sz w:val="24"/>
          <w:szCs w:val="24"/>
          <w:rtl/>
        </w:rPr>
        <w:t>11.9.2022</w:t>
      </w:r>
      <w:r w:rsidRPr="002E3A85">
        <w:rPr>
          <w:rFonts w:ascii="David" w:hAnsi="David" w:cs="David"/>
          <w:color w:val="000000"/>
          <w:sz w:val="24"/>
          <w:szCs w:val="24"/>
          <w:rtl/>
        </w:rPr>
        <w:t xml:space="preserve"> ועד לסיום התשלומים או </w:t>
      </w:r>
      <w:r>
        <w:rPr>
          <w:rFonts w:ascii="David" w:hAnsi="David" w:cs="David" w:hint="cs"/>
          <w:color w:val="000000"/>
          <w:sz w:val="24"/>
          <w:szCs w:val="24"/>
          <w:rtl/>
        </w:rPr>
        <w:t>50</w:t>
      </w:r>
      <w:r w:rsidRPr="002E3A85">
        <w:rPr>
          <w:rFonts w:ascii="David" w:hAnsi="David" w:cs="David"/>
          <w:color w:val="000000"/>
          <w:sz w:val="24"/>
          <w:szCs w:val="24"/>
          <w:rtl/>
        </w:rPr>
        <w:t xml:space="preserve"> ימי מאסר תמורתו.</w:t>
      </w:r>
      <w:r w:rsidR="00BF60CF">
        <w:rPr>
          <w:rFonts w:ascii="David" w:hAnsi="David" w:cs="David"/>
          <w:color w:val="000000"/>
          <w:sz w:val="24"/>
          <w:szCs w:val="24"/>
          <w:rtl/>
        </w:rPr>
        <w:t xml:space="preserve"> </w:t>
      </w:r>
      <w:r w:rsidRPr="002E3A85">
        <w:rPr>
          <w:rFonts w:ascii="David" w:hAnsi="David" w:cs="David"/>
          <w:color w:val="000000"/>
          <w:sz w:val="24"/>
          <w:szCs w:val="24"/>
          <w:rtl/>
        </w:rPr>
        <w:t>בקביעת הקנס נתתי משקל לחובותיו של הנאשם</w:t>
      </w:r>
      <w:r>
        <w:rPr>
          <w:rFonts w:ascii="David" w:hAnsi="David" w:cs="David" w:hint="cs"/>
          <w:color w:val="000000"/>
          <w:sz w:val="24"/>
          <w:szCs w:val="24"/>
          <w:rtl/>
        </w:rPr>
        <w:t xml:space="preserve"> ולמצבו הכלכלי הדחוק. </w:t>
      </w:r>
    </w:p>
    <w:p w14:paraId="620B61A4" w14:textId="77777777" w:rsidR="00407D1E" w:rsidRPr="002E3A85" w:rsidRDefault="00407D1E" w:rsidP="00407D1E">
      <w:pPr>
        <w:spacing w:before="240" w:after="240"/>
        <w:ind w:firstLine="360"/>
        <w:jc w:val="both"/>
        <w:rPr>
          <w:rFonts w:cs="Times New Roman"/>
          <w:color w:val="000000"/>
          <w:rtl/>
        </w:rPr>
      </w:pPr>
      <w:r w:rsidRPr="002E3A85">
        <w:rPr>
          <w:rFonts w:ascii="David" w:hAnsi="David"/>
          <w:color w:val="000000"/>
          <w:rtl/>
        </w:rPr>
        <w:t>ניתן צו כללי למוצגים לשיקול דעת קצין משטרה ו</w:t>
      </w:r>
      <w:r w:rsidRPr="002E3A85">
        <w:rPr>
          <w:rFonts w:ascii="David" w:hAnsi="David"/>
          <w:color w:val="000000"/>
        </w:rPr>
        <w:t>/</w:t>
      </w:r>
      <w:r w:rsidRPr="002E3A85">
        <w:rPr>
          <w:rFonts w:ascii="David" w:hAnsi="David"/>
          <w:color w:val="000000"/>
          <w:rtl/>
        </w:rPr>
        <w:t>או התביעה.</w:t>
      </w:r>
    </w:p>
    <w:p w14:paraId="69ADAA0A" w14:textId="77777777" w:rsidR="00407D1E" w:rsidRPr="002E3A85" w:rsidRDefault="00407D1E" w:rsidP="00407D1E">
      <w:pPr>
        <w:spacing w:before="240" w:after="240"/>
        <w:ind w:firstLine="360"/>
        <w:jc w:val="both"/>
        <w:rPr>
          <w:rFonts w:cs="Times New Roman"/>
          <w:color w:val="000000"/>
          <w:rtl/>
        </w:rPr>
      </w:pPr>
      <w:r w:rsidRPr="002E3A85">
        <w:rPr>
          <w:rFonts w:ascii="David" w:hAnsi="David"/>
          <w:color w:val="000000"/>
          <w:rtl/>
        </w:rPr>
        <w:t>הציוד שנתפס במעבדה יחולט או יושמד. הסמים יושמדו.</w:t>
      </w:r>
    </w:p>
    <w:p w14:paraId="46613D31" w14:textId="77777777" w:rsidR="00407D1E" w:rsidRDefault="00407D1E" w:rsidP="00407D1E">
      <w:pPr>
        <w:rPr>
          <w:rtl/>
        </w:rPr>
      </w:pPr>
      <w:r w:rsidRPr="002E3A85">
        <w:rPr>
          <w:rFonts w:ascii="David" w:hAnsi="David"/>
          <w:color w:val="000000"/>
          <w:rtl/>
        </w:rPr>
        <w:t>זכות ערעור כחוק.</w:t>
      </w:r>
      <w:r>
        <w:rPr>
          <w:b/>
          <w:bCs/>
          <w:rtl/>
        </w:rPr>
        <w:br/>
      </w:r>
      <w:bookmarkStart w:id="8" w:name="Nitan"/>
      <w:r w:rsidR="00BF60CF">
        <w:rPr>
          <w:b/>
          <w:bCs/>
          <w:rtl/>
        </w:rPr>
        <w:t xml:space="preserve">ניתן והודע היום י"א תמוז תשפ"ב, 10/07/2022 במעמד הנוכחים. </w:t>
      </w:r>
      <w:bookmarkEnd w:id="8"/>
    </w:p>
    <w:p w14:paraId="1B75486F" w14:textId="77777777" w:rsidR="00407D1E" w:rsidRPr="00BF60CF" w:rsidRDefault="00BF60CF" w:rsidP="00407D1E">
      <w:pPr>
        <w:rPr>
          <w:color w:val="FFFFFF"/>
          <w:sz w:val="2"/>
          <w:szCs w:val="2"/>
          <w:rtl/>
        </w:rPr>
      </w:pPr>
      <w:r w:rsidRPr="00BF60C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07D1E" w14:paraId="30694836" w14:textId="77777777" w:rsidTr="00407D1E">
        <w:trPr>
          <w:trHeight w:val="316"/>
          <w:jc w:val="right"/>
        </w:trPr>
        <w:tc>
          <w:tcPr>
            <w:tcW w:w="3936" w:type="dxa"/>
            <w:tcBorders>
              <w:top w:val="nil"/>
              <w:left w:val="nil"/>
              <w:bottom w:val="single" w:sz="4" w:space="0" w:color="auto"/>
              <w:right w:val="nil"/>
            </w:tcBorders>
            <w:shd w:val="clear" w:color="auto" w:fill="auto"/>
            <w:vAlign w:val="bottom"/>
          </w:tcPr>
          <w:p w14:paraId="7D6896AC" w14:textId="77777777" w:rsidR="00407D1E" w:rsidRPr="00BF60CF" w:rsidRDefault="00BF60CF" w:rsidP="00407D1E">
            <w:pPr>
              <w:jc w:val="center"/>
              <w:rPr>
                <w:color w:val="FFFFFF"/>
                <w:sz w:val="2"/>
                <w:szCs w:val="2"/>
                <w:rtl/>
              </w:rPr>
            </w:pPr>
            <w:r w:rsidRPr="00BF60CF">
              <w:rPr>
                <w:color w:val="FFFFFF"/>
                <w:sz w:val="2"/>
                <w:szCs w:val="2"/>
                <w:rtl/>
              </w:rPr>
              <w:t>54678313</w:t>
            </w:r>
          </w:p>
        </w:tc>
      </w:tr>
      <w:tr w:rsidR="00407D1E" w14:paraId="5A84A059" w14:textId="77777777" w:rsidTr="00407D1E">
        <w:trPr>
          <w:trHeight w:val="361"/>
          <w:jc w:val="right"/>
        </w:trPr>
        <w:tc>
          <w:tcPr>
            <w:tcW w:w="3936" w:type="dxa"/>
            <w:tcBorders>
              <w:top w:val="single" w:sz="4" w:space="0" w:color="auto"/>
              <w:left w:val="nil"/>
              <w:bottom w:val="nil"/>
              <w:right w:val="nil"/>
            </w:tcBorders>
            <w:shd w:val="clear" w:color="auto" w:fill="auto"/>
          </w:tcPr>
          <w:p w14:paraId="5203FFAE" w14:textId="77777777" w:rsidR="00407D1E" w:rsidRPr="00407D1E" w:rsidRDefault="00407D1E" w:rsidP="00407D1E">
            <w:pPr>
              <w:jc w:val="center"/>
              <w:rPr>
                <w:b/>
                <w:bCs/>
                <w:rtl/>
              </w:rPr>
            </w:pPr>
            <w:r w:rsidRPr="00407D1E">
              <w:rPr>
                <w:rFonts w:hint="cs"/>
                <w:b/>
                <w:bCs/>
                <w:rtl/>
              </w:rPr>
              <w:t>בני שגיא, שופט</w:t>
            </w:r>
          </w:p>
          <w:p w14:paraId="7E749BA9" w14:textId="77777777" w:rsidR="00407D1E" w:rsidRPr="00407D1E" w:rsidRDefault="00407D1E" w:rsidP="00407D1E">
            <w:pPr>
              <w:jc w:val="center"/>
              <w:rPr>
                <w:b/>
                <w:bCs/>
                <w:rtl/>
              </w:rPr>
            </w:pPr>
            <w:r w:rsidRPr="00407D1E">
              <w:rPr>
                <w:rFonts w:hint="cs"/>
                <w:b/>
                <w:bCs/>
                <w:rtl/>
              </w:rPr>
              <w:t>סגן נשיא</w:t>
            </w:r>
          </w:p>
        </w:tc>
      </w:tr>
    </w:tbl>
    <w:p w14:paraId="2D085D36" w14:textId="77777777" w:rsidR="00407D1E" w:rsidRPr="006E0F37" w:rsidRDefault="006E0F37" w:rsidP="00407D1E">
      <w:pPr>
        <w:rPr>
          <w:color w:val="FFFFFF"/>
          <w:sz w:val="2"/>
          <w:szCs w:val="2"/>
          <w:rtl/>
        </w:rPr>
      </w:pPr>
      <w:r w:rsidRPr="006E0F37">
        <w:rPr>
          <w:color w:val="FFFFFF"/>
          <w:sz w:val="2"/>
          <w:szCs w:val="2"/>
          <w:rtl/>
        </w:rPr>
        <w:t>5129371</w:t>
      </w:r>
    </w:p>
    <w:p w14:paraId="34ECA328" w14:textId="77777777" w:rsidR="00FB4F83" w:rsidRPr="006E0F37" w:rsidRDefault="006E0F37" w:rsidP="00BF60CF">
      <w:pPr>
        <w:keepNext/>
        <w:rPr>
          <w:rFonts w:ascii="David" w:hAnsi="David"/>
          <w:color w:val="FFFFFF"/>
          <w:sz w:val="2"/>
          <w:szCs w:val="2"/>
          <w:rtl/>
        </w:rPr>
      </w:pPr>
      <w:r w:rsidRPr="006E0F37">
        <w:rPr>
          <w:rFonts w:ascii="David" w:hAnsi="David"/>
          <w:color w:val="FFFFFF"/>
          <w:sz w:val="2"/>
          <w:szCs w:val="2"/>
          <w:rtl/>
        </w:rPr>
        <w:t>54678313</w:t>
      </w:r>
    </w:p>
    <w:p w14:paraId="753BF465" w14:textId="77777777" w:rsidR="00BF60CF" w:rsidRDefault="00BF60CF" w:rsidP="00BF60CF">
      <w:pPr>
        <w:rPr>
          <w:rFonts w:hint="cs"/>
        </w:rPr>
      </w:pPr>
    </w:p>
    <w:p w14:paraId="181BAFBE" w14:textId="77777777" w:rsidR="00BF60CF" w:rsidRDefault="00BF60CF" w:rsidP="00BF60CF">
      <w:pPr>
        <w:rPr>
          <w:rtl/>
        </w:rPr>
      </w:pPr>
    </w:p>
    <w:p w14:paraId="7931D8F9" w14:textId="77777777" w:rsidR="00BF60CF" w:rsidRDefault="00BF60CF" w:rsidP="00BF60C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85DB734" w14:textId="77777777" w:rsidR="006E0F37" w:rsidRPr="006E0F37" w:rsidRDefault="006E0F37" w:rsidP="006E0F37">
      <w:pPr>
        <w:keepNext/>
        <w:rPr>
          <w:rFonts w:ascii="David" w:hAnsi="David"/>
          <w:color w:val="000000"/>
          <w:sz w:val="22"/>
          <w:szCs w:val="22"/>
          <w:rtl/>
        </w:rPr>
      </w:pPr>
    </w:p>
    <w:p w14:paraId="0E4A0B5A" w14:textId="77777777" w:rsidR="006E0F37" w:rsidRPr="006E0F37" w:rsidRDefault="006E0F37" w:rsidP="006E0F37">
      <w:pPr>
        <w:keepNext/>
        <w:rPr>
          <w:rFonts w:ascii="David" w:hAnsi="David"/>
          <w:color w:val="000000"/>
          <w:sz w:val="22"/>
          <w:szCs w:val="22"/>
          <w:rtl/>
        </w:rPr>
      </w:pPr>
      <w:r w:rsidRPr="006E0F37">
        <w:rPr>
          <w:rFonts w:ascii="David" w:hAnsi="David"/>
          <w:color w:val="000000"/>
          <w:sz w:val="22"/>
          <w:szCs w:val="22"/>
          <w:rtl/>
        </w:rPr>
        <w:t>בני שגיא 54678313-/</w:t>
      </w:r>
    </w:p>
    <w:p w14:paraId="49A23DC8" w14:textId="77777777" w:rsidR="00BF60CF" w:rsidRPr="00BF60CF" w:rsidRDefault="006E0F37" w:rsidP="006E0F37">
      <w:pPr>
        <w:rPr>
          <w:color w:val="0000FF"/>
          <w:u w:val="single"/>
        </w:rPr>
      </w:pPr>
      <w:r w:rsidRPr="006E0F37">
        <w:rPr>
          <w:color w:val="000000"/>
          <w:u w:val="single"/>
          <w:rtl/>
        </w:rPr>
        <w:t>נוסח מסמך זה כפוף לשינויי ניסוח ועריכה</w:t>
      </w:r>
    </w:p>
    <w:sectPr w:rsidR="00BF60CF" w:rsidRPr="00BF60CF" w:rsidSect="006E0F37">
      <w:headerReference w:type="even" r:id="rId43"/>
      <w:headerReference w:type="default" r:id="rId44"/>
      <w:footerReference w:type="even" r:id="rId45"/>
      <w:footerReference w:type="default" r:id="rId4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10B6C" w14:textId="77777777" w:rsidR="00CB2657" w:rsidRDefault="00CB2657" w:rsidP="00D51111">
      <w:r>
        <w:separator/>
      </w:r>
    </w:p>
  </w:endnote>
  <w:endnote w:type="continuationSeparator" w:id="0">
    <w:p w14:paraId="67D3C13E" w14:textId="77777777" w:rsidR="00CB2657" w:rsidRDefault="00CB2657" w:rsidP="00D5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337BB" w14:textId="77777777" w:rsidR="006E0F37" w:rsidRDefault="006E0F37" w:rsidP="006E0F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6E0927" w14:textId="77777777" w:rsidR="007B583C" w:rsidRPr="006E0F37" w:rsidRDefault="006E0F37" w:rsidP="006E0F37">
    <w:pPr>
      <w:pStyle w:val="a5"/>
      <w:pBdr>
        <w:top w:val="single" w:sz="4" w:space="1" w:color="auto"/>
        <w:between w:val="single" w:sz="4" w:space="0" w:color="auto"/>
      </w:pBdr>
      <w:spacing w:after="60"/>
      <w:jc w:val="center"/>
      <w:rPr>
        <w:rFonts w:ascii="FrankRuehl" w:hAnsi="FrankRuehl" w:cs="FrankRuehl"/>
        <w:color w:val="000000"/>
      </w:rPr>
    </w:pPr>
    <w:r w:rsidRPr="006E0F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B4A65" w14:textId="77777777" w:rsidR="006E0F37" w:rsidRDefault="006E0F37" w:rsidP="006E0F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74AE">
      <w:rPr>
        <w:rFonts w:ascii="FrankRuehl" w:hAnsi="FrankRuehl" w:cs="FrankRuehl"/>
        <w:noProof/>
        <w:rtl/>
      </w:rPr>
      <w:t>1</w:t>
    </w:r>
    <w:r>
      <w:rPr>
        <w:rFonts w:ascii="FrankRuehl" w:hAnsi="FrankRuehl" w:cs="FrankRuehl"/>
        <w:rtl/>
      </w:rPr>
      <w:fldChar w:fldCharType="end"/>
    </w:r>
  </w:p>
  <w:p w14:paraId="3E81F2C3" w14:textId="77777777" w:rsidR="007B583C" w:rsidRPr="006E0F37" w:rsidRDefault="006E0F37" w:rsidP="006E0F37">
    <w:pPr>
      <w:pStyle w:val="a5"/>
      <w:pBdr>
        <w:top w:val="single" w:sz="4" w:space="1" w:color="auto"/>
        <w:between w:val="single" w:sz="4" w:space="0" w:color="auto"/>
      </w:pBdr>
      <w:spacing w:after="60"/>
      <w:jc w:val="center"/>
      <w:rPr>
        <w:rFonts w:ascii="FrankRuehl" w:hAnsi="FrankRuehl" w:cs="FrankRuehl"/>
        <w:color w:val="000000"/>
      </w:rPr>
    </w:pPr>
    <w:r w:rsidRPr="006E0F37">
      <w:rPr>
        <w:rFonts w:ascii="FrankRuehl" w:hAnsi="FrankRuehl" w:cs="FrankRuehl"/>
        <w:color w:val="000000"/>
      </w:rPr>
      <w:pict w14:anchorId="376BD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5BB19" w14:textId="77777777" w:rsidR="00CB2657" w:rsidRDefault="00CB2657" w:rsidP="00D51111">
      <w:r>
        <w:separator/>
      </w:r>
    </w:p>
  </w:footnote>
  <w:footnote w:type="continuationSeparator" w:id="0">
    <w:p w14:paraId="26BB92A7" w14:textId="77777777" w:rsidR="00CB2657" w:rsidRDefault="00CB2657" w:rsidP="00D51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3725" w14:textId="77777777" w:rsidR="00BF60CF" w:rsidRPr="006E0F37" w:rsidRDefault="006E0F37" w:rsidP="006E0F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73906-12-20</w:t>
    </w:r>
    <w:r>
      <w:rPr>
        <w:rFonts w:ascii="David" w:hAnsi="David"/>
        <w:color w:val="000000"/>
        <w:sz w:val="22"/>
        <w:szCs w:val="22"/>
        <w:rtl/>
      </w:rPr>
      <w:tab/>
      <w:t xml:space="preserve"> מדינת ישראל נ' מיכאל קניובסקי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2680E" w14:textId="77777777" w:rsidR="00BF60CF" w:rsidRPr="006E0F37" w:rsidRDefault="006E0F37" w:rsidP="006E0F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73906-12-20</w:t>
    </w:r>
    <w:r>
      <w:rPr>
        <w:rFonts w:ascii="David" w:hAnsi="David"/>
        <w:color w:val="000000"/>
        <w:sz w:val="22"/>
        <w:szCs w:val="22"/>
        <w:rtl/>
      </w:rPr>
      <w:tab/>
      <w:t xml:space="preserve"> מדינת ישראל נ' מיכאל קניובסקי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32036"/>
    <w:multiLevelType w:val="hybridMultilevel"/>
    <w:tmpl w:val="E72AD27C"/>
    <w:lvl w:ilvl="0" w:tplc="9CB0A03E">
      <w:start w:val="1"/>
      <w:numFmt w:val="hebrew1"/>
      <w:lvlText w:val="%1."/>
      <w:lvlJc w:val="left"/>
      <w:pPr>
        <w:ind w:left="360" w:hanging="360"/>
      </w:pPr>
      <w:rPr>
        <w:rFonts w:ascii="David" w:hAnsi="David" w:cs="David"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8030A6"/>
    <w:multiLevelType w:val="hybridMultilevel"/>
    <w:tmpl w:val="11CC08D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82721"/>
    <w:multiLevelType w:val="hybridMultilevel"/>
    <w:tmpl w:val="5142B704"/>
    <w:lvl w:ilvl="0" w:tplc="9578996C">
      <w:start w:val="1"/>
      <w:numFmt w:val="decimal"/>
      <w:lvlText w:val="%1."/>
      <w:lvlJc w:val="left"/>
      <w:pPr>
        <w:ind w:left="360" w:hanging="360"/>
      </w:pPr>
      <w:rPr>
        <w:rFonts w:ascii="Arial" w:eastAsia="Times New Roman" w:hAnsi="Arial" w:cs="David"/>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12665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0768681">
    <w:abstractNumId w:val="0"/>
  </w:num>
  <w:num w:numId="3" w16cid:durableId="47691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7D1E"/>
    <w:rsid w:val="001B5A3B"/>
    <w:rsid w:val="001C12C1"/>
    <w:rsid w:val="00407D1E"/>
    <w:rsid w:val="00650929"/>
    <w:rsid w:val="006E0F37"/>
    <w:rsid w:val="007B583C"/>
    <w:rsid w:val="00B161A2"/>
    <w:rsid w:val="00B9740F"/>
    <w:rsid w:val="00BF60CF"/>
    <w:rsid w:val="00C85252"/>
    <w:rsid w:val="00CB2657"/>
    <w:rsid w:val="00D51111"/>
    <w:rsid w:val="00DF5E15"/>
    <w:rsid w:val="00E874AE"/>
    <w:rsid w:val="00FB4F83"/>
    <w:rsid w:val="00FE18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EE4105"/>
  <w15:chartTrackingRefBased/>
  <w15:docId w15:val="{C8E39BA5-E643-4791-828A-256BC5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7D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7D1E"/>
    <w:pPr>
      <w:tabs>
        <w:tab w:val="center" w:pos="4153"/>
        <w:tab w:val="right" w:pos="8306"/>
      </w:tabs>
    </w:pPr>
  </w:style>
  <w:style w:type="character" w:customStyle="1" w:styleId="a4">
    <w:name w:val="כותרת עליונה תו"/>
    <w:link w:val="a3"/>
    <w:rsid w:val="00407D1E"/>
    <w:rPr>
      <w:rFonts w:ascii="Times New Roman" w:eastAsia="Times New Roman" w:hAnsi="Times New Roman" w:cs="David"/>
      <w:sz w:val="24"/>
      <w:szCs w:val="24"/>
    </w:rPr>
  </w:style>
  <w:style w:type="paragraph" w:styleId="a5">
    <w:name w:val="footer"/>
    <w:basedOn w:val="a"/>
    <w:link w:val="a6"/>
    <w:rsid w:val="00407D1E"/>
    <w:pPr>
      <w:tabs>
        <w:tab w:val="center" w:pos="4153"/>
        <w:tab w:val="right" w:pos="8306"/>
      </w:tabs>
    </w:pPr>
  </w:style>
  <w:style w:type="character" w:customStyle="1" w:styleId="a6">
    <w:name w:val="כותרת תחתונה תו"/>
    <w:link w:val="a5"/>
    <w:rsid w:val="00407D1E"/>
    <w:rPr>
      <w:rFonts w:ascii="Times New Roman" w:eastAsia="Times New Roman" w:hAnsi="Times New Roman" w:cs="David"/>
      <w:sz w:val="24"/>
      <w:szCs w:val="24"/>
    </w:rPr>
  </w:style>
  <w:style w:type="table" w:styleId="a7">
    <w:name w:val="Table Grid"/>
    <w:basedOn w:val="a1"/>
    <w:rsid w:val="00407D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7D1E"/>
  </w:style>
  <w:style w:type="paragraph" w:styleId="a9">
    <w:name w:val="List Paragraph"/>
    <w:basedOn w:val="a"/>
    <w:qFormat/>
    <w:rsid w:val="00407D1E"/>
    <w:pPr>
      <w:spacing w:after="160" w:line="252"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407D1E"/>
    <w:rPr>
      <w:b/>
      <w:bCs/>
      <w:u w:val="single"/>
    </w:rPr>
  </w:style>
  <w:style w:type="character" w:styleId="Hyperlink">
    <w:name w:val="Hyperlink"/>
    <w:rsid w:val="00BF6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8226828" TargetMode="External"/><Relationship Id="rId21" Type="http://schemas.openxmlformats.org/officeDocument/2006/relationships/hyperlink" Target="http://www.nevo.co.il/law/70301/400" TargetMode="External"/><Relationship Id="rId34" Type="http://schemas.openxmlformats.org/officeDocument/2006/relationships/hyperlink" Target="http://www.nevo.co.il/case/2733540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69914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2841413" TargetMode="External"/><Relationship Id="rId37" Type="http://schemas.openxmlformats.org/officeDocument/2006/relationships/hyperlink" Target="http://www.nevo.co.il/case/25469088"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7011466" TargetMode="External"/><Relationship Id="rId36" Type="http://schemas.openxmlformats.org/officeDocument/2006/relationships/hyperlink" Target="http://www.nevo.co.il/case/2546471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360284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law/4216/6"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6259916" TargetMode="External"/><Relationship Id="rId35" Type="http://schemas.openxmlformats.org/officeDocument/2006/relationships/hyperlink" Target="http://www.nevo.co.il/case/2608459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0" TargetMode="External"/><Relationship Id="rId33" Type="http://schemas.openxmlformats.org/officeDocument/2006/relationships/hyperlink" Target="http://www.nevo.co.il/case/21644133" TargetMode="External"/><Relationship Id="rId38" Type="http://schemas.openxmlformats.org/officeDocument/2006/relationships/hyperlink" Target="http://www.nevo.co.il/case/18159953"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3790</Words>
  <Characters>18954</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22699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3407990</vt:i4>
      </vt:variant>
      <vt:variant>
        <vt:i4>96</vt:i4>
      </vt:variant>
      <vt:variant>
        <vt:i4>0</vt:i4>
      </vt:variant>
      <vt:variant>
        <vt:i4>5</vt:i4>
      </vt:variant>
      <vt:variant>
        <vt:lpwstr>http://www.nevo.co.il/case/28226828</vt:lpwstr>
      </vt:variant>
      <vt:variant>
        <vt:lpwstr/>
      </vt:variant>
      <vt:variant>
        <vt:i4>3932272</vt:i4>
      </vt:variant>
      <vt:variant>
        <vt:i4>93</vt:i4>
      </vt:variant>
      <vt:variant>
        <vt:i4>0</vt:i4>
      </vt:variant>
      <vt:variant>
        <vt:i4>5</vt:i4>
      </vt:variant>
      <vt:variant>
        <vt:lpwstr>http://www.nevo.co.il/case/18159953</vt:lpwstr>
      </vt:variant>
      <vt:variant>
        <vt:lpwstr/>
      </vt:variant>
      <vt:variant>
        <vt:i4>3604599</vt:i4>
      </vt:variant>
      <vt:variant>
        <vt:i4>90</vt:i4>
      </vt:variant>
      <vt:variant>
        <vt:i4>0</vt:i4>
      </vt:variant>
      <vt:variant>
        <vt:i4>5</vt:i4>
      </vt:variant>
      <vt:variant>
        <vt:lpwstr>http://www.nevo.co.il/case/25469088</vt:lpwstr>
      </vt:variant>
      <vt:variant>
        <vt:lpwstr/>
      </vt:variant>
      <vt:variant>
        <vt:i4>3342448</vt:i4>
      </vt:variant>
      <vt:variant>
        <vt:i4>87</vt:i4>
      </vt:variant>
      <vt:variant>
        <vt:i4>0</vt:i4>
      </vt:variant>
      <vt:variant>
        <vt:i4>5</vt:i4>
      </vt:variant>
      <vt:variant>
        <vt:lpwstr>http://www.nevo.co.il/case/25464716</vt:lpwstr>
      </vt:variant>
      <vt:variant>
        <vt:lpwstr/>
      </vt:variant>
      <vt:variant>
        <vt:i4>4128895</vt:i4>
      </vt:variant>
      <vt:variant>
        <vt:i4>84</vt:i4>
      </vt:variant>
      <vt:variant>
        <vt:i4>0</vt:i4>
      </vt:variant>
      <vt:variant>
        <vt:i4>5</vt:i4>
      </vt:variant>
      <vt:variant>
        <vt:lpwstr>http://www.nevo.co.il/case/26084597</vt:lpwstr>
      </vt:variant>
      <vt:variant>
        <vt:lpwstr/>
      </vt:variant>
      <vt:variant>
        <vt:i4>3407988</vt:i4>
      </vt:variant>
      <vt:variant>
        <vt:i4>81</vt:i4>
      </vt:variant>
      <vt:variant>
        <vt:i4>0</vt:i4>
      </vt:variant>
      <vt:variant>
        <vt:i4>5</vt:i4>
      </vt:variant>
      <vt:variant>
        <vt:lpwstr>http://www.nevo.co.il/case/27335408</vt:lpwstr>
      </vt:variant>
      <vt:variant>
        <vt:lpwstr/>
      </vt:variant>
      <vt:variant>
        <vt:i4>3342448</vt:i4>
      </vt:variant>
      <vt:variant>
        <vt:i4>78</vt:i4>
      </vt:variant>
      <vt:variant>
        <vt:i4>0</vt:i4>
      </vt:variant>
      <vt:variant>
        <vt:i4>5</vt:i4>
      </vt:variant>
      <vt:variant>
        <vt:lpwstr>http://www.nevo.co.il/case/21644133</vt:lpwstr>
      </vt:variant>
      <vt:variant>
        <vt:lpwstr/>
      </vt:variant>
      <vt:variant>
        <vt:i4>3801206</vt:i4>
      </vt:variant>
      <vt:variant>
        <vt:i4>75</vt:i4>
      </vt:variant>
      <vt:variant>
        <vt:i4>0</vt:i4>
      </vt:variant>
      <vt:variant>
        <vt:i4>5</vt:i4>
      </vt:variant>
      <vt:variant>
        <vt:lpwstr>http://www.nevo.co.il/case/22841413</vt:lpwstr>
      </vt:variant>
      <vt:variant>
        <vt:lpwstr/>
      </vt:variant>
      <vt:variant>
        <vt:i4>3276927</vt:i4>
      </vt:variant>
      <vt:variant>
        <vt:i4>72</vt:i4>
      </vt:variant>
      <vt:variant>
        <vt:i4>0</vt:i4>
      </vt:variant>
      <vt:variant>
        <vt:i4>5</vt:i4>
      </vt:variant>
      <vt:variant>
        <vt:lpwstr>http://www.nevo.co.il/case/23602844</vt:lpwstr>
      </vt:variant>
      <vt:variant>
        <vt:lpwstr/>
      </vt:variant>
      <vt:variant>
        <vt:i4>3670142</vt:i4>
      </vt:variant>
      <vt:variant>
        <vt:i4>69</vt:i4>
      </vt:variant>
      <vt:variant>
        <vt:i4>0</vt:i4>
      </vt:variant>
      <vt:variant>
        <vt:i4>5</vt:i4>
      </vt:variant>
      <vt:variant>
        <vt:lpwstr>http://www.nevo.co.il/case/26259916</vt:lpwstr>
      </vt:variant>
      <vt:variant>
        <vt:lpwstr/>
      </vt:variant>
      <vt:variant>
        <vt:i4>3735679</vt:i4>
      </vt:variant>
      <vt:variant>
        <vt:i4>66</vt:i4>
      </vt:variant>
      <vt:variant>
        <vt:i4>0</vt:i4>
      </vt:variant>
      <vt:variant>
        <vt:i4>5</vt:i4>
      </vt:variant>
      <vt:variant>
        <vt:lpwstr>http://www.nevo.co.il/case/26991436</vt:lpwstr>
      </vt:variant>
      <vt:variant>
        <vt:lpwstr/>
      </vt:variant>
      <vt:variant>
        <vt:i4>3473526</vt:i4>
      </vt:variant>
      <vt:variant>
        <vt:i4>63</vt:i4>
      </vt:variant>
      <vt:variant>
        <vt:i4>0</vt:i4>
      </vt:variant>
      <vt:variant>
        <vt:i4>5</vt:i4>
      </vt:variant>
      <vt:variant>
        <vt:lpwstr>http://www.nevo.co.il/case/27011466</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5177418</vt:i4>
      </vt:variant>
      <vt:variant>
        <vt:i4>51</vt:i4>
      </vt:variant>
      <vt:variant>
        <vt:i4>0</vt:i4>
      </vt:variant>
      <vt:variant>
        <vt:i4>5</vt:i4>
      </vt:variant>
      <vt:variant>
        <vt:lpwstr>http://www.nevo.co.il/law/4216/10</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4718666</vt:i4>
      </vt:variant>
      <vt:variant>
        <vt:i4>33</vt:i4>
      </vt:variant>
      <vt:variant>
        <vt:i4>0</vt:i4>
      </vt:variant>
      <vt:variant>
        <vt:i4>5</vt:i4>
      </vt:variant>
      <vt:variant>
        <vt:lpwstr>http://www.nevo.co.il/law/4216/6</vt:lpwstr>
      </vt:variant>
      <vt:variant>
        <vt:lpwstr/>
      </vt:variant>
      <vt:variant>
        <vt:i4>8257637</vt:i4>
      </vt:variant>
      <vt:variant>
        <vt:i4>30</vt:i4>
      </vt:variant>
      <vt:variant>
        <vt:i4>0</vt:i4>
      </vt:variant>
      <vt:variant>
        <vt:i4>5</vt:i4>
      </vt:variant>
      <vt:variant>
        <vt:lpwstr>http://www.nevo.co.il/law/4216</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73906</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מיכאל קניובסקי</vt:lpwstr>
  </property>
  <property fmtid="{D5CDD505-2E9C-101B-9397-08002B2CF9AE}" pid="10" name="LAWYER">
    <vt:lpwstr>לילך כץ;שי נודל</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20220710</vt:lpwstr>
  </property>
  <property fmtid="{D5CDD505-2E9C-101B-9397-08002B2CF9AE}" pid="14" name="TYPE_N_DATE">
    <vt:lpwstr>39020220710</vt:lpwstr>
  </property>
  <property fmtid="{D5CDD505-2E9C-101B-9397-08002B2CF9AE}" pid="15" name="WORDNUMPAGES">
    <vt:lpwstr>10</vt:lpwstr>
  </property>
  <property fmtid="{D5CDD505-2E9C-101B-9397-08002B2CF9AE}" pid="16" name="TYPE_ABS_DATE">
    <vt:lpwstr>390020220710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23827604;27011466;26991436;26259916;23602844;22841413;21644133;27335408;26084597;25464716;25469088;18159953;28226828</vt:lpwstr>
  </property>
  <property fmtid="{D5CDD505-2E9C-101B-9397-08002B2CF9AE}" pid="36" name="LAWLISTTMP1">
    <vt:lpwstr>4216/006;010</vt:lpwstr>
  </property>
  <property fmtid="{D5CDD505-2E9C-101B-9397-08002B2CF9AE}" pid="37" name="LAWLISTTMP2">
    <vt:lpwstr>70301/400</vt:lpwstr>
  </property>
</Properties>
</file>