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323503" w:rsidRPr="00617F4D" w14:paraId="0B1A17A1" w14:textId="77777777" w:rsidTr="000F1ABE">
        <w:trPr>
          <w:trHeight w:hRule="exact" w:val="418"/>
          <w:jc w:val="center"/>
        </w:trPr>
        <w:tc>
          <w:tcPr>
            <w:tcW w:w="8861" w:type="dxa"/>
            <w:gridSpan w:val="2"/>
          </w:tcPr>
          <w:p w14:paraId="15341BC5" w14:textId="77777777" w:rsidR="00323503" w:rsidRPr="00617F4D" w:rsidRDefault="00323503" w:rsidP="000F1ABE">
            <w:pPr>
              <w:pStyle w:val="a3"/>
              <w:jc w:val="center"/>
              <w:rPr>
                <w:rFonts w:ascii="Tahoma" w:hAnsi="Tahoma"/>
                <w:color w:val="000080"/>
                <w:sz w:val="32"/>
                <w:szCs w:val="32"/>
                <w:rtl/>
              </w:rPr>
            </w:pPr>
            <w:r w:rsidRPr="00617F4D">
              <w:rPr>
                <w:rFonts w:ascii="Tahoma" w:hAnsi="Tahoma"/>
                <w:b/>
                <w:bCs/>
                <w:color w:val="000080"/>
                <w:sz w:val="32"/>
                <w:szCs w:val="32"/>
                <w:rtl/>
              </w:rPr>
              <w:t>בית המשפט המחוזי בתל אביב - יפו</w:t>
            </w:r>
          </w:p>
        </w:tc>
      </w:tr>
      <w:tr w:rsidR="00323503" w:rsidRPr="00617F4D" w14:paraId="1B60606F" w14:textId="77777777" w:rsidTr="000F1ABE">
        <w:trPr>
          <w:trHeight w:val="337"/>
          <w:jc w:val="center"/>
        </w:trPr>
        <w:tc>
          <w:tcPr>
            <w:tcW w:w="5131" w:type="dxa"/>
          </w:tcPr>
          <w:p w14:paraId="030944C6" w14:textId="77777777" w:rsidR="00323503" w:rsidRPr="00617F4D" w:rsidRDefault="00323503" w:rsidP="000F1ABE">
            <w:pPr>
              <w:rPr>
                <w:rFonts w:ascii="David" w:hAnsi="David"/>
                <w:b/>
                <w:bCs/>
                <w:sz w:val="26"/>
                <w:szCs w:val="26"/>
                <w:rtl/>
              </w:rPr>
            </w:pPr>
            <w:r w:rsidRPr="00617F4D">
              <w:rPr>
                <w:rFonts w:ascii="David" w:hAnsi="David"/>
                <w:b/>
                <w:bCs/>
                <w:sz w:val="26"/>
                <w:szCs w:val="26"/>
                <w:rtl/>
              </w:rPr>
              <w:t>ת"פ 35389-01-21 מדינת ישראל נ' שדה(עציר)</w:t>
            </w:r>
          </w:p>
          <w:p w14:paraId="15A005C5" w14:textId="77777777" w:rsidR="00323503" w:rsidRPr="00617F4D" w:rsidRDefault="00323503" w:rsidP="000F1ABE">
            <w:pPr>
              <w:pStyle w:val="a3"/>
              <w:rPr>
                <w:rFonts w:ascii="David" w:hAnsi="David"/>
                <w:b/>
                <w:bCs/>
                <w:sz w:val="28"/>
                <w:szCs w:val="28"/>
                <w:rtl/>
              </w:rPr>
            </w:pPr>
          </w:p>
        </w:tc>
        <w:tc>
          <w:tcPr>
            <w:tcW w:w="3730" w:type="dxa"/>
          </w:tcPr>
          <w:p w14:paraId="370A25FE" w14:textId="77777777" w:rsidR="00323503" w:rsidRPr="00617F4D" w:rsidRDefault="00323503" w:rsidP="000F1ABE">
            <w:pPr>
              <w:pStyle w:val="a3"/>
              <w:jc w:val="right"/>
              <w:rPr>
                <w:rFonts w:ascii="David" w:hAnsi="David"/>
                <w:b/>
                <w:bCs/>
                <w:sz w:val="28"/>
                <w:szCs w:val="28"/>
                <w:rtl/>
              </w:rPr>
            </w:pPr>
            <w:r w:rsidRPr="00617F4D">
              <w:rPr>
                <w:rFonts w:ascii="David" w:hAnsi="David"/>
                <w:b/>
                <w:bCs/>
                <w:sz w:val="28"/>
                <w:szCs w:val="28"/>
                <w:rtl/>
              </w:rPr>
              <w:t>7 נובמבר 2021</w:t>
            </w:r>
          </w:p>
        </w:tc>
      </w:tr>
    </w:tbl>
    <w:p w14:paraId="5B605006" w14:textId="77777777" w:rsidR="00323503" w:rsidRPr="00617F4D" w:rsidRDefault="00323503" w:rsidP="00323503">
      <w:pPr>
        <w:pStyle w:val="a3"/>
        <w:rPr>
          <w:rtl/>
        </w:rPr>
      </w:pPr>
      <w:r w:rsidRPr="00617F4D">
        <w:rPr>
          <w:rFonts w:hint="cs"/>
          <w:rtl/>
        </w:rPr>
        <w:t xml:space="preserve"> </w:t>
      </w:r>
    </w:p>
    <w:p w14:paraId="18EADDE2" w14:textId="77777777" w:rsidR="00323503" w:rsidRPr="00617F4D" w:rsidRDefault="00323503" w:rsidP="00323503">
      <w:pPr>
        <w:pStyle w:val="12"/>
        <w:spacing w:line="360" w:lineRule="auto"/>
        <w:rPr>
          <w:u w:val="none"/>
          <w:rtl/>
        </w:rPr>
      </w:pPr>
    </w:p>
    <w:p w14:paraId="054EE991" w14:textId="77777777" w:rsidR="00323503" w:rsidRPr="00617F4D" w:rsidRDefault="00323503" w:rsidP="00323503">
      <w:pPr>
        <w:pStyle w:val="12"/>
        <w:spacing w:line="360" w:lineRule="auto"/>
        <w:rPr>
          <w:u w:val="none"/>
          <w:rtl/>
        </w:rPr>
      </w:pPr>
    </w:p>
    <w:tbl>
      <w:tblPr>
        <w:bidiVisual/>
        <w:tblW w:w="8219" w:type="dxa"/>
        <w:tblInd w:w="555" w:type="dxa"/>
        <w:tblLook w:val="01E0" w:firstRow="1" w:lastRow="1" w:firstColumn="1" w:lastColumn="1" w:noHBand="0" w:noVBand="0"/>
      </w:tblPr>
      <w:tblGrid>
        <w:gridCol w:w="2297"/>
        <w:gridCol w:w="5866"/>
        <w:gridCol w:w="56"/>
      </w:tblGrid>
      <w:tr w:rsidR="00323503" w:rsidRPr="00617F4D" w14:paraId="578C2935" w14:textId="77777777" w:rsidTr="00323503">
        <w:trPr>
          <w:gridAfter w:val="1"/>
          <w:wAfter w:w="56" w:type="dxa"/>
        </w:trPr>
        <w:tc>
          <w:tcPr>
            <w:tcW w:w="8163" w:type="dxa"/>
            <w:gridSpan w:val="2"/>
            <w:shd w:val="clear" w:color="auto" w:fill="auto"/>
          </w:tcPr>
          <w:p w14:paraId="3F631793" w14:textId="77777777" w:rsidR="00323503" w:rsidRPr="00617F4D" w:rsidRDefault="00323503" w:rsidP="00323503">
            <w:pPr>
              <w:spacing w:line="360" w:lineRule="auto"/>
              <w:jc w:val="both"/>
              <w:rPr>
                <w:b/>
                <w:bCs/>
              </w:rPr>
            </w:pPr>
            <w:r w:rsidRPr="00617F4D">
              <w:rPr>
                <w:b/>
                <w:bCs/>
                <w:rtl/>
              </w:rPr>
              <w:t>לפני כבוד השופט בני שגיא</w:t>
            </w:r>
            <w:r w:rsidRPr="00617F4D">
              <w:rPr>
                <w:rFonts w:hint="cs"/>
                <w:b/>
                <w:bCs/>
                <w:rtl/>
              </w:rPr>
              <w:t>, סגן נשיא</w:t>
            </w:r>
          </w:p>
        </w:tc>
      </w:tr>
      <w:tr w:rsidR="00323503" w:rsidRPr="00617F4D" w14:paraId="627AAE06" w14:textId="77777777" w:rsidTr="00323503">
        <w:trPr>
          <w:cantSplit/>
          <w:trHeight w:val="724"/>
        </w:trPr>
        <w:tc>
          <w:tcPr>
            <w:tcW w:w="2297" w:type="dxa"/>
            <w:shd w:val="clear" w:color="auto" w:fill="auto"/>
          </w:tcPr>
          <w:p w14:paraId="3715C90B" w14:textId="77777777" w:rsidR="00323503" w:rsidRPr="00617F4D" w:rsidRDefault="00323503" w:rsidP="00323503">
            <w:pPr>
              <w:ind w:left="26"/>
              <w:jc w:val="right"/>
              <w:rPr>
                <w:b/>
                <w:bCs/>
                <w:rtl/>
              </w:rPr>
            </w:pPr>
            <w:bookmarkStart w:id="0" w:name="FirstAppellant"/>
            <w:bookmarkStart w:id="1" w:name="FirstLawyer"/>
            <w:bookmarkStart w:id="2" w:name="LastJudge"/>
            <w:bookmarkEnd w:id="2"/>
          </w:p>
          <w:p w14:paraId="59CE8F53" w14:textId="77777777" w:rsidR="00323503" w:rsidRPr="00617F4D" w:rsidRDefault="00323503" w:rsidP="00323503">
            <w:pPr>
              <w:ind w:left="26"/>
              <w:rPr>
                <w:b/>
                <w:bCs/>
                <w:rtl/>
              </w:rPr>
            </w:pPr>
            <w:r w:rsidRPr="00617F4D">
              <w:rPr>
                <w:b/>
                <w:bCs/>
                <w:rtl/>
              </w:rPr>
              <w:t>המאשימה:</w:t>
            </w:r>
          </w:p>
        </w:tc>
        <w:tc>
          <w:tcPr>
            <w:tcW w:w="5922" w:type="dxa"/>
            <w:gridSpan w:val="2"/>
            <w:shd w:val="clear" w:color="auto" w:fill="auto"/>
          </w:tcPr>
          <w:p w14:paraId="645D454E" w14:textId="77777777" w:rsidR="00323503" w:rsidRPr="00617F4D" w:rsidRDefault="00323503" w:rsidP="00323503">
            <w:pPr>
              <w:jc w:val="right"/>
              <w:rPr>
                <w:rtl/>
              </w:rPr>
            </w:pPr>
          </w:p>
          <w:p w14:paraId="6938BF97" w14:textId="77777777" w:rsidR="00323503" w:rsidRPr="00617F4D" w:rsidRDefault="00323503" w:rsidP="00323503">
            <w:pPr>
              <w:spacing w:line="360" w:lineRule="auto"/>
              <w:rPr>
                <w:b/>
                <w:bCs/>
                <w:rtl/>
              </w:rPr>
            </w:pPr>
            <w:r w:rsidRPr="00617F4D">
              <w:rPr>
                <w:b/>
                <w:bCs/>
                <w:rtl/>
              </w:rPr>
              <w:t>מדינת ישראל</w:t>
            </w:r>
          </w:p>
          <w:p w14:paraId="411AE02B" w14:textId="77777777" w:rsidR="00323503" w:rsidRPr="00617F4D" w:rsidRDefault="00323503" w:rsidP="00323503">
            <w:pPr>
              <w:spacing w:line="360" w:lineRule="auto"/>
              <w:rPr>
                <w:rtl/>
              </w:rPr>
            </w:pPr>
            <w:r w:rsidRPr="00617F4D">
              <w:rPr>
                <w:rtl/>
              </w:rPr>
              <w:t>באמצעות פרקליטות מחוז תל-אביב (פלילי)</w:t>
            </w:r>
          </w:p>
          <w:p w14:paraId="3F16A312" w14:textId="77777777" w:rsidR="00323503" w:rsidRPr="00617F4D" w:rsidRDefault="00323503" w:rsidP="00323503">
            <w:pPr>
              <w:spacing w:line="360" w:lineRule="auto"/>
              <w:rPr>
                <w:rtl/>
              </w:rPr>
            </w:pPr>
            <w:r w:rsidRPr="00617F4D">
              <w:rPr>
                <w:rtl/>
              </w:rPr>
              <w:t>על-ידי ב"כ עו"ד ענת בן זאב ועו"ד שלי קוטין</w:t>
            </w:r>
          </w:p>
        </w:tc>
      </w:tr>
      <w:bookmarkEnd w:id="0"/>
      <w:bookmarkEnd w:id="1"/>
      <w:tr w:rsidR="00323503" w:rsidRPr="00617F4D" w14:paraId="3EBA13BA" w14:textId="77777777" w:rsidTr="00323503">
        <w:tc>
          <w:tcPr>
            <w:tcW w:w="8219" w:type="dxa"/>
            <w:gridSpan w:val="3"/>
            <w:shd w:val="clear" w:color="auto" w:fill="auto"/>
            <w:vAlign w:val="center"/>
          </w:tcPr>
          <w:p w14:paraId="1772F6C5" w14:textId="77777777" w:rsidR="00323503" w:rsidRPr="00617F4D" w:rsidRDefault="00323503" w:rsidP="00323503">
            <w:pPr>
              <w:jc w:val="center"/>
              <w:rPr>
                <w:rFonts w:ascii="Arial" w:hAnsi="Arial"/>
                <w:b/>
                <w:bCs/>
                <w:rtl/>
              </w:rPr>
            </w:pPr>
          </w:p>
          <w:p w14:paraId="3071AE32" w14:textId="77777777" w:rsidR="00323503" w:rsidRPr="00617F4D" w:rsidRDefault="00323503" w:rsidP="00323503">
            <w:pPr>
              <w:jc w:val="center"/>
              <w:rPr>
                <w:rFonts w:ascii="Arial" w:hAnsi="Arial"/>
                <w:b/>
                <w:bCs/>
                <w:rtl/>
              </w:rPr>
            </w:pPr>
            <w:r w:rsidRPr="00617F4D">
              <w:rPr>
                <w:rFonts w:ascii="Arial" w:hAnsi="Arial"/>
                <w:b/>
                <w:bCs/>
                <w:rtl/>
              </w:rPr>
              <w:t>נגד</w:t>
            </w:r>
          </w:p>
          <w:p w14:paraId="14348AB6" w14:textId="77777777" w:rsidR="00323503" w:rsidRPr="00617F4D" w:rsidRDefault="00323503" w:rsidP="00323503">
            <w:pPr>
              <w:jc w:val="right"/>
              <w:rPr>
                <w:rFonts w:ascii="Arial" w:hAnsi="Arial"/>
                <w:b/>
                <w:bCs/>
                <w:rtl/>
              </w:rPr>
            </w:pPr>
          </w:p>
        </w:tc>
      </w:tr>
      <w:tr w:rsidR="00323503" w:rsidRPr="00617F4D" w14:paraId="7E66A80B" w14:textId="77777777" w:rsidTr="00323503">
        <w:tc>
          <w:tcPr>
            <w:tcW w:w="2297" w:type="dxa"/>
            <w:shd w:val="clear" w:color="auto" w:fill="auto"/>
          </w:tcPr>
          <w:p w14:paraId="03939579" w14:textId="77777777" w:rsidR="00323503" w:rsidRPr="00617F4D" w:rsidRDefault="00323503" w:rsidP="00323503">
            <w:pPr>
              <w:ind w:left="26"/>
              <w:rPr>
                <w:b/>
                <w:bCs/>
                <w:rtl/>
              </w:rPr>
            </w:pPr>
            <w:r w:rsidRPr="00617F4D">
              <w:rPr>
                <w:b/>
                <w:bCs/>
                <w:rtl/>
              </w:rPr>
              <w:t>הנאשם:</w:t>
            </w:r>
          </w:p>
        </w:tc>
        <w:tc>
          <w:tcPr>
            <w:tcW w:w="5922" w:type="dxa"/>
            <w:gridSpan w:val="2"/>
            <w:shd w:val="clear" w:color="auto" w:fill="auto"/>
          </w:tcPr>
          <w:p w14:paraId="4FDA00B3" w14:textId="77777777" w:rsidR="00323503" w:rsidRPr="00617F4D" w:rsidRDefault="00323503" w:rsidP="00323503">
            <w:pPr>
              <w:spacing w:line="360" w:lineRule="auto"/>
              <w:rPr>
                <w:b/>
                <w:bCs/>
                <w:rtl/>
              </w:rPr>
            </w:pPr>
            <w:r w:rsidRPr="00617F4D">
              <w:rPr>
                <w:rFonts w:hint="cs"/>
                <w:b/>
                <w:bCs/>
                <w:rtl/>
              </w:rPr>
              <w:t>מאיר שדה</w:t>
            </w:r>
            <w:r w:rsidRPr="00617F4D">
              <w:rPr>
                <w:b/>
                <w:bCs/>
                <w:rtl/>
              </w:rPr>
              <w:t xml:space="preserve"> ת.ז. </w:t>
            </w:r>
            <w:r w:rsidR="00617F4D">
              <w:rPr>
                <w:b/>
                <w:bCs/>
              </w:rPr>
              <w:t>xxxxxxxxx</w:t>
            </w:r>
          </w:p>
          <w:p w14:paraId="7959A046" w14:textId="77777777" w:rsidR="00323503" w:rsidRPr="00617F4D" w:rsidRDefault="00323503" w:rsidP="000F1ABE">
            <w:pPr>
              <w:rPr>
                <w:rtl/>
              </w:rPr>
            </w:pPr>
            <w:r w:rsidRPr="00617F4D">
              <w:rPr>
                <w:rtl/>
              </w:rPr>
              <w:t xml:space="preserve">על-ידי ב"כ עו"ד </w:t>
            </w:r>
            <w:r w:rsidRPr="00617F4D">
              <w:rPr>
                <w:rFonts w:hint="cs"/>
                <w:rtl/>
              </w:rPr>
              <w:t>יצחק איצקוביץ</w:t>
            </w:r>
          </w:p>
        </w:tc>
      </w:tr>
    </w:tbl>
    <w:p w14:paraId="4349AFB2" w14:textId="77777777" w:rsidR="00106D85" w:rsidRDefault="00106D85" w:rsidP="00323503">
      <w:pPr>
        <w:pStyle w:val="12"/>
        <w:spacing w:line="360" w:lineRule="auto"/>
        <w:rPr>
          <w:b w:val="0"/>
          <w:bCs w:val="0"/>
          <w:u w:val="none"/>
          <w:rtl/>
        </w:rPr>
      </w:pPr>
    </w:p>
    <w:p w14:paraId="7CE629AF" w14:textId="77777777" w:rsidR="00106D85" w:rsidRPr="00106D85" w:rsidRDefault="00106D85" w:rsidP="00106D85">
      <w:pPr>
        <w:pStyle w:val="12"/>
        <w:spacing w:after="120" w:line="240" w:lineRule="exact"/>
        <w:ind w:left="283" w:hanging="283"/>
        <w:jc w:val="both"/>
        <w:rPr>
          <w:rFonts w:ascii="FrankRuehl" w:hAnsi="FrankRuehl" w:cs="FrankRuehl"/>
          <w:b w:val="0"/>
          <w:bCs w:val="0"/>
          <w:u w:val="none"/>
          <w:rtl/>
        </w:rPr>
      </w:pPr>
    </w:p>
    <w:p w14:paraId="24DA1F9A" w14:textId="77777777" w:rsidR="00F315CA" w:rsidRDefault="00F315CA" w:rsidP="00F315CA">
      <w:pPr>
        <w:pStyle w:val="12"/>
        <w:spacing w:line="360" w:lineRule="auto"/>
        <w:jc w:val="center"/>
        <w:rPr>
          <w:b w:val="0"/>
          <w:bCs w:val="0"/>
          <w:sz w:val="32"/>
          <w:szCs w:val="32"/>
          <w:u w:val="none"/>
          <w:rtl/>
        </w:rPr>
      </w:pPr>
      <w:bookmarkStart w:id="3" w:name="LawTable"/>
      <w:bookmarkEnd w:id="3"/>
    </w:p>
    <w:p w14:paraId="5EFB28B1" w14:textId="77777777" w:rsidR="00F315CA" w:rsidRPr="00F315CA" w:rsidRDefault="00F315CA" w:rsidP="00F315CA">
      <w:pPr>
        <w:pStyle w:val="12"/>
        <w:spacing w:before="120" w:after="120" w:line="240" w:lineRule="exact"/>
        <w:ind w:left="283" w:hanging="283"/>
        <w:jc w:val="both"/>
        <w:rPr>
          <w:rFonts w:ascii="FrankRuehl" w:hAnsi="FrankRuehl" w:cs="FrankRuehl"/>
          <w:b w:val="0"/>
          <w:bCs w:val="0"/>
          <w:u w:val="none"/>
          <w:rtl/>
        </w:rPr>
      </w:pPr>
    </w:p>
    <w:p w14:paraId="6454EEA8" w14:textId="77777777" w:rsidR="00F315CA" w:rsidRPr="00F315CA" w:rsidRDefault="00F315CA" w:rsidP="00F315CA">
      <w:pPr>
        <w:pStyle w:val="12"/>
        <w:spacing w:before="120" w:after="120" w:line="240" w:lineRule="exact"/>
        <w:ind w:left="283" w:hanging="283"/>
        <w:jc w:val="both"/>
        <w:rPr>
          <w:rFonts w:ascii="FrankRuehl" w:hAnsi="FrankRuehl" w:cs="FrankRuehl"/>
          <w:b w:val="0"/>
          <w:bCs w:val="0"/>
          <w:u w:val="none"/>
          <w:rtl/>
        </w:rPr>
      </w:pPr>
    </w:p>
    <w:p w14:paraId="29549380" w14:textId="77777777" w:rsidR="00F315CA" w:rsidRPr="00F315CA" w:rsidRDefault="00F315CA" w:rsidP="00F315CA">
      <w:pPr>
        <w:pStyle w:val="12"/>
        <w:spacing w:before="120" w:after="120" w:line="240" w:lineRule="exact"/>
        <w:ind w:left="283" w:hanging="283"/>
        <w:jc w:val="both"/>
        <w:rPr>
          <w:rFonts w:ascii="FrankRuehl" w:hAnsi="FrankRuehl" w:cs="FrankRuehl"/>
          <w:b w:val="0"/>
          <w:bCs w:val="0"/>
          <w:u w:val="none"/>
          <w:rtl/>
        </w:rPr>
      </w:pPr>
      <w:r w:rsidRPr="00F315CA">
        <w:rPr>
          <w:rFonts w:ascii="FrankRuehl" w:hAnsi="FrankRuehl" w:cs="FrankRuehl"/>
          <w:b w:val="0"/>
          <w:bCs w:val="0"/>
          <w:u w:val="none"/>
          <w:rtl/>
        </w:rPr>
        <w:t xml:space="preserve">חקיקה שאוזכרה: </w:t>
      </w:r>
    </w:p>
    <w:p w14:paraId="2CAB61A1" w14:textId="77777777" w:rsidR="00F315CA" w:rsidRPr="00F315CA" w:rsidRDefault="00F315CA" w:rsidP="00F315CA">
      <w:pPr>
        <w:pStyle w:val="12"/>
        <w:spacing w:before="120" w:after="120" w:line="240" w:lineRule="exact"/>
        <w:ind w:left="283" w:hanging="283"/>
        <w:jc w:val="both"/>
        <w:rPr>
          <w:rFonts w:ascii="FrankRuehl" w:hAnsi="FrankRuehl" w:cs="FrankRuehl"/>
          <w:b w:val="0"/>
          <w:bCs w:val="0"/>
          <w:u w:val="none"/>
          <w:rtl/>
        </w:rPr>
      </w:pPr>
      <w:hyperlink r:id="rId7" w:history="1">
        <w:r w:rsidRPr="00F315CA">
          <w:rPr>
            <w:rFonts w:ascii="FrankRuehl" w:hAnsi="FrankRuehl" w:cs="FrankRuehl"/>
            <w:b w:val="0"/>
            <w:bCs w:val="0"/>
            <w:color w:val="0000FF"/>
            <w:u w:val="none"/>
            <w:rtl/>
          </w:rPr>
          <w:t>פקודת הסמים המסוכנים [נוסח חדש], תשל"ג-1973</w:t>
        </w:r>
      </w:hyperlink>
      <w:r w:rsidRPr="00F315CA">
        <w:rPr>
          <w:rFonts w:ascii="FrankRuehl" w:hAnsi="FrankRuehl" w:cs="FrankRuehl"/>
          <w:b w:val="0"/>
          <w:bCs w:val="0"/>
          <w:u w:val="none"/>
          <w:rtl/>
        </w:rPr>
        <w:t xml:space="preserve">: סע'  </w:t>
      </w:r>
      <w:hyperlink r:id="rId8" w:history="1">
        <w:r w:rsidRPr="00F315CA">
          <w:rPr>
            <w:rFonts w:ascii="FrankRuehl" w:hAnsi="FrankRuehl" w:cs="FrankRuehl"/>
            <w:b w:val="0"/>
            <w:bCs w:val="0"/>
            <w:color w:val="0000FF"/>
            <w:u w:val="none"/>
            <w:rtl/>
          </w:rPr>
          <w:t>6</w:t>
        </w:r>
      </w:hyperlink>
    </w:p>
    <w:p w14:paraId="45CD25F2" w14:textId="77777777" w:rsidR="00F315CA" w:rsidRPr="00F315CA" w:rsidRDefault="00F315CA" w:rsidP="00F315CA">
      <w:pPr>
        <w:pStyle w:val="12"/>
        <w:spacing w:before="120" w:after="120" w:line="240" w:lineRule="exact"/>
        <w:ind w:left="283" w:hanging="283"/>
        <w:jc w:val="both"/>
        <w:rPr>
          <w:rFonts w:ascii="FrankRuehl" w:hAnsi="FrankRuehl" w:cs="FrankRuehl"/>
          <w:b w:val="0"/>
          <w:bCs w:val="0"/>
          <w:u w:val="none"/>
          <w:rtl/>
        </w:rPr>
      </w:pPr>
      <w:hyperlink r:id="rId9" w:history="1">
        <w:r w:rsidRPr="00F315CA">
          <w:rPr>
            <w:rFonts w:ascii="FrankRuehl" w:hAnsi="FrankRuehl" w:cs="FrankRuehl"/>
            <w:b w:val="0"/>
            <w:bCs w:val="0"/>
            <w:color w:val="0000FF"/>
            <w:u w:val="none"/>
            <w:rtl/>
          </w:rPr>
          <w:t>חוק העונשין, תשל"ז-1977</w:t>
        </w:r>
      </w:hyperlink>
      <w:r w:rsidRPr="00F315CA">
        <w:rPr>
          <w:rFonts w:ascii="FrankRuehl" w:hAnsi="FrankRuehl" w:cs="FrankRuehl"/>
          <w:b w:val="0"/>
          <w:bCs w:val="0"/>
          <w:u w:val="none"/>
          <w:rtl/>
        </w:rPr>
        <w:t xml:space="preserve">: סע'  </w:t>
      </w:r>
      <w:hyperlink r:id="rId10" w:history="1">
        <w:r w:rsidRPr="00F315CA">
          <w:rPr>
            <w:rFonts w:ascii="FrankRuehl" w:hAnsi="FrankRuehl" w:cs="FrankRuehl"/>
            <w:b w:val="0"/>
            <w:bCs w:val="0"/>
            <w:color w:val="0000FF"/>
            <w:u w:val="none"/>
            <w:rtl/>
          </w:rPr>
          <w:t>400</w:t>
        </w:r>
      </w:hyperlink>
    </w:p>
    <w:p w14:paraId="6A358130" w14:textId="77777777" w:rsidR="00F315CA" w:rsidRPr="00F315CA" w:rsidRDefault="00F315CA" w:rsidP="00F315CA">
      <w:pPr>
        <w:pStyle w:val="12"/>
        <w:spacing w:line="360" w:lineRule="auto"/>
        <w:jc w:val="center"/>
        <w:rPr>
          <w:b w:val="0"/>
          <w:bCs w:val="0"/>
          <w:sz w:val="32"/>
          <w:szCs w:val="32"/>
          <w:u w:val="none"/>
          <w:rtl/>
        </w:rPr>
      </w:pPr>
      <w:bookmarkStart w:id="4" w:name="LawTable_End"/>
      <w:bookmarkEnd w:id="4"/>
    </w:p>
    <w:p w14:paraId="21AA0B32" w14:textId="77777777" w:rsidR="00617F4D" w:rsidRPr="00617F4D" w:rsidRDefault="00617F4D" w:rsidP="00323503">
      <w:pPr>
        <w:pStyle w:val="12"/>
        <w:spacing w:line="360" w:lineRule="auto"/>
        <w:jc w:val="center"/>
        <w:rPr>
          <w:sz w:val="32"/>
          <w:szCs w:val="32"/>
          <w:u w:val="none"/>
          <w:rtl/>
        </w:rPr>
      </w:pPr>
    </w:p>
    <w:p w14:paraId="137C4134" w14:textId="77777777" w:rsidR="00617F4D" w:rsidRPr="00617F4D" w:rsidRDefault="00617F4D" w:rsidP="00617F4D">
      <w:pPr>
        <w:pStyle w:val="a9"/>
        <w:spacing w:before="240" w:after="240" w:line="360" w:lineRule="auto"/>
        <w:ind w:left="360"/>
        <w:contextualSpacing w:val="0"/>
        <w:jc w:val="center"/>
        <w:rPr>
          <w:rFonts w:ascii="Times New Roman" w:eastAsia="Times New Roman" w:hAnsi="Times New Roman" w:cs="David"/>
          <w:b/>
          <w:bCs/>
          <w:sz w:val="32"/>
          <w:szCs w:val="32"/>
          <w:u w:val="single"/>
          <w:rtl/>
        </w:rPr>
      </w:pPr>
      <w:bookmarkStart w:id="5" w:name="PsakDin"/>
      <w:r w:rsidRPr="00617F4D">
        <w:rPr>
          <w:rFonts w:ascii="Times New Roman" w:eastAsia="Times New Roman" w:hAnsi="Times New Roman" w:cs="David"/>
          <w:b/>
          <w:bCs/>
          <w:sz w:val="32"/>
          <w:szCs w:val="32"/>
          <w:u w:val="single"/>
          <w:rtl/>
        </w:rPr>
        <w:t>גזר דין</w:t>
      </w:r>
    </w:p>
    <w:bookmarkEnd w:id="5"/>
    <w:p w14:paraId="20DE18AC" w14:textId="77777777" w:rsidR="00323503" w:rsidRPr="0043087C" w:rsidRDefault="00323503" w:rsidP="00323503">
      <w:pPr>
        <w:pStyle w:val="a9"/>
        <w:spacing w:before="240" w:after="240" w:line="360" w:lineRule="auto"/>
        <w:ind w:left="360"/>
        <w:contextualSpacing w:val="0"/>
        <w:jc w:val="both"/>
        <w:rPr>
          <w:rFonts w:ascii="David" w:hAnsi="David" w:cs="David"/>
          <w:sz w:val="24"/>
          <w:szCs w:val="24"/>
          <w:u w:val="single"/>
          <w:rtl/>
        </w:rPr>
      </w:pPr>
      <w:r w:rsidRPr="0043087C">
        <w:rPr>
          <w:rFonts w:ascii="David" w:hAnsi="David" w:cs="David"/>
          <w:sz w:val="24"/>
          <w:szCs w:val="24"/>
          <w:u w:val="single"/>
          <w:rtl/>
        </w:rPr>
        <w:t>כללי</w:t>
      </w:r>
    </w:p>
    <w:p w14:paraId="03653B7B" w14:textId="77777777" w:rsidR="00323503" w:rsidRDefault="00323503" w:rsidP="00323503">
      <w:pPr>
        <w:pStyle w:val="a9"/>
        <w:numPr>
          <w:ilvl w:val="0"/>
          <w:numId w:val="1"/>
        </w:numPr>
        <w:spacing w:before="240" w:after="240" w:line="360" w:lineRule="auto"/>
        <w:ind w:left="357" w:hanging="357"/>
        <w:contextualSpacing w:val="0"/>
        <w:jc w:val="both"/>
        <w:rPr>
          <w:rFonts w:ascii="David" w:hAnsi="David" w:cs="David"/>
          <w:sz w:val="24"/>
          <w:szCs w:val="24"/>
          <w:rtl/>
        </w:rPr>
      </w:pPr>
      <w:bookmarkStart w:id="6" w:name="ABSTRACT_START"/>
      <w:bookmarkEnd w:id="6"/>
      <w:r>
        <w:rPr>
          <w:rFonts w:ascii="David" w:hAnsi="David" w:cs="David"/>
          <w:sz w:val="24"/>
          <w:szCs w:val="24"/>
          <w:rtl/>
        </w:rPr>
        <w:t xml:space="preserve">הנאשם הורשע על יסוד הודאתו בעבירות של ייצור, הכנה והפקת סמים מסוכנים, לפי </w:t>
      </w:r>
      <w:hyperlink r:id="rId11" w:history="1">
        <w:r w:rsidR="00106D85" w:rsidRPr="00106D85">
          <w:rPr>
            <w:rStyle w:val="Hyperlink"/>
            <w:rFonts w:ascii="David" w:hAnsi="David" w:cs="David"/>
            <w:sz w:val="24"/>
            <w:szCs w:val="24"/>
            <w:rtl/>
          </w:rPr>
          <w:t>סעיף 6</w:t>
        </w:r>
      </w:hyperlink>
      <w:r>
        <w:rPr>
          <w:rFonts w:ascii="David" w:hAnsi="David" w:cs="David"/>
          <w:sz w:val="24"/>
          <w:szCs w:val="24"/>
          <w:rtl/>
        </w:rPr>
        <w:t xml:space="preserve"> ל</w:t>
      </w:r>
      <w:hyperlink r:id="rId12" w:history="1">
        <w:r w:rsidR="00617F4D" w:rsidRPr="00617F4D">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תשל"ג-1973 (להלן</w:t>
      </w:r>
      <w:r>
        <w:rPr>
          <w:rFonts w:ascii="David" w:hAnsi="David" w:cs="David" w:hint="cs"/>
          <w:sz w:val="24"/>
          <w:szCs w:val="24"/>
          <w:rtl/>
        </w:rPr>
        <w:t xml:space="preserve"> </w:t>
      </w:r>
      <w:r>
        <w:rPr>
          <w:rFonts w:ascii="David" w:hAnsi="David" w:cs="David"/>
          <w:sz w:val="24"/>
          <w:szCs w:val="24"/>
          <w:rtl/>
        </w:rPr>
        <w:t xml:space="preserve">- </w:t>
      </w:r>
      <w:r>
        <w:rPr>
          <w:rFonts w:ascii="David" w:hAnsi="David" w:cs="David"/>
          <w:b/>
          <w:bCs/>
          <w:sz w:val="24"/>
          <w:szCs w:val="24"/>
          <w:rtl/>
        </w:rPr>
        <w:t>פקודת הסמים</w:t>
      </w:r>
      <w:r>
        <w:rPr>
          <w:rFonts w:ascii="David" w:hAnsi="David" w:cs="David"/>
          <w:sz w:val="24"/>
          <w:szCs w:val="24"/>
          <w:rtl/>
        </w:rPr>
        <w:t xml:space="preserve"> או </w:t>
      </w:r>
      <w:r>
        <w:rPr>
          <w:rFonts w:ascii="David" w:hAnsi="David" w:cs="David"/>
          <w:b/>
          <w:bCs/>
          <w:sz w:val="24"/>
          <w:szCs w:val="24"/>
          <w:rtl/>
        </w:rPr>
        <w:t>הפקודה</w:t>
      </w:r>
      <w:r>
        <w:rPr>
          <w:rFonts w:ascii="David" w:hAnsi="David" w:cs="David"/>
          <w:sz w:val="24"/>
          <w:szCs w:val="24"/>
          <w:rtl/>
        </w:rPr>
        <w:t xml:space="preserve">) ונטילת חשמל שלא כדין, לפי </w:t>
      </w:r>
      <w:hyperlink r:id="rId13" w:history="1">
        <w:r w:rsidR="00106D85" w:rsidRPr="00106D85">
          <w:rPr>
            <w:rStyle w:val="Hyperlink"/>
            <w:rFonts w:ascii="David" w:hAnsi="David" w:cs="David"/>
            <w:sz w:val="24"/>
            <w:szCs w:val="24"/>
            <w:rtl/>
          </w:rPr>
          <w:t>סעיף 400</w:t>
        </w:r>
      </w:hyperlink>
      <w:r>
        <w:rPr>
          <w:rFonts w:ascii="David" w:hAnsi="David" w:cs="David"/>
          <w:sz w:val="24"/>
          <w:szCs w:val="24"/>
          <w:rtl/>
        </w:rPr>
        <w:t xml:space="preserve"> ל</w:t>
      </w:r>
      <w:hyperlink r:id="rId14" w:history="1">
        <w:r w:rsidR="00617F4D" w:rsidRPr="00617F4D">
          <w:rPr>
            <w:rFonts w:ascii="David" w:hAnsi="David" w:cs="David"/>
            <w:color w:val="0000FF"/>
            <w:sz w:val="24"/>
            <w:szCs w:val="24"/>
            <w:u w:val="single"/>
            <w:rtl/>
          </w:rPr>
          <w:t>חוק העונשין</w:t>
        </w:r>
      </w:hyperlink>
      <w:r>
        <w:rPr>
          <w:rFonts w:ascii="David" w:hAnsi="David" w:cs="David"/>
          <w:sz w:val="24"/>
          <w:szCs w:val="24"/>
          <w:rtl/>
        </w:rPr>
        <w:t xml:space="preserve">, תשל"ז-1977 (להלן </w:t>
      </w:r>
      <w:r>
        <w:rPr>
          <w:rFonts w:ascii="David" w:hAnsi="David" w:cs="David" w:hint="cs"/>
          <w:sz w:val="24"/>
          <w:szCs w:val="24"/>
          <w:rtl/>
        </w:rPr>
        <w:t>-</w:t>
      </w:r>
      <w:r>
        <w:rPr>
          <w:rFonts w:ascii="David" w:hAnsi="David" w:cs="David"/>
          <w:sz w:val="24"/>
          <w:szCs w:val="24"/>
          <w:rtl/>
        </w:rPr>
        <w:t xml:space="preserve"> </w:t>
      </w:r>
      <w:r>
        <w:rPr>
          <w:rFonts w:ascii="David" w:hAnsi="David" w:cs="David"/>
          <w:b/>
          <w:bCs/>
          <w:sz w:val="24"/>
          <w:szCs w:val="24"/>
          <w:rtl/>
        </w:rPr>
        <w:t>חוק העונשין</w:t>
      </w:r>
      <w:r>
        <w:rPr>
          <w:rFonts w:ascii="David" w:hAnsi="David" w:cs="David"/>
          <w:sz w:val="24"/>
          <w:szCs w:val="24"/>
          <w:rtl/>
        </w:rPr>
        <w:t>).</w:t>
      </w:r>
    </w:p>
    <w:p w14:paraId="5DA78B9D" w14:textId="77777777" w:rsidR="00323503" w:rsidRPr="00B62B05" w:rsidRDefault="00323503" w:rsidP="00323503">
      <w:pPr>
        <w:pStyle w:val="a9"/>
        <w:spacing w:before="240" w:after="240" w:line="360" w:lineRule="auto"/>
        <w:ind w:left="357"/>
        <w:contextualSpacing w:val="0"/>
        <w:jc w:val="both"/>
        <w:rPr>
          <w:rFonts w:ascii="David" w:hAnsi="David" w:cs="David"/>
          <w:sz w:val="24"/>
          <w:szCs w:val="24"/>
        </w:rPr>
      </w:pPr>
      <w:bookmarkStart w:id="7" w:name="ABSTRACT_END"/>
      <w:bookmarkEnd w:id="7"/>
      <w:r>
        <w:rPr>
          <w:rFonts w:ascii="David" w:hAnsi="David" w:cs="David"/>
          <w:sz w:val="24"/>
          <w:szCs w:val="24"/>
          <w:rtl/>
        </w:rPr>
        <w:t>הסדר הטיעון שגובש בין הצדדים כלל את תיקונו של כתב האישום מבלי שגובשה הסכמה לעניין העונש, ובהקשר זה טען כל צד על-פי מיטב שיקול דעתו.</w:t>
      </w:r>
      <w:r>
        <w:rPr>
          <w:rFonts w:ascii="David" w:hAnsi="David" w:cs="David" w:hint="cs"/>
          <w:sz w:val="24"/>
          <w:szCs w:val="24"/>
          <w:rtl/>
        </w:rPr>
        <w:t xml:space="preserve"> הנאשם הופנה לשירות המבחן נוכח קיומה של חובת תסקיר (יליד 2002).</w:t>
      </w:r>
      <w:r w:rsidRPr="00B62B05">
        <w:rPr>
          <w:rFonts w:ascii="David" w:hAnsi="David"/>
          <w:rtl/>
        </w:rPr>
        <w:t xml:space="preserve"> </w:t>
      </w:r>
    </w:p>
    <w:p w14:paraId="7FA3ED22" w14:textId="77777777" w:rsidR="00323503" w:rsidRDefault="00323503" w:rsidP="00323503">
      <w:pPr>
        <w:pStyle w:val="a9"/>
        <w:numPr>
          <w:ilvl w:val="0"/>
          <w:numId w:val="1"/>
        </w:numPr>
        <w:spacing w:before="240" w:after="240" w:line="360" w:lineRule="auto"/>
        <w:contextualSpacing w:val="0"/>
        <w:jc w:val="both"/>
        <w:rPr>
          <w:rFonts w:ascii="David" w:hAnsi="David" w:cs="David"/>
          <w:sz w:val="24"/>
          <w:szCs w:val="24"/>
          <w:rtl/>
        </w:rPr>
      </w:pPr>
      <w:r>
        <w:rPr>
          <w:rFonts w:ascii="David" w:hAnsi="David" w:cs="David"/>
          <w:sz w:val="24"/>
          <w:szCs w:val="24"/>
          <w:rtl/>
        </w:rPr>
        <w:lastRenderedPageBreak/>
        <w:t>על</w:t>
      </w:r>
      <w:r>
        <w:rPr>
          <w:rFonts w:ascii="David" w:hAnsi="David" w:cs="David" w:hint="cs"/>
          <w:sz w:val="24"/>
          <w:szCs w:val="24"/>
          <w:rtl/>
        </w:rPr>
        <w:t>-</w:t>
      </w:r>
      <w:r>
        <w:rPr>
          <w:rFonts w:ascii="David" w:hAnsi="David" w:cs="David"/>
          <w:sz w:val="24"/>
          <w:szCs w:val="24"/>
          <w:rtl/>
        </w:rPr>
        <w:t xml:space="preserve">פי עובדות כתב האישום המתוקן, </w:t>
      </w:r>
      <w:r>
        <w:rPr>
          <w:rFonts w:ascii="David" w:hAnsi="David" w:cs="David" w:hint="cs"/>
          <w:sz w:val="24"/>
          <w:szCs w:val="24"/>
          <w:rtl/>
        </w:rPr>
        <w:t>במהלך חודש נובמבר 2020, או בסמוך לכך, תכנן הנאשם יחד עם אחרים שזהותם אינה ידועה למאשימה, להקים בית גידול לסם מסוכן מסוג קנבוס. לשם מימוש התוכנית, ביום 26.11.20 שכר הנאשם דירה בעיר בני ברק ו</w:t>
      </w:r>
      <w:r>
        <w:rPr>
          <w:rFonts w:ascii="David" w:hAnsi="David" w:cs="David"/>
          <w:sz w:val="24"/>
          <w:szCs w:val="24"/>
          <w:rtl/>
        </w:rPr>
        <w:t>הקים</w:t>
      </w:r>
      <w:r>
        <w:rPr>
          <w:rFonts w:ascii="David" w:hAnsi="David" w:cs="David" w:hint="cs"/>
          <w:sz w:val="24"/>
          <w:szCs w:val="24"/>
          <w:rtl/>
        </w:rPr>
        <w:t xml:space="preserve">, יחד עם אחרים שזהותם אינה ידועה, </w:t>
      </w:r>
      <w:r>
        <w:rPr>
          <w:rFonts w:ascii="David" w:hAnsi="David" w:cs="David"/>
          <w:sz w:val="24"/>
          <w:szCs w:val="24"/>
          <w:rtl/>
        </w:rPr>
        <w:t>מעבדה לגידול והפקת סם מסוכן מסוג קנבוס</w:t>
      </w:r>
      <w:r>
        <w:rPr>
          <w:rFonts w:ascii="David" w:hAnsi="David" w:cs="David" w:hint="cs"/>
          <w:sz w:val="24"/>
          <w:szCs w:val="24"/>
          <w:rtl/>
        </w:rPr>
        <w:t xml:space="preserve">, בה </w:t>
      </w:r>
      <w:r>
        <w:rPr>
          <w:rFonts w:ascii="David" w:hAnsi="David" w:cs="David"/>
          <w:sz w:val="24"/>
          <w:szCs w:val="24"/>
          <w:rtl/>
        </w:rPr>
        <w:t>גיד</w:t>
      </w:r>
      <w:r>
        <w:rPr>
          <w:rFonts w:ascii="David" w:hAnsi="David" w:cs="David" w:hint="cs"/>
          <w:sz w:val="24"/>
          <w:szCs w:val="24"/>
          <w:rtl/>
        </w:rPr>
        <w:t>ל והפיק</w:t>
      </w:r>
      <w:r>
        <w:rPr>
          <w:rFonts w:ascii="David" w:hAnsi="David" w:cs="David"/>
          <w:sz w:val="24"/>
          <w:szCs w:val="24"/>
          <w:rtl/>
        </w:rPr>
        <w:t xml:space="preserve"> </w:t>
      </w:r>
      <w:r>
        <w:rPr>
          <w:rFonts w:ascii="David" w:hAnsi="David" w:cs="David" w:hint="cs"/>
          <w:sz w:val="24"/>
          <w:szCs w:val="24"/>
          <w:rtl/>
        </w:rPr>
        <w:t>292</w:t>
      </w:r>
      <w:r>
        <w:rPr>
          <w:rFonts w:ascii="David" w:hAnsi="David" w:cs="David"/>
          <w:sz w:val="24"/>
          <w:szCs w:val="24"/>
          <w:rtl/>
        </w:rPr>
        <w:t xml:space="preserve"> שתילים במשקל כולל של </w:t>
      </w:r>
      <w:r>
        <w:rPr>
          <w:rFonts w:ascii="David" w:hAnsi="David" w:cs="David" w:hint="cs"/>
          <w:sz w:val="24"/>
          <w:szCs w:val="24"/>
          <w:rtl/>
        </w:rPr>
        <w:t>115</w:t>
      </w:r>
      <w:r>
        <w:rPr>
          <w:rFonts w:ascii="David" w:hAnsi="David" w:cs="David"/>
          <w:sz w:val="24"/>
          <w:szCs w:val="24"/>
          <w:rtl/>
        </w:rPr>
        <w:t xml:space="preserve"> ק"ג </w:t>
      </w:r>
      <w:r>
        <w:rPr>
          <w:rFonts w:ascii="David" w:hAnsi="David" w:cs="David" w:hint="cs"/>
          <w:sz w:val="24"/>
          <w:szCs w:val="24"/>
          <w:rtl/>
        </w:rPr>
        <w:t xml:space="preserve">נטו. </w:t>
      </w:r>
      <w:r>
        <w:rPr>
          <w:rFonts w:ascii="David" w:hAnsi="David" w:cs="David"/>
          <w:sz w:val="24"/>
          <w:szCs w:val="24"/>
          <w:rtl/>
        </w:rPr>
        <w:t xml:space="preserve">המעבדה כללה </w:t>
      </w:r>
      <w:r>
        <w:rPr>
          <w:rFonts w:ascii="David" w:hAnsi="David" w:cs="David" w:hint="cs"/>
          <w:sz w:val="24"/>
          <w:szCs w:val="24"/>
          <w:rtl/>
        </w:rPr>
        <w:t xml:space="preserve">כ- 630 אדניות, מאווררים, נורות, מזגנים, משאבות מים, מפוחים, פילטרים, שנאים ומד טמפרטורה. </w:t>
      </w:r>
      <w:r>
        <w:rPr>
          <w:rFonts w:ascii="David" w:hAnsi="David" w:cs="David"/>
          <w:sz w:val="24"/>
          <w:szCs w:val="24"/>
          <w:rtl/>
        </w:rPr>
        <w:t xml:space="preserve">לשם תפעול </w:t>
      </w:r>
      <w:r>
        <w:rPr>
          <w:rFonts w:ascii="David" w:hAnsi="David" w:cs="David" w:hint="cs"/>
          <w:sz w:val="24"/>
          <w:szCs w:val="24"/>
          <w:rtl/>
        </w:rPr>
        <w:t>המעבדה</w:t>
      </w:r>
      <w:r>
        <w:rPr>
          <w:rFonts w:ascii="David" w:hAnsi="David" w:cs="David"/>
          <w:sz w:val="24"/>
          <w:szCs w:val="24"/>
          <w:rtl/>
        </w:rPr>
        <w:t xml:space="preserve"> </w:t>
      </w:r>
      <w:r>
        <w:rPr>
          <w:rFonts w:ascii="David" w:hAnsi="David" w:cs="David" w:hint="cs"/>
          <w:sz w:val="24"/>
          <w:szCs w:val="24"/>
          <w:rtl/>
        </w:rPr>
        <w:t>התקינו הנאשם והאחרים חיבור מאולתר לארון אספקת חשמל של חברת החשמל</w:t>
      </w:r>
      <w:r>
        <w:rPr>
          <w:rFonts w:ascii="David" w:hAnsi="David" w:cs="David"/>
          <w:sz w:val="24"/>
          <w:szCs w:val="24"/>
          <w:rtl/>
        </w:rPr>
        <w:t xml:space="preserve"> והשתמש</w:t>
      </w:r>
      <w:r>
        <w:rPr>
          <w:rFonts w:ascii="David" w:hAnsi="David" w:cs="David" w:hint="cs"/>
          <w:sz w:val="24"/>
          <w:szCs w:val="24"/>
          <w:rtl/>
        </w:rPr>
        <w:t>ו</w:t>
      </w:r>
      <w:r>
        <w:rPr>
          <w:rFonts w:ascii="David" w:hAnsi="David" w:cs="David"/>
          <w:sz w:val="24"/>
          <w:szCs w:val="24"/>
          <w:rtl/>
        </w:rPr>
        <w:t xml:space="preserve"> בחשמל שלא כדין.</w:t>
      </w:r>
      <w:r>
        <w:rPr>
          <w:rFonts w:ascii="David" w:hAnsi="David" w:cs="David" w:hint="cs"/>
          <w:sz w:val="24"/>
          <w:szCs w:val="24"/>
          <w:rtl/>
        </w:rPr>
        <w:t xml:space="preserve"> המעבדה אותרה על ידי המשטרה ביום 12.1.21. </w:t>
      </w:r>
    </w:p>
    <w:p w14:paraId="4ECD2F28" w14:textId="77777777" w:rsidR="00323503" w:rsidRPr="0043087C" w:rsidRDefault="00323503" w:rsidP="00323503">
      <w:pPr>
        <w:pStyle w:val="a9"/>
        <w:spacing w:before="240" w:after="240" w:line="360" w:lineRule="auto"/>
        <w:ind w:left="360"/>
        <w:contextualSpacing w:val="0"/>
        <w:jc w:val="both"/>
        <w:rPr>
          <w:rFonts w:ascii="David" w:hAnsi="David" w:cs="David"/>
          <w:sz w:val="24"/>
          <w:szCs w:val="24"/>
          <w:u w:val="single"/>
          <w:rtl/>
        </w:rPr>
      </w:pPr>
      <w:r w:rsidRPr="0043087C">
        <w:rPr>
          <w:rFonts w:ascii="David" w:hAnsi="David" w:cs="David" w:hint="cs"/>
          <w:sz w:val="24"/>
          <w:szCs w:val="24"/>
          <w:u w:val="single"/>
          <w:rtl/>
        </w:rPr>
        <w:t>תסקיר שירות מבחן</w:t>
      </w:r>
    </w:p>
    <w:p w14:paraId="3096EA79" w14:textId="77777777" w:rsidR="00323503" w:rsidRDefault="00323503" w:rsidP="00323503">
      <w:pPr>
        <w:pStyle w:val="a9"/>
        <w:numPr>
          <w:ilvl w:val="0"/>
          <w:numId w:val="1"/>
        </w:numPr>
        <w:spacing w:before="240" w:after="240" w:line="360" w:lineRule="auto"/>
        <w:contextualSpacing w:val="0"/>
        <w:jc w:val="both"/>
        <w:rPr>
          <w:rFonts w:ascii="David" w:hAnsi="David" w:cs="David"/>
          <w:sz w:val="24"/>
          <w:szCs w:val="24"/>
        </w:rPr>
      </w:pPr>
      <w:r w:rsidRPr="00EE3EA3">
        <w:rPr>
          <w:rFonts w:ascii="David" w:hAnsi="David" w:cs="David" w:hint="cs"/>
          <w:sz w:val="24"/>
          <w:szCs w:val="24"/>
          <w:rtl/>
        </w:rPr>
        <w:t xml:space="preserve">מתסקיר שירות המבחן עולה כי מדובר בנאשם בן 18, רווק, נעדר הרשעות קודמות, אשר טרם מעצרו התגורר בבית הוריו ועבד בעבודות מזדמנות. הנאשם גדל במשפחה חרדית המנהלת אורח חיים נורמטיבי ותקין, התחנך במסגרות לימוד חרדיות והשלים 10 שנות לימוד ללא תעודת בגרות. בגיל צעיר אובחן כסובל מבעיות קשב וריכוז ונטל טיפול תרופתי במשך מספר שנים, התקשה להסתגל ולהתמיד במסגרות החינוך. בגיל 16 נשר מהמסגרת החינוכית והשתלב בעבודות שונות. על רקע קשייו פנה לפתרונות מהירים ושוליים על מנת לבסס מעמדו הכלכלי והחברתי. לדבריו, קיבל פטור משירות צבאי על רקע מעורבותו בפלילים. הנאשם תיאר קשר קרוב ותומך עם בני משפחתו, ומסר כי הוריו באים לבקרו במעצר ומהווים גורם תמיכה משמעותי עבורו. </w:t>
      </w:r>
    </w:p>
    <w:p w14:paraId="28ADEEBD" w14:textId="77777777" w:rsidR="00323503" w:rsidRPr="00EE3EA3" w:rsidRDefault="00323503" w:rsidP="00323503">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להתרשמות שירות המבחן, </w:t>
      </w:r>
      <w:r w:rsidRPr="00EE3EA3">
        <w:rPr>
          <w:rFonts w:ascii="David" w:hAnsi="David" w:cs="David" w:hint="cs"/>
          <w:sz w:val="24"/>
          <w:szCs w:val="24"/>
          <w:rtl/>
        </w:rPr>
        <w:t>הנאשם אינו מאופיין בנורמות עברייניות מושרשות אך הוא מתקשה לבחון השלכות מעשיו ומחזיק בדפוסים התמכרותיים. במהלך תקופת הפיקוח נעצר כשנסע להר מירון והשתמש בקנאביס. הנאשם שיתף כי בגיל 15 החל להשתמש בקנאביס כאשר בגיל 17 כבר החל לצרוך אותו באופן יומיומי. לדבריו, מאז מעצרו הראשון בינואר 2021 הפסיק השימוש בקנאביס ואולם במהלך שהותו במעצר בית החל לצרוך אלכוהול בכמות מוגברת על רקע קשיי התמודדות עם התנאים המגבילים ומתוך שעמום וחוסר מעש. הנאשם הביע חרטה על מעשיו וסיפר כי ברקע לביצוע העבירות חובות כספיים לגורמים שוליים על רקע השתתפות במשחקי הימורים. לדבריו, קיבל הצעה מאותם ג</w:t>
      </w:r>
      <w:r>
        <w:rPr>
          <w:rFonts w:ascii="David" w:hAnsi="David" w:cs="David" w:hint="cs"/>
          <w:sz w:val="24"/>
          <w:szCs w:val="24"/>
          <w:rtl/>
        </w:rPr>
        <w:t>ורמים כי בתמורה לסגירת החוב ישכו</w:t>
      </w:r>
      <w:r w:rsidRPr="00EE3EA3">
        <w:rPr>
          <w:rFonts w:ascii="David" w:hAnsi="David" w:cs="David" w:hint="cs"/>
          <w:sz w:val="24"/>
          <w:szCs w:val="24"/>
          <w:rtl/>
        </w:rPr>
        <w:t xml:space="preserve">ר עבורם דירה על שמו בה יגדל סמים, כאשר תפקידו היה להגיע לדירה פעמיים בשבוע ולטפל בשתילים ובכוונתו הייתה להחזיר את חובותיו ולהפסיק את הקשר עם אותם גורמים שוליים. הנאשם מסר כי ביום שנעצר סיים להחזיר חובו. שירות המבחן התרשם כי </w:t>
      </w:r>
      <w:r>
        <w:rPr>
          <w:rFonts w:ascii="David" w:hAnsi="David" w:cs="David" w:hint="cs"/>
          <w:sz w:val="24"/>
          <w:szCs w:val="24"/>
          <w:rtl/>
        </w:rPr>
        <w:t xml:space="preserve">אף בחלוף הזמן </w:t>
      </w:r>
      <w:r w:rsidRPr="00EE3EA3">
        <w:rPr>
          <w:rFonts w:ascii="David" w:hAnsi="David" w:cs="David" w:hint="cs"/>
          <w:sz w:val="24"/>
          <w:szCs w:val="24"/>
          <w:rtl/>
        </w:rPr>
        <w:t xml:space="preserve">הנאשם מתקשה להתבונן באופן ביקורתי על בחירותיו והתנהלותו, </w:t>
      </w:r>
      <w:r>
        <w:rPr>
          <w:rFonts w:ascii="David" w:hAnsi="David" w:cs="David" w:hint="cs"/>
          <w:sz w:val="24"/>
          <w:szCs w:val="24"/>
          <w:rtl/>
        </w:rPr>
        <w:t>ו</w:t>
      </w:r>
      <w:r w:rsidRPr="00EE3EA3">
        <w:rPr>
          <w:rFonts w:ascii="David" w:hAnsi="David" w:cs="David" w:hint="cs"/>
          <w:sz w:val="24"/>
          <w:szCs w:val="24"/>
          <w:rtl/>
        </w:rPr>
        <w:t>נוטה להשליך האחריות באותה תקופה על קשרים חברתיים והיותו נתון תחת השפעת סמים</w:t>
      </w:r>
      <w:r>
        <w:rPr>
          <w:rFonts w:ascii="David" w:hAnsi="David" w:cs="David" w:hint="cs"/>
          <w:sz w:val="24"/>
          <w:szCs w:val="24"/>
          <w:rtl/>
        </w:rPr>
        <w:t>.</w:t>
      </w:r>
      <w:r w:rsidRPr="00EE3EA3">
        <w:rPr>
          <w:rFonts w:ascii="David" w:hAnsi="David" w:cs="David" w:hint="cs"/>
          <w:sz w:val="24"/>
          <w:szCs w:val="24"/>
          <w:rtl/>
        </w:rPr>
        <w:t xml:space="preserve"> חרף הצהרותיו כי מעוניין להשתלב בטיפול בתחום ההתמכרויות</w:t>
      </w:r>
      <w:r>
        <w:rPr>
          <w:rFonts w:ascii="David" w:hAnsi="David" w:cs="David" w:hint="cs"/>
          <w:sz w:val="24"/>
          <w:szCs w:val="24"/>
          <w:rtl/>
        </w:rPr>
        <w:t>, להערכת שירות המבחן</w:t>
      </w:r>
      <w:r w:rsidRPr="00EE3EA3">
        <w:rPr>
          <w:rFonts w:ascii="David" w:hAnsi="David" w:cs="David" w:hint="cs"/>
          <w:sz w:val="24"/>
          <w:szCs w:val="24"/>
          <w:rtl/>
        </w:rPr>
        <w:t xml:space="preserve"> מדובר במוטיבציה חיצונית בלבד שכן הנאשם מתקשה לבחון, אף ברמה הראשונית, את התנהגותו ומציב תנאים להשתלבותו בהליך הטיפולי. כגורמי סיכוי נשקלו גילו הצעיר, הסתבכותו הראשונה עם החוק ומשפחתו התומכת של הנאשם, בהתאם לדיווחיו. כגורמי סיכון נשקלו חומרת העבירות שביצע, היותו ממוקד בקידום צרכיו ובשיקולים תועלתניים, התייחסותו הקונקרטית והמצמצ</w:t>
      </w:r>
      <w:r>
        <w:rPr>
          <w:rFonts w:ascii="David" w:hAnsi="David" w:cs="David" w:hint="cs"/>
          <w:sz w:val="24"/>
          <w:szCs w:val="24"/>
          <w:rtl/>
        </w:rPr>
        <w:t xml:space="preserve">מת לביצוע העבירות, </w:t>
      </w:r>
      <w:r w:rsidRPr="00EE3EA3">
        <w:rPr>
          <w:rFonts w:ascii="David" w:hAnsi="David" w:cs="David" w:hint="cs"/>
          <w:sz w:val="24"/>
          <w:szCs w:val="24"/>
          <w:rtl/>
        </w:rPr>
        <w:t xml:space="preserve">היעדר תובנה </w:t>
      </w:r>
      <w:r>
        <w:rPr>
          <w:rFonts w:ascii="David" w:hAnsi="David" w:cs="David" w:hint="cs"/>
          <w:sz w:val="24"/>
          <w:szCs w:val="24"/>
          <w:rtl/>
        </w:rPr>
        <w:t>(</w:t>
      </w:r>
      <w:r w:rsidRPr="00EE3EA3">
        <w:rPr>
          <w:rFonts w:ascii="David" w:hAnsi="David" w:cs="David" w:hint="cs"/>
          <w:sz w:val="24"/>
          <w:szCs w:val="24"/>
          <w:rtl/>
        </w:rPr>
        <w:t>אף בדיעבד</w:t>
      </w:r>
      <w:r>
        <w:rPr>
          <w:rFonts w:ascii="David" w:hAnsi="David" w:cs="David" w:hint="cs"/>
          <w:sz w:val="24"/>
          <w:szCs w:val="24"/>
          <w:rtl/>
        </w:rPr>
        <w:t>)</w:t>
      </w:r>
      <w:r w:rsidRPr="00EE3EA3">
        <w:rPr>
          <w:rFonts w:ascii="David" w:hAnsi="David" w:cs="David" w:hint="cs"/>
          <w:sz w:val="24"/>
          <w:szCs w:val="24"/>
          <w:rtl/>
        </w:rPr>
        <w:t xml:space="preserve"> באשר למצבו, וקשייו לעמוד במסגרת תנאים מגבילים. לאור האמור, שירות המבחן המליץ על ענישה מוחשית לצד בחינת התאמתו לטיפול בהתמכרויות במסגרת שב"ס.  </w:t>
      </w:r>
    </w:p>
    <w:p w14:paraId="33AC86C7" w14:textId="77777777" w:rsidR="00323503" w:rsidRPr="0043087C" w:rsidRDefault="00323503" w:rsidP="00323503">
      <w:pPr>
        <w:pStyle w:val="a9"/>
        <w:spacing w:before="240" w:after="240" w:line="360" w:lineRule="auto"/>
        <w:ind w:left="360"/>
        <w:contextualSpacing w:val="0"/>
        <w:jc w:val="both"/>
        <w:rPr>
          <w:rFonts w:ascii="David" w:hAnsi="David" w:cs="David"/>
          <w:sz w:val="24"/>
          <w:szCs w:val="24"/>
          <w:u w:val="single"/>
        </w:rPr>
      </w:pPr>
      <w:r w:rsidRPr="0043087C">
        <w:rPr>
          <w:rFonts w:ascii="David" w:hAnsi="David" w:cs="David"/>
          <w:sz w:val="24"/>
          <w:szCs w:val="24"/>
          <w:u w:val="single"/>
          <w:rtl/>
        </w:rPr>
        <w:t>טענות הצדדים לעונש</w:t>
      </w:r>
    </w:p>
    <w:p w14:paraId="7CBB4A05" w14:textId="77777777" w:rsidR="00323503" w:rsidRDefault="00323503" w:rsidP="00323503">
      <w:pPr>
        <w:pStyle w:val="a9"/>
        <w:numPr>
          <w:ilvl w:val="0"/>
          <w:numId w:val="1"/>
        </w:numPr>
        <w:spacing w:before="240" w:after="240" w:line="360" w:lineRule="auto"/>
        <w:contextualSpacing w:val="0"/>
        <w:jc w:val="both"/>
        <w:rPr>
          <w:rFonts w:ascii="David" w:hAnsi="David" w:cs="David"/>
          <w:sz w:val="24"/>
          <w:szCs w:val="24"/>
        </w:rPr>
      </w:pPr>
      <w:r w:rsidRPr="0043087C">
        <w:rPr>
          <w:rFonts w:ascii="David" w:hAnsi="David" w:cs="David" w:hint="cs"/>
          <w:b/>
          <w:bCs/>
          <w:sz w:val="24"/>
          <w:szCs w:val="24"/>
          <w:rtl/>
        </w:rPr>
        <w:lastRenderedPageBreak/>
        <w:t xml:space="preserve">ב"כ </w:t>
      </w:r>
      <w:r w:rsidRPr="0043087C">
        <w:rPr>
          <w:rFonts w:ascii="David" w:hAnsi="David" w:cs="David"/>
          <w:b/>
          <w:bCs/>
          <w:sz w:val="24"/>
          <w:szCs w:val="24"/>
          <w:rtl/>
        </w:rPr>
        <w:t>התביעה</w:t>
      </w:r>
      <w:r>
        <w:rPr>
          <w:rFonts w:ascii="David" w:hAnsi="David" w:cs="David"/>
          <w:sz w:val="24"/>
          <w:szCs w:val="24"/>
          <w:rtl/>
        </w:rPr>
        <w:t xml:space="preserve"> עמדה בטיעוניה על הערכים המוגנים השונים שנפגעו כתוצאה ממעשי הנאשם, על ריבוי תיקי המעבדות </w:t>
      </w:r>
      <w:r>
        <w:rPr>
          <w:rFonts w:ascii="David" w:hAnsi="David" w:cs="David" w:hint="cs"/>
          <w:sz w:val="24"/>
          <w:szCs w:val="24"/>
          <w:rtl/>
        </w:rPr>
        <w:t xml:space="preserve">שהפכו ל"מכת מדינה" של ממש, </w:t>
      </w:r>
      <w:r>
        <w:rPr>
          <w:rFonts w:ascii="David" w:hAnsi="David" w:cs="David"/>
          <w:sz w:val="24"/>
          <w:szCs w:val="24"/>
          <w:rtl/>
        </w:rPr>
        <w:t>ועל הצורך במתן מענה עונשי הולם לתופעה מתגברת זו.</w:t>
      </w:r>
    </w:p>
    <w:p w14:paraId="381397D4" w14:textId="77777777" w:rsidR="00323503" w:rsidRDefault="00323503" w:rsidP="00323503">
      <w:pPr>
        <w:pStyle w:val="a9"/>
        <w:spacing w:before="240" w:after="240" w:line="360" w:lineRule="auto"/>
        <w:ind w:left="360"/>
        <w:contextualSpacing w:val="0"/>
        <w:jc w:val="both"/>
        <w:rPr>
          <w:rFonts w:ascii="David" w:hAnsi="David" w:cs="David"/>
          <w:sz w:val="24"/>
          <w:szCs w:val="24"/>
        </w:rPr>
      </w:pPr>
      <w:r>
        <w:rPr>
          <w:rFonts w:ascii="David" w:hAnsi="David" w:cs="David"/>
          <w:sz w:val="24"/>
          <w:szCs w:val="24"/>
          <w:rtl/>
        </w:rPr>
        <w:t>הת</w:t>
      </w:r>
      <w:r>
        <w:rPr>
          <w:rFonts w:ascii="David" w:hAnsi="David" w:cs="David" w:hint="cs"/>
          <w:sz w:val="24"/>
          <w:szCs w:val="24"/>
          <w:rtl/>
        </w:rPr>
        <w:t>ביעה</w:t>
      </w:r>
      <w:r>
        <w:rPr>
          <w:rFonts w:ascii="David" w:hAnsi="David" w:cs="David"/>
          <w:sz w:val="24"/>
          <w:szCs w:val="24"/>
          <w:rtl/>
        </w:rPr>
        <w:t xml:space="preserve"> התייחסה בטיעוניה לתכנון </w:t>
      </w:r>
      <w:r>
        <w:rPr>
          <w:rFonts w:ascii="David" w:hAnsi="David" w:cs="David" w:hint="cs"/>
          <w:sz w:val="24"/>
          <w:szCs w:val="24"/>
          <w:rtl/>
        </w:rPr>
        <w:t xml:space="preserve">ולתחכום </w:t>
      </w:r>
      <w:r>
        <w:rPr>
          <w:rFonts w:ascii="David" w:hAnsi="David" w:cs="David"/>
          <w:sz w:val="24"/>
          <w:szCs w:val="24"/>
          <w:rtl/>
        </w:rPr>
        <w:t>שקד</w:t>
      </w:r>
      <w:r>
        <w:rPr>
          <w:rFonts w:ascii="David" w:hAnsi="David" w:cs="David" w:hint="cs"/>
          <w:sz w:val="24"/>
          <w:szCs w:val="24"/>
          <w:rtl/>
        </w:rPr>
        <w:t>מו</w:t>
      </w:r>
      <w:r>
        <w:rPr>
          <w:rFonts w:ascii="David" w:hAnsi="David" w:cs="David"/>
          <w:sz w:val="24"/>
          <w:szCs w:val="24"/>
          <w:rtl/>
        </w:rPr>
        <w:t xml:space="preserve"> לביצוע העבירות; לכמות הסמים הבלתי מבוטלת שנתפסה במקום; </w:t>
      </w:r>
      <w:r>
        <w:rPr>
          <w:rFonts w:ascii="David" w:hAnsi="David" w:cs="David" w:hint="cs"/>
          <w:sz w:val="24"/>
          <w:szCs w:val="24"/>
          <w:rtl/>
        </w:rPr>
        <w:t xml:space="preserve">לעובדה שבוצעה גם עבירה של נטילת חשמל; לחלקו המשמעותי של הנאשם בביצוע העבירות; לגילו הצעיר; </w:t>
      </w:r>
      <w:r>
        <w:rPr>
          <w:rFonts w:ascii="David" w:hAnsi="David" w:cs="David"/>
          <w:sz w:val="24"/>
          <w:szCs w:val="24"/>
          <w:rtl/>
        </w:rPr>
        <w:t>לעברו הפלילי הנקי</w:t>
      </w:r>
      <w:r>
        <w:rPr>
          <w:rFonts w:ascii="David" w:hAnsi="David" w:cs="David" w:hint="cs"/>
          <w:sz w:val="24"/>
          <w:szCs w:val="24"/>
          <w:rtl/>
        </w:rPr>
        <w:t>;</w:t>
      </w:r>
      <w:r>
        <w:rPr>
          <w:rFonts w:ascii="David" w:hAnsi="David" w:cs="David"/>
          <w:sz w:val="24"/>
          <w:szCs w:val="24"/>
          <w:rtl/>
        </w:rPr>
        <w:t xml:space="preserve"> ל</w:t>
      </w:r>
      <w:r>
        <w:rPr>
          <w:rFonts w:ascii="David" w:hAnsi="David" w:cs="David" w:hint="cs"/>
          <w:sz w:val="24"/>
          <w:szCs w:val="24"/>
          <w:rtl/>
        </w:rPr>
        <w:t>עובדה כי מדובר במאסרו הראשון; ל</w:t>
      </w:r>
      <w:r>
        <w:rPr>
          <w:rFonts w:ascii="David" w:hAnsi="David" w:cs="David"/>
          <w:sz w:val="24"/>
          <w:szCs w:val="24"/>
          <w:rtl/>
        </w:rPr>
        <w:t>הודאה ו</w:t>
      </w:r>
      <w:r>
        <w:rPr>
          <w:rFonts w:ascii="David" w:hAnsi="David" w:cs="David" w:hint="cs"/>
          <w:sz w:val="24"/>
          <w:szCs w:val="24"/>
          <w:rtl/>
        </w:rPr>
        <w:t>ל</w:t>
      </w:r>
      <w:r>
        <w:rPr>
          <w:rFonts w:ascii="David" w:hAnsi="David" w:cs="David"/>
          <w:sz w:val="24"/>
          <w:szCs w:val="24"/>
          <w:rtl/>
        </w:rPr>
        <w:t>נטילת האחריות המלאה.</w:t>
      </w:r>
    </w:p>
    <w:p w14:paraId="62B47D26" w14:textId="77777777" w:rsidR="00323503" w:rsidRDefault="00323503" w:rsidP="00323503">
      <w:pPr>
        <w:pStyle w:val="a9"/>
        <w:spacing w:before="240" w:after="240" w:line="360" w:lineRule="auto"/>
        <w:ind w:left="360"/>
        <w:contextualSpacing w:val="0"/>
        <w:jc w:val="both"/>
        <w:rPr>
          <w:rFonts w:ascii="David" w:hAnsi="David" w:cs="David"/>
          <w:sz w:val="24"/>
          <w:szCs w:val="24"/>
          <w:rtl/>
        </w:rPr>
      </w:pPr>
      <w:r>
        <w:rPr>
          <w:rFonts w:ascii="David" w:hAnsi="David" w:cs="David"/>
          <w:sz w:val="24"/>
          <w:szCs w:val="24"/>
          <w:rtl/>
        </w:rPr>
        <w:t>בהינתן כלל הנתונים ומדיניות הענישה של התביעה, ובשים לב ל</w:t>
      </w:r>
      <w:hyperlink r:id="rId15" w:history="1">
        <w:r w:rsidR="00617F4D" w:rsidRPr="00617F4D">
          <w:rPr>
            <w:rFonts w:ascii="David" w:hAnsi="David" w:cs="David"/>
            <w:color w:val="0000FF"/>
            <w:sz w:val="24"/>
            <w:szCs w:val="24"/>
            <w:u w:val="single"/>
            <w:rtl/>
          </w:rPr>
          <w:t>ע"פ 2596/18</w:t>
        </w:r>
      </w:hyperlink>
      <w:r>
        <w:rPr>
          <w:rFonts w:ascii="David" w:hAnsi="David" w:cs="David"/>
          <w:sz w:val="24"/>
          <w:szCs w:val="24"/>
          <w:rtl/>
        </w:rPr>
        <w:t xml:space="preserve"> </w:t>
      </w:r>
      <w:r>
        <w:rPr>
          <w:rFonts w:ascii="David" w:hAnsi="David" w:cs="David"/>
          <w:b/>
          <w:bCs/>
          <w:sz w:val="24"/>
          <w:szCs w:val="24"/>
          <w:rtl/>
        </w:rPr>
        <w:t>זנזורי נ' מדינת ישראל</w:t>
      </w:r>
      <w:r>
        <w:rPr>
          <w:rFonts w:ascii="David" w:hAnsi="David" w:cs="David"/>
          <w:sz w:val="24"/>
          <w:szCs w:val="24"/>
          <w:rtl/>
        </w:rPr>
        <w:t xml:space="preserve"> (12.08.2018) (להלן - </w:t>
      </w:r>
      <w:r>
        <w:rPr>
          <w:rFonts w:ascii="David" w:hAnsi="David" w:cs="David"/>
          <w:b/>
          <w:bCs/>
          <w:sz w:val="24"/>
          <w:szCs w:val="24"/>
          <w:rtl/>
        </w:rPr>
        <w:t>עניין זנזורי</w:t>
      </w:r>
      <w:r>
        <w:rPr>
          <w:rFonts w:ascii="David" w:hAnsi="David" w:cs="David"/>
          <w:sz w:val="24"/>
          <w:szCs w:val="24"/>
          <w:rtl/>
        </w:rPr>
        <w:t xml:space="preserve">) אליו הפנתה, עתרה התביעה להעלאת רף הענישה כך שמתחם העונש ההולם ינוע בין </w:t>
      </w:r>
      <w:r>
        <w:rPr>
          <w:rFonts w:ascii="David" w:hAnsi="David" w:cs="David" w:hint="cs"/>
          <w:sz w:val="24"/>
          <w:szCs w:val="24"/>
          <w:rtl/>
        </w:rPr>
        <w:t>42</w:t>
      </w:r>
      <w:r>
        <w:rPr>
          <w:rFonts w:ascii="David" w:hAnsi="David" w:cs="David"/>
          <w:sz w:val="24"/>
          <w:szCs w:val="24"/>
          <w:rtl/>
        </w:rPr>
        <w:t xml:space="preserve"> ל- </w:t>
      </w:r>
      <w:r>
        <w:rPr>
          <w:rFonts w:ascii="David" w:hAnsi="David" w:cs="David" w:hint="cs"/>
          <w:sz w:val="24"/>
          <w:szCs w:val="24"/>
          <w:rtl/>
        </w:rPr>
        <w:t>60</w:t>
      </w:r>
      <w:r>
        <w:rPr>
          <w:rFonts w:ascii="David" w:hAnsi="David" w:cs="David"/>
          <w:sz w:val="24"/>
          <w:szCs w:val="24"/>
          <w:rtl/>
        </w:rPr>
        <w:t xml:space="preserve"> חודשי מאסר, תוך מיקום עונשו של הנאשם בתחתית המתחם. כמו כן, המאשימה עתרה להשתת </w:t>
      </w:r>
      <w:r>
        <w:rPr>
          <w:rFonts w:ascii="David" w:hAnsi="David" w:cs="David" w:hint="cs"/>
          <w:sz w:val="24"/>
          <w:szCs w:val="24"/>
          <w:rtl/>
        </w:rPr>
        <w:t xml:space="preserve">מאסר על תנאי, </w:t>
      </w:r>
      <w:r>
        <w:rPr>
          <w:rFonts w:ascii="David" w:hAnsi="David" w:cs="David"/>
          <w:sz w:val="24"/>
          <w:szCs w:val="24"/>
          <w:rtl/>
        </w:rPr>
        <w:t>קנס כספי משמעותי</w:t>
      </w:r>
      <w:r>
        <w:rPr>
          <w:rFonts w:ascii="David" w:hAnsi="David" w:cs="David" w:hint="cs"/>
          <w:sz w:val="24"/>
          <w:szCs w:val="24"/>
          <w:rtl/>
        </w:rPr>
        <w:t>, חילוט רכוש והכרזה על הנאשם כסוחר סמים</w:t>
      </w:r>
      <w:r>
        <w:rPr>
          <w:rFonts w:ascii="David" w:hAnsi="David" w:cs="David"/>
          <w:sz w:val="24"/>
          <w:szCs w:val="24"/>
          <w:rtl/>
        </w:rPr>
        <w:t>.</w:t>
      </w:r>
      <w:r>
        <w:rPr>
          <w:rFonts w:ascii="David" w:hAnsi="David" w:cs="David" w:hint="cs"/>
          <w:sz w:val="24"/>
          <w:szCs w:val="24"/>
          <w:rtl/>
        </w:rPr>
        <w:t xml:space="preserve"> </w:t>
      </w:r>
    </w:p>
    <w:p w14:paraId="4132128A" w14:textId="77777777" w:rsidR="00323503" w:rsidRDefault="00323503" w:rsidP="00323503">
      <w:pPr>
        <w:pStyle w:val="a9"/>
        <w:numPr>
          <w:ilvl w:val="0"/>
          <w:numId w:val="1"/>
        </w:numPr>
        <w:spacing w:before="240" w:after="240" w:line="360" w:lineRule="auto"/>
        <w:contextualSpacing w:val="0"/>
        <w:jc w:val="both"/>
        <w:rPr>
          <w:rFonts w:ascii="David" w:hAnsi="David" w:cs="David"/>
          <w:sz w:val="24"/>
          <w:szCs w:val="24"/>
        </w:rPr>
      </w:pPr>
      <w:r w:rsidRPr="004D16BF">
        <w:rPr>
          <w:rFonts w:ascii="David" w:hAnsi="David" w:cs="David"/>
          <w:b/>
          <w:bCs/>
          <w:sz w:val="24"/>
          <w:szCs w:val="24"/>
          <w:rtl/>
        </w:rPr>
        <w:t>ב"כ הנאשם</w:t>
      </w:r>
      <w:r w:rsidRPr="004D16BF">
        <w:rPr>
          <w:rFonts w:ascii="David" w:hAnsi="David" w:cs="David" w:hint="cs"/>
          <w:sz w:val="24"/>
          <w:szCs w:val="24"/>
          <w:rtl/>
        </w:rPr>
        <w:t xml:space="preserve"> טען כי </w:t>
      </w:r>
      <w:r>
        <w:rPr>
          <w:rFonts w:ascii="David" w:hAnsi="David" w:cs="David" w:hint="cs"/>
          <w:sz w:val="24"/>
          <w:szCs w:val="24"/>
          <w:rtl/>
        </w:rPr>
        <w:t>על אף שזהות האחרים אינה ידועה</w:t>
      </w:r>
      <w:r w:rsidRPr="004D16BF">
        <w:rPr>
          <w:rFonts w:ascii="David" w:hAnsi="David" w:cs="David" w:hint="cs"/>
          <w:sz w:val="24"/>
          <w:szCs w:val="24"/>
          <w:rtl/>
        </w:rPr>
        <w:t xml:space="preserve"> והגם שהנאשם מהווה חוליה בשרשרת הפקת הסם; הרי שאין לראות בו כעבריין המרכזי או המרוויח העיקרי מהעבירות. לדבריו, לא מדובר במתכנן, מקים ומפיק המערך הלוגיסטי של המעבדה, אלא במי ששימש כ"קוף", שכל תפקידו התמצה בהשקיית הגידולים ובדיקת הקיים פעמיים בשבוע. </w:t>
      </w:r>
    </w:p>
    <w:p w14:paraId="38FE1C03" w14:textId="77777777" w:rsidR="00323503" w:rsidRDefault="00323503" w:rsidP="00323503">
      <w:pPr>
        <w:pStyle w:val="a9"/>
        <w:spacing w:before="240" w:after="240" w:line="360" w:lineRule="auto"/>
        <w:ind w:left="360"/>
        <w:contextualSpacing w:val="0"/>
        <w:jc w:val="both"/>
        <w:rPr>
          <w:rFonts w:ascii="David" w:hAnsi="David" w:cs="David"/>
          <w:sz w:val="24"/>
          <w:szCs w:val="24"/>
        </w:rPr>
      </w:pPr>
    </w:p>
    <w:p w14:paraId="07857DCE" w14:textId="77777777" w:rsidR="00323503" w:rsidRDefault="00323503" w:rsidP="00323503">
      <w:pPr>
        <w:pStyle w:val="a9"/>
        <w:spacing w:before="240" w:after="240" w:line="360" w:lineRule="auto"/>
        <w:ind w:left="360"/>
        <w:contextualSpacing w:val="0"/>
        <w:jc w:val="both"/>
        <w:rPr>
          <w:rFonts w:ascii="David" w:hAnsi="David" w:cs="David"/>
          <w:sz w:val="24"/>
          <w:szCs w:val="24"/>
          <w:rtl/>
        </w:rPr>
      </w:pPr>
      <w:r w:rsidRPr="004D16BF">
        <w:rPr>
          <w:rFonts w:ascii="David" w:hAnsi="David" w:cs="David"/>
          <w:sz w:val="24"/>
          <w:szCs w:val="24"/>
          <w:rtl/>
        </w:rPr>
        <w:t xml:space="preserve">הסניגור עמד על נתוניו האישיים של הנאשם: בן </w:t>
      </w:r>
      <w:r w:rsidRPr="004D16BF">
        <w:rPr>
          <w:rFonts w:ascii="David" w:hAnsi="David" w:cs="David" w:hint="cs"/>
          <w:sz w:val="24"/>
          <w:szCs w:val="24"/>
          <w:rtl/>
        </w:rPr>
        <w:t>18</w:t>
      </w:r>
      <w:r w:rsidRPr="004D16BF">
        <w:rPr>
          <w:rFonts w:ascii="David" w:hAnsi="David" w:cs="David"/>
          <w:sz w:val="24"/>
          <w:szCs w:val="24"/>
          <w:rtl/>
        </w:rPr>
        <w:t xml:space="preserve">, ללא הרשעות קודמות, </w:t>
      </w:r>
      <w:r w:rsidRPr="004D16BF">
        <w:rPr>
          <w:rFonts w:ascii="David" w:hAnsi="David" w:cs="David" w:hint="cs"/>
          <w:sz w:val="24"/>
          <w:szCs w:val="24"/>
          <w:rtl/>
        </w:rPr>
        <w:t xml:space="preserve">מעורבות ראשונה עם החוק, בעל משפחה נורמטיבית ותומכת, </w:t>
      </w:r>
      <w:r w:rsidRPr="004D16BF">
        <w:rPr>
          <w:rFonts w:ascii="David" w:hAnsi="David" w:cs="David"/>
          <w:sz w:val="24"/>
          <w:szCs w:val="24"/>
          <w:rtl/>
        </w:rPr>
        <w:t>נטל אחריות מלאה על מעשיו</w:t>
      </w:r>
      <w:r w:rsidRPr="004D16BF">
        <w:rPr>
          <w:rFonts w:ascii="David" w:hAnsi="David" w:cs="David" w:hint="cs"/>
          <w:sz w:val="24"/>
          <w:szCs w:val="24"/>
          <w:rtl/>
        </w:rPr>
        <w:t xml:space="preserve"> ו</w:t>
      </w:r>
      <w:r w:rsidRPr="004D16BF">
        <w:rPr>
          <w:rFonts w:ascii="David" w:hAnsi="David" w:cs="David"/>
          <w:sz w:val="24"/>
          <w:szCs w:val="24"/>
          <w:rtl/>
        </w:rPr>
        <w:t>הביע חרטה</w:t>
      </w:r>
      <w:r w:rsidRPr="004D16BF">
        <w:rPr>
          <w:rFonts w:ascii="David" w:hAnsi="David" w:cs="David" w:hint="cs"/>
          <w:sz w:val="24"/>
          <w:szCs w:val="24"/>
          <w:rtl/>
        </w:rPr>
        <w:t>.</w:t>
      </w:r>
      <w:r>
        <w:rPr>
          <w:rFonts w:ascii="David" w:hAnsi="David" w:cs="David" w:hint="cs"/>
          <w:sz w:val="24"/>
          <w:szCs w:val="24"/>
          <w:rtl/>
        </w:rPr>
        <w:t xml:space="preserve"> לדבריו, מדובר בנאשם שאינו מאופיין בנורמות עברייניות מושרשות, וברקע לביצוע העבירות עומדים חובות שצבר בעקבות התמכרות להימורים ושימוש בחומרים. עוד נטען,</w:t>
      </w:r>
      <w:r w:rsidRPr="004D16BF">
        <w:rPr>
          <w:rFonts w:ascii="David" w:hAnsi="David" w:cs="David" w:hint="cs"/>
          <w:sz w:val="24"/>
          <w:szCs w:val="24"/>
          <w:rtl/>
        </w:rPr>
        <w:t xml:space="preserve"> כי מדובר בנאשם צעיר אשר יושב לראשונה בכלא רימונים ומקבל עצות מכל עבר, כך שכל יום שהוא בחברת עבריינים עלול לסכן אותו ולפגוע באינטרס הציבורי. </w:t>
      </w:r>
    </w:p>
    <w:p w14:paraId="2737EBBA" w14:textId="77777777" w:rsidR="00323503" w:rsidRPr="00374B15" w:rsidRDefault="00323503" w:rsidP="00323503">
      <w:pPr>
        <w:pStyle w:val="a9"/>
        <w:spacing w:before="240" w:after="240" w:line="360" w:lineRule="auto"/>
        <w:ind w:left="360"/>
        <w:contextualSpacing w:val="0"/>
        <w:jc w:val="both"/>
        <w:rPr>
          <w:rFonts w:ascii="David" w:hAnsi="David" w:cs="David"/>
          <w:sz w:val="24"/>
          <w:szCs w:val="24"/>
          <w:rtl/>
        </w:rPr>
      </w:pPr>
      <w:r w:rsidRPr="00374B15">
        <w:rPr>
          <w:rFonts w:ascii="David" w:hAnsi="David" w:cs="David"/>
          <w:sz w:val="24"/>
          <w:szCs w:val="24"/>
          <w:rtl/>
        </w:rPr>
        <w:t xml:space="preserve">על יסוד כל הנתונים שפורטו </w:t>
      </w:r>
      <w:r>
        <w:rPr>
          <w:rFonts w:ascii="David" w:hAnsi="David" w:cs="David"/>
          <w:sz w:val="24"/>
          <w:szCs w:val="24"/>
          <w:rtl/>
        </w:rPr>
        <w:t xml:space="preserve">לעיל, סבר הסנגור כי יש מקום </w:t>
      </w:r>
      <w:r>
        <w:rPr>
          <w:rFonts w:ascii="David" w:hAnsi="David" w:cs="David" w:hint="cs"/>
          <w:sz w:val="24"/>
          <w:szCs w:val="24"/>
          <w:rtl/>
        </w:rPr>
        <w:t>לקבוע</w:t>
      </w:r>
      <w:r w:rsidRPr="00374B15">
        <w:rPr>
          <w:rFonts w:ascii="David" w:hAnsi="David" w:cs="David"/>
          <w:sz w:val="24"/>
          <w:szCs w:val="24"/>
          <w:rtl/>
        </w:rPr>
        <w:t xml:space="preserve"> מתחם ענישה הנע בין </w:t>
      </w:r>
      <w:r>
        <w:rPr>
          <w:rFonts w:ascii="David" w:hAnsi="David" w:cs="David" w:hint="cs"/>
          <w:sz w:val="24"/>
          <w:szCs w:val="24"/>
          <w:rtl/>
        </w:rPr>
        <w:t>18</w:t>
      </w:r>
      <w:r w:rsidRPr="00374B15">
        <w:rPr>
          <w:rFonts w:ascii="David" w:hAnsi="David" w:cs="David"/>
          <w:sz w:val="24"/>
          <w:szCs w:val="24"/>
          <w:rtl/>
        </w:rPr>
        <w:t xml:space="preserve"> ל- </w:t>
      </w:r>
      <w:r>
        <w:rPr>
          <w:rFonts w:ascii="David" w:hAnsi="David" w:cs="David" w:hint="cs"/>
          <w:sz w:val="24"/>
          <w:szCs w:val="24"/>
          <w:rtl/>
        </w:rPr>
        <w:t>40</w:t>
      </w:r>
      <w:r w:rsidRPr="00374B15">
        <w:rPr>
          <w:rFonts w:ascii="David" w:hAnsi="David" w:cs="David"/>
          <w:sz w:val="24"/>
          <w:szCs w:val="24"/>
          <w:rtl/>
        </w:rPr>
        <w:t xml:space="preserve"> חודשי מאסר, ולמקם את הנאשם בתחתית המתחם. </w:t>
      </w:r>
    </w:p>
    <w:p w14:paraId="275B18A3" w14:textId="77777777" w:rsidR="00323503" w:rsidRPr="00F21D62" w:rsidRDefault="00323503" w:rsidP="00323503">
      <w:pPr>
        <w:pStyle w:val="a9"/>
        <w:numPr>
          <w:ilvl w:val="0"/>
          <w:numId w:val="1"/>
        </w:numPr>
        <w:spacing w:before="240" w:after="240" w:line="360" w:lineRule="auto"/>
        <w:ind w:left="357"/>
        <w:contextualSpacing w:val="0"/>
        <w:jc w:val="both"/>
        <w:rPr>
          <w:rFonts w:ascii="David" w:hAnsi="David" w:cs="David"/>
          <w:b/>
          <w:bCs/>
          <w:sz w:val="24"/>
          <w:szCs w:val="24"/>
        </w:rPr>
      </w:pPr>
      <w:r>
        <w:rPr>
          <w:rFonts w:ascii="David" w:hAnsi="David" w:cs="David" w:hint="cs"/>
          <w:sz w:val="24"/>
          <w:szCs w:val="24"/>
          <w:rtl/>
        </w:rPr>
        <w:t>במילותיו האחרונות לעונש, הנאשם הביע חרטה וביקש את התחשבות בית המשפט: "</w:t>
      </w:r>
      <w:r>
        <w:rPr>
          <w:rFonts w:ascii="David" w:hAnsi="David" w:cs="David" w:hint="cs"/>
          <w:b/>
          <w:bCs/>
          <w:sz w:val="24"/>
          <w:szCs w:val="24"/>
          <w:rtl/>
        </w:rPr>
        <w:t xml:space="preserve">נקלעתי למצב המביש בו אני נמצא, אני מצטער על כך מאוד ומביע חרטה על מעשי... ולאחר שהותי בכלא, אני מבין ומפנים את </w:t>
      </w:r>
      <w:r w:rsidRPr="00F21D62">
        <w:rPr>
          <w:rFonts w:ascii="David" w:hAnsi="David" w:cs="David" w:hint="cs"/>
          <w:b/>
          <w:bCs/>
          <w:sz w:val="24"/>
          <w:szCs w:val="24"/>
          <w:rtl/>
        </w:rPr>
        <w:t>חומרת המעשה... ברצוני להתחיל את חיי, בדרך טובה, ולבנות עצמי מחדש, למען משפחתי, בפרט הורי היקרים, שגרמתי להם צער גדול...</w:t>
      </w:r>
      <w:r>
        <w:rPr>
          <w:rFonts w:ascii="David" w:hAnsi="David" w:cs="David" w:hint="cs"/>
          <w:sz w:val="24"/>
          <w:szCs w:val="24"/>
          <w:rtl/>
        </w:rPr>
        <w:t xml:space="preserve">". </w:t>
      </w:r>
    </w:p>
    <w:p w14:paraId="6CCCE56D" w14:textId="77777777" w:rsidR="00323503" w:rsidRPr="001057FA" w:rsidRDefault="00323503" w:rsidP="00323503">
      <w:pPr>
        <w:pStyle w:val="a9"/>
        <w:spacing w:before="240" w:after="240" w:line="360" w:lineRule="auto"/>
        <w:ind w:left="357"/>
        <w:contextualSpacing w:val="0"/>
        <w:jc w:val="both"/>
        <w:rPr>
          <w:rFonts w:ascii="David" w:hAnsi="David" w:cs="David"/>
          <w:sz w:val="24"/>
          <w:szCs w:val="24"/>
          <w:u w:val="single"/>
          <w:rtl/>
        </w:rPr>
      </w:pPr>
      <w:r w:rsidRPr="001057FA">
        <w:rPr>
          <w:rFonts w:ascii="David" w:hAnsi="David" w:cs="David"/>
          <w:sz w:val="24"/>
          <w:szCs w:val="24"/>
          <w:u w:val="single"/>
          <w:rtl/>
        </w:rPr>
        <w:t>דיון והכרעה</w:t>
      </w:r>
    </w:p>
    <w:p w14:paraId="0B8A79FE" w14:textId="77777777" w:rsidR="00323503" w:rsidRDefault="00323503" w:rsidP="00323503">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sz w:val="24"/>
          <w:szCs w:val="24"/>
          <w:rtl/>
        </w:rPr>
        <w:t xml:space="preserve">דומה כי אין צורך להכביר מילים על החומרה הטמונה במעשים כגון אלו שביצע הנאשם, אשר פוגעים במגוון </w:t>
      </w:r>
      <w:r w:rsidRPr="00866321">
        <w:rPr>
          <w:rFonts w:ascii="David" w:hAnsi="David" w:cs="David"/>
          <w:sz w:val="24"/>
          <w:szCs w:val="24"/>
          <w:rtl/>
        </w:rPr>
        <w:t>ערכים חברתיים</w:t>
      </w:r>
      <w:r>
        <w:rPr>
          <w:rFonts w:ascii="David" w:hAnsi="David" w:cs="David"/>
          <w:sz w:val="24"/>
          <w:szCs w:val="24"/>
          <w:rtl/>
        </w:rPr>
        <w:t>, וב</w:t>
      </w:r>
      <w:r>
        <w:rPr>
          <w:rFonts w:ascii="David" w:hAnsi="David" w:cs="David" w:hint="cs"/>
          <w:sz w:val="24"/>
          <w:szCs w:val="24"/>
          <w:rtl/>
        </w:rPr>
        <w:t>כלל אלה</w:t>
      </w:r>
      <w:r>
        <w:rPr>
          <w:rFonts w:ascii="David" w:hAnsi="David" w:cs="David"/>
          <w:sz w:val="24"/>
          <w:szCs w:val="24"/>
          <w:rtl/>
        </w:rPr>
        <w:t xml:space="preserve"> הגנה על </w:t>
      </w:r>
      <w:r>
        <w:rPr>
          <w:rFonts w:ascii="David" w:hAnsi="David" w:cs="David" w:hint="cs"/>
          <w:sz w:val="24"/>
          <w:szCs w:val="24"/>
          <w:rtl/>
        </w:rPr>
        <w:t xml:space="preserve">שלום </w:t>
      </w:r>
      <w:r>
        <w:rPr>
          <w:rFonts w:ascii="David" w:hAnsi="David" w:cs="David"/>
          <w:sz w:val="24"/>
          <w:szCs w:val="24"/>
          <w:rtl/>
        </w:rPr>
        <w:t>הציבור</w:t>
      </w:r>
      <w:r>
        <w:rPr>
          <w:rFonts w:ascii="David" w:hAnsi="David" w:cs="David" w:hint="cs"/>
          <w:sz w:val="24"/>
          <w:szCs w:val="24"/>
          <w:rtl/>
        </w:rPr>
        <w:t xml:space="preserve"> ובריאותו</w:t>
      </w:r>
      <w:r>
        <w:rPr>
          <w:rFonts w:ascii="David" w:hAnsi="David" w:cs="David"/>
          <w:sz w:val="24"/>
          <w:szCs w:val="24"/>
          <w:rtl/>
        </w:rPr>
        <w:t xml:space="preserve"> מפני הנזקים הישירים שנגרמים לגופם של הצרכנים הפוטנציאליים, והנזקים העקיפים שנגרמים כתוצאה מביצוע עבירות רכוש ואלימות, הנלוות לצריכת הסם.</w:t>
      </w:r>
      <w:r>
        <w:rPr>
          <w:rFonts w:ascii="David" w:hAnsi="David" w:cs="David" w:hint="cs"/>
          <w:sz w:val="24"/>
          <w:szCs w:val="24"/>
          <w:rtl/>
        </w:rPr>
        <w:t xml:space="preserve"> </w:t>
      </w:r>
    </w:p>
    <w:p w14:paraId="5A76AE42" w14:textId="77777777" w:rsidR="00323503" w:rsidRDefault="00323503" w:rsidP="00323503">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בית המשפט העליון התייחס לא אחת לריבוי </w:t>
      </w:r>
      <w:r>
        <w:rPr>
          <w:rFonts w:ascii="David" w:hAnsi="David" w:cs="David"/>
          <w:sz w:val="24"/>
          <w:szCs w:val="24"/>
          <w:rtl/>
        </w:rPr>
        <w:t>המעבדות לגידול סמים</w:t>
      </w:r>
      <w:r>
        <w:rPr>
          <w:rFonts w:ascii="David" w:hAnsi="David" w:cs="David" w:hint="cs"/>
          <w:sz w:val="24"/>
          <w:szCs w:val="24"/>
          <w:rtl/>
        </w:rPr>
        <w:t xml:space="preserve"> אשר מוקמות בעת האחרונה והפכו לתופעה נפוצה ומסוכנת המחייבת ענישה הולמת, גם מקום בו מדובר בסמים "קלים" כגון קנבוס. </w:t>
      </w:r>
    </w:p>
    <w:p w14:paraId="16080188" w14:textId="77777777" w:rsidR="00323503" w:rsidRDefault="00323503" w:rsidP="00323503">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בהקשר זה מצאתי להפנות ל</w:t>
      </w:r>
      <w:r>
        <w:rPr>
          <w:rFonts w:ascii="David" w:hAnsi="David" w:cs="David"/>
          <w:sz w:val="24"/>
          <w:szCs w:val="24"/>
          <w:rtl/>
        </w:rPr>
        <w:t>עניין זנזורי הנזכר לעיל:</w:t>
      </w:r>
    </w:p>
    <w:p w14:paraId="4C2F72EE" w14:textId="77777777" w:rsidR="00323503" w:rsidRDefault="00323503" w:rsidP="00323503">
      <w:pPr>
        <w:pStyle w:val="a9"/>
        <w:spacing w:before="240" w:after="240" w:line="360" w:lineRule="auto"/>
        <w:ind w:left="357"/>
        <w:contextualSpacing w:val="0"/>
        <w:jc w:val="both"/>
        <w:rPr>
          <w:rFonts w:ascii="David" w:hAnsi="David" w:cs="David"/>
          <w:sz w:val="24"/>
          <w:szCs w:val="24"/>
          <w:rtl/>
        </w:rPr>
      </w:pPr>
      <w:r>
        <w:rPr>
          <w:rFonts w:ascii="David" w:hAnsi="David" w:cs="David"/>
          <w:b/>
          <w:bCs/>
          <w:sz w:val="24"/>
          <w:szCs w:val="24"/>
          <w:rtl/>
        </w:rPr>
        <w:t xml:space="preserve">"צרכנים ומשתמשים ואנשים נורמטיביים, שבעבר לא היו מוכנים ליטול על עצמם סיכון להסתבך בעולם הפלילי, נכונים כיום לילך צעד נוסף ולהפוך למגדלים וסוחרים בסם...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w:t>
      </w:r>
      <w:r>
        <w:rPr>
          <w:rFonts w:ascii="David" w:hAnsi="David" w:cs="David"/>
          <w:sz w:val="24"/>
          <w:szCs w:val="24"/>
          <w:rtl/>
        </w:rPr>
        <w:t>(פס' 8 לפסק דינו של כב' השופט י' עמית).</w:t>
      </w:r>
    </w:p>
    <w:p w14:paraId="5358FAF6" w14:textId="77777777" w:rsidR="00323503" w:rsidRDefault="00323503" w:rsidP="00323503">
      <w:pPr>
        <w:pStyle w:val="a9"/>
        <w:spacing w:before="240" w:after="240" w:line="360" w:lineRule="auto"/>
        <w:ind w:left="357"/>
        <w:contextualSpacing w:val="0"/>
        <w:jc w:val="both"/>
        <w:rPr>
          <w:rFonts w:ascii="David" w:hAnsi="David" w:cs="David"/>
          <w:sz w:val="24"/>
          <w:szCs w:val="24"/>
          <w:rtl/>
        </w:rPr>
      </w:pPr>
      <w:r>
        <w:rPr>
          <w:rFonts w:ascii="David" w:hAnsi="David" w:cs="David" w:hint="cs"/>
          <w:sz w:val="24"/>
          <w:szCs w:val="24"/>
          <w:rtl/>
        </w:rPr>
        <w:t>וכן ל</w:t>
      </w:r>
      <w:hyperlink r:id="rId16" w:history="1">
        <w:r w:rsidR="00617F4D" w:rsidRPr="00617F4D">
          <w:rPr>
            <w:rFonts w:ascii="David" w:hAnsi="David" w:cs="David"/>
            <w:color w:val="0000FF"/>
            <w:sz w:val="24"/>
            <w:szCs w:val="24"/>
            <w:u w:val="single"/>
            <w:rtl/>
          </w:rPr>
          <w:t>ע"פ 6299/20</w:t>
        </w:r>
      </w:hyperlink>
      <w:r>
        <w:rPr>
          <w:rFonts w:ascii="David" w:hAnsi="David" w:cs="David" w:hint="cs"/>
          <w:sz w:val="24"/>
          <w:szCs w:val="24"/>
          <w:rtl/>
        </w:rPr>
        <w:t xml:space="preserve"> </w:t>
      </w:r>
      <w:r>
        <w:rPr>
          <w:rFonts w:ascii="David" w:hAnsi="David" w:cs="David" w:hint="cs"/>
          <w:b/>
          <w:bCs/>
          <w:sz w:val="24"/>
          <w:szCs w:val="24"/>
          <w:rtl/>
        </w:rPr>
        <w:t xml:space="preserve">שחר חן נ' מדינת ישראל </w:t>
      </w:r>
      <w:r>
        <w:rPr>
          <w:rFonts w:ascii="David" w:hAnsi="David" w:cs="David" w:hint="cs"/>
          <w:sz w:val="24"/>
          <w:szCs w:val="24"/>
          <w:rtl/>
        </w:rPr>
        <w:t xml:space="preserve">(4.2.2021) (להלן - </w:t>
      </w:r>
      <w:r>
        <w:rPr>
          <w:rFonts w:ascii="David" w:hAnsi="David" w:cs="David" w:hint="cs"/>
          <w:b/>
          <w:bCs/>
          <w:sz w:val="24"/>
          <w:szCs w:val="24"/>
          <w:rtl/>
        </w:rPr>
        <w:t>עניין חן</w:t>
      </w:r>
      <w:r>
        <w:rPr>
          <w:rFonts w:ascii="David" w:hAnsi="David" w:cs="David" w:hint="cs"/>
          <w:sz w:val="24"/>
          <w:szCs w:val="24"/>
          <w:rtl/>
        </w:rPr>
        <w:t>):</w:t>
      </w:r>
    </w:p>
    <w:p w14:paraId="17A09BCB" w14:textId="77777777" w:rsidR="00323503" w:rsidRPr="00860192" w:rsidRDefault="00323503" w:rsidP="00323503">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w:t>
      </w:r>
      <w:r>
        <w:rPr>
          <w:rFonts w:ascii="David" w:hAnsi="David" w:cs="David" w:hint="cs"/>
          <w:b/>
          <w:bCs/>
          <w:color w:val="000000"/>
          <w:sz w:val="24"/>
          <w:szCs w:val="24"/>
          <w:rtl/>
        </w:rPr>
        <w:t>...</w:t>
      </w:r>
      <w:r w:rsidRPr="00860192">
        <w:rPr>
          <w:rFonts w:ascii="David" w:hAnsi="David" w:cs="David"/>
          <w:b/>
          <w:bCs/>
          <w:color w:val="000000"/>
          <w:sz w:val="24"/>
          <w:szCs w:val="24"/>
          <w:rtl/>
        </w:rPr>
        <w:t xml:space="preserve">ראינו לנכון להעיר הערה, </w:t>
      </w:r>
      <w:r w:rsidRPr="00860192">
        <w:rPr>
          <w:rFonts w:ascii="David" w:hAnsi="David" w:cs="David"/>
          <w:b/>
          <w:bCs/>
          <w:sz w:val="24"/>
          <w:szCs w:val="24"/>
          <w:rtl/>
        </w:rPr>
        <w:t>ולהבהיר:</w:t>
      </w:r>
      <w:r w:rsidR="00617F4D">
        <w:rPr>
          <w:rFonts w:ascii="David" w:hAnsi="David" w:cs="David"/>
          <w:b/>
          <w:bCs/>
          <w:sz w:val="24"/>
          <w:szCs w:val="24"/>
          <w:rtl/>
        </w:rPr>
        <w:t xml:space="preserve"> </w:t>
      </w:r>
      <w:hyperlink r:id="rId17" w:history="1">
        <w:r w:rsidR="00617F4D" w:rsidRPr="00617F4D">
          <w:rPr>
            <w:rFonts w:ascii="David" w:hAnsi="David" w:cs="David"/>
            <w:b/>
            <w:bCs/>
            <w:color w:val="0000FF"/>
            <w:sz w:val="24"/>
            <w:szCs w:val="24"/>
            <w:u w:val="single"/>
            <w:rtl/>
          </w:rPr>
          <w:t>פקודת הסמים המסוכנים</w:t>
        </w:r>
      </w:hyperlink>
      <w:r w:rsidR="00617F4D">
        <w:rPr>
          <w:rFonts w:ascii="David" w:hAnsi="David" w:cs="David"/>
          <w:b/>
          <w:bCs/>
          <w:sz w:val="24"/>
          <w:szCs w:val="24"/>
          <w:rtl/>
        </w:rPr>
        <w:t xml:space="preserve"> </w:t>
      </w:r>
      <w:r w:rsidRPr="00860192">
        <w:rPr>
          <w:rFonts w:ascii="David" w:hAnsi="David" w:cs="David"/>
          <w:b/>
          <w:bCs/>
          <w:sz w:val="24"/>
          <w:szCs w:val="24"/>
          <w:rtl/>
        </w:rPr>
        <w:t>[נוסח חדש], התשל"ג-1973, קובעת במפורש כי קנאביס הריהו</w:t>
      </w:r>
      <w:r w:rsidR="00617F4D">
        <w:rPr>
          <w:rFonts w:ascii="David" w:hAnsi="David" w:cs="David"/>
          <w:b/>
          <w:bCs/>
          <w:sz w:val="24"/>
          <w:szCs w:val="24"/>
          <w:rtl/>
        </w:rPr>
        <w:t xml:space="preserve"> </w:t>
      </w:r>
      <w:r w:rsidRPr="00860192">
        <w:rPr>
          <w:rFonts w:ascii="David" w:hAnsi="David" w:cs="David"/>
          <w:b/>
          <w:bCs/>
          <w:sz w:val="24"/>
          <w:szCs w:val="24"/>
          <w:rtl/>
        </w:rPr>
        <w:t>"סם מסוכן"</w:t>
      </w:r>
      <w:r w:rsidR="00617F4D">
        <w:rPr>
          <w:rFonts w:ascii="David" w:hAnsi="David" w:cs="David"/>
          <w:b/>
          <w:bCs/>
          <w:sz w:val="24"/>
          <w:szCs w:val="24"/>
          <w:rtl/>
        </w:rPr>
        <w:t xml:space="preserve"> </w:t>
      </w:r>
      <w:r w:rsidRPr="00860192">
        <w:rPr>
          <w:rFonts w:ascii="David" w:hAnsi="David" w:cs="David"/>
          <w:b/>
          <w:bCs/>
          <w:sz w:val="24"/>
          <w:szCs w:val="24"/>
          <w:rtl/>
        </w:rPr>
        <w:t>(שם, סעיף 1 והתוספת הראשונה). כך קבע המחוקק. קביעתו זו – היא הדין הנוהג והמחייב.</w:t>
      </w:r>
      <w:r w:rsidR="00617F4D">
        <w:rPr>
          <w:rFonts w:ascii="David" w:hAnsi="David" w:cs="David"/>
          <w:b/>
          <w:bCs/>
          <w:sz w:val="24"/>
          <w:szCs w:val="24"/>
          <w:rtl/>
        </w:rPr>
        <w:t xml:space="preserve"> </w:t>
      </w:r>
      <w:r w:rsidRPr="00860192">
        <w:rPr>
          <w:rFonts w:ascii="David" w:hAnsi="David" w:cs="David"/>
          <w:b/>
          <w:bCs/>
          <w:sz w:val="24"/>
          <w:szCs w:val="24"/>
          <w:rtl/>
        </w:rPr>
        <w:t>"סחר בסמים הוא סחר בסמים", ותפיסה שלפיה סחר בסמים 'קלים' איננו סחר בסמים מסוכנים – משוללת יסוד; אין לה אחיזה לא בדין המצוי, לא בדין הראוי:</w:t>
      </w:r>
      <w:r w:rsidR="00617F4D">
        <w:rPr>
          <w:rFonts w:ascii="David" w:hAnsi="David" w:cs="David"/>
          <w:b/>
          <w:bCs/>
          <w:sz w:val="24"/>
          <w:szCs w:val="24"/>
          <w:rtl/>
        </w:rPr>
        <w:t xml:space="preserve"> </w:t>
      </w:r>
      <w:r w:rsidRPr="00860192">
        <w:rPr>
          <w:rFonts w:ascii="David" w:hAnsi="David" w:cs="David"/>
          <w:b/>
          <w:bCs/>
          <w:sz w:val="24"/>
          <w:szCs w:val="24"/>
          <w:rtl/>
        </w:rPr>
        <w:t>"צרכנים ומשתמשים – ראו הוזהרתם"</w:t>
      </w:r>
      <w:r w:rsidR="00617F4D">
        <w:rPr>
          <w:rFonts w:ascii="David" w:hAnsi="David" w:cs="David"/>
          <w:b/>
          <w:bCs/>
          <w:sz w:val="24"/>
          <w:szCs w:val="24"/>
          <w:rtl/>
        </w:rPr>
        <w:t xml:space="preserve"> </w:t>
      </w:r>
      <w:r w:rsidRPr="00860192">
        <w:rPr>
          <w:rFonts w:ascii="David" w:hAnsi="David" w:cs="David"/>
          <w:b/>
          <w:bCs/>
          <w:sz w:val="24"/>
          <w:szCs w:val="24"/>
          <w:rtl/>
        </w:rPr>
        <w:t>(דברי השופט</w:t>
      </w:r>
      <w:r w:rsidR="00617F4D">
        <w:rPr>
          <w:rFonts w:ascii="David" w:hAnsi="David" w:cs="David"/>
          <w:b/>
          <w:bCs/>
          <w:sz w:val="24"/>
          <w:szCs w:val="24"/>
          <w:rtl/>
        </w:rPr>
        <w:t xml:space="preserve"> </w:t>
      </w:r>
      <w:r w:rsidRPr="00860192">
        <w:rPr>
          <w:rFonts w:ascii="David" w:hAnsi="David" w:cs="David"/>
          <w:b/>
          <w:bCs/>
          <w:sz w:val="24"/>
          <w:szCs w:val="24"/>
          <w:rtl/>
        </w:rPr>
        <w:t>י' עמית</w:t>
      </w:r>
      <w:r w:rsidR="00617F4D">
        <w:rPr>
          <w:rFonts w:ascii="David" w:hAnsi="David" w:cs="David"/>
          <w:b/>
          <w:bCs/>
          <w:sz w:val="24"/>
          <w:szCs w:val="24"/>
          <w:rtl/>
        </w:rPr>
        <w:t xml:space="preserve"> </w:t>
      </w:r>
      <w:r w:rsidRPr="00860192">
        <w:rPr>
          <w:rFonts w:ascii="David" w:hAnsi="David" w:cs="David"/>
          <w:b/>
          <w:bCs/>
          <w:sz w:val="24"/>
          <w:szCs w:val="24"/>
          <w:rtl/>
        </w:rPr>
        <w:t>ב</w:t>
      </w:r>
      <w:hyperlink r:id="rId18" w:history="1">
        <w:r w:rsidR="00617F4D" w:rsidRPr="00617F4D">
          <w:rPr>
            <w:rFonts w:ascii="David" w:hAnsi="David" w:cs="David"/>
            <w:b/>
            <w:bCs/>
            <w:color w:val="0000FF"/>
            <w:sz w:val="24"/>
            <w:szCs w:val="24"/>
            <w:u w:val="single"/>
            <w:rtl/>
          </w:rPr>
          <w:t>ע"פ 2596/18</w:t>
        </w:r>
      </w:hyperlink>
      <w:r w:rsidR="00617F4D">
        <w:rPr>
          <w:rFonts w:ascii="David" w:hAnsi="David" w:cs="David"/>
          <w:b/>
          <w:bCs/>
          <w:sz w:val="24"/>
          <w:szCs w:val="24"/>
          <w:rtl/>
        </w:rPr>
        <w:t xml:space="preserve"> </w:t>
      </w:r>
      <w:r w:rsidRPr="00860192">
        <w:rPr>
          <w:rFonts w:ascii="David" w:hAnsi="David" w:cs="David"/>
          <w:b/>
          <w:bCs/>
          <w:sz w:val="24"/>
          <w:szCs w:val="24"/>
          <w:rtl/>
        </w:rPr>
        <w:t>זנזורי נ' מדינת ישראל</w:t>
      </w:r>
      <w:r>
        <w:rPr>
          <w:rFonts w:ascii="David" w:hAnsi="David" w:cs="David"/>
          <w:b/>
          <w:bCs/>
          <w:sz w:val="24"/>
          <w:szCs w:val="24"/>
          <w:rtl/>
        </w:rPr>
        <w:t>, פסקה 8 (12.8.2018))</w:t>
      </w:r>
      <w:r>
        <w:rPr>
          <w:rFonts w:ascii="David" w:hAnsi="David" w:cs="David" w:hint="cs"/>
          <w:sz w:val="24"/>
          <w:szCs w:val="24"/>
          <w:rtl/>
        </w:rPr>
        <w:t xml:space="preserve">". </w:t>
      </w:r>
    </w:p>
    <w:p w14:paraId="078567DB" w14:textId="77777777" w:rsidR="00323503" w:rsidRDefault="00323503" w:rsidP="00323503">
      <w:pPr>
        <w:pStyle w:val="a9"/>
        <w:spacing w:before="240" w:after="240" w:line="360" w:lineRule="auto"/>
        <w:ind w:left="357"/>
        <w:contextualSpacing w:val="0"/>
        <w:jc w:val="both"/>
        <w:rPr>
          <w:rFonts w:ascii="David" w:hAnsi="David" w:cs="David"/>
          <w:sz w:val="24"/>
          <w:szCs w:val="24"/>
          <w:rtl/>
        </w:rPr>
      </w:pPr>
      <w:r>
        <w:rPr>
          <w:rFonts w:ascii="David" w:hAnsi="David" w:cs="David" w:hint="cs"/>
          <w:sz w:val="24"/>
          <w:szCs w:val="24"/>
          <w:rtl/>
        </w:rPr>
        <w:t xml:space="preserve">דברים אלה יפים למקרה שבפניי. </w:t>
      </w:r>
    </w:p>
    <w:p w14:paraId="23EDFD60" w14:textId="77777777" w:rsidR="00323503" w:rsidRDefault="00323503" w:rsidP="00323503">
      <w:pPr>
        <w:pStyle w:val="a9"/>
        <w:numPr>
          <w:ilvl w:val="0"/>
          <w:numId w:val="1"/>
        </w:numPr>
        <w:spacing w:before="240" w:after="240" w:line="360" w:lineRule="auto"/>
        <w:ind w:left="357" w:hanging="357"/>
        <w:contextualSpacing w:val="0"/>
        <w:jc w:val="both"/>
        <w:rPr>
          <w:rFonts w:ascii="David" w:hAnsi="David" w:cs="David"/>
          <w:sz w:val="24"/>
          <w:szCs w:val="24"/>
        </w:rPr>
      </w:pPr>
      <w:r w:rsidRPr="000F07B8">
        <w:rPr>
          <w:rFonts w:ascii="David" w:hAnsi="David" w:cs="David"/>
          <w:sz w:val="24"/>
          <w:szCs w:val="24"/>
          <w:rtl/>
        </w:rPr>
        <w:t xml:space="preserve">מידת הפגיעה בערכים המוגנים </w:t>
      </w:r>
      <w:r>
        <w:rPr>
          <w:rFonts w:ascii="David" w:hAnsi="David" w:cs="David" w:hint="cs"/>
          <w:sz w:val="24"/>
          <w:szCs w:val="24"/>
          <w:rtl/>
        </w:rPr>
        <w:t>נלמדת</w:t>
      </w:r>
      <w:r w:rsidRPr="000F07B8">
        <w:rPr>
          <w:rFonts w:ascii="David" w:hAnsi="David" w:cs="David"/>
          <w:sz w:val="24"/>
          <w:szCs w:val="24"/>
          <w:rtl/>
        </w:rPr>
        <w:t xml:space="preserve"> מאופייה של המעבדה; </w:t>
      </w:r>
      <w:r>
        <w:rPr>
          <w:rFonts w:ascii="David" w:hAnsi="David" w:cs="David" w:hint="cs"/>
          <w:sz w:val="24"/>
          <w:szCs w:val="24"/>
          <w:rtl/>
        </w:rPr>
        <w:t>מ</w:t>
      </w:r>
      <w:r w:rsidRPr="000F07B8">
        <w:rPr>
          <w:rFonts w:ascii="David" w:hAnsi="David" w:cs="David"/>
          <w:sz w:val="24"/>
          <w:szCs w:val="24"/>
          <w:rtl/>
        </w:rPr>
        <w:t>כמות השתילים; ו</w:t>
      </w:r>
      <w:r>
        <w:rPr>
          <w:rFonts w:ascii="David" w:hAnsi="David" w:cs="David" w:hint="cs"/>
          <w:sz w:val="24"/>
          <w:szCs w:val="24"/>
          <w:rtl/>
        </w:rPr>
        <w:t>מ</w:t>
      </w:r>
      <w:r w:rsidRPr="000F07B8">
        <w:rPr>
          <w:rFonts w:ascii="David" w:hAnsi="David" w:cs="David"/>
          <w:sz w:val="24"/>
          <w:szCs w:val="24"/>
          <w:rtl/>
        </w:rPr>
        <w:t xml:space="preserve">כמות הסם. </w:t>
      </w:r>
    </w:p>
    <w:p w14:paraId="7C1E03EB" w14:textId="77777777" w:rsidR="00323503" w:rsidRDefault="00323503" w:rsidP="00323503">
      <w:pPr>
        <w:pStyle w:val="a9"/>
        <w:spacing w:before="240" w:after="240" w:line="360" w:lineRule="auto"/>
        <w:ind w:left="357"/>
        <w:contextualSpacing w:val="0"/>
        <w:jc w:val="both"/>
        <w:rPr>
          <w:rFonts w:ascii="David" w:hAnsi="David" w:cs="David"/>
          <w:sz w:val="24"/>
          <w:szCs w:val="24"/>
          <w:rtl/>
        </w:rPr>
      </w:pPr>
      <w:r>
        <w:rPr>
          <w:rFonts w:ascii="David" w:hAnsi="David" w:cs="David" w:hint="cs"/>
          <w:sz w:val="24"/>
          <w:szCs w:val="24"/>
          <w:rtl/>
        </w:rPr>
        <w:t xml:space="preserve">אשר לאופייה של המעבדה - </w:t>
      </w:r>
      <w:r w:rsidRPr="000F07B8">
        <w:rPr>
          <w:rFonts w:ascii="David" w:hAnsi="David" w:cs="David"/>
          <w:sz w:val="24"/>
          <w:szCs w:val="24"/>
          <w:rtl/>
        </w:rPr>
        <w:t>מדובר אמנם במעבדה "רגילה", שהכילה ציוד "סטנדרטי"</w:t>
      </w:r>
      <w:r>
        <w:rPr>
          <w:rFonts w:ascii="David" w:hAnsi="David" w:cs="David"/>
          <w:sz w:val="24"/>
          <w:szCs w:val="24"/>
          <w:rtl/>
        </w:rPr>
        <w:t xml:space="preserve"> המחוזק דרך קבע במעבדו</w:t>
      </w:r>
      <w:r>
        <w:rPr>
          <w:rFonts w:ascii="David" w:hAnsi="David" w:cs="David" w:hint="cs"/>
          <w:sz w:val="24"/>
          <w:szCs w:val="24"/>
          <w:rtl/>
        </w:rPr>
        <w:t>ת. יחד עם זאת,</w:t>
      </w:r>
      <w:r w:rsidRPr="000F07B8">
        <w:rPr>
          <w:rFonts w:ascii="David" w:hAnsi="David" w:cs="David"/>
          <w:sz w:val="24"/>
          <w:szCs w:val="24"/>
          <w:rtl/>
        </w:rPr>
        <w:t xml:space="preserve"> </w:t>
      </w:r>
      <w:r>
        <w:rPr>
          <w:rFonts w:ascii="David" w:hAnsi="David" w:cs="David"/>
          <w:sz w:val="24"/>
          <w:szCs w:val="24"/>
          <w:rtl/>
        </w:rPr>
        <w:t>כמות הציוד שהוחזק</w:t>
      </w:r>
      <w:r w:rsidRPr="000F07B8">
        <w:rPr>
          <w:rFonts w:ascii="David" w:hAnsi="David" w:cs="David"/>
          <w:sz w:val="24"/>
          <w:szCs w:val="24"/>
          <w:rtl/>
        </w:rPr>
        <w:t xml:space="preserve"> - 630 אדניות, מאווררים, נורות, מזגנים, משאבות מים, מפוחים, פילטרים, שנאים ומד טמפרטורה </w:t>
      </w:r>
      <w:r>
        <w:rPr>
          <w:rFonts w:ascii="David" w:hAnsi="David" w:cs="David" w:hint="cs"/>
          <w:sz w:val="24"/>
          <w:szCs w:val="24"/>
          <w:rtl/>
        </w:rPr>
        <w:t>-</w:t>
      </w:r>
      <w:r w:rsidRPr="000F07B8">
        <w:rPr>
          <w:rFonts w:ascii="David" w:hAnsi="David" w:cs="David"/>
          <w:sz w:val="24"/>
          <w:szCs w:val="24"/>
          <w:rtl/>
        </w:rPr>
        <w:t xml:space="preserve"> מלמד</w:t>
      </w:r>
      <w:r>
        <w:rPr>
          <w:rFonts w:ascii="David" w:hAnsi="David" w:cs="David" w:hint="cs"/>
          <w:sz w:val="24"/>
          <w:szCs w:val="24"/>
          <w:rtl/>
        </w:rPr>
        <w:t>ת ע</w:t>
      </w:r>
      <w:r w:rsidRPr="000F07B8">
        <w:rPr>
          <w:rFonts w:ascii="David" w:hAnsi="David" w:cs="David"/>
          <w:sz w:val="24"/>
          <w:szCs w:val="24"/>
          <w:rtl/>
        </w:rPr>
        <w:t xml:space="preserve">ל היקף </w:t>
      </w:r>
      <w:r>
        <w:rPr>
          <w:rFonts w:ascii="David" w:hAnsi="David" w:cs="David" w:hint="cs"/>
          <w:sz w:val="24"/>
          <w:szCs w:val="24"/>
          <w:rtl/>
        </w:rPr>
        <w:t xml:space="preserve">הגידול הפוטנציאלי, וכפועל יוצא מכך על כמות </w:t>
      </w:r>
      <w:r w:rsidRPr="000F07B8">
        <w:rPr>
          <w:rFonts w:ascii="David" w:hAnsi="David" w:cs="David"/>
          <w:sz w:val="24"/>
          <w:szCs w:val="24"/>
          <w:rtl/>
        </w:rPr>
        <w:t>הס</w:t>
      </w:r>
      <w:r>
        <w:rPr>
          <w:rFonts w:ascii="David" w:hAnsi="David" w:cs="David" w:hint="cs"/>
          <w:sz w:val="24"/>
          <w:szCs w:val="24"/>
          <w:rtl/>
        </w:rPr>
        <w:t>ם</w:t>
      </w:r>
      <w:r>
        <w:rPr>
          <w:rFonts w:ascii="David" w:hAnsi="David" w:cs="David"/>
          <w:sz w:val="24"/>
          <w:szCs w:val="24"/>
          <w:rtl/>
        </w:rPr>
        <w:t xml:space="preserve"> </w:t>
      </w:r>
      <w:r>
        <w:rPr>
          <w:rFonts w:ascii="David" w:hAnsi="David" w:cs="David" w:hint="cs"/>
          <w:sz w:val="24"/>
          <w:szCs w:val="24"/>
          <w:rtl/>
        </w:rPr>
        <w:t>המשמעותית</w:t>
      </w:r>
      <w:r w:rsidRPr="000F07B8">
        <w:rPr>
          <w:rFonts w:ascii="David" w:hAnsi="David" w:cs="David"/>
          <w:sz w:val="24"/>
          <w:szCs w:val="24"/>
          <w:rtl/>
        </w:rPr>
        <w:t xml:space="preserve"> </w:t>
      </w:r>
      <w:r>
        <w:rPr>
          <w:rFonts w:ascii="David" w:hAnsi="David" w:cs="David" w:hint="cs"/>
          <w:sz w:val="24"/>
          <w:szCs w:val="24"/>
          <w:rtl/>
        </w:rPr>
        <w:t>שהייתה מופקת</w:t>
      </w:r>
      <w:r w:rsidRPr="000F07B8">
        <w:rPr>
          <w:rFonts w:ascii="David" w:hAnsi="David" w:cs="David"/>
          <w:sz w:val="24"/>
          <w:szCs w:val="24"/>
          <w:rtl/>
        </w:rPr>
        <w:t xml:space="preserve"> </w:t>
      </w:r>
      <w:r>
        <w:rPr>
          <w:rFonts w:ascii="David" w:hAnsi="David" w:cs="David"/>
          <w:sz w:val="24"/>
          <w:szCs w:val="24"/>
          <w:rtl/>
        </w:rPr>
        <w:t xml:space="preserve">במעבדה ככל </w:t>
      </w:r>
      <w:r>
        <w:rPr>
          <w:rFonts w:ascii="David" w:hAnsi="David" w:cs="David" w:hint="cs"/>
          <w:sz w:val="24"/>
          <w:szCs w:val="24"/>
          <w:rtl/>
        </w:rPr>
        <w:t xml:space="preserve">שגילויה היה מתעכב. </w:t>
      </w:r>
    </w:p>
    <w:p w14:paraId="2689497B" w14:textId="77777777" w:rsidR="00323503" w:rsidRPr="007202AD" w:rsidRDefault="00323503" w:rsidP="00323503">
      <w:pPr>
        <w:pStyle w:val="a9"/>
        <w:spacing w:before="240" w:after="240" w:line="360" w:lineRule="auto"/>
        <w:ind w:left="357"/>
        <w:contextualSpacing w:val="0"/>
        <w:jc w:val="both"/>
        <w:rPr>
          <w:rFonts w:ascii="David" w:hAnsi="David" w:cs="David"/>
          <w:sz w:val="24"/>
          <w:szCs w:val="24"/>
          <w:rtl/>
        </w:rPr>
      </w:pPr>
      <w:r w:rsidRPr="007202AD">
        <w:rPr>
          <w:rFonts w:ascii="David" w:hAnsi="David" w:cs="David"/>
          <w:sz w:val="24"/>
          <w:szCs w:val="24"/>
          <w:rtl/>
        </w:rPr>
        <w:t xml:space="preserve">אשר לכמות השתילים - מדובר בכמות לא מבוטלת (292), בעיקר בהתחשב בכך שהפשיטה על המעבדה בוצעה כחודשיים בלבד לאחר הקמתה. </w:t>
      </w:r>
      <w:r>
        <w:rPr>
          <w:rFonts w:ascii="David" w:hAnsi="David" w:cs="David" w:hint="cs"/>
          <w:sz w:val="24"/>
          <w:szCs w:val="24"/>
          <w:rtl/>
        </w:rPr>
        <w:t xml:space="preserve">הדברים שנאמרו לעיל בקשר להיקף הגידול הפוטנציאלי יפים גם לעניין זה ולא מצאתי לחזור עליהם שנית. </w:t>
      </w:r>
    </w:p>
    <w:p w14:paraId="7BD4B7F1" w14:textId="77777777" w:rsidR="00323503" w:rsidRDefault="00323503" w:rsidP="00323503">
      <w:pPr>
        <w:pStyle w:val="a9"/>
        <w:spacing w:before="240" w:after="240" w:line="360" w:lineRule="auto"/>
        <w:ind w:left="357"/>
        <w:contextualSpacing w:val="0"/>
        <w:jc w:val="both"/>
        <w:rPr>
          <w:rFonts w:ascii="David" w:hAnsi="David" w:cs="David"/>
          <w:color w:val="000000"/>
          <w:sz w:val="24"/>
          <w:szCs w:val="24"/>
          <w:rtl/>
        </w:rPr>
      </w:pPr>
      <w:r w:rsidRPr="007202AD">
        <w:rPr>
          <w:rFonts w:ascii="David" w:hAnsi="David" w:cs="David" w:hint="cs"/>
          <w:color w:val="000000"/>
          <w:sz w:val="24"/>
          <w:szCs w:val="24"/>
          <w:rtl/>
        </w:rPr>
        <w:t xml:space="preserve">אשר </w:t>
      </w:r>
      <w:r>
        <w:rPr>
          <w:rFonts w:ascii="David" w:hAnsi="David" w:cs="David" w:hint="cs"/>
          <w:color w:val="000000"/>
          <w:sz w:val="24"/>
          <w:szCs w:val="24"/>
          <w:rtl/>
        </w:rPr>
        <w:t xml:space="preserve">לכמות הסם - הרי שמדובר בכמות משמעותית (115 ק"ג). הנזק הפוטנציאלי שהיה עלול להיגרם מהפצת הסם והמשך הפקתו עשוי היה להיות משמעותי ביותר וכך גם הפגיעה בערכים המוגנים. יחד עם זאת, הנזק הקונקרטי נמנע מאחר שהנאשם נתפס טרם הפצת הסמים. </w:t>
      </w:r>
    </w:p>
    <w:p w14:paraId="2AA18499" w14:textId="77777777" w:rsidR="00323503" w:rsidRPr="007202AD" w:rsidRDefault="00323503" w:rsidP="00323503">
      <w:pPr>
        <w:pStyle w:val="a9"/>
        <w:spacing w:before="240" w:after="240" w:line="360" w:lineRule="auto"/>
        <w:ind w:left="357"/>
        <w:contextualSpacing w:val="0"/>
        <w:jc w:val="both"/>
        <w:rPr>
          <w:rFonts w:ascii="David" w:hAnsi="David" w:cs="David"/>
          <w:color w:val="000000"/>
          <w:sz w:val="24"/>
          <w:szCs w:val="24"/>
          <w:rtl/>
        </w:rPr>
      </w:pPr>
      <w:r>
        <w:rPr>
          <w:rFonts w:ascii="David" w:hAnsi="David" w:cs="David" w:hint="cs"/>
          <w:color w:val="000000"/>
          <w:sz w:val="24"/>
          <w:szCs w:val="24"/>
          <w:rtl/>
        </w:rPr>
        <w:t xml:space="preserve">בהינתן האמור, ובשים לב לרכיב "נטילת החשמל", ניתן לומר כי הפגיעה בערכים המוגנים היא בעוצמה משמעותית. </w:t>
      </w:r>
    </w:p>
    <w:p w14:paraId="1168B8BA" w14:textId="77777777" w:rsidR="00323503" w:rsidRDefault="00323503" w:rsidP="00323503">
      <w:pPr>
        <w:pStyle w:val="a9"/>
        <w:spacing w:before="240" w:after="240" w:line="360" w:lineRule="auto"/>
        <w:ind w:left="357"/>
        <w:contextualSpacing w:val="0"/>
        <w:jc w:val="both"/>
        <w:rPr>
          <w:rFonts w:ascii="David" w:hAnsi="David" w:cs="David"/>
          <w:sz w:val="24"/>
          <w:szCs w:val="24"/>
          <w:rtl/>
        </w:rPr>
      </w:pPr>
      <w:r>
        <w:rPr>
          <w:rFonts w:ascii="David" w:hAnsi="David" w:cs="David" w:hint="cs"/>
          <w:sz w:val="24"/>
          <w:szCs w:val="24"/>
          <w:rtl/>
        </w:rPr>
        <w:t xml:space="preserve">ראיתי לציין לחומרה גם את התכנון שקדם לביצוע העבירה, אשר בא לידי ביטוי בשכירת דירה והתקנת הציוד הרלוונטי, וכן את האירוע העברייני הנוסף שהתרחש שעניינו גניבת חשמל שרלוונטי אף הוא לקביעת המתחם. </w:t>
      </w:r>
    </w:p>
    <w:p w14:paraId="7983748F" w14:textId="77777777" w:rsidR="00323503" w:rsidRDefault="00323503" w:rsidP="00323503">
      <w:pPr>
        <w:pStyle w:val="a9"/>
        <w:spacing w:before="240" w:after="240" w:line="360" w:lineRule="auto"/>
        <w:ind w:left="357"/>
        <w:contextualSpacing w:val="0"/>
        <w:jc w:val="both"/>
        <w:rPr>
          <w:rFonts w:ascii="David" w:hAnsi="David" w:cs="David"/>
          <w:sz w:val="24"/>
          <w:szCs w:val="24"/>
          <w:rtl/>
        </w:rPr>
      </w:pPr>
      <w:r>
        <w:rPr>
          <w:rFonts w:ascii="David" w:hAnsi="David" w:cs="David" w:hint="cs"/>
          <w:sz w:val="24"/>
          <w:szCs w:val="24"/>
          <w:rtl/>
        </w:rPr>
        <w:t xml:space="preserve">בהקשר לקביעת המתחם שקלתי גם את הסיבות הכלכליות שהביאו את הנאשם לבצע את העבירות לצורך כיסוי חובות כספיים שצבר מול גורמים שוליים, ואני מוכן לצאת מנקודת הנחה, נוכח גילו הצעיר, כי שותפיו (שנותרו אלמונים) מבוגרים ממנו. ברור כי ככל שהנאשם היה משתף את המשטרה בזהותם של המעורבים האחרים, ניתן היה להתחשב בנתון זה ולתת לו משקל משמעותי. לצערי, מהלך זה לא התרחש. </w:t>
      </w:r>
    </w:p>
    <w:p w14:paraId="431B8C9B" w14:textId="77777777" w:rsidR="00323503" w:rsidRDefault="00323503" w:rsidP="00323503">
      <w:pPr>
        <w:pStyle w:val="a9"/>
        <w:numPr>
          <w:ilvl w:val="0"/>
          <w:numId w:val="1"/>
        </w:numPr>
        <w:spacing w:before="240" w:after="240" w:line="360" w:lineRule="auto"/>
        <w:ind w:left="357"/>
        <w:contextualSpacing w:val="0"/>
        <w:jc w:val="both"/>
        <w:rPr>
          <w:rFonts w:ascii="David" w:hAnsi="David" w:cs="David"/>
          <w:sz w:val="24"/>
          <w:szCs w:val="24"/>
        </w:rPr>
      </w:pPr>
      <w:r w:rsidRPr="009C60BB">
        <w:rPr>
          <w:rFonts w:ascii="David" w:hAnsi="David" w:cs="David"/>
          <w:sz w:val="24"/>
          <w:szCs w:val="24"/>
          <w:rtl/>
        </w:rPr>
        <w:t>בבחינת מדיניות הענישה הנוהגת, מצאתי את פסקי הדין הבאים כרלוונטיים:</w:t>
      </w:r>
    </w:p>
    <w:p w14:paraId="12EDFD7D" w14:textId="77777777" w:rsidR="00323503" w:rsidRDefault="00323503" w:rsidP="00323503">
      <w:pPr>
        <w:pStyle w:val="a9"/>
        <w:numPr>
          <w:ilvl w:val="0"/>
          <w:numId w:val="2"/>
        </w:numPr>
        <w:spacing w:before="240" w:after="240" w:line="360" w:lineRule="auto"/>
        <w:contextualSpacing w:val="0"/>
        <w:jc w:val="both"/>
        <w:rPr>
          <w:rFonts w:ascii="David" w:hAnsi="David" w:cs="David"/>
          <w:sz w:val="24"/>
          <w:szCs w:val="24"/>
        </w:rPr>
      </w:pPr>
      <w:r>
        <w:rPr>
          <w:rFonts w:ascii="David" w:hAnsi="David" w:cs="David" w:hint="cs"/>
          <w:sz w:val="24"/>
          <w:szCs w:val="24"/>
          <w:rtl/>
        </w:rPr>
        <w:t xml:space="preserve">עניין </w:t>
      </w:r>
      <w:r w:rsidRPr="00860192">
        <w:rPr>
          <w:rFonts w:ascii="David" w:hAnsi="David" w:cs="David" w:hint="cs"/>
          <w:b/>
          <w:bCs/>
          <w:sz w:val="24"/>
          <w:szCs w:val="24"/>
          <w:rtl/>
        </w:rPr>
        <w:t>חן</w:t>
      </w:r>
      <w:r>
        <w:rPr>
          <w:rFonts w:ascii="David" w:hAnsi="David" w:cs="David" w:hint="cs"/>
          <w:sz w:val="24"/>
          <w:szCs w:val="24"/>
          <w:rtl/>
        </w:rPr>
        <w:t xml:space="preserve"> - המערער הורשע על יסוד הודאתו בעבירות של ייצור, הכנה והפקת סם מסוכן, החזקת סם שלא לצריכה עצמית, החזקת חצרים לשם הכנת סם מסוכן, החזקת כלים המשמשים להכנת סם מסוכן או לצריכתו ונטילת חשמל שלא כדין בכך שהקים מעבדה לגידול סם מסוכן מסוג קנבוס בדירה ששכר בתל-אביב, בה גידל והפיק </w:t>
      </w:r>
      <w:r w:rsidRPr="00637563">
        <w:rPr>
          <w:rFonts w:ascii="David" w:hAnsi="David" w:cs="David" w:hint="cs"/>
          <w:b/>
          <w:bCs/>
          <w:sz w:val="24"/>
          <w:szCs w:val="24"/>
          <w:rtl/>
        </w:rPr>
        <w:t>660 שתילים</w:t>
      </w:r>
      <w:r>
        <w:rPr>
          <w:rFonts w:ascii="David" w:hAnsi="David" w:cs="David" w:hint="cs"/>
          <w:sz w:val="24"/>
          <w:szCs w:val="24"/>
          <w:rtl/>
        </w:rPr>
        <w:t xml:space="preserve"> במשקל כולל של </w:t>
      </w:r>
      <w:r w:rsidRPr="00637563">
        <w:rPr>
          <w:rFonts w:ascii="David" w:hAnsi="David" w:cs="David" w:hint="cs"/>
          <w:b/>
          <w:bCs/>
          <w:sz w:val="24"/>
          <w:szCs w:val="24"/>
          <w:rtl/>
        </w:rPr>
        <w:t>90 ק"ג</w:t>
      </w:r>
      <w:r>
        <w:rPr>
          <w:rFonts w:ascii="David" w:hAnsi="David" w:cs="David" w:hint="cs"/>
          <w:sz w:val="24"/>
          <w:szCs w:val="24"/>
          <w:rtl/>
        </w:rPr>
        <w:t xml:space="preserve">. לשם תפעול המעבדה, נטל הנאשם והשתמש בחשמל שלא כדין. באותו מקרה קבעתי </w:t>
      </w:r>
      <w:r w:rsidRPr="00637563">
        <w:rPr>
          <w:rFonts w:ascii="David" w:hAnsi="David" w:cs="David" w:hint="cs"/>
          <w:b/>
          <w:bCs/>
          <w:sz w:val="24"/>
          <w:szCs w:val="24"/>
          <w:rtl/>
        </w:rPr>
        <w:t>מתחם ענישה הנע בין 29 ל- 54 חודשי מאסר</w:t>
      </w:r>
      <w:r>
        <w:rPr>
          <w:rFonts w:ascii="David" w:hAnsi="David" w:cs="David" w:hint="cs"/>
          <w:sz w:val="24"/>
          <w:szCs w:val="24"/>
          <w:rtl/>
        </w:rPr>
        <w:t>, והשתתי על הנאשם 29 חודשי מאסר לצד עונשים נלווים. בהמלצת בית המשפט העליון, חזר בו המערער מערעורו על חומרת העונש, תוך שצוין:</w:t>
      </w:r>
    </w:p>
    <w:p w14:paraId="4F225C75" w14:textId="77777777" w:rsidR="00323503" w:rsidRPr="0077476D" w:rsidRDefault="00323503" w:rsidP="00323503">
      <w:pPr>
        <w:pStyle w:val="a9"/>
        <w:spacing w:before="240" w:after="240" w:line="360" w:lineRule="auto"/>
        <w:ind w:left="360"/>
        <w:contextualSpacing w:val="0"/>
        <w:jc w:val="both"/>
        <w:rPr>
          <w:rFonts w:ascii="David" w:hAnsi="David" w:cs="David"/>
          <w:sz w:val="24"/>
          <w:szCs w:val="24"/>
          <w:rtl/>
        </w:rPr>
      </w:pPr>
      <w:r>
        <w:rPr>
          <w:rFonts w:ascii="David" w:hAnsi="David" w:cs="David" w:hint="cs"/>
          <w:color w:val="000000"/>
          <w:sz w:val="24"/>
          <w:szCs w:val="24"/>
          <w:rtl/>
        </w:rPr>
        <w:t>"</w:t>
      </w:r>
      <w:r w:rsidRPr="0077476D">
        <w:rPr>
          <w:rFonts w:ascii="David" w:hAnsi="David" w:cs="David"/>
          <w:b/>
          <w:bCs/>
          <w:color w:val="000000"/>
          <w:sz w:val="24"/>
          <w:szCs w:val="24"/>
          <w:rtl/>
        </w:rPr>
        <w:t>המערער הקים כזכור מעבדה לגידול והפקת סם מסוכן מסוג קנאביס בדירה ששכר בתל אביב, בה גידל והפיק כ-600 שתילים במשקל כולל של 90 ק"ג במשך כ-4 חודשים. המעבדה התפרסה על פני 5 חדרים וכללה מערכות חשמל, השקיה, חימום ואוורור, גופי תאורה, בלוני חמצן ואדניות. המערער יתן אפוא את הדין על מעשיו, כך גם כל מי שיהין לעשות כדבר הרע הזה</w:t>
      </w:r>
      <w:r>
        <w:rPr>
          <w:rFonts w:ascii="David" w:hAnsi="David" w:cs="David" w:hint="cs"/>
          <w:color w:val="000000"/>
          <w:sz w:val="24"/>
          <w:szCs w:val="24"/>
          <w:rtl/>
        </w:rPr>
        <w:t>"</w:t>
      </w:r>
      <w:r w:rsidRPr="0077476D">
        <w:rPr>
          <w:rFonts w:ascii="David" w:hAnsi="David" w:cs="David"/>
          <w:color w:val="000000"/>
          <w:sz w:val="24"/>
          <w:szCs w:val="24"/>
          <w:rtl/>
        </w:rPr>
        <w:t>.</w:t>
      </w:r>
    </w:p>
    <w:p w14:paraId="7441C93F" w14:textId="77777777" w:rsidR="00323503" w:rsidRPr="0077476D" w:rsidRDefault="00323503" w:rsidP="00323503">
      <w:pPr>
        <w:pStyle w:val="a9"/>
        <w:spacing w:before="240" w:after="240" w:line="360" w:lineRule="auto"/>
        <w:ind w:left="357"/>
        <w:contextualSpacing w:val="0"/>
        <w:jc w:val="both"/>
        <w:rPr>
          <w:rFonts w:ascii="David" w:hAnsi="David" w:cs="David"/>
          <w:sz w:val="24"/>
          <w:szCs w:val="24"/>
        </w:rPr>
      </w:pPr>
      <w:r>
        <w:rPr>
          <w:rFonts w:ascii="David" w:hAnsi="David" w:cs="David" w:hint="cs"/>
          <w:sz w:val="24"/>
          <w:szCs w:val="24"/>
          <w:rtl/>
        </w:rPr>
        <w:t xml:space="preserve">הגם שכמות השתילים בעניינו של חן גבוהה משמעותית מכמות השתילים בעניינו של הנאשם שבפניי; הרי שכמות הסם שנתפס אצל הנאשם גבוהה מהכמות שנתפסה אצל חן. לפיכך קיימת זהות מסוימת בין שני המקרים המצדיקה קביעת מתחם דומה. </w:t>
      </w:r>
    </w:p>
    <w:p w14:paraId="1AD26070" w14:textId="77777777" w:rsidR="00323503" w:rsidRDefault="00323503" w:rsidP="00323503">
      <w:pPr>
        <w:pStyle w:val="a9"/>
        <w:numPr>
          <w:ilvl w:val="0"/>
          <w:numId w:val="2"/>
        </w:numPr>
        <w:spacing w:before="240" w:after="240" w:line="360" w:lineRule="auto"/>
        <w:contextualSpacing w:val="0"/>
        <w:jc w:val="both"/>
        <w:rPr>
          <w:rFonts w:ascii="David" w:hAnsi="David" w:cs="David"/>
          <w:sz w:val="24"/>
          <w:szCs w:val="24"/>
          <w:rtl/>
        </w:rPr>
      </w:pPr>
      <w:r>
        <w:rPr>
          <w:rFonts w:ascii="David" w:hAnsi="David" w:cs="David" w:hint="cs"/>
          <w:sz w:val="24"/>
          <w:szCs w:val="24"/>
          <w:rtl/>
        </w:rPr>
        <w:t xml:space="preserve">עניין </w:t>
      </w:r>
      <w:r>
        <w:rPr>
          <w:rFonts w:ascii="David" w:hAnsi="David" w:cs="David" w:hint="cs"/>
          <w:b/>
          <w:bCs/>
          <w:sz w:val="24"/>
          <w:szCs w:val="24"/>
          <w:rtl/>
        </w:rPr>
        <w:t>זנזורי</w:t>
      </w:r>
      <w:r>
        <w:rPr>
          <w:rFonts w:ascii="David" w:hAnsi="David" w:cs="David" w:hint="cs"/>
          <w:sz w:val="24"/>
          <w:szCs w:val="24"/>
          <w:rtl/>
        </w:rPr>
        <w:t xml:space="preserve"> - המערער הורשע בעבירות של ייצור, הכנה והפקה של סם מסוכן מסוג קנבוס, קשירת קשר לפשע ושיבוש מהלכי משפט לאחר שהקים מעבדה לגידול קנבוס בה נתפסו </w:t>
      </w:r>
      <w:r w:rsidRPr="00067DB5">
        <w:rPr>
          <w:rFonts w:ascii="David" w:hAnsi="David" w:cs="David" w:hint="cs"/>
          <w:b/>
          <w:bCs/>
          <w:sz w:val="24"/>
          <w:szCs w:val="24"/>
          <w:rtl/>
        </w:rPr>
        <w:t>137.6 ק"ג</w:t>
      </w:r>
      <w:r>
        <w:rPr>
          <w:rFonts w:ascii="David" w:hAnsi="David" w:cs="David" w:hint="cs"/>
          <w:sz w:val="24"/>
          <w:szCs w:val="24"/>
          <w:rtl/>
        </w:rPr>
        <w:t xml:space="preserve"> של סם. בית המשפט המחוזי קבע </w:t>
      </w:r>
      <w:r w:rsidRPr="00067DB5">
        <w:rPr>
          <w:rFonts w:ascii="David" w:hAnsi="David" w:cs="David" w:hint="cs"/>
          <w:b/>
          <w:bCs/>
          <w:sz w:val="24"/>
          <w:szCs w:val="24"/>
          <w:rtl/>
        </w:rPr>
        <w:t>מתחם ענישה הנע בין 36 ל- 56 חודשי מאסר</w:t>
      </w:r>
      <w:r>
        <w:rPr>
          <w:rFonts w:ascii="David" w:hAnsi="David" w:cs="David" w:hint="cs"/>
          <w:sz w:val="24"/>
          <w:szCs w:val="24"/>
          <w:rtl/>
        </w:rPr>
        <w:t xml:space="preserve">. על המערער הושתו 26 חודשי מאסר בשל סיכוי ממשי לשיקום. בית המשפט העליון דחה את הערעור על חומרת העונש. </w:t>
      </w:r>
    </w:p>
    <w:p w14:paraId="13CA678E" w14:textId="77777777" w:rsidR="00323503" w:rsidRDefault="00617F4D" w:rsidP="00323503">
      <w:pPr>
        <w:pStyle w:val="a9"/>
        <w:numPr>
          <w:ilvl w:val="0"/>
          <w:numId w:val="2"/>
        </w:numPr>
        <w:spacing w:before="240" w:after="240" w:line="360" w:lineRule="auto"/>
        <w:contextualSpacing w:val="0"/>
        <w:jc w:val="both"/>
        <w:rPr>
          <w:rFonts w:ascii="David" w:hAnsi="David" w:cs="David"/>
          <w:color w:val="000000"/>
          <w:sz w:val="24"/>
          <w:szCs w:val="24"/>
          <w:rtl/>
        </w:rPr>
      </w:pPr>
      <w:hyperlink r:id="rId19" w:history="1">
        <w:r w:rsidRPr="00617F4D">
          <w:rPr>
            <w:rFonts w:ascii="David" w:hAnsi="David" w:cs="David"/>
            <w:color w:val="0000FF"/>
            <w:sz w:val="24"/>
            <w:szCs w:val="24"/>
            <w:u w:val="single"/>
            <w:rtl/>
          </w:rPr>
          <w:t>ע"פ 863/18</w:t>
        </w:r>
      </w:hyperlink>
      <w:r w:rsidR="00323503" w:rsidRPr="00067DB5">
        <w:rPr>
          <w:rFonts w:ascii="David" w:hAnsi="David" w:cs="David"/>
          <w:sz w:val="24"/>
          <w:szCs w:val="24"/>
          <w:rtl/>
        </w:rPr>
        <w:t xml:space="preserve"> </w:t>
      </w:r>
      <w:r w:rsidR="00323503" w:rsidRPr="00067DB5">
        <w:rPr>
          <w:rFonts w:ascii="David" w:hAnsi="David" w:cs="David"/>
          <w:b/>
          <w:bCs/>
          <w:sz w:val="24"/>
          <w:szCs w:val="24"/>
          <w:rtl/>
        </w:rPr>
        <w:t>לירן סב</w:t>
      </w:r>
      <w:r w:rsidR="00323503">
        <w:rPr>
          <w:rFonts w:ascii="David" w:hAnsi="David" w:cs="David" w:hint="cs"/>
          <w:b/>
          <w:bCs/>
          <w:sz w:val="24"/>
          <w:szCs w:val="24"/>
          <w:rtl/>
        </w:rPr>
        <w:t>ן</w:t>
      </w:r>
      <w:r w:rsidR="00323503" w:rsidRPr="00067DB5">
        <w:rPr>
          <w:rFonts w:ascii="David" w:hAnsi="David" w:cs="David"/>
          <w:b/>
          <w:bCs/>
          <w:sz w:val="24"/>
          <w:szCs w:val="24"/>
          <w:rtl/>
        </w:rPr>
        <w:t xml:space="preserve"> נ' מדינת ישראל </w:t>
      </w:r>
      <w:r w:rsidR="00323503" w:rsidRPr="00067DB5">
        <w:rPr>
          <w:rFonts w:ascii="David" w:hAnsi="David" w:cs="David"/>
          <w:sz w:val="24"/>
          <w:szCs w:val="24"/>
          <w:rtl/>
        </w:rPr>
        <w:t>(15.11.2018) - המערער הורשע בעבירות של ייצור, ה</w:t>
      </w:r>
      <w:r w:rsidR="00323503">
        <w:rPr>
          <w:rFonts w:ascii="David" w:hAnsi="David" w:cs="David"/>
          <w:sz w:val="24"/>
          <w:szCs w:val="24"/>
          <w:rtl/>
        </w:rPr>
        <w:t>כנה והפקה של סם מסוכן</w:t>
      </w:r>
      <w:r w:rsidR="00323503" w:rsidRPr="00067DB5">
        <w:rPr>
          <w:rFonts w:ascii="David" w:hAnsi="David" w:cs="David"/>
          <w:sz w:val="24"/>
          <w:szCs w:val="24"/>
          <w:rtl/>
        </w:rPr>
        <w:t xml:space="preserve">, </w:t>
      </w:r>
      <w:r w:rsidR="00323503" w:rsidRPr="00067DB5">
        <w:rPr>
          <w:rFonts w:ascii="David" w:hAnsi="David" w:cs="David"/>
          <w:color w:val="000000"/>
          <w:sz w:val="24"/>
          <w:szCs w:val="24"/>
          <w:rtl/>
        </w:rPr>
        <w:t xml:space="preserve">החזקת סם מסוכן שלא לצריכה עצמית, החזקת חצרים לשם הכנת סם מסוכן וקשירת קשר לפשע, לאחר שהקים וניהל מעבדה לגידול </w:t>
      </w:r>
      <w:r w:rsidR="00323503">
        <w:rPr>
          <w:rFonts w:ascii="David" w:hAnsi="David" w:cs="David" w:hint="cs"/>
          <w:color w:val="000000"/>
          <w:sz w:val="24"/>
          <w:szCs w:val="24"/>
          <w:rtl/>
        </w:rPr>
        <w:t>קנאבוס</w:t>
      </w:r>
      <w:r w:rsidR="00323503" w:rsidRPr="00067DB5">
        <w:rPr>
          <w:rFonts w:ascii="David" w:hAnsi="David" w:cs="David"/>
          <w:color w:val="000000"/>
          <w:sz w:val="24"/>
          <w:szCs w:val="24"/>
          <w:rtl/>
        </w:rPr>
        <w:t xml:space="preserve"> (בצוותא עם אחרים), בה נתפסו</w:t>
      </w:r>
      <w:r>
        <w:rPr>
          <w:rFonts w:ascii="David" w:hAnsi="David" w:cs="David"/>
          <w:color w:val="000000"/>
          <w:sz w:val="24"/>
          <w:szCs w:val="24"/>
          <w:rtl/>
        </w:rPr>
        <w:t xml:space="preserve"> </w:t>
      </w:r>
      <w:r w:rsidR="00323503" w:rsidRPr="00067DB5">
        <w:rPr>
          <w:rFonts w:ascii="David" w:hAnsi="David" w:cs="David"/>
          <w:b/>
          <w:bCs/>
          <w:color w:val="000000"/>
          <w:sz w:val="24"/>
          <w:szCs w:val="24"/>
          <w:rtl/>
        </w:rPr>
        <w:t>283 שתילים</w:t>
      </w:r>
      <w:r>
        <w:rPr>
          <w:rFonts w:ascii="David" w:hAnsi="David" w:cs="David"/>
          <w:color w:val="000000"/>
          <w:sz w:val="24"/>
          <w:szCs w:val="24"/>
          <w:rtl/>
        </w:rPr>
        <w:t xml:space="preserve"> </w:t>
      </w:r>
      <w:r w:rsidR="00323503" w:rsidRPr="00067DB5">
        <w:rPr>
          <w:rFonts w:ascii="David" w:hAnsi="David" w:cs="David"/>
          <w:color w:val="000000"/>
          <w:sz w:val="24"/>
          <w:szCs w:val="24"/>
          <w:rtl/>
        </w:rPr>
        <w:t>שהגיעו למשקל של</w:t>
      </w:r>
      <w:r>
        <w:rPr>
          <w:rFonts w:ascii="David" w:hAnsi="David" w:cs="David"/>
          <w:b/>
          <w:bCs/>
          <w:color w:val="000000"/>
          <w:sz w:val="24"/>
          <w:szCs w:val="24"/>
          <w:rtl/>
        </w:rPr>
        <w:t xml:space="preserve"> </w:t>
      </w:r>
      <w:r w:rsidR="00323503" w:rsidRPr="00067DB5">
        <w:rPr>
          <w:rFonts w:ascii="David" w:hAnsi="David" w:cs="David"/>
          <w:b/>
          <w:bCs/>
          <w:color w:val="000000"/>
          <w:sz w:val="24"/>
          <w:szCs w:val="24"/>
          <w:rtl/>
        </w:rPr>
        <w:t>92 ק"ג</w:t>
      </w:r>
      <w:r w:rsidR="00323503" w:rsidRPr="00067DB5">
        <w:rPr>
          <w:rFonts w:ascii="David" w:hAnsi="David" w:cs="David"/>
          <w:color w:val="000000"/>
          <w:sz w:val="24"/>
          <w:szCs w:val="24"/>
          <w:rtl/>
        </w:rPr>
        <w:t xml:space="preserve">. נקבע </w:t>
      </w:r>
      <w:r w:rsidR="00323503" w:rsidRPr="003347A0">
        <w:rPr>
          <w:rFonts w:ascii="David" w:hAnsi="David" w:cs="David"/>
          <w:b/>
          <w:bCs/>
          <w:color w:val="000000"/>
          <w:sz w:val="24"/>
          <w:szCs w:val="24"/>
          <w:rtl/>
        </w:rPr>
        <w:t xml:space="preserve">מתחם </w:t>
      </w:r>
      <w:r w:rsidR="00323503" w:rsidRPr="003347A0">
        <w:rPr>
          <w:rFonts w:ascii="David" w:hAnsi="David" w:cs="David" w:hint="cs"/>
          <w:b/>
          <w:bCs/>
          <w:color w:val="000000"/>
          <w:sz w:val="24"/>
          <w:szCs w:val="24"/>
          <w:rtl/>
        </w:rPr>
        <w:t>ענישה ה</w:t>
      </w:r>
      <w:r w:rsidR="00323503" w:rsidRPr="003347A0">
        <w:rPr>
          <w:rFonts w:ascii="David" w:hAnsi="David" w:cs="David"/>
          <w:b/>
          <w:bCs/>
          <w:color w:val="000000"/>
          <w:sz w:val="24"/>
          <w:szCs w:val="24"/>
          <w:rtl/>
        </w:rPr>
        <w:t>נע בין</w:t>
      </w:r>
      <w:r>
        <w:rPr>
          <w:rFonts w:ascii="David" w:hAnsi="David" w:cs="David"/>
          <w:b/>
          <w:bCs/>
          <w:color w:val="000000"/>
          <w:sz w:val="24"/>
          <w:szCs w:val="24"/>
          <w:rtl/>
        </w:rPr>
        <w:t xml:space="preserve"> </w:t>
      </w:r>
      <w:r w:rsidR="00323503" w:rsidRPr="003347A0">
        <w:rPr>
          <w:rFonts w:ascii="David" w:hAnsi="David" w:cs="David"/>
          <w:b/>
          <w:bCs/>
          <w:color w:val="000000"/>
          <w:sz w:val="24"/>
          <w:szCs w:val="24"/>
          <w:rtl/>
        </w:rPr>
        <w:t>28</w:t>
      </w:r>
      <w:r w:rsidR="00323503">
        <w:rPr>
          <w:rFonts w:ascii="David" w:hAnsi="David" w:cs="David"/>
          <w:b/>
          <w:bCs/>
          <w:color w:val="000000"/>
          <w:sz w:val="24"/>
          <w:szCs w:val="24"/>
          <w:rtl/>
        </w:rPr>
        <w:t xml:space="preserve"> ל- 52 חודשי מאסר</w:t>
      </w:r>
      <w:r w:rsidR="00323503" w:rsidRPr="00067DB5">
        <w:rPr>
          <w:rFonts w:ascii="David" w:hAnsi="David" w:cs="David"/>
          <w:color w:val="000000"/>
          <w:sz w:val="24"/>
          <w:szCs w:val="24"/>
          <w:rtl/>
        </w:rPr>
        <w:t>. בית המשפט העליון החליט להקל בעונשו והעמידו על 36 חודשי מאסר (חלף עונש של 42 חודשי מאסר שהוטל בבית המשפט המחוזי).</w:t>
      </w:r>
    </w:p>
    <w:p w14:paraId="56F37545" w14:textId="77777777" w:rsidR="00323503" w:rsidRDefault="00323503" w:rsidP="00323503">
      <w:pPr>
        <w:pStyle w:val="a9"/>
        <w:spacing w:before="240" w:after="240" w:line="360" w:lineRule="auto"/>
        <w:ind w:left="357"/>
        <w:contextualSpacing w:val="0"/>
        <w:jc w:val="both"/>
        <w:rPr>
          <w:rFonts w:ascii="David" w:hAnsi="David" w:cs="David"/>
          <w:color w:val="000000"/>
          <w:sz w:val="24"/>
          <w:szCs w:val="24"/>
          <w:rtl/>
        </w:rPr>
      </w:pPr>
      <w:r w:rsidRPr="00067DB5">
        <w:rPr>
          <w:rFonts w:ascii="David" w:hAnsi="David" w:cs="David"/>
          <w:color w:val="000000"/>
          <w:sz w:val="24"/>
          <w:szCs w:val="24"/>
          <w:rtl/>
        </w:rPr>
        <w:t>ענייננו חמור יותר מעניינו של הנאשם לירן סבן, הן נוכח רכיב "נטילת החשמל" והן נוכח כמות ה</w:t>
      </w:r>
      <w:r>
        <w:rPr>
          <w:rFonts w:ascii="David" w:hAnsi="David" w:cs="David" w:hint="cs"/>
          <w:color w:val="000000"/>
          <w:sz w:val="24"/>
          <w:szCs w:val="24"/>
          <w:rtl/>
        </w:rPr>
        <w:t xml:space="preserve">סם הגדולה יותר </w:t>
      </w:r>
      <w:r w:rsidRPr="00067DB5">
        <w:rPr>
          <w:rFonts w:ascii="David" w:hAnsi="David" w:cs="David"/>
          <w:color w:val="000000"/>
          <w:sz w:val="24"/>
          <w:szCs w:val="24"/>
          <w:rtl/>
        </w:rPr>
        <w:t>(</w:t>
      </w:r>
      <w:r>
        <w:rPr>
          <w:rFonts w:ascii="David" w:hAnsi="David" w:cs="David" w:hint="cs"/>
          <w:color w:val="000000"/>
          <w:sz w:val="24"/>
          <w:szCs w:val="24"/>
          <w:rtl/>
        </w:rPr>
        <w:t>115 ק"ג</w:t>
      </w:r>
      <w:r w:rsidRPr="00067DB5">
        <w:rPr>
          <w:rFonts w:ascii="David" w:hAnsi="David" w:cs="David"/>
          <w:color w:val="000000"/>
          <w:sz w:val="24"/>
          <w:szCs w:val="24"/>
          <w:rtl/>
        </w:rPr>
        <w:t xml:space="preserve"> לעומת </w:t>
      </w:r>
      <w:r>
        <w:rPr>
          <w:rFonts w:ascii="David" w:hAnsi="David" w:cs="David" w:hint="cs"/>
          <w:color w:val="000000"/>
          <w:sz w:val="24"/>
          <w:szCs w:val="24"/>
          <w:rtl/>
        </w:rPr>
        <w:t>92 ק"ג</w:t>
      </w:r>
      <w:r>
        <w:rPr>
          <w:rFonts w:ascii="David" w:hAnsi="David" w:cs="David"/>
          <w:color w:val="000000"/>
          <w:sz w:val="24"/>
          <w:szCs w:val="24"/>
          <w:rtl/>
        </w:rPr>
        <w:t>, הגם שכמות ה</w:t>
      </w:r>
      <w:r>
        <w:rPr>
          <w:rFonts w:ascii="David" w:hAnsi="David" w:cs="David" w:hint="cs"/>
          <w:color w:val="000000"/>
          <w:sz w:val="24"/>
          <w:szCs w:val="24"/>
          <w:rtl/>
        </w:rPr>
        <w:t>שתילים</w:t>
      </w:r>
      <w:r w:rsidRPr="00067DB5">
        <w:rPr>
          <w:rFonts w:ascii="David" w:hAnsi="David" w:cs="David"/>
          <w:color w:val="000000"/>
          <w:sz w:val="24"/>
          <w:szCs w:val="24"/>
          <w:rtl/>
        </w:rPr>
        <w:t xml:space="preserve"> שנתפסה כמעט זהה</w:t>
      </w:r>
      <w:r>
        <w:rPr>
          <w:rFonts w:ascii="David" w:hAnsi="David" w:cs="David" w:hint="cs"/>
          <w:color w:val="000000"/>
          <w:sz w:val="24"/>
          <w:szCs w:val="24"/>
          <w:rtl/>
        </w:rPr>
        <w:t xml:space="preserve"> (292 לעומת 283</w:t>
      </w:r>
      <w:r w:rsidRPr="00067DB5">
        <w:rPr>
          <w:rFonts w:ascii="David" w:hAnsi="David" w:cs="David"/>
          <w:color w:val="000000"/>
          <w:sz w:val="24"/>
          <w:szCs w:val="24"/>
          <w:rtl/>
        </w:rPr>
        <w:t>).</w:t>
      </w:r>
      <w:r>
        <w:rPr>
          <w:rFonts w:ascii="David" w:hAnsi="David" w:cs="David" w:hint="cs"/>
          <w:color w:val="000000"/>
          <w:sz w:val="24"/>
          <w:szCs w:val="24"/>
          <w:rtl/>
        </w:rPr>
        <w:t xml:space="preserve"> </w:t>
      </w:r>
    </w:p>
    <w:p w14:paraId="54E6CB3B" w14:textId="77777777" w:rsidR="00323503" w:rsidRDefault="00617F4D" w:rsidP="00323503">
      <w:pPr>
        <w:pStyle w:val="a9"/>
        <w:numPr>
          <w:ilvl w:val="0"/>
          <w:numId w:val="2"/>
        </w:numPr>
        <w:spacing w:before="240" w:after="240" w:line="360" w:lineRule="auto"/>
        <w:contextualSpacing w:val="0"/>
        <w:jc w:val="both"/>
        <w:rPr>
          <w:rFonts w:ascii="David" w:hAnsi="David" w:cs="David"/>
          <w:sz w:val="24"/>
          <w:szCs w:val="24"/>
        </w:rPr>
      </w:pPr>
      <w:hyperlink r:id="rId20" w:history="1">
        <w:r w:rsidRPr="00617F4D">
          <w:rPr>
            <w:rFonts w:ascii="David" w:hAnsi="David" w:cs="David"/>
            <w:color w:val="0000FF"/>
            <w:sz w:val="24"/>
            <w:szCs w:val="24"/>
            <w:u w:val="single"/>
            <w:rtl/>
          </w:rPr>
          <w:t>ע"פ 5807/17</w:t>
        </w:r>
      </w:hyperlink>
      <w:r w:rsidR="00323503">
        <w:rPr>
          <w:rFonts w:ascii="David" w:hAnsi="David" w:cs="David" w:hint="cs"/>
          <w:sz w:val="24"/>
          <w:szCs w:val="24"/>
          <w:rtl/>
        </w:rPr>
        <w:t xml:space="preserve"> </w:t>
      </w:r>
      <w:r w:rsidR="00323503">
        <w:rPr>
          <w:rFonts w:ascii="David" w:hAnsi="David" w:cs="David" w:hint="cs"/>
          <w:b/>
          <w:bCs/>
          <w:sz w:val="24"/>
          <w:szCs w:val="24"/>
          <w:rtl/>
        </w:rPr>
        <w:t xml:space="preserve">דרחי נ' מדינת ישראל </w:t>
      </w:r>
      <w:r w:rsidR="00323503">
        <w:rPr>
          <w:rFonts w:ascii="David" w:hAnsi="David" w:cs="David" w:hint="cs"/>
          <w:sz w:val="24"/>
          <w:szCs w:val="24"/>
          <w:rtl/>
        </w:rPr>
        <w:t xml:space="preserve">(18.6.2018) - המערער 1 הורשע בעבירות של ייצור, הכנה והפקה של סם מסוכן והחזקת סם מסוכן שלא לצריכה עצמית בכך שהקים, בסיוע המערער 2, מעבדה לגידול קנאבוס, שהכילה ציוד טכני רב, בה נתפסו </w:t>
      </w:r>
      <w:r w:rsidR="00323503" w:rsidRPr="003347A0">
        <w:rPr>
          <w:rFonts w:ascii="David" w:hAnsi="David" w:cs="David" w:hint="cs"/>
          <w:b/>
          <w:bCs/>
          <w:sz w:val="24"/>
          <w:szCs w:val="24"/>
          <w:rtl/>
        </w:rPr>
        <w:t xml:space="preserve">76.85 ק"ג </w:t>
      </w:r>
      <w:r w:rsidR="00323503">
        <w:rPr>
          <w:rFonts w:ascii="David" w:hAnsi="David" w:cs="David" w:hint="cs"/>
          <w:sz w:val="24"/>
          <w:szCs w:val="24"/>
          <w:rtl/>
        </w:rPr>
        <w:t xml:space="preserve">של סם. בית המשפט המחוזי קבע </w:t>
      </w:r>
      <w:r w:rsidR="00323503" w:rsidRPr="00815C1E">
        <w:rPr>
          <w:rFonts w:ascii="David" w:hAnsi="David" w:cs="David" w:hint="cs"/>
          <w:b/>
          <w:bCs/>
          <w:sz w:val="24"/>
          <w:szCs w:val="24"/>
          <w:rtl/>
        </w:rPr>
        <w:t>מתחם ענישה הנע בין 24 ל-48 חודשי מאסר</w:t>
      </w:r>
      <w:r w:rsidR="00323503">
        <w:rPr>
          <w:rFonts w:ascii="David" w:hAnsi="David" w:cs="David" w:hint="cs"/>
          <w:sz w:val="24"/>
          <w:szCs w:val="24"/>
          <w:rtl/>
        </w:rPr>
        <w:t xml:space="preserve"> והשית על המערער 1 עונש של 30 חודשי מאסר לצד עונשים נלווים. בית המשפט העליון דחה ערעור שהוגש על חומרת העונש. </w:t>
      </w:r>
    </w:p>
    <w:p w14:paraId="350F773E" w14:textId="77777777" w:rsidR="00323503" w:rsidRDefault="00323503" w:rsidP="00323503">
      <w:pPr>
        <w:pStyle w:val="a9"/>
        <w:spacing w:before="240" w:after="240" w:line="360" w:lineRule="auto"/>
        <w:ind w:left="360"/>
        <w:contextualSpacing w:val="0"/>
        <w:jc w:val="both"/>
        <w:rPr>
          <w:rFonts w:ascii="David" w:hAnsi="David" w:cs="David"/>
          <w:sz w:val="24"/>
          <w:szCs w:val="24"/>
        </w:rPr>
      </w:pPr>
      <w:r>
        <w:rPr>
          <w:rFonts w:ascii="David" w:hAnsi="David" w:cs="David" w:hint="cs"/>
          <w:sz w:val="24"/>
          <w:szCs w:val="24"/>
          <w:rtl/>
        </w:rPr>
        <w:t xml:space="preserve">גם ביחס למקרה זה, ענייננו חמור יותר מאותם טעמים שפורטו לעיל.   </w:t>
      </w:r>
    </w:p>
    <w:p w14:paraId="2D5E5313" w14:textId="77777777" w:rsidR="00323503" w:rsidRPr="00CB418B" w:rsidRDefault="00617F4D" w:rsidP="00323503">
      <w:pPr>
        <w:pStyle w:val="a9"/>
        <w:numPr>
          <w:ilvl w:val="0"/>
          <w:numId w:val="2"/>
        </w:numPr>
        <w:spacing w:before="240" w:after="240" w:line="360" w:lineRule="auto"/>
        <w:contextualSpacing w:val="0"/>
        <w:jc w:val="both"/>
        <w:rPr>
          <w:rFonts w:ascii="David" w:hAnsi="David" w:cs="David"/>
          <w:sz w:val="24"/>
          <w:szCs w:val="24"/>
        </w:rPr>
      </w:pPr>
      <w:hyperlink r:id="rId21" w:history="1">
        <w:r w:rsidRPr="00617F4D">
          <w:rPr>
            <w:rFonts w:ascii="David" w:hAnsi="David" w:cs="David"/>
            <w:color w:val="0000FF"/>
            <w:sz w:val="24"/>
            <w:szCs w:val="24"/>
            <w:u w:val="single"/>
            <w:rtl/>
          </w:rPr>
          <w:t>ע"פ 4285/17</w:t>
        </w:r>
      </w:hyperlink>
      <w:r w:rsidR="00323503">
        <w:rPr>
          <w:rFonts w:ascii="David" w:hAnsi="David" w:cs="David" w:hint="cs"/>
          <w:sz w:val="24"/>
          <w:szCs w:val="24"/>
          <w:rtl/>
        </w:rPr>
        <w:t xml:space="preserve"> </w:t>
      </w:r>
      <w:r w:rsidR="00323503">
        <w:rPr>
          <w:rFonts w:ascii="David" w:hAnsi="David" w:cs="David" w:hint="cs"/>
          <w:b/>
          <w:bCs/>
          <w:sz w:val="24"/>
          <w:szCs w:val="24"/>
          <w:rtl/>
        </w:rPr>
        <w:t xml:space="preserve">יצחקי נ' מדינת ישראל </w:t>
      </w:r>
      <w:r w:rsidR="00323503">
        <w:rPr>
          <w:rFonts w:ascii="David" w:hAnsi="David" w:cs="David" w:hint="cs"/>
          <w:sz w:val="24"/>
          <w:szCs w:val="24"/>
          <w:rtl/>
        </w:rPr>
        <w:t xml:space="preserve">(11.6.2018) - המערערת </w:t>
      </w:r>
      <w:r w:rsidR="00323503" w:rsidRPr="00CB418B">
        <w:rPr>
          <w:rFonts w:ascii="David" w:hAnsi="David" w:cs="David" w:hint="cs"/>
          <w:sz w:val="24"/>
          <w:szCs w:val="24"/>
          <w:rtl/>
        </w:rPr>
        <w:t xml:space="preserve">הורשעה על יסוד הודאתה בעבירה של ייצור, הכנה והפקת סם מסוכן בכך ששכרה בית והקימה בו מעבדה לגידול קנאבוס, בה נתפסו </w:t>
      </w:r>
      <w:r w:rsidR="00323503" w:rsidRPr="00CB418B">
        <w:rPr>
          <w:rFonts w:ascii="David" w:hAnsi="David" w:cs="David" w:hint="cs"/>
          <w:b/>
          <w:bCs/>
          <w:sz w:val="24"/>
          <w:szCs w:val="24"/>
          <w:rtl/>
        </w:rPr>
        <w:t>500 עציצים</w:t>
      </w:r>
      <w:r w:rsidR="00323503" w:rsidRPr="00CB418B">
        <w:rPr>
          <w:rFonts w:ascii="David" w:hAnsi="David" w:cs="David" w:hint="cs"/>
          <w:sz w:val="24"/>
          <w:szCs w:val="24"/>
          <w:rtl/>
        </w:rPr>
        <w:t xml:space="preserve"> ו- </w:t>
      </w:r>
      <w:r w:rsidR="00323503" w:rsidRPr="00CB418B">
        <w:rPr>
          <w:rFonts w:ascii="David" w:hAnsi="David" w:cs="David" w:hint="cs"/>
          <w:b/>
          <w:bCs/>
          <w:sz w:val="24"/>
          <w:szCs w:val="24"/>
          <w:rtl/>
        </w:rPr>
        <w:t>500 שתילים</w:t>
      </w:r>
      <w:r w:rsidR="00323503" w:rsidRPr="00CB418B">
        <w:rPr>
          <w:rFonts w:ascii="David" w:hAnsi="David" w:cs="David" w:hint="cs"/>
          <w:sz w:val="24"/>
          <w:szCs w:val="24"/>
          <w:rtl/>
        </w:rPr>
        <w:t xml:space="preserve"> במשקל כולל של </w:t>
      </w:r>
      <w:r w:rsidR="00323503" w:rsidRPr="00CB418B">
        <w:rPr>
          <w:rFonts w:ascii="David" w:hAnsi="David" w:cs="David" w:hint="cs"/>
          <w:b/>
          <w:bCs/>
          <w:sz w:val="24"/>
          <w:szCs w:val="24"/>
          <w:rtl/>
        </w:rPr>
        <w:t>100 ק"ג</w:t>
      </w:r>
      <w:r w:rsidR="00323503" w:rsidRPr="00CB418B">
        <w:rPr>
          <w:rFonts w:ascii="David" w:hAnsi="David" w:cs="David" w:hint="cs"/>
          <w:sz w:val="24"/>
          <w:szCs w:val="24"/>
          <w:rtl/>
        </w:rPr>
        <w:t xml:space="preserve">. בית המשפט המחוזי קבע </w:t>
      </w:r>
      <w:r w:rsidR="00323503" w:rsidRPr="00CB418B">
        <w:rPr>
          <w:rFonts w:ascii="David" w:hAnsi="David" w:cs="David" w:hint="cs"/>
          <w:b/>
          <w:bCs/>
          <w:sz w:val="24"/>
          <w:szCs w:val="24"/>
          <w:rtl/>
        </w:rPr>
        <w:t>מתחם ענישה הנע בין 24 ל- 48 חודשי מאסר</w:t>
      </w:r>
      <w:r w:rsidR="00323503" w:rsidRPr="00CB418B">
        <w:rPr>
          <w:rFonts w:ascii="David" w:hAnsi="David" w:cs="David" w:hint="cs"/>
          <w:sz w:val="24"/>
          <w:szCs w:val="24"/>
          <w:rtl/>
        </w:rPr>
        <w:t xml:space="preserve">, והשית על הנאשמת 12 חודשי מאסר לצד עונשים נלווים בשל נסיבות ייחודיות ושיקולי שיקום. </w:t>
      </w:r>
      <w:r w:rsidR="00323503">
        <w:rPr>
          <w:rFonts w:ascii="David" w:hAnsi="David" w:cs="David" w:hint="cs"/>
          <w:sz w:val="24"/>
          <w:szCs w:val="24"/>
          <w:rtl/>
        </w:rPr>
        <w:t xml:space="preserve">בשל הנסיבות המיוחדות של המקרה, בית המשפט העליון הקל בעונשה והעמידו על 6 חודשי עבודות שירות. </w:t>
      </w:r>
    </w:p>
    <w:p w14:paraId="16A5D9AB" w14:textId="77777777" w:rsidR="00323503" w:rsidRDefault="00323503" w:rsidP="00323503">
      <w:pPr>
        <w:pStyle w:val="a9"/>
        <w:spacing w:before="240" w:after="240" w:line="360" w:lineRule="auto"/>
        <w:ind w:left="360"/>
        <w:contextualSpacing w:val="0"/>
        <w:jc w:val="both"/>
        <w:rPr>
          <w:rFonts w:ascii="David" w:hAnsi="David" w:cs="David"/>
          <w:sz w:val="24"/>
          <w:szCs w:val="24"/>
        </w:rPr>
      </w:pPr>
      <w:r>
        <w:rPr>
          <w:rFonts w:ascii="David" w:hAnsi="David" w:cs="David" w:hint="cs"/>
          <w:sz w:val="24"/>
          <w:szCs w:val="24"/>
          <w:rtl/>
        </w:rPr>
        <w:t xml:space="preserve">בעניינה של יצחקי כמות השתילים הייתה אמנם גבוהה באופן משמעותי מזו שבענייננו, אולם כמות הסמים שנתפסו אצל הנאשם שבפניי גדולה יותר ובעניינו גם התווסף רכיב "נטילת החשמל".   </w:t>
      </w:r>
    </w:p>
    <w:p w14:paraId="739C3FD2" w14:textId="77777777" w:rsidR="00323503" w:rsidRPr="00067DB5" w:rsidRDefault="00617F4D" w:rsidP="00323503">
      <w:pPr>
        <w:pStyle w:val="a9"/>
        <w:numPr>
          <w:ilvl w:val="0"/>
          <w:numId w:val="2"/>
        </w:numPr>
        <w:spacing w:before="240" w:after="240" w:line="360" w:lineRule="auto"/>
        <w:contextualSpacing w:val="0"/>
        <w:jc w:val="both"/>
        <w:rPr>
          <w:rFonts w:ascii="David" w:hAnsi="David" w:cs="David"/>
          <w:sz w:val="24"/>
          <w:szCs w:val="24"/>
          <w:rtl/>
        </w:rPr>
      </w:pPr>
      <w:hyperlink r:id="rId22" w:history="1">
        <w:r w:rsidRPr="00617F4D">
          <w:rPr>
            <w:rFonts w:ascii="David" w:hAnsi="David" w:cs="David"/>
            <w:color w:val="0000FF"/>
            <w:sz w:val="24"/>
            <w:szCs w:val="24"/>
            <w:u w:val="single"/>
            <w:rtl/>
          </w:rPr>
          <w:t>ע"פ 5093/17</w:t>
        </w:r>
      </w:hyperlink>
      <w:r w:rsidR="00323503">
        <w:rPr>
          <w:rFonts w:ascii="David" w:hAnsi="David" w:cs="David" w:hint="cs"/>
          <w:sz w:val="24"/>
          <w:szCs w:val="24"/>
          <w:rtl/>
        </w:rPr>
        <w:t xml:space="preserve"> </w:t>
      </w:r>
      <w:r w:rsidR="00323503">
        <w:rPr>
          <w:rFonts w:ascii="David" w:hAnsi="David" w:cs="David" w:hint="cs"/>
          <w:b/>
          <w:bCs/>
          <w:sz w:val="24"/>
          <w:szCs w:val="24"/>
          <w:rtl/>
        </w:rPr>
        <w:t xml:space="preserve">בקשט נ' מדינת ישראל </w:t>
      </w:r>
      <w:r w:rsidR="00323503">
        <w:rPr>
          <w:rFonts w:ascii="David" w:hAnsi="David" w:cs="David" w:hint="cs"/>
          <w:sz w:val="24"/>
          <w:szCs w:val="24"/>
          <w:rtl/>
        </w:rPr>
        <w:t xml:space="preserve">(1.1.2018) - </w:t>
      </w:r>
      <w:r w:rsidR="00323503" w:rsidRPr="00624A7E">
        <w:rPr>
          <w:rFonts w:ascii="David" w:hAnsi="David" w:cs="David" w:hint="cs"/>
          <w:sz w:val="24"/>
          <w:szCs w:val="24"/>
          <w:rtl/>
        </w:rPr>
        <w:t xml:space="preserve">המערערים הורשעו </w:t>
      </w:r>
      <w:r w:rsidR="00323503">
        <w:rPr>
          <w:rFonts w:ascii="David" w:hAnsi="David" w:cs="David" w:hint="cs"/>
          <w:color w:val="000000"/>
          <w:sz w:val="24"/>
          <w:szCs w:val="24"/>
          <w:rtl/>
        </w:rPr>
        <w:t>על יסוד</w:t>
      </w:r>
      <w:r w:rsidR="00323503" w:rsidRPr="00624A7E">
        <w:rPr>
          <w:rFonts w:ascii="David" w:hAnsi="David" w:cs="David"/>
          <w:color w:val="000000"/>
          <w:sz w:val="24"/>
          <w:szCs w:val="24"/>
          <w:rtl/>
        </w:rPr>
        <w:t xml:space="preserve"> הודאתם בעבירות ש</w:t>
      </w:r>
      <w:r w:rsidR="00323503">
        <w:rPr>
          <w:rFonts w:ascii="David" w:hAnsi="David" w:cs="David"/>
          <w:color w:val="000000"/>
          <w:sz w:val="24"/>
          <w:szCs w:val="24"/>
          <w:rtl/>
        </w:rPr>
        <w:t>ל ייצור, הכנה והפקה של סם מסוכן</w:t>
      </w:r>
      <w:r w:rsidR="00323503" w:rsidRPr="00624A7E">
        <w:rPr>
          <w:rFonts w:ascii="David" w:hAnsi="David" w:cs="David"/>
          <w:color w:val="000000"/>
          <w:sz w:val="24"/>
          <w:szCs w:val="24"/>
          <w:rtl/>
        </w:rPr>
        <w:t xml:space="preserve"> וקשירת קשר לפשע, לאחר שהקימו מעבדה לגידול סם מסוכן מסוג קנבוס</w:t>
      </w:r>
      <w:r w:rsidR="00323503">
        <w:rPr>
          <w:rFonts w:ascii="David" w:hAnsi="David" w:cs="David"/>
          <w:color w:val="000000"/>
          <w:sz w:val="24"/>
          <w:szCs w:val="24"/>
          <w:rtl/>
        </w:rPr>
        <w:t xml:space="preserve"> בה נתפסו שתילים שהגיעו למשקל </w:t>
      </w:r>
      <w:r w:rsidR="00323503">
        <w:rPr>
          <w:rFonts w:ascii="David" w:hAnsi="David" w:cs="David" w:hint="cs"/>
          <w:color w:val="000000"/>
          <w:sz w:val="24"/>
          <w:szCs w:val="24"/>
          <w:rtl/>
        </w:rPr>
        <w:t xml:space="preserve">של </w:t>
      </w:r>
      <w:r w:rsidR="00323503" w:rsidRPr="00624A7E">
        <w:rPr>
          <w:rFonts w:ascii="David" w:hAnsi="David" w:cs="David" w:hint="cs"/>
          <w:b/>
          <w:bCs/>
          <w:color w:val="000000"/>
          <w:sz w:val="24"/>
          <w:szCs w:val="24"/>
          <w:rtl/>
        </w:rPr>
        <w:t>131 ק"ג</w:t>
      </w:r>
      <w:r w:rsidR="00323503">
        <w:rPr>
          <w:rFonts w:ascii="David" w:hAnsi="David" w:cs="David" w:hint="cs"/>
          <w:color w:val="000000"/>
          <w:sz w:val="24"/>
          <w:szCs w:val="24"/>
          <w:rtl/>
        </w:rPr>
        <w:t xml:space="preserve">. </w:t>
      </w:r>
      <w:r w:rsidR="00323503" w:rsidRPr="00624A7E">
        <w:rPr>
          <w:rFonts w:ascii="David" w:hAnsi="David" w:cs="David"/>
          <w:color w:val="000000"/>
          <w:sz w:val="24"/>
          <w:szCs w:val="24"/>
          <w:rtl/>
        </w:rPr>
        <w:t xml:space="preserve">נקבע </w:t>
      </w:r>
      <w:r w:rsidR="00323503" w:rsidRPr="00857315">
        <w:rPr>
          <w:rFonts w:ascii="David" w:hAnsi="David" w:cs="David"/>
          <w:b/>
          <w:bCs/>
          <w:color w:val="000000"/>
          <w:sz w:val="24"/>
          <w:szCs w:val="24"/>
          <w:rtl/>
        </w:rPr>
        <w:t xml:space="preserve">מתחם ענישה שנע </w:t>
      </w:r>
      <w:r w:rsidR="00323503" w:rsidRPr="00857315">
        <w:rPr>
          <w:rFonts w:ascii="David" w:hAnsi="David" w:cs="David" w:hint="cs"/>
          <w:b/>
          <w:bCs/>
          <w:color w:val="000000"/>
          <w:sz w:val="24"/>
          <w:szCs w:val="24"/>
          <w:rtl/>
        </w:rPr>
        <w:t>בין 30 ל- 48 חודשי מאסר</w:t>
      </w:r>
      <w:r w:rsidR="00323503">
        <w:rPr>
          <w:rFonts w:ascii="David" w:hAnsi="David" w:cs="David" w:hint="cs"/>
          <w:color w:val="000000"/>
          <w:sz w:val="24"/>
          <w:szCs w:val="24"/>
          <w:rtl/>
        </w:rPr>
        <w:t xml:space="preserve">. </w:t>
      </w:r>
      <w:r w:rsidR="00323503" w:rsidRPr="00624A7E">
        <w:rPr>
          <w:rFonts w:ascii="David" w:hAnsi="David" w:cs="David"/>
          <w:color w:val="000000"/>
          <w:sz w:val="24"/>
          <w:szCs w:val="24"/>
          <w:rtl/>
        </w:rPr>
        <w:t>בית המשפט העליון קבע כי העונש שהושת על המערערים אינו חורג מרף הענישה הנוהג, ואולם נוכח התסקירים החיוביים בעניינם, ומט</w:t>
      </w:r>
      <w:r w:rsidR="00323503">
        <w:rPr>
          <w:rFonts w:ascii="David" w:hAnsi="David" w:cs="David"/>
          <w:color w:val="000000"/>
          <w:sz w:val="24"/>
          <w:szCs w:val="24"/>
          <w:rtl/>
        </w:rPr>
        <w:t>עמי שיקום, הוחלט להקל בעונשם ל</w:t>
      </w:r>
      <w:r w:rsidR="00323503">
        <w:rPr>
          <w:rFonts w:ascii="David" w:hAnsi="David" w:cs="David" w:hint="cs"/>
          <w:color w:val="000000"/>
          <w:sz w:val="24"/>
          <w:szCs w:val="24"/>
          <w:rtl/>
        </w:rPr>
        <w:t xml:space="preserve">- </w:t>
      </w:r>
      <w:r w:rsidR="00323503" w:rsidRPr="00624A7E">
        <w:rPr>
          <w:rFonts w:ascii="David" w:hAnsi="David" w:cs="David"/>
          <w:color w:val="000000"/>
          <w:sz w:val="24"/>
          <w:szCs w:val="24"/>
          <w:rtl/>
        </w:rPr>
        <w:t>28 חודשים (חלף 34 חודשים) ו- 24 חודשים (חלף 30 חודשים)</w:t>
      </w:r>
      <w:r w:rsidR="00323503" w:rsidRPr="00624A7E">
        <w:rPr>
          <w:rFonts w:ascii="David" w:hAnsi="David" w:cs="David"/>
          <w:color w:val="000000"/>
          <w:sz w:val="24"/>
          <w:szCs w:val="24"/>
        </w:rPr>
        <w:t>.</w:t>
      </w:r>
    </w:p>
    <w:p w14:paraId="4C495F2A" w14:textId="77777777" w:rsidR="00323503" w:rsidRPr="00811E6B" w:rsidRDefault="00617F4D" w:rsidP="00323503">
      <w:pPr>
        <w:pStyle w:val="a9"/>
        <w:numPr>
          <w:ilvl w:val="0"/>
          <w:numId w:val="2"/>
        </w:numPr>
        <w:spacing w:before="240" w:after="240" w:line="360" w:lineRule="auto"/>
        <w:contextualSpacing w:val="0"/>
        <w:jc w:val="both"/>
        <w:rPr>
          <w:rFonts w:ascii="David" w:hAnsi="David" w:cs="David"/>
          <w:color w:val="000000"/>
          <w:sz w:val="24"/>
          <w:szCs w:val="24"/>
          <w:rtl/>
        </w:rPr>
      </w:pPr>
      <w:hyperlink r:id="rId23" w:history="1">
        <w:r w:rsidRPr="00617F4D">
          <w:rPr>
            <w:rFonts w:ascii="David" w:hAnsi="David" w:cs="David"/>
            <w:color w:val="0000FF"/>
            <w:sz w:val="24"/>
            <w:szCs w:val="24"/>
            <w:u w:val="single"/>
            <w:rtl/>
          </w:rPr>
          <w:t>ע"פ 8988/16</w:t>
        </w:r>
      </w:hyperlink>
      <w:r w:rsidR="00323503" w:rsidRPr="00811E6B">
        <w:rPr>
          <w:rFonts w:ascii="David" w:hAnsi="David" w:cs="David"/>
          <w:color w:val="000000"/>
          <w:sz w:val="24"/>
          <w:szCs w:val="24"/>
          <w:rtl/>
        </w:rPr>
        <w:t xml:space="preserve"> </w:t>
      </w:r>
      <w:r w:rsidR="00323503" w:rsidRPr="00811E6B">
        <w:rPr>
          <w:rFonts w:ascii="David" w:hAnsi="David" w:cs="David"/>
          <w:b/>
          <w:bCs/>
          <w:color w:val="000000"/>
          <w:sz w:val="24"/>
          <w:szCs w:val="24"/>
          <w:rtl/>
        </w:rPr>
        <w:t xml:space="preserve">בן סימון נ' מדינת ישראל </w:t>
      </w:r>
      <w:r w:rsidR="00323503" w:rsidRPr="00811E6B">
        <w:rPr>
          <w:rFonts w:ascii="David" w:hAnsi="David" w:cs="David"/>
          <w:color w:val="000000"/>
          <w:sz w:val="24"/>
          <w:szCs w:val="24"/>
          <w:rtl/>
        </w:rPr>
        <w:t>(8.3.2017) - המערער הורשע בעבירות של ייצור, הכנה והפקה של סם מסוכן, סחר בסם ונטילת חשמל במרמה לאחר שהקים מעבדה לגידול סם מסוכן בה נתפסו</w:t>
      </w:r>
      <w:r>
        <w:rPr>
          <w:rFonts w:ascii="David" w:hAnsi="David" w:cs="David"/>
          <w:color w:val="000000"/>
          <w:sz w:val="24"/>
          <w:szCs w:val="24"/>
          <w:rtl/>
        </w:rPr>
        <w:t xml:space="preserve"> </w:t>
      </w:r>
      <w:r w:rsidR="00323503" w:rsidRPr="00811E6B">
        <w:rPr>
          <w:rFonts w:ascii="David" w:hAnsi="David" w:cs="David"/>
          <w:b/>
          <w:bCs/>
          <w:color w:val="000000"/>
          <w:sz w:val="24"/>
          <w:szCs w:val="24"/>
          <w:rtl/>
        </w:rPr>
        <w:t xml:space="preserve">282 שתילים </w:t>
      </w:r>
      <w:r w:rsidR="00323503" w:rsidRPr="00811E6B">
        <w:rPr>
          <w:rFonts w:ascii="David" w:hAnsi="David" w:cs="David"/>
          <w:color w:val="000000"/>
          <w:sz w:val="24"/>
          <w:szCs w:val="24"/>
          <w:rtl/>
        </w:rPr>
        <w:t>שהגיעו למשקל של</w:t>
      </w:r>
      <w:r>
        <w:rPr>
          <w:rFonts w:ascii="David" w:hAnsi="David" w:cs="David"/>
          <w:color w:val="000000"/>
          <w:sz w:val="24"/>
          <w:szCs w:val="24"/>
          <w:rtl/>
        </w:rPr>
        <w:t xml:space="preserve"> </w:t>
      </w:r>
      <w:r w:rsidR="00323503" w:rsidRPr="00811E6B">
        <w:rPr>
          <w:rFonts w:ascii="David" w:hAnsi="David" w:cs="David"/>
          <w:b/>
          <w:bCs/>
          <w:color w:val="000000"/>
          <w:sz w:val="24"/>
          <w:szCs w:val="24"/>
          <w:rtl/>
        </w:rPr>
        <w:t>87.25 ק"</w:t>
      </w:r>
      <w:r w:rsidR="00323503" w:rsidRPr="00811E6B">
        <w:rPr>
          <w:rFonts w:ascii="David" w:hAnsi="David" w:cs="David"/>
          <w:color w:val="000000"/>
          <w:sz w:val="24"/>
          <w:szCs w:val="24"/>
          <w:rtl/>
        </w:rPr>
        <w:t>ג. נקבע מתחם ענישה שנע בין</w:t>
      </w:r>
      <w:r>
        <w:rPr>
          <w:rFonts w:ascii="David" w:hAnsi="David" w:cs="David"/>
          <w:color w:val="000000"/>
          <w:sz w:val="24"/>
          <w:szCs w:val="24"/>
          <w:rtl/>
        </w:rPr>
        <w:t xml:space="preserve"> </w:t>
      </w:r>
      <w:r w:rsidR="00323503" w:rsidRPr="00811E6B">
        <w:rPr>
          <w:rFonts w:ascii="David" w:hAnsi="David" w:cs="David"/>
          <w:b/>
          <w:bCs/>
          <w:color w:val="000000"/>
          <w:sz w:val="24"/>
          <w:szCs w:val="24"/>
          <w:rtl/>
        </w:rPr>
        <w:t>28 ל- 48 חודשי מאסר בפועל</w:t>
      </w:r>
      <w:r w:rsidR="00323503" w:rsidRPr="00811E6B">
        <w:rPr>
          <w:rFonts w:ascii="David" w:hAnsi="David" w:cs="David"/>
          <w:color w:val="000000"/>
          <w:sz w:val="24"/>
          <w:szCs w:val="24"/>
          <w:rtl/>
        </w:rPr>
        <w:t>. על המערער הושת מאסר בפועל של 36 חודשים. בית המשפט העליון דחה את הערעור על חומרת העונש.</w:t>
      </w:r>
    </w:p>
    <w:p w14:paraId="35D49C1C" w14:textId="77777777" w:rsidR="00323503" w:rsidRDefault="00323503" w:rsidP="00323503">
      <w:pPr>
        <w:pStyle w:val="a9"/>
        <w:spacing w:before="240" w:after="240" w:line="360" w:lineRule="auto"/>
        <w:ind w:left="357"/>
        <w:contextualSpacing w:val="0"/>
        <w:jc w:val="both"/>
        <w:rPr>
          <w:rFonts w:ascii="David" w:hAnsi="David" w:cs="David"/>
          <w:sz w:val="24"/>
          <w:szCs w:val="24"/>
          <w:rtl/>
        </w:rPr>
      </w:pPr>
      <w:r>
        <w:rPr>
          <w:rFonts w:ascii="David" w:hAnsi="David" w:cs="David" w:hint="cs"/>
          <w:sz w:val="24"/>
          <w:szCs w:val="24"/>
          <w:rtl/>
        </w:rPr>
        <w:t xml:space="preserve">גם במקרה זה, כמות הסם והשתילים שנתפסו פחותות מאלו שבענייננו. </w:t>
      </w:r>
    </w:p>
    <w:p w14:paraId="3875AD72" w14:textId="77777777" w:rsidR="00323503" w:rsidRDefault="00617F4D" w:rsidP="00323503">
      <w:pPr>
        <w:pStyle w:val="a9"/>
        <w:numPr>
          <w:ilvl w:val="0"/>
          <w:numId w:val="2"/>
        </w:numPr>
        <w:spacing w:before="240" w:after="240" w:line="360" w:lineRule="auto"/>
        <w:contextualSpacing w:val="0"/>
        <w:jc w:val="both"/>
        <w:rPr>
          <w:rFonts w:ascii="David" w:hAnsi="David" w:cs="David"/>
          <w:sz w:val="24"/>
          <w:szCs w:val="24"/>
        </w:rPr>
      </w:pPr>
      <w:hyperlink r:id="rId24" w:history="1">
        <w:r w:rsidRPr="00617F4D">
          <w:rPr>
            <w:rFonts w:ascii="David" w:hAnsi="David" w:cs="David"/>
            <w:color w:val="0000FF"/>
            <w:sz w:val="24"/>
            <w:szCs w:val="24"/>
            <w:u w:val="single"/>
            <w:rtl/>
          </w:rPr>
          <w:t>ת"פ (מחוזי ת"א) 52341-07-20</w:t>
        </w:r>
      </w:hyperlink>
      <w:r w:rsidR="00323503">
        <w:rPr>
          <w:rFonts w:ascii="David" w:hAnsi="David" w:cs="David" w:hint="cs"/>
          <w:sz w:val="24"/>
          <w:szCs w:val="24"/>
          <w:rtl/>
        </w:rPr>
        <w:t xml:space="preserve"> </w:t>
      </w:r>
      <w:r w:rsidR="00323503">
        <w:rPr>
          <w:rFonts w:ascii="David" w:hAnsi="David" w:cs="David" w:hint="cs"/>
          <w:b/>
          <w:bCs/>
          <w:sz w:val="24"/>
          <w:szCs w:val="24"/>
          <w:rtl/>
        </w:rPr>
        <w:t>מדינת ישראל נ' ארז לב</w:t>
      </w:r>
      <w:r w:rsidR="00323503">
        <w:rPr>
          <w:rFonts w:ascii="David" w:hAnsi="David" w:cs="David" w:hint="cs"/>
          <w:sz w:val="24"/>
          <w:szCs w:val="24"/>
          <w:rtl/>
        </w:rPr>
        <w:t xml:space="preserve"> (20.5.2021) - הנאשם הורשע על יסוד הודאתו בעבירות של ייצור, הכנה והפקת סם מסוכן ונטילת חשמל בכך ששכר וילה והקים מעבדה בה גידל </w:t>
      </w:r>
      <w:r w:rsidR="00323503" w:rsidRPr="00425FE1">
        <w:rPr>
          <w:rFonts w:ascii="David" w:hAnsi="David" w:cs="David" w:hint="cs"/>
          <w:b/>
          <w:bCs/>
          <w:sz w:val="24"/>
          <w:szCs w:val="24"/>
          <w:rtl/>
        </w:rPr>
        <w:t>250 ק"ג קנאבוס</w:t>
      </w:r>
      <w:r w:rsidR="00323503">
        <w:rPr>
          <w:rFonts w:ascii="David" w:hAnsi="David" w:cs="David" w:hint="cs"/>
          <w:sz w:val="24"/>
          <w:szCs w:val="24"/>
          <w:rtl/>
        </w:rPr>
        <w:t xml:space="preserve">. לשם תפעול המעבדה נטל הנאשם חשמל שלא כדין. בית המשפט המחוזי קבע </w:t>
      </w:r>
      <w:r w:rsidR="00323503" w:rsidRPr="00425FE1">
        <w:rPr>
          <w:rFonts w:ascii="David" w:hAnsi="David" w:cs="David" w:hint="cs"/>
          <w:b/>
          <w:bCs/>
          <w:sz w:val="24"/>
          <w:szCs w:val="24"/>
          <w:rtl/>
        </w:rPr>
        <w:t>מתחם ענישה הנע בין 33 ל- 55 חודשי מאסר</w:t>
      </w:r>
      <w:r w:rsidR="00323503">
        <w:rPr>
          <w:rFonts w:ascii="David" w:hAnsi="David" w:cs="David" w:hint="cs"/>
          <w:sz w:val="24"/>
          <w:szCs w:val="24"/>
          <w:rtl/>
        </w:rPr>
        <w:t xml:space="preserve">, חרג מהמתחם שקבע והשית על הנאשם 28 חודשי מאסר לצד עונשים נלווים בשל שיקולי שיקום. </w:t>
      </w:r>
    </w:p>
    <w:p w14:paraId="158BCF00" w14:textId="77777777" w:rsidR="00323503" w:rsidRDefault="00323503" w:rsidP="00323503">
      <w:pPr>
        <w:pStyle w:val="a9"/>
        <w:spacing w:before="240" w:after="240" w:line="360" w:lineRule="auto"/>
        <w:ind w:left="360"/>
        <w:contextualSpacing w:val="0"/>
        <w:jc w:val="both"/>
        <w:rPr>
          <w:rFonts w:ascii="David" w:hAnsi="David" w:cs="David"/>
          <w:sz w:val="24"/>
          <w:szCs w:val="24"/>
        </w:rPr>
      </w:pPr>
      <w:r>
        <w:rPr>
          <w:rFonts w:ascii="David" w:hAnsi="David" w:cs="David" w:hint="cs"/>
          <w:sz w:val="24"/>
          <w:szCs w:val="24"/>
          <w:rtl/>
        </w:rPr>
        <w:t xml:space="preserve">כמות הסם שנתפסה אצל ארז לב כפולה מזו שנתפסה בענייננו. </w:t>
      </w:r>
    </w:p>
    <w:p w14:paraId="2F90EBA6" w14:textId="77777777" w:rsidR="00323503" w:rsidRDefault="00617F4D" w:rsidP="00323503">
      <w:pPr>
        <w:pStyle w:val="a9"/>
        <w:numPr>
          <w:ilvl w:val="0"/>
          <w:numId w:val="2"/>
        </w:numPr>
        <w:spacing w:before="240" w:after="240" w:line="360" w:lineRule="auto"/>
        <w:contextualSpacing w:val="0"/>
        <w:jc w:val="both"/>
        <w:rPr>
          <w:rFonts w:ascii="David" w:hAnsi="David" w:cs="David"/>
          <w:sz w:val="24"/>
          <w:szCs w:val="24"/>
        </w:rPr>
      </w:pPr>
      <w:hyperlink r:id="rId25" w:history="1">
        <w:r w:rsidRPr="00617F4D">
          <w:rPr>
            <w:rFonts w:ascii="David" w:hAnsi="David" w:cs="David"/>
            <w:color w:val="0000FF"/>
            <w:sz w:val="24"/>
            <w:szCs w:val="24"/>
            <w:u w:val="single"/>
            <w:rtl/>
          </w:rPr>
          <w:t>ת"פ (מחוזי ב"ש) 34787-05-20</w:t>
        </w:r>
      </w:hyperlink>
      <w:r w:rsidR="00323503">
        <w:rPr>
          <w:rFonts w:ascii="David" w:hAnsi="David" w:cs="David" w:hint="cs"/>
          <w:sz w:val="24"/>
          <w:szCs w:val="24"/>
          <w:rtl/>
        </w:rPr>
        <w:t xml:space="preserve"> </w:t>
      </w:r>
      <w:r w:rsidR="00323503">
        <w:rPr>
          <w:rFonts w:ascii="David" w:hAnsi="David" w:cs="David" w:hint="cs"/>
          <w:b/>
          <w:bCs/>
          <w:sz w:val="24"/>
          <w:szCs w:val="24"/>
          <w:rtl/>
        </w:rPr>
        <w:t xml:space="preserve">מדינת ישראל נ' אדרי </w:t>
      </w:r>
      <w:r w:rsidR="00323503">
        <w:rPr>
          <w:rFonts w:ascii="David" w:hAnsi="David" w:cs="David" w:hint="cs"/>
          <w:sz w:val="24"/>
          <w:szCs w:val="24"/>
          <w:rtl/>
        </w:rPr>
        <w:t xml:space="preserve">(11.4.2021) - הנאשם הורשע על יסוד הודאתו בעבירות של ייצור, הכנה והפקת סם מסוכן ונטילת חשמל בכך שהחליט יחד עם אחרים שזהותם אינה ידועה, להקים מעבדה לגידול קנאבוס. לשם כך שכר הנאשם דירת גג וגידל בה יחד עם האחרים </w:t>
      </w:r>
      <w:r w:rsidR="00323503" w:rsidRPr="00DD4F79">
        <w:rPr>
          <w:rFonts w:ascii="David" w:hAnsi="David" w:cs="David" w:hint="cs"/>
          <w:b/>
          <w:bCs/>
          <w:sz w:val="24"/>
          <w:szCs w:val="24"/>
          <w:rtl/>
        </w:rPr>
        <w:t>207 שתילים</w:t>
      </w:r>
      <w:r w:rsidR="00323503">
        <w:rPr>
          <w:rFonts w:ascii="David" w:hAnsi="David" w:cs="David" w:hint="cs"/>
          <w:sz w:val="24"/>
          <w:szCs w:val="24"/>
          <w:rtl/>
        </w:rPr>
        <w:t xml:space="preserve"> במשקל כולל של </w:t>
      </w:r>
      <w:r w:rsidR="00323503" w:rsidRPr="00DD4F79">
        <w:rPr>
          <w:rFonts w:ascii="David" w:hAnsi="David" w:cs="David" w:hint="cs"/>
          <w:b/>
          <w:bCs/>
          <w:sz w:val="24"/>
          <w:szCs w:val="24"/>
          <w:rtl/>
        </w:rPr>
        <w:t>83 ק"ג</w:t>
      </w:r>
      <w:r w:rsidR="00323503">
        <w:rPr>
          <w:rFonts w:ascii="David" w:hAnsi="David" w:cs="David" w:hint="cs"/>
          <w:sz w:val="24"/>
          <w:szCs w:val="24"/>
          <w:rtl/>
        </w:rPr>
        <w:t xml:space="preserve">. לשם תפעול המעבדה, התחברו הנאשם והאחרים ללוח החשמל בחדר המדרגות באופן לא חוקי והשתמשו בחשמל שלא כדין. בית המשפט המחוזי קבע </w:t>
      </w:r>
      <w:r w:rsidR="00323503" w:rsidRPr="00E2710B">
        <w:rPr>
          <w:rFonts w:ascii="David" w:hAnsi="David" w:cs="David" w:hint="cs"/>
          <w:b/>
          <w:bCs/>
          <w:sz w:val="24"/>
          <w:szCs w:val="24"/>
          <w:rtl/>
        </w:rPr>
        <w:t>מתחם ענישה הנע בין 26 ל- 48 חודשי מאסר</w:t>
      </w:r>
      <w:r w:rsidR="00323503">
        <w:rPr>
          <w:rFonts w:ascii="David" w:hAnsi="David" w:cs="David" w:hint="cs"/>
          <w:sz w:val="24"/>
          <w:szCs w:val="24"/>
          <w:rtl/>
        </w:rPr>
        <w:t xml:space="preserve"> והשית על הנאשם 30 חודשי מאסר לצד עונשים נלווים. </w:t>
      </w:r>
    </w:p>
    <w:p w14:paraId="65ACFF11" w14:textId="77777777" w:rsidR="00323503" w:rsidRDefault="00323503" w:rsidP="00323503">
      <w:pPr>
        <w:pStyle w:val="a9"/>
        <w:spacing w:before="240" w:after="240" w:line="360" w:lineRule="auto"/>
        <w:ind w:left="360"/>
        <w:contextualSpacing w:val="0"/>
        <w:jc w:val="both"/>
        <w:rPr>
          <w:rFonts w:ascii="David" w:hAnsi="David" w:cs="David"/>
          <w:sz w:val="24"/>
          <w:szCs w:val="24"/>
        </w:rPr>
      </w:pPr>
      <w:r>
        <w:rPr>
          <w:rFonts w:ascii="David" w:hAnsi="David" w:cs="David" w:hint="cs"/>
          <w:sz w:val="24"/>
          <w:szCs w:val="24"/>
          <w:rtl/>
        </w:rPr>
        <w:t xml:space="preserve">ענייננו חמור יותר מעניינו של אדרי הן מבחינת כמות השתילים והן מבחינת כמות הסם. </w:t>
      </w:r>
    </w:p>
    <w:p w14:paraId="38C21F1F" w14:textId="77777777" w:rsidR="00323503" w:rsidRDefault="00617F4D" w:rsidP="00323503">
      <w:pPr>
        <w:pStyle w:val="a9"/>
        <w:numPr>
          <w:ilvl w:val="0"/>
          <w:numId w:val="2"/>
        </w:numPr>
        <w:spacing w:before="240" w:after="240" w:line="360" w:lineRule="auto"/>
        <w:contextualSpacing w:val="0"/>
        <w:jc w:val="both"/>
        <w:rPr>
          <w:rFonts w:ascii="David" w:hAnsi="David" w:cs="David"/>
          <w:sz w:val="24"/>
          <w:szCs w:val="24"/>
        </w:rPr>
      </w:pPr>
      <w:hyperlink r:id="rId26" w:history="1">
        <w:r w:rsidRPr="00617F4D">
          <w:rPr>
            <w:rFonts w:ascii="David" w:hAnsi="David" w:cs="David"/>
            <w:color w:val="0000FF"/>
            <w:sz w:val="24"/>
            <w:szCs w:val="24"/>
            <w:u w:val="single"/>
            <w:rtl/>
          </w:rPr>
          <w:t>ת"פ (מחוזי ת"א) 49034-02-19</w:t>
        </w:r>
      </w:hyperlink>
      <w:r w:rsidR="00323503">
        <w:rPr>
          <w:rFonts w:ascii="David" w:hAnsi="David" w:cs="David" w:hint="cs"/>
          <w:sz w:val="24"/>
          <w:szCs w:val="24"/>
          <w:rtl/>
        </w:rPr>
        <w:t xml:space="preserve"> </w:t>
      </w:r>
      <w:r w:rsidR="00323503">
        <w:rPr>
          <w:rFonts w:ascii="David" w:hAnsi="David" w:cs="David" w:hint="cs"/>
          <w:b/>
          <w:bCs/>
          <w:sz w:val="24"/>
          <w:szCs w:val="24"/>
          <w:rtl/>
        </w:rPr>
        <w:t>מדינת ישראל נ' אוחיון</w:t>
      </w:r>
      <w:r w:rsidR="00323503">
        <w:rPr>
          <w:rFonts w:ascii="David" w:hAnsi="David" w:cs="David" w:hint="cs"/>
          <w:sz w:val="24"/>
          <w:szCs w:val="24"/>
          <w:rtl/>
        </w:rPr>
        <w:t xml:space="preserve"> (7.1.2020) - הנאשם הורשע על יסוד הודאתו בעבירות של ייצור, הכנה והפקת סם מסוכן, החזקת סם שלא לצריכה עצמית, החזקת כלים המשמשים להכנת סם מסוכן, החזקת חצרים ונטילת חשמל שלא כדין בכך ששכר בית, התקין בו יחד עם אחרים שזהותם אינה ידועה ציוד רב והקים מעבדה לגידול קנאבוס בה נמצאו </w:t>
      </w:r>
      <w:r w:rsidR="00323503" w:rsidRPr="00325C34">
        <w:rPr>
          <w:rFonts w:ascii="David" w:hAnsi="David" w:cs="David" w:hint="cs"/>
          <w:b/>
          <w:bCs/>
          <w:sz w:val="24"/>
          <w:szCs w:val="24"/>
          <w:rtl/>
        </w:rPr>
        <w:t>725 שתילים</w:t>
      </w:r>
      <w:r w:rsidR="00323503">
        <w:rPr>
          <w:rFonts w:ascii="David" w:hAnsi="David" w:cs="David" w:hint="cs"/>
          <w:sz w:val="24"/>
          <w:szCs w:val="24"/>
          <w:rtl/>
        </w:rPr>
        <w:t xml:space="preserve"> במשקל כולל של </w:t>
      </w:r>
      <w:r w:rsidR="00323503" w:rsidRPr="00325C34">
        <w:rPr>
          <w:rFonts w:ascii="David" w:hAnsi="David" w:cs="David" w:hint="cs"/>
          <w:b/>
          <w:bCs/>
          <w:sz w:val="24"/>
          <w:szCs w:val="24"/>
          <w:rtl/>
        </w:rPr>
        <w:t>114 ק"ג</w:t>
      </w:r>
      <w:r w:rsidR="00323503">
        <w:rPr>
          <w:rFonts w:ascii="David" w:hAnsi="David" w:cs="David" w:hint="cs"/>
          <w:sz w:val="24"/>
          <w:szCs w:val="24"/>
          <w:rtl/>
        </w:rPr>
        <w:t xml:space="preserve">. לצורך תפעול המעבדה, נטלו הנאשם והאחרים חשמל שלא כדין. בית המשפט המחוזי קבע </w:t>
      </w:r>
      <w:r w:rsidR="00323503" w:rsidRPr="00325C34">
        <w:rPr>
          <w:rFonts w:ascii="David" w:hAnsi="David" w:cs="David" w:hint="cs"/>
          <w:b/>
          <w:bCs/>
          <w:sz w:val="24"/>
          <w:szCs w:val="24"/>
          <w:rtl/>
        </w:rPr>
        <w:t>מתחם ענישה הנע בין 18 ל- 40 חודשי מאסר</w:t>
      </w:r>
      <w:r w:rsidR="00323503">
        <w:rPr>
          <w:rFonts w:ascii="David" w:hAnsi="David" w:cs="David" w:hint="cs"/>
          <w:sz w:val="24"/>
          <w:szCs w:val="24"/>
          <w:rtl/>
        </w:rPr>
        <w:t xml:space="preserve"> והשית על הנאשם 20 חודשי מאסר לצד עונשים נלווים "</w:t>
      </w:r>
      <w:r w:rsidR="00323503">
        <w:rPr>
          <w:rFonts w:ascii="David" w:hAnsi="David" w:cs="David" w:hint="cs"/>
          <w:b/>
          <w:bCs/>
          <w:sz w:val="24"/>
          <w:szCs w:val="24"/>
          <w:rtl/>
        </w:rPr>
        <w:t>בשל הנסיבות המקלות שלא ניתן להתעלם מהן...</w:t>
      </w:r>
      <w:r w:rsidR="00323503">
        <w:rPr>
          <w:rFonts w:ascii="David" w:hAnsi="David" w:cs="David" w:hint="cs"/>
          <w:sz w:val="24"/>
          <w:szCs w:val="24"/>
          <w:rtl/>
        </w:rPr>
        <w:t xml:space="preserve">" ועל רקע הירתמותו להליך שיקומי. </w:t>
      </w:r>
    </w:p>
    <w:p w14:paraId="0A30A9FA" w14:textId="77777777" w:rsidR="00323503" w:rsidRPr="00245894" w:rsidRDefault="00323503" w:rsidP="00323503">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על פניו, נראה כי נסיבות ביצוע העבירה בעניינו של אוחיון חמורות יותר מאלו של הנאשם שבפניי. </w:t>
      </w:r>
    </w:p>
    <w:p w14:paraId="07F59AC4" w14:textId="77777777" w:rsidR="00323503" w:rsidRDefault="00617F4D" w:rsidP="00323503">
      <w:pPr>
        <w:pStyle w:val="a9"/>
        <w:numPr>
          <w:ilvl w:val="0"/>
          <w:numId w:val="2"/>
        </w:numPr>
        <w:spacing w:before="240" w:after="240" w:line="360" w:lineRule="auto"/>
        <w:contextualSpacing w:val="0"/>
        <w:jc w:val="both"/>
        <w:rPr>
          <w:rFonts w:ascii="David" w:hAnsi="David" w:cs="David"/>
          <w:sz w:val="24"/>
          <w:szCs w:val="24"/>
        </w:rPr>
      </w:pPr>
      <w:hyperlink r:id="rId27" w:history="1">
        <w:r w:rsidRPr="00617F4D">
          <w:rPr>
            <w:rFonts w:ascii="David" w:hAnsi="David" w:cs="David"/>
            <w:color w:val="0000FF"/>
            <w:sz w:val="24"/>
            <w:szCs w:val="24"/>
            <w:u w:val="single"/>
            <w:rtl/>
          </w:rPr>
          <w:t>ת"פ (מחוזי מרכז) 25458-11-18</w:t>
        </w:r>
      </w:hyperlink>
      <w:r w:rsidR="00323503">
        <w:rPr>
          <w:rFonts w:ascii="David" w:hAnsi="David" w:cs="David" w:hint="cs"/>
          <w:sz w:val="24"/>
          <w:szCs w:val="24"/>
          <w:rtl/>
        </w:rPr>
        <w:t xml:space="preserve"> </w:t>
      </w:r>
      <w:r w:rsidR="00323503">
        <w:rPr>
          <w:rFonts w:ascii="David" w:hAnsi="David" w:cs="David" w:hint="cs"/>
          <w:b/>
          <w:bCs/>
          <w:sz w:val="24"/>
          <w:szCs w:val="24"/>
          <w:rtl/>
        </w:rPr>
        <w:t xml:space="preserve">מדינת ישראל נ' אליאב </w:t>
      </w:r>
      <w:r w:rsidR="00323503">
        <w:rPr>
          <w:rFonts w:ascii="David" w:hAnsi="David" w:cs="David" w:hint="cs"/>
          <w:sz w:val="24"/>
          <w:szCs w:val="24"/>
          <w:rtl/>
        </w:rPr>
        <w:t xml:space="preserve">(19.9.2019) - הנאשם הורשע על יסוד הודאתו בעבירות של ייצור, הכנה והפקת סם מסוכן, החזקת חצרים לשם הכנת סם, החזקת כלים המשמשים להכנת סם מסוכן ונטילת חשמל בכך שהקים בביתו מעבדה והחזיק בה </w:t>
      </w:r>
      <w:r w:rsidR="00323503" w:rsidRPr="00F14A66">
        <w:rPr>
          <w:rFonts w:ascii="David" w:hAnsi="David" w:cs="David" w:hint="cs"/>
          <w:b/>
          <w:bCs/>
          <w:sz w:val="24"/>
          <w:szCs w:val="24"/>
          <w:rtl/>
        </w:rPr>
        <w:t>768 שתילי קנבוס</w:t>
      </w:r>
      <w:r w:rsidR="00323503">
        <w:rPr>
          <w:rFonts w:ascii="David" w:hAnsi="David" w:cs="David" w:hint="cs"/>
          <w:sz w:val="24"/>
          <w:szCs w:val="24"/>
          <w:rtl/>
        </w:rPr>
        <w:t xml:space="preserve"> במשקל כולל של </w:t>
      </w:r>
      <w:r w:rsidR="00323503" w:rsidRPr="00F14A66">
        <w:rPr>
          <w:rFonts w:ascii="David" w:hAnsi="David" w:cs="David" w:hint="cs"/>
          <w:b/>
          <w:bCs/>
          <w:sz w:val="24"/>
          <w:szCs w:val="24"/>
          <w:rtl/>
        </w:rPr>
        <w:t>80 ק"ג</w:t>
      </w:r>
      <w:r w:rsidR="00323503">
        <w:rPr>
          <w:rFonts w:ascii="David" w:hAnsi="David" w:cs="David" w:hint="cs"/>
          <w:sz w:val="24"/>
          <w:szCs w:val="24"/>
          <w:rtl/>
        </w:rPr>
        <w:t xml:space="preserve">. בית המשפט המחוזי קבע </w:t>
      </w:r>
      <w:r w:rsidR="00323503" w:rsidRPr="00F14A66">
        <w:rPr>
          <w:rFonts w:ascii="David" w:hAnsi="David" w:cs="David" w:hint="cs"/>
          <w:b/>
          <w:bCs/>
          <w:sz w:val="24"/>
          <w:szCs w:val="24"/>
          <w:rtl/>
        </w:rPr>
        <w:t>מתחם ענישה</w:t>
      </w:r>
      <w:r w:rsidR="00323503">
        <w:rPr>
          <w:rFonts w:ascii="David" w:hAnsi="David" w:cs="David" w:hint="cs"/>
          <w:b/>
          <w:bCs/>
          <w:sz w:val="24"/>
          <w:szCs w:val="24"/>
          <w:rtl/>
        </w:rPr>
        <w:t xml:space="preserve"> הנע בין 22 ל- 46 חודשי</w:t>
      </w:r>
      <w:r w:rsidR="00323503" w:rsidRPr="00F14A66">
        <w:rPr>
          <w:rFonts w:ascii="David" w:hAnsi="David" w:cs="David" w:hint="cs"/>
          <w:b/>
          <w:bCs/>
          <w:sz w:val="24"/>
          <w:szCs w:val="24"/>
          <w:rtl/>
        </w:rPr>
        <w:t xml:space="preserve"> מאסר</w:t>
      </w:r>
      <w:r w:rsidR="00323503">
        <w:rPr>
          <w:rFonts w:ascii="David" w:hAnsi="David" w:cs="David" w:hint="cs"/>
          <w:sz w:val="24"/>
          <w:szCs w:val="24"/>
          <w:rtl/>
        </w:rPr>
        <w:t xml:space="preserve"> והשית על הנאשם 25 חודשי מאסר לצד עונשים נלווים. </w:t>
      </w:r>
    </w:p>
    <w:p w14:paraId="743EF47E" w14:textId="77777777" w:rsidR="00323503" w:rsidRDefault="00323503" w:rsidP="00323503">
      <w:pPr>
        <w:pStyle w:val="a9"/>
        <w:spacing w:before="240" w:after="240" w:line="360" w:lineRule="auto"/>
        <w:ind w:left="360"/>
        <w:contextualSpacing w:val="0"/>
        <w:jc w:val="both"/>
        <w:rPr>
          <w:rFonts w:ascii="David" w:hAnsi="David" w:cs="David"/>
          <w:sz w:val="24"/>
          <w:szCs w:val="24"/>
        </w:rPr>
      </w:pPr>
      <w:r>
        <w:rPr>
          <w:rFonts w:ascii="David" w:hAnsi="David" w:cs="David" w:hint="cs"/>
          <w:sz w:val="24"/>
          <w:szCs w:val="24"/>
          <w:rtl/>
        </w:rPr>
        <w:t xml:space="preserve">כמות השתילים אמנם גבוהה באופן משמעותי מזו שבענייננו, אולם כמות הסמים שנתפסה בפועל, נמוכה יותר. </w:t>
      </w:r>
    </w:p>
    <w:p w14:paraId="2E3674D2" w14:textId="77777777" w:rsidR="00323503" w:rsidRDefault="00617F4D" w:rsidP="00323503">
      <w:pPr>
        <w:pStyle w:val="a9"/>
        <w:numPr>
          <w:ilvl w:val="0"/>
          <w:numId w:val="2"/>
        </w:numPr>
        <w:spacing w:before="240" w:after="240" w:line="360" w:lineRule="auto"/>
        <w:contextualSpacing w:val="0"/>
        <w:jc w:val="both"/>
        <w:rPr>
          <w:rFonts w:ascii="David" w:hAnsi="David" w:cs="David"/>
          <w:sz w:val="24"/>
          <w:szCs w:val="24"/>
        </w:rPr>
      </w:pPr>
      <w:hyperlink r:id="rId28" w:history="1">
        <w:r w:rsidRPr="00617F4D">
          <w:rPr>
            <w:rFonts w:ascii="David" w:hAnsi="David" w:cs="David"/>
            <w:color w:val="0000FF"/>
            <w:sz w:val="24"/>
            <w:szCs w:val="24"/>
            <w:u w:val="single"/>
            <w:rtl/>
          </w:rPr>
          <w:t>ת"פ (מחוזי מרכז) 47795-02-15</w:t>
        </w:r>
      </w:hyperlink>
      <w:r w:rsidR="00323503">
        <w:rPr>
          <w:rFonts w:ascii="David" w:hAnsi="David" w:cs="David" w:hint="cs"/>
          <w:sz w:val="24"/>
          <w:szCs w:val="24"/>
          <w:rtl/>
        </w:rPr>
        <w:t xml:space="preserve"> </w:t>
      </w:r>
      <w:r w:rsidR="00323503">
        <w:rPr>
          <w:rFonts w:ascii="David" w:hAnsi="David" w:cs="David" w:hint="cs"/>
          <w:b/>
          <w:bCs/>
          <w:sz w:val="24"/>
          <w:szCs w:val="24"/>
          <w:rtl/>
        </w:rPr>
        <w:t xml:space="preserve">מדינת ישראל נ' עאמר </w:t>
      </w:r>
      <w:r w:rsidR="00323503">
        <w:rPr>
          <w:rFonts w:ascii="David" w:hAnsi="David" w:cs="David" w:hint="cs"/>
          <w:sz w:val="24"/>
          <w:szCs w:val="24"/>
          <w:rtl/>
        </w:rPr>
        <w:t xml:space="preserve">(29.12.2015) - הנאשם הורשע על יסוד הודאתו בעבירות של ייצור, הכנה והפקת סם מסוכן וגניבה בנסיבות מחמירות בכך שהקים מעבדה וגידל בה </w:t>
      </w:r>
      <w:r w:rsidR="00323503" w:rsidRPr="003F4FD4">
        <w:rPr>
          <w:rFonts w:ascii="David" w:hAnsi="David" w:cs="David" w:hint="cs"/>
          <w:b/>
          <w:bCs/>
          <w:sz w:val="24"/>
          <w:szCs w:val="24"/>
          <w:rtl/>
        </w:rPr>
        <w:t>119.5 ק"ג קנאבוס</w:t>
      </w:r>
      <w:r w:rsidR="00323503">
        <w:rPr>
          <w:rFonts w:ascii="David" w:hAnsi="David" w:cs="David" w:hint="cs"/>
          <w:sz w:val="24"/>
          <w:szCs w:val="24"/>
          <w:rtl/>
        </w:rPr>
        <w:t xml:space="preserve">, ולשם תפעולה נטל חשמל שלא כדין. הצדדים עתרו במשותף להשתת </w:t>
      </w:r>
      <w:r w:rsidR="00323503" w:rsidRPr="00CB418B">
        <w:rPr>
          <w:rFonts w:ascii="David" w:hAnsi="David" w:cs="David" w:hint="cs"/>
          <w:b/>
          <w:bCs/>
          <w:sz w:val="24"/>
          <w:szCs w:val="24"/>
          <w:rtl/>
        </w:rPr>
        <w:t>עונש מוסכם של</w:t>
      </w:r>
      <w:r w:rsidR="00323503">
        <w:rPr>
          <w:rFonts w:ascii="David" w:hAnsi="David" w:cs="David" w:hint="cs"/>
          <w:sz w:val="24"/>
          <w:szCs w:val="24"/>
          <w:rtl/>
        </w:rPr>
        <w:t xml:space="preserve"> </w:t>
      </w:r>
      <w:r w:rsidR="00323503" w:rsidRPr="003F4FD4">
        <w:rPr>
          <w:rFonts w:ascii="David" w:hAnsi="David" w:cs="David" w:hint="cs"/>
          <w:b/>
          <w:bCs/>
          <w:sz w:val="24"/>
          <w:szCs w:val="24"/>
          <w:rtl/>
        </w:rPr>
        <w:t>38 חודשי מאסר</w:t>
      </w:r>
      <w:r w:rsidR="00323503">
        <w:rPr>
          <w:rFonts w:ascii="David" w:hAnsi="David" w:cs="David" w:hint="cs"/>
          <w:sz w:val="24"/>
          <w:szCs w:val="24"/>
          <w:rtl/>
        </w:rPr>
        <w:t xml:space="preserve"> לצד עונשים נלווים.</w:t>
      </w:r>
    </w:p>
    <w:p w14:paraId="7A2C5741" w14:textId="77777777" w:rsidR="00323503" w:rsidRDefault="00323503" w:rsidP="00323503">
      <w:pPr>
        <w:pStyle w:val="a9"/>
        <w:spacing w:before="240" w:after="240" w:line="360" w:lineRule="auto"/>
        <w:ind w:left="360"/>
        <w:contextualSpacing w:val="0"/>
        <w:jc w:val="both"/>
        <w:rPr>
          <w:rFonts w:ascii="David" w:hAnsi="David" w:cs="David"/>
          <w:sz w:val="24"/>
          <w:szCs w:val="24"/>
        </w:rPr>
      </w:pPr>
      <w:r>
        <w:rPr>
          <w:rFonts w:ascii="David" w:hAnsi="David" w:cs="David" w:hint="cs"/>
          <w:sz w:val="24"/>
          <w:szCs w:val="24"/>
          <w:rtl/>
        </w:rPr>
        <w:t xml:space="preserve">נסיבות ביצוע העבירה דומות לאלו שבענייננו.    </w:t>
      </w:r>
    </w:p>
    <w:p w14:paraId="121C56F2" w14:textId="77777777" w:rsidR="00323503" w:rsidRDefault="00617F4D" w:rsidP="00323503">
      <w:pPr>
        <w:pStyle w:val="a9"/>
        <w:numPr>
          <w:ilvl w:val="0"/>
          <w:numId w:val="2"/>
        </w:numPr>
        <w:spacing w:before="240" w:after="240" w:line="360" w:lineRule="auto"/>
        <w:contextualSpacing w:val="0"/>
        <w:jc w:val="both"/>
        <w:rPr>
          <w:rFonts w:ascii="David" w:hAnsi="David" w:cs="David"/>
          <w:sz w:val="24"/>
          <w:szCs w:val="24"/>
        </w:rPr>
      </w:pPr>
      <w:hyperlink r:id="rId29" w:history="1">
        <w:r w:rsidRPr="00617F4D">
          <w:rPr>
            <w:rFonts w:ascii="David" w:hAnsi="David" w:cs="David"/>
            <w:color w:val="0000FF"/>
            <w:sz w:val="24"/>
            <w:szCs w:val="24"/>
            <w:u w:val="single"/>
            <w:rtl/>
          </w:rPr>
          <w:t>ת"פ (מחוזי ת"א) 33001-11-14</w:t>
        </w:r>
      </w:hyperlink>
      <w:r w:rsidR="00323503">
        <w:rPr>
          <w:rFonts w:ascii="David" w:hAnsi="David" w:cs="David" w:hint="cs"/>
          <w:sz w:val="24"/>
          <w:szCs w:val="24"/>
          <w:rtl/>
        </w:rPr>
        <w:t xml:space="preserve"> </w:t>
      </w:r>
      <w:r w:rsidR="00323503">
        <w:rPr>
          <w:rFonts w:ascii="David" w:hAnsi="David" w:cs="David" w:hint="cs"/>
          <w:b/>
          <w:bCs/>
          <w:sz w:val="24"/>
          <w:szCs w:val="24"/>
          <w:rtl/>
        </w:rPr>
        <w:t>מדינת ישראל נ' אוחנה ואח'</w:t>
      </w:r>
      <w:r w:rsidR="00323503">
        <w:rPr>
          <w:rFonts w:ascii="David" w:hAnsi="David" w:cs="David" w:hint="cs"/>
          <w:sz w:val="24"/>
          <w:szCs w:val="24"/>
          <w:rtl/>
        </w:rPr>
        <w:t xml:space="preserve"> (19.3.2015) - הנאשם הורשע על יסוד הודאתו בעבירות של גידול סם מסוכן והחזקת סם שלא לצריכה עצמית בכך ששכר מחסן אותו הסב לחממה והקים בו, בסיוע שני נאשמים אחרים, מעבדה לגידול קנאבוס בה נמצאו </w:t>
      </w:r>
      <w:r w:rsidR="00323503" w:rsidRPr="00325C34">
        <w:rPr>
          <w:rFonts w:ascii="David" w:hAnsi="David" w:cs="David" w:hint="cs"/>
          <w:b/>
          <w:bCs/>
          <w:sz w:val="24"/>
          <w:szCs w:val="24"/>
          <w:rtl/>
        </w:rPr>
        <w:t>208 עציצים</w:t>
      </w:r>
      <w:r w:rsidR="00323503">
        <w:rPr>
          <w:rFonts w:ascii="David" w:hAnsi="David" w:cs="David" w:hint="cs"/>
          <w:sz w:val="24"/>
          <w:szCs w:val="24"/>
          <w:rtl/>
        </w:rPr>
        <w:t xml:space="preserve"> במשקל כולל של </w:t>
      </w:r>
      <w:r w:rsidR="00323503" w:rsidRPr="00325C34">
        <w:rPr>
          <w:rFonts w:ascii="David" w:hAnsi="David" w:cs="David" w:hint="cs"/>
          <w:b/>
          <w:bCs/>
          <w:sz w:val="24"/>
          <w:szCs w:val="24"/>
          <w:rtl/>
        </w:rPr>
        <w:t>99.3 ק"ג נטו</w:t>
      </w:r>
      <w:r w:rsidR="00323503">
        <w:rPr>
          <w:rFonts w:ascii="David" w:hAnsi="David" w:cs="David" w:hint="cs"/>
          <w:sz w:val="24"/>
          <w:szCs w:val="24"/>
          <w:rtl/>
        </w:rPr>
        <w:t xml:space="preserve">. בית המשפט המחוזי קבע </w:t>
      </w:r>
      <w:r w:rsidR="00323503" w:rsidRPr="00325C34">
        <w:rPr>
          <w:rFonts w:ascii="David" w:hAnsi="David" w:cs="David" w:hint="cs"/>
          <w:b/>
          <w:bCs/>
          <w:sz w:val="24"/>
          <w:szCs w:val="24"/>
          <w:rtl/>
        </w:rPr>
        <w:t>מתחם ענישה הנע בין 30 ל- 48 חודשי מאסר</w:t>
      </w:r>
      <w:r w:rsidR="00323503">
        <w:rPr>
          <w:rFonts w:ascii="David" w:hAnsi="David" w:cs="David" w:hint="cs"/>
          <w:sz w:val="24"/>
          <w:szCs w:val="24"/>
          <w:rtl/>
        </w:rPr>
        <w:t xml:space="preserve"> והשית על הנאשם 38 חודשי מאסר לצד עונשים נלווים. </w:t>
      </w:r>
    </w:p>
    <w:p w14:paraId="64403EFB" w14:textId="77777777" w:rsidR="00323503" w:rsidRDefault="00323503" w:rsidP="00323503">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בהשוואה לעניין אוחנה, ענייננו חמור יותר מהטעמים שפורטו לעיל. </w:t>
      </w:r>
    </w:p>
    <w:p w14:paraId="0FBCFE73" w14:textId="77777777" w:rsidR="00323503" w:rsidRPr="00A44D59" w:rsidRDefault="00323503" w:rsidP="00323503">
      <w:pPr>
        <w:pStyle w:val="a9"/>
        <w:spacing w:before="240" w:after="240" w:line="360" w:lineRule="auto"/>
        <w:ind w:left="360"/>
        <w:contextualSpacing w:val="0"/>
        <w:jc w:val="both"/>
        <w:rPr>
          <w:rFonts w:ascii="David" w:hAnsi="David" w:cs="David"/>
          <w:sz w:val="24"/>
          <w:szCs w:val="24"/>
          <w:u w:val="single"/>
        </w:rPr>
      </w:pPr>
      <w:r>
        <w:rPr>
          <w:rFonts w:ascii="David" w:hAnsi="David" w:cs="David" w:hint="cs"/>
          <w:sz w:val="24"/>
          <w:szCs w:val="24"/>
          <w:u w:val="single"/>
          <w:rtl/>
        </w:rPr>
        <w:t>סיכום - מתחם העונש ההולם</w:t>
      </w:r>
    </w:p>
    <w:p w14:paraId="607A3E65" w14:textId="77777777" w:rsidR="00323503" w:rsidRDefault="00323503" w:rsidP="00323503">
      <w:pPr>
        <w:pStyle w:val="a9"/>
        <w:numPr>
          <w:ilvl w:val="0"/>
          <w:numId w:val="1"/>
        </w:numPr>
        <w:spacing w:before="240" w:after="240" w:line="360" w:lineRule="auto"/>
        <w:ind w:left="357"/>
        <w:contextualSpacing w:val="0"/>
        <w:jc w:val="both"/>
        <w:rPr>
          <w:rFonts w:ascii="David" w:hAnsi="David" w:cs="David"/>
          <w:sz w:val="24"/>
          <w:szCs w:val="24"/>
        </w:rPr>
      </w:pPr>
      <w:r>
        <w:rPr>
          <w:rFonts w:ascii="David" w:hAnsi="David" w:cs="David" w:hint="cs"/>
          <w:sz w:val="24"/>
          <w:szCs w:val="24"/>
          <w:rtl/>
        </w:rPr>
        <w:t>כפי שניתן להיווכח, בעבירות סמים, מטבע הדברים, קיים מנעד ענישה רחב ו</w:t>
      </w:r>
      <w:r w:rsidRPr="00A44D59">
        <w:rPr>
          <w:rFonts w:ascii="David" w:hAnsi="David" w:cs="David"/>
          <w:sz w:val="24"/>
          <w:szCs w:val="24"/>
          <w:rtl/>
        </w:rPr>
        <w:t xml:space="preserve">אכן, </w:t>
      </w:r>
      <w:r>
        <w:rPr>
          <w:rFonts w:ascii="David" w:hAnsi="David" w:cs="David" w:hint="cs"/>
          <w:sz w:val="24"/>
          <w:szCs w:val="24"/>
          <w:rtl/>
        </w:rPr>
        <w:t xml:space="preserve">כפי שהגיש כל אחד מהצדדים, </w:t>
      </w:r>
      <w:r w:rsidRPr="00A44D59">
        <w:rPr>
          <w:rFonts w:ascii="David" w:hAnsi="David" w:cs="David"/>
          <w:sz w:val="24"/>
          <w:szCs w:val="24"/>
          <w:rtl/>
        </w:rPr>
        <w:t xml:space="preserve">ניתן למצוא </w:t>
      </w:r>
      <w:r>
        <w:rPr>
          <w:rFonts w:ascii="David" w:hAnsi="David" w:cs="David" w:hint="cs"/>
          <w:sz w:val="24"/>
          <w:szCs w:val="24"/>
          <w:rtl/>
        </w:rPr>
        <w:t>פסיקה</w:t>
      </w:r>
      <w:r w:rsidRPr="00A44D59">
        <w:rPr>
          <w:rFonts w:ascii="David" w:hAnsi="David" w:cs="David"/>
          <w:sz w:val="24"/>
          <w:szCs w:val="24"/>
          <w:rtl/>
        </w:rPr>
        <w:t xml:space="preserve"> מחמירה ו</w:t>
      </w:r>
      <w:r>
        <w:rPr>
          <w:rFonts w:ascii="David" w:hAnsi="David" w:cs="David" w:hint="cs"/>
          <w:sz w:val="24"/>
          <w:szCs w:val="24"/>
          <w:rtl/>
        </w:rPr>
        <w:t xml:space="preserve">פסיקה </w:t>
      </w:r>
      <w:r>
        <w:rPr>
          <w:rFonts w:ascii="David" w:hAnsi="David" w:cs="David"/>
          <w:sz w:val="24"/>
          <w:szCs w:val="24"/>
          <w:rtl/>
        </w:rPr>
        <w:t>מקלה</w:t>
      </w:r>
      <w:r>
        <w:rPr>
          <w:rFonts w:ascii="David" w:hAnsi="David" w:cs="David" w:hint="cs"/>
          <w:sz w:val="24"/>
          <w:szCs w:val="24"/>
          <w:rtl/>
        </w:rPr>
        <w:t>.</w:t>
      </w:r>
      <w:r w:rsidRPr="00A44D59">
        <w:rPr>
          <w:rFonts w:ascii="David" w:hAnsi="David" w:cs="David"/>
          <w:sz w:val="24"/>
          <w:szCs w:val="24"/>
          <w:rtl/>
        </w:rPr>
        <w:t xml:space="preserve"> ואולם, המקרים אותם סקרתי לעיל משקפים את הקו המרכזי הנוהג בפסיקה ואת עמדתו העדכנית של בית המשפט העליון בעבירות שעניינן הקמת מעבדות לגידול סמים</w:t>
      </w:r>
      <w:r>
        <w:rPr>
          <w:rFonts w:ascii="David" w:hAnsi="David" w:cs="David" w:hint="cs"/>
          <w:sz w:val="24"/>
          <w:szCs w:val="24"/>
          <w:rtl/>
        </w:rPr>
        <w:t xml:space="preserve"> בהיקפים ובכמויות בהם עסקינן</w:t>
      </w:r>
      <w:r w:rsidRPr="00A44D59">
        <w:rPr>
          <w:rFonts w:ascii="David" w:hAnsi="David" w:cs="David"/>
          <w:sz w:val="24"/>
          <w:szCs w:val="24"/>
          <w:rtl/>
        </w:rPr>
        <w:t>.</w:t>
      </w:r>
      <w:r>
        <w:rPr>
          <w:rFonts w:ascii="David" w:hAnsi="David" w:cs="David" w:hint="cs"/>
          <w:sz w:val="24"/>
          <w:szCs w:val="24"/>
          <w:rtl/>
        </w:rPr>
        <w:t xml:space="preserve">  </w:t>
      </w:r>
      <w:r w:rsidRPr="00A44D59">
        <w:rPr>
          <w:rFonts w:ascii="David" w:hAnsi="David" w:cs="David"/>
          <w:sz w:val="24"/>
          <w:szCs w:val="24"/>
          <w:rtl/>
        </w:rPr>
        <w:t xml:space="preserve">  </w:t>
      </w:r>
    </w:p>
    <w:p w14:paraId="4CB88082" w14:textId="77777777" w:rsidR="00323503" w:rsidRPr="00AF0C8D" w:rsidRDefault="00323503" w:rsidP="00323503">
      <w:pPr>
        <w:pStyle w:val="a9"/>
        <w:spacing w:before="240" w:after="240" w:line="360" w:lineRule="auto"/>
        <w:ind w:left="357"/>
        <w:contextualSpacing w:val="0"/>
        <w:jc w:val="both"/>
        <w:rPr>
          <w:rFonts w:ascii="David" w:hAnsi="David" w:cs="David"/>
          <w:sz w:val="24"/>
          <w:szCs w:val="24"/>
          <w:rtl/>
        </w:rPr>
      </w:pPr>
      <w:r>
        <w:rPr>
          <w:rFonts w:ascii="David" w:hAnsi="David" w:cs="David" w:hint="cs"/>
          <w:sz w:val="24"/>
          <w:szCs w:val="24"/>
          <w:rtl/>
        </w:rPr>
        <w:t xml:space="preserve">לאור האמור, ועל יסוד כלל הנתונים אשר פורטו לעיל, ראיתי להעמיד את מתחם העונש ההולם </w:t>
      </w:r>
      <w:r>
        <w:rPr>
          <w:rFonts w:ascii="David" w:hAnsi="David" w:cs="David" w:hint="cs"/>
          <w:b/>
          <w:bCs/>
          <w:sz w:val="24"/>
          <w:szCs w:val="24"/>
          <w:rtl/>
        </w:rPr>
        <w:t xml:space="preserve">ברף התחתון שלו על 30 חודשי מאסר וברף העליון שלו על 54 חודשי מאסר. </w:t>
      </w:r>
    </w:p>
    <w:p w14:paraId="5D26D092" w14:textId="77777777" w:rsidR="00323503" w:rsidRDefault="00323503" w:rsidP="00323503">
      <w:pPr>
        <w:pStyle w:val="a9"/>
        <w:spacing w:before="240" w:after="240" w:line="360" w:lineRule="auto"/>
        <w:ind w:left="357"/>
        <w:contextualSpacing w:val="0"/>
        <w:jc w:val="both"/>
        <w:rPr>
          <w:rFonts w:ascii="David" w:hAnsi="David" w:cs="David"/>
          <w:b/>
          <w:bCs/>
          <w:sz w:val="24"/>
          <w:szCs w:val="24"/>
          <w:u w:val="single"/>
          <w:rtl/>
        </w:rPr>
      </w:pPr>
      <w:r>
        <w:rPr>
          <w:rFonts w:ascii="David" w:hAnsi="David" w:cs="David" w:hint="cs"/>
          <w:sz w:val="24"/>
          <w:szCs w:val="24"/>
          <w:u w:val="single"/>
          <w:rtl/>
        </w:rPr>
        <w:t>קביעת העונש המתאים</w:t>
      </w:r>
    </w:p>
    <w:p w14:paraId="351C469C" w14:textId="77777777" w:rsidR="00323503" w:rsidRDefault="00323503" w:rsidP="00323503">
      <w:pPr>
        <w:pStyle w:val="a9"/>
        <w:numPr>
          <w:ilvl w:val="0"/>
          <w:numId w:val="1"/>
        </w:numPr>
        <w:spacing w:before="240" w:after="240" w:line="360" w:lineRule="auto"/>
        <w:contextualSpacing w:val="0"/>
        <w:jc w:val="both"/>
        <w:rPr>
          <w:rFonts w:ascii="David" w:hAnsi="David" w:cs="David"/>
          <w:sz w:val="24"/>
          <w:szCs w:val="24"/>
        </w:rPr>
      </w:pPr>
      <w:r>
        <w:rPr>
          <w:rFonts w:ascii="David" w:hAnsi="David" w:cs="David" w:hint="cs"/>
          <w:sz w:val="24"/>
          <w:szCs w:val="24"/>
          <w:rtl/>
        </w:rPr>
        <w:t>בפתח הדיון בעונש המתאים לנאשם יצוין, כי אין מחלוקת בין הצדדים כי יש להטיל על הנאשם עונש המשקף את הרף התחתון של המתחם. בהינתן העובדה שמסקנה זו מקובלת עליי, אסקור להלן בצורה תמציתית את השיקולים התומכים במסקנה זו:</w:t>
      </w:r>
    </w:p>
    <w:p w14:paraId="18CD92C9" w14:textId="77777777" w:rsidR="00323503" w:rsidRDefault="00323503" w:rsidP="00323503">
      <w:pPr>
        <w:pStyle w:val="a9"/>
        <w:spacing w:before="240" w:after="240" w:line="360" w:lineRule="auto"/>
        <w:ind w:left="360"/>
        <w:contextualSpacing w:val="0"/>
        <w:jc w:val="both"/>
        <w:rPr>
          <w:rFonts w:ascii="David" w:hAnsi="David" w:cs="David"/>
          <w:sz w:val="24"/>
          <w:szCs w:val="24"/>
        </w:rPr>
      </w:pPr>
      <w:r>
        <w:rPr>
          <w:rFonts w:ascii="David" w:hAnsi="David" w:cs="David" w:hint="cs"/>
          <w:sz w:val="24"/>
          <w:szCs w:val="24"/>
          <w:rtl/>
        </w:rPr>
        <w:t xml:space="preserve">הנאשם נטל אחריות על מעשיו בשלב מוקדם של ההליך. מעבר לחיסכון בזמן הציבורי, יש בכך כדי ללמד על הפנמת הפסול במעשיו אשר מצדיקה הקלה משמעותית בעונש. </w:t>
      </w:r>
    </w:p>
    <w:p w14:paraId="2184E0C5" w14:textId="77777777" w:rsidR="00323503" w:rsidRDefault="00323503" w:rsidP="00323503">
      <w:pPr>
        <w:pStyle w:val="a9"/>
        <w:spacing w:before="240" w:after="240" w:line="360" w:lineRule="auto"/>
        <w:ind w:left="360"/>
        <w:contextualSpacing w:val="0"/>
        <w:jc w:val="both"/>
        <w:rPr>
          <w:rFonts w:ascii="David" w:hAnsi="David" w:cs="David"/>
          <w:sz w:val="24"/>
          <w:szCs w:val="24"/>
        </w:rPr>
      </w:pPr>
      <w:r>
        <w:rPr>
          <w:rFonts w:ascii="David" w:hAnsi="David" w:cs="David" w:hint="cs"/>
          <w:sz w:val="24"/>
          <w:szCs w:val="24"/>
          <w:rtl/>
        </w:rPr>
        <w:t>נתתי דעתי גם לסיבותיו האישיות של הנאשם, כפי שבאו לידי ביטוי בתסקיר שירות המבחן ובטיעוני הסנגור. ככל הנראה להתמכרותו של הנאשם להימורים וחומרים ממכרים הייתה השפעה כלשהי על ביצוע העבירה. עם זאת, התמכרות אינה יכולה להצדיק ביצוען של עבירות ממין זה, או בכלל, ולכן מצאתי כי משקלם של הנתונים האישיים מצדיק הקלה מסוימת בעונש, אם כי מופחתת.</w:t>
      </w:r>
    </w:p>
    <w:p w14:paraId="01AF9E71" w14:textId="77777777" w:rsidR="00323503" w:rsidRDefault="00323503" w:rsidP="00323503">
      <w:pPr>
        <w:pStyle w:val="a9"/>
        <w:spacing w:before="240" w:after="240" w:line="360" w:lineRule="auto"/>
        <w:ind w:left="360"/>
        <w:contextualSpacing w:val="0"/>
        <w:jc w:val="both"/>
        <w:rPr>
          <w:rFonts w:ascii="David" w:hAnsi="David" w:cs="David"/>
          <w:sz w:val="24"/>
          <w:szCs w:val="24"/>
          <w:rtl/>
        </w:rPr>
      </w:pPr>
      <w:r>
        <w:rPr>
          <w:rFonts w:ascii="David" w:hAnsi="David" w:cs="David" w:hint="cs"/>
          <w:sz w:val="24"/>
          <w:szCs w:val="24"/>
          <w:rtl/>
        </w:rPr>
        <w:t xml:space="preserve">אין לחובת הנאשם הרשעות קודמות וזוהי הרשעתו היחידה בפלילים. לנתון זה יש משמעות בקביעת העונש המתאים. יתרה מכך, מדובר במאסרו הראשון של הנאשם, וכידוע, הפסיקה הכירה בתקופת המאסר הראשונה כקשה במיוחד ונתון זה מצדיק התחשבות נוספת בענישה. </w:t>
      </w:r>
    </w:p>
    <w:p w14:paraId="495E035B" w14:textId="77777777" w:rsidR="00323503" w:rsidRPr="00B82D37" w:rsidRDefault="00323503" w:rsidP="00323503">
      <w:pPr>
        <w:pStyle w:val="a9"/>
        <w:spacing w:before="240" w:after="240" w:line="360" w:lineRule="auto"/>
        <w:ind w:left="360"/>
        <w:contextualSpacing w:val="0"/>
        <w:jc w:val="both"/>
        <w:rPr>
          <w:rFonts w:ascii="David" w:hAnsi="David" w:cs="David"/>
          <w:sz w:val="24"/>
          <w:szCs w:val="24"/>
          <w:rtl/>
        </w:rPr>
      </w:pPr>
      <w:r w:rsidRPr="00B82D37">
        <w:rPr>
          <w:rFonts w:ascii="David" w:hAnsi="David" w:cs="David"/>
          <w:sz w:val="24"/>
          <w:szCs w:val="24"/>
          <w:rtl/>
        </w:rPr>
        <w:t>גם גילו הצעיר של הנאשם (בן 19) מהווה נימוק המ</w:t>
      </w:r>
      <w:r>
        <w:rPr>
          <w:rFonts w:ascii="David" w:hAnsi="David" w:cs="David"/>
          <w:sz w:val="24"/>
          <w:szCs w:val="24"/>
          <w:rtl/>
        </w:rPr>
        <w:t>צדיק התחשבות בתוך גבולות המתחם</w:t>
      </w:r>
      <w:r>
        <w:rPr>
          <w:rFonts w:ascii="David" w:hAnsi="David" w:cs="David" w:hint="cs"/>
          <w:sz w:val="24"/>
          <w:szCs w:val="24"/>
          <w:rtl/>
        </w:rPr>
        <w:t xml:space="preserve">, ונימוק משמעותי ביחס לקנס שיוטל, שיהיה נמוך באופן משמעותי מהקנס המקובל בנסיבות דומות. </w:t>
      </w:r>
    </w:p>
    <w:p w14:paraId="36B39DA4" w14:textId="77777777" w:rsidR="00323503" w:rsidRPr="004646FB" w:rsidRDefault="00323503" w:rsidP="00323503">
      <w:pPr>
        <w:pStyle w:val="a9"/>
        <w:spacing w:before="240" w:after="240" w:line="360" w:lineRule="auto"/>
        <w:ind w:left="357"/>
        <w:contextualSpacing w:val="0"/>
        <w:jc w:val="both"/>
        <w:rPr>
          <w:rFonts w:ascii="David" w:hAnsi="David" w:cs="David"/>
          <w:sz w:val="24"/>
          <w:szCs w:val="24"/>
          <w:shd w:val="clear" w:color="auto" w:fill="FFFFFF"/>
          <w:rtl/>
        </w:rPr>
      </w:pPr>
      <w:r w:rsidRPr="004646FB">
        <w:rPr>
          <w:rFonts w:ascii="David" w:hAnsi="David" w:cs="David"/>
          <w:sz w:val="24"/>
          <w:szCs w:val="24"/>
          <w:u w:val="single"/>
          <w:shd w:val="clear" w:color="auto" w:fill="FFFFFF"/>
          <w:rtl/>
        </w:rPr>
        <w:t>סוף דבר</w:t>
      </w:r>
    </w:p>
    <w:p w14:paraId="23B3766B" w14:textId="77777777" w:rsidR="00323503" w:rsidRPr="004646FB" w:rsidRDefault="00323503" w:rsidP="00323503">
      <w:pPr>
        <w:pStyle w:val="a9"/>
        <w:numPr>
          <w:ilvl w:val="0"/>
          <w:numId w:val="1"/>
        </w:numPr>
        <w:spacing w:before="240" w:after="240" w:line="360" w:lineRule="auto"/>
        <w:contextualSpacing w:val="0"/>
        <w:jc w:val="both"/>
        <w:rPr>
          <w:rFonts w:ascii="David" w:hAnsi="David" w:cs="David"/>
          <w:sz w:val="24"/>
          <w:szCs w:val="24"/>
        </w:rPr>
      </w:pPr>
      <w:r w:rsidRPr="004646FB">
        <w:rPr>
          <w:rFonts w:ascii="David" w:hAnsi="David" w:cs="David"/>
          <w:sz w:val="24"/>
          <w:szCs w:val="24"/>
          <w:shd w:val="clear" w:color="auto" w:fill="FFFFFF"/>
          <w:rtl/>
        </w:rPr>
        <w:t>לאור האמור ראיתי להטיל על הנאשם את העונשים הבאים:</w:t>
      </w:r>
    </w:p>
    <w:p w14:paraId="36D2B88B" w14:textId="77777777" w:rsidR="00323503" w:rsidRDefault="00323503" w:rsidP="00323503">
      <w:pPr>
        <w:pStyle w:val="a9"/>
        <w:numPr>
          <w:ilvl w:val="0"/>
          <w:numId w:val="3"/>
        </w:numPr>
        <w:spacing w:before="240" w:after="240" w:line="360" w:lineRule="auto"/>
        <w:contextualSpacing w:val="0"/>
        <w:jc w:val="both"/>
        <w:rPr>
          <w:rFonts w:ascii="David" w:hAnsi="David" w:cs="David"/>
          <w:sz w:val="24"/>
          <w:szCs w:val="24"/>
        </w:rPr>
      </w:pPr>
      <w:r w:rsidRPr="00B82D37">
        <w:rPr>
          <w:rFonts w:ascii="David" w:hAnsi="David" w:cs="David"/>
          <w:sz w:val="24"/>
          <w:szCs w:val="24"/>
          <w:rtl/>
        </w:rPr>
        <w:t>30 חודשי מאסר לריצוי בפועל</w:t>
      </w:r>
      <w:r>
        <w:rPr>
          <w:rFonts w:ascii="David" w:hAnsi="David" w:cs="David"/>
          <w:sz w:val="24"/>
          <w:szCs w:val="24"/>
          <w:rtl/>
        </w:rPr>
        <w:t xml:space="preserve"> </w:t>
      </w:r>
      <w:r>
        <w:rPr>
          <w:rFonts w:ascii="David" w:hAnsi="David" w:cs="David" w:hint="cs"/>
          <w:sz w:val="24"/>
          <w:szCs w:val="24"/>
          <w:rtl/>
        </w:rPr>
        <w:t>החל מיום מעצרו - 9.5.2021 ובניכוי תקופת מעצר נוספת שבין יום 12.1.2021 ליום 4.2.2021.</w:t>
      </w:r>
    </w:p>
    <w:p w14:paraId="4CFE85E3" w14:textId="77777777" w:rsidR="00323503" w:rsidRDefault="00323503" w:rsidP="00323503">
      <w:pPr>
        <w:pStyle w:val="a9"/>
        <w:numPr>
          <w:ilvl w:val="0"/>
          <w:numId w:val="3"/>
        </w:numPr>
        <w:spacing w:before="240" w:after="240" w:line="360" w:lineRule="auto"/>
        <w:contextualSpacing w:val="0"/>
        <w:jc w:val="both"/>
        <w:rPr>
          <w:rFonts w:ascii="David" w:hAnsi="David" w:cs="David"/>
          <w:sz w:val="24"/>
          <w:szCs w:val="24"/>
        </w:rPr>
      </w:pPr>
      <w:r>
        <w:rPr>
          <w:rFonts w:ascii="David" w:hAnsi="David" w:cs="David" w:hint="cs"/>
          <w:sz w:val="24"/>
          <w:szCs w:val="24"/>
          <w:rtl/>
        </w:rPr>
        <w:t>6 חודשי מאסר, אולם הנאשם לא יישא עונש זה אלא אם יעבור תוך שלוש שנים מיום שחרורו עבירה על פקודת הסמים מסוג פשע.</w:t>
      </w:r>
    </w:p>
    <w:p w14:paraId="5B6323B0" w14:textId="77777777" w:rsidR="00323503" w:rsidRDefault="00323503" w:rsidP="00323503">
      <w:pPr>
        <w:pStyle w:val="a9"/>
        <w:numPr>
          <w:ilvl w:val="0"/>
          <w:numId w:val="3"/>
        </w:numPr>
        <w:spacing w:before="240" w:after="240" w:line="360" w:lineRule="auto"/>
        <w:contextualSpacing w:val="0"/>
        <w:jc w:val="both"/>
        <w:rPr>
          <w:rFonts w:ascii="David" w:hAnsi="David" w:cs="David"/>
          <w:sz w:val="24"/>
          <w:szCs w:val="24"/>
        </w:rPr>
      </w:pPr>
      <w:r>
        <w:rPr>
          <w:rFonts w:ascii="David" w:hAnsi="David" w:cs="David" w:hint="cs"/>
          <w:sz w:val="24"/>
          <w:szCs w:val="24"/>
          <w:rtl/>
        </w:rPr>
        <w:t xml:space="preserve">חודש (1) מאסר, אולם הנאשם לא יישא עונש זה אלא אם יעבור תוך שלוש שנים מיום שחרורו עבירה על פקודת הסמים מסוג עוון. </w:t>
      </w:r>
    </w:p>
    <w:p w14:paraId="055D090F" w14:textId="77777777" w:rsidR="00323503" w:rsidRDefault="00323503" w:rsidP="00323503">
      <w:pPr>
        <w:pStyle w:val="a9"/>
        <w:numPr>
          <w:ilvl w:val="0"/>
          <w:numId w:val="3"/>
        </w:numPr>
        <w:spacing w:before="240" w:after="240" w:line="360" w:lineRule="auto"/>
        <w:contextualSpacing w:val="0"/>
        <w:jc w:val="both"/>
        <w:rPr>
          <w:rFonts w:ascii="David" w:hAnsi="David" w:cs="David"/>
          <w:sz w:val="24"/>
          <w:szCs w:val="24"/>
        </w:rPr>
      </w:pPr>
      <w:r>
        <w:rPr>
          <w:rFonts w:ascii="David" w:hAnsi="David" w:cs="David" w:hint="cs"/>
          <w:sz w:val="24"/>
          <w:szCs w:val="24"/>
          <w:rtl/>
        </w:rPr>
        <w:t xml:space="preserve">קנס </w:t>
      </w:r>
      <w:r w:rsidRPr="00103822">
        <w:rPr>
          <w:rFonts w:ascii="David" w:hAnsi="David" w:cs="David" w:hint="cs"/>
          <w:sz w:val="24"/>
          <w:szCs w:val="24"/>
          <w:rtl/>
        </w:rPr>
        <w:t xml:space="preserve">בסך 2,000 ₪ אשר </w:t>
      </w:r>
      <w:r>
        <w:rPr>
          <w:rFonts w:ascii="David" w:hAnsi="David" w:cs="David" w:hint="cs"/>
          <w:sz w:val="24"/>
          <w:szCs w:val="24"/>
          <w:rtl/>
        </w:rPr>
        <w:t xml:space="preserve">יקוזז מההפקדה בתיק המ"ת. </w:t>
      </w:r>
    </w:p>
    <w:p w14:paraId="5D312A10" w14:textId="77777777" w:rsidR="00323503" w:rsidRDefault="00323503" w:rsidP="00323503">
      <w:pPr>
        <w:spacing w:before="240" w:after="240" w:line="360" w:lineRule="auto"/>
        <w:jc w:val="both"/>
        <w:rPr>
          <w:rFonts w:ascii="David" w:hAnsi="David"/>
          <w:rtl/>
        </w:rPr>
      </w:pPr>
      <w:r>
        <w:rPr>
          <w:rFonts w:ascii="David" w:hAnsi="David" w:hint="cs"/>
          <w:rtl/>
        </w:rPr>
        <w:t xml:space="preserve">ניתן צו כללי למוצגים לשיקול דעת קצין משטרה ו/או התביעה. </w:t>
      </w:r>
    </w:p>
    <w:p w14:paraId="422788B2" w14:textId="77777777" w:rsidR="00323503" w:rsidRDefault="00323503" w:rsidP="00323503">
      <w:pPr>
        <w:spacing w:before="240" w:after="240" w:line="360" w:lineRule="auto"/>
        <w:jc w:val="both"/>
        <w:rPr>
          <w:rFonts w:ascii="David" w:hAnsi="David"/>
          <w:rtl/>
        </w:rPr>
      </w:pPr>
      <w:r>
        <w:rPr>
          <w:rFonts w:ascii="David" w:hAnsi="David" w:hint="cs"/>
          <w:rtl/>
        </w:rPr>
        <w:t>הציוד שנתפס במעבדה יחולט או יושמד. הסמים יושמדו.</w:t>
      </w:r>
    </w:p>
    <w:p w14:paraId="01B3E930" w14:textId="77777777" w:rsidR="00323503" w:rsidRPr="009C60BB" w:rsidRDefault="00323503" w:rsidP="00323503">
      <w:pPr>
        <w:spacing w:before="240" w:after="240" w:line="360" w:lineRule="auto"/>
        <w:jc w:val="both"/>
        <w:rPr>
          <w:rFonts w:ascii="David" w:hAnsi="David"/>
          <w:rtl/>
        </w:rPr>
      </w:pPr>
      <w:r>
        <w:rPr>
          <w:rFonts w:ascii="David" w:hAnsi="David" w:hint="cs"/>
          <w:rtl/>
        </w:rPr>
        <w:t xml:space="preserve">זכות ערעור כחוק. </w:t>
      </w:r>
    </w:p>
    <w:p w14:paraId="6E0585B7" w14:textId="77777777" w:rsidR="00323503" w:rsidRPr="00EF4C28" w:rsidRDefault="00617F4D" w:rsidP="00323503">
      <w:pPr>
        <w:spacing w:line="360" w:lineRule="auto"/>
        <w:jc w:val="both"/>
        <w:rPr>
          <w:rFonts w:ascii="Arial" w:hAnsi="Arial"/>
          <w:b/>
          <w:bCs/>
        </w:rPr>
      </w:pPr>
      <w:bookmarkStart w:id="8" w:name="Nitan"/>
      <w:r>
        <w:rPr>
          <w:rFonts w:ascii="Arial" w:hAnsi="Arial"/>
          <w:b/>
          <w:bCs/>
          <w:rtl/>
        </w:rPr>
        <w:t xml:space="preserve">ניתן היום,  ג' כסלו תשפ"ב, 07 נובמבר 2021, במעמד הצדדים. </w:t>
      </w:r>
      <w:bookmarkEnd w:id="8"/>
    </w:p>
    <w:p w14:paraId="64E7AEEC" w14:textId="77777777" w:rsidR="00323503" w:rsidRDefault="00323503" w:rsidP="00323503">
      <w:pPr>
        <w:rPr>
          <w:rtl/>
        </w:rPr>
      </w:pPr>
    </w:p>
    <w:tbl>
      <w:tblPr>
        <w:tblpPr w:leftFromText="180" w:rightFromText="180" w:vertAnchor="text" w:horzAnchor="page" w:tblpX="2374" w:tblpY="86"/>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323503" w14:paraId="3EA989FC" w14:textId="77777777" w:rsidTr="00323503">
        <w:trPr>
          <w:trHeight w:val="316"/>
        </w:trPr>
        <w:tc>
          <w:tcPr>
            <w:tcW w:w="3936" w:type="dxa"/>
            <w:tcBorders>
              <w:top w:val="nil"/>
              <w:left w:val="nil"/>
              <w:bottom w:val="single" w:sz="4" w:space="0" w:color="auto"/>
              <w:right w:val="nil"/>
            </w:tcBorders>
            <w:shd w:val="clear" w:color="auto" w:fill="auto"/>
            <w:vAlign w:val="bottom"/>
          </w:tcPr>
          <w:p w14:paraId="272E84CE" w14:textId="77777777" w:rsidR="00323503" w:rsidRPr="00323503" w:rsidRDefault="00323503" w:rsidP="00323503">
            <w:pPr>
              <w:jc w:val="center"/>
              <w:rPr>
                <w:rFonts w:cs="Times New Roman"/>
              </w:rPr>
            </w:pPr>
          </w:p>
        </w:tc>
      </w:tr>
      <w:tr w:rsidR="00323503" w14:paraId="15F6B51A" w14:textId="77777777" w:rsidTr="00323503">
        <w:trPr>
          <w:trHeight w:val="361"/>
        </w:trPr>
        <w:tc>
          <w:tcPr>
            <w:tcW w:w="3936" w:type="dxa"/>
            <w:tcBorders>
              <w:top w:val="single" w:sz="4" w:space="0" w:color="auto"/>
              <w:left w:val="nil"/>
              <w:bottom w:val="nil"/>
              <w:right w:val="nil"/>
            </w:tcBorders>
            <w:shd w:val="clear" w:color="auto" w:fill="auto"/>
          </w:tcPr>
          <w:p w14:paraId="091F5667" w14:textId="77777777" w:rsidR="00323503" w:rsidRPr="00323503" w:rsidRDefault="00323503" w:rsidP="00323503">
            <w:pPr>
              <w:jc w:val="center"/>
              <w:rPr>
                <w:b/>
                <w:bCs/>
                <w:rtl/>
              </w:rPr>
            </w:pPr>
            <w:r w:rsidRPr="00323503">
              <w:rPr>
                <w:b/>
                <w:bCs/>
                <w:rtl/>
              </w:rPr>
              <w:t>בני שגיא, שופט</w:t>
            </w:r>
          </w:p>
          <w:p w14:paraId="12425655" w14:textId="77777777" w:rsidR="00323503" w:rsidRPr="00323503" w:rsidRDefault="00323503" w:rsidP="00323503">
            <w:pPr>
              <w:jc w:val="center"/>
              <w:rPr>
                <w:b/>
                <w:bCs/>
                <w:rtl/>
                <w:lang w:eastAsia="he-IL"/>
              </w:rPr>
            </w:pPr>
            <w:r w:rsidRPr="00323503">
              <w:rPr>
                <w:b/>
                <w:bCs/>
                <w:rtl/>
              </w:rPr>
              <w:t>סגן נשיא</w:t>
            </w:r>
          </w:p>
        </w:tc>
      </w:tr>
    </w:tbl>
    <w:p w14:paraId="348E5F18" w14:textId="77777777" w:rsidR="00323503" w:rsidRPr="00250B83" w:rsidRDefault="00323503" w:rsidP="00323503">
      <w:pPr>
        <w:rPr>
          <w:rtl/>
        </w:rPr>
      </w:pPr>
    </w:p>
    <w:p w14:paraId="54E2DB7B" w14:textId="77777777" w:rsidR="00323503" w:rsidRPr="00250B83" w:rsidRDefault="00323503" w:rsidP="00323503">
      <w:pPr>
        <w:jc w:val="center"/>
        <w:rPr>
          <w:rFonts w:ascii="Arial" w:hAnsi="Arial"/>
          <w:rtl/>
        </w:rP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1E0AEDA1" w14:textId="77777777" w:rsidR="00323503" w:rsidRPr="00AF1097" w:rsidRDefault="00323503" w:rsidP="00323503">
      <w:pPr>
        <w:jc w:val="center"/>
        <w:rPr>
          <w:rFonts w:ascii="Arial" w:hAnsi="Arial"/>
          <w:rtl/>
        </w:rPr>
      </w:pPr>
    </w:p>
    <w:p w14:paraId="244AFB34" w14:textId="77777777" w:rsidR="00323503" w:rsidRPr="00250B83" w:rsidRDefault="00323503" w:rsidP="00323503">
      <w:pPr>
        <w:rPr>
          <w:rtl/>
        </w:rPr>
      </w:pPr>
    </w:p>
    <w:p w14:paraId="6B93B8D4" w14:textId="77777777" w:rsidR="00323503" w:rsidRDefault="00323503" w:rsidP="00323503">
      <w:pPr>
        <w:pStyle w:val="a3"/>
        <w:jc w:val="center"/>
        <w:rPr>
          <w:rtl/>
        </w:rPr>
      </w:pPr>
    </w:p>
    <w:p w14:paraId="1D268D09" w14:textId="77777777" w:rsidR="00323503" w:rsidRPr="00617F4D" w:rsidRDefault="00617F4D" w:rsidP="00323503">
      <w:pPr>
        <w:rPr>
          <w:color w:val="FFFFFF"/>
          <w:sz w:val="2"/>
          <w:szCs w:val="2"/>
          <w:rtl/>
        </w:rPr>
      </w:pPr>
      <w:r w:rsidRPr="00617F4D">
        <w:rPr>
          <w:color w:val="FFFFFF"/>
          <w:sz w:val="2"/>
          <w:szCs w:val="2"/>
          <w:rtl/>
        </w:rPr>
        <w:t>5129371</w:t>
      </w:r>
    </w:p>
    <w:p w14:paraId="6AFD5B06" w14:textId="77777777" w:rsidR="00323503" w:rsidRPr="00617F4D" w:rsidRDefault="00617F4D" w:rsidP="00323503">
      <w:pPr>
        <w:rPr>
          <w:color w:val="FFFFFF"/>
          <w:sz w:val="2"/>
          <w:szCs w:val="2"/>
          <w:rtl/>
        </w:rPr>
      </w:pPr>
      <w:r w:rsidRPr="00617F4D">
        <w:rPr>
          <w:color w:val="FFFFFF"/>
          <w:sz w:val="2"/>
          <w:szCs w:val="2"/>
          <w:rtl/>
        </w:rPr>
        <w:t>54678313</w:t>
      </w:r>
    </w:p>
    <w:p w14:paraId="1499DD55" w14:textId="77777777" w:rsidR="00323503" w:rsidRPr="00C2008A" w:rsidRDefault="00323503" w:rsidP="00323503">
      <w:pPr>
        <w:rPr>
          <w:rtl/>
        </w:rPr>
      </w:pPr>
    </w:p>
    <w:p w14:paraId="6DCCCBEF" w14:textId="77777777" w:rsidR="00323503" w:rsidRPr="00C2008A" w:rsidRDefault="00323503" w:rsidP="00323503">
      <w:pPr>
        <w:rPr>
          <w:rtl/>
        </w:rPr>
      </w:pPr>
    </w:p>
    <w:p w14:paraId="64B889A8" w14:textId="77777777" w:rsidR="00323503" w:rsidRDefault="00323503" w:rsidP="00323503">
      <w:pPr>
        <w:rPr>
          <w:rtl/>
        </w:rPr>
      </w:pPr>
    </w:p>
    <w:p w14:paraId="1685D95C" w14:textId="77777777" w:rsidR="00323503" w:rsidRPr="00106D85" w:rsidRDefault="00106D85" w:rsidP="00323503">
      <w:pPr>
        <w:rPr>
          <w:color w:val="FFFFFF"/>
          <w:sz w:val="2"/>
          <w:szCs w:val="2"/>
          <w:rtl/>
        </w:rPr>
      </w:pPr>
      <w:r w:rsidRPr="00106D85">
        <w:rPr>
          <w:color w:val="FFFFFF"/>
          <w:sz w:val="2"/>
          <w:szCs w:val="2"/>
          <w:rtl/>
        </w:rPr>
        <w:t>5129371</w:t>
      </w:r>
    </w:p>
    <w:p w14:paraId="27F06468" w14:textId="77777777" w:rsidR="00520D5D" w:rsidRPr="00106D85" w:rsidRDefault="00106D85" w:rsidP="00617F4D">
      <w:pPr>
        <w:keepNext/>
        <w:rPr>
          <w:rFonts w:ascii="David" w:hAnsi="David"/>
          <w:color w:val="FFFFFF"/>
          <w:sz w:val="2"/>
          <w:szCs w:val="2"/>
          <w:rtl/>
        </w:rPr>
      </w:pPr>
      <w:r w:rsidRPr="00106D85">
        <w:rPr>
          <w:rFonts w:ascii="David" w:hAnsi="David"/>
          <w:color w:val="FFFFFF"/>
          <w:sz w:val="2"/>
          <w:szCs w:val="2"/>
          <w:rtl/>
        </w:rPr>
        <w:t>54678313</w:t>
      </w:r>
    </w:p>
    <w:p w14:paraId="4C48B648" w14:textId="77777777" w:rsidR="00617F4D" w:rsidRDefault="00617F4D" w:rsidP="00617F4D">
      <w:pPr>
        <w:rPr>
          <w:rtl/>
        </w:rPr>
      </w:pPr>
    </w:p>
    <w:p w14:paraId="1C85D375" w14:textId="77777777" w:rsidR="00617F4D" w:rsidRDefault="00617F4D" w:rsidP="00617F4D">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550DE72D" w14:textId="77777777" w:rsidR="00106D85" w:rsidRPr="00106D85" w:rsidRDefault="00106D85" w:rsidP="00106D85">
      <w:pPr>
        <w:keepNext/>
        <w:rPr>
          <w:rFonts w:ascii="David" w:hAnsi="David"/>
          <w:color w:val="000000"/>
          <w:sz w:val="22"/>
          <w:szCs w:val="22"/>
          <w:rtl/>
        </w:rPr>
      </w:pPr>
    </w:p>
    <w:p w14:paraId="116A819E" w14:textId="77777777" w:rsidR="00106D85" w:rsidRPr="00106D85" w:rsidRDefault="00106D85" w:rsidP="00106D85">
      <w:pPr>
        <w:keepNext/>
        <w:rPr>
          <w:rFonts w:ascii="David" w:hAnsi="David"/>
          <w:color w:val="000000"/>
          <w:sz w:val="22"/>
          <w:szCs w:val="22"/>
          <w:rtl/>
        </w:rPr>
      </w:pPr>
      <w:r w:rsidRPr="00106D85">
        <w:rPr>
          <w:rFonts w:ascii="David" w:hAnsi="David"/>
          <w:color w:val="000000"/>
          <w:sz w:val="22"/>
          <w:szCs w:val="22"/>
          <w:rtl/>
        </w:rPr>
        <w:t>בני שגיא 54678313-/</w:t>
      </w:r>
    </w:p>
    <w:p w14:paraId="3DFB3CD3" w14:textId="77777777" w:rsidR="00617F4D" w:rsidRPr="00617F4D" w:rsidRDefault="00106D85" w:rsidP="00106D85">
      <w:pPr>
        <w:rPr>
          <w:rFonts w:hint="cs"/>
          <w:color w:val="0000FF"/>
          <w:u w:val="single"/>
        </w:rPr>
      </w:pPr>
      <w:r w:rsidRPr="00106D85">
        <w:rPr>
          <w:color w:val="000000"/>
          <w:u w:val="single"/>
          <w:rtl/>
        </w:rPr>
        <w:t>נוסח מסמך זה כפוף לשינויי ניסוח ועריכה</w:t>
      </w:r>
      <w:r w:rsidR="00031DFB">
        <w:rPr>
          <w:rFonts w:hint="cs"/>
          <w:color w:val="0000FF"/>
          <w:u w:val="single"/>
          <w:rtl/>
        </w:rPr>
        <w:t xml:space="preserve"> </w:t>
      </w:r>
    </w:p>
    <w:sectPr w:rsidR="00617F4D" w:rsidRPr="00617F4D" w:rsidSect="00106D85">
      <w:headerReference w:type="even" r:id="rId31"/>
      <w:headerReference w:type="default" r:id="rId32"/>
      <w:footerReference w:type="even" r:id="rId33"/>
      <w:footerReference w:type="default" r:id="rId34"/>
      <w:pgSz w:w="11907" w:h="16840" w:code="9"/>
      <w:pgMar w:top="1701" w:right="1077" w:bottom="1134" w:left="1077"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6C64BE" w14:textId="77777777" w:rsidR="005F761B" w:rsidRDefault="005F761B" w:rsidP="006B7369">
      <w:r>
        <w:separator/>
      </w:r>
    </w:p>
  </w:endnote>
  <w:endnote w:type="continuationSeparator" w:id="0">
    <w:p w14:paraId="404ECBDE" w14:textId="77777777" w:rsidR="005F761B" w:rsidRDefault="005F761B" w:rsidP="006B7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444D5" w14:textId="77777777" w:rsidR="00106D85" w:rsidRDefault="00106D85" w:rsidP="00106D8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0418330" w14:textId="77777777" w:rsidR="000F1ABE" w:rsidRPr="00106D85" w:rsidRDefault="00106D85" w:rsidP="00106D85">
    <w:pPr>
      <w:pStyle w:val="a5"/>
      <w:pBdr>
        <w:top w:val="single" w:sz="4" w:space="1" w:color="auto"/>
        <w:between w:val="single" w:sz="4" w:space="0" w:color="auto"/>
      </w:pBdr>
      <w:spacing w:after="60"/>
      <w:jc w:val="center"/>
      <w:rPr>
        <w:rFonts w:ascii="FrankRuehl" w:hAnsi="FrankRuehl" w:cs="FrankRuehl"/>
        <w:color w:val="000000"/>
      </w:rPr>
    </w:pPr>
    <w:r w:rsidRPr="00106D8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8154D" w14:textId="77777777" w:rsidR="00106D85" w:rsidRDefault="00106D85" w:rsidP="00106D8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177D0">
      <w:rPr>
        <w:rFonts w:ascii="FrankRuehl" w:hAnsi="FrankRuehl" w:cs="FrankRuehl"/>
        <w:noProof/>
        <w:rtl/>
      </w:rPr>
      <w:t>1</w:t>
    </w:r>
    <w:r>
      <w:rPr>
        <w:rFonts w:ascii="FrankRuehl" w:hAnsi="FrankRuehl" w:cs="FrankRuehl"/>
        <w:rtl/>
      </w:rPr>
      <w:fldChar w:fldCharType="end"/>
    </w:r>
  </w:p>
  <w:p w14:paraId="5DF604A9" w14:textId="77777777" w:rsidR="000F1ABE" w:rsidRPr="00106D85" w:rsidRDefault="00106D85" w:rsidP="00106D85">
    <w:pPr>
      <w:pStyle w:val="a5"/>
      <w:pBdr>
        <w:top w:val="single" w:sz="4" w:space="1" w:color="auto"/>
        <w:between w:val="single" w:sz="4" w:space="0" w:color="auto"/>
      </w:pBdr>
      <w:spacing w:after="60"/>
      <w:jc w:val="center"/>
      <w:rPr>
        <w:rFonts w:ascii="FrankRuehl" w:hAnsi="FrankRuehl" w:cs="FrankRuehl"/>
        <w:color w:val="000000"/>
      </w:rPr>
    </w:pPr>
    <w:r w:rsidRPr="00106D85">
      <w:rPr>
        <w:rFonts w:ascii="FrankRuehl" w:hAnsi="FrankRuehl" w:cs="FrankRuehl"/>
        <w:color w:val="000000"/>
      </w:rPr>
      <w:pict w14:anchorId="10953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CB747" w14:textId="77777777" w:rsidR="005F761B" w:rsidRDefault="005F761B" w:rsidP="006B7369">
      <w:r>
        <w:separator/>
      </w:r>
    </w:p>
  </w:footnote>
  <w:footnote w:type="continuationSeparator" w:id="0">
    <w:p w14:paraId="1F8B2B8F" w14:textId="77777777" w:rsidR="005F761B" w:rsidRDefault="005F761B" w:rsidP="006B73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C5EDEF" w14:textId="77777777" w:rsidR="00617F4D" w:rsidRPr="00106D85" w:rsidRDefault="00106D85" w:rsidP="00106D8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35389-01-21</w:t>
    </w:r>
    <w:r>
      <w:rPr>
        <w:rFonts w:ascii="David" w:hAnsi="David"/>
        <w:color w:val="000000"/>
        <w:sz w:val="22"/>
        <w:szCs w:val="22"/>
        <w:rtl/>
      </w:rPr>
      <w:tab/>
      <w:t xml:space="preserve"> מדינת ישראל נ' מאיר שדה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4F3D1" w14:textId="77777777" w:rsidR="00617F4D" w:rsidRPr="00106D85" w:rsidRDefault="00106D85" w:rsidP="00106D8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35389-01-21</w:t>
    </w:r>
    <w:r>
      <w:rPr>
        <w:rFonts w:ascii="David" w:hAnsi="David"/>
        <w:color w:val="000000"/>
        <w:sz w:val="22"/>
        <w:szCs w:val="22"/>
        <w:rtl/>
      </w:rPr>
      <w:tab/>
      <w:t xml:space="preserve"> מדינת ישראל נ' מאיר שדה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870FC"/>
    <w:multiLevelType w:val="hybridMultilevel"/>
    <w:tmpl w:val="7B363B84"/>
    <w:lvl w:ilvl="0" w:tplc="A336F56C">
      <w:start w:val="1"/>
      <w:numFmt w:val="hebrew1"/>
      <w:lvlText w:val="%1."/>
      <w:lvlJc w:val="left"/>
      <w:pPr>
        <w:ind w:left="720" w:hanging="360"/>
      </w:pPr>
      <w:rPr>
        <w:rFonts w:ascii="David" w:hAnsi="David" w:cs="David"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B18A8"/>
    <w:multiLevelType w:val="hybridMultilevel"/>
    <w:tmpl w:val="60947172"/>
    <w:lvl w:ilvl="0" w:tplc="EB748978">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A982721"/>
    <w:multiLevelType w:val="hybridMultilevel"/>
    <w:tmpl w:val="BD1A39D6"/>
    <w:lvl w:ilvl="0" w:tplc="4BB85C02">
      <w:start w:val="1"/>
      <w:numFmt w:val="decimal"/>
      <w:lvlText w:val="%1."/>
      <w:lvlJc w:val="left"/>
      <w:pPr>
        <w:ind w:left="360" w:hanging="360"/>
      </w:pPr>
      <w:rPr>
        <w:rFonts w:ascii="Arial" w:eastAsia="Times New Roman" w:hAnsi="Arial" w:cs="David"/>
        <w:b w:val="0"/>
        <w:bCs w:val="0"/>
        <w:lang w:val="en-U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3573426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9236087">
    <w:abstractNumId w:val="1"/>
  </w:num>
  <w:num w:numId="3" w16cid:durableId="1679117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23503"/>
    <w:rsid w:val="00031DFB"/>
    <w:rsid w:val="000F1ABE"/>
    <w:rsid w:val="00106D85"/>
    <w:rsid w:val="001B5A3B"/>
    <w:rsid w:val="00223177"/>
    <w:rsid w:val="00323503"/>
    <w:rsid w:val="003722B6"/>
    <w:rsid w:val="003847D2"/>
    <w:rsid w:val="00520D5D"/>
    <w:rsid w:val="005F761B"/>
    <w:rsid w:val="00617F4D"/>
    <w:rsid w:val="006B7369"/>
    <w:rsid w:val="007E3581"/>
    <w:rsid w:val="00923CAE"/>
    <w:rsid w:val="00A177D0"/>
    <w:rsid w:val="00F315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3AA3C2"/>
  <w15:chartTrackingRefBased/>
  <w15:docId w15:val="{DC6E70AC-7F61-429F-8D4F-C25612CD3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2350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23503"/>
    <w:pPr>
      <w:tabs>
        <w:tab w:val="center" w:pos="4153"/>
        <w:tab w:val="right" w:pos="8306"/>
      </w:tabs>
    </w:pPr>
  </w:style>
  <w:style w:type="character" w:customStyle="1" w:styleId="a4">
    <w:name w:val="כותרת עליונה תו"/>
    <w:link w:val="a3"/>
    <w:rsid w:val="00323503"/>
    <w:rPr>
      <w:rFonts w:ascii="Times New Roman" w:eastAsia="Times New Roman" w:hAnsi="Times New Roman" w:cs="David"/>
      <w:sz w:val="24"/>
      <w:szCs w:val="24"/>
    </w:rPr>
  </w:style>
  <w:style w:type="paragraph" w:styleId="a5">
    <w:name w:val="footer"/>
    <w:basedOn w:val="a"/>
    <w:link w:val="a6"/>
    <w:rsid w:val="00323503"/>
    <w:pPr>
      <w:tabs>
        <w:tab w:val="center" w:pos="4153"/>
        <w:tab w:val="right" w:pos="8306"/>
      </w:tabs>
    </w:pPr>
  </w:style>
  <w:style w:type="character" w:customStyle="1" w:styleId="a6">
    <w:name w:val="כותרת תחתונה תו"/>
    <w:link w:val="a5"/>
    <w:rsid w:val="00323503"/>
    <w:rPr>
      <w:rFonts w:ascii="Times New Roman" w:eastAsia="Times New Roman" w:hAnsi="Times New Roman" w:cs="David"/>
      <w:sz w:val="24"/>
      <w:szCs w:val="24"/>
    </w:rPr>
  </w:style>
  <w:style w:type="table" w:styleId="a7">
    <w:name w:val="Table Grid"/>
    <w:basedOn w:val="a1"/>
    <w:rsid w:val="0032350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23503"/>
  </w:style>
  <w:style w:type="paragraph" w:styleId="a9">
    <w:name w:val="List Paragraph"/>
    <w:basedOn w:val="a"/>
    <w:qFormat/>
    <w:rsid w:val="00323503"/>
    <w:pPr>
      <w:spacing w:after="160" w:line="254" w:lineRule="auto"/>
      <w:ind w:left="720"/>
      <w:contextualSpacing/>
    </w:pPr>
    <w:rPr>
      <w:rFonts w:ascii="Calibri" w:eastAsia="Calibri" w:hAnsi="Calibri" w:cs="Arial"/>
      <w:sz w:val="22"/>
      <w:szCs w:val="22"/>
    </w:rPr>
  </w:style>
  <w:style w:type="paragraph" w:customStyle="1" w:styleId="12">
    <w:name w:val="רגיל + ‏12 נק'"/>
    <w:aliases w:val="מיושר לשני הצדדים,מרווח בין שורות:  שורה וחצי"/>
    <w:basedOn w:val="a"/>
    <w:rsid w:val="00323503"/>
    <w:rPr>
      <w:b/>
      <w:bCs/>
      <w:u w:val="single"/>
    </w:rPr>
  </w:style>
  <w:style w:type="character" w:styleId="Hyperlink">
    <w:name w:val="Hyperlink"/>
    <w:rsid w:val="00617F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0" TargetMode="External"/><Relationship Id="rId18" Type="http://schemas.openxmlformats.org/officeDocument/2006/relationships/hyperlink" Target="http://www.nevo.co.il/case/23827604" TargetMode="External"/><Relationship Id="rId26" Type="http://schemas.openxmlformats.org/officeDocument/2006/relationships/hyperlink" Target="http://www.nevo.co.il/case/25469088" TargetMode="External"/><Relationship Id="rId3" Type="http://schemas.openxmlformats.org/officeDocument/2006/relationships/settings" Target="settings.xml"/><Relationship Id="rId21" Type="http://schemas.openxmlformats.org/officeDocument/2006/relationships/hyperlink" Target="http://www.nevo.co.il/case/22695050"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6674071"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6991436" TargetMode="External"/><Relationship Id="rId20" Type="http://schemas.openxmlformats.org/officeDocument/2006/relationships/hyperlink" Target="http://www.nevo.co.il/case/22841413" TargetMode="External"/><Relationship Id="rId29" Type="http://schemas.openxmlformats.org/officeDocument/2006/relationships/hyperlink" Target="http://www.nevo.co.il/case/1815995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hyperlink" Target="http://www.nevo.co.il/case/26868390"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3827604" TargetMode="External"/><Relationship Id="rId23" Type="http://schemas.openxmlformats.org/officeDocument/2006/relationships/hyperlink" Target="http://www.nevo.co.il/case/21644133" TargetMode="External"/><Relationship Id="rId28" Type="http://schemas.openxmlformats.org/officeDocument/2006/relationships/hyperlink" Target="http://www.nevo.co.il/case/20045115" TargetMode="External"/><Relationship Id="rId36" Type="http://schemas.openxmlformats.org/officeDocument/2006/relationships/theme" Target="theme/theme1.xml"/><Relationship Id="rId10" Type="http://schemas.openxmlformats.org/officeDocument/2006/relationships/hyperlink" Target="http://www.nevo.co.il/law/70301/400" TargetMode="External"/><Relationship Id="rId19" Type="http://schemas.openxmlformats.org/officeDocument/2006/relationships/hyperlink" Target="http://www.nevo.co.il/case/23602844"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2791245" TargetMode="External"/><Relationship Id="rId27" Type="http://schemas.openxmlformats.org/officeDocument/2006/relationships/hyperlink" Target="http://www.nevo.co.il/case/25135813"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3231</Words>
  <Characters>16158</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19351</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3932272</vt:i4>
      </vt:variant>
      <vt:variant>
        <vt:i4>66</vt:i4>
      </vt:variant>
      <vt:variant>
        <vt:i4>0</vt:i4>
      </vt:variant>
      <vt:variant>
        <vt:i4>5</vt:i4>
      </vt:variant>
      <vt:variant>
        <vt:lpwstr>http://www.nevo.co.il/case/18159953</vt:lpwstr>
      </vt:variant>
      <vt:variant>
        <vt:lpwstr/>
      </vt:variant>
      <vt:variant>
        <vt:i4>3539057</vt:i4>
      </vt:variant>
      <vt:variant>
        <vt:i4>63</vt:i4>
      </vt:variant>
      <vt:variant>
        <vt:i4>0</vt:i4>
      </vt:variant>
      <vt:variant>
        <vt:i4>5</vt:i4>
      </vt:variant>
      <vt:variant>
        <vt:lpwstr>http://www.nevo.co.il/case/20045115</vt:lpwstr>
      </vt:variant>
      <vt:variant>
        <vt:lpwstr/>
      </vt:variant>
      <vt:variant>
        <vt:i4>3604602</vt:i4>
      </vt:variant>
      <vt:variant>
        <vt:i4>60</vt:i4>
      </vt:variant>
      <vt:variant>
        <vt:i4>0</vt:i4>
      </vt:variant>
      <vt:variant>
        <vt:i4>5</vt:i4>
      </vt:variant>
      <vt:variant>
        <vt:lpwstr>http://www.nevo.co.il/case/25135813</vt:lpwstr>
      </vt:variant>
      <vt:variant>
        <vt:lpwstr/>
      </vt:variant>
      <vt:variant>
        <vt:i4>3604599</vt:i4>
      </vt:variant>
      <vt:variant>
        <vt:i4>57</vt:i4>
      </vt:variant>
      <vt:variant>
        <vt:i4>0</vt:i4>
      </vt:variant>
      <vt:variant>
        <vt:i4>5</vt:i4>
      </vt:variant>
      <vt:variant>
        <vt:lpwstr>http://www.nevo.co.il/case/25469088</vt:lpwstr>
      </vt:variant>
      <vt:variant>
        <vt:lpwstr/>
      </vt:variant>
      <vt:variant>
        <vt:i4>3604597</vt:i4>
      </vt:variant>
      <vt:variant>
        <vt:i4>54</vt:i4>
      </vt:variant>
      <vt:variant>
        <vt:i4>0</vt:i4>
      </vt:variant>
      <vt:variant>
        <vt:i4>5</vt:i4>
      </vt:variant>
      <vt:variant>
        <vt:lpwstr>http://www.nevo.co.il/case/26674071</vt:lpwstr>
      </vt:variant>
      <vt:variant>
        <vt:lpwstr/>
      </vt:variant>
      <vt:variant>
        <vt:i4>3866743</vt:i4>
      </vt:variant>
      <vt:variant>
        <vt:i4>51</vt:i4>
      </vt:variant>
      <vt:variant>
        <vt:i4>0</vt:i4>
      </vt:variant>
      <vt:variant>
        <vt:i4>5</vt:i4>
      </vt:variant>
      <vt:variant>
        <vt:lpwstr>http://www.nevo.co.il/case/26868390</vt:lpwstr>
      </vt:variant>
      <vt:variant>
        <vt:lpwstr/>
      </vt:variant>
      <vt:variant>
        <vt:i4>3342448</vt:i4>
      </vt:variant>
      <vt:variant>
        <vt:i4>48</vt:i4>
      </vt:variant>
      <vt:variant>
        <vt:i4>0</vt:i4>
      </vt:variant>
      <vt:variant>
        <vt:i4>5</vt:i4>
      </vt:variant>
      <vt:variant>
        <vt:lpwstr>http://www.nevo.co.il/case/21644133</vt:lpwstr>
      </vt:variant>
      <vt:variant>
        <vt:lpwstr/>
      </vt:variant>
      <vt:variant>
        <vt:i4>3145853</vt:i4>
      </vt:variant>
      <vt:variant>
        <vt:i4>45</vt:i4>
      </vt:variant>
      <vt:variant>
        <vt:i4>0</vt:i4>
      </vt:variant>
      <vt:variant>
        <vt:i4>5</vt:i4>
      </vt:variant>
      <vt:variant>
        <vt:lpwstr>http://www.nevo.co.il/case/22791245</vt:lpwstr>
      </vt:variant>
      <vt:variant>
        <vt:lpwstr/>
      </vt:variant>
      <vt:variant>
        <vt:i4>3407999</vt:i4>
      </vt:variant>
      <vt:variant>
        <vt:i4>42</vt:i4>
      </vt:variant>
      <vt:variant>
        <vt:i4>0</vt:i4>
      </vt:variant>
      <vt:variant>
        <vt:i4>5</vt:i4>
      </vt:variant>
      <vt:variant>
        <vt:lpwstr>http://www.nevo.co.il/case/22695050</vt:lpwstr>
      </vt:variant>
      <vt:variant>
        <vt:lpwstr/>
      </vt:variant>
      <vt:variant>
        <vt:i4>3801206</vt:i4>
      </vt:variant>
      <vt:variant>
        <vt:i4>39</vt:i4>
      </vt:variant>
      <vt:variant>
        <vt:i4>0</vt:i4>
      </vt:variant>
      <vt:variant>
        <vt:i4>5</vt:i4>
      </vt:variant>
      <vt:variant>
        <vt:lpwstr>http://www.nevo.co.il/case/22841413</vt:lpwstr>
      </vt:variant>
      <vt:variant>
        <vt:lpwstr/>
      </vt:variant>
      <vt:variant>
        <vt:i4>3276927</vt:i4>
      </vt:variant>
      <vt:variant>
        <vt:i4>36</vt:i4>
      </vt:variant>
      <vt:variant>
        <vt:i4>0</vt:i4>
      </vt:variant>
      <vt:variant>
        <vt:i4>5</vt:i4>
      </vt:variant>
      <vt:variant>
        <vt:lpwstr>http://www.nevo.co.il/case/23602844</vt:lpwstr>
      </vt:variant>
      <vt:variant>
        <vt:lpwstr/>
      </vt:variant>
      <vt:variant>
        <vt:i4>3997811</vt:i4>
      </vt:variant>
      <vt:variant>
        <vt:i4>33</vt:i4>
      </vt:variant>
      <vt:variant>
        <vt:i4>0</vt:i4>
      </vt:variant>
      <vt:variant>
        <vt:i4>5</vt:i4>
      </vt:variant>
      <vt:variant>
        <vt:lpwstr>http://www.nevo.co.il/case/23827604</vt:lpwstr>
      </vt:variant>
      <vt:variant>
        <vt:lpwstr/>
      </vt:variant>
      <vt:variant>
        <vt:i4>8257637</vt:i4>
      </vt:variant>
      <vt:variant>
        <vt:i4>30</vt:i4>
      </vt:variant>
      <vt:variant>
        <vt:i4>0</vt:i4>
      </vt:variant>
      <vt:variant>
        <vt:i4>5</vt:i4>
      </vt:variant>
      <vt:variant>
        <vt:lpwstr>http://www.nevo.co.il/law/4216</vt:lpwstr>
      </vt:variant>
      <vt:variant>
        <vt:lpwstr/>
      </vt:variant>
      <vt:variant>
        <vt:i4>3735679</vt:i4>
      </vt:variant>
      <vt:variant>
        <vt:i4>27</vt:i4>
      </vt:variant>
      <vt:variant>
        <vt:i4>0</vt:i4>
      </vt:variant>
      <vt:variant>
        <vt:i4>5</vt:i4>
      </vt:variant>
      <vt:variant>
        <vt:lpwstr>http://www.nevo.co.il/case/26991436</vt:lpwstr>
      </vt:variant>
      <vt:variant>
        <vt:lpwstr/>
      </vt:variant>
      <vt:variant>
        <vt:i4>3997811</vt:i4>
      </vt:variant>
      <vt:variant>
        <vt:i4>24</vt:i4>
      </vt:variant>
      <vt:variant>
        <vt:i4>0</vt:i4>
      </vt:variant>
      <vt:variant>
        <vt:i4>5</vt:i4>
      </vt:variant>
      <vt:variant>
        <vt:lpwstr>http://www.nevo.co.il/case/23827604</vt:lpwstr>
      </vt:variant>
      <vt:variant>
        <vt:lpwstr/>
      </vt:variant>
      <vt:variant>
        <vt:i4>7995492</vt:i4>
      </vt:variant>
      <vt:variant>
        <vt:i4>21</vt:i4>
      </vt:variant>
      <vt:variant>
        <vt:i4>0</vt:i4>
      </vt:variant>
      <vt:variant>
        <vt:i4>5</vt:i4>
      </vt:variant>
      <vt:variant>
        <vt:lpwstr>http://www.nevo.co.il/law/70301</vt:lpwstr>
      </vt:variant>
      <vt:variant>
        <vt:lpwstr/>
      </vt:variant>
      <vt:variant>
        <vt:i4>6619233</vt:i4>
      </vt:variant>
      <vt:variant>
        <vt:i4>18</vt:i4>
      </vt:variant>
      <vt:variant>
        <vt:i4>0</vt:i4>
      </vt:variant>
      <vt:variant>
        <vt:i4>5</vt:i4>
      </vt:variant>
      <vt:variant>
        <vt:lpwstr>http://www.nevo.co.il/law/70301/400</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6619233</vt:i4>
      </vt:variant>
      <vt:variant>
        <vt:i4>9</vt:i4>
      </vt:variant>
      <vt:variant>
        <vt:i4>0</vt:i4>
      </vt:variant>
      <vt:variant>
        <vt:i4>5</vt:i4>
      </vt:variant>
      <vt:variant>
        <vt:lpwstr>http://www.nevo.co.il/law/70301/400</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2025-04-22T21:10:00Z</dcterms:created>
  <dcterms:modified xsi:type="dcterms:W3CDTF">2025-04-22T21:10:00Z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35389</vt:lpwstr>
  </property>
  <property fmtid="{D5CDD505-2E9C-101B-9397-08002B2CF9AE}" pid="6" name="NEWPARTB">
    <vt:lpwstr>01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מאיר שדה</vt:lpwstr>
  </property>
  <property fmtid="{D5CDD505-2E9C-101B-9397-08002B2CF9AE}" pid="10" name="LAWYER">
    <vt:lpwstr>ענת בן זאב;שלי קוטין;יצחק איצקוביץ</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20211107</vt:lpwstr>
  </property>
  <property fmtid="{D5CDD505-2E9C-101B-9397-08002B2CF9AE}" pid="14" name="TYPE_N_DATE">
    <vt:lpwstr>39020211107</vt:lpwstr>
  </property>
  <property fmtid="{D5CDD505-2E9C-101B-9397-08002B2CF9AE}" pid="15" name="WORDNUMPAGES">
    <vt:lpwstr>9</vt:lpwstr>
  </property>
  <property fmtid="{D5CDD505-2E9C-101B-9397-08002B2CF9AE}" pid="16" name="TYPE_ABS_DATE">
    <vt:lpwstr>390020211107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23827604:2;26991436;23602844;22841413;22695050;22791245;21644133;26868390;26674071;25469088;25135813;20045115;18159953</vt:lpwstr>
  </property>
  <property fmtid="{D5CDD505-2E9C-101B-9397-08002B2CF9AE}" pid="36" name="LAWLISTTMP1">
    <vt:lpwstr>4216/006</vt:lpwstr>
  </property>
  <property fmtid="{D5CDD505-2E9C-101B-9397-08002B2CF9AE}" pid="37" name="LAWLISTTMP2">
    <vt:lpwstr>70301/400</vt:lpwstr>
  </property>
</Properties>
</file>