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96"/>
        <w:gridCol w:w="2156"/>
        <w:gridCol w:w="2279"/>
        <w:gridCol w:w="3167"/>
        <w:gridCol w:w="420"/>
        <w:gridCol w:w="56"/>
      </w:tblGrid>
      <w:tr w:rsidR="006A3A06" w:rsidRPr="00D531AD" w14:paraId="4A789DDE" w14:textId="77777777" w:rsidTr="0067656A">
        <w:trPr>
          <w:gridAfter w:val="2"/>
          <w:wAfter w:w="476" w:type="dxa"/>
          <w:trHeight w:hRule="exact" w:val="418"/>
          <w:jc w:val="center"/>
        </w:trPr>
        <w:tc>
          <w:tcPr>
            <w:tcW w:w="8298" w:type="dxa"/>
            <w:gridSpan w:val="4"/>
          </w:tcPr>
          <w:p w14:paraId="4F354A85" w14:textId="77777777" w:rsidR="006A3A06" w:rsidRPr="00D531AD" w:rsidRDefault="006A3A06" w:rsidP="00BD0983">
            <w:pPr>
              <w:pStyle w:val="a3"/>
              <w:jc w:val="center"/>
              <w:rPr>
                <w:rFonts w:ascii="David" w:hAnsi="David"/>
                <w:color w:val="000080"/>
                <w:sz w:val="32"/>
                <w:szCs w:val="32"/>
                <w:rtl/>
              </w:rPr>
            </w:pPr>
            <w:r w:rsidRPr="00D531AD">
              <w:rPr>
                <w:rFonts w:ascii="David" w:hAnsi="David"/>
                <w:b/>
                <w:bCs/>
                <w:color w:val="000080"/>
                <w:sz w:val="32"/>
                <w:szCs w:val="32"/>
                <w:rtl/>
              </w:rPr>
              <w:t>בית המשפט המחוזי בתל אביב -יפו</w:t>
            </w:r>
          </w:p>
        </w:tc>
      </w:tr>
      <w:tr w:rsidR="006A3A06" w:rsidRPr="00D531AD" w14:paraId="534358D7" w14:textId="77777777" w:rsidTr="0067656A">
        <w:trPr>
          <w:gridAfter w:val="2"/>
          <w:wAfter w:w="476" w:type="dxa"/>
          <w:trHeight w:val="337"/>
          <w:jc w:val="center"/>
        </w:trPr>
        <w:tc>
          <w:tcPr>
            <w:tcW w:w="5131" w:type="dxa"/>
            <w:gridSpan w:val="3"/>
          </w:tcPr>
          <w:p w14:paraId="104D276A" w14:textId="77777777" w:rsidR="006A3A06" w:rsidRPr="00D531AD" w:rsidRDefault="006A3A06" w:rsidP="00BD0983">
            <w:pPr>
              <w:rPr>
                <w:rFonts w:ascii="David" w:hAnsi="David"/>
                <w:b/>
                <w:bCs/>
                <w:rtl/>
              </w:rPr>
            </w:pPr>
            <w:r w:rsidRPr="00D531AD">
              <w:rPr>
                <w:rFonts w:ascii="David" w:hAnsi="David"/>
                <w:b/>
                <w:bCs/>
                <w:rtl/>
              </w:rPr>
              <w:t>ת"פ 30580-02-21 מדינת ישראל נ' אברבך</w:t>
            </w:r>
            <w:r w:rsidRPr="00D531AD">
              <w:rPr>
                <w:rFonts w:ascii="David" w:hAnsi="David" w:hint="cs"/>
                <w:b/>
                <w:bCs/>
                <w:rtl/>
              </w:rPr>
              <w:t xml:space="preserve"> </w:t>
            </w:r>
          </w:p>
          <w:p w14:paraId="7AEDD835" w14:textId="77777777" w:rsidR="006A3A06" w:rsidRPr="00D531AD" w:rsidRDefault="006A3A06" w:rsidP="00BD0983">
            <w:pPr>
              <w:pStyle w:val="a3"/>
              <w:rPr>
                <w:rFonts w:ascii="David" w:hAnsi="David"/>
                <w:b/>
                <w:bCs/>
                <w:rtl/>
              </w:rPr>
            </w:pPr>
          </w:p>
        </w:tc>
        <w:tc>
          <w:tcPr>
            <w:tcW w:w="3167" w:type="dxa"/>
          </w:tcPr>
          <w:p w14:paraId="118C6D21" w14:textId="77777777" w:rsidR="006A3A06" w:rsidRPr="00D531AD" w:rsidRDefault="006A3A06" w:rsidP="00BD0983">
            <w:pPr>
              <w:pStyle w:val="a3"/>
              <w:jc w:val="right"/>
              <w:rPr>
                <w:rFonts w:ascii="David" w:hAnsi="David"/>
                <w:b/>
                <w:bCs/>
                <w:rtl/>
              </w:rPr>
            </w:pPr>
            <w:r w:rsidRPr="00D531AD">
              <w:rPr>
                <w:rFonts w:ascii="David" w:hAnsi="David"/>
                <w:b/>
                <w:bCs/>
                <w:rtl/>
              </w:rPr>
              <w:t>23 נובמבר 2023</w:t>
            </w:r>
          </w:p>
        </w:tc>
      </w:tr>
      <w:tr w:rsidR="006A3A06" w:rsidRPr="00D531AD" w14:paraId="69590CD2" w14:textId="77777777" w:rsidTr="0067656A">
        <w:tblPrEx>
          <w:jc w:val="left"/>
          <w:tblLook w:val="01E0" w:firstRow="1" w:lastRow="1" w:firstColumn="1" w:lastColumn="1" w:noHBand="0" w:noVBand="0"/>
        </w:tblPrEx>
        <w:trPr>
          <w:gridBefore w:val="1"/>
          <w:gridAfter w:val="1"/>
          <w:wBefore w:w="696" w:type="dxa"/>
          <w:wAfter w:w="56" w:type="dxa"/>
        </w:trPr>
        <w:tc>
          <w:tcPr>
            <w:tcW w:w="8022" w:type="dxa"/>
            <w:gridSpan w:val="4"/>
            <w:shd w:val="clear" w:color="auto" w:fill="auto"/>
          </w:tcPr>
          <w:p w14:paraId="59B3FF61" w14:textId="77777777" w:rsidR="006A3A06" w:rsidRPr="00D531AD" w:rsidRDefault="006A3A06" w:rsidP="006A3A06">
            <w:pPr>
              <w:spacing w:line="360" w:lineRule="auto"/>
              <w:rPr>
                <w:b/>
                <w:bCs/>
                <w:rtl/>
              </w:rPr>
            </w:pPr>
            <w:r w:rsidRPr="00D531AD">
              <w:rPr>
                <w:rtl/>
              </w:rPr>
              <w:t xml:space="preserve"> </w:t>
            </w:r>
            <w:r w:rsidRPr="00D531AD">
              <w:rPr>
                <w:rFonts w:hint="cs"/>
                <w:b/>
                <w:bCs/>
                <w:rtl/>
              </w:rPr>
              <w:t>בפני כב' השופט בני שגיא, סגן נשיא</w:t>
            </w:r>
          </w:p>
        </w:tc>
      </w:tr>
      <w:tr w:rsidR="006A3A06" w:rsidRPr="00D531AD" w14:paraId="1F3F045A" w14:textId="77777777" w:rsidTr="0067656A">
        <w:tblPrEx>
          <w:jc w:val="left"/>
          <w:tblLook w:val="01E0" w:firstRow="1" w:lastRow="1" w:firstColumn="1" w:lastColumn="1" w:noHBand="0" w:noVBand="0"/>
        </w:tblPrEx>
        <w:trPr>
          <w:gridBefore w:val="1"/>
          <w:wBefore w:w="696" w:type="dxa"/>
          <w:cantSplit/>
          <w:trHeight w:val="1053"/>
        </w:trPr>
        <w:tc>
          <w:tcPr>
            <w:tcW w:w="2156" w:type="dxa"/>
            <w:shd w:val="clear" w:color="auto" w:fill="auto"/>
          </w:tcPr>
          <w:p w14:paraId="184DB34D" w14:textId="77777777" w:rsidR="006A3A06" w:rsidRPr="00D531AD" w:rsidRDefault="006A3A06" w:rsidP="006A3A06">
            <w:pPr>
              <w:spacing w:line="360" w:lineRule="auto"/>
              <w:jc w:val="right"/>
              <w:rPr>
                <w:b/>
                <w:bCs/>
                <w:rtl/>
              </w:rPr>
            </w:pPr>
            <w:bookmarkStart w:id="0" w:name="FirstAppellant"/>
            <w:bookmarkStart w:id="1" w:name="FirstLawyer"/>
            <w:bookmarkStart w:id="2" w:name="LastJudge"/>
            <w:bookmarkEnd w:id="2"/>
          </w:p>
          <w:p w14:paraId="77E450BC" w14:textId="77777777" w:rsidR="006A3A06" w:rsidRPr="00D531AD" w:rsidRDefault="006A3A06" w:rsidP="006A3A06">
            <w:pPr>
              <w:spacing w:line="360" w:lineRule="auto"/>
              <w:rPr>
                <w:b/>
                <w:bCs/>
                <w:rtl/>
              </w:rPr>
            </w:pPr>
            <w:r w:rsidRPr="00D531AD">
              <w:rPr>
                <w:rFonts w:hint="cs"/>
                <w:b/>
                <w:bCs/>
                <w:rtl/>
              </w:rPr>
              <w:t>המאשימה</w:t>
            </w:r>
          </w:p>
        </w:tc>
        <w:tc>
          <w:tcPr>
            <w:tcW w:w="5922" w:type="dxa"/>
            <w:gridSpan w:val="4"/>
            <w:shd w:val="clear" w:color="auto" w:fill="auto"/>
          </w:tcPr>
          <w:p w14:paraId="0CFA2C3E" w14:textId="77777777" w:rsidR="006A3A06" w:rsidRPr="00D531AD" w:rsidRDefault="006A3A06" w:rsidP="006A3A06">
            <w:pPr>
              <w:spacing w:line="360" w:lineRule="auto"/>
              <w:jc w:val="right"/>
              <w:rPr>
                <w:rtl/>
              </w:rPr>
            </w:pPr>
          </w:p>
          <w:p w14:paraId="74800862" w14:textId="77777777" w:rsidR="006A3A06" w:rsidRPr="00D531AD" w:rsidRDefault="006A3A06" w:rsidP="006A3A06">
            <w:pPr>
              <w:spacing w:line="360" w:lineRule="auto"/>
              <w:rPr>
                <w:b/>
                <w:bCs/>
                <w:rtl/>
              </w:rPr>
            </w:pPr>
            <w:r w:rsidRPr="00D531AD">
              <w:rPr>
                <w:rFonts w:hint="cs"/>
                <w:b/>
                <w:bCs/>
                <w:rtl/>
              </w:rPr>
              <w:t>מדינת ישראל</w:t>
            </w:r>
          </w:p>
          <w:p w14:paraId="6ECE8AD7" w14:textId="77777777" w:rsidR="006A3A06" w:rsidRPr="00D531AD" w:rsidRDefault="006A3A06" w:rsidP="006A3A06">
            <w:pPr>
              <w:spacing w:line="360" w:lineRule="auto"/>
              <w:rPr>
                <w:rtl/>
              </w:rPr>
            </w:pPr>
            <w:r w:rsidRPr="00D531AD">
              <w:rPr>
                <w:rFonts w:hint="cs"/>
                <w:rtl/>
              </w:rPr>
              <w:t>על-ידי ב"כ עו"ד רוית שפיר</w:t>
            </w:r>
          </w:p>
          <w:p w14:paraId="04B14209" w14:textId="77777777" w:rsidR="006A3A06" w:rsidRPr="00D531AD" w:rsidRDefault="006A3A06" w:rsidP="006A3A06">
            <w:pPr>
              <w:spacing w:line="360" w:lineRule="auto"/>
              <w:rPr>
                <w:b/>
                <w:bCs/>
                <w:rtl/>
              </w:rPr>
            </w:pPr>
          </w:p>
        </w:tc>
      </w:tr>
      <w:bookmarkEnd w:id="0"/>
      <w:bookmarkEnd w:id="1"/>
      <w:tr w:rsidR="006A3A06" w:rsidRPr="00D531AD" w14:paraId="49C4BDD3" w14:textId="77777777" w:rsidTr="0067656A">
        <w:tblPrEx>
          <w:jc w:val="left"/>
          <w:tblLook w:val="01E0" w:firstRow="1" w:lastRow="1" w:firstColumn="1" w:lastColumn="1" w:noHBand="0" w:noVBand="0"/>
        </w:tblPrEx>
        <w:trPr>
          <w:gridBefore w:val="1"/>
          <w:wBefore w:w="696" w:type="dxa"/>
        </w:trPr>
        <w:tc>
          <w:tcPr>
            <w:tcW w:w="8078" w:type="dxa"/>
            <w:gridSpan w:val="5"/>
            <w:shd w:val="clear" w:color="auto" w:fill="auto"/>
            <w:vAlign w:val="center"/>
          </w:tcPr>
          <w:p w14:paraId="4F96A332" w14:textId="77777777" w:rsidR="006A3A06" w:rsidRPr="00D531AD" w:rsidRDefault="006A3A06" w:rsidP="006A3A06">
            <w:pPr>
              <w:spacing w:line="360" w:lineRule="auto"/>
              <w:jc w:val="center"/>
              <w:rPr>
                <w:rFonts w:ascii="Arial" w:hAnsi="Arial"/>
                <w:b/>
                <w:bCs/>
                <w:rtl/>
              </w:rPr>
            </w:pPr>
          </w:p>
          <w:p w14:paraId="60FF9F56" w14:textId="77777777" w:rsidR="006A3A06" w:rsidRPr="00D531AD" w:rsidRDefault="006A3A06" w:rsidP="006A3A06">
            <w:pPr>
              <w:spacing w:line="360" w:lineRule="auto"/>
              <w:jc w:val="center"/>
              <w:rPr>
                <w:rFonts w:ascii="Arial" w:hAnsi="Arial"/>
                <w:b/>
                <w:bCs/>
                <w:rtl/>
              </w:rPr>
            </w:pPr>
            <w:r w:rsidRPr="00D531AD">
              <w:rPr>
                <w:rFonts w:ascii="Arial" w:hAnsi="Arial" w:hint="cs"/>
                <w:b/>
                <w:bCs/>
                <w:rtl/>
              </w:rPr>
              <w:t>נגד</w:t>
            </w:r>
          </w:p>
          <w:p w14:paraId="49908ED8" w14:textId="77777777" w:rsidR="006A3A06" w:rsidRPr="00D531AD" w:rsidRDefault="006A3A06" w:rsidP="006A3A06">
            <w:pPr>
              <w:spacing w:line="360" w:lineRule="auto"/>
              <w:jc w:val="right"/>
              <w:rPr>
                <w:rFonts w:ascii="Arial" w:hAnsi="Arial"/>
                <w:b/>
                <w:bCs/>
                <w:rtl/>
              </w:rPr>
            </w:pPr>
          </w:p>
        </w:tc>
      </w:tr>
      <w:tr w:rsidR="006A3A06" w:rsidRPr="00D531AD" w14:paraId="30297104" w14:textId="77777777" w:rsidTr="0067656A">
        <w:tblPrEx>
          <w:jc w:val="left"/>
          <w:tblLook w:val="01E0" w:firstRow="1" w:lastRow="1" w:firstColumn="1" w:lastColumn="1" w:noHBand="0" w:noVBand="0"/>
        </w:tblPrEx>
        <w:trPr>
          <w:gridBefore w:val="1"/>
          <w:wBefore w:w="696" w:type="dxa"/>
        </w:trPr>
        <w:tc>
          <w:tcPr>
            <w:tcW w:w="2156" w:type="dxa"/>
            <w:shd w:val="clear" w:color="auto" w:fill="auto"/>
          </w:tcPr>
          <w:p w14:paraId="1BB31AD3" w14:textId="77777777" w:rsidR="006A3A06" w:rsidRPr="00D531AD" w:rsidRDefault="006A3A06" w:rsidP="006A3A06">
            <w:pPr>
              <w:spacing w:line="360" w:lineRule="auto"/>
              <w:rPr>
                <w:b/>
                <w:bCs/>
                <w:rtl/>
              </w:rPr>
            </w:pPr>
            <w:r w:rsidRPr="00D531AD">
              <w:rPr>
                <w:rFonts w:hint="cs"/>
                <w:b/>
                <w:bCs/>
                <w:rtl/>
              </w:rPr>
              <w:t>הנאשם</w:t>
            </w:r>
          </w:p>
        </w:tc>
        <w:tc>
          <w:tcPr>
            <w:tcW w:w="5922" w:type="dxa"/>
            <w:gridSpan w:val="4"/>
            <w:shd w:val="clear" w:color="auto" w:fill="auto"/>
          </w:tcPr>
          <w:p w14:paraId="4118DBF5" w14:textId="77777777" w:rsidR="006A3A06" w:rsidRPr="00D531AD" w:rsidRDefault="006A3A06" w:rsidP="006A3A06">
            <w:pPr>
              <w:spacing w:line="360" w:lineRule="auto"/>
              <w:rPr>
                <w:b/>
                <w:bCs/>
                <w:rtl/>
              </w:rPr>
            </w:pPr>
            <w:r w:rsidRPr="00D531AD">
              <w:rPr>
                <w:rFonts w:hint="cs"/>
                <w:b/>
                <w:bCs/>
                <w:rtl/>
              </w:rPr>
              <w:t xml:space="preserve">שגיא אברבך ת.ז. </w:t>
            </w:r>
            <w:r w:rsidR="00D531AD">
              <w:rPr>
                <w:b/>
                <w:bCs/>
              </w:rPr>
              <w:t>xxxxxxxxx</w:t>
            </w:r>
          </w:p>
          <w:p w14:paraId="71BB0E88" w14:textId="77777777" w:rsidR="006A3A06" w:rsidRPr="00D531AD" w:rsidRDefault="006A3A06" w:rsidP="006A3A06">
            <w:pPr>
              <w:spacing w:line="360" w:lineRule="auto"/>
              <w:rPr>
                <w:rtl/>
              </w:rPr>
            </w:pPr>
            <w:r w:rsidRPr="00D531AD">
              <w:rPr>
                <w:rFonts w:hint="cs"/>
                <w:rtl/>
              </w:rPr>
              <w:t>על-ידי ב"כ עו"ד יעקב שקלאר, עו"ד גיא זהבי, עו"ד אריק רוש</w:t>
            </w:r>
          </w:p>
        </w:tc>
      </w:tr>
    </w:tbl>
    <w:p w14:paraId="40E178CD" w14:textId="77777777" w:rsidR="006A3A06" w:rsidRPr="00D531AD" w:rsidRDefault="006A3A06" w:rsidP="006A3A06">
      <w:pPr>
        <w:pStyle w:val="12"/>
        <w:spacing w:line="360" w:lineRule="auto"/>
        <w:rPr>
          <w:u w:val="none"/>
        </w:rPr>
      </w:pPr>
    </w:p>
    <w:p w14:paraId="24E41BDA" w14:textId="77777777" w:rsidR="006A3A06" w:rsidRDefault="006A3A06" w:rsidP="006A3A06">
      <w:pPr>
        <w:pStyle w:val="12"/>
        <w:spacing w:line="360" w:lineRule="auto"/>
        <w:rPr>
          <w:rFonts w:hint="cs"/>
          <w:b w:val="0"/>
          <w:bCs w:val="0"/>
          <w:u w:val="none"/>
          <w:rtl/>
        </w:rPr>
      </w:pPr>
      <w:r w:rsidRPr="00D531AD">
        <w:rPr>
          <w:b w:val="0"/>
          <w:bCs w:val="0"/>
          <w:u w:val="none"/>
          <w:rtl/>
        </w:rPr>
        <w:tab/>
      </w:r>
      <w:r w:rsidRPr="00D531AD">
        <w:rPr>
          <w:rFonts w:hint="cs"/>
          <w:b w:val="0"/>
          <w:bCs w:val="0"/>
          <w:u w:val="none"/>
          <w:rtl/>
        </w:rPr>
        <w:t>כללי</w:t>
      </w:r>
    </w:p>
    <w:p w14:paraId="5E0D49B1" w14:textId="77777777" w:rsidR="0067656A" w:rsidRPr="00D531AD" w:rsidRDefault="0067656A" w:rsidP="0067656A">
      <w:pPr>
        <w:pStyle w:val="a3"/>
        <w:spacing w:before="120" w:after="120" w:line="240" w:lineRule="exact"/>
        <w:ind w:left="283" w:hanging="283"/>
        <w:jc w:val="both"/>
        <w:rPr>
          <w:rFonts w:ascii="FrankRuehl" w:hAnsi="FrankRuehl" w:cs="FrankRuehl"/>
          <w:rtl/>
        </w:rPr>
      </w:pPr>
    </w:p>
    <w:p w14:paraId="3ED100CA" w14:textId="77777777" w:rsidR="003C6DA5" w:rsidRPr="003C6DA5" w:rsidRDefault="003C6DA5" w:rsidP="003C6DA5">
      <w:pPr>
        <w:pStyle w:val="12"/>
        <w:spacing w:before="120" w:after="120" w:line="240" w:lineRule="exact"/>
        <w:ind w:left="283" w:hanging="283"/>
        <w:jc w:val="both"/>
        <w:rPr>
          <w:rFonts w:ascii="FrankRuehl" w:hAnsi="FrankRuehl" w:cs="FrankRuehl"/>
          <w:b w:val="0"/>
          <w:bCs w:val="0"/>
          <w:u w:val="none"/>
          <w:rtl/>
        </w:rPr>
      </w:pPr>
    </w:p>
    <w:p w14:paraId="73181807" w14:textId="77777777" w:rsidR="001E7D3D" w:rsidRDefault="001E7D3D" w:rsidP="001E7D3D">
      <w:pPr>
        <w:pStyle w:val="12"/>
        <w:spacing w:line="360" w:lineRule="auto"/>
        <w:rPr>
          <w:b w:val="0"/>
          <w:bCs w:val="0"/>
          <w:u w:val="none"/>
          <w:rtl/>
        </w:rPr>
      </w:pPr>
      <w:bookmarkStart w:id="3" w:name="LawTable"/>
      <w:bookmarkEnd w:id="3"/>
    </w:p>
    <w:p w14:paraId="7E5EABCA" w14:textId="77777777" w:rsidR="001E7D3D" w:rsidRPr="001E7D3D" w:rsidRDefault="001E7D3D" w:rsidP="001E7D3D">
      <w:pPr>
        <w:pStyle w:val="12"/>
        <w:spacing w:before="120" w:after="120" w:line="240" w:lineRule="exact"/>
        <w:ind w:left="283" w:hanging="283"/>
        <w:jc w:val="both"/>
        <w:rPr>
          <w:rFonts w:ascii="FrankRuehl" w:hAnsi="FrankRuehl" w:cs="FrankRuehl"/>
          <w:b w:val="0"/>
          <w:bCs w:val="0"/>
          <w:u w:val="none"/>
          <w:rtl/>
        </w:rPr>
      </w:pPr>
    </w:p>
    <w:p w14:paraId="10F17047" w14:textId="77777777" w:rsidR="001E7D3D" w:rsidRPr="001E7D3D" w:rsidRDefault="001E7D3D" w:rsidP="001E7D3D">
      <w:pPr>
        <w:pStyle w:val="12"/>
        <w:spacing w:before="120" w:after="120" w:line="240" w:lineRule="exact"/>
        <w:ind w:left="283" w:hanging="283"/>
        <w:jc w:val="both"/>
        <w:rPr>
          <w:rFonts w:ascii="FrankRuehl" w:hAnsi="FrankRuehl" w:cs="FrankRuehl"/>
          <w:b w:val="0"/>
          <w:bCs w:val="0"/>
          <w:u w:val="none"/>
          <w:rtl/>
        </w:rPr>
      </w:pPr>
    </w:p>
    <w:p w14:paraId="196D0C11" w14:textId="77777777" w:rsidR="001E7D3D" w:rsidRPr="001E7D3D" w:rsidRDefault="001E7D3D" w:rsidP="001E7D3D">
      <w:pPr>
        <w:pStyle w:val="12"/>
        <w:spacing w:before="120" w:after="120" w:line="240" w:lineRule="exact"/>
        <w:ind w:left="283" w:hanging="283"/>
        <w:jc w:val="both"/>
        <w:rPr>
          <w:rFonts w:ascii="FrankRuehl" w:hAnsi="FrankRuehl" w:cs="FrankRuehl"/>
          <w:b w:val="0"/>
          <w:bCs w:val="0"/>
          <w:u w:val="none"/>
          <w:rtl/>
        </w:rPr>
      </w:pPr>
      <w:r w:rsidRPr="001E7D3D">
        <w:rPr>
          <w:rFonts w:ascii="FrankRuehl" w:hAnsi="FrankRuehl" w:cs="FrankRuehl"/>
          <w:b w:val="0"/>
          <w:bCs w:val="0"/>
          <w:u w:val="none"/>
          <w:rtl/>
        </w:rPr>
        <w:t xml:space="preserve">חקיקה שאוזכרה: </w:t>
      </w:r>
    </w:p>
    <w:p w14:paraId="0774AB77" w14:textId="77777777" w:rsidR="001E7D3D" w:rsidRPr="001E7D3D" w:rsidRDefault="001E7D3D" w:rsidP="001E7D3D">
      <w:pPr>
        <w:pStyle w:val="12"/>
        <w:spacing w:before="120" w:after="120" w:line="240" w:lineRule="exact"/>
        <w:ind w:left="283" w:hanging="283"/>
        <w:jc w:val="both"/>
        <w:rPr>
          <w:rFonts w:ascii="FrankRuehl" w:hAnsi="FrankRuehl" w:cs="FrankRuehl"/>
          <w:b w:val="0"/>
          <w:bCs w:val="0"/>
          <w:u w:val="none"/>
          <w:rtl/>
        </w:rPr>
      </w:pPr>
      <w:hyperlink r:id="rId6" w:history="1">
        <w:r w:rsidRPr="001E7D3D">
          <w:rPr>
            <w:rFonts w:ascii="FrankRuehl" w:hAnsi="FrankRuehl" w:cs="FrankRuehl"/>
            <w:b w:val="0"/>
            <w:bCs w:val="0"/>
            <w:color w:val="0000FF"/>
            <w:u w:val="none"/>
            <w:rtl/>
          </w:rPr>
          <w:t>פקודת הסמים המסוכנים [נוסח חדש], תשל"ג-1973</w:t>
        </w:r>
      </w:hyperlink>
      <w:r w:rsidRPr="001E7D3D">
        <w:rPr>
          <w:rFonts w:ascii="FrankRuehl" w:hAnsi="FrankRuehl" w:cs="FrankRuehl"/>
          <w:b w:val="0"/>
          <w:bCs w:val="0"/>
          <w:u w:val="none"/>
          <w:rtl/>
        </w:rPr>
        <w:t xml:space="preserve">: סע'  </w:t>
      </w:r>
      <w:hyperlink r:id="rId7" w:history="1">
        <w:r w:rsidRPr="001E7D3D">
          <w:rPr>
            <w:rFonts w:ascii="FrankRuehl" w:hAnsi="FrankRuehl" w:cs="FrankRuehl"/>
            <w:b w:val="0"/>
            <w:bCs w:val="0"/>
            <w:color w:val="0000FF"/>
            <w:u w:val="none"/>
            <w:rtl/>
          </w:rPr>
          <w:t>7.א.</w:t>
        </w:r>
      </w:hyperlink>
      <w:r w:rsidRPr="001E7D3D">
        <w:rPr>
          <w:rFonts w:ascii="FrankRuehl" w:hAnsi="FrankRuehl" w:cs="FrankRuehl"/>
          <w:b w:val="0"/>
          <w:bCs w:val="0"/>
          <w:u w:val="none"/>
          <w:rtl/>
        </w:rPr>
        <w:t xml:space="preserve">, </w:t>
      </w:r>
      <w:hyperlink r:id="rId8" w:history="1">
        <w:r w:rsidRPr="001E7D3D">
          <w:rPr>
            <w:rFonts w:ascii="FrankRuehl" w:hAnsi="FrankRuehl" w:cs="FrankRuehl"/>
            <w:b w:val="0"/>
            <w:bCs w:val="0"/>
            <w:color w:val="0000FF"/>
            <w:u w:val="none"/>
            <w:rtl/>
          </w:rPr>
          <w:t>7.ג</w:t>
        </w:r>
      </w:hyperlink>
      <w:r w:rsidRPr="001E7D3D">
        <w:rPr>
          <w:rFonts w:ascii="FrankRuehl" w:hAnsi="FrankRuehl" w:cs="FrankRuehl"/>
          <w:b w:val="0"/>
          <w:bCs w:val="0"/>
          <w:u w:val="none"/>
          <w:rtl/>
        </w:rPr>
        <w:t xml:space="preserve">, </w:t>
      </w:r>
      <w:hyperlink r:id="rId9" w:history="1">
        <w:r w:rsidRPr="001E7D3D">
          <w:rPr>
            <w:rFonts w:ascii="FrankRuehl" w:hAnsi="FrankRuehl" w:cs="FrankRuehl"/>
            <w:b w:val="0"/>
            <w:bCs w:val="0"/>
            <w:color w:val="0000FF"/>
            <w:u w:val="none"/>
            <w:rtl/>
          </w:rPr>
          <w:t>13</w:t>
        </w:r>
      </w:hyperlink>
      <w:r w:rsidRPr="001E7D3D">
        <w:rPr>
          <w:rFonts w:ascii="FrankRuehl" w:hAnsi="FrankRuehl" w:cs="FrankRuehl"/>
          <w:b w:val="0"/>
          <w:bCs w:val="0"/>
          <w:u w:val="none"/>
          <w:rtl/>
        </w:rPr>
        <w:t xml:space="preserve">, </w:t>
      </w:r>
      <w:hyperlink r:id="rId10" w:history="1">
        <w:r w:rsidRPr="001E7D3D">
          <w:rPr>
            <w:rFonts w:ascii="FrankRuehl" w:hAnsi="FrankRuehl" w:cs="FrankRuehl"/>
            <w:b w:val="0"/>
            <w:bCs w:val="0"/>
            <w:color w:val="0000FF"/>
            <w:u w:val="none"/>
            <w:rtl/>
          </w:rPr>
          <w:t>19א</w:t>
        </w:r>
      </w:hyperlink>
    </w:p>
    <w:p w14:paraId="21E2AC0E" w14:textId="77777777" w:rsidR="001E7D3D" w:rsidRPr="001E7D3D" w:rsidRDefault="001E7D3D" w:rsidP="001E7D3D">
      <w:pPr>
        <w:pStyle w:val="12"/>
        <w:spacing w:before="120" w:after="120" w:line="240" w:lineRule="exact"/>
        <w:ind w:left="283" w:hanging="283"/>
        <w:jc w:val="both"/>
        <w:rPr>
          <w:rFonts w:ascii="FrankRuehl" w:hAnsi="FrankRuehl" w:cs="FrankRuehl"/>
          <w:b w:val="0"/>
          <w:bCs w:val="0"/>
          <w:u w:val="none"/>
          <w:rtl/>
        </w:rPr>
      </w:pPr>
      <w:hyperlink r:id="rId11" w:history="1">
        <w:r w:rsidRPr="001E7D3D">
          <w:rPr>
            <w:rFonts w:ascii="FrankRuehl" w:hAnsi="FrankRuehl" w:cs="FrankRuehl"/>
            <w:b w:val="0"/>
            <w:bCs w:val="0"/>
            <w:color w:val="0000FF"/>
            <w:u w:val="none"/>
            <w:rtl/>
          </w:rPr>
          <w:t>חוק העונשין, תשל"ז-1977</w:t>
        </w:r>
      </w:hyperlink>
      <w:r w:rsidRPr="001E7D3D">
        <w:rPr>
          <w:rFonts w:ascii="FrankRuehl" w:hAnsi="FrankRuehl" w:cs="FrankRuehl"/>
          <w:b w:val="0"/>
          <w:bCs w:val="0"/>
          <w:u w:val="none"/>
          <w:rtl/>
        </w:rPr>
        <w:t xml:space="preserve">: סע'  </w:t>
      </w:r>
      <w:hyperlink r:id="rId12" w:history="1">
        <w:r w:rsidRPr="001E7D3D">
          <w:rPr>
            <w:rFonts w:ascii="FrankRuehl" w:hAnsi="FrankRuehl" w:cs="FrankRuehl"/>
            <w:b w:val="0"/>
            <w:bCs w:val="0"/>
            <w:color w:val="0000FF"/>
            <w:u w:val="none"/>
            <w:rtl/>
          </w:rPr>
          <w:t>25</w:t>
        </w:r>
      </w:hyperlink>
      <w:r w:rsidRPr="001E7D3D">
        <w:rPr>
          <w:rFonts w:ascii="FrankRuehl" w:hAnsi="FrankRuehl" w:cs="FrankRuehl"/>
          <w:b w:val="0"/>
          <w:bCs w:val="0"/>
          <w:u w:val="none"/>
          <w:rtl/>
        </w:rPr>
        <w:t xml:space="preserve">, </w:t>
      </w:r>
      <w:hyperlink r:id="rId13" w:history="1">
        <w:r w:rsidRPr="001E7D3D">
          <w:rPr>
            <w:rFonts w:ascii="FrankRuehl" w:hAnsi="FrankRuehl" w:cs="FrankRuehl"/>
            <w:b w:val="0"/>
            <w:bCs w:val="0"/>
            <w:color w:val="0000FF"/>
            <w:u w:val="none"/>
            <w:rtl/>
          </w:rPr>
          <w:t>40ד(א)</w:t>
        </w:r>
      </w:hyperlink>
    </w:p>
    <w:p w14:paraId="0FEF54EE" w14:textId="77777777" w:rsidR="001E7D3D" w:rsidRPr="001E7D3D" w:rsidRDefault="001E7D3D" w:rsidP="001E7D3D">
      <w:pPr>
        <w:pStyle w:val="12"/>
        <w:spacing w:before="120" w:after="120" w:line="240" w:lineRule="exact"/>
        <w:ind w:left="283" w:hanging="283"/>
        <w:jc w:val="both"/>
        <w:rPr>
          <w:rFonts w:ascii="FrankRuehl" w:hAnsi="FrankRuehl" w:cs="FrankRuehl"/>
          <w:b w:val="0"/>
          <w:bCs w:val="0"/>
          <w:u w:val="none"/>
          <w:rtl/>
        </w:rPr>
      </w:pPr>
      <w:hyperlink r:id="rId14" w:history="1">
        <w:r w:rsidRPr="001E7D3D">
          <w:rPr>
            <w:rFonts w:ascii="FrankRuehl" w:hAnsi="FrankRuehl" w:cs="FrankRuehl"/>
            <w:b w:val="0"/>
            <w:bCs w:val="0"/>
            <w:color w:val="0000FF"/>
            <w:u w:val="none"/>
            <w:rtl/>
          </w:rPr>
          <w:t>פקודת מס הכנסה [נוסח חדש] - לא מרובד</w:t>
        </w:r>
      </w:hyperlink>
      <w:r w:rsidRPr="001E7D3D">
        <w:rPr>
          <w:rFonts w:ascii="FrankRuehl" w:hAnsi="FrankRuehl" w:cs="FrankRuehl"/>
          <w:b w:val="0"/>
          <w:bCs w:val="0"/>
          <w:u w:val="none"/>
          <w:rtl/>
        </w:rPr>
        <w:t xml:space="preserve">: סע'  </w:t>
      </w:r>
      <w:hyperlink r:id="rId15" w:history="1">
        <w:r w:rsidRPr="001E7D3D">
          <w:rPr>
            <w:rFonts w:ascii="FrankRuehl" w:hAnsi="FrankRuehl" w:cs="FrankRuehl"/>
            <w:b w:val="0"/>
            <w:bCs w:val="0"/>
            <w:color w:val="0000FF"/>
            <w:u w:val="none"/>
            <w:rtl/>
          </w:rPr>
          <w:t>220(1)</w:t>
        </w:r>
      </w:hyperlink>
      <w:r w:rsidRPr="001E7D3D">
        <w:rPr>
          <w:rFonts w:ascii="FrankRuehl" w:hAnsi="FrankRuehl" w:cs="FrankRuehl"/>
          <w:b w:val="0"/>
          <w:bCs w:val="0"/>
          <w:u w:val="none"/>
          <w:rtl/>
        </w:rPr>
        <w:t xml:space="preserve">, </w:t>
      </w:r>
      <w:hyperlink r:id="rId16" w:history="1">
        <w:r w:rsidRPr="001E7D3D">
          <w:rPr>
            <w:rFonts w:ascii="FrankRuehl" w:hAnsi="FrankRuehl" w:cs="FrankRuehl"/>
            <w:b w:val="0"/>
            <w:bCs w:val="0"/>
            <w:color w:val="0000FF"/>
            <w:u w:val="none"/>
            <w:rtl/>
          </w:rPr>
          <w:t>5</w:t>
        </w:r>
      </w:hyperlink>
    </w:p>
    <w:p w14:paraId="6B99D8A5" w14:textId="77777777" w:rsidR="001E7D3D" w:rsidRPr="001E7D3D" w:rsidRDefault="001E7D3D" w:rsidP="001E7D3D">
      <w:pPr>
        <w:pStyle w:val="12"/>
        <w:spacing w:before="120" w:after="120" w:line="240" w:lineRule="exact"/>
        <w:ind w:left="283" w:hanging="283"/>
        <w:jc w:val="both"/>
        <w:rPr>
          <w:rFonts w:ascii="FrankRuehl" w:hAnsi="FrankRuehl" w:cs="FrankRuehl"/>
          <w:b w:val="0"/>
          <w:bCs w:val="0"/>
          <w:u w:val="none"/>
          <w:rtl/>
        </w:rPr>
      </w:pPr>
      <w:hyperlink r:id="rId17" w:history="1">
        <w:r w:rsidRPr="001E7D3D">
          <w:rPr>
            <w:rFonts w:ascii="FrankRuehl" w:hAnsi="FrankRuehl" w:cs="FrankRuehl"/>
            <w:b w:val="0"/>
            <w:bCs w:val="0"/>
            <w:color w:val="0000FF"/>
            <w:u w:val="none"/>
            <w:rtl/>
          </w:rPr>
          <w:t>חוק איסור הלבנת הון, תש"ס-2000</w:t>
        </w:r>
      </w:hyperlink>
      <w:r w:rsidRPr="001E7D3D">
        <w:rPr>
          <w:rFonts w:ascii="FrankRuehl" w:hAnsi="FrankRuehl" w:cs="FrankRuehl"/>
          <w:b w:val="0"/>
          <w:bCs w:val="0"/>
          <w:u w:val="none"/>
          <w:rtl/>
        </w:rPr>
        <w:t xml:space="preserve">: סע'  </w:t>
      </w:r>
      <w:hyperlink r:id="rId18" w:history="1">
        <w:r w:rsidRPr="001E7D3D">
          <w:rPr>
            <w:rFonts w:ascii="FrankRuehl" w:hAnsi="FrankRuehl" w:cs="FrankRuehl"/>
            <w:b w:val="0"/>
            <w:bCs w:val="0"/>
            <w:color w:val="0000FF"/>
            <w:u w:val="none"/>
            <w:rtl/>
          </w:rPr>
          <w:t>3(א)</w:t>
        </w:r>
      </w:hyperlink>
    </w:p>
    <w:p w14:paraId="081915E6" w14:textId="77777777" w:rsidR="001E7D3D" w:rsidRPr="001E7D3D" w:rsidRDefault="001E7D3D" w:rsidP="001E7D3D">
      <w:pPr>
        <w:pStyle w:val="12"/>
        <w:spacing w:line="360" w:lineRule="auto"/>
        <w:rPr>
          <w:b w:val="0"/>
          <w:bCs w:val="0"/>
          <w:u w:val="none"/>
          <w:rtl/>
        </w:rPr>
      </w:pPr>
      <w:bookmarkStart w:id="4" w:name="LawTable_End"/>
      <w:bookmarkEnd w:id="4"/>
    </w:p>
    <w:p w14:paraId="4569D805" w14:textId="77777777" w:rsidR="0067656A" w:rsidRPr="003C6DA5" w:rsidRDefault="0067656A" w:rsidP="003C6DA5">
      <w:pPr>
        <w:pStyle w:val="12"/>
        <w:spacing w:line="360" w:lineRule="auto"/>
        <w:rPr>
          <w:rFonts w:hint="cs"/>
          <w:b w:val="0"/>
          <w:bCs w:val="0"/>
          <w:u w:val="none"/>
          <w:rtl/>
        </w:rPr>
      </w:pPr>
    </w:p>
    <w:p w14:paraId="08910BE4" w14:textId="77777777" w:rsidR="0067656A" w:rsidRDefault="0067656A" w:rsidP="006A3A06">
      <w:pPr>
        <w:pStyle w:val="12"/>
        <w:spacing w:line="360" w:lineRule="auto"/>
        <w:rPr>
          <w:rFonts w:hint="cs"/>
          <w:b w:val="0"/>
          <w:bCs w:val="0"/>
          <w:u w:val="none"/>
          <w:rtl/>
        </w:rPr>
      </w:pPr>
      <w:bookmarkStart w:id="5" w:name="PsakDin"/>
    </w:p>
    <w:p w14:paraId="3F81D5A9" w14:textId="77777777" w:rsidR="0067656A" w:rsidRPr="0067656A" w:rsidRDefault="0067656A" w:rsidP="0067656A">
      <w:pPr>
        <w:pStyle w:val="12"/>
        <w:spacing w:line="360" w:lineRule="auto"/>
        <w:jc w:val="center"/>
        <w:rPr>
          <w:color w:val="000000"/>
          <w:sz w:val="44"/>
          <w:szCs w:val="44"/>
          <w:rtl/>
        </w:rPr>
      </w:pPr>
      <w:r w:rsidRPr="0067656A">
        <w:rPr>
          <w:rFonts w:hint="cs"/>
          <w:color w:val="000000"/>
          <w:sz w:val="44"/>
          <w:szCs w:val="44"/>
          <w:rtl/>
        </w:rPr>
        <w:t xml:space="preserve">גזר </w:t>
      </w:r>
      <w:bookmarkEnd w:id="5"/>
      <w:r w:rsidRPr="0067656A">
        <w:rPr>
          <w:rFonts w:hint="cs"/>
          <w:color w:val="000000"/>
          <w:sz w:val="44"/>
          <w:szCs w:val="44"/>
          <w:rtl/>
        </w:rPr>
        <w:t>דין</w:t>
      </w:r>
    </w:p>
    <w:p w14:paraId="72EE9832" w14:textId="77777777" w:rsidR="006A3A06" w:rsidRPr="00D531AD" w:rsidRDefault="006A3A06" w:rsidP="006A3A06">
      <w:pPr>
        <w:pStyle w:val="12"/>
        <w:spacing w:line="360" w:lineRule="auto"/>
        <w:rPr>
          <w:b w:val="0"/>
          <w:bCs w:val="0"/>
          <w:u w:val="none"/>
          <w:rtl/>
        </w:rPr>
      </w:pPr>
    </w:p>
    <w:p w14:paraId="4651B445" w14:textId="77777777" w:rsidR="006A3A06" w:rsidRPr="00D531AD" w:rsidRDefault="006A3A06" w:rsidP="006A3A06">
      <w:pPr>
        <w:pStyle w:val="12"/>
        <w:spacing w:line="360" w:lineRule="auto"/>
        <w:ind w:left="720" w:hanging="720"/>
        <w:jc w:val="both"/>
        <w:rPr>
          <w:b w:val="0"/>
          <w:bCs w:val="0"/>
          <w:u w:val="none"/>
          <w:rtl/>
        </w:rPr>
      </w:pPr>
      <w:r w:rsidRPr="00D531AD">
        <w:rPr>
          <w:rFonts w:hint="cs"/>
          <w:b w:val="0"/>
          <w:bCs w:val="0"/>
          <w:u w:val="none"/>
          <w:rtl/>
        </w:rPr>
        <w:t>1.</w:t>
      </w:r>
      <w:r w:rsidRPr="00D531AD">
        <w:rPr>
          <w:rFonts w:hint="cs"/>
          <w:b w:val="0"/>
          <w:bCs w:val="0"/>
          <w:u w:val="none"/>
          <w:rtl/>
        </w:rPr>
        <w:tab/>
      </w:r>
      <w:bookmarkStart w:id="6" w:name="ABSTRACT_START"/>
      <w:bookmarkEnd w:id="6"/>
      <w:r w:rsidRPr="00D531AD">
        <w:rPr>
          <w:rFonts w:hint="cs"/>
          <w:b w:val="0"/>
          <w:bCs w:val="0"/>
          <w:u w:val="none"/>
          <w:rtl/>
        </w:rPr>
        <w:t xml:space="preserve">הנאשם הורשע על יסוד הודאתו </w:t>
      </w:r>
      <w:r w:rsidRPr="00D531AD">
        <w:rPr>
          <w:b w:val="0"/>
          <w:bCs w:val="0"/>
          <w:u w:val="none"/>
          <w:rtl/>
        </w:rPr>
        <w:t xml:space="preserve">בעבירות של יבוא סם מסוכן (ריבוי עבירות), לפי </w:t>
      </w:r>
      <w:hyperlink r:id="rId19" w:history="1">
        <w:r w:rsidR="0067656A" w:rsidRPr="0067656A">
          <w:rPr>
            <w:rStyle w:val="Hyperlink"/>
            <w:b w:val="0"/>
            <w:bCs w:val="0"/>
            <w:rtl/>
          </w:rPr>
          <w:t>סעיף 13</w:t>
        </w:r>
      </w:hyperlink>
      <w:r w:rsidRPr="00D531AD">
        <w:rPr>
          <w:b w:val="0"/>
          <w:bCs w:val="0"/>
          <w:u w:val="none"/>
          <w:rtl/>
        </w:rPr>
        <w:t xml:space="preserve"> ל</w:t>
      </w:r>
      <w:hyperlink r:id="rId20" w:history="1">
        <w:r w:rsidR="00D531AD" w:rsidRPr="00D531AD">
          <w:rPr>
            <w:b w:val="0"/>
            <w:bCs w:val="0"/>
            <w:color w:val="0000FF"/>
            <w:rtl/>
          </w:rPr>
          <w:t>פקודת הסמים המסוכנים</w:t>
        </w:r>
      </w:hyperlink>
      <w:r w:rsidRPr="00D531AD">
        <w:rPr>
          <w:b w:val="0"/>
          <w:bCs w:val="0"/>
          <w:u w:val="none"/>
          <w:rtl/>
        </w:rPr>
        <w:t xml:space="preserve"> [נוסח חדש], תשל"ג-1973 (להלן – </w:t>
      </w:r>
      <w:r w:rsidRPr="00D531AD">
        <w:rPr>
          <w:u w:val="none"/>
          <w:rtl/>
        </w:rPr>
        <w:t>פקודת הסמים</w:t>
      </w:r>
      <w:r w:rsidRPr="00D531AD">
        <w:rPr>
          <w:b w:val="0"/>
          <w:bCs w:val="0"/>
          <w:u w:val="none"/>
          <w:rtl/>
        </w:rPr>
        <w:t>)</w:t>
      </w:r>
      <w:r w:rsidRPr="00D531AD">
        <w:rPr>
          <w:rFonts w:hint="cs"/>
          <w:b w:val="0"/>
          <w:bCs w:val="0"/>
          <w:u w:val="none"/>
          <w:rtl/>
        </w:rPr>
        <w:t xml:space="preserve">; ניסיון לייבוא סם מסוכן, עבירה לפי </w:t>
      </w:r>
      <w:hyperlink r:id="rId21" w:history="1">
        <w:r w:rsidR="0067656A" w:rsidRPr="0067656A">
          <w:rPr>
            <w:rStyle w:val="Hyperlink"/>
            <w:rFonts w:hint="eastAsia"/>
            <w:b w:val="0"/>
            <w:bCs w:val="0"/>
            <w:rtl/>
          </w:rPr>
          <w:t>סעיף</w:t>
        </w:r>
        <w:r w:rsidR="0067656A" w:rsidRPr="0067656A">
          <w:rPr>
            <w:rStyle w:val="Hyperlink"/>
            <w:b w:val="0"/>
            <w:bCs w:val="0"/>
            <w:rtl/>
          </w:rPr>
          <w:t xml:space="preserve"> 13</w:t>
        </w:r>
      </w:hyperlink>
      <w:r w:rsidRPr="00D531AD">
        <w:rPr>
          <w:rFonts w:hint="cs"/>
          <w:b w:val="0"/>
          <w:bCs w:val="0"/>
          <w:u w:val="none"/>
          <w:rtl/>
        </w:rPr>
        <w:t xml:space="preserve"> לפקודת הסמים יחד עם </w:t>
      </w:r>
      <w:hyperlink r:id="rId22" w:history="1">
        <w:r w:rsidR="0067656A" w:rsidRPr="0067656A">
          <w:rPr>
            <w:rStyle w:val="Hyperlink"/>
            <w:rFonts w:hint="eastAsia"/>
            <w:b w:val="0"/>
            <w:bCs w:val="0"/>
            <w:rtl/>
          </w:rPr>
          <w:t>סעיף</w:t>
        </w:r>
        <w:r w:rsidR="0067656A" w:rsidRPr="0067656A">
          <w:rPr>
            <w:rStyle w:val="Hyperlink"/>
            <w:b w:val="0"/>
            <w:bCs w:val="0"/>
            <w:rtl/>
          </w:rPr>
          <w:t xml:space="preserve"> 25</w:t>
        </w:r>
      </w:hyperlink>
      <w:r w:rsidRPr="00D531AD">
        <w:rPr>
          <w:rFonts w:hint="cs"/>
          <w:b w:val="0"/>
          <w:bCs w:val="0"/>
          <w:u w:val="none"/>
          <w:rtl/>
        </w:rPr>
        <w:t xml:space="preserve"> ל</w:t>
      </w:r>
      <w:hyperlink r:id="rId23" w:history="1">
        <w:r w:rsidR="00D531AD" w:rsidRPr="00D531AD">
          <w:rPr>
            <w:b w:val="0"/>
            <w:bCs w:val="0"/>
            <w:color w:val="0000FF"/>
            <w:rtl/>
          </w:rPr>
          <w:t>חוק העונשין</w:t>
        </w:r>
      </w:hyperlink>
      <w:r w:rsidRPr="00D531AD">
        <w:rPr>
          <w:rFonts w:hint="cs"/>
          <w:b w:val="0"/>
          <w:bCs w:val="0"/>
          <w:u w:val="none"/>
          <w:rtl/>
        </w:rPr>
        <w:t>;</w:t>
      </w:r>
      <w:r w:rsidRPr="00D531AD">
        <w:rPr>
          <w:b w:val="0"/>
          <w:bCs w:val="0"/>
          <w:u w:val="none"/>
          <w:rtl/>
        </w:rPr>
        <w:t xml:space="preserve"> סחר בסמים מסוכנים (ריבוי עבירות) לפי </w:t>
      </w:r>
      <w:hyperlink r:id="rId24" w:history="1">
        <w:r w:rsidR="0067656A" w:rsidRPr="0067656A">
          <w:rPr>
            <w:rStyle w:val="Hyperlink"/>
            <w:b w:val="0"/>
            <w:bCs w:val="0"/>
            <w:rtl/>
          </w:rPr>
          <w:t>סעיף 13</w:t>
        </w:r>
      </w:hyperlink>
      <w:r w:rsidRPr="00D531AD">
        <w:rPr>
          <w:b w:val="0"/>
          <w:bCs w:val="0"/>
          <w:u w:val="none"/>
          <w:rtl/>
        </w:rPr>
        <w:t xml:space="preserve"> ו-</w:t>
      </w:r>
      <w:hyperlink r:id="rId25" w:history="1">
        <w:r w:rsidR="0067656A" w:rsidRPr="0067656A">
          <w:rPr>
            <w:rStyle w:val="Hyperlink"/>
            <w:b w:val="0"/>
            <w:bCs w:val="0"/>
            <w:rtl/>
          </w:rPr>
          <w:t>19א</w:t>
        </w:r>
      </w:hyperlink>
      <w:r w:rsidRPr="00D531AD">
        <w:rPr>
          <w:b w:val="0"/>
          <w:bCs w:val="0"/>
          <w:u w:val="none"/>
          <w:rtl/>
        </w:rPr>
        <w:t xml:space="preserve"> לפקודת הסמים</w:t>
      </w:r>
      <w:r w:rsidRPr="00D531AD">
        <w:rPr>
          <w:rFonts w:hint="cs"/>
          <w:b w:val="0"/>
          <w:bCs w:val="0"/>
          <w:u w:val="none"/>
          <w:rtl/>
        </w:rPr>
        <w:t xml:space="preserve">; החזקת סם לצריכה עצמית, עבירה לפי </w:t>
      </w:r>
      <w:hyperlink r:id="rId26" w:history="1">
        <w:r w:rsidR="0067656A" w:rsidRPr="0067656A">
          <w:rPr>
            <w:rStyle w:val="Hyperlink"/>
            <w:rFonts w:hint="eastAsia"/>
            <w:b w:val="0"/>
            <w:bCs w:val="0"/>
            <w:rtl/>
          </w:rPr>
          <w:t>סעיף</w:t>
        </w:r>
        <w:r w:rsidR="0067656A" w:rsidRPr="0067656A">
          <w:rPr>
            <w:rStyle w:val="Hyperlink"/>
            <w:b w:val="0"/>
            <w:bCs w:val="0"/>
            <w:rtl/>
          </w:rPr>
          <w:t xml:space="preserve"> 7(א)+(ג)</w:t>
        </w:r>
      </w:hyperlink>
      <w:r w:rsidRPr="00D531AD">
        <w:rPr>
          <w:rFonts w:hint="cs"/>
          <w:b w:val="0"/>
          <w:bCs w:val="0"/>
          <w:u w:val="none"/>
          <w:rtl/>
        </w:rPr>
        <w:t xml:space="preserve"> סיפא לפקודת הסמים; מרמה, עורמה ותחבולה בכוונה להתחמק ממס (ריבוי עבירות) לפי </w:t>
      </w:r>
      <w:hyperlink r:id="rId27" w:history="1">
        <w:r w:rsidR="0067656A" w:rsidRPr="0067656A">
          <w:rPr>
            <w:rStyle w:val="Hyperlink"/>
            <w:rFonts w:hint="eastAsia"/>
            <w:b w:val="0"/>
            <w:bCs w:val="0"/>
            <w:rtl/>
          </w:rPr>
          <w:t>סעיף</w:t>
        </w:r>
        <w:r w:rsidR="0067656A" w:rsidRPr="0067656A">
          <w:rPr>
            <w:rStyle w:val="Hyperlink"/>
            <w:b w:val="0"/>
            <w:bCs w:val="0"/>
            <w:rtl/>
          </w:rPr>
          <w:t xml:space="preserve"> 220(1)</w:t>
        </w:r>
      </w:hyperlink>
      <w:r w:rsidRPr="00D531AD">
        <w:rPr>
          <w:rFonts w:hint="cs"/>
          <w:b w:val="0"/>
          <w:bCs w:val="0"/>
          <w:u w:val="none"/>
          <w:rtl/>
        </w:rPr>
        <w:t xml:space="preserve"> ו-(</w:t>
      </w:r>
      <w:hyperlink r:id="rId28" w:history="1">
        <w:r w:rsidR="0067656A" w:rsidRPr="0067656A">
          <w:rPr>
            <w:rStyle w:val="Hyperlink"/>
            <w:b w:val="0"/>
            <w:bCs w:val="0"/>
            <w:rtl/>
          </w:rPr>
          <w:t>5</w:t>
        </w:r>
      </w:hyperlink>
      <w:r w:rsidRPr="00D531AD">
        <w:rPr>
          <w:rFonts w:hint="cs"/>
          <w:b w:val="0"/>
          <w:bCs w:val="0"/>
          <w:u w:val="none"/>
          <w:rtl/>
        </w:rPr>
        <w:t>) ל</w:t>
      </w:r>
      <w:hyperlink r:id="rId29" w:history="1">
        <w:r w:rsidR="00D531AD" w:rsidRPr="00D531AD">
          <w:rPr>
            <w:b w:val="0"/>
            <w:bCs w:val="0"/>
            <w:color w:val="0000FF"/>
            <w:rtl/>
          </w:rPr>
          <w:t>פקודת מס הכנסה</w:t>
        </w:r>
      </w:hyperlink>
      <w:r w:rsidRPr="00D531AD">
        <w:rPr>
          <w:rFonts w:hint="cs"/>
          <w:b w:val="0"/>
          <w:bCs w:val="0"/>
          <w:u w:val="none"/>
          <w:rtl/>
        </w:rPr>
        <w:t xml:space="preserve"> [נוסח חדש], תשכ"א-1961; איסור הלבנת הון (ריבוי עבירות) עבירה לפי </w:t>
      </w:r>
      <w:hyperlink r:id="rId30" w:history="1">
        <w:r w:rsidR="0067656A" w:rsidRPr="0067656A">
          <w:rPr>
            <w:rStyle w:val="Hyperlink"/>
            <w:rFonts w:hint="eastAsia"/>
            <w:b w:val="0"/>
            <w:bCs w:val="0"/>
            <w:rtl/>
          </w:rPr>
          <w:t>סעיף</w:t>
        </w:r>
        <w:r w:rsidR="0067656A" w:rsidRPr="0067656A">
          <w:rPr>
            <w:rStyle w:val="Hyperlink"/>
            <w:b w:val="0"/>
            <w:bCs w:val="0"/>
            <w:rtl/>
          </w:rPr>
          <w:t xml:space="preserve"> 3(א)</w:t>
        </w:r>
      </w:hyperlink>
      <w:r w:rsidRPr="00D531AD">
        <w:rPr>
          <w:rFonts w:hint="cs"/>
          <w:b w:val="0"/>
          <w:bCs w:val="0"/>
          <w:u w:val="none"/>
          <w:rtl/>
        </w:rPr>
        <w:t xml:space="preserve"> ל</w:t>
      </w:r>
      <w:hyperlink r:id="rId31" w:history="1">
        <w:r w:rsidR="00D531AD" w:rsidRPr="00D531AD">
          <w:rPr>
            <w:b w:val="0"/>
            <w:bCs w:val="0"/>
            <w:color w:val="0000FF"/>
            <w:rtl/>
          </w:rPr>
          <w:t>חוק איסור הלבנת הון</w:t>
        </w:r>
      </w:hyperlink>
      <w:r w:rsidRPr="00D531AD">
        <w:rPr>
          <w:rFonts w:hint="cs"/>
          <w:b w:val="0"/>
          <w:bCs w:val="0"/>
          <w:u w:val="none"/>
          <w:rtl/>
        </w:rPr>
        <w:t xml:space="preserve">. </w:t>
      </w:r>
    </w:p>
    <w:p w14:paraId="477D8984" w14:textId="77777777" w:rsidR="006A3A06" w:rsidRPr="00D531AD" w:rsidRDefault="006A3A06" w:rsidP="006A3A06">
      <w:pPr>
        <w:pStyle w:val="12"/>
        <w:spacing w:line="360" w:lineRule="auto"/>
        <w:ind w:left="720" w:hanging="720"/>
        <w:jc w:val="both"/>
        <w:rPr>
          <w:b w:val="0"/>
          <w:bCs w:val="0"/>
          <w:u w:val="none"/>
          <w:rtl/>
        </w:rPr>
      </w:pPr>
      <w:bookmarkStart w:id="7" w:name="ABSTRACT_END"/>
      <w:bookmarkEnd w:id="7"/>
    </w:p>
    <w:p w14:paraId="36116D9D" w14:textId="77777777" w:rsidR="006A3A06" w:rsidRPr="00D531AD" w:rsidRDefault="006A3A06" w:rsidP="006A3A06">
      <w:pPr>
        <w:pStyle w:val="12"/>
        <w:spacing w:line="360" w:lineRule="auto"/>
        <w:ind w:left="720" w:hanging="720"/>
        <w:jc w:val="both"/>
        <w:rPr>
          <w:u w:val="none"/>
          <w:rtl/>
        </w:rPr>
      </w:pPr>
      <w:r w:rsidRPr="00D531AD">
        <w:rPr>
          <w:rFonts w:hint="cs"/>
          <w:b w:val="0"/>
          <w:bCs w:val="0"/>
          <w:u w:val="none"/>
          <w:rtl/>
        </w:rPr>
        <w:tab/>
        <w:t xml:space="preserve">הסדר הטיעון </w:t>
      </w:r>
      <w:r w:rsidRPr="00D531AD">
        <w:rPr>
          <w:b w:val="0"/>
          <w:bCs w:val="0"/>
          <w:u w:val="none"/>
          <w:rtl/>
        </w:rPr>
        <w:t>שגובש בין הצדדים כלל את תיקון כתב האישום</w:t>
      </w:r>
      <w:r w:rsidRPr="00D531AD">
        <w:rPr>
          <w:rFonts w:hint="cs"/>
          <w:b w:val="0"/>
          <w:bCs w:val="0"/>
          <w:u w:val="none"/>
          <w:rtl/>
        </w:rPr>
        <w:t xml:space="preserve"> והסכמה בדבר היקף החילוט. במסגרת הסדר הטיעון לא </w:t>
      </w:r>
      <w:r w:rsidRPr="00D531AD">
        <w:rPr>
          <w:b w:val="0"/>
          <w:bCs w:val="0"/>
          <w:u w:val="none"/>
          <w:rtl/>
        </w:rPr>
        <w:t>גובשה הסכמה לעניין העונש</w:t>
      </w:r>
      <w:r w:rsidRPr="00D531AD">
        <w:rPr>
          <w:rFonts w:hint="cs"/>
          <w:b w:val="0"/>
          <w:bCs w:val="0"/>
          <w:u w:val="none"/>
          <w:rtl/>
        </w:rPr>
        <w:t>.</w:t>
      </w:r>
      <w:r w:rsidRPr="00D531AD">
        <w:rPr>
          <w:b w:val="0"/>
          <w:bCs w:val="0"/>
          <w:u w:val="none"/>
          <w:rtl/>
        </w:rPr>
        <w:t xml:space="preserve"> </w:t>
      </w:r>
      <w:r w:rsidRPr="00D531AD">
        <w:rPr>
          <w:rFonts w:hint="cs"/>
          <w:b w:val="0"/>
          <w:bCs w:val="0"/>
          <w:u w:val="none"/>
          <w:rtl/>
        </w:rPr>
        <w:t xml:space="preserve"> </w:t>
      </w:r>
    </w:p>
    <w:p w14:paraId="55A6DFA6" w14:textId="77777777" w:rsidR="006A3A06" w:rsidRPr="00D531AD" w:rsidRDefault="006A3A06" w:rsidP="006A3A06">
      <w:pPr>
        <w:pStyle w:val="12"/>
        <w:spacing w:line="360" w:lineRule="auto"/>
        <w:ind w:left="720" w:hanging="720"/>
        <w:jc w:val="both"/>
        <w:rPr>
          <w:u w:val="none"/>
          <w:rtl/>
        </w:rPr>
      </w:pPr>
    </w:p>
    <w:p w14:paraId="7DDEC54F" w14:textId="77777777" w:rsidR="006A3A06" w:rsidRPr="00D531AD" w:rsidRDefault="006A3A06" w:rsidP="006A3A06">
      <w:pPr>
        <w:pStyle w:val="12"/>
        <w:spacing w:line="360" w:lineRule="auto"/>
        <w:ind w:left="720" w:hanging="720"/>
        <w:jc w:val="both"/>
        <w:rPr>
          <w:b w:val="0"/>
          <w:bCs w:val="0"/>
          <w:u w:val="none"/>
          <w:rtl/>
        </w:rPr>
      </w:pPr>
      <w:r w:rsidRPr="00D531AD">
        <w:rPr>
          <w:rFonts w:hint="cs"/>
          <w:b w:val="0"/>
          <w:bCs w:val="0"/>
          <w:u w:val="none"/>
          <w:rtl/>
        </w:rPr>
        <w:t>2.</w:t>
      </w:r>
      <w:r w:rsidRPr="00D531AD">
        <w:rPr>
          <w:rFonts w:hint="cs"/>
          <w:b w:val="0"/>
          <w:bCs w:val="0"/>
          <w:u w:val="none"/>
          <w:rtl/>
        </w:rPr>
        <w:tab/>
        <w:t xml:space="preserve">במקביל להגשת כתב האישום נגד הנאשם, הוגש כתב אישום דומה, אך מצומצם באופן משמעותי בהיקפו כנגד דיאנה בלבנוב (להלן </w:t>
      </w:r>
      <w:r w:rsidRPr="00D531AD">
        <w:rPr>
          <w:b w:val="0"/>
          <w:bCs w:val="0"/>
          <w:u w:val="none"/>
          <w:rtl/>
        </w:rPr>
        <w:t>–</w:t>
      </w:r>
      <w:r w:rsidRPr="00D531AD">
        <w:rPr>
          <w:rFonts w:hint="cs"/>
          <w:b w:val="0"/>
          <w:bCs w:val="0"/>
          <w:u w:val="none"/>
          <w:rtl/>
        </w:rPr>
        <w:t xml:space="preserve"> </w:t>
      </w:r>
      <w:r w:rsidRPr="00D531AD">
        <w:rPr>
          <w:rFonts w:hint="cs"/>
          <w:u w:val="none"/>
          <w:rtl/>
        </w:rPr>
        <w:t>דיאנה</w:t>
      </w:r>
      <w:r w:rsidRPr="00D531AD">
        <w:rPr>
          <w:rFonts w:hint="cs"/>
          <w:b w:val="0"/>
          <w:bCs w:val="0"/>
          <w:u w:val="none"/>
          <w:rtl/>
        </w:rPr>
        <w:t xml:space="preserve">), מי שהייתה שותפתו של הנאשם ל- 37 אירועי ייבוא (מתוך 58 ו-10 ניסיונות). דיאנה הורשעה על יסוד הודאתה וביום 13.12.22 נגזר דינה. במסגרת גזר הדין, נקבע מתחם </w:t>
      </w:r>
      <w:r w:rsidRPr="00D531AD">
        <w:rPr>
          <w:rFonts w:hint="cs"/>
          <w:u w:val="none"/>
          <w:rtl/>
        </w:rPr>
        <w:t>הנע בין 6 שנות מאסר ל- 9 שנות מאסר</w:t>
      </w:r>
      <w:r w:rsidRPr="00D531AD">
        <w:rPr>
          <w:rFonts w:hint="cs"/>
          <w:b w:val="0"/>
          <w:bCs w:val="0"/>
          <w:u w:val="none"/>
          <w:rtl/>
        </w:rPr>
        <w:t xml:space="preserve">. העונש שנגזר על דיאנה, בסופו של יום, עמד על 4 שנות מאסר, וזאת תוך מתן משקל לאישום נוסף שצורף ועניינו גניבה ממעביד (לגביו נקבע מתחם הנע בין 6 חודשי מאסר ל- 12 חודשי מאסר) ושיקולי שיקום משמעותיים שהצדיקו סטייה ממתחם העונש ההולם. במסגרת הערעור שהגישה דיאנה, ונוכח המשך מוצלח של הליך השיקום, הפחית בית המשפט העליון 15 חודשים מהעונש שנגזר על דיאנה, כך </w:t>
      </w:r>
      <w:r w:rsidRPr="00D531AD">
        <w:rPr>
          <w:rFonts w:hint="cs"/>
          <w:u w:val="none"/>
          <w:rtl/>
        </w:rPr>
        <w:t>שסך הכל נקבע כי עליה לרצות 33 חודשי מאסר</w:t>
      </w:r>
      <w:r w:rsidRPr="00D531AD">
        <w:rPr>
          <w:rFonts w:hint="cs"/>
          <w:b w:val="0"/>
          <w:bCs w:val="0"/>
          <w:u w:val="none"/>
          <w:rtl/>
        </w:rPr>
        <w:t xml:space="preserve">. יצוין כבר כעת, כי בית המשפט העליון ציין בגזר דינו, כי ככלל שיקולי הענישה שפורטו בגזר הדין מקובלים עליו, וההתערבות בגזר הדין נובעת מרצון ליתן משקל נוסף לתהליך השיקום יוצא הדופן שעברה דיאנה, לצד שיקולים נוספים לקולא, שפורטו בגזר הדין. אתייחס בהמשך למשמעות המתחם שנקבע בעניינה של דיאנה על המתחם שייקבע בעניינו של הנאשם. </w:t>
      </w:r>
    </w:p>
    <w:p w14:paraId="66445804" w14:textId="77777777" w:rsidR="006A3A06" w:rsidRPr="00D531AD" w:rsidRDefault="006A3A06" w:rsidP="006A3A06">
      <w:pPr>
        <w:pStyle w:val="12"/>
        <w:ind w:left="720" w:hanging="720"/>
        <w:jc w:val="both"/>
        <w:rPr>
          <w:u w:val="none"/>
          <w:rtl/>
        </w:rPr>
      </w:pPr>
    </w:p>
    <w:p w14:paraId="66F17614" w14:textId="77777777" w:rsidR="006A3A06" w:rsidRPr="00D531AD" w:rsidRDefault="006A3A06" w:rsidP="006A3A06">
      <w:pPr>
        <w:pStyle w:val="12"/>
        <w:ind w:left="720" w:hanging="720"/>
        <w:jc w:val="both"/>
        <w:rPr>
          <w:u w:val="none"/>
          <w:rtl/>
        </w:rPr>
      </w:pPr>
    </w:p>
    <w:p w14:paraId="584BDB4B" w14:textId="77777777" w:rsidR="006A3A06" w:rsidRPr="00D531AD" w:rsidRDefault="006A3A06" w:rsidP="006A3A06">
      <w:pPr>
        <w:pStyle w:val="12"/>
        <w:ind w:left="720" w:hanging="720"/>
        <w:jc w:val="both"/>
        <w:rPr>
          <w:u w:val="none"/>
          <w:rtl/>
        </w:rPr>
      </w:pPr>
    </w:p>
    <w:p w14:paraId="7128BA03" w14:textId="77777777" w:rsidR="006A3A06" w:rsidRPr="00D531AD" w:rsidRDefault="006A3A06" w:rsidP="006A3A06">
      <w:pPr>
        <w:pStyle w:val="12"/>
        <w:ind w:left="720" w:hanging="720"/>
        <w:jc w:val="both"/>
        <w:rPr>
          <w:u w:val="none"/>
          <w:rtl/>
        </w:rPr>
      </w:pPr>
    </w:p>
    <w:p w14:paraId="42750943" w14:textId="77777777" w:rsidR="006A3A06" w:rsidRPr="00D531AD" w:rsidRDefault="006A3A06" w:rsidP="006A3A06">
      <w:pPr>
        <w:pStyle w:val="12"/>
        <w:spacing w:line="360" w:lineRule="auto"/>
        <w:ind w:left="720" w:hanging="720"/>
        <w:jc w:val="both"/>
        <w:rPr>
          <w:b w:val="0"/>
          <w:bCs w:val="0"/>
          <w:u w:val="none"/>
          <w:rtl/>
        </w:rPr>
      </w:pPr>
      <w:r w:rsidRPr="00D531AD">
        <w:rPr>
          <w:u w:val="none"/>
          <w:rtl/>
        </w:rPr>
        <w:tab/>
      </w:r>
      <w:r w:rsidRPr="00D531AD">
        <w:rPr>
          <w:rFonts w:hint="cs"/>
          <w:b w:val="0"/>
          <w:bCs w:val="0"/>
          <w:u w:val="none"/>
          <w:rtl/>
        </w:rPr>
        <w:t>כתב האישום המתוקן</w:t>
      </w:r>
    </w:p>
    <w:p w14:paraId="1EF13911" w14:textId="77777777" w:rsidR="006A3A06" w:rsidRPr="00D531AD" w:rsidRDefault="006A3A06" w:rsidP="006A3A06">
      <w:pPr>
        <w:pStyle w:val="12"/>
        <w:spacing w:line="360" w:lineRule="auto"/>
        <w:ind w:left="720" w:hanging="720"/>
        <w:jc w:val="both"/>
        <w:rPr>
          <w:u w:val="none"/>
          <w:rtl/>
        </w:rPr>
      </w:pPr>
    </w:p>
    <w:p w14:paraId="2726FFF8" w14:textId="77777777" w:rsidR="006A3A06" w:rsidRPr="00D531AD" w:rsidRDefault="006A3A06" w:rsidP="006A3A06">
      <w:pPr>
        <w:pStyle w:val="12"/>
        <w:spacing w:line="360" w:lineRule="auto"/>
        <w:ind w:left="720" w:hanging="720"/>
        <w:jc w:val="both"/>
        <w:rPr>
          <w:b w:val="0"/>
          <w:bCs w:val="0"/>
          <w:u w:val="none"/>
          <w:rtl/>
        </w:rPr>
      </w:pPr>
      <w:r w:rsidRPr="00D531AD">
        <w:rPr>
          <w:rFonts w:hint="cs"/>
          <w:b w:val="0"/>
          <w:bCs w:val="0"/>
          <w:u w:val="none"/>
          <w:rtl/>
        </w:rPr>
        <w:t>3.</w:t>
      </w:r>
      <w:r w:rsidRPr="00D531AD">
        <w:rPr>
          <w:b w:val="0"/>
          <w:bCs w:val="0"/>
          <w:u w:val="none"/>
          <w:rtl/>
        </w:rPr>
        <w:tab/>
        <w:t xml:space="preserve">על-פי עובדות כתב האישום המתוקן, בתקופה שבין חודש דצמבר 2018 ועד ליום </w:t>
      </w:r>
      <w:r w:rsidRPr="00D531AD">
        <w:rPr>
          <w:rFonts w:hint="cs"/>
          <w:b w:val="0"/>
          <w:bCs w:val="0"/>
          <w:u w:val="none"/>
          <w:rtl/>
        </w:rPr>
        <w:t xml:space="preserve"> </w:t>
      </w:r>
      <w:r w:rsidRPr="00D531AD">
        <w:rPr>
          <w:b w:val="0"/>
          <w:bCs w:val="0"/>
          <w:u w:val="none"/>
          <w:rtl/>
        </w:rPr>
        <w:t>21.1.2021</w:t>
      </w:r>
      <w:r w:rsidRPr="00D531AD">
        <w:rPr>
          <w:rFonts w:hint="cs"/>
          <w:b w:val="0"/>
          <w:bCs w:val="0"/>
          <w:u w:val="none"/>
          <w:rtl/>
        </w:rPr>
        <w:t xml:space="preserve"> (להלן </w:t>
      </w:r>
      <w:r w:rsidRPr="00D531AD">
        <w:rPr>
          <w:b w:val="0"/>
          <w:bCs w:val="0"/>
          <w:u w:val="none"/>
          <w:rtl/>
        </w:rPr>
        <w:t>–</w:t>
      </w:r>
      <w:r w:rsidRPr="00D531AD">
        <w:rPr>
          <w:rFonts w:hint="cs"/>
          <w:b w:val="0"/>
          <w:bCs w:val="0"/>
          <w:u w:val="none"/>
          <w:rtl/>
        </w:rPr>
        <w:t xml:space="preserve"> </w:t>
      </w:r>
      <w:r w:rsidRPr="00D531AD">
        <w:rPr>
          <w:rFonts w:hint="cs"/>
          <w:u w:val="none"/>
          <w:rtl/>
        </w:rPr>
        <w:t>התקופה הרלוונטית</w:t>
      </w:r>
      <w:r w:rsidRPr="00D531AD">
        <w:rPr>
          <w:rFonts w:hint="cs"/>
          <w:b w:val="0"/>
          <w:bCs w:val="0"/>
          <w:u w:val="none"/>
          <w:rtl/>
        </w:rPr>
        <w:t>)</w:t>
      </w:r>
      <w:r w:rsidRPr="00D531AD">
        <w:rPr>
          <w:b w:val="0"/>
          <w:bCs w:val="0"/>
          <w:u w:val="none"/>
          <w:rtl/>
        </w:rPr>
        <w:t xml:space="preserve"> </w:t>
      </w:r>
      <w:r w:rsidRPr="00D531AD">
        <w:rPr>
          <w:rFonts w:hint="cs"/>
          <w:b w:val="0"/>
          <w:bCs w:val="0"/>
          <w:u w:val="none"/>
          <w:rtl/>
        </w:rPr>
        <w:t>ייבא הנאשם</w:t>
      </w:r>
      <w:r w:rsidRPr="00D531AD">
        <w:rPr>
          <w:b w:val="0"/>
          <w:bCs w:val="0"/>
          <w:u w:val="none"/>
          <w:rtl/>
        </w:rPr>
        <w:t xml:space="preserve"> </w:t>
      </w:r>
      <w:r w:rsidRPr="00D531AD">
        <w:rPr>
          <w:rFonts w:hint="cs"/>
          <w:b w:val="0"/>
          <w:bCs w:val="0"/>
          <w:u w:val="none"/>
          <w:rtl/>
        </w:rPr>
        <w:t xml:space="preserve">סמים מסוכנים לישראל, ממדינות שונות באירופה והפיצם בישראל (להלן </w:t>
      </w:r>
      <w:r w:rsidRPr="00D531AD">
        <w:rPr>
          <w:b w:val="0"/>
          <w:bCs w:val="0"/>
          <w:u w:val="none"/>
          <w:rtl/>
        </w:rPr>
        <w:t>–</w:t>
      </w:r>
      <w:r w:rsidRPr="00D531AD">
        <w:rPr>
          <w:rFonts w:hint="cs"/>
          <w:b w:val="0"/>
          <w:bCs w:val="0"/>
          <w:u w:val="none"/>
          <w:rtl/>
        </w:rPr>
        <w:t xml:space="preserve"> </w:t>
      </w:r>
      <w:r w:rsidRPr="00D531AD">
        <w:rPr>
          <w:rFonts w:hint="cs"/>
          <w:u w:val="none"/>
          <w:rtl/>
        </w:rPr>
        <w:t>התכנית הפלילית</w:t>
      </w:r>
      <w:r w:rsidRPr="00D531AD">
        <w:rPr>
          <w:rFonts w:hint="cs"/>
          <w:b w:val="0"/>
          <w:bCs w:val="0"/>
          <w:u w:val="none"/>
          <w:rtl/>
        </w:rPr>
        <w:t xml:space="preserve">). במסגרת התכנית הפלילית יצר הנאשם או מי מטעמו חשבון ברשת "טלגרם" המאפשרת העברת מסרים מידיים מוצפנים וכן מאפשרת למשתמשים בה להירשם בשמות בדויים. הנאשם השתמש במספר חשבונות טלגרם, בין היתר, תחת השם וונדר וומן. באמצעות אותם חשבונות פנה הנאשם לסוחרי סמים באירופה לצורך ייבוא הסמים לישראל, וכן לסוחרי סמים וללקוחות בישראל, לצורך מכירת הסמים. </w:t>
      </w:r>
    </w:p>
    <w:p w14:paraId="1E3688D0" w14:textId="77777777" w:rsidR="006A3A06" w:rsidRPr="00D531AD" w:rsidRDefault="006A3A06" w:rsidP="006A3A06">
      <w:pPr>
        <w:pStyle w:val="12"/>
        <w:spacing w:line="360" w:lineRule="auto"/>
        <w:ind w:left="720" w:hanging="720"/>
        <w:jc w:val="both"/>
        <w:rPr>
          <w:b w:val="0"/>
          <w:bCs w:val="0"/>
          <w:u w:val="none"/>
          <w:rtl/>
        </w:rPr>
      </w:pPr>
    </w:p>
    <w:p w14:paraId="2D2B647D" w14:textId="77777777" w:rsidR="006A3A06" w:rsidRPr="00D531AD" w:rsidRDefault="006A3A06" w:rsidP="006A3A06">
      <w:pPr>
        <w:pStyle w:val="12"/>
        <w:spacing w:line="360" w:lineRule="auto"/>
        <w:ind w:left="720" w:hanging="720"/>
        <w:jc w:val="both"/>
        <w:rPr>
          <w:b w:val="0"/>
          <w:bCs w:val="0"/>
          <w:u w:val="none"/>
          <w:rtl/>
        </w:rPr>
      </w:pPr>
      <w:r w:rsidRPr="00D531AD">
        <w:rPr>
          <w:b w:val="0"/>
          <w:bCs w:val="0"/>
          <w:u w:val="none"/>
          <w:rtl/>
        </w:rPr>
        <w:tab/>
      </w:r>
      <w:r w:rsidRPr="00D531AD">
        <w:rPr>
          <w:rFonts w:hint="cs"/>
          <w:b w:val="0"/>
          <w:bCs w:val="0"/>
          <w:u w:val="none"/>
          <w:rtl/>
        </w:rPr>
        <w:t xml:space="preserve">בתחילת התקופה הרלוונטית, במועד שאינו ידוע במדויק, קשר הנאשם קשר עם דיאנה לצורך הוצאת התכנית הפלילית אל הפועל. </w:t>
      </w:r>
    </w:p>
    <w:p w14:paraId="74BAC97A" w14:textId="77777777" w:rsidR="006A3A06" w:rsidRPr="00D531AD" w:rsidRDefault="006A3A06" w:rsidP="006A3A06">
      <w:pPr>
        <w:pStyle w:val="12"/>
        <w:spacing w:line="360" w:lineRule="auto"/>
        <w:ind w:left="720" w:hanging="720"/>
        <w:jc w:val="both"/>
        <w:rPr>
          <w:b w:val="0"/>
          <w:bCs w:val="0"/>
          <w:u w:val="none"/>
        </w:rPr>
      </w:pPr>
    </w:p>
    <w:p w14:paraId="3CD044C2" w14:textId="77777777" w:rsidR="006A3A06" w:rsidRPr="00D531AD" w:rsidRDefault="006A3A06" w:rsidP="006A3A06">
      <w:pPr>
        <w:spacing w:line="360" w:lineRule="auto"/>
        <w:ind w:left="720" w:hanging="720"/>
        <w:jc w:val="both"/>
        <w:rPr>
          <w:rtl/>
        </w:rPr>
      </w:pPr>
      <w:r w:rsidRPr="00D531AD">
        <w:rPr>
          <w:rFonts w:hint="cs"/>
          <w:rtl/>
        </w:rPr>
        <w:t>4.</w:t>
      </w:r>
      <w:r w:rsidRPr="00D531AD">
        <w:rPr>
          <w:b/>
          <w:bCs/>
          <w:rtl/>
        </w:rPr>
        <w:tab/>
        <w:t>על-פי המתואר באישום הראשון</w:t>
      </w:r>
      <w:r w:rsidRPr="00D531AD">
        <w:rPr>
          <w:rtl/>
        </w:rPr>
        <w:t>, החל מחודש מרץ 2019 ייבא</w:t>
      </w:r>
      <w:r w:rsidRPr="00D531AD">
        <w:rPr>
          <w:rFonts w:hint="cs"/>
          <w:rtl/>
        </w:rPr>
        <w:t xml:space="preserve"> הנאשם</w:t>
      </w:r>
      <w:r w:rsidRPr="00D531AD">
        <w:rPr>
          <w:rtl/>
        </w:rPr>
        <w:t xml:space="preserve"> באמצעות דואר ישראל וחברות שילוח פרטיות, חבילות המכילות סמים מסוכנים מסוגים שונים</w:t>
      </w:r>
      <w:r w:rsidRPr="00D531AD">
        <w:rPr>
          <w:rFonts w:hint="cs"/>
          <w:rtl/>
        </w:rPr>
        <w:t>, כמפורט בטבלה "א" לכתב האישום המתוקן (</w:t>
      </w:r>
      <w:r w:rsidRPr="00D531AD">
        <w:rPr>
          <w:rFonts w:hint="cs"/>
          <w:b/>
          <w:bCs/>
          <w:rtl/>
        </w:rPr>
        <w:t>58 חבילות שונות הכוללות סמים מגוונים</w:t>
      </w:r>
      <w:r w:rsidRPr="00D531AD">
        <w:rPr>
          <w:rFonts w:hint="cs"/>
          <w:rtl/>
        </w:rPr>
        <w:t xml:space="preserve">: </w:t>
      </w:r>
      <w:r w:rsidRPr="00D531AD">
        <w:rPr>
          <w:rFonts w:hint="cs"/>
        </w:rPr>
        <w:t>LSD</w:t>
      </w:r>
      <w:r w:rsidRPr="00D531AD">
        <w:rPr>
          <w:rFonts w:hint="cs"/>
          <w:rtl/>
        </w:rPr>
        <w:t xml:space="preserve">, קטמין, </w:t>
      </w:r>
      <w:r w:rsidRPr="00D531AD">
        <w:rPr>
          <w:rFonts w:hint="cs"/>
        </w:rPr>
        <w:t>MDMA</w:t>
      </w:r>
      <w:r w:rsidRPr="00D531AD">
        <w:rPr>
          <w:rFonts w:hint="cs"/>
          <w:rtl/>
        </w:rPr>
        <w:t xml:space="preserve">, מתקאתינון, </w:t>
      </w:r>
      <w:r w:rsidRPr="00D531AD">
        <w:rPr>
          <w:rFonts w:hint="cs"/>
        </w:rPr>
        <w:t>DMT</w:t>
      </w:r>
      <w:r w:rsidRPr="00D531AD">
        <w:rPr>
          <w:rFonts w:hint="cs"/>
          <w:rtl/>
        </w:rPr>
        <w:t xml:space="preserve">, </w:t>
      </w:r>
      <w:r w:rsidRPr="00D531AD">
        <w:t>2CB</w:t>
      </w:r>
      <w:r w:rsidRPr="00D531AD">
        <w:rPr>
          <w:rFonts w:hint="cs"/>
          <w:rtl/>
        </w:rPr>
        <w:t xml:space="preserve">, ומתאמפטאמין). בחלק מן המקרים, במסגרת הקשר הפלילי ולשם קידומו, הייתה דיאנה שותפה לייבוא חבילות הסמים כמפורט בטבלה "ב" לכתב האישום המתוקן (37 חבילות של סמים מגוונים באופן שפורט לעיל). </w:t>
      </w:r>
    </w:p>
    <w:p w14:paraId="1CEA8EA3" w14:textId="77777777" w:rsidR="006A3A06" w:rsidRPr="00D531AD" w:rsidRDefault="006A3A06" w:rsidP="006A3A06">
      <w:pPr>
        <w:spacing w:line="360" w:lineRule="auto"/>
        <w:ind w:left="720" w:hanging="720"/>
        <w:jc w:val="both"/>
        <w:rPr>
          <w:rtl/>
        </w:rPr>
      </w:pPr>
    </w:p>
    <w:p w14:paraId="6D6EB39E" w14:textId="77777777" w:rsidR="006A3A06" w:rsidRPr="00D531AD" w:rsidRDefault="006A3A06" w:rsidP="006A3A06">
      <w:pPr>
        <w:spacing w:line="360" w:lineRule="auto"/>
        <w:ind w:left="720"/>
        <w:jc w:val="both"/>
        <w:rPr>
          <w:b/>
          <w:bCs/>
          <w:rtl/>
        </w:rPr>
      </w:pPr>
      <w:r w:rsidRPr="00D531AD">
        <w:rPr>
          <w:rFonts w:hint="cs"/>
          <w:b/>
          <w:bCs/>
          <w:rtl/>
        </w:rPr>
        <w:lastRenderedPageBreak/>
        <w:t xml:space="preserve">במעשים האמורים לעיל, ייבא הנאשם לישראל לפחות 58 חבילות אשר הכילו סמים מסוכנים כמפורט להלן: 12,328 יחידות </w:t>
      </w:r>
      <w:r w:rsidRPr="00D531AD">
        <w:rPr>
          <w:rFonts w:hint="cs"/>
          <w:b/>
          <w:bCs/>
        </w:rPr>
        <w:t>MDMA</w:t>
      </w:r>
      <w:r w:rsidRPr="00D531AD">
        <w:rPr>
          <w:rFonts w:hint="cs"/>
          <w:b/>
          <w:bCs/>
          <w:rtl/>
        </w:rPr>
        <w:t xml:space="preserve">; 10.5 ק"ג </w:t>
      </w:r>
      <w:r w:rsidRPr="00D531AD">
        <w:rPr>
          <w:rFonts w:hint="cs"/>
          <w:b/>
          <w:bCs/>
        </w:rPr>
        <w:t>MDMA</w:t>
      </w:r>
      <w:r w:rsidRPr="00D531AD">
        <w:rPr>
          <w:rFonts w:hint="cs"/>
          <w:b/>
          <w:bCs/>
          <w:rtl/>
        </w:rPr>
        <w:t xml:space="preserve">; 8.55 ק"ג קטמין; 59 גרם </w:t>
      </w:r>
      <w:r w:rsidRPr="00D531AD">
        <w:rPr>
          <w:rFonts w:hint="cs"/>
          <w:b/>
          <w:bCs/>
        </w:rPr>
        <w:t>DMT</w:t>
      </w:r>
      <w:r w:rsidRPr="00D531AD">
        <w:rPr>
          <w:rFonts w:hint="cs"/>
          <w:b/>
          <w:bCs/>
          <w:rtl/>
        </w:rPr>
        <w:t xml:space="preserve">; 2,600 יחידות </w:t>
      </w:r>
      <w:r w:rsidRPr="00D531AD">
        <w:rPr>
          <w:rFonts w:hint="cs"/>
          <w:b/>
          <w:bCs/>
        </w:rPr>
        <w:t>CB</w:t>
      </w:r>
      <w:r w:rsidRPr="00D531AD">
        <w:rPr>
          <w:rFonts w:hint="cs"/>
          <w:b/>
          <w:bCs/>
          <w:rtl/>
        </w:rPr>
        <w:t xml:space="preserve">2; 2.05 ק"ג מתאמפטאמין; 5,000 חבילת </w:t>
      </w:r>
      <w:r w:rsidRPr="00D531AD">
        <w:rPr>
          <w:rFonts w:hint="cs"/>
          <w:b/>
          <w:bCs/>
        </w:rPr>
        <w:t>LSD</w:t>
      </w:r>
      <w:r w:rsidRPr="00D531AD">
        <w:rPr>
          <w:rFonts w:hint="cs"/>
          <w:b/>
          <w:bCs/>
          <w:rtl/>
        </w:rPr>
        <w:t xml:space="preserve"> ו- 200 גרם מתקאתינון, מתוכן 37 חבילות בצוותא חדא עם דיאנה.  בנוסף, ניסה הנאשם לייבא בתקופה הרלוונטית עשר חבילות סמים נוספות, אולם חבילות אלה לא הגיעו לישראל.</w:t>
      </w:r>
    </w:p>
    <w:p w14:paraId="4AED9B46" w14:textId="77777777" w:rsidR="006A3A06" w:rsidRPr="00D531AD" w:rsidRDefault="006A3A06" w:rsidP="006A3A06">
      <w:pPr>
        <w:spacing w:line="360" w:lineRule="auto"/>
        <w:ind w:left="720"/>
        <w:jc w:val="both"/>
        <w:rPr>
          <w:b/>
          <w:bCs/>
          <w:rtl/>
        </w:rPr>
      </w:pPr>
    </w:p>
    <w:p w14:paraId="186AB568" w14:textId="77777777" w:rsidR="006A3A06" w:rsidRDefault="006A3A06" w:rsidP="006A3A06">
      <w:pPr>
        <w:spacing w:line="360" w:lineRule="auto"/>
        <w:ind w:left="720"/>
        <w:jc w:val="both"/>
        <w:rPr>
          <w:rFonts w:ascii="David" w:hAnsi="David"/>
          <w:rtl/>
        </w:rPr>
      </w:pPr>
      <w:r>
        <w:rPr>
          <w:rtl/>
        </w:rPr>
        <w:t xml:space="preserve">על פי המתואר, ככלל, ייבוא הסמים נערך בשיטה המפורטת להלן: </w:t>
      </w:r>
      <w:r>
        <w:rPr>
          <w:rFonts w:hint="cs"/>
          <w:rtl/>
        </w:rPr>
        <w:t>הנאשם</w:t>
      </w:r>
      <w:r>
        <w:rPr>
          <w:rtl/>
        </w:rPr>
        <w:t xml:space="preserve"> הזמין את הסמים מסוחרי סמים שונים באירופה באמצעות רשת </w:t>
      </w:r>
      <w:r>
        <w:rPr>
          <w:rFonts w:hint="cs"/>
          <w:rtl/>
        </w:rPr>
        <w:t>ה</w:t>
      </w:r>
      <w:r>
        <w:rPr>
          <w:rtl/>
        </w:rPr>
        <w:t xml:space="preserve">"דארק נט" </w:t>
      </w:r>
      <w:r>
        <w:rPr>
          <w:rFonts w:hint="cs"/>
          <w:rtl/>
        </w:rPr>
        <w:t>(חלק מרשת האינטרנט המשמשת לפעילות פלילית מסוגים שונים והסתרת פעולות ברכוש אסור כהגדרתם ב</w:t>
      </w:r>
      <w:hyperlink r:id="rId32" w:history="1">
        <w:r w:rsidR="00D531AD" w:rsidRPr="00D531AD">
          <w:rPr>
            <w:color w:val="0000FF"/>
            <w:u w:val="single"/>
            <w:rtl/>
          </w:rPr>
          <w:t>חוק איסור הלבנת הון</w:t>
        </w:r>
      </w:hyperlink>
      <w:r>
        <w:rPr>
          <w:rFonts w:hint="cs"/>
          <w:rtl/>
        </w:rPr>
        <w:t>) ו</w:t>
      </w:r>
      <w:r>
        <w:rPr>
          <w:rtl/>
        </w:rPr>
        <w:t xml:space="preserve">באמצעות חשבונות </w:t>
      </w:r>
      <w:r>
        <w:rPr>
          <w:rFonts w:hint="cs"/>
          <w:rtl/>
        </w:rPr>
        <w:t>ה</w:t>
      </w:r>
      <w:r>
        <w:rPr>
          <w:rtl/>
        </w:rPr>
        <w:t>טלגרם ש</w:t>
      </w:r>
      <w:r>
        <w:rPr>
          <w:rFonts w:hint="cs"/>
          <w:rtl/>
        </w:rPr>
        <w:t>פתח</w:t>
      </w:r>
      <w:r>
        <w:rPr>
          <w:rtl/>
        </w:rPr>
        <w:t xml:space="preserve">; </w:t>
      </w:r>
      <w:r>
        <w:rPr>
          <w:rFonts w:hint="cs"/>
          <w:rtl/>
        </w:rPr>
        <w:t>הנאשם</w:t>
      </w:r>
      <w:r>
        <w:rPr>
          <w:rtl/>
        </w:rPr>
        <w:t xml:space="preserve"> שילם לספקים עבור הסמים באמצעות העברות ביטקוין; </w:t>
      </w:r>
      <w:r>
        <w:rPr>
          <w:rFonts w:hint="cs"/>
          <w:rtl/>
        </w:rPr>
        <w:t xml:space="preserve">הנאשם </w:t>
      </w:r>
      <w:r>
        <w:rPr>
          <w:rtl/>
        </w:rPr>
        <w:t xml:space="preserve">מסר לספקים פרטי מען לחבילות שכללו שמות בדויים וכתובות הסמוכות לביתו או לבית אמה של </w:t>
      </w:r>
      <w:r>
        <w:rPr>
          <w:rFonts w:hint="cs"/>
          <w:rtl/>
        </w:rPr>
        <w:t>דיאנה</w:t>
      </w:r>
      <w:r>
        <w:rPr>
          <w:rtl/>
        </w:rPr>
        <w:t xml:space="preserve">, בחלק מהמקרים מסר את שמה של </w:t>
      </w:r>
      <w:r>
        <w:rPr>
          <w:rFonts w:hint="cs"/>
          <w:rtl/>
        </w:rPr>
        <w:t>דיאנה</w:t>
      </w:r>
      <w:r>
        <w:rPr>
          <w:rtl/>
        </w:rPr>
        <w:t xml:space="preserve"> ואת מספר הטלפון שלה; </w:t>
      </w:r>
      <w:r>
        <w:rPr>
          <w:rFonts w:hint="cs"/>
          <w:rtl/>
        </w:rPr>
        <w:t>הנאשם</w:t>
      </w:r>
      <w:r>
        <w:rPr>
          <w:rtl/>
        </w:rPr>
        <w:t xml:space="preserve"> עדכן את </w:t>
      </w:r>
      <w:r>
        <w:rPr>
          <w:rFonts w:hint="cs"/>
          <w:rtl/>
        </w:rPr>
        <w:t>דיאנה</w:t>
      </w:r>
      <w:r>
        <w:rPr>
          <w:rtl/>
        </w:rPr>
        <w:t xml:space="preserve"> באמצעות הטלגרם אודות ביצוע ההזמנה, פרטי המשלוח, סוג הסם וכמותו, וכן העביר </w:t>
      </w:r>
      <w:r>
        <w:rPr>
          <w:rFonts w:hint="cs"/>
          <w:rtl/>
        </w:rPr>
        <w:t>לדיאנה</w:t>
      </w:r>
      <w:r>
        <w:rPr>
          <w:rtl/>
        </w:rPr>
        <w:t xml:space="preserve"> רשימה הכוללת חבילות העתידות להגיע לישראל</w:t>
      </w:r>
      <w:r>
        <w:rPr>
          <w:rFonts w:hint="cs"/>
          <w:rtl/>
        </w:rPr>
        <w:t>.</w:t>
      </w:r>
      <w:r>
        <w:rPr>
          <w:rtl/>
        </w:rPr>
        <w:t xml:space="preserve"> הסמים נשלחו לישראל על ידי הספקים, כשהם </w:t>
      </w:r>
      <w:r>
        <w:rPr>
          <w:rFonts w:ascii="David" w:hAnsi="David"/>
          <w:rtl/>
        </w:rPr>
        <w:t xml:space="preserve">מוסלקים באריזות שונות; </w:t>
      </w:r>
      <w:r>
        <w:rPr>
          <w:rFonts w:ascii="David" w:hAnsi="David" w:hint="cs"/>
          <w:rtl/>
        </w:rPr>
        <w:t>הנאשם ודיאנה</w:t>
      </w:r>
      <w:r w:rsidRPr="00984FFE">
        <w:rPr>
          <w:rFonts w:ascii="David" w:hAnsi="David"/>
          <w:rtl/>
        </w:rPr>
        <w:t xml:space="preserve"> </w:t>
      </w:r>
      <w:r>
        <w:rPr>
          <w:rFonts w:ascii="David" w:hAnsi="David" w:hint="cs"/>
          <w:rtl/>
        </w:rPr>
        <w:t xml:space="preserve">(רק באותם מקרים בהם הייתה שותפה לייבוא) </w:t>
      </w:r>
      <w:r w:rsidRPr="00984FFE">
        <w:rPr>
          <w:rFonts w:ascii="David" w:hAnsi="David"/>
          <w:rtl/>
        </w:rPr>
        <w:t>עקבו אחר משלוח החבילות לישראל ועם הגעתן תיאמו את דרך איסופן באמצעות שירות המשלוחים "</w:t>
      </w:r>
      <w:r w:rsidRPr="00984FFE">
        <w:rPr>
          <w:rFonts w:ascii="David" w:hAnsi="David"/>
        </w:rPr>
        <w:t>GETT DELIVERY</w:t>
      </w:r>
      <w:r w:rsidRPr="00984FFE">
        <w:rPr>
          <w:rFonts w:ascii="David" w:hAnsi="David"/>
          <w:rtl/>
        </w:rPr>
        <w:t>" וקיבלו את המשלוח בסמוך לכתובת המען הבדוי או מען אחר שמסרו לשליח</w:t>
      </w:r>
      <w:r>
        <w:rPr>
          <w:rFonts w:ascii="David" w:hAnsi="David" w:hint="cs"/>
          <w:rtl/>
        </w:rPr>
        <w:t>.</w:t>
      </w:r>
      <w:r>
        <w:rPr>
          <w:rFonts w:ascii="David" w:hAnsi="David"/>
          <w:rtl/>
        </w:rPr>
        <w:t xml:space="preserve"> </w:t>
      </w:r>
      <w:r>
        <w:rPr>
          <w:rFonts w:ascii="David" w:hAnsi="David" w:hint="cs"/>
          <w:rtl/>
        </w:rPr>
        <w:t xml:space="preserve">באותם מקרים בהם נמסרו חבילות הסמים לידי דיאנה, היא הטמינה </w:t>
      </w:r>
      <w:r w:rsidRPr="00984FFE">
        <w:rPr>
          <w:rFonts w:ascii="David" w:hAnsi="David"/>
          <w:rtl/>
        </w:rPr>
        <w:t xml:space="preserve">את החבילות שנמסרו לה במקומות מסתור מוסכמים, </w:t>
      </w:r>
      <w:r w:rsidRPr="00AD7D8D">
        <w:rPr>
          <w:rFonts w:ascii="David" w:hAnsi="David"/>
          <w:b/>
          <w:bCs/>
          <w:rtl/>
        </w:rPr>
        <w:t xml:space="preserve">בהתאם להוראותיו של </w:t>
      </w:r>
      <w:r w:rsidRPr="00AD7D8D">
        <w:rPr>
          <w:rFonts w:ascii="David" w:hAnsi="David" w:hint="cs"/>
          <w:b/>
          <w:bCs/>
          <w:rtl/>
        </w:rPr>
        <w:t>הנאשם</w:t>
      </w:r>
      <w:r>
        <w:rPr>
          <w:rFonts w:ascii="David" w:hAnsi="David"/>
          <w:rtl/>
        </w:rPr>
        <w:t xml:space="preserve">, אספה מהם כסף שהשאיר עבורה </w:t>
      </w:r>
      <w:r>
        <w:rPr>
          <w:rFonts w:ascii="David" w:hAnsi="David" w:hint="cs"/>
          <w:rtl/>
        </w:rPr>
        <w:t>הנאשם</w:t>
      </w:r>
      <w:r>
        <w:rPr>
          <w:rFonts w:ascii="David" w:hAnsi="David"/>
          <w:rtl/>
        </w:rPr>
        <w:t xml:space="preserve"> או מי מטעמו </w:t>
      </w:r>
      <w:r w:rsidRPr="00AD7D8D">
        <w:rPr>
          <w:rFonts w:ascii="David" w:hAnsi="David"/>
          <w:b/>
          <w:bCs/>
          <w:rtl/>
        </w:rPr>
        <w:t xml:space="preserve">ודיווחה </w:t>
      </w:r>
      <w:r w:rsidRPr="00AD7D8D">
        <w:rPr>
          <w:rFonts w:ascii="David" w:hAnsi="David" w:hint="cs"/>
          <w:b/>
          <w:bCs/>
          <w:rtl/>
        </w:rPr>
        <w:t>לנאשם</w:t>
      </w:r>
      <w:r w:rsidRPr="00AD7D8D">
        <w:rPr>
          <w:rFonts w:ascii="David" w:hAnsi="David"/>
          <w:b/>
          <w:bCs/>
          <w:rtl/>
        </w:rPr>
        <w:t xml:space="preserve"> על השלמת הביצוע</w:t>
      </w:r>
      <w:r w:rsidRPr="00984FFE">
        <w:rPr>
          <w:rFonts w:ascii="David" w:hAnsi="David"/>
          <w:rtl/>
        </w:rPr>
        <w:t>.</w:t>
      </w:r>
      <w:r>
        <w:rPr>
          <w:rFonts w:ascii="David" w:hAnsi="David" w:hint="cs"/>
          <w:rtl/>
        </w:rPr>
        <w:t xml:space="preserve"> בחלק מהמקרים, נטלה דיאנה את חבילות הסמים לביתה, וסחרה באותם סמים בצוותא עם הנאשם, כמתואר באישום השני. </w:t>
      </w:r>
    </w:p>
    <w:p w14:paraId="50BE1C9D" w14:textId="77777777" w:rsidR="006A3A06" w:rsidRDefault="006A3A06" w:rsidP="006A3A06">
      <w:pPr>
        <w:spacing w:line="360" w:lineRule="auto"/>
        <w:ind w:left="720" w:hanging="720"/>
        <w:jc w:val="both"/>
        <w:rPr>
          <w:rFonts w:ascii="David" w:hAnsi="David"/>
          <w:rtl/>
        </w:rPr>
      </w:pPr>
    </w:p>
    <w:p w14:paraId="285C97F7" w14:textId="77777777" w:rsidR="006A3A06" w:rsidRDefault="006A3A06" w:rsidP="006A3A06">
      <w:pPr>
        <w:spacing w:line="360" w:lineRule="auto"/>
        <w:ind w:left="720"/>
        <w:jc w:val="both"/>
        <w:rPr>
          <w:rFonts w:ascii="David" w:hAnsi="David"/>
          <w:rtl/>
        </w:rPr>
      </w:pPr>
      <w:r>
        <w:rPr>
          <w:rFonts w:ascii="David" w:hAnsi="David" w:hint="cs"/>
          <w:rtl/>
        </w:rPr>
        <w:t xml:space="preserve">במאמר מוסגר יצוין, כי בכתב האישום המתוקן שהוגש בעניינה של דיאנה, צוין כי בעבור חלקה בייבוא </w:t>
      </w:r>
      <w:r w:rsidRPr="001C0B94">
        <w:rPr>
          <w:rFonts w:ascii="David" w:hAnsi="David" w:hint="cs"/>
          <w:rtl/>
        </w:rPr>
        <w:t xml:space="preserve">הסמים, </w:t>
      </w:r>
      <w:r w:rsidRPr="001C0B94">
        <w:rPr>
          <w:rFonts w:ascii="David" w:hAnsi="David"/>
          <w:rtl/>
        </w:rPr>
        <w:t xml:space="preserve">קיבלה </w:t>
      </w:r>
      <w:r w:rsidRPr="001C0B94">
        <w:rPr>
          <w:rFonts w:ascii="David" w:hAnsi="David" w:hint="cs"/>
          <w:rtl/>
        </w:rPr>
        <w:t xml:space="preserve">דיאנה מהנאשם </w:t>
      </w:r>
      <w:r w:rsidRPr="001C0B94">
        <w:rPr>
          <w:rFonts w:ascii="David" w:hAnsi="David"/>
          <w:rtl/>
        </w:rPr>
        <w:t xml:space="preserve">תשלום בסך 1,500-3,000 ₪ בגין כל חבילה. </w:t>
      </w:r>
    </w:p>
    <w:p w14:paraId="033EABE9" w14:textId="77777777" w:rsidR="006A3A06" w:rsidRDefault="006A3A06" w:rsidP="006A3A06">
      <w:pPr>
        <w:spacing w:line="360" w:lineRule="auto"/>
        <w:ind w:left="720" w:hanging="720"/>
        <w:jc w:val="both"/>
        <w:rPr>
          <w:rFonts w:ascii="David" w:hAnsi="David"/>
          <w:rtl/>
        </w:rPr>
      </w:pPr>
    </w:p>
    <w:p w14:paraId="1655C092" w14:textId="77777777" w:rsidR="006A3A06" w:rsidRDefault="006A3A06" w:rsidP="006A3A06">
      <w:pPr>
        <w:spacing w:line="360" w:lineRule="auto"/>
        <w:ind w:left="720"/>
        <w:jc w:val="both"/>
        <w:rPr>
          <w:rFonts w:ascii="David" w:hAnsi="David"/>
          <w:rtl/>
        </w:rPr>
      </w:pPr>
      <w:r>
        <w:rPr>
          <w:rFonts w:ascii="David" w:hAnsi="David" w:hint="cs"/>
          <w:rtl/>
        </w:rPr>
        <w:t xml:space="preserve">סך שווי מוערך של הסמים והרכוש האסור שהנאשם ייבא הינו </w:t>
      </w:r>
      <w:r w:rsidRPr="00AB0707">
        <w:rPr>
          <w:rFonts w:ascii="David" w:hAnsi="David" w:hint="cs"/>
          <w:b/>
          <w:bCs/>
          <w:rtl/>
        </w:rPr>
        <w:t>לפחות 1,500,000 ₪</w:t>
      </w:r>
      <w:r w:rsidRPr="00AB0707">
        <w:rPr>
          <w:rFonts w:ascii="David" w:hAnsi="David" w:hint="cs"/>
          <w:rtl/>
        </w:rPr>
        <w:t xml:space="preserve">. </w:t>
      </w:r>
    </w:p>
    <w:p w14:paraId="72C959FC" w14:textId="77777777" w:rsidR="006A3A06" w:rsidRDefault="006A3A06" w:rsidP="006A3A06">
      <w:pPr>
        <w:spacing w:line="360" w:lineRule="auto"/>
        <w:ind w:left="720" w:hanging="720"/>
        <w:jc w:val="both"/>
        <w:rPr>
          <w:rFonts w:ascii="David" w:hAnsi="David"/>
          <w:rtl/>
        </w:rPr>
      </w:pPr>
    </w:p>
    <w:p w14:paraId="318E0B30" w14:textId="77777777" w:rsidR="006A3A06" w:rsidRDefault="006A3A06" w:rsidP="006A3A06">
      <w:pPr>
        <w:spacing w:line="360" w:lineRule="auto"/>
        <w:ind w:left="720"/>
        <w:jc w:val="both"/>
        <w:rPr>
          <w:rFonts w:ascii="David" w:hAnsi="David"/>
          <w:rtl/>
        </w:rPr>
      </w:pPr>
      <w:r>
        <w:rPr>
          <w:rFonts w:ascii="David" w:hAnsi="David" w:hint="cs"/>
          <w:rtl/>
        </w:rPr>
        <w:t xml:space="preserve">במסגרת אישום זה, הורשע הנאשם בריבוי עבירות של ייבוא סם מסוכן וריבוי עבירות של ניסיון לייבוא סם מסוכן. </w:t>
      </w:r>
    </w:p>
    <w:p w14:paraId="315006FB" w14:textId="77777777" w:rsidR="006A3A06" w:rsidRDefault="006A3A06" w:rsidP="006A3A06">
      <w:pPr>
        <w:spacing w:before="240" w:after="240" w:line="360" w:lineRule="auto"/>
        <w:ind w:left="720" w:hanging="720"/>
        <w:jc w:val="both"/>
        <w:rPr>
          <w:rFonts w:ascii="David" w:hAnsi="David"/>
          <w:rtl/>
        </w:rPr>
      </w:pPr>
      <w:r w:rsidRPr="00210F26">
        <w:rPr>
          <w:rFonts w:ascii="David" w:hAnsi="David" w:hint="cs"/>
          <w:rtl/>
        </w:rPr>
        <w:t>5.</w:t>
      </w:r>
      <w:r w:rsidRPr="00210F26">
        <w:rPr>
          <w:rFonts w:ascii="David" w:hAnsi="David" w:hint="cs"/>
          <w:rtl/>
        </w:rPr>
        <w:tab/>
      </w:r>
      <w:r w:rsidRPr="00210F26">
        <w:rPr>
          <w:rFonts w:ascii="David" w:hAnsi="David"/>
          <w:b/>
          <w:bCs/>
          <w:rtl/>
        </w:rPr>
        <w:t>על-פי המתואר באישום השני</w:t>
      </w:r>
      <w:r w:rsidRPr="00210F26">
        <w:rPr>
          <w:rFonts w:ascii="David" w:hAnsi="David"/>
          <w:rtl/>
        </w:rPr>
        <w:t xml:space="preserve">, </w:t>
      </w:r>
      <w:r>
        <w:rPr>
          <w:rFonts w:ascii="David" w:hAnsi="David" w:hint="cs"/>
          <w:rtl/>
        </w:rPr>
        <w:t>בתקופה הרלוונטית לכתב האישום סחר הנאשם בסמים שונים בשיטות סחר שונות.</w:t>
      </w:r>
    </w:p>
    <w:p w14:paraId="66289D27" w14:textId="77777777" w:rsidR="006A3A06" w:rsidRDefault="006A3A06" w:rsidP="006A3A06">
      <w:pPr>
        <w:spacing w:before="240" w:after="240" w:line="360" w:lineRule="auto"/>
        <w:ind w:left="720" w:hanging="720"/>
        <w:jc w:val="both"/>
        <w:rPr>
          <w:rtl/>
        </w:rPr>
      </w:pPr>
      <w:r w:rsidRPr="00E37281">
        <w:rPr>
          <w:rFonts w:ascii="David" w:hAnsi="David"/>
          <w:b/>
          <w:bCs/>
          <w:rtl/>
        </w:rPr>
        <w:tab/>
      </w:r>
      <w:r w:rsidRPr="00E37281">
        <w:rPr>
          <w:rFonts w:ascii="David" w:hAnsi="David" w:hint="cs"/>
          <w:b/>
          <w:bCs/>
          <w:rtl/>
        </w:rPr>
        <w:t>מכירה ללקוחות פרטיים</w:t>
      </w:r>
      <w:r>
        <w:rPr>
          <w:rFonts w:ascii="David" w:hAnsi="David" w:hint="cs"/>
          <w:rtl/>
        </w:rPr>
        <w:t xml:space="preserve">: בתקופה שבין </w:t>
      </w:r>
      <w:r w:rsidRPr="00210F26">
        <w:rPr>
          <w:rFonts w:ascii="David" w:hAnsi="David"/>
          <w:rtl/>
        </w:rPr>
        <w:t xml:space="preserve">חודש דצמבר </w:t>
      </w:r>
      <w:r>
        <w:rPr>
          <w:rFonts w:ascii="David" w:hAnsi="David" w:hint="cs"/>
          <w:rtl/>
        </w:rPr>
        <w:t xml:space="preserve"> </w:t>
      </w:r>
      <w:r w:rsidRPr="00210F26">
        <w:rPr>
          <w:rFonts w:ascii="David" w:hAnsi="David"/>
          <w:rtl/>
        </w:rPr>
        <w:t xml:space="preserve">2018 </w:t>
      </w:r>
      <w:r>
        <w:rPr>
          <w:rFonts w:ascii="David" w:hAnsi="David" w:hint="cs"/>
          <w:rtl/>
        </w:rPr>
        <w:t xml:space="preserve">לחודש יולי 2019, סחר הנאשם בצוותא עם דיאנה, בסמים מסוכנים מסוגים שונים הכוללים </w:t>
      </w:r>
      <w:r>
        <w:rPr>
          <w:rFonts w:ascii="David" w:hAnsi="David" w:hint="cs"/>
        </w:rPr>
        <w:t>MDMA</w:t>
      </w:r>
      <w:r>
        <w:rPr>
          <w:rFonts w:ascii="David" w:hAnsi="David" w:hint="cs"/>
          <w:rtl/>
        </w:rPr>
        <w:t xml:space="preserve">; </w:t>
      </w:r>
      <w:r>
        <w:rPr>
          <w:rFonts w:ascii="David" w:hAnsi="David" w:hint="cs"/>
        </w:rPr>
        <w:t>LSD</w:t>
      </w:r>
      <w:r>
        <w:rPr>
          <w:rFonts w:ascii="David" w:hAnsi="David" w:hint="cs"/>
          <w:rtl/>
        </w:rPr>
        <w:t xml:space="preserve"> וסוגים נוספים, בכך שמכר אותם למספר רב של צרכני סמים פרטיים, בשיטות סחר כמפורט להלן: </w:t>
      </w:r>
      <w:r w:rsidRPr="00C9767D">
        <w:rPr>
          <w:rFonts w:ascii="David" w:hAnsi="David" w:hint="cs"/>
          <w:b/>
          <w:bCs/>
          <w:rtl/>
        </w:rPr>
        <w:t>(א)</w:t>
      </w:r>
      <w:r>
        <w:rPr>
          <w:rFonts w:ascii="David" w:hAnsi="David" w:hint="cs"/>
          <w:rtl/>
        </w:rPr>
        <w:t xml:space="preserve"> הנאשם</w:t>
      </w:r>
      <w:r w:rsidRPr="00210F26">
        <w:rPr>
          <w:rFonts w:ascii="David" w:hAnsi="David"/>
          <w:rtl/>
        </w:rPr>
        <w:t xml:space="preserve"> פרסם בחשבונות הטלגרם שבשימושו את מלאי הסמים העומדים למכירה</w:t>
      </w:r>
      <w:r>
        <w:rPr>
          <w:rFonts w:ascii="David" w:hAnsi="David" w:hint="cs"/>
          <w:rtl/>
        </w:rPr>
        <w:t xml:space="preserve">; </w:t>
      </w:r>
      <w:r>
        <w:rPr>
          <w:rFonts w:ascii="David" w:hAnsi="David" w:hint="cs"/>
          <w:b/>
          <w:bCs/>
          <w:rtl/>
        </w:rPr>
        <w:t>(ב)</w:t>
      </w:r>
      <w:r>
        <w:rPr>
          <w:rFonts w:ascii="David" w:hAnsi="David" w:hint="cs"/>
          <w:rtl/>
        </w:rPr>
        <w:t xml:space="preserve"> הנאשם </w:t>
      </w:r>
      <w:r w:rsidRPr="00210F26">
        <w:rPr>
          <w:rFonts w:ascii="David" w:hAnsi="David"/>
          <w:rtl/>
        </w:rPr>
        <w:t>סיכם עם הלקוחות את פרטי העסקה ואופן</w:t>
      </w:r>
      <w:r>
        <w:rPr>
          <w:rFonts w:ascii="David" w:hAnsi="David"/>
          <w:rtl/>
        </w:rPr>
        <w:t xml:space="preserve"> האיסוף ומכר להם את הסמים; </w:t>
      </w:r>
      <w:r>
        <w:rPr>
          <w:rFonts w:ascii="David" w:hAnsi="David" w:hint="cs"/>
          <w:b/>
          <w:bCs/>
          <w:rtl/>
        </w:rPr>
        <w:t xml:space="preserve">(ג) </w:t>
      </w:r>
      <w:r>
        <w:rPr>
          <w:rFonts w:ascii="David" w:hAnsi="David" w:hint="cs"/>
          <w:rtl/>
        </w:rPr>
        <w:t xml:space="preserve">הנאשם </w:t>
      </w:r>
      <w:r w:rsidRPr="00210F26">
        <w:rPr>
          <w:rFonts w:ascii="David" w:hAnsi="David"/>
          <w:rtl/>
        </w:rPr>
        <w:t xml:space="preserve">הטמין את הסמים במקומות מסתור שונים בקרבת דירת </w:t>
      </w:r>
      <w:r>
        <w:rPr>
          <w:rFonts w:ascii="David" w:hAnsi="David" w:hint="cs"/>
          <w:rtl/>
        </w:rPr>
        <w:t>דיאנה</w:t>
      </w:r>
      <w:r w:rsidRPr="00210F26">
        <w:rPr>
          <w:rFonts w:ascii="David" w:hAnsi="David"/>
          <w:rtl/>
        </w:rPr>
        <w:t xml:space="preserve"> א</w:t>
      </w:r>
      <w:r>
        <w:rPr>
          <w:rFonts w:ascii="David" w:hAnsi="David"/>
          <w:rtl/>
        </w:rPr>
        <w:t>ו סמוך לביתו ודיווח על כך ל</w:t>
      </w:r>
      <w:r>
        <w:rPr>
          <w:rFonts w:ascii="David" w:hAnsi="David" w:hint="cs"/>
          <w:rtl/>
        </w:rPr>
        <w:t>דיאנה בטלגרם</w:t>
      </w:r>
      <w:r w:rsidRPr="00210F26">
        <w:rPr>
          <w:rFonts w:ascii="David" w:hAnsi="David"/>
          <w:rtl/>
        </w:rPr>
        <w:t xml:space="preserve">; </w:t>
      </w:r>
      <w:r w:rsidRPr="00C9767D">
        <w:rPr>
          <w:rFonts w:ascii="David" w:hAnsi="David" w:hint="cs"/>
          <w:b/>
          <w:bCs/>
          <w:rtl/>
        </w:rPr>
        <w:t>(ד)</w:t>
      </w:r>
      <w:r>
        <w:rPr>
          <w:rFonts w:ascii="David" w:hAnsi="David" w:hint="cs"/>
          <w:rtl/>
        </w:rPr>
        <w:t xml:space="preserve"> בהוראת הנאשם</w:t>
      </w:r>
      <w:r w:rsidRPr="00210F26">
        <w:rPr>
          <w:rFonts w:ascii="David" w:hAnsi="David"/>
          <w:rtl/>
        </w:rPr>
        <w:t xml:space="preserve">, אספה </w:t>
      </w:r>
      <w:r>
        <w:rPr>
          <w:rFonts w:ascii="David" w:hAnsi="David" w:hint="cs"/>
          <w:rtl/>
        </w:rPr>
        <w:t>דיאנה</w:t>
      </w:r>
      <w:r w:rsidRPr="00210F26">
        <w:rPr>
          <w:rFonts w:ascii="David" w:hAnsi="David"/>
          <w:rtl/>
        </w:rPr>
        <w:t xml:space="preserve"> את הסמים</w:t>
      </w:r>
      <w:r>
        <w:rPr>
          <w:rFonts w:ascii="David" w:hAnsi="David" w:hint="cs"/>
          <w:rtl/>
        </w:rPr>
        <w:t xml:space="preserve"> ממקומות המסתור</w:t>
      </w:r>
      <w:r w:rsidRPr="00210F26">
        <w:rPr>
          <w:rFonts w:ascii="David" w:hAnsi="David"/>
          <w:rtl/>
        </w:rPr>
        <w:t xml:space="preserve"> והחזיקה אותם בביתה, ובהמשך בהנחיית </w:t>
      </w:r>
      <w:r>
        <w:rPr>
          <w:rFonts w:ascii="David" w:hAnsi="David" w:hint="cs"/>
          <w:rtl/>
        </w:rPr>
        <w:t>הנאשם</w:t>
      </w:r>
      <w:r w:rsidRPr="00210F26">
        <w:rPr>
          <w:rFonts w:ascii="David" w:hAnsi="David"/>
          <w:rtl/>
        </w:rPr>
        <w:t xml:space="preserve"> שקלה וא</w:t>
      </w:r>
      <w:r>
        <w:rPr>
          <w:rFonts w:ascii="David" w:hAnsi="David"/>
          <w:rtl/>
        </w:rPr>
        <w:t>רזה את הסמים</w:t>
      </w:r>
      <w:r>
        <w:rPr>
          <w:rFonts w:ascii="David" w:hAnsi="David" w:hint="cs"/>
          <w:rtl/>
        </w:rPr>
        <w:t xml:space="preserve">; </w:t>
      </w:r>
      <w:r>
        <w:rPr>
          <w:rFonts w:ascii="David" w:hAnsi="David" w:hint="cs"/>
          <w:b/>
          <w:bCs/>
          <w:rtl/>
        </w:rPr>
        <w:t xml:space="preserve">(ה) </w:t>
      </w:r>
      <w:r w:rsidRPr="00C9767D">
        <w:rPr>
          <w:rFonts w:ascii="David" w:hAnsi="David" w:hint="cs"/>
          <w:rtl/>
        </w:rPr>
        <w:t xml:space="preserve">לאחר מכן, </w:t>
      </w:r>
      <w:r>
        <w:rPr>
          <w:rFonts w:hint="cs"/>
          <w:rtl/>
        </w:rPr>
        <w:t xml:space="preserve">הטמינה דיאנה </w:t>
      </w:r>
      <w:r>
        <w:rPr>
          <w:rtl/>
        </w:rPr>
        <w:t xml:space="preserve">את הסמים במקומות שהנחה אותה </w:t>
      </w:r>
      <w:r>
        <w:rPr>
          <w:rFonts w:hint="cs"/>
          <w:rtl/>
        </w:rPr>
        <w:t xml:space="preserve">הנאשם ונטלה מאותם מקומות כסף מזומן שהשאירו הלקוחות; </w:t>
      </w:r>
      <w:r w:rsidRPr="00C9767D">
        <w:rPr>
          <w:rFonts w:hint="cs"/>
          <w:b/>
          <w:bCs/>
          <w:rtl/>
        </w:rPr>
        <w:t xml:space="preserve">(ו) </w:t>
      </w:r>
      <w:r>
        <w:rPr>
          <w:rFonts w:hint="cs"/>
          <w:rtl/>
        </w:rPr>
        <w:t>ב</w:t>
      </w:r>
      <w:r>
        <w:rPr>
          <w:rtl/>
        </w:rPr>
        <w:t xml:space="preserve">מקרים אחרים מסרה </w:t>
      </w:r>
      <w:r>
        <w:rPr>
          <w:rFonts w:hint="cs"/>
          <w:rtl/>
        </w:rPr>
        <w:t>דיאנה</w:t>
      </w:r>
      <w:r>
        <w:rPr>
          <w:rtl/>
        </w:rPr>
        <w:t xml:space="preserve"> את הסמים ישירות ללקוחות במקומות שנקבעו מראש וקיבלה מהם תשלום</w:t>
      </w:r>
      <w:r>
        <w:rPr>
          <w:rFonts w:hint="cs"/>
          <w:rtl/>
        </w:rPr>
        <w:t xml:space="preserve">; </w:t>
      </w:r>
      <w:r w:rsidRPr="00C9767D">
        <w:rPr>
          <w:rFonts w:hint="cs"/>
          <w:b/>
          <w:bCs/>
          <w:rtl/>
        </w:rPr>
        <w:t xml:space="preserve">(ז) </w:t>
      </w:r>
      <w:r>
        <w:rPr>
          <w:rtl/>
        </w:rPr>
        <w:t xml:space="preserve">במקרים ספורים הלקוחות </w:t>
      </w:r>
      <w:r>
        <w:rPr>
          <w:rFonts w:hint="cs"/>
          <w:rtl/>
        </w:rPr>
        <w:t xml:space="preserve">הפרטיים העבירו לנאשם תשלום באמצעות ביטקוין.  </w:t>
      </w:r>
    </w:p>
    <w:p w14:paraId="3F21D66E" w14:textId="77777777" w:rsidR="006A3A06" w:rsidRDefault="006A3A06" w:rsidP="006A3A06">
      <w:pPr>
        <w:spacing w:before="240" w:after="240" w:line="360" w:lineRule="auto"/>
        <w:ind w:left="720" w:hanging="720"/>
        <w:jc w:val="both"/>
        <w:rPr>
          <w:rtl/>
        </w:rPr>
      </w:pPr>
      <w:r>
        <w:rPr>
          <w:rtl/>
        </w:rPr>
        <w:tab/>
      </w:r>
      <w:r>
        <w:rPr>
          <w:rFonts w:hint="cs"/>
          <w:rtl/>
        </w:rPr>
        <w:t xml:space="preserve">את התשלום שהתקבל מהלקוחות הטמינה דיאנה במקומות מסתור, בניכוי שכרה של 5% עד 10% משווי כל תשלום, וכן 50 ₪ נוספים במקרים בהם ביצעה משלוח עבור הלקוחות הפרטיים. </w:t>
      </w:r>
    </w:p>
    <w:p w14:paraId="102C1E12" w14:textId="77777777" w:rsidR="006A3A06" w:rsidRDefault="006A3A06" w:rsidP="006A3A06">
      <w:pPr>
        <w:pStyle w:val="a9"/>
        <w:spacing w:before="240" w:after="240" w:line="360" w:lineRule="auto"/>
        <w:ind w:left="714"/>
        <w:jc w:val="both"/>
        <w:rPr>
          <w:rtl/>
        </w:rPr>
      </w:pPr>
      <w:r w:rsidRPr="00E37281">
        <w:rPr>
          <w:rFonts w:hint="cs"/>
          <w:b/>
          <w:bCs/>
          <w:rtl/>
        </w:rPr>
        <w:t>מכירה לסוחרי סמים</w:t>
      </w:r>
      <w:r>
        <w:rPr>
          <w:rFonts w:hint="cs"/>
          <w:rtl/>
        </w:rPr>
        <w:t xml:space="preserve">: </w:t>
      </w:r>
      <w:r>
        <w:rPr>
          <w:rtl/>
        </w:rPr>
        <w:t xml:space="preserve">בהמשך, בתקופה שבין חודש יולי 2019 ליום 21.1.21, </w:t>
      </w:r>
      <w:r>
        <w:rPr>
          <w:rFonts w:hint="cs"/>
          <w:rtl/>
        </w:rPr>
        <w:t xml:space="preserve">מכר הנאשם סמים מסוכנים לסוחרי סמים אחרים, ובהם: 4,846 יחידות </w:t>
      </w:r>
      <w:r>
        <w:rPr>
          <w:rFonts w:hint="cs"/>
        </w:rPr>
        <w:t>MDMA</w:t>
      </w:r>
      <w:r>
        <w:rPr>
          <w:rFonts w:hint="cs"/>
          <w:rtl/>
        </w:rPr>
        <w:t xml:space="preserve">; 155.7 גרם </w:t>
      </w:r>
      <w:r>
        <w:rPr>
          <w:rFonts w:hint="cs"/>
        </w:rPr>
        <w:t>MDMA</w:t>
      </w:r>
      <w:r>
        <w:rPr>
          <w:rFonts w:hint="cs"/>
          <w:rtl/>
        </w:rPr>
        <w:t xml:space="preserve">; 5.54 ק"ג קטמין; 219.5 גרם מתאמפטאמין; 360 יחידות מתאמפטאמין; </w:t>
      </w:r>
      <w:r>
        <w:rPr>
          <w:rFonts w:hint="cs"/>
        </w:rPr>
        <w:t>DMT</w:t>
      </w:r>
      <w:r>
        <w:rPr>
          <w:rFonts w:hint="cs"/>
          <w:rtl/>
        </w:rPr>
        <w:t xml:space="preserve"> בכמות שאינה ידועה; 169 גרם מתאקטימון; 5 גרם קוקאין; 30 יחידות </w:t>
      </w:r>
      <w:r>
        <w:rPr>
          <w:rFonts w:hint="cs"/>
        </w:rPr>
        <w:t>LSD</w:t>
      </w:r>
      <w:r>
        <w:rPr>
          <w:rFonts w:hint="cs"/>
          <w:rtl/>
        </w:rPr>
        <w:t xml:space="preserve">; 865 גרם </w:t>
      </w:r>
      <w:r>
        <w:rPr>
          <w:rFonts w:hint="cs"/>
        </w:rPr>
        <w:t>CB</w:t>
      </w:r>
      <w:r>
        <w:rPr>
          <w:rFonts w:hint="cs"/>
          <w:rtl/>
        </w:rPr>
        <w:t xml:space="preserve">2 ו- 505 יחידות </w:t>
      </w:r>
      <w:r>
        <w:rPr>
          <w:rFonts w:hint="cs"/>
        </w:rPr>
        <w:t>CB</w:t>
      </w:r>
      <w:r>
        <w:rPr>
          <w:rFonts w:hint="cs"/>
          <w:rtl/>
        </w:rPr>
        <w:t xml:space="preserve">2. חלק ממכירות הסמים לאותם סוחרים בוצעו בצוותא עם דיאנה. </w:t>
      </w:r>
    </w:p>
    <w:p w14:paraId="078A3F6E" w14:textId="77777777" w:rsidR="006A3A06" w:rsidRDefault="006A3A06" w:rsidP="006A3A06">
      <w:pPr>
        <w:pStyle w:val="a9"/>
        <w:spacing w:before="240" w:after="240" w:line="360" w:lineRule="auto"/>
        <w:ind w:left="714"/>
        <w:jc w:val="both"/>
        <w:rPr>
          <w:rtl/>
        </w:rPr>
      </w:pPr>
    </w:p>
    <w:p w14:paraId="5DB01CDA" w14:textId="77777777" w:rsidR="006A3A06" w:rsidRDefault="006A3A06" w:rsidP="006A3A06">
      <w:pPr>
        <w:pStyle w:val="a9"/>
        <w:spacing w:before="240" w:after="240" w:line="360" w:lineRule="auto"/>
        <w:ind w:left="714"/>
        <w:jc w:val="both"/>
        <w:rPr>
          <w:rtl/>
        </w:rPr>
      </w:pPr>
      <w:r>
        <w:rPr>
          <w:rFonts w:hint="cs"/>
          <w:rtl/>
        </w:rPr>
        <w:t xml:space="preserve">מכירת הסמים לסוחרי הסמים בוצעה, ככלל, בשיטה המפורטת להלן: </w:t>
      </w:r>
    </w:p>
    <w:p w14:paraId="484FB262" w14:textId="77777777" w:rsidR="006A3A06" w:rsidRDefault="006A3A06" w:rsidP="006A3A06">
      <w:pPr>
        <w:pStyle w:val="a9"/>
        <w:spacing w:before="240" w:after="240" w:line="360" w:lineRule="auto"/>
        <w:ind w:left="714"/>
        <w:jc w:val="both"/>
        <w:rPr>
          <w:rtl/>
        </w:rPr>
      </w:pPr>
    </w:p>
    <w:p w14:paraId="347B359D" w14:textId="77777777" w:rsidR="006A3A06" w:rsidRDefault="006A3A06" w:rsidP="006A3A06">
      <w:pPr>
        <w:pStyle w:val="a9"/>
        <w:spacing w:before="240" w:after="240" w:line="360" w:lineRule="auto"/>
        <w:ind w:left="714"/>
        <w:jc w:val="both"/>
        <w:rPr>
          <w:rtl/>
        </w:rPr>
      </w:pPr>
      <w:r w:rsidRPr="00901C4A">
        <w:rPr>
          <w:rFonts w:hint="cs"/>
          <w:b/>
          <w:bCs/>
          <w:rtl/>
        </w:rPr>
        <w:t xml:space="preserve">(א) </w:t>
      </w:r>
      <w:r>
        <w:rPr>
          <w:rFonts w:hint="cs"/>
          <w:rtl/>
        </w:rPr>
        <w:t>לאחר שייבא את הסמים כמפורט באישום הראשון, הנאשם פרסם</w:t>
      </w:r>
      <w:r>
        <w:rPr>
          <w:rtl/>
        </w:rPr>
        <w:t xml:space="preserve"> את הסמים למכירה בחשבונות הטלגרם שלו </w:t>
      </w:r>
      <w:r>
        <w:rPr>
          <w:rFonts w:hint="cs"/>
          <w:rtl/>
        </w:rPr>
        <w:t xml:space="preserve">בהודעות ישירות לסוחרים, וכן במסגרת קבוצות ייעודיות שפתח בטלגרם ונועדו לסוחרים; </w:t>
      </w:r>
      <w:r w:rsidRPr="00901C4A">
        <w:rPr>
          <w:rFonts w:hint="cs"/>
          <w:b/>
          <w:bCs/>
          <w:rtl/>
        </w:rPr>
        <w:t xml:space="preserve">(ב) </w:t>
      </w:r>
      <w:r>
        <w:rPr>
          <w:rFonts w:hint="cs"/>
          <w:rtl/>
        </w:rPr>
        <w:t xml:space="preserve">בחלק מהמקרים עדכן הנאשם את הסוחרים אודות המועדים הצפויים להגעת חבילות הסמים לישראל, ואיפשר לסוחרים לבצע הזמנות מראש; </w:t>
      </w:r>
      <w:r w:rsidRPr="00901C4A">
        <w:rPr>
          <w:rFonts w:hint="cs"/>
          <w:b/>
          <w:bCs/>
          <w:rtl/>
        </w:rPr>
        <w:t xml:space="preserve">(ג) </w:t>
      </w:r>
      <w:r>
        <w:rPr>
          <w:rFonts w:hint="cs"/>
          <w:rtl/>
        </w:rPr>
        <w:t xml:space="preserve">הנאשם </w:t>
      </w:r>
      <w:r>
        <w:rPr>
          <w:rtl/>
        </w:rPr>
        <w:t>הורה לסוחרים לשלם לו באמצעות העברת ביטקוין</w:t>
      </w:r>
      <w:r>
        <w:rPr>
          <w:rFonts w:hint="cs"/>
          <w:rtl/>
        </w:rPr>
        <w:t xml:space="preserve">; </w:t>
      </w:r>
      <w:r>
        <w:rPr>
          <w:rFonts w:hint="cs"/>
          <w:b/>
          <w:bCs/>
          <w:rtl/>
        </w:rPr>
        <w:t xml:space="preserve">(ד) </w:t>
      </w:r>
      <w:r w:rsidRPr="00901C4A">
        <w:rPr>
          <w:rFonts w:hint="cs"/>
          <w:rtl/>
        </w:rPr>
        <w:t>הסוחרים שלא היה באפשרותם לשלם באמצעות ביטקוין, הופנו על-ידי הנאשם לחלפן כספים, והעבירו כסף לאותו חלפן עבור רכישת הסם. אותו חלפן העביר</w:t>
      </w:r>
      <w:r>
        <w:rPr>
          <w:rFonts w:hint="cs"/>
          <w:rtl/>
        </w:rPr>
        <w:t xml:space="preserve"> בהמשך מטבעות ביטקוין לארנק הדיג</w:t>
      </w:r>
      <w:r w:rsidRPr="00901C4A">
        <w:rPr>
          <w:rFonts w:hint="cs"/>
          <w:rtl/>
        </w:rPr>
        <w:t>יטלי של הנאשם</w:t>
      </w:r>
      <w:r>
        <w:rPr>
          <w:rFonts w:hint="cs"/>
          <w:rtl/>
        </w:rPr>
        <w:t xml:space="preserve">; </w:t>
      </w:r>
      <w:r>
        <w:rPr>
          <w:rFonts w:hint="cs"/>
          <w:b/>
          <w:bCs/>
          <w:rtl/>
        </w:rPr>
        <w:t>(ה)</w:t>
      </w:r>
      <w:r>
        <w:rPr>
          <w:rFonts w:hint="cs"/>
          <w:rtl/>
        </w:rPr>
        <w:t xml:space="preserve"> לצורך ביצוע העסקאות, בחלק מהמקרים, הנאשם או דיאנה, חלקו, שקלו וארזו את הסמים; </w:t>
      </w:r>
      <w:r w:rsidRPr="00901C4A">
        <w:rPr>
          <w:rFonts w:hint="cs"/>
          <w:b/>
          <w:bCs/>
          <w:rtl/>
        </w:rPr>
        <w:t xml:space="preserve">(ו) </w:t>
      </w:r>
      <w:r>
        <w:rPr>
          <w:rFonts w:hint="cs"/>
          <w:rtl/>
        </w:rPr>
        <w:t xml:space="preserve">לאחר העברת התמורה, הנאשם או דיאנה בהוראתו, הטמינו את הסמים במקומות מסתור שונים המצויים בסביבת ביתו של הנאשם בתל-אביב, כאשר הנאשם הכווין את הסוחרים לנקודות הטמנה אלה, לשם איסוף הסמים; </w:t>
      </w:r>
      <w:r w:rsidRPr="00901C4A">
        <w:rPr>
          <w:rFonts w:hint="cs"/>
          <w:b/>
          <w:bCs/>
          <w:rtl/>
        </w:rPr>
        <w:t xml:space="preserve">(ז) </w:t>
      </w:r>
      <w:r>
        <w:rPr>
          <w:rFonts w:hint="cs"/>
          <w:rtl/>
        </w:rPr>
        <w:t xml:space="preserve">בחלק מהמקרים השאיר הנאשם בנקודות ההטמנה כסף מזומן עבור דיאנה או הורה לסוחרים לעשות כן, ודיאנה נטלה את הכסף; </w:t>
      </w:r>
      <w:r w:rsidRPr="00901C4A">
        <w:rPr>
          <w:rFonts w:hint="cs"/>
          <w:b/>
          <w:bCs/>
          <w:rtl/>
        </w:rPr>
        <w:t xml:space="preserve">(ח) </w:t>
      </w:r>
      <w:r>
        <w:rPr>
          <w:rFonts w:hint="cs"/>
          <w:rtl/>
        </w:rPr>
        <w:t xml:space="preserve">במקרים אחדים, העבירה דיאנה ישירות את הסמים לסוחרים או למי מטעמם, במקומות מפגש שתואמו מראש על-ידי הנאשם. </w:t>
      </w:r>
    </w:p>
    <w:p w14:paraId="75C4A3F8" w14:textId="77777777" w:rsidR="006A3A06" w:rsidRDefault="006A3A06" w:rsidP="006A3A06">
      <w:pPr>
        <w:pStyle w:val="a9"/>
        <w:spacing w:before="240" w:after="240" w:line="360" w:lineRule="auto"/>
        <w:ind w:left="714"/>
        <w:jc w:val="both"/>
        <w:rPr>
          <w:rFonts w:ascii="David" w:hAnsi="David"/>
          <w:rtl/>
        </w:rPr>
      </w:pPr>
    </w:p>
    <w:p w14:paraId="13D35C6E" w14:textId="77777777" w:rsidR="006A3A06" w:rsidRDefault="006A3A06" w:rsidP="006A3A06">
      <w:pPr>
        <w:pStyle w:val="a9"/>
        <w:spacing w:before="240" w:after="240" w:line="360" w:lineRule="auto"/>
        <w:ind w:left="714"/>
        <w:jc w:val="both"/>
        <w:rPr>
          <w:rFonts w:ascii="David" w:hAnsi="David"/>
          <w:rtl/>
        </w:rPr>
      </w:pPr>
      <w:r>
        <w:rPr>
          <w:rFonts w:ascii="David" w:hAnsi="David" w:hint="cs"/>
          <w:rtl/>
        </w:rPr>
        <w:t xml:space="preserve">במסגרת אישום זה הורשע הנאשם בריבוי עבירות של סחר בסמים מסוכנים. </w:t>
      </w:r>
    </w:p>
    <w:p w14:paraId="2E8D9AD7" w14:textId="77777777" w:rsidR="006A3A06" w:rsidRDefault="006A3A06" w:rsidP="006A3A06">
      <w:pPr>
        <w:pStyle w:val="a9"/>
        <w:spacing w:before="240" w:after="240"/>
        <w:ind w:left="714"/>
        <w:jc w:val="both"/>
        <w:rPr>
          <w:rFonts w:ascii="David" w:hAnsi="David"/>
          <w:rtl/>
        </w:rPr>
      </w:pPr>
    </w:p>
    <w:p w14:paraId="0979EA66" w14:textId="77777777" w:rsidR="006A3A06" w:rsidRDefault="006A3A06" w:rsidP="006A3A06">
      <w:pPr>
        <w:pStyle w:val="12"/>
        <w:spacing w:line="360" w:lineRule="auto"/>
        <w:jc w:val="both"/>
        <w:rPr>
          <w:b w:val="0"/>
          <w:bCs w:val="0"/>
          <w:u w:val="none"/>
          <w:rtl/>
        </w:rPr>
      </w:pPr>
      <w:r>
        <w:rPr>
          <w:rFonts w:hint="cs"/>
          <w:b w:val="0"/>
          <w:bCs w:val="0"/>
          <w:u w:val="none"/>
          <w:rtl/>
        </w:rPr>
        <w:t>6.</w:t>
      </w:r>
      <w:r>
        <w:rPr>
          <w:rFonts w:hint="cs"/>
          <w:b w:val="0"/>
          <w:bCs w:val="0"/>
          <w:u w:val="none"/>
          <w:rtl/>
        </w:rPr>
        <w:tab/>
      </w:r>
      <w:r w:rsidRPr="00BF0191">
        <w:rPr>
          <w:rFonts w:hint="cs"/>
          <w:u w:val="none"/>
          <w:rtl/>
        </w:rPr>
        <w:t>על-פי המתואר באישום השלישי</w:t>
      </w:r>
      <w:r>
        <w:rPr>
          <w:rFonts w:hint="cs"/>
          <w:b w:val="0"/>
          <w:bCs w:val="0"/>
          <w:u w:val="none"/>
          <w:rtl/>
        </w:rPr>
        <w:t xml:space="preserve">, ביום 24.1.21 החזיק הנאשם בביתו 186.6 גרם סם מסוכן מסוג קטמין. </w:t>
      </w:r>
    </w:p>
    <w:p w14:paraId="2521F8B0" w14:textId="77777777" w:rsidR="006A3A06" w:rsidRDefault="006A3A06" w:rsidP="006A3A06">
      <w:pPr>
        <w:pStyle w:val="12"/>
        <w:spacing w:line="360" w:lineRule="auto"/>
        <w:jc w:val="both"/>
        <w:rPr>
          <w:b w:val="0"/>
          <w:bCs w:val="0"/>
          <w:u w:val="none"/>
          <w:rtl/>
        </w:rPr>
      </w:pPr>
    </w:p>
    <w:p w14:paraId="234E432B" w14:textId="77777777" w:rsidR="006A3A06" w:rsidRDefault="006A3A06" w:rsidP="006A3A06">
      <w:pPr>
        <w:pStyle w:val="12"/>
        <w:spacing w:line="360" w:lineRule="auto"/>
        <w:ind w:left="720" w:hanging="720"/>
        <w:jc w:val="both"/>
        <w:rPr>
          <w:b w:val="0"/>
          <w:bCs w:val="0"/>
          <w:u w:val="none"/>
          <w:rtl/>
        </w:rPr>
      </w:pPr>
      <w:r>
        <w:rPr>
          <w:b w:val="0"/>
          <w:bCs w:val="0"/>
          <w:u w:val="none"/>
          <w:rtl/>
        </w:rPr>
        <w:tab/>
      </w:r>
      <w:r>
        <w:rPr>
          <w:rFonts w:hint="cs"/>
          <w:b w:val="0"/>
          <w:bCs w:val="0"/>
          <w:u w:val="none"/>
          <w:rtl/>
        </w:rPr>
        <w:t>במסגרת אישום זה הורשע הנאשם בעבירה של החזקת סם שלא לצריכה עצמית.</w:t>
      </w:r>
    </w:p>
    <w:p w14:paraId="0C738A30" w14:textId="77777777" w:rsidR="006A3A06" w:rsidRDefault="006A3A06" w:rsidP="006A3A06">
      <w:pPr>
        <w:pStyle w:val="12"/>
        <w:spacing w:line="360" w:lineRule="auto"/>
        <w:ind w:left="720" w:hanging="720"/>
        <w:jc w:val="both"/>
        <w:rPr>
          <w:b w:val="0"/>
          <w:bCs w:val="0"/>
          <w:u w:val="none"/>
          <w:rtl/>
        </w:rPr>
      </w:pPr>
    </w:p>
    <w:p w14:paraId="47890471" w14:textId="77777777" w:rsidR="006A3A06" w:rsidRDefault="006A3A06" w:rsidP="006A3A06">
      <w:pPr>
        <w:pStyle w:val="12"/>
        <w:spacing w:line="360" w:lineRule="auto"/>
        <w:ind w:left="720" w:hanging="720"/>
        <w:jc w:val="both"/>
        <w:rPr>
          <w:b w:val="0"/>
          <w:bCs w:val="0"/>
          <w:u w:val="none"/>
          <w:rtl/>
        </w:rPr>
      </w:pPr>
      <w:r>
        <w:rPr>
          <w:rFonts w:hint="cs"/>
          <w:b w:val="0"/>
          <w:bCs w:val="0"/>
          <w:u w:val="none"/>
          <w:rtl/>
        </w:rPr>
        <w:t>7.</w:t>
      </w:r>
      <w:r>
        <w:rPr>
          <w:rFonts w:hint="cs"/>
          <w:b w:val="0"/>
          <w:bCs w:val="0"/>
          <w:u w:val="none"/>
          <w:rtl/>
        </w:rPr>
        <w:tab/>
      </w:r>
      <w:r>
        <w:rPr>
          <w:rFonts w:hint="cs"/>
          <w:u w:val="none"/>
          <w:rtl/>
        </w:rPr>
        <w:t>על-פי המתואר באישום הרביעי</w:t>
      </w:r>
      <w:r>
        <w:rPr>
          <w:rFonts w:hint="cs"/>
          <w:b w:val="0"/>
          <w:bCs w:val="0"/>
          <w:u w:val="none"/>
          <w:rtl/>
        </w:rPr>
        <w:t xml:space="preserve">, במסגרת פעילותו בתחום הסמים, כפי שפורט לעיל, הפיק הנאשם הכנסות בסך 1,500,000 ₪ לכל הפחות (200,000 ₪ לכל הפחות בשנת 2019 ו- 1,300,000 ₪ לכל הפחות בשנת 2020). </w:t>
      </w:r>
    </w:p>
    <w:p w14:paraId="6E7C34F2" w14:textId="77777777" w:rsidR="006A3A06" w:rsidRDefault="006A3A06" w:rsidP="006A3A06">
      <w:pPr>
        <w:pStyle w:val="12"/>
        <w:spacing w:line="360" w:lineRule="auto"/>
        <w:ind w:left="720" w:hanging="720"/>
        <w:jc w:val="both"/>
        <w:rPr>
          <w:b w:val="0"/>
          <w:bCs w:val="0"/>
          <w:u w:val="none"/>
          <w:rtl/>
        </w:rPr>
      </w:pPr>
    </w:p>
    <w:p w14:paraId="2E081636" w14:textId="77777777" w:rsidR="006A3A06" w:rsidRDefault="006A3A06" w:rsidP="006A3A06">
      <w:pPr>
        <w:pStyle w:val="12"/>
        <w:spacing w:line="360" w:lineRule="auto"/>
        <w:ind w:left="720" w:hanging="720"/>
        <w:jc w:val="both"/>
        <w:rPr>
          <w:b w:val="0"/>
          <w:bCs w:val="0"/>
          <w:u w:val="none"/>
          <w:rtl/>
        </w:rPr>
      </w:pPr>
      <w:r>
        <w:rPr>
          <w:b w:val="0"/>
          <w:bCs w:val="0"/>
          <w:u w:val="none"/>
          <w:rtl/>
        </w:rPr>
        <w:tab/>
      </w:r>
      <w:r>
        <w:rPr>
          <w:rFonts w:hint="cs"/>
          <w:b w:val="0"/>
          <w:bCs w:val="0"/>
          <w:u w:val="none"/>
          <w:rtl/>
        </w:rPr>
        <w:t xml:space="preserve">הנאשם לא הודיע לפקיד השומה על עיסוקו, לא ניהל פנקסי חשבונות, דרש וקיבל את הכנסותיו במזומן או באמצעות ביטקוין. </w:t>
      </w:r>
    </w:p>
    <w:p w14:paraId="0748D77C" w14:textId="77777777" w:rsidR="006A3A06" w:rsidRDefault="006A3A06" w:rsidP="006A3A06">
      <w:pPr>
        <w:pStyle w:val="12"/>
        <w:spacing w:line="360" w:lineRule="auto"/>
        <w:ind w:left="720" w:hanging="720"/>
        <w:jc w:val="both"/>
        <w:rPr>
          <w:b w:val="0"/>
          <w:bCs w:val="0"/>
          <w:u w:val="none"/>
          <w:rtl/>
        </w:rPr>
      </w:pPr>
    </w:p>
    <w:p w14:paraId="107F5690" w14:textId="77777777" w:rsidR="006A3A06" w:rsidRDefault="006A3A06" w:rsidP="006A3A06">
      <w:pPr>
        <w:pStyle w:val="12"/>
        <w:spacing w:line="360" w:lineRule="auto"/>
        <w:ind w:left="720" w:hanging="720"/>
        <w:jc w:val="both"/>
        <w:rPr>
          <w:b w:val="0"/>
          <w:bCs w:val="0"/>
          <w:u w:val="none"/>
          <w:rtl/>
        </w:rPr>
      </w:pPr>
      <w:r>
        <w:rPr>
          <w:b w:val="0"/>
          <w:bCs w:val="0"/>
          <w:u w:val="none"/>
          <w:rtl/>
        </w:rPr>
        <w:tab/>
      </w:r>
      <w:r>
        <w:rPr>
          <w:rFonts w:hint="cs"/>
          <w:b w:val="0"/>
          <w:bCs w:val="0"/>
          <w:u w:val="none"/>
          <w:rtl/>
        </w:rPr>
        <w:t xml:space="preserve">במסגרת אישום זה הורשע הנאשם בריבוי עבירות של מרמה, עורמה ותחבולה בכוונה להתחמק ממס. </w:t>
      </w:r>
    </w:p>
    <w:p w14:paraId="002893BB" w14:textId="77777777" w:rsidR="006A3A06" w:rsidRDefault="006A3A06" w:rsidP="006A3A06">
      <w:pPr>
        <w:pStyle w:val="12"/>
        <w:spacing w:line="360" w:lineRule="auto"/>
        <w:ind w:left="720" w:hanging="720"/>
        <w:jc w:val="both"/>
        <w:rPr>
          <w:b w:val="0"/>
          <w:bCs w:val="0"/>
          <w:u w:val="none"/>
          <w:rtl/>
        </w:rPr>
      </w:pPr>
    </w:p>
    <w:p w14:paraId="2FB81000" w14:textId="77777777" w:rsidR="006A3A06" w:rsidRDefault="006A3A06" w:rsidP="006A3A06">
      <w:pPr>
        <w:pStyle w:val="12"/>
        <w:spacing w:line="360" w:lineRule="auto"/>
        <w:ind w:left="720" w:hanging="720"/>
        <w:jc w:val="both"/>
        <w:rPr>
          <w:b w:val="0"/>
          <w:bCs w:val="0"/>
          <w:u w:val="none"/>
          <w:rtl/>
        </w:rPr>
      </w:pPr>
      <w:r>
        <w:rPr>
          <w:rFonts w:hint="cs"/>
          <w:b w:val="0"/>
          <w:bCs w:val="0"/>
          <w:u w:val="none"/>
          <w:rtl/>
        </w:rPr>
        <w:t>8.</w:t>
      </w:r>
      <w:r>
        <w:rPr>
          <w:rFonts w:hint="cs"/>
          <w:b w:val="0"/>
          <w:bCs w:val="0"/>
          <w:u w:val="none"/>
          <w:rtl/>
        </w:rPr>
        <w:tab/>
      </w:r>
      <w:r w:rsidRPr="00A07AD7">
        <w:rPr>
          <w:rFonts w:hint="cs"/>
          <w:u w:val="none"/>
          <w:rtl/>
        </w:rPr>
        <w:t>על-פי המתואר באישום החמישי</w:t>
      </w:r>
      <w:r>
        <w:rPr>
          <w:rFonts w:hint="cs"/>
          <w:b w:val="0"/>
          <w:bCs w:val="0"/>
          <w:u w:val="none"/>
          <w:rtl/>
        </w:rPr>
        <w:t xml:space="preserve">, כלל הפעולות שביצע הנאשם, לרבות אלה הקשורות לאופן בו קיבל ההכנסות ממכירת הסמים ועשיית הפעולות בהם ברשת ה"דארק נט" מהוות פעולות ברכוש אסור, בהיקף שלא פחת מ- 1,500,000 ₪. </w:t>
      </w:r>
    </w:p>
    <w:p w14:paraId="434AAA24" w14:textId="77777777" w:rsidR="006A3A06" w:rsidRDefault="006A3A06" w:rsidP="006A3A06">
      <w:pPr>
        <w:pStyle w:val="12"/>
        <w:spacing w:line="360" w:lineRule="auto"/>
        <w:ind w:left="720" w:hanging="720"/>
        <w:jc w:val="both"/>
        <w:rPr>
          <w:b w:val="0"/>
          <w:bCs w:val="0"/>
          <w:u w:val="none"/>
          <w:rtl/>
        </w:rPr>
      </w:pPr>
    </w:p>
    <w:p w14:paraId="226DFCA6" w14:textId="77777777" w:rsidR="006A3A06" w:rsidRDefault="006A3A06" w:rsidP="006A3A06">
      <w:pPr>
        <w:pStyle w:val="12"/>
        <w:spacing w:line="360" w:lineRule="auto"/>
        <w:ind w:left="720" w:hanging="720"/>
        <w:jc w:val="both"/>
        <w:rPr>
          <w:b w:val="0"/>
          <w:bCs w:val="0"/>
          <w:u w:val="none"/>
          <w:rtl/>
        </w:rPr>
      </w:pPr>
      <w:r>
        <w:rPr>
          <w:b w:val="0"/>
          <w:bCs w:val="0"/>
          <w:u w:val="none"/>
          <w:rtl/>
        </w:rPr>
        <w:tab/>
      </w:r>
      <w:r>
        <w:rPr>
          <w:rFonts w:hint="cs"/>
          <w:b w:val="0"/>
          <w:bCs w:val="0"/>
          <w:u w:val="none"/>
          <w:rtl/>
        </w:rPr>
        <w:t xml:space="preserve">במסגרת אישום זה הורשע הנאשם בריבוי עבירות של איסור הלבנת הון. </w:t>
      </w:r>
    </w:p>
    <w:p w14:paraId="70823069" w14:textId="77777777" w:rsidR="006A3A06" w:rsidRDefault="006A3A06" w:rsidP="006A3A06">
      <w:pPr>
        <w:pStyle w:val="12"/>
        <w:spacing w:line="360" w:lineRule="auto"/>
        <w:ind w:left="720" w:hanging="720"/>
        <w:jc w:val="both"/>
        <w:rPr>
          <w:b w:val="0"/>
          <w:bCs w:val="0"/>
          <w:u w:val="none"/>
          <w:rtl/>
        </w:rPr>
      </w:pPr>
    </w:p>
    <w:p w14:paraId="4D88309E" w14:textId="77777777" w:rsidR="006A3A06" w:rsidRDefault="006A3A06" w:rsidP="006A3A06">
      <w:pPr>
        <w:pStyle w:val="12"/>
        <w:spacing w:line="360" w:lineRule="auto"/>
        <w:ind w:left="720" w:hanging="720"/>
        <w:jc w:val="both"/>
        <w:rPr>
          <w:b w:val="0"/>
          <w:bCs w:val="0"/>
          <w:u w:val="none"/>
          <w:rtl/>
        </w:rPr>
      </w:pPr>
      <w:r>
        <w:rPr>
          <w:b w:val="0"/>
          <w:bCs w:val="0"/>
          <w:u w:val="none"/>
          <w:rtl/>
        </w:rPr>
        <w:tab/>
      </w:r>
      <w:r>
        <w:rPr>
          <w:rFonts w:hint="cs"/>
          <w:b w:val="0"/>
          <w:bCs w:val="0"/>
          <w:rtl/>
        </w:rPr>
        <w:t>תסקיר שרות המבחן</w:t>
      </w:r>
    </w:p>
    <w:p w14:paraId="7CBDFCA1" w14:textId="77777777" w:rsidR="006A3A06" w:rsidRPr="00A07AD7" w:rsidRDefault="006A3A06" w:rsidP="006A3A06">
      <w:pPr>
        <w:pStyle w:val="12"/>
        <w:spacing w:line="360" w:lineRule="auto"/>
        <w:ind w:left="720" w:hanging="720"/>
        <w:jc w:val="both"/>
        <w:rPr>
          <w:b w:val="0"/>
          <w:bCs w:val="0"/>
          <w:u w:val="none"/>
          <w:rtl/>
        </w:rPr>
      </w:pPr>
    </w:p>
    <w:p w14:paraId="1F91A786" w14:textId="77777777" w:rsidR="006A3A06" w:rsidRDefault="006A3A06" w:rsidP="006A3A06">
      <w:pPr>
        <w:pStyle w:val="12"/>
        <w:spacing w:line="360" w:lineRule="auto"/>
        <w:ind w:left="720" w:hanging="720"/>
        <w:jc w:val="both"/>
        <w:rPr>
          <w:b w:val="0"/>
          <w:bCs w:val="0"/>
          <w:u w:val="none"/>
          <w:rtl/>
        </w:rPr>
      </w:pPr>
      <w:r>
        <w:rPr>
          <w:rFonts w:hint="cs"/>
          <w:b w:val="0"/>
          <w:bCs w:val="0"/>
          <w:u w:val="none"/>
          <w:rtl/>
        </w:rPr>
        <w:t>9.</w:t>
      </w:r>
      <w:r>
        <w:rPr>
          <w:rFonts w:hint="cs"/>
          <w:b w:val="0"/>
          <w:bCs w:val="0"/>
          <w:u w:val="none"/>
          <w:rtl/>
        </w:rPr>
        <w:tab/>
        <w:t xml:space="preserve">שרות המבחן תיאר במסגרת התסקיר את נתוניו של הנאשם: בן 41, נשוי ואב לילדה בת 4.5, בן למשפחה נורמטיבית מצפון הארץ, אשר עובר למעצרו התגורר עם אשתו ובתו בתל-אביב, ולא עבד נוכח מצבו הרפואי. הנאשם אקדמאי, בוגר תואר ראשון ושני בהנדסת תוכנה, שירת שירות צבאי קצר בצה"ל (חודשיים) ונשר עקב קשיי הסתגלות. בהמשך, ולצד הלימודים האקדמאיים, השתלב הנאשם בתפקידים בחברות הייטק שונות. בחודש נובמבר 2019 היה הנאשם מעורב בתאונת דרכים וסבל מפגיעה רב מערכתית הכוללת חבלת ראש. הנאשם אושפז בבית החולים ולאחר מכן עבר הליך שיקום ממושך בבית לוינשטיין, נזקק להמשך מעקב נוירולוגי, פסיכולוגי ושיקומי.  </w:t>
      </w:r>
    </w:p>
    <w:p w14:paraId="31D47D0C" w14:textId="77777777" w:rsidR="006A3A06" w:rsidRDefault="006A3A06" w:rsidP="006A3A06">
      <w:pPr>
        <w:pStyle w:val="12"/>
        <w:spacing w:line="360" w:lineRule="auto"/>
        <w:ind w:left="720" w:hanging="720"/>
        <w:jc w:val="both"/>
        <w:rPr>
          <w:b w:val="0"/>
          <w:bCs w:val="0"/>
          <w:u w:val="none"/>
          <w:rtl/>
        </w:rPr>
      </w:pPr>
    </w:p>
    <w:p w14:paraId="3FCE0622" w14:textId="77777777" w:rsidR="006A3A06" w:rsidRDefault="006A3A06" w:rsidP="006A3A06">
      <w:pPr>
        <w:pStyle w:val="12"/>
        <w:spacing w:line="360" w:lineRule="auto"/>
        <w:ind w:left="720" w:hanging="720"/>
        <w:jc w:val="both"/>
        <w:rPr>
          <w:b w:val="0"/>
          <w:bCs w:val="0"/>
          <w:u w:val="none"/>
          <w:rtl/>
        </w:rPr>
      </w:pPr>
      <w:r>
        <w:rPr>
          <w:b w:val="0"/>
          <w:bCs w:val="0"/>
          <w:u w:val="none"/>
          <w:rtl/>
        </w:rPr>
        <w:tab/>
      </w:r>
      <w:r>
        <w:rPr>
          <w:rFonts w:hint="cs"/>
          <w:b w:val="0"/>
          <w:bCs w:val="0"/>
          <w:u w:val="none"/>
          <w:rtl/>
        </w:rPr>
        <w:t xml:space="preserve">שרות המבחן ציין כי הנאשם מתקשה להתייחס לחומרת עבירותיו בצורה מעמיקה, והתייחס להתנהגותו שתוארה בכתב האישום המתוקן, כאתגר, סוג של משחק כתוצאה ממנו הפיק ריגוש, וניצל את יכולותיו הטכנולוגיות. הנאשם התקשה להתייחס ברצינות לכמויות הסם שייבא, וכן למשמעויות פגיעתו באנשים בחברה ובאנשים אשר צרכו את הסמים. שרות המבחן התרשם כי התייחסות הנאשם חידדה את ההתרשמות כי בעת הפעילות השולית, עשה הנאשם שימוש בעיוותי חשיבה, שביצוע העבירות באמצעות המחשב הרחיק עוד יותר את משמעות ההתנהגות מבחינה פלילית. צוין כי הנאשם מתקשה להכיר בחומרה המיוחסת להתנהגותו, והוא אף אינו מזהה מאפיינים של מרמה ומניפולטיביות בבחירותיו הן כלפי הרשויות והן כלפי בני משפחתו, שלא ידעו דבר וחצי דבר על עיסוקו הפלילי הענף בתחום ייבוא הסמים והסחר בהם. לצד האמור, ציין שרות המבחן כי הנאשם מבטא חרטה על מעשיו, אולם נוכח כלל הנתונים וחומרת העבירות, סבר שרות המבחן כי אין מקום לבוא בהמלצה טיפולית. </w:t>
      </w:r>
    </w:p>
    <w:p w14:paraId="5DCE18D9" w14:textId="77777777" w:rsidR="006A3A06" w:rsidRDefault="006A3A06" w:rsidP="006A3A06">
      <w:pPr>
        <w:pStyle w:val="12"/>
        <w:spacing w:line="360" w:lineRule="auto"/>
        <w:ind w:left="720" w:hanging="720"/>
        <w:jc w:val="both"/>
        <w:rPr>
          <w:b w:val="0"/>
          <w:bCs w:val="0"/>
          <w:u w:val="none"/>
          <w:rtl/>
        </w:rPr>
      </w:pPr>
    </w:p>
    <w:p w14:paraId="469C1625" w14:textId="77777777" w:rsidR="006A3A06" w:rsidRDefault="006A3A06" w:rsidP="006A3A06">
      <w:pPr>
        <w:pStyle w:val="12"/>
        <w:spacing w:line="360" w:lineRule="auto"/>
        <w:ind w:left="720" w:hanging="720"/>
        <w:jc w:val="both"/>
        <w:rPr>
          <w:b w:val="0"/>
          <w:bCs w:val="0"/>
          <w:u w:val="none"/>
          <w:rtl/>
        </w:rPr>
      </w:pPr>
      <w:r>
        <w:rPr>
          <w:b w:val="0"/>
          <w:bCs w:val="0"/>
          <w:u w:val="none"/>
          <w:rtl/>
        </w:rPr>
        <w:tab/>
      </w:r>
      <w:r>
        <w:rPr>
          <w:rFonts w:hint="cs"/>
          <w:b w:val="0"/>
          <w:bCs w:val="0"/>
          <w:rtl/>
        </w:rPr>
        <w:t>טיעוני התביעה</w:t>
      </w:r>
    </w:p>
    <w:p w14:paraId="6D0A770F" w14:textId="77777777" w:rsidR="006A3A06" w:rsidRPr="00AC0E72" w:rsidRDefault="006A3A06" w:rsidP="006A3A06">
      <w:pPr>
        <w:pStyle w:val="12"/>
        <w:spacing w:line="360" w:lineRule="auto"/>
        <w:ind w:left="720" w:hanging="720"/>
        <w:jc w:val="both"/>
        <w:rPr>
          <w:b w:val="0"/>
          <w:bCs w:val="0"/>
          <w:u w:val="none"/>
          <w:rtl/>
        </w:rPr>
      </w:pPr>
    </w:p>
    <w:p w14:paraId="458670B0" w14:textId="77777777" w:rsidR="006A3A06" w:rsidRDefault="006A3A06" w:rsidP="006A3A06">
      <w:pPr>
        <w:pStyle w:val="12"/>
        <w:spacing w:line="360" w:lineRule="auto"/>
        <w:ind w:left="720" w:hanging="720"/>
        <w:jc w:val="both"/>
        <w:rPr>
          <w:b w:val="0"/>
          <w:bCs w:val="0"/>
          <w:u w:val="none"/>
          <w:rtl/>
        </w:rPr>
      </w:pPr>
      <w:r>
        <w:rPr>
          <w:rFonts w:hint="cs"/>
          <w:b w:val="0"/>
          <w:bCs w:val="0"/>
          <w:u w:val="none"/>
          <w:rtl/>
        </w:rPr>
        <w:t>10.</w:t>
      </w:r>
      <w:r>
        <w:rPr>
          <w:rFonts w:hint="cs"/>
          <w:b w:val="0"/>
          <w:bCs w:val="0"/>
          <w:u w:val="none"/>
          <w:rtl/>
        </w:rPr>
        <w:tab/>
        <w:t xml:space="preserve">התובעת, עו"ד רוית שפיר, עמדה בטיעוניה על ההיקף יוצא הדופן של פעילותו העבריינית של הנאשם בתחום הסמים, וכשצוין כי זו התפרשה על פני שנתיים, כאשר הסמים הופצו ברחבי מדינת ישראל, תוך שהנאשם משכלל את פעילותו ומגדיל את היקף ביצוע העבירות. התובעת התייחסה לשורת הפעולות שביצע הנאשם, המלמדות על היותו "המוח העברייני" מאחורי ביצוע המעשים, וכן התייחסה לערכים המוגנים שנפגעו כתוצאה מביצוע העבירות, ולנזק שנגרם בפועל נוכח העובדה שמרבית הסמים שייבא הנאשם הופצו בקרב הציבור ולא נתפסו על-ידי המשטרה. </w:t>
      </w:r>
    </w:p>
    <w:p w14:paraId="519DDBB0" w14:textId="77777777" w:rsidR="006A3A06" w:rsidRDefault="006A3A06" w:rsidP="006A3A06">
      <w:pPr>
        <w:pStyle w:val="12"/>
        <w:spacing w:line="360" w:lineRule="auto"/>
        <w:ind w:left="720" w:hanging="720"/>
        <w:jc w:val="both"/>
        <w:rPr>
          <w:b w:val="0"/>
          <w:bCs w:val="0"/>
          <w:u w:val="none"/>
          <w:rtl/>
        </w:rPr>
      </w:pPr>
    </w:p>
    <w:p w14:paraId="3001E148" w14:textId="77777777" w:rsidR="006A3A06" w:rsidRDefault="006A3A06" w:rsidP="006A3A06">
      <w:pPr>
        <w:pStyle w:val="12"/>
        <w:spacing w:line="360" w:lineRule="auto"/>
        <w:ind w:left="720"/>
        <w:jc w:val="both"/>
        <w:rPr>
          <w:b w:val="0"/>
          <w:bCs w:val="0"/>
          <w:u w:val="none"/>
          <w:rtl/>
        </w:rPr>
      </w:pPr>
      <w:r>
        <w:rPr>
          <w:rFonts w:hint="cs"/>
          <w:b w:val="0"/>
          <w:bCs w:val="0"/>
          <w:u w:val="none"/>
          <w:rtl/>
        </w:rPr>
        <w:t xml:space="preserve">בהקשר לאמור, ציינה התובעת את הדברים הבאים: </w:t>
      </w:r>
      <w:r w:rsidRPr="00996FA9">
        <w:rPr>
          <w:rFonts w:hint="cs"/>
          <w:u w:val="none"/>
          <w:rtl/>
        </w:rPr>
        <w:t>"... התכנית משוכללת ומתוחכמת המלמדת על היכולות האדירות של הנאשם, והאופרציה שהקים באופן עצמאי. הנאשם עומד בראש הפירמידה, דבר שלא תמיד זוכים לראות. בית המשפט יודע היטב כי מעטים המקרים בהם מ</w:t>
      </w:r>
      <w:r>
        <w:rPr>
          <w:rFonts w:hint="cs"/>
          <w:u w:val="none"/>
          <w:rtl/>
        </w:rPr>
        <w:t>ת</w:t>
      </w:r>
      <w:r w:rsidRPr="00996FA9">
        <w:rPr>
          <w:rFonts w:hint="cs"/>
          <w:u w:val="none"/>
          <w:rtl/>
        </w:rPr>
        <w:t>אפשר לתביעה להעמיד לדין עברין בדרג של הנאשם, שמעצרו הביא לגדיעת שרשרת הפצת סמים מש</w:t>
      </w:r>
      <w:r>
        <w:rPr>
          <w:rFonts w:hint="cs"/>
          <w:u w:val="none"/>
          <w:rtl/>
        </w:rPr>
        <w:t xml:space="preserve">מעותית ביותר ברחבי המדינה כולה ... </w:t>
      </w:r>
      <w:r w:rsidRPr="00996FA9">
        <w:rPr>
          <w:rFonts w:hint="cs"/>
          <w:u w:val="none"/>
          <w:rtl/>
        </w:rPr>
        <w:t>העבירות בוצעו למשך כשנתיים, ובהיקפים שעולים. אשר לנזק שנגרם – מדובר בכמות סם חסרת תקדים שהוכנסה והופצה בתוך מדינת ישראל. בניגוד לתיקי ייבוא אחרים, בהם המשטרה שמה ידה על החבילות עוד לפני ההפצה, הייחודיות הנוספת נלמדת מכך שהנאשם תיעד את כמות הסם שהופצה בפועל, כך שהנזק הוא חסר תקדים. באופן דומה גם לנזק הפוטנציאלי, וזה נלמד מכמות החבילות שנעצרה על-ידי הרשויות, לאחר מעצר שני הנאשמים, וכן באיתור חבילות נוספות שעשו דרכן לישראל</w:t>
      </w:r>
      <w:r>
        <w:rPr>
          <w:rFonts w:hint="cs"/>
          <w:b w:val="0"/>
          <w:bCs w:val="0"/>
          <w:u w:val="none"/>
          <w:rtl/>
        </w:rPr>
        <w:t>"</w:t>
      </w:r>
      <w:r>
        <w:rPr>
          <w:rFonts w:hint="cs"/>
          <w:u w:val="none"/>
          <w:rtl/>
        </w:rPr>
        <w:t xml:space="preserve"> </w:t>
      </w:r>
      <w:r w:rsidRPr="00996FA9">
        <w:rPr>
          <w:rFonts w:hint="cs"/>
          <w:b w:val="0"/>
          <w:bCs w:val="0"/>
          <w:u w:val="none"/>
          <w:rtl/>
        </w:rPr>
        <w:t xml:space="preserve">(פרו' עמ' 25 ש' 18). </w:t>
      </w:r>
    </w:p>
    <w:p w14:paraId="532C41AD" w14:textId="77777777" w:rsidR="006A3A06" w:rsidRDefault="006A3A06" w:rsidP="006A3A06">
      <w:pPr>
        <w:pStyle w:val="12"/>
        <w:spacing w:line="360" w:lineRule="auto"/>
        <w:ind w:left="720"/>
        <w:jc w:val="both"/>
        <w:rPr>
          <w:b w:val="0"/>
          <w:bCs w:val="0"/>
          <w:u w:val="none"/>
          <w:rtl/>
        </w:rPr>
      </w:pPr>
    </w:p>
    <w:p w14:paraId="63E05E5D" w14:textId="77777777" w:rsidR="006A3A06" w:rsidRDefault="006A3A06" w:rsidP="006A3A06">
      <w:pPr>
        <w:pStyle w:val="12"/>
        <w:spacing w:line="360" w:lineRule="auto"/>
        <w:ind w:left="720"/>
        <w:jc w:val="both"/>
        <w:rPr>
          <w:b w:val="0"/>
          <w:bCs w:val="0"/>
          <w:u w:val="none"/>
          <w:rtl/>
        </w:rPr>
      </w:pPr>
      <w:r>
        <w:rPr>
          <w:rFonts w:hint="cs"/>
          <w:b w:val="0"/>
          <w:bCs w:val="0"/>
          <w:u w:val="none"/>
          <w:rtl/>
        </w:rPr>
        <w:t>היבט נוסף עליו עמדה התובעת קשור לעבירות המס והלבנת ההון שביצע הנאשם.</w:t>
      </w:r>
    </w:p>
    <w:p w14:paraId="319111CB" w14:textId="77777777" w:rsidR="006A3A06" w:rsidRDefault="006A3A06" w:rsidP="006A3A06">
      <w:pPr>
        <w:pStyle w:val="12"/>
        <w:spacing w:line="360" w:lineRule="auto"/>
        <w:ind w:left="720"/>
        <w:jc w:val="both"/>
        <w:rPr>
          <w:b w:val="0"/>
          <w:bCs w:val="0"/>
          <w:u w:val="none"/>
          <w:rtl/>
        </w:rPr>
      </w:pPr>
    </w:p>
    <w:p w14:paraId="256463D4" w14:textId="77777777" w:rsidR="006A3A06" w:rsidRDefault="006A3A06" w:rsidP="006A3A06">
      <w:pPr>
        <w:pStyle w:val="12"/>
        <w:spacing w:line="360" w:lineRule="auto"/>
        <w:ind w:left="720"/>
        <w:jc w:val="both"/>
        <w:rPr>
          <w:b w:val="0"/>
          <w:bCs w:val="0"/>
          <w:u w:val="none"/>
          <w:rtl/>
        </w:rPr>
      </w:pPr>
      <w:r>
        <w:rPr>
          <w:rFonts w:hint="cs"/>
          <w:b w:val="0"/>
          <w:bCs w:val="0"/>
          <w:u w:val="none"/>
          <w:rtl/>
        </w:rPr>
        <w:t xml:space="preserve">על יסוד כלל הטיעונים שנטענו ופסיקה שהוצגה, תוך התייחסות גם לקביעות בית המשפט לעניין דיאנה, עתרה התביעה לקביעת מתחמי הענישה הבאים: </w:t>
      </w:r>
    </w:p>
    <w:p w14:paraId="17566FA5" w14:textId="77777777" w:rsidR="006A3A06" w:rsidRDefault="006A3A06" w:rsidP="006A3A06">
      <w:pPr>
        <w:pStyle w:val="12"/>
        <w:spacing w:line="360" w:lineRule="auto"/>
        <w:ind w:left="720"/>
        <w:jc w:val="both"/>
        <w:rPr>
          <w:b w:val="0"/>
          <w:bCs w:val="0"/>
          <w:u w:val="none"/>
          <w:rtl/>
        </w:rPr>
      </w:pPr>
    </w:p>
    <w:p w14:paraId="6A05C62F" w14:textId="77777777" w:rsidR="006A3A06" w:rsidRDefault="006A3A06" w:rsidP="006A3A06">
      <w:pPr>
        <w:pStyle w:val="12"/>
        <w:spacing w:line="360" w:lineRule="auto"/>
        <w:ind w:left="720"/>
        <w:jc w:val="both"/>
        <w:rPr>
          <w:b w:val="0"/>
          <w:bCs w:val="0"/>
          <w:u w:val="none"/>
          <w:rtl/>
        </w:rPr>
      </w:pPr>
      <w:r>
        <w:rPr>
          <w:rFonts w:hint="cs"/>
          <w:b w:val="0"/>
          <w:bCs w:val="0"/>
          <w:u w:val="none"/>
          <w:rtl/>
        </w:rPr>
        <w:t xml:space="preserve">ביחס לאישום הראשון (ייבוא הסמים לישראל) 10 עד 13 שנות מאסר; ביחס לאישום השני (מכירת סמים לצרכנים פרטיים ומכירת סמים לסוחרי סמים) 6 עד 9 שנות מאסר; ביחס לאישום השלישי (החזקת הקטמין) 18 עד 36 חודשי מאסר; ביחס לאישום הרביעי (עבירות המס) 10 עד 24 חודשי מאסר; ביחס לאישום החמישי (הלבנת ההון) 13 עד 30 חודשי מאסר. </w:t>
      </w:r>
    </w:p>
    <w:p w14:paraId="7A90F095" w14:textId="77777777" w:rsidR="006A3A06" w:rsidRDefault="006A3A06" w:rsidP="006A3A06">
      <w:pPr>
        <w:pStyle w:val="12"/>
        <w:spacing w:line="360" w:lineRule="auto"/>
        <w:ind w:left="720"/>
        <w:jc w:val="both"/>
        <w:rPr>
          <w:b w:val="0"/>
          <w:bCs w:val="0"/>
          <w:u w:val="none"/>
          <w:rtl/>
        </w:rPr>
      </w:pPr>
    </w:p>
    <w:p w14:paraId="256A7978" w14:textId="77777777" w:rsidR="006A3A06" w:rsidRDefault="006A3A06" w:rsidP="006A3A06">
      <w:pPr>
        <w:pStyle w:val="12"/>
        <w:spacing w:line="360" w:lineRule="auto"/>
        <w:ind w:left="720"/>
        <w:jc w:val="both"/>
        <w:rPr>
          <w:b w:val="0"/>
          <w:bCs w:val="0"/>
          <w:u w:val="none"/>
          <w:rtl/>
        </w:rPr>
      </w:pPr>
      <w:r>
        <w:rPr>
          <w:rFonts w:hint="cs"/>
          <w:b w:val="0"/>
          <w:bCs w:val="0"/>
          <w:u w:val="none"/>
          <w:rtl/>
        </w:rPr>
        <w:t xml:space="preserve">בהינתן העובדה כי המעשים העברייניים שלובים אחד בשני, הסכימה התביעה כי ניתן לקבוע מתחם כולל אשר הרף התחתון שלו לא יפחת מ- 12 שנות מאסר. </w:t>
      </w:r>
    </w:p>
    <w:p w14:paraId="00C2B575" w14:textId="77777777" w:rsidR="006A3A06" w:rsidRDefault="006A3A06" w:rsidP="006A3A06">
      <w:pPr>
        <w:pStyle w:val="12"/>
        <w:spacing w:line="360" w:lineRule="auto"/>
        <w:ind w:left="720"/>
        <w:jc w:val="both"/>
        <w:rPr>
          <w:b w:val="0"/>
          <w:bCs w:val="0"/>
          <w:u w:val="none"/>
          <w:rtl/>
        </w:rPr>
      </w:pPr>
    </w:p>
    <w:p w14:paraId="48B7FA35" w14:textId="77777777" w:rsidR="006A3A06" w:rsidRDefault="006A3A06" w:rsidP="006A3A06">
      <w:pPr>
        <w:pStyle w:val="12"/>
        <w:spacing w:line="360" w:lineRule="auto"/>
        <w:ind w:left="720"/>
        <w:jc w:val="both"/>
        <w:rPr>
          <w:b w:val="0"/>
          <w:bCs w:val="0"/>
          <w:u w:val="none"/>
          <w:rtl/>
        </w:rPr>
      </w:pPr>
      <w:r>
        <w:rPr>
          <w:rFonts w:hint="cs"/>
          <w:b w:val="0"/>
          <w:bCs w:val="0"/>
          <w:u w:val="none"/>
          <w:rtl/>
        </w:rPr>
        <w:t xml:space="preserve">לשיטת התביעה, אין מקום לסטות ממתחם העונש ההולם מטעמי שיקום, ואף אם יש להתחשב בהודאת הנאשם ובנתוניו האישיים, יש להעמיד את העונש המתאים לנאשם בחלק העליון של השליש התחתון של המתחם המוצע. </w:t>
      </w:r>
    </w:p>
    <w:p w14:paraId="55069FA4" w14:textId="77777777" w:rsidR="006A3A06" w:rsidRDefault="006A3A06" w:rsidP="006A3A06">
      <w:pPr>
        <w:pStyle w:val="12"/>
        <w:spacing w:line="360" w:lineRule="auto"/>
        <w:ind w:left="720"/>
        <w:jc w:val="both"/>
        <w:rPr>
          <w:b w:val="0"/>
          <w:bCs w:val="0"/>
          <w:u w:val="none"/>
          <w:rtl/>
        </w:rPr>
      </w:pPr>
    </w:p>
    <w:p w14:paraId="7A273A74" w14:textId="77777777" w:rsidR="006A3A06" w:rsidRDefault="006A3A06" w:rsidP="006A3A06">
      <w:pPr>
        <w:pStyle w:val="12"/>
        <w:spacing w:line="360" w:lineRule="auto"/>
        <w:ind w:left="720"/>
        <w:jc w:val="both"/>
        <w:rPr>
          <w:b w:val="0"/>
          <w:bCs w:val="0"/>
          <w:u w:val="none"/>
          <w:rtl/>
        </w:rPr>
      </w:pPr>
      <w:r>
        <w:rPr>
          <w:rFonts w:hint="cs"/>
          <w:b w:val="0"/>
          <w:bCs w:val="0"/>
          <w:rtl/>
        </w:rPr>
        <w:t>ראיות ההגנה וטיעוניה לעניין העונש</w:t>
      </w:r>
    </w:p>
    <w:p w14:paraId="4DFA7936" w14:textId="77777777" w:rsidR="006A3A06" w:rsidRDefault="006A3A06" w:rsidP="006A3A06">
      <w:pPr>
        <w:pStyle w:val="12"/>
        <w:spacing w:line="360" w:lineRule="auto"/>
        <w:ind w:left="720"/>
        <w:jc w:val="both"/>
        <w:rPr>
          <w:b w:val="0"/>
          <w:bCs w:val="0"/>
          <w:u w:val="none"/>
          <w:rtl/>
        </w:rPr>
      </w:pPr>
    </w:p>
    <w:p w14:paraId="1D08FD3D" w14:textId="77777777" w:rsidR="006A3A06" w:rsidRDefault="006A3A06" w:rsidP="006A3A06">
      <w:pPr>
        <w:pStyle w:val="12"/>
        <w:spacing w:line="360" w:lineRule="auto"/>
        <w:ind w:left="720" w:hanging="720"/>
        <w:jc w:val="both"/>
        <w:rPr>
          <w:b w:val="0"/>
          <w:bCs w:val="0"/>
          <w:u w:val="none"/>
          <w:rtl/>
        </w:rPr>
      </w:pPr>
      <w:r>
        <w:rPr>
          <w:rFonts w:hint="cs"/>
          <w:b w:val="0"/>
          <w:bCs w:val="0"/>
          <w:u w:val="none"/>
          <w:rtl/>
        </w:rPr>
        <w:t>11.</w:t>
      </w:r>
      <w:r>
        <w:rPr>
          <w:b w:val="0"/>
          <w:bCs w:val="0"/>
          <w:u w:val="none"/>
          <w:rtl/>
        </w:rPr>
        <w:tab/>
      </w:r>
      <w:r>
        <w:rPr>
          <w:rFonts w:hint="cs"/>
          <w:b w:val="0"/>
          <w:bCs w:val="0"/>
          <w:u w:val="none"/>
          <w:rtl/>
        </w:rPr>
        <w:t xml:space="preserve">מספר קרובי משפחתו וחבריו של הנאשם העידו או העבירו הצהרות לעניין העונש. </w:t>
      </w:r>
    </w:p>
    <w:p w14:paraId="7CE7C0DB" w14:textId="77777777" w:rsidR="006A3A06" w:rsidRDefault="006A3A06" w:rsidP="006A3A06">
      <w:pPr>
        <w:pStyle w:val="12"/>
        <w:spacing w:line="360" w:lineRule="auto"/>
        <w:ind w:left="720" w:hanging="720"/>
        <w:jc w:val="both"/>
        <w:rPr>
          <w:b w:val="0"/>
          <w:bCs w:val="0"/>
          <w:u w:val="none"/>
          <w:rtl/>
        </w:rPr>
      </w:pPr>
    </w:p>
    <w:p w14:paraId="61DE9E7F" w14:textId="77777777" w:rsidR="006A3A06" w:rsidRDefault="006A3A06" w:rsidP="006A3A06">
      <w:pPr>
        <w:pStyle w:val="12"/>
        <w:spacing w:line="360" w:lineRule="auto"/>
        <w:ind w:left="720"/>
        <w:jc w:val="both"/>
        <w:rPr>
          <w:b w:val="0"/>
          <w:bCs w:val="0"/>
          <w:u w:val="none"/>
          <w:rtl/>
        </w:rPr>
      </w:pPr>
      <w:r>
        <w:rPr>
          <w:rFonts w:hint="cs"/>
          <w:b w:val="0"/>
          <w:bCs w:val="0"/>
          <w:u w:val="none"/>
          <w:rtl/>
        </w:rPr>
        <w:t xml:space="preserve">כך אביו של הנאשם, רופא במקצועו, תיאר את פגיעתו הקשה של הנאשם בתאונת הדרכים בשנת 2019, את המשבר המשמעותי שעבר הנאשם מאז, לרבות שיקום של שבעה חודשים בבית החולים לוינשטיין, פיטוריו מהעבודה ומגוון הנזקים שנגרמו לתפקוד המוח. האב ציין כי כיום הנאשם הוא שבר כלי, סובל סבל קשה בזמן מעצרו, מביע חרטה, ומעוניין לחזור לחייק משפחתו ולטפל בבתו הקטינה - רכת השנים; </w:t>
      </w:r>
    </w:p>
    <w:p w14:paraId="3473619A" w14:textId="77777777" w:rsidR="006A3A06" w:rsidRDefault="006A3A06" w:rsidP="006A3A06">
      <w:pPr>
        <w:pStyle w:val="12"/>
        <w:spacing w:line="360" w:lineRule="auto"/>
        <w:ind w:left="720"/>
        <w:jc w:val="both"/>
        <w:rPr>
          <w:b w:val="0"/>
          <w:bCs w:val="0"/>
          <w:u w:val="none"/>
          <w:rtl/>
        </w:rPr>
      </w:pPr>
    </w:p>
    <w:p w14:paraId="49742743" w14:textId="77777777" w:rsidR="006A3A06" w:rsidRDefault="006A3A06" w:rsidP="006A3A06">
      <w:pPr>
        <w:pStyle w:val="12"/>
        <w:spacing w:line="360" w:lineRule="auto"/>
        <w:ind w:left="720"/>
        <w:jc w:val="both"/>
        <w:rPr>
          <w:b w:val="0"/>
          <w:bCs w:val="0"/>
          <w:u w:val="none"/>
          <w:rtl/>
        </w:rPr>
      </w:pPr>
      <w:r>
        <w:rPr>
          <w:rFonts w:hint="cs"/>
          <w:b w:val="0"/>
          <w:bCs w:val="0"/>
          <w:u w:val="none"/>
          <w:rtl/>
        </w:rPr>
        <w:t xml:space="preserve">כך העידה אימו של הנאשם אודות הפגיעה המשפחתית שהייתה כרוכה במעשיו של הנאשם, אודות מצבו הבריאותי המתדרדר, תוך הבעת תקווה כי בית המשפט יאפשר לנאשם להתחיל את חייו מחדש כשהוא מלווה ונתמך על-ידי בני משפחתו. </w:t>
      </w:r>
    </w:p>
    <w:p w14:paraId="081318C6" w14:textId="77777777" w:rsidR="006A3A06" w:rsidRDefault="006A3A06" w:rsidP="006A3A06">
      <w:pPr>
        <w:pStyle w:val="12"/>
        <w:spacing w:line="360" w:lineRule="auto"/>
        <w:ind w:left="720" w:hanging="720"/>
        <w:jc w:val="both"/>
        <w:rPr>
          <w:b w:val="0"/>
          <w:bCs w:val="0"/>
          <w:u w:val="none"/>
          <w:rtl/>
        </w:rPr>
      </w:pPr>
    </w:p>
    <w:p w14:paraId="5FAA18D4" w14:textId="77777777" w:rsidR="006A3A06" w:rsidRDefault="006A3A06" w:rsidP="006A3A06">
      <w:pPr>
        <w:pStyle w:val="12"/>
        <w:spacing w:line="360" w:lineRule="auto"/>
        <w:ind w:left="720"/>
        <w:jc w:val="both"/>
        <w:rPr>
          <w:b w:val="0"/>
          <w:bCs w:val="0"/>
          <w:u w:val="none"/>
          <w:rtl/>
        </w:rPr>
      </w:pPr>
      <w:r>
        <w:rPr>
          <w:rFonts w:hint="cs"/>
          <w:b w:val="0"/>
          <w:bCs w:val="0"/>
          <w:u w:val="none"/>
          <w:rtl/>
        </w:rPr>
        <w:t xml:space="preserve">כך העיד מר לירון אברבך, אחיו הגדול של הנאשם, אשר תיאר את עבודתו רבת השנים של הנאשם בתעשיית ההייטק, ואת השפעת התאונה הקשה שעבר על מישורי חייו השונים. האח ציין, בין היתר, את הדברים הבאים: </w:t>
      </w:r>
    </w:p>
    <w:p w14:paraId="1B876000" w14:textId="77777777" w:rsidR="006A3A06" w:rsidRDefault="006A3A06" w:rsidP="006A3A06">
      <w:pPr>
        <w:pStyle w:val="12"/>
        <w:spacing w:line="360" w:lineRule="auto"/>
        <w:ind w:left="720" w:hanging="720"/>
        <w:jc w:val="both"/>
        <w:rPr>
          <w:b w:val="0"/>
          <w:bCs w:val="0"/>
          <w:u w:val="none"/>
          <w:rtl/>
        </w:rPr>
      </w:pPr>
    </w:p>
    <w:p w14:paraId="337A9174" w14:textId="77777777" w:rsidR="006A3A06" w:rsidRDefault="006A3A06" w:rsidP="006A3A06">
      <w:pPr>
        <w:pStyle w:val="12"/>
        <w:spacing w:line="360" w:lineRule="auto"/>
        <w:ind w:left="720"/>
        <w:jc w:val="both"/>
        <w:rPr>
          <w:b w:val="0"/>
          <w:bCs w:val="0"/>
          <w:u w:val="none"/>
          <w:rtl/>
        </w:rPr>
      </w:pPr>
      <w:r w:rsidRPr="00611EBE">
        <w:rPr>
          <w:rFonts w:hint="cs"/>
          <w:b w:val="0"/>
          <w:bCs w:val="0"/>
          <w:u w:val="none"/>
          <w:rtl/>
        </w:rPr>
        <w:t>"</w:t>
      </w:r>
      <w:r>
        <w:rPr>
          <w:rFonts w:hint="cs"/>
          <w:u w:val="none"/>
          <w:rtl/>
        </w:rPr>
        <w:t xml:space="preserve"> ... </w:t>
      </w:r>
      <w:r w:rsidRPr="00611EBE">
        <w:rPr>
          <w:u w:val="none"/>
          <w:rtl/>
        </w:rPr>
        <w:t>קשה לי להציע הסברים למה שקרה כאן. אני אתאר את הדברים כמו שאני רואה  אותם. אנחנו גדלנו כמשפחה מאוד מלוכדת, עם הורים שעבדו קשה כל החיים וחינכו אותנו לרכוש מקצוע ולעבוד קשה, ובדרך זו הלכנו בסופו של דבר, כולנו. שגיא עבד שנים ארוכות בהייטק, השקיע את כל כולו בעבודה, היה נוסע לחו"ל במסגרת העבודה, היה עובד סביב השעון והיה את זה. הוא איש מחשבים עוד מגיל צעיר, התעסק במחשבים עוד לפני שאנשים ידעו מה זה. היה מחבר מחשבים בבית. באיזה שהוא שלב, ב- 2019 הייתה התאונה, כשכבודו מכיר את הנתונים. מבחינת כולנו זה היה שבר נוראי. אני ליוויתי אותו בשיקום שלו. שגיא זה כמו אדם שנולד מחדש, אני זוכר אותו לומד ללכת מחדש, לא יכל לצחצח שיניים או להתגלח, הכל היה צריך ללמוד מההתחלה. זה הליך ארוך, מייגע ושוחק. שגיא מאז התאונה זה הצל של עצמו וזה לא אותו אדם. עד ששוחרר מבית לוינשטיין, כמובן שפיטרו אותו מעבודתו. הוא במצ</w:t>
      </w:r>
      <w:r>
        <w:rPr>
          <w:rFonts w:hint="cs"/>
          <w:u w:val="none"/>
          <w:rtl/>
        </w:rPr>
        <w:t>ב</w:t>
      </w:r>
      <w:r w:rsidRPr="00611EBE">
        <w:rPr>
          <w:u w:val="none"/>
          <w:rtl/>
        </w:rPr>
        <w:t xml:space="preserve"> שקוע, וברור לי, זאת אומרת עם כל הכעס על המעשים שלו, זה דברים שאצלנו לא עוברים. אנחנו מסתכלים על זה ולא מזהים שם את שגיא, כך שבר</w:t>
      </w:r>
      <w:r>
        <w:rPr>
          <w:rFonts w:hint="cs"/>
          <w:u w:val="none"/>
          <w:rtl/>
        </w:rPr>
        <w:t>אי</w:t>
      </w:r>
      <w:r w:rsidRPr="00611EBE">
        <w:rPr>
          <w:u w:val="none"/>
          <w:rtl/>
        </w:rPr>
        <w:t xml:space="preserve">ה שלי, אני לא יכול להעיד עד כמה, אבל אין לי ספק </w:t>
      </w:r>
      <w:r>
        <w:rPr>
          <w:u w:val="none"/>
          <w:rtl/>
        </w:rPr>
        <w:t>שאלמלא התאונה הזו, לא היינו כאן</w:t>
      </w:r>
      <w:r>
        <w:rPr>
          <w:rFonts w:hint="cs"/>
          <w:u w:val="none"/>
          <w:rtl/>
        </w:rPr>
        <w:t xml:space="preserve">..." </w:t>
      </w:r>
      <w:r w:rsidRPr="00611EBE">
        <w:rPr>
          <w:rFonts w:hint="cs"/>
          <w:b w:val="0"/>
          <w:bCs w:val="0"/>
          <w:u w:val="none"/>
          <w:rtl/>
        </w:rPr>
        <w:t>(פרו' עמ' 22 ש' 16)</w:t>
      </w:r>
      <w:r>
        <w:rPr>
          <w:rFonts w:hint="cs"/>
          <w:b w:val="0"/>
          <w:bCs w:val="0"/>
          <w:u w:val="none"/>
          <w:rtl/>
        </w:rPr>
        <w:t xml:space="preserve">; </w:t>
      </w:r>
    </w:p>
    <w:p w14:paraId="002AE47D" w14:textId="77777777" w:rsidR="006A3A06" w:rsidRDefault="006A3A06" w:rsidP="006A3A06">
      <w:pPr>
        <w:pStyle w:val="12"/>
        <w:spacing w:line="360" w:lineRule="auto"/>
        <w:ind w:left="720"/>
        <w:jc w:val="both"/>
        <w:rPr>
          <w:b w:val="0"/>
          <w:bCs w:val="0"/>
          <w:u w:val="none"/>
          <w:rtl/>
        </w:rPr>
      </w:pPr>
    </w:p>
    <w:p w14:paraId="088C3E9E" w14:textId="77777777" w:rsidR="006A3A06" w:rsidRDefault="006A3A06" w:rsidP="006A3A06">
      <w:pPr>
        <w:pStyle w:val="12"/>
        <w:spacing w:line="360" w:lineRule="auto"/>
        <w:ind w:left="720"/>
        <w:jc w:val="both"/>
        <w:rPr>
          <w:b w:val="0"/>
          <w:bCs w:val="0"/>
          <w:u w:val="none"/>
          <w:rtl/>
        </w:rPr>
      </w:pPr>
      <w:r>
        <w:rPr>
          <w:rFonts w:hint="cs"/>
          <w:b w:val="0"/>
          <w:bCs w:val="0"/>
          <w:u w:val="none"/>
          <w:rtl/>
        </w:rPr>
        <w:t xml:space="preserve">כך העידה אחותו של הנאשם, אשר תיארה את המשבר שחוו בעקבות תאונת הדרכים שעבר הנאשם, את תכונותיו הטובות של הנאשם, את ההשפעה של מעצרו על בריאות הוריו, ואת רצונה להתגייס ולסייע בהליך שיקומו לאחר שחרורו מן המאסר. </w:t>
      </w:r>
    </w:p>
    <w:p w14:paraId="074AF783" w14:textId="77777777" w:rsidR="006A3A06" w:rsidRDefault="006A3A06" w:rsidP="006A3A06">
      <w:pPr>
        <w:pStyle w:val="12"/>
        <w:spacing w:line="360" w:lineRule="auto"/>
        <w:ind w:left="720"/>
        <w:jc w:val="both"/>
        <w:rPr>
          <w:b w:val="0"/>
          <w:bCs w:val="0"/>
          <w:u w:val="none"/>
          <w:rtl/>
        </w:rPr>
      </w:pPr>
    </w:p>
    <w:p w14:paraId="620622B6" w14:textId="77777777" w:rsidR="006A3A06" w:rsidRDefault="006A3A06" w:rsidP="006A3A06">
      <w:pPr>
        <w:pStyle w:val="12"/>
        <w:spacing w:line="360" w:lineRule="auto"/>
        <w:ind w:left="720"/>
        <w:jc w:val="both"/>
        <w:rPr>
          <w:b w:val="0"/>
          <w:bCs w:val="0"/>
          <w:u w:val="none"/>
          <w:rtl/>
        </w:rPr>
      </w:pPr>
      <w:r>
        <w:rPr>
          <w:rFonts w:hint="cs"/>
          <w:b w:val="0"/>
          <w:bCs w:val="0"/>
          <w:u w:val="none"/>
          <w:rtl/>
        </w:rPr>
        <w:t xml:space="preserve">כך הוגשה הצהרת אשתו של הנאשם, אשר תיארה את היותו בעל טוב, תומך ומסור, ואב טוב לבתו הקטינה. גב' אברבך עמדה על הקשיים המאפיינים את גידול הילדה כאשר האב נמצא במאסר, ועמדה אף היא על חוויות המעצר הקשות שחווה הנאשם, ומצבו הנפשי המורכב. </w:t>
      </w:r>
    </w:p>
    <w:p w14:paraId="206E91AA" w14:textId="77777777" w:rsidR="006A3A06" w:rsidRDefault="006A3A06" w:rsidP="006A3A06">
      <w:pPr>
        <w:pStyle w:val="12"/>
        <w:spacing w:line="360" w:lineRule="auto"/>
        <w:ind w:left="720"/>
        <w:jc w:val="both"/>
        <w:rPr>
          <w:b w:val="0"/>
          <w:bCs w:val="0"/>
          <w:u w:val="none"/>
          <w:rtl/>
        </w:rPr>
      </w:pPr>
    </w:p>
    <w:p w14:paraId="4CD6E8C5" w14:textId="77777777" w:rsidR="006A3A06" w:rsidRDefault="006A3A06" w:rsidP="006A3A06">
      <w:pPr>
        <w:pStyle w:val="12"/>
        <w:spacing w:line="360" w:lineRule="auto"/>
        <w:ind w:left="720"/>
        <w:jc w:val="both"/>
        <w:rPr>
          <w:b w:val="0"/>
          <w:bCs w:val="0"/>
          <w:u w:val="none"/>
          <w:rtl/>
        </w:rPr>
      </w:pPr>
      <w:r>
        <w:rPr>
          <w:rFonts w:hint="cs"/>
          <w:b w:val="0"/>
          <w:bCs w:val="0"/>
          <w:u w:val="none"/>
          <w:rtl/>
        </w:rPr>
        <w:t xml:space="preserve">ראה גם הצהרות גב' סנדרה כרמלי ומר דב היט ואלכס כהן </w:t>
      </w:r>
      <w:r>
        <w:rPr>
          <w:b w:val="0"/>
          <w:bCs w:val="0"/>
          <w:u w:val="none"/>
          <w:rtl/>
        </w:rPr>
        <w:t>–</w:t>
      </w:r>
      <w:r>
        <w:rPr>
          <w:rFonts w:hint="cs"/>
          <w:b w:val="0"/>
          <w:bCs w:val="0"/>
          <w:u w:val="none"/>
          <w:rtl/>
        </w:rPr>
        <w:t xml:space="preserve"> חבריו של הנאשם, שתיארו את תכונותיו הטובות, התגייסותו לסיוע אימתי שהיה צורך בכך, והיותו איש משפחה למופת. </w:t>
      </w:r>
    </w:p>
    <w:p w14:paraId="6BACA861" w14:textId="77777777" w:rsidR="006A3A06" w:rsidRDefault="006A3A06" w:rsidP="006A3A06">
      <w:pPr>
        <w:pStyle w:val="12"/>
        <w:spacing w:line="360" w:lineRule="auto"/>
        <w:ind w:left="720"/>
        <w:jc w:val="both"/>
        <w:rPr>
          <w:b w:val="0"/>
          <w:bCs w:val="0"/>
          <w:u w:val="none"/>
          <w:rtl/>
        </w:rPr>
      </w:pPr>
    </w:p>
    <w:p w14:paraId="59C470C5" w14:textId="77777777" w:rsidR="006A3A06" w:rsidRDefault="006A3A06" w:rsidP="006A3A06">
      <w:pPr>
        <w:pStyle w:val="12"/>
        <w:spacing w:line="360" w:lineRule="auto"/>
        <w:ind w:left="720" w:hanging="720"/>
        <w:jc w:val="both"/>
        <w:rPr>
          <w:b w:val="0"/>
          <w:bCs w:val="0"/>
          <w:u w:val="none"/>
          <w:rtl/>
        </w:rPr>
      </w:pPr>
      <w:r>
        <w:rPr>
          <w:rFonts w:hint="cs"/>
          <w:b w:val="0"/>
          <w:bCs w:val="0"/>
          <w:u w:val="none"/>
          <w:rtl/>
        </w:rPr>
        <w:t>12.</w:t>
      </w:r>
      <w:r>
        <w:rPr>
          <w:rFonts w:hint="cs"/>
          <w:b w:val="0"/>
          <w:bCs w:val="0"/>
          <w:u w:val="none"/>
          <w:rtl/>
        </w:rPr>
        <w:tab/>
        <w:t xml:space="preserve">ההגנה הגישה שורת מסמכים רפואיים שנערכו בעקבות תאונת הדרכים שעבר הנאשם בשנת 2019, ובהם אישור על אחוזי נכות מהמוסד לביטוח לאומי (כיום 40% נכות קבועה), מכתב שחרור מתקופת האשפוז, חוות דעת מבית לוינשטיין, הערכה קוגניטיבית של המומחה שחר יצחק, חוות דעת נוירולוגית שנערכה על-ידי ד"ר דבי וחוות דעת פסיכיאטרית שנערכה על-ידי ד"ר כספי. חוות הדעת והמסמכים השונים מתארים  את תאונת הדרכים הקשה שעבר, וכן את מצבו הרפואי והנפשי של הנאשם בעקבותיה. </w:t>
      </w:r>
    </w:p>
    <w:p w14:paraId="6027262F" w14:textId="77777777" w:rsidR="006A3A06" w:rsidRDefault="006A3A06" w:rsidP="006A3A06">
      <w:pPr>
        <w:pStyle w:val="12"/>
        <w:spacing w:line="360" w:lineRule="auto"/>
        <w:ind w:left="720" w:hanging="720"/>
        <w:jc w:val="both"/>
        <w:rPr>
          <w:b w:val="0"/>
          <w:bCs w:val="0"/>
          <w:u w:val="none"/>
          <w:rtl/>
        </w:rPr>
      </w:pPr>
    </w:p>
    <w:p w14:paraId="58F0B323" w14:textId="77777777" w:rsidR="006A3A06" w:rsidRDefault="006A3A06" w:rsidP="006A3A06">
      <w:pPr>
        <w:pStyle w:val="12"/>
        <w:spacing w:line="360" w:lineRule="auto"/>
        <w:ind w:left="720"/>
        <w:jc w:val="both"/>
        <w:rPr>
          <w:b w:val="0"/>
          <w:bCs w:val="0"/>
          <w:u w:val="none"/>
          <w:rtl/>
        </w:rPr>
      </w:pPr>
      <w:r>
        <w:rPr>
          <w:rFonts w:hint="cs"/>
          <w:b w:val="0"/>
          <w:bCs w:val="0"/>
          <w:u w:val="none"/>
          <w:rtl/>
        </w:rPr>
        <w:t xml:space="preserve">בהקשר לחוות הדעת הרפואיות, ראיתי להפנות להחלטתי מיום 27.7.23, במסגרתה קבעתי כי חוות הדעת מתקבלות כראיה לעונש, אך לא באופן כזה אשר יש בו כדי להשפיע על מתחם העונש ההולם, זאת בהינתן העובדה כי פעילותו העבריינית של הנאשם החלה בדצמבר 2018, כמעט שנה לפני תאונת הדרכים שעבר הנאשם בנובמבר 2019, ולאחר שממילא נבנתה התשתית העבריינית לביצוע עבירות הסמים, וחלק מאירועי הייבוא יצאו אל הפועל. </w:t>
      </w:r>
    </w:p>
    <w:p w14:paraId="25152C4B" w14:textId="77777777" w:rsidR="006A3A06" w:rsidRDefault="006A3A06" w:rsidP="006A3A06">
      <w:pPr>
        <w:pStyle w:val="12"/>
        <w:spacing w:line="360" w:lineRule="auto"/>
        <w:ind w:left="720"/>
        <w:jc w:val="both"/>
        <w:rPr>
          <w:b w:val="0"/>
          <w:bCs w:val="0"/>
          <w:u w:val="none"/>
          <w:rtl/>
        </w:rPr>
      </w:pPr>
    </w:p>
    <w:p w14:paraId="38510646" w14:textId="77777777" w:rsidR="006A3A06" w:rsidRDefault="006A3A06" w:rsidP="006A3A06">
      <w:pPr>
        <w:pStyle w:val="12"/>
        <w:spacing w:line="360" w:lineRule="auto"/>
        <w:ind w:left="720"/>
        <w:jc w:val="both"/>
        <w:rPr>
          <w:b w:val="0"/>
          <w:bCs w:val="0"/>
          <w:u w:val="none"/>
          <w:rtl/>
        </w:rPr>
      </w:pPr>
      <w:r>
        <w:rPr>
          <w:rFonts w:hint="cs"/>
          <w:b w:val="0"/>
          <w:bCs w:val="0"/>
          <w:u w:val="none"/>
          <w:rtl/>
        </w:rPr>
        <w:t xml:space="preserve">חוות הדעת התקבלו אפוא רק ככאלה אשר יש בנתונים המופיעים בהן כדי להשפיע על מיקומו של הנאשם במתחם העונש ההולם, ולא ראיתי להרחיב בעניינן מהטעם שממילא, גם נוכח הנתונים האחרים (העדר הרשעות קודמות והודאה בפתח ההליך המשפטי) הגעתי למסקנה כי יש מקום לאמץ את הרף התחתון של המתחם שייקבע.  </w:t>
      </w:r>
    </w:p>
    <w:p w14:paraId="176A7AC8" w14:textId="77777777" w:rsidR="006A3A06" w:rsidRDefault="006A3A06" w:rsidP="006A3A06">
      <w:pPr>
        <w:pStyle w:val="12"/>
        <w:spacing w:line="360" w:lineRule="auto"/>
        <w:ind w:left="720"/>
        <w:jc w:val="both"/>
        <w:rPr>
          <w:b w:val="0"/>
          <w:bCs w:val="0"/>
          <w:u w:val="none"/>
          <w:rtl/>
        </w:rPr>
      </w:pPr>
    </w:p>
    <w:p w14:paraId="6AF50BD7" w14:textId="77777777" w:rsidR="006A3A06" w:rsidRDefault="006A3A06" w:rsidP="006A3A06">
      <w:pPr>
        <w:pStyle w:val="12"/>
        <w:spacing w:line="360" w:lineRule="auto"/>
        <w:ind w:left="720" w:hanging="720"/>
        <w:jc w:val="both"/>
        <w:rPr>
          <w:b w:val="0"/>
          <w:bCs w:val="0"/>
          <w:u w:val="none"/>
          <w:rtl/>
        </w:rPr>
      </w:pPr>
      <w:r>
        <w:rPr>
          <w:rFonts w:hint="cs"/>
          <w:b w:val="0"/>
          <w:bCs w:val="0"/>
          <w:u w:val="none"/>
          <w:rtl/>
        </w:rPr>
        <w:t>13.</w:t>
      </w:r>
      <w:r>
        <w:rPr>
          <w:rFonts w:hint="cs"/>
          <w:b w:val="0"/>
          <w:bCs w:val="0"/>
          <w:u w:val="none"/>
          <w:rtl/>
        </w:rPr>
        <w:tab/>
        <w:t xml:space="preserve">ההגנה עמדה בטיעוניה על נתוניו של הנאשם, על משמעות תאונת הדרכים הקשה שעבר, ועל הרכיבים השונים העומדים ביסוד קביעת מתחם העונש ההולם. לשיטת ההגנה, ניתן לראות באותם נתונים העולים מחוות הדעת ומהמסמכים השונים ככאלה המפחיתות מחומרת המעשה ואשמתו של הנאשם, ומשפיעות על המתחם. </w:t>
      </w:r>
    </w:p>
    <w:p w14:paraId="55D4385B" w14:textId="77777777" w:rsidR="006A3A06" w:rsidRDefault="006A3A06" w:rsidP="006A3A06">
      <w:pPr>
        <w:pStyle w:val="12"/>
        <w:spacing w:line="360" w:lineRule="auto"/>
        <w:ind w:left="720" w:hanging="720"/>
        <w:jc w:val="both"/>
        <w:rPr>
          <w:b w:val="0"/>
          <w:bCs w:val="0"/>
          <w:u w:val="none"/>
          <w:rtl/>
        </w:rPr>
      </w:pPr>
    </w:p>
    <w:p w14:paraId="4982E1A3" w14:textId="77777777" w:rsidR="006A3A06" w:rsidRDefault="006A3A06" w:rsidP="006A3A06">
      <w:pPr>
        <w:pStyle w:val="12"/>
        <w:spacing w:line="360" w:lineRule="auto"/>
        <w:ind w:left="720"/>
        <w:jc w:val="both"/>
        <w:rPr>
          <w:b w:val="0"/>
          <w:bCs w:val="0"/>
          <w:u w:val="none"/>
          <w:rtl/>
        </w:rPr>
      </w:pPr>
      <w:r>
        <w:rPr>
          <w:rFonts w:hint="cs"/>
          <w:b w:val="0"/>
          <w:bCs w:val="0"/>
          <w:u w:val="none"/>
          <w:rtl/>
        </w:rPr>
        <w:t xml:space="preserve">עו"ד גיא זהבי עתר במסגרת הטיעונים הכתובים להטיל על הנאשם עונש מידתי, כזה שיביא את הנאשם במהירות להליך הטיפולי לו הוא זקוק, אשר לא ניתן לקיימו במסגרת מאסרו. </w:t>
      </w:r>
    </w:p>
    <w:p w14:paraId="3D16F73E" w14:textId="77777777" w:rsidR="006A3A06" w:rsidRDefault="006A3A06" w:rsidP="006A3A06">
      <w:pPr>
        <w:pStyle w:val="12"/>
        <w:rPr>
          <w:b w:val="0"/>
          <w:bCs w:val="0"/>
          <w:u w:val="none"/>
          <w:rtl/>
        </w:rPr>
      </w:pPr>
    </w:p>
    <w:p w14:paraId="3517D4E0" w14:textId="77777777" w:rsidR="006A3A06" w:rsidRDefault="006A3A06" w:rsidP="006A3A06">
      <w:pPr>
        <w:pStyle w:val="12"/>
        <w:spacing w:line="360" w:lineRule="auto"/>
        <w:ind w:left="720" w:hanging="720"/>
        <w:jc w:val="both"/>
        <w:rPr>
          <w:b w:val="0"/>
          <w:bCs w:val="0"/>
          <w:u w:val="none"/>
          <w:rtl/>
        </w:rPr>
      </w:pPr>
      <w:r>
        <w:rPr>
          <w:b w:val="0"/>
          <w:bCs w:val="0"/>
          <w:u w:val="none"/>
          <w:rtl/>
        </w:rPr>
        <w:tab/>
      </w:r>
      <w:r>
        <w:rPr>
          <w:rFonts w:hint="cs"/>
          <w:b w:val="0"/>
          <w:bCs w:val="0"/>
          <w:u w:val="none"/>
          <w:rtl/>
        </w:rPr>
        <w:t xml:space="preserve">עו"ד יעקב שקלאר התייחס אף הוא בטיעוניו לנתוניו של הנאשם, ולהשפעת התאונה, וסבר כי ניתן להקיש על העונש הראוי גם מגזר הדין שניתן בעניינו של </w:t>
      </w:r>
      <w:r w:rsidRPr="00557C6C">
        <w:rPr>
          <w:rFonts w:hint="cs"/>
          <w:u w:val="none"/>
          <w:rtl/>
        </w:rPr>
        <w:t>אברהם לוקר</w:t>
      </w:r>
      <w:r w:rsidRPr="00557C6C">
        <w:rPr>
          <w:rFonts w:hint="cs"/>
          <w:b w:val="0"/>
          <w:bCs w:val="0"/>
          <w:u w:val="none"/>
          <w:rtl/>
        </w:rPr>
        <w:t>, בפרשה הידועה כפרשת 512</w:t>
      </w:r>
      <w:r>
        <w:rPr>
          <w:rFonts w:hint="cs"/>
          <w:b w:val="0"/>
          <w:bCs w:val="0"/>
          <w:u w:val="none"/>
          <w:rtl/>
        </w:rPr>
        <w:t xml:space="preserve"> (תפ"ח                     31343-01-19; 24984-07-15)</w:t>
      </w:r>
      <w:r w:rsidRPr="00557C6C">
        <w:rPr>
          <w:rFonts w:hint="cs"/>
          <w:b w:val="0"/>
          <w:bCs w:val="0"/>
          <w:u w:val="none"/>
          <w:rtl/>
        </w:rPr>
        <w:t xml:space="preserve"> אותו לוקר, נאשם 16 בפרשה, הורשע</w:t>
      </w:r>
      <w:r>
        <w:rPr>
          <w:rFonts w:hint="cs"/>
          <w:b w:val="0"/>
          <w:bCs w:val="0"/>
          <w:u w:val="none"/>
          <w:rtl/>
        </w:rPr>
        <w:t xml:space="preserve"> בעבירות ייצוא וייבוא סמים במסגרת ארגון פשיעה (1,000,000 כדורי אקסטזי) מהולנד לאוסטרליה, והוטל עליו עונש של חמש שנות מאסר (טרם ניתן פסק דין בערעור הנאשם). </w:t>
      </w:r>
    </w:p>
    <w:p w14:paraId="6E4E568F" w14:textId="77777777" w:rsidR="006A3A06" w:rsidRDefault="006A3A06" w:rsidP="006A3A06">
      <w:pPr>
        <w:pStyle w:val="12"/>
        <w:spacing w:line="360" w:lineRule="auto"/>
        <w:ind w:left="720" w:hanging="720"/>
        <w:jc w:val="both"/>
        <w:rPr>
          <w:b w:val="0"/>
          <w:bCs w:val="0"/>
          <w:u w:val="none"/>
          <w:rtl/>
        </w:rPr>
      </w:pPr>
    </w:p>
    <w:p w14:paraId="4E5BAD33" w14:textId="77777777" w:rsidR="006A3A06" w:rsidRDefault="006A3A06" w:rsidP="006A3A06">
      <w:pPr>
        <w:pStyle w:val="12"/>
        <w:spacing w:line="360" w:lineRule="auto"/>
        <w:ind w:left="720" w:hanging="720"/>
        <w:jc w:val="both"/>
        <w:rPr>
          <w:b w:val="0"/>
          <w:bCs w:val="0"/>
          <w:u w:val="none"/>
          <w:rtl/>
        </w:rPr>
      </w:pPr>
      <w:r>
        <w:rPr>
          <w:b w:val="0"/>
          <w:bCs w:val="0"/>
          <w:u w:val="none"/>
          <w:rtl/>
        </w:rPr>
        <w:tab/>
      </w:r>
      <w:r>
        <w:rPr>
          <w:rFonts w:hint="cs"/>
          <w:b w:val="0"/>
          <w:bCs w:val="0"/>
          <w:u w:val="none"/>
          <w:rtl/>
        </w:rPr>
        <w:t xml:space="preserve">עוד ציין עו"ד שקלאר את הדברים הבאים: </w:t>
      </w:r>
    </w:p>
    <w:p w14:paraId="2E10641B" w14:textId="77777777" w:rsidR="006A3A06" w:rsidRDefault="006A3A06" w:rsidP="006A3A06">
      <w:pPr>
        <w:pStyle w:val="12"/>
        <w:spacing w:line="360" w:lineRule="auto"/>
        <w:ind w:left="720" w:hanging="720"/>
        <w:jc w:val="both"/>
        <w:rPr>
          <w:b w:val="0"/>
          <w:bCs w:val="0"/>
          <w:u w:val="none"/>
          <w:rtl/>
        </w:rPr>
      </w:pPr>
    </w:p>
    <w:p w14:paraId="45DD2CD6" w14:textId="77777777" w:rsidR="006A3A06" w:rsidRPr="0018314E" w:rsidRDefault="006A3A06" w:rsidP="006A3A06">
      <w:pPr>
        <w:pStyle w:val="12"/>
        <w:spacing w:line="360" w:lineRule="auto"/>
        <w:ind w:left="720"/>
        <w:jc w:val="both"/>
        <w:rPr>
          <w:b w:val="0"/>
          <w:bCs w:val="0"/>
          <w:u w:val="none"/>
          <w:rtl/>
        </w:rPr>
      </w:pPr>
      <w:r w:rsidRPr="0018314E">
        <w:rPr>
          <w:rFonts w:hint="cs"/>
          <w:b w:val="0"/>
          <w:bCs w:val="0"/>
          <w:u w:val="none"/>
          <w:rtl/>
        </w:rPr>
        <w:t>"</w:t>
      </w:r>
      <w:r w:rsidRPr="0018314E">
        <w:rPr>
          <w:u w:val="none"/>
          <w:rtl/>
        </w:rPr>
        <w:t>הנאשם נחשף בפני מותב זה במגוון מסמ</w:t>
      </w:r>
      <w:r>
        <w:rPr>
          <w:u w:val="none"/>
          <w:rtl/>
        </w:rPr>
        <w:t>כים המתארים אותו, את אופיו, היש</w:t>
      </w:r>
      <w:r w:rsidRPr="0018314E">
        <w:rPr>
          <w:u w:val="none"/>
          <w:rtl/>
        </w:rPr>
        <w:t xml:space="preserve">גיו וכל משפחתו. מדובר במלח הארץ, טובי האזרחים, כולם אחד לאחד. אבא רופא, אמא מורה לפסנתר, שני אחים יועצים משפטיים, הוא בעצמו מצטיין בטכניון, עסק בהייטק והיה ילד מחשבים. והנה הגענו לאירוע שלא הולם את כל שפירטתי. פשוט דבר והיפוכו. ואיך אנחנו מגיעים להסביר אירוע זה? ההסבר הוא דווקא בתסקיר שרות המבחן, שהתביעה רואה בו סוגיה לחומרה. אני רואה בתסקיר שרות המבחן דווקא המלצה שיקומית. שרות המבחן בהיגיון רב אומר אין מה לעשות איתו, הוא ישב בכלא. העניין הוא שדיאנה בגלל שהיא אשה וההתיחסות של בתי המשפט לנשים היא הרבה יותר מקלה, אז היא שוחררה ויכלה להוכיח עצמה ולהשתקם. אבל הנאשם צריך שיקום הרבה יותר מדיאנה כי הוא חולה. יש המלצות רפואיות לשיקום וגם שרות המבחן אומר את דברו, וממליץ להפנות גורמי הטיפול בשב"ס לחשיבות גיוסו למהלך טיפולי. הנאשם כבר שלוש </w:t>
      </w:r>
      <w:r>
        <w:rPr>
          <w:rFonts w:hint="cs"/>
          <w:u w:val="none"/>
          <w:rtl/>
        </w:rPr>
        <w:t>ש</w:t>
      </w:r>
      <w:r w:rsidRPr="0018314E">
        <w:rPr>
          <w:u w:val="none"/>
          <w:rtl/>
        </w:rPr>
        <w:t>נים בתנאי מעצר ולא קיבל שום טיפול. הנאשם על 5 תרופות פסיכיאטריות, מסומ</w:t>
      </w:r>
      <w:r>
        <w:rPr>
          <w:u w:val="none"/>
          <w:rtl/>
        </w:rPr>
        <w:t>ם לגמרי, מסטול, עיניו כבדות, גו</w:t>
      </w:r>
      <w:r w:rsidRPr="0018314E">
        <w:rPr>
          <w:u w:val="none"/>
          <w:rtl/>
        </w:rPr>
        <w:t>פו כבד, בקושי זז. הוא שוקע, המשפחה שקעה, הנזק הוא בלתי הפיך. אז אומרת התביעה כן, העבירות הן חמורות, ואני מסכים. העבירות לא מתקבלות על הדעת בהשוואה לנאשם. בניגוד לדברי התביעה הנאשם לא התחיל לחיות חיי פאר ומותרות, אלא המשיך לחיות את חייו הקטנים וכעולה מהתסקיר זה סוג של מעין אתגר שכלתני של שחקני מחשב. פה יש את העיוות בבוחן המציאות כעולה מחוות הדעת. תפישת המציאות שלו נדפקה ברמה הקלינית. הוא הפסיק לראות את ההבדל בין מותר לאסור ובין נורמטיבי ללא מקובל. עבורו זה היה מעין אתגר אינטלקטואלי שרצה לפצח, והתוצאה היא שני מקרים לפני ושני מקרים אחרי, לאחר שעבר תאונת דרכים והליך שיקום קשה, הדבר גרם לפגיעה קוגנטיבית ופיזית, והנאשם שבר כלי. הנאשם מסומם עם חמש סוגי תרופות, מצבו דכאוני, הוא פוחד מהסביבה העבריינית סביבו ומחשבותיו אובדניות ושל חוסר תקווה, ייאוש וחוסר אונים.  בחוץ מחכה לו אשה וילדת</w:t>
      </w:r>
      <w:r>
        <w:rPr>
          <w:u w:val="none"/>
          <w:rtl/>
        </w:rPr>
        <w:t>ו הקטנה. הנאשם זקוק להליך שיקום</w:t>
      </w:r>
      <w:r>
        <w:rPr>
          <w:rFonts w:hint="cs"/>
          <w:u w:val="none"/>
          <w:rtl/>
        </w:rPr>
        <w:t xml:space="preserve">" </w:t>
      </w:r>
      <w:r w:rsidRPr="0018314E">
        <w:rPr>
          <w:rFonts w:hint="cs"/>
          <w:b w:val="0"/>
          <w:bCs w:val="0"/>
          <w:u w:val="none"/>
          <w:rtl/>
        </w:rPr>
        <w:t xml:space="preserve">(פרו' עמ' 29 ש' 13). </w:t>
      </w:r>
    </w:p>
    <w:p w14:paraId="510DDD17" w14:textId="77777777" w:rsidR="006A3A06" w:rsidRPr="0018314E" w:rsidRDefault="006A3A06" w:rsidP="006A3A06">
      <w:pPr>
        <w:pStyle w:val="12"/>
        <w:spacing w:line="360" w:lineRule="auto"/>
        <w:ind w:left="720"/>
        <w:jc w:val="both"/>
        <w:rPr>
          <w:b w:val="0"/>
          <w:bCs w:val="0"/>
          <w:u w:val="none"/>
          <w:rtl/>
        </w:rPr>
      </w:pPr>
    </w:p>
    <w:p w14:paraId="1BE7A2E9" w14:textId="77777777" w:rsidR="006A3A06" w:rsidRDefault="006A3A06" w:rsidP="006A3A06">
      <w:pPr>
        <w:pStyle w:val="12"/>
        <w:spacing w:line="360" w:lineRule="auto"/>
        <w:ind w:left="720" w:hanging="720"/>
        <w:jc w:val="both"/>
        <w:rPr>
          <w:b w:val="0"/>
          <w:bCs w:val="0"/>
          <w:u w:val="none"/>
          <w:rtl/>
        </w:rPr>
      </w:pPr>
      <w:r>
        <w:rPr>
          <w:rFonts w:hint="cs"/>
          <w:b w:val="0"/>
          <w:bCs w:val="0"/>
          <w:u w:val="none"/>
          <w:rtl/>
        </w:rPr>
        <w:t>14.</w:t>
      </w:r>
      <w:r>
        <w:rPr>
          <w:rFonts w:hint="cs"/>
          <w:b w:val="0"/>
          <w:bCs w:val="0"/>
          <w:u w:val="none"/>
          <w:rtl/>
        </w:rPr>
        <w:tab/>
        <w:t>הנאשם בדברו האחרון הביע חרטה על מעשיו, תיאר את ילדותו הנורמטיבית ואת המהפך שהתרחש בחייו נוכח תאונת הדרכים שעבר. הנאשם תיאר כי הוא נוטל גם היום טיפול תרופתי פסיכיאטרי עם תופעות לוואי. לעניין המעשים, ציין הנאשם את הדברים הבאים: "</w:t>
      </w:r>
      <w:r>
        <w:rPr>
          <w:rFonts w:hint="cs"/>
          <w:u w:val="none"/>
          <w:rtl/>
        </w:rPr>
        <w:t xml:space="preserve">עשיתי דברים מופרעים. זה התחיל בתור מן משחק, אתגר, ואחרי שהשתחררתי מהאשפוז הייתי במצב נפשי קשה מאוד, פוטרתי מהעובדה ואז התחלתי להתדרדר ולאבד שליטה. התייחסתי לכל זה כמעין משחק שבו אני מצליח ומנצח </w:t>
      </w:r>
      <w:r>
        <w:rPr>
          <w:u w:val="none"/>
          <w:rtl/>
        </w:rPr>
        <w:t>–</w:t>
      </w:r>
      <w:r>
        <w:rPr>
          <w:rFonts w:hint="cs"/>
          <w:u w:val="none"/>
          <w:rtl/>
        </w:rPr>
        <w:t xml:space="preserve"> זה נתן לי תחושה שאני מסוגל להצליח למרות כל מה שעברתי. לא עשיתי את זה בשביל להתעשר או בשביל בצע כסף. לא היה חסר לי כלום </w:t>
      </w:r>
      <w:r>
        <w:rPr>
          <w:u w:val="none"/>
          <w:rtl/>
        </w:rPr>
        <w:t>–</w:t>
      </w:r>
      <w:r>
        <w:rPr>
          <w:rFonts w:hint="cs"/>
          <w:u w:val="none"/>
          <w:rtl/>
        </w:rPr>
        <w:t xml:space="preserve"> חיינו חיים צנועים בדירה שכורה קטנה בתל-אביב. אני תמיד עבדתי בהייטק והרווחתי יפה</w:t>
      </w:r>
      <w:r>
        <w:rPr>
          <w:rFonts w:hint="cs"/>
          <w:b w:val="0"/>
          <w:bCs w:val="0"/>
          <w:u w:val="none"/>
          <w:rtl/>
        </w:rPr>
        <w:t xml:space="preserve">". הנאשם ציין כי כתוצאה ממעשיו, חסכונותיו וכספיו ירדו לטימיון, והוא משלם את חובו לרשויות המס, וחווה חוויות קשות בין כתלי בית המעצר. </w:t>
      </w:r>
    </w:p>
    <w:p w14:paraId="2061792C" w14:textId="77777777" w:rsidR="006A3A06" w:rsidRDefault="006A3A06" w:rsidP="006A3A06">
      <w:pPr>
        <w:pStyle w:val="12"/>
        <w:spacing w:line="360" w:lineRule="auto"/>
        <w:ind w:left="720" w:hanging="720"/>
        <w:jc w:val="both"/>
        <w:rPr>
          <w:b w:val="0"/>
          <w:bCs w:val="0"/>
          <w:u w:val="none"/>
          <w:rtl/>
        </w:rPr>
      </w:pPr>
    </w:p>
    <w:p w14:paraId="56724D1F" w14:textId="77777777" w:rsidR="006A3A06" w:rsidRPr="004D25F2" w:rsidRDefault="006A3A06" w:rsidP="006A3A06">
      <w:pPr>
        <w:pStyle w:val="12"/>
        <w:spacing w:line="360" w:lineRule="auto"/>
        <w:ind w:left="720" w:hanging="720"/>
        <w:jc w:val="both"/>
        <w:rPr>
          <w:b w:val="0"/>
          <w:bCs w:val="0"/>
          <w:u w:val="none"/>
          <w:rtl/>
        </w:rPr>
      </w:pPr>
      <w:r>
        <w:rPr>
          <w:b w:val="0"/>
          <w:bCs w:val="0"/>
          <w:u w:val="none"/>
          <w:rtl/>
        </w:rPr>
        <w:tab/>
      </w:r>
      <w:r>
        <w:rPr>
          <w:rFonts w:hint="cs"/>
          <w:b w:val="0"/>
          <w:bCs w:val="0"/>
          <w:rtl/>
        </w:rPr>
        <w:t>דיון והכרעה</w:t>
      </w:r>
    </w:p>
    <w:p w14:paraId="7A058AAE" w14:textId="77777777" w:rsidR="006A3A06" w:rsidRDefault="006A3A06" w:rsidP="006A3A06">
      <w:pPr>
        <w:pStyle w:val="12"/>
        <w:spacing w:line="360" w:lineRule="auto"/>
        <w:ind w:left="720"/>
        <w:jc w:val="both"/>
        <w:rPr>
          <w:b w:val="0"/>
          <w:bCs w:val="0"/>
          <w:u w:val="none"/>
          <w:rtl/>
        </w:rPr>
      </w:pPr>
    </w:p>
    <w:p w14:paraId="41A62F0B" w14:textId="77777777" w:rsidR="006A3A06" w:rsidRDefault="006A3A06" w:rsidP="006A3A06">
      <w:pPr>
        <w:pStyle w:val="12"/>
        <w:spacing w:line="360" w:lineRule="auto"/>
        <w:ind w:left="720" w:hanging="720"/>
        <w:jc w:val="both"/>
        <w:rPr>
          <w:b w:val="0"/>
          <w:bCs w:val="0"/>
          <w:u w:val="none"/>
          <w:rtl/>
        </w:rPr>
      </w:pPr>
      <w:r>
        <w:rPr>
          <w:rFonts w:hint="cs"/>
          <w:b w:val="0"/>
          <w:bCs w:val="0"/>
          <w:u w:val="none"/>
          <w:rtl/>
        </w:rPr>
        <w:t>15.</w:t>
      </w:r>
      <w:r>
        <w:rPr>
          <w:rFonts w:hint="cs"/>
          <w:b w:val="0"/>
          <w:bCs w:val="0"/>
          <w:u w:val="none"/>
          <w:rtl/>
        </w:rPr>
        <w:tab/>
        <w:t xml:space="preserve">רובם המכריע של תיקי עבריינות הסמים נוגעים בנגזרת אחת בלבד של שרשרת הסם, בין אם מדובר בנאשמים המעורבים בייבוא, ובין אם מדובר בנאשמים המעורבים בסחר או בהחזקת הסם. טענותיהם  של עברייני סמים, לפיהן בחרה המשטרה ללכוד אותם ולא את "סוחרי הסמים הגדולים" נשמעות חדשות לבקרים בבתי המשפט. כך, כאשר נתפס מי שמוכר סם לסוכן משטרתי, מועלית טענה כעניין שבשגרה, כי יש לראות בפעילותו כסוג של תיווך בין "סוחרי הסמים הגדולים" לבין הסוכן המשטרתי; כך כאשר נתפס מעורב בייבוא סמים לישראל, נטענות טענות לפיהן יש לראות את חלקו כ"בלדר פשוט" ולא כמוח העומד מאחורי הייבוא. </w:t>
      </w:r>
    </w:p>
    <w:p w14:paraId="1F67A053" w14:textId="77777777" w:rsidR="006A3A06" w:rsidRDefault="006A3A06" w:rsidP="006A3A06">
      <w:pPr>
        <w:pStyle w:val="12"/>
        <w:spacing w:line="360" w:lineRule="auto"/>
        <w:ind w:left="720" w:hanging="720"/>
        <w:jc w:val="both"/>
        <w:rPr>
          <w:b w:val="0"/>
          <w:bCs w:val="0"/>
          <w:u w:val="none"/>
          <w:rtl/>
        </w:rPr>
      </w:pPr>
    </w:p>
    <w:p w14:paraId="657E5622" w14:textId="77777777" w:rsidR="006A3A06" w:rsidRDefault="006A3A06" w:rsidP="006A3A06">
      <w:pPr>
        <w:pStyle w:val="12"/>
        <w:spacing w:line="360" w:lineRule="auto"/>
        <w:ind w:left="720"/>
        <w:jc w:val="both"/>
        <w:rPr>
          <w:b w:val="0"/>
          <w:bCs w:val="0"/>
          <w:u w:val="none"/>
          <w:rtl/>
        </w:rPr>
      </w:pPr>
      <w:r>
        <w:rPr>
          <w:rFonts w:hint="cs"/>
          <w:b w:val="0"/>
          <w:bCs w:val="0"/>
          <w:u w:val="none"/>
          <w:rtl/>
        </w:rPr>
        <w:t xml:space="preserve">במקרה דנן, </w:t>
      </w:r>
      <w:r w:rsidRPr="0047593A">
        <w:rPr>
          <w:rFonts w:hint="cs"/>
          <w:u w:val="none"/>
          <w:rtl/>
        </w:rPr>
        <w:t>ובאופן חריג ונדיר</w:t>
      </w:r>
      <w:r>
        <w:rPr>
          <w:rFonts w:hint="cs"/>
          <w:b w:val="0"/>
          <w:bCs w:val="0"/>
          <w:u w:val="none"/>
          <w:rtl/>
        </w:rPr>
        <w:t xml:space="preserve">, הצליחה המשטרה ללכוד מעורב בעבריינות סמים, אשר פעילותו משקפת את שרשרת עבירות הסם מתחילתה עד סופה. מיצירת קשר עם גורמים שונים בחו"ל, דרך בניית מערך מורכב של ייבוא הסמים לישראל, יצירת תשתית כלכלית לצורך ביצוע התשלומים "מתחת לרדאר" של רשויות החוק, ובהמשך - יצירת תשתית בעזרתה נמכרו אותם סמים לסוחרי סמים "מקומיים" וישירות לצרכנים פרטיים. במידה מסוימת, ניתן לומר כי כאשר עושים שימוש במונח "שרשרת ייבוא והספקת הסם", ניתן לראות בנאשם ככזה המהווה את </w:t>
      </w:r>
      <w:r>
        <w:rPr>
          <w:rFonts w:hint="cs"/>
          <w:u w:val="none"/>
          <w:rtl/>
        </w:rPr>
        <w:t>"ראש הפירמידה" או את "</w:t>
      </w:r>
      <w:r w:rsidRPr="0047593A">
        <w:rPr>
          <w:rFonts w:hint="cs"/>
          <w:u w:val="none"/>
          <w:rtl/>
        </w:rPr>
        <w:t>כל החוליות בשרשרת</w:t>
      </w:r>
      <w:r>
        <w:rPr>
          <w:rFonts w:hint="cs"/>
          <w:u w:val="none"/>
          <w:rtl/>
        </w:rPr>
        <w:t>"</w:t>
      </w:r>
      <w:r>
        <w:rPr>
          <w:rFonts w:hint="cs"/>
          <w:b w:val="0"/>
          <w:bCs w:val="0"/>
          <w:u w:val="none"/>
          <w:rtl/>
        </w:rPr>
        <w:t xml:space="preserve">, ובמילים אחרות: גם כ"מוח" מאחורי התוכנית הפלילית המורכבת והמתוחכמת וגם כמי שתפעל את הזרוע הביצועית של אותה תכנית. </w:t>
      </w:r>
    </w:p>
    <w:p w14:paraId="3ABB4938" w14:textId="77777777" w:rsidR="006A3A06" w:rsidRDefault="006A3A06" w:rsidP="006A3A06">
      <w:pPr>
        <w:pStyle w:val="12"/>
        <w:spacing w:line="360" w:lineRule="auto"/>
        <w:ind w:left="720"/>
        <w:jc w:val="both"/>
        <w:rPr>
          <w:b w:val="0"/>
          <w:bCs w:val="0"/>
          <w:u w:val="none"/>
          <w:rtl/>
        </w:rPr>
      </w:pPr>
    </w:p>
    <w:p w14:paraId="3DF4AE47" w14:textId="77777777" w:rsidR="006A3A06" w:rsidRDefault="006A3A06" w:rsidP="006A3A06">
      <w:pPr>
        <w:pStyle w:val="12"/>
        <w:spacing w:line="360" w:lineRule="auto"/>
        <w:ind w:left="720"/>
        <w:jc w:val="both"/>
        <w:rPr>
          <w:b w:val="0"/>
          <w:bCs w:val="0"/>
          <w:u w:val="none"/>
          <w:rtl/>
        </w:rPr>
      </w:pPr>
      <w:r>
        <w:rPr>
          <w:rFonts w:hint="cs"/>
          <w:b w:val="0"/>
          <w:bCs w:val="0"/>
          <w:u w:val="none"/>
          <w:rtl/>
        </w:rPr>
        <w:t xml:space="preserve">במסגרת גזר הדין שניתן בעניינה של דיאנה, עמדתי על מגוון הערכים המוגנים שנפגעו כתוצאה מעבירות הסמים, ועל כן לא ראיתי לפרטם, פעם נוספת, בהרחבה. אסתפק בכך שאציין כי מדובר בעבירות המשליכות על בריאות הציבור, משפיעות על שכבות רחבות באוכלוסייה ו"מניעות" תחומי עבריינות נוספים, כגון עבריינות רכוש. </w:t>
      </w:r>
    </w:p>
    <w:p w14:paraId="6ECEB7D3" w14:textId="77777777" w:rsidR="006A3A06" w:rsidRDefault="006A3A06" w:rsidP="006A3A06">
      <w:pPr>
        <w:pStyle w:val="12"/>
        <w:spacing w:line="360" w:lineRule="auto"/>
        <w:ind w:left="720"/>
        <w:jc w:val="both"/>
        <w:rPr>
          <w:b w:val="0"/>
          <w:bCs w:val="0"/>
          <w:u w:val="none"/>
          <w:rtl/>
        </w:rPr>
      </w:pPr>
    </w:p>
    <w:p w14:paraId="0B6F1849" w14:textId="77777777" w:rsidR="006A3A06" w:rsidRDefault="006A3A06" w:rsidP="006A3A06">
      <w:pPr>
        <w:pStyle w:val="12"/>
        <w:spacing w:line="360" w:lineRule="auto"/>
        <w:ind w:left="720" w:hanging="720"/>
        <w:jc w:val="both"/>
        <w:rPr>
          <w:b w:val="0"/>
          <w:bCs w:val="0"/>
          <w:u w:val="none"/>
          <w:rtl/>
        </w:rPr>
      </w:pPr>
      <w:r>
        <w:rPr>
          <w:rFonts w:hint="cs"/>
          <w:b w:val="0"/>
          <w:bCs w:val="0"/>
          <w:u w:val="none"/>
          <w:rtl/>
        </w:rPr>
        <w:t>16.</w:t>
      </w:r>
      <w:r>
        <w:rPr>
          <w:rFonts w:hint="cs"/>
          <w:b w:val="0"/>
          <w:bCs w:val="0"/>
          <w:u w:val="none"/>
          <w:rtl/>
        </w:rPr>
        <w:tab/>
        <w:t>הדברים שפורטו לעיל, הם בבחינת "נקודת מוצא" לקביעת  מתחם העונש ההולם, כאשר לשיטתי, יש לקבוע מתחם אחד לכלל מעשיו של הנאשם, אשר עומדים במובהק במבחן הקשר ההדוק, כפי שנקבע בפסיקת בית המשפט העליון [</w:t>
      </w:r>
      <w:hyperlink r:id="rId33" w:history="1">
        <w:r w:rsidR="00D531AD" w:rsidRPr="00D531AD">
          <w:rPr>
            <w:b w:val="0"/>
            <w:bCs w:val="0"/>
            <w:color w:val="0000FF"/>
            <w:rtl/>
          </w:rPr>
          <w:t>ע"פ 4910/13</w:t>
        </w:r>
      </w:hyperlink>
      <w:r>
        <w:rPr>
          <w:rFonts w:hint="cs"/>
          <w:b w:val="0"/>
          <w:bCs w:val="0"/>
          <w:u w:val="none"/>
          <w:rtl/>
        </w:rPr>
        <w:t xml:space="preserve"> </w:t>
      </w:r>
      <w:r>
        <w:rPr>
          <w:rFonts w:hint="cs"/>
          <w:u w:val="none"/>
          <w:rtl/>
        </w:rPr>
        <w:t xml:space="preserve">ג'אבר נ' מדינת ישראל </w:t>
      </w:r>
      <w:r>
        <w:rPr>
          <w:rFonts w:hint="cs"/>
          <w:b w:val="0"/>
          <w:bCs w:val="0"/>
          <w:u w:val="none"/>
          <w:rtl/>
        </w:rPr>
        <w:t xml:space="preserve">(29.10.2014)]. </w:t>
      </w:r>
    </w:p>
    <w:p w14:paraId="40035B19" w14:textId="77777777" w:rsidR="006A3A06" w:rsidRDefault="006A3A06" w:rsidP="006A3A06">
      <w:pPr>
        <w:pStyle w:val="12"/>
        <w:ind w:left="720" w:hanging="720"/>
        <w:jc w:val="both"/>
        <w:rPr>
          <w:b w:val="0"/>
          <w:bCs w:val="0"/>
          <w:u w:val="none"/>
          <w:rtl/>
        </w:rPr>
      </w:pPr>
    </w:p>
    <w:p w14:paraId="5BCA98DC" w14:textId="77777777" w:rsidR="006A3A06" w:rsidRDefault="006A3A06" w:rsidP="006A3A06">
      <w:pPr>
        <w:pStyle w:val="12"/>
        <w:spacing w:line="360" w:lineRule="auto"/>
        <w:ind w:left="720"/>
        <w:jc w:val="both"/>
        <w:rPr>
          <w:b w:val="0"/>
          <w:bCs w:val="0"/>
          <w:u w:val="none"/>
          <w:rtl/>
        </w:rPr>
      </w:pPr>
      <w:r>
        <w:rPr>
          <w:rFonts w:hint="cs"/>
          <w:b w:val="0"/>
          <w:bCs w:val="0"/>
          <w:u w:val="none"/>
          <w:rtl/>
        </w:rPr>
        <w:t>אעמוד כעת בתמצית על הנסיבות הקשורות בביצוע העבירה, המשפיעות על מתחם העונש ההולם, הגם שאלה פורטו באופן נרחב במסגרת תיאור כתב האישום המתוקן:</w:t>
      </w:r>
    </w:p>
    <w:p w14:paraId="06571468" w14:textId="77777777" w:rsidR="006A3A06" w:rsidRDefault="006A3A06" w:rsidP="006A3A06">
      <w:pPr>
        <w:pStyle w:val="12"/>
        <w:spacing w:line="360" w:lineRule="auto"/>
        <w:ind w:left="720" w:hanging="720"/>
        <w:jc w:val="both"/>
        <w:rPr>
          <w:b w:val="0"/>
          <w:bCs w:val="0"/>
          <w:u w:val="none"/>
          <w:rtl/>
        </w:rPr>
      </w:pPr>
    </w:p>
    <w:p w14:paraId="55B67D25" w14:textId="77777777" w:rsidR="006A3A06" w:rsidRDefault="006A3A06" w:rsidP="006A3A06">
      <w:pPr>
        <w:pStyle w:val="12"/>
        <w:spacing w:line="360" w:lineRule="auto"/>
        <w:ind w:left="720" w:hanging="720"/>
        <w:jc w:val="both"/>
        <w:rPr>
          <w:b w:val="0"/>
          <w:bCs w:val="0"/>
          <w:u w:val="none"/>
          <w:rtl/>
        </w:rPr>
      </w:pPr>
      <w:r>
        <w:rPr>
          <w:b w:val="0"/>
          <w:bCs w:val="0"/>
          <w:u w:val="none"/>
          <w:rtl/>
        </w:rPr>
        <w:tab/>
      </w:r>
      <w:r>
        <w:rPr>
          <w:rFonts w:hint="cs"/>
          <w:b w:val="0"/>
          <w:bCs w:val="0"/>
          <w:u w:val="none"/>
          <w:rtl/>
        </w:rPr>
        <w:t xml:space="preserve">דומני כי לא ניתן להפריז במידת התחכום והתכנון המקדים שאפיינו את מעשיו של הנאשם, כפי שאלה תוארו בכתב האישום המתוקן. אני מתקשה לחשוב על מערך ייבוא והפצה של סמים בעל היבטי תחכום רבים יותר מאלה שאפיינו את המערך שבנה הנאשם, במו ידיו. לצורך כך, נדרשת שליטה בכלים טכנולוגיים מגוונים, כמו גם ידע קונקרטי בתחום הסמים והאופן בו נכון להתנהל בתחומים עברייניים אלה על-מנת שלא להיחשף על-ידי המשטרה. </w:t>
      </w:r>
    </w:p>
    <w:p w14:paraId="54EBEA74" w14:textId="77777777" w:rsidR="006A3A06" w:rsidRDefault="006A3A06" w:rsidP="006A3A06">
      <w:pPr>
        <w:pStyle w:val="12"/>
        <w:spacing w:line="360" w:lineRule="auto"/>
        <w:ind w:left="720" w:hanging="720"/>
        <w:jc w:val="both"/>
        <w:rPr>
          <w:b w:val="0"/>
          <w:bCs w:val="0"/>
          <w:u w:val="none"/>
          <w:rtl/>
        </w:rPr>
      </w:pPr>
      <w:r>
        <w:rPr>
          <w:b w:val="0"/>
          <w:bCs w:val="0"/>
          <w:u w:val="none"/>
          <w:rtl/>
        </w:rPr>
        <w:tab/>
      </w:r>
      <w:r>
        <w:rPr>
          <w:rFonts w:hint="cs"/>
          <w:b w:val="0"/>
          <w:bCs w:val="0"/>
          <w:u w:val="none"/>
          <w:rtl/>
        </w:rPr>
        <w:t xml:space="preserve">גם פרק הזמן הממושך בו הפעיל הנאשם את התוכנית העבריינית הוא שונה באופן דרמטי מפרקי זמן קצרים ו"שגרתיים" בתיקי סמים. </w:t>
      </w:r>
    </w:p>
    <w:p w14:paraId="798E4133" w14:textId="77777777" w:rsidR="006A3A06" w:rsidRDefault="006A3A06" w:rsidP="006A3A06">
      <w:pPr>
        <w:pStyle w:val="12"/>
        <w:ind w:left="720" w:hanging="720"/>
        <w:jc w:val="both"/>
        <w:rPr>
          <w:b w:val="0"/>
          <w:bCs w:val="0"/>
          <w:u w:val="none"/>
          <w:rtl/>
        </w:rPr>
      </w:pPr>
    </w:p>
    <w:p w14:paraId="6168324B" w14:textId="77777777" w:rsidR="006A3A06" w:rsidRDefault="006A3A06" w:rsidP="006A3A06">
      <w:pPr>
        <w:pStyle w:val="12"/>
        <w:spacing w:line="360" w:lineRule="auto"/>
        <w:ind w:left="720" w:hanging="720"/>
        <w:jc w:val="both"/>
        <w:rPr>
          <w:b w:val="0"/>
          <w:bCs w:val="0"/>
          <w:u w:val="none"/>
          <w:rtl/>
        </w:rPr>
      </w:pPr>
      <w:r>
        <w:rPr>
          <w:b w:val="0"/>
          <w:bCs w:val="0"/>
          <w:u w:val="none"/>
          <w:rtl/>
        </w:rPr>
        <w:tab/>
      </w:r>
      <w:r>
        <w:rPr>
          <w:rFonts w:hint="cs"/>
          <w:b w:val="0"/>
          <w:bCs w:val="0"/>
          <w:u w:val="none"/>
          <w:rtl/>
        </w:rPr>
        <w:t xml:space="preserve">לצד התחכום, יש משקל משמעותי במסגרת המתחם גם לסוג הסמים שייבא הנאשם, ובענייננו, מדובר במגוון עצום של סמים בעלי השפעה קשה על המשתמשים בהם. </w:t>
      </w:r>
    </w:p>
    <w:p w14:paraId="755E4F52" w14:textId="77777777" w:rsidR="006A3A06" w:rsidRDefault="006A3A06" w:rsidP="006A3A06">
      <w:pPr>
        <w:pStyle w:val="12"/>
        <w:ind w:left="720" w:hanging="720"/>
        <w:jc w:val="both"/>
        <w:rPr>
          <w:b w:val="0"/>
          <w:bCs w:val="0"/>
          <w:u w:val="none"/>
          <w:rtl/>
        </w:rPr>
      </w:pPr>
    </w:p>
    <w:p w14:paraId="3E15E218" w14:textId="77777777" w:rsidR="006A3A06" w:rsidRDefault="006A3A06" w:rsidP="006A3A06">
      <w:pPr>
        <w:pStyle w:val="12"/>
        <w:spacing w:line="360" w:lineRule="auto"/>
        <w:ind w:left="720" w:hanging="720"/>
        <w:jc w:val="both"/>
        <w:rPr>
          <w:b w:val="0"/>
          <w:bCs w:val="0"/>
          <w:u w:val="none"/>
          <w:rtl/>
        </w:rPr>
      </w:pPr>
      <w:r>
        <w:rPr>
          <w:b w:val="0"/>
          <w:bCs w:val="0"/>
          <w:u w:val="none"/>
          <w:rtl/>
        </w:rPr>
        <w:tab/>
      </w:r>
      <w:r>
        <w:rPr>
          <w:rFonts w:hint="cs"/>
          <w:b w:val="0"/>
          <w:bCs w:val="0"/>
          <w:u w:val="none"/>
          <w:rtl/>
        </w:rPr>
        <w:t xml:space="preserve">כמות אירועי הייבוא בהם היה מעורב הנאשם, כ"אדון העבירה", היא עצומה, ועומדת על 58 אירועים, מתוכם 37 בצוותא עם דיאנה. אין בנמצא פסקי דין המשקפים כמות כה משמעותית של אירועי ייבוא, ודומה כי יש בכך כדי להמחיש את חומרתו יוצאת הדופן של כתב האישום המתוקן, ופעילותו העבריינית של הנאשם. </w:t>
      </w:r>
    </w:p>
    <w:p w14:paraId="688F7C5F" w14:textId="77777777" w:rsidR="006A3A06" w:rsidRDefault="006A3A06" w:rsidP="006A3A06">
      <w:pPr>
        <w:pStyle w:val="12"/>
        <w:spacing w:line="360" w:lineRule="auto"/>
        <w:ind w:left="720" w:hanging="720"/>
        <w:jc w:val="both"/>
        <w:rPr>
          <w:b w:val="0"/>
          <w:bCs w:val="0"/>
          <w:u w:val="none"/>
          <w:rtl/>
        </w:rPr>
      </w:pPr>
    </w:p>
    <w:p w14:paraId="63A3378E" w14:textId="77777777" w:rsidR="006A3A06" w:rsidRDefault="006A3A06" w:rsidP="006A3A06">
      <w:pPr>
        <w:pStyle w:val="12"/>
        <w:spacing w:line="360" w:lineRule="auto"/>
        <w:ind w:left="720" w:hanging="720"/>
        <w:jc w:val="both"/>
        <w:rPr>
          <w:b w:val="0"/>
          <w:bCs w:val="0"/>
          <w:u w:val="none"/>
          <w:rtl/>
        </w:rPr>
      </w:pPr>
      <w:r>
        <w:rPr>
          <w:b w:val="0"/>
          <w:bCs w:val="0"/>
          <w:u w:val="none"/>
          <w:rtl/>
        </w:rPr>
        <w:tab/>
      </w:r>
      <w:r>
        <w:rPr>
          <w:rFonts w:hint="cs"/>
          <w:b w:val="0"/>
          <w:bCs w:val="0"/>
          <w:u w:val="none"/>
          <w:rtl/>
        </w:rPr>
        <w:t xml:space="preserve">סכומי הכסף שהפיק הנאשם כתוצאה מהתנהלותו העבריינית הם סכומים משמעותיים ביותר (כ- 1,500,000 ₪) כאשר יש ליתן משקל גם לעבירות המס והלבנת ההון שביצע בהקשרים אלה. </w:t>
      </w:r>
    </w:p>
    <w:p w14:paraId="079723C6" w14:textId="77777777" w:rsidR="006A3A06" w:rsidRDefault="006A3A06" w:rsidP="006A3A06">
      <w:pPr>
        <w:pStyle w:val="12"/>
        <w:spacing w:line="360" w:lineRule="auto"/>
        <w:ind w:left="720" w:hanging="720"/>
        <w:jc w:val="both"/>
        <w:rPr>
          <w:b w:val="0"/>
          <w:bCs w:val="0"/>
          <w:u w:val="none"/>
          <w:rtl/>
        </w:rPr>
      </w:pPr>
    </w:p>
    <w:p w14:paraId="4C440698" w14:textId="77777777" w:rsidR="006A3A06" w:rsidRDefault="006A3A06" w:rsidP="006A3A06">
      <w:pPr>
        <w:pStyle w:val="12"/>
        <w:spacing w:line="360" w:lineRule="auto"/>
        <w:ind w:left="720" w:hanging="720"/>
        <w:jc w:val="both"/>
        <w:rPr>
          <w:b w:val="0"/>
          <w:bCs w:val="0"/>
          <w:u w:val="none"/>
          <w:rtl/>
        </w:rPr>
      </w:pPr>
      <w:r>
        <w:rPr>
          <w:b w:val="0"/>
          <w:bCs w:val="0"/>
          <w:u w:val="none"/>
          <w:rtl/>
        </w:rPr>
        <w:tab/>
      </w:r>
      <w:r>
        <w:rPr>
          <w:rFonts w:hint="cs"/>
          <w:b w:val="0"/>
          <w:bCs w:val="0"/>
          <w:u w:val="none"/>
          <w:rtl/>
        </w:rPr>
        <w:t xml:space="preserve">בחנתי את טענת הנאשם לפיה הדברים בוצעו כסוג של "אתגר איטלקטואלי", ועם כל ההבנה, אין בכך כדי להעלות או להוריד. על פניו, מדובר בעבירות סמים חמורות שבוצעו לטובת בצע כסף ולא לשם שמיים, ואם חש הנאשם גם תחושת "אתגר" שנלוותה למעשים, אין בה כדי להעלות או להוריד מחומרתם. </w:t>
      </w:r>
    </w:p>
    <w:p w14:paraId="68BDE0BD" w14:textId="77777777" w:rsidR="006A3A06" w:rsidRDefault="006A3A06" w:rsidP="006A3A06">
      <w:pPr>
        <w:pStyle w:val="12"/>
        <w:spacing w:line="360" w:lineRule="auto"/>
        <w:ind w:left="720" w:hanging="720"/>
        <w:jc w:val="both"/>
        <w:rPr>
          <w:b w:val="0"/>
          <w:bCs w:val="0"/>
          <w:u w:val="none"/>
          <w:rtl/>
        </w:rPr>
      </w:pPr>
    </w:p>
    <w:p w14:paraId="5763A599" w14:textId="77777777" w:rsidR="006A3A06" w:rsidRDefault="006A3A06" w:rsidP="006A3A06">
      <w:pPr>
        <w:pStyle w:val="12"/>
        <w:spacing w:line="360" w:lineRule="auto"/>
        <w:ind w:left="720" w:hanging="720"/>
        <w:jc w:val="both"/>
        <w:rPr>
          <w:b w:val="0"/>
          <w:bCs w:val="0"/>
          <w:u w:val="none"/>
          <w:rtl/>
        </w:rPr>
      </w:pPr>
      <w:r>
        <w:rPr>
          <w:rFonts w:hint="cs"/>
          <w:b w:val="0"/>
          <w:bCs w:val="0"/>
          <w:u w:val="none"/>
          <w:rtl/>
        </w:rPr>
        <w:t>17.</w:t>
      </w:r>
      <w:r>
        <w:rPr>
          <w:rFonts w:hint="cs"/>
          <w:b w:val="0"/>
          <w:bCs w:val="0"/>
          <w:u w:val="none"/>
          <w:rtl/>
        </w:rPr>
        <w:tab/>
        <w:t xml:space="preserve">בכל הנוגע למדיניות הענישה הנוהגת המהווה אף היא רכיב משמעותי במסגרת קביעת המתחם, אומר כי אין בנמצא מקרים המשקפים שילוב כה יוצא דופן של אישומי ייבוא יחד עם אישומי סחר, בהיקפים כאלה, ובמגוון כה עצום של סמים שונים, כאשר העבריין הנותן את הדין הוא ההוגה והמוציא לפועל של התוכנית העבריינית. אין בנמצא מקרים בהם הצליחה התביעה, לצד ליקוט ראיות ביחס לעבירות סמים חמורות, לגבש תשתית ראייתית ביחס לעבירות כלכליות והלבנת הון שבוצעו כחלק מהפעילות העבריינית בתחום הסמים. </w:t>
      </w:r>
    </w:p>
    <w:p w14:paraId="24D4D0DA" w14:textId="77777777" w:rsidR="006A3A06" w:rsidRDefault="006A3A06" w:rsidP="006A3A06">
      <w:pPr>
        <w:pStyle w:val="12"/>
        <w:spacing w:line="360" w:lineRule="auto"/>
        <w:ind w:left="720" w:hanging="720"/>
        <w:jc w:val="both"/>
        <w:rPr>
          <w:b w:val="0"/>
          <w:bCs w:val="0"/>
          <w:u w:val="none"/>
          <w:rtl/>
        </w:rPr>
      </w:pPr>
    </w:p>
    <w:p w14:paraId="135CEEC0" w14:textId="77777777" w:rsidR="006A3A06" w:rsidRDefault="006A3A06" w:rsidP="006A3A06">
      <w:pPr>
        <w:pStyle w:val="12"/>
        <w:spacing w:line="360" w:lineRule="auto"/>
        <w:ind w:left="720" w:hanging="720"/>
        <w:jc w:val="both"/>
        <w:rPr>
          <w:b w:val="0"/>
          <w:bCs w:val="0"/>
          <w:u w:val="none"/>
          <w:rtl/>
        </w:rPr>
      </w:pPr>
      <w:r>
        <w:rPr>
          <w:b w:val="0"/>
          <w:bCs w:val="0"/>
          <w:u w:val="none"/>
          <w:rtl/>
        </w:rPr>
        <w:tab/>
      </w:r>
      <w:r>
        <w:rPr>
          <w:rFonts w:hint="cs"/>
          <w:b w:val="0"/>
          <w:bCs w:val="0"/>
          <w:u w:val="none"/>
          <w:rtl/>
        </w:rPr>
        <w:t xml:space="preserve">במסגרת גזר הדין שניתן בעניינה של דיאנה, עמדתי על שורה של פסקי דין, מהם ביקשתי ללמוד על מדיניות הענישה הנוהגת, וראיתי להפנות לאותה סקירה, תוך הדגשה כי כל פסקי הדין שיאוזכרו משקפים אירועים בודדים וקלים באופן דרמטי מזה עליו הנאשם נותן את הדין.  </w:t>
      </w:r>
    </w:p>
    <w:p w14:paraId="6F3FEE06" w14:textId="77777777" w:rsidR="006A3A06" w:rsidRDefault="006A3A06" w:rsidP="006A3A06">
      <w:pPr>
        <w:spacing w:before="240" w:after="240" w:line="360" w:lineRule="auto"/>
        <w:ind w:left="720"/>
        <w:jc w:val="both"/>
        <w:rPr>
          <w:u w:val="single"/>
        </w:rPr>
      </w:pPr>
      <w:r>
        <w:rPr>
          <w:u w:val="single"/>
          <w:rtl/>
        </w:rPr>
        <w:t>אירועי ייבוא</w:t>
      </w:r>
    </w:p>
    <w:p w14:paraId="029B57D1" w14:textId="77777777" w:rsidR="006A3A06" w:rsidRDefault="00D531AD" w:rsidP="006A3A06">
      <w:pPr>
        <w:spacing w:line="360" w:lineRule="auto"/>
        <w:ind w:left="720"/>
        <w:jc w:val="both"/>
        <w:rPr>
          <w:rtl/>
        </w:rPr>
      </w:pPr>
      <w:hyperlink r:id="rId34" w:history="1">
        <w:r w:rsidRPr="00D531AD">
          <w:rPr>
            <w:color w:val="0000FF"/>
            <w:u w:val="single"/>
            <w:rtl/>
          </w:rPr>
          <w:t>ע"פ 7757/21</w:t>
        </w:r>
      </w:hyperlink>
      <w:r w:rsidR="006A3A06">
        <w:rPr>
          <w:rtl/>
        </w:rPr>
        <w:t xml:space="preserve"> </w:t>
      </w:r>
      <w:r w:rsidR="006A3A06">
        <w:rPr>
          <w:b/>
          <w:bCs/>
          <w:rtl/>
        </w:rPr>
        <w:t>מרזוקי נ'</w:t>
      </w:r>
      <w:r w:rsidR="006A3A06">
        <w:rPr>
          <w:rtl/>
        </w:rPr>
        <w:t xml:space="preserve"> </w:t>
      </w:r>
      <w:r w:rsidR="006A3A06">
        <w:rPr>
          <w:b/>
          <w:bCs/>
          <w:rtl/>
        </w:rPr>
        <w:t xml:space="preserve">מדינת ישראל </w:t>
      </w:r>
      <w:r w:rsidR="006A3A06">
        <w:rPr>
          <w:rtl/>
        </w:rPr>
        <w:t xml:space="preserve">(24.5.2022) – המערער הורשע על יסוד הודאתו במסגרת הסדר טיעון בייבוא סם מסוכן מסוג מתאמפטמין במשקל של 2.975 ק"ג בצוותא ובעבירה של שיבוש מהלכי משפט, בכך שהציע לאחר לייבא עבורו סם מסוכן ותיאם עבורו את הקשר עם הגורם בחו"ל, ובהמשך כמי שעבד באותה העת כמתרגם במשטרה לשפה התאית, שיבש את מהלך החקירה. בית המשפט המחוזי קבע </w:t>
      </w:r>
      <w:r w:rsidR="006A3A06">
        <w:rPr>
          <w:b/>
          <w:bCs/>
          <w:rtl/>
        </w:rPr>
        <w:t>מתחם שנע בין 28 ל-40 חודשי מאסר</w:t>
      </w:r>
      <w:r w:rsidR="006A3A06">
        <w:rPr>
          <w:rtl/>
        </w:rPr>
        <w:t xml:space="preserve"> וגזר על המערער 28 חודשי מאסר לצד ענישה נלווית. ערעורו על חומרת גזר הדין נדחה בבית המשפט העליון.</w:t>
      </w:r>
    </w:p>
    <w:p w14:paraId="1C849551" w14:textId="77777777" w:rsidR="006A3A06" w:rsidRDefault="006A3A06" w:rsidP="006A3A06">
      <w:pPr>
        <w:spacing w:line="360" w:lineRule="auto"/>
        <w:ind w:left="720"/>
        <w:jc w:val="both"/>
        <w:rPr>
          <w:rtl/>
        </w:rPr>
      </w:pPr>
    </w:p>
    <w:p w14:paraId="2560F43C" w14:textId="77777777" w:rsidR="006A3A06" w:rsidRDefault="006A3A06" w:rsidP="006A3A06">
      <w:pPr>
        <w:spacing w:line="360" w:lineRule="auto"/>
        <w:ind w:left="720"/>
        <w:jc w:val="both"/>
        <w:rPr>
          <w:rtl/>
        </w:rPr>
      </w:pPr>
    </w:p>
    <w:p w14:paraId="138667EF" w14:textId="77777777" w:rsidR="006A3A06" w:rsidRDefault="00D531AD" w:rsidP="006A3A06">
      <w:pPr>
        <w:spacing w:line="360" w:lineRule="auto"/>
        <w:ind w:left="720"/>
        <w:jc w:val="both"/>
        <w:rPr>
          <w:rtl/>
        </w:rPr>
      </w:pPr>
      <w:hyperlink r:id="rId35" w:history="1">
        <w:r w:rsidRPr="00D531AD">
          <w:rPr>
            <w:color w:val="0000FF"/>
            <w:u w:val="single"/>
            <w:rtl/>
          </w:rPr>
          <w:t>ע"פ 4838/20</w:t>
        </w:r>
      </w:hyperlink>
      <w:r w:rsidR="006A3A06">
        <w:rPr>
          <w:rtl/>
        </w:rPr>
        <w:t xml:space="preserve"> </w:t>
      </w:r>
      <w:r w:rsidR="006A3A06">
        <w:rPr>
          <w:b/>
          <w:bCs/>
          <w:rtl/>
        </w:rPr>
        <w:t>אברמסון נ' מדינת ישראל</w:t>
      </w:r>
      <w:r w:rsidR="006A3A06">
        <w:rPr>
          <w:rtl/>
        </w:rPr>
        <w:t xml:space="preserve"> (15.8.2021) – המערערת הורשעה בעבירות של קשירת קשר, ייבוא סמים, החזקה וניסיון להחזקת סם מסכן שלא לצריכה עצמית ושימוש במסמך מזויף, בכך שקשרה קשר </w:t>
      </w:r>
      <w:r w:rsidR="006A3A06">
        <w:rPr>
          <w:rFonts w:ascii="David" w:hAnsi="David"/>
          <w:rtl/>
        </w:rPr>
        <w:t xml:space="preserve">עם גורמים בהולנד במטרה שישלחו לה באמצעות הדואר חבילות עם סמים מסוכנים, בכמות כוללת של מעל ל-3,000 טבליות סם מסוכן (ברובם מסוג </w:t>
      </w:r>
      <w:r w:rsidR="006A3A06">
        <w:rPr>
          <w:rFonts w:ascii="David" w:hAnsi="David"/>
        </w:rPr>
        <w:t>MDMA</w:t>
      </w:r>
      <w:r w:rsidR="006A3A06">
        <w:rPr>
          <w:rFonts w:ascii="David" w:hAnsi="David"/>
          <w:rtl/>
        </w:rPr>
        <w:t xml:space="preserve">). בית המשפט המחוזי קבע </w:t>
      </w:r>
      <w:r w:rsidR="006A3A06">
        <w:rPr>
          <w:rFonts w:ascii="David" w:hAnsi="David"/>
          <w:b/>
          <w:bCs/>
          <w:rtl/>
        </w:rPr>
        <w:t>מתחם הנע בין 24 ל-60 חודשי מאסר</w:t>
      </w:r>
      <w:r w:rsidR="006A3A06">
        <w:rPr>
          <w:rtl/>
        </w:rPr>
        <w:t>, בוחר שלא לחרוג מהמתחם מטעמי שיקום וגוזר על המערערת עונש של 24 חודשי מאסר לצד ענישה נלווית. ערעור על חומרת גזר הדין נדחה.</w:t>
      </w:r>
    </w:p>
    <w:p w14:paraId="264DEFE7" w14:textId="77777777" w:rsidR="006A3A06" w:rsidRDefault="006A3A06" w:rsidP="006A3A06">
      <w:pPr>
        <w:spacing w:line="360" w:lineRule="auto"/>
        <w:ind w:left="720"/>
        <w:jc w:val="both"/>
        <w:rPr>
          <w:rtl/>
        </w:rPr>
      </w:pPr>
    </w:p>
    <w:p w14:paraId="16F92D9D" w14:textId="77777777" w:rsidR="006A3A06" w:rsidRDefault="00D531AD" w:rsidP="006A3A06">
      <w:pPr>
        <w:spacing w:line="360" w:lineRule="auto"/>
        <w:ind w:left="720"/>
        <w:jc w:val="both"/>
        <w:rPr>
          <w:rtl/>
        </w:rPr>
      </w:pPr>
      <w:hyperlink r:id="rId36" w:history="1">
        <w:r w:rsidRPr="00D531AD">
          <w:rPr>
            <w:color w:val="0000FF"/>
            <w:u w:val="single"/>
            <w:rtl/>
          </w:rPr>
          <w:t>ע"פ 4536/21</w:t>
        </w:r>
      </w:hyperlink>
      <w:r w:rsidR="006A3A06">
        <w:rPr>
          <w:rtl/>
        </w:rPr>
        <w:t xml:space="preserve"> </w:t>
      </w:r>
      <w:r w:rsidR="006A3A06">
        <w:rPr>
          <w:b/>
          <w:bCs/>
          <w:rtl/>
        </w:rPr>
        <w:t>פרץ נ' מדינת ישראל</w:t>
      </w:r>
      <w:r w:rsidR="006A3A06">
        <w:rPr>
          <w:rtl/>
        </w:rPr>
        <w:t xml:space="preserve"> (4.11.2021) – המערער הורשע בעבירות של קשירת קשר לביצוע פשע וייבוא סם מסוכן בצוותא בכך שייבא סם מסוכן מסוג מתאמפטמין במשקל כולל של 1.8 ק"ג, באמצעות חבילות דואר. בית המשפט המחוזי קבע </w:t>
      </w:r>
      <w:r w:rsidR="006A3A06">
        <w:rPr>
          <w:b/>
          <w:bCs/>
          <w:rtl/>
        </w:rPr>
        <w:t>מתחם שנע בין 21 ל-48 חודשי מאסר</w:t>
      </w:r>
      <w:r w:rsidR="006A3A06">
        <w:rPr>
          <w:rtl/>
        </w:rPr>
        <w:t>, וגזר על המערער, תוך "חריגה מינורית" 16 חודשי מאסר לצד ענישה נלווית. ערעורו על חומרת העונש נדחה.</w:t>
      </w:r>
    </w:p>
    <w:p w14:paraId="70579874" w14:textId="77777777" w:rsidR="006A3A06" w:rsidRDefault="006A3A06" w:rsidP="006A3A06">
      <w:pPr>
        <w:spacing w:line="360" w:lineRule="auto"/>
        <w:ind w:left="720"/>
        <w:jc w:val="both"/>
        <w:rPr>
          <w:rtl/>
        </w:rPr>
      </w:pPr>
    </w:p>
    <w:p w14:paraId="6B8091B9" w14:textId="77777777" w:rsidR="006A3A06" w:rsidRDefault="00D531AD" w:rsidP="006A3A06">
      <w:pPr>
        <w:spacing w:line="360" w:lineRule="auto"/>
        <w:ind w:left="720"/>
        <w:jc w:val="both"/>
        <w:rPr>
          <w:rtl/>
        </w:rPr>
      </w:pPr>
      <w:hyperlink r:id="rId37" w:history="1">
        <w:r w:rsidRPr="00D531AD">
          <w:rPr>
            <w:color w:val="0000FF"/>
            <w:u w:val="single"/>
            <w:rtl/>
          </w:rPr>
          <w:t>ת"פ 37958-02-19</w:t>
        </w:r>
      </w:hyperlink>
      <w:r w:rsidR="006A3A06">
        <w:rPr>
          <w:rtl/>
        </w:rPr>
        <w:t xml:space="preserve"> (מחוזי י-ם)</w:t>
      </w:r>
      <w:r w:rsidR="006A3A06">
        <w:rPr>
          <w:b/>
          <w:bCs/>
          <w:rtl/>
        </w:rPr>
        <w:t xml:space="preserve"> מדינת ישראל נ' וינברג </w:t>
      </w:r>
      <w:r w:rsidR="006A3A06">
        <w:rPr>
          <w:rtl/>
        </w:rPr>
        <w:t xml:space="preserve">(11.2.2021) – הנאשם הורשע על יסוד הודאתו במסגרת הסדר טיעון בביצוע עבירה של ייבוא סם מסוכן, בכך שקשר קשר עם אחרים, נסע לאודסה וקיבל שם סם מסוכן מסוג </w:t>
      </w:r>
      <w:r w:rsidR="006A3A06">
        <w:t>MDMA</w:t>
      </w:r>
      <w:r w:rsidR="006A3A06">
        <w:rPr>
          <w:rtl/>
        </w:rPr>
        <w:t xml:space="preserve"> במשקל נטו של כ-5 ק"ג והעביר אותו לישראל כשהוא מוסלק בתוך מזוודה. בית המשפט קבע </w:t>
      </w:r>
      <w:r w:rsidR="006A3A06">
        <w:rPr>
          <w:b/>
          <w:bCs/>
          <w:rtl/>
        </w:rPr>
        <w:t>מתחם שנע בין 24 ל-40 חודשי מאסר</w:t>
      </w:r>
      <w:r w:rsidR="006A3A06">
        <w:rPr>
          <w:rtl/>
        </w:rPr>
        <w:t>, וחרג מהמתחם מטעמי שיקום, תוך העמדת העונש על 6 חודשי מאסר על תנאי.</w:t>
      </w:r>
    </w:p>
    <w:p w14:paraId="3E636283" w14:textId="77777777" w:rsidR="006A3A06" w:rsidRDefault="006A3A06" w:rsidP="006A3A06">
      <w:pPr>
        <w:spacing w:line="360" w:lineRule="auto"/>
        <w:ind w:left="720"/>
        <w:jc w:val="both"/>
        <w:rPr>
          <w:rtl/>
        </w:rPr>
      </w:pPr>
    </w:p>
    <w:p w14:paraId="05C7229F" w14:textId="77777777" w:rsidR="006A3A06" w:rsidRDefault="00D531AD" w:rsidP="006A3A06">
      <w:pPr>
        <w:spacing w:line="360" w:lineRule="auto"/>
        <w:ind w:left="720"/>
        <w:jc w:val="both"/>
        <w:rPr>
          <w:rtl/>
        </w:rPr>
      </w:pPr>
      <w:hyperlink r:id="rId38" w:history="1">
        <w:r w:rsidRPr="00D531AD">
          <w:rPr>
            <w:color w:val="0000FF"/>
            <w:u w:val="single"/>
            <w:rtl/>
          </w:rPr>
          <w:t>ת"פ 11720-07-16</w:t>
        </w:r>
      </w:hyperlink>
      <w:r w:rsidR="006A3A06">
        <w:rPr>
          <w:rtl/>
        </w:rPr>
        <w:t xml:space="preserve"> (מחוזי מרכז) </w:t>
      </w:r>
      <w:r w:rsidR="006A3A06">
        <w:rPr>
          <w:b/>
          <w:bCs/>
          <w:rtl/>
        </w:rPr>
        <w:t xml:space="preserve">מדינת ישראל נ' אלזס </w:t>
      </w:r>
      <w:r w:rsidR="006A3A06">
        <w:rPr>
          <w:rtl/>
        </w:rPr>
        <w:t>(8.2.2021) – הנאשם הורשע בעבירה של ייבוא סם מסוכן</w:t>
      </w:r>
      <w:r w:rsidR="006A3A06">
        <w:rPr>
          <w:rFonts w:ascii="David" w:hAnsi="David"/>
          <w:rtl/>
        </w:rPr>
        <w:t xml:space="preserve">, בכך שתיאם בין שני אחרים את הבאתה של מזוודה מברלין לישראל, הנחה אותם כיצד לתקשר אחד עם השני וסיפק להם כרטיסי טיסה וכספים. האחרים העבירו ביניהם מזוודה שהכילה 13,139 טבליות </w:t>
      </w:r>
      <w:r w:rsidR="006A3A06">
        <w:rPr>
          <w:rFonts w:ascii="David" w:hAnsi="David"/>
        </w:rPr>
        <w:t>MDMA</w:t>
      </w:r>
      <w:r w:rsidR="006A3A06">
        <w:rPr>
          <w:rFonts w:ascii="David" w:hAnsi="David"/>
          <w:rtl/>
        </w:rPr>
        <w:t xml:space="preserve"> וכן אבקת סם </w:t>
      </w:r>
      <w:r w:rsidR="006A3A06">
        <w:rPr>
          <w:rFonts w:ascii="David" w:hAnsi="David"/>
        </w:rPr>
        <w:t>MDMA</w:t>
      </w:r>
      <w:r w:rsidR="006A3A06">
        <w:rPr>
          <w:rFonts w:ascii="David" w:hAnsi="David"/>
          <w:rtl/>
        </w:rPr>
        <w:t xml:space="preserve"> במשקל של 1.3 ק"ג נטו. אחד האחרים נתפס בשיקוף בשדה התעופה תוך שהוא מעדכן את הנאשם על כך. בית המשפט קבע </w:t>
      </w:r>
      <w:r w:rsidR="006A3A06">
        <w:rPr>
          <w:rFonts w:ascii="David" w:hAnsi="David"/>
          <w:b/>
          <w:bCs/>
          <w:rtl/>
        </w:rPr>
        <w:t>מתחם שנע בין 24 ל-42 חודשי מאסר</w:t>
      </w:r>
      <w:r w:rsidR="006A3A06">
        <w:rPr>
          <w:rFonts w:ascii="David" w:hAnsi="David"/>
          <w:rtl/>
        </w:rPr>
        <w:t xml:space="preserve"> והטיל עליו</w:t>
      </w:r>
      <w:r w:rsidR="006A3A06">
        <w:rPr>
          <w:rtl/>
        </w:rPr>
        <w:t xml:space="preserve"> עונש, בחריגה מטעמי שיקום, של 18 חודשי מאסר לצד ענישה נלווית. ערעור על גזר הדין (</w:t>
      </w:r>
      <w:hyperlink r:id="rId39" w:history="1">
        <w:r w:rsidRPr="00D531AD">
          <w:rPr>
            <w:color w:val="0000FF"/>
            <w:u w:val="single"/>
            <w:rtl/>
          </w:rPr>
          <w:t>ע"פ 2038/21</w:t>
        </w:r>
      </w:hyperlink>
      <w:r w:rsidR="006A3A06">
        <w:rPr>
          <w:rtl/>
        </w:rPr>
        <w:t xml:space="preserve">) התקבל בהסכמה והעונש הועמד על 11 חודשי מאסר בפועל. </w:t>
      </w:r>
    </w:p>
    <w:p w14:paraId="4387D7DF" w14:textId="77777777" w:rsidR="006A3A06" w:rsidRDefault="006A3A06" w:rsidP="006A3A06">
      <w:pPr>
        <w:spacing w:line="360" w:lineRule="auto"/>
        <w:ind w:left="720"/>
        <w:jc w:val="both"/>
      </w:pPr>
    </w:p>
    <w:p w14:paraId="4D7162FF" w14:textId="77777777" w:rsidR="006A3A06" w:rsidRDefault="00D531AD" w:rsidP="006A3A06">
      <w:pPr>
        <w:spacing w:line="360" w:lineRule="auto"/>
        <w:ind w:left="720"/>
        <w:jc w:val="both"/>
        <w:rPr>
          <w:rtl/>
        </w:rPr>
      </w:pPr>
      <w:hyperlink r:id="rId40" w:history="1">
        <w:r w:rsidRPr="00D531AD">
          <w:rPr>
            <w:color w:val="0000FF"/>
            <w:u w:val="single"/>
            <w:rtl/>
          </w:rPr>
          <w:t>ת"פ  17157-12-17</w:t>
        </w:r>
      </w:hyperlink>
      <w:r w:rsidR="006A3A06">
        <w:rPr>
          <w:rtl/>
        </w:rPr>
        <w:t xml:space="preserve"> (מחוזי מרכז) </w:t>
      </w:r>
      <w:r w:rsidR="006A3A06">
        <w:rPr>
          <w:b/>
          <w:bCs/>
          <w:rtl/>
        </w:rPr>
        <w:t xml:space="preserve">מדינת ישראל נ' אורן ואח' </w:t>
      </w:r>
      <w:r w:rsidR="006A3A06">
        <w:rPr>
          <w:rtl/>
        </w:rPr>
        <w:t xml:space="preserve">(11.9.2019) – הנאשם 1 הורשע בשתי עבירות של ייבוא סם מסוכן בכך שפנה לנאשמת 3 והציע לה לטוס אל נאשם 2 שנמצא באמסטרדם ולהביא לישראל מזוודה בעלת </w:t>
      </w:r>
      <w:r w:rsidR="006A3A06">
        <w:rPr>
          <w:rFonts w:ascii="David" w:hAnsi="David"/>
          <w:rtl/>
        </w:rPr>
        <w:t xml:space="preserve">דופן כפולה המכילה סם מסוכן מסוג </w:t>
      </w:r>
      <w:r w:rsidR="006A3A06">
        <w:rPr>
          <w:rFonts w:ascii="David" w:hAnsi="David"/>
        </w:rPr>
        <w:t>MDMA</w:t>
      </w:r>
      <w:r w:rsidR="006A3A06">
        <w:rPr>
          <w:rFonts w:ascii="David" w:hAnsi="David"/>
          <w:rtl/>
        </w:rPr>
        <w:t xml:space="preserve">, סייע לנאשמת 3 ברכישת כרטיסי טיסה ובהמרת מטבע זר, וכן תשלום בסך 15,000 ₪ עבורה וארנק המכיל סכום לא ידוע של כסף עבור נאשם 2. בסך הכל ייבא נאשם 1 בסיועם של נאשמים 2-3 כמות של מעל 10 ק"ג סם מסוכן. בית המשפט קבע </w:t>
      </w:r>
      <w:r w:rsidR="006A3A06">
        <w:rPr>
          <w:rFonts w:ascii="David" w:hAnsi="David"/>
          <w:b/>
          <w:bCs/>
          <w:rtl/>
        </w:rPr>
        <w:t>מתחם שנע בין 4.5 ל-7 שנות מאסר</w:t>
      </w:r>
      <w:r w:rsidR="006A3A06">
        <w:rPr>
          <w:rFonts w:ascii="David" w:hAnsi="David"/>
          <w:rtl/>
        </w:rPr>
        <w:t xml:space="preserve"> וגזר על נאשם 1 42 חודשי מאסר</w:t>
      </w:r>
      <w:r w:rsidR="006A3A06">
        <w:rPr>
          <w:rtl/>
        </w:rPr>
        <w:t>, בחריגה מהמתחם מטעמי שיקום.</w:t>
      </w:r>
    </w:p>
    <w:p w14:paraId="11EFBA70" w14:textId="77777777" w:rsidR="006A3A06" w:rsidRDefault="006A3A06" w:rsidP="006A3A06">
      <w:pPr>
        <w:spacing w:line="360" w:lineRule="auto"/>
        <w:ind w:left="720"/>
        <w:jc w:val="both"/>
        <w:rPr>
          <w:rtl/>
        </w:rPr>
      </w:pPr>
    </w:p>
    <w:p w14:paraId="34D02072" w14:textId="77777777" w:rsidR="006A3A06" w:rsidRDefault="00D531AD" w:rsidP="006A3A06">
      <w:pPr>
        <w:spacing w:line="360" w:lineRule="auto"/>
        <w:ind w:left="720"/>
        <w:jc w:val="both"/>
        <w:rPr>
          <w:rtl/>
        </w:rPr>
      </w:pPr>
      <w:hyperlink r:id="rId41" w:history="1">
        <w:r w:rsidRPr="00D531AD">
          <w:rPr>
            <w:color w:val="0000FF"/>
            <w:u w:val="single"/>
            <w:rtl/>
          </w:rPr>
          <w:t>ת"פ 40239-09-17</w:t>
        </w:r>
      </w:hyperlink>
      <w:r w:rsidR="006A3A06">
        <w:rPr>
          <w:rtl/>
        </w:rPr>
        <w:t xml:space="preserve"> (מחוזי י-ם) </w:t>
      </w:r>
      <w:r w:rsidR="006A3A06">
        <w:rPr>
          <w:b/>
          <w:bCs/>
          <w:rtl/>
        </w:rPr>
        <w:t>מדינת ישראל נ' ויצמן</w:t>
      </w:r>
      <w:r w:rsidR="006A3A06">
        <w:rPr>
          <w:rtl/>
        </w:rPr>
        <w:t xml:space="preserve"> (24.10.2019) – הנאשם הורשע בשלוש עבירות של ייבוא סם מסוכן עם אחרים, שלוש עבירות של סחר בסם מסוכן, שתי עבירות של ניסיון סחר בסם מסוכן, עבירה של השמדת ראיות ועבירה של שיבוש מהלכי משפט, בכך שייבא באמצעות חבילות שנשלחו בדואר מאחיו בארה"ב לישראל כמות כוללת של כ-1.5 ק"ג סם מסוכן מסוג מתאמפטמין וכ-100 גרם חשיש. </w:t>
      </w:r>
    </w:p>
    <w:p w14:paraId="2F799360" w14:textId="77777777" w:rsidR="006A3A06" w:rsidRDefault="006A3A06" w:rsidP="006A3A06">
      <w:pPr>
        <w:spacing w:line="360" w:lineRule="auto"/>
        <w:ind w:left="720"/>
        <w:jc w:val="both"/>
        <w:rPr>
          <w:rtl/>
        </w:rPr>
      </w:pPr>
      <w:r>
        <w:rPr>
          <w:rtl/>
        </w:rPr>
        <w:t xml:space="preserve">בית המשפט קבע </w:t>
      </w:r>
      <w:r>
        <w:rPr>
          <w:b/>
          <w:bCs/>
          <w:rtl/>
        </w:rPr>
        <w:t>מתחם הנע בין 3.5 ל-8 שנות מאסר</w:t>
      </w:r>
      <w:r>
        <w:rPr>
          <w:rtl/>
        </w:rPr>
        <w:t xml:space="preserve"> וגזר עליו בגין כלל העבירות עונש של 54 חודשי מאסר בפועל לצד ענישה נלווית. ערעור לבית המשפט העליון נדחה (</w:t>
      </w:r>
      <w:hyperlink r:id="rId42" w:history="1">
        <w:r w:rsidR="00D531AD" w:rsidRPr="00D531AD">
          <w:rPr>
            <w:color w:val="0000FF"/>
            <w:u w:val="single"/>
            <w:rtl/>
          </w:rPr>
          <w:t>ע"פ 7505/19</w:t>
        </w:r>
      </w:hyperlink>
      <w:r>
        <w:rPr>
          <w:rtl/>
        </w:rPr>
        <w:t>).</w:t>
      </w:r>
    </w:p>
    <w:p w14:paraId="66179B2C" w14:textId="77777777" w:rsidR="006A3A06" w:rsidRDefault="006A3A06" w:rsidP="006A3A06">
      <w:pPr>
        <w:spacing w:before="240" w:after="240" w:line="360" w:lineRule="auto"/>
        <w:ind w:firstLine="720"/>
        <w:jc w:val="both"/>
        <w:rPr>
          <w:u w:val="single"/>
          <w:rtl/>
        </w:rPr>
      </w:pPr>
      <w:r>
        <w:rPr>
          <w:u w:val="single"/>
          <w:rtl/>
        </w:rPr>
        <w:t>אירועי סחר</w:t>
      </w:r>
    </w:p>
    <w:p w14:paraId="32A8C3E6" w14:textId="77777777" w:rsidR="006A3A06" w:rsidRDefault="00D531AD" w:rsidP="006A3A06">
      <w:pPr>
        <w:spacing w:line="360" w:lineRule="auto"/>
        <w:ind w:left="720"/>
        <w:jc w:val="both"/>
        <w:rPr>
          <w:rtl/>
        </w:rPr>
      </w:pPr>
      <w:hyperlink r:id="rId43" w:history="1">
        <w:r w:rsidRPr="00D531AD">
          <w:rPr>
            <w:color w:val="0000FF"/>
            <w:u w:val="single"/>
            <w:rtl/>
          </w:rPr>
          <w:t>ת"פ 30538-02-19</w:t>
        </w:r>
      </w:hyperlink>
      <w:r w:rsidR="006A3A06">
        <w:rPr>
          <w:rtl/>
        </w:rPr>
        <w:t xml:space="preserve"> (מחוזי ת"א</w:t>
      </w:r>
      <w:r w:rsidR="006A3A06">
        <w:rPr>
          <w:b/>
          <w:bCs/>
          <w:rtl/>
        </w:rPr>
        <w:t>) מדינת ישראל נ' ולקוביץ</w:t>
      </w:r>
      <w:r w:rsidR="006A3A06">
        <w:rPr>
          <w:rtl/>
        </w:rPr>
        <w:t xml:space="preserve"> (5.11.2019) – הנאשם הורשע על יסוד הודאתו בשתי </w:t>
      </w:r>
      <w:r w:rsidR="006A3A06">
        <w:rPr>
          <w:rFonts w:ascii="David" w:hAnsi="David"/>
          <w:rtl/>
        </w:rPr>
        <w:t xml:space="preserve">עבירות של סחר בסם מסוכן לסוכן משטרתי בכך שביצע שתי עסקאות סמים בכמות כוללת של 1,200 טבליות </w:t>
      </w:r>
      <w:r w:rsidR="006A3A06">
        <w:rPr>
          <w:rFonts w:ascii="David" w:hAnsi="David"/>
        </w:rPr>
        <w:t>MDMA</w:t>
      </w:r>
      <w:r w:rsidR="006A3A06">
        <w:rPr>
          <w:rFonts w:ascii="David" w:hAnsi="David"/>
          <w:rtl/>
        </w:rPr>
        <w:t xml:space="preserve"> ובסכום כולל של 26,000 ₪. באותו עניין קבעתי שני מתחמי ענישה: ביחס לאישום הראשון (300 טבליות </w:t>
      </w:r>
      <w:r w:rsidR="006A3A06">
        <w:rPr>
          <w:rFonts w:ascii="David" w:hAnsi="David"/>
        </w:rPr>
        <w:t>MDMA</w:t>
      </w:r>
      <w:r w:rsidR="006A3A06">
        <w:rPr>
          <w:rFonts w:ascii="David" w:hAnsi="David"/>
          <w:rtl/>
        </w:rPr>
        <w:t xml:space="preserve">) קבעתי </w:t>
      </w:r>
      <w:r w:rsidR="006A3A06">
        <w:rPr>
          <w:rFonts w:ascii="David" w:hAnsi="David"/>
          <w:b/>
          <w:bCs/>
          <w:rtl/>
        </w:rPr>
        <w:t>מתחם הנע בין 18 ל-38 חודשי מאסר</w:t>
      </w:r>
      <w:r w:rsidR="006A3A06">
        <w:rPr>
          <w:rFonts w:ascii="David" w:hAnsi="David"/>
          <w:rtl/>
        </w:rPr>
        <w:t xml:space="preserve">; ובאישום השני (900 טבליות </w:t>
      </w:r>
      <w:r w:rsidR="006A3A06">
        <w:rPr>
          <w:rFonts w:ascii="David" w:hAnsi="David"/>
        </w:rPr>
        <w:t>MDMA</w:t>
      </w:r>
      <w:r w:rsidR="006A3A06">
        <w:rPr>
          <w:rFonts w:ascii="David" w:hAnsi="David"/>
          <w:rtl/>
        </w:rPr>
        <w:t xml:space="preserve">) קבעתי </w:t>
      </w:r>
      <w:r w:rsidR="006A3A06">
        <w:rPr>
          <w:rFonts w:ascii="David" w:hAnsi="David"/>
          <w:b/>
          <w:bCs/>
          <w:rtl/>
        </w:rPr>
        <w:t>מתחם הנע בין 34 ל-54 חודשי מאסר</w:t>
      </w:r>
      <w:r w:rsidR="006A3A06">
        <w:rPr>
          <w:rFonts w:ascii="David" w:hAnsi="David"/>
          <w:rtl/>
        </w:rPr>
        <w:t>. באותו מקרה גזירת העונש נעשתה בחפיפה כמעט מלאה – 38 חודשי מאסר לצד ענישה נלווית.</w:t>
      </w:r>
      <w:r w:rsidR="006A3A06">
        <w:rPr>
          <w:rtl/>
        </w:rPr>
        <w:t xml:space="preserve">  </w:t>
      </w:r>
    </w:p>
    <w:p w14:paraId="0F700B06" w14:textId="77777777" w:rsidR="006A3A06" w:rsidRDefault="006A3A06" w:rsidP="006A3A06">
      <w:pPr>
        <w:spacing w:line="360" w:lineRule="auto"/>
        <w:ind w:left="720"/>
        <w:jc w:val="both"/>
      </w:pPr>
    </w:p>
    <w:p w14:paraId="5863AF0F" w14:textId="77777777" w:rsidR="006A3A06" w:rsidRDefault="00D531AD" w:rsidP="006A3A06">
      <w:pPr>
        <w:spacing w:line="360" w:lineRule="auto"/>
        <w:ind w:left="720"/>
        <w:jc w:val="both"/>
        <w:rPr>
          <w:rFonts w:ascii="David" w:hAnsi="David"/>
          <w:color w:val="000000"/>
          <w:rtl/>
        </w:rPr>
      </w:pPr>
      <w:hyperlink r:id="rId44" w:history="1">
        <w:r w:rsidRPr="00D531AD">
          <w:rPr>
            <w:rFonts w:ascii="David" w:hAnsi="David"/>
            <w:color w:val="0000FF"/>
            <w:u w:val="single"/>
            <w:rtl/>
          </w:rPr>
          <w:t>ת"פ 52882-04-15</w:t>
        </w:r>
      </w:hyperlink>
      <w:r w:rsidR="006A3A06">
        <w:rPr>
          <w:rFonts w:ascii="David" w:hAnsi="David"/>
          <w:color w:val="000000"/>
          <w:rtl/>
        </w:rPr>
        <w:t xml:space="preserve"> (מחוזי חיפה) </w:t>
      </w:r>
      <w:r w:rsidR="006A3A06">
        <w:rPr>
          <w:rFonts w:ascii="David" w:hAnsi="David"/>
          <w:b/>
          <w:bCs/>
          <w:color w:val="000000"/>
          <w:rtl/>
        </w:rPr>
        <w:t>מדינת ישראל נ' חורי</w:t>
      </w:r>
      <w:r w:rsidR="006A3A06">
        <w:rPr>
          <w:rFonts w:ascii="David" w:hAnsi="David"/>
          <w:color w:val="000000"/>
          <w:rtl/>
        </w:rPr>
        <w:t xml:space="preserve"> (27.6.2016) – שם הורשע הנאשם במכירת 100 כדורי </w:t>
      </w:r>
      <w:r w:rsidR="006A3A06">
        <w:rPr>
          <w:rFonts w:ascii="David" w:hAnsi="David"/>
          <w:color w:val="000000"/>
        </w:rPr>
        <w:t>MDMA</w:t>
      </w:r>
      <w:r w:rsidR="006A3A06">
        <w:rPr>
          <w:rFonts w:ascii="David" w:hAnsi="David"/>
          <w:color w:val="000000"/>
          <w:rtl/>
        </w:rPr>
        <w:t xml:space="preserve"> לסוכן משטרתי (במקרה הראשון), ובמכירת 497 כדורי </w:t>
      </w:r>
      <w:r w:rsidR="006A3A06">
        <w:rPr>
          <w:rFonts w:ascii="David" w:hAnsi="David"/>
          <w:color w:val="000000"/>
        </w:rPr>
        <w:t>MDMA</w:t>
      </w:r>
      <w:r w:rsidR="006A3A06">
        <w:rPr>
          <w:rFonts w:ascii="David" w:hAnsi="David"/>
          <w:color w:val="000000"/>
          <w:rtl/>
        </w:rPr>
        <w:t xml:space="preserve"> לאותו סוכן (במקרה השני). בית המשפט קבע מתחם כולל לשני האישומים </w:t>
      </w:r>
      <w:r w:rsidR="006A3A06">
        <w:rPr>
          <w:rFonts w:ascii="David" w:hAnsi="David"/>
          <w:b/>
          <w:bCs/>
          <w:color w:val="000000"/>
          <w:rtl/>
        </w:rPr>
        <w:t>הנע בין 30 ל-70 חודשי מאסר</w:t>
      </w:r>
      <w:r w:rsidR="006A3A06">
        <w:rPr>
          <w:rFonts w:ascii="David" w:hAnsi="David"/>
          <w:color w:val="000000"/>
          <w:rtl/>
        </w:rPr>
        <w:t>,</w:t>
      </w:r>
      <w:r w:rsidR="006A3A06">
        <w:rPr>
          <w:rFonts w:ascii="David" w:hAnsi="David"/>
          <w:b/>
          <w:bCs/>
          <w:color w:val="000000"/>
          <w:rtl/>
        </w:rPr>
        <w:t xml:space="preserve"> </w:t>
      </w:r>
      <w:r w:rsidR="006A3A06">
        <w:rPr>
          <w:rFonts w:ascii="David" w:hAnsi="David"/>
          <w:color w:val="000000"/>
          <w:rtl/>
        </w:rPr>
        <w:t>וזאת תוך התחשבות בעקרון אחידות הענישה בפרשה, שאם לא כן, היה מקום לקבוע מתחם ענישה הנע בין 40 חודשי מאסר ל-84 חודשי מאסר.</w:t>
      </w:r>
    </w:p>
    <w:p w14:paraId="033FB00A" w14:textId="77777777" w:rsidR="006A3A06" w:rsidRDefault="006A3A06" w:rsidP="006A3A06">
      <w:pPr>
        <w:spacing w:line="360" w:lineRule="auto"/>
        <w:ind w:left="720"/>
        <w:jc w:val="both"/>
        <w:rPr>
          <w:rFonts w:ascii="David" w:hAnsi="David"/>
          <w:color w:val="000000"/>
        </w:rPr>
      </w:pPr>
    </w:p>
    <w:p w14:paraId="3D511E17" w14:textId="77777777" w:rsidR="006A3A06" w:rsidRDefault="00D531AD" w:rsidP="006A3A06">
      <w:pPr>
        <w:spacing w:line="360" w:lineRule="auto"/>
        <w:ind w:left="720"/>
        <w:jc w:val="both"/>
        <w:rPr>
          <w:rFonts w:ascii="David" w:hAnsi="David"/>
          <w:color w:val="000000"/>
          <w:rtl/>
        </w:rPr>
      </w:pPr>
      <w:hyperlink r:id="rId45" w:history="1">
        <w:r w:rsidRPr="00D531AD">
          <w:rPr>
            <w:rFonts w:ascii="David" w:hAnsi="David"/>
            <w:color w:val="0000FF"/>
            <w:u w:val="single"/>
            <w:rtl/>
          </w:rPr>
          <w:t>ת"פ 50059-04-15</w:t>
        </w:r>
      </w:hyperlink>
      <w:r w:rsidR="006A3A06">
        <w:rPr>
          <w:rFonts w:ascii="David" w:hAnsi="David"/>
          <w:color w:val="000000"/>
          <w:rtl/>
        </w:rPr>
        <w:t xml:space="preserve"> (מחוזי חיפה) </w:t>
      </w:r>
      <w:r w:rsidR="006A3A06">
        <w:rPr>
          <w:rFonts w:ascii="David" w:hAnsi="David"/>
          <w:b/>
          <w:bCs/>
          <w:color w:val="000000"/>
          <w:rtl/>
        </w:rPr>
        <w:t>מדינת ישראל נ' לב</w:t>
      </w:r>
      <w:r w:rsidR="006A3A06">
        <w:rPr>
          <w:rFonts w:ascii="David" w:hAnsi="David"/>
          <w:color w:val="000000"/>
          <w:rtl/>
        </w:rPr>
        <w:t xml:space="preserve"> (22.2.2016) – שם הורשעו הנאשמים במכירת 495 כדורי </w:t>
      </w:r>
      <w:r w:rsidR="006A3A06">
        <w:rPr>
          <w:rFonts w:ascii="David" w:hAnsi="David"/>
          <w:color w:val="000000"/>
        </w:rPr>
        <w:t>MDMA</w:t>
      </w:r>
      <w:r w:rsidR="006A3A06">
        <w:rPr>
          <w:rFonts w:ascii="David" w:hAnsi="David"/>
          <w:color w:val="000000"/>
          <w:rtl/>
        </w:rPr>
        <w:t xml:space="preserve"> לסוכן משטרתי תמורת 15,000 ₪. בית המשפט קבע מתחם עונש הולם </w:t>
      </w:r>
      <w:r w:rsidR="006A3A06">
        <w:rPr>
          <w:rFonts w:ascii="David" w:hAnsi="David"/>
          <w:b/>
          <w:bCs/>
          <w:color w:val="000000"/>
          <w:rtl/>
        </w:rPr>
        <w:t>הנע בין 18 ל-40 חודשי מאסר</w:t>
      </w:r>
      <w:r w:rsidR="006A3A06">
        <w:rPr>
          <w:rFonts w:ascii="David" w:hAnsi="David"/>
          <w:color w:val="000000"/>
          <w:rtl/>
        </w:rPr>
        <w:t xml:space="preserve">, וגזר על אחד הנאשמים 30 חודשי מאסר, ואילו על הנאשם השני גזר 40 חודשי מאסר תוך שהפעיל 10 חודשי מאסר על-תנאי במצטבר. </w:t>
      </w:r>
    </w:p>
    <w:p w14:paraId="6BFC2382" w14:textId="77777777" w:rsidR="006A3A06" w:rsidRDefault="006A3A06" w:rsidP="006A3A06">
      <w:pPr>
        <w:spacing w:line="360" w:lineRule="auto"/>
        <w:ind w:left="720"/>
        <w:jc w:val="both"/>
        <w:rPr>
          <w:rFonts w:ascii="David" w:hAnsi="David"/>
          <w:color w:val="000000"/>
        </w:rPr>
      </w:pPr>
    </w:p>
    <w:p w14:paraId="42EB2A30" w14:textId="77777777" w:rsidR="006A3A06" w:rsidRDefault="00D531AD" w:rsidP="006A3A06">
      <w:pPr>
        <w:spacing w:line="360" w:lineRule="auto"/>
        <w:ind w:left="720"/>
        <w:jc w:val="both"/>
        <w:rPr>
          <w:rFonts w:ascii="David" w:hAnsi="David"/>
          <w:rtl/>
        </w:rPr>
      </w:pPr>
      <w:hyperlink r:id="rId46" w:history="1">
        <w:r w:rsidRPr="00D531AD">
          <w:rPr>
            <w:rFonts w:ascii="David" w:hAnsi="David"/>
            <w:color w:val="0000FF"/>
            <w:u w:val="single"/>
            <w:rtl/>
          </w:rPr>
          <w:t>ת"פ 1108-05-15</w:t>
        </w:r>
      </w:hyperlink>
      <w:r w:rsidR="006A3A06">
        <w:rPr>
          <w:rFonts w:ascii="David" w:hAnsi="David"/>
          <w:rtl/>
        </w:rPr>
        <w:t xml:space="preserve"> (מחוזי חיפה) </w:t>
      </w:r>
      <w:r w:rsidR="006A3A06">
        <w:rPr>
          <w:rFonts w:ascii="David" w:hAnsi="David"/>
          <w:b/>
          <w:bCs/>
          <w:rtl/>
        </w:rPr>
        <w:t>מדינת ישראל נ' בן-יאיר</w:t>
      </w:r>
      <w:r w:rsidR="006A3A06">
        <w:rPr>
          <w:rFonts w:ascii="David" w:hAnsi="David"/>
          <w:rtl/>
        </w:rPr>
        <w:t xml:space="preserve"> (8.12.2015) – שם הורשע הנאשם במעורבות בשתי עסקאות מכירת סם מסוג </w:t>
      </w:r>
      <w:r w:rsidR="006A3A06">
        <w:rPr>
          <w:rFonts w:ascii="David" w:hAnsi="David"/>
        </w:rPr>
        <w:t>MDMA</w:t>
      </w:r>
      <w:r w:rsidR="006A3A06">
        <w:rPr>
          <w:rFonts w:ascii="David" w:hAnsi="David"/>
          <w:rtl/>
        </w:rPr>
        <w:t xml:space="preserve"> לסוכן משטרתי. בכל אחת מהעסקאות נמכרו 292 כדורים תמורת 9,000 ₪. בית המשפט קבע מתחם עונש </w:t>
      </w:r>
      <w:r w:rsidR="006A3A06">
        <w:rPr>
          <w:rFonts w:ascii="David" w:hAnsi="David"/>
          <w:b/>
          <w:bCs/>
          <w:rtl/>
        </w:rPr>
        <w:t>הנע בין 18 ל-40 חודשי מאסר</w:t>
      </w:r>
      <w:r w:rsidR="006A3A06">
        <w:rPr>
          <w:rFonts w:ascii="David" w:hAnsi="David"/>
          <w:rtl/>
        </w:rPr>
        <w:t xml:space="preserve"> לכל אחד מהאישומים, וגזר על הנאשם עונש של 36 חודשי מאסר (תוך הפעלת מאסר מותנה בן 12 חודשים, חציו בחופף וחציו במצטבר). </w:t>
      </w:r>
    </w:p>
    <w:p w14:paraId="52BE45EF" w14:textId="77777777" w:rsidR="006A3A06" w:rsidRDefault="006A3A06" w:rsidP="006A3A06">
      <w:pPr>
        <w:spacing w:line="360" w:lineRule="auto"/>
        <w:ind w:left="720"/>
        <w:jc w:val="both"/>
        <w:rPr>
          <w:rFonts w:ascii="David" w:hAnsi="David"/>
          <w:rtl/>
        </w:rPr>
      </w:pPr>
    </w:p>
    <w:p w14:paraId="688DBB23" w14:textId="77777777" w:rsidR="006A3A06" w:rsidRPr="00414903" w:rsidRDefault="006A3A06" w:rsidP="006A3A06">
      <w:pPr>
        <w:spacing w:line="360" w:lineRule="auto"/>
        <w:ind w:left="720"/>
        <w:jc w:val="both"/>
        <w:rPr>
          <w:rFonts w:ascii="David" w:hAnsi="David"/>
          <w:rtl/>
        </w:rPr>
      </w:pPr>
      <w:r>
        <w:rPr>
          <w:rFonts w:ascii="David" w:hAnsi="David" w:hint="cs"/>
          <w:rtl/>
        </w:rPr>
        <w:t xml:space="preserve">נתתי דעתי לטיעון ההגנה בעניין </w:t>
      </w:r>
      <w:r>
        <w:rPr>
          <w:rFonts w:ascii="David" w:hAnsi="David" w:hint="cs"/>
          <w:b/>
          <w:bCs/>
          <w:rtl/>
        </w:rPr>
        <w:t>לוקר</w:t>
      </w:r>
      <w:r>
        <w:rPr>
          <w:rFonts w:ascii="David" w:hAnsi="David" w:hint="cs"/>
          <w:rtl/>
        </w:rPr>
        <w:t xml:space="preserve">, ודומני כי לא ניתן להשוות בין שני המקרים, ובוודאי לא ניתן לומר כי עניינו של לוקר חמור יותר מענינו של הנאשם. בעניינו של לוקר דובר בייבוא סמים מהולנד לאוסטרליה, כאשר סמים אלה לא הגיעו לישראל. יתרה מכך, דובר באירוע נקודתי ולא במערך ייבוא מתוחכם ופעיל, כפי שהקים ותפעל הנאשם, במסגרתו ייבא כ- 58 חבילות סמים לישראל. באישום שיוחס ללוקר, לא צוין דבר וחצי דבר על מכירת הסמים לצרכנים, בעוד שבענייננו, הסמים הגיעו הן לצרכני סמים פרטיים והן לסוחרי סמים, כאשר ההנחה היא כי בהמשך מכרו והפיצו את אותם סמים לצרכני הקצה. </w:t>
      </w:r>
    </w:p>
    <w:p w14:paraId="20511B56" w14:textId="77777777" w:rsidR="006A3A06" w:rsidRDefault="006A3A06" w:rsidP="006A3A06">
      <w:pPr>
        <w:rPr>
          <w:rFonts w:ascii="David" w:hAnsi="David"/>
          <w:rtl/>
        </w:rPr>
      </w:pPr>
    </w:p>
    <w:p w14:paraId="6292821D" w14:textId="77777777" w:rsidR="006A3A06" w:rsidRDefault="006A3A06" w:rsidP="006A3A06">
      <w:pPr>
        <w:spacing w:line="360" w:lineRule="auto"/>
        <w:ind w:left="720" w:hanging="720"/>
        <w:jc w:val="both"/>
        <w:rPr>
          <w:rFonts w:ascii="David" w:hAnsi="David"/>
          <w:rtl/>
        </w:rPr>
      </w:pPr>
      <w:r>
        <w:rPr>
          <w:rFonts w:ascii="David" w:hAnsi="David" w:hint="cs"/>
          <w:rtl/>
        </w:rPr>
        <w:t>18.</w:t>
      </w:r>
      <w:r>
        <w:rPr>
          <w:rFonts w:ascii="David" w:hAnsi="David" w:hint="cs"/>
          <w:rtl/>
        </w:rPr>
        <w:tab/>
        <w:t xml:space="preserve">בעניינה של דיאנה נקבע מתחם </w:t>
      </w:r>
      <w:r w:rsidRPr="00E70406">
        <w:rPr>
          <w:rFonts w:ascii="David" w:hAnsi="David" w:hint="cs"/>
          <w:b/>
          <w:bCs/>
          <w:rtl/>
        </w:rPr>
        <w:t>הנע בין</w:t>
      </w:r>
      <w:r>
        <w:rPr>
          <w:rFonts w:ascii="David" w:hAnsi="David" w:hint="cs"/>
          <w:b/>
          <w:bCs/>
          <w:rtl/>
        </w:rPr>
        <w:t xml:space="preserve"> 6 ל- 9 שנות מאסר</w:t>
      </w:r>
      <w:r>
        <w:rPr>
          <w:rFonts w:ascii="David" w:hAnsi="David" w:hint="cs"/>
          <w:rtl/>
        </w:rPr>
        <w:t>, ועל פניו, ברור כי חלקו של הנאשם חמור באופן משמעותי מחלקה של דיאנה. דברים אלה נקבעים הן בהינתן העובדה כי הנאשם הוא זה שהקים ובנה את התשתית העבריינית לביצוע כלל העבירות, וממילא הוא זה שהוציא את התכנית העבריינית אל הפועל, כאשר רק בחלק מהמקרים עשה כן בשיתוף עם דיאנה, שפעלה בהתאם להנחיותיו הברורות, תוך שהיא מקבלת סכומי כסף זניחים יחסית עבור כל אירוע ייבוא או אירוע סחר. במילים אחרות, העובדות מלמדות כי אין המדובר בשני שותפים "שווים" אלא בפער משמעותי בין רמת התחכום וחומרת ההתנהלות העבריינית שאפיינה את הנאשם  - הוגה התוכנית העבריינית - לבין זו שאפיינה את דיאנה, צרכנית סמים שקיבלה אלפי שקלים בודדים (</w:t>
      </w:r>
      <w:r>
        <w:rPr>
          <w:rFonts w:ascii="David" w:hAnsi="David"/>
          <w:rtl/>
        </w:rPr>
        <w:t>1,500-3,000 ₪</w:t>
      </w:r>
      <w:r>
        <w:rPr>
          <w:rFonts w:ascii="David" w:hAnsi="David" w:hint="cs"/>
          <w:rtl/>
        </w:rPr>
        <w:t xml:space="preserve">) עבור חלקה בייבוא של כל אחת החבילות שנשלחו לארץ בעקבות פעילותו העבריינית של הנאשם. לציין כי מעבר לעניין המהותי ולפער "האיכותי" בין מעשיהם של השניים, קיים פער עצום גם בהיבט ההיקף, שכן הנאשם ייבא 58 חבילות וניסה לייבא 10 חבילות נוספות, כאשר רק ב-37 פעל בשיתוף עם דיאנה (וגם באלה, כאמור, חלקה היה מצומצם יותר והיא פעלה בהתאם להוראותיו של הנאשם). </w:t>
      </w:r>
    </w:p>
    <w:p w14:paraId="29968481" w14:textId="77777777" w:rsidR="006A3A06" w:rsidRDefault="006A3A06" w:rsidP="006A3A06">
      <w:pPr>
        <w:spacing w:line="360" w:lineRule="auto"/>
        <w:ind w:left="720" w:hanging="720"/>
        <w:jc w:val="both"/>
        <w:rPr>
          <w:rFonts w:ascii="David" w:hAnsi="David"/>
          <w:rtl/>
        </w:rPr>
      </w:pPr>
    </w:p>
    <w:p w14:paraId="0E6606E8" w14:textId="77777777" w:rsidR="006A3A06" w:rsidRDefault="006A3A06" w:rsidP="006A3A06">
      <w:pPr>
        <w:spacing w:line="360" w:lineRule="auto"/>
        <w:ind w:left="720" w:hanging="720"/>
        <w:jc w:val="both"/>
        <w:rPr>
          <w:rFonts w:ascii="David" w:hAnsi="David"/>
          <w:rtl/>
        </w:rPr>
      </w:pPr>
      <w:r>
        <w:rPr>
          <w:rFonts w:ascii="David" w:hAnsi="David" w:hint="cs"/>
          <w:rtl/>
        </w:rPr>
        <w:t>19.</w:t>
      </w:r>
      <w:r>
        <w:rPr>
          <w:rFonts w:ascii="David" w:hAnsi="David" w:hint="cs"/>
          <w:rtl/>
        </w:rPr>
        <w:tab/>
        <w:t xml:space="preserve">על יסוד האמור לעיל, ראיתי לקבוע מתחם עונש הולם </w:t>
      </w:r>
      <w:r w:rsidRPr="00E70406">
        <w:rPr>
          <w:rFonts w:ascii="David" w:hAnsi="David" w:hint="cs"/>
          <w:b/>
          <w:bCs/>
          <w:rtl/>
        </w:rPr>
        <w:t xml:space="preserve">הנע בין </w:t>
      </w:r>
      <w:r>
        <w:rPr>
          <w:rFonts w:ascii="David" w:hAnsi="David" w:hint="cs"/>
          <w:b/>
          <w:bCs/>
          <w:rtl/>
        </w:rPr>
        <w:t>10 שנות מאסר ל- 15 שנות מאסר</w:t>
      </w:r>
      <w:r>
        <w:rPr>
          <w:rFonts w:ascii="David" w:hAnsi="David" w:hint="cs"/>
          <w:rtl/>
        </w:rPr>
        <w:t xml:space="preserve">. </w:t>
      </w:r>
    </w:p>
    <w:p w14:paraId="7B23B50A" w14:textId="77777777" w:rsidR="006A3A06" w:rsidRDefault="006A3A06" w:rsidP="006A3A06">
      <w:pPr>
        <w:spacing w:line="360" w:lineRule="auto"/>
        <w:ind w:left="720" w:hanging="720"/>
        <w:jc w:val="both"/>
        <w:rPr>
          <w:rFonts w:ascii="David" w:hAnsi="David"/>
          <w:rtl/>
        </w:rPr>
      </w:pPr>
    </w:p>
    <w:p w14:paraId="23E53AC5" w14:textId="77777777" w:rsidR="006A3A06" w:rsidRDefault="006A3A06" w:rsidP="006A3A06">
      <w:pPr>
        <w:spacing w:line="360" w:lineRule="auto"/>
        <w:ind w:left="720" w:hanging="720"/>
        <w:jc w:val="both"/>
        <w:rPr>
          <w:rFonts w:ascii="David" w:hAnsi="David"/>
          <w:rtl/>
        </w:rPr>
      </w:pPr>
      <w:r>
        <w:rPr>
          <w:rFonts w:ascii="David" w:hAnsi="David"/>
          <w:rtl/>
        </w:rPr>
        <w:tab/>
      </w:r>
      <w:r>
        <w:rPr>
          <w:rFonts w:ascii="David" w:hAnsi="David" w:hint="cs"/>
          <w:rtl/>
        </w:rPr>
        <w:t xml:space="preserve">אציין כי לטעמי, עתירת התביעה לקביעת רף תחתון של 12 שנות מאסר אינה מופרכת כלל ועיקר, אך ראיתי להתחשב, במידת מה, בעונש הסופי שנגזר על דיאנה במסגרת הערעור, באופן שיצמצם במידה מסוימת את פערי הענישה בינה לבין הנאשם. אסביר: בית המשפט העליון הקל בעונשה של דיאנה תוך מתן משקל לשיקולי שיקום מוגברים, ולא באמצעות התערבות במתחם העונש ההולם. בהקשר זה, אזכיר כי בית המשפט העליון ציין כי שיקולי הענישה המפורטים שצוינו בגזר הדין מקובלים עליו, ומכאן מסקנתי כי המתחם שנקבע בעניינה של דיאנה, משקף באופן הולם את חומרת המעשים העבריינים שביצעה. אמנם, כלל אחידות הענישה חל בין שווים, ובהיבט המושגי, לא ניתן להקיש בין שיקולי השיקום שעמדו ביסוד עונש שהוטל על </w:t>
      </w:r>
      <w:r w:rsidRPr="00634672">
        <w:rPr>
          <w:rFonts w:ascii="David" w:hAnsi="David" w:hint="cs"/>
          <w:b/>
          <w:bCs/>
          <w:rtl/>
        </w:rPr>
        <w:t>פלוני</w:t>
      </w:r>
      <w:r>
        <w:rPr>
          <w:rFonts w:ascii="David" w:hAnsi="David" w:hint="cs"/>
          <w:rtl/>
        </w:rPr>
        <w:t xml:space="preserve"> לבין המתחם הראוי שייקבע בעניינו של </w:t>
      </w:r>
      <w:r>
        <w:rPr>
          <w:rFonts w:ascii="David" w:hAnsi="David" w:hint="cs"/>
          <w:b/>
          <w:bCs/>
          <w:rtl/>
        </w:rPr>
        <w:t>אלמוני</w:t>
      </w:r>
      <w:r>
        <w:rPr>
          <w:rFonts w:ascii="David" w:hAnsi="David" w:hint="cs"/>
          <w:rtl/>
        </w:rPr>
        <w:t xml:space="preserve">, שותפו לחלק מהמעשים. לצד האמור לעיל, דומני כי בנסיבות שנוצרו, יש מקום להתחשבות מסוימת, באמצעות "צינור" כלל האחידות בענישה, באופן שיהא בו משום הנמכה מסוימת של הרף התחתון של מתחם העונש, וצמצום הפערים בענישה בין השניים.   </w:t>
      </w:r>
    </w:p>
    <w:p w14:paraId="2C0C4E0A" w14:textId="77777777" w:rsidR="006A3A06" w:rsidRDefault="006A3A06" w:rsidP="006A3A06">
      <w:pPr>
        <w:spacing w:line="360" w:lineRule="auto"/>
        <w:ind w:left="720" w:hanging="720"/>
        <w:jc w:val="both"/>
        <w:rPr>
          <w:rFonts w:ascii="David" w:hAnsi="David"/>
          <w:rtl/>
        </w:rPr>
      </w:pPr>
    </w:p>
    <w:p w14:paraId="6F1AB17E" w14:textId="77777777" w:rsidR="006A3A06" w:rsidRDefault="006A3A06" w:rsidP="006A3A06">
      <w:pPr>
        <w:spacing w:line="360" w:lineRule="auto"/>
        <w:ind w:left="720" w:hanging="720"/>
        <w:jc w:val="both"/>
        <w:rPr>
          <w:rFonts w:ascii="David" w:hAnsi="David"/>
          <w:rtl/>
        </w:rPr>
      </w:pPr>
      <w:r>
        <w:rPr>
          <w:rFonts w:ascii="David" w:hAnsi="David"/>
          <w:rtl/>
        </w:rPr>
        <w:tab/>
      </w:r>
      <w:r>
        <w:rPr>
          <w:rFonts w:ascii="David" w:hAnsi="David" w:hint="cs"/>
          <w:u w:val="single"/>
          <w:rtl/>
        </w:rPr>
        <w:t>קביעת העונש המתאים לנאשם</w:t>
      </w:r>
    </w:p>
    <w:p w14:paraId="6E182322" w14:textId="77777777" w:rsidR="006A3A06" w:rsidRDefault="006A3A06" w:rsidP="006A3A06">
      <w:pPr>
        <w:spacing w:line="360" w:lineRule="auto"/>
        <w:ind w:left="720" w:hanging="720"/>
        <w:jc w:val="both"/>
        <w:rPr>
          <w:rFonts w:ascii="David" w:hAnsi="David"/>
          <w:rtl/>
        </w:rPr>
      </w:pPr>
    </w:p>
    <w:p w14:paraId="2F08D300" w14:textId="77777777" w:rsidR="006A3A06" w:rsidRDefault="006A3A06" w:rsidP="006A3A06">
      <w:pPr>
        <w:spacing w:line="360" w:lineRule="auto"/>
        <w:ind w:left="720" w:hanging="720"/>
        <w:jc w:val="both"/>
        <w:rPr>
          <w:rFonts w:ascii="David" w:hAnsi="David"/>
          <w:rtl/>
        </w:rPr>
      </w:pPr>
      <w:r>
        <w:rPr>
          <w:rFonts w:ascii="David" w:hAnsi="David" w:hint="cs"/>
          <w:rtl/>
        </w:rPr>
        <w:t>20.</w:t>
      </w:r>
      <w:r>
        <w:rPr>
          <w:rFonts w:ascii="David" w:hAnsi="David" w:hint="cs"/>
          <w:rtl/>
        </w:rPr>
        <w:tab/>
        <w:t xml:space="preserve">גם לאחר קריאת תסקירי שרות המבחן, חוות הדעת, ועדויות בני משפחתו וחבריו של הנאשם, נותרה מעורבותו של הנאשם בעבירות שתוארו, כסוג של תעלומה. אדם נורמטיבי, משכיל, בעל משפחה חמה, תומכת ואוהבת, שבחר באמצע חייו לסטות מנתיב חייו הנורמטיבי לנתיב של פשיעה כה משמעותית וכה חמורה, וזאת ללא כל הסבר מניח את הדעת. שמעתי את עדויות בני משפחתו של הנאשם, והלב נכמר. יחד עם זאת יצוין כי הנאשם אדם בגיר, שבחר את דרכו באופן רציונאלי (גם אם עברייני), ובאופן מנוגד לחלוטין לחינוך שקיבל בבית הוריו. </w:t>
      </w:r>
    </w:p>
    <w:p w14:paraId="00938663" w14:textId="77777777" w:rsidR="006A3A06" w:rsidRDefault="006A3A06" w:rsidP="006A3A06">
      <w:pPr>
        <w:spacing w:line="360" w:lineRule="auto"/>
        <w:ind w:left="720" w:hanging="720"/>
        <w:jc w:val="both"/>
        <w:rPr>
          <w:rFonts w:ascii="David" w:hAnsi="David"/>
          <w:rtl/>
        </w:rPr>
      </w:pPr>
    </w:p>
    <w:p w14:paraId="36974035" w14:textId="77777777" w:rsidR="006A3A06" w:rsidRDefault="006A3A06" w:rsidP="006A3A06">
      <w:pPr>
        <w:spacing w:line="360" w:lineRule="auto"/>
        <w:ind w:left="720"/>
        <w:jc w:val="both"/>
        <w:rPr>
          <w:b/>
          <w:bCs/>
          <w:rtl/>
        </w:rPr>
      </w:pPr>
      <w:r>
        <w:rPr>
          <w:rFonts w:ascii="David" w:hAnsi="David" w:hint="cs"/>
          <w:rtl/>
        </w:rPr>
        <w:t xml:space="preserve">ההסבר שניתן על-ידי ההגנה בדמות תאונת הדרכים הקשה שעבר הנאשם אינו מספק, ובוודאי שאינו מתיישב עם העובדות. כאמור לעיל, בניית התשתית העבריינית החלה כמעט שנה לפני התאונה, חלק מאירועי הייבוא הוצאו אל הפועל עוד לפניה, וממילא, אם מצבו הקוגניטיבי של הנאשם היה כה גרוע לאחריה, ספק גדול בעיני אם היה מצליח להמשיך את ביצועה של התכנית, ולהגשים את יעדיה העברייניים בהצלחה כה רבה, כפי שאירע בפועל. </w:t>
      </w:r>
    </w:p>
    <w:p w14:paraId="63870C97" w14:textId="77777777" w:rsidR="006A3A06" w:rsidRDefault="006A3A06" w:rsidP="006A3A06">
      <w:pPr>
        <w:spacing w:line="360" w:lineRule="auto"/>
        <w:ind w:left="720" w:hanging="720"/>
        <w:jc w:val="both"/>
        <w:rPr>
          <w:b/>
          <w:bCs/>
          <w:rtl/>
        </w:rPr>
      </w:pPr>
    </w:p>
    <w:p w14:paraId="4EFAF244" w14:textId="77777777" w:rsidR="006A3A06" w:rsidRDefault="006A3A06" w:rsidP="006A3A06">
      <w:pPr>
        <w:spacing w:line="360" w:lineRule="auto"/>
        <w:ind w:left="720" w:hanging="720"/>
        <w:jc w:val="both"/>
        <w:rPr>
          <w:rtl/>
        </w:rPr>
      </w:pPr>
      <w:r w:rsidRPr="00527C3A">
        <w:rPr>
          <w:rtl/>
        </w:rPr>
        <w:tab/>
      </w:r>
      <w:r w:rsidRPr="00527C3A">
        <w:rPr>
          <w:rFonts w:hint="cs"/>
          <w:rtl/>
        </w:rPr>
        <w:t xml:space="preserve">ראיתי להתחשב בהודאת הנאשם שהובילה לחיסכון משמעותי בזמן ציבורי, </w:t>
      </w:r>
      <w:r>
        <w:rPr>
          <w:rFonts w:hint="cs"/>
          <w:rtl/>
        </w:rPr>
        <w:t xml:space="preserve">ומשקפת גם את ההיבט החשוב של הפנמת הפסול במעשים (הגם שאני ער להתבטאויות הנאשם בפני שרות המבחן בהקשר לאמור). אלמלא הודאה זו, לא מן הנמנע שהעונש שהיה מוטל עליו היה חמור יותר באופן משמעותי. </w:t>
      </w:r>
    </w:p>
    <w:p w14:paraId="0C2D0CBF" w14:textId="77777777" w:rsidR="006A3A06" w:rsidRDefault="006A3A06" w:rsidP="006A3A06">
      <w:pPr>
        <w:spacing w:line="360" w:lineRule="auto"/>
        <w:ind w:left="720"/>
        <w:jc w:val="both"/>
        <w:rPr>
          <w:rtl/>
        </w:rPr>
      </w:pPr>
    </w:p>
    <w:p w14:paraId="374EC066" w14:textId="77777777" w:rsidR="006A3A06" w:rsidRDefault="006A3A06" w:rsidP="006A3A06">
      <w:pPr>
        <w:spacing w:line="360" w:lineRule="auto"/>
        <w:ind w:left="720"/>
        <w:jc w:val="both"/>
        <w:rPr>
          <w:rtl/>
        </w:rPr>
      </w:pPr>
      <w:r>
        <w:rPr>
          <w:rFonts w:hint="cs"/>
          <w:rtl/>
        </w:rPr>
        <w:t>מצבו הרפואי של הנאשם כעולה מחוות הדעת והמסמכים השונים שהוגשו מצדיק אף הוא התחשבות בקביעת העונש המתאים בגדרו של המתחם. אין ספק, כי מדובר במי שעבר טראומה קשה בדמות תאונת הדרכים, אשר תוצאותיה הגופניות עדיין ניכרות.</w:t>
      </w:r>
    </w:p>
    <w:p w14:paraId="6337C7B1" w14:textId="77777777" w:rsidR="006A3A06" w:rsidRDefault="006A3A06" w:rsidP="006A3A06">
      <w:pPr>
        <w:spacing w:line="360" w:lineRule="auto"/>
        <w:ind w:left="720"/>
        <w:jc w:val="both"/>
        <w:rPr>
          <w:rtl/>
        </w:rPr>
      </w:pPr>
    </w:p>
    <w:p w14:paraId="6DF4CBCE" w14:textId="77777777" w:rsidR="006A3A06" w:rsidRDefault="006A3A06" w:rsidP="006A3A06">
      <w:pPr>
        <w:spacing w:line="360" w:lineRule="auto"/>
        <w:ind w:left="720"/>
        <w:jc w:val="both"/>
        <w:rPr>
          <w:rtl/>
        </w:rPr>
      </w:pPr>
      <w:r>
        <w:rPr>
          <w:rFonts w:hint="cs"/>
          <w:rtl/>
        </w:rPr>
        <w:t xml:space="preserve">העובדה כי אין לחובת הנאשם הרשעות קודמות מחזקת אף היא את המסקנה בדבר האפשרות לאמץ את הרף התחתון של המתחם. </w:t>
      </w:r>
    </w:p>
    <w:p w14:paraId="633B9D5D" w14:textId="77777777" w:rsidR="006A3A06" w:rsidRDefault="006A3A06" w:rsidP="006A3A06">
      <w:pPr>
        <w:spacing w:line="360" w:lineRule="auto"/>
        <w:ind w:left="720"/>
        <w:jc w:val="both"/>
        <w:rPr>
          <w:rtl/>
        </w:rPr>
      </w:pPr>
    </w:p>
    <w:p w14:paraId="0110D89F" w14:textId="77777777" w:rsidR="006A3A06" w:rsidRDefault="006A3A06" w:rsidP="006A3A06">
      <w:pPr>
        <w:spacing w:line="360" w:lineRule="auto"/>
        <w:ind w:left="720"/>
        <w:jc w:val="both"/>
        <w:rPr>
          <w:rtl/>
        </w:rPr>
      </w:pPr>
      <w:r>
        <w:rPr>
          <w:rFonts w:hint="cs"/>
          <w:rtl/>
        </w:rPr>
        <w:t xml:space="preserve">נתתי דעתי לעתירת ההגנה להתחשבות בשיקולי שיקום וסטייה ממתחם העונש ההולם. הגם שברור שהנאשם זקוק לשיקום, אין בנמצא המלצה שיקומית מטעם הגוף המקצועי </w:t>
      </w:r>
      <w:r>
        <w:rPr>
          <w:rtl/>
        </w:rPr>
        <w:t>–</w:t>
      </w:r>
      <w:r>
        <w:rPr>
          <w:rFonts w:hint="cs"/>
          <w:rtl/>
        </w:rPr>
        <w:t xml:space="preserve"> הוא שרות המבחן, ועמדותיו של הנאשם כפי שבאו לידי ביטוי בתסקיר, רחוקות מלהניח את הדעת. הגם שאני מוכן להניח כי משפחתו של הנאשם תסייע בשיקומו העתידי, אין המדובר בהנחה המאפשרת לבסס קביעה לפיה "יש סיכוי של ממש שישתקם" (כלשון </w:t>
      </w:r>
      <w:hyperlink r:id="rId47" w:history="1">
        <w:r w:rsidR="0067656A" w:rsidRPr="0067656A">
          <w:rPr>
            <w:rStyle w:val="Hyperlink"/>
            <w:rFonts w:hint="eastAsia"/>
            <w:rtl/>
          </w:rPr>
          <w:t>סעיף</w:t>
        </w:r>
        <w:r w:rsidR="0067656A" w:rsidRPr="0067656A">
          <w:rPr>
            <w:rStyle w:val="Hyperlink"/>
            <w:rtl/>
          </w:rPr>
          <w:t xml:space="preserve"> 40ד(א)</w:t>
        </w:r>
      </w:hyperlink>
      <w:r>
        <w:rPr>
          <w:rFonts w:hint="cs"/>
          <w:rtl/>
        </w:rPr>
        <w:t xml:space="preserve"> ל</w:t>
      </w:r>
      <w:hyperlink r:id="rId48" w:history="1">
        <w:r w:rsidR="00D531AD" w:rsidRPr="00D531AD">
          <w:rPr>
            <w:color w:val="0000FF"/>
            <w:u w:val="single"/>
            <w:rtl/>
          </w:rPr>
          <w:t>חוק העונשין</w:t>
        </w:r>
      </w:hyperlink>
      <w:r>
        <w:rPr>
          <w:rFonts w:hint="cs"/>
          <w:rtl/>
        </w:rPr>
        <w:t xml:space="preserve">) ובהתאמה, לסטות על בסיסה ממתחם העונש ההולם. </w:t>
      </w:r>
    </w:p>
    <w:p w14:paraId="7E530B73" w14:textId="77777777" w:rsidR="006A3A06" w:rsidRDefault="006A3A06" w:rsidP="006A3A06">
      <w:pPr>
        <w:spacing w:line="360" w:lineRule="auto"/>
        <w:ind w:left="720"/>
        <w:jc w:val="both"/>
        <w:rPr>
          <w:rtl/>
        </w:rPr>
      </w:pPr>
    </w:p>
    <w:p w14:paraId="52EB23C1" w14:textId="77777777" w:rsidR="006A3A06" w:rsidRDefault="006A3A06" w:rsidP="006A3A06">
      <w:pPr>
        <w:spacing w:line="360" w:lineRule="auto"/>
        <w:ind w:left="720"/>
        <w:jc w:val="both"/>
        <w:rPr>
          <w:rtl/>
        </w:rPr>
      </w:pPr>
      <w:r>
        <w:rPr>
          <w:rFonts w:hint="cs"/>
          <w:rtl/>
        </w:rPr>
        <w:t xml:space="preserve">כלל השיקולים שפורטו לעיל, מובילים למסקנה כי יש מקום לאמץ את הרף התחתון של המתחם ולא מעבר לכך, כפי שעתרה התביעה בטיעוניה. </w:t>
      </w:r>
    </w:p>
    <w:p w14:paraId="21C77490" w14:textId="77777777" w:rsidR="006A3A06" w:rsidRDefault="006A3A06" w:rsidP="006A3A06">
      <w:pPr>
        <w:spacing w:line="360" w:lineRule="auto"/>
        <w:ind w:left="720"/>
        <w:jc w:val="both"/>
        <w:rPr>
          <w:rtl/>
        </w:rPr>
      </w:pPr>
    </w:p>
    <w:p w14:paraId="7BCF7CCB" w14:textId="77777777" w:rsidR="006A3A06" w:rsidRDefault="006A3A06" w:rsidP="006A3A06">
      <w:pPr>
        <w:spacing w:line="360" w:lineRule="auto"/>
        <w:ind w:left="720"/>
        <w:jc w:val="both"/>
        <w:rPr>
          <w:rtl/>
        </w:rPr>
      </w:pPr>
      <w:r>
        <w:rPr>
          <w:rFonts w:hint="cs"/>
          <w:rtl/>
        </w:rPr>
        <w:t xml:space="preserve">כולי תקווה כי הנאשם ישכיל לנצל את תקופת המאסר כדי לתקן את דרכיו, ולאחר שחרורו, יחזור לחיק משפחתו וידבק באורח חיים נורמטיבי, תוך ניצול כישוריו ויכולותיו לביצוע מעשים יצרנים וחיוביים ולא לביצוע פעולות עברייניות חמורות חוצות גבולות ויבשות. </w:t>
      </w:r>
    </w:p>
    <w:p w14:paraId="61F378B2" w14:textId="77777777" w:rsidR="006A3A06" w:rsidRDefault="006A3A06" w:rsidP="006A3A06">
      <w:pPr>
        <w:spacing w:line="360" w:lineRule="auto"/>
        <w:ind w:left="720"/>
        <w:jc w:val="both"/>
        <w:rPr>
          <w:rtl/>
        </w:rPr>
      </w:pPr>
    </w:p>
    <w:p w14:paraId="546A35BB" w14:textId="77777777" w:rsidR="006A3A06" w:rsidRDefault="006A3A06" w:rsidP="006A3A06">
      <w:r>
        <w:rPr>
          <w:rFonts w:hint="cs"/>
          <w:rtl/>
        </w:rPr>
        <w:t>21.</w:t>
      </w:r>
      <w:r>
        <w:rPr>
          <w:rtl/>
        </w:rPr>
        <w:tab/>
      </w:r>
      <w:r>
        <w:rPr>
          <w:rFonts w:hint="cs"/>
          <w:rtl/>
        </w:rPr>
        <w:t xml:space="preserve">לאור האמור לעיל, אני גוזר על הנאשם את העונשים הבאים: </w:t>
      </w:r>
    </w:p>
    <w:p w14:paraId="099C2473" w14:textId="77777777" w:rsidR="006A3A06" w:rsidRDefault="006A3A06" w:rsidP="006A3A06">
      <w:pPr>
        <w:rPr>
          <w:rtl/>
        </w:rPr>
      </w:pPr>
    </w:p>
    <w:p w14:paraId="462EF744" w14:textId="77777777" w:rsidR="006A3A06" w:rsidRDefault="006A3A06" w:rsidP="006A3A06">
      <w:pPr>
        <w:spacing w:line="360" w:lineRule="auto"/>
        <w:jc w:val="center"/>
        <w:rPr>
          <w:rtl/>
        </w:rPr>
      </w:pPr>
    </w:p>
    <w:p w14:paraId="12D0BAFB" w14:textId="77777777" w:rsidR="006A3A06" w:rsidRDefault="006A3A06" w:rsidP="006A3A06">
      <w:pPr>
        <w:rPr>
          <w:rtl/>
        </w:rPr>
      </w:pPr>
      <w:r>
        <w:rPr>
          <w:rFonts w:hint="cs"/>
          <w:rtl/>
        </w:rPr>
        <w:t>א.</w:t>
      </w:r>
      <w:r>
        <w:rPr>
          <w:rFonts w:hint="cs"/>
          <w:rtl/>
        </w:rPr>
        <w:tab/>
        <w:t xml:space="preserve">10 שנות מאסר לריצוי בפועל החל מיום מעצרו </w:t>
      </w:r>
      <w:r>
        <w:rPr>
          <w:rtl/>
        </w:rPr>
        <w:t>–</w:t>
      </w:r>
      <w:r>
        <w:rPr>
          <w:rFonts w:hint="cs"/>
          <w:rtl/>
        </w:rPr>
        <w:t xml:space="preserve"> 24.1.21.</w:t>
      </w:r>
    </w:p>
    <w:p w14:paraId="6CA1E967" w14:textId="77777777" w:rsidR="006A3A06" w:rsidRDefault="006A3A06" w:rsidP="006A3A06"/>
    <w:p w14:paraId="1A83F36E" w14:textId="77777777" w:rsidR="006A3A06" w:rsidRDefault="006A3A06" w:rsidP="006A3A06">
      <w:pPr>
        <w:rPr>
          <w:rtl/>
        </w:rPr>
      </w:pPr>
    </w:p>
    <w:p w14:paraId="531E82B9" w14:textId="77777777" w:rsidR="006A3A06" w:rsidRDefault="006A3A06" w:rsidP="006A3A06">
      <w:pPr>
        <w:spacing w:line="360" w:lineRule="auto"/>
        <w:ind w:left="720" w:hanging="720"/>
        <w:jc w:val="both"/>
        <w:rPr>
          <w:rtl/>
        </w:rPr>
      </w:pPr>
      <w:r>
        <w:rPr>
          <w:rFonts w:hint="cs"/>
          <w:rtl/>
        </w:rPr>
        <w:t>ב.</w:t>
      </w:r>
      <w:r>
        <w:rPr>
          <w:rFonts w:hint="cs"/>
          <w:rtl/>
        </w:rPr>
        <w:tab/>
        <w:t xml:space="preserve">9  חודשי מאסר אולם הנאשם לא יישא עונש זה אלא אם יעבור תוך שלוש שנים מיום שחרורו עבירת סמים מסוג פשע. </w:t>
      </w:r>
    </w:p>
    <w:p w14:paraId="5489E326" w14:textId="77777777" w:rsidR="006A3A06" w:rsidRDefault="006A3A06" w:rsidP="006A3A06">
      <w:pPr>
        <w:spacing w:line="360" w:lineRule="auto"/>
        <w:ind w:left="720" w:hanging="720"/>
        <w:rPr>
          <w:rtl/>
        </w:rPr>
      </w:pPr>
    </w:p>
    <w:p w14:paraId="48DC10E1" w14:textId="77777777" w:rsidR="006A3A06" w:rsidRDefault="006A3A06" w:rsidP="006A3A06">
      <w:pPr>
        <w:spacing w:line="360" w:lineRule="auto"/>
        <w:ind w:left="720" w:hanging="720"/>
        <w:jc w:val="both"/>
        <w:rPr>
          <w:rtl/>
        </w:rPr>
      </w:pPr>
      <w:r>
        <w:rPr>
          <w:rFonts w:hint="cs"/>
          <w:rtl/>
        </w:rPr>
        <w:t>ג.</w:t>
      </w:r>
      <w:r>
        <w:rPr>
          <w:rFonts w:hint="cs"/>
          <w:rtl/>
        </w:rPr>
        <w:tab/>
        <w:t xml:space="preserve">6 חודשי מאסר אולם הנאשם לא יישא עונש זה אלא אם יעבור תוך שלוש שנים מיום שחרורו עבירה על </w:t>
      </w:r>
      <w:hyperlink r:id="rId49" w:history="1">
        <w:r w:rsidR="00D531AD" w:rsidRPr="00D531AD">
          <w:rPr>
            <w:color w:val="0000FF"/>
            <w:u w:val="single"/>
            <w:rtl/>
          </w:rPr>
          <w:t>חוק איסור הלבנת הון</w:t>
        </w:r>
      </w:hyperlink>
      <w:r>
        <w:rPr>
          <w:rFonts w:hint="cs"/>
          <w:rtl/>
        </w:rPr>
        <w:t xml:space="preserve">. </w:t>
      </w:r>
    </w:p>
    <w:p w14:paraId="3D806D0B" w14:textId="77777777" w:rsidR="006A3A06" w:rsidRDefault="006A3A06" w:rsidP="006A3A06">
      <w:pPr>
        <w:spacing w:line="360" w:lineRule="auto"/>
        <w:ind w:left="720" w:hanging="720"/>
        <w:jc w:val="both"/>
        <w:rPr>
          <w:rtl/>
        </w:rPr>
      </w:pPr>
    </w:p>
    <w:p w14:paraId="02E408A8" w14:textId="77777777" w:rsidR="006A3A06" w:rsidRDefault="006A3A06" w:rsidP="006A3A06">
      <w:pPr>
        <w:spacing w:line="360" w:lineRule="auto"/>
        <w:ind w:left="720" w:hanging="720"/>
        <w:jc w:val="both"/>
        <w:rPr>
          <w:rtl/>
        </w:rPr>
      </w:pPr>
      <w:r>
        <w:rPr>
          <w:rFonts w:hint="cs"/>
          <w:rtl/>
        </w:rPr>
        <w:t>ד.</w:t>
      </w:r>
      <w:r>
        <w:rPr>
          <w:rFonts w:hint="cs"/>
          <w:rtl/>
        </w:rPr>
        <w:tab/>
        <w:t xml:space="preserve">3 חודשי מאסר אולם הנאשם לא יישא עונש זה אלא אם יעבור תוך שלוש שנים מיום שחרורו עבירה על </w:t>
      </w:r>
      <w:hyperlink r:id="rId50" w:history="1">
        <w:r w:rsidR="00D531AD" w:rsidRPr="00D531AD">
          <w:rPr>
            <w:color w:val="0000FF"/>
            <w:u w:val="single"/>
            <w:rtl/>
          </w:rPr>
          <w:t>פקודת מס הכנסה</w:t>
        </w:r>
      </w:hyperlink>
      <w:r>
        <w:rPr>
          <w:rFonts w:hint="cs"/>
          <w:rtl/>
        </w:rPr>
        <w:t xml:space="preserve">. </w:t>
      </w:r>
    </w:p>
    <w:p w14:paraId="012CB75A" w14:textId="77777777" w:rsidR="006A3A06" w:rsidRDefault="006A3A06" w:rsidP="006A3A06">
      <w:pPr>
        <w:spacing w:line="360" w:lineRule="auto"/>
        <w:ind w:left="720" w:hanging="720"/>
        <w:rPr>
          <w:rtl/>
        </w:rPr>
      </w:pPr>
    </w:p>
    <w:p w14:paraId="2B82B285" w14:textId="77777777" w:rsidR="006A3A06" w:rsidRDefault="006A3A06" w:rsidP="006A3A06">
      <w:pPr>
        <w:spacing w:line="360" w:lineRule="auto"/>
        <w:ind w:left="720" w:hanging="720"/>
        <w:jc w:val="both"/>
        <w:rPr>
          <w:rtl/>
        </w:rPr>
      </w:pPr>
      <w:r>
        <w:rPr>
          <w:rFonts w:hint="cs"/>
          <w:rtl/>
        </w:rPr>
        <w:t>ה.</w:t>
      </w:r>
      <w:r>
        <w:rPr>
          <w:rFonts w:hint="cs"/>
          <w:rtl/>
        </w:rPr>
        <w:tab/>
        <w:t>חילוט (מוסכם) 1,499,800 ₪ - סכום כסף שנתפס בכספת המצויה בחברת בריקסטון; מחצית מהכספים המצויים בסניף 729 של בנק הפועלים בחשבון 0041 על-שם הנאשם ואשתו (נכון ליום הצגת הסדר הטיעון); 700,000 ש"ח שהופקדו כנגד שחרור נכס בגוש 11577 חלקה 87.</w:t>
      </w:r>
    </w:p>
    <w:p w14:paraId="500752FB" w14:textId="77777777" w:rsidR="006A3A06" w:rsidRDefault="006A3A06" w:rsidP="006A3A06">
      <w:pPr>
        <w:spacing w:line="360" w:lineRule="auto"/>
        <w:ind w:left="720" w:hanging="720"/>
        <w:jc w:val="both"/>
        <w:rPr>
          <w:rtl/>
        </w:rPr>
      </w:pPr>
    </w:p>
    <w:p w14:paraId="4407367F" w14:textId="77777777" w:rsidR="006A3A06" w:rsidRDefault="006A3A06" w:rsidP="006A3A06">
      <w:pPr>
        <w:spacing w:line="360" w:lineRule="auto"/>
        <w:ind w:left="720" w:hanging="720"/>
        <w:jc w:val="both"/>
        <w:rPr>
          <w:rtl/>
        </w:rPr>
      </w:pPr>
      <w:r>
        <w:rPr>
          <w:rFonts w:hint="cs"/>
          <w:rtl/>
        </w:rPr>
        <w:t>ו.</w:t>
      </w:r>
      <w:r>
        <w:rPr>
          <w:rFonts w:hint="cs"/>
          <w:rtl/>
        </w:rPr>
        <w:tab/>
        <w:t xml:space="preserve">קנס בסך 25,000 ₪ אשר ישולם ב- 5 תשלומים חודשיים שווים החל מיום 1.3.24 ועד לסיום התשלומים או 50 ימי מאסר תמורתו. אציין כי על פניו, מעשיו של הנאשם היו ראויים לקנס גבוה יותר, אולם בקביעת'ו ראיתי להתחשב במצבו המשפחתי כפי שתואר לעיל. </w:t>
      </w:r>
    </w:p>
    <w:p w14:paraId="63C2770F" w14:textId="77777777" w:rsidR="006A3A06" w:rsidRDefault="006A3A06" w:rsidP="006A3A06">
      <w:pPr>
        <w:spacing w:line="360" w:lineRule="auto"/>
        <w:ind w:left="720" w:hanging="720"/>
        <w:rPr>
          <w:rtl/>
        </w:rPr>
      </w:pPr>
      <w:r>
        <w:rPr>
          <w:rtl/>
        </w:rPr>
        <w:t xml:space="preserve"> </w:t>
      </w:r>
    </w:p>
    <w:p w14:paraId="365E5AE2" w14:textId="77777777" w:rsidR="006A3A06" w:rsidRDefault="006A3A06" w:rsidP="006A3A06">
      <w:pPr>
        <w:spacing w:line="360" w:lineRule="auto"/>
        <w:ind w:left="720" w:hanging="720"/>
        <w:rPr>
          <w:rtl/>
        </w:rPr>
      </w:pPr>
      <w:r>
        <w:rPr>
          <w:rFonts w:hint="cs"/>
          <w:rtl/>
        </w:rPr>
        <w:tab/>
        <w:t>ניתן צו למוצגים לשיקול דעת קצין משטרה ו/או התביעה.</w:t>
      </w:r>
    </w:p>
    <w:p w14:paraId="5CD1612C" w14:textId="77777777" w:rsidR="006A3A06" w:rsidRDefault="006A3A06" w:rsidP="006A3A06">
      <w:pPr>
        <w:spacing w:line="360" w:lineRule="auto"/>
        <w:ind w:left="720" w:hanging="720"/>
        <w:rPr>
          <w:rtl/>
        </w:rPr>
      </w:pPr>
    </w:p>
    <w:p w14:paraId="6789C35A" w14:textId="77777777" w:rsidR="006A3A06" w:rsidRDefault="006A3A06" w:rsidP="006A3A06">
      <w:pPr>
        <w:spacing w:line="360" w:lineRule="auto"/>
        <w:ind w:left="720" w:hanging="720"/>
        <w:rPr>
          <w:rtl/>
        </w:rPr>
      </w:pPr>
      <w:r>
        <w:rPr>
          <w:rFonts w:hint="cs"/>
          <w:rtl/>
        </w:rPr>
        <w:tab/>
        <w:t>זכות ערעור כחוק.</w:t>
      </w:r>
    </w:p>
    <w:p w14:paraId="2B1842E4" w14:textId="77777777" w:rsidR="006A3A06" w:rsidRPr="00B72E3B" w:rsidRDefault="006A3A06" w:rsidP="006A3A06"/>
    <w:p w14:paraId="5CCAED95" w14:textId="77777777" w:rsidR="006A3A06" w:rsidRDefault="006A3A06" w:rsidP="006A3A06">
      <w:pPr>
        <w:rPr>
          <w:rtl/>
        </w:rPr>
      </w:pPr>
    </w:p>
    <w:p w14:paraId="70095547" w14:textId="77777777" w:rsidR="006A3A06" w:rsidRDefault="00D531AD" w:rsidP="006A3A06">
      <w:pPr>
        <w:rPr>
          <w:rtl/>
        </w:rPr>
      </w:pPr>
      <w:bookmarkStart w:id="8" w:name="Nitan"/>
      <w:r w:rsidRPr="00D531AD">
        <w:rPr>
          <w:rFonts w:ascii="David" w:hAnsi="David"/>
          <w:b/>
          <w:bCs/>
          <w:color w:val="FFFFFF"/>
          <w:sz w:val="2"/>
          <w:szCs w:val="2"/>
          <w:rtl/>
        </w:rPr>
        <w:t>5129371</w:t>
      </w:r>
      <w:r>
        <w:rPr>
          <w:rFonts w:ascii="David" w:hAnsi="David"/>
          <w:b/>
          <w:bCs/>
          <w:rtl/>
        </w:rPr>
        <w:t xml:space="preserve">ניתן והודע היום י' כסלו תשפ"ג, 23/11/2023 במעמד הצדדים.  </w:t>
      </w:r>
      <w:bookmarkEnd w:id="8"/>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6A3A06" w14:paraId="38135EC9" w14:textId="77777777" w:rsidTr="006A3A06">
        <w:trPr>
          <w:trHeight w:val="316"/>
          <w:jc w:val="right"/>
        </w:trPr>
        <w:tc>
          <w:tcPr>
            <w:tcW w:w="3936" w:type="dxa"/>
            <w:tcBorders>
              <w:top w:val="nil"/>
              <w:left w:val="nil"/>
              <w:bottom w:val="single" w:sz="4" w:space="0" w:color="auto"/>
              <w:right w:val="nil"/>
            </w:tcBorders>
            <w:shd w:val="clear" w:color="auto" w:fill="auto"/>
            <w:vAlign w:val="bottom"/>
          </w:tcPr>
          <w:p w14:paraId="31197111" w14:textId="77777777" w:rsidR="006A3A06" w:rsidRPr="00D531AD" w:rsidRDefault="00D531AD" w:rsidP="006A3A06">
            <w:pPr>
              <w:jc w:val="center"/>
              <w:rPr>
                <w:color w:val="FFFFFF"/>
                <w:sz w:val="2"/>
                <w:szCs w:val="2"/>
                <w:rtl/>
              </w:rPr>
            </w:pPr>
            <w:r w:rsidRPr="00D531AD">
              <w:rPr>
                <w:color w:val="FFFFFF"/>
                <w:sz w:val="2"/>
                <w:szCs w:val="2"/>
                <w:rtl/>
              </w:rPr>
              <w:t>54678313</w:t>
            </w:r>
          </w:p>
        </w:tc>
      </w:tr>
      <w:tr w:rsidR="006A3A06" w14:paraId="223903EF" w14:textId="77777777" w:rsidTr="006A3A06">
        <w:trPr>
          <w:trHeight w:val="361"/>
          <w:jc w:val="right"/>
        </w:trPr>
        <w:tc>
          <w:tcPr>
            <w:tcW w:w="3936" w:type="dxa"/>
            <w:tcBorders>
              <w:top w:val="single" w:sz="4" w:space="0" w:color="auto"/>
              <w:left w:val="nil"/>
              <w:bottom w:val="nil"/>
              <w:right w:val="nil"/>
            </w:tcBorders>
            <w:shd w:val="clear" w:color="auto" w:fill="auto"/>
          </w:tcPr>
          <w:p w14:paraId="5A28150B" w14:textId="77777777" w:rsidR="006A3A06" w:rsidRPr="006A3A06" w:rsidRDefault="006A3A06" w:rsidP="006A3A06">
            <w:pPr>
              <w:jc w:val="center"/>
              <w:rPr>
                <w:b/>
                <w:bCs/>
                <w:rtl/>
              </w:rPr>
            </w:pPr>
            <w:r w:rsidRPr="006A3A06">
              <w:rPr>
                <w:rFonts w:hint="cs"/>
                <w:b/>
                <w:bCs/>
                <w:rtl/>
              </w:rPr>
              <w:t>בני שגיא, שופט</w:t>
            </w:r>
          </w:p>
          <w:p w14:paraId="4EBC2089" w14:textId="77777777" w:rsidR="006A3A06" w:rsidRPr="006A3A06" w:rsidRDefault="006A3A06" w:rsidP="006A3A06">
            <w:pPr>
              <w:jc w:val="center"/>
              <w:rPr>
                <w:b/>
                <w:bCs/>
                <w:rtl/>
              </w:rPr>
            </w:pPr>
            <w:r w:rsidRPr="006A3A06">
              <w:rPr>
                <w:rFonts w:hint="cs"/>
                <w:b/>
                <w:bCs/>
                <w:rtl/>
              </w:rPr>
              <w:t>סגן נשיא</w:t>
            </w:r>
          </w:p>
        </w:tc>
      </w:tr>
    </w:tbl>
    <w:p w14:paraId="0058AB57" w14:textId="77777777" w:rsidR="006A3A06" w:rsidRPr="0067656A" w:rsidRDefault="0067656A" w:rsidP="006A3A06">
      <w:pPr>
        <w:pStyle w:val="12"/>
        <w:spacing w:line="360" w:lineRule="auto"/>
        <w:rPr>
          <w:b w:val="0"/>
          <w:bCs w:val="0"/>
          <w:color w:val="FFFFFF"/>
          <w:sz w:val="2"/>
          <w:szCs w:val="2"/>
          <w:u w:val="none"/>
          <w:rtl/>
        </w:rPr>
      </w:pPr>
      <w:r w:rsidRPr="0067656A">
        <w:rPr>
          <w:b w:val="0"/>
          <w:bCs w:val="0"/>
          <w:color w:val="FFFFFF"/>
          <w:sz w:val="2"/>
          <w:szCs w:val="2"/>
          <w:u w:val="none"/>
          <w:rtl/>
        </w:rPr>
        <w:t>5129371</w:t>
      </w:r>
    </w:p>
    <w:p w14:paraId="64B1CEF8" w14:textId="77777777" w:rsidR="00290C18" w:rsidRPr="0067656A" w:rsidRDefault="0067656A" w:rsidP="00D531AD">
      <w:pPr>
        <w:keepNext/>
        <w:rPr>
          <w:rFonts w:ascii="David" w:hAnsi="David"/>
          <w:color w:val="FFFFFF"/>
          <w:sz w:val="2"/>
          <w:szCs w:val="2"/>
          <w:rtl/>
        </w:rPr>
      </w:pPr>
      <w:r w:rsidRPr="0067656A">
        <w:rPr>
          <w:rFonts w:ascii="David" w:hAnsi="David"/>
          <w:color w:val="FFFFFF"/>
          <w:sz w:val="2"/>
          <w:szCs w:val="2"/>
          <w:rtl/>
        </w:rPr>
        <w:t>54678313</w:t>
      </w:r>
    </w:p>
    <w:p w14:paraId="145DD9F0" w14:textId="77777777" w:rsidR="00D531AD" w:rsidRDefault="00D531AD" w:rsidP="00D531AD">
      <w:pPr>
        <w:rPr>
          <w:rtl/>
        </w:rPr>
      </w:pPr>
    </w:p>
    <w:p w14:paraId="6F7E85E1" w14:textId="77777777" w:rsidR="00D531AD" w:rsidRDefault="00D531AD" w:rsidP="00D531AD">
      <w:pPr>
        <w:jc w:val="center"/>
        <w:rPr>
          <w:color w:val="0000FF"/>
          <w:u w:val="single"/>
        </w:rPr>
      </w:pPr>
      <w:hyperlink r:id="rId51" w:history="1">
        <w:r>
          <w:rPr>
            <w:color w:val="0000FF"/>
            <w:u w:val="single"/>
            <w:rtl/>
          </w:rPr>
          <w:t>בעניין עריכה ושינויים במסמכי פסיקה, חקיקה ועוד באתר נבו – הקש כאן</w:t>
        </w:r>
      </w:hyperlink>
    </w:p>
    <w:p w14:paraId="63E303B2" w14:textId="77777777" w:rsidR="0067656A" w:rsidRPr="0067656A" w:rsidRDefault="0067656A" w:rsidP="0067656A">
      <w:pPr>
        <w:keepNext/>
        <w:rPr>
          <w:rFonts w:ascii="David" w:hAnsi="David"/>
          <w:color w:val="000000"/>
          <w:sz w:val="22"/>
          <w:szCs w:val="22"/>
          <w:rtl/>
        </w:rPr>
      </w:pPr>
    </w:p>
    <w:p w14:paraId="1711A05A" w14:textId="77777777" w:rsidR="0067656A" w:rsidRPr="0067656A" w:rsidRDefault="0067656A" w:rsidP="0067656A">
      <w:pPr>
        <w:keepNext/>
        <w:rPr>
          <w:rFonts w:ascii="David" w:hAnsi="David"/>
          <w:color w:val="000000"/>
          <w:sz w:val="22"/>
          <w:szCs w:val="22"/>
          <w:rtl/>
        </w:rPr>
      </w:pPr>
      <w:r w:rsidRPr="0067656A">
        <w:rPr>
          <w:rFonts w:ascii="David" w:hAnsi="David"/>
          <w:color w:val="000000"/>
          <w:sz w:val="22"/>
          <w:szCs w:val="22"/>
          <w:rtl/>
        </w:rPr>
        <w:t>בני שגיא 54678313-/</w:t>
      </w:r>
    </w:p>
    <w:p w14:paraId="1A416AA0" w14:textId="77777777" w:rsidR="00D531AD" w:rsidRPr="00D531AD" w:rsidRDefault="0067656A" w:rsidP="0067656A">
      <w:pPr>
        <w:rPr>
          <w:color w:val="0000FF"/>
          <w:u w:val="single"/>
        </w:rPr>
      </w:pPr>
      <w:r w:rsidRPr="0067656A">
        <w:rPr>
          <w:color w:val="000000"/>
          <w:u w:val="single"/>
          <w:rtl/>
        </w:rPr>
        <w:t>נוסח מסמך זה כפוף לשינויי ניסוח ועריכה</w:t>
      </w:r>
    </w:p>
    <w:sectPr w:rsidR="00D531AD" w:rsidRPr="00D531AD" w:rsidSect="0067656A">
      <w:headerReference w:type="even" r:id="rId52"/>
      <w:headerReference w:type="default" r:id="rId53"/>
      <w:footerReference w:type="even" r:id="rId54"/>
      <w:footerReference w:type="default" r:id="rId55"/>
      <w:pgSz w:w="11907" w:h="16840" w:code="9"/>
      <w:pgMar w:top="1701" w:right="1077" w:bottom="1134" w:left="1077"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D09311" w14:textId="77777777" w:rsidR="00182559" w:rsidRDefault="00182559" w:rsidP="00CC6C7C">
      <w:r>
        <w:separator/>
      </w:r>
    </w:p>
  </w:endnote>
  <w:endnote w:type="continuationSeparator" w:id="0">
    <w:p w14:paraId="58282EBB" w14:textId="77777777" w:rsidR="00182559" w:rsidRDefault="00182559" w:rsidP="00CC6C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DD70B" w14:textId="77777777" w:rsidR="0067656A" w:rsidRDefault="0067656A" w:rsidP="0067656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38F7885" w14:textId="77777777" w:rsidR="00BD0983" w:rsidRPr="0067656A" w:rsidRDefault="0067656A" w:rsidP="0067656A">
    <w:pPr>
      <w:pStyle w:val="a5"/>
      <w:pBdr>
        <w:top w:val="single" w:sz="4" w:space="1" w:color="auto"/>
        <w:between w:val="single" w:sz="4" w:space="0" w:color="auto"/>
      </w:pBdr>
      <w:spacing w:after="60"/>
      <w:jc w:val="center"/>
      <w:rPr>
        <w:rFonts w:ascii="FrankRuehl" w:hAnsi="FrankRuehl" w:cs="FrankRuehl"/>
        <w:color w:val="000000"/>
      </w:rPr>
    </w:pPr>
    <w:r w:rsidRPr="0067656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95AAF9" w14:textId="77777777" w:rsidR="0067656A" w:rsidRDefault="0067656A" w:rsidP="0067656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2505B">
      <w:rPr>
        <w:rFonts w:ascii="FrankRuehl" w:hAnsi="FrankRuehl" w:cs="FrankRuehl"/>
        <w:noProof/>
        <w:rtl/>
      </w:rPr>
      <w:t>1</w:t>
    </w:r>
    <w:r>
      <w:rPr>
        <w:rFonts w:ascii="FrankRuehl" w:hAnsi="FrankRuehl" w:cs="FrankRuehl"/>
        <w:rtl/>
      </w:rPr>
      <w:fldChar w:fldCharType="end"/>
    </w:r>
  </w:p>
  <w:p w14:paraId="48CCF4EA" w14:textId="77777777" w:rsidR="00BD0983" w:rsidRPr="0067656A" w:rsidRDefault="0067656A" w:rsidP="0067656A">
    <w:pPr>
      <w:pStyle w:val="a5"/>
      <w:pBdr>
        <w:top w:val="single" w:sz="4" w:space="1" w:color="auto"/>
        <w:between w:val="single" w:sz="4" w:space="0" w:color="auto"/>
      </w:pBdr>
      <w:spacing w:after="60"/>
      <w:jc w:val="center"/>
      <w:rPr>
        <w:rFonts w:ascii="FrankRuehl" w:hAnsi="FrankRuehl" w:cs="FrankRuehl"/>
        <w:color w:val="000000"/>
      </w:rPr>
    </w:pPr>
    <w:r w:rsidRPr="0067656A">
      <w:rPr>
        <w:rFonts w:ascii="FrankRuehl" w:hAnsi="FrankRuehl" w:cs="FrankRuehl"/>
        <w:color w:val="000000"/>
      </w:rPr>
      <w:pict w14:anchorId="28B540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38FED3" w14:textId="77777777" w:rsidR="00182559" w:rsidRDefault="00182559" w:rsidP="00CC6C7C">
      <w:r>
        <w:separator/>
      </w:r>
    </w:p>
  </w:footnote>
  <w:footnote w:type="continuationSeparator" w:id="0">
    <w:p w14:paraId="36316FE0" w14:textId="77777777" w:rsidR="00182559" w:rsidRDefault="00182559" w:rsidP="00CC6C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74AC0D" w14:textId="77777777" w:rsidR="00D531AD" w:rsidRPr="0067656A" w:rsidRDefault="0067656A" w:rsidP="0067656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30580-02-21</w:t>
    </w:r>
    <w:r>
      <w:rPr>
        <w:rFonts w:ascii="David" w:hAnsi="David"/>
        <w:color w:val="000000"/>
        <w:sz w:val="22"/>
        <w:szCs w:val="22"/>
        <w:rtl/>
      </w:rPr>
      <w:tab/>
      <w:t xml:space="preserve"> מדינת ישראל נ' שגיא אברבך</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4D4362" w14:textId="77777777" w:rsidR="00D531AD" w:rsidRPr="0067656A" w:rsidRDefault="0067656A" w:rsidP="0067656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30580-02-21</w:t>
    </w:r>
    <w:r>
      <w:rPr>
        <w:rFonts w:ascii="David" w:hAnsi="David"/>
        <w:color w:val="000000"/>
        <w:sz w:val="22"/>
        <w:szCs w:val="22"/>
        <w:rtl/>
      </w:rPr>
      <w:tab/>
      <w:t xml:space="preserve"> מדינת ישראל נ' שגיא אברבך</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A3A06"/>
    <w:rsid w:val="00182559"/>
    <w:rsid w:val="001B5A3B"/>
    <w:rsid w:val="001E7D3D"/>
    <w:rsid w:val="00275DF6"/>
    <w:rsid w:val="00290C18"/>
    <w:rsid w:val="003C6DA5"/>
    <w:rsid w:val="005635DC"/>
    <w:rsid w:val="0067656A"/>
    <w:rsid w:val="006A3A06"/>
    <w:rsid w:val="0092505B"/>
    <w:rsid w:val="00B337CF"/>
    <w:rsid w:val="00BD0983"/>
    <w:rsid w:val="00CC6C7C"/>
    <w:rsid w:val="00D531AD"/>
    <w:rsid w:val="00D865DC"/>
    <w:rsid w:val="00D8778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E32959B"/>
  <w15:chartTrackingRefBased/>
  <w15:docId w15:val="{F61D53CC-4FBB-4873-A385-762606284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A3A0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A3A06"/>
    <w:pPr>
      <w:tabs>
        <w:tab w:val="center" w:pos="4153"/>
        <w:tab w:val="right" w:pos="8306"/>
      </w:tabs>
    </w:pPr>
  </w:style>
  <w:style w:type="character" w:customStyle="1" w:styleId="a4">
    <w:name w:val="כותרת עליונה תו"/>
    <w:link w:val="a3"/>
    <w:rsid w:val="006A3A06"/>
    <w:rPr>
      <w:rFonts w:ascii="Times New Roman" w:eastAsia="Times New Roman" w:hAnsi="Times New Roman" w:cs="David"/>
      <w:sz w:val="24"/>
      <w:szCs w:val="24"/>
    </w:rPr>
  </w:style>
  <w:style w:type="paragraph" w:styleId="a5">
    <w:name w:val="footer"/>
    <w:basedOn w:val="a"/>
    <w:link w:val="a6"/>
    <w:rsid w:val="006A3A06"/>
    <w:pPr>
      <w:tabs>
        <w:tab w:val="center" w:pos="4153"/>
        <w:tab w:val="right" w:pos="8306"/>
      </w:tabs>
    </w:pPr>
  </w:style>
  <w:style w:type="character" w:customStyle="1" w:styleId="a6">
    <w:name w:val="כותרת תחתונה תו"/>
    <w:link w:val="a5"/>
    <w:rsid w:val="006A3A06"/>
    <w:rPr>
      <w:rFonts w:ascii="Times New Roman" w:eastAsia="Times New Roman" w:hAnsi="Times New Roman" w:cs="David"/>
      <w:sz w:val="24"/>
      <w:szCs w:val="24"/>
    </w:rPr>
  </w:style>
  <w:style w:type="table" w:styleId="a7">
    <w:name w:val="Table Grid"/>
    <w:basedOn w:val="a1"/>
    <w:rsid w:val="006A3A0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A3A06"/>
  </w:style>
  <w:style w:type="paragraph" w:customStyle="1" w:styleId="12">
    <w:name w:val="רגיל + ‏12 נק'"/>
    <w:aliases w:val="מיושר לשני הצדדים,מרווח בין שורות:  שורה וחצי"/>
    <w:basedOn w:val="a"/>
    <w:rsid w:val="006A3A06"/>
    <w:rPr>
      <w:b/>
      <w:bCs/>
      <w:u w:val="single"/>
    </w:rPr>
  </w:style>
  <w:style w:type="paragraph" w:styleId="a9">
    <w:name w:val="List Paragraph"/>
    <w:basedOn w:val="a"/>
    <w:qFormat/>
    <w:rsid w:val="006A3A06"/>
    <w:pPr>
      <w:ind w:left="720"/>
      <w:contextualSpacing/>
    </w:pPr>
  </w:style>
  <w:style w:type="character" w:styleId="Hyperlink">
    <w:name w:val="Hyperlink"/>
    <w:rsid w:val="00D531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d.a" TargetMode="External"/><Relationship Id="rId18" Type="http://schemas.openxmlformats.org/officeDocument/2006/relationships/hyperlink" Target="http://www.nevo.co.il/law/74345/3.a" TargetMode="External"/><Relationship Id="rId26" Type="http://schemas.openxmlformats.org/officeDocument/2006/relationships/hyperlink" Target="http://www.nevo.co.il/law/4216/7.a.;7.c" TargetMode="External"/><Relationship Id="rId39" Type="http://schemas.openxmlformats.org/officeDocument/2006/relationships/hyperlink" Target="http://www.nevo.co.il/case/27494822" TargetMode="External"/><Relationship Id="rId21" Type="http://schemas.openxmlformats.org/officeDocument/2006/relationships/hyperlink" Target="http://www.nevo.co.il/law/4216/13" TargetMode="External"/><Relationship Id="rId34" Type="http://schemas.openxmlformats.org/officeDocument/2006/relationships/hyperlink" Target="http://www.nevo.co.il/case/28092391" TargetMode="External"/><Relationship Id="rId42" Type="http://schemas.openxmlformats.org/officeDocument/2006/relationships/hyperlink" Target="http://www.nevo.co.il/case/26180157" TargetMode="External"/><Relationship Id="rId47" Type="http://schemas.openxmlformats.org/officeDocument/2006/relationships/hyperlink" Target="http://www.nevo.co.il/law/70301/40d.a" TargetMode="External"/><Relationship Id="rId50" Type="http://schemas.openxmlformats.org/officeDocument/2006/relationships/hyperlink" Target="http://www.nevo.co.il/law/84255" TargetMode="External"/><Relationship Id="rId55" Type="http://schemas.openxmlformats.org/officeDocument/2006/relationships/footer" Target="footer2.xml"/><Relationship Id="rId7" Type="http://schemas.openxmlformats.org/officeDocument/2006/relationships/hyperlink" Target="http://www.nevo.co.il/law/4216/7.a." TargetMode="External"/><Relationship Id="rId2" Type="http://schemas.openxmlformats.org/officeDocument/2006/relationships/settings" Target="settings.xml"/><Relationship Id="rId16" Type="http://schemas.openxmlformats.org/officeDocument/2006/relationships/hyperlink" Target="http://www.nevo.co.il/law/84255/220.5" TargetMode="External"/><Relationship Id="rId29" Type="http://schemas.openxmlformats.org/officeDocument/2006/relationships/hyperlink" Target="http://www.nevo.co.il/law/84255" TargetMode="External"/><Relationship Id="rId11" Type="http://schemas.openxmlformats.org/officeDocument/2006/relationships/hyperlink" Target="http://www.nevo.co.il/law/70301" TargetMode="External"/><Relationship Id="rId24" Type="http://schemas.openxmlformats.org/officeDocument/2006/relationships/hyperlink" Target="http://www.nevo.co.il/law/4216/13" TargetMode="External"/><Relationship Id="rId32" Type="http://schemas.openxmlformats.org/officeDocument/2006/relationships/hyperlink" Target="http://www.nevo.co.il/law/74345" TargetMode="External"/><Relationship Id="rId37" Type="http://schemas.openxmlformats.org/officeDocument/2006/relationships/hyperlink" Target="http://www.nevo.co.il/case/25455685" TargetMode="External"/><Relationship Id="rId40" Type="http://schemas.openxmlformats.org/officeDocument/2006/relationships/hyperlink" Target="http://www.nevo.co.il/case/23386833" TargetMode="External"/><Relationship Id="rId45" Type="http://schemas.openxmlformats.org/officeDocument/2006/relationships/hyperlink" Target="http://www.nevo.co.il/case/20238204" TargetMode="External"/><Relationship Id="rId53" Type="http://schemas.openxmlformats.org/officeDocument/2006/relationships/header" Target="header2.xml"/><Relationship Id="rId5" Type="http://schemas.openxmlformats.org/officeDocument/2006/relationships/endnotes" Target="endnotes.xml"/><Relationship Id="rId19" Type="http://schemas.openxmlformats.org/officeDocument/2006/relationships/hyperlink" Target="http://www.nevo.co.il/law/4216/13" TargetMode="External"/><Relationship Id="rId4" Type="http://schemas.openxmlformats.org/officeDocument/2006/relationships/footnotes" Target="footnotes.xml"/><Relationship Id="rId9" Type="http://schemas.openxmlformats.org/officeDocument/2006/relationships/hyperlink" Target="http://www.nevo.co.il/law/4216/13" TargetMode="External"/><Relationship Id="rId14" Type="http://schemas.openxmlformats.org/officeDocument/2006/relationships/hyperlink" Target="http://www.nevo.co.il/law/84255" TargetMode="External"/><Relationship Id="rId22" Type="http://schemas.openxmlformats.org/officeDocument/2006/relationships/hyperlink" Target="http://www.nevo.co.il/law/70301/25" TargetMode="External"/><Relationship Id="rId27" Type="http://schemas.openxmlformats.org/officeDocument/2006/relationships/hyperlink" Target="http://www.nevo.co.il/law/84255/220.1" TargetMode="External"/><Relationship Id="rId30" Type="http://schemas.openxmlformats.org/officeDocument/2006/relationships/hyperlink" Target="http://www.nevo.co.il/law/74345/3.a" TargetMode="External"/><Relationship Id="rId35" Type="http://schemas.openxmlformats.org/officeDocument/2006/relationships/hyperlink" Target="http://www.nevo.co.il/case/26845111" TargetMode="External"/><Relationship Id="rId43" Type="http://schemas.openxmlformats.org/officeDocument/2006/relationships/hyperlink" Target="http://www.nevo.co.il/case/25442339" TargetMode="External"/><Relationship Id="rId48" Type="http://schemas.openxmlformats.org/officeDocument/2006/relationships/hyperlink" Target="http://www.nevo.co.il/law/70301" TargetMode="External"/><Relationship Id="rId56" Type="http://schemas.openxmlformats.org/officeDocument/2006/relationships/fontTable" Target="fontTable.xml"/><Relationship Id="rId8" Type="http://schemas.openxmlformats.org/officeDocument/2006/relationships/hyperlink" Target="http://www.nevo.co.il/law/4216/7.c" TargetMode="External"/><Relationship Id="rId51" Type="http://schemas.openxmlformats.org/officeDocument/2006/relationships/hyperlink" Target="http://www.nevo.co.il/advertisements/nevo-100.doc" TargetMode="External"/><Relationship Id="rId3" Type="http://schemas.openxmlformats.org/officeDocument/2006/relationships/webSettings" Target="webSettings.xml"/><Relationship Id="rId12" Type="http://schemas.openxmlformats.org/officeDocument/2006/relationships/hyperlink" Target="http://www.nevo.co.il/law/70301/25" TargetMode="External"/><Relationship Id="rId17" Type="http://schemas.openxmlformats.org/officeDocument/2006/relationships/hyperlink" Target="http://www.nevo.co.il/law/74345" TargetMode="External"/><Relationship Id="rId25" Type="http://schemas.openxmlformats.org/officeDocument/2006/relationships/hyperlink" Target="http://www.nevo.co.il/law/4216/19a" TargetMode="External"/><Relationship Id="rId33" Type="http://schemas.openxmlformats.org/officeDocument/2006/relationships/hyperlink" Target="http://www.nevo.co.il/case/13093721" TargetMode="External"/><Relationship Id="rId38" Type="http://schemas.openxmlformats.org/officeDocument/2006/relationships/hyperlink" Target="http://www.nevo.co.il/case/21662213" TargetMode="External"/><Relationship Id="rId46" Type="http://schemas.openxmlformats.org/officeDocument/2006/relationships/hyperlink" Target="http://www.nevo.co.il/case/20240530" TargetMode="External"/><Relationship Id="rId20" Type="http://schemas.openxmlformats.org/officeDocument/2006/relationships/hyperlink" Target="http://www.nevo.co.il/law/4216" TargetMode="External"/><Relationship Id="rId41" Type="http://schemas.openxmlformats.org/officeDocument/2006/relationships/hyperlink" Target="http://www.nevo.co.il/case/22999501" TargetMode="External"/><Relationship Id="rId54"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4216" TargetMode="External"/><Relationship Id="rId15" Type="http://schemas.openxmlformats.org/officeDocument/2006/relationships/hyperlink" Target="http://www.nevo.co.il/law/84255/220.1" TargetMode="External"/><Relationship Id="rId23" Type="http://schemas.openxmlformats.org/officeDocument/2006/relationships/hyperlink" Target="http://www.nevo.co.il/law/70301" TargetMode="External"/><Relationship Id="rId28" Type="http://schemas.openxmlformats.org/officeDocument/2006/relationships/hyperlink" Target="http://www.nevo.co.il/law/84255/220.5" TargetMode="External"/><Relationship Id="rId36" Type="http://schemas.openxmlformats.org/officeDocument/2006/relationships/hyperlink" Target="http://www.nevo.co.il/case/27742715" TargetMode="External"/><Relationship Id="rId49" Type="http://schemas.openxmlformats.org/officeDocument/2006/relationships/hyperlink" Target="http://www.nevo.co.il/law/74345" TargetMode="External"/><Relationship Id="rId57" Type="http://schemas.openxmlformats.org/officeDocument/2006/relationships/theme" Target="theme/theme1.xml"/><Relationship Id="rId10" Type="http://schemas.openxmlformats.org/officeDocument/2006/relationships/hyperlink" Target="http://www.nevo.co.il/law/4216/19a" TargetMode="External"/><Relationship Id="rId31" Type="http://schemas.openxmlformats.org/officeDocument/2006/relationships/hyperlink" Target="http://www.nevo.co.il/law/74345" TargetMode="External"/><Relationship Id="rId44" Type="http://schemas.openxmlformats.org/officeDocument/2006/relationships/hyperlink" Target="http://www.nevo.co.il/case/20244119" TargetMode="External"/><Relationship Id="rId5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6075</Words>
  <Characters>30379</Characters>
  <Application>Microsoft Office Word</Application>
  <DocSecurity>0</DocSecurity>
  <Lines>253</Lines>
  <Paragraphs>72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36382</CharactersWithSpaces>
  <SharedDoc>false</SharedDoc>
  <HLinks>
    <vt:vector size="276" baseType="variant">
      <vt:variant>
        <vt:i4>393283</vt:i4>
      </vt:variant>
      <vt:variant>
        <vt:i4>135</vt:i4>
      </vt:variant>
      <vt:variant>
        <vt:i4>0</vt:i4>
      </vt:variant>
      <vt:variant>
        <vt:i4>5</vt:i4>
      </vt:variant>
      <vt:variant>
        <vt:lpwstr>http://www.nevo.co.il/advertisements/nevo-100.doc</vt:lpwstr>
      </vt:variant>
      <vt:variant>
        <vt:lpwstr/>
      </vt:variant>
      <vt:variant>
        <vt:i4>8061034</vt:i4>
      </vt:variant>
      <vt:variant>
        <vt:i4>132</vt:i4>
      </vt:variant>
      <vt:variant>
        <vt:i4>0</vt:i4>
      </vt:variant>
      <vt:variant>
        <vt:i4>5</vt:i4>
      </vt:variant>
      <vt:variant>
        <vt:lpwstr>http://www.nevo.co.il/law/84255</vt:lpwstr>
      </vt:variant>
      <vt:variant>
        <vt:lpwstr/>
      </vt:variant>
      <vt:variant>
        <vt:i4>7995492</vt:i4>
      </vt:variant>
      <vt:variant>
        <vt:i4>129</vt:i4>
      </vt:variant>
      <vt:variant>
        <vt:i4>0</vt:i4>
      </vt:variant>
      <vt:variant>
        <vt:i4>5</vt:i4>
      </vt:variant>
      <vt:variant>
        <vt:lpwstr>http://www.nevo.co.il/law/74345</vt:lpwstr>
      </vt:variant>
      <vt:variant>
        <vt:lpwstr/>
      </vt:variant>
      <vt:variant>
        <vt:i4>7995492</vt:i4>
      </vt:variant>
      <vt:variant>
        <vt:i4>126</vt:i4>
      </vt:variant>
      <vt:variant>
        <vt:i4>0</vt:i4>
      </vt:variant>
      <vt:variant>
        <vt:i4>5</vt:i4>
      </vt:variant>
      <vt:variant>
        <vt:lpwstr>http://www.nevo.co.il/law/70301</vt:lpwstr>
      </vt:variant>
      <vt:variant>
        <vt:lpwstr/>
      </vt:variant>
      <vt:variant>
        <vt:i4>4915205</vt:i4>
      </vt:variant>
      <vt:variant>
        <vt:i4>123</vt:i4>
      </vt:variant>
      <vt:variant>
        <vt:i4>0</vt:i4>
      </vt:variant>
      <vt:variant>
        <vt:i4>5</vt:i4>
      </vt:variant>
      <vt:variant>
        <vt:lpwstr>http://www.nevo.co.il/law/70301/40d.a</vt:lpwstr>
      </vt:variant>
      <vt:variant>
        <vt:lpwstr/>
      </vt:variant>
      <vt:variant>
        <vt:i4>3342453</vt:i4>
      </vt:variant>
      <vt:variant>
        <vt:i4>120</vt:i4>
      </vt:variant>
      <vt:variant>
        <vt:i4>0</vt:i4>
      </vt:variant>
      <vt:variant>
        <vt:i4>5</vt:i4>
      </vt:variant>
      <vt:variant>
        <vt:lpwstr>http://www.nevo.co.il/case/20240530</vt:lpwstr>
      </vt:variant>
      <vt:variant>
        <vt:lpwstr/>
      </vt:variant>
      <vt:variant>
        <vt:i4>3670133</vt:i4>
      </vt:variant>
      <vt:variant>
        <vt:i4>117</vt:i4>
      </vt:variant>
      <vt:variant>
        <vt:i4>0</vt:i4>
      </vt:variant>
      <vt:variant>
        <vt:i4>5</vt:i4>
      </vt:variant>
      <vt:variant>
        <vt:lpwstr>http://www.nevo.co.il/case/20238204</vt:lpwstr>
      </vt:variant>
      <vt:variant>
        <vt:lpwstr/>
      </vt:variant>
      <vt:variant>
        <vt:i4>3473521</vt:i4>
      </vt:variant>
      <vt:variant>
        <vt:i4>114</vt:i4>
      </vt:variant>
      <vt:variant>
        <vt:i4>0</vt:i4>
      </vt:variant>
      <vt:variant>
        <vt:i4>5</vt:i4>
      </vt:variant>
      <vt:variant>
        <vt:lpwstr>http://www.nevo.co.il/case/20244119</vt:lpwstr>
      </vt:variant>
      <vt:variant>
        <vt:lpwstr/>
      </vt:variant>
      <vt:variant>
        <vt:i4>3604598</vt:i4>
      </vt:variant>
      <vt:variant>
        <vt:i4>111</vt:i4>
      </vt:variant>
      <vt:variant>
        <vt:i4>0</vt:i4>
      </vt:variant>
      <vt:variant>
        <vt:i4>5</vt:i4>
      </vt:variant>
      <vt:variant>
        <vt:lpwstr>http://www.nevo.co.il/case/25442339</vt:lpwstr>
      </vt:variant>
      <vt:variant>
        <vt:lpwstr/>
      </vt:variant>
      <vt:variant>
        <vt:i4>3539067</vt:i4>
      </vt:variant>
      <vt:variant>
        <vt:i4>108</vt:i4>
      </vt:variant>
      <vt:variant>
        <vt:i4>0</vt:i4>
      </vt:variant>
      <vt:variant>
        <vt:i4>5</vt:i4>
      </vt:variant>
      <vt:variant>
        <vt:lpwstr>http://www.nevo.co.il/case/26180157</vt:lpwstr>
      </vt:variant>
      <vt:variant>
        <vt:lpwstr/>
      </vt:variant>
      <vt:variant>
        <vt:i4>3276922</vt:i4>
      </vt:variant>
      <vt:variant>
        <vt:i4>105</vt:i4>
      </vt:variant>
      <vt:variant>
        <vt:i4>0</vt:i4>
      </vt:variant>
      <vt:variant>
        <vt:i4>5</vt:i4>
      </vt:variant>
      <vt:variant>
        <vt:lpwstr>http://www.nevo.co.il/case/22999501</vt:lpwstr>
      </vt:variant>
      <vt:variant>
        <vt:lpwstr/>
      </vt:variant>
      <vt:variant>
        <vt:i4>3407991</vt:i4>
      </vt:variant>
      <vt:variant>
        <vt:i4>102</vt:i4>
      </vt:variant>
      <vt:variant>
        <vt:i4>0</vt:i4>
      </vt:variant>
      <vt:variant>
        <vt:i4>5</vt:i4>
      </vt:variant>
      <vt:variant>
        <vt:lpwstr>http://www.nevo.co.il/case/23386833</vt:lpwstr>
      </vt:variant>
      <vt:variant>
        <vt:lpwstr/>
      </vt:variant>
      <vt:variant>
        <vt:i4>3145842</vt:i4>
      </vt:variant>
      <vt:variant>
        <vt:i4>99</vt:i4>
      </vt:variant>
      <vt:variant>
        <vt:i4>0</vt:i4>
      </vt:variant>
      <vt:variant>
        <vt:i4>5</vt:i4>
      </vt:variant>
      <vt:variant>
        <vt:lpwstr>http://www.nevo.co.il/case/27494822</vt:lpwstr>
      </vt:variant>
      <vt:variant>
        <vt:lpwstr/>
      </vt:variant>
      <vt:variant>
        <vt:i4>3604593</vt:i4>
      </vt:variant>
      <vt:variant>
        <vt:i4>96</vt:i4>
      </vt:variant>
      <vt:variant>
        <vt:i4>0</vt:i4>
      </vt:variant>
      <vt:variant>
        <vt:i4>5</vt:i4>
      </vt:variant>
      <vt:variant>
        <vt:lpwstr>http://www.nevo.co.il/case/21662213</vt:lpwstr>
      </vt:variant>
      <vt:variant>
        <vt:lpwstr/>
      </vt:variant>
      <vt:variant>
        <vt:i4>3866738</vt:i4>
      </vt:variant>
      <vt:variant>
        <vt:i4>93</vt:i4>
      </vt:variant>
      <vt:variant>
        <vt:i4>0</vt:i4>
      </vt:variant>
      <vt:variant>
        <vt:i4>5</vt:i4>
      </vt:variant>
      <vt:variant>
        <vt:lpwstr>http://www.nevo.co.il/case/25455685</vt:lpwstr>
      </vt:variant>
      <vt:variant>
        <vt:lpwstr/>
      </vt:variant>
      <vt:variant>
        <vt:i4>3539056</vt:i4>
      </vt:variant>
      <vt:variant>
        <vt:i4>90</vt:i4>
      </vt:variant>
      <vt:variant>
        <vt:i4>0</vt:i4>
      </vt:variant>
      <vt:variant>
        <vt:i4>5</vt:i4>
      </vt:variant>
      <vt:variant>
        <vt:lpwstr>http://www.nevo.co.il/case/27742715</vt:lpwstr>
      </vt:variant>
      <vt:variant>
        <vt:lpwstr/>
      </vt:variant>
      <vt:variant>
        <vt:i4>4063351</vt:i4>
      </vt:variant>
      <vt:variant>
        <vt:i4>87</vt:i4>
      </vt:variant>
      <vt:variant>
        <vt:i4>0</vt:i4>
      </vt:variant>
      <vt:variant>
        <vt:i4>5</vt:i4>
      </vt:variant>
      <vt:variant>
        <vt:lpwstr>http://www.nevo.co.il/case/26845111</vt:lpwstr>
      </vt:variant>
      <vt:variant>
        <vt:lpwstr/>
      </vt:variant>
      <vt:variant>
        <vt:i4>3735670</vt:i4>
      </vt:variant>
      <vt:variant>
        <vt:i4>84</vt:i4>
      </vt:variant>
      <vt:variant>
        <vt:i4>0</vt:i4>
      </vt:variant>
      <vt:variant>
        <vt:i4>5</vt:i4>
      </vt:variant>
      <vt:variant>
        <vt:lpwstr>http://www.nevo.co.il/case/28092391</vt:lpwstr>
      </vt:variant>
      <vt:variant>
        <vt:lpwstr/>
      </vt:variant>
      <vt:variant>
        <vt:i4>3145849</vt:i4>
      </vt:variant>
      <vt:variant>
        <vt:i4>81</vt:i4>
      </vt:variant>
      <vt:variant>
        <vt:i4>0</vt:i4>
      </vt:variant>
      <vt:variant>
        <vt:i4>5</vt:i4>
      </vt:variant>
      <vt:variant>
        <vt:lpwstr>http://www.nevo.co.il/case/13093721</vt:lpwstr>
      </vt:variant>
      <vt:variant>
        <vt:lpwstr/>
      </vt:variant>
      <vt:variant>
        <vt:i4>7995492</vt:i4>
      </vt:variant>
      <vt:variant>
        <vt:i4>78</vt:i4>
      </vt:variant>
      <vt:variant>
        <vt:i4>0</vt:i4>
      </vt:variant>
      <vt:variant>
        <vt:i4>5</vt:i4>
      </vt:variant>
      <vt:variant>
        <vt:lpwstr>http://www.nevo.co.il/law/74345</vt:lpwstr>
      </vt:variant>
      <vt:variant>
        <vt:lpwstr/>
      </vt:variant>
      <vt:variant>
        <vt:i4>7995492</vt:i4>
      </vt:variant>
      <vt:variant>
        <vt:i4>75</vt:i4>
      </vt:variant>
      <vt:variant>
        <vt:i4>0</vt:i4>
      </vt:variant>
      <vt:variant>
        <vt:i4>5</vt:i4>
      </vt:variant>
      <vt:variant>
        <vt:lpwstr>http://www.nevo.co.il/law/74345</vt:lpwstr>
      </vt:variant>
      <vt:variant>
        <vt:lpwstr/>
      </vt:variant>
      <vt:variant>
        <vt:i4>8061026</vt:i4>
      </vt:variant>
      <vt:variant>
        <vt:i4>72</vt:i4>
      </vt:variant>
      <vt:variant>
        <vt:i4>0</vt:i4>
      </vt:variant>
      <vt:variant>
        <vt:i4>5</vt:i4>
      </vt:variant>
      <vt:variant>
        <vt:lpwstr>http://www.nevo.co.il/law/74345/3.a</vt:lpwstr>
      </vt:variant>
      <vt:variant>
        <vt:lpwstr/>
      </vt:variant>
      <vt:variant>
        <vt:i4>8061034</vt:i4>
      </vt:variant>
      <vt:variant>
        <vt:i4>69</vt:i4>
      </vt:variant>
      <vt:variant>
        <vt:i4>0</vt:i4>
      </vt:variant>
      <vt:variant>
        <vt:i4>5</vt:i4>
      </vt:variant>
      <vt:variant>
        <vt:lpwstr>http://www.nevo.co.il/law/84255</vt:lpwstr>
      </vt:variant>
      <vt:variant>
        <vt:lpwstr/>
      </vt:variant>
      <vt:variant>
        <vt:i4>4718685</vt:i4>
      </vt:variant>
      <vt:variant>
        <vt:i4>66</vt:i4>
      </vt:variant>
      <vt:variant>
        <vt:i4>0</vt:i4>
      </vt:variant>
      <vt:variant>
        <vt:i4>5</vt:i4>
      </vt:variant>
      <vt:variant>
        <vt:lpwstr>http://www.nevo.co.il/law/84255/220.5</vt:lpwstr>
      </vt:variant>
      <vt:variant>
        <vt:lpwstr/>
      </vt:variant>
      <vt:variant>
        <vt:i4>4718685</vt:i4>
      </vt:variant>
      <vt:variant>
        <vt:i4>63</vt:i4>
      </vt:variant>
      <vt:variant>
        <vt:i4>0</vt:i4>
      </vt:variant>
      <vt:variant>
        <vt:i4>5</vt:i4>
      </vt:variant>
      <vt:variant>
        <vt:lpwstr>http://www.nevo.co.il/law/84255/220.1</vt:lpwstr>
      </vt:variant>
      <vt:variant>
        <vt:lpwstr/>
      </vt:variant>
      <vt:variant>
        <vt:i4>3997821</vt:i4>
      </vt:variant>
      <vt:variant>
        <vt:i4>60</vt:i4>
      </vt:variant>
      <vt:variant>
        <vt:i4>0</vt:i4>
      </vt:variant>
      <vt:variant>
        <vt:i4>5</vt:i4>
      </vt:variant>
      <vt:variant>
        <vt:lpwstr>http://www.nevo.co.il/law/4216/7.a.;7.c</vt:lpwstr>
      </vt:variant>
      <vt:variant>
        <vt:lpwstr/>
      </vt:variant>
      <vt:variant>
        <vt:i4>3014771</vt:i4>
      </vt:variant>
      <vt:variant>
        <vt:i4>57</vt:i4>
      </vt:variant>
      <vt:variant>
        <vt:i4>0</vt:i4>
      </vt:variant>
      <vt:variant>
        <vt:i4>5</vt:i4>
      </vt:variant>
      <vt:variant>
        <vt:lpwstr>http://www.nevo.co.il/law/4216/19a</vt:lpwstr>
      </vt:variant>
      <vt:variant>
        <vt:lpwstr/>
      </vt:variant>
      <vt:variant>
        <vt:i4>5177418</vt:i4>
      </vt:variant>
      <vt:variant>
        <vt:i4>54</vt:i4>
      </vt:variant>
      <vt:variant>
        <vt:i4>0</vt:i4>
      </vt:variant>
      <vt:variant>
        <vt:i4>5</vt:i4>
      </vt:variant>
      <vt:variant>
        <vt:lpwstr>http://www.nevo.co.il/law/4216/13</vt:lpwstr>
      </vt:variant>
      <vt:variant>
        <vt:lpwstr/>
      </vt:variant>
      <vt:variant>
        <vt:i4>7995492</vt:i4>
      </vt:variant>
      <vt:variant>
        <vt:i4>51</vt:i4>
      </vt:variant>
      <vt:variant>
        <vt:i4>0</vt:i4>
      </vt:variant>
      <vt:variant>
        <vt:i4>5</vt:i4>
      </vt:variant>
      <vt:variant>
        <vt:lpwstr>http://www.nevo.co.il/law/70301</vt:lpwstr>
      </vt:variant>
      <vt:variant>
        <vt:lpwstr/>
      </vt:variant>
      <vt:variant>
        <vt:i4>6291559</vt:i4>
      </vt:variant>
      <vt:variant>
        <vt:i4>48</vt:i4>
      </vt:variant>
      <vt:variant>
        <vt:i4>0</vt:i4>
      </vt:variant>
      <vt:variant>
        <vt:i4>5</vt:i4>
      </vt:variant>
      <vt:variant>
        <vt:lpwstr>http://www.nevo.co.il/law/70301/25</vt:lpwstr>
      </vt:variant>
      <vt:variant>
        <vt:lpwstr/>
      </vt:variant>
      <vt:variant>
        <vt:i4>5177418</vt:i4>
      </vt:variant>
      <vt:variant>
        <vt:i4>45</vt:i4>
      </vt:variant>
      <vt:variant>
        <vt:i4>0</vt:i4>
      </vt:variant>
      <vt:variant>
        <vt:i4>5</vt:i4>
      </vt:variant>
      <vt:variant>
        <vt:lpwstr>http://www.nevo.co.il/law/4216/13</vt:lpwstr>
      </vt:variant>
      <vt:variant>
        <vt:lpwstr/>
      </vt:variant>
      <vt:variant>
        <vt:i4>8257637</vt:i4>
      </vt:variant>
      <vt:variant>
        <vt:i4>42</vt:i4>
      </vt:variant>
      <vt:variant>
        <vt:i4>0</vt:i4>
      </vt:variant>
      <vt:variant>
        <vt:i4>5</vt:i4>
      </vt:variant>
      <vt:variant>
        <vt:lpwstr>http://www.nevo.co.il/law/4216</vt:lpwstr>
      </vt:variant>
      <vt:variant>
        <vt:lpwstr/>
      </vt:variant>
      <vt:variant>
        <vt:i4>5177418</vt:i4>
      </vt:variant>
      <vt:variant>
        <vt:i4>39</vt:i4>
      </vt:variant>
      <vt:variant>
        <vt:i4>0</vt:i4>
      </vt:variant>
      <vt:variant>
        <vt:i4>5</vt:i4>
      </vt:variant>
      <vt:variant>
        <vt:lpwstr>http://www.nevo.co.il/law/4216/13</vt:lpwstr>
      </vt:variant>
      <vt:variant>
        <vt:lpwstr/>
      </vt:variant>
      <vt:variant>
        <vt:i4>8061026</vt:i4>
      </vt:variant>
      <vt:variant>
        <vt:i4>36</vt:i4>
      </vt:variant>
      <vt:variant>
        <vt:i4>0</vt:i4>
      </vt:variant>
      <vt:variant>
        <vt:i4>5</vt:i4>
      </vt:variant>
      <vt:variant>
        <vt:lpwstr>http://www.nevo.co.il/law/74345/3.a</vt:lpwstr>
      </vt:variant>
      <vt:variant>
        <vt:lpwstr/>
      </vt:variant>
      <vt:variant>
        <vt:i4>7995492</vt:i4>
      </vt:variant>
      <vt:variant>
        <vt:i4>33</vt:i4>
      </vt:variant>
      <vt:variant>
        <vt:i4>0</vt:i4>
      </vt:variant>
      <vt:variant>
        <vt:i4>5</vt:i4>
      </vt:variant>
      <vt:variant>
        <vt:lpwstr>http://www.nevo.co.il/law/74345</vt:lpwstr>
      </vt:variant>
      <vt:variant>
        <vt:lpwstr/>
      </vt:variant>
      <vt:variant>
        <vt:i4>4718685</vt:i4>
      </vt:variant>
      <vt:variant>
        <vt:i4>30</vt:i4>
      </vt:variant>
      <vt:variant>
        <vt:i4>0</vt:i4>
      </vt:variant>
      <vt:variant>
        <vt:i4>5</vt:i4>
      </vt:variant>
      <vt:variant>
        <vt:lpwstr>http://www.nevo.co.il/law/84255/220.5</vt:lpwstr>
      </vt:variant>
      <vt:variant>
        <vt:lpwstr/>
      </vt:variant>
      <vt:variant>
        <vt:i4>4718685</vt:i4>
      </vt:variant>
      <vt:variant>
        <vt:i4>27</vt:i4>
      </vt:variant>
      <vt:variant>
        <vt:i4>0</vt:i4>
      </vt:variant>
      <vt:variant>
        <vt:i4>5</vt:i4>
      </vt:variant>
      <vt:variant>
        <vt:lpwstr>http://www.nevo.co.il/law/84255/220.1</vt:lpwstr>
      </vt:variant>
      <vt:variant>
        <vt:lpwstr/>
      </vt:variant>
      <vt:variant>
        <vt:i4>8061034</vt:i4>
      </vt:variant>
      <vt:variant>
        <vt:i4>24</vt:i4>
      </vt:variant>
      <vt:variant>
        <vt:i4>0</vt:i4>
      </vt:variant>
      <vt:variant>
        <vt:i4>5</vt:i4>
      </vt:variant>
      <vt:variant>
        <vt:lpwstr>http://www.nevo.co.il/law/84255</vt:lpwstr>
      </vt:variant>
      <vt:variant>
        <vt:lpwstr/>
      </vt:variant>
      <vt:variant>
        <vt:i4>4915205</vt:i4>
      </vt:variant>
      <vt:variant>
        <vt:i4>21</vt:i4>
      </vt:variant>
      <vt:variant>
        <vt:i4>0</vt:i4>
      </vt:variant>
      <vt:variant>
        <vt:i4>5</vt:i4>
      </vt:variant>
      <vt:variant>
        <vt:lpwstr>http://www.nevo.co.il/law/70301/40d.a</vt:lpwstr>
      </vt:variant>
      <vt:variant>
        <vt:lpwstr/>
      </vt:variant>
      <vt:variant>
        <vt:i4>6291559</vt:i4>
      </vt:variant>
      <vt:variant>
        <vt:i4>18</vt:i4>
      </vt:variant>
      <vt:variant>
        <vt:i4>0</vt:i4>
      </vt:variant>
      <vt:variant>
        <vt:i4>5</vt:i4>
      </vt:variant>
      <vt:variant>
        <vt:lpwstr>http://www.nevo.co.il/law/70301/25</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2025-04-22T21:10:00Z</dcterms:created>
  <dcterms:modified xsi:type="dcterms:W3CDTF">2025-04-22T21:10:00Z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30580</vt:lpwstr>
  </property>
  <property fmtid="{D5CDD505-2E9C-101B-9397-08002B2CF9AE}" pid="6" name="NEWPARTB">
    <vt:lpwstr>02</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שגיא אברבך</vt:lpwstr>
  </property>
  <property fmtid="{D5CDD505-2E9C-101B-9397-08002B2CF9AE}" pid="10" name="LAWYER">
    <vt:lpwstr>רוית שפיר;יעקב שקלאר;גיא זהבי;אריק רוש</vt:lpwstr>
  </property>
  <property fmtid="{D5CDD505-2E9C-101B-9397-08002B2CF9AE}" pid="11" name="JUDGE">
    <vt:lpwstr>בני שגיא</vt:lpwstr>
  </property>
  <property fmtid="{D5CDD505-2E9C-101B-9397-08002B2CF9AE}" pid="12" name="CITY">
    <vt:lpwstr>ת"א</vt:lpwstr>
  </property>
  <property fmtid="{D5CDD505-2E9C-101B-9397-08002B2CF9AE}" pid="13" name="DATE">
    <vt:lpwstr>20231123</vt:lpwstr>
  </property>
  <property fmtid="{D5CDD505-2E9C-101B-9397-08002B2CF9AE}" pid="14" name="GUSHSUB1">
    <vt:lpwstr>11577</vt:lpwstr>
  </property>
  <property fmtid="{D5CDD505-2E9C-101B-9397-08002B2CF9AE}" pid="15" name="HELKASUB1">
    <vt:lpwstr>87</vt:lpwstr>
  </property>
  <property fmtid="{D5CDD505-2E9C-101B-9397-08002B2CF9AE}" pid="16" name="TYPE_N_DATE">
    <vt:lpwstr>39020231123</vt:lpwstr>
  </property>
  <property fmtid="{D5CDD505-2E9C-101B-9397-08002B2CF9AE}" pid="17" name="WORDNUMPAGES">
    <vt:lpwstr>15</vt:lpwstr>
  </property>
  <property fmtid="{D5CDD505-2E9C-101B-9397-08002B2CF9AE}" pid="18" name="TYPE_ABS_DATE">
    <vt:lpwstr>390020231123</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CASESLISTTMP1">
    <vt:lpwstr>13093721;28092391;26845111;27742715;25455685;21662213;27494822;23386833;22999501;26180157;25442339;20244119;20238204;20240530</vt:lpwstr>
  </property>
  <property fmtid="{D5CDD505-2E9C-101B-9397-08002B2CF9AE}" pid="38" name="LAWLISTTMP1">
    <vt:lpwstr>4216/013:3;019a;007.a;007.c</vt:lpwstr>
  </property>
  <property fmtid="{D5CDD505-2E9C-101B-9397-08002B2CF9AE}" pid="39" name="LAWLISTTMP2">
    <vt:lpwstr>70301/025;040d.a</vt:lpwstr>
  </property>
  <property fmtid="{D5CDD505-2E9C-101B-9397-08002B2CF9AE}" pid="40" name="LAWLISTTMP3">
    <vt:lpwstr>84255/220.1;220.5</vt:lpwstr>
  </property>
  <property fmtid="{D5CDD505-2E9C-101B-9397-08002B2CF9AE}" pid="41" name="LAWLISTTMP4">
    <vt:lpwstr>74345/003.a</vt:lpwstr>
  </property>
</Properties>
</file>