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B0E98" w:rsidRPr="000106E8" w14:paraId="1C2085D7" w14:textId="77777777" w:rsidTr="00285F71">
        <w:trPr>
          <w:trHeight w:hRule="exact" w:val="418"/>
          <w:jc w:val="center"/>
        </w:trPr>
        <w:tc>
          <w:tcPr>
            <w:tcW w:w="8721" w:type="dxa"/>
            <w:gridSpan w:val="2"/>
          </w:tcPr>
          <w:p w14:paraId="37FDBBF5" w14:textId="77777777" w:rsidR="001B0E98" w:rsidRPr="000106E8" w:rsidRDefault="001B0E98" w:rsidP="004E0615">
            <w:pPr>
              <w:pStyle w:val="a3"/>
              <w:jc w:val="center"/>
              <w:rPr>
                <w:rFonts w:ascii="Tahoma" w:hAnsi="Tahoma" w:cs="Tahoma"/>
                <w:color w:val="000080"/>
                <w:rtl/>
              </w:rPr>
            </w:pPr>
            <w:bookmarkStart w:id="0" w:name="LastJudge"/>
            <w:r w:rsidRPr="000106E8">
              <w:rPr>
                <w:rFonts w:ascii="Tahoma" w:hAnsi="Tahoma" w:cs="Tahoma"/>
                <w:b/>
                <w:bCs/>
                <w:color w:val="000080"/>
                <w:rtl/>
              </w:rPr>
              <w:t>בית המשפט המחוזי מרכז-לוד</w:t>
            </w:r>
          </w:p>
        </w:tc>
      </w:tr>
      <w:tr w:rsidR="001B0E98" w:rsidRPr="000106E8" w14:paraId="638FE38F" w14:textId="77777777" w:rsidTr="00285F71">
        <w:trPr>
          <w:trHeight w:val="337"/>
          <w:jc w:val="center"/>
        </w:trPr>
        <w:tc>
          <w:tcPr>
            <w:tcW w:w="5054" w:type="dxa"/>
          </w:tcPr>
          <w:p w14:paraId="26BB48CC" w14:textId="77777777" w:rsidR="001B0E98" w:rsidRPr="000106E8" w:rsidRDefault="001B0E98" w:rsidP="004E0615">
            <w:pPr>
              <w:rPr>
                <w:rFonts w:cs="FrankRuehl"/>
                <w:sz w:val="28"/>
                <w:szCs w:val="28"/>
                <w:rtl/>
              </w:rPr>
            </w:pPr>
            <w:r w:rsidRPr="000106E8">
              <w:rPr>
                <w:rFonts w:cs="FrankRuehl"/>
                <w:sz w:val="28"/>
                <w:szCs w:val="28"/>
                <w:rtl/>
              </w:rPr>
              <w:t>ת"פ</w:t>
            </w:r>
            <w:r w:rsidRPr="000106E8">
              <w:rPr>
                <w:rFonts w:cs="FrankRuehl" w:hint="cs"/>
                <w:sz w:val="28"/>
                <w:szCs w:val="28"/>
                <w:rtl/>
              </w:rPr>
              <w:t xml:space="preserve"> </w:t>
            </w:r>
            <w:r w:rsidRPr="000106E8">
              <w:rPr>
                <w:rFonts w:cs="FrankRuehl"/>
                <w:sz w:val="28"/>
                <w:szCs w:val="28"/>
                <w:rtl/>
              </w:rPr>
              <w:t>58603-06-21</w:t>
            </w:r>
            <w:r w:rsidRPr="000106E8">
              <w:rPr>
                <w:rFonts w:cs="FrankRuehl" w:hint="cs"/>
                <w:sz w:val="28"/>
                <w:szCs w:val="28"/>
                <w:rtl/>
              </w:rPr>
              <w:t xml:space="preserve"> </w:t>
            </w:r>
            <w:r w:rsidRPr="000106E8">
              <w:rPr>
                <w:rFonts w:cs="FrankRuehl"/>
                <w:sz w:val="28"/>
                <w:szCs w:val="28"/>
                <w:rtl/>
              </w:rPr>
              <w:t>מדינת ישראל נ' מצורו</w:t>
            </w:r>
          </w:p>
          <w:p w14:paraId="79E47CB8" w14:textId="77777777" w:rsidR="001B0E98" w:rsidRPr="000106E8" w:rsidRDefault="001B0E98" w:rsidP="004E0615">
            <w:pPr>
              <w:pStyle w:val="a3"/>
              <w:rPr>
                <w:rFonts w:cs="FrankRuehl"/>
                <w:sz w:val="28"/>
                <w:szCs w:val="28"/>
                <w:rtl/>
              </w:rPr>
            </w:pPr>
          </w:p>
        </w:tc>
        <w:tc>
          <w:tcPr>
            <w:tcW w:w="3667" w:type="dxa"/>
          </w:tcPr>
          <w:p w14:paraId="4D918B0A" w14:textId="77777777" w:rsidR="001B0E98" w:rsidRPr="000106E8" w:rsidRDefault="001B0E98" w:rsidP="004E0615">
            <w:pPr>
              <w:pStyle w:val="a3"/>
              <w:jc w:val="right"/>
              <w:rPr>
                <w:rFonts w:cs="FrankRuehl"/>
                <w:sz w:val="28"/>
                <w:szCs w:val="28"/>
                <w:rtl/>
              </w:rPr>
            </w:pPr>
          </w:p>
        </w:tc>
      </w:tr>
    </w:tbl>
    <w:p w14:paraId="2219D87E" w14:textId="77777777" w:rsidR="001B0E98" w:rsidRPr="000106E8" w:rsidRDefault="001B0E98" w:rsidP="001B0E98">
      <w:pPr>
        <w:pStyle w:val="a3"/>
        <w:rPr>
          <w:rtl/>
        </w:rPr>
      </w:pPr>
      <w:r w:rsidRPr="000106E8">
        <w:rPr>
          <w:rFonts w:hint="cs"/>
          <w:rtl/>
        </w:rPr>
        <w:t xml:space="preserve"> </w:t>
      </w:r>
    </w:p>
    <w:p w14:paraId="549310B2" w14:textId="77777777" w:rsidR="001B0E98" w:rsidRPr="000106E8" w:rsidRDefault="001B0E98" w:rsidP="001B0E98">
      <w:pPr>
        <w:rPr>
          <w:rtl/>
        </w:rPr>
      </w:pPr>
    </w:p>
    <w:p w14:paraId="28F45BF9" w14:textId="77777777" w:rsidR="001B0E98" w:rsidRPr="000106E8" w:rsidRDefault="001B0E98" w:rsidP="001B0E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B0E98" w:rsidRPr="000106E8" w14:paraId="68EDDA99" w14:textId="77777777" w:rsidTr="001B0E98">
        <w:trPr>
          <w:trHeight w:val="295"/>
          <w:jc w:val="center"/>
        </w:trPr>
        <w:tc>
          <w:tcPr>
            <w:tcW w:w="923" w:type="dxa"/>
            <w:tcBorders>
              <w:top w:val="nil"/>
              <w:left w:val="nil"/>
              <w:bottom w:val="nil"/>
              <w:right w:val="nil"/>
            </w:tcBorders>
            <w:shd w:val="clear" w:color="auto" w:fill="auto"/>
          </w:tcPr>
          <w:p w14:paraId="41793B18" w14:textId="77777777" w:rsidR="001B0E98" w:rsidRPr="000106E8" w:rsidRDefault="001B0E98" w:rsidP="001B0E98">
            <w:pPr>
              <w:jc w:val="both"/>
              <w:rPr>
                <w:rFonts w:ascii="David" w:hAnsi="David"/>
                <w:sz w:val="26"/>
                <w:szCs w:val="26"/>
              </w:rPr>
            </w:pPr>
            <w:r w:rsidRPr="000106E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2DCE72D" w14:textId="77777777" w:rsidR="001B0E98" w:rsidRPr="000106E8" w:rsidRDefault="001B0E98" w:rsidP="004E0615">
            <w:pPr>
              <w:rPr>
                <w:rFonts w:ascii="David" w:hAnsi="David"/>
                <w:b/>
                <w:bCs/>
                <w:sz w:val="26"/>
                <w:szCs w:val="26"/>
                <w:rtl/>
              </w:rPr>
            </w:pPr>
            <w:r w:rsidRPr="000106E8">
              <w:rPr>
                <w:rFonts w:ascii="David" w:hAnsi="David"/>
                <w:b/>
                <w:bCs/>
                <w:sz w:val="26"/>
                <w:szCs w:val="26"/>
                <w:rtl/>
              </w:rPr>
              <w:t>כבוד השופטת  מרב גרינברג</w:t>
            </w:r>
          </w:p>
          <w:p w14:paraId="4F9D92EC" w14:textId="77777777" w:rsidR="001B0E98" w:rsidRPr="000106E8" w:rsidRDefault="001B0E98" w:rsidP="004E0615">
            <w:pPr>
              <w:rPr>
                <w:rFonts w:ascii="David" w:hAnsi="David"/>
                <w:sz w:val="26"/>
                <w:szCs w:val="26"/>
                <w:rtl/>
              </w:rPr>
            </w:pPr>
          </w:p>
          <w:p w14:paraId="6B1A3EF3" w14:textId="77777777" w:rsidR="001B0E98" w:rsidRPr="000106E8" w:rsidRDefault="001B0E98" w:rsidP="001B0E98">
            <w:pPr>
              <w:jc w:val="both"/>
              <w:rPr>
                <w:rFonts w:ascii="David" w:hAnsi="David"/>
                <w:sz w:val="26"/>
                <w:szCs w:val="26"/>
              </w:rPr>
            </w:pPr>
          </w:p>
        </w:tc>
      </w:tr>
      <w:tr w:rsidR="001B0E98" w:rsidRPr="000106E8" w14:paraId="21F11933" w14:textId="77777777" w:rsidTr="001B0E98">
        <w:trPr>
          <w:trHeight w:val="355"/>
          <w:jc w:val="center"/>
        </w:trPr>
        <w:tc>
          <w:tcPr>
            <w:tcW w:w="923" w:type="dxa"/>
            <w:tcBorders>
              <w:top w:val="nil"/>
              <w:left w:val="nil"/>
              <w:bottom w:val="nil"/>
              <w:right w:val="nil"/>
            </w:tcBorders>
            <w:shd w:val="clear" w:color="auto" w:fill="auto"/>
          </w:tcPr>
          <w:p w14:paraId="07E81632" w14:textId="77777777" w:rsidR="001B0E98" w:rsidRPr="000106E8" w:rsidRDefault="001B0E98" w:rsidP="001B0E98">
            <w:pPr>
              <w:jc w:val="both"/>
              <w:rPr>
                <w:rFonts w:ascii="David" w:hAnsi="David"/>
                <w:sz w:val="26"/>
                <w:szCs w:val="26"/>
              </w:rPr>
            </w:pPr>
            <w:bookmarkStart w:id="1" w:name="FirstAppellant"/>
            <w:bookmarkStart w:id="2" w:name="FirstLawyer"/>
            <w:r w:rsidRPr="000106E8">
              <w:rPr>
                <w:rFonts w:ascii="David" w:hAnsi="David"/>
                <w:sz w:val="26"/>
                <w:szCs w:val="26"/>
                <w:rtl/>
              </w:rPr>
              <w:t>בעניין:</w:t>
            </w:r>
          </w:p>
        </w:tc>
        <w:tc>
          <w:tcPr>
            <w:tcW w:w="3219" w:type="dxa"/>
            <w:tcBorders>
              <w:top w:val="nil"/>
              <w:left w:val="nil"/>
              <w:bottom w:val="nil"/>
              <w:right w:val="nil"/>
            </w:tcBorders>
            <w:shd w:val="clear" w:color="auto" w:fill="auto"/>
          </w:tcPr>
          <w:p w14:paraId="6DA8443E" w14:textId="77777777" w:rsidR="001B0E98" w:rsidRPr="000106E8" w:rsidRDefault="001B0E98" w:rsidP="001B0E98">
            <w:pPr>
              <w:suppressLineNumbers/>
            </w:pPr>
            <w:r w:rsidRPr="000106E8">
              <w:rPr>
                <w:rFonts w:ascii="Arial" w:hAnsi="Arial" w:hint="cs"/>
                <w:b/>
                <w:bCs/>
                <w:sz w:val="26"/>
                <w:szCs w:val="26"/>
                <w:rtl/>
              </w:rPr>
              <w:t>ה</w:t>
            </w:r>
            <w:r w:rsidRPr="000106E8">
              <w:rPr>
                <w:rFonts w:ascii="Arial" w:hAnsi="Arial"/>
                <w:b/>
                <w:bCs/>
                <w:sz w:val="26"/>
                <w:szCs w:val="26"/>
                <w:rtl/>
              </w:rPr>
              <w:t>מאשימה</w:t>
            </w:r>
          </w:p>
          <w:p w14:paraId="6B4EF4AF" w14:textId="77777777" w:rsidR="001B0E98" w:rsidRPr="000106E8" w:rsidRDefault="001B0E98" w:rsidP="004E0615">
            <w:pPr>
              <w:rPr>
                <w:rFonts w:ascii="David" w:hAnsi="David"/>
                <w:sz w:val="26"/>
                <w:szCs w:val="26"/>
              </w:rPr>
            </w:pPr>
          </w:p>
        </w:tc>
        <w:tc>
          <w:tcPr>
            <w:tcW w:w="4678" w:type="dxa"/>
            <w:tcBorders>
              <w:top w:val="nil"/>
              <w:left w:val="nil"/>
              <w:bottom w:val="nil"/>
              <w:right w:val="nil"/>
            </w:tcBorders>
            <w:shd w:val="clear" w:color="auto" w:fill="auto"/>
            <w:vAlign w:val="center"/>
          </w:tcPr>
          <w:p w14:paraId="4F0DC8A5" w14:textId="77777777" w:rsidR="001B0E98" w:rsidRPr="000106E8" w:rsidRDefault="001B0E98" w:rsidP="001B0E98">
            <w:pPr>
              <w:suppressLineNumbers/>
              <w:rPr>
                <w:rFonts w:ascii="Arial" w:hAnsi="Arial"/>
                <w:b/>
                <w:bCs/>
                <w:sz w:val="26"/>
                <w:szCs w:val="26"/>
                <w:rtl/>
              </w:rPr>
            </w:pPr>
            <w:r w:rsidRPr="000106E8">
              <w:rPr>
                <w:rFonts w:ascii="Arial" w:hAnsi="Arial"/>
                <w:b/>
                <w:bCs/>
                <w:sz w:val="26"/>
                <w:szCs w:val="26"/>
                <w:rtl/>
              </w:rPr>
              <w:t>מדינת ישראל</w:t>
            </w:r>
            <w:r w:rsidRPr="000106E8">
              <w:rPr>
                <w:rFonts w:ascii="Arial" w:hAnsi="Arial" w:hint="cs"/>
                <w:b/>
                <w:bCs/>
                <w:sz w:val="26"/>
                <w:szCs w:val="26"/>
                <w:rtl/>
              </w:rPr>
              <w:t xml:space="preserve"> </w:t>
            </w:r>
          </w:p>
          <w:p w14:paraId="5ED75182" w14:textId="77777777" w:rsidR="001B0E98" w:rsidRPr="000106E8" w:rsidRDefault="001B0E98" w:rsidP="001B0E98">
            <w:pPr>
              <w:suppressLineNumbers/>
            </w:pPr>
            <w:r w:rsidRPr="000106E8">
              <w:rPr>
                <w:rFonts w:ascii="Arial" w:hAnsi="Arial"/>
                <w:b/>
                <w:bCs/>
                <w:sz w:val="26"/>
                <w:szCs w:val="26"/>
                <w:rtl/>
              </w:rPr>
              <w:t>ע"י ב"כ עוה"ד</w:t>
            </w:r>
            <w:r w:rsidRPr="000106E8">
              <w:rPr>
                <w:rFonts w:ascii="Arial" w:hAnsi="Arial" w:hint="cs"/>
                <w:b/>
                <w:bCs/>
                <w:sz w:val="26"/>
                <w:szCs w:val="26"/>
                <w:rtl/>
              </w:rPr>
              <w:t xml:space="preserve"> ליטל שירי</w:t>
            </w:r>
          </w:p>
          <w:p w14:paraId="055ED3D4" w14:textId="77777777" w:rsidR="001B0E98" w:rsidRPr="000106E8" w:rsidRDefault="001B0E98" w:rsidP="004E0615">
            <w:pPr>
              <w:rPr>
                <w:rFonts w:ascii="David" w:hAnsi="David"/>
                <w:sz w:val="26"/>
                <w:szCs w:val="26"/>
              </w:rPr>
            </w:pPr>
          </w:p>
        </w:tc>
      </w:tr>
      <w:bookmarkEnd w:id="1"/>
      <w:bookmarkEnd w:id="2"/>
      <w:tr w:rsidR="001B0E98" w:rsidRPr="000106E8" w14:paraId="00CCB084" w14:textId="77777777" w:rsidTr="001B0E98">
        <w:trPr>
          <w:trHeight w:val="355"/>
          <w:jc w:val="center"/>
        </w:trPr>
        <w:tc>
          <w:tcPr>
            <w:tcW w:w="923" w:type="dxa"/>
            <w:tcBorders>
              <w:top w:val="nil"/>
              <w:left w:val="nil"/>
              <w:bottom w:val="nil"/>
              <w:right w:val="nil"/>
            </w:tcBorders>
            <w:shd w:val="clear" w:color="auto" w:fill="auto"/>
          </w:tcPr>
          <w:p w14:paraId="3960814F" w14:textId="77777777" w:rsidR="001B0E98" w:rsidRPr="000106E8" w:rsidRDefault="001B0E98" w:rsidP="001B0E9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64D8DFD" w14:textId="77777777" w:rsidR="001B0E98" w:rsidRPr="000106E8" w:rsidRDefault="001B0E98" w:rsidP="001B0E98">
            <w:pPr>
              <w:jc w:val="center"/>
              <w:rPr>
                <w:rFonts w:ascii="David" w:hAnsi="David"/>
                <w:b/>
                <w:bCs/>
                <w:sz w:val="26"/>
                <w:szCs w:val="26"/>
                <w:rtl/>
              </w:rPr>
            </w:pPr>
          </w:p>
          <w:p w14:paraId="284CF808" w14:textId="77777777" w:rsidR="001B0E98" w:rsidRPr="000106E8" w:rsidRDefault="001B0E98" w:rsidP="001B0E98">
            <w:pPr>
              <w:jc w:val="center"/>
              <w:rPr>
                <w:rFonts w:ascii="David" w:hAnsi="David"/>
                <w:b/>
                <w:bCs/>
                <w:sz w:val="26"/>
                <w:szCs w:val="26"/>
                <w:rtl/>
              </w:rPr>
            </w:pPr>
            <w:r w:rsidRPr="000106E8">
              <w:rPr>
                <w:rFonts w:ascii="David" w:hAnsi="David"/>
                <w:b/>
                <w:bCs/>
                <w:sz w:val="26"/>
                <w:szCs w:val="26"/>
                <w:rtl/>
              </w:rPr>
              <w:t>נגד</w:t>
            </w:r>
          </w:p>
          <w:p w14:paraId="2BD40B92" w14:textId="77777777" w:rsidR="001B0E98" w:rsidRPr="000106E8" w:rsidRDefault="001B0E98" w:rsidP="001B0E98">
            <w:pPr>
              <w:jc w:val="both"/>
              <w:rPr>
                <w:rFonts w:ascii="David" w:hAnsi="David"/>
                <w:sz w:val="26"/>
                <w:szCs w:val="26"/>
              </w:rPr>
            </w:pPr>
          </w:p>
        </w:tc>
      </w:tr>
      <w:tr w:rsidR="001B0E98" w:rsidRPr="000106E8" w14:paraId="4F578DF9" w14:textId="77777777" w:rsidTr="001B0E98">
        <w:trPr>
          <w:trHeight w:val="355"/>
          <w:jc w:val="center"/>
        </w:trPr>
        <w:tc>
          <w:tcPr>
            <w:tcW w:w="923" w:type="dxa"/>
            <w:tcBorders>
              <w:top w:val="nil"/>
              <w:left w:val="nil"/>
              <w:bottom w:val="nil"/>
              <w:right w:val="nil"/>
            </w:tcBorders>
            <w:shd w:val="clear" w:color="auto" w:fill="auto"/>
          </w:tcPr>
          <w:p w14:paraId="479C6E93" w14:textId="77777777" w:rsidR="001B0E98" w:rsidRPr="000106E8" w:rsidRDefault="001B0E98" w:rsidP="004E0615">
            <w:pPr>
              <w:rPr>
                <w:rFonts w:ascii="David" w:hAnsi="David"/>
                <w:sz w:val="26"/>
                <w:szCs w:val="26"/>
                <w:rtl/>
              </w:rPr>
            </w:pPr>
          </w:p>
        </w:tc>
        <w:tc>
          <w:tcPr>
            <w:tcW w:w="3219" w:type="dxa"/>
            <w:tcBorders>
              <w:top w:val="nil"/>
              <w:left w:val="nil"/>
              <w:bottom w:val="nil"/>
              <w:right w:val="nil"/>
            </w:tcBorders>
            <w:shd w:val="clear" w:color="auto" w:fill="auto"/>
          </w:tcPr>
          <w:p w14:paraId="574AE733" w14:textId="77777777" w:rsidR="001B0E98" w:rsidRPr="000106E8" w:rsidRDefault="001B0E98" w:rsidP="004E0615">
            <w:pPr>
              <w:rPr>
                <w:rFonts w:ascii="Arial" w:hAnsi="Arial"/>
                <w:b/>
                <w:bCs/>
                <w:sz w:val="26"/>
                <w:szCs w:val="26"/>
                <w:rtl/>
              </w:rPr>
            </w:pPr>
            <w:r w:rsidRPr="000106E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F94871C" w14:textId="77777777" w:rsidR="001B0E98" w:rsidRPr="000106E8" w:rsidRDefault="001B0E98" w:rsidP="001B0E98">
            <w:pPr>
              <w:suppressLineNumbers/>
              <w:rPr>
                <w:rFonts w:ascii="Arial" w:hAnsi="Arial"/>
                <w:b/>
                <w:bCs/>
                <w:sz w:val="26"/>
                <w:szCs w:val="26"/>
                <w:rtl/>
              </w:rPr>
            </w:pPr>
            <w:r w:rsidRPr="000106E8">
              <w:rPr>
                <w:rFonts w:ascii="Arial" w:hAnsi="Arial"/>
                <w:b/>
                <w:bCs/>
                <w:sz w:val="26"/>
                <w:szCs w:val="26"/>
                <w:rtl/>
              </w:rPr>
              <w:t>ארז מצורו</w:t>
            </w:r>
            <w:r w:rsidRPr="000106E8">
              <w:rPr>
                <w:rFonts w:ascii="Arial" w:hAnsi="Arial" w:hint="cs"/>
                <w:b/>
                <w:bCs/>
                <w:sz w:val="26"/>
                <w:szCs w:val="26"/>
                <w:rtl/>
              </w:rPr>
              <w:t xml:space="preserve"> </w:t>
            </w:r>
          </w:p>
          <w:p w14:paraId="3010397B" w14:textId="77777777" w:rsidR="001B0E98" w:rsidRPr="000106E8" w:rsidRDefault="001B0E98" w:rsidP="001B0E98">
            <w:pPr>
              <w:suppressLineNumbers/>
              <w:rPr>
                <w:rFonts w:ascii="Arial" w:hAnsi="Arial"/>
                <w:b/>
                <w:bCs/>
                <w:sz w:val="26"/>
                <w:szCs w:val="26"/>
                <w:rtl/>
              </w:rPr>
            </w:pPr>
            <w:r w:rsidRPr="000106E8">
              <w:rPr>
                <w:rFonts w:ascii="Arial" w:hAnsi="Arial"/>
                <w:b/>
                <w:bCs/>
                <w:sz w:val="26"/>
                <w:szCs w:val="26"/>
                <w:rtl/>
              </w:rPr>
              <w:t>ע"י ב"כ עוה"ד</w:t>
            </w:r>
            <w:r w:rsidRPr="000106E8">
              <w:rPr>
                <w:rFonts w:hint="cs"/>
                <w:rtl/>
              </w:rPr>
              <w:t xml:space="preserve"> </w:t>
            </w:r>
            <w:r w:rsidRPr="000106E8">
              <w:rPr>
                <w:rFonts w:ascii="Arial" w:hAnsi="Arial" w:hint="cs"/>
                <w:b/>
                <w:bCs/>
                <w:sz w:val="26"/>
                <w:szCs w:val="26"/>
                <w:rtl/>
              </w:rPr>
              <w:t>רן תגר</w:t>
            </w:r>
          </w:p>
          <w:p w14:paraId="7979E458" w14:textId="77777777" w:rsidR="001B0E98" w:rsidRPr="000106E8" w:rsidRDefault="001B0E98" w:rsidP="001B0E98">
            <w:pPr>
              <w:suppressLineNumbers/>
            </w:pPr>
          </w:p>
          <w:p w14:paraId="5439FACE" w14:textId="77777777" w:rsidR="001B0E98" w:rsidRPr="000106E8" w:rsidRDefault="001B0E98" w:rsidP="004E0615">
            <w:pPr>
              <w:rPr>
                <w:rFonts w:ascii="David" w:hAnsi="David"/>
                <w:sz w:val="26"/>
                <w:szCs w:val="26"/>
              </w:rPr>
            </w:pPr>
          </w:p>
        </w:tc>
      </w:tr>
    </w:tbl>
    <w:p w14:paraId="6CEE5AD4" w14:textId="77777777" w:rsidR="00285F71" w:rsidRPr="00285F71" w:rsidRDefault="00285F71" w:rsidP="00285F71">
      <w:pPr>
        <w:spacing w:before="120" w:after="120" w:line="240" w:lineRule="exact"/>
        <w:ind w:left="283" w:hanging="283"/>
        <w:jc w:val="both"/>
        <w:rPr>
          <w:rFonts w:ascii="FrankRuehl" w:hAnsi="FrankRuehl" w:cs="FrankRuehl"/>
          <w:rtl/>
        </w:rPr>
      </w:pPr>
    </w:p>
    <w:p w14:paraId="0F1F5AE6" w14:textId="77777777" w:rsidR="00AA2F75" w:rsidRPr="00AA2F75" w:rsidRDefault="00AA2F75" w:rsidP="00AA2F75">
      <w:pPr>
        <w:spacing w:before="120" w:after="120" w:line="240" w:lineRule="exact"/>
        <w:ind w:left="283" w:hanging="283"/>
        <w:jc w:val="both"/>
        <w:rPr>
          <w:rFonts w:ascii="FrankRuehl" w:hAnsi="FrankRuehl" w:cs="FrankRuehl"/>
          <w:rtl/>
        </w:rPr>
      </w:pPr>
    </w:p>
    <w:p w14:paraId="40EEE1FA" w14:textId="77777777" w:rsidR="000C693B" w:rsidRDefault="000C693B" w:rsidP="000C693B">
      <w:pPr>
        <w:rPr>
          <w:sz w:val="26"/>
          <w:szCs w:val="26"/>
          <w:rtl/>
        </w:rPr>
      </w:pPr>
      <w:bookmarkStart w:id="3" w:name="LawTable"/>
      <w:bookmarkEnd w:id="3"/>
    </w:p>
    <w:p w14:paraId="2760050B" w14:textId="77777777" w:rsidR="000C693B" w:rsidRPr="000C693B" w:rsidRDefault="000C693B" w:rsidP="000C693B">
      <w:pPr>
        <w:spacing w:before="120" w:after="120" w:line="240" w:lineRule="exact"/>
        <w:ind w:left="283" w:hanging="283"/>
        <w:jc w:val="both"/>
        <w:rPr>
          <w:rFonts w:ascii="FrankRuehl" w:hAnsi="FrankRuehl" w:cs="FrankRuehl"/>
          <w:rtl/>
        </w:rPr>
      </w:pPr>
    </w:p>
    <w:p w14:paraId="29AE4CF1" w14:textId="77777777" w:rsidR="000C693B" w:rsidRPr="000C693B" w:rsidRDefault="000C693B" w:rsidP="000C693B">
      <w:pPr>
        <w:spacing w:before="120" w:after="120" w:line="240" w:lineRule="exact"/>
        <w:ind w:left="283" w:hanging="283"/>
        <w:jc w:val="both"/>
        <w:rPr>
          <w:rFonts w:ascii="FrankRuehl" w:hAnsi="FrankRuehl" w:cs="FrankRuehl"/>
          <w:rtl/>
        </w:rPr>
      </w:pPr>
    </w:p>
    <w:p w14:paraId="1ECA7A24" w14:textId="77777777" w:rsidR="000C693B" w:rsidRPr="000C693B" w:rsidRDefault="000C693B" w:rsidP="000C693B">
      <w:pPr>
        <w:spacing w:before="120" w:after="120" w:line="240" w:lineRule="exact"/>
        <w:ind w:left="283" w:hanging="283"/>
        <w:jc w:val="both"/>
        <w:rPr>
          <w:rFonts w:ascii="FrankRuehl" w:hAnsi="FrankRuehl" w:cs="FrankRuehl"/>
          <w:rtl/>
        </w:rPr>
      </w:pPr>
      <w:r w:rsidRPr="000C693B">
        <w:rPr>
          <w:rFonts w:ascii="FrankRuehl" w:hAnsi="FrankRuehl" w:cs="FrankRuehl"/>
          <w:rtl/>
        </w:rPr>
        <w:t xml:space="preserve">חקיקה שאוזכרה: </w:t>
      </w:r>
    </w:p>
    <w:p w14:paraId="58BC8095" w14:textId="77777777" w:rsidR="000C693B" w:rsidRPr="000C693B" w:rsidRDefault="000C693B" w:rsidP="000C693B">
      <w:pPr>
        <w:spacing w:before="120" w:after="120" w:line="240" w:lineRule="exact"/>
        <w:ind w:left="283" w:hanging="283"/>
        <w:jc w:val="both"/>
        <w:rPr>
          <w:rFonts w:ascii="FrankRuehl" w:hAnsi="FrankRuehl" w:cs="FrankRuehl"/>
          <w:rtl/>
        </w:rPr>
      </w:pPr>
      <w:hyperlink r:id="rId7" w:history="1">
        <w:r w:rsidRPr="000C693B">
          <w:rPr>
            <w:rFonts w:ascii="FrankRuehl" w:hAnsi="FrankRuehl" w:cs="FrankRuehl"/>
            <w:color w:val="0000FF"/>
            <w:rtl/>
          </w:rPr>
          <w:t>פקודת הסמים המסוכנים [נוסח חדש], תשל"ג-1973</w:t>
        </w:r>
      </w:hyperlink>
      <w:r w:rsidRPr="000C693B">
        <w:rPr>
          <w:rFonts w:ascii="FrankRuehl" w:hAnsi="FrankRuehl" w:cs="FrankRuehl"/>
          <w:rtl/>
        </w:rPr>
        <w:t xml:space="preserve">: סע'  </w:t>
      </w:r>
      <w:hyperlink r:id="rId8" w:history="1">
        <w:r w:rsidRPr="000C693B">
          <w:rPr>
            <w:rFonts w:ascii="FrankRuehl" w:hAnsi="FrankRuehl" w:cs="FrankRuehl"/>
            <w:color w:val="0000FF"/>
            <w:rtl/>
          </w:rPr>
          <w:t>13</w:t>
        </w:r>
      </w:hyperlink>
      <w:r w:rsidRPr="000C693B">
        <w:rPr>
          <w:rFonts w:ascii="FrankRuehl" w:hAnsi="FrankRuehl" w:cs="FrankRuehl"/>
          <w:rtl/>
        </w:rPr>
        <w:t xml:space="preserve">, </w:t>
      </w:r>
      <w:hyperlink r:id="rId9" w:history="1">
        <w:r w:rsidRPr="000C693B">
          <w:rPr>
            <w:rFonts w:ascii="FrankRuehl" w:hAnsi="FrankRuehl" w:cs="FrankRuehl"/>
            <w:color w:val="0000FF"/>
            <w:rtl/>
          </w:rPr>
          <w:t>19א'</w:t>
        </w:r>
      </w:hyperlink>
    </w:p>
    <w:p w14:paraId="529DB53C" w14:textId="77777777" w:rsidR="000C693B" w:rsidRPr="000C693B" w:rsidRDefault="000C693B" w:rsidP="000C693B">
      <w:pPr>
        <w:spacing w:before="120" w:after="120" w:line="240" w:lineRule="exact"/>
        <w:ind w:left="283" w:hanging="283"/>
        <w:jc w:val="both"/>
        <w:rPr>
          <w:rFonts w:ascii="FrankRuehl" w:hAnsi="FrankRuehl" w:cs="FrankRuehl"/>
          <w:rtl/>
        </w:rPr>
      </w:pPr>
      <w:hyperlink r:id="rId10" w:history="1">
        <w:r w:rsidRPr="000C693B">
          <w:rPr>
            <w:rFonts w:ascii="FrankRuehl" w:hAnsi="FrankRuehl" w:cs="FrankRuehl"/>
            <w:color w:val="0000FF"/>
            <w:rtl/>
          </w:rPr>
          <w:t>חוק העונשין, תשל"ז-1977</w:t>
        </w:r>
      </w:hyperlink>
      <w:r w:rsidRPr="000C693B">
        <w:rPr>
          <w:rFonts w:ascii="FrankRuehl" w:hAnsi="FrankRuehl" w:cs="FrankRuehl"/>
          <w:rtl/>
        </w:rPr>
        <w:t xml:space="preserve">: סע'  </w:t>
      </w:r>
      <w:hyperlink r:id="rId11" w:history="1">
        <w:r w:rsidRPr="000C693B">
          <w:rPr>
            <w:rFonts w:ascii="FrankRuehl" w:hAnsi="FrankRuehl" w:cs="FrankRuehl"/>
            <w:color w:val="0000FF"/>
            <w:rtl/>
          </w:rPr>
          <w:t>31</w:t>
        </w:r>
      </w:hyperlink>
      <w:r w:rsidRPr="000C693B">
        <w:rPr>
          <w:rFonts w:ascii="FrankRuehl" w:hAnsi="FrankRuehl" w:cs="FrankRuehl"/>
          <w:rtl/>
        </w:rPr>
        <w:t xml:space="preserve">, </w:t>
      </w:r>
      <w:hyperlink r:id="rId12" w:history="1">
        <w:r w:rsidRPr="000C693B">
          <w:rPr>
            <w:rFonts w:ascii="FrankRuehl" w:hAnsi="FrankRuehl" w:cs="FrankRuehl"/>
            <w:color w:val="0000FF"/>
            <w:rtl/>
          </w:rPr>
          <w:t>40ד'</w:t>
        </w:r>
      </w:hyperlink>
      <w:r w:rsidRPr="000C693B">
        <w:rPr>
          <w:rFonts w:ascii="FrankRuehl" w:hAnsi="FrankRuehl" w:cs="FrankRuehl"/>
          <w:rtl/>
        </w:rPr>
        <w:t xml:space="preserve">, </w:t>
      </w:r>
      <w:hyperlink r:id="rId13" w:history="1">
        <w:r w:rsidRPr="000C693B">
          <w:rPr>
            <w:rFonts w:ascii="FrankRuehl" w:hAnsi="FrankRuehl" w:cs="FrankRuehl"/>
            <w:color w:val="0000FF"/>
            <w:rtl/>
          </w:rPr>
          <w:t>40ד'(א)</w:t>
        </w:r>
      </w:hyperlink>
    </w:p>
    <w:p w14:paraId="073EA83A" w14:textId="77777777" w:rsidR="000C693B" w:rsidRPr="000C693B" w:rsidRDefault="000C693B" w:rsidP="000C693B">
      <w:pPr>
        <w:spacing w:before="120" w:after="120" w:line="240" w:lineRule="exact"/>
        <w:ind w:left="283" w:hanging="283"/>
        <w:jc w:val="both"/>
        <w:rPr>
          <w:rFonts w:ascii="FrankRuehl" w:hAnsi="FrankRuehl" w:cs="FrankRuehl"/>
          <w:rtl/>
        </w:rPr>
      </w:pPr>
      <w:hyperlink r:id="rId14" w:history="1">
        <w:r w:rsidRPr="000C693B">
          <w:rPr>
            <w:rFonts w:ascii="FrankRuehl" w:hAnsi="FrankRuehl" w:cs="FrankRuehl"/>
            <w:color w:val="0000FF"/>
            <w:rtl/>
          </w:rPr>
          <w:t>פקודת המבחן [נוסח חדש], תשכ"ט-1969</w:t>
        </w:r>
      </w:hyperlink>
    </w:p>
    <w:p w14:paraId="09C85BFE" w14:textId="77777777" w:rsidR="000C693B" w:rsidRPr="000C693B" w:rsidRDefault="000C693B" w:rsidP="000C693B">
      <w:pPr>
        <w:rPr>
          <w:sz w:val="26"/>
          <w:szCs w:val="26"/>
          <w:rtl/>
        </w:rPr>
      </w:pPr>
      <w:bookmarkStart w:id="4" w:name="LawTable_End"/>
      <w:bookmarkEnd w:id="4"/>
    </w:p>
    <w:p w14:paraId="667DC51C" w14:textId="77777777" w:rsidR="001B0E98" w:rsidRPr="00AA2F75" w:rsidRDefault="001B0E98" w:rsidP="00AA2F7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0E98" w14:paraId="7F475472" w14:textId="77777777" w:rsidTr="001B0E98">
        <w:trPr>
          <w:trHeight w:val="355"/>
          <w:jc w:val="center"/>
        </w:trPr>
        <w:tc>
          <w:tcPr>
            <w:tcW w:w="8820" w:type="dxa"/>
            <w:tcBorders>
              <w:top w:val="nil"/>
              <w:left w:val="nil"/>
              <w:bottom w:val="nil"/>
              <w:right w:val="nil"/>
            </w:tcBorders>
            <w:shd w:val="clear" w:color="auto" w:fill="auto"/>
          </w:tcPr>
          <w:p w14:paraId="01FFB8F7" w14:textId="77777777" w:rsidR="000106E8" w:rsidRPr="000106E8" w:rsidRDefault="000106E8" w:rsidP="000106E8">
            <w:pPr>
              <w:jc w:val="center"/>
              <w:rPr>
                <w:rFonts w:ascii="David" w:hAnsi="David"/>
                <w:b/>
                <w:bCs/>
                <w:sz w:val="32"/>
                <w:szCs w:val="32"/>
                <w:u w:val="single"/>
                <w:rtl/>
              </w:rPr>
            </w:pPr>
            <w:bookmarkStart w:id="5" w:name="PsakDin" w:colFirst="0" w:colLast="0"/>
            <w:bookmarkEnd w:id="0"/>
            <w:r w:rsidRPr="000106E8">
              <w:rPr>
                <w:rFonts w:ascii="David" w:hAnsi="David"/>
                <w:b/>
                <w:bCs/>
                <w:sz w:val="32"/>
                <w:szCs w:val="32"/>
                <w:u w:val="single"/>
                <w:rtl/>
              </w:rPr>
              <w:t>גזר דין</w:t>
            </w:r>
          </w:p>
          <w:p w14:paraId="4A677D86" w14:textId="77777777" w:rsidR="001B0E98" w:rsidRPr="000106E8" w:rsidRDefault="001B0E98" w:rsidP="000106E8">
            <w:pPr>
              <w:jc w:val="center"/>
              <w:rPr>
                <w:rFonts w:ascii="David" w:hAnsi="David"/>
                <w:bCs/>
                <w:sz w:val="32"/>
                <w:szCs w:val="32"/>
                <w:u w:val="single"/>
                <w:rtl/>
              </w:rPr>
            </w:pPr>
          </w:p>
        </w:tc>
      </w:tr>
      <w:bookmarkEnd w:id="5"/>
    </w:tbl>
    <w:p w14:paraId="6E7F974B" w14:textId="77777777" w:rsidR="001B0E98" w:rsidRPr="000F2247" w:rsidRDefault="001B0E98" w:rsidP="001B0E98">
      <w:pPr>
        <w:rPr>
          <w:rFonts w:ascii="Arial" w:hAnsi="Arial"/>
          <w:b/>
          <w:bCs/>
          <w:sz w:val="26"/>
          <w:szCs w:val="26"/>
          <w:rtl/>
        </w:rPr>
      </w:pPr>
    </w:p>
    <w:p w14:paraId="2FDBF815" w14:textId="77777777" w:rsidR="001B0E98" w:rsidRPr="000F2247" w:rsidRDefault="001B0E98" w:rsidP="001B0E98">
      <w:pPr>
        <w:rPr>
          <w:rFonts w:ascii="Arial" w:hAnsi="Arial"/>
          <w:b/>
          <w:bCs/>
          <w:sz w:val="26"/>
          <w:szCs w:val="26"/>
          <w:rtl/>
        </w:rPr>
      </w:pPr>
    </w:p>
    <w:p w14:paraId="24C8FD65" w14:textId="77777777" w:rsidR="001B0E98" w:rsidRDefault="001B0E98" w:rsidP="001B0E98">
      <w:pPr>
        <w:pStyle w:val="a9"/>
        <w:numPr>
          <w:ilvl w:val="0"/>
          <w:numId w:val="1"/>
        </w:numPr>
        <w:spacing w:line="360" w:lineRule="auto"/>
        <w:jc w:val="both"/>
      </w:pPr>
      <w:bookmarkStart w:id="6" w:name="ABSTRACT_START"/>
      <w:bookmarkEnd w:id="6"/>
      <w:r>
        <w:rPr>
          <w:rFonts w:hint="cs"/>
          <w:rtl/>
        </w:rPr>
        <w:t xml:space="preserve">הנאשם הורשע, במסגרת הסדר טיעון, בעובדות כתב אישום מתוקן בעבירת </w:t>
      </w:r>
      <w:r>
        <w:rPr>
          <w:rFonts w:hint="cs"/>
          <w:b/>
          <w:bCs/>
          <w:rtl/>
        </w:rPr>
        <w:t xml:space="preserve">סיוע לייבוא סם מסוכן </w:t>
      </w:r>
      <w:r>
        <w:rPr>
          <w:rFonts w:hint="cs"/>
          <w:rtl/>
        </w:rPr>
        <w:t xml:space="preserve">לפי </w:t>
      </w:r>
      <w:hyperlink r:id="rId15" w:history="1">
        <w:r w:rsidR="00285F71" w:rsidRPr="00285F71">
          <w:rPr>
            <w:rStyle w:val="Hyperlink"/>
            <w:rFonts w:hint="eastAsia"/>
            <w:rtl/>
          </w:rPr>
          <w:t>סעיף</w:t>
        </w:r>
        <w:r w:rsidR="00285F71" w:rsidRPr="00285F71">
          <w:rPr>
            <w:rStyle w:val="Hyperlink"/>
            <w:rtl/>
          </w:rPr>
          <w:t xml:space="preserve"> 13</w:t>
        </w:r>
      </w:hyperlink>
      <w:r>
        <w:rPr>
          <w:rFonts w:hint="cs"/>
          <w:rtl/>
        </w:rPr>
        <w:t xml:space="preserve"> ביחד עם </w:t>
      </w:r>
      <w:hyperlink r:id="rId16" w:history="1">
        <w:r w:rsidR="00285F71" w:rsidRPr="00285F71">
          <w:rPr>
            <w:rStyle w:val="Hyperlink"/>
            <w:rFonts w:hint="eastAsia"/>
            <w:rtl/>
          </w:rPr>
          <w:t>סעיף</w:t>
        </w:r>
        <w:r w:rsidR="00285F71" w:rsidRPr="00285F71">
          <w:rPr>
            <w:rStyle w:val="Hyperlink"/>
            <w:rtl/>
          </w:rPr>
          <w:t xml:space="preserve"> 19א'</w:t>
        </w:r>
      </w:hyperlink>
      <w:r>
        <w:rPr>
          <w:rFonts w:hint="cs"/>
          <w:rtl/>
        </w:rPr>
        <w:t xml:space="preserve"> ל</w:t>
      </w:r>
      <w:hyperlink r:id="rId17" w:history="1">
        <w:r w:rsidR="000106E8" w:rsidRPr="000106E8">
          <w:rPr>
            <w:color w:val="0000FF"/>
            <w:u w:val="single"/>
            <w:rtl/>
          </w:rPr>
          <w:t>פקודת הסמים המסוכנים</w:t>
        </w:r>
      </w:hyperlink>
      <w:r>
        <w:rPr>
          <w:rFonts w:hint="cs"/>
          <w:rtl/>
        </w:rPr>
        <w:t xml:space="preserve"> [נוסח חדש] התשל"ג-1973 יחד עם </w:t>
      </w:r>
      <w:hyperlink r:id="rId18" w:history="1">
        <w:r w:rsidR="00285F71" w:rsidRPr="00285F71">
          <w:rPr>
            <w:rStyle w:val="Hyperlink"/>
            <w:rFonts w:hint="eastAsia"/>
            <w:rtl/>
          </w:rPr>
          <w:t>סעיף</w:t>
        </w:r>
        <w:r w:rsidR="00285F71" w:rsidRPr="00285F71">
          <w:rPr>
            <w:rStyle w:val="Hyperlink"/>
            <w:rtl/>
          </w:rPr>
          <w:t xml:space="preserve"> 31</w:t>
        </w:r>
      </w:hyperlink>
      <w:r>
        <w:rPr>
          <w:rFonts w:hint="cs"/>
          <w:rtl/>
        </w:rPr>
        <w:t xml:space="preserve"> ל</w:t>
      </w:r>
      <w:hyperlink r:id="rId19" w:history="1">
        <w:r w:rsidR="000106E8" w:rsidRPr="000106E8">
          <w:rPr>
            <w:color w:val="0000FF"/>
            <w:u w:val="single"/>
            <w:rtl/>
          </w:rPr>
          <w:t>חוק העונשין</w:t>
        </w:r>
      </w:hyperlink>
      <w:r>
        <w:rPr>
          <w:rFonts w:hint="cs"/>
          <w:rtl/>
        </w:rPr>
        <w:t xml:space="preserve">, תשל"ז-1977 </w:t>
      </w:r>
      <w:bookmarkStart w:id="7" w:name="ABSTRACT_END"/>
      <w:bookmarkEnd w:id="7"/>
      <w:r>
        <w:rPr>
          <w:rFonts w:hint="cs"/>
          <w:rtl/>
        </w:rPr>
        <w:t>(להלן-החוק).</w:t>
      </w:r>
    </w:p>
    <w:p w14:paraId="4DADD545" w14:textId="77777777" w:rsidR="001B0E98" w:rsidRDefault="001B0E98" w:rsidP="001B0E98">
      <w:pPr>
        <w:pStyle w:val="a9"/>
        <w:spacing w:line="360" w:lineRule="auto"/>
        <w:jc w:val="both"/>
      </w:pPr>
    </w:p>
    <w:p w14:paraId="20DBA025" w14:textId="77777777" w:rsidR="001B0E98" w:rsidRDefault="001B0E98" w:rsidP="001B0E98">
      <w:pPr>
        <w:pStyle w:val="a9"/>
        <w:numPr>
          <w:ilvl w:val="0"/>
          <w:numId w:val="1"/>
        </w:numPr>
        <w:spacing w:line="360" w:lineRule="auto"/>
        <w:jc w:val="both"/>
        <w:rPr>
          <w:rtl/>
        </w:rPr>
      </w:pPr>
      <w:r>
        <w:rPr>
          <w:rFonts w:hint="cs"/>
          <w:rtl/>
        </w:rPr>
        <w:t xml:space="preserve">כמפורט בעובדות כתב האישום המתוקן, עובר ליום 11.2.21, חיים זיו ומתי ברץ (להלן בהתאמה- חיים ומתי) קשרו קשר לייבוא סמים דרך אתיופיה לישראל. במסגרת הקשר, שלח חיים הודעה ביישומון </w:t>
      </w:r>
      <w:r>
        <w:t>Telegram</w:t>
      </w:r>
      <w:r>
        <w:rPr>
          <w:rFonts w:hint="cs"/>
          <w:rtl/>
        </w:rPr>
        <w:t xml:space="preserve"> בקבוצה בה היה פעיל גם הנאשם, שעניינה הצעת </w:t>
      </w:r>
      <w:r>
        <w:rPr>
          <w:rFonts w:hint="cs"/>
          <w:rtl/>
        </w:rPr>
        <w:lastRenderedPageBreak/>
        <w:t xml:space="preserve">עבודה, הנאשם הגיב להודעה, ובמענה הסביר לו חיים שעליו יהיה להעביר מזוודות מחוץ לארץ לישראל. בהמשך, ביום 11.2.21, התקשר מתי לנאשם וגרם לו להאמין שהוא משוחח עם חיים (להלן- שיחת הגיוס). במסגרת שיחה זו, הסביר מתי לנאשם בהרחבה את פרטי תכנית יבוא הסם, כשחלף המילה סמים השתמש במילים "אבנים יקרות" ו/או "יהלומים", לרבות בנוגע לכרטיסי הטיסה, משך השהייה ביעדים, קבלת המזוודות והעברתן לישראל והתמורה שיקבל.  בהמשך, ביום 30.5.21, בהנחיית חיים ומתי, טס הנאשם מישראל לוינה, ושהה במלון עד ליום 1.6.21. הנאשם מסר לחיים את פרטי המלון, וביום 31.5.21 הגיע מתי בטיסה מאתיופיה לוינה, פגש בנאשם בחדרו שבמלון והעביר לו שלוש מזוודות, כשבכל אחת פלטה שהוסלקה בדופן כפולה עטופה בנייר כסף, ובתוכה סם מסוכן. על אף חשדו כי מדובר בסם, נמנע הנאשם מלברר זאת, כמו גם את סוגו וכמותו. </w:t>
      </w:r>
    </w:p>
    <w:p w14:paraId="249B6A62" w14:textId="77777777" w:rsidR="001B0E98" w:rsidRDefault="001B0E98" w:rsidP="001B0E98">
      <w:pPr>
        <w:spacing w:line="360" w:lineRule="auto"/>
        <w:ind w:left="644"/>
        <w:jc w:val="both"/>
        <w:rPr>
          <w:rtl/>
        </w:rPr>
      </w:pPr>
      <w:r>
        <w:rPr>
          <w:rFonts w:hint="cs"/>
          <w:rtl/>
        </w:rPr>
        <w:t xml:space="preserve">ביום 4.6.21 נחת הנאשם בנמל התעופה בן גוריון כשהוא נושא באמתחתו את המזוודות ובתוכן הסם. </w:t>
      </w:r>
    </w:p>
    <w:p w14:paraId="794CFB41" w14:textId="77777777" w:rsidR="001B0E98" w:rsidRDefault="001B0E98" w:rsidP="001B0E98">
      <w:pPr>
        <w:pStyle w:val="a9"/>
        <w:spacing w:line="360" w:lineRule="auto"/>
        <w:jc w:val="both"/>
        <w:rPr>
          <w:rtl/>
        </w:rPr>
      </w:pPr>
    </w:p>
    <w:p w14:paraId="194FDBA9" w14:textId="77777777" w:rsidR="001B0E98" w:rsidRDefault="001B0E98" w:rsidP="001B0E98">
      <w:pPr>
        <w:pStyle w:val="a9"/>
        <w:numPr>
          <w:ilvl w:val="0"/>
          <w:numId w:val="1"/>
        </w:numPr>
        <w:spacing w:line="360" w:lineRule="auto"/>
        <w:jc w:val="both"/>
        <w:rPr>
          <w:rtl/>
        </w:rPr>
      </w:pPr>
      <w:r>
        <w:rPr>
          <w:rFonts w:hint="cs"/>
          <w:rtl/>
        </w:rPr>
        <w:t xml:space="preserve">ביום 8.3.22 הציגו הצדדים הסדר דיוני, פרי הליך גישור שהתנהל בפני כב' השופט טרסי, לפיו יודה ויורשע הנאשם בעובדות כתב אישום מתוקן, ויופנה לשירות המבחן לעריכת תסקיר. המאשימה תעתור לעונש ראוי של 15 חודשי מאסר בפועל בניכוי ימי המעצר וענישה נלווית, ההגנה חופשית בטיעוניה.  </w:t>
      </w:r>
    </w:p>
    <w:p w14:paraId="27AA9D5D" w14:textId="77777777" w:rsidR="001B0E98" w:rsidRDefault="001B0E98" w:rsidP="001B0E98">
      <w:pPr>
        <w:pStyle w:val="a9"/>
        <w:spacing w:line="360" w:lineRule="auto"/>
        <w:jc w:val="both"/>
        <w:rPr>
          <w:rtl/>
        </w:rPr>
      </w:pPr>
    </w:p>
    <w:p w14:paraId="5763D0C0" w14:textId="77777777" w:rsidR="001B0E98" w:rsidRDefault="001B0E98" w:rsidP="001B0E98">
      <w:pPr>
        <w:spacing w:line="360" w:lineRule="auto"/>
        <w:ind w:firstLine="360"/>
        <w:jc w:val="both"/>
        <w:rPr>
          <w:b/>
          <w:bCs/>
          <w:u w:val="single"/>
          <w:rtl/>
        </w:rPr>
      </w:pPr>
      <w:r>
        <w:rPr>
          <w:rFonts w:hint="cs"/>
          <w:b/>
          <w:bCs/>
          <w:u w:val="single"/>
          <w:rtl/>
        </w:rPr>
        <w:t>עיקרי תסקיר שירות המבחן</w:t>
      </w:r>
    </w:p>
    <w:p w14:paraId="2B4C3908" w14:textId="77777777" w:rsidR="001B0E98" w:rsidRDefault="001B0E98" w:rsidP="001B0E98">
      <w:pPr>
        <w:pStyle w:val="a9"/>
        <w:numPr>
          <w:ilvl w:val="0"/>
          <w:numId w:val="1"/>
        </w:numPr>
        <w:spacing w:line="360" w:lineRule="auto"/>
        <w:jc w:val="both"/>
        <w:rPr>
          <w:b/>
          <w:bCs/>
          <w:u w:val="single"/>
          <w:rtl/>
        </w:rPr>
      </w:pPr>
      <w:r>
        <w:rPr>
          <w:rFonts w:hint="cs"/>
          <w:rtl/>
        </w:rPr>
        <w:t xml:space="preserve">הנאשם, בן 38, רווק, ללא עבר פלילי, נטורופת במקצועו. אביו נפטר בילדותו. סיים 12 שנות לימוד ובגרות מלאה. תיאר קשר הדוק עד תלותי עם אמו. לאורך השנים הישגיו הלימודיים היו טובים אך במישור החברתי סבל מבדידות וקשיי השתלבות. שירת שירות צבאי מלא כמכונאי מטוסים, במהלך השירות עבר טיפול אצל קב"ן שהתרשם שסובל מדיכאון סמוי. לאחר השחרור מצה"ל למד נטורופתיה ועבד במקצוע לאורך השנים. שלל שימוש בסמים ואלכוהול, בדיקות שתן שמסר העידו על ניקיון. </w:t>
      </w:r>
    </w:p>
    <w:p w14:paraId="2634B53C" w14:textId="77777777" w:rsidR="001B0E98" w:rsidRDefault="001B0E98" w:rsidP="001B0E98">
      <w:pPr>
        <w:pStyle w:val="a9"/>
        <w:spacing w:line="360" w:lineRule="auto"/>
        <w:jc w:val="both"/>
      </w:pPr>
    </w:p>
    <w:p w14:paraId="4F1983A8" w14:textId="77777777" w:rsidR="001B0E98" w:rsidRDefault="001B0E98" w:rsidP="001B0E98">
      <w:pPr>
        <w:pStyle w:val="a9"/>
        <w:spacing w:line="360" w:lineRule="auto"/>
        <w:jc w:val="both"/>
        <w:rPr>
          <w:rtl/>
        </w:rPr>
      </w:pPr>
      <w:r>
        <w:rPr>
          <w:rFonts w:hint="cs"/>
          <w:rtl/>
        </w:rPr>
        <w:t xml:space="preserve">הנאשם לקח אחריות על העבירה אותה ביצע, הביע חרטה והסביר כי ברקע לה מצוקה כלכלית אליה נקלע בעקבות פיטוריו בתקופת הקורונה. לדבריו, היה חבר באותה קבוצת </w:t>
      </w:r>
      <w:r>
        <w:t>Telegram</w:t>
      </w:r>
      <w:r>
        <w:rPr>
          <w:rFonts w:hint="cs"/>
          <w:rtl/>
        </w:rPr>
        <w:t xml:space="preserve"> בה נשלחה ההודעה למטרות היכרויות זוגיות ושלל כניסה מכוונת לקבוצות הקשורות בעסקאות סמים. תיאר כי התפתה לבצע את העבודה לאור התמורה הכלכלית המיידית בצדה. </w:t>
      </w:r>
    </w:p>
    <w:p w14:paraId="20DC9B1A" w14:textId="77777777" w:rsidR="001B0E98" w:rsidRDefault="001B0E98" w:rsidP="001B0E98">
      <w:pPr>
        <w:pStyle w:val="a9"/>
        <w:spacing w:line="360" w:lineRule="auto"/>
        <w:jc w:val="both"/>
        <w:rPr>
          <w:rtl/>
        </w:rPr>
      </w:pPr>
    </w:p>
    <w:p w14:paraId="4A36EA78" w14:textId="77777777" w:rsidR="001B0E98" w:rsidRDefault="001B0E98" w:rsidP="001B0E98">
      <w:pPr>
        <w:pStyle w:val="a9"/>
        <w:spacing w:line="360" w:lineRule="auto"/>
        <w:jc w:val="both"/>
        <w:rPr>
          <w:rtl/>
        </w:rPr>
      </w:pPr>
      <w:r>
        <w:rPr>
          <w:rFonts w:hint="cs"/>
          <w:rtl/>
        </w:rPr>
        <w:t xml:space="preserve">אשר להליך הטיפולי – הנאשם השתתף במשך כשישה חודשים בקבוצת עצורי בית בשירות המבחן, אך התקשה לשתף ולהשתתף באופן פעיל, שירות המבחן התרשם כי נעדר דפוסי התנהגות עברייניים מושרשים, וכי רואה את העבירה כחריגה למערכת ערכיו והתנהלותו. </w:t>
      </w:r>
      <w:r>
        <w:rPr>
          <w:rFonts w:hint="cs"/>
          <w:rtl/>
        </w:rPr>
        <w:lastRenderedPageBreak/>
        <w:t xml:space="preserve">עוד הוערך כי ההליך המשפטי מהווה גורם מרתיע ונכונותו להשתלב בטיפול מפחיתה את הסיכון להישנות עבירות. לאור האמור בא שירות המבחן בהמלצה לענישה שיקומית של צו מבחן למשך שנה וחצי שבה ישולב בהליך טיפולי ארוך טווח, ריצוי עבודות שירות וענישה נלווית. </w:t>
      </w:r>
    </w:p>
    <w:p w14:paraId="37CDD603" w14:textId="77777777" w:rsidR="001B0E98" w:rsidRDefault="001B0E98" w:rsidP="001B0E98">
      <w:pPr>
        <w:pStyle w:val="a9"/>
        <w:spacing w:line="360" w:lineRule="auto"/>
        <w:jc w:val="both"/>
        <w:rPr>
          <w:rtl/>
        </w:rPr>
      </w:pPr>
    </w:p>
    <w:p w14:paraId="6E97F173" w14:textId="77777777" w:rsidR="001B0E98" w:rsidRDefault="001B0E98" w:rsidP="001B0E98">
      <w:pPr>
        <w:spacing w:line="360" w:lineRule="auto"/>
        <w:ind w:left="360"/>
        <w:jc w:val="both"/>
        <w:rPr>
          <w:b/>
          <w:bCs/>
          <w:u w:val="single"/>
          <w:rtl/>
        </w:rPr>
      </w:pPr>
      <w:r>
        <w:rPr>
          <w:rFonts w:hint="cs"/>
          <w:b/>
          <w:bCs/>
          <w:u w:val="single"/>
          <w:rtl/>
        </w:rPr>
        <w:t>תמצית הטיעונים לעונש</w:t>
      </w:r>
    </w:p>
    <w:p w14:paraId="5616CA1A" w14:textId="77777777" w:rsidR="001B0E98" w:rsidRDefault="001B0E98" w:rsidP="001B0E98">
      <w:pPr>
        <w:pStyle w:val="a9"/>
        <w:numPr>
          <w:ilvl w:val="0"/>
          <w:numId w:val="1"/>
        </w:numPr>
        <w:spacing w:line="360" w:lineRule="auto"/>
        <w:jc w:val="both"/>
      </w:pPr>
      <w:r>
        <w:rPr>
          <w:rFonts w:hint="cs"/>
          <w:rtl/>
        </w:rPr>
        <w:t xml:space="preserve">המאשימה, באמצעות עו"ד ליטל שירי, עמדה על הפגיעה המשמעותית של מעשיו בערכים המוגנים של שלום הציבור, בריאותו וביטחונו, לרבות הפגיעה ההרסנית הכרוכה בשימוש בסמים. עוד עמדה על התכנון המוקדם, חלקו כמסייע ברף גבוה, תפקידו המשמעותי כבלדר ותרומתו לביצוע העבירה וסבורה שמידת הפגיעה בערכים המוגנים היא ברף הבינוני. המאשימה עמדה על נסיבותיו, העדר עבר פלילי, הודאתו, נטילת האחריות ושיתוף הפעולה בחקירתו הכולל הפללת שותפיו. עם זאת, סבורה כי תסקירו אינו חיובי במידה המצדיקה חריגה ממתחם הענישה וכי העונש הראוי שאליו טוענת המאשימה, מאסר בן 15 חודשים, משקלל  גם את הקשיים ראייתיים בתיק. המאשימה הגישה אסופת פסיקה לתמיכה בעתירתה העונשית. </w:t>
      </w:r>
    </w:p>
    <w:p w14:paraId="43543511" w14:textId="77777777" w:rsidR="001B0E98" w:rsidRDefault="001B0E98" w:rsidP="001B0E98">
      <w:pPr>
        <w:pStyle w:val="a9"/>
        <w:spacing w:line="360" w:lineRule="auto"/>
        <w:jc w:val="both"/>
      </w:pPr>
    </w:p>
    <w:p w14:paraId="10849D0D" w14:textId="77777777" w:rsidR="001B0E98" w:rsidRDefault="001B0E98" w:rsidP="001B0E98">
      <w:pPr>
        <w:pStyle w:val="a9"/>
        <w:numPr>
          <w:ilvl w:val="0"/>
          <w:numId w:val="1"/>
        </w:numPr>
        <w:spacing w:line="360" w:lineRule="auto"/>
        <w:jc w:val="both"/>
      </w:pPr>
      <w:r>
        <w:rPr>
          <w:rFonts w:hint="cs"/>
          <w:rtl/>
        </w:rPr>
        <w:t xml:space="preserve">ב"כ הנאשם, עו"ד רן תגר, עתר לאימוץ המלצות שירות המבחן במלואן. לשיטתו, בסולם ההיררכי אל מול שותפיו, מעמדו היה זוטר, כשתכנון המעשים והוצאתם לפועל בוצעו בעיקר על ידם.  עוד ביקש ליתן משקל נכבד לתיקון כתב האישום ולכך שיוחס לו  יסוד נפשי של עצימת עיניים ולא של מודעות, וכי חיים מאשר בחקירתו כי אמר לנאשם שמדובר בייבוא יהלומים ולא סמים. עוד טען כי מידת הפגיעה בערכים המוגנים בינונית-נמוכה, הסם נתפס ולא הופץ,  הנאשם הודה כבר בחקירתו הראשונה וללא עבר פלילי. את הקושי  להיפתח בפני שירות המבחן הסביר באישיותו המופנמת, כשלדבריו ההליך המשפטי, ובפרט תקופת מעצרו-כחודשיים ימים, היוו עבורו גורם מטלטל ומרתיע. מטעמים אלו סבור שמדובר באדם צעיר ונורמטיבי בעל סיכויי שיקום, ונתוניו מאפשרים להמנע משליחתו למאסר ממש. </w:t>
      </w:r>
    </w:p>
    <w:p w14:paraId="4A89C753" w14:textId="77777777" w:rsidR="001B0E98" w:rsidRDefault="001B0E98" w:rsidP="001B0E98">
      <w:pPr>
        <w:pStyle w:val="a9"/>
      </w:pPr>
    </w:p>
    <w:p w14:paraId="22B09F8F" w14:textId="77777777" w:rsidR="001B0E98" w:rsidRDefault="001B0E98" w:rsidP="001B0E98">
      <w:pPr>
        <w:pStyle w:val="a9"/>
        <w:numPr>
          <w:ilvl w:val="0"/>
          <w:numId w:val="1"/>
        </w:numPr>
        <w:spacing w:line="360" w:lineRule="auto"/>
        <w:jc w:val="both"/>
        <w:rPr>
          <w:rtl/>
        </w:rPr>
      </w:pPr>
      <w:r>
        <w:rPr>
          <w:rFonts w:hint="cs"/>
          <w:rtl/>
        </w:rPr>
        <w:t xml:space="preserve">עוד שמעתי את אמו של הנאשם, הגב' אורנה מצורו, מיילדת במקצועה, כיום בגמלאות. הגב' מצורו העידה על אופיו השקט והנוח של בנה, תיארה כי הוא תמיד נכון לעזור ומסייע להקל על סבלם של מטופליו. לדבריה, מצבה הרפואי אינו טוב ובנה מתגורר עימה ומסייע לה וביקשה להתחשב בו. </w:t>
      </w:r>
    </w:p>
    <w:p w14:paraId="6CE5F3B5" w14:textId="77777777" w:rsidR="001B0E98" w:rsidRDefault="001B0E98" w:rsidP="001B0E98">
      <w:pPr>
        <w:pStyle w:val="a9"/>
      </w:pPr>
    </w:p>
    <w:p w14:paraId="4CC360E3" w14:textId="77777777" w:rsidR="001B0E98" w:rsidRDefault="001B0E98" w:rsidP="001B0E98">
      <w:pPr>
        <w:pStyle w:val="a9"/>
        <w:numPr>
          <w:ilvl w:val="0"/>
          <w:numId w:val="1"/>
        </w:numPr>
        <w:spacing w:line="360" w:lineRule="auto"/>
        <w:jc w:val="both"/>
        <w:rPr>
          <w:b/>
          <w:bCs/>
          <w:u w:val="single"/>
          <w:rtl/>
        </w:rPr>
      </w:pPr>
      <w:r>
        <w:rPr>
          <w:rFonts w:hint="cs"/>
          <w:b/>
          <w:bCs/>
          <w:rtl/>
        </w:rPr>
        <w:t xml:space="preserve">הנאשם בדברו האחרון </w:t>
      </w:r>
      <w:r>
        <w:rPr>
          <w:rFonts w:hint="cs"/>
          <w:rtl/>
        </w:rPr>
        <w:t xml:space="preserve">תיאר כי הסתבכותו בתיק טלטלה את עולמו וכי חש ייסורים ואכזבה ממעשיו. כיום, פועל לקידום מצבו, חזר לעבוד, לומד להתמודד עם מצבי משבר ונכון להמשיך ולהתקדם בטיפולים בשירות המבחן. </w:t>
      </w:r>
    </w:p>
    <w:p w14:paraId="7E68C14C" w14:textId="77777777" w:rsidR="001B0E98" w:rsidRDefault="001B0E98" w:rsidP="001B0E98">
      <w:pPr>
        <w:pStyle w:val="a9"/>
        <w:rPr>
          <w:b/>
          <w:bCs/>
          <w:u w:val="single"/>
        </w:rPr>
      </w:pPr>
    </w:p>
    <w:p w14:paraId="13CC82D6" w14:textId="77777777" w:rsidR="001B0E98" w:rsidRDefault="001B0E98" w:rsidP="001B0E98">
      <w:pPr>
        <w:pStyle w:val="a9"/>
        <w:rPr>
          <w:b/>
          <w:bCs/>
          <w:u w:val="single"/>
        </w:rPr>
      </w:pPr>
    </w:p>
    <w:p w14:paraId="27C419E5" w14:textId="77777777" w:rsidR="001B0E98" w:rsidRDefault="001B0E98" w:rsidP="001B0E98">
      <w:pPr>
        <w:pStyle w:val="a9"/>
        <w:spacing w:line="360" w:lineRule="auto"/>
        <w:jc w:val="both"/>
        <w:rPr>
          <w:b/>
          <w:bCs/>
          <w:u w:val="single"/>
          <w:rtl/>
        </w:rPr>
      </w:pPr>
      <w:r>
        <w:rPr>
          <w:rFonts w:hint="cs"/>
          <w:b/>
          <w:bCs/>
          <w:u w:val="single"/>
          <w:rtl/>
        </w:rPr>
        <w:t>דיון והכרעה</w:t>
      </w:r>
    </w:p>
    <w:p w14:paraId="29222AFA" w14:textId="77777777" w:rsidR="001B0E98" w:rsidRDefault="001B0E98" w:rsidP="001B0E98">
      <w:pPr>
        <w:pStyle w:val="a9"/>
        <w:spacing w:line="360" w:lineRule="auto"/>
        <w:jc w:val="both"/>
        <w:rPr>
          <w:b/>
          <w:bCs/>
          <w:u w:val="single"/>
          <w:rtl/>
        </w:rPr>
      </w:pPr>
      <w:r>
        <w:rPr>
          <w:rFonts w:hint="cs"/>
          <w:b/>
          <w:bCs/>
          <w:u w:val="single"/>
          <w:rtl/>
        </w:rPr>
        <w:t>מתחם העונש ההולם</w:t>
      </w:r>
    </w:p>
    <w:p w14:paraId="1ED788EC" w14:textId="77777777" w:rsidR="001B0E98" w:rsidRDefault="001B0E98" w:rsidP="001B0E98">
      <w:pPr>
        <w:pStyle w:val="a9"/>
        <w:numPr>
          <w:ilvl w:val="0"/>
          <w:numId w:val="1"/>
        </w:numPr>
        <w:spacing w:line="360" w:lineRule="auto"/>
        <w:jc w:val="both"/>
        <w:rPr>
          <w:sz w:val="28"/>
          <w:rtl/>
        </w:rPr>
      </w:pPr>
      <w:r>
        <w:rPr>
          <w:rFonts w:eastAsia="Times New Roman" w:hint="cs"/>
          <w:rtl/>
        </w:rPr>
        <w:t xml:space="preserve">דומה שאין צורך להכביר מילים באשר לחומרתן של עבירות הסמים וחומרת מעשיו של הנאשם. מדובר במעשים שפגעו פגיעה מוחשית בערכים המוגנים של בריאות הציבור, שלומו וביטחונו. בתי המשפט במאבק מתמיד במטרה למגר את נגע הסמים, ובפרט כלפי המייבאים, </w:t>
      </w:r>
      <w:r>
        <w:rPr>
          <w:rFonts w:hint="cs"/>
          <w:rtl/>
        </w:rPr>
        <w:t>כאשר מטרתם הסופית היא מכירתם והפצתם לציבור לשם רווח כספי. לעבירת הייבוא פן מחמיר נוסף המתבטא ב</w:t>
      </w:r>
      <w:r>
        <w:rPr>
          <w:rFonts w:eastAsia="Times New Roman" w:hint="cs"/>
          <w:rtl/>
        </w:rPr>
        <w:t xml:space="preserve">נזקים הפוטנציאליים הנלווים של ביצוע עבירות על רקע שימוש בסמים: </w:t>
      </w:r>
      <w:r>
        <w:rPr>
          <w:rFonts w:hint="cs"/>
          <w:rtl/>
        </w:rPr>
        <w:t>"</w:t>
      </w:r>
      <w:r>
        <w:rPr>
          <w:rFonts w:hint="cs"/>
          <w:b/>
          <w:bCs/>
          <w:sz w:val="28"/>
          <w:rtl/>
        </w:rPr>
        <w:t xml:space="preserve">לא אחת הדגיש בית משפט זה את החומרה היתרה שנלווית לעבירות סמים ובפרט לעבירות שעניינן יבוא והפצת סמים מסוכנים. זאת, שכן בעבירות אלו יש כדי לסכן את שלום הציבור ולהרחיב את מעגל המשתמשים בסמים והמכורים..." </w:t>
      </w:r>
      <w:r w:rsidRPr="00A23EB9">
        <w:rPr>
          <w:rFonts w:eastAsia="Times New Roman" w:hint="cs"/>
          <w:rtl/>
        </w:rPr>
        <w:t>(</w:t>
      </w:r>
      <w:hyperlink r:id="rId20" w:history="1">
        <w:r w:rsidR="000106E8" w:rsidRPr="000106E8">
          <w:rPr>
            <w:rFonts w:eastAsia="Times New Roman"/>
            <w:color w:val="0000FF"/>
            <w:u w:val="single"/>
            <w:rtl/>
          </w:rPr>
          <w:t>ע"פ 7757/21</w:t>
        </w:r>
      </w:hyperlink>
      <w:r>
        <w:rPr>
          <w:rFonts w:eastAsia="Times New Roman"/>
          <w:rtl/>
        </w:rPr>
        <w:t xml:space="preserve"> </w:t>
      </w:r>
      <w:r>
        <w:rPr>
          <w:rFonts w:hint="cs"/>
          <w:b/>
          <w:bCs/>
          <w:sz w:val="28"/>
          <w:rtl/>
        </w:rPr>
        <w:t>מרזוקי נ' מדינת ישראל</w:t>
      </w:r>
      <w:r>
        <w:rPr>
          <w:rFonts w:hint="cs"/>
          <w:sz w:val="28"/>
          <w:rtl/>
        </w:rPr>
        <w:t xml:space="preserve"> (24.05.22) (להלן-עניין מרזוקי)</w:t>
      </w:r>
      <w:r>
        <w:rPr>
          <w:rFonts w:eastAsia="Times New Roman" w:hint="cs"/>
          <w:rtl/>
        </w:rPr>
        <w:t xml:space="preserve">. </w:t>
      </w:r>
      <w:r>
        <w:rPr>
          <w:rFonts w:hint="cs"/>
          <w:sz w:val="28"/>
          <w:rtl/>
        </w:rPr>
        <w:t>משכך נקבע כי יש להטיל ענישה מחמירה ומרתיעה על עברייני הסמים תוך מתן בכורה לעיקרון הגמול והרתעת הרבים (ב</w:t>
      </w:r>
      <w:hyperlink r:id="rId21" w:history="1">
        <w:r w:rsidR="000106E8" w:rsidRPr="000106E8">
          <w:rPr>
            <w:color w:val="0000FF"/>
            <w:u w:val="single"/>
            <w:rtl/>
          </w:rPr>
          <w:t>ע"פ 1987/15</w:t>
        </w:r>
      </w:hyperlink>
      <w:r>
        <w:rPr>
          <w:rFonts w:ascii="Arial" w:hAnsi="Arial"/>
          <w:rtl/>
        </w:rPr>
        <w:t xml:space="preserve"> </w:t>
      </w:r>
      <w:r>
        <w:rPr>
          <w:rFonts w:ascii="Arial" w:hAnsi="Arial" w:hint="cs"/>
          <w:b/>
          <w:bCs/>
          <w:rtl/>
        </w:rPr>
        <w:t>דרורי נ' מדינת ישראל</w:t>
      </w:r>
      <w:r>
        <w:rPr>
          <w:rFonts w:ascii="Arial" w:hAnsi="Arial" w:hint="cs"/>
          <w:rtl/>
        </w:rPr>
        <w:t>, פסקה 9 (17.8.15);</w:t>
      </w:r>
      <w:r>
        <w:rPr>
          <w:rFonts w:hint="cs"/>
          <w:sz w:val="28"/>
          <w:rtl/>
        </w:rPr>
        <w:t xml:space="preserve"> </w:t>
      </w:r>
      <w:hyperlink r:id="rId22" w:history="1">
        <w:r w:rsidR="000106E8" w:rsidRPr="000106E8">
          <w:rPr>
            <w:color w:val="0000FF"/>
            <w:u w:val="single"/>
            <w:rtl/>
          </w:rPr>
          <w:t>ע"פ 8048/19</w:t>
        </w:r>
      </w:hyperlink>
      <w:r>
        <w:rPr>
          <w:rFonts w:hint="cs"/>
          <w:b/>
          <w:bCs/>
          <w:sz w:val="28"/>
          <w:rtl/>
        </w:rPr>
        <w:t xml:space="preserve"> פיצ'חדזה נ' מדינת ישראל</w:t>
      </w:r>
      <w:r>
        <w:rPr>
          <w:rFonts w:hint="cs"/>
          <w:sz w:val="28"/>
          <w:rtl/>
        </w:rPr>
        <w:t xml:space="preserve">, פסקה 11 (4.6.2020)). </w:t>
      </w:r>
    </w:p>
    <w:p w14:paraId="4DAC7FE1" w14:textId="77777777" w:rsidR="001B0E98" w:rsidRDefault="001B0E98" w:rsidP="001B0E98">
      <w:pPr>
        <w:pStyle w:val="a9"/>
        <w:spacing w:line="360" w:lineRule="auto"/>
        <w:jc w:val="both"/>
        <w:rPr>
          <w:rFonts w:eastAsia="Times New Roman"/>
          <w:rtl/>
        </w:rPr>
      </w:pPr>
    </w:p>
    <w:p w14:paraId="6DB2B2C7" w14:textId="77777777" w:rsidR="001B0E98" w:rsidRDefault="001B0E98" w:rsidP="001B0E98">
      <w:pPr>
        <w:pStyle w:val="a9"/>
        <w:numPr>
          <w:ilvl w:val="0"/>
          <w:numId w:val="1"/>
        </w:numPr>
        <w:spacing w:line="360" w:lineRule="auto"/>
        <w:jc w:val="both"/>
        <w:rPr>
          <w:rFonts w:eastAsia="Times New Roman"/>
          <w:rtl/>
        </w:rPr>
      </w:pPr>
      <w:r>
        <w:rPr>
          <w:rFonts w:hint="cs"/>
          <w:rtl/>
        </w:rPr>
        <w:t>מנעד הענישה בעבירות כגון דא רחב, והוא תלוי במשתנים רבים, בין היתר, כמות הסם שנתפסה, תחכום ביצוע העבירות ומעמדו של הנאשם בשרשרת ייבוא הסם (</w:t>
      </w:r>
      <w:hyperlink r:id="rId23" w:history="1">
        <w:r w:rsidR="000106E8" w:rsidRPr="000106E8">
          <w:rPr>
            <w:color w:val="0000FF"/>
            <w:u w:val="single"/>
            <w:rtl/>
          </w:rPr>
          <w:t>ע"פ 6409/12</w:t>
        </w:r>
      </w:hyperlink>
      <w:r>
        <w:rPr>
          <w:rFonts w:hint="cs"/>
          <w:rtl/>
        </w:rPr>
        <w:t xml:space="preserve"> </w:t>
      </w:r>
      <w:r>
        <w:rPr>
          <w:rFonts w:hint="cs"/>
          <w:b/>
          <w:bCs/>
          <w:rtl/>
        </w:rPr>
        <w:t>מדינת ישראל נ' אלגדיפי</w:t>
      </w:r>
      <w:r>
        <w:rPr>
          <w:rFonts w:hint="cs"/>
          <w:rtl/>
        </w:rPr>
        <w:t>, פסקאות 11-12</w:t>
      </w:r>
      <w:r>
        <w:rPr>
          <w:rFonts w:hint="cs"/>
          <w:b/>
          <w:bCs/>
          <w:rtl/>
        </w:rPr>
        <w:t xml:space="preserve"> </w:t>
      </w:r>
      <w:r>
        <w:rPr>
          <w:rFonts w:hint="cs"/>
          <w:rtl/>
        </w:rPr>
        <w:t xml:space="preserve">(5.6.13) (להלן-עניין אלגדיפי). </w:t>
      </w:r>
    </w:p>
    <w:p w14:paraId="7B81668A" w14:textId="77777777" w:rsidR="001B0E98" w:rsidRDefault="001B0E98" w:rsidP="001B0E98">
      <w:pPr>
        <w:spacing w:line="360" w:lineRule="auto"/>
        <w:jc w:val="both"/>
      </w:pPr>
    </w:p>
    <w:p w14:paraId="2E47ABDA" w14:textId="77777777" w:rsidR="001B0E98" w:rsidRDefault="001B0E98" w:rsidP="001B0E98">
      <w:pPr>
        <w:pStyle w:val="a9"/>
        <w:numPr>
          <w:ilvl w:val="0"/>
          <w:numId w:val="1"/>
        </w:numPr>
        <w:spacing w:line="360" w:lineRule="auto"/>
        <w:jc w:val="both"/>
        <w:rPr>
          <w:rtl/>
        </w:rPr>
      </w:pPr>
      <w:r>
        <w:rPr>
          <w:rFonts w:hint="cs"/>
          <w:b/>
          <w:bCs/>
          <w:rtl/>
        </w:rPr>
        <w:t>בענייננו</w:t>
      </w:r>
      <w:r>
        <w:rPr>
          <w:rFonts w:hint="cs"/>
          <w:rtl/>
        </w:rPr>
        <w:t xml:space="preserve">, יש ליתן לנסיבות מעשי הנאשם, נוכח תיקון משמעותי של כתב האישום, משקל נכבד בקביעת המתחם העונשי. הנאשם פעל כבלדר ושימש כחוליה מרכזית בהברחת הסם לארץ, חלקו כמסייע היה קטן משל שותפיו אך נותר משמעותי. הנאשם הוא שנענה ל"הצעת העבודה" המפוקפקת בקבוצת הטלגרם, פעל בהתאם לתכניות שולחיו, נסע לחו"ל, קיבל לידיו את המזוודות והביאן לארץ. בכל אחד מהצמתים בתכנית היבוא לא עצר ושקל שקילה נוספת את מעשיו, היה מודע לכך שמעורב בהברחת טובין אסור וביצע את המעשים מתוך מניע כלכלי מובהק. </w:t>
      </w:r>
    </w:p>
    <w:p w14:paraId="0E989D72" w14:textId="77777777" w:rsidR="001B0E98" w:rsidRDefault="001B0E98" w:rsidP="001B0E98">
      <w:pPr>
        <w:pStyle w:val="a9"/>
      </w:pPr>
    </w:p>
    <w:p w14:paraId="0FDCCA53" w14:textId="77777777" w:rsidR="001B0E98" w:rsidRDefault="001B0E98" w:rsidP="001B0E98">
      <w:pPr>
        <w:pStyle w:val="a9"/>
        <w:numPr>
          <w:ilvl w:val="0"/>
          <w:numId w:val="1"/>
        </w:numPr>
        <w:spacing w:line="360" w:lineRule="auto"/>
        <w:jc w:val="both"/>
        <w:rPr>
          <w:rtl/>
        </w:rPr>
      </w:pPr>
      <w:r>
        <w:rPr>
          <w:rFonts w:hint="cs"/>
          <w:rtl/>
        </w:rPr>
        <w:t xml:space="preserve">נתון נוסף שיש להדרש אליו הוא הסכמת הצדדים, שפעל מתוך יסוד נפשי של עצימת עיניים ולא מתוך מודעות לכך שמייבא סמים. הנאשם חשד שמדובר בסם אך לא ידע את סוגו, טיבו וכמותו. הנאשם, אדם אינטליגנט ונורמטיבי, הנסיבות האופפות את מעשיו ופרטי שיחת הגיוס בינו לבין מפעיליו אמורים היו להגביר את חשדו ועל כן אין בנסיבה זו כדי להביא להקלה בחומרת מעשיו ולמתן את מידת אשמו. </w:t>
      </w:r>
      <w:r>
        <w:rPr>
          <w:rFonts w:hint="cs"/>
          <w:b/>
          <w:bCs/>
          <w:rtl/>
        </w:rPr>
        <w:t>"עצימת עיניים איננה נסיבה מקלה. עבור בלדר הסמים, אין קל מלעצום את עיניו כלפי תוכנה של החבילה שקיבל... [קבלת טענה מעין זו] משמעותה פריצת פרצה אשר בכוחה לפטור את בלדרי הסמים מאחריות על מלוא הנזקים הכבדים שנגרמים מפעולתם"</w:t>
      </w:r>
      <w:r>
        <w:rPr>
          <w:rFonts w:ascii="Century" w:hAnsi="Century" w:cs="Miriam"/>
          <w:b/>
          <w:rtl/>
        </w:rPr>
        <w:t xml:space="preserve"> </w:t>
      </w:r>
      <w:r>
        <w:rPr>
          <w:rFonts w:hint="cs"/>
          <w:rtl/>
        </w:rPr>
        <w:t>(</w:t>
      </w:r>
      <w:hyperlink r:id="rId24" w:history="1">
        <w:r w:rsidR="000106E8" w:rsidRPr="000106E8">
          <w:rPr>
            <w:color w:val="0000FF"/>
            <w:u w:val="single"/>
            <w:rtl/>
          </w:rPr>
          <w:t>ע"פ 671/19</w:t>
        </w:r>
      </w:hyperlink>
      <w:r>
        <w:rPr>
          <w:rFonts w:hint="cs"/>
          <w:rtl/>
        </w:rPr>
        <w:t xml:space="preserve"> </w:t>
      </w:r>
      <w:r>
        <w:rPr>
          <w:rFonts w:hint="cs"/>
          <w:b/>
          <w:bCs/>
          <w:rtl/>
        </w:rPr>
        <w:t>אבוטבול נ' מדינת ישראל</w:t>
      </w:r>
      <w:r>
        <w:rPr>
          <w:rFonts w:hint="cs"/>
          <w:rtl/>
        </w:rPr>
        <w:t xml:space="preserve">, פסקה 10 (7.10.19): ראה גם </w:t>
      </w:r>
      <w:hyperlink r:id="rId25" w:history="1">
        <w:r w:rsidR="000106E8" w:rsidRPr="000106E8">
          <w:rPr>
            <w:color w:val="0000FF"/>
            <w:u w:val="single"/>
            <w:rtl/>
          </w:rPr>
          <w:t>ע"פ 8915/18</w:t>
        </w:r>
      </w:hyperlink>
      <w:r>
        <w:rPr>
          <w:rtl/>
        </w:rPr>
        <w:t xml:space="preserve"> </w:t>
      </w:r>
      <w:r>
        <w:rPr>
          <w:rFonts w:hint="cs"/>
          <w:b/>
          <w:bCs/>
          <w:rtl/>
        </w:rPr>
        <w:t>מועזיז נ' מדינת ישראל</w:t>
      </w:r>
      <w:r>
        <w:rPr>
          <w:rFonts w:hint="cs"/>
          <w:rtl/>
        </w:rPr>
        <w:t xml:space="preserve">, פסקה 11 (24.9.19)). </w:t>
      </w:r>
    </w:p>
    <w:p w14:paraId="244A9690" w14:textId="77777777" w:rsidR="001B0E98" w:rsidRDefault="001B0E98" w:rsidP="001B0E98">
      <w:pPr>
        <w:pStyle w:val="a9"/>
      </w:pPr>
    </w:p>
    <w:p w14:paraId="5C7EE5EE" w14:textId="77777777" w:rsidR="001B0E98" w:rsidRDefault="001B0E98" w:rsidP="001B0E98">
      <w:pPr>
        <w:pStyle w:val="a9"/>
        <w:spacing w:line="360" w:lineRule="auto"/>
        <w:jc w:val="both"/>
        <w:rPr>
          <w:rtl/>
        </w:rPr>
      </w:pPr>
    </w:p>
    <w:p w14:paraId="0B47D094" w14:textId="77777777" w:rsidR="001B0E98" w:rsidRDefault="001B0E98" w:rsidP="001B0E98">
      <w:pPr>
        <w:pStyle w:val="a9"/>
        <w:spacing w:line="360" w:lineRule="auto"/>
        <w:jc w:val="both"/>
      </w:pPr>
      <w:r>
        <w:rPr>
          <w:rFonts w:hint="cs"/>
          <w:rtl/>
        </w:rPr>
        <w:t xml:space="preserve">זהו המקום להעיר כי במקרים אחרים, שבהם תוקן כתב האישום באופן דומה, צויינו סוג הסם ומשקלו בכתב האישום, </w:t>
      </w:r>
      <w:r>
        <w:rPr>
          <w:rFonts w:hint="cs"/>
          <w:b/>
          <w:bCs/>
          <w:rtl/>
        </w:rPr>
        <w:t>מדובר בנתונים מהותיים</w:t>
      </w:r>
      <w:r>
        <w:rPr>
          <w:rFonts w:hint="cs"/>
          <w:rtl/>
        </w:rPr>
        <w:t xml:space="preserve"> לבחינת הנזק ופוטנציאל הנזק של מעשי הנאשם ואין בכך שבחר, חרף חשד ממשי, לעצום את עיניו כדי להפחית מהנזק שעלול היה להגרם אם הסם שהוברח היה נמכר ומופץ לצרכני סם בארץ. לא הובהר בטיעוני המאשימה האם החסירה נתונים אלו מעובדות כתב האישום המתוקן כדי להקל הקלה נוספת עם הנאשם אך בפועל, משלא צויין סוג הסם – קל או קשה וכמותו- הדבר ייזקף לטובתו. על יסוד כל אלו, מצאתי את מידת פגיעת מעשיו בערכים המוגנים, נמוכה-בינונית. </w:t>
      </w:r>
    </w:p>
    <w:p w14:paraId="5D196D92" w14:textId="77777777" w:rsidR="001B0E98" w:rsidRDefault="001B0E98" w:rsidP="001B0E98">
      <w:pPr>
        <w:pStyle w:val="a9"/>
        <w:spacing w:line="360" w:lineRule="auto"/>
        <w:jc w:val="both"/>
        <w:rPr>
          <w:rtl/>
        </w:rPr>
      </w:pPr>
    </w:p>
    <w:p w14:paraId="338D4F89" w14:textId="77777777" w:rsidR="001B0E98" w:rsidRDefault="001B0E98" w:rsidP="001B0E98">
      <w:pPr>
        <w:pStyle w:val="a9"/>
        <w:numPr>
          <w:ilvl w:val="0"/>
          <w:numId w:val="1"/>
        </w:numPr>
        <w:spacing w:line="360" w:lineRule="auto"/>
        <w:jc w:val="both"/>
        <w:rPr>
          <w:rtl/>
        </w:rPr>
      </w:pPr>
      <w:r>
        <w:rPr>
          <w:rFonts w:hint="cs"/>
          <w:rtl/>
        </w:rPr>
        <w:t xml:space="preserve">מתחמי הענישה בעבירת ייבוא סמים נקבעים תוך בחינה כירורגית שעיקרה היא סוג הסם, כמותו, ונסיבות ביצוע העבירה. כאמור, במקרה שלפנינו, סוג הסם ומשקלו אינו ידוע, ולפיכך אפנה למקרים שונים המלמדים על מדיניות הפסיקה העקרונית הנוהגת בעניינם של מסייעים ששימשו בלדרי סמים:  </w:t>
      </w:r>
    </w:p>
    <w:p w14:paraId="4F30F7E9" w14:textId="77777777" w:rsidR="001B0E98" w:rsidRDefault="001B0E98" w:rsidP="001B0E98">
      <w:pPr>
        <w:spacing w:line="360" w:lineRule="auto"/>
        <w:ind w:left="85" w:hanging="709"/>
        <w:jc w:val="both"/>
      </w:pPr>
    </w:p>
    <w:p w14:paraId="24A387E1" w14:textId="77777777" w:rsidR="001B0E98" w:rsidRDefault="001B0E98" w:rsidP="001B0E98">
      <w:pPr>
        <w:pStyle w:val="a9"/>
        <w:spacing w:line="360" w:lineRule="auto"/>
        <w:jc w:val="both"/>
        <w:rPr>
          <w:rFonts w:eastAsia="Times New Roman"/>
          <w:rtl/>
        </w:rPr>
      </w:pPr>
      <w:r>
        <w:rPr>
          <w:rFonts w:eastAsia="Times New Roman" w:hint="cs"/>
          <w:rtl/>
        </w:rPr>
        <w:t xml:space="preserve">בעניין מרזוקי נדחה ערעור המערער, יליד תאילנד ואזרח ישראלי, שימש כבלדר, הורשע בעבירות </w:t>
      </w:r>
      <w:r>
        <w:rPr>
          <w:rFonts w:hint="cs"/>
          <w:rtl/>
        </w:rPr>
        <w:t xml:space="preserve">ייבוא סם מסוג מתאמפטמין במשקל של </w:t>
      </w:r>
      <w:r>
        <w:rPr>
          <w:rFonts w:hint="cs"/>
          <w:b/>
          <w:bCs/>
          <w:rtl/>
        </w:rPr>
        <w:t xml:space="preserve">2.975 ק"ג </w:t>
      </w:r>
      <w:r>
        <w:rPr>
          <w:rFonts w:hint="cs"/>
          <w:rtl/>
        </w:rPr>
        <w:t xml:space="preserve">ושיבוש הליכי משפט. נקבע מתחם הנע בין 40-28 חודשי מאסר, הנאשם, ללא עבר, נדון למאסר בן 28 חודשים; </w:t>
      </w:r>
    </w:p>
    <w:p w14:paraId="30A07B3C" w14:textId="77777777" w:rsidR="001B0E98" w:rsidRDefault="001B0E98" w:rsidP="001B0E98">
      <w:pPr>
        <w:pStyle w:val="a9"/>
        <w:spacing w:line="360" w:lineRule="auto"/>
        <w:jc w:val="both"/>
        <w:rPr>
          <w:rFonts w:eastAsia="Times New Roman"/>
          <w:rtl/>
        </w:rPr>
      </w:pPr>
    </w:p>
    <w:p w14:paraId="17A484FE" w14:textId="77777777" w:rsidR="001B0E98" w:rsidRDefault="001B0E98" w:rsidP="001B0E98">
      <w:pPr>
        <w:pStyle w:val="a9"/>
        <w:spacing w:line="360" w:lineRule="auto"/>
        <w:jc w:val="both"/>
        <w:rPr>
          <w:rFonts w:eastAsia="Times New Roman"/>
          <w:rtl/>
        </w:rPr>
      </w:pPr>
      <w:r>
        <w:rPr>
          <w:rFonts w:eastAsia="Times New Roman" w:hint="cs"/>
          <w:rtl/>
        </w:rPr>
        <w:t>ב</w:t>
      </w:r>
      <w:hyperlink r:id="rId26" w:history="1">
        <w:r w:rsidR="000106E8" w:rsidRPr="000106E8">
          <w:rPr>
            <w:rFonts w:eastAsia="Times New Roman"/>
            <w:color w:val="0000FF"/>
            <w:u w:val="single"/>
            <w:rtl/>
          </w:rPr>
          <w:t>ת"פ (מח' מרכז) 55366-02-17</w:t>
        </w:r>
      </w:hyperlink>
      <w:r>
        <w:rPr>
          <w:rFonts w:eastAsia="Times New Roman" w:hint="cs"/>
          <w:rtl/>
        </w:rPr>
        <w:t xml:space="preserve"> </w:t>
      </w:r>
      <w:r>
        <w:rPr>
          <w:rFonts w:eastAsia="Times New Roman" w:hint="cs"/>
          <w:b/>
          <w:bCs/>
          <w:rtl/>
        </w:rPr>
        <w:t>מדינת ישראל נ' ציון</w:t>
      </w:r>
      <w:r>
        <w:rPr>
          <w:rFonts w:eastAsia="Times New Roman" w:hint="cs"/>
          <w:rtl/>
        </w:rPr>
        <w:t xml:space="preserve"> (29.11.18) הורשע הנאשם בעבירות קשירת קשר לפשע וייבוא סם מסוכן מסוג </w:t>
      </w:r>
      <w:r>
        <w:rPr>
          <w:rFonts w:eastAsia="Times New Roman"/>
        </w:rPr>
        <w:t>MDMA</w:t>
      </w:r>
      <w:r>
        <w:rPr>
          <w:rFonts w:eastAsia="Times New Roman" w:hint="cs"/>
          <w:rtl/>
        </w:rPr>
        <w:t xml:space="preserve"> במשקל של 2,952.60 גרם נטו. </w:t>
      </w:r>
      <w:r>
        <w:rPr>
          <w:rFonts w:eastAsia="Times New Roman" w:hint="cs"/>
          <w:b/>
          <w:bCs/>
          <w:rtl/>
        </w:rPr>
        <w:t>בית המשפט קבע כי מעמדו היה כשל מסייע</w:t>
      </w:r>
      <w:r>
        <w:rPr>
          <w:rFonts w:eastAsia="Times New Roman" w:hint="cs"/>
          <w:rtl/>
        </w:rPr>
        <w:t xml:space="preserve">, וקבע בהתאם מתחם ענישה הנע בין 50-20 חודשי מאסר בפועל. הנאשם, ללא עבר, נדון למאסר בן 30 חודשים; </w:t>
      </w:r>
    </w:p>
    <w:p w14:paraId="1D8EAFBC" w14:textId="77777777" w:rsidR="001B0E98" w:rsidRDefault="001B0E98" w:rsidP="001B0E98">
      <w:pPr>
        <w:spacing w:line="360" w:lineRule="auto"/>
        <w:jc w:val="both"/>
        <w:rPr>
          <w:rtl/>
        </w:rPr>
      </w:pPr>
    </w:p>
    <w:p w14:paraId="05F88043" w14:textId="77777777" w:rsidR="001B0E98" w:rsidRDefault="001B0E98" w:rsidP="001B0E98">
      <w:pPr>
        <w:spacing w:line="360" w:lineRule="auto"/>
        <w:ind w:left="720"/>
        <w:jc w:val="both"/>
        <w:rPr>
          <w:rFonts w:eastAsia="David"/>
          <w:rtl/>
        </w:rPr>
      </w:pPr>
      <w:r>
        <w:rPr>
          <w:rFonts w:hint="cs"/>
          <w:rtl/>
        </w:rPr>
        <w:t>ב</w:t>
      </w:r>
      <w:hyperlink r:id="rId27" w:history="1">
        <w:r w:rsidR="000106E8" w:rsidRPr="000106E8">
          <w:rPr>
            <w:color w:val="0000FF"/>
            <w:u w:val="single"/>
            <w:rtl/>
          </w:rPr>
          <w:t>ת"פ (מח' מרכז) 25840-10-19</w:t>
        </w:r>
      </w:hyperlink>
      <w:r>
        <w:rPr>
          <w:rtl/>
        </w:rPr>
        <w:t xml:space="preserve"> </w:t>
      </w:r>
      <w:r>
        <w:rPr>
          <w:rFonts w:hint="cs"/>
          <w:b/>
          <w:bCs/>
          <w:rtl/>
        </w:rPr>
        <w:t>מדינת ישראל נ' סורינטה</w:t>
      </w:r>
      <w:r>
        <w:rPr>
          <w:rFonts w:hint="cs"/>
          <w:rtl/>
        </w:rPr>
        <w:t xml:space="preserve"> (8.9.2020) – הורשע נאשם בעבירות ייבוא סם מסוכן מסוג מתאמפטמין במשקל של כשלושה ק"ג. הנאשם שיתף פעולה באופן מלא בחקירה, ומשמש כעד תביעה נגד האחר. בית המשפט אימץ את ההסכמות העונשיות אליהן הגיעו הצדדים וגזר עונשו למאסר בן 26 חודשים; </w:t>
      </w:r>
    </w:p>
    <w:p w14:paraId="295D5053" w14:textId="77777777" w:rsidR="001B0E98" w:rsidRDefault="001B0E98" w:rsidP="001B0E98">
      <w:pPr>
        <w:spacing w:line="360" w:lineRule="auto"/>
        <w:ind w:left="720"/>
        <w:jc w:val="both"/>
        <w:rPr>
          <w:rtl/>
        </w:rPr>
      </w:pPr>
    </w:p>
    <w:p w14:paraId="7BDF4CA7" w14:textId="77777777" w:rsidR="001B0E98" w:rsidRDefault="001B0E98" w:rsidP="001B0E98">
      <w:pPr>
        <w:spacing w:line="360" w:lineRule="auto"/>
        <w:ind w:left="720"/>
        <w:jc w:val="both"/>
        <w:rPr>
          <w:rtl/>
        </w:rPr>
      </w:pPr>
      <w:r>
        <w:rPr>
          <w:rFonts w:hint="cs"/>
          <w:rtl/>
        </w:rPr>
        <w:t>ב</w:t>
      </w:r>
      <w:hyperlink r:id="rId28" w:history="1">
        <w:r w:rsidR="000106E8" w:rsidRPr="000106E8">
          <w:rPr>
            <w:color w:val="0000FF"/>
            <w:u w:val="single"/>
            <w:rtl/>
          </w:rPr>
          <w:t>ת"פ (מח' מרכז) 43980-11-17</w:t>
        </w:r>
      </w:hyperlink>
      <w:r>
        <w:rPr>
          <w:rFonts w:hint="cs"/>
          <w:rtl/>
        </w:rPr>
        <w:t xml:space="preserve"> </w:t>
      </w:r>
      <w:r>
        <w:rPr>
          <w:rFonts w:hint="cs"/>
          <w:b/>
          <w:bCs/>
          <w:rtl/>
        </w:rPr>
        <w:t xml:space="preserve">מדינת ישראל נ' גרוס </w:t>
      </w:r>
      <w:r>
        <w:rPr>
          <w:rFonts w:hint="cs"/>
          <w:rtl/>
        </w:rPr>
        <w:t xml:space="preserve">(26.11.18) הנאשם 2 הורשע בקשירת קשר לפשע ושתי עבירות </w:t>
      </w:r>
      <w:r>
        <w:rPr>
          <w:rFonts w:hint="cs"/>
          <w:b/>
          <w:bCs/>
          <w:rtl/>
        </w:rPr>
        <w:t>סיוע</w:t>
      </w:r>
      <w:r>
        <w:rPr>
          <w:rFonts w:hint="cs"/>
          <w:rtl/>
        </w:rPr>
        <w:t xml:space="preserve"> לייבוא סם מסוכן מסוג </w:t>
      </w:r>
      <w:r>
        <w:t>MDMA</w:t>
      </w:r>
      <w:r>
        <w:rPr>
          <w:rFonts w:hint="cs"/>
          <w:rtl/>
        </w:rPr>
        <w:t xml:space="preserve"> בכמות של אלפי כדורים. בית המשפט אימץ את הסכמות הצדדים  והשית על הנאשם, צעיר ללא עבר, עונש מאסר בן 24 חודשים;</w:t>
      </w:r>
    </w:p>
    <w:p w14:paraId="408C8DF7" w14:textId="77777777" w:rsidR="001B0E98" w:rsidRDefault="001B0E98" w:rsidP="001B0E98">
      <w:pPr>
        <w:pStyle w:val="a9"/>
        <w:spacing w:line="360" w:lineRule="auto"/>
        <w:jc w:val="both"/>
        <w:rPr>
          <w:sz w:val="28"/>
          <w:rtl/>
        </w:rPr>
      </w:pPr>
    </w:p>
    <w:p w14:paraId="6B2F1AC3" w14:textId="77777777" w:rsidR="001B0E98" w:rsidRDefault="001B0E98" w:rsidP="001B0E98">
      <w:pPr>
        <w:spacing w:line="360" w:lineRule="auto"/>
        <w:ind w:left="720"/>
        <w:jc w:val="both"/>
        <w:rPr>
          <w:rtl/>
        </w:rPr>
      </w:pPr>
      <w:r>
        <w:rPr>
          <w:rFonts w:hint="cs"/>
          <w:rtl/>
        </w:rPr>
        <w:t>ב</w:t>
      </w:r>
      <w:hyperlink r:id="rId29" w:history="1">
        <w:r w:rsidR="000106E8" w:rsidRPr="000106E8">
          <w:rPr>
            <w:color w:val="0000FF"/>
            <w:u w:val="single"/>
            <w:rtl/>
          </w:rPr>
          <w:t>ת"פ (מח' ב"ש) 62962-06-21</w:t>
        </w:r>
      </w:hyperlink>
      <w:r>
        <w:rPr>
          <w:rFonts w:hint="cs"/>
          <w:rtl/>
        </w:rPr>
        <w:t xml:space="preserve"> </w:t>
      </w:r>
      <w:r>
        <w:rPr>
          <w:rFonts w:hint="cs"/>
          <w:b/>
          <w:bCs/>
          <w:rtl/>
        </w:rPr>
        <w:t xml:space="preserve">מדינת ישראל נ' כהן ואח' </w:t>
      </w:r>
      <w:r>
        <w:rPr>
          <w:rFonts w:hint="cs"/>
          <w:rtl/>
        </w:rPr>
        <w:t xml:space="preserve">(15.12.22) הנאשם 4 הורשע בעבירת </w:t>
      </w:r>
      <w:r>
        <w:rPr>
          <w:rFonts w:hint="cs"/>
          <w:b/>
          <w:bCs/>
          <w:rtl/>
        </w:rPr>
        <w:t>סיוע</w:t>
      </w:r>
      <w:r>
        <w:rPr>
          <w:rFonts w:hint="cs"/>
          <w:rtl/>
        </w:rPr>
        <w:t xml:space="preserve"> לייבוא סם מסוכן מסוג </w:t>
      </w:r>
      <w:r>
        <w:t>MDMA</w:t>
      </w:r>
      <w:r>
        <w:rPr>
          <w:rFonts w:hint="cs"/>
          <w:rtl/>
        </w:rPr>
        <w:t xml:space="preserve"> במשקל 3.2 ק"ג נטו. נקבע כי הסיוע המיוחס לו הוא ברף נמוך ביותר, שלא השפיע על ביצוע הייבוא, ובנסיבות אלו נקבע מתחם הנע בין תשעה חודשי מאסר שיכול וירוצה בעבודות שירות עד ל-18 חודשים. הנאשם 4, ללא עבר פלילי, היה נתון במעצר משך כשלושה חודשים, נדון לתשעה חודשי עבודות שירות.</w:t>
      </w:r>
    </w:p>
    <w:p w14:paraId="0922A979" w14:textId="77777777" w:rsidR="001B0E98" w:rsidRDefault="001B0E98" w:rsidP="001B0E98">
      <w:pPr>
        <w:spacing w:line="360" w:lineRule="auto"/>
        <w:ind w:left="720"/>
        <w:jc w:val="both"/>
        <w:rPr>
          <w:rFonts w:eastAsia="David"/>
          <w:rtl/>
        </w:rPr>
      </w:pPr>
    </w:p>
    <w:p w14:paraId="11CC3989" w14:textId="77777777" w:rsidR="001B0E98" w:rsidRDefault="001B0E98" w:rsidP="001B0E98">
      <w:pPr>
        <w:pStyle w:val="a9"/>
        <w:numPr>
          <w:ilvl w:val="0"/>
          <w:numId w:val="1"/>
        </w:numPr>
        <w:spacing w:line="360" w:lineRule="auto"/>
        <w:jc w:val="both"/>
        <w:rPr>
          <w:b/>
          <w:bCs/>
          <w:color w:val="000000"/>
          <w:rtl/>
        </w:rPr>
      </w:pPr>
      <w:r>
        <w:rPr>
          <w:rFonts w:hint="cs"/>
          <w:rtl/>
        </w:rPr>
        <w:t xml:space="preserve">לאחר שקילת כלל השיקולים, </w:t>
      </w:r>
      <w:r>
        <w:rPr>
          <w:rFonts w:hint="cs"/>
          <w:color w:val="000000"/>
          <w:rtl/>
        </w:rPr>
        <w:t xml:space="preserve">אני קובעת מתחם ענישה הנע בין </w:t>
      </w:r>
      <w:r>
        <w:rPr>
          <w:rFonts w:hint="cs"/>
          <w:b/>
          <w:bCs/>
          <w:color w:val="000000"/>
          <w:rtl/>
        </w:rPr>
        <w:t>24-12 חודשי מאסר בפועל</w:t>
      </w:r>
      <w:r>
        <w:rPr>
          <w:rFonts w:hint="cs"/>
          <w:color w:val="000000"/>
          <w:rtl/>
        </w:rPr>
        <w:t xml:space="preserve">. </w:t>
      </w:r>
    </w:p>
    <w:p w14:paraId="62C8078C" w14:textId="77777777" w:rsidR="001B0E98" w:rsidRDefault="001B0E98" w:rsidP="001B0E98">
      <w:pPr>
        <w:spacing w:line="360" w:lineRule="auto"/>
        <w:jc w:val="both"/>
        <w:rPr>
          <w:rtl/>
        </w:rPr>
      </w:pPr>
    </w:p>
    <w:p w14:paraId="2ED66A57" w14:textId="77777777" w:rsidR="001B0E98" w:rsidRDefault="001B0E98" w:rsidP="001B0E98">
      <w:pPr>
        <w:spacing w:line="360" w:lineRule="auto"/>
        <w:jc w:val="both"/>
        <w:rPr>
          <w:rtl/>
        </w:rPr>
      </w:pPr>
    </w:p>
    <w:p w14:paraId="72BA5555" w14:textId="77777777" w:rsidR="001B0E98" w:rsidRDefault="001B0E98" w:rsidP="001B0E98">
      <w:pPr>
        <w:spacing w:line="360" w:lineRule="auto"/>
        <w:jc w:val="both"/>
        <w:rPr>
          <w:b/>
          <w:bCs/>
          <w:u w:val="single"/>
          <w:rtl/>
        </w:rPr>
      </w:pPr>
      <w:r>
        <w:rPr>
          <w:rFonts w:hint="cs"/>
          <w:b/>
          <w:bCs/>
          <w:u w:val="single"/>
          <w:rtl/>
        </w:rPr>
        <w:t>קביעת העונש המתאים לנאשם - האם יש מקום לחרוג ממתחם הענישה לצרכי שיקום ולאמץ את המלצת שירות המבחן?</w:t>
      </w:r>
    </w:p>
    <w:p w14:paraId="716893E3" w14:textId="77777777" w:rsidR="001B0E98" w:rsidRDefault="001B0E98" w:rsidP="001B0E98">
      <w:pPr>
        <w:pStyle w:val="a9"/>
        <w:numPr>
          <w:ilvl w:val="0"/>
          <w:numId w:val="1"/>
        </w:numPr>
        <w:spacing w:before="240" w:after="120" w:line="360" w:lineRule="auto"/>
        <w:jc w:val="both"/>
        <w:rPr>
          <w:rFonts w:eastAsia="Times New Roman"/>
          <w:rtl/>
        </w:rPr>
      </w:pPr>
      <w:r>
        <w:rPr>
          <w:rFonts w:eastAsia="Times New Roman" w:hint="cs"/>
          <w:rtl/>
        </w:rPr>
        <w:t xml:space="preserve">עתה, משנקבע מתחם הענישה, יש להמשיך ולבחון עתירת ההגנה לחרוג ממנו מטעמי שיקום ובהתאם להוראת </w:t>
      </w:r>
      <w:hyperlink r:id="rId30" w:history="1">
        <w:r w:rsidR="00285F71" w:rsidRPr="00285F71">
          <w:rPr>
            <w:rStyle w:val="Hyperlink"/>
            <w:rFonts w:eastAsia="Times New Roman" w:hint="eastAsia"/>
            <w:rtl/>
          </w:rPr>
          <w:t>סעיף</w:t>
        </w:r>
        <w:r w:rsidR="00285F71" w:rsidRPr="00285F71">
          <w:rPr>
            <w:rStyle w:val="Hyperlink"/>
            <w:rFonts w:eastAsia="Times New Roman"/>
            <w:rtl/>
          </w:rPr>
          <w:t xml:space="preserve"> 40ד'(א)</w:t>
        </w:r>
      </w:hyperlink>
      <w:r>
        <w:rPr>
          <w:rFonts w:eastAsia="Times New Roman" w:hint="cs"/>
          <w:rtl/>
        </w:rPr>
        <w:t xml:space="preserve"> ל</w:t>
      </w:r>
      <w:hyperlink r:id="rId31" w:history="1">
        <w:r w:rsidR="000106E8" w:rsidRPr="000106E8">
          <w:rPr>
            <w:color w:val="0000FF"/>
            <w:u w:val="single"/>
            <w:rtl/>
          </w:rPr>
          <w:t>חוק העונשין</w:t>
        </w:r>
      </w:hyperlink>
      <w:r>
        <w:rPr>
          <w:rFonts w:eastAsia="Times New Roman" w:hint="cs"/>
          <w:rtl/>
        </w:rPr>
        <w:t xml:space="preserve">.  </w:t>
      </w:r>
      <w:hyperlink r:id="rId32" w:history="1">
        <w:r w:rsidR="00285F71" w:rsidRPr="00285F71">
          <w:rPr>
            <w:rStyle w:val="Hyperlink"/>
            <w:rFonts w:hint="eastAsia"/>
            <w:rtl/>
          </w:rPr>
          <w:t>סעיף</w:t>
        </w:r>
        <w:r w:rsidR="00285F71" w:rsidRPr="00285F71">
          <w:rPr>
            <w:rStyle w:val="Hyperlink"/>
            <w:rtl/>
          </w:rPr>
          <w:t xml:space="preserve"> 40ד'(א)</w:t>
        </w:r>
      </w:hyperlink>
      <w:r>
        <w:rPr>
          <w:rFonts w:eastAsia="Times New Roman" w:hint="cs"/>
          <w:rtl/>
        </w:rPr>
        <w:t xml:space="preserve"> ל</w:t>
      </w:r>
      <w:hyperlink r:id="rId33" w:history="1">
        <w:r w:rsidR="000106E8" w:rsidRPr="000106E8">
          <w:rPr>
            <w:color w:val="0000FF"/>
            <w:u w:val="single"/>
            <w:rtl/>
          </w:rPr>
          <w:t>חוק העונשין</w:t>
        </w:r>
      </w:hyperlink>
      <w:r>
        <w:rPr>
          <w:rFonts w:eastAsia="Times New Roman" w:hint="cs"/>
          <w:rtl/>
        </w:rPr>
        <w:t xml:space="preserve">  מורנו כך: "</w:t>
      </w:r>
      <w:r>
        <w:rPr>
          <w:rFonts w:eastAsia="Times New Roman"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4" w:history="1">
        <w:r w:rsidR="000106E8" w:rsidRPr="000106E8">
          <w:rPr>
            <w:rFonts w:eastAsia="Times New Roman"/>
            <w:b/>
            <w:bCs/>
            <w:color w:val="0000FF"/>
            <w:u w:val="single"/>
            <w:rtl/>
          </w:rPr>
          <w:t>פקודת המבחן</w:t>
        </w:r>
      </w:hyperlink>
      <w:r>
        <w:rPr>
          <w:rFonts w:eastAsia="Times New Roman" w:hint="cs"/>
          <w:b/>
          <w:bCs/>
          <w:rtl/>
        </w:rPr>
        <w:t xml:space="preserve"> [נוסח חדש], התשכ"ט-1969</w:t>
      </w:r>
      <w:r>
        <w:rPr>
          <w:rFonts w:eastAsia="Times New Roman" w:hint="cs"/>
          <w:rtl/>
        </w:rPr>
        <w:t>".</w:t>
      </w:r>
    </w:p>
    <w:p w14:paraId="53FE6EF7" w14:textId="77777777" w:rsidR="001B0E98" w:rsidRDefault="001B0E98" w:rsidP="001B0E98">
      <w:pPr>
        <w:pStyle w:val="a9"/>
        <w:spacing w:before="240" w:after="120" w:line="360" w:lineRule="auto"/>
        <w:jc w:val="both"/>
        <w:rPr>
          <w:rFonts w:eastAsia="Times New Roman"/>
        </w:rPr>
      </w:pPr>
    </w:p>
    <w:p w14:paraId="62F3CB2D" w14:textId="77777777" w:rsidR="001B0E98" w:rsidRDefault="001B0E98" w:rsidP="001B0E98">
      <w:pPr>
        <w:pStyle w:val="a9"/>
        <w:numPr>
          <w:ilvl w:val="0"/>
          <w:numId w:val="1"/>
        </w:numPr>
        <w:spacing w:after="200" w:line="360" w:lineRule="auto"/>
        <w:jc w:val="both"/>
        <w:rPr>
          <w:rFonts w:eastAsia="Times New Roman"/>
        </w:rPr>
      </w:pPr>
      <w:r>
        <w:rPr>
          <w:rFonts w:eastAsia="Times New Roman" w:hint="cs"/>
          <w:rtl/>
        </w:rPr>
        <w:t xml:space="preserve">התשובה לשאלה אילו מן המקרים ייחשבו  מקרי שיקום כמשמעותו </w:t>
      </w:r>
      <w:hyperlink r:id="rId35" w:history="1">
        <w:r w:rsidR="00285F71" w:rsidRPr="00285F71">
          <w:rPr>
            <w:rStyle w:val="Hyperlink"/>
            <w:rFonts w:eastAsia="Times New Roman" w:hint="eastAsia"/>
            <w:rtl/>
          </w:rPr>
          <w:t>בסעיף</w:t>
        </w:r>
        <w:r w:rsidR="00285F71" w:rsidRPr="00285F71">
          <w:rPr>
            <w:rStyle w:val="Hyperlink"/>
            <w:rFonts w:eastAsia="Times New Roman"/>
            <w:rtl/>
          </w:rPr>
          <w:t xml:space="preserve"> 40ד'</w:t>
        </w:r>
      </w:hyperlink>
      <w:r>
        <w:rPr>
          <w:rFonts w:eastAsia="Times New Roman"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6" w:history="1">
        <w:r w:rsidR="00285F71" w:rsidRPr="00285F71">
          <w:rPr>
            <w:rStyle w:val="Hyperlink"/>
            <w:rFonts w:eastAsia="Times New Roman" w:hint="eastAsia"/>
            <w:rtl/>
          </w:rPr>
          <w:t>סעיף</w:t>
        </w:r>
        <w:r w:rsidR="00285F71" w:rsidRPr="00285F71">
          <w:rPr>
            <w:rStyle w:val="Hyperlink"/>
            <w:rFonts w:eastAsia="Times New Roman"/>
            <w:rtl/>
          </w:rPr>
          <w:t xml:space="preserve"> 40ד'</w:t>
        </w:r>
      </w:hyperlink>
      <w:r>
        <w:rPr>
          <w:rFonts w:eastAsia="Times New Roman" w:hint="cs"/>
          <w:rtl/>
        </w:rPr>
        <w:t xml:space="preserve"> לחוק מלמדת, כי לעיתים כאשר "</w:t>
      </w:r>
      <w:r>
        <w:rPr>
          <w:rFonts w:eastAsia="Times New Roman" w:hint="cs"/>
          <w:b/>
          <w:bCs/>
          <w:rtl/>
        </w:rPr>
        <w:t>נאשם השתקם</w:t>
      </w:r>
      <w:r>
        <w:rPr>
          <w:rFonts w:eastAsia="Times New Roman" w:hint="cs"/>
          <w:rtl/>
        </w:rPr>
        <w:t>" או כי "</w:t>
      </w:r>
      <w:r>
        <w:rPr>
          <w:rFonts w:eastAsia="Times New Roman" w:hint="cs"/>
          <w:b/>
          <w:bCs/>
          <w:rtl/>
        </w:rPr>
        <w:t>יש סיכוי של ממש שישתקם</w:t>
      </w:r>
      <w:r>
        <w:rPr>
          <w:rFonts w:eastAsia="Times New Roman" w:hint="cs"/>
          <w:rtl/>
        </w:rPr>
        <w:t xml:space="preserve">", עשויים שיקולי השיקום לגבור על שיקולי ההרתעה והגמול (ראו </w:t>
      </w:r>
      <w:hyperlink r:id="rId37" w:history="1">
        <w:r w:rsidR="000106E8" w:rsidRPr="000106E8">
          <w:rPr>
            <w:rFonts w:eastAsia="Times New Roman"/>
            <w:color w:val="0000FF"/>
            <w:u w:val="single"/>
            <w:rtl/>
          </w:rPr>
          <w:t>רע"פ 7572/12</w:t>
        </w:r>
      </w:hyperlink>
      <w:r>
        <w:rPr>
          <w:rFonts w:eastAsia="Times New Roman" w:hint="cs"/>
          <w:rtl/>
        </w:rPr>
        <w:t xml:space="preserve"> </w:t>
      </w:r>
      <w:r>
        <w:rPr>
          <w:rFonts w:eastAsia="Times New Roman" w:hint="cs"/>
          <w:b/>
          <w:bCs/>
          <w:rtl/>
        </w:rPr>
        <w:t>הזייל נ' מדינת ישראל</w:t>
      </w:r>
      <w:r>
        <w:rPr>
          <w:rFonts w:eastAsia="Times New Roman"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8" w:history="1">
        <w:r w:rsidR="000106E8" w:rsidRPr="000106E8">
          <w:rPr>
            <w:rFonts w:eastAsia="Times New Roman"/>
            <w:color w:val="0000FF"/>
            <w:u w:val="single"/>
            <w:rtl/>
          </w:rPr>
          <w:t>ע"פ 1903/13</w:t>
        </w:r>
      </w:hyperlink>
      <w:r>
        <w:rPr>
          <w:rFonts w:eastAsia="Times New Roman" w:hint="cs"/>
          <w:rtl/>
        </w:rPr>
        <w:t xml:space="preserve"> </w:t>
      </w:r>
      <w:r>
        <w:rPr>
          <w:rFonts w:eastAsia="Times New Roman" w:hint="cs"/>
          <w:b/>
          <w:bCs/>
          <w:rtl/>
        </w:rPr>
        <w:t>עיאשה נ' מדינת ישראל</w:t>
      </w:r>
      <w:r>
        <w:rPr>
          <w:rFonts w:eastAsia="Times New Roman" w:hint="cs"/>
          <w:rtl/>
        </w:rPr>
        <w:t xml:space="preserve"> (14.07.13)). </w:t>
      </w:r>
      <w:r>
        <w:rPr>
          <w:rFonts w:hint="cs"/>
          <w:rtl/>
        </w:rPr>
        <w:t xml:space="preserve">הפסיקה קבעה בהקשר זה, כי ניתן להתחשב, בין היתר, בשיקולים כגון המוטיבציה שהביע האדם המורשע להשתקם; הליכי גמילה מהתמכרות; הצלחה בהשתלבות בהליכים טיפוליים; שינוי בהתנהגות ובדרך החשיבה של האדם שהורשע; הבעת חרטה כנה והפגנת אמפתיה כלפי נפגע העבירה (ראו: </w:t>
      </w:r>
      <w:hyperlink r:id="rId39" w:history="1">
        <w:r w:rsidR="000106E8" w:rsidRPr="000106E8">
          <w:rPr>
            <w:color w:val="0000FF"/>
            <w:u w:val="single"/>
            <w:rtl/>
          </w:rPr>
          <w:t>ע"פ 6637/17</w:t>
        </w:r>
      </w:hyperlink>
      <w:r>
        <w:rPr>
          <w:rFonts w:hint="cs"/>
          <w:rtl/>
        </w:rPr>
        <w:t xml:space="preserve"> </w:t>
      </w:r>
      <w:r>
        <w:rPr>
          <w:rFonts w:hint="cs"/>
          <w:bCs/>
          <w:rtl/>
        </w:rPr>
        <w:t>קרנדל נ' מ"י</w:t>
      </w:r>
      <w:r>
        <w:rPr>
          <w:rFonts w:hint="cs"/>
          <w:rtl/>
        </w:rPr>
        <w:t xml:space="preserve"> (18.04.2018); </w:t>
      </w:r>
      <w:hyperlink r:id="rId40" w:history="1">
        <w:r w:rsidR="000106E8" w:rsidRPr="000106E8">
          <w:rPr>
            <w:color w:val="0000FF"/>
            <w:u w:val="single"/>
            <w:rtl/>
          </w:rPr>
          <w:t>ע"פ 3613/17</w:t>
        </w:r>
      </w:hyperlink>
      <w:r>
        <w:rPr>
          <w:rFonts w:hint="cs"/>
          <w:rtl/>
        </w:rPr>
        <w:t xml:space="preserve"> </w:t>
      </w:r>
      <w:r>
        <w:rPr>
          <w:rFonts w:hint="cs"/>
          <w:bCs/>
          <w:rtl/>
        </w:rPr>
        <w:t>זייבלד נ' מ"י</w:t>
      </w:r>
      <w:r>
        <w:rPr>
          <w:rFonts w:hint="cs"/>
          <w:rtl/>
        </w:rPr>
        <w:t xml:space="preserve"> (17.01.2019)), כש</w:t>
      </w:r>
      <w:r>
        <w:rPr>
          <w:rFonts w:eastAsia="Times New Roman" w:hint="cs"/>
          <w:rtl/>
        </w:rPr>
        <w:t xml:space="preserve">לתסקיר שירות המבחן מעמד משמעותי ביותר, אם כי כמובן שאינו מחייב את בית המשפט.  </w:t>
      </w:r>
    </w:p>
    <w:p w14:paraId="3DC66832" w14:textId="77777777" w:rsidR="001B0E98" w:rsidRDefault="001B0E98" w:rsidP="001B0E98">
      <w:pPr>
        <w:pStyle w:val="a9"/>
        <w:spacing w:after="200" w:line="360" w:lineRule="auto"/>
        <w:jc w:val="both"/>
        <w:rPr>
          <w:rFonts w:eastAsia="Times New Roman"/>
          <w:rtl/>
        </w:rPr>
      </w:pPr>
    </w:p>
    <w:p w14:paraId="7F9820C0" w14:textId="77777777" w:rsidR="001B0E98" w:rsidRDefault="001B0E98" w:rsidP="001B0E98">
      <w:pPr>
        <w:pStyle w:val="a9"/>
        <w:numPr>
          <w:ilvl w:val="0"/>
          <w:numId w:val="1"/>
        </w:numPr>
        <w:spacing w:line="360" w:lineRule="auto"/>
        <w:jc w:val="both"/>
      </w:pPr>
      <w:r>
        <w:rPr>
          <w:rFonts w:hint="cs"/>
          <w:rtl/>
        </w:rPr>
        <w:t xml:space="preserve">לגופו, הנאשם אדם נורמטיבי, אזרח מן השורה, ביצע את מעשיו על רקע קשיים כלכליים שאליהם נקלע עקב פיטוריו. נתוניו כולם תואמים היטב את פרופיל הבלדר הקלאסי, שאינו מכור לסם או עבריין, ומבצע את עבודת הבלדרות כדי להרוויח כסף קל ומתוך מחשבה שסיכוייו להתפס אינם גבוהים. הנאשם לא עבר הליך שיקומי יוצא דופן, משתף פעולה בהליכי הטיפול אך מתקשה להפתח ולשתף את קצינת המבחן בתכני עולמו הפנימי. לאחר ששמעתי את הנאשם ואמו, אניח כי סגירותו נובעת מאישיותו השקטה והמופנמת. לצד זאת, נטל אחריות, הביע חרטה על מעשיו, ניכר כי הסתבכותו טלטלה אותו ואת אמו, שאליה קשור בעבותות, טלטלה עזה והוא למד את לקחו. שירות המבחן היה ער להתקדמותו האיטית בנתיבי הטיפול ועל כן המליץ להעמידו תחת פיקוחם לתקופה של 18 חודשים ולשלבו בהליך טיפולי ארוך טווח. </w:t>
      </w:r>
      <w:r>
        <w:rPr>
          <w:rFonts w:hint="cs"/>
          <w:b/>
          <w:bCs/>
          <w:rtl/>
        </w:rPr>
        <w:t>על יסוד כל אלו, התרשמתי כי מצוי בעיצומו של הליך התבוננות פנימית ותיקון דרכיו, וכי הוא בעל סיכויי שיקום גבוהים.</w:t>
      </w:r>
      <w:r>
        <w:rPr>
          <w:rFonts w:hint="cs"/>
          <w:rtl/>
        </w:rPr>
        <w:t xml:space="preserve"> יש בנתוניו כדי להוות בסיס נאות לסטייה מרף הענישה שנקבע מכח </w:t>
      </w:r>
      <w:hyperlink r:id="rId41" w:history="1">
        <w:r w:rsidR="00285F71" w:rsidRPr="00285F71">
          <w:rPr>
            <w:rStyle w:val="Hyperlink"/>
            <w:rFonts w:hint="eastAsia"/>
            <w:rtl/>
          </w:rPr>
          <w:t>סעיף</w:t>
        </w:r>
        <w:r w:rsidR="00285F71" w:rsidRPr="00285F71">
          <w:rPr>
            <w:rStyle w:val="Hyperlink"/>
            <w:rtl/>
          </w:rPr>
          <w:t xml:space="preserve"> 40ד(א)</w:t>
        </w:r>
      </w:hyperlink>
      <w:r>
        <w:rPr>
          <w:rFonts w:hint="cs"/>
          <w:rtl/>
        </w:rPr>
        <w:t xml:space="preserve"> לחוק. </w:t>
      </w:r>
    </w:p>
    <w:p w14:paraId="0A2D56BF" w14:textId="77777777" w:rsidR="001B0E98" w:rsidRDefault="001B0E98" w:rsidP="001B0E98">
      <w:pPr>
        <w:pStyle w:val="a9"/>
        <w:rPr>
          <w:rtl/>
        </w:rPr>
      </w:pPr>
    </w:p>
    <w:p w14:paraId="08658D92" w14:textId="77777777" w:rsidR="001B0E98" w:rsidRDefault="001B0E98" w:rsidP="001B0E98">
      <w:pPr>
        <w:pStyle w:val="a9"/>
        <w:numPr>
          <w:ilvl w:val="0"/>
          <w:numId w:val="1"/>
        </w:numPr>
        <w:spacing w:line="360" w:lineRule="auto"/>
        <w:ind w:left="785"/>
        <w:jc w:val="both"/>
        <w:rPr>
          <w:rtl/>
        </w:rPr>
      </w:pPr>
      <w:r>
        <w:rPr>
          <w:rFonts w:hint="cs"/>
          <w:rtl/>
        </w:rPr>
        <w:t xml:space="preserve">לאחר ששקלתי את כלל השיקולים ושמתי לנגד עיניי גם את שיקולי הרתעת הרבים, הרתעת הנאשם ושכמותו, ממעורבות ביבוא סמים מסוכנים, מצאתי לאמץ את המלצת שירות המבחן ולהסתפק בענישה של עבודות שירות ברף מירבי. אף המאשימה מסכימה כי יש למקם את עונשו ברף התחתון, בענייננו (ובעיקר בשל השמטת נתוני הסם) קבעתי מתחם שמתחיל משנת מאסר, לכך אוסיף את העובדה שהנאשם היה עצור כחודשיים, נתון תקופה ארוכה בתנאים מגבילים, מאז החל לעבוד, משתף פעולה עם שירות המבחן, מגלה מוטיבציה כנה להמשך טיפול והעמקה בו, ובמשך תקופה ארוכה ימשיך להיות מפוקח על ידם. </w:t>
      </w:r>
    </w:p>
    <w:p w14:paraId="3AF4C5A6" w14:textId="77777777" w:rsidR="001B0E98" w:rsidRDefault="001B0E98" w:rsidP="001B0E98">
      <w:pPr>
        <w:pStyle w:val="a9"/>
        <w:rPr>
          <w:b/>
          <w:bCs/>
          <w:rtl/>
        </w:rPr>
      </w:pPr>
    </w:p>
    <w:p w14:paraId="5B4F4034" w14:textId="77777777" w:rsidR="001B0E98" w:rsidRDefault="001B0E98" w:rsidP="001B0E98">
      <w:pPr>
        <w:pStyle w:val="a9"/>
        <w:numPr>
          <w:ilvl w:val="0"/>
          <w:numId w:val="1"/>
        </w:numPr>
        <w:spacing w:line="360" w:lineRule="auto"/>
        <w:jc w:val="both"/>
        <w:rPr>
          <w:rtl/>
        </w:rPr>
      </w:pPr>
      <w:r>
        <w:rPr>
          <w:rFonts w:hint="cs"/>
          <w:rtl/>
        </w:rPr>
        <w:t>אשר על כן, אני גוזרת על הנאשם את העונשים הבאים:</w:t>
      </w:r>
    </w:p>
    <w:p w14:paraId="0A5EEF00" w14:textId="77777777" w:rsidR="001B0E98" w:rsidRDefault="001B0E98" w:rsidP="001B0E98">
      <w:pPr>
        <w:pStyle w:val="a9"/>
      </w:pPr>
    </w:p>
    <w:p w14:paraId="770379E2" w14:textId="77777777" w:rsidR="001B0E98" w:rsidRDefault="001B0E98" w:rsidP="001B0E98">
      <w:pPr>
        <w:pStyle w:val="a9"/>
        <w:numPr>
          <w:ilvl w:val="0"/>
          <w:numId w:val="2"/>
        </w:numPr>
        <w:spacing w:line="360" w:lineRule="auto"/>
        <w:ind w:left="1077" w:hanging="357"/>
        <w:jc w:val="both"/>
      </w:pPr>
      <w:r w:rsidRPr="00C542FE">
        <w:rPr>
          <w:rFonts w:hint="cs"/>
          <w:b/>
          <w:bCs/>
          <w:rtl/>
        </w:rPr>
        <w:t>9 חודשי מאסר בפועל שירוצו בדרך של עבודות שירות</w:t>
      </w:r>
      <w:r>
        <w:rPr>
          <w:rFonts w:hint="cs"/>
          <w:rtl/>
        </w:rPr>
        <w:t xml:space="preserve"> במקום עבודה המשקם בכתובת השפלה 7 פתח תקווה. הנאשם יבצע את העבודות בימים א'-ה' למשך 6 שעות יומיות. על הנאשם להתייצב לקליטה והצבה ביום 4.5.23 במשרדי הממונה בכתובת לוחמי בית"ר 6, רמלה. </w:t>
      </w:r>
    </w:p>
    <w:p w14:paraId="5B67DDB8" w14:textId="77777777" w:rsidR="001B0E98" w:rsidRDefault="001B0E98" w:rsidP="001B0E98">
      <w:pPr>
        <w:pStyle w:val="a9"/>
        <w:numPr>
          <w:ilvl w:val="0"/>
          <w:numId w:val="2"/>
        </w:numPr>
        <w:spacing w:line="360" w:lineRule="auto"/>
        <w:ind w:left="1077" w:hanging="357"/>
        <w:jc w:val="both"/>
      </w:pPr>
      <w:r>
        <w:rPr>
          <w:rFonts w:hint="cs"/>
          <w:rtl/>
        </w:rPr>
        <w:t xml:space="preserve">הנאשם מוזהר כי אם לא ישתף פעולה עם הממונה ניתן להמיר את העבודות במאסר ממש. </w:t>
      </w:r>
    </w:p>
    <w:p w14:paraId="3AB1B72F" w14:textId="77777777" w:rsidR="001B0E98" w:rsidRDefault="001B0E98" w:rsidP="001B0E98">
      <w:pPr>
        <w:pStyle w:val="a9"/>
        <w:numPr>
          <w:ilvl w:val="0"/>
          <w:numId w:val="2"/>
        </w:numPr>
        <w:spacing w:line="360" w:lineRule="auto"/>
        <w:ind w:left="1077" w:hanging="357"/>
        <w:jc w:val="both"/>
      </w:pPr>
      <w:r>
        <w:rPr>
          <w:rFonts w:hint="cs"/>
          <w:rtl/>
        </w:rPr>
        <w:t>10 חודשי מאסר על תנאי, לבל יעבור הנאשם במשך 3 שנים מהיום עבירת סמים מסוג פשע.</w:t>
      </w:r>
    </w:p>
    <w:p w14:paraId="4ECD49A9" w14:textId="77777777" w:rsidR="001B0E98" w:rsidRDefault="001B0E98" w:rsidP="001B0E98">
      <w:pPr>
        <w:pStyle w:val="a9"/>
        <w:numPr>
          <w:ilvl w:val="0"/>
          <w:numId w:val="2"/>
        </w:numPr>
        <w:spacing w:line="360" w:lineRule="auto"/>
        <w:ind w:left="1077" w:hanging="357"/>
        <w:jc w:val="both"/>
      </w:pPr>
      <w:r>
        <w:rPr>
          <w:rFonts w:hint="cs"/>
          <w:rtl/>
        </w:rPr>
        <w:t xml:space="preserve">צו מבחן לתקופה של 18 חודשים החל מהיום. הנאשם מוזהר בחובת שיתוף פעולה וכי אם לא יעשה כן, ניתן יהיה להפקיע את הצו ולגזור עליו עונש אחר תחתיו. </w:t>
      </w:r>
    </w:p>
    <w:p w14:paraId="348FAC17" w14:textId="77777777" w:rsidR="001B0E98" w:rsidRDefault="001B0E98" w:rsidP="001B0E98">
      <w:pPr>
        <w:pStyle w:val="a9"/>
        <w:numPr>
          <w:ilvl w:val="0"/>
          <w:numId w:val="2"/>
        </w:numPr>
        <w:spacing w:line="360" w:lineRule="auto"/>
        <w:ind w:left="1077" w:hanging="357"/>
        <w:jc w:val="both"/>
      </w:pPr>
      <w:r>
        <w:rPr>
          <w:rFonts w:hint="cs"/>
          <w:rtl/>
        </w:rPr>
        <w:t xml:space="preserve">קנס בסך 4,000 ₪ או 30 ימי מאסר תמורתו. הקנס ישולם בארבעה תשלומים חודשיים שווים ורצופים החל מיום 2.4.23. </w:t>
      </w:r>
    </w:p>
    <w:p w14:paraId="06C9C414" w14:textId="77777777" w:rsidR="001B0E98" w:rsidRDefault="001B0E98" w:rsidP="001B0E98">
      <w:pPr>
        <w:spacing w:line="360" w:lineRule="auto"/>
        <w:jc w:val="both"/>
      </w:pPr>
    </w:p>
    <w:p w14:paraId="0573DEF4" w14:textId="77777777" w:rsidR="001B0E98" w:rsidRDefault="001B0E98" w:rsidP="001B0E98">
      <w:pPr>
        <w:spacing w:line="360" w:lineRule="auto"/>
        <w:jc w:val="both"/>
        <w:rPr>
          <w:b/>
          <w:bCs/>
          <w:rtl/>
        </w:rPr>
      </w:pPr>
      <w:r>
        <w:rPr>
          <w:rFonts w:hint="cs"/>
          <w:b/>
          <w:bCs/>
          <w:rtl/>
        </w:rPr>
        <w:t xml:space="preserve">עותק מהחלטתי יועבר לממונה על עבודות השירות ולשירות המבחן. </w:t>
      </w:r>
    </w:p>
    <w:p w14:paraId="493CE625" w14:textId="77777777" w:rsidR="001B0E98" w:rsidRDefault="000106E8" w:rsidP="001B0E98">
      <w:pPr>
        <w:spacing w:line="360" w:lineRule="auto"/>
        <w:jc w:val="both"/>
        <w:rPr>
          <w:b/>
          <w:bCs/>
          <w:rtl/>
        </w:rPr>
      </w:pPr>
      <w:r w:rsidRPr="000106E8">
        <w:rPr>
          <w:b/>
          <w:bCs/>
          <w:color w:val="FFFFFF"/>
          <w:sz w:val="2"/>
          <w:szCs w:val="2"/>
          <w:rtl/>
        </w:rPr>
        <w:t>5129371</w:t>
      </w:r>
      <w:r w:rsidR="001B0E98">
        <w:rPr>
          <w:rFonts w:hint="cs"/>
          <w:b/>
          <w:bCs/>
          <w:rtl/>
        </w:rPr>
        <w:t xml:space="preserve">זכות ערעור לבית המשפט העליון תוך 45 יום. </w:t>
      </w:r>
    </w:p>
    <w:p w14:paraId="4055F96D" w14:textId="77777777" w:rsidR="001B0E98" w:rsidRPr="000106E8" w:rsidRDefault="000106E8" w:rsidP="001B0E98">
      <w:pPr>
        <w:rPr>
          <w:rFonts w:ascii="Arial" w:hAnsi="Arial"/>
          <w:b/>
          <w:bCs/>
          <w:color w:val="FFFFFF"/>
          <w:sz w:val="2"/>
          <w:szCs w:val="2"/>
          <w:rtl/>
        </w:rPr>
      </w:pPr>
      <w:r w:rsidRPr="000106E8">
        <w:rPr>
          <w:rFonts w:ascii="Arial" w:hAnsi="Arial"/>
          <w:b/>
          <w:bCs/>
          <w:color w:val="FFFFFF"/>
          <w:sz w:val="2"/>
          <w:szCs w:val="2"/>
          <w:rtl/>
        </w:rPr>
        <w:t>54678313</w:t>
      </w:r>
    </w:p>
    <w:p w14:paraId="3D4E9839" w14:textId="77777777" w:rsidR="001B0E98" w:rsidRPr="000F2247" w:rsidRDefault="001B0E98" w:rsidP="001B0E98">
      <w:pPr>
        <w:rPr>
          <w:rFonts w:ascii="Arial" w:hAnsi="Arial"/>
          <w:b/>
          <w:bCs/>
          <w:sz w:val="26"/>
          <w:szCs w:val="26"/>
          <w:rtl/>
        </w:rPr>
      </w:pPr>
    </w:p>
    <w:p w14:paraId="0B32A371" w14:textId="77777777" w:rsidR="001B0E98" w:rsidRPr="000F2247" w:rsidRDefault="000106E8" w:rsidP="001B0E9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שבט תשפ"ג, 20 פברואר 2023, במעמד הצדדים. </w:t>
      </w:r>
      <w:bookmarkEnd w:id="8"/>
      <w:r w:rsidR="001B0E98">
        <w:rPr>
          <w:rFonts w:ascii="Arial" w:hAnsi="Arial"/>
          <w:b/>
          <w:bCs/>
          <w:sz w:val="26"/>
          <w:szCs w:val="26"/>
          <w:rtl/>
        </w:rPr>
        <w:tab/>
      </w:r>
      <w:r w:rsidR="001B0E98">
        <w:rPr>
          <w:rFonts w:ascii="Arial" w:hAnsi="Arial"/>
          <w:b/>
          <w:bCs/>
          <w:sz w:val="26"/>
          <w:szCs w:val="26"/>
          <w:rtl/>
        </w:rPr>
        <w:tab/>
      </w:r>
      <w:r w:rsidR="001B0E98">
        <w:rPr>
          <w:rFonts w:ascii="Arial" w:hAnsi="Arial"/>
          <w:b/>
          <w:bCs/>
          <w:sz w:val="26"/>
          <w:szCs w:val="26"/>
          <w:rtl/>
        </w:rPr>
        <w:tab/>
      </w:r>
      <w:r w:rsidR="001B0E98">
        <w:rPr>
          <w:rFonts w:ascii="Arial" w:hAnsi="Arial"/>
          <w:b/>
          <w:bCs/>
          <w:sz w:val="26"/>
          <w:szCs w:val="26"/>
          <w:rtl/>
        </w:rPr>
        <w:tab/>
      </w:r>
      <w:r w:rsidR="001B0E98">
        <w:rPr>
          <w:rFonts w:ascii="Arial" w:hAnsi="Arial"/>
          <w:b/>
          <w:bCs/>
          <w:sz w:val="26"/>
          <w:szCs w:val="26"/>
          <w:rtl/>
        </w:rPr>
        <w:tab/>
      </w:r>
      <w:r w:rsidR="001B0E98">
        <w:rPr>
          <w:rFonts w:ascii="Arial" w:hAnsi="Arial"/>
          <w:b/>
          <w:bCs/>
          <w:sz w:val="26"/>
          <w:szCs w:val="26"/>
          <w:rtl/>
        </w:rPr>
        <w:tab/>
      </w:r>
      <w:r w:rsidR="001B0E98">
        <w:rPr>
          <w:rFonts w:ascii="Arial" w:hAnsi="Arial"/>
          <w:b/>
          <w:bCs/>
          <w:sz w:val="26"/>
          <w:szCs w:val="26"/>
          <w:rtl/>
        </w:rPr>
        <w:tab/>
      </w:r>
      <w:r w:rsidR="001B0E98">
        <w:rPr>
          <w:rFonts w:ascii="Arial" w:hAnsi="Arial" w:hint="cs"/>
          <w:b/>
          <w:bCs/>
          <w:sz w:val="26"/>
          <w:szCs w:val="26"/>
          <w:rtl/>
        </w:rPr>
        <w:t xml:space="preserve">         </w:t>
      </w:r>
    </w:p>
    <w:p w14:paraId="30B4ECA2" w14:textId="77777777" w:rsidR="001B0E98" w:rsidRPr="000F2247" w:rsidRDefault="001B0E98" w:rsidP="000106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E6E0BD" w14:textId="77777777" w:rsidR="001B0E98" w:rsidRPr="000F2247" w:rsidRDefault="001B0E98" w:rsidP="001B0E98">
      <w:pPr>
        <w:jc w:val="center"/>
        <w:rPr>
          <w:rFonts w:ascii="Arial" w:hAnsi="Arial"/>
          <w:b/>
          <w:bCs/>
          <w:sz w:val="26"/>
          <w:szCs w:val="26"/>
          <w:rtl/>
        </w:rPr>
      </w:pPr>
    </w:p>
    <w:p w14:paraId="5F487CFD" w14:textId="77777777" w:rsidR="00E53C2B" w:rsidRPr="000106E8" w:rsidRDefault="00E53C2B" w:rsidP="000106E8">
      <w:pPr>
        <w:keepNext/>
        <w:rPr>
          <w:rFonts w:ascii="David" w:hAnsi="David"/>
          <w:color w:val="000000"/>
          <w:sz w:val="22"/>
          <w:szCs w:val="22"/>
          <w:rtl/>
        </w:rPr>
      </w:pPr>
    </w:p>
    <w:p w14:paraId="7AEFD6F0" w14:textId="77777777" w:rsidR="000106E8" w:rsidRPr="000106E8" w:rsidRDefault="000106E8" w:rsidP="000106E8">
      <w:pPr>
        <w:keepNext/>
        <w:rPr>
          <w:rFonts w:ascii="David" w:hAnsi="David"/>
          <w:color w:val="000000"/>
          <w:sz w:val="22"/>
          <w:szCs w:val="22"/>
          <w:rtl/>
        </w:rPr>
      </w:pPr>
      <w:r w:rsidRPr="000106E8">
        <w:rPr>
          <w:rFonts w:ascii="David" w:hAnsi="David"/>
          <w:color w:val="000000"/>
          <w:sz w:val="22"/>
          <w:szCs w:val="22"/>
          <w:rtl/>
        </w:rPr>
        <w:t>מרב גרינברג 54678313</w:t>
      </w:r>
    </w:p>
    <w:p w14:paraId="5E15BE01" w14:textId="77777777" w:rsidR="000106E8" w:rsidRDefault="000106E8" w:rsidP="000106E8">
      <w:r w:rsidRPr="000106E8">
        <w:rPr>
          <w:color w:val="000000"/>
          <w:rtl/>
        </w:rPr>
        <w:t>נוסח מסמך זה כפוף לשינויי ניסוח ועריכה</w:t>
      </w:r>
    </w:p>
    <w:p w14:paraId="03272048" w14:textId="77777777" w:rsidR="000106E8" w:rsidRDefault="000106E8" w:rsidP="000106E8">
      <w:pPr>
        <w:rPr>
          <w:rtl/>
        </w:rPr>
      </w:pPr>
    </w:p>
    <w:p w14:paraId="0F0E1D8F" w14:textId="77777777" w:rsidR="000106E8" w:rsidRDefault="000106E8" w:rsidP="000106E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B90C1A8" w14:textId="77777777" w:rsidR="000106E8" w:rsidRPr="000106E8" w:rsidRDefault="000106E8" w:rsidP="000106E8">
      <w:pPr>
        <w:jc w:val="center"/>
        <w:rPr>
          <w:color w:val="0000FF"/>
          <w:u w:val="single"/>
        </w:rPr>
      </w:pPr>
    </w:p>
    <w:sectPr w:rsidR="000106E8" w:rsidRPr="000106E8" w:rsidSect="000106E8">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8C974" w14:textId="77777777" w:rsidR="00622505" w:rsidRDefault="00622505" w:rsidP="00443D1A">
      <w:r>
        <w:separator/>
      </w:r>
    </w:p>
  </w:endnote>
  <w:endnote w:type="continuationSeparator" w:id="0">
    <w:p w14:paraId="6BCE1581" w14:textId="77777777" w:rsidR="00622505" w:rsidRDefault="00622505" w:rsidP="0044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D334B" w14:textId="77777777" w:rsidR="000106E8" w:rsidRDefault="000106E8" w:rsidP="000106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F59D90" w14:textId="77777777" w:rsidR="004E0615" w:rsidRPr="000106E8" w:rsidRDefault="000106E8" w:rsidP="000106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104EA" w14:textId="77777777" w:rsidR="000106E8" w:rsidRDefault="000106E8" w:rsidP="000106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4085">
      <w:rPr>
        <w:rFonts w:ascii="FrankRuehl" w:hAnsi="FrankRuehl" w:cs="FrankRuehl"/>
        <w:noProof/>
        <w:rtl/>
      </w:rPr>
      <w:t>1</w:t>
    </w:r>
    <w:r>
      <w:rPr>
        <w:rFonts w:ascii="FrankRuehl" w:hAnsi="FrankRuehl" w:cs="FrankRuehl"/>
        <w:rtl/>
      </w:rPr>
      <w:fldChar w:fldCharType="end"/>
    </w:r>
  </w:p>
  <w:p w14:paraId="7F86509B" w14:textId="77777777" w:rsidR="004E0615" w:rsidRPr="000106E8" w:rsidRDefault="000106E8" w:rsidP="000106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1E1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687DC" w14:textId="77777777" w:rsidR="00622505" w:rsidRDefault="00622505" w:rsidP="00443D1A">
      <w:r>
        <w:separator/>
      </w:r>
    </w:p>
  </w:footnote>
  <w:footnote w:type="continuationSeparator" w:id="0">
    <w:p w14:paraId="1D700711" w14:textId="77777777" w:rsidR="00622505" w:rsidRDefault="00622505" w:rsidP="0044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A0052" w14:textId="77777777" w:rsidR="000106E8" w:rsidRPr="000106E8" w:rsidRDefault="000106E8" w:rsidP="000106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58603-06-21</w:t>
    </w:r>
    <w:r>
      <w:rPr>
        <w:rFonts w:ascii="David" w:hAnsi="David"/>
        <w:color w:val="000000"/>
        <w:sz w:val="22"/>
        <w:szCs w:val="22"/>
        <w:rtl/>
      </w:rPr>
      <w:tab/>
      <w:t xml:space="preserve"> מדינת ישראל נ' ארז מצורו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D14EF" w14:textId="77777777" w:rsidR="000106E8" w:rsidRPr="000106E8" w:rsidRDefault="000106E8" w:rsidP="000106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58603-06-21</w:t>
    </w:r>
    <w:r>
      <w:rPr>
        <w:rFonts w:ascii="David" w:hAnsi="David"/>
        <w:color w:val="000000"/>
        <w:sz w:val="22"/>
        <w:szCs w:val="22"/>
        <w:rtl/>
      </w:rPr>
      <w:tab/>
      <w:t xml:space="preserve"> מדינת ישראל נ' ארז מצורו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17B84FEC"/>
    <w:lvl w:ilvl="0" w:tplc="F1AE4750">
      <w:start w:val="1"/>
      <w:numFmt w:val="decimal"/>
      <w:lvlText w:val="%1."/>
      <w:lvlJc w:val="left"/>
      <w:pPr>
        <w:ind w:left="644"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2962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14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0E98"/>
    <w:rsid w:val="000106E8"/>
    <w:rsid w:val="000C693B"/>
    <w:rsid w:val="001B0E98"/>
    <w:rsid w:val="001B4360"/>
    <w:rsid w:val="001B5A3B"/>
    <w:rsid w:val="00285F71"/>
    <w:rsid w:val="00443D1A"/>
    <w:rsid w:val="004D4085"/>
    <w:rsid w:val="004E0615"/>
    <w:rsid w:val="00622505"/>
    <w:rsid w:val="00723257"/>
    <w:rsid w:val="00A3701C"/>
    <w:rsid w:val="00AA2F75"/>
    <w:rsid w:val="00AB3EC3"/>
    <w:rsid w:val="00B342FF"/>
    <w:rsid w:val="00C80C6E"/>
    <w:rsid w:val="00E53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0177AC"/>
  <w15:chartTrackingRefBased/>
  <w15:docId w15:val="{A78E6479-5234-4EBF-A43A-DB055EE7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0E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0E98"/>
    <w:pPr>
      <w:tabs>
        <w:tab w:val="center" w:pos="4153"/>
        <w:tab w:val="right" w:pos="8306"/>
      </w:tabs>
    </w:pPr>
  </w:style>
  <w:style w:type="character" w:customStyle="1" w:styleId="a4">
    <w:name w:val="כותרת עליונה תו"/>
    <w:link w:val="a3"/>
    <w:rsid w:val="001B0E98"/>
    <w:rPr>
      <w:rFonts w:ascii="Times New Roman" w:eastAsia="Times New Roman" w:hAnsi="Times New Roman" w:cs="David"/>
      <w:sz w:val="24"/>
      <w:szCs w:val="24"/>
    </w:rPr>
  </w:style>
  <w:style w:type="paragraph" w:styleId="a5">
    <w:name w:val="footer"/>
    <w:basedOn w:val="a"/>
    <w:link w:val="a6"/>
    <w:rsid w:val="001B0E98"/>
    <w:pPr>
      <w:tabs>
        <w:tab w:val="center" w:pos="4153"/>
        <w:tab w:val="right" w:pos="8306"/>
      </w:tabs>
    </w:pPr>
  </w:style>
  <w:style w:type="character" w:customStyle="1" w:styleId="a6">
    <w:name w:val="כותרת תחתונה תו"/>
    <w:link w:val="a5"/>
    <w:rsid w:val="001B0E98"/>
    <w:rPr>
      <w:rFonts w:ascii="Times New Roman" w:eastAsia="Times New Roman" w:hAnsi="Times New Roman" w:cs="David"/>
      <w:sz w:val="24"/>
      <w:szCs w:val="24"/>
    </w:rPr>
  </w:style>
  <w:style w:type="table" w:styleId="a7">
    <w:name w:val="Table Grid"/>
    <w:basedOn w:val="a1"/>
    <w:rsid w:val="001B0E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0E98"/>
  </w:style>
  <w:style w:type="paragraph" w:styleId="a9">
    <w:name w:val="List Paragraph"/>
    <w:basedOn w:val="a"/>
    <w:qFormat/>
    <w:rsid w:val="001B0E98"/>
    <w:pPr>
      <w:ind w:left="720"/>
      <w:contextualSpacing/>
    </w:pPr>
    <w:rPr>
      <w:rFonts w:ascii="David" w:eastAsia="David" w:hAnsi="David"/>
    </w:rPr>
  </w:style>
  <w:style w:type="character" w:styleId="Hyperlink">
    <w:name w:val="Hyperlink"/>
    <w:rsid w:val="00010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2273954" TargetMode="External"/><Relationship Id="rId39" Type="http://schemas.openxmlformats.org/officeDocument/2006/relationships/hyperlink" Target="http://www.nevo.co.il/case/22938500" TargetMode="External"/><Relationship Id="rId21" Type="http://schemas.openxmlformats.org/officeDocument/2006/relationships/hyperlink" Target="http://www.nevo.co.il/case/20131420" TargetMode="External"/><Relationship Id="rId34" Type="http://schemas.openxmlformats.org/officeDocument/2006/relationships/hyperlink" Target="http://www.nevo.co.il/law/7155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77415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5386231"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case/5601732" TargetMode="External"/><Relationship Id="rId40" Type="http://schemas.openxmlformats.org/officeDocument/2006/relationships/hyperlink" Target="http://www.nevo.co.il/case/2257845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573936" TargetMode="External"/><Relationship Id="rId28" Type="http://schemas.openxmlformats.org/officeDocument/2006/relationships/hyperlink" Target="http://www.nevo.co.il/case/23274895" TargetMode="External"/><Relationship Id="rId36" Type="http://schemas.openxmlformats.org/officeDocument/2006/relationships/hyperlink" Target="http://www.nevo.co.il/law/70301/40d"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case/26109773" TargetMode="External"/><Relationship Id="rId30" Type="http://schemas.openxmlformats.org/officeDocument/2006/relationships/hyperlink" Target="http://www.nevo.co.il/law/70301/40d.a" TargetMode="External"/><Relationship Id="rId35" Type="http://schemas.openxmlformats.org/officeDocument/2006/relationships/hyperlink" Target="http://www.nevo.co.il/law/70301/40d"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524146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824952" TargetMode="External"/><Relationship Id="rId46" Type="http://schemas.openxmlformats.org/officeDocument/2006/relationships/footer" Target="footer2.xml"/><Relationship Id="rId20" Type="http://schemas.openxmlformats.org/officeDocument/2006/relationships/hyperlink" Target="http://www.nevo.co.il/case/28092391" TargetMode="External"/><Relationship Id="rId41" Type="http://schemas.openxmlformats.org/officeDocument/2006/relationships/hyperlink" Target="http://www.nevo.co.il/law/70301/40d.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2570</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3801205</vt:i4>
      </vt:variant>
      <vt:variant>
        <vt:i4>99</vt:i4>
      </vt:variant>
      <vt:variant>
        <vt:i4>0</vt:i4>
      </vt:variant>
      <vt:variant>
        <vt:i4>5</vt:i4>
      </vt:variant>
      <vt:variant>
        <vt:lpwstr>http://www.nevo.co.il/case/22578451</vt:lpwstr>
      </vt:variant>
      <vt:variant>
        <vt:lpwstr/>
      </vt:variant>
      <vt:variant>
        <vt:i4>3342448</vt:i4>
      </vt:variant>
      <vt:variant>
        <vt:i4>96</vt:i4>
      </vt:variant>
      <vt:variant>
        <vt:i4>0</vt:i4>
      </vt:variant>
      <vt:variant>
        <vt:i4>5</vt:i4>
      </vt:variant>
      <vt:variant>
        <vt:lpwstr>http://www.nevo.co.il/case/22938500</vt:lpwstr>
      </vt:variant>
      <vt:variant>
        <vt:lpwstr/>
      </vt:variant>
      <vt:variant>
        <vt:i4>4128893</vt:i4>
      </vt:variant>
      <vt:variant>
        <vt:i4>93</vt:i4>
      </vt:variant>
      <vt:variant>
        <vt:i4>0</vt:i4>
      </vt:variant>
      <vt:variant>
        <vt:i4>5</vt:i4>
      </vt:variant>
      <vt:variant>
        <vt:lpwstr>http://www.nevo.co.il/case/6824952</vt:lpwstr>
      </vt:variant>
      <vt:variant>
        <vt:lpwstr/>
      </vt:variant>
      <vt:variant>
        <vt:i4>3145840</vt:i4>
      </vt:variant>
      <vt:variant>
        <vt:i4>90</vt:i4>
      </vt:variant>
      <vt:variant>
        <vt:i4>0</vt:i4>
      </vt:variant>
      <vt:variant>
        <vt:i4>5</vt:i4>
      </vt:variant>
      <vt:variant>
        <vt:lpwstr>http://www.nevo.co.il/case/5601732</vt:lpwstr>
      </vt:variant>
      <vt:variant>
        <vt:lpwstr/>
      </vt:variant>
      <vt:variant>
        <vt:i4>6619233</vt:i4>
      </vt:variant>
      <vt:variant>
        <vt:i4>87</vt:i4>
      </vt:variant>
      <vt:variant>
        <vt:i4>0</vt:i4>
      </vt:variant>
      <vt:variant>
        <vt:i4>5</vt:i4>
      </vt:variant>
      <vt:variant>
        <vt:lpwstr>http://www.nevo.co.il/law/70301/40d</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8257634</vt:i4>
      </vt:variant>
      <vt:variant>
        <vt:i4>81</vt:i4>
      </vt:variant>
      <vt:variant>
        <vt:i4>0</vt:i4>
      </vt:variant>
      <vt:variant>
        <vt:i4>5</vt:i4>
      </vt:variant>
      <vt:variant>
        <vt:lpwstr>http://www.nevo.co.il/law/71553</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3342450</vt:i4>
      </vt:variant>
      <vt:variant>
        <vt:i4>66</vt:i4>
      </vt:variant>
      <vt:variant>
        <vt:i4>0</vt:i4>
      </vt:variant>
      <vt:variant>
        <vt:i4>5</vt:i4>
      </vt:variant>
      <vt:variant>
        <vt:lpwstr>http://www.nevo.co.il/case/27741575</vt:lpwstr>
      </vt:variant>
      <vt:variant>
        <vt:lpwstr/>
      </vt:variant>
      <vt:variant>
        <vt:i4>3997816</vt:i4>
      </vt:variant>
      <vt:variant>
        <vt:i4>63</vt:i4>
      </vt:variant>
      <vt:variant>
        <vt:i4>0</vt:i4>
      </vt:variant>
      <vt:variant>
        <vt:i4>5</vt:i4>
      </vt:variant>
      <vt:variant>
        <vt:lpwstr>http://www.nevo.co.il/case/23274895</vt:lpwstr>
      </vt:variant>
      <vt:variant>
        <vt:lpwstr/>
      </vt:variant>
      <vt:variant>
        <vt:i4>3997813</vt:i4>
      </vt:variant>
      <vt:variant>
        <vt:i4>60</vt:i4>
      </vt:variant>
      <vt:variant>
        <vt:i4>0</vt:i4>
      </vt:variant>
      <vt:variant>
        <vt:i4>5</vt:i4>
      </vt:variant>
      <vt:variant>
        <vt:lpwstr>http://www.nevo.co.il/case/26109773</vt:lpwstr>
      </vt:variant>
      <vt:variant>
        <vt:lpwstr/>
      </vt:variant>
      <vt:variant>
        <vt:i4>3539064</vt:i4>
      </vt:variant>
      <vt:variant>
        <vt:i4>57</vt:i4>
      </vt:variant>
      <vt:variant>
        <vt:i4>0</vt:i4>
      </vt:variant>
      <vt:variant>
        <vt:i4>5</vt:i4>
      </vt:variant>
      <vt:variant>
        <vt:lpwstr>http://www.nevo.co.il/case/22273954</vt:lpwstr>
      </vt:variant>
      <vt:variant>
        <vt:lpwstr/>
      </vt:variant>
      <vt:variant>
        <vt:i4>3604593</vt:i4>
      </vt:variant>
      <vt:variant>
        <vt:i4>54</vt:i4>
      </vt:variant>
      <vt:variant>
        <vt:i4>0</vt:i4>
      </vt:variant>
      <vt:variant>
        <vt:i4>5</vt:i4>
      </vt:variant>
      <vt:variant>
        <vt:lpwstr>http://www.nevo.co.il/case/25241468</vt:lpwstr>
      </vt:variant>
      <vt:variant>
        <vt:lpwstr/>
      </vt:variant>
      <vt:variant>
        <vt:i4>3407995</vt:i4>
      </vt:variant>
      <vt:variant>
        <vt:i4>51</vt:i4>
      </vt:variant>
      <vt:variant>
        <vt:i4>0</vt:i4>
      </vt:variant>
      <vt:variant>
        <vt:i4>5</vt:i4>
      </vt:variant>
      <vt:variant>
        <vt:lpwstr>http://www.nevo.co.il/case/25386231</vt:lpwstr>
      </vt:variant>
      <vt:variant>
        <vt:lpwstr/>
      </vt:variant>
      <vt:variant>
        <vt:i4>3997809</vt:i4>
      </vt:variant>
      <vt:variant>
        <vt:i4>48</vt:i4>
      </vt:variant>
      <vt:variant>
        <vt:i4>0</vt:i4>
      </vt:variant>
      <vt:variant>
        <vt:i4>5</vt:i4>
      </vt:variant>
      <vt:variant>
        <vt:lpwstr>http://www.nevo.co.il/case/5573936</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3145843</vt:i4>
      </vt:variant>
      <vt:variant>
        <vt:i4>42</vt:i4>
      </vt:variant>
      <vt:variant>
        <vt:i4>0</vt:i4>
      </vt:variant>
      <vt:variant>
        <vt:i4>5</vt:i4>
      </vt:variant>
      <vt:variant>
        <vt:lpwstr>http://www.nevo.co.il/case/20131420</vt:lpwstr>
      </vt:variant>
      <vt:variant>
        <vt:lpwstr/>
      </vt:variant>
      <vt:variant>
        <vt:i4>3735670</vt:i4>
      </vt:variant>
      <vt:variant>
        <vt:i4>39</vt:i4>
      </vt:variant>
      <vt:variant>
        <vt:i4>0</vt:i4>
      </vt:variant>
      <vt:variant>
        <vt:i4>5</vt:i4>
      </vt:variant>
      <vt:variant>
        <vt:lpwstr>http://www.nevo.co.il/case/28092391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8257634</vt:i4>
      </vt:variant>
      <vt:variant>
        <vt:i4>21</vt:i4>
      </vt:variant>
      <vt:variant>
        <vt:i4>0</vt:i4>
      </vt:variant>
      <vt:variant>
        <vt:i4>5</vt:i4>
      </vt:variant>
      <vt:variant>
        <vt:lpwstr>http://www.nevo.co.il/law/71553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58603</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ארז מצורו</vt:lpwstr>
  </property>
  <property fmtid="{D5CDD505-2E9C-101B-9397-08002B2CF9AE}" pid="10" name="LAWYER">
    <vt:lpwstr>ליטל שירי;רן תגר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20230220</vt:lpwstr>
  </property>
  <property fmtid="{D5CDD505-2E9C-101B-9397-08002B2CF9AE}" pid="14" name="TYPE_N_DATE">
    <vt:lpwstr>39020230220</vt:lpwstr>
  </property>
  <property fmtid="{D5CDD505-2E9C-101B-9397-08002B2CF9AE}" pid="15" name="WORDNUMPAGES">
    <vt:lpwstr>8</vt:lpwstr>
  </property>
  <property fmtid="{D5CDD505-2E9C-101B-9397-08002B2CF9AE}" pid="16" name="TYPE_ABS_DATE">
    <vt:lpwstr>390020230220</vt:lpwstr>
  </property>
  <property fmtid="{D5CDD505-2E9C-101B-9397-08002B2CF9AE}" pid="17" name="ISABSTRACT">
    <vt:lpwstr>Y</vt:lpwstr>
  </property>
  <property fmtid="{D5CDD505-2E9C-101B-9397-08002B2CF9AE}" pid="18" name="CASESLISTTMP1">
    <vt:lpwstr>28092391;20131420;26246488;5573936;25386231;25241468;22273954;26109773;23274895;27741575;5601732;6824952;22938500;22578451</vt:lpwstr>
  </property>
  <property fmtid="{D5CDD505-2E9C-101B-9397-08002B2CF9AE}" pid="19" name="LAWLISTTMP1">
    <vt:lpwstr>4216/013;019a</vt:lpwstr>
  </property>
  <property fmtid="{D5CDD505-2E9C-101B-9397-08002B2CF9AE}" pid="20" name="LAWLISTTMP2">
    <vt:lpwstr>70301/031;040d.a:3;040d:2</vt:lpwstr>
  </property>
  <property fmtid="{D5CDD505-2E9C-101B-9397-08002B2CF9AE}" pid="21" name="LAWLISTTMP3">
    <vt:lpwstr>71553</vt:lpwstr>
  </property>
</Properties>
</file>