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74" w:type="dxa"/>
        <w:jc w:val="center"/>
        <w:tblLook w:val="04A0" w:firstRow="1" w:lastRow="0" w:firstColumn="1" w:lastColumn="0" w:noHBand="0" w:noVBand="1"/>
      </w:tblPr>
      <w:tblGrid>
        <w:gridCol w:w="247"/>
        <w:gridCol w:w="2245"/>
        <w:gridCol w:w="2184"/>
        <w:gridCol w:w="241"/>
        <w:gridCol w:w="3587"/>
        <w:gridCol w:w="214"/>
        <w:gridCol w:w="56"/>
      </w:tblGrid>
      <w:tr w:rsidR="00C6148A" w:rsidRPr="002F62F0" w14:paraId="5217402D" w14:textId="77777777" w:rsidTr="004E062C">
        <w:trPr>
          <w:gridAfter w:val="2"/>
          <w:wAfter w:w="270" w:type="dxa"/>
          <w:trHeight w:val="418"/>
          <w:jc w:val="center"/>
        </w:trPr>
        <w:tc>
          <w:tcPr>
            <w:tcW w:w="8504" w:type="dxa"/>
            <w:gridSpan w:val="5"/>
          </w:tcPr>
          <w:p w14:paraId="7673C346" w14:textId="77777777" w:rsidR="00C6148A" w:rsidRPr="002F62F0" w:rsidRDefault="00C6148A" w:rsidP="00F8787D">
            <w:pPr>
              <w:pStyle w:val="a3"/>
              <w:jc w:val="center"/>
              <w:rPr>
                <w:rtl/>
              </w:rPr>
            </w:pPr>
            <w:r w:rsidRPr="002F62F0">
              <w:rPr>
                <w:rFonts w:ascii="Tahoma" w:hAnsi="Tahoma" w:cs="Tahoma"/>
                <w:b/>
                <w:bCs/>
                <w:color w:val="000080"/>
                <w:sz w:val="20"/>
                <w:szCs w:val="20"/>
                <w:rtl/>
              </w:rPr>
              <w:t>בית המשפט המחוזי בבאר שבע</w:t>
            </w:r>
          </w:p>
        </w:tc>
      </w:tr>
      <w:tr w:rsidR="00C6148A" w:rsidRPr="002F62F0" w14:paraId="04B387B7" w14:textId="77777777" w:rsidTr="004E062C">
        <w:trPr>
          <w:gridAfter w:val="2"/>
          <w:wAfter w:w="270" w:type="dxa"/>
          <w:trHeight w:val="337"/>
          <w:jc w:val="center"/>
        </w:trPr>
        <w:tc>
          <w:tcPr>
            <w:tcW w:w="4676" w:type="dxa"/>
            <w:gridSpan w:val="3"/>
          </w:tcPr>
          <w:p w14:paraId="6105DFFA" w14:textId="77777777" w:rsidR="00C6148A" w:rsidRPr="002F62F0" w:rsidRDefault="00C6148A" w:rsidP="00F8787D">
            <w:pPr>
              <w:spacing w:line="360" w:lineRule="auto"/>
              <w:jc w:val="both"/>
              <w:rPr>
                <w:b/>
                <w:bCs/>
                <w:rtl/>
              </w:rPr>
            </w:pPr>
            <w:r w:rsidRPr="002F62F0">
              <w:rPr>
                <w:rFonts w:hint="cs"/>
                <w:b/>
                <w:bCs/>
                <w:rtl/>
              </w:rPr>
              <w:t>לפני כבוד סגן הנשיאה, השופט אליהו ביתן</w:t>
            </w:r>
          </w:p>
        </w:tc>
        <w:tc>
          <w:tcPr>
            <w:tcW w:w="241" w:type="dxa"/>
          </w:tcPr>
          <w:p w14:paraId="396E6DA9" w14:textId="77777777" w:rsidR="00C6148A" w:rsidRPr="002F62F0" w:rsidRDefault="00C6148A" w:rsidP="00F8787D">
            <w:pPr>
              <w:pStyle w:val="a3"/>
              <w:jc w:val="right"/>
              <w:rPr>
                <w:b/>
                <w:bCs/>
                <w:rtl/>
              </w:rPr>
            </w:pPr>
          </w:p>
        </w:tc>
        <w:tc>
          <w:tcPr>
            <w:tcW w:w="3587" w:type="dxa"/>
          </w:tcPr>
          <w:p w14:paraId="5C71BF30" w14:textId="77777777" w:rsidR="00C6148A" w:rsidRPr="002F62F0" w:rsidRDefault="00C6148A" w:rsidP="00F8787D">
            <w:pPr>
              <w:pStyle w:val="a3"/>
              <w:tabs>
                <w:tab w:val="clear" w:pos="4153"/>
              </w:tabs>
              <w:jc w:val="right"/>
              <w:rPr>
                <w:rtl/>
              </w:rPr>
            </w:pPr>
            <w:r w:rsidRPr="002F62F0">
              <w:rPr>
                <w:rFonts w:hint="cs"/>
                <w:b/>
                <w:bCs/>
                <w:rtl/>
              </w:rPr>
              <w:t>14 מרץ 2022</w:t>
            </w:r>
          </w:p>
          <w:p w14:paraId="12C089A1" w14:textId="77777777" w:rsidR="00C6148A" w:rsidRPr="002F62F0" w:rsidRDefault="00C6148A" w:rsidP="00F8787D">
            <w:pPr>
              <w:pStyle w:val="a3"/>
              <w:tabs>
                <w:tab w:val="clear" w:pos="4153"/>
              </w:tabs>
              <w:rPr>
                <w:b/>
                <w:bCs/>
                <w:rtl/>
              </w:rPr>
            </w:pPr>
          </w:p>
          <w:p w14:paraId="7F6C9C42" w14:textId="77777777" w:rsidR="00C6148A" w:rsidRPr="002F62F0" w:rsidRDefault="00C6148A" w:rsidP="00F8787D">
            <w:pPr>
              <w:jc w:val="right"/>
              <w:rPr>
                <w:rtl/>
              </w:rPr>
            </w:pPr>
            <w:r w:rsidRPr="002F62F0">
              <w:rPr>
                <w:rFonts w:hint="cs"/>
                <w:b/>
                <w:bCs/>
                <w:rtl/>
              </w:rPr>
              <w:t>ת"פ 29918-07-21 מדינת ישראל נ' אלחממדה(עציר)</w:t>
            </w:r>
          </w:p>
        </w:tc>
      </w:tr>
      <w:tr w:rsidR="00C6148A" w:rsidRPr="002F62F0" w14:paraId="6385B916" w14:textId="77777777" w:rsidTr="004E062C">
        <w:tblPrEx>
          <w:jc w:val="left"/>
          <w:tblLook w:val="01E0" w:firstRow="1" w:lastRow="1" w:firstColumn="1" w:lastColumn="1" w:noHBand="0" w:noVBand="0"/>
        </w:tblPrEx>
        <w:trPr>
          <w:gridBefore w:val="1"/>
          <w:gridAfter w:val="1"/>
          <w:wBefore w:w="247" w:type="dxa"/>
          <w:wAfter w:w="56" w:type="dxa"/>
        </w:trPr>
        <w:tc>
          <w:tcPr>
            <w:tcW w:w="8471" w:type="dxa"/>
            <w:gridSpan w:val="5"/>
            <w:shd w:val="clear" w:color="auto" w:fill="auto"/>
          </w:tcPr>
          <w:p w14:paraId="766A3525" w14:textId="77777777" w:rsidR="00C6148A" w:rsidRPr="002F62F0" w:rsidRDefault="00C6148A" w:rsidP="00C6148A">
            <w:pPr>
              <w:spacing w:line="360" w:lineRule="auto"/>
              <w:jc w:val="both"/>
              <w:rPr>
                <w:rFonts w:ascii="David" w:hAnsi="David"/>
                <w:b/>
                <w:bCs/>
                <w:rtl/>
              </w:rPr>
            </w:pPr>
            <w:bookmarkStart w:id="0" w:name="LastJudge"/>
            <w:bookmarkEnd w:id="0"/>
            <w:r w:rsidRPr="002F62F0">
              <w:rPr>
                <w:rFonts w:ascii="David" w:hAnsi="David" w:hint="cs"/>
                <w:b/>
                <w:bCs/>
                <w:rtl/>
              </w:rPr>
              <w:t>בעניין:</w:t>
            </w:r>
          </w:p>
        </w:tc>
      </w:tr>
      <w:tr w:rsidR="00C6148A" w:rsidRPr="002F62F0" w14:paraId="376931AF" w14:textId="77777777" w:rsidTr="004E062C">
        <w:tblPrEx>
          <w:jc w:val="left"/>
          <w:tblLook w:val="01E0" w:firstRow="1" w:lastRow="1" w:firstColumn="1" w:lastColumn="1" w:noHBand="0" w:noVBand="0"/>
        </w:tblPrEx>
        <w:trPr>
          <w:gridBefore w:val="1"/>
          <w:wBefore w:w="247" w:type="dxa"/>
        </w:trPr>
        <w:tc>
          <w:tcPr>
            <w:tcW w:w="2245" w:type="dxa"/>
            <w:shd w:val="clear" w:color="auto" w:fill="auto"/>
          </w:tcPr>
          <w:p w14:paraId="1C1A6985" w14:textId="77777777" w:rsidR="00C6148A" w:rsidRPr="002F62F0" w:rsidRDefault="00C6148A" w:rsidP="00C6148A">
            <w:pPr>
              <w:spacing w:line="360" w:lineRule="auto"/>
              <w:ind w:left="26"/>
              <w:rPr>
                <w:rFonts w:ascii="David" w:hAnsi="David"/>
                <w:b/>
                <w:bCs/>
                <w:rtl/>
              </w:rPr>
            </w:pPr>
            <w:bookmarkStart w:id="1" w:name="FirstAppellant"/>
            <w:r w:rsidRPr="002F62F0">
              <w:rPr>
                <w:rFonts w:ascii="David" w:hAnsi="David" w:hint="cs"/>
                <w:b/>
                <w:bCs/>
                <w:rtl/>
              </w:rPr>
              <w:t>המאשימה:</w:t>
            </w:r>
          </w:p>
        </w:tc>
        <w:tc>
          <w:tcPr>
            <w:tcW w:w="6282" w:type="dxa"/>
            <w:gridSpan w:val="5"/>
            <w:shd w:val="clear" w:color="auto" w:fill="auto"/>
          </w:tcPr>
          <w:p w14:paraId="3C4ED5B4" w14:textId="77777777" w:rsidR="00C6148A" w:rsidRPr="002F62F0" w:rsidRDefault="00C6148A" w:rsidP="00C6148A">
            <w:pPr>
              <w:spacing w:line="360" w:lineRule="auto"/>
              <w:rPr>
                <w:rFonts w:ascii="David" w:hAnsi="David"/>
                <w:b/>
                <w:bCs/>
                <w:rtl/>
              </w:rPr>
            </w:pPr>
            <w:r w:rsidRPr="002F62F0">
              <w:rPr>
                <w:rFonts w:ascii="David" w:hAnsi="David" w:hint="cs"/>
                <w:b/>
                <w:bCs/>
                <w:rtl/>
              </w:rPr>
              <w:t>מדינת ישראל</w:t>
            </w:r>
          </w:p>
        </w:tc>
      </w:tr>
      <w:bookmarkEnd w:id="1"/>
      <w:tr w:rsidR="00C6148A" w:rsidRPr="002F62F0" w14:paraId="7CA90DEA" w14:textId="77777777" w:rsidTr="004E062C">
        <w:tblPrEx>
          <w:jc w:val="left"/>
          <w:tblLook w:val="01E0" w:firstRow="1" w:lastRow="1" w:firstColumn="1" w:lastColumn="1" w:noHBand="0" w:noVBand="0"/>
        </w:tblPrEx>
        <w:trPr>
          <w:gridBefore w:val="1"/>
          <w:wBefore w:w="247" w:type="dxa"/>
        </w:trPr>
        <w:tc>
          <w:tcPr>
            <w:tcW w:w="8527" w:type="dxa"/>
            <w:gridSpan w:val="6"/>
            <w:shd w:val="clear" w:color="auto" w:fill="auto"/>
          </w:tcPr>
          <w:p w14:paraId="59A3D180" w14:textId="77777777" w:rsidR="00C6148A" w:rsidRPr="002F62F0" w:rsidRDefault="00C6148A" w:rsidP="00C6148A">
            <w:pPr>
              <w:spacing w:line="360" w:lineRule="auto"/>
              <w:jc w:val="center"/>
              <w:rPr>
                <w:rFonts w:ascii="David" w:hAnsi="David"/>
                <w:b/>
                <w:bCs/>
                <w:rtl/>
              </w:rPr>
            </w:pPr>
            <w:r w:rsidRPr="002F62F0">
              <w:rPr>
                <w:rFonts w:ascii="David" w:hAnsi="David" w:hint="cs"/>
                <w:b/>
                <w:bCs/>
                <w:sz w:val="28"/>
                <w:szCs w:val="28"/>
                <w:rtl/>
              </w:rPr>
              <w:t>נגד</w:t>
            </w:r>
          </w:p>
        </w:tc>
      </w:tr>
      <w:tr w:rsidR="00C6148A" w:rsidRPr="002F62F0" w14:paraId="49A7809F" w14:textId="77777777" w:rsidTr="004E062C">
        <w:tblPrEx>
          <w:jc w:val="left"/>
          <w:tblLook w:val="01E0" w:firstRow="1" w:lastRow="1" w:firstColumn="1" w:lastColumn="1" w:noHBand="0" w:noVBand="0"/>
        </w:tblPrEx>
        <w:trPr>
          <w:gridBefore w:val="1"/>
          <w:wBefore w:w="247" w:type="dxa"/>
        </w:trPr>
        <w:tc>
          <w:tcPr>
            <w:tcW w:w="2245" w:type="dxa"/>
            <w:shd w:val="clear" w:color="auto" w:fill="auto"/>
          </w:tcPr>
          <w:p w14:paraId="7C87B1DB" w14:textId="77777777" w:rsidR="00C6148A" w:rsidRPr="002F62F0" w:rsidRDefault="00C6148A" w:rsidP="00C6148A">
            <w:pPr>
              <w:spacing w:line="360" w:lineRule="auto"/>
              <w:ind w:left="26"/>
              <w:rPr>
                <w:rFonts w:ascii="David" w:hAnsi="David"/>
                <w:b/>
                <w:bCs/>
              </w:rPr>
            </w:pPr>
            <w:r w:rsidRPr="002F62F0">
              <w:rPr>
                <w:rFonts w:ascii="David" w:hAnsi="David" w:hint="cs"/>
                <w:b/>
                <w:bCs/>
                <w:rtl/>
              </w:rPr>
              <w:t>הנאשם:</w:t>
            </w:r>
          </w:p>
        </w:tc>
        <w:tc>
          <w:tcPr>
            <w:tcW w:w="6282" w:type="dxa"/>
            <w:gridSpan w:val="5"/>
            <w:shd w:val="clear" w:color="auto" w:fill="auto"/>
          </w:tcPr>
          <w:p w14:paraId="7CBF1577" w14:textId="77777777" w:rsidR="00C6148A" w:rsidRPr="002F62F0" w:rsidRDefault="00C6148A" w:rsidP="00C6148A">
            <w:pPr>
              <w:spacing w:line="360" w:lineRule="auto"/>
              <w:rPr>
                <w:rFonts w:ascii="David" w:hAnsi="David"/>
                <w:b/>
                <w:bCs/>
                <w:rtl/>
              </w:rPr>
            </w:pPr>
            <w:r w:rsidRPr="002F62F0">
              <w:rPr>
                <w:rFonts w:ascii="David" w:hAnsi="David"/>
                <w:b/>
                <w:bCs/>
                <w:rtl/>
              </w:rPr>
              <w:t>שאדי אלחממדה (עציר)</w:t>
            </w:r>
          </w:p>
        </w:tc>
      </w:tr>
    </w:tbl>
    <w:p w14:paraId="39FE407C" w14:textId="77777777" w:rsidR="00C6148A" w:rsidRPr="002F62F0" w:rsidRDefault="00C6148A" w:rsidP="00C6148A">
      <w:pPr>
        <w:spacing w:line="360" w:lineRule="auto"/>
        <w:jc w:val="both"/>
        <w:rPr>
          <w:rFonts w:ascii="David" w:hAnsi="David"/>
          <w:rtl/>
        </w:rPr>
      </w:pPr>
      <w:r w:rsidRPr="002F62F0">
        <w:rPr>
          <w:rFonts w:hint="cs"/>
          <w:rtl/>
        </w:rPr>
        <w:t>&lt;#1#&gt;</w:t>
      </w:r>
    </w:p>
    <w:p w14:paraId="69FC9E06" w14:textId="77777777" w:rsidR="00C6148A" w:rsidRPr="002F62F0" w:rsidRDefault="00C6148A" w:rsidP="00C6148A">
      <w:pPr>
        <w:pStyle w:val="12"/>
        <w:spacing w:line="360" w:lineRule="auto"/>
        <w:rPr>
          <w:rFonts w:ascii="David" w:hAnsi="David"/>
          <w:u w:val="none"/>
          <w:rtl/>
        </w:rPr>
      </w:pPr>
      <w:r w:rsidRPr="002F62F0">
        <w:rPr>
          <w:rFonts w:ascii="David" w:hAnsi="David"/>
          <w:u w:val="none"/>
          <w:rtl/>
        </w:rPr>
        <w:t>נוכחים:</w:t>
      </w:r>
    </w:p>
    <w:p w14:paraId="1B47493D" w14:textId="77777777" w:rsidR="00C6148A" w:rsidRPr="002F62F0" w:rsidRDefault="00C6148A" w:rsidP="00C6148A">
      <w:pPr>
        <w:pStyle w:val="12"/>
        <w:spacing w:line="360" w:lineRule="auto"/>
        <w:rPr>
          <w:rFonts w:ascii="David" w:hAnsi="David"/>
          <w:b w:val="0"/>
          <w:bCs w:val="0"/>
          <w:u w:val="none"/>
          <w:rtl/>
        </w:rPr>
      </w:pPr>
      <w:bookmarkStart w:id="2" w:name="FirstLawyer"/>
      <w:r w:rsidRPr="002F62F0">
        <w:rPr>
          <w:rFonts w:ascii="David" w:hAnsi="David"/>
          <w:b w:val="0"/>
          <w:bCs w:val="0"/>
          <w:u w:val="none"/>
          <w:rtl/>
        </w:rPr>
        <w:t>ב"כ</w:t>
      </w:r>
      <w:bookmarkEnd w:id="2"/>
      <w:r w:rsidRPr="002F62F0">
        <w:rPr>
          <w:rFonts w:ascii="David" w:hAnsi="David"/>
          <w:b w:val="0"/>
          <w:bCs w:val="0"/>
          <w:u w:val="none"/>
          <w:rtl/>
        </w:rPr>
        <w:t xml:space="preserve"> המאשימה, עו"ד לימור הילל</w:t>
      </w:r>
    </w:p>
    <w:p w14:paraId="18D162B5" w14:textId="77777777" w:rsidR="00C6148A" w:rsidRPr="002F62F0" w:rsidRDefault="00C6148A" w:rsidP="00C6148A">
      <w:pPr>
        <w:pStyle w:val="12"/>
        <w:spacing w:line="360" w:lineRule="auto"/>
        <w:rPr>
          <w:rFonts w:ascii="David" w:hAnsi="David"/>
          <w:b w:val="0"/>
          <w:bCs w:val="0"/>
          <w:u w:val="none"/>
          <w:rtl/>
        </w:rPr>
      </w:pPr>
      <w:r w:rsidRPr="002F62F0">
        <w:rPr>
          <w:rFonts w:ascii="David" w:hAnsi="David"/>
          <w:b w:val="0"/>
          <w:bCs w:val="0"/>
          <w:u w:val="none"/>
          <w:rtl/>
        </w:rPr>
        <w:t xml:space="preserve">הנאשם בהיוועדות חזותית </w:t>
      </w:r>
    </w:p>
    <w:p w14:paraId="33C4806A" w14:textId="77777777" w:rsidR="00C6148A" w:rsidRPr="002F62F0" w:rsidRDefault="00C6148A" w:rsidP="00C6148A">
      <w:pPr>
        <w:pStyle w:val="12"/>
        <w:spacing w:line="360" w:lineRule="auto"/>
        <w:rPr>
          <w:rFonts w:ascii="David" w:hAnsi="David"/>
          <w:b w:val="0"/>
          <w:bCs w:val="0"/>
          <w:u w:val="none"/>
          <w:rtl/>
        </w:rPr>
      </w:pPr>
      <w:r w:rsidRPr="002F62F0">
        <w:rPr>
          <w:rFonts w:ascii="David" w:hAnsi="David"/>
          <w:b w:val="0"/>
          <w:bCs w:val="0"/>
          <w:u w:val="none"/>
          <w:rtl/>
        </w:rPr>
        <w:t xml:space="preserve">ב"כ הנאשם, עו"ד שלום פינאה </w:t>
      </w:r>
    </w:p>
    <w:p w14:paraId="147F2100" w14:textId="77777777" w:rsidR="004E062C" w:rsidRDefault="004E062C" w:rsidP="00C6148A">
      <w:pPr>
        <w:pStyle w:val="12"/>
        <w:spacing w:line="360" w:lineRule="auto"/>
        <w:rPr>
          <w:rFonts w:ascii="David" w:hAnsi="David"/>
          <w:b w:val="0"/>
          <w:bCs w:val="0"/>
          <w:u w:val="none"/>
          <w:rtl/>
        </w:rPr>
      </w:pPr>
    </w:p>
    <w:p w14:paraId="6C21C335" w14:textId="77777777" w:rsidR="004E062C" w:rsidRPr="004E062C" w:rsidRDefault="004E062C" w:rsidP="004E062C">
      <w:pPr>
        <w:pStyle w:val="12"/>
        <w:spacing w:after="120" w:line="240" w:lineRule="exact"/>
        <w:ind w:left="283" w:hanging="283"/>
        <w:jc w:val="both"/>
        <w:rPr>
          <w:rFonts w:ascii="FrankRuehl" w:hAnsi="FrankRuehl" w:cs="FrankRuehl"/>
          <w:b w:val="0"/>
          <w:bCs w:val="0"/>
          <w:u w:val="none"/>
          <w:rtl/>
        </w:rPr>
      </w:pPr>
    </w:p>
    <w:p w14:paraId="664AA9A9" w14:textId="77777777" w:rsidR="00113EE3" w:rsidRPr="00113EE3" w:rsidRDefault="00113EE3" w:rsidP="00113EE3">
      <w:pPr>
        <w:spacing w:before="120" w:after="120" w:line="240" w:lineRule="exact"/>
        <w:ind w:left="283" w:hanging="283"/>
        <w:jc w:val="both"/>
        <w:rPr>
          <w:rFonts w:ascii="FrankRuehl" w:hAnsi="FrankRuehl" w:cs="FrankRuehl"/>
          <w:rtl/>
        </w:rPr>
      </w:pPr>
    </w:p>
    <w:p w14:paraId="595B9754" w14:textId="77777777" w:rsidR="00113EE3" w:rsidRPr="00113EE3" w:rsidRDefault="00113EE3" w:rsidP="00113EE3">
      <w:pPr>
        <w:spacing w:before="120" w:after="120" w:line="240" w:lineRule="exact"/>
        <w:ind w:left="283" w:hanging="283"/>
        <w:jc w:val="both"/>
        <w:rPr>
          <w:rFonts w:ascii="FrankRuehl" w:hAnsi="FrankRuehl" w:cs="FrankRuehl"/>
          <w:rtl/>
        </w:rPr>
      </w:pPr>
    </w:p>
    <w:p w14:paraId="29C950AD" w14:textId="77777777" w:rsidR="00B75BC2" w:rsidRDefault="00B75BC2" w:rsidP="00B75BC2">
      <w:pPr>
        <w:spacing w:line="360" w:lineRule="auto"/>
        <w:jc w:val="center"/>
        <w:rPr>
          <w:sz w:val="28"/>
          <w:szCs w:val="28"/>
          <w:rtl/>
        </w:rPr>
      </w:pPr>
      <w:bookmarkStart w:id="3" w:name="LawTable"/>
      <w:bookmarkEnd w:id="3"/>
    </w:p>
    <w:p w14:paraId="2B28CA8D" w14:textId="77777777" w:rsidR="00B75BC2" w:rsidRPr="00B75BC2" w:rsidRDefault="00B75BC2" w:rsidP="00B75BC2">
      <w:pPr>
        <w:spacing w:before="120" w:after="120" w:line="240" w:lineRule="exact"/>
        <w:ind w:left="283" w:hanging="283"/>
        <w:jc w:val="both"/>
        <w:rPr>
          <w:rFonts w:ascii="FrankRuehl" w:hAnsi="FrankRuehl" w:cs="FrankRuehl"/>
          <w:rtl/>
        </w:rPr>
      </w:pPr>
    </w:p>
    <w:p w14:paraId="56EF448F" w14:textId="77777777" w:rsidR="00B75BC2" w:rsidRPr="00B75BC2" w:rsidRDefault="00B75BC2" w:rsidP="00B75BC2">
      <w:pPr>
        <w:spacing w:before="120" w:after="120" w:line="240" w:lineRule="exact"/>
        <w:ind w:left="283" w:hanging="283"/>
        <w:jc w:val="both"/>
        <w:rPr>
          <w:rFonts w:ascii="FrankRuehl" w:hAnsi="FrankRuehl" w:cs="FrankRuehl"/>
          <w:rtl/>
        </w:rPr>
      </w:pPr>
    </w:p>
    <w:p w14:paraId="34260AC6" w14:textId="77777777" w:rsidR="00B75BC2" w:rsidRPr="00B75BC2" w:rsidRDefault="00B75BC2" w:rsidP="00B75BC2">
      <w:pPr>
        <w:spacing w:before="120" w:after="120" w:line="240" w:lineRule="exact"/>
        <w:ind w:left="283" w:hanging="283"/>
        <w:jc w:val="both"/>
        <w:rPr>
          <w:rFonts w:ascii="FrankRuehl" w:hAnsi="FrankRuehl" w:cs="FrankRuehl"/>
          <w:rtl/>
        </w:rPr>
      </w:pPr>
      <w:r w:rsidRPr="00B75BC2">
        <w:rPr>
          <w:rFonts w:ascii="FrankRuehl" w:hAnsi="FrankRuehl" w:cs="FrankRuehl"/>
          <w:rtl/>
        </w:rPr>
        <w:t xml:space="preserve">חקיקה שאוזכרה: </w:t>
      </w:r>
    </w:p>
    <w:p w14:paraId="32782C31" w14:textId="77777777" w:rsidR="00B75BC2" w:rsidRPr="00B75BC2" w:rsidRDefault="00B75BC2" w:rsidP="00B75BC2">
      <w:pPr>
        <w:spacing w:before="120" w:after="120" w:line="240" w:lineRule="exact"/>
        <w:ind w:left="283" w:hanging="283"/>
        <w:jc w:val="both"/>
        <w:rPr>
          <w:rFonts w:ascii="FrankRuehl" w:hAnsi="FrankRuehl" w:cs="FrankRuehl"/>
          <w:rtl/>
        </w:rPr>
      </w:pPr>
      <w:hyperlink r:id="rId6" w:history="1">
        <w:r w:rsidRPr="00B75BC2">
          <w:rPr>
            <w:rFonts w:ascii="FrankRuehl" w:hAnsi="FrankRuehl" w:cs="FrankRuehl"/>
            <w:color w:val="0000FF"/>
            <w:rtl/>
          </w:rPr>
          <w:t>פקודת הסמים המסוכנים [נוסח חדש], תשל"ג-1973</w:t>
        </w:r>
      </w:hyperlink>
      <w:r w:rsidRPr="00B75BC2">
        <w:rPr>
          <w:rFonts w:ascii="FrankRuehl" w:hAnsi="FrankRuehl" w:cs="FrankRuehl"/>
          <w:rtl/>
        </w:rPr>
        <w:t xml:space="preserve">: סע'  </w:t>
      </w:r>
      <w:hyperlink r:id="rId7" w:history="1">
        <w:r w:rsidRPr="00B75BC2">
          <w:rPr>
            <w:rFonts w:ascii="FrankRuehl" w:hAnsi="FrankRuehl" w:cs="FrankRuehl"/>
            <w:color w:val="0000FF"/>
            <w:rtl/>
          </w:rPr>
          <w:t>7.א.</w:t>
        </w:r>
      </w:hyperlink>
      <w:r w:rsidRPr="00B75BC2">
        <w:rPr>
          <w:rFonts w:ascii="FrankRuehl" w:hAnsi="FrankRuehl" w:cs="FrankRuehl"/>
          <w:rtl/>
        </w:rPr>
        <w:t xml:space="preserve">, </w:t>
      </w:r>
      <w:hyperlink r:id="rId8" w:history="1">
        <w:r w:rsidRPr="00B75BC2">
          <w:rPr>
            <w:rFonts w:ascii="FrankRuehl" w:hAnsi="FrankRuehl" w:cs="FrankRuehl"/>
            <w:color w:val="0000FF"/>
            <w:rtl/>
          </w:rPr>
          <w:t>7.ג</w:t>
        </w:r>
      </w:hyperlink>
    </w:p>
    <w:p w14:paraId="47441A9C" w14:textId="77777777" w:rsidR="00B75BC2" w:rsidRPr="00B75BC2" w:rsidRDefault="00B75BC2" w:rsidP="00B75BC2">
      <w:pPr>
        <w:spacing w:line="360" w:lineRule="auto"/>
        <w:jc w:val="center"/>
        <w:rPr>
          <w:sz w:val="28"/>
          <w:szCs w:val="28"/>
          <w:rtl/>
        </w:rPr>
      </w:pPr>
      <w:bookmarkStart w:id="4" w:name="LawTable_End"/>
      <w:bookmarkEnd w:id="4"/>
    </w:p>
    <w:p w14:paraId="1ABD9F1A" w14:textId="77777777" w:rsidR="002F62F0" w:rsidRPr="00113EE3" w:rsidRDefault="002F62F0" w:rsidP="00113EE3">
      <w:pPr>
        <w:spacing w:line="360" w:lineRule="auto"/>
        <w:jc w:val="center"/>
        <w:rPr>
          <w:sz w:val="28"/>
          <w:szCs w:val="28"/>
          <w:rtl/>
        </w:rPr>
      </w:pPr>
    </w:p>
    <w:p w14:paraId="778D6668" w14:textId="77777777" w:rsidR="002F62F0" w:rsidRPr="002F62F0" w:rsidRDefault="002F62F0" w:rsidP="002F62F0">
      <w:pPr>
        <w:spacing w:line="360" w:lineRule="auto"/>
        <w:jc w:val="center"/>
        <w:rPr>
          <w:b/>
          <w:bCs/>
          <w:sz w:val="28"/>
          <w:szCs w:val="28"/>
          <w:u w:val="single"/>
          <w:rtl/>
        </w:rPr>
      </w:pPr>
      <w:bookmarkStart w:id="5" w:name="PsakDin"/>
      <w:r w:rsidRPr="002F62F0">
        <w:rPr>
          <w:b/>
          <w:bCs/>
          <w:sz w:val="28"/>
          <w:szCs w:val="28"/>
          <w:u w:val="single"/>
          <w:rtl/>
        </w:rPr>
        <w:t>גזר דין</w:t>
      </w:r>
    </w:p>
    <w:bookmarkEnd w:id="5"/>
    <w:p w14:paraId="069EAC4E" w14:textId="77777777" w:rsidR="00C6148A" w:rsidRPr="003A4AE5" w:rsidRDefault="00C6148A" w:rsidP="00C6148A">
      <w:pPr>
        <w:spacing w:line="360" w:lineRule="auto"/>
        <w:jc w:val="both"/>
        <w:rPr>
          <w:rtl/>
        </w:rPr>
      </w:pPr>
    </w:p>
    <w:p w14:paraId="1044DE04" w14:textId="77777777" w:rsidR="00C6148A" w:rsidRPr="003A4AE5" w:rsidRDefault="00C6148A" w:rsidP="00C6148A">
      <w:pPr>
        <w:spacing w:line="360" w:lineRule="auto"/>
        <w:jc w:val="both"/>
        <w:rPr>
          <w:rtl/>
        </w:rPr>
      </w:pPr>
      <w:bookmarkStart w:id="6" w:name="ABSTRACT_START"/>
      <w:bookmarkEnd w:id="6"/>
    </w:p>
    <w:p w14:paraId="3D060357" w14:textId="77777777" w:rsidR="00C6148A" w:rsidRPr="003A4AE5" w:rsidRDefault="00C6148A" w:rsidP="00C6148A">
      <w:pPr>
        <w:spacing w:line="360" w:lineRule="auto"/>
        <w:ind w:left="720" w:hanging="720"/>
        <w:jc w:val="both"/>
      </w:pPr>
      <w:r w:rsidRPr="003A4AE5">
        <w:rPr>
          <w:rFonts w:hint="cs"/>
          <w:rtl/>
        </w:rPr>
        <w:t>1.</w:t>
      </w:r>
      <w:r w:rsidRPr="003A4AE5">
        <w:rPr>
          <w:rFonts w:hint="cs"/>
          <w:rtl/>
        </w:rPr>
        <w:tab/>
        <w:t xml:space="preserve">בטרם שמיעת הראיות, הגיעו הצדדים להסדר טיעון במסגרתו כתב האישום המקורי שהוגש נגד הנאשם תוקן והנאשם הודה בעובדות כתב האישום המתוקן, לפיהן ביום 24.06.21 בשעת ערב הנאשם נסע עם אחר ברכב בו נמצא סם מסוג קוקאין במשקל 180 גרם, אותו הנאשם החזיק, שלא לצריכה עצמית, עבור אחר שזהותו איננה ידועה למאשימה. </w:t>
      </w:r>
    </w:p>
    <w:p w14:paraId="2ABAE9D0" w14:textId="77777777" w:rsidR="00C6148A" w:rsidRPr="003A4AE5" w:rsidRDefault="00C6148A" w:rsidP="00C6148A">
      <w:pPr>
        <w:spacing w:line="360" w:lineRule="auto"/>
        <w:ind w:left="720"/>
        <w:jc w:val="both"/>
        <w:rPr>
          <w:rtl/>
        </w:rPr>
      </w:pPr>
      <w:bookmarkStart w:id="7" w:name="ABSTRACT_END"/>
      <w:bookmarkEnd w:id="7"/>
    </w:p>
    <w:p w14:paraId="5FA895CB" w14:textId="77777777" w:rsidR="00C6148A" w:rsidRPr="003A4AE5" w:rsidRDefault="00C6148A" w:rsidP="00C6148A">
      <w:pPr>
        <w:spacing w:line="360" w:lineRule="auto"/>
        <w:ind w:left="720" w:hanging="720"/>
        <w:jc w:val="both"/>
        <w:rPr>
          <w:rtl/>
        </w:rPr>
      </w:pPr>
      <w:r w:rsidRPr="003A4AE5">
        <w:rPr>
          <w:rFonts w:hint="cs"/>
          <w:rtl/>
        </w:rPr>
        <w:lastRenderedPageBreak/>
        <w:t>2.</w:t>
      </w:r>
      <w:r w:rsidRPr="003A4AE5">
        <w:rPr>
          <w:rFonts w:hint="cs"/>
          <w:rtl/>
        </w:rPr>
        <w:tab/>
        <w:t xml:space="preserve">על יסוד הודאת הנאשם בעובדות כתב האישום המתוקן כאמור, הוא הורשע בעבירה של החזקת סם מסוכן שלא לצריכה עצמית, לפי סעיפים </w:t>
      </w:r>
      <w:hyperlink r:id="rId9" w:history="1">
        <w:r w:rsidR="004E062C" w:rsidRPr="004E062C">
          <w:rPr>
            <w:rStyle w:val="Hyperlink"/>
            <w:rtl/>
          </w:rPr>
          <w:t>7(א) ו-(ג)</w:t>
        </w:r>
      </w:hyperlink>
      <w:r w:rsidRPr="003A4AE5">
        <w:rPr>
          <w:rFonts w:hint="cs"/>
          <w:rtl/>
        </w:rPr>
        <w:t xml:space="preserve"> רישא</w:t>
      </w:r>
      <w:r w:rsidRPr="003A4AE5">
        <w:rPr>
          <w:rFonts w:hint="cs"/>
          <w:rtl/>
          <w:lang w:eastAsia="he-IL"/>
        </w:rPr>
        <w:t xml:space="preserve"> ב</w:t>
      </w:r>
      <w:hyperlink r:id="rId10" w:history="1">
        <w:r w:rsidR="002F62F0" w:rsidRPr="002F62F0">
          <w:rPr>
            <w:color w:val="0000FF"/>
            <w:u w:val="single"/>
            <w:rtl/>
            <w:lang w:eastAsia="he-IL"/>
          </w:rPr>
          <w:t>פקודת הסמים המסוכנים</w:t>
        </w:r>
      </w:hyperlink>
      <w:r w:rsidRPr="003A4AE5">
        <w:rPr>
          <w:rFonts w:hint="cs"/>
          <w:rtl/>
          <w:lang w:eastAsia="he-IL"/>
        </w:rPr>
        <w:t xml:space="preserve"> [נוסח חדש], התשל"ג – 1973.</w:t>
      </w:r>
    </w:p>
    <w:p w14:paraId="618786A7" w14:textId="77777777" w:rsidR="00C6148A" w:rsidRPr="003A4AE5" w:rsidRDefault="00C6148A" w:rsidP="00C6148A">
      <w:pPr>
        <w:spacing w:line="360" w:lineRule="auto"/>
        <w:ind w:left="720"/>
        <w:jc w:val="both"/>
        <w:rPr>
          <w:rtl/>
        </w:rPr>
      </w:pPr>
      <w:r w:rsidRPr="003A4AE5">
        <w:rPr>
          <w:rFonts w:hint="cs"/>
          <w:rtl/>
        </w:rPr>
        <w:t xml:space="preserve"> </w:t>
      </w:r>
    </w:p>
    <w:p w14:paraId="2745A2D0" w14:textId="77777777" w:rsidR="00C6148A" w:rsidRPr="003A4AE5" w:rsidRDefault="00C6148A" w:rsidP="00C6148A">
      <w:pPr>
        <w:spacing w:line="360" w:lineRule="auto"/>
        <w:ind w:left="720" w:hanging="720"/>
        <w:jc w:val="both"/>
        <w:rPr>
          <w:rtl/>
        </w:rPr>
      </w:pPr>
      <w:r w:rsidRPr="003A4AE5">
        <w:rPr>
          <w:rFonts w:hint="cs"/>
          <w:rtl/>
        </w:rPr>
        <w:t>3.</w:t>
      </w:r>
      <w:r w:rsidRPr="003A4AE5">
        <w:rPr>
          <w:rFonts w:hint="cs"/>
          <w:rtl/>
        </w:rPr>
        <w:tab/>
        <w:t xml:space="preserve">הנאשם צעיר מגיל 21 ובנסיבות חובה לקבל עליו תסקיר של שירות מבחן. </w:t>
      </w:r>
    </w:p>
    <w:p w14:paraId="3583DFDA" w14:textId="77777777" w:rsidR="00C6148A" w:rsidRPr="003A4AE5" w:rsidRDefault="00C6148A" w:rsidP="00C6148A">
      <w:pPr>
        <w:spacing w:line="360" w:lineRule="auto"/>
        <w:ind w:left="720"/>
        <w:jc w:val="both"/>
        <w:rPr>
          <w:rtl/>
        </w:rPr>
      </w:pPr>
      <w:r w:rsidRPr="003A4AE5">
        <w:rPr>
          <w:rFonts w:hint="cs"/>
          <w:rtl/>
        </w:rPr>
        <w:t xml:space="preserve">מהתסקיר עולה, שהנאשם בן 21, רווק. ללא עבר פלילי. תיאר כי מנהל אורח חיים תקין. אשר לעבירה, סיפר כי החזיק בסם לצרכי סחר לאחר שקרוב משפחתו הציע לו שכר בתמורה לכך. והוא מבין את הפסול במעשיו. שירות המבחן סקר את גורמי הסיכון והסיכוי של הנאשם. ציין כי הנאשם מתקשה לבחון לעומק את דפוסי התנהגותו המכשילים. ובסופו של דבר נמנע מהמלצה טיפולית על הנאשם. </w:t>
      </w:r>
    </w:p>
    <w:p w14:paraId="1F2F8351" w14:textId="77777777" w:rsidR="00C6148A" w:rsidRPr="003A4AE5" w:rsidRDefault="00C6148A" w:rsidP="00C6148A">
      <w:pPr>
        <w:spacing w:line="360" w:lineRule="auto"/>
        <w:ind w:left="720" w:hanging="720"/>
        <w:jc w:val="both"/>
        <w:rPr>
          <w:rtl/>
        </w:rPr>
      </w:pPr>
    </w:p>
    <w:p w14:paraId="7CCD7B16" w14:textId="77777777" w:rsidR="00C6148A" w:rsidRPr="003A4AE5" w:rsidRDefault="00C6148A" w:rsidP="00C6148A">
      <w:pPr>
        <w:spacing w:line="360" w:lineRule="auto"/>
        <w:ind w:left="720" w:hanging="720"/>
        <w:jc w:val="both"/>
        <w:rPr>
          <w:rtl/>
        </w:rPr>
      </w:pPr>
      <w:r w:rsidRPr="003A4AE5">
        <w:rPr>
          <w:rFonts w:hint="cs"/>
          <w:rtl/>
        </w:rPr>
        <w:t>4.</w:t>
      </w:r>
      <w:r w:rsidRPr="003A4AE5">
        <w:rPr>
          <w:rFonts w:hint="cs"/>
          <w:rtl/>
        </w:rPr>
        <w:tab/>
        <w:t xml:space="preserve">במסגרת הסדר הטיעון, הצדדים המליצו לבית המשפט להטיל על הנאשם 24 חודשי מאסר בפועל; מאסר על תנאי לפי שיקול דעת בית המשפט; וחילוט רכב הנאשם מסוג טויוטה קורולה מ.ר. 46-887-30, בו נמצאו הסמים. </w:t>
      </w:r>
    </w:p>
    <w:p w14:paraId="71F7F1D3" w14:textId="77777777" w:rsidR="00C6148A" w:rsidRPr="003A4AE5" w:rsidRDefault="00C6148A" w:rsidP="00C6148A">
      <w:pPr>
        <w:spacing w:line="360" w:lineRule="auto"/>
        <w:ind w:left="720" w:hanging="720"/>
        <w:jc w:val="both"/>
        <w:rPr>
          <w:rtl/>
        </w:rPr>
      </w:pPr>
    </w:p>
    <w:p w14:paraId="50052F27" w14:textId="77777777" w:rsidR="00C6148A" w:rsidRPr="003A4AE5" w:rsidRDefault="00C6148A" w:rsidP="00C6148A">
      <w:pPr>
        <w:spacing w:line="360" w:lineRule="auto"/>
        <w:ind w:left="720"/>
        <w:jc w:val="both"/>
        <w:rPr>
          <w:rtl/>
          <w:lang w:eastAsia="he-IL"/>
        </w:rPr>
      </w:pPr>
      <w:r w:rsidRPr="003A4AE5">
        <w:rPr>
          <w:rFonts w:hint="cs"/>
          <w:rtl/>
          <w:lang w:eastAsia="he-IL"/>
        </w:rPr>
        <w:t xml:space="preserve">המאשימה טענה שהסדר הטיעון נעוץ בעיקר בקשיים ראייתיים הנוגעים לענייני מודיעין חסויים, מהותיים, שלא ניתן לפרט אודותם. וכן בגילו הצעיר של הנאשם ובנסיבותיו. וביקשה לכבד את ההסדר. </w:t>
      </w:r>
    </w:p>
    <w:p w14:paraId="71EEBC9D" w14:textId="77777777" w:rsidR="00C6148A" w:rsidRPr="003A4AE5" w:rsidRDefault="00C6148A" w:rsidP="00C6148A">
      <w:pPr>
        <w:spacing w:line="360" w:lineRule="auto"/>
        <w:ind w:left="720"/>
        <w:jc w:val="both"/>
        <w:rPr>
          <w:rtl/>
          <w:lang w:eastAsia="he-IL"/>
        </w:rPr>
      </w:pPr>
    </w:p>
    <w:p w14:paraId="6EC6BDE1" w14:textId="77777777" w:rsidR="00C6148A" w:rsidRPr="003A4AE5" w:rsidRDefault="00C6148A" w:rsidP="00C6148A">
      <w:pPr>
        <w:spacing w:line="360" w:lineRule="auto"/>
        <w:ind w:left="720"/>
        <w:jc w:val="both"/>
        <w:rPr>
          <w:rtl/>
          <w:lang w:eastAsia="he-IL"/>
        </w:rPr>
      </w:pPr>
      <w:r w:rsidRPr="003A4AE5">
        <w:rPr>
          <w:rFonts w:hint="cs"/>
          <w:rtl/>
          <w:lang w:eastAsia="he-IL"/>
        </w:rPr>
        <w:t xml:space="preserve">ב"כ הנאשם הצטרף לדברי ב"כ המאשימה. טען כי אמנם העונש המוצע מקל משמעותית עם הנאשם, אך בהתחשב בקושי הראייתי בתחום המידע המודיעיני ועל רקע נתוניו האישיים של הנאשם, הוא סביר ויש לאמצו. והוסיף כי העונש המומלץ כולל רכיב כלכלי של חילוט רכב בשווי של כ – 50,000 ₪, התורם להעברת מסר של הרתעה. </w:t>
      </w:r>
    </w:p>
    <w:p w14:paraId="596F61D7" w14:textId="77777777" w:rsidR="00C6148A" w:rsidRPr="003A4AE5" w:rsidRDefault="00C6148A" w:rsidP="00C6148A">
      <w:pPr>
        <w:spacing w:line="360" w:lineRule="auto"/>
        <w:jc w:val="both"/>
        <w:rPr>
          <w:rtl/>
          <w:lang w:eastAsia="he-IL"/>
        </w:rPr>
      </w:pPr>
    </w:p>
    <w:p w14:paraId="21094DBF" w14:textId="77777777" w:rsidR="00C6148A" w:rsidRPr="003A4AE5" w:rsidRDefault="00C6148A" w:rsidP="00C6148A">
      <w:pPr>
        <w:spacing w:line="360" w:lineRule="auto"/>
        <w:ind w:firstLine="720"/>
        <w:jc w:val="both"/>
        <w:rPr>
          <w:rtl/>
          <w:lang w:eastAsia="he-IL"/>
        </w:rPr>
      </w:pPr>
      <w:r w:rsidRPr="003A4AE5">
        <w:rPr>
          <w:rFonts w:hint="cs"/>
          <w:rtl/>
          <w:lang w:eastAsia="he-IL"/>
        </w:rPr>
        <w:t>הנאשם הביע צער על מעשיו.</w:t>
      </w:r>
    </w:p>
    <w:p w14:paraId="7CF86DA7" w14:textId="77777777" w:rsidR="00C6148A" w:rsidRPr="003A4AE5" w:rsidRDefault="00C6148A" w:rsidP="00C6148A">
      <w:pPr>
        <w:spacing w:line="360" w:lineRule="auto"/>
        <w:ind w:left="720" w:hanging="720"/>
        <w:jc w:val="both"/>
        <w:rPr>
          <w:rtl/>
        </w:rPr>
      </w:pPr>
    </w:p>
    <w:p w14:paraId="619394A1" w14:textId="77777777" w:rsidR="00C6148A" w:rsidRPr="003A4AE5" w:rsidRDefault="00C6148A" w:rsidP="00C6148A">
      <w:pPr>
        <w:spacing w:line="360" w:lineRule="auto"/>
        <w:ind w:left="720" w:hanging="720"/>
        <w:jc w:val="both"/>
        <w:rPr>
          <w:rtl/>
          <w:lang w:eastAsia="he-IL"/>
        </w:rPr>
      </w:pPr>
      <w:r w:rsidRPr="003A4AE5">
        <w:rPr>
          <w:rFonts w:hint="cs"/>
          <w:rtl/>
        </w:rPr>
        <w:t>5.</w:t>
      </w:r>
      <w:r w:rsidRPr="003A4AE5">
        <w:rPr>
          <w:rFonts w:hint="cs"/>
          <w:rtl/>
        </w:rPr>
        <w:tab/>
      </w:r>
      <w:r w:rsidRPr="003A4AE5">
        <w:rPr>
          <w:rFonts w:hint="cs"/>
          <w:b/>
          <w:rtl/>
          <w:lang w:eastAsia="he-IL"/>
        </w:rPr>
        <w:t xml:space="preserve">סם הקוקאין הוא מהקשים שבסמים, בשל השפעתו ההרסנית על גופו ונפשו של המשתמש. </w:t>
      </w:r>
    </w:p>
    <w:p w14:paraId="75B9D328" w14:textId="77777777" w:rsidR="00C6148A" w:rsidRPr="003A4AE5" w:rsidRDefault="00C6148A" w:rsidP="00C6148A">
      <w:pPr>
        <w:spacing w:line="360" w:lineRule="auto"/>
        <w:ind w:left="720"/>
        <w:jc w:val="both"/>
        <w:rPr>
          <w:b/>
          <w:rtl/>
          <w:lang w:eastAsia="he-IL"/>
        </w:rPr>
      </w:pPr>
    </w:p>
    <w:p w14:paraId="74E68A3B" w14:textId="77777777" w:rsidR="00C6148A" w:rsidRPr="003A4AE5" w:rsidRDefault="00C6148A" w:rsidP="00C6148A">
      <w:pPr>
        <w:spacing w:line="360" w:lineRule="auto"/>
        <w:ind w:left="1440"/>
        <w:jc w:val="both"/>
        <w:rPr>
          <w:b/>
          <w:lang w:eastAsia="he-IL"/>
        </w:rPr>
      </w:pPr>
      <w:r w:rsidRPr="003A4AE5">
        <w:rPr>
          <w:rFonts w:hint="cs"/>
          <w:b/>
          <w:rtl/>
          <w:lang w:eastAsia="he-IL"/>
        </w:rPr>
        <w:t xml:space="preserve">"הקוקאין הוא אחד הסמים הגורמים להתמכרות החזקה ביותר. בעקבות הפסקת השימוש בקוקאין חלים שינויים ברורים בהתנהגות המשתמש כגון תחושת נמנמת, חוסר שקט, חרדה, דיכאון וירידה בפעילות הגופנית. צרכני קוקאין בשלבי גמילה מעידים על כך שההתמכרות לסם השפיעה על התנהגותם במשך מספר שבועות, ואפילו חודשים, לאחר הפסקת השימוש בו. במקרים רבים דווחו על התפרצויות של התנהגויות היסטריות ופסיכוטיות או התקפי חרדה, דיכאון ופאניקה. לקוקאין ולקראק השפעות מהירות על פעילות המוח והתנהגות המשתמש: ערעור מערכת </w:t>
      </w:r>
      <w:r w:rsidRPr="003A4AE5">
        <w:rPr>
          <w:rFonts w:hint="cs"/>
          <w:b/>
          <w:rtl/>
          <w:lang w:eastAsia="he-IL"/>
        </w:rPr>
        <w:lastRenderedPageBreak/>
        <w:t xml:space="preserve">העצבים המרכזית, ערנות יתר עד לכדי עצבנות וחוסר שקט נפשי, לתחושה של יכולת פיסית מוגברת. </w:t>
      </w:r>
    </w:p>
    <w:p w14:paraId="4B51FE6E" w14:textId="77777777" w:rsidR="00C6148A" w:rsidRPr="003A4AE5" w:rsidRDefault="00C6148A" w:rsidP="00C6148A">
      <w:pPr>
        <w:spacing w:line="360" w:lineRule="auto"/>
        <w:ind w:left="1440"/>
        <w:jc w:val="both"/>
        <w:rPr>
          <w:b/>
          <w:rtl/>
          <w:lang w:eastAsia="he-IL"/>
        </w:rPr>
      </w:pPr>
    </w:p>
    <w:p w14:paraId="239AABB0" w14:textId="77777777" w:rsidR="00C6148A" w:rsidRPr="003A4AE5" w:rsidRDefault="00C6148A" w:rsidP="00C6148A">
      <w:pPr>
        <w:spacing w:line="360" w:lineRule="auto"/>
        <w:ind w:left="1440"/>
        <w:jc w:val="both"/>
        <w:rPr>
          <w:b/>
          <w:rtl/>
          <w:lang w:eastAsia="he-IL"/>
        </w:rPr>
      </w:pPr>
      <w:r w:rsidRPr="003A4AE5">
        <w:rPr>
          <w:rFonts w:hint="cs"/>
          <w:b/>
          <w:rtl/>
          <w:lang w:eastAsia="he-IL"/>
        </w:rPr>
        <w:t>משתמשים בקוקאין נוטים להגדיל את המנה שהם צורכים. תופעות כמו כאבי ראש, רעד, עוויתות, תוקפנות, חרדה ופחד הולכות ומתגברות עקב הגדלה תדירה של מנות הסם...". (</w:t>
      </w:r>
      <w:hyperlink r:id="rId11" w:history="1">
        <w:r w:rsidR="002F62F0" w:rsidRPr="002F62F0">
          <w:rPr>
            <w:b/>
            <w:color w:val="0000FF"/>
            <w:u w:val="single"/>
            <w:rtl/>
            <w:lang w:eastAsia="he-IL"/>
          </w:rPr>
          <w:t>ע"פ6029/03</w:t>
        </w:r>
      </w:hyperlink>
      <w:r w:rsidRPr="003A4AE5">
        <w:rPr>
          <w:rFonts w:hint="cs"/>
          <w:b/>
          <w:rtl/>
          <w:lang w:eastAsia="he-IL"/>
        </w:rPr>
        <w:t xml:space="preserve"> מדינת ישראל נ' גולן שמאי, פ"ד נח(2), 734 בעמ' 739)</w:t>
      </w:r>
    </w:p>
    <w:p w14:paraId="7FB93DB9" w14:textId="77777777" w:rsidR="00C6148A" w:rsidRPr="003A4AE5" w:rsidRDefault="00C6148A" w:rsidP="00C6148A">
      <w:pPr>
        <w:spacing w:line="360" w:lineRule="auto"/>
        <w:ind w:left="1440"/>
        <w:jc w:val="both"/>
        <w:rPr>
          <w:b/>
          <w:rtl/>
          <w:lang w:eastAsia="he-IL"/>
        </w:rPr>
      </w:pPr>
    </w:p>
    <w:p w14:paraId="0081EAA8" w14:textId="77777777" w:rsidR="00C6148A" w:rsidRPr="003A4AE5" w:rsidRDefault="00C6148A" w:rsidP="00C6148A">
      <w:pPr>
        <w:spacing w:line="360" w:lineRule="auto"/>
        <w:ind w:left="1440"/>
        <w:jc w:val="both"/>
        <w:rPr>
          <w:b/>
          <w:rtl/>
          <w:lang w:eastAsia="he-IL"/>
        </w:rPr>
      </w:pPr>
    </w:p>
    <w:p w14:paraId="1313D9AB" w14:textId="77777777" w:rsidR="00C6148A" w:rsidRPr="003A4AE5" w:rsidRDefault="00C6148A" w:rsidP="00C6148A">
      <w:pPr>
        <w:spacing w:line="360" w:lineRule="auto"/>
        <w:ind w:left="1440"/>
        <w:jc w:val="both"/>
        <w:rPr>
          <w:b/>
          <w:rtl/>
          <w:lang w:eastAsia="he-IL"/>
        </w:rPr>
      </w:pPr>
    </w:p>
    <w:p w14:paraId="7B923628" w14:textId="77777777" w:rsidR="00C6148A" w:rsidRPr="003A4AE5" w:rsidRDefault="00C6148A" w:rsidP="00C6148A">
      <w:pPr>
        <w:spacing w:line="360" w:lineRule="auto"/>
        <w:ind w:left="1440"/>
        <w:jc w:val="both"/>
        <w:rPr>
          <w:b/>
          <w:rtl/>
          <w:lang w:eastAsia="he-IL"/>
        </w:rPr>
      </w:pPr>
    </w:p>
    <w:p w14:paraId="33349B59" w14:textId="77777777" w:rsidR="00C6148A" w:rsidRPr="003A4AE5" w:rsidRDefault="00C6148A" w:rsidP="00C6148A">
      <w:pPr>
        <w:spacing w:line="360" w:lineRule="auto"/>
        <w:ind w:left="720" w:hanging="720"/>
        <w:jc w:val="both"/>
        <w:rPr>
          <w:rtl/>
          <w:lang w:eastAsia="he-IL"/>
        </w:rPr>
      </w:pPr>
      <w:r w:rsidRPr="003A4AE5">
        <w:rPr>
          <w:rFonts w:hint="cs"/>
          <w:rtl/>
          <w:lang w:eastAsia="he-IL"/>
        </w:rPr>
        <w:t>6.</w:t>
      </w:r>
      <w:r w:rsidRPr="003A4AE5">
        <w:rPr>
          <w:rFonts w:hint="cs"/>
          <w:rtl/>
          <w:lang w:eastAsia="he-IL"/>
        </w:rPr>
        <w:tab/>
        <w:t>השימוש בסמים הקשים גורם נזקים בריאותיים פיזיים ונפשיים משמעותיים; גורם לתלות; פוגע בתיפקוד; חושף את הציבור לעבירות רכוש ואלימות הקשורות בצורך להשיג מימון לרכישת הסמים; ופוגע ברבדים שונים במשתמש, בסביבתו הקרובה, בקהילה, ובחברה בכללה.</w:t>
      </w:r>
    </w:p>
    <w:p w14:paraId="04387C7A" w14:textId="77777777" w:rsidR="00C6148A" w:rsidRPr="003A4AE5" w:rsidRDefault="00C6148A" w:rsidP="00C6148A">
      <w:pPr>
        <w:spacing w:line="360" w:lineRule="auto"/>
        <w:ind w:left="720" w:hanging="720"/>
        <w:jc w:val="both"/>
        <w:rPr>
          <w:rtl/>
          <w:lang w:eastAsia="he-IL"/>
        </w:rPr>
      </w:pPr>
    </w:p>
    <w:p w14:paraId="060C1151" w14:textId="77777777" w:rsidR="00C6148A" w:rsidRPr="003A4AE5" w:rsidRDefault="00C6148A" w:rsidP="00C6148A">
      <w:pPr>
        <w:spacing w:line="360" w:lineRule="auto"/>
        <w:ind w:left="720" w:hanging="720"/>
        <w:jc w:val="both"/>
        <w:rPr>
          <w:rtl/>
          <w:lang w:eastAsia="he-IL"/>
        </w:rPr>
      </w:pPr>
      <w:r w:rsidRPr="003A4AE5">
        <w:rPr>
          <w:rFonts w:hint="cs"/>
          <w:rtl/>
          <w:lang w:eastAsia="he-IL"/>
        </w:rPr>
        <w:t>7.</w:t>
      </w:r>
      <w:r w:rsidRPr="003A4AE5">
        <w:rPr>
          <w:rFonts w:hint="cs"/>
          <w:rtl/>
          <w:lang w:eastAsia="he-IL"/>
        </w:rPr>
        <w:tab/>
        <w:t xml:space="preserve">החזקת סם לצרכי סחר היא מהחמורות שבעבירות הסמים, שכן היא גורמת ומעצימה נזקים ופגיעות הכרוכים בשימוש בסמים. ומדיניות הענישה לגביה היא של חומרה מובהקת. </w:t>
      </w:r>
    </w:p>
    <w:p w14:paraId="1800FE5C" w14:textId="77777777" w:rsidR="00C6148A" w:rsidRPr="003A4AE5" w:rsidRDefault="00C6148A" w:rsidP="00C6148A">
      <w:pPr>
        <w:spacing w:line="360" w:lineRule="auto"/>
        <w:ind w:left="720" w:hanging="720"/>
        <w:jc w:val="both"/>
        <w:rPr>
          <w:rtl/>
          <w:lang w:eastAsia="he-IL"/>
        </w:rPr>
      </w:pPr>
    </w:p>
    <w:p w14:paraId="792AD028" w14:textId="77777777" w:rsidR="00C6148A" w:rsidRPr="003A4AE5" w:rsidRDefault="00C6148A" w:rsidP="00C6148A">
      <w:pPr>
        <w:spacing w:line="360" w:lineRule="auto"/>
        <w:ind w:left="720" w:hanging="720"/>
        <w:jc w:val="both"/>
        <w:rPr>
          <w:rtl/>
          <w:lang w:eastAsia="he-IL"/>
        </w:rPr>
      </w:pPr>
      <w:r w:rsidRPr="003A4AE5">
        <w:rPr>
          <w:rFonts w:hint="cs"/>
          <w:rtl/>
          <w:lang w:eastAsia="he-IL"/>
        </w:rPr>
        <w:t>8.</w:t>
      </w:r>
      <w:r w:rsidRPr="003A4AE5">
        <w:rPr>
          <w:rFonts w:hint="cs"/>
          <w:rtl/>
          <w:lang w:eastAsia="he-IL"/>
        </w:rPr>
        <w:tab/>
        <w:t xml:space="preserve">הלכה למעשה, בתי המשפט מטילים עונשי מאסר הנעים בין 3 ל- 5 שנים על החזקת סם מסוג הרואין או קוקאין במשקל של עשרות גרם. </w:t>
      </w:r>
    </w:p>
    <w:p w14:paraId="7A808C55" w14:textId="77777777" w:rsidR="00C6148A" w:rsidRPr="003A4AE5" w:rsidRDefault="00C6148A" w:rsidP="00C6148A">
      <w:pPr>
        <w:spacing w:line="360" w:lineRule="auto"/>
        <w:ind w:left="720"/>
        <w:jc w:val="both"/>
        <w:rPr>
          <w:rtl/>
          <w:lang w:eastAsia="he-IL"/>
        </w:rPr>
      </w:pPr>
    </w:p>
    <w:p w14:paraId="3094982F" w14:textId="77777777" w:rsidR="00C6148A" w:rsidRPr="003A4AE5" w:rsidRDefault="00C6148A" w:rsidP="00C6148A">
      <w:pPr>
        <w:spacing w:line="360" w:lineRule="auto"/>
        <w:ind w:left="720"/>
        <w:jc w:val="both"/>
        <w:rPr>
          <w:rtl/>
          <w:lang w:eastAsia="he-IL"/>
        </w:rPr>
      </w:pPr>
      <w:r w:rsidRPr="003A4AE5">
        <w:rPr>
          <w:rFonts w:hint="cs"/>
          <w:rtl/>
          <w:lang w:eastAsia="he-IL"/>
        </w:rPr>
        <w:t>ב</w:t>
      </w:r>
      <w:hyperlink r:id="rId12" w:history="1">
        <w:r w:rsidR="002F62F0" w:rsidRPr="002F62F0">
          <w:rPr>
            <w:color w:val="0000FF"/>
            <w:u w:val="single"/>
            <w:rtl/>
            <w:lang w:eastAsia="he-IL"/>
          </w:rPr>
          <w:t>ע"פ 8820/14</w:t>
        </w:r>
      </w:hyperlink>
      <w:r w:rsidRPr="003A4AE5">
        <w:rPr>
          <w:rtl/>
          <w:lang w:eastAsia="he-IL"/>
        </w:rPr>
        <w:t xml:space="preserve"> </w:t>
      </w:r>
      <w:r w:rsidRPr="003A4AE5">
        <w:rPr>
          <w:rFonts w:hint="cs"/>
          <w:b/>
          <w:bCs/>
          <w:rtl/>
          <w:lang w:eastAsia="he-IL"/>
        </w:rPr>
        <w:t>זוהר שחר נ' מדינת ישראל</w:t>
      </w:r>
      <w:r w:rsidRPr="003A4AE5">
        <w:rPr>
          <w:rFonts w:hint="cs"/>
          <w:rtl/>
          <w:lang w:eastAsia="he-IL"/>
        </w:rPr>
        <w:t xml:space="preserve"> (17.05.2015) בית המשפט העליון סקר פסיקה רלוונטית וציין מפורשות כי </w:t>
      </w:r>
      <w:r w:rsidRPr="003A4AE5">
        <w:rPr>
          <w:rFonts w:hint="cs"/>
          <w:b/>
          <w:bCs/>
          <w:rtl/>
          <w:lang w:eastAsia="he-IL"/>
        </w:rPr>
        <w:t>רמת הענישה שנקבעה בפסיקה כשמדובר בהחזקת סם מסוג הרואין או קוקאין, שלא לצריכה עצמית, בכמות של עשרות גרמים, נעה בין 3 ל-5 שנות מאסר</w:t>
      </w:r>
      <w:r w:rsidRPr="003A4AE5">
        <w:rPr>
          <w:rFonts w:hint="cs"/>
          <w:rtl/>
          <w:lang w:eastAsia="he-IL"/>
        </w:rPr>
        <w:t>. ואישר עונש של</w:t>
      </w:r>
      <w:r w:rsidRPr="003A4AE5">
        <w:rPr>
          <w:rFonts w:hint="cs"/>
          <w:b/>
          <w:bCs/>
          <w:rtl/>
          <w:lang w:eastAsia="he-IL"/>
        </w:rPr>
        <w:t xml:space="preserve"> 3 שנות מאסר</w:t>
      </w:r>
      <w:r w:rsidRPr="003A4AE5">
        <w:rPr>
          <w:rFonts w:hint="cs"/>
          <w:rtl/>
          <w:lang w:eastAsia="he-IL"/>
        </w:rPr>
        <w:t xml:space="preserve"> על החזקת</w:t>
      </w:r>
      <w:r w:rsidRPr="003A4AE5">
        <w:rPr>
          <w:rFonts w:hint="cs"/>
          <w:b/>
          <w:bCs/>
          <w:rtl/>
          <w:lang w:eastAsia="he-IL"/>
        </w:rPr>
        <w:t xml:space="preserve"> 112 גרם קוקאין ו- 3.7 גרם חשיש.</w:t>
      </w:r>
      <w:r w:rsidRPr="003A4AE5">
        <w:rPr>
          <w:rFonts w:hint="cs"/>
          <w:rtl/>
          <w:lang w:eastAsia="he-IL"/>
        </w:rPr>
        <w:t xml:space="preserve"> </w:t>
      </w:r>
    </w:p>
    <w:p w14:paraId="4F9F0DED" w14:textId="77777777" w:rsidR="00C6148A" w:rsidRPr="003A4AE5" w:rsidRDefault="00C6148A" w:rsidP="00C6148A">
      <w:pPr>
        <w:spacing w:line="360" w:lineRule="auto"/>
        <w:ind w:left="720" w:hanging="720"/>
        <w:jc w:val="both"/>
        <w:rPr>
          <w:rtl/>
          <w:lang w:eastAsia="he-IL"/>
        </w:rPr>
      </w:pPr>
    </w:p>
    <w:p w14:paraId="23E6288C" w14:textId="77777777" w:rsidR="00C6148A" w:rsidRPr="003A4AE5" w:rsidRDefault="00C6148A" w:rsidP="00C6148A">
      <w:pPr>
        <w:spacing w:line="360" w:lineRule="auto"/>
        <w:ind w:left="720" w:hanging="720"/>
        <w:jc w:val="both"/>
        <w:rPr>
          <w:rtl/>
          <w:lang w:eastAsia="he-IL"/>
        </w:rPr>
      </w:pPr>
      <w:r w:rsidRPr="003A4AE5">
        <w:rPr>
          <w:rFonts w:hint="cs"/>
          <w:rtl/>
          <w:lang w:eastAsia="he-IL"/>
        </w:rPr>
        <w:t>9.</w:t>
      </w:r>
      <w:r w:rsidRPr="003A4AE5">
        <w:rPr>
          <w:rFonts w:hint="cs"/>
          <w:rtl/>
          <w:lang w:eastAsia="he-IL"/>
        </w:rPr>
        <w:tab/>
        <w:t>בעבירות של החזקת סם שלא לצריכה עצמית, סוג הסם ומשקלו הם המרכיבים המרכזיים המשפיעים על סוג ומידת העונש. ובעבירות החמורות בכלל, ובהן עבירות הסמים החמורות, הבכורה ניתנת לשיקולי הגמול וההרתעה בעוד נסיבות הנאשם מקבלות משקל משני.</w:t>
      </w:r>
    </w:p>
    <w:p w14:paraId="4FAE4878" w14:textId="77777777" w:rsidR="00C6148A" w:rsidRPr="003A4AE5" w:rsidRDefault="00C6148A" w:rsidP="00C6148A">
      <w:pPr>
        <w:spacing w:line="360" w:lineRule="auto"/>
        <w:ind w:left="720" w:hanging="720"/>
        <w:jc w:val="both"/>
        <w:rPr>
          <w:rtl/>
          <w:lang w:eastAsia="he-IL"/>
        </w:rPr>
      </w:pPr>
      <w:r w:rsidRPr="003A4AE5">
        <w:rPr>
          <w:rFonts w:hint="cs"/>
          <w:rtl/>
          <w:lang w:eastAsia="he-IL"/>
        </w:rPr>
        <w:t xml:space="preserve"> </w:t>
      </w:r>
      <w:r w:rsidRPr="003A4AE5">
        <w:rPr>
          <w:rFonts w:hint="cs"/>
          <w:rtl/>
          <w:lang w:eastAsia="he-IL"/>
        </w:rPr>
        <w:tab/>
        <w:t xml:space="preserve">באספקלריה זו, העונש הראוי למעשה של החזקת קוקאין במשקל 180 גרם לצרכי סחר, הינו חמור מזה שהוצע על ידי הצדדים. </w:t>
      </w:r>
    </w:p>
    <w:p w14:paraId="6C1EF39D" w14:textId="77777777" w:rsidR="00C6148A" w:rsidRPr="003A4AE5" w:rsidRDefault="00C6148A" w:rsidP="00C6148A">
      <w:pPr>
        <w:spacing w:line="360" w:lineRule="auto"/>
        <w:ind w:left="720" w:hanging="720"/>
        <w:jc w:val="both"/>
        <w:rPr>
          <w:rtl/>
          <w:lang w:eastAsia="he-IL"/>
        </w:rPr>
      </w:pPr>
    </w:p>
    <w:p w14:paraId="7A74CDEF" w14:textId="77777777" w:rsidR="00C6148A" w:rsidRPr="003A4AE5" w:rsidRDefault="00C6148A" w:rsidP="00C6148A">
      <w:pPr>
        <w:spacing w:line="360" w:lineRule="auto"/>
        <w:ind w:left="720" w:hanging="720"/>
        <w:jc w:val="both"/>
        <w:rPr>
          <w:rtl/>
          <w:lang w:eastAsia="he-IL"/>
        </w:rPr>
      </w:pPr>
      <w:r w:rsidRPr="003A4AE5">
        <w:rPr>
          <w:rFonts w:hint="cs"/>
          <w:rtl/>
          <w:lang w:eastAsia="he-IL"/>
        </w:rPr>
        <w:t xml:space="preserve">10. </w:t>
      </w:r>
      <w:r w:rsidRPr="003A4AE5">
        <w:rPr>
          <w:rFonts w:hint="cs"/>
          <w:rtl/>
          <w:lang w:eastAsia="he-IL"/>
        </w:rPr>
        <w:tab/>
        <w:t xml:space="preserve">אולם, הודאת הנאשם ניתנה במסגרת הסדר טיעון הכולל הסכמה לענין העונש; וברקע הסדר הטיעון קשיים מתחום המודיעין, שחזקה על התביעה שנתנה להם משקל הולם; ההקלה הגלומה בעונש המוצע על ידי הצדדים מידתית וסבירה; והכלל הוא שבית המשפט מכבד הסדרי טיעון. על כן מצאתי לנכון לקבל את המלצת הצדדים לעונש. </w:t>
      </w:r>
    </w:p>
    <w:p w14:paraId="6E0D4C6C" w14:textId="77777777" w:rsidR="00C6148A" w:rsidRPr="003A4AE5" w:rsidRDefault="00C6148A" w:rsidP="00C6148A">
      <w:pPr>
        <w:spacing w:line="360" w:lineRule="auto"/>
        <w:ind w:left="720" w:hanging="720"/>
        <w:jc w:val="both"/>
        <w:rPr>
          <w:rtl/>
          <w:lang w:eastAsia="he-IL"/>
        </w:rPr>
      </w:pPr>
    </w:p>
    <w:p w14:paraId="0F39BC28" w14:textId="77777777" w:rsidR="00C6148A" w:rsidRPr="003A4AE5" w:rsidRDefault="00C6148A" w:rsidP="00C6148A">
      <w:pPr>
        <w:spacing w:line="360" w:lineRule="auto"/>
        <w:ind w:left="720" w:hanging="720"/>
        <w:jc w:val="both"/>
        <w:rPr>
          <w:rtl/>
          <w:lang w:eastAsia="he-IL"/>
        </w:rPr>
      </w:pPr>
    </w:p>
    <w:p w14:paraId="34F3F3D1" w14:textId="77777777" w:rsidR="00C6148A" w:rsidRPr="003A4AE5" w:rsidRDefault="00C6148A" w:rsidP="00C6148A">
      <w:pPr>
        <w:spacing w:line="360" w:lineRule="auto"/>
        <w:ind w:left="720" w:hanging="720"/>
        <w:jc w:val="both"/>
        <w:rPr>
          <w:rtl/>
          <w:lang w:eastAsia="he-IL"/>
        </w:rPr>
      </w:pPr>
    </w:p>
    <w:p w14:paraId="0DDD75FD" w14:textId="77777777" w:rsidR="00C6148A" w:rsidRPr="003A4AE5" w:rsidRDefault="00C6148A" w:rsidP="00C6148A">
      <w:pPr>
        <w:spacing w:line="360" w:lineRule="auto"/>
        <w:ind w:left="720" w:hanging="720"/>
        <w:jc w:val="both"/>
        <w:rPr>
          <w:rtl/>
          <w:lang w:eastAsia="he-IL"/>
        </w:rPr>
      </w:pPr>
    </w:p>
    <w:p w14:paraId="04043551" w14:textId="77777777" w:rsidR="00C6148A" w:rsidRPr="003A4AE5" w:rsidRDefault="00C6148A" w:rsidP="00C6148A">
      <w:pPr>
        <w:spacing w:line="360" w:lineRule="auto"/>
        <w:ind w:left="720" w:hanging="720"/>
        <w:jc w:val="both"/>
        <w:rPr>
          <w:rtl/>
          <w:lang w:eastAsia="he-IL"/>
        </w:rPr>
      </w:pPr>
    </w:p>
    <w:p w14:paraId="307E2610" w14:textId="77777777" w:rsidR="00C6148A" w:rsidRPr="003A4AE5" w:rsidRDefault="00C6148A" w:rsidP="00C6148A">
      <w:pPr>
        <w:spacing w:line="360" w:lineRule="auto"/>
        <w:ind w:left="720" w:hanging="720"/>
        <w:jc w:val="both"/>
        <w:rPr>
          <w:rtl/>
          <w:lang w:eastAsia="he-IL"/>
        </w:rPr>
      </w:pPr>
    </w:p>
    <w:p w14:paraId="72871225" w14:textId="77777777" w:rsidR="00C6148A" w:rsidRPr="003A4AE5" w:rsidRDefault="00C6148A" w:rsidP="00C6148A">
      <w:pPr>
        <w:spacing w:line="360" w:lineRule="auto"/>
        <w:ind w:left="720" w:hanging="720"/>
        <w:jc w:val="both"/>
        <w:rPr>
          <w:rtl/>
          <w:lang w:eastAsia="he-IL"/>
        </w:rPr>
      </w:pPr>
      <w:r w:rsidRPr="003A4AE5">
        <w:rPr>
          <w:rFonts w:hint="cs"/>
          <w:rtl/>
          <w:lang w:eastAsia="he-IL"/>
        </w:rPr>
        <w:t>11.</w:t>
      </w:r>
      <w:r w:rsidRPr="003A4AE5">
        <w:rPr>
          <w:rFonts w:hint="cs"/>
          <w:rtl/>
          <w:lang w:eastAsia="he-IL"/>
        </w:rPr>
        <w:tab/>
        <w:t>נוכח האמור, אני דן את הנאשם לעונשים הבאים:</w:t>
      </w:r>
    </w:p>
    <w:p w14:paraId="42D00995" w14:textId="77777777" w:rsidR="00C6148A" w:rsidRPr="003A4AE5" w:rsidRDefault="00C6148A" w:rsidP="00C6148A">
      <w:pPr>
        <w:spacing w:line="360" w:lineRule="auto"/>
        <w:ind w:left="720" w:hanging="720"/>
        <w:jc w:val="both"/>
        <w:rPr>
          <w:rtl/>
          <w:lang w:eastAsia="he-IL"/>
        </w:rPr>
      </w:pPr>
    </w:p>
    <w:p w14:paraId="420C6196" w14:textId="77777777" w:rsidR="00C6148A" w:rsidRPr="003A4AE5" w:rsidRDefault="00C6148A" w:rsidP="00C6148A">
      <w:pPr>
        <w:spacing w:line="360" w:lineRule="auto"/>
        <w:jc w:val="both"/>
        <w:rPr>
          <w:rtl/>
          <w:lang w:eastAsia="he-IL"/>
        </w:rPr>
      </w:pPr>
      <w:r w:rsidRPr="003A4AE5">
        <w:rPr>
          <w:rFonts w:hint="cs"/>
          <w:rtl/>
          <w:lang w:eastAsia="he-IL"/>
        </w:rPr>
        <w:tab/>
        <w:t>א.</w:t>
      </w:r>
      <w:r w:rsidRPr="003A4AE5">
        <w:rPr>
          <w:rFonts w:hint="cs"/>
          <w:rtl/>
          <w:lang w:eastAsia="he-IL"/>
        </w:rPr>
        <w:tab/>
        <w:t xml:space="preserve">24 חודשי מאסר בפועל, מיום מעצרו. </w:t>
      </w:r>
    </w:p>
    <w:p w14:paraId="700883C4" w14:textId="77777777" w:rsidR="00C6148A" w:rsidRPr="003A4AE5" w:rsidRDefault="00C6148A" w:rsidP="00C6148A">
      <w:pPr>
        <w:spacing w:line="360" w:lineRule="auto"/>
        <w:ind w:left="1440" w:hanging="720"/>
        <w:jc w:val="both"/>
        <w:rPr>
          <w:rtl/>
          <w:lang w:eastAsia="he-IL"/>
        </w:rPr>
      </w:pPr>
      <w:r w:rsidRPr="003A4AE5">
        <w:rPr>
          <w:rFonts w:hint="cs"/>
          <w:rtl/>
          <w:lang w:eastAsia="he-IL"/>
        </w:rPr>
        <w:t>ב.</w:t>
      </w:r>
      <w:r w:rsidRPr="003A4AE5">
        <w:rPr>
          <w:rFonts w:hint="cs"/>
          <w:rtl/>
          <w:lang w:eastAsia="he-IL"/>
        </w:rPr>
        <w:tab/>
        <w:t xml:space="preserve">12 חודשי מאסר על תנאי למשך 3 שנים מיום שחרורו מהמאסר, שלא יעבור עבירת סמים שהיא פשע. </w:t>
      </w:r>
    </w:p>
    <w:p w14:paraId="11B3F2F6" w14:textId="77777777" w:rsidR="00C6148A" w:rsidRPr="003A4AE5" w:rsidRDefault="00C6148A" w:rsidP="00C6148A">
      <w:pPr>
        <w:spacing w:line="360" w:lineRule="auto"/>
        <w:ind w:left="1440" w:hanging="720"/>
        <w:jc w:val="both"/>
        <w:rPr>
          <w:rtl/>
          <w:lang w:eastAsia="he-IL"/>
        </w:rPr>
      </w:pPr>
      <w:r w:rsidRPr="003A4AE5">
        <w:rPr>
          <w:rFonts w:hint="cs"/>
          <w:rtl/>
          <w:lang w:eastAsia="he-IL"/>
        </w:rPr>
        <w:t>ג.</w:t>
      </w:r>
      <w:r w:rsidRPr="003A4AE5">
        <w:rPr>
          <w:rFonts w:hint="cs"/>
          <w:rtl/>
          <w:lang w:eastAsia="he-IL"/>
        </w:rPr>
        <w:tab/>
        <w:t xml:space="preserve">רכב מסוג טויוטה קורולה מ.ר. 46-887-30 השייך לנאשם, יחולט לטובת המדינה. </w:t>
      </w:r>
    </w:p>
    <w:p w14:paraId="3F7C8B7A" w14:textId="77777777" w:rsidR="00C6148A" w:rsidRPr="003A4AE5" w:rsidRDefault="00C6148A" w:rsidP="00C6148A">
      <w:pPr>
        <w:spacing w:line="360" w:lineRule="auto"/>
        <w:jc w:val="both"/>
        <w:rPr>
          <w:rtl/>
          <w:lang w:eastAsia="he-IL"/>
        </w:rPr>
      </w:pPr>
    </w:p>
    <w:p w14:paraId="27FFA56F" w14:textId="77777777" w:rsidR="00C6148A" w:rsidRPr="003A4AE5" w:rsidRDefault="00C6148A" w:rsidP="00C6148A">
      <w:pPr>
        <w:spacing w:line="360" w:lineRule="auto"/>
        <w:jc w:val="both"/>
        <w:rPr>
          <w:rtl/>
          <w:lang w:eastAsia="he-IL"/>
        </w:rPr>
      </w:pPr>
    </w:p>
    <w:p w14:paraId="157A4C33" w14:textId="77777777" w:rsidR="00C6148A" w:rsidRPr="003A4AE5" w:rsidRDefault="00C6148A" w:rsidP="00C6148A">
      <w:pPr>
        <w:spacing w:line="360" w:lineRule="auto"/>
        <w:jc w:val="both"/>
        <w:rPr>
          <w:rtl/>
          <w:lang w:eastAsia="he-IL"/>
        </w:rPr>
      </w:pPr>
      <w:r w:rsidRPr="003A4AE5">
        <w:rPr>
          <w:rFonts w:hint="cs"/>
          <w:rtl/>
          <w:lang w:eastAsia="he-IL"/>
        </w:rPr>
        <w:t xml:space="preserve">זכות ערעור תוך 45 יום. </w:t>
      </w:r>
    </w:p>
    <w:p w14:paraId="0FC9EED6" w14:textId="77777777" w:rsidR="00C6148A" w:rsidRPr="003A4AE5" w:rsidRDefault="00C6148A" w:rsidP="00C6148A">
      <w:pPr>
        <w:spacing w:line="360" w:lineRule="auto"/>
        <w:jc w:val="both"/>
        <w:rPr>
          <w:rtl/>
          <w:lang w:eastAsia="he-IL"/>
        </w:rPr>
      </w:pPr>
    </w:p>
    <w:p w14:paraId="50DC44F5" w14:textId="77777777" w:rsidR="00C6148A" w:rsidRPr="003A4AE5" w:rsidRDefault="00C6148A" w:rsidP="00C6148A">
      <w:pPr>
        <w:spacing w:line="360" w:lineRule="auto"/>
        <w:jc w:val="both"/>
        <w:rPr>
          <w:rtl/>
          <w:lang w:eastAsia="he-IL"/>
        </w:rPr>
      </w:pPr>
    </w:p>
    <w:p w14:paraId="2D4E5434" w14:textId="77777777" w:rsidR="00C6148A" w:rsidRPr="003A4AE5" w:rsidRDefault="00C6148A" w:rsidP="00C6148A">
      <w:pPr>
        <w:spacing w:line="360" w:lineRule="auto"/>
        <w:jc w:val="both"/>
        <w:rPr>
          <w:rtl/>
          <w:lang w:eastAsia="he-IL"/>
        </w:rPr>
      </w:pPr>
    </w:p>
    <w:p w14:paraId="310129A1" w14:textId="77777777" w:rsidR="00C6148A" w:rsidRPr="003A4AE5" w:rsidRDefault="00C6148A" w:rsidP="00C6148A">
      <w:pPr>
        <w:spacing w:line="360" w:lineRule="auto"/>
        <w:jc w:val="both"/>
        <w:rPr>
          <w:rtl/>
          <w:lang w:eastAsia="he-IL"/>
        </w:rPr>
      </w:pPr>
    </w:p>
    <w:p w14:paraId="14A6DE0E" w14:textId="77777777" w:rsidR="00C6148A" w:rsidRPr="003A4AE5" w:rsidRDefault="00C6148A" w:rsidP="00C6148A">
      <w:pPr>
        <w:spacing w:line="360" w:lineRule="auto"/>
        <w:jc w:val="both"/>
        <w:rPr>
          <w:sz w:val="6"/>
          <w:szCs w:val="6"/>
          <w:rtl/>
          <w:lang w:eastAsia="he-IL"/>
        </w:rPr>
      </w:pPr>
      <w:r w:rsidRPr="003A4AE5">
        <w:rPr>
          <w:rFonts w:hint="cs"/>
          <w:sz w:val="6"/>
          <w:szCs w:val="6"/>
          <w:rtl/>
          <w:lang w:eastAsia="he-IL"/>
        </w:rPr>
        <w:t>&lt;#3#&gt;</w:t>
      </w:r>
    </w:p>
    <w:p w14:paraId="60A18D62" w14:textId="77777777" w:rsidR="00C6148A" w:rsidRPr="003A4AE5" w:rsidRDefault="002F62F0" w:rsidP="00C6148A">
      <w:pPr>
        <w:jc w:val="center"/>
        <w:rPr>
          <w:rtl/>
        </w:rPr>
      </w:pPr>
      <w:bookmarkStart w:id="8" w:name="Nitan"/>
      <w:r>
        <w:rPr>
          <w:b/>
          <w:bCs/>
          <w:rtl/>
        </w:rPr>
        <w:t xml:space="preserve">ניתנה והודעה היום י"א אדר ב' תשפ"ב, 14/03/2022 במעמד הנוכחים. </w:t>
      </w:r>
      <w:bookmarkEnd w:id="8"/>
    </w:p>
    <w:p w14:paraId="30B9E1B0" w14:textId="77777777" w:rsidR="00C6148A" w:rsidRPr="002F62F0" w:rsidRDefault="002F62F0" w:rsidP="00C6148A">
      <w:pPr>
        <w:jc w:val="both"/>
        <w:rPr>
          <w:color w:val="FFFFFF"/>
          <w:sz w:val="2"/>
          <w:szCs w:val="2"/>
          <w:rtl/>
        </w:rPr>
      </w:pPr>
      <w:r w:rsidRPr="002F62F0">
        <w:rPr>
          <w:color w:val="FFFFFF"/>
          <w:sz w:val="2"/>
          <w:szCs w:val="2"/>
          <w:rtl/>
        </w:rPr>
        <w:t>5129371</w:t>
      </w:r>
    </w:p>
    <w:tbl>
      <w:tblPr>
        <w:bidiVisual/>
        <w:tblW w:w="0" w:type="auto"/>
        <w:tblInd w:w="5152" w:type="dxa"/>
        <w:tblBorders>
          <w:insideH w:val="single" w:sz="4" w:space="0" w:color="auto"/>
          <w:insideV w:val="single" w:sz="4" w:space="0" w:color="auto"/>
        </w:tblBorders>
        <w:tblLook w:val="01E0" w:firstRow="1" w:lastRow="1" w:firstColumn="1" w:lastColumn="1" w:noHBand="0" w:noVBand="0"/>
      </w:tblPr>
      <w:tblGrid>
        <w:gridCol w:w="3112"/>
      </w:tblGrid>
      <w:tr w:rsidR="00C6148A" w:rsidRPr="003A4AE5" w14:paraId="5827F45C" w14:textId="77777777" w:rsidTr="00C6148A">
        <w:trPr>
          <w:trHeight w:val="316"/>
        </w:trPr>
        <w:tc>
          <w:tcPr>
            <w:tcW w:w="3112" w:type="dxa"/>
            <w:tcBorders>
              <w:top w:val="nil"/>
              <w:left w:val="nil"/>
              <w:bottom w:val="single" w:sz="4" w:space="0" w:color="auto"/>
              <w:right w:val="nil"/>
            </w:tcBorders>
            <w:shd w:val="clear" w:color="auto" w:fill="auto"/>
          </w:tcPr>
          <w:p w14:paraId="6613E4CB" w14:textId="77777777" w:rsidR="00C6148A" w:rsidRPr="002F62F0" w:rsidRDefault="002F62F0" w:rsidP="00C6148A">
            <w:pPr>
              <w:jc w:val="center"/>
              <w:rPr>
                <w:color w:val="FFFFFF"/>
                <w:sz w:val="2"/>
                <w:szCs w:val="2"/>
                <w:rtl/>
              </w:rPr>
            </w:pPr>
            <w:r w:rsidRPr="002F62F0">
              <w:rPr>
                <w:color w:val="FFFFFF"/>
                <w:sz w:val="2"/>
                <w:szCs w:val="2"/>
                <w:rtl/>
              </w:rPr>
              <w:t>54678313</w:t>
            </w:r>
          </w:p>
          <w:p w14:paraId="243D2101" w14:textId="77777777" w:rsidR="00C6148A" w:rsidRPr="003A4AE5" w:rsidRDefault="00C6148A" w:rsidP="00C6148A">
            <w:pPr>
              <w:jc w:val="center"/>
            </w:pPr>
          </w:p>
        </w:tc>
      </w:tr>
      <w:tr w:rsidR="00C6148A" w:rsidRPr="003A4AE5" w14:paraId="6974D5B0" w14:textId="77777777" w:rsidTr="00C6148A">
        <w:trPr>
          <w:trHeight w:val="361"/>
        </w:trPr>
        <w:tc>
          <w:tcPr>
            <w:tcW w:w="3112" w:type="dxa"/>
            <w:tcBorders>
              <w:top w:val="single" w:sz="4" w:space="0" w:color="auto"/>
              <w:left w:val="nil"/>
              <w:bottom w:val="nil"/>
              <w:right w:val="nil"/>
            </w:tcBorders>
            <w:shd w:val="clear" w:color="auto" w:fill="auto"/>
          </w:tcPr>
          <w:p w14:paraId="0FD654D4" w14:textId="77777777" w:rsidR="00C6148A" w:rsidRPr="00C6148A" w:rsidRDefault="00C6148A" w:rsidP="00C6148A">
            <w:pPr>
              <w:jc w:val="center"/>
              <w:rPr>
                <w:b/>
                <w:bCs/>
                <w:rtl/>
              </w:rPr>
            </w:pPr>
            <w:r w:rsidRPr="00C6148A">
              <w:rPr>
                <w:rFonts w:hint="cs"/>
                <w:b/>
                <w:bCs/>
                <w:rtl/>
              </w:rPr>
              <w:t>אליהו ביתן, שופט</w:t>
            </w:r>
          </w:p>
          <w:p w14:paraId="2C80EF9B" w14:textId="77777777" w:rsidR="00C6148A" w:rsidRPr="00C6148A" w:rsidRDefault="00C6148A" w:rsidP="00C6148A">
            <w:pPr>
              <w:jc w:val="center"/>
              <w:rPr>
                <w:b/>
                <w:bCs/>
                <w:rtl/>
              </w:rPr>
            </w:pPr>
            <w:r w:rsidRPr="00C6148A">
              <w:rPr>
                <w:rFonts w:hint="cs"/>
                <w:b/>
                <w:bCs/>
                <w:rtl/>
              </w:rPr>
              <w:t>סגן הנשיאה</w:t>
            </w:r>
          </w:p>
        </w:tc>
      </w:tr>
    </w:tbl>
    <w:p w14:paraId="4236AC9C" w14:textId="77777777" w:rsidR="00C6148A" w:rsidRPr="003A4AE5" w:rsidRDefault="00C6148A" w:rsidP="00C6148A">
      <w:pPr>
        <w:jc w:val="both"/>
        <w:rPr>
          <w:rFonts w:ascii="David" w:hAnsi="David"/>
          <w:rtl/>
        </w:rPr>
      </w:pPr>
      <w:r w:rsidRPr="003A4AE5">
        <w:rPr>
          <w:rtl/>
        </w:rPr>
        <w:t xml:space="preserve"> </w:t>
      </w:r>
    </w:p>
    <w:p w14:paraId="4688B72F" w14:textId="77777777" w:rsidR="009C59BA" w:rsidRPr="002F62F0" w:rsidRDefault="009C59BA" w:rsidP="002F62F0">
      <w:pPr>
        <w:keepNext/>
        <w:rPr>
          <w:rFonts w:ascii="David" w:hAnsi="David"/>
          <w:color w:val="000000"/>
          <w:sz w:val="22"/>
          <w:szCs w:val="22"/>
          <w:rtl/>
        </w:rPr>
      </w:pPr>
    </w:p>
    <w:p w14:paraId="05E8701A" w14:textId="77777777" w:rsidR="002F62F0" w:rsidRPr="002F62F0" w:rsidRDefault="002F62F0" w:rsidP="002F62F0">
      <w:pPr>
        <w:keepNext/>
        <w:rPr>
          <w:rFonts w:ascii="David" w:hAnsi="David"/>
          <w:color w:val="000000"/>
          <w:sz w:val="22"/>
          <w:szCs w:val="22"/>
          <w:rtl/>
        </w:rPr>
      </w:pPr>
      <w:r w:rsidRPr="002F62F0">
        <w:rPr>
          <w:rFonts w:ascii="David" w:hAnsi="David"/>
          <w:color w:val="000000"/>
          <w:sz w:val="22"/>
          <w:szCs w:val="22"/>
          <w:rtl/>
        </w:rPr>
        <w:t>אליהו ביתן 54678313</w:t>
      </w:r>
    </w:p>
    <w:p w14:paraId="412149BF" w14:textId="77777777" w:rsidR="002F62F0" w:rsidRDefault="002F62F0" w:rsidP="002F62F0">
      <w:r w:rsidRPr="002F62F0">
        <w:rPr>
          <w:color w:val="000000"/>
          <w:rtl/>
        </w:rPr>
        <w:t>נוסח מסמך זה כפוף לשינויי ניסוח ועריכה</w:t>
      </w:r>
    </w:p>
    <w:p w14:paraId="3516F5FC" w14:textId="77777777" w:rsidR="002F62F0" w:rsidRDefault="002F62F0" w:rsidP="002F62F0">
      <w:pPr>
        <w:rPr>
          <w:rtl/>
        </w:rPr>
      </w:pPr>
    </w:p>
    <w:p w14:paraId="4CE796F8" w14:textId="77777777" w:rsidR="002F62F0" w:rsidRDefault="002F62F0" w:rsidP="002F62F0">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6B977A70" w14:textId="77777777" w:rsidR="002F62F0" w:rsidRPr="002F62F0" w:rsidRDefault="002F62F0" w:rsidP="002F62F0">
      <w:pPr>
        <w:jc w:val="center"/>
        <w:rPr>
          <w:color w:val="0000FF"/>
          <w:u w:val="single"/>
        </w:rPr>
      </w:pPr>
    </w:p>
    <w:sectPr w:rsidR="002F62F0" w:rsidRPr="002F62F0" w:rsidSect="002F62F0">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287E1" w14:textId="77777777" w:rsidR="00744B28" w:rsidRDefault="00744B28" w:rsidP="00581B3B">
      <w:r>
        <w:separator/>
      </w:r>
    </w:p>
  </w:endnote>
  <w:endnote w:type="continuationSeparator" w:id="0">
    <w:p w14:paraId="7CEEC020" w14:textId="77777777" w:rsidR="00744B28" w:rsidRDefault="00744B28" w:rsidP="00581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B4B3C" w14:textId="77777777" w:rsidR="002F62F0" w:rsidRDefault="002F62F0" w:rsidP="002F62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A21870" w14:textId="77777777" w:rsidR="00F8787D" w:rsidRPr="002F62F0" w:rsidRDefault="002F62F0" w:rsidP="002F62F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973C" w14:textId="77777777" w:rsidR="002F62F0" w:rsidRDefault="002F62F0" w:rsidP="002F62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692B">
      <w:rPr>
        <w:rFonts w:ascii="FrankRuehl" w:hAnsi="FrankRuehl" w:cs="FrankRuehl"/>
        <w:noProof/>
        <w:rtl/>
      </w:rPr>
      <w:t>1</w:t>
    </w:r>
    <w:r>
      <w:rPr>
        <w:rFonts w:ascii="FrankRuehl" w:hAnsi="FrankRuehl" w:cs="FrankRuehl"/>
        <w:rtl/>
      </w:rPr>
      <w:fldChar w:fldCharType="end"/>
    </w:r>
  </w:p>
  <w:p w14:paraId="708789B9" w14:textId="77777777" w:rsidR="00F8787D" w:rsidRPr="002F62F0" w:rsidRDefault="002F62F0" w:rsidP="002F62F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3F90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6A79C" w14:textId="77777777" w:rsidR="00744B28" w:rsidRDefault="00744B28" w:rsidP="00581B3B">
      <w:r>
        <w:separator/>
      </w:r>
    </w:p>
  </w:footnote>
  <w:footnote w:type="continuationSeparator" w:id="0">
    <w:p w14:paraId="4F653EB3" w14:textId="77777777" w:rsidR="00744B28" w:rsidRDefault="00744B28" w:rsidP="00581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289DE" w14:textId="77777777" w:rsidR="002F62F0" w:rsidRPr="002F62F0" w:rsidRDefault="002F62F0" w:rsidP="002F62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29918-07-21</w:t>
    </w:r>
    <w:r>
      <w:rPr>
        <w:rFonts w:ascii="David" w:hAnsi="David"/>
        <w:color w:val="000000"/>
        <w:sz w:val="22"/>
        <w:szCs w:val="22"/>
        <w:rtl/>
      </w:rPr>
      <w:tab/>
      <w:t xml:space="preserve"> מדינת ישראל נ' שאדי אלחממדה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0B328" w14:textId="77777777" w:rsidR="002F62F0" w:rsidRPr="002F62F0" w:rsidRDefault="002F62F0" w:rsidP="002F62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29918-07-21</w:t>
    </w:r>
    <w:r>
      <w:rPr>
        <w:rFonts w:ascii="David" w:hAnsi="David"/>
        <w:color w:val="000000"/>
        <w:sz w:val="22"/>
        <w:szCs w:val="22"/>
        <w:rtl/>
      </w:rPr>
      <w:tab/>
      <w:t xml:space="preserve"> מדינת ישראל נ' שאדי אלחממדה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6148A"/>
    <w:rsid w:val="00113EE3"/>
    <w:rsid w:val="001B5A3B"/>
    <w:rsid w:val="002F62F0"/>
    <w:rsid w:val="00360AFA"/>
    <w:rsid w:val="004E062C"/>
    <w:rsid w:val="00573B98"/>
    <w:rsid w:val="00581B3B"/>
    <w:rsid w:val="00744B28"/>
    <w:rsid w:val="00746C43"/>
    <w:rsid w:val="009C59BA"/>
    <w:rsid w:val="00AD5B55"/>
    <w:rsid w:val="00B75BC2"/>
    <w:rsid w:val="00C2692B"/>
    <w:rsid w:val="00C6148A"/>
    <w:rsid w:val="00D420C2"/>
    <w:rsid w:val="00F878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DB56FE"/>
  <w15:chartTrackingRefBased/>
  <w15:docId w15:val="{5B95F090-E405-47C3-913B-0469E00F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148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148A"/>
    <w:pPr>
      <w:tabs>
        <w:tab w:val="center" w:pos="4153"/>
        <w:tab w:val="right" w:pos="8306"/>
      </w:tabs>
    </w:pPr>
  </w:style>
  <w:style w:type="character" w:customStyle="1" w:styleId="a4">
    <w:name w:val="כותרת עליונה תו"/>
    <w:link w:val="a3"/>
    <w:rsid w:val="00C6148A"/>
    <w:rPr>
      <w:rFonts w:ascii="Times New Roman" w:eastAsia="Times New Roman" w:hAnsi="Times New Roman" w:cs="David"/>
      <w:sz w:val="24"/>
      <w:szCs w:val="24"/>
    </w:rPr>
  </w:style>
  <w:style w:type="paragraph" w:styleId="a5">
    <w:name w:val="footer"/>
    <w:basedOn w:val="a"/>
    <w:link w:val="a6"/>
    <w:rsid w:val="00C6148A"/>
    <w:pPr>
      <w:tabs>
        <w:tab w:val="center" w:pos="4153"/>
        <w:tab w:val="right" w:pos="8306"/>
      </w:tabs>
    </w:pPr>
  </w:style>
  <w:style w:type="character" w:customStyle="1" w:styleId="a6">
    <w:name w:val="כותרת תחתונה תו"/>
    <w:link w:val="a5"/>
    <w:rsid w:val="00C6148A"/>
    <w:rPr>
      <w:rFonts w:ascii="Times New Roman" w:eastAsia="Times New Roman" w:hAnsi="Times New Roman" w:cs="David"/>
      <w:sz w:val="24"/>
      <w:szCs w:val="24"/>
    </w:rPr>
  </w:style>
  <w:style w:type="table" w:styleId="a7">
    <w:name w:val="Table Grid"/>
    <w:basedOn w:val="a1"/>
    <w:rsid w:val="00C6148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6148A"/>
  </w:style>
  <w:style w:type="paragraph" w:customStyle="1" w:styleId="12">
    <w:name w:val="רגיל + ‏12 נק'"/>
    <w:aliases w:val="מיושר לשני הצדדים,מרווח בין שורות:  שורה וחצי"/>
    <w:basedOn w:val="a"/>
    <w:rsid w:val="00C6148A"/>
    <w:rPr>
      <w:b/>
      <w:bCs/>
      <w:u w:val="single"/>
    </w:rPr>
  </w:style>
  <w:style w:type="character" w:styleId="Hyperlink">
    <w:name w:val="Hyperlink"/>
    <w:rsid w:val="00C61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case/18753213"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5786821"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870</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5214</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3407995</vt:i4>
      </vt:variant>
      <vt:variant>
        <vt:i4>18</vt:i4>
      </vt:variant>
      <vt:variant>
        <vt:i4>0</vt:i4>
      </vt:variant>
      <vt:variant>
        <vt:i4>5</vt:i4>
      </vt:variant>
      <vt:variant>
        <vt:lpwstr>http://www.nevo.co.il/case/18753213</vt:lpwstr>
      </vt:variant>
      <vt:variant>
        <vt:lpwstr/>
      </vt:variant>
      <vt:variant>
        <vt:i4>3407991</vt:i4>
      </vt:variant>
      <vt:variant>
        <vt:i4>15</vt:i4>
      </vt:variant>
      <vt:variant>
        <vt:i4>0</vt:i4>
      </vt:variant>
      <vt:variant>
        <vt:i4>5</vt:i4>
      </vt:variant>
      <vt:variant>
        <vt:lpwstr>http://www.nevo.co.il/case/5786821</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2025-04-22T21:13:00Z</dcterms:created>
  <dcterms:modified xsi:type="dcterms:W3CDTF">2025-04-22T21:13:00Z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29918</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שאדי אלחממדה</vt:lpwstr>
  </property>
  <property fmtid="{D5CDD505-2E9C-101B-9397-08002B2CF9AE}" pid="10" name="LAWYER">
    <vt:lpwstr>לימור הילל;שלום פינאה</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20220314</vt:lpwstr>
  </property>
  <property fmtid="{D5CDD505-2E9C-101B-9397-08002B2CF9AE}" pid="14" name="TYPE_N_DATE">
    <vt:lpwstr>39020220314</vt:lpwstr>
  </property>
  <property fmtid="{D5CDD505-2E9C-101B-9397-08002B2CF9AE}" pid="15" name="WORDNUMPAGES">
    <vt:lpwstr>4</vt:lpwstr>
  </property>
  <property fmtid="{D5CDD505-2E9C-101B-9397-08002B2CF9AE}" pid="16" name="TYPE_ABS_DATE">
    <vt:lpwstr>390020220314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5786821;18753213</vt:lpwstr>
  </property>
  <property fmtid="{D5CDD505-2E9C-101B-9397-08002B2CF9AE}" pid="36" name="LAWLISTTMP1">
    <vt:lpwstr>4216/007.a;007.c</vt:lpwstr>
  </property>
</Properties>
</file>