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582B63" w:rsidRPr="0008400E" w14:paraId="464E4FDD" w14:textId="77777777" w:rsidTr="000E1754">
        <w:trPr>
          <w:trHeight w:hRule="exact" w:val="418"/>
          <w:jc w:val="center"/>
        </w:trPr>
        <w:tc>
          <w:tcPr>
            <w:tcW w:w="8721" w:type="dxa"/>
            <w:gridSpan w:val="2"/>
          </w:tcPr>
          <w:p w14:paraId="296C99A0" w14:textId="77777777" w:rsidR="00582B63" w:rsidRPr="0008400E" w:rsidRDefault="00582B63" w:rsidP="007668F5">
            <w:pPr>
              <w:pStyle w:val="a3"/>
              <w:jc w:val="center"/>
              <w:rPr>
                <w:rFonts w:ascii="Tahoma" w:hAnsi="Tahoma" w:cs="Tahoma"/>
                <w:color w:val="000080"/>
                <w:rtl/>
              </w:rPr>
            </w:pPr>
            <w:bookmarkStart w:id="0" w:name="LastJudge"/>
            <w:r w:rsidRPr="0008400E">
              <w:rPr>
                <w:rFonts w:ascii="Tahoma" w:hAnsi="Tahoma" w:cs="Tahoma"/>
                <w:b/>
                <w:bCs/>
                <w:color w:val="000080"/>
                <w:rtl/>
              </w:rPr>
              <w:t>בית המשפט המחוזי בבאר שבע</w:t>
            </w:r>
          </w:p>
        </w:tc>
      </w:tr>
      <w:tr w:rsidR="00582B63" w:rsidRPr="0008400E" w14:paraId="28798CBD" w14:textId="77777777" w:rsidTr="000E1754">
        <w:trPr>
          <w:trHeight w:val="337"/>
          <w:jc w:val="center"/>
        </w:trPr>
        <w:tc>
          <w:tcPr>
            <w:tcW w:w="5058" w:type="dxa"/>
          </w:tcPr>
          <w:p w14:paraId="455AA8BA" w14:textId="77777777" w:rsidR="00582B63" w:rsidRPr="0008400E" w:rsidRDefault="00582B63" w:rsidP="007668F5">
            <w:pPr>
              <w:rPr>
                <w:rFonts w:cs="FrankRuehl"/>
                <w:sz w:val="28"/>
                <w:szCs w:val="28"/>
                <w:rtl/>
              </w:rPr>
            </w:pPr>
            <w:r w:rsidRPr="0008400E">
              <w:rPr>
                <w:rFonts w:cs="FrankRuehl"/>
                <w:sz w:val="28"/>
                <w:szCs w:val="28"/>
                <w:rtl/>
              </w:rPr>
              <w:t>ת"פ</w:t>
            </w:r>
            <w:r w:rsidRPr="0008400E">
              <w:rPr>
                <w:rFonts w:cs="FrankRuehl" w:hint="cs"/>
                <w:sz w:val="28"/>
                <w:szCs w:val="28"/>
                <w:rtl/>
              </w:rPr>
              <w:t xml:space="preserve"> </w:t>
            </w:r>
            <w:r w:rsidRPr="0008400E">
              <w:rPr>
                <w:rFonts w:cs="FrankRuehl"/>
                <w:sz w:val="28"/>
                <w:szCs w:val="28"/>
                <w:rtl/>
              </w:rPr>
              <w:t>43383-07-21</w:t>
            </w:r>
            <w:r w:rsidRPr="0008400E">
              <w:rPr>
                <w:rFonts w:cs="FrankRuehl" w:hint="cs"/>
                <w:sz w:val="28"/>
                <w:szCs w:val="28"/>
                <w:rtl/>
              </w:rPr>
              <w:t xml:space="preserve"> </w:t>
            </w:r>
            <w:r w:rsidRPr="0008400E">
              <w:rPr>
                <w:rFonts w:cs="FrankRuehl"/>
                <w:sz w:val="28"/>
                <w:szCs w:val="28"/>
                <w:rtl/>
              </w:rPr>
              <w:t>מדינת ישראל נ' מתיקו(עציר)</w:t>
            </w:r>
          </w:p>
          <w:p w14:paraId="4207C06F" w14:textId="77777777" w:rsidR="00582B63" w:rsidRPr="0008400E" w:rsidRDefault="00582B63" w:rsidP="007668F5">
            <w:pPr>
              <w:pStyle w:val="a3"/>
              <w:rPr>
                <w:rFonts w:cs="FrankRuehl"/>
                <w:sz w:val="28"/>
                <w:szCs w:val="28"/>
                <w:rtl/>
              </w:rPr>
            </w:pPr>
          </w:p>
        </w:tc>
        <w:tc>
          <w:tcPr>
            <w:tcW w:w="3663" w:type="dxa"/>
          </w:tcPr>
          <w:p w14:paraId="3E6E4C7F" w14:textId="77777777" w:rsidR="00582B63" w:rsidRPr="0008400E" w:rsidRDefault="00582B63" w:rsidP="007668F5">
            <w:pPr>
              <w:pStyle w:val="a3"/>
              <w:jc w:val="right"/>
              <w:rPr>
                <w:rFonts w:cs="FrankRuehl"/>
                <w:sz w:val="28"/>
                <w:szCs w:val="28"/>
                <w:rtl/>
              </w:rPr>
            </w:pPr>
          </w:p>
        </w:tc>
      </w:tr>
    </w:tbl>
    <w:p w14:paraId="5A18F804" w14:textId="77777777" w:rsidR="00582B63" w:rsidRPr="0008400E" w:rsidRDefault="00582B63" w:rsidP="00582B63">
      <w:pPr>
        <w:pStyle w:val="a3"/>
        <w:rPr>
          <w:rtl/>
        </w:rPr>
      </w:pPr>
      <w:r w:rsidRPr="0008400E">
        <w:rPr>
          <w:rFonts w:hint="cs"/>
          <w:rtl/>
        </w:rPr>
        <w:t xml:space="preserve"> </w:t>
      </w:r>
    </w:p>
    <w:p w14:paraId="0AEF84A1" w14:textId="77777777" w:rsidR="00582B63" w:rsidRPr="0008400E" w:rsidRDefault="00582B63" w:rsidP="00582B63">
      <w:pPr>
        <w:rPr>
          <w:rFonts w:ascii="Arial" w:hAnsi="Arial"/>
          <w:b/>
          <w:bCs/>
          <w:sz w:val="26"/>
          <w:szCs w:val="26"/>
          <w:rtl/>
        </w:rPr>
      </w:pPr>
    </w:p>
    <w:p w14:paraId="21BFB96E" w14:textId="77777777" w:rsidR="00582B63" w:rsidRPr="0008400E" w:rsidRDefault="00582B63" w:rsidP="00582B63">
      <w:pPr>
        <w:rPr>
          <w:rFonts w:ascii="Arial" w:hAnsi="Arial"/>
          <w:b/>
          <w:bCs/>
          <w:sz w:val="26"/>
          <w:szCs w:val="26"/>
          <w:rtl/>
        </w:rPr>
      </w:pPr>
    </w:p>
    <w:tbl>
      <w:tblPr>
        <w:bidiVisual/>
        <w:tblW w:w="8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3178"/>
        <w:gridCol w:w="4599"/>
      </w:tblGrid>
      <w:tr w:rsidR="00582B63" w:rsidRPr="0008400E" w14:paraId="3624C4D3" w14:textId="77777777" w:rsidTr="0008400E">
        <w:trPr>
          <w:trHeight w:val="295"/>
          <w:jc w:val="center"/>
        </w:trPr>
        <w:tc>
          <w:tcPr>
            <w:tcW w:w="893" w:type="dxa"/>
            <w:tcBorders>
              <w:top w:val="nil"/>
              <w:left w:val="nil"/>
              <w:bottom w:val="nil"/>
              <w:right w:val="nil"/>
            </w:tcBorders>
            <w:shd w:val="clear" w:color="auto" w:fill="auto"/>
          </w:tcPr>
          <w:p w14:paraId="5339797E" w14:textId="77777777" w:rsidR="00582B63" w:rsidRPr="0008400E" w:rsidRDefault="00582B63" w:rsidP="00582B63">
            <w:pPr>
              <w:jc w:val="both"/>
              <w:rPr>
                <w:rFonts w:ascii="David" w:hAnsi="David"/>
                <w:b/>
                <w:bCs/>
                <w:sz w:val="26"/>
                <w:szCs w:val="26"/>
              </w:rPr>
            </w:pPr>
            <w:r w:rsidRPr="0008400E">
              <w:rPr>
                <w:rFonts w:ascii="David" w:hAnsi="David"/>
                <w:b/>
                <w:bCs/>
                <w:sz w:val="26"/>
                <w:szCs w:val="26"/>
                <w:rtl/>
              </w:rPr>
              <w:t xml:space="preserve">בפני </w:t>
            </w:r>
          </w:p>
        </w:tc>
        <w:tc>
          <w:tcPr>
            <w:tcW w:w="7777" w:type="dxa"/>
            <w:gridSpan w:val="2"/>
            <w:tcBorders>
              <w:top w:val="nil"/>
              <w:left w:val="nil"/>
              <w:bottom w:val="nil"/>
              <w:right w:val="nil"/>
            </w:tcBorders>
            <w:shd w:val="clear" w:color="auto" w:fill="auto"/>
          </w:tcPr>
          <w:p w14:paraId="5EF6AA04" w14:textId="77777777" w:rsidR="00582B63" w:rsidRPr="0008400E" w:rsidRDefault="00582B63" w:rsidP="007668F5">
            <w:pPr>
              <w:rPr>
                <w:rFonts w:ascii="David" w:hAnsi="David"/>
                <w:b/>
                <w:bCs/>
                <w:sz w:val="26"/>
                <w:szCs w:val="26"/>
                <w:rtl/>
              </w:rPr>
            </w:pPr>
            <w:r w:rsidRPr="0008400E">
              <w:rPr>
                <w:rFonts w:ascii="David" w:hAnsi="David"/>
                <w:b/>
                <w:bCs/>
                <w:sz w:val="26"/>
                <w:szCs w:val="26"/>
                <w:rtl/>
              </w:rPr>
              <w:t>כבוד השופט  יואל עדן</w:t>
            </w:r>
          </w:p>
          <w:p w14:paraId="37E55417" w14:textId="77777777" w:rsidR="00582B63" w:rsidRPr="0008400E" w:rsidRDefault="00582B63" w:rsidP="007668F5">
            <w:pPr>
              <w:rPr>
                <w:rFonts w:ascii="David" w:hAnsi="David"/>
                <w:sz w:val="26"/>
                <w:szCs w:val="26"/>
                <w:rtl/>
              </w:rPr>
            </w:pPr>
          </w:p>
          <w:p w14:paraId="73D7BAC3" w14:textId="77777777" w:rsidR="00582B63" w:rsidRPr="0008400E" w:rsidRDefault="00582B63" w:rsidP="00582B63">
            <w:pPr>
              <w:jc w:val="both"/>
              <w:rPr>
                <w:rFonts w:ascii="David" w:hAnsi="David"/>
                <w:sz w:val="26"/>
                <w:szCs w:val="26"/>
              </w:rPr>
            </w:pPr>
          </w:p>
        </w:tc>
      </w:tr>
      <w:tr w:rsidR="00582B63" w:rsidRPr="0008400E" w14:paraId="099DC3A9" w14:textId="77777777" w:rsidTr="0008400E">
        <w:trPr>
          <w:trHeight w:val="355"/>
          <w:jc w:val="center"/>
        </w:trPr>
        <w:tc>
          <w:tcPr>
            <w:tcW w:w="893" w:type="dxa"/>
            <w:tcBorders>
              <w:top w:val="nil"/>
              <w:left w:val="nil"/>
              <w:bottom w:val="nil"/>
              <w:right w:val="nil"/>
            </w:tcBorders>
            <w:shd w:val="clear" w:color="auto" w:fill="auto"/>
          </w:tcPr>
          <w:p w14:paraId="3B9FA167" w14:textId="77777777" w:rsidR="00582B63" w:rsidRPr="0008400E" w:rsidRDefault="00582B63" w:rsidP="00582B63">
            <w:pPr>
              <w:jc w:val="both"/>
              <w:rPr>
                <w:rFonts w:ascii="David" w:hAnsi="David"/>
                <w:b/>
                <w:bCs/>
                <w:sz w:val="26"/>
                <w:szCs w:val="26"/>
              </w:rPr>
            </w:pPr>
            <w:bookmarkStart w:id="1" w:name="FirstAppellant"/>
            <w:bookmarkStart w:id="2" w:name="FirstLawyer"/>
            <w:r w:rsidRPr="0008400E">
              <w:rPr>
                <w:rFonts w:ascii="David" w:hAnsi="David"/>
                <w:b/>
                <w:bCs/>
                <w:sz w:val="26"/>
                <w:szCs w:val="26"/>
                <w:rtl/>
              </w:rPr>
              <w:t>בעניין:</w:t>
            </w:r>
          </w:p>
        </w:tc>
        <w:tc>
          <w:tcPr>
            <w:tcW w:w="3178" w:type="dxa"/>
            <w:tcBorders>
              <w:top w:val="nil"/>
              <w:left w:val="nil"/>
              <w:bottom w:val="nil"/>
              <w:right w:val="nil"/>
            </w:tcBorders>
            <w:shd w:val="clear" w:color="auto" w:fill="auto"/>
          </w:tcPr>
          <w:p w14:paraId="75FFC295" w14:textId="77777777" w:rsidR="00582B63" w:rsidRPr="0008400E" w:rsidRDefault="00582B63" w:rsidP="00582B63">
            <w:pPr>
              <w:suppressLineNumbers/>
              <w:rPr>
                <w:b/>
                <w:bCs/>
              </w:rPr>
            </w:pPr>
            <w:r w:rsidRPr="0008400E">
              <w:rPr>
                <w:rFonts w:ascii="Arial" w:hAnsi="Arial" w:hint="cs"/>
                <w:b/>
                <w:bCs/>
                <w:sz w:val="26"/>
                <w:szCs w:val="26"/>
                <w:rtl/>
              </w:rPr>
              <w:t>ה</w:t>
            </w:r>
            <w:r w:rsidRPr="0008400E">
              <w:rPr>
                <w:rFonts w:ascii="Arial" w:hAnsi="Arial"/>
                <w:b/>
                <w:bCs/>
                <w:sz w:val="26"/>
                <w:szCs w:val="26"/>
                <w:rtl/>
              </w:rPr>
              <w:t>מאשימה</w:t>
            </w:r>
            <w:r w:rsidRPr="0008400E">
              <w:rPr>
                <w:rFonts w:hint="cs"/>
                <w:b/>
                <w:bCs/>
                <w:rtl/>
              </w:rPr>
              <w:t>:</w:t>
            </w:r>
          </w:p>
          <w:p w14:paraId="6FD8C9FC" w14:textId="77777777" w:rsidR="00582B63" w:rsidRPr="0008400E" w:rsidRDefault="00582B63" w:rsidP="007668F5">
            <w:pPr>
              <w:rPr>
                <w:rFonts w:ascii="David" w:hAnsi="David"/>
                <w:b/>
                <w:bCs/>
                <w:sz w:val="26"/>
                <w:szCs w:val="26"/>
              </w:rPr>
            </w:pPr>
          </w:p>
        </w:tc>
        <w:tc>
          <w:tcPr>
            <w:tcW w:w="4599" w:type="dxa"/>
            <w:tcBorders>
              <w:top w:val="nil"/>
              <w:left w:val="nil"/>
              <w:bottom w:val="nil"/>
              <w:right w:val="nil"/>
            </w:tcBorders>
            <w:shd w:val="clear" w:color="auto" w:fill="auto"/>
            <w:vAlign w:val="center"/>
          </w:tcPr>
          <w:p w14:paraId="6AC9AC20" w14:textId="77777777" w:rsidR="00582B63" w:rsidRPr="0008400E" w:rsidRDefault="00582B63" w:rsidP="00582B63">
            <w:pPr>
              <w:suppressLineNumbers/>
              <w:rPr>
                <w:rFonts w:ascii="Arial" w:hAnsi="Arial"/>
                <w:b/>
                <w:bCs/>
                <w:sz w:val="26"/>
                <w:szCs w:val="26"/>
                <w:rtl/>
              </w:rPr>
            </w:pPr>
            <w:r w:rsidRPr="0008400E">
              <w:rPr>
                <w:rFonts w:ascii="Arial" w:hAnsi="Arial"/>
                <w:b/>
                <w:bCs/>
                <w:sz w:val="26"/>
                <w:szCs w:val="26"/>
                <w:rtl/>
              </w:rPr>
              <w:t>מדינת ישראל</w:t>
            </w:r>
          </w:p>
          <w:p w14:paraId="55DD30E6" w14:textId="77777777" w:rsidR="00582B63" w:rsidRPr="0008400E" w:rsidRDefault="00582B63" w:rsidP="00582B63">
            <w:pPr>
              <w:suppressLineNumbers/>
            </w:pPr>
            <w:r w:rsidRPr="0008400E">
              <w:rPr>
                <w:rFonts w:hint="cs"/>
                <w:rtl/>
              </w:rPr>
              <w:t xml:space="preserve">ע"י ב"כ עו"ד ערן צרויה </w:t>
            </w:r>
            <w:r w:rsidRPr="0008400E">
              <w:rPr>
                <w:rtl/>
              </w:rPr>
              <w:t>–</w:t>
            </w:r>
            <w:r w:rsidRPr="0008400E">
              <w:rPr>
                <w:rFonts w:hint="cs"/>
                <w:rtl/>
              </w:rPr>
              <w:t xml:space="preserve"> פמ"ד </w:t>
            </w:r>
          </w:p>
          <w:p w14:paraId="21A9C957" w14:textId="77777777" w:rsidR="00582B63" w:rsidRPr="0008400E" w:rsidRDefault="00582B63" w:rsidP="007668F5">
            <w:pPr>
              <w:rPr>
                <w:rFonts w:ascii="David" w:hAnsi="David"/>
                <w:sz w:val="26"/>
                <w:szCs w:val="26"/>
              </w:rPr>
            </w:pPr>
          </w:p>
        </w:tc>
      </w:tr>
      <w:bookmarkEnd w:id="1"/>
      <w:bookmarkEnd w:id="2"/>
      <w:tr w:rsidR="00582B63" w:rsidRPr="0008400E" w14:paraId="4E998B7B" w14:textId="77777777" w:rsidTr="0008400E">
        <w:trPr>
          <w:trHeight w:val="355"/>
          <w:jc w:val="center"/>
        </w:trPr>
        <w:tc>
          <w:tcPr>
            <w:tcW w:w="893" w:type="dxa"/>
            <w:tcBorders>
              <w:top w:val="nil"/>
              <w:left w:val="nil"/>
              <w:bottom w:val="nil"/>
              <w:right w:val="nil"/>
            </w:tcBorders>
            <w:shd w:val="clear" w:color="auto" w:fill="auto"/>
          </w:tcPr>
          <w:p w14:paraId="0467CE97" w14:textId="77777777" w:rsidR="00582B63" w:rsidRPr="0008400E" w:rsidRDefault="00582B63" w:rsidP="00582B63">
            <w:pPr>
              <w:jc w:val="both"/>
              <w:rPr>
                <w:rFonts w:ascii="David" w:hAnsi="David"/>
                <w:sz w:val="26"/>
                <w:szCs w:val="26"/>
                <w:rtl/>
              </w:rPr>
            </w:pPr>
          </w:p>
        </w:tc>
        <w:tc>
          <w:tcPr>
            <w:tcW w:w="7777" w:type="dxa"/>
            <w:gridSpan w:val="2"/>
            <w:tcBorders>
              <w:top w:val="nil"/>
              <w:left w:val="nil"/>
              <w:bottom w:val="nil"/>
              <w:right w:val="nil"/>
            </w:tcBorders>
            <w:shd w:val="clear" w:color="auto" w:fill="auto"/>
          </w:tcPr>
          <w:p w14:paraId="1D6D2012" w14:textId="77777777" w:rsidR="00582B63" w:rsidRPr="0008400E" w:rsidRDefault="00582B63" w:rsidP="00582B63">
            <w:pPr>
              <w:jc w:val="center"/>
              <w:rPr>
                <w:rFonts w:ascii="David" w:hAnsi="David"/>
                <w:b/>
                <w:bCs/>
                <w:sz w:val="26"/>
                <w:szCs w:val="26"/>
                <w:rtl/>
              </w:rPr>
            </w:pPr>
          </w:p>
          <w:p w14:paraId="7E740244" w14:textId="77777777" w:rsidR="00582B63" w:rsidRPr="0008400E" w:rsidRDefault="00582B63" w:rsidP="00582B63">
            <w:pPr>
              <w:jc w:val="center"/>
              <w:rPr>
                <w:rFonts w:ascii="David" w:hAnsi="David"/>
                <w:b/>
                <w:bCs/>
                <w:sz w:val="26"/>
                <w:szCs w:val="26"/>
                <w:rtl/>
              </w:rPr>
            </w:pPr>
            <w:r w:rsidRPr="0008400E">
              <w:rPr>
                <w:rFonts w:ascii="David" w:hAnsi="David"/>
                <w:b/>
                <w:bCs/>
                <w:sz w:val="26"/>
                <w:szCs w:val="26"/>
                <w:rtl/>
              </w:rPr>
              <w:t>נגד</w:t>
            </w:r>
          </w:p>
          <w:p w14:paraId="4387DF97" w14:textId="77777777" w:rsidR="00582B63" w:rsidRPr="0008400E" w:rsidRDefault="00582B63" w:rsidP="00582B63">
            <w:pPr>
              <w:jc w:val="both"/>
              <w:rPr>
                <w:rFonts w:ascii="David" w:hAnsi="David"/>
                <w:sz w:val="26"/>
                <w:szCs w:val="26"/>
              </w:rPr>
            </w:pPr>
          </w:p>
        </w:tc>
      </w:tr>
      <w:tr w:rsidR="00582B63" w:rsidRPr="0008400E" w14:paraId="2EA15B41" w14:textId="77777777" w:rsidTr="0008400E">
        <w:trPr>
          <w:trHeight w:val="355"/>
          <w:jc w:val="center"/>
        </w:trPr>
        <w:tc>
          <w:tcPr>
            <w:tcW w:w="893" w:type="dxa"/>
            <w:tcBorders>
              <w:top w:val="nil"/>
              <w:left w:val="nil"/>
              <w:bottom w:val="nil"/>
              <w:right w:val="nil"/>
            </w:tcBorders>
            <w:shd w:val="clear" w:color="auto" w:fill="auto"/>
          </w:tcPr>
          <w:p w14:paraId="7388CF8A" w14:textId="77777777" w:rsidR="00582B63" w:rsidRPr="0008400E" w:rsidRDefault="00582B63" w:rsidP="007668F5">
            <w:pPr>
              <w:rPr>
                <w:rFonts w:ascii="David" w:hAnsi="David"/>
                <w:sz w:val="26"/>
                <w:szCs w:val="26"/>
                <w:rtl/>
              </w:rPr>
            </w:pPr>
          </w:p>
        </w:tc>
        <w:tc>
          <w:tcPr>
            <w:tcW w:w="3178" w:type="dxa"/>
            <w:tcBorders>
              <w:top w:val="nil"/>
              <w:left w:val="nil"/>
              <w:bottom w:val="nil"/>
              <w:right w:val="nil"/>
            </w:tcBorders>
            <w:shd w:val="clear" w:color="auto" w:fill="auto"/>
          </w:tcPr>
          <w:p w14:paraId="628EC383" w14:textId="77777777" w:rsidR="00582B63" w:rsidRPr="0008400E" w:rsidRDefault="00582B63" w:rsidP="007668F5">
            <w:pPr>
              <w:rPr>
                <w:rFonts w:ascii="Arial" w:hAnsi="Arial"/>
                <w:b/>
                <w:bCs/>
                <w:sz w:val="26"/>
                <w:szCs w:val="26"/>
                <w:rtl/>
              </w:rPr>
            </w:pPr>
            <w:r w:rsidRPr="0008400E">
              <w:rPr>
                <w:rFonts w:ascii="Arial" w:hAnsi="Arial"/>
                <w:b/>
                <w:bCs/>
                <w:sz w:val="26"/>
                <w:szCs w:val="26"/>
                <w:rtl/>
              </w:rPr>
              <w:t>הנאשם</w:t>
            </w:r>
            <w:r w:rsidRPr="0008400E">
              <w:rPr>
                <w:rFonts w:ascii="Arial" w:hAnsi="Arial" w:hint="cs"/>
                <w:b/>
                <w:bCs/>
                <w:sz w:val="26"/>
                <w:szCs w:val="26"/>
                <w:rtl/>
              </w:rPr>
              <w:t>:</w:t>
            </w:r>
          </w:p>
        </w:tc>
        <w:tc>
          <w:tcPr>
            <w:tcW w:w="4599" w:type="dxa"/>
            <w:tcBorders>
              <w:top w:val="nil"/>
              <w:left w:val="nil"/>
              <w:bottom w:val="nil"/>
              <w:right w:val="nil"/>
            </w:tcBorders>
            <w:shd w:val="clear" w:color="auto" w:fill="auto"/>
            <w:vAlign w:val="center"/>
          </w:tcPr>
          <w:p w14:paraId="19EF6577" w14:textId="77777777" w:rsidR="00582B63" w:rsidRPr="0008400E" w:rsidRDefault="00582B63" w:rsidP="00582B63">
            <w:pPr>
              <w:suppressLineNumbers/>
              <w:rPr>
                <w:rFonts w:ascii="Arial" w:hAnsi="Arial"/>
                <w:b/>
                <w:bCs/>
                <w:sz w:val="26"/>
                <w:szCs w:val="26"/>
                <w:rtl/>
              </w:rPr>
            </w:pPr>
            <w:r w:rsidRPr="0008400E">
              <w:rPr>
                <w:rFonts w:ascii="Arial" w:hAnsi="Arial"/>
                <w:b/>
                <w:bCs/>
                <w:sz w:val="26"/>
                <w:szCs w:val="26"/>
                <w:rtl/>
              </w:rPr>
              <w:t>מסרשאו מתיקו (עציר)</w:t>
            </w:r>
          </w:p>
          <w:p w14:paraId="101436CA" w14:textId="77777777" w:rsidR="00582B63" w:rsidRPr="0008400E" w:rsidRDefault="00582B63" w:rsidP="00582B63">
            <w:pPr>
              <w:suppressLineNumbers/>
            </w:pPr>
            <w:r w:rsidRPr="0008400E">
              <w:rPr>
                <w:rFonts w:hint="cs"/>
                <w:rtl/>
              </w:rPr>
              <w:t>ע"י ב"כ עו"ד שרון רבינוביץ ועו"ד עמית שלף</w:t>
            </w:r>
          </w:p>
          <w:p w14:paraId="72868B77" w14:textId="77777777" w:rsidR="00582B63" w:rsidRPr="0008400E" w:rsidRDefault="00582B63" w:rsidP="007668F5">
            <w:pPr>
              <w:rPr>
                <w:rFonts w:ascii="David" w:hAnsi="David"/>
                <w:sz w:val="26"/>
                <w:szCs w:val="26"/>
              </w:rPr>
            </w:pPr>
          </w:p>
        </w:tc>
      </w:tr>
    </w:tbl>
    <w:p w14:paraId="7F368C60" w14:textId="77777777" w:rsidR="000E1754" w:rsidRPr="000E1754" w:rsidRDefault="000E1754" w:rsidP="000E1754">
      <w:pPr>
        <w:spacing w:before="120" w:after="120" w:line="240" w:lineRule="exact"/>
        <w:ind w:left="283" w:hanging="283"/>
        <w:jc w:val="both"/>
        <w:rPr>
          <w:rFonts w:ascii="FrankRuehl" w:hAnsi="FrankRuehl" w:cs="FrankRuehl"/>
          <w:rtl/>
        </w:rPr>
      </w:pPr>
    </w:p>
    <w:p w14:paraId="6AB42ED1" w14:textId="77777777" w:rsidR="009C0700" w:rsidRPr="009C0700" w:rsidRDefault="009C0700" w:rsidP="009C0700">
      <w:pPr>
        <w:spacing w:before="120" w:after="120" w:line="240" w:lineRule="exact"/>
        <w:ind w:left="283" w:hanging="283"/>
        <w:jc w:val="both"/>
        <w:rPr>
          <w:rFonts w:ascii="FrankRuehl" w:hAnsi="FrankRuehl" w:cs="FrankRuehl"/>
          <w:rtl/>
        </w:rPr>
      </w:pPr>
    </w:p>
    <w:p w14:paraId="1D74F027" w14:textId="77777777" w:rsidR="009F2154" w:rsidRDefault="009F2154" w:rsidP="009F2154">
      <w:pPr>
        <w:rPr>
          <w:rtl/>
        </w:rPr>
      </w:pPr>
      <w:bookmarkStart w:id="3" w:name="LawTable"/>
      <w:bookmarkEnd w:id="3"/>
    </w:p>
    <w:p w14:paraId="2A2DD50C" w14:textId="77777777" w:rsidR="009F2154" w:rsidRPr="009F2154" w:rsidRDefault="009F2154" w:rsidP="009F2154">
      <w:pPr>
        <w:spacing w:before="120" w:after="120" w:line="240" w:lineRule="exact"/>
        <w:ind w:left="283" w:hanging="283"/>
        <w:jc w:val="both"/>
        <w:rPr>
          <w:rFonts w:ascii="FrankRuehl" w:hAnsi="FrankRuehl" w:cs="FrankRuehl"/>
          <w:rtl/>
        </w:rPr>
      </w:pPr>
    </w:p>
    <w:p w14:paraId="3B52EEC6" w14:textId="77777777" w:rsidR="009F2154" w:rsidRPr="009F2154" w:rsidRDefault="009F2154" w:rsidP="009F2154">
      <w:pPr>
        <w:spacing w:before="120" w:after="120" w:line="240" w:lineRule="exact"/>
        <w:ind w:left="283" w:hanging="283"/>
        <w:jc w:val="both"/>
        <w:rPr>
          <w:rFonts w:ascii="FrankRuehl" w:hAnsi="FrankRuehl" w:cs="FrankRuehl"/>
          <w:rtl/>
        </w:rPr>
      </w:pPr>
    </w:p>
    <w:p w14:paraId="779EEB5B" w14:textId="77777777" w:rsidR="009F2154" w:rsidRPr="009F2154" w:rsidRDefault="009F2154" w:rsidP="009F2154">
      <w:pPr>
        <w:spacing w:before="120" w:after="120" w:line="240" w:lineRule="exact"/>
        <w:ind w:left="283" w:hanging="283"/>
        <w:jc w:val="both"/>
        <w:rPr>
          <w:rFonts w:ascii="FrankRuehl" w:hAnsi="FrankRuehl" w:cs="FrankRuehl"/>
          <w:rtl/>
        </w:rPr>
      </w:pPr>
      <w:r w:rsidRPr="009F2154">
        <w:rPr>
          <w:rFonts w:ascii="FrankRuehl" w:hAnsi="FrankRuehl" w:cs="FrankRuehl"/>
          <w:rtl/>
        </w:rPr>
        <w:t xml:space="preserve">חקיקה שאוזכרה: </w:t>
      </w:r>
    </w:p>
    <w:p w14:paraId="26B80290" w14:textId="77777777" w:rsidR="009F2154" w:rsidRPr="009F2154" w:rsidRDefault="009F2154" w:rsidP="009F2154">
      <w:pPr>
        <w:spacing w:before="120" w:after="120" w:line="240" w:lineRule="exact"/>
        <w:ind w:left="283" w:hanging="283"/>
        <w:jc w:val="both"/>
        <w:rPr>
          <w:rFonts w:ascii="FrankRuehl" w:hAnsi="FrankRuehl" w:cs="FrankRuehl"/>
          <w:rtl/>
        </w:rPr>
      </w:pPr>
      <w:hyperlink r:id="rId6" w:history="1">
        <w:r w:rsidRPr="009F2154">
          <w:rPr>
            <w:rFonts w:ascii="FrankRuehl" w:hAnsi="FrankRuehl" w:cs="FrankRuehl"/>
            <w:color w:val="0000FF"/>
            <w:rtl/>
          </w:rPr>
          <w:t>פקודת הסמים המסוכנים [נוסח חדש], תשל"ג-1973</w:t>
        </w:r>
      </w:hyperlink>
      <w:r w:rsidRPr="009F2154">
        <w:rPr>
          <w:rFonts w:ascii="FrankRuehl" w:hAnsi="FrankRuehl" w:cs="FrankRuehl"/>
          <w:rtl/>
        </w:rPr>
        <w:t xml:space="preserve">: סע'  </w:t>
      </w:r>
      <w:hyperlink r:id="rId7" w:history="1">
        <w:r w:rsidRPr="009F2154">
          <w:rPr>
            <w:rFonts w:ascii="FrankRuehl" w:hAnsi="FrankRuehl" w:cs="FrankRuehl"/>
            <w:color w:val="0000FF"/>
            <w:rtl/>
          </w:rPr>
          <w:t>6</w:t>
        </w:r>
      </w:hyperlink>
      <w:r w:rsidRPr="009F2154">
        <w:rPr>
          <w:rFonts w:ascii="FrankRuehl" w:hAnsi="FrankRuehl" w:cs="FrankRuehl"/>
          <w:rtl/>
        </w:rPr>
        <w:t xml:space="preserve">, </w:t>
      </w:r>
      <w:hyperlink r:id="rId8" w:history="1">
        <w:r w:rsidRPr="009F2154">
          <w:rPr>
            <w:rFonts w:ascii="FrankRuehl" w:hAnsi="FrankRuehl" w:cs="FrankRuehl"/>
            <w:color w:val="0000FF"/>
            <w:rtl/>
          </w:rPr>
          <w:t>36ח(א)</w:t>
        </w:r>
      </w:hyperlink>
    </w:p>
    <w:p w14:paraId="7C471591" w14:textId="77777777" w:rsidR="009F2154" w:rsidRPr="009F2154" w:rsidRDefault="009F2154" w:rsidP="009F2154">
      <w:pPr>
        <w:spacing w:before="120" w:after="120" w:line="240" w:lineRule="exact"/>
        <w:ind w:left="283" w:hanging="283"/>
        <w:jc w:val="both"/>
        <w:rPr>
          <w:rFonts w:ascii="FrankRuehl" w:hAnsi="FrankRuehl" w:cs="FrankRuehl"/>
          <w:rtl/>
        </w:rPr>
      </w:pPr>
      <w:hyperlink r:id="rId9" w:history="1">
        <w:r w:rsidRPr="009F2154">
          <w:rPr>
            <w:rFonts w:ascii="FrankRuehl" w:hAnsi="FrankRuehl" w:cs="FrankRuehl"/>
            <w:color w:val="0000FF"/>
            <w:rtl/>
          </w:rPr>
          <w:t>חוק העונשין, תשל"ז-1977</w:t>
        </w:r>
      </w:hyperlink>
      <w:r w:rsidRPr="009F2154">
        <w:rPr>
          <w:rFonts w:ascii="FrankRuehl" w:hAnsi="FrankRuehl" w:cs="FrankRuehl"/>
          <w:rtl/>
        </w:rPr>
        <w:t xml:space="preserve">: סע'  </w:t>
      </w:r>
      <w:hyperlink r:id="rId10" w:history="1">
        <w:r w:rsidRPr="009F2154">
          <w:rPr>
            <w:rFonts w:ascii="FrankRuehl" w:hAnsi="FrankRuehl" w:cs="FrankRuehl"/>
            <w:color w:val="0000FF"/>
            <w:rtl/>
          </w:rPr>
          <w:t>40ד'</w:t>
        </w:r>
      </w:hyperlink>
      <w:r w:rsidRPr="009F2154">
        <w:rPr>
          <w:rFonts w:ascii="FrankRuehl" w:hAnsi="FrankRuehl" w:cs="FrankRuehl"/>
          <w:rtl/>
        </w:rPr>
        <w:t xml:space="preserve">, </w:t>
      </w:r>
      <w:hyperlink r:id="rId11" w:history="1">
        <w:r w:rsidRPr="009F2154">
          <w:rPr>
            <w:rFonts w:ascii="FrankRuehl" w:hAnsi="FrankRuehl" w:cs="FrankRuehl"/>
            <w:color w:val="0000FF"/>
            <w:rtl/>
          </w:rPr>
          <w:t>499(א)</w:t>
        </w:r>
      </w:hyperlink>
    </w:p>
    <w:p w14:paraId="4E1351E9" w14:textId="77777777" w:rsidR="009F2154" w:rsidRPr="009F2154" w:rsidRDefault="009F2154" w:rsidP="009F2154">
      <w:pPr>
        <w:rPr>
          <w:rtl/>
        </w:rPr>
      </w:pPr>
      <w:bookmarkStart w:id="4" w:name="LawTable_End"/>
      <w:bookmarkEnd w:id="4"/>
    </w:p>
    <w:p w14:paraId="563A49C2" w14:textId="77777777" w:rsidR="0008400E" w:rsidRPr="009C0700" w:rsidRDefault="0008400E" w:rsidP="009C070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2B63" w:rsidRPr="00284049" w14:paraId="41C294B8" w14:textId="77777777" w:rsidTr="00582B63">
        <w:trPr>
          <w:trHeight w:val="355"/>
          <w:jc w:val="center"/>
        </w:trPr>
        <w:tc>
          <w:tcPr>
            <w:tcW w:w="8820" w:type="dxa"/>
            <w:tcBorders>
              <w:top w:val="nil"/>
              <w:left w:val="nil"/>
              <w:bottom w:val="nil"/>
              <w:right w:val="nil"/>
            </w:tcBorders>
            <w:shd w:val="clear" w:color="auto" w:fill="auto"/>
          </w:tcPr>
          <w:p w14:paraId="152C89D2" w14:textId="77777777" w:rsidR="0008400E" w:rsidRPr="0008400E" w:rsidRDefault="0008400E" w:rsidP="0008400E">
            <w:pPr>
              <w:jc w:val="center"/>
              <w:rPr>
                <w:rFonts w:ascii="David" w:hAnsi="David"/>
                <w:b/>
                <w:bCs/>
                <w:sz w:val="32"/>
                <w:szCs w:val="32"/>
                <w:rtl/>
              </w:rPr>
            </w:pPr>
            <w:bookmarkStart w:id="5" w:name="PsakDin" w:colFirst="0" w:colLast="0"/>
            <w:bookmarkEnd w:id="0"/>
            <w:r w:rsidRPr="0008400E">
              <w:rPr>
                <w:rFonts w:ascii="David" w:hAnsi="David"/>
                <w:b/>
                <w:bCs/>
                <w:sz w:val="32"/>
                <w:szCs w:val="32"/>
                <w:rtl/>
              </w:rPr>
              <w:t>גזר דין</w:t>
            </w:r>
          </w:p>
          <w:p w14:paraId="68AFF7CE" w14:textId="77777777" w:rsidR="00582B63" w:rsidRPr="0008400E" w:rsidRDefault="00582B63" w:rsidP="0008400E">
            <w:pPr>
              <w:jc w:val="center"/>
              <w:rPr>
                <w:rFonts w:ascii="David" w:hAnsi="David"/>
                <w:bCs/>
                <w:sz w:val="32"/>
                <w:szCs w:val="32"/>
                <w:rtl/>
              </w:rPr>
            </w:pPr>
          </w:p>
        </w:tc>
      </w:tr>
      <w:bookmarkEnd w:id="5"/>
    </w:tbl>
    <w:p w14:paraId="60D02C7C" w14:textId="77777777" w:rsidR="00582B63" w:rsidRPr="000F2247" w:rsidRDefault="00582B63" w:rsidP="00582B63">
      <w:pPr>
        <w:rPr>
          <w:rFonts w:ascii="Arial" w:hAnsi="Arial"/>
          <w:b/>
          <w:bCs/>
          <w:sz w:val="26"/>
          <w:szCs w:val="26"/>
          <w:rtl/>
        </w:rPr>
      </w:pPr>
    </w:p>
    <w:p w14:paraId="2D47827D" w14:textId="77777777" w:rsidR="00582B63" w:rsidRPr="00E54AB6" w:rsidRDefault="00582B63" w:rsidP="00582B63">
      <w:pPr>
        <w:spacing w:line="360" w:lineRule="auto"/>
        <w:jc w:val="both"/>
        <w:rPr>
          <w:b/>
          <w:bCs/>
          <w:u w:val="single"/>
          <w:rtl/>
          <w:lang w:eastAsia="he-IL"/>
        </w:rPr>
      </w:pPr>
      <w:r w:rsidRPr="00E54AB6">
        <w:rPr>
          <w:b/>
          <w:bCs/>
          <w:u w:val="single"/>
          <w:rtl/>
          <w:lang w:eastAsia="he-IL"/>
        </w:rPr>
        <w:t>האישום והסדר הטיעון</w:t>
      </w:r>
    </w:p>
    <w:p w14:paraId="2B65CF67" w14:textId="77777777" w:rsidR="00582B63" w:rsidRPr="00E54AB6" w:rsidRDefault="00582B63" w:rsidP="00582B63">
      <w:pPr>
        <w:spacing w:line="360" w:lineRule="auto"/>
        <w:jc w:val="both"/>
        <w:rPr>
          <w:b/>
          <w:bCs/>
          <w:u w:val="single"/>
          <w:rtl/>
          <w:lang w:eastAsia="he-IL"/>
        </w:rPr>
      </w:pPr>
    </w:p>
    <w:p w14:paraId="7BD25BA9" w14:textId="77777777" w:rsidR="00582B63" w:rsidRPr="00E54AB6" w:rsidRDefault="00582B63" w:rsidP="00582B63">
      <w:pPr>
        <w:spacing w:line="360" w:lineRule="auto"/>
        <w:jc w:val="both"/>
        <w:rPr>
          <w:rFonts w:ascii="David" w:hAnsi="David"/>
          <w:rtl/>
        </w:rPr>
      </w:pPr>
      <w:r w:rsidRPr="00E54AB6">
        <w:rPr>
          <w:rtl/>
          <w:lang w:eastAsia="he-IL"/>
        </w:rPr>
        <w:t>1.</w:t>
      </w:r>
      <w:r w:rsidRPr="00E54AB6">
        <w:rPr>
          <w:rtl/>
          <w:lang w:eastAsia="he-IL"/>
        </w:rPr>
        <w:tab/>
      </w:r>
      <w:bookmarkStart w:id="6" w:name="ABSTRACT_START"/>
      <w:bookmarkEnd w:id="6"/>
      <w:r w:rsidRPr="00E54AB6">
        <w:rPr>
          <w:rtl/>
          <w:lang w:eastAsia="he-IL"/>
        </w:rPr>
        <w:t xml:space="preserve">הנאשם הורשע על פי הודאתו בעובדות כתב האישום המתוקן (כא/2), במסגרת הסדר טיעון, </w:t>
      </w:r>
      <w:r w:rsidRPr="00E54AB6">
        <w:rPr>
          <w:rFonts w:ascii="David" w:hAnsi="David"/>
          <w:rtl/>
        </w:rPr>
        <w:t xml:space="preserve">בעבירה המפורטת בו גידול סם מסוכן לפי </w:t>
      </w:r>
      <w:hyperlink r:id="rId12" w:history="1">
        <w:r w:rsidR="000E1754" w:rsidRPr="000E1754">
          <w:rPr>
            <w:rStyle w:val="Hyperlink"/>
            <w:rFonts w:ascii="David" w:hAnsi="David"/>
            <w:rtl/>
          </w:rPr>
          <w:t>סעיף 6</w:t>
        </w:r>
      </w:hyperlink>
      <w:r w:rsidRPr="00E54AB6">
        <w:rPr>
          <w:rFonts w:ascii="David" w:hAnsi="David"/>
          <w:rtl/>
        </w:rPr>
        <w:t xml:space="preserve"> ל</w:t>
      </w:r>
      <w:hyperlink r:id="rId13" w:history="1">
        <w:r w:rsidR="0008400E" w:rsidRPr="0008400E">
          <w:rPr>
            <w:rFonts w:ascii="David" w:hAnsi="David"/>
            <w:color w:val="0000FF"/>
            <w:u w:val="single"/>
            <w:rtl/>
          </w:rPr>
          <w:t>פקודת הסמים המסוכנים</w:t>
        </w:r>
      </w:hyperlink>
      <w:r w:rsidRPr="00E54AB6">
        <w:rPr>
          <w:rFonts w:ascii="David" w:hAnsi="David"/>
          <w:rtl/>
        </w:rPr>
        <w:t xml:space="preserve"> (נוסח חדש).</w:t>
      </w:r>
    </w:p>
    <w:p w14:paraId="501359E8" w14:textId="77777777" w:rsidR="00582B63" w:rsidRPr="00E54AB6" w:rsidRDefault="00582B63" w:rsidP="00582B63">
      <w:pPr>
        <w:rPr>
          <w:rFonts w:ascii="David" w:hAnsi="David"/>
          <w:rtl/>
        </w:rPr>
      </w:pPr>
    </w:p>
    <w:p w14:paraId="116CE855" w14:textId="77777777" w:rsidR="00582B63" w:rsidRPr="00E54AB6" w:rsidRDefault="00582B63" w:rsidP="00582B63">
      <w:pPr>
        <w:spacing w:line="360" w:lineRule="auto"/>
        <w:jc w:val="both"/>
        <w:rPr>
          <w:rtl/>
          <w:lang w:eastAsia="he-IL"/>
        </w:rPr>
      </w:pPr>
      <w:r w:rsidRPr="00E54AB6">
        <w:rPr>
          <w:rtl/>
          <w:lang w:eastAsia="he-IL"/>
        </w:rPr>
        <w:t xml:space="preserve">על פי עובדות כתב האישום המתוקן, כחודשיים לפני יום 11.7.21, החל הנאשם לגדל סם מסוכן מסוג קנבוס, בבית ששכר. </w:t>
      </w:r>
    </w:p>
    <w:p w14:paraId="1A19D08F" w14:textId="77777777" w:rsidR="00582B63" w:rsidRPr="00E54AB6" w:rsidRDefault="00582B63" w:rsidP="00582B63">
      <w:pPr>
        <w:spacing w:line="360" w:lineRule="auto"/>
        <w:jc w:val="both"/>
        <w:rPr>
          <w:rtl/>
          <w:lang w:eastAsia="he-IL"/>
        </w:rPr>
      </w:pPr>
      <w:bookmarkStart w:id="7" w:name="ABSTRACT_END"/>
      <w:bookmarkEnd w:id="7"/>
    </w:p>
    <w:p w14:paraId="6B62C2F5" w14:textId="77777777" w:rsidR="00582B63" w:rsidRPr="00E54AB6" w:rsidRDefault="00582B63" w:rsidP="00582B63">
      <w:pPr>
        <w:spacing w:line="360" w:lineRule="auto"/>
        <w:jc w:val="both"/>
        <w:rPr>
          <w:rtl/>
          <w:lang w:eastAsia="he-IL"/>
        </w:rPr>
      </w:pPr>
      <w:r w:rsidRPr="00E54AB6">
        <w:rPr>
          <w:rtl/>
          <w:lang w:eastAsia="he-IL"/>
        </w:rPr>
        <w:t xml:space="preserve">לצורך האמור, הצטייד הנאשם, בין היתר, בדליים, גופי תאורה, מנורות חימום, דשן, אדניות, מכלי מים, חיבורי חשמל, מזגן רצפתי, מאווררים ושתילי סם. </w:t>
      </w:r>
    </w:p>
    <w:p w14:paraId="46DE1602" w14:textId="77777777" w:rsidR="00582B63" w:rsidRPr="00E54AB6" w:rsidRDefault="00582B63" w:rsidP="00582B63">
      <w:pPr>
        <w:spacing w:line="360" w:lineRule="auto"/>
        <w:jc w:val="both"/>
        <w:rPr>
          <w:rtl/>
          <w:lang w:eastAsia="he-IL"/>
        </w:rPr>
      </w:pPr>
    </w:p>
    <w:p w14:paraId="50FF1EDF" w14:textId="77777777" w:rsidR="00582B63" w:rsidRPr="00E54AB6" w:rsidRDefault="00582B63" w:rsidP="00582B63">
      <w:pPr>
        <w:spacing w:line="360" w:lineRule="auto"/>
        <w:jc w:val="both"/>
        <w:rPr>
          <w:rtl/>
          <w:lang w:eastAsia="he-IL"/>
        </w:rPr>
      </w:pPr>
      <w:r w:rsidRPr="00E54AB6">
        <w:rPr>
          <w:rtl/>
          <w:lang w:eastAsia="he-IL"/>
        </w:rPr>
        <w:t xml:space="preserve">בתאריך 11.7.21, נתפסו בחדרים שונים בבית, 600 שתילי סם מסוכן מסוג קנבוס בגדלים שונים במשקל כולל של 55 ק"ג. </w:t>
      </w:r>
    </w:p>
    <w:p w14:paraId="66502A2D" w14:textId="77777777" w:rsidR="00582B63" w:rsidRPr="00E54AB6" w:rsidRDefault="00582B63" w:rsidP="00582B63">
      <w:pPr>
        <w:spacing w:line="360" w:lineRule="auto"/>
        <w:jc w:val="both"/>
        <w:rPr>
          <w:rtl/>
          <w:lang w:eastAsia="he-IL"/>
        </w:rPr>
      </w:pPr>
    </w:p>
    <w:p w14:paraId="2C6EE008" w14:textId="77777777" w:rsidR="00582B63" w:rsidRPr="00E54AB6" w:rsidRDefault="00582B63" w:rsidP="00582B63">
      <w:pPr>
        <w:spacing w:line="360" w:lineRule="auto"/>
        <w:jc w:val="both"/>
        <w:rPr>
          <w:rFonts w:ascii="David" w:hAnsi="David"/>
          <w:rtl/>
        </w:rPr>
      </w:pPr>
      <w:r w:rsidRPr="00E54AB6">
        <w:rPr>
          <w:rtl/>
          <w:lang w:eastAsia="he-IL"/>
        </w:rPr>
        <w:t xml:space="preserve">הצדדים הגיעו להסדר טיעון במסגרתו הודה </w:t>
      </w:r>
      <w:r w:rsidRPr="00E54AB6">
        <w:rPr>
          <w:rFonts w:ascii="David" w:hAnsi="David"/>
          <w:rtl/>
        </w:rPr>
        <w:t xml:space="preserve">הנאשם בעובדות כתב האישום המתוקן והורשע בעבירה המיוחסת לו. ביחס לעונש, הוסכם כי הצדדים יטענו באופן חופשי ביחס לכל מרכיבי הענישה, אך ביחס לרכיב המאסר הוסכם כי המאשימה תטען לעונש מאסר של 30 חודשים. </w:t>
      </w:r>
    </w:p>
    <w:p w14:paraId="34956B06" w14:textId="77777777" w:rsidR="00582B63" w:rsidRPr="00E54AB6" w:rsidRDefault="00582B63" w:rsidP="00582B63">
      <w:pPr>
        <w:spacing w:line="360" w:lineRule="auto"/>
        <w:jc w:val="both"/>
        <w:rPr>
          <w:rFonts w:ascii="David" w:hAnsi="David"/>
          <w:rtl/>
        </w:rPr>
      </w:pPr>
    </w:p>
    <w:p w14:paraId="63379008" w14:textId="77777777" w:rsidR="00582B63" w:rsidRPr="00E54AB6" w:rsidRDefault="00582B63" w:rsidP="00582B63">
      <w:pPr>
        <w:spacing w:line="360" w:lineRule="auto"/>
        <w:jc w:val="both"/>
        <w:rPr>
          <w:b/>
          <w:bCs/>
          <w:u w:val="single"/>
          <w:rtl/>
          <w:lang w:eastAsia="he-IL"/>
        </w:rPr>
      </w:pPr>
      <w:r w:rsidRPr="00E54AB6">
        <w:rPr>
          <w:b/>
          <w:bCs/>
          <w:u w:val="single"/>
          <w:rtl/>
          <w:lang w:eastAsia="he-IL"/>
        </w:rPr>
        <w:t>הראיות לעונש</w:t>
      </w:r>
    </w:p>
    <w:p w14:paraId="659D6E5A" w14:textId="77777777" w:rsidR="00582B63" w:rsidRPr="00E54AB6" w:rsidRDefault="00582B63" w:rsidP="00582B63">
      <w:pPr>
        <w:spacing w:line="360" w:lineRule="auto"/>
        <w:jc w:val="both"/>
        <w:rPr>
          <w:b/>
          <w:bCs/>
          <w:u w:val="single"/>
          <w:rtl/>
          <w:lang w:eastAsia="he-IL"/>
        </w:rPr>
      </w:pPr>
    </w:p>
    <w:p w14:paraId="639F5EAA" w14:textId="77777777" w:rsidR="00582B63" w:rsidRPr="00E54AB6" w:rsidRDefault="00582B63" w:rsidP="00582B63">
      <w:pPr>
        <w:spacing w:line="360" w:lineRule="auto"/>
        <w:jc w:val="both"/>
        <w:rPr>
          <w:rFonts w:ascii="David" w:hAnsi="David"/>
          <w:rtl/>
        </w:rPr>
      </w:pPr>
      <w:r w:rsidRPr="00E54AB6">
        <w:rPr>
          <w:rtl/>
          <w:lang w:eastAsia="he-IL"/>
        </w:rPr>
        <w:t>2.</w:t>
      </w:r>
      <w:r w:rsidRPr="00E54AB6">
        <w:rPr>
          <w:rtl/>
          <w:lang w:eastAsia="he-IL"/>
        </w:rPr>
        <w:tab/>
        <w:t xml:space="preserve">מטעם המאשימה הוגשו במסגרת הראיות לעונש, </w:t>
      </w:r>
      <w:r w:rsidRPr="00E54AB6">
        <w:rPr>
          <w:rFonts w:ascii="David" w:hAnsi="David"/>
          <w:rtl/>
        </w:rPr>
        <w:t xml:space="preserve">רישום פלילי של הנאשם (ת/1) הכולל שתי עבירות של העדר מהשירות שלא ברשות. </w:t>
      </w:r>
    </w:p>
    <w:p w14:paraId="73FF9624" w14:textId="77777777" w:rsidR="00582B63" w:rsidRPr="00E54AB6" w:rsidRDefault="00582B63" w:rsidP="00582B63">
      <w:pPr>
        <w:spacing w:line="360" w:lineRule="auto"/>
        <w:jc w:val="both"/>
        <w:rPr>
          <w:rFonts w:ascii="David" w:hAnsi="David"/>
          <w:rtl/>
        </w:rPr>
      </w:pPr>
    </w:p>
    <w:p w14:paraId="2F2FE2FB" w14:textId="77777777" w:rsidR="00582B63" w:rsidRPr="00E54AB6" w:rsidRDefault="00582B63" w:rsidP="00582B63">
      <w:pPr>
        <w:spacing w:line="360" w:lineRule="auto"/>
        <w:jc w:val="both"/>
        <w:rPr>
          <w:b/>
          <w:bCs/>
          <w:u w:val="single"/>
          <w:rtl/>
          <w:lang w:eastAsia="he-IL"/>
        </w:rPr>
      </w:pPr>
      <w:r w:rsidRPr="00E54AB6">
        <w:rPr>
          <w:rtl/>
          <w:lang w:eastAsia="he-IL"/>
        </w:rPr>
        <w:t>מטעם ההגנה לא הוגשו ראיות לעונש.</w:t>
      </w:r>
    </w:p>
    <w:p w14:paraId="5B23936B" w14:textId="77777777" w:rsidR="00582B63" w:rsidRPr="00E54AB6" w:rsidRDefault="00582B63" w:rsidP="00582B63">
      <w:pPr>
        <w:spacing w:line="360" w:lineRule="auto"/>
        <w:jc w:val="both"/>
        <w:rPr>
          <w:b/>
          <w:bCs/>
          <w:u w:val="single"/>
          <w:rtl/>
          <w:lang w:eastAsia="he-IL"/>
        </w:rPr>
      </w:pPr>
    </w:p>
    <w:p w14:paraId="7EDB60B6" w14:textId="77777777" w:rsidR="00582B63" w:rsidRPr="00E54AB6" w:rsidRDefault="00582B63" w:rsidP="00582B63">
      <w:pPr>
        <w:spacing w:line="360" w:lineRule="auto"/>
        <w:jc w:val="both"/>
        <w:rPr>
          <w:rtl/>
          <w:lang w:eastAsia="he-IL"/>
        </w:rPr>
      </w:pPr>
      <w:r w:rsidRPr="00E54AB6">
        <w:rPr>
          <w:b/>
          <w:bCs/>
          <w:u w:val="single"/>
          <w:rtl/>
          <w:lang w:eastAsia="he-IL"/>
        </w:rPr>
        <w:t>תסקיר שירות המבחן</w:t>
      </w:r>
    </w:p>
    <w:p w14:paraId="411A1516" w14:textId="77777777" w:rsidR="00582B63" w:rsidRPr="00E54AB6" w:rsidRDefault="00582B63" w:rsidP="00582B63">
      <w:pPr>
        <w:spacing w:line="360" w:lineRule="auto"/>
        <w:jc w:val="both"/>
        <w:rPr>
          <w:rtl/>
          <w:lang w:eastAsia="he-IL"/>
        </w:rPr>
      </w:pPr>
    </w:p>
    <w:p w14:paraId="20A7C748" w14:textId="77777777" w:rsidR="00582B63" w:rsidRPr="00E54AB6" w:rsidRDefault="00582B63" w:rsidP="00582B63">
      <w:pPr>
        <w:spacing w:line="360" w:lineRule="auto"/>
        <w:jc w:val="both"/>
        <w:rPr>
          <w:rtl/>
          <w:lang w:eastAsia="he-IL"/>
        </w:rPr>
      </w:pPr>
      <w:r w:rsidRPr="00E54AB6">
        <w:rPr>
          <w:rtl/>
          <w:lang w:eastAsia="he-IL"/>
        </w:rPr>
        <w:t>3.</w:t>
      </w:r>
      <w:r w:rsidRPr="00E54AB6">
        <w:rPr>
          <w:rtl/>
          <w:lang w:eastAsia="he-IL"/>
        </w:rPr>
        <w:tab/>
        <w:t>בעניינו של הנאשם הוגש תסקיר שירות מבחן. על פי התסקיר אשר יפורט בחלקו לאור צנעת הפרט, הנאשם בן 30, רווק.</w:t>
      </w:r>
    </w:p>
    <w:p w14:paraId="5F94EA46" w14:textId="77777777" w:rsidR="00582B63" w:rsidRPr="00E54AB6" w:rsidRDefault="00582B63" w:rsidP="00582B63">
      <w:pPr>
        <w:spacing w:line="360" w:lineRule="auto"/>
        <w:jc w:val="both"/>
        <w:rPr>
          <w:rtl/>
          <w:lang w:eastAsia="he-IL"/>
        </w:rPr>
      </w:pPr>
    </w:p>
    <w:p w14:paraId="6EEC6674" w14:textId="77777777" w:rsidR="00582B63" w:rsidRPr="00E54AB6" w:rsidRDefault="00582B63" w:rsidP="00582B63">
      <w:pPr>
        <w:spacing w:line="360" w:lineRule="auto"/>
        <w:jc w:val="both"/>
        <w:rPr>
          <w:rtl/>
          <w:lang w:eastAsia="he-IL"/>
        </w:rPr>
      </w:pPr>
      <w:r w:rsidRPr="00E54AB6">
        <w:rPr>
          <w:rtl/>
          <w:lang w:eastAsia="he-IL"/>
        </w:rPr>
        <w:t>לדבריו, שמר על יציבות תעסוקתית עד אשר פוטר בשל מגפת הקורונה, ובעקבות כך התמודד עם קשיים כלכליים.</w:t>
      </w:r>
    </w:p>
    <w:p w14:paraId="7E2366F9" w14:textId="77777777" w:rsidR="00582B63" w:rsidRPr="00E54AB6" w:rsidRDefault="00582B63" w:rsidP="00582B63">
      <w:pPr>
        <w:spacing w:line="360" w:lineRule="auto"/>
        <w:jc w:val="both"/>
        <w:rPr>
          <w:rtl/>
          <w:lang w:eastAsia="he-IL"/>
        </w:rPr>
      </w:pPr>
    </w:p>
    <w:p w14:paraId="2F3261F5" w14:textId="77777777" w:rsidR="00582B63" w:rsidRPr="00E54AB6" w:rsidRDefault="00582B63" w:rsidP="00582B63">
      <w:pPr>
        <w:spacing w:line="360" w:lineRule="auto"/>
        <w:jc w:val="both"/>
        <w:rPr>
          <w:rtl/>
          <w:lang w:eastAsia="he-IL"/>
        </w:rPr>
      </w:pPr>
      <w:r w:rsidRPr="00E54AB6">
        <w:rPr>
          <w:rtl/>
          <w:lang w:eastAsia="he-IL"/>
        </w:rPr>
        <w:t xml:space="preserve">על פי התסקיר לדברי הנאשם, זהו מעצרו הממושך הראשון, הוא חווה קשיים רגשיים ומצב רוח ירוד הקשור לקושי להתמודד עם תנאי מעצר. הנאשם הביע תחושת אשמה ובושה על רקע הנסיבות שהובילו למעצרו. </w:t>
      </w:r>
    </w:p>
    <w:p w14:paraId="3AE4C574" w14:textId="77777777" w:rsidR="00582B63" w:rsidRPr="00E54AB6" w:rsidRDefault="00582B63" w:rsidP="00582B63">
      <w:pPr>
        <w:spacing w:line="360" w:lineRule="auto"/>
        <w:jc w:val="both"/>
        <w:rPr>
          <w:rtl/>
          <w:lang w:eastAsia="he-IL"/>
        </w:rPr>
      </w:pPr>
    </w:p>
    <w:p w14:paraId="7577B79F" w14:textId="77777777" w:rsidR="00582B63" w:rsidRPr="00E54AB6" w:rsidRDefault="00582B63" w:rsidP="00582B63">
      <w:pPr>
        <w:spacing w:line="360" w:lineRule="auto"/>
        <w:jc w:val="both"/>
        <w:rPr>
          <w:rtl/>
          <w:lang w:eastAsia="he-IL"/>
        </w:rPr>
      </w:pPr>
      <w:r w:rsidRPr="00E54AB6">
        <w:rPr>
          <w:rtl/>
          <w:lang w:eastAsia="he-IL"/>
        </w:rPr>
        <w:t xml:space="preserve">לדברי הנאשם הוא השתלב בפעילות במסגרת בית הסוהר אשר הופסקה על רקע הקורונה, הוא מקיים קשר עם גורמי הטיפול בבית הסוהר, ובכוונתו להשתלב בקבוצות טיפוליות. </w:t>
      </w:r>
    </w:p>
    <w:p w14:paraId="0CCC4FB7" w14:textId="77777777" w:rsidR="00582B63" w:rsidRPr="00E54AB6" w:rsidRDefault="00582B63" w:rsidP="00582B63">
      <w:pPr>
        <w:spacing w:line="360" w:lineRule="auto"/>
        <w:jc w:val="both"/>
        <w:rPr>
          <w:rtl/>
          <w:lang w:eastAsia="he-IL"/>
        </w:rPr>
      </w:pPr>
    </w:p>
    <w:p w14:paraId="151AEA30" w14:textId="77777777" w:rsidR="00582B63" w:rsidRPr="00E54AB6" w:rsidRDefault="00582B63" w:rsidP="00582B63">
      <w:pPr>
        <w:spacing w:line="360" w:lineRule="auto"/>
        <w:jc w:val="both"/>
        <w:rPr>
          <w:rtl/>
          <w:lang w:eastAsia="he-IL"/>
        </w:rPr>
      </w:pPr>
      <w:r w:rsidRPr="00E54AB6">
        <w:rPr>
          <w:rtl/>
          <w:lang w:eastAsia="he-IL"/>
        </w:rPr>
        <w:t>שירות המבחן מציין כי נמסר מגורמי הרווחה בכלא, שהנאשם מקיים קשר מעקבי עם גורמי הטיפול, מביע מוטיבציה וקיימת תובנה ראשונית לטיפול ואף עתיד להשתלב בקבוצה טיפולית. הנאשם החל הליך של הסדרת חובותיו הכספיים, ומהתרשמותם עולה כי אין מדובר באדם עם דפוסים עבריינים מושרשים, ולהערכתם יש בחוויית המאסר כדי להרתיעו.</w:t>
      </w:r>
    </w:p>
    <w:p w14:paraId="4496EA96" w14:textId="77777777" w:rsidR="00582B63" w:rsidRPr="00E54AB6" w:rsidRDefault="00582B63" w:rsidP="00582B63">
      <w:pPr>
        <w:spacing w:line="360" w:lineRule="auto"/>
        <w:jc w:val="both"/>
        <w:rPr>
          <w:rtl/>
          <w:lang w:eastAsia="he-IL"/>
        </w:rPr>
      </w:pPr>
    </w:p>
    <w:p w14:paraId="6CB24A57" w14:textId="77777777" w:rsidR="00582B63" w:rsidRPr="00E54AB6" w:rsidRDefault="00582B63" w:rsidP="00582B63">
      <w:pPr>
        <w:spacing w:line="360" w:lineRule="auto"/>
        <w:jc w:val="both"/>
        <w:rPr>
          <w:rtl/>
          <w:lang w:eastAsia="he-IL"/>
        </w:rPr>
      </w:pPr>
      <w:r w:rsidRPr="00E54AB6">
        <w:rPr>
          <w:rtl/>
          <w:lang w:eastAsia="he-IL"/>
        </w:rPr>
        <w:lastRenderedPageBreak/>
        <w:t xml:space="preserve">שירות המבחן מתרשם כי מדובר בנאשם אשר מגיל צעיר גילה קשיים בקבלת סמכות ועמידה בגבולות מסגרת. הנאשם גדל במסגרת משפחתית אשר חוותה משברים וקשיים רבים לאורך השנים. התחברותו לחברה עבריינית היוותה מענה רגשי לצרכים רגשיים. צויין כי מדובר בנאשם אשר ערך מאמצים לנהל אורח חיים תקין, וכי חרף התנאים המשפחתיים, הכלכליים והקשיים הרגשיים הנלווים, הצליח לגייס כוחות, להשתלב בלימודים בפנימייה ולייצב התנהגותו. בהילקח בחשבון כל הגורמים המתוארים, שירות המבחן מעריך כי קיים סיכון להתנהגות עוברת חוק. </w:t>
      </w:r>
    </w:p>
    <w:p w14:paraId="0EDAE13F" w14:textId="77777777" w:rsidR="00582B63" w:rsidRPr="00E54AB6" w:rsidRDefault="00582B63" w:rsidP="00582B63">
      <w:pPr>
        <w:spacing w:line="360" w:lineRule="auto"/>
        <w:jc w:val="both"/>
        <w:rPr>
          <w:rtl/>
          <w:lang w:eastAsia="he-IL"/>
        </w:rPr>
      </w:pPr>
    </w:p>
    <w:p w14:paraId="7DFFE841" w14:textId="77777777" w:rsidR="00582B63" w:rsidRPr="00E54AB6" w:rsidRDefault="00582B63" w:rsidP="00582B63">
      <w:pPr>
        <w:spacing w:line="360" w:lineRule="auto"/>
        <w:jc w:val="both"/>
        <w:rPr>
          <w:rtl/>
          <w:lang w:eastAsia="he-IL"/>
        </w:rPr>
      </w:pPr>
      <w:r w:rsidRPr="00E54AB6">
        <w:rPr>
          <w:rtl/>
          <w:lang w:eastAsia="he-IL"/>
        </w:rPr>
        <w:t xml:space="preserve">שירות המבחן מציין כי הנאשם לא העלה צרכים טיפוליים, ולאור זאת לא בא בהמלצה שיקומית. שירות המבחן מוסיף כי הנאשם נמצא כיום בתהליך טיפולי ראשוני, בו הוא מגלה נכונות לערוך תהליך של התבוננות רחבה על מאפייניו ועל הגורמים שהביאוהו לבחירותיו ולמעשיו, והומלץ כי עובדות אלו יובאו בחשבון בגזר הדין. </w:t>
      </w:r>
    </w:p>
    <w:p w14:paraId="5D7DF28F" w14:textId="77777777" w:rsidR="00582B63" w:rsidRPr="00E54AB6" w:rsidRDefault="00582B63" w:rsidP="00582B63">
      <w:pPr>
        <w:spacing w:line="360" w:lineRule="auto"/>
        <w:jc w:val="both"/>
        <w:rPr>
          <w:b/>
          <w:bCs/>
          <w:u w:val="single"/>
          <w:rtl/>
          <w:lang w:eastAsia="he-IL"/>
        </w:rPr>
      </w:pPr>
    </w:p>
    <w:p w14:paraId="43CF35FC" w14:textId="77777777" w:rsidR="00582B63" w:rsidRPr="00E54AB6" w:rsidRDefault="00582B63" w:rsidP="00582B63">
      <w:pPr>
        <w:spacing w:line="360" w:lineRule="auto"/>
        <w:jc w:val="both"/>
        <w:rPr>
          <w:b/>
          <w:bCs/>
          <w:u w:val="single"/>
          <w:rtl/>
          <w:lang w:eastAsia="he-IL"/>
        </w:rPr>
      </w:pPr>
      <w:r w:rsidRPr="00E54AB6">
        <w:rPr>
          <w:b/>
          <w:bCs/>
          <w:u w:val="single"/>
          <w:rtl/>
          <w:lang w:eastAsia="he-IL"/>
        </w:rPr>
        <w:t>טענות ב"כ המאשימה</w:t>
      </w:r>
    </w:p>
    <w:p w14:paraId="7F56DCCF" w14:textId="77777777" w:rsidR="00582B63" w:rsidRPr="00E54AB6" w:rsidRDefault="00582B63" w:rsidP="00582B63">
      <w:pPr>
        <w:spacing w:line="360" w:lineRule="auto"/>
        <w:jc w:val="both"/>
        <w:rPr>
          <w:b/>
          <w:bCs/>
          <w:u w:val="single"/>
          <w:rtl/>
          <w:lang w:eastAsia="he-IL"/>
        </w:rPr>
      </w:pPr>
    </w:p>
    <w:p w14:paraId="4261F05A" w14:textId="77777777" w:rsidR="00582B63" w:rsidRPr="00E54AB6" w:rsidRDefault="00582B63" w:rsidP="00582B63">
      <w:pPr>
        <w:spacing w:line="360" w:lineRule="auto"/>
        <w:jc w:val="both"/>
        <w:rPr>
          <w:rFonts w:ascii="David" w:hAnsi="David"/>
          <w:rtl/>
        </w:rPr>
      </w:pPr>
      <w:r w:rsidRPr="00E54AB6">
        <w:rPr>
          <w:rtl/>
          <w:lang w:eastAsia="he-IL"/>
        </w:rPr>
        <w:t>4.</w:t>
      </w:r>
      <w:r w:rsidRPr="00E54AB6">
        <w:rPr>
          <w:rtl/>
          <w:lang w:eastAsia="he-IL"/>
        </w:rPr>
        <w:tab/>
      </w:r>
      <w:r w:rsidRPr="00E54AB6">
        <w:rPr>
          <w:rFonts w:ascii="David" w:hAnsi="David"/>
          <w:rtl/>
        </w:rPr>
        <w:t>לטענת ב"כ המאשימה:</w:t>
      </w:r>
    </w:p>
    <w:p w14:paraId="424E8FFA" w14:textId="77777777" w:rsidR="00582B63" w:rsidRPr="00E54AB6" w:rsidRDefault="00582B63" w:rsidP="00582B63">
      <w:pPr>
        <w:spacing w:line="360" w:lineRule="auto"/>
        <w:jc w:val="both"/>
        <w:rPr>
          <w:rFonts w:ascii="David" w:hAnsi="David"/>
          <w:rtl/>
        </w:rPr>
      </w:pPr>
    </w:p>
    <w:p w14:paraId="5AF63725" w14:textId="77777777" w:rsidR="00582B63" w:rsidRPr="00E54AB6" w:rsidRDefault="00582B63" w:rsidP="00582B63">
      <w:pPr>
        <w:spacing w:line="360" w:lineRule="auto"/>
        <w:jc w:val="both"/>
        <w:rPr>
          <w:rFonts w:ascii="David" w:hAnsi="David"/>
          <w:rtl/>
        </w:rPr>
      </w:pPr>
      <w:r w:rsidRPr="00E54AB6">
        <w:rPr>
          <w:rFonts w:ascii="David" w:hAnsi="David"/>
          <w:rtl/>
        </w:rPr>
        <w:t>במעשיו פגע הנאשם בערכים המוגנים של שלום הציבור, בריאותו וביטחונו, מניעת התמכרות, יצירת פוטנציאל להפרות סדר, וביצוע עבירות האופייניות בנוף נגע הסמים.</w:t>
      </w:r>
    </w:p>
    <w:p w14:paraId="32AE71AA" w14:textId="77777777" w:rsidR="00582B63" w:rsidRPr="00E54AB6" w:rsidRDefault="00582B63" w:rsidP="00582B63">
      <w:pPr>
        <w:spacing w:line="360" w:lineRule="auto"/>
        <w:jc w:val="both"/>
        <w:rPr>
          <w:rFonts w:ascii="David" w:hAnsi="David"/>
          <w:rtl/>
        </w:rPr>
      </w:pPr>
    </w:p>
    <w:p w14:paraId="694B5DD3" w14:textId="77777777" w:rsidR="00582B63" w:rsidRPr="00E54AB6" w:rsidRDefault="00582B63" w:rsidP="00582B63">
      <w:pPr>
        <w:spacing w:line="360" w:lineRule="auto"/>
        <w:jc w:val="both"/>
        <w:rPr>
          <w:rFonts w:ascii="David" w:hAnsi="David"/>
          <w:rtl/>
        </w:rPr>
      </w:pPr>
      <w:r w:rsidRPr="00E54AB6">
        <w:rPr>
          <w:rFonts w:ascii="David" w:hAnsi="David"/>
          <w:rtl/>
        </w:rPr>
        <w:t>מידת הפגיעה בערכים הינה חמורה, העונש הקבוע בצד העבירה הוא 20 שנות מאסר, הסכנות הטמונות בגידול סמים ידועות, ובמקרה זה מדובר בכמות מסחרית של 55 ק"ג.</w:t>
      </w:r>
    </w:p>
    <w:p w14:paraId="0B5B440B" w14:textId="77777777" w:rsidR="00582B63" w:rsidRPr="00E54AB6" w:rsidRDefault="00582B63" w:rsidP="00582B63">
      <w:pPr>
        <w:spacing w:line="360" w:lineRule="auto"/>
        <w:jc w:val="both"/>
        <w:rPr>
          <w:rFonts w:ascii="David" w:hAnsi="David"/>
          <w:rtl/>
        </w:rPr>
      </w:pPr>
    </w:p>
    <w:p w14:paraId="474E0C0C" w14:textId="77777777" w:rsidR="00582B63" w:rsidRPr="00E54AB6" w:rsidRDefault="00582B63" w:rsidP="00582B63">
      <w:pPr>
        <w:spacing w:line="360" w:lineRule="auto"/>
        <w:jc w:val="both"/>
        <w:rPr>
          <w:rFonts w:ascii="David" w:hAnsi="David"/>
          <w:rtl/>
        </w:rPr>
      </w:pPr>
    </w:p>
    <w:p w14:paraId="18310F17" w14:textId="77777777" w:rsidR="00582B63" w:rsidRPr="00E54AB6" w:rsidRDefault="00582B63" w:rsidP="00582B63">
      <w:pPr>
        <w:spacing w:line="360" w:lineRule="auto"/>
        <w:jc w:val="both"/>
        <w:rPr>
          <w:rFonts w:ascii="David" w:hAnsi="David"/>
          <w:rtl/>
        </w:rPr>
      </w:pPr>
      <w:r w:rsidRPr="00E54AB6">
        <w:rPr>
          <w:rFonts w:ascii="David" w:hAnsi="David"/>
          <w:rtl/>
        </w:rPr>
        <w:t>נטען למתחם עונש הולם הנע בין 30 ל – 60 חודשי מאסר בפועל, והתבקש למקם את עונשו של הנאשם בחלק התחתון של המתחם, ולהשית עליו, בהתאם להסדר, עונש הכולל 30 חודשי מאסר בפועל.</w:t>
      </w:r>
    </w:p>
    <w:p w14:paraId="2D1C99F5" w14:textId="77777777" w:rsidR="00582B63" w:rsidRPr="00E54AB6" w:rsidRDefault="00582B63" w:rsidP="00582B63">
      <w:pPr>
        <w:spacing w:line="360" w:lineRule="auto"/>
        <w:jc w:val="both"/>
        <w:rPr>
          <w:rFonts w:ascii="David" w:hAnsi="David"/>
          <w:rtl/>
        </w:rPr>
      </w:pPr>
    </w:p>
    <w:p w14:paraId="3D4B131D" w14:textId="77777777" w:rsidR="00582B63" w:rsidRPr="00E54AB6" w:rsidRDefault="00582B63" w:rsidP="00582B63">
      <w:pPr>
        <w:spacing w:line="360" w:lineRule="auto"/>
        <w:jc w:val="both"/>
        <w:rPr>
          <w:rFonts w:ascii="David" w:hAnsi="David"/>
          <w:rtl/>
        </w:rPr>
      </w:pPr>
      <w:r w:rsidRPr="00E54AB6">
        <w:rPr>
          <w:rFonts w:ascii="David" w:hAnsi="David"/>
          <w:rtl/>
        </w:rPr>
        <w:t>נטען כי המאשימה שקלה את כלל הנסיבות לקולא מבחינת הנאשם המצדיקות למקם את עונשו בחלק התחתון של המתחם, ובין היתר העדר עבר פלילי, משמעותי או שנוגע לעניין, והעובדה שהודה וחסך זמן שיפוטי.</w:t>
      </w:r>
    </w:p>
    <w:p w14:paraId="0429017A" w14:textId="77777777" w:rsidR="00582B63" w:rsidRPr="00E54AB6" w:rsidRDefault="00582B63" w:rsidP="00582B63">
      <w:pPr>
        <w:spacing w:line="360" w:lineRule="auto"/>
        <w:jc w:val="both"/>
        <w:rPr>
          <w:rFonts w:ascii="David" w:hAnsi="David"/>
          <w:rtl/>
        </w:rPr>
      </w:pPr>
    </w:p>
    <w:p w14:paraId="342A52CE" w14:textId="77777777" w:rsidR="00582B63" w:rsidRPr="00E54AB6" w:rsidRDefault="00582B63" w:rsidP="00582B63">
      <w:pPr>
        <w:spacing w:line="360" w:lineRule="auto"/>
        <w:jc w:val="both"/>
        <w:rPr>
          <w:rFonts w:ascii="David" w:hAnsi="David"/>
          <w:rtl/>
        </w:rPr>
      </w:pPr>
      <w:r w:rsidRPr="00E54AB6">
        <w:rPr>
          <w:rFonts w:ascii="David" w:hAnsi="David"/>
          <w:rtl/>
        </w:rPr>
        <w:t xml:space="preserve">מדובר בעבירות שהינן עבירות שבוצעו מתוך מניע כלכלי גרידא, מתוך רצון לעשות ממון, מתוך כוונה ומודעות לתפקידו במערך יצור הסם, לשם הפצתו. נסיבותיו האישיות של הנאשם אינן מצדיקות נסיגה משיקולים של הרתעה וגמול, כאשר מדובר בעבירות של ייצור סמים. </w:t>
      </w:r>
    </w:p>
    <w:p w14:paraId="56B76620" w14:textId="77777777" w:rsidR="00582B63" w:rsidRPr="00E54AB6" w:rsidRDefault="00582B63" w:rsidP="00582B63">
      <w:pPr>
        <w:spacing w:line="360" w:lineRule="auto"/>
        <w:jc w:val="both"/>
        <w:rPr>
          <w:rFonts w:ascii="David" w:hAnsi="David"/>
          <w:rtl/>
        </w:rPr>
      </w:pPr>
    </w:p>
    <w:p w14:paraId="54D5C9CB" w14:textId="77777777" w:rsidR="00582B63" w:rsidRPr="00E54AB6" w:rsidRDefault="00582B63" w:rsidP="00582B63">
      <w:pPr>
        <w:spacing w:line="360" w:lineRule="auto"/>
        <w:jc w:val="both"/>
        <w:rPr>
          <w:rFonts w:ascii="David" w:hAnsi="David"/>
          <w:rtl/>
        </w:rPr>
      </w:pPr>
      <w:r w:rsidRPr="00E54AB6">
        <w:rPr>
          <w:rFonts w:ascii="David" w:hAnsi="David"/>
          <w:rtl/>
        </w:rPr>
        <w:t>נטען כי קיים מנעד ענישה רחב ביותר, וב"כ המאשימה הפנה למשקל הסם, ועתר להשית על הנאשם 30 חודשי מאסר בפועל, קנס, פסילה בפועל, פסילת רישיון על תנאי ומאסר מותנה.</w:t>
      </w:r>
    </w:p>
    <w:p w14:paraId="28AB475D" w14:textId="77777777" w:rsidR="00582B63" w:rsidRPr="00E54AB6" w:rsidRDefault="00582B63" w:rsidP="00582B63">
      <w:pPr>
        <w:spacing w:line="360" w:lineRule="auto"/>
        <w:jc w:val="both"/>
        <w:rPr>
          <w:rFonts w:ascii="David" w:hAnsi="David"/>
          <w:rtl/>
        </w:rPr>
      </w:pPr>
    </w:p>
    <w:p w14:paraId="4DDD93B9" w14:textId="77777777" w:rsidR="00582B63" w:rsidRPr="00E54AB6" w:rsidRDefault="00582B63" w:rsidP="00582B63">
      <w:pPr>
        <w:spacing w:line="360" w:lineRule="auto"/>
        <w:jc w:val="both"/>
        <w:rPr>
          <w:rFonts w:ascii="David" w:hAnsi="David"/>
          <w:b/>
          <w:bCs/>
          <w:u w:val="single"/>
          <w:rtl/>
        </w:rPr>
      </w:pPr>
      <w:r w:rsidRPr="00E54AB6">
        <w:rPr>
          <w:rFonts w:ascii="David" w:hAnsi="David"/>
          <w:b/>
          <w:bCs/>
          <w:u w:val="single"/>
          <w:rtl/>
        </w:rPr>
        <w:t>טענות ב"כ הנאשם</w:t>
      </w:r>
    </w:p>
    <w:p w14:paraId="48791159" w14:textId="77777777" w:rsidR="00582B63" w:rsidRPr="00E54AB6" w:rsidRDefault="00582B63" w:rsidP="00582B63">
      <w:pPr>
        <w:spacing w:line="360" w:lineRule="auto"/>
        <w:jc w:val="both"/>
        <w:rPr>
          <w:rFonts w:ascii="David" w:hAnsi="David"/>
          <w:b/>
          <w:bCs/>
          <w:u w:val="single"/>
          <w:rtl/>
        </w:rPr>
      </w:pPr>
    </w:p>
    <w:p w14:paraId="679B67CF" w14:textId="77777777" w:rsidR="00582B63" w:rsidRPr="00E54AB6" w:rsidRDefault="00582B63" w:rsidP="00582B63">
      <w:pPr>
        <w:spacing w:line="360" w:lineRule="auto"/>
        <w:jc w:val="both"/>
        <w:rPr>
          <w:rFonts w:ascii="David" w:hAnsi="David"/>
          <w:rtl/>
        </w:rPr>
      </w:pPr>
      <w:r w:rsidRPr="00E54AB6">
        <w:rPr>
          <w:rFonts w:ascii="David" w:hAnsi="David"/>
          <w:rtl/>
        </w:rPr>
        <w:t>5.</w:t>
      </w:r>
      <w:r w:rsidRPr="00E54AB6">
        <w:rPr>
          <w:rFonts w:ascii="David" w:hAnsi="David"/>
          <w:rtl/>
        </w:rPr>
        <w:tab/>
        <w:t>לטענת ב"כ הנאשם:</w:t>
      </w:r>
    </w:p>
    <w:p w14:paraId="4FEA604B" w14:textId="77777777" w:rsidR="00582B63" w:rsidRPr="00E54AB6" w:rsidRDefault="00582B63" w:rsidP="00582B63">
      <w:pPr>
        <w:spacing w:line="360" w:lineRule="auto"/>
        <w:jc w:val="both"/>
        <w:rPr>
          <w:rFonts w:ascii="David" w:hAnsi="David"/>
          <w:rtl/>
        </w:rPr>
      </w:pPr>
      <w:r w:rsidRPr="00E54AB6">
        <w:rPr>
          <w:rFonts w:ascii="David" w:hAnsi="David"/>
          <w:rtl/>
        </w:rPr>
        <w:t xml:space="preserve">המתחם צריך להתחיל ב - 15 חודשי מאסר, ולהסתיים ב-  36-40 חודשים. יש להטיל את הענישה בתחתית המתחם, כפי שגם ב"כ המאשימה הסכים לכך. </w:t>
      </w:r>
    </w:p>
    <w:p w14:paraId="6D7CECE4" w14:textId="77777777" w:rsidR="00582B63" w:rsidRPr="00E54AB6" w:rsidRDefault="00582B63" w:rsidP="00582B63">
      <w:pPr>
        <w:spacing w:line="360" w:lineRule="auto"/>
        <w:jc w:val="both"/>
        <w:rPr>
          <w:rFonts w:ascii="David" w:hAnsi="David"/>
          <w:rtl/>
        </w:rPr>
      </w:pPr>
    </w:p>
    <w:p w14:paraId="6C98EA40" w14:textId="77777777" w:rsidR="00582B63" w:rsidRPr="00E54AB6" w:rsidRDefault="00582B63" w:rsidP="00582B63">
      <w:pPr>
        <w:spacing w:line="360" w:lineRule="auto"/>
        <w:jc w:val="both"/>
        <w:rPr>
          <w:rFonts w:ascii="David" w:hAnsi="David"/>
          <w:rtl/>
        </w:rPr>
      </w:pPr>
      <w:r w:rsidRPr="00E54AB6">
        <w:rPr>
          <w:rFonts w:ascii="David" w:hAnsi="David"/>
          <w:rtl/>
        </w:rPr>
        <w:t xml:space="preserve">ככל שבית המשפט לא יראה את המתחם כפי שההגנה רואה אותו וייקבע מתחם שונה, התבקש לחרוג מהמתחם בהתאם </w:t>
      </w:r>
      <w:hyperlink r:id="rId14" w:history="1">
        <w:r w:rsidR="000E1754" w:rsidRPr="000E1754">
          <w:rPr>
            <w:rStyle w:val="Hyperlink"/>
            <w:rFonts w:ascii="David" w:hAnsi="David"/>
            <w:rtl/>
          </w:rPr>
          <w:t>לסעיף 40ד'</w:t>
        </w:r>
      </w:hyperlink>
      <w:r w:rsidRPr="00E54AB6">
        <w:rPr>
          <w:rFonts w:ascii="David" w:hAnsi="David"/>
          <w:rtl/>
        </w:rPr>
        <w:t xml:space="preserve"> ל</w:t>
      </w:r>
      <w:hyperlink r:id="rId15" w:history="1">
        <w:r w:rsidR="0008400E" w:rsidRPr="0008400E">
          <w:rPr>
            <w:rFonts w:ascii="David" w:hAnsi="David"/>
            <w:color w:val="0000FF"/>
            <w:u w:val="single"/>
            <w:rtl/>
          </w:rPr>
          <w:t>חוק העונשין</w:t>
        </w:r>
      </w:hyperlink>
      <w:r w:rsidRPr="00E54AB6">
        <w:rPr>
          <w:rFonts w:ascii="David" w:hAnsi="David"/>
          <w:rtl/>
        </w:rPr>
        <w:t xml:space="preserve">. </w:t>
      </w:r>
    </w:p>
    <w:p w14:paraId="415F8A2B" w14:textId="77777777" w:rsidR="00582B63" w:rsidRPr="00E54AB6" w:rsidRDefault="00582B63" w:rsidP="00582B63">
      <w:pPr>
        <w:spacing w:line="360" w:lineRule="auto"/>
        <w:jc w:val="both"/>
        <w:rPr>
          <w:rFonts w:ascii="David" w:hAnsi="David"/>
          <w:rtl/>
        </w:rPr>
      </w:pPr>
    </w:p>
    <w:p w14:paraId="09446346" w14:textId="77777777" w:rsidR="00582B63" w:rsidRPr="00E54AB6" w:rsidRDefault="00582B63" w:rsidP="00582B63">
      <w:pPr>
        <w:spacing w:line="360" w:lineRule="auto"/>
        <w:jc w:val="both"/>
        <w:rPr>
          <w:rFonts w:ascii="David" w:hAnsi="David"/>
          <w:rtl/>
        </w:rPr>
      </w:pPr>
      <w:r w:rsidRPr="00E54AB6">
        <w:rPr>
          <w:rFonts w:ascii="David" w:hAnsi="David"/>
          <w:rtl/>
        </w:rPr>
        <w:t>ביחס לנסיבות הקשורות בביצוע העבירה, מדובר ב- 55 ק"ג,  וגם במשקלים כבדים יותר, נקבעו מתחמים נמוכים יותר מעתירת ב"כ המאשימה.</w:t>
      </w:r>
    </w:p>
    <w:p w14:paraId="1FA12B21" w14:textId="77777777" w:rsidR="00582B63" w:rsidRPr="00E54AB6" w:rsidRDefault="00582B63" w:rsidP="00582B63">
      <w:pPr>
        <w:spacing w:line="360" w:lineRule="auto"/>
        <w:jc w:val="both"/>
        <w:rPr>
          <w:rFonts w:ascii="David" w:hAnsi="David"/>
          <w:rtl/>
        </w:rPr>
      </w:pPr>
    </w:p>
    <w:p w14:paraId="05005B65" w14:textId="77777777" w:rsidR="00582B63" w:rsidRPr="00E54AB6" w:rsidRDefault="00582B63" w:rsidP="00582B63">
      <w:pPr>
        <w:spacing w:line="360" w:lineRule="auto"/>
        <w:jc w:val="both"/>
        <w:rPr>
          <w:rFonts w:ascii="David" w:hAnsi="David"/>
          <w:rtl/>
        </w:rPr>
      </w:pPr>
      <w:r w:rsidRPr="00E54AB6">
        <w:rPr>
          <w:rFonts w:ascii="David" w:hAnsi="David"/>
          <w:rtl/>
        </w:rPr>
        <w:t>העבירה נמשכה במשך חודשיים לערך, במקרה זה אין עבירה של גניבת חשמל, ולא בוצע חיבור פיראטי לרשת החשמל.</w:t>
      </w:r>
    </w:p>
    <w:p w14:paraId="79BEF353" w14:textId="77777777" w:rsidR="00582B63" w:rsidRPr="00E54AB6" w:rsidRDefault="00582B63" w:rsidP="00582B63">
      <w:pPr>
        <w:spacing w:line="360" w:lineRule="auto"/>
        <w:jc w:val="both"/>
        <w:rPr>
          <w:rFonts w:ascii="David" w:hAnsi="David"/>
          <w:rtl/>
        </w:rPr>
      </w:pPr>
    </w:p>
    <w:p w14:paraId="2D89BBDA" w14:textId="77777777" w:rsidR="00582B63" w:rsidRPr="00E54AB6" w:rsidRDefault="00582B63" w:rsidP="00582B63">
      <w:pPr>
        <w:spacing w:line="360" w:lineRule="auto"/>
        <w:jc w:val="both"/>
        <w:rPr>
          <w:rFonts w:ascii="David" w:hAnsi="David"/>
          <w:rtl/>
        </w:rPr>
      </w:pPr>
      <w:r w:rsidRPr="00E54AB6">
        <w:rPr>
          <w:rFonts w:ascii="David" w:hAnsi="David"/>
          <w:rtl/>
        </w:rPr>
        <w:t xml:space="preserve">נטען כי העבירה נעברה לא בשל בצע כסף, אלא בשל קושי כלכלי, והנאשם שגה ונותן את הדין, אולם העבירה לא נעבירה לצורך חיי מותרות. </w:t>
      </w:r>
    </w:p>
    <w:p w14:paraId="17F8680C" w14:textId="77777777" w:rsidR="00582B63" w:rsidRPr="00E54AB6" w:rsidRDefault="00582B63" w:rsidP="00582B63">
      <w:pPr>
        <w:spacing w:line="360" w:lineRule="auto"/>
        <w:jc w:val="both"/>
        <w:rPr>
          <w:rFonts w:ascii="David" w:hAnsi="David"/>
          <w:rtl/>
        </w:rPr>
      </w:pPr>
    </w:p>
    <w:p w14:paraId="2FBC63A3" w14:textId="77777777" w:rsidR="00582B63" w:rsidRPr="00E54AB6" w:rsidRDefault="00582B63" w:rsidP="00582B63">
      <w:pPr>
        <w:spacing w:line="360" w:lineRule="auto"/>
        <w:jc w:val="both"/>
        <w:rPr>
          <w:rFonts w:ascii="David" w:hAnsi="David"/>
          <w:rtl/>
        </w:rPr>
      </w:pPr>
      <w:r w:rsidRPr="00E54AB6">
        <w:rPr>
          <w:rFonts w:ascii="David" w:hAnsi="David"/>
          <w:rtl/>
        </w:rPr>
        <w:t>הנאשם לקח אחריות כבר בהזדמנות הראשונה בשטח.</w:t>
      </w:r>
    </w:p>
    <w:p w14:paraId="69471E6F" w14:textId="77777777" w:rsidR="00582B63" w:rsidRPr="00E54AB6" w:rsidRDefault="00582B63" w:rsidP="00582B63">
      <w:pPr>
        <w:spacing w:line="360" w:lineRule="auto"/>
        <w:jc w:val="both"/>
        <w:rPr>
          <w:rFonts w:ascii="David" w:hAnsi="David"/>
          <w:rtl/>
        </w:rPr>
      </w:pPr>
      <w:r w:rsidRPr="00E54AB6">
        <w:rPr>
          <w:rFonts w:ascii="David" w:hAnsi="David"/>
          <w:rtl/>
        </w:rPr>
        <w:t xml:space="preserve"> </w:t>
      </w:r>
    </w:p>
    <w:p w14:paraId="68676755" w14:textId="77777777" w:rsidR="00582B63" w:rsidRPr="00E54AB6" w:rsidRDefault="00582B63" w:rsidP="00582B63">
      <w:pPr>
        <w:spacing w:line="360" w:lineRule="auto"/>
        <w:jc w:val="both"/>
        <w:rPr>
          <w:rFonts w:ascii="David" w:hAnsi="David"/>
          <w:rtl/>
        </w:rPr>
      </w:pPr>
      <w:r w:rsidRPr="00E54AB6">
        <w:rPr>
          <w:rFonts w:ascii="David" w:hAnsi="David"/>
          <w:rtl/>
        </w:rPr>
        <w:t>הנאשם בן 30, סיים 12 שנות לימוד, נעדר עבר פלילי, למעט עבר שהתיישן, וכולל היעדרות מהשירות, ואלו עבירות שאינן ממין העניין.</w:t>
      </w:r>
    </w:p>
    <w:p w14:paraId="61F40E01" w14:textId="77777777" w:rsidR="00582B63" w:rsidRPr="00E54AB6" w:rsidRDefault="00582B63" w:rsidP="00582B63">
      <w:pPr>
        <w:spacing w:line="360" w:lineRule="auto"/>
        <w:jc w:val="both"/>
        <w:rPr>
          <w:rFonts w:ascii="David" w:hAnsi="David"/>
          <w:rtl/>
        </w:rPr>
      </w:pPr>
    </w:p>
    <w:p w14:paraId="6ACA2C4E" w14:textId="77777777" w:rsidR="00582B63" w:rsidRPr="00E54AB6" w:rsidRDefault="00582B63" w:rsidP="00582B63">
      <w:pPr>
        <w:spacing w:line="360" w:lineRule="auto"/>
        <w:jc w:val="both"/>
        <w:rPr>
          <w:rFonts w:ascii="David" w:hAnsi="David"/>
          <w:rtl/>
        </w:rPr>
      </w:pPr>
      <w:r w:rsidRPr="00E54AB6">
        <w:rPr>
          <w:rFonts w:ascii="David" w:hAnsi="David"/>
          <w:rtl/>
        </w:rPr>
        <w:t xml:space="preserve">מדובר במאסר ראשון עם כל הקשיים הכרוכים בכך, מהתסקיר עולה שהנאשם חש תחושה של אשמה ובושה, והוא מכיר את הבעייתיות בהתנהלותו. </w:t>
      </w:r>
    </w:p>
    <w:p w14:paraId="69129469" w14:textId="77777777" w:rsidR="00582B63" w:rsidRPr="00E54AB6" w:rsidRDefault="00582B63" w:rsidP="00582B63">
      <w:pPr>
        <w:spacing w:line="360" w:lineRule="auto"/>
        <w:jc w:val="both"/>
        <w:rPr>
          <w:rFonts w:ascii="David" w:hAnsi="David"/>
          <w:rtl/>
        </w:rPr>
      </w:pPr>
    </w:p>
    <w:p w14:paraId="08D46587" w14:textId="77777777" w:rsidR="00582B63" w:rsidRPr="00E54AB6" w:rsidRDefault="00582B63" w:rsidP="00582B63">
      <w:pPr>
        <w:spacing w:line="360" w:lineRule="auto"/>
        <w:jc w:val="both"/>
        <w:rPr>
          <w:rFonts w:ascii="David" w:hAnsi="David"/>
          <w:rtl/>
        </w:rPr>
      </w:pPr>
      <w:r w:rsidRPr="00E54AB6">
        <w:rPr>
          <w:rFonts w:ascii="David" w:hAnsi="David"/>
          <w:rtl/>
        </w:rPr>
        <w:t xml:space="preserve">למרות הקשיים המשפחתיים, עדיין המשפחה מהווה סוג של גורם ממתן ומפחית מסוכנות. </w:t>
      </w:r>
    </w:p>
    <w:p w14:paraId="5747964D" w14:textId="77777777" w:rsidR="00582B63" w:rsidRPr="00E54AB6" w:rsidRDefault="00582B63" w:rsidP="00582B63">
      <w:pPr>
        <w:spacing w:line="360" w:lineRule="auto"/>
        <w:jc w:val="both"/>
        <w:rPr>
          <w:rFonts w:ascii="David" w:hAnsi="David"/>
          <w:rtl/>
        </w:rPr>
      </w:pPr>
    </w:p>
    <w:p w14:paraId="705DF2E5" w14:textId="77777777" w:rsidR="00582B63" w:rsidRPr="00E54AB6" w:rsidRDefault="00582B63" w:rsidP="00582B63">
      <w:pPr>
        <w:spacing w:line="360" w:lineRule="auto"/>
        <w:jc w:val="both"/>
        <w:rPr>
          <w:rFonts w:ascii="David" w:hAnsi="David"/>
          <w:rtl/>
        </w:rPr>
      </w:pPr>
      <w:r w:rsidRPr="00E54AB6">
        <w:rPr>
          <w:rFonts w:ascii="David" w:hAnsi="David"/>
          <w:rtl/>
        </w:rPr>
        <w:t xml:space="preserve">לנאשם יש אח שבמרוצת השנים הסתבך בפלילים, והנאשם שמר מרחק, התרחק מאותו אח, ונמנע מהסתבכות בפלילים. </w:t>
      </w:r>
    </w:p>
    <w:p w14:paraId="5F3C1CBF" w14:textId="77777777" w:rsidR="00582B63" w:rsidRPr="00E54AB6" w:rsidRDefault="00582B63" w:rsidP="00582B63">
      <w:pPr>
        <w:spacing w:line="360" w:lineRule="auto"/>
        <w:jc w:val="both"/>
        <w:rPr>
          <w:rFonts w:ascii="David" w:hAnsi="David"/>
          <w:rtl/>
        </w:rPr>
      </w:pPr>
    </w:p>
    <w:p w14:paraId="2027B869" w14:textId="77777777" w:rsidR="00582B63" w:rsidRPr="00E54AB6" w:rsidRDefault="00582B63" w:rsidP="00582B63">
      <w:pPr>
        <w:spacing w:line="360" w:lineRule="auto"/>
        <w:jc w:val="both"/>
        <w:rPr>
          <w:rFonts w:ascii="David" w:hAnsi="David"/>
          <w:rtl/>
        </w:rPr>
      </w:pPr>
      <w:r w:rsidRPr="00E54AB6">
        <w:rPr>
          <w:rFonts w:ascii="David" w:hAnsi="David"/>
          <w:rtl/>
        </w:rPr>
        <w:t xml:space="preserve">נטען כי לנאשם יש סיכוי ממשי להשתקם. </w:t>
      </w:r>
    </w:p>
    <w:p w14:paraId="2EDA52A3" w14:textId="77777777" w:rsidR="00582B63" w:rsidRPr="00E54AB6" w:rsidRDefault="00582B63" w:rsidP="00582B63">
      <w:pPr>
        <w:spacing w:line="360" w:lineRule="auto"/>
        <w:jc w:val="both"/>
        <w:rPr>
          <w:rFonts w:ascii="David" w:hAnsi="David"/>
          <w:rtl/>
        </w:rPr>
      </w:pPr>
    </w:p>
    <w:p w14:paraId="08A0FD6D" w14:textId="77777777" w:rsidR="00582B63" w:rsidRPr="00E54AB6" w:rsidRDefault="00582B63" w:rsidP="00582B63">
      <w:pPr>
        <w:spacing w:line="360" w:lineRule="auto"/>
        <w:jc w:val="both"/>
        <w:rPr>
          <w:rFonts w:ascii="David" w:hAnsi="David"/>
          <w:rtl/>
        </w:rPr>
      </w:pPr>
      <w:r w:rsidRPr="00E54AB6">
        <w:rPr>
          <w:rFonts w:ascii="David" w:hAnsi="David"/>
          <w:rtl/>
        </w:rPr>
        <w:t xml:space="preserve">התבקש שלא להטיל פסילת רישיון מאחר והעבירות לא בוצעו בהיותו נוהג, או בהסתייעות ברכב, או ששרוי בגילופין. </w:t>
      </w:r>
    </w:p>
    <w:p w14:paraId="2326F9A5" w14:textId="77777777" w:rsidR="00582B63" w:rsidRPr="00E54AB6" w:rsidRDefault="00582B63" w:rsidP="00582B63">
      <w:pPr>
        <w:spacing w:line="360" w:lineRule="auto"/>
        <w:jc w:val="both"/>
        <w:rPr>
          <w:rFonts w:ascii="David" w:hAnsi="David"/>
          <w:rtl/>
        </w:rPr>
      </w:pPr>
    </w:p>
    <w:p w14:paraId="2943E784" w14:textId="77777777" w:rsidR="00582B63" w:rsidRPr="00E54AB6" w:rsidRDefault="00582B63" w:rsidP="00582B63">
      <w:pPr>
        <w:spacing w:line="360" w:lineRule="auto"/>
        <w:jc w:val="both"/>
        <w:rPr>
          <w:rFonts w:ascii="David" w:hAnsi="David"/>
          <w:rtl/>
        </w:rPr>
      </w:pPr>
      <w:r w:rsidRPr="00E54AB6">
        <w:rPr>
          <w:rFonts w:ascii="David" w:hAnsi="David"/>
          <w:rtl/>
        </w:rPr>
        <w:t xml:space="preserve">ב"כ הנאשם עותר למקם את עונשו של הנאשם בתחתית הענישה, הטלת קנס נמוך ככל הניתן, ואי הטלת פסילה בפועל. </w:t>
      </w:r>
    </w:p>
    <w:p w14:paraId="2D156BC0" w14:textId="77777777" w:rsidR="00582B63" w:rsidRPr="00E54AB6" w:rsidRDefault="00582B63" w:rsidP="00582B63">
      <w:pPr>
        <w:spacing w:line="360" w:lineRule="auto"/>
        <w:jc w:val="both"/>
        <w:rPr>
          <w:rFonts w:ascii="David" w:hAnsi="David"/>
          <w:rtl/>
        </w:rPr>
      </w:pPr>
    </w:p>
    <w:p w14:paraId="29D37274" w14:textId="77777777" w:rsidR="00582B63" w:rsidRPr="00E54AB6" w:rsidRDefault="00582B63" w:rsidP="00582B63">
      <w:pPr>
        <w:spacing w:line="360" w:lineRule="auto"/>
        <w:jc w:val="both"/>
        <w:rPr>
          <w:rFonts w:ascii="David" w:hAnsi="David"/>
          <w:rtl/>
        </w:rPr>
      </w:pPr>
      <w:r w:rsidRPr="00E54AB6">
        <w:rPr>
          <w:rFonts w:ascii="David" w:hAnsi="David"/>
          <w:rtl/>
        </w:rPr>
        <w:t xml:space="preserve">הנאשם אמר כי הוא מצטער, הביא צער לחברה שלו ולמשפחה, הוא רוצה להתחיל דף חדש, ומתבייש במה שעשה, והתחיל בטיפולים אשר עוזרים לו קצת. </w:t>
      </w:r>
    </w:p>
    <w:p w14:paraId="2FDA8D7B" w14:textId="77777777" w:rsidR="00582B63" w:rsidRDefault="00582B63" w:rsidP="00582B63">
      <w:pPr>
        <w:spacing w:line="360" w:lineRule="auto"/>
        <w:jc w:val="both"/>
        <w:rPr>
          <w:rFonts w:ascii="David" w:hAnsi="David"/>
          <w:rtl/>
        </w:rPr>
      </w:pPr>
    </w:p>
    <w:p w14:paraId="6E726A24" w14:textId="77777777" w:rsidR="00582B63" w:rsidRPr="00E54AB6" w:rsidRDefault="00582B63" w:rsidP="00582B63">
      <w:pPr>
        <w:spacing w:line="360" w:lineRule="auto"/>
        <w:jc w:val="both"/>
        <w:rPr>
          <w:rFonts w:ascii="David" w:hAnsi="David"/>
          <w:rtl/>
        </w:rPr>
      </w:pPr>
    </w:p>
    <w:p w14:paraId="365EEBB4" w14:textId="77777777" w:rsidR="00582B63" w:rsidRPr="00E54AB6" w:rsidRDefault="00582B63" w:rsidP="00582B63">
      <w:pPr>
        <w:spacing w:line="360" w:lineRule="auto"/>
        <w:jc w:val="both"/>
        <w:rPr>
          <w:b/>
          <w:bCs/>
          <w:u w:val="single"/>
          <w:rtl/>
          <w:lang w:eastAsia="he-IL"/>
        </w:rPr>
      </w:pPr>
      <w:r w:rsidRPr="00E54AB6">
        <w:rPr>
          <w:b/>
          <w:bCs/>
          <w:u w:val="single"/>
          <w:rtl/>
          <w:lang w:eastAsia="he-IL"/>
        </w:rPr>
        <w:t>הערכים המוגנים והענישה</w:t>
      </w:r>
    </w:p>
    <w:p w14:paraId="72851F58" w14:textId="77777777" w:rsidR="00582B63" w:rsidRPr="00E54AB6" w:rsidRDefault="00582B63" w:rsidP="00582B63">
      <w:pPr>
        <w:spacing w:line="360" w:lineRule="auto"/>
        <w:jc w:val="both"/>
        <w:rPr>
          <w:b/>
          <w:bCs/>
          <w:u w:val="single"/>
          <w:rtl/>
          <w:lang w:eastAsia="he-IL"/>
        </w:rPr>
      </w:pPr>
    </w:p>
    <w:p w14:paraId="781073B1" w14:textId="77777777" w:rsidR="00582B63" w:rsidRPr="00E54AB6" w:rsidRDefault="00582B63" w:rsidP="00582B63">
      <w:pPr>
        <w:spacing w:line="360" w:lineRule="auto"/>
        <w:jc w:val="both"/>
        <w:rPr>
          <w:rtl/>
          <w:lang w:eastAsia="he-IL"/>
        </w:rPr>
      </w:pPr>
      <w:r w:rsidRPr="00E54AB6">
        <w:rPr>
          <w:rtl/>
        </w:rPr>
        <w:t>6.</w:t>
      </w:r>
      <w:r w:rsidRPr="00E54AB6">
        <w:rPr>
          <w:rFonts w:cs="Times New Roman"/>
          <w:rtl/>
        </w:rPr>
        <w:t xml:space="preserve"> </w:t>
      </w:r>
      <w:r w:rsidRPr="00E54AB6">
        <w:rPr>
          <w:rFonts w:ascii="David" w:hAnsi="David"/>
          <w:rtl/>
        </w:rPr>
        <w:tab/>
      </w:r>
      <w:r w:rsidRPr="00E54AB6">
        <w:rPr>
          <w:rtl/>
          <w:lang w:eastAsia="he-IL"/>
        </w:rPr>
        <w:t xml:space="preserve">הנאשם גידל בבית ששכר 600 שתילים של סם מסוכן מסוג קנבוס, לשם כך הצטייד בציוד רב כמפורט לעיל, ובחדרים שונים בבית נתפסו השתילים, כשהם במשקל כולל של 55 ק"ג. העבירה חמורה, ונסיבות ביצועה חמורות, היא מבוצעת לאורך זמן, בתכנון, ארגון, ושימוש באמצעים רבים. </w:t>
      </w:r>
    </w:p>
    <w:p w14:paraId="2A334FE7" w14:textId="77777777" w:rsidR="00582B63" w:rsidRPr="00E54AB6" w:rsidRDefault="00582B63" w:rsidP="00582B63">
      <w:pPr>
        <w:spacing w:line="360" w:lineRule="auto"/>
        <w:jc w:val="both"/>
        <w:rPr>
          <w:rtl/>
          <w:lang w:eastAsia="he-IL"/>
        </w:rPr>
      </w:pPr>
    </w:p>
    <w:p w14:paraId="0D8D1B7A" w14:textId="77777777" w:rsidR="00582B63" w:rsidRPr="00E54AB6" w:rsidRDefault="00582B63" w:rsidP="00582B63">
      <w:pPr>
        <w:spacing w:line="360" w:lineRule="auto"/>
        <w:jc w:val="both"/>
        <w:rPr>
          <w:rtl/>
          <w:lang w:eastAsia="he-IL"/>
        </w:rPr>
      </w:pPr>
      <w:r w:rsidRPr="00E54AB6">
        <w:rPr>
          <w:rtl/>
        </w:rPr>
        <w:t>בביצוע העביר</w:t>
      </w:r>
      <w:r>
        <w:rPr>
          <w:rFonts w:hint="cs"/>
          <w:rtl/>
        </w:rPr>
        <w:t>ה</w:t>
      </w:r>
      <w:r w:rsidRPr="00E54AB6">
        <w:rPr>
          <w:rtl/>
        </w:rPr>
        <w:t xml:space="preserve"> פגע הנאשם בערכים המוגנים ביסוד</w:t>
      </w:r>
      <w:r>
        <w:rPr>
          <w:rFonts w:hint="cs"/>
          <w:rtl/>
        </w:rPr>
        <w:t>ה</w:t>
      </w:r>
      <w:r w:rsidRPr="00E54AB6">
        <w:rPr>
          <w:rtl/>
        </w:rPr>
        <w:t xml:space="preserve"> שהם השמירה על הסדר החברתי, שלטון החוק, שלום הציבור, בריאות הציבור, והצורך למנוע השלכות פליליות וחברתיות</w:t>
      </w:r>
      <w:r w:rsidRPr="00E54AB6">
        <w:rPr>
          <w:rtl/>
          <w:lang w:eastAsia="he-IL"/>
        </w:rPr>
        <w:t>.</w:t>
      </w:r>
    </w:p>
    <w:p w14:paraId="7963C087" w14:textId="77777777" w:rsidR="00582B63" w:rsidRPr="00E54AB6" w:rsidRDefault="00582B63" w:rsidP="00582B63">
      <w:pPr>
        <w:spacing w:line="360" w:lineRule="auto"/>
        <w:jc w:val="both"/>
        <w:rPr>
          <w:rtl/>
          <w:lang w:eastAsia="he-IL"/>
        </w:rPr>
      </w:pPr>
    </w:p>
    <w:p w14:paraId="02DDF781" w14:textId="77777777" w:rsidR="00582B63" w:rsidRPr="00E54AB6" w:rsidRDefault="00582B63" w:rsidP="00582B63">
      <w:pPr>
        <w:spacing w:line="360" w:lineRule="auto"/>
        <w:jc w:val="both"/>
        <w:rPr>
          <w:rtl/>
          <w:lang w:eastAsia="he-IL"/>
        </w:rPr>
      </w:pPr>
      <w:r w:rsidRPr="00E54AB6">
        <w:rPr>
          <w:rtl/>
          <w:lang w:eastAsia="he-IL"/>
        </w:rPr>
        <w:t xml:space="preserve">7. </w:t>
      </w:r>
      <w:r w:rsidRPr="00E54AB6">
        <w:rPr>
          <w:rtl/>
          <w:lang w:eastAsia="he-IL"/>
        </w:rPr>
        <w:tab/>
        <w:t xml:space="preserve">עבירות הסמים הינן חמורות, בפסיקה קיימת התייחסות ענפה לצורך במיגור התופעה, כאשר השיקולים האישיים של העבריין נסוגים מפני השיקולים הקשורים בנזקים להם גורמים הסמים. עוד נקבע כי יש ליתן משקל רב יותר לשיקולי ההרתעה והגמול על מנת להילחם בנגע הסמים.  </w:t>
      </w:r>
    </w:p>
    <w:p w14:paraId="186CB81A" w14:textId="77777777" w:rsidR="00582B63" w:rsidRPr="00E54AB6" w:rsidRDefault="00582B63" w:rsidP="00582B63">
      <w:pPr>
        <w:spacing w:line="360" w:lineRule="auto"/>
        <w:ind w:left="1269" w:right="1418"/>
        <w:jc w:val="both"/>
        <w:rPr>
          <w:b/>
          <w:bCs/>
          <w:rtl/>
          <w:lang w:eastAsia="he-IL"/>
        </w:rPr>
      </w:pPr>
    </w:p>
    <w:p w14:paraId="1DDF85AE" w14:textId="77777777" w:rsidR="00582B63" w:rsidRPr="00E54AB6" w:rsidRDefault="00582B63" w:rsidP="00582B63">
      <w:pPr>
        <w:spacing w:line="360" w:lineRule="auto"/>
        <w:jc w:val="both"/>
        <w:rPr>
          <w:b/>
          <w:bCs/>
          <w:rtl/>
        </w:rPr>
      </w:pPr>
      <w:r w:rsidRPr="00E54AB6">
        <w:rPr>
          <w:b/>
          <w:rtl/>
        </w:rPr>
        <w:t>המאבק בנגע  הסמים מתייחס לכל סוגיהם. אפנה בענין זה ל</w:t>
      </w:r>
      <w:hyperlink r:id="rId16" w:history="1">
        <w:r w:rsidR="0008400E" w:rsidRPr="0008400E">
          <w:rPr>
            <w:color w:val="0000FF"/>
            <w:u w:val="single"/>
            <w:rtl/>
          </w:rPr>
          <w:t>ע"פ 2000/06</w:t>
        </w:r>
      </w:hyperlink>
      <w:r w:rsidRPr="00E54AB6">
        <w:rPr>
          <w:rtl/>
        </w:rPr>
        <w:t xml:space="preserve"> </w:t>
      </w:r>
      <w:r w:rsidRPr="00E54AB6">
        <w:rPr>
          <w:b/>
          <w:bCs/>
          <w:rtl/>
        </w:rPr>
        <w:t>מ"י נ' ויצמן ואח'</w:t>
      </w:r>
      <w:r w:rsidRPr="00E54AB6">
        <w:rPr>
          <w:rtl/>
        </w:rPr>
        <w:t xml:space="preserve"> (20.7.06) בו נפסק: </w:t>
      </w:r>
      <w:r w:rsidRPr="00E54AB6">
        <w:rPr>
          <w:b/>
          <w:bCs/>
          <w:rtl/>
        </w:rPr>
        <w:t xml:space="preserve">"המאבק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 </w:t>
      </w:r>
    </w:p>
    <w:p w14:paraId="23183297" w14:textId="77777777" w:rsidR="00582B63" w:rsidRPr="00E54AB6" w:rsidRDefault="00582B63" w:rsidP="00582B63">
      <w:pPr>
        <w:spacing w:line="360" w:lineRule="auto"/>
        <w:jc w:val="both"/>
        <w:rPr>
          <w:b/>
          <w:rtl/>
        </w:rPr>
      </w:pPr>
    </w:p>
    <w:p w14:paraId="72597E2E" w14:textId="77777777" w:rsidR="00582B63" w:rsidRPr="00E54AB6" w:rsidRDefault="00582B63" w:rsidP="00582B63">
      <w:pPr>
        <w:spacing w:line="360" w:lineRule="auto"/>
        <w:jc w:val="both"/>
        <w:rPr>
          <w:bCs/>
          <w:rtl/>
        </w:rPr>
      </w:pPr>
      <w:r w:rsidRPr="00E54AB6">
        <w:rPr>
          <w:b/>
          <w:rtl/>
        </w:rPr>
        <w:t xml:space="preserve">עוד לעניין זה ר' ע"פ </w:t>
      </w:r>
      <w:hyperlink r:id="rId17" w:history="1">
        <w:r w:rsidR="009C0700" w:rsidRPr="009C0700">
          <w:rPr>
            <w:b/>
            <w:color w:val="0000FF"/>
            <w:u w:val="single"/>
            <w:rtl/>
          </w:rPr>
          <w:t xml:space="preserve">407/97 </w:t>
        </w:r>
      </w:hyperlink>
      <w:r w:rsidRPr="00E54AB6">
        <w:rPr>
          <w:b/>
          <w:rtl/>
        </w:rPr>
        <w:t xml:space="preserve"> </w:t>
      </w:r>
      <w:r w:rsidRPr="00E54AB6">
        <w:rPr>
          <w:bCs/>
          <w:rtl/>
        </w:rPr>
        <w:t xml:space="preserve">אמויאל יניב נ' מ"י </w:t>
      </w:r>
      <w:r w:rsidRPr="00E54AB6">
        <w:rPr>
          <w:b/>
          <w:rtl/>
        </w:rPr>
        <w:t xml:space="preserve">(15.4.1997) בו נפסק: </w:t>
      </w:r>
      <w:r w:rsidRPr="00E54AB6">
        <w:rPr>
          <w:bCs/>
          <w:rtl/>
        </w:rPr>
        <w:t xml:space="preserve">"המאבק בהפצת הסמים כולל גם הפצתם של סמים קלים יחסית, דוגמת הקנבוס; ולמיותר יהיה לחזור ולהזכיר את המעבר הקל – והטבעי – מצריכתם של סמים קלים לכבדים יותר". </w:t>
      </w:r>
    </w:p>
    <w:p w14:paraId="6E4A94CF" w14:textId="77777777" w:rsidR="00582B63" w:rsidRPr="00E54AB6" w:rsidRDefault="00582B63" w:rsidP="00582B63">
      <w:pPr>
        <w:spacing w:line="360" w:lineRule="auto"/>
        <w:jc w:val="both"/>
        <w:rPr>
          <w:bCs/>
          <w:rtl/>
        </w:rPr>
      </w:pPr>
    </w:p>
    <w:p w14:paraId="3E3BAAD5" w14:textId="77777777" w:rsidR="00582B63" w:rsidRPr="00E54AB6" w:rsidRDefault="00582B63" w:rsidP="00582B63">
      <w:pPr>
        <w:spacing w:line="360" w:lineRule="auto"/>
        <w:jc w:val="both"/>
        <w:rPr>
          <w:b/>
          <w:rtl/>
        </w:rPr>
      </w:pPr>
      <w:r w:rsidRPr="00E54AB6">
        <w:rPr>
          <w:b/>
          <w:rtl/>
        </w:rPr>
        <w:t xml:space="preserve">וכן </w:t>
      </w:r>
      <w:hyperlink r:id="rId18" w:history="1">
        <w:r w:rsidR="0008400E" w:rsidRPr="0008400E">
          <w:rPr>
            <w:b/>
            <w:color w:val="0000FF"/>
            <w:u w:val="single"/>
            <w:rtl/>
          </w:rPr>
          <w:t>ע"פ 170/07</w:t>
        </w:r>
      </w:hyperlink>
      <w:r w:rsidRPr="00E54AB6">
        <w:rPr>
          <w:b/>
          <w:rtl/>
        </w:rPr>
        <w:t xml:space="preserve"> </w:t>
      </w:r>
      <w:r w:rsidRPr="00E54AB6">
        <w:rPr>
          <w:bCs/>
          <w:rtl/>
        </w:rPr>
        <w:t xml:space="preserve">ליאור מטיס נ' מ"י </w:t>
      </w:r>
      <w:r w:rsidRPr="00E54AB6">
        <w:rPr>
          <w:b/>
          <w:rtl/>
        </w:rPr>
        <w:t xml:space="preserve"> (19.11.2007) בו נפסק: </w:t>
      </w:r>
      <w:r w:rsidRPr="00E54AB6">
        <w:rPr>
          <w:bCs/>
          <w:rtl/>
        </w:rPr>
        <w:t xml:space="preserve">"לרוע המזל, סמים קלים מהווים לעיתים קרובות את יריעת הפתיחה להתמכרות לסמים קשים יותר, שלא לדבר על כך שגם בשימוש בהם עצמם טמונה סכנה. בבש"פ 442/96 מ"י נ' יריב טולדנו (לא פורסם) אמר השופט מ. חשין כי: "סם מסוכן הוא סם מסוכן גם אם אינו מן הסמים ה"קשים"..."". </w:t>
      </w:r>
    </w:p>
    <w:p w14:paraId="12157AEF" w14:textId="77777777" w:rsidR="00582B63" w:rsidRPr="00E54AB6" w:rsidRDefault="00582B63" w:rsidP="00582B63">
      <w:pPr>
        <w:spacing w:line="360" w:lineRule="auto"/>
        <w:jc w:val="both"/>
        <w:rPr>
          <w:rtl/>
          <w:lang w:eastAsia="he-IL"/>
        </w:rPr>
      </w:pPr>
    </w:p>
    <w:p w14:paraId="5D19D639" w14:textId="77777777" w:rsidR="00582B63" w:rsidRPr="00E54AB6" w:rsidRDefault="00582B63" w:rsidP="00582B63">
      <w:pPr>
        <w:spacing w:line="360" w:lineRule="auto"/>
        <w:jc w:val="both"/>
        <w:rPr>
          <w:u w:val="single"/>
          <w:rtl/>
          <w:lang w:eastAsia="he-IL"/>
        </w:rPr>
      </w:pPr>
      <w:r w:rsidRPr="00E54AB6">
        <w:rPr>
          <w:rtl/>
          <w:lang w:eastAsia="he-IL"/>
        </w:rPr>
        <w:t>8.</w:t>
      </w:r>
      <w:r w:rsidRPr="00E54AB6">
        <w:rPr>
          <w:rtl/>
          <w:lang w:eastAsia="he-IL"/>
        </w:rPr>
        <w:tab/>
        <w:t xml:space="preserve">הצדדים קבעו טווח ענישה מוסכם במסגרתו המאשימה תטען לעונש מאסר של 30 חודשים וההגנה חופשית בטיעוניה. זהו טווח ענישה שהוא תוצאת </w:t>
      </w:r>
      <w:r w:rsidRPr="00E54AB6">
        <w:rPr>
          <w:b/>
          <w:bCs/>
          <w:rtl/>
          <w:lang w:eastAsia="he-IL"/>
        </w:rPr>
        <w:t>"מיצוי כוח המיקוח של כל אחד מהצדדים להליך, בשים לב לכלל נסיבות התיק..."</w:t>
      </w:r>
      <w:r w:rsidRPr="00E54AB6">
        <w:rPr>
          <w:rtl/>
          <w:lang w:eastAsia="he-IL"/>
        </w:rPr>
        <w:t xml:space="preserve"> ע"פ </w:t>
      </w:r>
      <w:hyperlink r:id="rId19" w:history="1">
        <w:r w:rsidR="009C0700" w:rsidRPr="009C0700">
          <w:rPr>
            <w:color w:val="0000FF"/>
            <w:u w:val="single"/>
            <w:rtl/>
            <w:lang w:eastAsia="he-IL"/>
          </w:rPr>
          <w:t xml:space="preserve">512/13 </w:t>
        </w:r>
      </w:hyperlink>
      <w:r w:rsidRPr="00E54AB6">
        <w:rPr>
          <w:rtl/>
          <w:lang w:eastAsia="he-IL"/>
        </w:rPr>
        <w:t xml:space="preserve"> </w:t>
      </w:r>
      <w:r w:rsidRPr="00E54AB6">
        <w:rPr>
          <w:b/>
          <w:bCs/>
          <w:rtl/>
          <w:lang w:eastAsia="he-IL"/>
        </w:rPr>
        <w:t xml:space="preserve">פלוני נ' מ"י </w:t>
      </w:r>
      <w:r w:rsidRPr="00E54AB6">
        <w:rPr>
          <w:rtl/>
          <w:lang w:eastAsia="he-IL"/>
        </w:rPr>
        <w:t xml:space="preserve">(4.12.2013). </w:t>
      </w:r>
    </w:p>
    <w:p w14:paraId="433C39C6" w14:textId="77777777" w:rsidR="00582B63" w:rsidRPr="00E54AB6" w:rsidRDefault="00582B63" w:rsidP="00582B63">
      <w:pPr>
        <w:spacing w:line="360" w:lineRule="auto"/>
        <w:jc w:val="both"/>
        <w:rPr>
          <w:b/>
          <w:bCs/>
          <w:u w:val="single"/>
          <w:rtl/>
          <w:lang w:eastAsia="he-IL"/>
        </w:rPr>
      </w:pPr>
    </w:p>
    <w:p w14:paraId="78813E70" w14:textId="77777777" w:rsidR="00582B63" w:rsidRPr="00E54AB6" w:rsidRDefault="00582B63" w:rsidP="00582B63">
      <w:pPr>
        <w:spacing w:line="360" w:lineRule="auto"/>
        <w:ind w:left="26"/>
        <w:jc w:val="both"/>
        <w:rPr>
          <w:rFonts w:ascii="David" w:hAnsi="David"/>
          <w:rtl/>
        </w:rPr>
      </w:pPr>
      <w:r w:rsidRPr="00E54AB6">
        <w:rPr>
          <w:rFonts w:ascii="David" w:hAnsi="David"/>
          <w:rtl/>
        </w:rPr>
        <w:t xml:space="preserve">מתחם העונש ההולם הינו בבחינת </w:t>
      </w:r>
      <w:r w:rsidRPr="00E54AB6">
        <w:rPr>
          <w:rFonts w:ascii="David" w:hAnsi="David"/>
          <w:b/>
          <w:bCs/>
          <w:rtl/>
        </w:rPr>
        <w:t>"קביעה נורמטיבית של בית המשפט באשר לטווח הענישה הראוי..."</w:t>
      </w:r>
      <w:r w:rsidRPr="00E54AB6">
        <w:rPr>
          <w:rFonts w:ascii="David" w:hAnsi="David"/>
          <w:rtl/>
        </w:rPr>
        <w:t xml:space="preserve"> (ע"פ </w:t>
      </w:r>
      <w:hyperlink r:id="rId20" w:history="1">
        <w:r w:rsidR="009C0700" w:rsidRPr="009C0700">
          <w:rPr>
            <w:rFonts w:ascii="David" w:hAnsi="David"/>
            <w:color w:val="0000FF"/>
            <w:u w:val="single"/>
            <w:rtl/>
          </w:rPr>
          <w:t xml:space="preserve">512/13 </w:t>
        </w:r>
      </w:hyperlink>
      <w:r w:rsidRPr="00E54AB6">
        <w:rPr>
          <w:rFonts w:ascii="David" w:hAnsi="David"/>
          <w:rtl/>
        </w:rPr>
        <w:t xml:space="preserve"> </w:t>
      </w:r>
      <w:r w:rsidRPr="00E54AB6">
        <w:rPr>
          <w:rFonts w:ascii="David" w:hAnsi="David"/>
          <w:b/>
          <w:bCs/>
          <w:rtl/>
        </w:rPr>
        <w:t xml:space="preserve">פלוני נ' מ"י </w:t>
      </w:r>
      <w:r w:rsidRPr="00E54AB6">
        <w:rPr>
          <w:rFonts w:ascii="David" w:hAnsi="David"/>
          <w:rtl/>
        </w:rPr>
        <w:t>(4.12.2013)), אל מול טווח הענישה בהסדר אשר הוא תוצאת הסכמה בין הצדדים.</w:t>
      </w:r>
    </w:p>
    <w:p w14:paraId="114542E8" w14:textId="77777777" w:rsidR="00582B63" w:rsidRPr="00E54AB6" w:rsidRDefault="00582B63" w:rsidP="00582B63">
      <w:pPr>
        <w:spacing w:line="360" w:lineRule="auto"/>
        <w:ind w:left="26"/>
        <w:jc w:val="both"/>
        <w:rPr>
          <w:rFonts w:ascii="David" w:hAnsi="David"/>
          <w:rtl/>
        </w:rPr>
      </w:pPr>
    </w:p>
    <w:p w14:paraId="29246745" w14:textId="77777777" w:rsidR="00582B63" w:rsidRPr="00E54AB6" w:rsidRDefault="00582B63" w:rsidP="00582B63">
      <w:pPr>
        <w:spacing w:line="360" w:lineRule="auto"/>
        <w:ind w:left="26"/>
        <w:jc w:val="both"/>
        <w:rPr>
          <w:rFonts w:ascii="David" w:hAnsi="David"/>
          <w:rtl/>
        </w:rPr>
      </w:pPr>
      <w:r w:rsidRPr="00E54AB6">
        <w:rPr>
          <w:rFonts w:ascii="David" w:hAnsi="David"/>
          <w:rtl/>
        </w:rPr>
        <w:t xml:space="preserve">משאין ספק בקיומו של ההסדר, אין מקום לקביעת מתחם עונש הולם. ר' ע"פ </w:t>
      </w:r>
      <w:hyperlink r:id="rId21" w:history="1">
        <w:r w:rsidR="009C0700" w:rsidRPr="009C0700">
          <w:rPr>
            <w:rFonts w:ascii="David" w:hAnsi="David"/>
            <w:color w:val="0000FF"/>
            <w:u w:val="single"/>
            <w:rtl/>
          </w:rPr>
          <w:t xml:space="preserve">512/13 </w:t>
        </w:r>
      </w:hyperlink>
      <w:r w:rsidRPr="00E54AB6">
        <w:rPr>
          <w:rFonts w:ascii="David" w:hAnsi="David"/>
          <w:rtl/>
        </w:rPr>
        <w:t xml:space="preserve"> </w:t>
      </w:r>
      <w:r w:rsidRPr="00E54AB6">
        <w:rPr>
          <w:rFonts w:ascii="David" w:hAnsi="David"/>
          <w:b/>
          <w:bCs/>
          <w:rtl/>
        </w:rPr>
        <w:t xml:space="preserve">פלוני נ' מ"י </w:t>
      </w:r>
      <w:r w:rsidRPr="00E54AB6">
        <w:rPr>
          <w:rFonts w:ascii="David" w:hAnsi="David"/>
          <w:rtl/>
        </w:rPr>
        <w:t xml:space="preserve">(4.12.2013). לענין זה ר' גם </w:t>
      </w:r>
      <w:hyperlink r:id="rId22" w:history="1">
        <w:r w:rsidR="0008400E" w:rsidRPr="0008400E">
          <w:rPr>
            <w:rFonts w:ascii="David" w:hAnsi="David"/>
            <w:color w:val="0000FF"/>
            <w:u w:val="single"/>
            <w:rtl/>
          </w:rPr>
          <w:t>ע"פ 2454/18</w:t>
        </w:r>
      </w:hyperlink>
      <w:r w:rsidRPr="00E54AB6">
        <w:rPr>
          <w:rFonts w:ascii="David" w:hAnsi="David"/>
          <w:rtl/>
        </w:rPr>
        <w:t xml:space="preserve"> </w:t>
      </w:r>
      <w:r w:rsidRPr="00E54AB6">
        <w:rPr>
          <w:rFonts w:ascii="David" w:hAnsi="David"/>
          <w:b/>
          <w:bCs/>
          <w:rtl/>
        </w:rPr>
        <w:t>שיינברג נ' מ"י</w:t>
      </w:r>
      <w:r w:rsidRPr="00E54AB6">
        <w:rPr>
          <w:rFonts w:ascii="David" w:hAnsi="David"/>
          <w:rtl/>
        </w:rPr>
        <w:t xml:space="preserve"> (6.12.2018), בו הובאה כאפשרית הדעה לפיה כאשר הצדדים הסכימו על טווח ענישה שנופל בבירור בתוך מתחם הענישה, אין צורך להרחיב בקביעת המתחם.</w:t>
      </w:r>
    </w:p>
    <w:p w14:paraId="749A8340" w14:textId="77777777" w:rsidR="00582B63" w:rsidRPr="00E54AB6" w:rsidRDefault="00582B63" w:rsidP="00582B63">
      <w:pPr>
        <w:spacing w:line="360" w:lineRule="auto"/>
        <w:jc w:val="both"/>
        <w:rPr>
          <w:rtl/>
          <w:lang w:eastAsia="he-IL"/>
        </w:rPr>
      </w:pPr>
    </w:p>
    <w:p w14:paraId="66AA2F80" w14:textId="77777777" w:rsidR="00582B63" w:rsidRPr="00E54AB6" w:rsidRDefault="00582B63" w:rsidP="00582B63">
      <w:pPr>
        <w:spacing w:line="360" w:lineRule="auto"/>
        <w:jc w:val="both"/>
        <w:rPr>
          <w:b/>
          <w:bCs/>
          <w:lang w:eastAsia="he-IL"/>
        </w:rPr>
      </w:pPr>
      <w:r w:rsidRPr="00E54AB6">
        <w:rPr>
          <w:rtl/>
          <w:lang w:eastAsia="he-IL"/>
        </w:rPr>
        <w:t>9.</w:t>
      </w:r>
      <w:r w:rsidRPr="00E54AB6">
        <w:rPr>
          <w:rtl/>
          <w:lang w:eastAsia="he-IL"/>
        </w:rPr>
        <w:tab/>
        <w:t>ב</w:t>
      </w:r>
      <w:hyperlink r:id="rId23" w:history="1">
        <w:r w:rsidR="0008400E" w:rsidRPr="0008400E">
          <w:rPr>
            <w:color w:val="0000FF"/>
            <w:u w:val="single"/>
            <w:rtl/>
            <w:lang w:eastAsia="he-IL"/>
          </w:rPr>
          <w:t>רע"פ 174/21</w:t>
        </w:r>
      </w:hyperlink>
      <w:r w:rsidRPr="00E54AB6">
        <w:rPr>
          <w:rtl/>
          <w:lang w:eastAsia="he-IL"/>
        </w:rPr>
        <w:t xml:space="preserve">  </w:t>
      </w:r>
      <w:r w:rsidRPr="00E54AB6">
        <w:rPr>
          <w:b/>
          <w:bCs/>
          <w:rtl/>
          <w:lang w:eastAsia="he-IL"/>
        </w:rPr>
        <w:t>ישראל סעדיה סויסה נ' מ"י</w:t>
      </w:r>
      <w:r w:rsidRPr="00E54AB6">
        <w:rPr>
          <w:rtl/>
          <w:lang w:eastAsia="he-IL"/>
        </w:rPr>
        <w:t xml:space="preserve"> (‏25.2.2021) הורשע המבקש בעבירות של ייצור, הכנה והפקה של סם מסוכן, והחזקת סם מסוכן שלא לצריכה עצמית. במעבדה שהקים המבקש נתפסו 420 מכלים, בהם סם מסוכן מסוג קנבוס במשקל 37.95 ק"ג. בימ"ש השלום גזר 9 חודשי עבודות שירות ועונשים נוספים. ערעור לביהמ"ש המחוזי על קולת העונש התקבל ברוב דעות, </w:t>
      </w:r>
      <w:r w:rsidRPr="00E54AB6">
        <w:rPr>
          <w:rtl/>
        </w:rPr>
        <w:t xml:space="preserve">נקבע כי </w:t>
      </w:r>
      <w:r w:rsidRPr="00E54AB6">
        <w:rPr>
          <w:b/>
          <w:bCs/>
          <w:rtl/>
        </w:rPr>
        <w:t xml:space="preserve">"הקמת 'מעבדות' לגידול קנבוס בדירות מגורים הפכה ל'מכת מדינה', ולכן יש להעביר מסר הרתעתי ברור ולא סלחני", </w:t>
      </w:r>
      <w:r w:rsidRPr="00E54AB6">
        <w:rPr>
          <w:rtl/>
        </w:rPr>
        <w:t>מתחם העונש ההולם הועמד על 15 עד 30 חודשי מאסר בפועל, לצד עונשים נלווים</w:t>
      </w:r>
      <w:r w:rsidRPr="00E54AB6">
        <w:rPr>
          <w:rtl/>
          <w:lang w:eastAsia="he-IL"/>
        </w:rPr>
        <w:t xml:space="preserve">, והעונש הועמד על 12 חודשי מאסר בפועל לאור משקל שניתן להליך בו מצוי המבקש. בקשת רשות הערעור נדחתה. נדחתה טענת המבקש בדבר שינוי הגישה העונשית כלפי עוברי עבירות גידול סם ונקבע:  </w:t>
      </w:r>
      <w:r w:rsidRPr="00E54AB6">
        <w:rPr>
          <w:b/>
          <w:bCs/>
          <w:rtl/>
          <w:lang w:eastAsia="he-IL"/>
        </w:rPr>
        <w:t>"אין לקבל את טענת המבקש בדבר שינוי הגישה העונשית כלפי עוברי עבירה הקשורה בגידול סם הקנביס והחזקתו שלא לצריכה עצמית מצד קובעי המדיניות. אך בעת האחרונה קבע בית משפט זה כי הדין הנוהג והמחייב הוא הקבוע בפקודה לפיה קנביס הוא סם מסוכן (</w:t>
      </w:r>
      <w:hyperlink r:id="rId24" w:history="1">
        <w:r w:rsidR="0008400E" w:rsidRPr="0008400E">
          <w:rPr>
            <w:b/>
            <w:bCs/>
            <w:color w:val="0000FF"/>
            <w:u w:val="single"/>
            <w:rtl/>
            <w:lang w:eastAsia="he-IL"/>
          </w:rPr>
          <w:t>ע"פ 6299/20</w:t>
        </w:r>
      </w:hyperlink>
      <w:r w:rsidRPr="00E54AB6">
        <w:rPr>
          <w:b/>
          <w:bCs/>
          <w:rtl/>
          <w:lang w:eastAsia="he-IL"/>
        </w:rPr>
        <w:t xml:space="preserve"> חן נ' מדינת ישראל [פורסם בנבו] (4.2.2021))."</w:t>
      </w:r>
    </w:p>
    <w:p w14:paraId="29ED2814" w14:textId="77777777" w:rsidR="00582B63" w:rsidRPr="00E54AB6" w:rsidRDefault="00582B63" w:rsidP="00582B63">
      <w:pPr>
        <w:spacing w:line="360" w:lineRule="auto"/>
        <w:jc w:val="both"/>
        <w:rPr>
          <w:rtl/>
          <w:lang w:eastAsia="he-IL"/>
        </w:rPr>
      </w:pPr>
    </w:p>
    <w:p w14:paraId="0A27544C" w14:textId="77777777" w:rsidR="00582B63" w:rsidRPr="00E54AB6" w:rsidRDefault="00582B63" w:rsidP="00582B63">
      <w:pPr>
        <w:spacing w:line="360" w:lineRule="auto"/>
        <w:jc w:val="both"/>
        <w:rPr>
          <w:b/>
          <w:bCs/>
          <w:rtl/>
          <w:lang w:eastAsia="he-IL"/>
        </w:rPr>
      </w:pPr>
      <w:r w:rsidRPr="00E54AB6">
        <w:rPr>
          <w:rtl/>
          <w:lang w:eastAsia="he-IL"/>
        </w:rPr>
        <w:t>נפנה לדברים הללו מ</w:t>
      </w:r>
      <w:hyperlink r:id="rId25" w:history="1">
        <w:r w:rsidR="0008400E" w:rsidRPr="0008400E">
          <w:rPr>
            <w:color w:val="0000FF"/>
            <w:u w:val="single"/>
            <w:rtl/>
            <w:lang w:eastAsia="he-IL"/>
          </w:rPr>
          <w:t>ע"פ 6299/20</w:t>
        </w:r>
      </w:hyperlink>
      <w:r w:rsidRPr="00E54AB6">
        <w:rPr>
          <w:rtl/>
          <w:lang w:eastAsia="he-IL"/>
        </w:rPr>
        <w:t xml:space="preserve"> </w:t>
      </w:r>
      <w:r w:rsidRPr="00E54AB6">
        <w:rPr>
          <w:b/>
          <w:bCs/>
          <w:rtl/>
          <w:lang w:eastAsia="he-IL"/>
        </w:rPr>
        <w:t>שחר חן נ' מ"י</w:t>
      </w:r>
      <w:r w:rsidRPr="00E54AB6">
        <w:rPr>
          <w:rtl/>
          <w:lang w:eastAsia="he-IL"/>
        </w:rPr>
        <w:t xml:space="preserve"> (4.2.2021): </w:t>
      </w:r>
      <w:r w:rsidRPr="00E54AB6">
        <w:rPr>
          <w:b/>
          <w:bCs/>
          <w:rtl/>
          <w:lang w:eastAsia="he-IL"/>
        </w:rPr>
        <w:t>"... תפיסה שלפיה סחר בסמים 'קלים' איננו סחר בסמים מסוכנים – משוללת יסוד; אין לה אחיזה לא בדין המצוי, לא בדין הראוי: "צרכנים ומשתמשים – ראו הוזהרתם" (דברי השופט י' עמית ב</w:t>
      </w:r>
      <w:hyperlink r:id="rId26" w:history="1">
        <w:r w:rsidR="0008400E" w:rsidRPr="0008400E">
          <w:rPr>
            <w:b/>
            <w:bCs/>
            <w:color w:val="0000FF"/>
            <w:u w:val="single"/>
            <w:rtl/>
            <w:lang w:eastAsia="he-IL"/>
          </w:rPr>
          <w:t>ע"פ 2596/18</w:t>
        </w:r>
      </w:hyperlink>
      <w:r w:rsidRPr="00E54AB6">
        <w:rPr>
          <w:b/>
          <w:bCs/>
          <w:rtl/>
          <w:lang w:eastAsia="he-IL"/>
        </w:rPr>
        <w:t xml:space="preserve"> זנזורי נ' מדינת ישראל, פסקה 8 (12.8.2018)). המערער הקים כזכור מעבדה לגידול והפקת סם מסוכן מסוג קנאביס בדירה ששכר בתל אביב, בה גידל והפיק כ-600 שתילים במשקל כולל של 90 ק"ג במשך כ-4 חודשים. המעבדה התפרסה על פני 5 חדרים וכללה מערכות חשמל, השקיה, חימום ואוורור, גופי תאורה, בלוני חמצן ואדניות. המערער יתן אפוא את הדין על מעשיו, כך גם כל מי שיהין לעשות כדבר הרע הזה." </w:t>
      </w:r>
    </w:p>
    <w:p w14:paraId="21D99099" w14:textId="77777777" w:rsidR="00582B63" w:rsidRPr="00E54AB6" w:rsidRDefault="00582B63" w:rsidP="00582B63">
      <w:pPr>
        <w:spacing w:line="360" w:lineRule="auto"/>
        <w:jc w:val="both"/>
        <w:rPr>
          <w:b/>
          <w:bCs/>
          <w:rtl/>
          <w:lang w:eastAsia="he-IL"/>
        </w:rPr>
      </w:pPr>
    </w:p>
    <w:p w14:paraId="328CFEC5" w14:textId="77777777" w:rsidR="00582B63" w:rsidRPr="00E54AB6" w:rsidRDefault="00582B63" w:rsidP="00582B63">
      <w:pPr>
        <w:spacing w:line="360" w:lineRule="auto"/>
        <w:jc w:val="both"/>
        <w:rPr>
          <w:rtl/>
          <w:lang w:eastAsia="he-IL"/>
        </w:rPr>
      </w:pPr>
      <w:r w:rsidRPr="00E54AB6">
        <w:rPr>
          <w:rtl/>
          <w:lang w:eastAsia="he-IL"/>
        </w:rPr>
        <w:t>ב</w:t>
      </w:r>
      <w:hyperlink r:id="rId27" w:history="1">
        <w:r w:rsidR="0008400E" w:rsidRPr="0008400E">
          <w:rPr>
            <w:color w:val="0000FF"/>
            <w:u w:val="single"/>
            <w:rtl/>
            <w:lang w:eastAsia="he-IL"/>
          </w:rPr>
          <w:t>ע"פ 6299/20</w:t>
        </w:r>
      </w:hyperlink>
      <w:r w:rsidRPr="00E54AB6">
        <w:rPr>
          <w:rtl/>
          <w:lang w:eastAsia="he-IL"/>
        </w:rPr>
        <w:t xml:space="preserve"> לעיל נגזר על המערער בבית המשפט המחוזי עונש של 29 חודשי מאסר, כשהמתחם שנקבע הינו בין 29 ל – 54 חודשי מאסר בפועל, והמערער חזר בו מערעורו בהמלצת בית המשפט העליון.</w:t>
      </w:r>
    </w:p>
    <w:p w14:paraId="6616A674" w14:textId="77777777" w:rsidR="00582B63" w:rsidRPr="00E54AB6" w:rsidRDefault="00582B63" w:rsidP="00582B63">
      <w:pPr>
        <w:spacing w:line="360" w:lineRule="auto"/>
        <w:jc w:val="both"/>
        <w:rPr>
          <w:rtl/>
          <w:lang w:eastAsia="he-IL"/>
        </w:rPr>
      </w:pPr>
    </w:p>
    <w:p w14:paraId="0DFC96A5" w14:textId="77777777" w:rsidR="00582B63" w:rsidRPr="00E54AB6" w:rsidRDefault="00582B63" w:rsidP="00582B63">
      <w:pPr>
        <w:spacing w:line="360" w:lineRule="auto"/>
        <w:jc w:val="both"/>
        <w:rPr>
          <w:rtl/>
          <w:lang w:eastAsia="he-IL"/>
        </w:rPr>
      </w:pPr>
      <w:r w:rsidRPr="00E54AB6">
        <w:rPr>
          <w:rtl/>
          <w:lang w:eastAsia="he-IL"/>
        </w:rPr>
        <w:t xml:space="preserve">בעניינו של הנאשם, מדובר במספר זהה של שתילים, אם כי המשקל הכולל של השתילים נמוך יותר.  </w:t>
      </w:r>
    </w:p>
    <w:p w14:paraId="2E2BFE00" w14:textId="77777777" w:rsidR="00582B63" w:rsidRPr="00E54AB6" w:rsidRDefault="00582B63" w:rsidP="00582B63">
      <w:pPr>
        <w:spacing w:line="360" w:lineRule="auto"/>
        <w:jc w:val="both"/>
        <w:rPr>
          <w:rtl/>
          <w:lang w:eastAsia="he-IL"/>
        </w:rPr>
      </w:pPr>
    </w:p>
    <w:p w14:paraId="68BC1978" w14:textId="77777777" w:rsidR="00582B63" w:rsidRPr="00E54AB6" w:rsidRDefault="00582B63" w:rsidP="00582B63">
      <w:pPr>
        <w:spacing w:after="200" w:line="360" w:lineRule="auto"/>
        <w:jc w:val="both"/>
        <w:rPr>
          <w:rtl/>
        </w:rPr>
      </w:pPr>
      <w:r w:rsidRPr="00E54AB6">
        <w:rPr>
          <w:rtl/>
        </w:rPr>
        <w:t>ב</w:t>
      </w:r>
      <w:hyperlink r:id="rId28" w:history="1">
        <w:r w:rsidR="0008400E" w:rsidRPr="0008400E">
          <w:rPr>
            <w:color w:val="0000FF"/>
            <w:u w:val="single"/>
            <w:rtl/>
          </w:rPr>
          <w:t>ע"פ 871/20</w:t>
        </w:r>
      </w:hyperlink>
      <w:r w:rsidRPr="00E54AB6">
        <w:rPr>
          <w:rtl/>
        </w:rPr>
        <w:t xml:space="preserve"> </w:t>
      </w:r>
      <w:r w:rsidRPr="00E54AB6">
        <w:rPr>
          <w:b/>
          <w:bCs/>
          <w:rtl/>
        </w:rPr>
        <w:t>אברהם אברג'יל נ' מ״י</w:t>
      </w:r>
      <w:r w:rsidRPr="00E54AB6">
        <w:rPr>
          <w:rtl/>
        </w:rPr>
        <w:t xml:space="preserve"> (‏30.3.2020) הורשע המערער בעבירות של ייצור, הכנה והפקה של סם מסוכן ובהחזקת סם מסוכן שלא לצריכה עצמית. המערער הקים והפעיל מעבדה לגידול סם מסוכן מסוג קנבוס בדירה, </w:t>
      </w:r>
      <w:r w:rsidRPr="00E54AB6">
        <w:rPr>
          <w:color w:val="000000"/>
          <w:rtl/>
        </w:rPr>
        <w:t xml:space="preserve">לשם כך צייד את הדירה בנורות, מאווררים, מזגנים, שנאים, מסנני פחם, מדי טמפרטורה, דשנים וצינורות השקיה. </w:t>
      </w:r>
      <w:r w:rsidRPr="00E54AB6">
        <w:rPr>
          <w:rtl/>
        </w:rPr>
        <w:t xml:space="preserve">בדירה נתפסו מאות שתילים שהגיעו למשקל של 80 ק"ג. </w:t>
      </w:r>
      <w:r w:rsidRPr="00E54AB6">
        <w:rPr>
          <w:color w:val="000000"/>
          <w:rtl/>
        </w:rPr>
        <w:t xml:space="preserve">הצדדים הגיעו להסדר טיעון, שלפיו הוסכם כי המאשימה תעתור לעונש ראוי של 27 חודשי מאסר, לצד מאסר על תנאי וקנס. בית המשפט המחוזי קבע </w:t>
      </w:r>
      <w:r w:rsidRPr="00E54AB6">
        <w:rPr>
          <w:b/>
          <w:bCs/>
          <w:color w:val="000000"/>
          <w:rtl/>
        </w:rPr>
        <w:t>מתחם העונש ההולם</w:t>
      </w:r>
      <w:r w:rsidRPr="00E54AB6">
        <w:rPr>
          <w:color w:val="000000"/>
          <w:rtl/>
        </w:rPr>
        <w:t xml:space="preserve"> הנע</w:t>
      </w:r>
      <w:r w:rsidRPr="00E54AB6">
        <w:rPr>
          <w:b/>
          <w:bCs/>
          <w:color w:val="000000"/>
          <w:rtl/>
        </w:rPr>
        <w:t xml:space="preserve"> מ-22 ועד ל-46 חודשי מאסר בפועל</w:t>
      </w:r>
      <w:r w:rsidRPr="00E54AB6">
        <w:rPr>
          <w:color w:val="000000"/>
          <w:rtl/>
        </w:rPr>
        <w:t xml:space="preserve">, והשית על המערער 26 חודשי מאסר בפועל לצד עונשים נלווים. </w:t>
      </w:r>
      <w:r w:rsidRPr="00E54AB6">
        <w:rPr>
          <w:rtl/>
        </w:rPr>
        <w:t xml:space="preserve">הערעור נדחה תוך שצוין כי העונש שהושת על המערער אינו חורג כלל מרף הענישה הנוהג במקרים כגון דא. גם כאן מדובר בנסיבות הדומות לנסיבות בעניינו של הנאשם, אם כי המשקל הכולל של השתילים בעניינו של הנאשם נמוך יותר. </w:t>
      </w:r>
    </w:p>
    <w:p w14:paraId="1329F7C6" w14:textId="77777777" w:rsidR="00582B63" w:rsidRPr="00E54AB6" w:rsidRDefault="00582B63" w:rsidP="00582B63">
      <w:pPr>
        <w:spacing w:after="200" w:line="360" w:lineRule="auto"/>
        <w:jc w:val="both"/>
        <w:rPr>
          <w:rtl/>
        </w:rPr>
      </w:pPr>
      <w:r w:rsidRPr="00E54AB6">
        <w:rPr>
          <w:rtl/>
        </w:rPr>
        <w:t>ב</w:t>
      </w:r>
      <w:hyperlink r:id="rId29" w:history="1">
        <w:r w:rsidR="0008400E" w:rsidRPr="0008400E">
          <w:rPr>
            <w:color w:val="0000FF"/>
            <w:u w:val="single"/>
            <w:rtl/>
          </w:rPr>
          <w:t>ע״פ 5093/17</w:t>
        </w:r>
      </w:hyperlink>
      <w:r w:rsidRPr="00E54AB6">
        <w:rPr>
          <w:rtl/>
        </w:rPr>
        <w:t xml:space="preserve">, 5103/17 </w:t>
      </w:r>
      <w:r w:rsidRPr="00E54AB6">
        <w:rPr>
          <w:b/>
          <w:bCs/>
          <w:rtl/>
        </w:rPr>
        <w:t>לזר בקשט נ' מ״י</w:t>
      </w:r>
      <w:r w:rsidRPr="00E54AB6">
        <w:rPr>
          <w:rtl/>
        </w:rPr>
        <w:t xml:space="preserve"> (‏1.1.2018)- הורשעו המערערים בעבירות של קשירת קשר לפשע לפי </w:t>
      </w:r>
      <w:hyperlink r:id="rId30" w:history="1">
        <w:r w:rsidR="000E1754" w:rsidRPr="000E1754">
          <w:rPr>
            <w:rStyle w:val="Hyperlink"/>
            <w:rtl/>
          </w:rPr>
          <w:t>סעיף 499(א)</w:t>
        </w:r>
      </w:hyperlink>
      <w:r w:rsidRPr="00E54AB6">
        <w:rPr>
          <w:rtl/>
        </w:rPr>
        <w:t xml:space="preserve"> רישא ל</w:t>
      </w:r>
      <w:hyperlink r:id="rId31" w:history="1">
        <w:r w:rsidR="0008400E" w:rsidRPr="0008400E">
          <w:rPr>
            <w:color w:val="0000FF"/>
            <w:u w:val="single"/>
            <w:rtl/>
          </w:rPr>
          <w:t>חוק העונשין</w:t>
        </w:r>
      </w:hyperlink>
      <w:r w:rsidRPr="00E54AB6">
        <w:rPr>
          <w:rtl/>
        </w:rPr>
        <w:t>, התשל"ז-1977, וייצור, הכנה והפקה של סם מסוכן. המערערים קשרו קשר להקמת מעבדה לגידול סם מסוג קנבוס, ביצעו פעולות רבות לצורך הקמת המעבדה, ובמועדים שונים הנאשמים או מי מטעמם רכשו או שכרו ציוד רב שכלל משאבות מים, מסננים, חומרי דישון, שנאים, מאווררים, מפוחים, נורות הלוגן ומדי טמפרטורה. הנאשמים או מי מטעמם רכשו שתילי קנבוס רבים אותם גידלו במעבדה שיצרו בקומה השניה ב-7 חדרים שונים שבהם הותקן כל הציוד, וזאת החל מאוקטובר 2015 ועד ליום התפיסה – 22.2.16. במועד זה, נתפסו שתילים במשקל כולל של 131 ק"ג וכן ציוד, חומרי דישון, סלילי מתכת ועוד, אשר שימשו לצורך גידולו השיטתי של הסם במעבדה והפקתו. בית המשפט המחוזי קבע מתחם עונש הולם אשר נע בין 30 עד 48 חודשי מאסר בפועל והשית על המערער ב</w:t>
      </w:r>
      <w:hyperlink r:id="rId32" w:history="1">
        <w:r w:rsidR="0008400E" w:rsidRPr="0008400E">
          <w:rPr>
            <w:color w:val="0000FF"/>
            <w:u w:val="single"/>
            <w:rtl/>
          </w:rPr>
          <w:t>ע"פ 5103/17</w:t>
        </w:r>
      </w:hyperlink>
      <w:r w:rsidRPr="00E54AB6">
        <w:rPr>
          <w:rtl/>
        </w:rPr>
        <w:t xml:space="preserve"> מאסר בפועל של 34 חודשים וקנס בסך 50,000 ₪ ועל המערער ב</w:t>
      </w:r>
      <w:hyperlink r:id="rId33" w:history="1">
        <w:r w:rsidR="0008400E" w:rsidRPr="0008400E">
          <w:rPr>
            <w:color w:val="0000FF"/>
            <w:u w:val="single"/>
            <w:rtl/>
          </w:rPr>
          <w:t>ע"פ 5093/17</w:t>
        </w:r>
      </w:hyperlink>
      <w:r w:rsidRPr="00E54AB6">
        <w:rPr>
          <w:rtl/>
        </w:rPr>
        <w:t xml:space="preserve"> מאסר בפועל של 30 חודשים, וקנס של 50,000 ₪. בית המשפט העליון קבע כי לאור העדר העבר הפלילי של הנאשמים, נסיבות אישיות, ונוכח התסקירים החיובים שהוגשו בעניינם ועל מנת לעודדם להמשיך בדרך השיקום כפי שמשתקף בתסקיר, יש להפחית בעונש המאסר בפועל שהושת על המערערים ב-6 חודשים, כך שתקופת המאסר בפועל שהושתה על המערערים הועמדה על 28 ו -24  חודשים בהתאמה.  גובה הקנס לשני המערערים נותר בעינו.</w:t>
      </w:r>
    </w:p>
    <w:p w14:paraId="4C131EFA" w14:textId="77777777" w:rsidR="00582B63" w:rsidRPr="00E54AB6" w:rsidRDefault="00582B63" w:rsidP="00582B63">
      <w:pPr>
        <w:spacing w:after="120" w:line="360" w:lineRule="auto"/>
        <w:jc w:val="both"/>
        <w:rPr>
          <w:rtl/>
        </w:rPr>
      </w:pPr>
      <w:r w:rsidRPr="00E54AB6">
        <w:rPr>
          <w:rtl/>
        </w:rPr>
        <w:t>ב</w:t>
      </w:r>
      <w:hyperlink r:id="rId34" w:history="1">
        <w:r w:rsidR="0008400E" w:rsidRPr="0008400E">
          <w:rPr>
            <w:color w:val="0000FF"/>
            <w:u w:val="single"/>
            <w:rtl/>
          </w:rPr>
          <w:t>ע"פ 5807/17</w:t>
        </w:r>
      </w:hyperlink>
      <w:r w:rsidRPr="00E54AB6">
        <w:rPr>
          <w:rtl/>
        </w:rPr>
        <w:t xml:space="preserve">, 5963/17 </w:t>
      </w:r>
      <w:r w:rsidRPr="00E54AB6">
        <w:rPr>
          <w:b/>
          <w:bCs/>
          <w:rtl/>
        </w:rPr>
        <w:t>משה דרחי נ' מ״י</w:t>
      </w:r>
      <w:r w:rsidRPr="00E54AB6">
        <w:rPr>
          <w:rtl/>
        </w:rPr>
        <w:t xml:space="preserve"> (18.6.2018), הורשע המערער 1 בעבירות של גידול סם מסוכן והחזקת סם מסוכן שלא לצריכה עצמית, המערער 2 הורשע בעבירות של סיוע לגידול סם מסוכן וסיוע בהחזקת סם מסוכן שלא לצריכה עצמית, ובעבירות של נהיגה בשכרות, בכך שהמערער 1 הקים בסיוע מערער 2, מעבדה לגידול סם מסוכן מסוג קנבוס במספר חדרים בדירה בחזקתו. המעבדה הכילה ציוד טכני רב, לרבות מערכת סינון אוויר שמטרתה למנוע מריח הסם לדלוף החוצה, וכן שתילים, עציצים, חומרי גידול, כלים ייעודיים ועוד. במעבדה נמצאו 76.85 קילוגרם של סם נטו. בית המשפט המחוזי קבע מתחם עונש הולם בעניינו של הנאשם 1 הנע בין 24 ל-48 חודשי מאסר בפועל, מאסר מותנה וקנס כספי והשית עליו 30 חודשי מאסר בפועל, בניכוי ימי מעצרו, מאסרים מותנים וקנס. הערעור נדחה תוך שצויין כי אופן הקמת בית הגידול לסמים מעיד על תכנון מוקדם משמעותי ועל כוונה להרחיב את שרשרת הפצת הסמים, והנזק הפוטנציאלי עשוי היה להיות עצום. </w:t>
      </w:r>
    </w:p>
    <w:p w14:paraId="14983191" w14:textId="77777777" w:rsidR="00582B63" w:rsidRPr="00E54AB6" w:rsidRDefault="00582B63" w:rsidP="00582B63">
      <w:pPr>
        <w:spacing w:after="200" w:line="360" w:lineRule="auto"/>
        <w:jc w:val="both"/>
        <w:rPr>
          <w:rtl/>
        </w:rPr>
      </w:pPr>
      <w:r w:rsidRPr="00E54AB6">
        <w:rPr>
          <w:rtl/>
        </w:rPr>
        <w:t>ב</w:t>
      </w:r>
      <w:hyperlink r:id="rId35" w:history="1">
        <w:r w:rsidR="0008400E" w:rsidRPr="0008400E">
          <w:rPr>
            <w:color w:val="0000FF"/>
            <w:u w:val="single"/>
            <w:rtl/>
          </w:rPr>
          <w:t>ע"פ 2596/18</w:t>
        </w:r>
      </w:hyperlink>
      <w:r w:rsidRPr="00E54AB6">
        <w:rPr>
          <w:rtl/>
        </w:rPr>
        <w:t xml:space="preserve"> </w:t>
      </w:r>
      <w:r w:rsidRPr="00E54AB6">
        <w:rPr>
          <w:b/>
          <w:bCs/>
          <w:rtl/>
        </w:rPr>
        <w:t>כפיר זנזורי נ' מ״י</w:t>
      </w:r>
      <w:r w:rsidRPr="00E54AB6">
        <w:rPr>
          <w:rtl/>
        </w:rPr>
        <w:t xml:space="preserve"> (12.8.2018)- הורשע המערער בעבירות של קשירת קשר לביצוע פשע, שיבוש מהלכי משפט, וייצור, הכנה והפקה של סמים מסוכנים. המערער הקים בסיועו של הנאשם 2 בכתב האישום, ששכר עבורו יחידת גג גדולה – מעבדה לגידול קנבוס. באחת הפעמים, הסיע המערער את הנאשם 3 בכתב האישום ואדם נוסף למעבדה, כשברשות הנאשם 3 סכום של כ- 29,000 ₪ במזומן, עמו התכוון לרכוש סם. בסמוך לאחר מכן, כאשר הגיעו למעבדה שוטרים ובידם צו חיפוש, לא פתחו המערער ונאשם 3 את הדלת, כאשר בינתיים המערער הזהיר את הנאשם 2 בטלפון הסלולרי "תעלם לכמה ימים". לאחר שהשוטרים פרצו לדירה, נתפסו במעבדה 137.6 ק"ג נטו של סם מסוג קנביס (הידרו). בית המשפט המחוזי קבע כי מתחם העונש ההולם עומד על 56-36 חודשי מאסר, אך בשל הסיכוי הממשי לשיקום, הועמד עונשו של המערער על 26 חודשי מאסר בפועל; 6 חודשי מאסר על תנאי; וקנס בסך 7,000 ₪. המשיבה ערערה על קולת העונש, והמערער על חומרתו. שני הערעורים נדחו. </w:t>
      </w:r>
    </w:p>
    <w:p w14:paraId="2DB24BDD" w14:textId="77777777" w:rsidR="00582B63" w:rsidRPr="00E54AB6" w:rsidRDefault="00582B63" w:rsidP="00582B63">
      <w:pPr>
        <w:spacing w:after="120" w:line="360" w:lineRule="auto"/>
        <w:ind w:left="-58"/>
        <w:jc w:val="both"/>
        <w:rPr>
          <w:rtl/>
        </w:rPr>
      </w:pPr>
      <w:r w:rsidRPr="00E54AB6">
        <w:rPr>
          <w:rtl/>
        </w:rPr>
        <w:t>ב</w:t>
      </w:r>
      <w:hyperlink r:id="rId36" w:history="1">
        <w:r w:rsidR="0008400E" w:rsidRPr="0008400E">
          <w:rPr>
            <w:color w:val="0000FF"/>
            <w:u w:val="single"/>
            <w:rtl/>
          </w:rPr>
          <w:t>רע"פ 6041/18</w:t>
        </w:r>
      </w:hyperlink>
      <w:r w:rsidRPr="00E54AB6">
        <w:rPr>
          <w:rtl/>
        </w:rPr>
        <w:t xml:space="preserve"> </w:t>
      </w:r>
      <w:r w:rsidRPr="00E54AB6">
        <w:rPr>
          <w:b/>
          <w:bCs/>
          <w:rtl/>
        </w:rPr>
        <w:t xml:space="preserve">יוסי כהן נ' מ״י </w:t>
      </w:r>
      <w:r w:rsidRPr="00E54AB6">
        <w:rPr>
          <w:rtl/>
        </w:rPr>
        <w:t>(22.10.2018) נדחתה בקשת רשות ערעור של נאשם אשר הורשע בעבירות שעניינן ייצור, הכנה והפקת סם מסוכן, ובעבירה של גניבת חשמל. הנאשם שכר דירה והתקין בה ציוד לגידול וייצור סמים, ובמהלך התקופה נטל חשמל מרשת החשמל בשווי 40,000 ₪. במקום נתפס קנבוס במשקל של כ- 39.5503 ק"ג. הנאשם ללא הרשעות קודמות. נקבע מתחם של 18- 36 חודשי מאסר בפועל ועל הנאשם הוטל עונש של 20 חודשי מאסר בפועל, ועונשים נלווים.</w:t>
      </w:r>
    </w:p>
    <w:p w14:paraId="2C151C00" w14:textId="77777777" w:rsidR="00582B63" w:rsidRPr="00E54AB6" w:rsidRDefault="00582B63" w:rsidP="00582B63">
      <w:pPr>
        <w:spacing w:after="200" w:line="360" w:lineRule="auto"/>
        <w:jc w:val="both"/>
        <w:rPr>
          <w:rFonts w:ascii="Calibri" w:hAnsi="Calibri"/>
        </w:rPr>
      </w:pPr>
      <w:r w:rsidRPr="00E54AB6">
        <w:rPr>
          <w:rtl/>
        </w:rPr>
        <w:t>ב</w:t>
      </w:r>
      <w:hyperlink r:id="rId37" w:history="1">
        <w:r w:rsidR="0008400E" w:rsidRPr="0008400E">
          <w:rPr>
            <w:color w:val="0000FF"/>
            <w:u w:val="single"/>
            <w:rtl/>
          </w:rPr>
          <w:t>ע"פ 2194/14</w:t>
        </w:r>
      </w:hyperlink>
      <w:r w:rsidRPr="00E54AB6">
        <w:rPr>
          <w:rtl/>
        </w:rPr>
        <w:t xml:space="preserve"> </w:t>
      </w:r>
      <w:r w:rsidRPr="00E54AB6">
        <w:rPr>
          <w:b/>
          <w:bCs/>
          <w:rtl/>
        </w:rPr>
        <w:t>בן שמעון נ' מ״י</w:t>
      </w:r>
      <w:r w:rsidRPr="00E54AB6">
        <w:rPr>
          <w:rtl/>
        </w:rPr>
        <w:t xml:space="preserve"> (10.9.2014), גידל המערער בדירה אותה שכר שיחי קנביס במשקל כולל של 33.5 ק"ג והורשע בעבירות שעניינן גידול סם מסוכן, החזקת סם מסוכן שלא לצריכה עצמית והחזקת כלים המשמשים להכנת סם מסוכן. על המערער הושתו, בין היתר, 27 חודשי מאסר בפועל. נוכח הליך שיקום משמעותי הקל בית המשפט העליון בעונשו, כך שירצה 20 חודשי מאסר בפועל. </w:t>
      </w:r>
    </w:p>
    <w:p w14:paraId="40E0071D" w14:textId="77777777" w:rsidR="00582B63" w:rsidRPr="00E54AB6" w:rsidRDefault="00582B63" w:rsidP="00582B63">
      <w:pPr>
        <w:spacing w:after="200" w:line="360" w:lineRule="auto"/>
        <w:jc w:val="both"/>
        <w:rPr>
          <w:rFonts w:ascii="Calibri" w:hAnsi="Calibri"/>
        </w:rPr>
      </w:pPr>
      <w:r w:rsidRPr="00E54AB6">
        <w:rPr>
          <w:rtl/>
        </w:rPr>
        <w:t>ב</w:t>
      </w:r>
      <w:hyperlink r:id="rId38" w:history="1">
        <w:r w:rsidR="0008400E" w:rsidRPr="0008400E">
          <w:rPr>
            <w:color w:val="0000FF"/>
            <w:u w:val="single"/>
            <w:rtl/>
          </w:rPr>
          <w:t>ע"פ 856/02</w:t>
        </w:r>
      </w:hyperlink>
      <w:r w:rsidRPr="00E54AB6">
        <w:rPr>
          <w:rtl/>
        </w:rPr>
        <w:t xml:space="preserve"> </w:t>
      </w:r>
      <w:r w:rsidRPr="00E54AB6">
        <w:rPr>
          <w:b/>
          <w:bCs/>
          <w:rtl/>
        </w:rPr>
        <w:t>מ״י נ' אילן בן אליהו שמואל</w:t>
      </w:r>
      <w:r w:rsidRPr="00E54AB6">
        <w:rPr>
          <w:rtl/>
        </w:rPr>
        <w:t xml:space="preserve"> (11.03.2002) גידל המשיב במשק משפחתי שתילי סם מסוכן מסוג קנאביס, ובחממה ובשטח החקלאי נתפסו 240 שתילי קנאביס במשקל כולל של 45.8 ק"ג ברוטו. בית המשפט המחוזי התחשב בנסיבותיו האישיות וגזר עליו 6 חודשי מאסר לריצוי בעבודות שירות. בית המשפט העליון קיבל את ערעור המדינה והחמיר בענישה ל- 18 חודשי מאסר בפועל. </w:t>
      </w:r>
    </w:p>
    <w:p w14:paraId="6D7DB894" w14:textId="77777777" w:rsidR="00582B63" w:rsidRPr="00E54AB6" w:rsidRDefault="00582B63" w:rsidP="00582B63">
      <w:pPr>
        <w:spacing w:after="60" w:line="360" w:lineRule="auto"/>
        <w:jc w:val="both"/>
        <w:outlineLvl w:val="1"/>
        <w:rPr>
          <w:rFonts w:ascii="Calibri Light" w:hAnsi="Calibri Light"/>
          <w:b/>
          <w:bCs/>
          <w:rtl/>
          <w:lang w:eastAsia="he-IL"/>
        </w:rPr>
      </w:pPr>
      <w:r w:rsidRPr="00E54AB6">
        <w:rPr>
          <w:rFonts w:ascii="Calibri Light" w:hAnsi="Calibri Light" w:hint="eastAsia"/>
          <w:rtl/>
        </w:rPr>
        <w:t>ב</w:t>
      </w:r>
      <w:hyperlink r:id="rId39" w:history="1">
        <w:r w:rsidR="0008400E" w:rsidRPr="0008400E">
          <w:rPr>
            <w:rFonts w:ascii="Calibri Light" w:hAnsi="Calibri Light" w:hint="eastAsia"/>
            <w:color w:val="0000FF"/>
            <w:u w:val="single"/>
            <w:rtl/>
          </w:rPr>
          <w:t>ע</w:t>
        </w:r>
        <w:r w:rsidR="0008400E" w:rsidRPr="0008400E">
          <w:rPr>
            <w:rFonts w:ascii="Calibri Light" w:hAnsi="Calibri Light"/>
            <w:color w:val="0000FF"/>
            <w:u w:val="single"/>
            <w:rtl/>
          </w:rPr>
          <w:t>"</w:t>
        </w:r>
        <w:r w:rsidR="0008400E" w:rsidRPr="0008400E">
          <w:rPr>
            <w:rFonts w:ascii="Calibri Light" w:hAnsi="Calibri Light" w:hint="eastAsia"/>
            <w:color w:val="0000FF"/>
            <w:u w:val="single"/>
            <w:rtl/>
          </w:rPr>
          <w:t>פ</w:t>
        </w:r>
        <w:r w:rsidR="0008400E" w:rsidRPr="0008400E">
          <w:rPr>
            <w:rFonts w:ascii="Calibri Light" w:hAnsi="Calibri Light"/>
            <w:color w:val="0000FF"/>
            <w:u w:val="single"/>
            <w:rtl/>
          </w:rPr>
          <w:t xml:space="preserve"> 8988/16</w:t>
        </w:r>
      </w:hyperlink>
      <w:r w:rsidRPr="00E54AB6">
        <w:rPr>
          <w:rFonts w:ascii="Calibri Light" w:hAnsi="Calibri Light"/>
          <w:rtl/>
        </w:rPr>
        <w:t xml:space="preserve"> </w:t>
      </w:r>
      <w:r w:rsidRPr="00E54AB6">
        <w:rPr>
          <w:rFonts w:ascii="Calibri Light" w:hAnsi="Calibri Light" w:hint="eastAsia"/>
          <w:b/>
          <w:bCs/>
          <w:rtl/>
        </w:rPr>
        <w:t>אשר</w:t>
      </w:r>
      <w:r w:rsidRPr="00E54AB6">
        <w:rPr>
          <w:rFonts w:ascii="Calibri Light" w:hAnsi="Calibri Light"/>
          <w:b/>
          <w:bCs/>
          <w:rtl/>
        </w:rPr>
        <w:t xml:space="preserve"> </w:t>
      </w:r>
      <w:r w:rsidRPr="00E54AB6">
        <w:rPr>
          <w:rFonts w:ascii="Calibri Light" w:hAnsi="Calibri Light" w:hint="eastAsia"/>
          <w:b/>
          <w:bCs/>
          <w:rtl/>
        </w:rPr>
        <w:t>בן</w:t>
      </w:r>
      <w:r w:rsidRPr="00E54AB6">
        <w:rPr>
          <w:rFonts w:ascii="Calibri Light" w:hAnsi="Calibri Light"/>
          <w:b/>
          <w:bCs/>
          <w:rtl/>
        </w:rPr>
        <w:t xml:space="preserve"> </w:t>
      </w:r>
      <w:r w:rsidRPr="00E54AB6">
        <w:rPr>
          <w:rFonts w:ascii="Calibri Light" w:hAnsi="Calibri Light" w:hint="eastAsia"/>
          <w:b/>
          <w:bCs/>
          <w:rtl/>
        </w:rPr>
        <w:t>סימון</w:t>
      </w:r>
      <w:r w:rsidRPr="00E54AB6">
        <w:rPr>
          <w:rFonts w:ascii="Calibri Light" w:hAnsi="Calibri Light"/>
          <w:b/>
          <w:bCs/>
          <w:rtl/>
        </w:rPr>
        <w:t xml:space="preserve"> </w:t>
      </w:r>
      <w:r w:rsidRPr="00E54AB6">
        <w:rPr>
          <w:rFonts w:ascii="Calibri Light" w:hAnsi="Calibri Light" w:hint="eastAsia"/>
          <w:b/>
          <w:bCs/>
          <w:rtl/>
        </w:rPr>
        <w:t>נ</w:t>
      </w:r>
      <w:r w:rsidRPr="00E54AB6">
        <w:rPr>
          <w:rFonts w:ascii="Calibri Light" w:hAnsi="Calibri Light"/>
          <w:b/>
          <w:bCs/>
          <w:rtl/>
        </w:rPr>
        <w:t xml:space="preserve">' </w:t>
      </w:r>
      <w:r w:rsidRPr="00E54AB6">
        <w:rPr>
          <w:rFonts w:ascii="Calibri Light" w:hAnsi="Calibri Light" w:hint="eastAsia"/>
          <w:b/>
          <w:bCs/>
          <w:rtl/>
        </w:rPr>
        <w:t>מ״י</w:t>
      </w:r>
      <w:r w:rsidRPr="00E54AB6">
        <w:rPr>
          <w:rFonts w:ascii="Calibri Light" w:hAnsi="Calibri Light"/>
          <w:rtl/>
        </w:rPr>
        <w:t xml:space="preserve"> (8.3.2017), </w:t>
      </w:r>
      <w:r w:rsidRPr="00E54AB6">
        <w:rPr>
          <w:rFonts w:ascii="Calibri Light" w:hAnsi="Calibri Light" w:hint="eastAsia"/>
          <w:rtl/>
        </w:rPr>
        <w:t>הורשע</w:t>
      </w:r>
      <w:r w:rsidRPr="00E54AB6">
        <w:rPr>
          <w:rFonts w:ascii="Calibri Light" w:hAnsi="Calibri Light"/>
          <w:rtl/>
        </w:rPr>
        <w:t xml:space="preserve"> </w:t>
      </w:r>
      <w:r w:rsidRPr="00E54AB6">
        <w:rPr>
          <w:rFonts w:ascii="Calibri Light" w:hAnsi="Calibri Light" w:hint="eastAsia"/>
          <w:rtl/>
        </w:rPr>
        <w:t>המערער</w:t>
      </w:r>
      <w:r w:rsidRPr="00E54AB6">
        <w:rPr>
          <w:rFonts w:ascii="Calibri Light" w:hAnsi="Calibri Light"/>
          <w:rtl/>
        </w:rPr>
        <w:t xml:space="preserve">, </w:t>
      </w:r>
      <w:r w:rsidRPr="00E54AB6">
        <w:rPr>
          <w:rFonts w:ascii="Calibri Light" w:hAnsi="Calibri Light" w:hint="eastAsia"/>
          <w:rtl/>
        </w:rPr>
        <w:t>בביצוע</w:t>
      </w:r>
      <w:r w:rsidRPr="00E54AB6">
        <w:rPr>
          <w:rFonts w:ascii="Calibri Light" w:hAnsi="Calibri Light"/>
          <w:rtl/>
        </w:rPr>
        <w:t xml:space="preserve"> </w:t>
      </w:r>
      <w:r w:rsidRPr="00E54AB6">
        <w:rPr>
          <w:rFonts w:ascii="Calibri Light" w:hAnsi="Calibri Light" w:hint="eastAsia"/>
          <w:rtl/>
        </w:rPr>
        <w:t>עבירות</w:t>
      </w:r>
      <w:r w:rsidRPr="00E54AB6">
        <w:rPr>
          <w:rFonts w:ascii="Calibri Light" w:hAnsi="Calibri Light"/>
          <w:rtl/>
        </w:rPr>
        <w:t xml:space="preserve"> </w:t>
      </w:r>
      <w:r w:rsidRPr="00E54AB6">
        <w:rPr>
          <w:rFonts w:ascii="Calibri Light" w:hAnsi="Calibri Light" w:hint="eastAsia"/>
          <w:rtl/>
        </w:rPr>
        <w:t>ייצור</w:t>
      </w:r>
      <w:r w:rsidRPr="00E54AB6">
        <w:rPr>
          <w:rFonts w:ascii="Calibri Light" w:hAnsi="Calibri Light"/>
          <w:rtl/>
        </w:rPr>
        <w:t xml:space="preserve"> </w:t>
      </w:r>
      <w:r w:rsidRPr="00E54AB6">
        <w:rPr>
          <w:rFonts w:ascii="Calibri Light" w:hAnsi="Calibri Light" w:hint="eastAsia"/>
          <w:rtl/>
        </w:rPr>
        <w:t>הכנה</w:t>
      </w:r>
      <w:r w:rsidRPr="00E54AB6">
        <w:rPr>
          <w:rFonts w:ascii="Calibri Light" w:hAnsi="Calibri Light"/>
          <w:rtl/>
        </w:rPr>
        <w:t xml:space="preserve"> </w:t>
      </w:r>
      <w:r w:rsidRPr="00E54AB6">
        <w:rPr>
          <w:rFonts w:ascii="Calibri Light" w:hAnsi="Calibri Light" w:hint="eastAsia"/>
          <w:rtl/>
        </w:rPr>
        <w:t>והפקה</w:t>
      </w:r>
      <w:r w:rsidRPr="00E54AB6">
        <w:rPr>
          <w:rFonts w:ascii="Calibri Light" w:hAnsi="Calibri Light"/>
          <w:rtl/>
        </w:rPr>
        <w:t xml:space="preserve"> </w:t>
      </w:r>
      <w:r w:rsidRPr="00E54AB6">
        <w:rPr>
          <w:rFonts w:ascii="Calibri Light" w:hAnsi="Calibri Light" w:hint="eastAsia"/>
          <w:rtl/>
        </w:rPr>
        <w:t>של</w:t>
      </w:r>
      <w:r w:rsidRPr="00E54AB6">
        <w:rPr>
          <w:rFonts w:ascii="Calibri Light" w:hAnsi="Calibri Light"/>
          <w:rtl/>
        </w:rPr>
        <w:t xml:space="preserve"> </w:t>
      </w:r>
      <w:r w:rsidRPr="00E54AB6">
        <w:rPr>
          <w:rFonts w:ascii="Calibri Light" w:hAnsi="Calibri Light" w:hint="eastAsia"/>
          <w:rtl/>
        </w:rPr>
        <w:t>סם</w:t>
      </w:r>
      <w:r w:rsidRPr="00E54AB6">
        <w:rPr>
          <w:rFonts w:ascii="Calibri Light" w:hAnsi="Calibri Light"/>
          <w:rtl/>
        </w:rPr>
        <w:t xml:space="preserve"> </w:t>
      </w:r>
      <w:r w:rsidRPr="00E54AB6">
        <w:rPr>
          <w:rFonts w:ascii="Calibri Light" w:hAnsi="Calibri Light" w:hint="eastAsia"/>
          <w:rtl/>
        </w:rPr>
        <w:t>מסוכן</w:t>
      </w:r>
      <w:r w:rsidRPr="00E54AB6">
        <w:rPr>
          <w:rFonts w:ascii="Calibri Light" w:hAnsi="Calibri Light"/>
          <w:rtl/>
        </w:rPr>
        <w:t xml:space="preserve">, </w:t>
      </w:r>
      <w:r w:rsidRPr="00E54AB6">
        <w:rPr>
          <w:rFonts w:ascii="Calibri Light" w:hAnsi="Calibri Light" w:hint="eastAsia"/>
          <w:rtl/>
        </w:rPr>
        <w:t>סחר</w:t>
      </w:r>
      <w:r w:rsidRPr="00E54AB6">
        <w:rPr>
          <w:rFonts w:ascii="Calibri Light" w:hAnsi="Calibri Light"/>
          <w:rtl/>
        </w:rPr>
        <w:t xml:space="preserve"> </w:t>
      </w:r>
      <w:r w:rsidRPr="00E54AB6">
        <w:rPr>
          <w:rFonts w:ascii="Calibri Light" w:hAnsi="Calibri Light" w:hint="eastAsia"/>
          <w:rtl/>
        </w:rPr>
        <w:t>והספקת</w:t>
      </w:r>
      <w:r w:rsidRPr="00E54AB6">
        <w:rPr>
          <w:rFonts w:ascii="Calibri Light" w:hAnsi="Calibri Light"/>
          <w:rtl/>
        </w:rPr>
        <w:t xml:space="preserve"> </w:t>
      </w:r>
      <w:r w:rsidRPr="00E54AB6">
        <w:rPr>
          <w:rFonts w:ascii="Calibri Light" w:hAnsi="Calibri Light" w:hint="eastAsia"/>
          <w:rtl/>
        </w:rPr>
        <w:t>סם</w:t>
      </w:r>
      <w:r w:rsidRPr="00E54AB6">
        <w:rPr>
          <w:rFonts w:ascii="Calibri Light" w:hAnsi="Calibri Light"/>
          <w:rtl/>
        </w:rPr>
        <w:t xml:space="preserve"> </w:t>
      </w:r>
      <w:r w:rsidRPr="00E54AB6">
        <w:rPr>
          <w:rFonts w:ascii="Calibri Light" w:hAnsi="Calibri Light" w:hint="eastAsia"/>
          <w:rtl/>
        </w:rPr>
        <w:t>מסוכן</w:t>
      </w:r>
      <w:r w:rsidRPr="00E54AB6">
        <w:rPr>
          <w:rFonts w:ascii="Calibri Light" w:hAnsi="Calibri Light"/>
          <w:rtl/>
        </w:rPr>
        <w:t xml:space="preserve">, </w:t>
      </w:r>
      <w:r w:rsidRPr="00E54AB6">
        <w:rPr>
          <w:rFonts w:ascii="Calibri Light" w:hAnsi="Calibri Light" w:hint="eastAsia"/>
          <w:rtl/>
        </w:rPr>
        <w:t>ונטילת</w:t>
      </w:r>
      <w:r w:rsidRPr="00E54AB6">
        <w:rPr>
          <w:rFonts w:ascii="Calibri Light" w:hAnsi="Calibri Light"/>
          <w:rtl/>
        </w:rPr>
        <w:t xml:space="preserve"> </w:t>
      </w:r>
      <w:r w:rsidRPr="00E54AB6">
        <w:rPr>
          <w:rFonts w:ascii="Calibri Light" w:hAnsi="Calibri Light" w:hint="eastAsia"/>
          <w:rtl/>
        </w:rPr>
        <w:t>חשמל</w:t>
      </w:r>
      <w:r w:rsidRPr="00E54AB6">
        <w:rPr>
          <w:rFonts w:ascii="Calibri Light" w:hAnsi="Calibri Light"/>
          <w:rtl/>
        </w:rPr>
        <w:t xml:space="preserve"> </w:t>
      </w:r>
      <w:r w:rsidRPr="00E54AB6">
        <w:rPr>
          <w:rFonts w:ascii="Calibri Light" w:hAnsi="Calibri Light" w:hint="eastAsia"/>
          <w:rtl/>
        </w:rPr>
        <w:t>במרמה</w:t>
      </w:r>
      <w:r w:rsidRPr="00E54AB6">
        <w:rPr>
          <w:rFonts w:ascii="Calibri Light" w:hAnsi="Calibri Light"/>
          <w:rtl/>
        </w:rPr>
        <w:t xml:space="preserve">. </w:t>
      </w:r>
      <w:r w:rsidRPr="00E54AB6">
        <w:rPr>
          <w:rFonts w:ascii="Calibri Light" w:hAnsi="Calibri Light" w:hint="eastAsia"/>
          <w:rtl/>
        </w:rPr>
        <w:t>המערער</w:t>
      </w:r>
      <w:r w:rsidRPr="00E54AB6">
        <w:rPr>
          <w:rFonts w:ascii="Calibri Light" w:hAnsi="Calibri Light"/>
          <w:rtl/>
        </w:rPr>
        <w:t xml:space="preserve"> </w:t>
      </w:r>
      <w:r w:rsidRPr="00E54AB6">
        <w:rPr>
          <w:rFonts w:ascii="Calibri Light" w:hAnsi="Calibri Light" w:hint="eastAsia"/>
          <w:rtl/>
        </w:rPr>
        <w:t>הקים</w:t>
      </w:r>
      <w:r w:rsidRPr="00E54AB6">
        <w:rPr>
          <w:rFonts w:ascii="Calibri Light" w:hAnsi="Calibri Light"/>
          <w:rtl/>
        </w:rPr>
        <w:t xml:space="preserve"> </w:t>
      </w:r>
      <w:r w:rsidRPr="00E54AB6">
        <w:rPr>
          <w:rFonts w:ascii="Calibri Light" w:hAnsi="Calibri Light" w:hint="eastAsia"/>
          <w:rtl/>
        </w:rPr>
        <w:t>מעבדה</w:t>
      </w:r>
      <w:r w:rsidRPr="00E54AB6">
        <w:rPr>
          <w:rFonts w:ascii="Calibri Light" w:hAnsi="Calibri Light"/>
          <w:rtl/>
        </w:rPr>
        <w:t xml:space="preserve"> </w:t>
      </w:r>
      <w:r w:rsidRPr="00E54AB6">
        <w:rPr>
          <w:rFonts w:ascii="Calibri Light" w:hAnsi="Calibri Light" w:hint="eastAsia"/>
          <w:rtl/>
        </w:rPr>
        <w:t>לגידול</w:t>
      </w:r>
      <w:r w:rsidRPr="00E54AB6">
        <w:rPr>
          <w:rFonts w:ascii="Calibri Light" w:hAnsi="Calibri Light"/>
          <w:rtl/>
        </w:rPr>
        <w:t xml:space="preserve"> </w:t>
      </w:r>
      <w:r w:rsidRPr="00E54AB6">
        <w:rPr>
          <w:rFonts w:ascii="Calibri Light" w:hAnsi="Calibri Light" w:hint="eastAsia"/>
          <w:rtl/>
        </w:rPr>
        <w:t>סם</w:t>
      </w:r>
      <w:r w:rsidRPr="00E54AB6">
        <w:rPr>
          <w:rFonts w:ascii="Calibri Light" w:hAnsi="Calibri Light"/>
          <w:rtl/>
        </w:rPr>
        <w:t xml:space="preserve"> </w:t>
      </w:r>
      <w:r w:rsidRPr="00E54AB6">
        <w:rPr>
          <w:rFonts w:ascii="Calibri Light" w:hAnsi="Calibri Light" w:hint="eastAsia"/>
          <w:rtl/>
        </w:rPr>
        <w:t>מסוכן</w:t>
      </w:r>
      <w:r w:rsidRPr="00E54AB6">
        <w:rPr>
          <w:rFonts w:ascii="Calibri Light" w:hAnsi="Calibri Light"/>
          <w:rtl/>
        </w:rPr>
        <w:t xml:space="preserve"> </w:t>
      </w:r>
      <w:r w:rsidRPr="00E54AB6">
        <w:rPr>
          <w:rFonts w:ascii="Calibri Light" w:hAnsi="Calibri Light" w:hint="eastAsia"/>
          <w:rtl/>
        </w:rPr>
        <w:t>מסוג</w:t>
      </w:r>
      <w:r w:rsidRPr="00E54AB6">
        <w:rPr>
          <w:rFonts w:ascii="Calibri Light" w:hAnsi="Calibri Light"/>
          <w:rtl/>
        </w:rPr>
        <w:t xml:space="preserve"> </w:t>
      </w:r>
      <w:r w:rsidRPr="00E54AB6">
        <w:rPr>
          <w:rFonts w:ascii="Calibri Light" w:hAnsi="Calibri Light" w:hint="eastAsia"/>
          <w:rtl/>
        </w:rPr>
        <w:t>קנבוס</w:t>
      </w:r>
      <w:r w:rsidRPr="00E54AB6">
        <w:rPr>
          <w:rFonts w:ascii="Calibri Light" w:hAnsi="Calibri Light"/>
          <w:rtl/>
        </w:rPr>
        <w:t xml:space="preserve"> </w:t>
      </w:r>
      <w:r w:rsidRPr="00E54AB6">
        <w:rPr>
          <w:rFonts w:ascii="Calibri Light" w:hAnsi="Calibri Light" w:hint="eastAsia"/>
          <w:rtl/>
        </w:rPr>
        <w:t>במספר</w:t>
      </w:r>
      <w:r w:rsidRPr="00E54AB6">
        <w:rPr>
          <w:rFonts w:ascii="Calibri Light" w:hAnsi="Calibri Light"/>
          <w:rtl/>
        </w:rPr>
        <w:t xml:space="preserve"> </w:t>
      </w:r>
      <w:r w:rsidRPr="00E54AB6">
        <w:rPr>
          <w:rFonts w:ascii="Calibri Light" w:hAnsi="Calibri Light" w:hint="eastAsia"/>
          <w:rtl/>
        </w:rPr>
        <w:t>חדרים</w:t>
      </w:r>
      <w:r w:rsidRPr="00E54AB6">
        <w:rPr>
          <w:rFonts w:ascii="Calibri Light" w:hAnsi="Calibri Light"/>
          <w:rtl/>
        </w:rPr>
        <w:t xml:space="preserve"> </w:t>
      </w:r>
      <w:r w:rsidRPr="00E54AB6">
        <w:rPr>
          <w:rFonts w:ascii="Calibri Light" w:hAnsi="Calibri Light" w:hint="eastAsia"/>
          <w:rtl/>
        </w:rPr>
        <w:t>בביתו</w:t>
      </w:r>
      <w:r w:rsidRPr="00E54AB6">
        <w:rPr>
          <w:rFonts w:ascii="Calibri Light" w:hAnsi="Calibri Light"/>
          <w:rtl/>
        </w:rPr>
        <w:t xml:space="preserve"> </w:t>
      </w:r>
      <w:r w:rsidRPr="00E54AB6">
        <w:rPr>
          <w:rFonts w:ascii="Calibri Light" w:hAnsi="Calibri Light" w:hint="eastAsia"/>
          <w:rtl/>
        </w:rPr>
        <w:t>וגידל</w:t>
      </w:r>
      <w:r w:rsidRPr="00E54AB6">
        <w:rPr>
          <w:rFonts w:ascii="Calibri Light" w:hAnsi="Calibri Light"/>
          <w:rtl/>
        </w:rPr>
        <w:t xml:space="preserve"> </w:t>
      </w:r>
      <w:r w:rsidRPr="00E54AB6">
        <w:rPr>
          <w:rFonts w:ascii="Calibri Light" w:hAnsi="Calibri Light" w:hint="eastAsia"/>
          <w:rtl/>
        </w:rPr>
        <w:t>בה</w:t>
      </w:r>
      <w:r w:rsidRPr="00E54AB6">
        <w:rPr>
          <w:rFonts w:ascii="Calibri Light" w:hAnsi="Calibri Light"/>
          <w:rtl/>
        </w:rPr>
        <w:t xml:space="preserve"> 282 </w:t>
      </w:r>
      <w:r w:rsidRPr="00E54AB6">
        <w:rPr>
          <w:rFonts w:ascii="Calibri Light" w:hAnsi="Calibri Light" w:hint="eastAsia"/>
          <w:rtl/>
        </w:rPr>
        <w:t>שתילים</w:t>
      </w:r>
      <w:r w:rsidRPr="00E54AB6">
        <w:rPr>
          <w:rFonts w:ascii="Calibri Light" w:hAnsi="Calibri Light"/>
          <w:rtl/>
        </w:rPr>
        <w:t xml:space="preserve">, </w:t>
      </w:r>
      <w:r w:rsidRPr="00E54AB6">
        <w:rPr>
          <w:rFonts w:ascii="Calibri Light" w:hAnsi="Calibri Light" w:hint="eastAsia"/>
          <w:rtl/>
        </w:rPr>
        <w:t>בכמות</w:t>
      </w:r>
      <w:r w:rsidRPr="00E54AB6">
        <w:rPr>
          <w:rFonts w:ascii="Calibri Light" w:hAnsi="Calibri Light"/>
          <w:rtl/>
        </w:rPr>
        <w:t xml:space="preserve"> </w:t>
      </w:r>
      <w:r w:rsidRPr="00E54AB6">
        <w:rPr>
          <w:rFonts w:ascii="Calibri Light" w:hAnsi="Calibri Light" w:hint="eastAsia"/>
          <w:rtl/>
        </w:rPr>
        <w:t>כוללת</w:t>
      </w:r>
      <w:r w:rsidRPr="00E54AB6">
        <w:rPr>
          <w:rFonts w:ascii="Calibri Light" w:hAnsi="Calibri Light"/>
          <w:rtl/>
        </w:rPr>
        <w:t xml:space="preserve"> </w:t>
      </w:r>
      <w:r w:rsidRPr="00E54AB6">
        <w:rPr>
          <w:rFonts w:ascii="Calibri Light" w:hAnsi="Calibri Light" w:hint="eastAsia"/>
          <w:rtl/>
        </w:rPr>
        <w:t>של</w:t>
      </w:r>
      <w:r w:rsidRPr="00E54AB6">
        <w:rPr>
          <w:rFonts w:ascii="Calibri Light" w:hAnsi="Calibri Light"/>
          <w:rtl/>
        </w:rPr>
        <w:t xml:space="preserve"> 87.25 </w:t>
      </w:r>
      <w:r w:rsidRPr="00E54AB6">
        <w:rPr>
          <w:rFonts w:ascii="Calibri Light" w:hAnsi="Calibri Light" w:hint="eastAsia"/>
          <w:rtl/>
        </w:rPr>
        <w:t>קילוגרם</w:t>
      </w:r>
      <w:r w:rsidRPr="00E54AB6">
        <w:rPr>
          <w:rFonts w:ascii="Calibri Light" w:hAnsi="Calibri Light"/>
          <w:rtl/>
        </w:rPr>
        <w:t xml:space="preserve"> </w:t>
      </w:r>
      <w:r w:rsidRPr="00E54AB6">
        <w:rPr>
          <w:rFonts w:ascii="Calibri Light" w:hAnsi="Calibri Light" w:hint="eastAsia"/>
          <w:rtl/>
        </w:rPr>
        <w:t>נטו</w:t>
      </w:r>
      <w:r w:rsidRPr="00E54AB6">
        <w:rPr>
          <w:rFonts w:ascii="Calibri Light" w:hAnsi="Calibri Light"/>
          <w:rtl/>
        </w:rPr>
        <w:t xml:space="preserve">. </w:t>
      </w:r>
      <w:r w:rsidRPr="00E54AB6">
        <w:rPr>
          <w:rFonts w:ascii="Calibri Light" w:hAnsi="Calibri Light" w:hint="eastAsia"/>
          <w:rtl/>
        </w:rPr>
        <w:t>עוד</w:t>
      </w:r>
      <w:r w:rsidRPr="00E54AB6">
        <w:rPr>
          <w:rFonts w:ascii="Calibri Light" w:hAnsi="Calibri Light"/>
          <w:rtl/>
        </w:rPr>
        <w:t xml:space="preserve"> </w:t>
      </w:r>
      <w:r w:rsidRPr="00E54AB6">
        <w:rPr>
          <w:rFonts w:ascii="Calibri Light" w:hAnsi="Calibri Light" w:hint="eastAsia"/>
          <w:rtl/>
        </w:rPr>
        <w:t>באותו</w:t>
      </w:r>
      <w:r w:rsidRPr="00E54AB6">
        <w:rPr>
          <w:rFonts w:ascii="Calibri Light" w:hAnsi="Calibri Light"/>
          <w:rtl/>
        </w:rPr>
        <w:t xml:space="preserve"> </w:t>
      </w:r>
      <w:r w:rsidRPr="00E54AB6">
        <w:rPr>
          <w:rFonts w:ascii="Calibri Light" w:hAnsi="Calibri Light" w:hint="eastAsia"/>
          <w:rtl/>
        </w:rPr>
        <w:t>המועד</w:t>
      </w:r>
      <w:r w:rsidRPr="00E54AB6">
        <w:rPr>
          <w:rFonts w:ascii="Calibri Light" w:hAnsi="Calibri Light"/>
          <w:rtl/>
        </w:rPr>
        <w:t xml:space="preserve"> </w:t>
      </w:r>
      <w:r w:rsidRPr="00E54AB6">
        <w:rPr>
          <w:rFonts w:ascii="Calibri Light" w:hAnsi="Calibri Light" w:hint="eastAsia"/>
          <w:rtl/>
        </w:rPr>
        <w:t>סיפק</w:t>
      </w:r>
      <w:r w:rsidRPr="00E54AB6">
        <w:rPr>
          <w:rFonts w:ascii="Calibri Light" w:hAnsi="Calibri Light"/>
          <w:rtl/>
        </w:rPr>
        <w:t xml:space="preserve"> </w:t>
      </w:r>
      <w:r w:rsidRPr="00E54AB6">
        <w:rPr>
          <w:rFonts w:ascii="Calibri Light" w:hAnsi="Calibri Light" w:hint="eastAsia"/>
          <w:rtl/>
        </w:rPr>
        <w:t>המערער</w:t>
      </w:r>
      <w:r w:rsidRPr="00E54AB6">
        <w:rPr>
          <w:rFonts w:ascii="Calibri Light" w:hAnsi="Calibri Light"/>
          <w:rtl/>
        </w:rPr>
        <w:t xml:space="preserve"> </w:t>
      </w:r>
      <w:r w:rsidRPr="00E54AB6">
        <w:rPr>
          <w:rFonts w:ascii="Calibri Light" w:hAnsi="Calibri Light" w:hint="eastAsia"/>
          <w:rtl/>
        </w:rPr>
        <w:t>לאדם</w:t>
      </w:r>
      <w:r w:rsidRPr="00E54AB6">
        <w:rPr>
          <w:rFonts w:ascii="Calibri Light" w:hAnsi="Calibri Light"/>
          <w:rtl/>
        </w:rPr>
        <w:t xml:space="preserve"> </w:t>
      </w:r>
      <w:r w:rsidRPr="00E54AB6">
        <w:rPr>
          <w:rFonts w:ascii="Calibri Light" w:hAnsi="Calibri Light" w:hint="eastAsia"/>
          <w:rtl/>
        </w:rPr>
        <w:t>אחר</w:t>
      </w:r>
      <w:r w:rsidRPr="00E54AB6">
        <w:rPr>
          <w:rFonts w:ascii="Calibri Light" w:hAnsi="Calibri Light"/>
          <w:rtl/>
        </w:rPr>
        <w:t xml:space="preserve"> </w:t>
      </w:r>
      <w:r w:rsidRPr="00E54AB6">
        <w:rPr>
          <w:rFonts w:ascii="Calibri Light" w:hAnsi="Calibri Light" w:hint="eastAsia"/>
          <w:rtl/>
        </w:rPr>
        <w:t>סם</w:t>
      </w:r>
      <w:r w:rsidRPr="00E54AB6">
        <w:rPr>
          <w:rFonts w:ascii="Calibri Light" w:hAnsi="Calibri Light"/>
          <w:rtl/>
        </w:rPr>
        <w:t xml:space="preserve"> </w:t>
      </w:r>
      <w:r w:rsidRPr="00E54AB6">
        <w:rPr>
          <w:rFonts w:ascii="Calibri Light" w:hAnsi="Calibri Light" w:hint="eastAsia"/>
          <w:rtl/>
        </w:rPr>
        <w:t>מסוכן</w:t>
      </w:r>
      <w:r w:rsidRPr="00E54AB6">
        <w:rPr>
          <w:rFonts w:ascii="Calibri Light" w:hAnsi="Calibri Light"/>
          <w:rtl/>
        </w:rPr>
        <w:t xml:space="preserve"> </w:t>
      </w:r>
      <w:r w:rsidRPr="00E54AB6">
        <w:rPr>
          <w:rFonts w:ascii="Calibri Light" w:hAnsi="Calibri Light" w:hint="eastAsia"/>
          <w:rtl/>
        </w:rPr>
        <w:t>מסוג</w:t>
      </w:r>
      <w:r w:rsidRPr="00E54AB6">
        <w:rPr>
          <w:rFonts w:ascii="Calibri Light" w:hAnsi="Calibri Light"/>
          <w:rtl/>
        </w:rPr>
        <w:t xml:space="preserve"> </w:t>
      </w:r>
      <w:r w:rsidRPr="00E54AB6">
        <w:rPr>
          <w:rFonts w:ascii="Calibri Light" w:hAnsi="Calibri Light" w:hint="eastAsia"/>
          <w:rtl/>
        </w:rPr>
        <w:t>קנבוס</w:t>
      </w:r>
      <w:r w:rsidRPr="00E54AB6">
        <w:rPr>
          <w:rFonts w:ascii="Calibri Light" w:hAnsi="Calibri Light"/>
          <w:rtl/>
        </w:rPr>
        <w:t xml:space="preserve"> </w:t>
      </w:r>
      <w:r w:rsidRPr="00E54AB6">
        <w:rPr>
          <w:rFonts w:ascii="Calibri Light" w:hAnsi="Calibri Light" w:hint="eastAsia"/>
          <w:rtl/>
        </w:rPr>
        <w:t>בכמות</w:t>
      </w:r>
      <w:r w:rsidRPr="00E54AB6">
        <w:rPr>
          <w:rFonts w:ascii="Calibri Light" w:hAnsi="Calibri Light"/>
          <w:rtl/>
        </w:rPr>
        <w:t xml:space="preserve"> </w:t>
      </w:r>
      <w:r w:rsidRPr="00E54AB6">
        <w:rPr>
          <w:rFonts w:ascii="Calibri Light" w:hAnsi="Calibri Light" w:hint="eastAsia"/>
          <w:rtl/>
        </w:rPr>
        <w:t>של</w:t>
      </w:r>
      <w:r w:rsidRPr="00E54AB6">
        <w:rPr>
          <w:rFonts w:ascii="Calibri Light" w:hAnsi="Calibri Light"/>
          <w:rtl/>
        </w:rPr>
        <w:t xml:space="preserve"> 5.43 </w:t>
      </w:r>
      <w:r w:rsidRPr="00E54AB6">
        <w:rPr>
          <w:rFonts w:ascii="Calibri Light" w:hAnsi="Calibri Light" w:hint="eastAsia"/>
          <w:rtl/>
        </w:rPr>
        <w:t>גרם</w:t>
      </w:r>
      <w:r w:rsidRPr="00E54AB6">
        <w:rPr>
          <w:rFonts w:ascii="Calibri Light" w:hAnsi="Calibri Light"/>
          <w:rtl/>
        </w:rPr>
        <w:t xml:space="preserve"> </w:t>
      </w:r>
      <w:r w:rsidRPr="00E54AB6">
        <w:rPr>
          <w:rFonts w:ascii="Calibri Light" w:hAnsi="Calibri Light" w:hint="eastAsia"/>
          <w:rtl/>
        </w:rPr>
        <w:t>נטו</w:t>
      </w:r>
      <w:r w:rsidRPr="00E54AB6">
        <w:rPr>
          <w:rFonts w:ascii="Calibri Light" w:hAnsi="Calibri Light"/>
          <w:rtl/>
        </w:rPr>
        <w:t xml:space="preserve">. </w:t>
      </w:r>
      <w:r w:rsidRPr="00E54AB6">
        <w:rPr>
          <w:rFonts w:ascii="Calibri Light" w:hAnsi="Calibri Light" w:hint="eastAsia"/>
          <w:rtl/>
        </w:rPr>
        <w:t>בית</w:t>
      </w:r>
      <w:r w:rsidRPr="00E54AB6">
        <w:rPr>
          <w:rFonts w:ascii="Calibri Light" w:hAnsi="Calibri Light"/>
          <w:rtl/>
        </w:rPr>
        <w:t xml:space="preserve"> </w:t>
      </w:r>
      <w:r w:rsidRPr="00E54AB6">
        <w:rPr>
          <w:rFonts w:ascii="Calibri Light" w:hAnsi="Calibri Light" w:hint="eastAsia"/>
          <w:rtl/>
        </w:rPr>
        <w:t>המשפט</w:t>
      </w:r>
      <w:r w:rsidRPr="00E54AB6">
        <w:rPr>
          <w:rFonts w:ascii="Calibri Light" w:hAnsi="Calibri Light"/>
          <w:rtl/>
        </w:rPr>
        <w:t xml:space="preserve"> </w:t>
      </w:r>
      <w:r w:rsidRPr="00E54AB6">
        <w:rPr>
          <w:rFonts w:ascii="Calibri Light" w:hAnsi="Calibri Light" w:hint="eastAsia"/>
          <w:rtl/>
        </w:rPr>
        <w:t>המחוזי</w:t>
      </w:r>
      <w:r w:rsidRPr="00E54AB6">
        <w:rPr>
          <w:rFonts w:ascii="Calibri Light" w:hAnsi="Calibri Light"/>
          <w:rtl/>
        </w:rPr>
        <w:t xml:space="preserve"> </w:t>
      </w:r>
      <w:r w:rsidRPr="00E54AB6">
        <w:rPr>
          <w:rFonts w:ascii="Calibri Light" w:hAnsi="Calibri Light" w:hint="eastAsia"/>
          <w:rtl/>
        </w:rPr>
        <w:t>השית</w:t>
      </w:r>
      <w:r w:rsidRPr="00E54AB6">
        <w:rPr>
          <w:rFonts w:ascii="Calibri Light" w:hAnsi="Calibri Light"/>
          <w:rtl/>
        </w:rPr>
        <w:t xml:space="preserve"> </w:t>
      </w:r>
      <w:r w:rsidRPr="00E54AB6">
        <w:rPr>
          <w:rFonts w:ascii="Calibri Light" w:hAnsi="Calibri Light" w:hint="eastAsia"/>
          <w:rtl/>
        </w:rPr>
        <w:t>על</w:t>
      </w:r>
      <w:r w:rsidRPr="00E54AB6">
        <w:rPr>
          <w:rFonts w:ascii="Calibri Light" w:hAnsi="Calibri Light"/>
          <w:rtl/>
        </w:rPr>
        <w:t xml:space="preserve"> </w:t>
      </w:r>
      <w:r w:rsidRPr="00E54AB6">
        <w:rPr>
          <w:rFonts w:ascii="Calibri Light" w:hAnsi="Calibri Light" w:hint="eastAsia"/>
          <w:rtl/>
        </w:rPr>
        <w:t>המערער</w:t>
      </w:r>
      <w:r w:rsidRPr="00E54AB6">
        <w:rPr>
          <w:rFonts w:ascii="Calibri Light" w:hAnsi="Calibri Light"/>
          <w:rtl/>
        </w:rPr>
        <w:t xml:space="preserve"> 36 </w:t>
      </w:r>
      <w:r w:rsidRPr="00E54AB6">
        <w:rPr>
          <w:rFonts w:ascii="Calibri Light" w:hAnsi="Calibri Light" w:hint="eastAsia"/>
          <w:rtl/>
        </w:rPr>
        <w:t>חודשי</w:t>
      </w:r>
      <w:r w:rsidRPr="00E54AB6">
        <w:rPr>
          <w:rFonts w:ascii="Calibri Light" w:hAnsi="Calibri Light"/>
          <w:rtl/>
        </w:rPr>
        <w:t xml:space="preserve"> </w:t>
      </w:r>
      <w:r w:rsidRPr="00E54AB6">
        <w:rPr>
          <w:rFonts w:ascii="Calibri Light" w:hAnsi="Calibri Light" w:hint="eastAsia"/>
          <w:rtl/>
        </w:rPr>
        <w:t>מאסר</w:t>
      </w:r>
      <w:r w:rsidRPr="00E54AB6">
        <w:rPr>
          <w:rFonts w:ascii="Calibri Light" w:hAnsi="Calibri Light"/>
          <w:rtl/>
        </w:rPr>
        <w:t xml:space="preserve"> </w:t>
      </w:r>
      <w:r w:rsidRPr="00E54AB6">
        <w:rPr>
          <w:rFonts w:ascii="Calibri Light" w:hAnsi="Calibri Light" w:hint="eastAsia"/>
          <w:rtl/>
        </w:rPr>
        <w:t>בפועל</w:t>
      </w:r>
      <w:r w:rsidRPr="00E54AB6">
        <w:rPr>
          <w:rFonts w:ascii="Calibri Light" w:hAnsi="Calibri Light"/>
          <w:rtl/>
        </w:rPr>
        <w:t xml:space="preserve">, </w:t>
      </w:r>
      <w:r w:rsidRPr="00E54AB6">
        <w:rPr>
          <w:rFonts w:ascii="Calibri Light" w:hAnsi="Calibri Light" w:hint="eastAsia"/>
          <w:rtl/>
        </w:rPr>
        <w:t>קנס</w:t>
      </w:r>
      <w:r w:rsidRPr="00E54AB6">
        <w:rPr>
          <w:rFonts w:ascii="Calibri Light" w:hAnsi="Calibri Light"/>
          <w:rtl/>
        </w:rPr>
        <w:t xml:space="preserve"> </w:t>
      </w:r>
      <w:r w:rsidRPr="00E54AB6">
        <w:rPr>
          <w:rFonts w:ascii="Calibri Light" w:hAnsi="Calibri Light" w:hint="eastAsia"/>
          <w:rtl/>
        </w:rPr>
        <w:t>בסך</w:t>
      </w:r>
      <w:r w:rsidRPr="00E54AB6">
        <w:rPr>
          <w:rFonts w:ascii="Calibri Light" w:hAnsi="Calibri Light"/>
          <w:rtl/>
        </w:rPr>
        <w:t xml:space="preserve"> 40,000 </w:t>
      </w:r>
      <w:r w:rsidRPr="00E54AB6">
        <w:rPr>
          <w:rFonts w:ascii="Calibri Light" w:hAnsi="Calibri Light" w:hint="eastAsia"/>
          <w:rtl/>
        </w:rPr>
        <w:t>₪</w:t>
      </w:r>
      <w:r w:rsidRPr="00E54AB6">
        <w:rPr>
          <w:rFonts w:ascii="Calibri Light" w:hAnsi="Calibri Light"/>
          <w:rtl/>
        </w:rPr>
        <w:t xml:space="preserve"> </w:t>
      </w:r>
      <w:r w:rsidRPr="00E54AB6">
        <w:rPr>
          <w:rFonts w:ascii="Calibri Light" w:hAnsi="Calibri Light" w:hint="eastAsia"/>
          <w:rtl/>
        </w:rPr>
        <w:t>ועונשים</w:t>
      </w:r>
      <w:r w:rsidRPr="00E54AB6">
        <w:rPr>
          <w:rFonts w:ascii="Calibri Light" w:hAnsi="Calibri Light"/>
          <w:rtl/>
        </w:rPr>
        <w:t xml:space="preserve"> </w:t>
      </w:r>
      <w:r w:rsidRPr="00E54AB6">
        <w:rPr>
          <w:rFonts w:ascii="Calibri Light" w:hAnsi="Calibri Light" w:hint="eastAsia"/>
          <w:rtl/>
        </w:rPr>
        <w:t>נלווים</w:t>
      </w:r>
      <w:r w:rsidRPr="00E54AB6">
        <w:rPr>
          <w:rFonts w:ascii="Calibri Light" w:hAnsi="Calibri Light"/>
          <w:rtl/>
        </w:rPr>
        <w:t xml:space="preserve">. </w:t>
      </w:r>
      <w:r w:rsidRPr="00E54AB6">
        <w:rPr>
          <w:rFonts w:ascii="Calibri Light" w:hAnsi="Calibri Light" w:hint="eastAsia"/>
          <w:rtl/>
        </w:rPr>
        <w:t>הערעור</w:t>
      </w:r>
      <w:r w:rsidRPr="00E54AB6">
        <w:rPr>
          <w:rFonts w:ascii="Calibri Light" w:hAnsi="Calibri Light"/>
          <w:rtl/>
        </w:rPr>
        <w:t xml:space="preserve"> </w:t>
      </w:r>
      <w:r w:rsidRPr="00E54AB6">
        <w:rPr>
          <w:rFonts w:ascii="Calibri Light" w:hAnsi="Calibri Light" w:hint="eastAsia"/>
          <w:rtl/>
        </w:rPr>
        <w:t>נדחה</w:t>
      </w:r>
      <w:r w:rsidRPr="00E54AB6">
        <w:rPr>
          <w:rFonts w:ascii="Calibri Light" w:hAnsi="Calibri Light"/>
          <w:rtl/>
        </w:rPr>
        <w:t>.</w:t>
      </w:r>
    </w:p>
    <w:p w14:paraId="0B1EE5D4" w14:textId="77777777" w:rsidR="00582B63" w:rsidRPr="00E54AB6" w:rsidRDefault="00582B63" w:rsidP="00582B63">
      <w:pPr>
        <w:spacing w:line="360" w:lineRule="auto"/>
        <w:jc w:val="both"/>
        <w:rPr>
          <w:rtl/>
          <w:lang w:eastAsia="he-IL"/>
        </w:rPr>
      </w:pPr>
    </w:p>
    <w:p w14:paraId="3B63A466" w14:textId="77777777" w:rsidR="00582B63" w:rsidRPr="00E54AB6" w:rsidRDefault="00582B63" w:rsidP="00582B63">
      <w:pPr>
        <w:spacing w:line="360" w:lineRule="auto"/>
        <w:jc w:val="both"/>
        <w:rPr>
          <w:b/>
          <w:bCs/>
          <w:u w:val="single"/>
          <w:rtl/>
          <w:lang w:eastAsia="he-IL"/>
        </w:rPr>
      </w:pPr>
      <w:r w:rsidRPr="00E54AB6">
        <w:rPr>
          <w:b/>
          <w:bCs/>
          <w:u w:val="single"/>
          <w:rtl/>
          <w:lang w:eastAsia="he-IL"/>
        </w:rPr>
        <w:t>הענישה</w:t>
      </w:r>
    </w:p>
    <w:p w14:paraId="78A6A13C" w14:textId="77777777" w:rsidR="00582B63" w:rsidRPr="00E54AB6" w:rsidRDefault="00582B63" w:rsidP="00582B63">
      <w:pPr>
        <w:spacing w:line="360" w:lineRule="auto"/>
        <w:jc w:val="both"/>
        <w:rPr>
          <w:b/>
          <w:bCs/>
          <w:u w:val="single"/>
          <w:rtl/>
          <w:lang w:eastAsia="he-IL"/>
        </w:rPr>
      </w:pPr>
    </w:p>
    <w:p w14:paraId="2B84863D" w14:textId="77777777" w:rsidR="00582B63" w:rsidRPr="00E54AB6" w:rsidRDefault="00582B63" w:rsidP="00582B63">
      <w:pPr>
        <w:spacing w:line="360" w:lineRule="auto"/>
        <w:jc w:val="both"/>
        <w:rPr>
          <w:rtl/>
          <w:lang w:eastAsia="he-IL"/>
        </w:rPr>
      </w:pPr>
      <w:r w:rsidRPr="00E54AB6">
        <w:rPr>
          <w:rtl/>
          <w:lang w:eastAsia="he-IL"/>
        </w:rPr>
        <w:t>10.</w:t>
      </w:r>
      <w:r w:rsidRPr="00E54AB6">
        <w:rPr>
          <w:rtl/>
          <w:lang w:eastAsia="he-IL"/>
        </w:rPr>
        <w:tab/>
        <w:t xml:space="preserve">העבירה שביצע הנאשם חמורה, ונסיבות ביצועה חמורות. הנאשם מגדל 600 שתילי סם מסוכן מסוג קנבוס אשר הגיעו למשקל כולל של 55 ק"ג, והוא בחר לעשות זאת לצורך פתרון בעיה כלכלית. </w:t>
      </w:r>
    </w:p>
    <w:p w14:paraId="161EAD5A" w14:textId="77777777" w:rsidR="00582B63" w:rsidRPr="00E54AB6" w:rsidRDefault="00582B63" w:rsidP="00582B63">
      <w:pPr>
        <w:spacing w:line="360" w:lineRule="auto"/>
        <w:jc w:val="both"/>
        <w:rPr>
          <w:rtl/>
          <w:lang w:eastAsia="he-IL"/>
        </w:rPr>
      </w:pPr>
    </w:p>
    <w:p w14:paraId="31ED0B58" w14:textId="77777777" w:rsidR="00582B63" w:rsidRPr="00E54AB6" w:rsidRDefault="00582B63" w:rsidP="00582B63">
      <w:pPr>
        <w:spacing w:line="360" w:lineRule="auto"/>
        <w:jc w:val="both"/>
        <w:rPr>
          <w:rtl/>
          <w:lang w:eastAsia="he-IL"/>
        </w:rPr>
      </w:pPr>
      <w:r w:rsidRPr="00E54AB6">
        <w:rPr>
          <w:rtl/>
          <w:lang w:eastAsia="he-IL"/>
        </w:rPr>
        <w:t>המניע הכלכלי מחמיר את נסיבות ביצוע העבירה, וגם כאשר קיים קושי כלכלי, אין לקבל טענה אשר מבקשת להביא קושי זה כנימוק לקולא לסיבה לביצוע העבירה.</w:t>
      </w:r>
    </w:p>
    <w:p w14:paraId="6DD90AE7" w14:textId="77777777" w:rsidR="00582B63" w:rsidRPr="00E54AB6" w:rsidRDefault="00582B63" w:rsidP="00582B63">
      <w:pPr>
        <w:spacing w:line="360" w:lineRule="auto"/>
        <w:jc w:val="both"/>
        <w:rPr>
          <w:rtl/>
          <w:lang w:eastAsia="he-IL"/>
        </w:rPr>
      </w:pPr>
    </w:p>
    <w:p w14:paraId="3A843B40" w14:textId="77777777" w:rsidR="00582B63" w:rsidRPr="00E54AB6" w:rsidRDefault="00582B63" w:rsidP="00582B63">
      <w:pPr>
        <w:spacing w:line="360" w:lineRule="auto"/>
        <w:jc w:val="both"/>
        <w:rPr>
          <w:rtl/>
          <w:lang w:eastAsia="he-IL"/>
        </w:rPr>
      </w:pPr>
      <w:r w:rsidRPr="00E54AB6">
        <w:rPr>
          <w:rtl/>
          <w:lang w:eastAsia="he-IL"/>
        </w:rPr>
        <w:t>מדובר בעבירה אשר בוצעה תוך תכנון והצטיידות בציוד רב הנדרש להפקת הסם, וגידול כמות גדולה של סם מסוכן.</w:t>
      </w:r>
    </w:p>
    <w:p w14:paraId="7DE1DF7C" w14:textId="77777777" w:rsidR="00582B63" w:rsidRPr="00E54AB6" w:rsidRDefault="00582B63" w:rsidP="00582B63">
      <w:pPr>
        <w:spacing w:line="360" w:lineRule="auto"/>
        <w:jc w:val="both"/>
        <w:rPr>
          <w:rtl/>
          <w:lang w:eastAsia="he-IL"/>
        </w:rPr>
      </w:pPr>
    </w:p>
    <w:p w14:paraId="5D47A50F" w14:textId="77777777" w:rsidR="00582B63" w:rsidRPr="00E54AB6" w:rsidRDefault="00582B63" w:rsidP="00582B63">
      <w:pPr>
        <w:spacing w:line="360" w:lineRule="auto"/>
        <w:jc w:val="both"/>
        <w:rPr>
          <w:rtl/>
          <w:lang w:eastAsia="he-IL"/>
        </w:rPr>
      </w:pPr>
      <w:r w:rsidRPr="00E54AB6">
        <w:rPr>
          <w:rtl/>
          <w:lang w:eastAsia="he-IL"/>
        </w:rPr>
        <w:t>הכמות הגדולה של השתילים מעידה על היקף הנזק הפוטנציאלי אשר יכול היה להיגרם מהפצת הסמים.</w:t>
      </w:r>
    </w:p>
    <w:p w14:paraId="20942AF6" w14:textId="77777777" w:rsidR="00582B63" w:rsidRPr="00E54AB6" w:rsidRDefault="00582B63" w:rsidP="00582B63">
      <w:pPr>
        <w:spacing w:line="360" w:lineRule="auto"/>
        <w:jc w:val="both"/>
        <w:rPr>
          <w:rtl/>
          <w:lang w:eastAsia="he-IL"/>
        </w:rPr>
      </w:pPr>
    </w:p>
    <w:p w14:paraId="6F40D22A" w14:textId="77777777" w:rsidR="00582B63" w:rsidRPr="00E54AB6" w:rsidRDefault="00582B63" w:rsidP="00582B63">
      <w:pPr>
        <w:spacing w:line="360" w:lineRule="auto"/>
        <w:jc w:val="both"/>
        <w:rPr>
          <w:rtl/>
          <w:lang w:eastAsia="he-IL"/>
        </w:rPr>
      </w:pPr>
      <w:r w:rsidRPr="00E54AB6">
        <w:rPr>
          <w:rtl/>
          <w:lang w:eastAsia="he-IL"/>
        </w:rPr>
        <w:t>התמונה ברורה – מדובר בגידול אשר נועד להפצה, בכמות גדולה, ולצורך כלכלי.</w:t>
      </w:r>
    </w:p>
    <w:p w14:paraId="24CB9B4E" w14:textId="77777777" w:rsidR="00582B63" w:rsidRPr="00E54AB6" w:rsidRDefault="00582B63" w:rsidP="00582B63">
      <w:pPr>
        <w:spacing w:line="360" w:lineRule="auto"/>
        <w:jc w:val="both"/>
        <w:rPr>
          <w:rtl/>
          <w:lang w:eastAsia="he-IL"/>
        </w:rPr>
      </w:pPr>
    </w:p>
    <w:p w14:paraId="3211D787" w14:textId="77777777" w:rsidR="00582B63" w:rsidRPr="00E54AB6" w:rsidRDefault="00582B63" w:rsidP="00582B63">
      <w:pPr>
        <w:spacing w:line="360" w:lineRule="auto"/>
        <w:jc w:val="both"/>
        <w:rPr>
          <w:rtl/>
          <w:lang w:eastAsia="he-IL"/>
        </w:rPr>
      </w:pPr>
      <w:r w:rsidRPr="00E54AB6">
        <w:rPr>
          <w:rtl/>
          <w:lang w:eastAsia="he-IL"/>
        </w:rPr>
        <w:t>עבירות אלו מצריכות מתן משקל לשיקולי הרתעת היחיד והרתעת הרבים, ועניין זה צריך לבוא לידי ביטוי בענישה אשר צריכה לכלול מאסר בפועל משמעותי.</w:t>
      </w:r>
    </w:p>
    <w:p w14:paraId="718627DD" w14:textId="77777777" w:rsidR="00582B63" w:rsidRPr="00E54AB6" w:rsidRDefault="00582B63" w:rsidP="00582B63">
      <w:pPr>
        <w:spacing w:line="360" w:lineRule="auto"/>
        <w:jc w:val="both"/>
        <w:rPr>
          <w:rtl/>
          <w:lang w:eastAsia="he-IL"/>
        </w:rPr>
      </w:pPr>
    </w:p>
    <w:p w14:paraId="42B4309D" w14:textId="77777777" w:rsidR="00582B63" w:rsidRPr="00E54AB6" w:rsidRDefault="00582B63" w:rsidP="00582B63">
      <w:pPr>
        <w:spacing w:line="360" w:lineRule="auto"/>
        <w:jc w:val="both"/>
        <w:rPr>
          <w:rtl/>
          <w:lang w:eastAsia="he-IL"/>
        </w:rPr>
      </w:pPr>
      <w:r w:rsidRPr="00E54AB6">
        <w:rPr>
          <w:rtl/>
          <w:lang w:eastAsia="he-IL"/>
        </w:rPr>
        <w:t xml:space="preserve">לזכות הנאשם יש להביא בשיקולים לקולא את העדר העבר הפלילי וקבלת האחריות, כמו גם את העולה מתסקיר שירות המבחן בדבר תחילת הליכים טיפוליים במסגרת בית הסוהר. </w:t>
      </w:r>
    </w:p>
    <w:p w14:paraId="15B9BD19" w14:textId="77777777" w:rsidR="00582B63" w:rsidRPr="00E54AB6" w:rsidRDefault="00582B63" w:rsidP="00582B63">
      <w:pPr>
        <w:spacing w:line="360" w:lineRule="auto"/>
        <w:jc w:val="both"/>
        <w:rPr>
          <w:rtl/>
          <w:lang w:eastAsia="he-IL"/>
        </w:rPr>
      </w:pPr>
    </w:p>
    <w:p w14:paraId="11981531" w14:textId="77777777" w:rsidR="00582B63" w:rsidRPr="00E54AB6" w:rsidRDefault="00582B63" w:rsidP="00582B63">
      <w:pPr>
        <w:spacing w:line="360" w:lineRule="auto"/>
        <w:jc w:val="both"/>
        <w:rPr>
          <w:rtl/>
          <w:lang w:eastAsia="he-IL"/>
        </w:rPr>
      </w:pPr>
      <w:r w:rsidRPr="00E54AB6">
        <w:rPr>
          <w:rtl/>
          <w:lang w:eastAsia="he-IL"/>
        </w:rPr>
        <w:t xml:space="preserve">עוד מובאים במסגרת השיקולים </w:t>
      </w:r>
      <w:r>
        <w:rPr>
          <w:rFonts w:hint="cs"/>
          <w:rtl/>
          <w:lang w:eastAsia="he-IL"/>
        </w:rPr>
        <w:t xml:space="preserve">לקולא </w:t>
      </w:r>
      <w:r w:rsidRPr="00E54AB6">
        <w:rPr>
          <w:rtl/>
          <w:lang w:eastAsia="he-IL"/>
        </w:rPr>
        <w:t xml:space="preserve">הדברים העולים מתסקיר שירות המבחן ביחס לנסיבותיו האישיות והמשפחתיות של הנאשם, והמשמעות של המעצר עבורו, וכי מדובר במעצר ראשון אשר גורמי הרווחה בכלא מתרשמים שיש בו כדי להרתיע את הנאשם. </w:t>
      </w:r>
    </w:p>
    <w:p w14:paraId="1271B99E" w14:textId="77777777" w:rsidR="00582B63" w:rsidRPr="00E54AB6" w:rsidRDefault="00582B63" w:rsidP="00582B63">
      <w:pPr>
        <w:spacing w:line="360" w:lineRule="auto"/>
        <w:jc w:val="both"/>
        <w:rPr>
          <w:rtl/>
          <w:lang w:eastAsia="he-IL"/>
        </w:rPr>
      </w:pPr>
    </w:p>
    <w:p w14:paraId="2FEA9A72" w14:textId="77777777" w:rsidR="00582B63" w:rsidRPr="00E54AB6" w:rsidRDefault="00582B63" w:rsidP="00582B63">
      <w:pPr>
        <w:spacing w:line="360" w:lineRule="auto"/>
        <w:jc w:val="both"/>
        <w:rPr>
          <w:rtl/>
          <w:lang w:eastAsia="he-IL"/>
        </w:rPr>
      </w:pPr>
      <w:r w:rsidRPr="00E54AB6">
        <w:rPr>
          <w:rtl/>
          <w:lang w:eastAsia="he-IL"/>
        </w:rPr>
        <w:t xml:space="preserve">מכל האמור, אני מוצא כי הגם שאין ברף העליון של טווח העונש </w:t>
      </w:r>
      <w:r>
        <w:rPr>
          <w:rFonts w:hint="cs"/>
          <w:rtl/>
          <w:lang w:eastAsia="he-IL"/>
        </w:rPr>
        <w:t xml:space="preserve">המוסכם </w:t>
      </w:r>
      <w:r w:rsidRPr="00E54AB6">
        <w:rPr>
          <w:rtl/>
          <w:lang w:eastAsia="he-IL"/>
        </w:rPr>
        <w:t xml:space="preserve">כדי להוות ענישה מחמירה לעבירה זו בנסיבות ביצועה, יש להביא בשיקולים גם את מכלול השיקולים לקולא דלעיל, ולהקל עם הנאשם ברכיב המאסר, אך לא באופן משמעותי. </w:t>
      </w:r>
    </w:p>
    <w:p w14:paraId="5633DC28" w14:textId="77777777" w:rsidR="00582B63" w:rsidRPr="00E54AB6" w:rsidRDefault="00582B63" w:rsidP="00582B63">
      <w:pPr>
        <w:spacing w:line="360" w:lineRule="auto"/>
        <w:jc w:val="both"/>
        <w:rPr>
          <w:rtl/>
          <w:lang w:eastAsia="he-IL"/>
        </w:rPr>
      </w:pPr>
    </w:p>
    <w:p w14:paraId="1E91D515" w14:textId="77777777" w:rsidR="00582B63" w:rsidRPr="00E54AB6" w:rsidRDefault="00582B63" w:rsidP="00582B63">
      <w:pPr>
        <w:spacing w:line="360" w:lineRule="auto"/>
        <w:jc w:val="both"/>
        <w:rPr>
          <w:rtl/>
          <w:lang w:eastAsia="he-IL"/>
        </w:rPr>
      </w:pPr>
      <w:r w:rsidRPr="00E54AB6">
        <w:rPr>
          <w:rtl/>
          <w:lang w:eastAsia="he-IL"/>
        </w:rPr>
        <w:t xml:space="preserve">עבירה זו אשר לה היבט כלכלי מובהק מצריכה גם הטלה של רכיב עונשי כלכלי בדמות קנס. ואולם, בקביעת גובה הקנס המוטל יש להביא בשיקולים את מצבו הכלכלי של הנאשם, ועולה כי זה אינו שפיר, ולפיכך יוטל קנס אך הוא יהא מידתי לאור האמור. </w:t>
      </w:r>
    </w:p>
    <w:p w14:paraId="5BA84558" w14:textId="77777777" w:rsidR="00582B63" w:rsidRPr="00E54AB6" w:rsidRDefault="00582B63" w:rsidP="00582B63">
      <w:pPr>
        <w:spacing w:line="360" w:lineRule="auto"/>
        <w:jc w:val="both"/>
        <w:rPr>
          <w:rtl/>
          <w:lang w:eastAsia="he-IL"/>
        </w:rPr>
      </w:pPr>
    </w:p>
    <w:p w14:paraId="61791C14" w14:textId="77777777" w:rsidR="00582B63" w:rsidRPr="00E54AB6" w:rsidRDefault="00582B63" w:rsidP="00582B63">
      <w:pPr>
        <w:spacing w:line="360" w:lineRule="auto"/>
        <w:jc w:val="both"/>
        <w:rPr>
          <w:rtl/>
          <w:lang w:eastAsia="he-IL"/>
        </w:rPr>
      </w:pPr>
      <w:r w:rsidRPr="00E54AB6">
        <w:rPr>
          <w:rtl/>
          <w:lang w:eastAsia="he-IL"/>
        </w:rPr>
        <w:t xml:space="preserve">אשר לרכיב הפסילה בפועל – משיקולים הקשורים בשיקומו של הנאשם לאחר שחרורו מהמאסר, אני מוצא שלא להטיל פסילה בפועל, שכן לרישיון נהיגה קיימת משמעות ביחס לאפשרות תעסוקה. </w:t>
      </w:r>
    </w:p>
    <w:p w14:paraId="7E3726AB" w14:textId="77777777" w:rsidR="00582B63" w:rsidRPr="00E54AB6" w:rsidRDefault="00582B63" w:rsidP="00582B63">
      <w:pPr>
        <w:spacing w:line="360" w:lineRule="auto"/>
        <w:jc w:val="both"/>
        <w:rPr>
          <w:rtl/>
          <w:lang w:eastAsia="he-IL"/>
        </w:rPr>
      </w:pPr>
    </w:p>
    <w:p w14:paraId="24D3748B" w14:textId="77777777" w:rsidR="00582B63" w:rsidRPr="00E54AB6" w:rsidRDefault="00582B63" w:rsidP="00582B63">
      <w:pPr>
        <w:spacing w:line="360" w:lineRule="auto"/>
        <w:jc w:val="both"/>
        <w:rPr>
          <w:rtl/>
          <w:lang w:eastAsia="he-IL"/>
        </w:rPr>
      </w:pPr>
      <w:r w:rsidRPr="00E54AB6">
        <w:rPr>
          <w:rtl/>
          <w:lang w:eastAsia="he-IL"/>
        </w:rPr>
        <w:t>לצד זאת, תוטל פסילה מותנית.</w:t>
      </w:r>
    </w:p>
    <w:p w14:paraId="5F2ACD3D" w14:textId="77777777" w:rsidR="00582B63" w:rsidRPr="00E54AB6" w:rsidRDefault="00582B63" w:rsidP="00582B63">
      <w:pPr>
        <w:spacing w:line="360" w:lineRule="auto"/>
        <w:jc w:val="both"/>
        <w:rPr>
          <w:rtl/>
          <w:lang w:eastAsia="he-IL"/>
        </w:rPr>
      </w:pPr>
    </w:p>
    <w:p w14:paraId="081087B6" w14:textId="77777777" w:rsidR="00582B63" w:rsidRPr="00E54AB6" w:rsidRDefault="00582B63" w:rsidP="00582B63">
      <w:pPr>
        <w:spacing w:line="360" w:lineRule="auto"/>
        <w:jc w:val="both"/>
        <w:rPr>
          <w:b/>
          <w:bCs/>
          <w:rtl/>
          <w:lang w:eastAsia="he-IL"/>
        </w:rPr>
      </w:pPr>
      <w:r w:rsidRPr="00E54AB6">
        <w:rPr>
          <w:rtl/>
          <w:lang w:eastAsia="he-IL"/>
        </w:rPr>
        <w:t>11.</w:t>
      </w:r>
      <w:r w:rsidRPr="00E54AB6">
        <w:rPr>
          <w:rtl/>
          <w:lang w:eastAsia="he-IL"/>
        </w:rPr>
        <w:tab/>
      </w:r>
      <w:r w:rsidRPr="00E54AB6">
        <w:rPr>
          <w:b/>
          <w:bCs/>
          <w:rtl/>
          <w:lang w:eastAsia="he-IL"/>
        </w:rPr>
        <w:t xml:space="preserve">אשר על כן אני גוזר על הנאשם את העונשים הבאים: </w:t>
      </w:r>
    </w:p>
    <w:p w14:paraId="7D330FD4" w14:textId="77777777" w:rsidR="00582B63" w:rsidRPr="00E54AB6" w:rsidRDefault="00582B63" w:rsidP="00582B63">
      <w:pPr>
        <w:spacing w:line="360" w:lineRule="auto"/>
        <w:jc w:val="both"/>
        <w:rPr>
          <w:rtl/>
          <w:lang w:eastAsia="he-IL"/>
        </w:rPr>
      </w:pPr>
      <w:r w:rsidRPr="00E54AB6">
        <w:rPr>
          <w:rtl/>
          <w:lang w:eastAsia="he-IL"/>
        </w:rPr>
        <w:t xml:space="preserve"> </w:t>
      </w:r>
    </w:p>
    <w:p w14:paraId="2AF3397E" w14:textId="77777777" w:rsidR="00582B63" w:rsidRPr="00E54AB6" w:rsidRDefault="00582B63" w:rsidP="00582B63">
      <w:pPr>
        <w:spacing w:line="360" w:lineRule="auto"/>
        <w:jc w:val="both"/>
        <w:rPr>
          <w:rtl/>
          <w:lang w:eastAsia="he-IL"/>
        </w:rPr>
      </w:pPr>
      <w:r w:rsidRPr="00E54AB6">
        <w:rPr>
          <w:b/>
          <w:bCs/>
          <w:u w:val="single"/>
          <w:rtl/>
          <w:lang w:eastAsia="he-IL"/>
        </w:rPr>
        <w:t>מאסר</w:t>
      </w:r>
      <w:r w:rsidRPr="00E54AB6">
        <w:rPr>
          <w:rtl/>
          <w:lang w:eastAsia="he-IL"/>
        </w:rPr>
        <w:t xml:space="preserve"> - מאסר בפועל לתקופה של  24 חודשים. מתקופת מאסרו ינוכו ימי מעצרו מיום 11.7.21.</w:t>
      </w:r>
    </w:p>
    <w:p w14:paraId="4FF16BD1" w14:textId="77777777" w:rsidR="00582B63" w:rsidRPr="00E54AB6" w:rsidRDefault="00582B63" w:rsidP="00582B63">
      <w:pPr>
        <w:spacing w:line="360" w:lineRule="auto"/>
        <w:jc w:val="both"/>
        <w:rPr>
          <w:rtl/>
          <w:lang w:eastAsia="he-IL"/>
        </w:rPr>
      </w:pPr>
    </w:p>
    <w:p w14:paraId="7BC210FB" w14:textId="77777777" w:rsidR="00582B63" w:rsidRPr="00E54AB6" w:rsidRDefault="00582B63" w:rsidP="00582B63">
      <w:pPr>
        <w:spacing w:line="360" w:lineRule="auto"/>
        <w:jc w:val="both"/>
        <w:rPr>
          <w:rtl/>
          <w:lang w:eastAsia="he-IL"/>
        </w:rPr>
      </w:pPr>
      <w:r w:rsidRPr="00E54AB6">
        <w:rPr>
          <w:b/>
          <w:bCs/>
          <w:u w:val="single"/>
          <w:rtl/>
          <w:lang w:eastAsia="he-IL"/>
        </w:rPr>
        <w:t>מאסר על תנאי</w:t>
      </w:r>
      <w:r w:rsidRPr="00E54AB6">
        <w:rPr>
          <w:rtl/>
          <w:lang w:eastAsia="he-IL"/>
        </w:rPr>
        <w:t xml:space="preserve"> - מאסר על תנאי לתקופה של 9 חודשים. הנאשם יישא בעונש זה אם בתקופה של שלוש שנים מיום שחרורו יעבור על עבירת סמים מסוג פשע. </w:t>
      </w:r>
    </w:p>
    <w:p w14:paraId="5F126824" w14:textId="77777777" w:rsidR="00582B63" w:rsidRPr="00E54AB6" w:rsidRDefault="00582B63" w:rsidP="00582B63">
      <w:pPr>
        <w:spacing w:line="360" w:lineRule="auto"/>
        <w:jc w:val="both"/>
        <w:rPr>
          <w:rtl/>
          <w:lang w:eastAsia="he-IL"/>
        </w:rPr>
      </w:pPr>
    </w:p>
    <w:p w14:paraId="603209C3" w14:textId="77777777" w:rsidR="00582B63" w:rsidRPr="00E54AB6" w:rsidRDefault="00582B63" w:rsidP="00582B63">
      <w:pPr>
        <w:spacing w:line="360" w:lineRule="auto"/>
        <w:jc w:val="both"/>
        <w:rPr>
          <w:rtl/>
          <w:lang w:eastAsia="he-IL"/>
        </w:rPr>
      </w:pPr>
      <w:r w:rsidRPr="00E54AB6">
        <w:rPr>
          <w:b/>
          <w:bCs/>
          <w:u w:val="single"/>
          <w:rtl/>
          <w:lang w:eastAsia="he-IL"/>
        </w:rPr>
        <w:t>קנס</w:t>
      </w:r>
      <w:r w:rsidRPr="00E54AB6">
        <w:rPr>
          <w:rtl/>
          <w:lang w:eastAsia="he-IL"/>
        </w:rPr>
        <w:t xml:space="preserve"> - קנס בסך 5,000 ש"ח או מאסר למשך 20 יום תחתיו; הקנס ישולם ב- 10 תשלומים חודשיים שווים ורצופים. התשלום הראשון ישולם בתוך 90 יום מהיום ויתר התשלומים מידי 30 יום לאחר מכן.  הקנס יועבר לקרן החילוט כאמור בסעיף סעיף </w:t>
      </w:r>
      <w:hyperlink r:id="rId40" w:history="1">
        <w:r w:rsidR="000E1754" w:rsidRPr="000E1754">
          <w:rPr>
            <w:rStyle w:val="Hyperlink"/>
            <w:rtl/>
            <w:lang w:eastAsia="he-IL"/>
          </w:rPr>
          <w:t>36ח(א)</w:t>
        </w:r>
      </w:hyperlink>
      <w:r w:rsidRPr="00E54AB6">
        <w:rPr>
          <w:rtl/>
          <w:lang w:eastAsia="he-IL"/>
        </w:rPr>
        <w:t xml:space="preserve"> ל</w:t>
      </w:r>
      <w:hyperlink r:id="rId41" w:history="1">
        <w:r w:rsidR="0008400E" w:rsidRPr="0008400E">
          <w:rPr>
            <w:color w:val="0000FF"/>
            <w:u w:val="single"/>
            <w:rtl/>
            <w:lang w:eastAsia="he-IL"/>
          </w:rPr>
          <w:t>פקודת הסמים המסוכנים</w:t>
        </w:r>
      </w:hyperlink>
      <w:r w:rsidRPr="00E54AB6">
        <w:rPr>
          <w:rtl/>
          <w:lang w:eastAsia="he-IL"/>
        </w:rPr>
        <w:t xml:space="preserve"> (נוסח חדש).</w:t>
      </w:r>
    </w:p>
    <w:p w14:paraId="7AAD7220" w14:textId="77777777" w:rsidR="00582B63" w:rsidRPr="00E54AB6" w:rsidRDefault="00582B63" w:rsidP="00582B63">
      <w:pPr>
        <w:spacing w:line="360" w:lineRule="auto"/>
        <w:jc w:val="both"/>
        <w:rPr>
          <w:rtl/>
          <w:lang w:eastAsia="he-IL"/>
        </w:rPr>
      </w:pPr>
    </w:p>
    <w:p w14:paraId="6B00323A" w14:textId="77777777" w:rsidR="00582B63" w:rsidRPr="00E54AB6" w:rsidRDefault="00582B63" w:rsidP="00582B63">
      <w:pPr>
        <w:spacing w:line="360" w:lineRule="auto"/>
        <w:jc w:val="both"/>
        <w:rPr>
          <w:rtl/>
          <w:lang w:eastAsia="he-IL"/>
        </w:rPr>
      </w:pPr>
      <w:r w:rsidRPr="00E54AB6">
        <w:rPr>
          <w:b/>
          <w:bCs/>
          <w:u w:val="single"/>
          <w:rtl/>
          <w:lang w:eastAsia="he-IL"/>
        </w:rPr>
        <w:t>פסילה על תנאי</w:t>
      </w:r>
      <w:r w:rsidRPr="00E54AB6">
        <w:rPr>
          <w:b/>
          <w:bCs/>
          <w:rtl/>
          <w:lang w:eastAsia="he-IL"/>
        </w:rPr>
        <w:t xml:space="preserve"> – </w:t>
      </w:r>
      <w:r w:rsidRPr="00E54AB6">
        <w:rPr>
          <w:rtl/>
          <w:lang w:eastAsia="he-IL"/>
        </w:rPr>
        <w:t xml:space="preserve">הנני פוסל את הנאשם מלקבל או מלהחזיק רישיון נהיגה וזאת למשך 9 חודשים. הנאשם יישא בעונש זה אם בתקופה של שלוש שנים מיום שחרורו יעבור על כל עבירת סמים מסוג פשע.   </w:t>
      </w:r>
    </w:p>
    <w:p w14:paraId="0193DDF9" w14:textId="77777777" w:rsidR="00582B63" w:rsidRPr="0008400E" w:rsidRDefault="0008400E" w:rsidP="00582B63">
      <w:pPr>
        <w:spacing w:line="360" w:lineRule="auto"/>
        <w:jc w:val="both"/>
        <w:rPr>
          <w:b/>
          <w:bCs/>
          <w:color w:val="FFFFFF"/>
          <w:sz w:val="2"/>
          <w:szCs w:val="2"/>
          <w:rtl/>
          <w:lang w:eastAsia="he-IL"/>
        </w:rPr>
      </w:pPr>
      <w:r w:rsidRPr="0008400E">
        <w:rPr>
          <w:b/>
          <w:bCs/>
          <w:color w:val="FFFFFF"/>
          <w:sz w:val="2"/>
          <w:szCs w:val="2"/>
          <w:rtl/>
          <w:lang w:eastAsia="he-IL"/>
        </w:rPr>
        <w:t>5129371</w:t>
      </w:r>
    </w:p>
    <w:p w14:paraId="20B75986" w14:textId="77777777" w:rsidR="00582B63" w:rsidRPr="00E54AB6" w:rsidRDefault="0008400E" w:rsidP="00582B63">
      <w:pPr>
        <w:spacing w:line="360" w:lineRule="auto"/>
        <w:jc w:val="both"/>
        <w:rPr>
          <w:b/>
          <w:bCs/>
          <w:rtl/>
          <w:lang w:eastAsia="he-IL"/>
        </w:rPr>
      </w:pPr>
      <w:r w:rsidRPr="0008400E">
        <w:rPr>
          <w:b/>
          <w:bCs/>
          <w:color w:val="FFFFFF"/>
          <w:sz w:val="2"/>
          <w:szCs w:val="2"/>
          <w:rtl/>
          <w:lang w:eastAsia="he-IL"/>
        </w:rPr>
        <w:t>54678313</w:t>
      </w:r>
      <w:r w:rsidR="00582B63" w:rsidRPr="00E54AB6">
        <w:rPr>
          <w:b/>
          <w:bCs/>
          <w:rtl/>
          <w:lang w:eastAsia="he-IL"/>
        </w:rPr>
        <w:t xml:space="preserve">זכות ערעור בתוך 45 יום מהיום. </w:t>
      </w:r>
    </w:p>
    <w:p w14:paraId="34F228C5" w14:textId="77777777" w:rsidR="00582B63" w:rsidRPr="000F2247" w:rsidRDefault="00582B63" w:rsidP="00582B63">
      <w:pPr>
        <w:rPr>
          <w:rFonts w:ascii="Arial" w:hAnsi="Arial"/>
          <w:b/>
          <w:bCs/>
          <w:sz w:val="26"/>
          <w:szCs w:val="26"/>
          <w:rtl/>
        </w:rPr>
      </w:pPr>
    </w:p>
    <w:p w14:paraId="4912F0A9" w14:textId="77777777" w:rsidR="00582B63" w:rsidRPr="000F2247" w:rsidRDefault="0008400E" w:rsidP="00582B63">
      <w:pPr>
        <w:rPr>
          <w:rFonts w:ascii="Arial" w:hAnsi="Arial"/>
          <w:b/>
          <w:bCs/>
          <w:sz w:val="26"/>
          <w:szCs w:val="26"/>
          <w:rtl/>
        </w:rPr>
      </w:pPr>
      <w:bookmarkStart w:id="8" w:name="Nitan"/>
      <w:r>
        <w:rPr>
          <w:rFonts w:ascii="Arial" w:hAnsi="Arial"/>
          <w:b/>
          <w:bCs/>
          <w:sz w:val="26"/>
          <w:szCs w:val="26"/>
          <w:rtl/>
        </w:rPr>
        <w:t xml:space="preserve">ניתן היום,  כ"ג אדר א' תשפ"ב, 24 פברואר 2022, במעמד הצדדים. </w:t>
      </w:r>
      <w:bookmarkEnd w:id="8"/>
    </w:p>
    <w:p w14:paraId="76A7527A" w14:textId="77777777" w:rsidR="00582B63" w:rsidRPr="000F2247" w:rsidRDefault="00582B63" w:rsidP="0008400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C141AFE" w14:textId="77777777" w:rsidR="00582B63" w:rsidRPr="000E1754" w:rsidRDefault="000E1754" w:rsidP="00582B63">
      <w:pPr>
        <w:jc w:val="center"/>
        <w:rPr>
          <w:rFonts w:ascii="Arial" w:hAnsi="Arial"/>
          <w:b/>
          <w:bCs/>
          <w:color w:val="FFFFFF"/>
          <w:sz w:val="2"/>
          <w:szCs w:val="2"/>
          <w:rtl/>
        </w:rPr>
      </w:pPr>
      <w:r w:rsidRPr="000E1754">
        <w:rPr>
          <w:rFonts w:ascii="Arial" w:hAnsi="Arial"/>
          <w:b/>
          <w:bCs/>
          <w:color w:val="FFFFFF"/>
          <w:sz w:val="2"/>
          <w:szCs w:val="2"/>
          <w:rtl/>
        </w:rPr>
        <w:t>5129371</w:t>
      </w:r>
    </w:p>
    <w:p w14:paraId="7A5C41BC" w14:textId="77777777" w:rsidR="003C0292" w:rsidRPr="000E1754" w:rsidRDefault="000E1754" w:rsidP="0008400E">
      <w:pPr>
        <w:keepNext/>
        <w:rPr>
          <w:rFonts w:ascii="David" w:hAnsi="David"/>
          <w:color w:val="FFFFFF"/>
          <w:sz w:val="2"/>
          <w:szCs w:val="2"/>
          <w:rtl/>
        </w:rPr>
      </w:pPr>
      <w:r w:rsidRPr="000E1754">
        <w:rPr>
          <w:rFonts w:ascii="David" w:hAnsi="David"/>
          <w:color w:val="FFFFFF"/>
          <w:sz w:val="2"/>
          <w:szCs w:val="2"/>
          <w:rtl/>
        </w:rPr>
        <w:t>54678313</w:t>
      </w:r>
    </w:p>
    <w:p w14:paraId="4052C3BB" w14:textId="77777777" w:rsidR="0008400E" w:rsidRPr="0008400E" w:rsidRDefault="0008400E" w:rsidP="0008400E">
      <w:pPr>
        <w:keepNext/>
        <w:rPr>
          <w:rFonts w:ascii="David" w:hAnsi="David"/>
          <w:color w:val="000000"/>
          <w:sz w:val="22"/>
          <w:szCs w:val="22"/>
          <w:rtl/>
        </w:rPr>
      </w:pPr>
      <w:r w:rsidRPr="0008400E">
        <w:rPr>
          <w:rFonts w:ascii="David" w:hAnsi="David"/>
          <w:color w:val="000000"/>
          <w:sz w:val="22"/>
          <w:szCs w:val="22"/>
          <w:rtl/>
        </w:rPr>
        <w:t>יואל עדן 54678313</w:t>
      </w:r>
    </w:p>
    <w:p w14:paraId="422BAF48" w14:textId="77777777" w:rsidR="0008400E" w:rsidRDefault="0008400E" w:rsidP="0008400E">
      <w:r w:rsidRPr="0008400E">
        <w:rPr>
          <w:color w:val="000000"/>
          <w:rtl/>
        </w:rPr>
        <w:t>נוסח מסמך זה כפוף לשינויי ניסוח ועריכה</w:t>
      </w:r>
    </w:p>
    <w:p w14:paraId="20F02889" w14:textId="77777777" w:rsidR="0008400E" w:rsidRDefault="0008400E" w:rsidP="0008400E">
      <w:pPr>
        <w:rPr>
          <w:rtl/>
        </w:rPr>
      </w:pPr>
    </w:p>
    <w:p w14:paraId="384FDF45" w14:textId="77777777" w:rsidR="0008400E" w:rsidRDefault="0008400E" w:rsidP="0008400E">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sectPr w:rsidR="0008400E" w:rsidSect="000E1754">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19D21" w14:textId="77777777" w:rsidR="008D3F8A" w:rsidRDefault="008D3F8A" w:rsidP="00A159F0">
      <w:r>
        <w:separator/>
      </w:r>
    </w:p>
  </w:endnote>
  <w:endnote w:type="continuationSeparator" w:id="0">
    <w:p w14:paraId="10E999A8" w14:textId="77777777" w:rsidR="008D3F8A" w:rsidRDefault="008D3F8A" w:rsidP="00A15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1064B" w14:textId="77777777" w:rsidR="000E1754" w:rsidRDefault="000E1754" w:rsidP="000E175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EB2B63" w14:textId="77777777" w:rsidR="007668F5" w:rsidRPr="000E1754" w:rsidRDefault="000E1754" w:rsidP="000E1754">
    <w:pPr>
      <w:pStyle w:val="a5"/>
      <w:pBdr>
        <w:top w:val="single" w:sz="4" w:space="1" w:color="auto"/>
        <w:between w:val="single" w:sz="4" w:space="0" w:color="auto"/>
      </w:pBdr>
      <w:spacing w:after="60"/>
      <w:jc w:val="center"/>
      <w:rPr>
        <w:rFonts w:ascii="FrankRuehl" w:hAnsi="FrankRuehl" w:cs="FrankRuehl"/>
        <w:color w:val="000000"/>
      </w:rPr>
    </w:pPr>
    <w:r w:rsidRPr="000E175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128A6" w14:textId="77777777" w:rsidR="000E1754" w:rsidRDefault="000E1754" w:rsidP="000E175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78B5">
      <w:rPr>
        <w:rFonts w:ascii="FrankRuehl" w:hAnsi="FrankRuehl" w:cs="FrankRuehl"/>
        <w:noProof/>
        <w:rtl/>
      </w:rPr>
      <w:t>1</w:t>
    </w:r>
    <w:r>
      <w:rPr>
        <w:rFonts w:ascii="FrankRuehl" w:hAnsi="FrankRuehl" w:cs="FrankRuehl"/>
        <w:rtl/>
      </w:rPr>
      <w:fldChar w:fldCharType="end"/>
    </w:r>
  </w:p>
  <w:p w14:paraId="01A14F7C" w14:textId="77777777" w:rsidR="007668F5" w:rsidRPr="000E1754" w:rsidRDefault="000E1754" w:rsidP="000E1754">
    <w:pPr>
      <w:pStyle w:val="a5"/>
      <w:pBdr>
        <w:top w:val="single" w:sz="4" w:space="1" w:color="auto"/>
        <w:between w:val="single" w:sz="4" w:space="0" w:color="auto"/>
      </w:pBdr>
      <w:spacing w:after="60"/>
      <w:jc w:val="center"/>
      <w:rPr>
        <w:rFonts w:ascii="FrankRuehl" w:hAnsi="FrankRuehl" w:cs="FrankRuehl"/>
        <w:color w:val="000000"/>
      </w:rPr>
    </w:pPr>
    <w:r w:rsidRPr="000E1754">
      <w:rPr>
        <w:rFonts w:ascii="FrankRuehl" w:hAnsi="FrankRuehl" w:cs="FrankRuehl"/>
        <w:color w:val="000000"/>
      </w:rPr>
      <w:pict w14:anchorId="658F3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A0F72" w14:textId="77777777" w:rsidR="008D3F8A" w:rsidRDefault="008D3F8A" w:rsidP="00A159F0">
      <w:r>
        <w:separator/>
      </w:r>
    </w:p>
  </w:footnote>
  <w:footnote w:type="continuationSeparator" w:id="0">
    <w:p w14:paraId="4F5E9215" w14:textId="77777777" w:rsidR="008D3F8A" w:rsidRDefault="008D3F8A" w:rsidP="00A15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4451A" w14:textId="77777777" w:rsidR="0008400E" w:rsidRPr="000E1754" w:rsidRDefault="000E1754" w:rsidP="000E175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43383-07-21</w:t>
    </w:r>
    <w:r>
      <w:rPr>
        <w:rFonts w:ascii="David" w:hAnsi="David"/>
        <w:color w:val="000000"/>
        <w:sz w:val="22"/>
        <w:szCs w:val="22"/>
        <w:rtl/>
      </w:rPr>
      <w:tab/>
      <w:t xml:space="preserve"> מדינת ישראל נ' מסרשאו מתיקו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624BE" w14:textId="77777777" w:rsidR="0008400E" w:rsidRPr="000E1754" w:rsidRDefault="000E1754" w:rsidP="000E175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43383-07-21</w:t>
    </w:r>
    <w:r>
      <w:rPr>
        <w:rFonts w:ascii="David" w:hAnsi="David"/>
        <w:color w:val="000000"/>
        <w:sz w:val="22"/>
        <w:szCs w:val="22"/>
        <w:rtl/>
      </w:rPr>
      <w:tab/>
      <w:t xml:space="preserve"> מדינת ישראל נ' מסרשאו מתיקו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2B63"/>
    <w:rsid w:val="0008400E"/>
    <w:rsid w:val="000E1754"/>
    <w:rsid w:val="00145789"/>
    <w:rsid w:val="001F70F4"/>
    <w:rsid w:val="00223DBF"/>
    <w:rsid w:val="003178B5"/>
    <w:rsid w:val="003C0292"/>
    <w:rsid w:val="00517657"/>
    <w:rsid w:val="00582B63"/>
    <w:rsid w:val="005F7547"/>
    <w:rsid w:val="007668F5"/>
    <w:rsid w:val="008D3F8A"/>
    <w:rsid w:val="009A4E4C"/>
    <w:rsid w:val="009C0700"/>
    <w:rsid w:val="009F2154"/>
    <w:rsid w:val="00A159F0"/>
    <w:rsid w:val="00E678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B3D0C2"/>
  <w15:chartTrackingRefBased/>
  <w15:docId w15:val="{D77EA34E-19E0-40FE-9EE8-7E592118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2B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2B63"/>
    <w:pPr>
      <w:tabs>
        <w:tab w:val="center" w:pos="4153"/>
        <w:tab w:val="right" w:pos="8306"/>
      </w:tabs>
    </w:pPr>
  </w:style>
  <w:style w:type="character" w:customStyle="1" w:styleId="a4">
    <w:name w:val="כותרת עליונה תו"/>
    <w:link w:val="a3"/>
    <w:rsid w:val="00582B63"/>
    <w:rPr>
      <w:rFonts w:ascii="Times New Roman" w:eastAsia="Times New Roman" w:hAnsi="Times New Roman" w:cs="David"/>
      <w:sz w:val="24"/>
      <w:szCs w:val="24"/>
    </w:rPr>
  </w:style>
  <w:style w:type="paragraph" w:styleId="a5">
    <w:name w:val="footer"/>
    <w:basedOn w:val="a"/>
    <w:link w:val="a6"/>
    <w:rsid w:val="00582B63"/>
    <w:pPr>
      <w:tabs>
        <w:tab w:val="center" w:pos="4153"/>
        <w:tab w:val="right" w:pos="8306"/>
      </w:tabs>
    </w:pPr>
  </w:style>
  <w:style w:type="character" w:customStyle="1" w:styleId="a6">
    <w:name w:val="כותרת תחתונה תו"/>
    <w:link w:val="a5"/>
    <w:rsid w:val="00582B63"/>
    <w:rPr>
      <w:rFonts w:ascii="Times New Roman" w:eastAsia="Times New Roman" w:hAnsi="Times New Roman" w:cs="David"/>
      <w:sz w:val="24"/>
      <w:szCs w:val="24"/>
    </w:rPr>
  </w:style>
  <w:style w:type="table" w:styleId="a7">
    <w:name w:val="Table Grid"/>
    <w:basedOn w:val="a1"/>
    <w:rsid w:val="00582B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2B63"/>
  </w:style>
  <w:style w:type="character" w:styleId="Hyperlink">
    <w:name w:val="Hyperlink"/>
    <w:rsid w:val="00084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681787" TargetMode="External"/><Relationship Id="rId26" Type="http://schemas.openxmlformats.org/officeDocument/2006/relationships/hyperlink" Target="http://www.nevo.co.il/case/23827604" TargetMode="External"/><Relationship Id="rId39" Type="http://schemas.openxmlformats.org/officeDocument/2006/relationships/hyperlink" Target="http://www.nevo.co.il/case/21644133" TargetMode="External"/><Relationship Id="rId21" Type="http://schemas.openxmlformats.org/officeDocument/2006/relationships/hyperlink" Target="http://www.nevo.co.il/case/5569233" TargetMode="External"/><Relationship Id="rId34" Type="http://schemas.openxmlformats.org/officeDocument/2006/relationships/hyperlink" Target="http://www.nevo.co.il/case/22841413"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case/5805976" TargetMode="External"/><Relationship Id="rId29" Type="http://schemas.openxmlformats.org/officeDocument/2006/relationships/hyperlink" Target="http://www.nevo.co.il/case/22791245"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99.a" TargetMode="External"/><Relationship Id="rId24" Type="http://schemas.openxmlformats.org/officeDocument/2006/relationships/hyperlink" Target="http://www.nevo.co.il/case/26991436" TargetMode="External"/><Relationship Id="rId32" Type="http://schemas.openxmlformats.org/officeDocument/2006/relationships/hyperlink" Target="http://www.nevo.co.il/case/22791241" TargetMode="External"/><Relationship Id="rId37" Type="http://schemas.openxmlformats.org/officeDocument/2006/relationships/hyperlink" Target="http://www.nevo.co.il/case/13070717" TargetMode="External"/><Relationship Id="rId40" Type="http://schemas.openxmlformats.org/officeDocument/2006/relationships/hyperlink" Target="http://www.nevo.co.il/law/4216/36h.a"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7313460" TargetMode="External"/><Relationship Id="rId28" Type="http://schemas.openxmlformats.org/officeDocument/2006/relationships/hyperlink" Target="http://www.nevo.co.il/case/26418332" TargetMode="External"/><Relationship Id="rId36" Type="http://schemas.openxmlformats.org/officeDocument/2006/relationships/hyperlink" Target="http://www.nevo.co.il/case/24929127" TargetMode="External"/><Relationship Id="rId10" Type="http://schemas.openxmlformats.org/officeDocument/2006/relationships/hyperlink" Target="http://www.nevo.co.il/law/70301/40d" TargetMode="External"/><Relationship Id="rId19" Type="http://schemas.openxmlformats.org/officeDocument/2006/relationships/hyperlink" Target="http://www.nevo.co.il/case/5569233" TargetMode="External"/><Relationship Id="rId31" Type="http://schemas.openxmlformats.org/officeDocument/2006/relationships/hyperlink" Target="http://www.nevo.co.il/law/70301"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23825973" TargetMode="External"/><Relationship Id="rId27" Type="http://schemas.openxmlformats.org/officeDocument/2006/relationships/hyperlink" Target="http://www.nevo.co.il/case/26991436" TargetMode="External"/><Relationship Id="rId30" Type="http://schemas.openxmlformats.org/officeDocument/2006/relationships/hyperlink" Target="http://www.nevo.co.il/law/70301/499.a" TargetMode="External"/><Relationship Id="rId35" Type="http://schemas.openxmlformats.org/officeDocument/2006/relationships/hyperlink" Target="http://www.nevo.co.il/case/2382760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36h.a" TargetMode="External"/><Relationship Id="rId3" Type="http://schemas.openxmlformats.org/officeDocument/2006/relationships/webSettings" Target="webSettings.xml"/><Relationship Id="rId12" Type="http://schemas.openxmlformats.org/officeDocument/2006/relationships/hyperlink" Target="http://www.nevo.co.il/law/4216/6" TargetMode="External"/><Relationship Id="rId17" Type="http://schemas.openxmlformats.org/officeDocument/2006/relationships/hyperlink" Target="http://www.nevo.co.il/case/5699426" TargetMode="External"/><Relationship Id="rId25" Type="http://schemas.openxmlformats.org/officeDocument/2006/relationships/hyperlink" Target="http://www.nevo.co.il/case/26991436" TargetMode="External"/><Relationship Id="rId33" Type="http://schemas.openxmlformats.org/officeDocument/2006/relationships/hyperlink" Target="http://www.nevo.co.il/case/22791245" TargetMode="External"/><Relationship Id="rId38" Type="http://schemas.openxmlformats.org/officeDocument/2006/relationships/hyperlink" Target="http://www.nevo.co.il/case/5731123" TargetMode="External"/><Relationship Id="rId46" Type="http://schemas.openxmlformats.org/officeDocument/2006/relationships/footer" Target="footer2.xml"/><Relationship Id="rId20" Type="http://schemas.openxmlformats.org/officeDocument/2006/relationships/hyperlink" Target="http://www.nevo.co.il/case/5569233"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3270</Words>
  <Characters>16350</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19581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4456530</vt:i4>
      </vt:variant>
      <vt:variant>
        <vt:i4>102</vt:i4>
      </vt:variant>
      <vt:variant>
        <vt:i4>0</vt:i4>
      </vt:variant>
      <vt:variant>
        <vt:i4>5</vt:i4>
      </vt:variant>
      <vt:variant>
        <vt:lpwstr>http://www.nevo.co.il/law/4216/36h.a</vt:lpwstr>
      </vt:variant>
      <vt:variant>
        <vt:lpwstr/>
      </vt:variant>
      <vt:variant>
        <vt:i4>3342448</vt:i4>
      </vt:variant>
      <vt:variant>
        <vt:i4>99</vt:i4>
      </vt:variant>
      <vt:variant>
        <vt:i4>0</vt:i4>
      </vt:variant>
      <vt:variant>
        <vt:i4>5</vt:i4>
      </vt:variant>
      <vt:variant>
        <vt:lpwstr>http://www.nevo.co.il/case/21644133</vt:lpwstr>
      </vt:variant>
      <vt:variant>
        <vt:lpwstr/>
      </vt:variant>
      <vt:variant>
        <vt:i4>3407984</vt:i4>
      </vt:variant>
      <vt:variant>
        <vt:i4>96</vt:i4>
      </vt:variant>
      <vt:variant>
        <vt:i4>0</vt:i4>
      </vt:variant>
      <vt:variant>
        <vt:i4>5</vt:i4>
      </vt:variant>
      <vt:variant>
        <vt:lpwstr>http://www.nevo.co.il/case/5731123</vt:lpwstr>
      </vt:variant>
      <vt:variant>
        <vt:lpwstr/>
      </vt:variant>
      <vt:variant>
        <vt:i4>3145847</vt:i4>
      </vt:variant>
      <vt:variant>
        <vt:i4>93</vt:i4>
      </vt:variant>
      <vt:variant>
        <vt:i4>0</vt:i4>
      </vt:variant>
      <vt:variant>
        <vt:i4>5</vt:i4>
      </vt:variant>
      <vt:variant>
        <vt:lpwstr>http://www.nevo.co.il/case/13070717</vt:lpwstr>
      </vt:variant>
      <vt:variant>
        <vt:lpwstr/>
      </vt:variant>
      <vt:variant>
        <vt:i4>3145843</vt:i4>
      </vt:variant>
      <vt:variant>
        <vt:i4>90</vt:i4>
      </vt:variant>
      <vt:variant>
        <vt:i4>0</vt:i4>
      </vt:variant>
      <vt:variant>
        <vt:i4>5</vt:i4>
      </vt:variant>
      <vt:variant>
        <vt:lpwstr>http://www.nevo.co.il/case/24929127</vt:lpwstr>
      </vt:variant>
      <vt:variant>
        <vt:lpwstr/>
      </vt:variant>
      <vt:variant>
        <vt:i4>3997811</vt:i4>
      </vt:variant>
      <vt:variant>
        <vt:i4>87</vt:i4>
      </vt:variant>
      <vt:variant>
        <vt:i4>0</vt:i4>
      </vt:variant>
      <vt:variant>
        <vt:i4>5</vt:i4>
      </vt:variant>
      <vt:variant>
        <vt:lpwstr>http://www.nevo.co.il/case/23827604</vt:lpwstr>
      </vt:variant>
      <vt:variant>
        <vt:lpwstr/>
      </vt:variant>
      <vt:variant>
        <vt:i4>3801206</vt:i4>
      </vt:variant>
      <vt:variant>
        <vt:i4>84</vt:i4>
      </vt:variant>
      <vt:variant>
        <vt:i4>0</vt:i4>
      </vt:variant>
      <vt:variant>
        <vt:i4>5</vt:i4>
      </vt:variant>
      <vt:variant>
        <vt:lpwstr>http://www.nevo.co.il/case/22841413</vt:lpwstr>
      </vt:variant>
      <vt:variant>
        <vt:lpwstr/>
      </vt:variant>
      <vt:variant>
        <vt:i4>3145853</vt:i4>
      </vt:variant>
      <vt:variant>
        <vt:i4>81</vt:i4>
      </vt:variant>
      <vt:variant>
        <vt:i4>0</vt:i4>
      </vt:variant>
      <vt:variant>
        <vt:i4>5</vt:i4>
      </vt:variant>
      <vt:variant>
        <vt:lpwstr>http://www.nevo.co.il/case/22791245</vt:lpwstr>
      </vt:variant>
      <vt:variant>
        <vt:lpwstr/>
      </vt:variant>
      <vt:variant>
        <vt:i4>3145853</vt:i4>
      </vt:variant>
      <vt:variant>
        <vt:i4>78</vt:i4>
      </vt:variant>
      <vt:variant>
        <vt:i4>0</vt:i4>
      </vt:variant>
      <vt:variant>
        <vt:i4>5</vt:i4>
      </vt:variant>
      <vt:variant>
        <vt:lpwstr>http://www.nevo.co.il/case/22791241</vt:lpwstr>
      </vt:variant>
      <vt:variant>
        <vt:lpwstr/>
      </vt:variant>
      <vt:variant>
        <vt:i4>7995492</vt:i4>
      </vt:variant>
      <vt:variant>
        <vt:i4>75</vt:i4>
      </vt:variant>
      <vt:variant>
        <vt:i4>0</vt:i4>
      </vt:variant>
      <vt:variant>
        <vt:i4>5</vt:i4>
      </vt:variant>
      <vt:variant>
        <vt:lpwstr>http://www.nevo.co.il/law/70301</vt:lpwstr>
      </vt:variant>
      <vt:variant>
        <vt:lpwstr/>
      </vt:variant>
      <vt:variant>
        <vt:i4>4325464</vt:i4>
      </vt:variant>
      <vt:variant>
        <vt:i4>72</vt:i4>
      </vt:variant>
      <vt:variant>
        <vt:i4>0</vt:i4>
      </vt:variant>
      <vt:variant>
        <vt:i4>5</vt:i4>
      </vt:variant>
      <vt:variant>
        <vt:lpwstr>http://www.nevo.co.il/law/70301/499.a</vt:lpwstr>
      </vt:variant>
      <vt:variant>
        <vt:lpwstr/>
      </vt:variant>
      <vt:variant>
        <vt:i4>3145853</vt:i4>
      </vt:variant>
      <vt:variant>
        <vt:i4>69</vt:i4>
      </vt:variant>
      <vt:variant>
        <vt:i4>0</vt:i4>
      </vt:variant>
      <vt:variant>
        <vt:i4>5</vt:i4>
      </vt:variant>
      <vt:variant>
        <vt:lpwstr>http://www.nevo.co.il/case/22791245</vt:lpwstr>
      </vt:variant>
      <vt:variant>
        <vt:lpwstr/>
      </vt:variant>
      <vt:variant>
        <vt:i4>3997808</vt:i4>
      </vt:variant>
      <vt:variant>
        <vt:i4>66</vt:i4>
      </vt:variant>
      <vt:variant>
        <vt:i4>0</vt:i4>
      </vt:variant>
      <vt:variant>
        <vt:i4>5</vt:i4>
      </vt:variant>
      <vt:variant>
        <vt:lpwstr>http://www.nevo.co.il/case/26418332</vt:lpwstr>
      </vt:variant>
      <vt:variant>
        <vt:lpwstr/>
      </vt:variant>
      <vt:variant>
        <vt:i4>3735679</vt:i4>
      </vt:variant>
      <vt:variant>
        <vt:i4>63</vt:i4>
      </vt:variant>
      <vt:variant>
        <vt:i4>0</vt:i4>
      </vt:variant>
      <vt:variant>
        <vt:i4>5</vt:i4>
      </vt:variant>
      <vt:variant>
        <vt:lpwstr>http://www.nevo.co.il/case/26991436</vt:lpwstr>
      </vt:variant>
      <vt:variant>
        <vt:lpwstr/>
      </vt:variant>
      <vt:variant>
        <vt:i4>3997811</vt:i4>
      </vt:variant>
      <vt:variant>
        <vt:i4>60</vt:i4>
      </vt:variant>
      <vt:variant>
        <vt:i4>0</vt:i4>
      </vt:variant>
      <vt:variant>
        <vt:i4>5</vt:i4>
      </vt:variant>
      <vt:variant>
        <vt:lpwstr>http://www.nevo.co.il/case/23827604</vt:lpwstr>
      </vt:variant>
      <vt:variant>
        <vt:lpwstr/>
      </vt:variant>
      <vt:variant>
        <vt:i4>3735679</vt:i4>
      </vt:variant>
      <vt:variant>
        <vt:i4>57</vt:i4>
      </vt:variant>
      <vt:variant>
        <vt:i4>0</vt:i4>
      </vt:variant>
      <vt:variant>
        <vt:i4>5</vt:i4>
      </vt:variant>
      <vt:variant>
        <vt:lpwstr>http://www.nevo.co.il/case/26991436</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3407990</vt:i4>
      </vt:variant>
      <vt:variant>
        <vt:i4>51</vt:i4>
      </vt:variant>
      <vt:variant>
        <vt:i4>0</vt:i4>
      </vt:variant>
      <vt:variant>
        <vt:i4>5</vt:i4>
      </vt:variant>
      <vt:variant>
        <vt:lpwstr>http://www.nevo.co.il/case/27313460</vt:lpwstr>
      </vt:variant>
      <vt:variant>
        <vt:lpwstr/>
      </vt:variant>
      <vt:variant>
        <vt:i4>3670140</vt:i4>
      </vt:variant>
      <vt:variant>
        <vt:i4>48</vt:i4>
      </vt:variant>
      <vt:variant>
        <vt:i4>0</vt:i4>
      </vt:variant>
      <vt:variant>
        <vt:i4>5</vt:i4>
      </vt:variant>
      <vt:variant>
        <vt:lpwstr>http://www.nevo.co.il/case/23825973</vt:lpwstr>
      </vt:variant>
      <vt:variant>
        <vt:lpwstr/>
      </vt:variant>
      <vt:variant>
        <vt:i4>3276923</vt:i4>
      </vt:variant>
      <vt:variant>
        <vt:i4>45</vt:i4>
      </vt:variant>
      <vt:variant>
        <vt:i4>0</vt:i4>
      </vt:variant>
      <vt:variant>
        <vt:i4>5</vt:i4>
      </vt:variant>
      <vt:variant>
        <vt:lpwstr>http://www.nevo.co.il/case/5569233</vt:lpwstr>
      </vt:variant>
      <vt:variant>
        <vt:lpwstr/>
      </vt:variant>
      <vt:variant>
        <vt:i4>3276923</vt:i4>
      </vt:variant>
      <vt:variant>
        <vt:i4>42</vt:i4>
      </vt:variant>
      <vt:variant>
        <vt:i4>0</vt:i4>
      </vt:variant>
      <vt:variant>
        <vt:i4>5</vt:i4>
      </vt:variant>
      <vt:variant>
        <vt:lpwstr>http://www.nevo.co.il/case/5569233</vt:lpwstr>
      </vt:variant>
      <vt:variant>
        <vt:lpwstr/>
      </vt:variant>
      <vt:variant>
        <vt:i4>3276923</vt:i4>
      </vt:variant>
      <vt:variant>
        <vt:i4>39</vt:i4>
      </vt:variant>
      <vt:variant>
        <vt:i4>0</vt:i4>
      </vt:variant>
      <vt:variant>
        <vt:i4>5</vt:i4>
      </vt:variant>
      <vt:variant>
        <vt:lpwstr>http://www.nevo.co.il/case/5569233</vt:lpwstr>
      </vt:variant>
      <vt:variant>
        <vt:lpwstr/>
      </vt:variant>
      <vt:variant>
        <vt:i4>3997819</vt:i4>
      </vt:variant>
      <vt:variant>
        <vt:i4>36</vt:i4>
      </vt:variant>
      <vt:variant>
        <vt:i4>0</vt:i4>
      </vt:variant>
      <vt:variant>
        <vt:i4>5</vt:i4>
      </vt:variant>
      <vt:variant>
        <vt:lpwstr>http://www.nevo.co.il/case/5681787</vt:lpwstr>
      </vt:variant>
      <vt:variant>
        <vt:lpwstr/>
      </vt:variant>
      <vt:variant>
        <vt:i4>4063353</vt:i4>
      </vt:variant>
      <vt:variant>
        <vt:i4>33</vt:i4>
      </vt:variant>
      <vt:variant>
        <vt:i4>0</vt:i4>
      </vt:variant>
      <vt:variant>
        <vt:i4>5</vt:i4>
      </vt:variant>
      <vt:variant>
        <vt:lpwstr>http://www.nevo.co.il/case/5699426</vt:lpwstr>
      </vt:variant>
      <vt:variant>
        <vt:lpwstr/>
      </vt:variant>
      <vt:variant>
        <vt:i4>3801214</vt:i4>
      </vt:variant>
      <vt:variant>
        <vt:i4>30</vt:i4>
      </vt:variant>
      <vt:variant>
        <vt:i4>0</vt:i4>
      </vt:variant>
      <vt:variant>
        <vt:i4>5</vt:i4>
      </vt:variant>
      <vt:variant>
        <vt:lpwstr>http://www.nevo.co.il/case/5805976</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http://www.nevo.co.il/law/70301/40d</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4325464</vt:i4>
      </vt:variant>
      <vt:variant>
        <vt:i4>15</vt:i4>
      </vt:variant>
      <vt:variant>
        <vt:i4>0</vt:i4>
      </vt:variant>
      <vt:variant>
        <vt:i4>5</vt:i4>
      </vt:variant>
      <vt:variant>
        <vt:lpwstr>http://www.nevo.co.il/law/70301/499.a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4456530</vt:i4>
      </vt:variant>
      <vt:variant>
        <vt:i4>6</vt:i4>
      </vt:variant>
      <vt:variant>
        <vt:i4>0</vt:i4>
      </vt:variant>
      <vt:variant>
        <vt:i4>5</vt:i4>
      </vt:variant>
      <vt:variant>
        <vt:lpwstr>http://www.nevo.co.il/law/4216/36h.a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2025-04-22T21:13:00Z</dcterms:created>
  <dcterms:modified xsi:type="dcterms:W3CDTF">2025-04-22T21:13:00Z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43383</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מסרשאו מתיקו</vt:lpwstr>
  </property>
  <property fmtid="{D5CDD505-2E9C-101B-9397-08002B2CF9AE}" pid="10" name="LAWYER">
    <vt:lpwstr>ערן צרויה;שרון רבינוביץ ;עמית שלף</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20220224</vt:lpwstr>
  </property>
  <property fmtid="{D5CDD505-2E9C-101B-9397-08002B2CF9AE}" pid="14" name="TYPE_N_DATE">
    <vt:lpwstr>39020220224</vt:lpwstr>
  </property>
  <property fmtid="{D5CDD505-2E9C-101B-9397-08002B2CF9AE}" pid="15" name="WORDNUMPAGES">
    <vt:lpwstr>10</vt:lpwstr>
  </property>
  <property fmtid="{D5CDD505-2E9C-101B-9397-08002B2CF9AE}" pid="16" name="TYPE_ABS_DATE">
    <vt:lpwstr>390020220224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5805976;5699426;5681787;5569233:3;23825973;27313460;26991436:3;23827604:2;26418332;22791245:2;22791241;22841413;24929127;13070717;5731123;21644133</vt:lpwstr>
  </property>
  <property fmtid="{D5CDD505-2E9C-101B-9397-08002B2CF9AE}" pid="36" name="LAWLISTTMP1">
    <vt:lpwstr>4216/006;036h.a</vt:lpwstr>
  </property>
  <property fmtid="{D5CDD505-2E9C-101B-9397-08002B2CF9AE}" pid="37" name="LAWLISTTMP2">
    <vt:lpwstr>70301/040d;499.a</vt:lpwstr>
  </property>
</Properties>
</file>