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8049B9" w:rsidRPr="0004368D" w14:paraId="562ADA6F" w14:textId="77777777" w:rsidTr="00641815">
        <w:trPr>
          <w:trHeight w:hRule="exact" w:val="418"/>
          <w:jc w:val="center"/>
        </w:trPr>
        <w:tc>
          <w:tcPr>
            <w:tcW w:w="8721" w:type="dxa"/>
            <w:gridSpan w:val="2"/>
          </w:tcPr>
          <w:p w14:paraId="2A428D13" w14:textId="77777777" w:rsidR="008049B9" w:rsidRPr="0004368D" w:rsidRDefault="008049B9" w:rsidP="003C1506">
            <w:pPr>
              <w:pStyle w:val="a3"/>
              <w:jc w:val="center"/>
              <w:rPr>
                <w:rFonts w:ascii="Tahoma" w:hAnsi="Tahoma" w:cs="Tahoma"/>
                <w:color w:val="000080"/>
                <w:rtl/>
              </w:rPr>
            </w:pPr>
            <w:bookmarkStart w:id="0" w:name="LastJudge"/>
            <w:r w:rsidRPr="0004368D">
              <w:rPr>
                <w:rFonts w:ascii="Tahoma" w:hAnsi="Tahoma" w:cs="Tahoma"/>
                <w:b/>
                <w:bCs/>
                <w:color w:val="000080"/>
                <w:rtl/>
              </w:rPr>
              <w:t>בית המשפט המחוזי מרכז-לוד</w:t>
            </w:r>
          </w:p>
        </w:tc>
      </w:tr>
      <w:tr w:rsidR="008049B9" w:rsidRPr="0004368D" w14:paraId="69D5E093" w14:textId="77777777" w:rsidTr="00641815">
        <w:trPr>
          <w:trHeight w:val="337"/>
          <w:jc w:val="center"/>
        </w:trPr>
        <w:tc>
          <w:tcPr>
            <w:tcW w:w="5058" w:type="dxa"/>
          </w:tcPr>
          <w:p w14:paraId="450AA792" w14:textId="77777777" w:rsidR="008049B9" w:rsidRPr="0004368D" w:rsidRDefault="008049B9" w:rsidP="003C1506">
            <w:pPr>
              <w:rPr>
                <w:rFonts w:cs="FrankRuehl"/>
                <w:sz w:val="28"/>
                <w:szCs w:val="28"/>
                <w:rtl/>
              </w:rPr>
            </w:pPr>
            <w:r w:rsidRPr="0004368D">
              <w:rPr>
                <w:rFonts w:cs="FrankRuehl"/>
                <w:sz w:val="28"/>
                <w:szCs w:val="28"/>
                <w:rtl/>
              </w:rPr>
              <w:t>ת"פ</w:t>
            </w:r>
            <w:r w:rsidRPr="0004368D">
              <w:rPr>
                <w:rFonts w:cs="FrankRuehl" w:hint="cs"/>
                <w:sz w:val="28"/>
                <w:szCs w:val="28"/>
                <w:rtl/>
              </w:rPr>
              <w:t xml:space="preserve"> </w:t>
            </w:r>
            <w:r w:rsidRPr="0004368D">
              <w:rPr>
                <w:rFonts w:cs="FrankRuehl"/>
                <w:sz w:val="28"/>
                <w:szCs w:val="28"/>
                <w:rtl/>
              </w:rPr>
              <w:t>7271-08-21</w:t>
            </w:r>
            <w:r w:rsidRPr="0004368D">
              <w:rPr>
                <w:rFonts w:cs="FrankRuehl" w:hint="cs"/>
                <w:sz w:val="28"/>
                <w:szCs w:val="28"/>
                <w:rtl/>
              </w:rPr>
              <w:t xml:space="preserve"> </w:t>
            </w:r>
            <w:r w:rsidRPr="0004368D">
              <w:rPr>
                <w:rFonts w:cs="FrankRuehl"/>
                <w:sz w:val="28"/>
                <w:szCs w:val="28"/>
                <w:rtl/>
              </w:rPr>
              <w:t>מדינת ישראל נ' בבייב(עציר)</w:t>
            </w:r>
          </w:p>
          <w:p w14:paraId="44CB5E4F" w14:textId="77777777" w:rsidR="008049B9" w:rsidRPr="0004368D" w:rsidRDefault="008049B9" w:rsidP="003C1506">
            <w:pPr>
              <w:pStyle w:val="a3"/>
              <w:rPr>
                <w:rFonts w:cs="FrankRuehl"/>
                <w:sz w:val="28"/>
                <w:szCs w:val="28"/>
                <w:rtl/>
              </w:rPr>
            </w:pPr>
          </w:p>
        </w:tc>
        <w:tc>
          <w:tcPr>
            <w:tcW w:w="3663" w:type="dxa"/>
          </w:tcPr>
          <w:p w14:paraId="48EDE779" w14:textId="77777777" w:rsidR="008049B9" w:rsidRPr="0004368D" w:rsidRDefault="008049B9" w:rsidP="003C1506">
            <w:pPr>
              <w:pStyle w:val="a3"/>
              <w:jc w:val="right"/>
              <w:rPr>
                <w:rFonts w:cs="FrankRuehl"/>
                <w:sz w:val="28"/>
                <w:szCs w:val="28"/>
                <w:rtl/>
              </w:rPr>
            </w:pPr>
          </w:p>
        </w:tc>
      </w:tr>
    </w:tbl>
    <w:p w14:paraId="4D155C84" w14:textId="77777777" w:rsidR="008049B9" w:rsidRPr="0004368D" w:rsidRDefault="008049B9" w:rsidP="008049B9">
      <w:pPr>
        <w:pStyle w:val="a3"/>
        <w:rPr>
          <w:rtl/>
        </w:rPr>
      </w:pPr>
      <w:r w:rsidRPr="0004368D">
        <w:rPr>
          <w:rFonts w:hint="cs"/>
          <w:rtl/>
        </w:rPr>
        <w:t xml:space="preserve"> </w:t>
      </w:r>
    </w:p>
    <w:p w14:paraId="478B0A1F" w14:textId="77777777" w:rsidR="008049B9" w:rsidRPr="0004368D" w:rsidRDefault="008049B9" w:rsidP="008049B9">
      <w:pPr>
        <w:rPr>
          <w:rtl/>
        </w:rPr>
      </w:pPr>
    </w:p>
    <w:p w14:paraId="3C101CC1" w14:textId="77777777" w:rsidR="008049B9" w:rsidRPr="0004368D" w:rsidRDefault="008049B9" w:rsidP="008049B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049B9" w:rsidRPr="0004368D" w14:paraId="031A8981" w14:textId="77777777" w:rsidTr="008049B9">
        <w:trPr>
          <w:trHeight w:val="295"/>
          <w:jc w:val="center"/>
        </w:trPr>
        <w:tc>
          <w:tcPr>
            <w:tcW w:w="923" w:type="dxa"/>
            <w:tcBorders>
              <w:top w:val="nil"/>
              <w:left w:val="nil"/>
              <w:bottom w:val="nil"/>
              <w:right w:val="nil"/>
            </w:tcBorders>
            <w:shd w:val="clear" w:color="auto" w:fill="auto"/>
          </w:tcPr>
          <w:p w14:paraId="512BFB9E" w14:textId="77777777" w:rsidR="008049B9" w:rsidRPr="0004368D" w:rsidRDefault="008049B9" w:rsidP="008049B9">
            <w:pPr>
              <w:jc w:val="both"/>
              <w:rPr>
                <w:rFonts w:ascii="David" w:hAnsi="David"/>
                <w:sz w:val="26"/>
                <w:szCs w:val="26"/>
              </w:rPr>
            </w:pPr>
            <w:r w:rsidRPr="0004368D">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1F60BEA2" w14:textId="77777777" w:rsidR="008049B9" w:rsidRPr="0004368D" w:rsidRDefault="008049B9" w:rsidP="003C1506">
            <w:pPr>
              <w:rPr>
                <w:rFonts w:ascii="David" w:hAnsi="David"/>
                <w:b/>
                <w:bCs/>
                <w:sz w:val="26"/>
                <w:szCs w:val="26"/>
                <w:rtl/>
              </w:rPr>
            </w:pPr>
            <w:r w:rsidRPr="0004368D">
              <w:rPr>
                <w:rFonts w:ascii="David" w:hAnsi="David"/>
                <w:b/>
                <w:bCs/>
                <w:sz w:val="26"/>
                <w:szCs w:val="26"/>
                <w:rtl/>
              </w:rPr>
              <w:t>כבוד השופט  חגי טרסי</w:t>
            </w:r>
          </w:p>
          <w:p w14:paraId="5D7E0559" w14:textId="77777777" w:rsidR="008049B9" w:rsidRPr="0004368D" w:rsidRDefault="008049B9" w:rsidP="003C1506">
            <w:pPr>
              <w:rPr>
                <w:rFonts w:ascii="David" w:hAnsi="David"/>
                <w:sz w:val="26"/>
                <w:szCs w:val="26"/>
                <w:rtl/>
              </w:rPr>
            </w:pPr>
          </w:p>
          <w:p w14:paraId="469FFF86" w14:textId="77777777" w:rsidR="008049B9" w:rsidRPr="0004368D" w:rsidRDefault="008049B9" w:rsidP="008049B9">
            <w:pPr>
              <w:jc w:val="both"/>
              <w:rPr>
                <w:rFonts w:ascii="David" w:hAnsi="David"/>
                <w:sz w:val="26"/>
                <w:szCs w:val="26"/>
              </w:rPr>
            </w:pPr>
          </w:p>
        </w:tc>
      </w:tr>
      <w:tr w:rsidR="008049B9" w:rsidRPr="0004368D" w14:paraId="289B0BD5" w14:textId="77777777" w:rsidTr="008049B9">
        <w:trPr>
          <w:trHeight w:val="355"/>
          <w:jc w:val="center"/>
        </w:trPr>
        <w:tc>
          <w:tcPr>
            <w:tcW w:w="923" w:type="dxa"/>
            <w:tcBorders>
              <w:top w:val="nil"/>
              <w:left w:val="nil"/>
              <w:bottom w:val="nil"/>
              <w:right w:val="nil"/>
            </w:tcBorders>
            <w:shd w:val="clear" w:color="auto" w:fill="auto"/>
          </w:tcPr>
          <w:p w14:paraId="2C19DAD4" w14:textId="77777777" w:rsidR="008049B9" w:rsidRPr="0004368D" w:rsidRDefault="008049B9" w:rsidP="008049B9">
            <w:pPr>
              <w:jc w:val="both"/>
              <w:rPr>
                <w:rFonts w:ascii="David" w:hAnsi="David"/>
                <w:sz w:val="26"/>
                <w:szCs w:val="26"/>
              </w:rPr>
            </w:pPr>
            <w:bookmarkStart w:id="1" w:name="FirstAppellant"/>
            <w:r w:rsidRPr="0004368D">
              <w:rPr>
                <w:rFonts w:ascii="David" w:hAnsi="David"/>
                <w:sz w:val="26"/>
                <w:szCs w:val="26"/>
                <w:rtl/>
              </w:rPr>
              <w:t>בעניין:</w:t>
            </w:r>
          </w:p>
        </w:tc>
        <w:tc>
          <w:tcPr>
            <w:tcW w:w="3219" w:type="dxa"/>
            <w:tcBorders>
              <w:top w:val="nil"/>
              <w:left w:val="nil"/>
              <w:bottom w:val="nil"/>
              <w:right w:val="nil"/>
            </w:tcBorders>
            <w:shd w:val="clear" w:color="auto" w:fill="auto"/>
          </w:tcPr>
          <w:p w14:paraId="76ECBCFF" w14:textId="77777777" w:rsidR="008049B9" w:rsidRPr="0004368D" w:rsidRDefault="008049B9" w:rsidP="008049B9">
            <w:pPr>
              <w:suppressLineNumbers/>
            </w:pPr>
            <w:r w:rsidRPr="0004368D">
              <w:rPr>
                <w:rFonts w:ascii="Arial" w:hAnsi="Arial" w:hint="cs"/>
                <w:b/>
                <w:bCs/>
                <w:sz w:val="26"/>
                <w:szCs w:val="26"/>
                <w:rtl/>
              </w:rPr>
              <w:t>ה</w:t>
            </w:r>
            <w:r w:rsidRPr="0004368D">
              <w:rPr>
                <w:rFonts w:ascii="Arial" w:hAnsi="Arial"/>
                <w:b/>
                <w:bCs/>
                <w:sz w:val="26"/>
                <w:szCs w:val="26"/>
                <w:rtl/>
              </w:rPr>
              <w:t>מאשימה</w:t>
            </w:r>
          </w:p>
          <w:p w14:paraId="731B8C81" w14:textId="77777777" w:rsidR="008049B9" w:rsidRPr="0004368D" w:rsidRDefault="008049B9" w:rsidP="003C1506">
            <w:pPr>
              <w:rPr>
                <w:rFonts w:ascii="David" w:hAnsi="David"/>
                <w:sz w:val="26"/>
                <w:szCs w:val="26"/>
              </w:rPr>
            </w:pPr>
          </w:p>
        </w:tc>
        <w:tc>
          <w:tcPr>
            <w:tcW w:w="4678" w:type="dxa"/>
            <w:tcBorders>
              <w:top w:val="nil"/>
              <w:left w:val="nil"/>
              <w:bottom w:val="nil"/>
              <w:right w:val="nil"/>
            </w:tcBorders>
            <w:shd w:val="clear" w:color="auto" w:fill="auto"/>
            <w:vAlign w:val="center"/>
          </w:tcPr>
          <w:p w14:paraId="02EA1319" w14:textId="77777777" w:rsidR="008049B9" w:rsidRPr="0004368D" w:rsidRDefault="008049B9" w:rsidP="008049B9">
            <w:pPr>
              <w:suppressLineNumbers/>
            </w:pPr>
            <w:r w:rsidRPr="0004368D">
              <w:rPr>
                <w:rFonts w:ascii="Arial" w:hAnsi="Arial"/>
                <w:b/>
                <w:bCs/>
                <w:sz w:val="26"/>
                <w:szCs w:val="26"/>
                <w:rtl/>
              </w:rPr>
              <w:t>מדינת ישראל</w:t>
            </w:r>
          </w:p>
          <w:p w14:paraId="68EB5EA7" w14:textId="77777777" w:rsidR="008049B9" w:rsidRPr="0004368D" w:rsidRDefault="008049B9" w:rsidP="003C1506">
            <w:pPr>
              <w:rPr>
                <w:rFonts w:ascii="David" w:hAnsi="David"/>
                <w:sz w:val="26"/>
                <w:szCs w:val="26"/>
              </w:rPr>
            </w:pPr>
          </w:p>
        </w:tc>
      </w:tr>
      <w:bookmarkEnd w:id="1"/>
      <w:tr w:rsidR="008049B9" w:rsidRPr="0004368D" w14:paraId="434347FF" w14:textId="77777777" w:rsidTr="008049B9">
        <w:trPr>
          <w:trHeight w:val="355"/>
          <w:jc w:val="center"/>
        </w:trPr>
        <w:tc>
          <w:tcPr>
            <w:tcW w:w="923" w:type="dxa"/>
            <w:tcBorders>
              <w:top w:val="nil"/>
              <w:left w:val="nil"/>
              <w:bottom w:val="nil"/>
              <w:right w:val="nil"/>
            </w:tcBorders>
            <w:shd w:val="clear" w:color="auto" w:fill="auto"/>
          </w:tcPr>
          <w:p w14:paraId="5F21A8B8" w14:textId="77777777" w:rsidR="008049B9" w:rsidRPr="0004368D" w:rsidRDefault="008049B9" w:rsidP="008049B9">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952797B" w14:textId="77777777" w:rsidR="008049B9" w:rsidRPr="0004368D" w:rsidRDefault="008049B9" w:rsidP="008049B9">
            <w:pPr>
              <w:jc w:val="center"/>
              <w:rPr>
                <w:rFonts w:ascii="David" w:hAnsi="David"/>
                <w:b/>
                <w:bCs/>
                <w:sz w:val="26"/>
                <w:szCs w:val="26"/>
                <w:rtl/>
              </w:rPr>
            </w:pPr>
          </w:p>
          <w:p w14:paraId="5C0B26F8" w14:textId="77777777" w:rsidR="008049B9" w:rsidRPr="0004368D" w:rsidRDefault="008049B9" w:rsidP="008049B9">
            <w:pPr>
              <w:jc w:val="center"/>
              <w:rPr>
                <w:rFonts w:ascii="David" w:hAnsi="David"/>
                <w:b/>
                <w:bCs/>
                <w:sz w:val="26"/>
                <w:szCs w:val="26"/>
                <w:rtl/>
              </w:rPr>
            </w:pPr>
            <w:r w:rsidRPr="0004368D">
              <w:rPr>
                <w:rFonts w:ascii="David" w:hAnsi="David"/>
                <w:b/>
                <w:bCs/>
                <w:sz w:val="26"/>
                <w:szCs w:val="26"/>
                <w:rtl/>
              </w:rPr>
              <w:t>נגד</w:t>
            </w:r>
          </w:p>
          <w:p w14:paraId="32E2D648" w14:textId="77777777" w:rsidR="008049B9" w:rsidRPr="0004368D" w:rsidRDefault="008049B9" w:rsidP="008049B9">
            <w:pPr>
              <w:jc w:val="both"/>
              <w:rPr>
                <w:rFonts w:ascii="David" w:hAnsi="David"/>
                <w:sz w:val="26"/>
                <w:szCs w:val="26"/>
              </w:rPr>
            </w:pPr>
          </w:p>
        </w:tc>
      </w:tr>
      <w:tr w:rsidR="008049B9" w:rsidRPr="0004368D" w14:paraId="566A418B" w14:textId="77777777" w:rsidTr="008049B9">
        <w:trPr>
          <w:trHeight w:val="355"/>
          <w:jc w:val="center"/>
        </w:trPr>
        <w:tc>
          <w:tcPr>
            <w:tcW w:w="923" w:type="dxa"/>
            <w:tcBorders>
              <w:top w:val="nil"/>
              <w:left w:val="nil"/>
              <w:bottom w:val="nil"/>
              <w:right w:val="nil"/>
            </w:tcBorders>
            <w:shd w:val="clear" w:color="auto" w:fill="auto"/>
          </w:tcPr>
          <w:p w14:paraId="072DD230" w14:textId="77777777" w:rsidR="008049B9" w:rsidRPr="0004368D" w:rsidRDefault="008049B9" w:rsidP="003C1506">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03E53908" w14:textId="77777777" w:rsidR="008049B9" w:rsidRPr="0004368D" w:rsidRDefault="008049B9" w:rsidP="003C1506">
            <w:pPr>
              <w:rPr>
                <w:rFonts w:ascii="Arial" w:hAnsi="Arial"/>
                <w:b/>
                <w:bCs/>
                <w:sz w:val="26"/>
                <w:szCs w:val="26"/>
                <w:rtl/>
              </w:rPr>
            </w:pPr>
            <w:r w:rsidRPr="0004368D">
              <w:rPr>
                <w:rFonts w:ascii="Arial" w:hAnsi="Arial"/>
                <w:b/>
                <w:bCs/>
                <w:sz w:val="26"/>
                <w:szCs w:val="26"/>
                <w:rtl/>
              </w:rPr>
              <w:t>הנאש</w:t>
            </w:r>
            <w:r w:rsidRPr="0004368D">
              <w:rPr>
                <w:rFonts w:ascii="Arial" w:hAnsi="Arial" w:hint="cs"/>
                <w:b/>
                <w:bCs/>
                <w:sz w:val="26"/>
                <w:szCs w:val="26"/>
                <w:rtl/>
              </w:rPr>
              <w:t>ם</w:t>
            </w:r>
          </w:p>
        </w:tc>
        <w:tc>
          <w:tcPr>
            <w:tcW w:w="4678" w:type="dxa"/>
            <w:tcBorders>
              <w:top w:val="nil"/>
              <w:left w:val="nil"/>
              <w:bottom w:val="nil"/>
              <w:right w:val="nil"/>
            </w:tcBorders>
            <w:shd w:val="clear" w:color="auto" w:fill="auto"/>
            <w:vAlign w:val="center"/>
          </w:tcPr>
          <w:p w14:paraId="0BC9A739" w14:textId="77777777" w:rsidR="008049B9" w:rsidRPr="0004368D" w:rsidRDefault="008049B9" w:rsidP="008049B9">
            <w:pPr>
              <w:suppressLineNumbers/>
            </w:pPr>
            <w:r w:rsidRPr="0004368D">
              <w:rPr>
                <w:rFonts w:ascii="Arial" w:hAnsi="Arial"/>
                <w:b/>
                <w:bCs/>
                <w:sz w:val="26"/>
                <w:szCs w:val="26"/>
                <w:rtl/>
              </w:rPr>
              <w:t xml:space="preserve">אליהו בבייב (עציר) </w:t>
            </w:r>
            <w:r w:rsidRPr="0004368D">
              <w:rPr>
                <w:rFonts w:ascii="Arial" w:hAnsi="Arial"/>
                <w:b/>
                <w:bCs/>
                <w:sz w:val="26"/>
                <w:szCs w:val="26"/>
                <w:rtl/>
              </w:rPr>
              <w:br/>
              <w:t>ע"</w:t>
            </w:r>
            <w:r w:rsidRPr="0004368D">
              <w:rPr>
                <w:rFonts w:ascii="Arial" w:hAnsi="Arial" w:hint="cs"/>
                <w:b/>
                <w:bCs/>
                <w:sz w:val="26"/>
                <w:szCs w:val="26"/>
                <w:rtl/>
              </w:rPr>
              <w:t>י ב"כ עו"ד טלי חזום</w:t>
            </w:r>
          </w:p>
          <w:p w14:paraId="5220FBD7" w14:textId="77777777" w:rsidR="008049B9" w:rsidRPr="0004368D" w:rsidRDefault="008049B9" w:rsidP="003C1506">
            <w:pPr>
              <w:rPr>
                <w:rFonts w:ascii="David" w:hAnsi="David"/>
                <w:sz w:val="26"/>
                <w:szCs w:val="26"/>
              </w:rPr>
            </w:pPr>
          </w:p>
        </w:tc>
      </w:tr>
      <w:bookmarkEnd w:id="2"/>
    </w:tbl>
    <w:p w14:paraId="4561548D" w14:textId="77777777" w:rsidR="00641815" w:rsidRPr="00641815" w:rsidRDefault="00641815" w:rsidP="00641815">
      <w:pPr>
        <w:spacing w:before="120" w:after="120" w:line="240" w:lineRule="exact"/>
        <w:ind w:left="283" w:hanging="283"/>
        <w:jc w:val="both"/>
        <w:rPr>
          <w:rFonts w:ascii="FrankRuehl" w:hAnsi="FrankRuehl" w:cs="FrankRuehl"/>
          <w:rtl/>
        </w:rPr>
      </w:pPr>
    </w:p>
    <w:p w14:paraId="41F58402" w14:textId="77777777" w:rsidR="00EA3CD9" w:rsidRPr="00EA3CD9" w:rsidRDefault="00EA3CD9" w:rsidP="00EA3CD9">
      <w:pPr>
        <w:spacing w:before="120" w:after="120" w:line="240" w:lineRule="exact"/>
        <w:ind w:left="283" w:hanging="283"/>
        <w:jc w:val="both"/>
        <w:rPr>
          <w:rFonts w:ascii="FrankRuehl" w:hAnsi="FrankRuehl" w:cs="FrankRuehl"/>
          <w:rtl/>
        </w:rPr>
      </w:pPr>
    </w:p>
    <w:p w14:paraId="02D611F4" w14:textId="77777777" w:rsidR="00F204F1" w:rsidRDefault="00F204F1" w:rsidP="00F204F1">
      <w:pPr>
        <w:rPr>
          <w:sz w:val="26"/>
          <w:szCs w:val="26"/>
          <w:rtl/>
        </w:rPr>
      </w:pPr>
      <w:bookmarkStart w:id="3" w:name="LawTable"/>
      <w:bookmarkEnd w:id="3"/>
    </w:p>
    <w:p w14:paraId="697B6D38" w14:textId="77777777" w:rsidR="00F204F1" w:rsidRPr="00F204F1" w:rsidRDefault="00F204F1" w:rsidP="00F204F1">
      <w:pPr>
        <w:spacing w:before="120" w:after="120" w:line="240" w:lineRule="exact"/>
        <w:ind w:left="283" w:hanging="283"/>
        <w:jc w:val="both"/>
        <w:rPr>
          <w:rFonts w:ascii="FrankRuehl" w:hAnsi="FrankRuehl" w:cs="FrankRuehl"/>
          <w:rtl/>
        </w:rPr>
      </w:pPr>
    </w:p>
    <w:p w14:paraId="3F19E44C" w14:textId="77777777" w:rsidR="00F204F1" w:rsidRPr="00F204F1" w:rsidRDefault="00F204F1" w:rsidP="00F204F1">
      <w:pPr>
        <w:spacing w:before="120" w:after="120" w:line="240" w:lineRule="exact"/>
        <w:ind w:left="283" w:hanging="283"/>
        <w:jc w:val="both"/>
        <w:rPr>
          <w:rFonts w:ascii="FrankRuehl" w:hAnsi="FrankRuehl" w:cs="FrankRuehl"/>
          <w:rtl/>
        </w:rPr>
      </w:pPr>
    </w:p>
    <w:p w14:paraId="5F58181E" w14:textId="77777777" w:rsidR="00F204F1" w:rsidRPr="00F204F1" w:rsidRDefault="00F204F1" w:rsidP="00F204F1">
      <w:pPr>
        <w:spacing w:before="120" w:after="120" w:line="240" w:lineRule="exact"/>
        <w:ind w:left="283" w:hanging="283"/>
        <w:jc w:val="both"/>
        <w:rPr>
          <w:rFonts w:ascii="FrankRuehl" w:hAnsi="FrankRuehl" w:cs="FrankRuehl"/>
          <w:rtl/>
        </w:rPr>
      </w:pPr>
      <w:r w:rsidRPr="00F204F1">
        <w:rPr>
          <w:rFonts w:ascii="FrankRuehl" w:hAnsi="FrankRuehl" w:cs="FrankRuehl"/>
          <w:rtl/>
        </w:rPr>
        <w:t xml:space="preserve">חקיקה שאוזכרה: </w:t>
      </w:r>
    </w:p>
    <w:p w14:paraId="51A20EF0" w14:textId="77777777" w:rsidR="00F204F1" w:rsidRPr="00F204F1" w:rsidRDefault="00F204F1" w:rsidP="00F204F1">
      <w:pPr>
        <w:spacing w:before="120" w:after="120" w:line="240" w:lineRule="exact"/>
        <w:ind w:left="283" w:hanging="283"/>
        <w:jc w:val="both"/>
        <w:rPr>
          <w:rFonts w:ascii="FrankRuehl" w:hAnsi="FrankRuehl" w:cs="FrankRuehl"/>
          <w:rtl/>
        </w:rPr>
      </w:pPr>
      <w:hyperlink r:id="rId7" w:history="1">
        <w:r w:rsidRPr="00F204F1">
          <w:rPr>
            <w:rFonts w:ascii="FrankRuehl" w:hAnsi="FrankRuehl" w:cs="FrankRuehl"/>
            <w:color w:val="0000FF"/>
            <w:rtl/>
          </w:rPr>
          <w:t>פקודת הסמים המסוכנים [נוסח חדש], תשל"ג-1973</w:t>
        </w:r>
      </w:hyperlink>
      <w:r w:rsidRPr="00F204F1">
        <w:rPr>
          <w:rFonts w:ascii="FrankRuehl" w:hAnsi="FrankRuehl" w:cs="FrankRuehl"/>
          <w:rtl/>
        </w:rPr>
        <w:t xml:space="preserve">: סע'  </w:t>
      </w:r>
      <w:hyperlink r:id="rId8" w:history="1">
        <w:r w:rsidRPr="00F204F1">
          <w:rPr>
            <w:rFonts w:ascii="FrankRuehl" w:hAnsi="FrankRuehl" w:cs="FrankRuehl"/>
            <w:color w:val="0000FF"/>
            <w:rtl/>
          </w:rPr>
          <w:t>7(א)</w:t>
        </w:r>
      </w:hyperlink>
      <w:r w:rsidRPr="00F204F1">
        <w:rPr>
          <w:rFonts w:ascii="FrankRuehl" w:hAnsi="FrankRuehl" w:cs="FrankRuehl"/>
          <w:rtl/>
        </w:rPr>
        <w:t xml:space="preserve">, </w:t>
      </w:r>
      <w:hyperlink r:id="rId9" w:history="1">
        <w:r w:rsidRPr="00F204F1">
          <w:rPr>
            <w:rFonts w:ascii="FrankRuehl" w:hAnsi="FrankRuehl" w:cs="FrankRuehl"/>
            <w:color w:val="0000FF"/>
            <w:rtl/>
          </w:rPr>
          <w:t>(ג)</w:t>
        </w:r>
      </w:hyperlink>
    </w:p>
    <w:p w14:paraId="5123F76F" w14:textId="77777777" w:rsidR="00F204F1" w:rsidRPr="00F204F1" w:rsidRDefault="00F204F1" w:rsidP="00F204F1">
      <w:pPr>
        <w:spacing w:before="120" w:after="120" w:line="240" w:lineRule="exact"/>
        <w:ind w:left="283" w:hanging="283"/>
        <w:jc w:val="both"/>
        <w:rPr>
          <w:rFonts w:ascii="FrankRuehl" w:hAnsi="FrankRuehl" w:cs="FrankRuehl"/>
          <w:rtl/>
        </w:rPr>
      </w:pPr>
      <w:hyperlink r:id="rId10" w:history="1">
        <w:r w:rsidRPr="00F204F1">
          <w:rPr>
            <w:rFonts w:ascii="FrankRuehl" w:hAnsi="FrankRuehl" w:cs="FrankRuehl"/>
            <w:color w:val="0000FF"/>
            <w:rtl/>
          </w:rPr>
          <w:t>חוק העונשין, תשל"ז-1977</w:t>
        </w:r>
      </w:hyperlink>
      <w:r w:rsidRPr="00F204F1">
        <w:rPr>
          <w:rFonts w:ascii="FrankRuehl" w:hAnsi="FrankRuehl" w:cs="FrankRuehl"/>
          <w:rtl/>
        </w:rPr>
        <w:t xml:space="preserve">: סע'  </w:t>
      </w:r>
      <w:hyperlink r:id="rId11" w:history="1">
        <w:r w:rsidRPr="00F204F1">
          <w:rPr>
            <w:rFonts w:ascii="FrankRuehl" w:hAnsi="FrankRuehl" w:cs="FrankRuehl"/>
            <w:color w:val="0000FF"/>
            <w:rtl/>
          </w:rPr>
          <w:t>25</w:t>
        </w:r>
      </w:hyperlink>
    </w:p>
    <w:p w14:paraId="6BD84CE4" w14:textId="77777777" w:rsidR="00F204F1" w:rsidRPr="00F204F1" w:rsidRDefault="00F204F1" w:rsidP="00F204F1">
      <w:pPr>
        <w:rPr>
          <w:sz w:val="26"/>
          <w:szCs w:val="26"/>
          <w:rtl/>
        </w:rPr>
      </w:pPr>
      <w:bookmarkStart w:id="4" w:name="LawTable_End"/>
      <w:bookmarkEnd w:id="4"/>
    </w:p>
    <w:p w14:paraId="640AB26C" w14:textId="77777777" w:rsidR="008049B9" w:rsidRPr="00EA3CD9" w:rsidRDefault="008049B9" w:rsidP="00EA3CD9">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049B9" w14:paraId="167F3700" w14:textId="77777777" w:rsidTr="008049B9">
        <w:trPr>
          <w:trHeight w:val="355"/>
          <w:jc w:val="center"/>
        </w:trPr>
        <w:tc>
          <w:tcPr>
            <w:tcW w:w="8820" w:type="dxa"/>
            <w:tcBorders>
              <w:top w:val="nil"/>
              <w:left w:val="nil"/>
              <w:bottom w:val="nil"/>
              <w:right w:val="nil"/>
            </w:tcBorders>
            <w:shd w:val="clear" w:color="auto" w:fill="auto"/>
          </w:tcPr>
          <w:p w14:paraId="096BD325" w14:textId="77777777" w:rsidR="0004368D" w:rsidRPr="0004368D" w:rsidRDefault="0004368D" w:rsidP="0004368D">
            <w:pPr>
              <w:jc w:val="center"/>
              <w:rPr>
                <w:rFonts w:ascii="David" w:hAnsi="David"/>
                <w:b/>
                <w:bCs/>
                <w:sz w:val="32"/>
                <w:szCs w:val="32"/>
                <w:u w:val="single"/>
                <w:rtl/>
              </w:rPr>
            </w:pPr>
            <w:bookmarkStart w:id="5" w:name="PsakDin" w:colFirst="0" w:colLast="0"/>
            <w:bookmarkEnd w:id="0"/>
            <w:r w:rsidRPr="0004368D">
              <w:rPr>
                <w:rFonts w:ascii="David" w:hAnsi="David"/>
                <w:b/>
                <w:bCs/>
                <w:sz w:val="32"/>
                <w:szCs w:val="32"/>
                <w:u w:val="single"/>
                <w:rtl/>
              </w:rPr>
              <w:t>גזר דין</w:t>
            </w:r>
          </w:p>
          <w:p w14:paraId="088FFA3A" w14:textId="77777777" w:rsidR="008049B9" w:rsidRPr="0004368D" w:rsidRDefault="008049B9" w:rsidP="0004368D">
            <w:pPr>
              <w:jc w:val="center"/>
              <w:rPr>
                <w:rFonts w:ascii="David" w:hAnsi="David"/>
                <w:bCs/>
                <w:sz w:val="32"/>
                <w:szCs w:val="32"/>
                <w:u w:val="single"/>
                <w:rtl/>
              </w:rPr>
            </w:pPr>
          </w:p>
        </w:tc>
      </w:tr>
      <w:bookmarkEnd w:id="5"/>
    </w:tbl>
    <w:p w14:paraId="296DA9C2" w14:textId="77777777" w:rsidR="008049B9" w:rsidRPr="000F2247" w:rsidRDefault="008049B9" w:rsidP="008049B9">
      <w:pPr>
        <w:rPr>
          <w:rFonts w:ascii="Arial" w:hAnsi="Arial"/>
          <w:b/>
          <w:bCs/>
          <w:sz w:val="26"/>
          <w:szCs w:val="26"/>
          <w:rtl/>
        </w:rPr>
      </w:pPr>
    </w:p>
    <w:p w14:paraId="6F163823" w14:textId="77777777" w:rsidR="008049B9" w:rsidRDefault="008049B9" w:rsidP="008049B9">
      <w:pPr>
        <w:spacing w:line="360" w:lineRule="auto"/>
        <w:jc w:val="both"/>
        <w:rPr>
          <w:b/>
          <w:bCs/>
          <w:sz w:val="26"/>
          <w:szCs w:val="26"/>
          <w:u w:val="single"/>
          <w:rtl/>
        </w:rPr>
      </w:pPr>
    </w:p>
    <w:p w14:paraId="42748D8D" w14:textId="77777777" w:rsidR="008049B9" w:rsidRDefault="008049B9" w:rsidP="008049B9">
      <w:pPr>
        <w:spacing w:line="360" w:lineRule="auto"/>
        <w:jc w:val="both"/>
        <w:rPr>
          <w:b/>
          <w:bCs/>
          <w:sz w:val="26"/>
          <w:szCs w:val="26"/>
          <w:u w:val="single"/>
          <w:rtl/>
        </w:rPr>
      </w:pPr>
      <w:r>
        <w:rPr>
          <w:b/>
          <w:bCs/>
          <w:sz w:val="26"/>
          <w:szCs w:val="26"/>
          <w:u w:val="single"/>
          <w:rtl/>
        </w:rPr>
        <w:t>כתב האישום:</w:t>
      </w:r>
    </w:p>
    <w:p w14:paraId="0C67375D" w14:textId="77777777" w:rsidR="008049B9" w:rsidRDefault="008049B9" w:rsidP="008049B9">
      <w:pPr>
        <w:spacing w:line="360" w:lineRule="auto"/>
        <w:jc w:val="both"/>
        <w:rPr>
          <w:sz w:val="26"/>
          <w:szCs w:val="26"/>
          <w:rtl/>
        </w:rPr>
      </w:pPr>
      <w:bookmarkStart w:id="6" w:name="ABSTRACT_START"/>
      <w:bookmarkEnd w:id="6"/>
      <w:r>
        <w:rPr>
          <w:sz w:val="26"/>
          <w:szCs w:val="26"/>
          <w:rtl/>
        </w:rPr>
        <w:t xml:space="preserve">הנאשם הורשע, על-פי הודאתו, במסגרת הסדר טיעון, בכתב אישום מתוקן בו יוחסה לו עבירה של </w:t>
      </w:r>
      <w:r>
        <w:rPr>
          <w:b/>
          <w:bCs/>
          <w:sz w:val="26"/>
          <w:szCs w:val="26"/>
          <w:rtl/>
        </w:rPr>
        <w:t>ניסיון להחזקת סם מסוכן שלא לצריכה עצמית</w:t>
      </w:r>
      <w:r>
        <w:rPr>
          <w:sz w:val="26"/>
          <w:szCs w:val="26"/>
          <w:rtl/>
        </w:rPr>
        <w:t xml:space="preserve"> - עבירה על </w:t>
      </w:r>
      <w:hyperlink r:id="rId12" w:history="1">
        <w:r w:rsidR="00641815" w:rsidRPr="00641815">
          <w:rPr>
            <w:rStyle w:val="Hyperlink"/>
            <w:sz w:val="26"/>
            <w:szCs w:val="26"/>
            <w:rtl/>
          </w:rPr>
          <w:t>סעיף 7(א)</w:t>
        </w:r>
      </w:hyperlink>
      <w:r>
        <w:rPr>
          <w:sz w:val="26"/>
          <w:szCs w:val="26"/>
          <w:rtl/>
        </w:rPr>
        <w:t xml:space="preserve"> + </w:t>
      </w:r>
      <w:hyperlink r:id="rId13" w:history="1">
        <w:r w:rsidR="00641815" w:rsidRPr="00641815">
          <w:rPr>
            <w:rStyle w:val="Hyperlink"/>
            <w:sz w:val="26"/>
            <w:szCs w:val="26"/>
            <w:rtl/>
          </w:rPr>
          <w:t>(ג)</w:t>
        </w:r>
      </w:hyperlink>
      <w:r>
        <w:rPr>
          <w:sz w:val="26"/>
          <w:szCs w:val="26"/>
          <w:rtl/>
        </w:rPr>
        <w:t xml:space="preserve"> רישא ל</w:t>
      </w:r>
      <w:hyperlink r:id="rId14" w:history="1">
        <w:r w:rsidR="0004368D" w:rsidRPr="0004368D">
          <w:rPr>
            <w:color w:val="0000FF"/>
            <w:sz w:val="26"/>
            <w:szCs w:val="26"/>
            <w:u w:val="single"/>
            <w:rtl/>
          </w:rPr>
          <w:t>פקודת הסמים המסוכנים</w:t>
        </w:r>
      </w:hyperlink>
      <w:r>
        <w:rPr>
          <w:sz w:val="26"/>
          <w:szCs w:val="26"/>
          <w:rtl/>
        </w:rPr>
        <w:t xml:space="preserve"> [נוסח חדש], התשל"ג-1973 (להלן: "</w:t>
      </w:r>
      <w:r>
        <w:rPr>
          <w:b/>
          <w:bCs/>
          <w:sz w:val="26"/>
          <w:szCs w:val="26"/>
          <w:rtl/>
        </w:rPr>
        <w:t>הפקודה</w:t>
      </w:r>
      <w:r>
        <w:rPr>
          <w:sz w:val="26"/>
          <w:szCs w:val="26"/>
          <w:rtl/>
        </w:rPr>
        <w:t xml:space="preserve">") ביחד עם </w:t>
      </w:r>
      <w:hyperlink r:id="rId15" w:history="1">
        <w:r w:rsidR="00641815" w:rsidRPr="00641815">
          <w:rPr>
            <w:rStyle w:val="Hyperlink"/>
            <w:sz w:val="26"/>
            <w:szCs w:val="26"/>
            <w:rtl/>
          </w:rPr>
          <w:t>סעיף 25</w:t>
        </w:r>
      </w:hyperlink>
      <w:r>
        <w:rPr>
          <w:sz w:val="26"/>
          <w:szCs w:val="26"/>
          <w:rtl/>
        </w:rPr>
        <w:t xml:space="preserve"> ל</w:t>
      </w:r>
      <w:hyperlink r:id="rId16" w:history="1">
        <w:r w:rsidR="0004368D" w:rsidRPr="0004368D">
          <w:rPr>
            <w:color w:val="0000FF"/>
            <w:sz w:val="26"/>
            <w:szCs w:val="26"/>
            <w:u w:val="single"/>
            <w:rtl/>
          </w:rPr>
          <w:t>חוק העונשין</w:t>
        </w:r>
      </w:hyperlink>
      <w:r>
        <w:rPr>
          <w:sz w:val="26"/>
          <w:szCs w:val="26"/>
          <w:rtl/>
        </w:rPr>
        <w:t xml:space="preserve">, תשל"ז – 1977 </w:t>
      </w:r>
      <w:bookmarkStart w:id="7" w:name="ABSTRACT_END"/>
      <w:bookmarkEnd w:id="7"/>
      <w:r>
        <w:rPr>
          <w:sz w:val="26"/>
          <w:szCs w:val="26"/>
          <w:rtl/>
        </w:rPr>
        <w:t>(להלן: "</w:t>
      </w:r>
      <w:r>
        <w:rPr>
          <w:b/>
          <w:bCs/>
          <w:sz w:val="26"/>
          <w:szCs w:val="26"/>
          <w:rtl/>
        </w:rPr>
        <w:t>החוק</w:t>
      </w:r>
      <w:r>
        <w:rPr>
          <w:sz w:val="26"/>
          <w:szCs w:val="26"/>
          <w:rtl/>
        </w:rPr>
        <w:t>").</w:t>
      </w:r>
    </w:p>
    <w:p w14:paraId="6EC395CB" w14:textId="77777777" w:rsidR="008049B9" w:rsidRDefault="008049B9" w:rsidP="008049B9">
      <w:pPr>
        <w:spacing w:line="360" w:lineRule="auto"/>
        <w:jc w:val="both"/>
        <w:rPr>
          <w:sz w:val="26"/>
          <w:szCs w:val="26"/>
          <w:rtl/>
        </w:rPr>
      </w:pPr>
    </w:p>
    <w:p w14:paraId="605670A0" w14:textId="77777777" w:rsidR="008049B9" w:rsidRDefault="008049B9" w:rsidP="008049B9">
      <w:pPr>
        <w:spacing w:line="360" w:lineRule="auto"/>
        <w:jc w:val="both"/>
        <w:rPr>
          <w:sz w:val="26"/>
          <w:szCs w:val="26"/>
          <w:rtl/>
        </w:rPr>
      </w:pPr>
      <w:r>
        <w:rPr>
          <w:sz w:val="26"/>
          <w:szCs w:val="26"/>
          <w:rtl/>
        </w:rPr>
        <w:t xml:space="preserve">על-פי עובדות כתב האישום המתוקן, עובר ובסמוך לחודש יוני 2021 הוזמן לארץ משלוח מדרום אפריקה שהכיל 292 יחידות סם מסוכן מסוג מתאמפטאמין </w:t>
      </w:r>
      <w:r>
        <w:rPr>
          <w:rFonts w:ascii="David" w:hAnsi="David"/>
          <w:sz w:val="26"/>
          <w:szCs w:val="26"/>
          <w:rtl/>
        </w:rPr>
        <w:lastRenderedPageBreak/>
        <w:t>(</w:t>
      </w:r>
      <w:r>
        <w:rPr>
          <w:rFonts w:ascii="David" w:hAnsi="David"/>
          <w:sz w:val="26"/>
          <w:szCs w:val="26"/>
        </w:rPr>
        <w:t>"METHAMPHETAMINE"</w:t>
      </w:r>
      <w:r>
        <w:rPr>
          <w:rFonts w:ascii="David" w:hAnsi="David"/>
          <w:sz w:val="26"/>
          <w:szCs w:val="26"/>
          <w:rtl/>
        </w:rPr>
        <w:t>),</w:t>
      </w:r>
      <w:r>
        <w:rPr>
          <w:sz w:val="26"/>
          <w:szCs w:val="26"/>
          <w:rtl/>
        </w:rPr>
        <w:t xml:space="preserve"> במשקל כולל של כ-2,964 גרם נטו, אשר הוסלקו בתוך מסגרות של תמונות (להלן: "</w:t>
      </w:r>
      <w:r>
        <w:rPr>
          <w:b/>
          <w:bCs/>
          <w:sz w:val="26"/>
          <w:szCs w:val="26"/>
          <w:rtl/>
        </w:rPr>
        <w:t>המשלוח</w:t>
      </w:r>
      <w:r>
        <w:rPr>
          <w:sz w:val="26"/>
          <w:szCs w:val="26"/>
          <w:rtl/>
        </w:rPr>
        <w:t>"), המשלוח היה ממוען למשתלת הסחלב בראשון לציון. ביום 20.6.21, בשעות הצהריים, או בסמוך לכך, הגיע הנאשם ללשכת המסחר בנמל התעופה בן-גוריון (להלן: "</w:t>
      </w:r>
      <w:r>
        <w:rPr>
          <w:b/>
          <w:bCs/>
          <w:sz w:val="26"/>
          <w:szCs w:val="26"/>
          <w:rtl/>
        </w:rPr>
        <w:t>נתב"ג</w:t>
      </w:r>
      <w:r>
        <w:rPr>
          <w:sz w:val="26"/>
          <w:szCs w:val="26"/>
          <w:rtl/>
        </w:rPr>
        <w:t>") על מנת לאסוף את המשלוח. הנאשם פגש בנציג הלשכה ולאחר שנשאל אודות מען המשלוח טען שהוא ממהר ועזב את נתב"ג. למחרת, ביום 21.6.21, בשעות הצהריים, הגיע הנאשם ללשכה בנתב"ג, והציג לנציג הלשכה ייפוי כוח מזויף מטעם משתלת הסחלב, במטרה לקבל לידיו את המשלוח. לאחר מכן, שילם הנאשם עבור שחרור משלוח מהמכס, אולם נאמר לו על ידי נציגי הלשכה שהמשלוח צריך לעבור בדיקה פיזית במכס בטרם ניתן יהיה להעבירו לידיו, והנאשם עזב את המקום. למחרת, ביום 22.6.19, בשעה 15:30 לערך, הגיע הנאשם למשרדי המכס בנתב"ג ולבקשת הבודק במכס הציג לו הנאשם את ייפוי הכוח המזויף. במהלך בדיקת תכולת המשלוח, הבחין הבודק בממצאים מהם עלה חשד שבמשלוח חומר החשוד כסם מסוכן. לאור זאת ביקש הבודק מהנאשם לחכות מחוץ לאולם הבדיקה על מנת שיוכל להשלים את הבדיקה, אולם הנאשם יצא מאולם הבדיקה ונמלט בריצה מנתב"ג</w:t>
      </w:r>
      <w:r>
        <w:rPr>
          <w:sz w:val="26"/>
          <w:szCs w:val="26"/>
        </w:rPr>
        <w:t>.</w:t>
      </w:r>
      <w:r>
        <w:rPr>
          <w:sz w:val="26"/>
          <w:szCs w:val="26"/>
          <w:rtl/>
        </w:rPr>
        <w:t xml:space="preserve"> במעשיו אלו ניסה הנאשם להחזיק בסם מסוכן שלא לצריכה עצמית, ללא היתר כדין.</w:t>
      </w:r>
    </w:p>
    <w:p w14:paraId="6F2B88E8" w14:textId="77777777" w:rsidR="008049B9" w:rsidRDefault="008049B9" w:rsidP="008049B9">
      <w:pPr>
        <w:spacing w:line="360" w:lineRule="auto"/>
        <w:jc w:val="both"/>
        <w:rPr>
          <w:sz w:val="26"/>
          <w:szCs w:val="26"/>
          <w:rtl/>
        </w:rPr>
      </w:pPr>
    </w:p>
    <w:p w14:paraId="743023DD" w14:textId="77777777" w:rsidR="008049B9" w:rsidRDefault="008049B9" w:rsidP="008049B9">
      <w:pPr>
        <w:spacing w:line="360" w:lineRule="auto"/>
        <w:jc w:val="both"/>
        <w:rPr>
          <w:sz w:val="26"/>
          <w:szCs w:val="26"/>
          <w:rtl/>
        </w:rPr>
      </w:pPr>
      <w:r>
        <w:rPr>
          <w:sz w:val="26"/>
          <w:szCs w:val="26"/>
          <w:rtl/>
        </w:rPr>
        <w:t>במסגרת ההסדר תוקן כתב האישום, אך לא גובשו הסכמות נוספות, וכל אחד מהצדדים טען לעונש על פי ראות עיניו.</w:t>
      </w:r>
    </w:p>
    <w:p w14:paraId="75DCD197" w14:textId="77777777" w:rsidR="008049B9" w:rsidRDefault="008049B9" w:rsidP="008049B9">
      <w:pPr>
        <w:spacing w:line="360" w:lineRule="auto"/>
        <w:jc w:val="both"/>
        <w:rPr>
          <w:sz w:val="26"/>
          <w:szCs w:val="26"/>
          <w:rtl/>
        </w:rPr>
      </w:pPr>
    </w:p>
    <w:p w14:paraId="336174E2" w14:textId="77777777" w:rsidR="008049B9" w:rsidRDefault="008049B9" w:rsidP="008049B9">
      <w:pPr>
        <w:spacing w:line="360" w:lineRule="auto"/>
        <w:jc w:val="both"/>
        <w:rPr>
          <w:sz w:val="26"/>
          <w:szCs w:val="26"/>
          <w:rtl/>
        </w:rPr>
      </w:pPr>
      <w:r>
        <w:rPr>
          <w:sz w:val="26"/>
          <w:szCs w:val="26"/>
          <w:rtl/>
        </w:rPr>
        <w:t xml:space="preserve"> </w:t>
      </w:r>
    </w:p>
    <w:p w14:paraId="3CCDD2A6" w14:textId="77777777" w:rsidR="008049B9" w:rsidRDefault="008049B9" w:rsidP="008049B9">
      <w:pPr>
        <w:spacing w:line="360" w:lineRule="auto"/>
        <w:jc w:val="both"/>
        <w:rPr>
          <w:b/>
          <w:bCs/>
          <w:sz w:val="26"/>
          <w:szCs w:val="26"/>
          <w:u w:val="single"/>
          <w:rtl/>
        </w:rPr>
      </w:pPr>
      <w:r>
        <w:rPr>
          <w:b/>
          <w:bCs/>
          <w:sz w:val="26"/>
          <w:szCs w:val="26"/>
          <w:u w:val="single"/>
          <w:rtl/>
        </w:rPr>
        <w:t>טיעוני הצדדים</w:t>
      </w:r>
    </w:p>
    <w:p w14:paraId="3F170E42" w14:textId="77777777" w:rsidR="008049B9" w:rsidRDefault="008049B9" w:rsidP="008049B9">
      <w:pPr>
        <w:spacing w:line="360" w:lineRule="auto"/>
        <w:jc w:val="both"/>
        <w:rPr>
          <w:sz w:val="26"/>
          <w:szCs w:val="26"/>
          <w:rtl/>
        </w:rPr>
      </w:pPr>
      <w:r>
        <w:rPr>
          <w:sz w:val="26"/>
          <w:szCs w:val="26"/>
          <w:rtl/>
        </w:rPr>
        <w:t xml:space="preserve">בטיעוניו לעונש עמד ב"כ המאשימה על החומרה היתרה שבמעשיו של הנאשם. המדובר, לדבריו, במי שניסה להחזיק סם מסוכן בהיקף נכבד, תוך פגיעה בערכים המוגנים העומדים בבסיס העבירות, דהיינו שמירה על שלומו, בטחונו ובריאותו של הציבור. התובע הפנה לנסיבות ביצוע העבירה, כאשר הנאשם הגיע מספר פעמים לנתב"ג ואף השתמש בייפוי כוח מזויף על מנת להשיג את הסם, ומדובר בכמות גדולה של כ-3 ק"ג סם מסוג מתאמפטאמין המספיקה לאלפי מנות. לנוכח נסיבות אלו טען כי מידת הפגיעה בערכים המוגנים היא גבוהה. עוד ציין כי כתב האישום תוקן מעבירה של ייבוא סם לעבירה של ניסיון החזקה לאור קשים ראייתיים, אך מעובדות כתב האישום עולה שמדובר בעבירה חמורה המצדיקה ענישה מרתיעה, וזאת נוכח פוטנציאל הנזק שקיים במעשי הנאשם. ב"כ המאשימה ציין כי התקשה למצוא פסיקה דומה לנסיבות תיק זה וכי לרוב במקרים אלו מורשעים הנאשמים בעבירת </w:t>
      </w:r>
      <w:r>
        <w:rPr>
          <w:sz w:val="26"/>
          <w:szCs w:val="26"/>
          <w:rtl/>
        </w:rPr>
        <w:lastRenderedPageBreak/>
        <w:t>ייבוא, לכן הפנה לפסיקה ממנה ביקש להסיק לענייננו בהבחנות הנדרשות, ועתר למתחם ענישה הנע בין 24 ל-48 חודשי מאסר.</w:t>
      </w:r>
    </w:p>
    <w:p w14:paraId="728ADFA7" w14:textId="77777777" w:rsidR="008049B9" w:rsidRDefault="008049B9" w:rsidP="008049B9">
      <w:pPr>
        <w:spacing w:line="360" w:lineRule="auto"/>
        <w:jc w:val="both"/>
        <w:rPr>
          <w:sz w:val="26"/>
          <w:szCs w:val="26"/>
          <w:rtl/>
        </w:rPr>
      </w:pPr>
    </w:p>
    <w:p w14:paraId="54B2F62A" w14:textId="77777777" w:rsidR="008049B9" w:rsidRDefault="008049B9" w:rsidP="008049B9">
      <w:pPr>
        <w:spacing w:line="360" w:lineRule="auto"/>
        <w:jc w:val="both"/>
        <w:rPr>
          <w:sz w:val="26"/>
          <w:szCs w:val="26"/>
          <w:rtl/>
        </w:rPr>
      </w:pPr>
      <w:r>
        <w:rPr>
          <w:sz w:val="26"/>
          <w:szCs w:val="26"/>
          <w:rtl/>
        </w:rPr>
        <w:t>באשר לנסיבות שאינן קשורות לביצוע העבירה, ציין כי מדובר בנאשם שנטל אחריות וחסך זמן ציבורי. מנגד, לחובתו עבר פלילי מכביד הכולל 8 הרשעות קודמות בעבירות רכוש, אלימות וסמים, לרבות ריצוי מאסרים מאחורי סורג ובריח. בנוסף לחובתו מאסר על תנאי בר הפעלה בן 12 חודשים, בגין גזר דין קודם בו הורשע בעבירות סחר בסמים, כאשר הנאשם ביצע את מעשיו אף בתיק הקודם כששני מאסרים מותנים תלויים ועומדים נגדו. לפיכך, ביקש ב"כ המאשימה למקם את עונשו של הנאשם באמצע מתחם הענישה ולהפעיל את המאסר המותנה במצטבר, זאת לצד מאסר מותנה, קנס, פסילה ופסילה על תנאי.</w:t>
      </w:r>
    </w:p>
    <w:p w14:paraId="709A83B2" w14:textId="77777777" w:rsidR="008049B9" w:rsidRDefault="008049B9" w:rsidP="008049B9">
      <w:pPr>
        <w:spacing w:line="360" w:lineRule="auto"/>
        <w:jc w:val="both"/>
        <w:rPr>
          <w:sz w:val="26"/>
          <w:szCs w:val="26"/>
          <w:rtl/>
        </w:rPr>
      </w:pPr>
    </w:p>
    <w:p w14:paraId="72BB26B7" w14:textId="77777777" w:rsidR="008049B9" w:rsidRDefault="008049B9" w:rsidP="008049B9">
      <w:pPr>
        <w:spacing w:line="360" w:lineRule="auto"/>
        <w:jc w:val="both"/>
        <w:rPr>
          <w:sz w:val="26"/>
          <w:szCs w:val="26"/>
          <w:rtl/>
        </w:rPr>
      </w:pPr>
    </w:p>
    <w:p w14:paraId="10C93FC8" w14:textId="77777777" w:rsidR="008049B9" w:rsidRDefault="008049B9" w:rsidP="008049B9">
      <w:pPr>
        <w:spacing w:line="360" w:lineRule="auto"/>
        <w:jc w:val="both"/>
        <w:rPr>
          <w:sz w:val="26"/>
          <w:szCs w:val="26"/>
          <w:rtl/>
        </w:rPr>
      </w:pPr>
      <w:r>
        <w:rPr>
          <w:sz w:val="26"/>
          <w:szCs w:val="26"/>
          <w:rtl/>
        </w:rPr>
        <w:t xml:space="preserve">הסנגורית המלומדת, עוה"ד חזום, הדגישה בפתח דבריה כי לאור קשיים ראייתיים תוקן כתב האישום מעבירת ייבוא לעבירה של ניסיון החזקה, והנאשם שיתף פעולה, לקח אחריות והודה בעבירה המיוחסת לו. עוד ציינה כי כתב האישום אינו מייחס לנאשם ידיעה על כך שהמסמך מזויף ומשלא יוחסה לו עבירה של שימוש במסמך מזויף, אין לתת לנתון זה משקל. בנוסף, טענה כי כשהנאשם הגיע לאסוף את החבילה הוא הזדהה בשמו והציג את תעודת הזהות שלו, כך שלא היה ניסיון להסתיר את זהותו, ומשטרת ישראל ידעה את זהותו ביום ביצוע העבירה ובכל זאת הוציאה צו מעצר רק לאחר חודש ימים. באשר לנסיבות ביצוע העבירה, ציינה כי הנאשם לא הורשע בקשירת קשר, כי לעבירה לא קדם תכנון מקדים וכי הנאשם חזר פעמיים לאסוף את החבילה, דבר אשר לטעמה מצביע על הלך רוחו. מדובר היה בהחזקה לפרק זמן מאוד קצר, רק על מנת לבצע את המשיכה מהדואר. בנוגע לפוטנציאל הנזק הדגישה כי הוא אכן קיים, אך יש לזכור כי הסם נתפס על ידי הרשויות ויש לתת לכך משקל. </w:t>
      </w:r>
    </w:p>
    <w:p w14:paraId="13A09488" w14:textId="77777777" w:rsidR="008049B9" w:rsidRDefault="008049B9" w:rsidP="008049B9">
      <w:pPr>
        <w:spacing w:line="360" w:lineRule="auto"/>
        <w:jc w:val="both"/>
        <w:rPr>
          <w:sz w:val="26"/>
          <w:szCs w:val="26"/>
          <w:rtl/>
        </w:rPr>
      </w:pPr>
    </w:p>
    <w:p w14:paraId="126ED3B7" w14:textId="77777777" w:rsidR="008049B9" w:rsidRDefault="008049B9" w:rsidP="008049B9">
      <w:pPr>
        <w:spacing w:line="360" w:lineRule="auto"/>
        <w:jc w:val="both"/>
        <w:rPr>
          <w:sz w:val="26"/>
          <w:szCs w:val="26"/>
          <w:rtl/>
        </w:rPr>
      </w:pPr>
    </w:p>
    <w:p w14:paraId="40BCD0B2" w14:textId="77777777" w:rsidR="008049B9" w:rsidRDefault="008049B9" w:rsidP="008049B9">
      <w:pPr>
        <w:spacing w:line="360" w:lineRule="auto"/>
        <w:jc w:val="both"/>
        <w:rPr>
          <w:sz w:val="26"/>
          <w:szCs w:val="26"/>
          <w:rtl/>
        </w:rPr>
      </w:pPr>
      <w:r>
        <w:rPr>
          <w:sz w:val="26"/>
          <w:szCs w:val="26"/>
          <w:rtl/>
        </w:rPr>
        <w:t>באת כוח הנאשם ציינה, בדומה לב"כ המאשימה, כי התקשתה למצוא פסיקה רלוונטית, והפנתה לפסיקה בעבירות ייבוא, בה נקבע רף תחתון של 16/18 חודשי מאסר, ומכאן ביקשה להסיק כי בעבירות ניסיון החזקה המתחם יכול ויתחיל מעבודות שירות. לבסוף, עתרה למתחם ענישה המתחיל במספר חודשי עבודות שירות ומסתיים במאסר למשך שנה וחצי. הסנגורית המלומדת טענה כי נסיבותיו האישיות והמשפחתיות של הנאשם קשות ומורכבות, כי הוא סובל מבעיות רפואיות, לרבות עיוורון בעין אחת, וכי ניתן ללמוד מרישומו הפלילי כי ביצע את העבירה על רקע שימוש בסמים. לגבי המאסר המותנה התלוי ועומד לחובתו, ביקשה כי יופעל מרביתו בחופף. לעניין הקנס, ביקשה שלא להטיל קנס ולהסתפק בהתחייבות, זאת עקב כך שלנאשם לא היה צפוי רווח משמעותי ממעשיו. לדבריה, מדובר במי שמצבו הכלכלי קשה והוא סמוך על שולחנה של אמו, נכה הסובלת מאפילפסיה, המתפרנסת מטיפול בקשישה ומרוויחה פחות משכר המינימום.</w:t>
      </w:r>
    </w:p>
    <w:p w14:paraId="269F25DE" w14:textId="77777777" w:rsidR="008049B9" w:rsidRDefault="008049B9" w:rsidP="008049B9">
      <w:pPr>
        <w:spacing w:line="360" w:lineRule="auto"/>
        <w:jc w:val="both"/>
        <w:rPr>
          <w:sz w:val="26"/>
          <w:szCs w:val="26"/>
          <w:rtl/>
        </w:rPr>
      </w:pPr>
    </w:p>
    <w:p w14:paraId="427C6A06" w14:textId="77777777" w:rsidR="008049B9" w:rsidRDefault="008049B9" w:rsidP="008049B9">
      <w:pPr>
        <w:spacing w:line="360" w:lineRule="auto"/>
        <w:jc w:val="both"/>
        <w:rPr>
          <w:sz w:val="26"/>
          <w:szCs w:val="26"/>
          <w:rtl/>
        </w:rPr>
      </w:pPr>
    </w:p>
    <w:p w14:paraId="39FC40BF" w14:textId="77777777" w:rsidR="008049B9" w:rsidRDefault="008049B9" w:rsidP="008049B9">
      <w:pPr>
        <w:spacing w:line="360" w:lineRule="auto"/>
        <w:jc w:val="both"/>
        <w:rPr>
          <w:sz w:val="26"/>
          <w:szCs w:val="26"/>
          <w:rtl/>
        </w:rPr>
      </w:pPr>
      <w:r>
        <w:rPr>
          <w:sz w:val="26"/>
          <w:szCs w:val="26"/>
          <w:rtl/>
        </w:rPr>
        <w:t>לבסוף, שמעתי גם את דברי הנאשם עצמו, אשר הביע חרטה על מעשיו, וציין כי שיתף פעולה מתחילתו של ההליך וכי תפקד רק בתור שליח. עוד ציין כי יעבור טיפול.</w:t>
      </w:r>
    </w:p>
    <w:p w14:paraId="1D4CADB0" w14:textId="77777777" w:rsidR="008049B9" w:rsidRDefault="008049B9" w:rsidP="008049B9">
      <w:pPr>
        <w:spacing w:line="360" w:lineRule="auto"/>
        <w:jc w:val="both"/>
        <w:rPr>
          <w:b/>
          <w:bCs/>
          <w:sz w:val="26"/>
          <w:szCs w:val="26"/>
          <w:u w:val="single"/>
          <w:rtl/>
        </w:rPr>
      </w:pPr>
      <w:r>
        <w:rPr>
          <w:sz w:val="26"/>
          <w:szCs w:val="26"/>
          <w:rtl/>
        </w:rPr>
        <w:t xml:space="preserve"> </w:t>
      </w:r>
    </w:p>
    <w:p w14:paraId="21B00BA9" w14:textId="77777777" w:rsidR="008049B9" w:rsidRDefault="008049B9" w:rsidP="008049B9">
      <w:pPr>
        <w:spacing w:line="360" w:lineRule="auto"/>
        <w:jc w:val="both"/>
        <w:rPr>
          <w:b/>
          <w:bCs/>
          <w:sz w:val="26"/>
          <w:szCs w:val="26"/>
          <w:u w:val="single"/>
          <w:rtl/>
        </w:rPr>
      </w:pPr>
    </w:p>
    <w:p w14:paraId="79BC1A3F" w14:textId="77777777" w:rsidR="008049B9" w:rsidRDefault="008049B9" w:rsidP="008049B9">
      <w:pPr>
        <w:spacing w:line="360" w:lineRule="auto"/>
        <w:jc w:val="both"/>
        <w:rPr>
          <w:b/>
          <w:bCs/>
          <w:sz w:val="26"/>
          <w:szCs w:val="26"/>
          <w:u w:val="single"/>
          <w:rtl/>
        </w:rPr>
      </w:pPr>
    </w:p>
    <w:p w14:paraId="4047EA82" w14:textId="77777777" w:rsidR="008049B9" w:rsidRDefault="008049B9" w:rsidP="008049B9">
      <w:pPr>
        <w:spacing w:line="360" w:lineRule="auto"/>
        <w:jc w:val="both"/>
        <w:rPr>
          <w:b/>
          <w:bCs/>
          <w:sz w:val="26"/>
          <w:szCs w:val="26"/>
          <w:u w:val="single"/>
          <w:rtl/>
        </w:rPr>
      </w:pPr>
      <w:r>
        <w:rPr>
          <w:b/>
          <w:bCs/>
          <w:sz w:val="26"/>
          <w:szCs w:val="26"/>
          <w:u w:val="single"/>
          <w:rtl/>
        </w:rPr>
        <w:t>דיון והכרעה</w:t>
      </w:r>
    </w:p>
    <w:p w14:paraId="21FC4E60" w14:textId="77777777" w:rsidR="008049B9" w:rsidRDefault="008049B9" w:rsidP="008049B9">
      <w:pPr>
        <w:spacing w:line="360" w:lineRule="auto"/>
        <w:jc w:val="both"/>
        <w:rPr>
          <w:sz w:val="26"/>
          <w:szCs w:val="26"/>
          <w:rtl/>
        </w:rPr>
      </w:pPr>
      <w:r>
        <w:rPr>
          <w:sz w:val="26"/>
          <w:szCs w:val="26"/>
          <w:rtl/>
        </w:rPr>
        <w:t>רבות כבר נכתב על פגיעתן הקשה של עבירות הסמים בערכים חברתיים מרכזיים ובהם הצורך בהגנה על שלום הציבור, על בריאותו, על ביטחונו האישי ועל רכושו. על עצמת הפגיעה בערכים חברתיים אלה, אגב עבירות הייבוא הרבות, ועל והיקפה הנרחב עמד ביהמ"ש העליון ב</w:t>
      </w:r>
      <w:hyperlink r:id="rId17" w:history="1">
        <w:r w:rsidR="0004368D" w:rsidRPr="0004368D">
          <w:rPr>
            <w:color w:val="0000FF"/>
            <w:sz w:val="26"/>
            <w:szCs w:val="26"/>
            <w:u w:val="single"/>
            <w:rtl/>
          </w:rPr>
          <w:t>ע"פ 1635/14</w:t>
        </w:r>
      </w:hyperlink>
      <w:r w:rsidR="0004368D">
        <w:rPr>
          <w:sz w:val="26"/>
          <w:szCs w:val="26"/>
        </w:rPr>
        <w:t xml:space="preserve"> </w:t>
      </w:r>
      <w:r>
        <w:rPr>
          <w:b/>
          <w:bCs/>
          <w:sz w:val="26"/>
          <w:szCs w:val="26"/>
          <w:rtl/>
        </w:rPr>
        <w:t>יהודה נ' מ"י</w:t>
      </w:r>
      <w:r>
        <w:rPr>
          <w:sz w:val="26"/>
          <w:szCs w:val="26"/>
          <w:rtl/>
        </w:rPr>
        <w:t xml:space="preserve"> (21.8.14) באומרו:</w:t>
      </w:r>
      <w:r>
        <w:rPr>
          <w:b/>
          <w:bCs/>
          <w:sz w:val="26"/>
          <w:szCs w:val="26"/>
          <w:rtl/>
        </w:rPr>
        <w:t xml:space="preserve"> </w:t>
      </w:r>
    </w:p>
    <w:p w14:paraId="675787D9" w14:textId="77777777" w:rsidR="008049B9" w:rsidRDefault="008049B9" w:rsidP="008049B9">
      <w:pPr>
        <w:spacing w:line="360" w:lineRule="auto"/>
        <w:jc w:val="both"/>
        <w:rPr>
          <w:sz w:val="26"/>
          <w:szCs w:val="26"/>
          <w:rtl/>
        </w:rPr>
      </w:pPr>
    </w:p>
    <w:p w14:paraId="24037AE8" w14:textId="77777777" w:rsidR="008049B9" w:rsidRDefault="008049B9" w:rsidP="008049B9">
      <w:pPr>
        <w:spacing w:line="360" w:lineRule="auto"/>
        <w:ind w:left="737" w:right="737"/>
        <w:jc w:val="both"/>
        <w:rPr>
          <w:sz w:val="26"/>
          <w:szCs w:val="26"/>
          <w:rtl/>
        </w:rPr>
      </w:pPr>
      <w:r>
        <w:rPr>
          <w:b/>
          <w:bCs/>
          <w:sz w:val="26"/>
          <w:szCs w:val="26"/>
          <w:rtl/>
        </w:rPr>
        <w:t>"כידוע, השימוש בסם מסוכן אינו פוגע במשתמש לבדו, כי אם בבני משפחתו ובזרים לו, בסביבתו הקרובה והרחוקה, וסופה של השפעתו המחריבה להתפרס על פני החברה בכללותה. הנה כי כן, מעגלי ההרס הקשורים בשימוש בסמים מסוכנים ובייבואם מתרחבים והולכים, כמעגליה של אבן הפוגעת במים מורעלים</w:t>
      </w:r>
      <w:r>
        <w:rPr>
          <w:sz w:val="26"/>
          <w:szCs w:val="26"/>
          <w:rtl/>
        </w:rPr>
        <w:t>."</w:t>
      </w:r>
    </w:p>
    <w:p w14:paraId="348EDF6A" w14:textId="77777777" w:rsidR="008049B9" w:rsidRDefault="008049B9" w:rsidP="008049B9">
      <w:pPr>
        <w:spacing w:line="360" w:lineRule="auto"/>
        <w:ind w:left="737" w:right="737"/>
        <w:jc w:val="both"/>
        <w:rPr>
          <w:sz w:val="26"/>
          <w:szCs w:val="26"/>
          <w:rtl/>
        </w:rPr>
      </w:pPr>
    </w:p>
    <w:p w14:paraId="681DA3C5" w14:textId="77777777" w:rsidR="008049B9" w:rsidRDefault="008049B9" w:rsidP="008049B9">
      <w:pPr>
        <w:spacing w:line="360" w:lineRule="auto"/>
        <w:jc w:val="both"/>
        <w:rPr>
          <w:sz w:val="26"/>
          <w:szCs w:val="26"/>
          <w:rtl/>
        </w:rPr>
      </w:pPr>
      <w:r>
        <w:rPr>
          <w:sz w:val="26"/>
          <w:szCs w:val="26"/>
          <w:rtl/>
        </w:rPr>
        <w:t>ההלכה הפסוקה עמדה על ההכרח להיאבק בנגע הסמים ועל הצורך להעביר מסר מרתיע ובלתי מתפשר, בין היתר על-ידי הטלת עונשים מחמירים, איש איש על פי חלקו ומעמדו בשרשרת הפקת והפצת הסם, לרבות אלו שחלקם במעשים מתמצה בהחזקתו של הסם. על תפקידו זה של בית המשפט, כחלק ממערכת כוללת של מאבק בתופעה רחבה זו, שנזקיה חמורים, עמד בית המשפט העליון לא פעם, ויפים בהקשר זה דבריה של כב' השופטת פרוקצ'יה ב</w:t>
      </w:r>
      <w:hyperlink r:id="rId18" w:history="1">
        <w:r w:rsidR="0004368D" w:rsidRPr="0004368D">
          <w:rPr>
            <w:color w:val="0000FF"/>
            <w:sz w:val="26"/>
            <w:szCs w:val="26"/>
            <w:u w:val="single"/>
            <w:rtl/>
          </w:rPr>
          <w:t>ע"פ 211/09</w:t>
        </w:r>
      </w:hyperlink>
      <w:r w:rsidR="0004368D">
        <w:rPr>
          <w:sz w:val="26"/>
          <w:szCs w:val="26"/>
        </w:rPr>
        <w:t xml:space="preserve"> </w:t>
      </w:r>
      <w:r>
        <w:rPr>
          <w:b/>
          <w:bCs/>
          <w:sz w:val="26"/>
          <w:szCs w:val="26"/>
          <w:rtl/>
        </w:rPr>
        <w:t>אזולאי נ' מ"י</w:t>
      </w:r>
      <w:r>
        <w:rPr>
          <w:sz w:val="26"/>
          <w:szCs w:val="26"/>
          <w:rtl/>
        </w:rPr>
        <w:t xml:space="preserve"> (22.6.2010):</w:t>
      </w:r>
    </w:p>
    <w:p w14:paraId="5420BA98" w14:textId="77777777" w:rsidR="008049B9" w:rsidRDefault="008049B9" w:rsidP="008049B9">
      <w:pPr>
        <w:spacing w:line="360" w:lineRule="auto"/>
        <w:jc w:val="both"/>
        <w:rPr>
          <w:sz w:val="26"/>
          <w:szCs w:val="26"/>
          <w:rtl/>
        </w:rPr>
      </w:pPr>
    </w:p>
    <w:p w14:paraId="06A346FE" w14:textId="77777777" w:rsidR="008049B9" w:rsidRDefault="008049B9" w:rsidP="008049B9">
      <w:pPr>
        <w:spacing w:line="360" w:lineRule="auto"/>
        <w:ind w:left="737" w:right="737"/>
        <w:jc w:val="both"/>
        <w:rPr>
          <w:sz w:val="26"/>
          <w:szCs w:val="26"/>
          <w:rtl/>
        </w:rPr>
      </w:pPr>
      <w:r>
        <w:rPr>
          <w:b/>
          <w:bCs/>
          <w:sz w:val="26"/>
          <w:szCs w:val="26"/>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p>
    <w:p w14:paraId="40E735B8" w14:textId="77777777" w:rsidR="008049B9" w:rsidRDefault="008049B9" w:rsidP="008049B9">
      <w:pPr>
        <w:spacing w:line="360" w:lineRule="auto"/>
        <w:jc w:val="both"/>
        <w:rPr>
          <w:b/>
          <w:bCs/>
          <w:sz w:val="26"/>
          <w:szCs w:val="26"/>
          <w:rtl/>
        </w:rPr>
      </w:pPr>
    </w:p>
    <w:p w14:paraId="0104BD92" w14:textId="77777777" w:rsidR="008049B9" w:rsidRDefault="008049B9" w:rsidP="008049B9">
      <w:pPr>
        <w:spacing w:line="360" w:lineRule="auto"/>
        <w:jc w:val="both"/>
        <w:rPr>
          <w:sz w:val="26"/>
          <w:szCs w:val="26"/>
          <w:rtl/>
        </w:rPr>
      </w:pPr>
      <w:r>
        <w:rPr>
          <w:b/>
          <w:bCs/>
          <w:sz w:val="26"/>
          <w:szCs w:val="26"/>
          <w:rtl/>
        </w:rPr>
        <w:t>מידת הפגיעה בערכים המוגנים במקרה שלפני הינה ממשית</w:t>
      </w:r>
      <w:r>
        <w:rPr>
          <w:sz w:val="26"/>
          <w:szCs w:val="26"/>
          <w:rtl/>
        </w:rPr>
        <w:t>. כתב האישום תוקן אמנם לקולה והנאשם לא הורשע במעורבות במעשים בשלב ייבוא הסם, אלא רק בכך שניסה לקבל לידיו את חבילת הסם לאחר הגעתה ארצה. עם זאת, לא ניתן להתעלם מהחומרה הכרוכה בכך שבמעשיו פעל הנאשם למעשה להשלים את פעולת הייבוא, על ידי איסוף משלוח הסם מנתב"ג, כך שגם אם חלקו באופרציה הכוללת היה מצומצם באופן יחסי, הרי שהפונקציה שמילא הייתה הכרחית להשלמת שרשרת הייבוא. הנאשם אף הפגין במעשיו נחישות להשלים את המוטל עליו ולצורך כך התייצב בנתב"ג 3 פעמים, יום אחר יום, שילם עבור שחרור המשלוח מהמכס ואף הצטייד בייפוי כוח מזויף והציג אותו בפני נציגי לשכת הסחר והמכס. עוד יש להדגיש לחומרה את סוג הסם, מתאמפטאמין, ואת הכמות הגדולה של הסם, כ-3 ק"ג, העולה אלפי מונים על הכמות של 0.2 גרם, הקבועה בפקודה ככזו המעידה על החזקה שלא לשימוש עצמי בלבד. מדובר אפוא בכמות אדירה של סם, שיכולה הייתה לשמש להפקת אלפי מנות, ואף הייתה מחולקת בפועל לכ- 3,000 יחידות, ופוטנציאל הנזק שהיה גלום בה היה רב ביותר.</w:t>
      </w:r>
    </w:p>
    <w:p w14:paraId="2DE948D5" w14:textId="77777777" w:rsidR="008049B9" w:rsidRDefault="008049B9" w:rsidP="008049B9">
      <w:pPr>
        <w:spacing w:line="360" w:lineRule="auto"/>
        <w:jc w:val="both"/>
        <w:rPr>
          <w:sz w:val="26"/>
          <w:szCs w:val="26"/>
          <w:rtl/>
        </w:rPr>
      </w:pPr>
    </w:p>
    <w:p w14:paraId="699BCF19" w14:textId="77777777" w:rsidR="008049B9" w:rsidRDefault="008049B9" w:rsidP="008049B9">
      <w:pPr>
        <w:spacing w:line="360" w:lineRule="auto"/>
        <w:jc w:val="both"/>
        <w:rPr>
          <w:sz w:val="26"/>
          <w:szCs w:val="26"/>
          <w:rtl/>
        </w:rPr>
      </w:pPr>
      <w:r>
        <w:rPr>
          <w:sz w:val="26"/>
          <w:szCs w:val="26"/>
          <w:rtl/>
        </w:rPr>
        <w:t xml:space="preserve">באשר </w:t>
      </w:r>
      <w:r>
        <w:rPr>
          <w:b/>
          <w:bCs/>
          <w:sz w:val="26"/>
          <w:szCs w:val="26"/>
          <w:rtl/>
        </w:rPr>
        <w:t>לענישה הנוהגת</w:t>
      </w:r>
      <w:r>
        <w:rPr>
          <w:sz w:val="26"/>
          <w:szCs w:val="26"/>
          <w:rtl/>
        </w:rPr>
        <w:t xml:space="preserve"> הפנו הצדדים כאמור בעיקר למקרים בהם הורשעו הנאשמים בנסיבות דומות בעבירות ייבוא סם ולא בהחזקה או ניסיון החזקה גרידא. מעניין לציין כי בחלק מהמקרים הגישו שני הצדדים את אותו פסק דין ממש וביקשו להסתמך עליו, כל אחד על פי נקודת מבטו. מכל מקום, לצד סקירתם של פסקי הדין הללו, אדרש לביצוע ההתאמות המתחייבות מתיקון כתב האישום ומההרשעה בעבירה קלה מעט יותר מעבירת הייבוא, על אף שנסיבותיה מצויות ברף המחמיר, באשר הנאשם שימש חוליה הכרחית בשרשרת השלמת פעולת הייבוא והחדרת הסם לייעדו בארץ. </w:t>
      </w:r>
    </w:p>
    <w:p w14:paraId="1964CE82" w14:textId="77777777" w:rsidR="008049B9" w:rsidRDefault="008049B9" w:rsidP="008049B9">
      <w:pPr>
        <w:spacing w:line="360" w:lineRule="auto"/>
        <w:jc w:val="both"/>
        <w:rPr>
          <w:sz w:val="26"/>
          <w:szCs w:val="26"/>
          <w:rtl/>
        </w:rPr>
      </w:pPr>
    </w:p>
    <w:p w14:paraId="4B5319E8" w14:textId="77777777" w:rsidR="008049B9" w:rsidRDefault="008049B9" w:rsidP="008049B9">
      <w:pPr>
        <w:spacing w:line="360" w:lineRule="auto"/>
        <w:jc w:val="both"/>
        <w:rPr>
          <w:sz w:val="26"/>
          <w:szCs w:val="26"/>
          <w:rtl/>
        </w:rPr>
      </w:pPr>
      <w:r>
        <w:rPr>
          <w:sz w:val="26"/>
          <w:szCs w:val="26"/>
          <w:rtl/>
        </w:rPr>
        <w:t xml:space="preserve">ב"כ המאשימה הגיש את </w:t>
      </w:r>
      <w:hyperlink r:id="rId19" w:history="1">
        <w:r w:rsidR="0004368D" w:rsidRPr="0004368D">
          <w:rPr>
            <w:color w:val="0000FF"/>
            <w:sz w:val="26"/>
            <w:szCs w:val="26"/>
            <w:u w:val="single"/>
            <w:rtl/>
          </w:rPr>
          <w:t>רע"פ 3569/20</w:t>
        </w:r>
      </w:hyperlink>
      <w:r w:rsidR="0004368D">
        <w:rPr>
          <w:sz w:val="26"/>
          <w:szCs w:val="26"/>
          <w:rtl/>
        </w:rPr>
        <w:t xml:space="preserve"> </w:t>
      </w:r>
      <w:r>
        <w:rPr>
          <w:b/>
          <w:bCs/>
          <w:sz w:val="26"/>
          <w:szCs w:val="26"/>
          <w:rtl/>
        </w:rPr>
        <w:t>אלטאראוס נ' מ"י</w:t>
      </w:r>
      <w:r>
        <w:rPr>
          <w:sz w:val="26"/>
          <w:szCs w:val="26"/>
          <w:rtl/>
        </w:rPr>
        <w:t xml:space="preserve"> (7.6.20), שם נדון עניינו של מערער, שהורשע לאחר ניהול הוכחות, בעבירות של ייבוא סם וקשירת קשר לפשע. המערער, אזרח הפיליפינים שעבד בשגרירות הפיליפינים בישראל, יצר קשר עם אחר לשם ייבוא סם מסוג מתאמפטאמין. אותו אחר שלח ארצה חבילה שהכילה כ-</w:t>
      </w:r>
      <w:r>
        <w:rPr>
          <w:b/>
          <w:bCs/>
          <w:sz w:val="26"/>
          <w:szCs w:val="26"/>
          <w:rtl/>
        </w:rPr>
        <w:t>50 גרם</w:t>
      </w:r>
      <w:r>
        <w:rPr>
          <w:sz w:val="26"/>
          <w:szCs w:val="26"/>
          <w:rtl/>
        </w:rPr>
        <w:t xml:space="preserve"> מהסם, והמערער נתפס בעת שניסה לקבל את החבילה במשרדי חברת השילוח. בית משפט השלום קבע </w:t>
      </w:r>
      <w:r>
        <w:rPr>
          <w:b/>
          <w:bCs/>
          <w:sz w:val="26"/>
          <w:szCs w:val="26"/>
          <w:rtl/>
        </w:rPr>
        <w:t xml:space="preserve">מתחם ענישה הנע בין 18 ל-36 חודשי מאסר </w:t>
      </w:r>
      <w:r>
        <w:rPr>
          <w:sz w:val="26"/>
          <w:szCs w:val="26"/>
          <w:rtl/>
        </w:rPr>
        <w:t xml:space="preserve">והשית על הנאשם </w:t>
      </w:r>
      <w:r>
        <w:rPr>
          <w:b/>
          <w:bCs/>
          <w:sz w:val="26"/>
          <w:szCs w:val="26"/>
          <w:rtl/>
        </w:rPr>
        <w:t>22 חודשי</w:t>
      </w:r>
      <w:r>
        <w:rPr>
          <w:sz w:val="26"/>
          <w:szCs w:val="26"/>
          <w:rtl/>
        </w:rPr>
        <w:t xml:space="preserve"> מאסר בפועל. בית המשפט המחוזי ובית המשפט העליון קבעו שהעונש ראוי והולם ודחו את הערעורים. תשומת הלב תופנה לכך שכמות הסם במקרה שלפני גדולה עשרות מונים מזו שבמקרה הנ"ל, ומנגד לכך שחלקו של המערער הנ"ל באופרציה היה משמעותי יותר, ועל כן הוא אף הורשע בעבירת הייבוא, ולא רק בניסיון לשחרר את חבילת הסם מהמכס. </w:t>
      </w:r>
    </w:p>
    <w:p w14:paraId="4E15BA76" w14:textId="77777777" w:rsidR="008049B9" w:rsidRDefault="008049B9" w:rsidP="008049B9">
      <w:pPr>
        <w:spacing w:line="360" w:lineRule="auto"/>
        <w:jc w:val="both"/>
        <w:rPr>
          <w:sz w:val="26"/>
          <w:szCs w:val="26"/>
          <w:rtl/>
        </w:rPr>
      </w:pPr>
    </w:p>
    <w:p w14:paraId="329F3143" w14:textId="77777777" w:rsidR="008049B9" w:rsidRDefault="008049B9" w:rsidP="008049B9">
      <w:pPr>
        <w:spacing w:line="360" w:lineRule="auto"/>
        <w:jc w:val="both"/>
        <w:rPr>
          <w:sz w:val="26"/>
          <w:szCs w:val="26"/>
          <w:rtl/>
        </w:rPr>
      </w:pPr>
      <w:r>
        <w:rPr>
          <w:sz w:val="26"/>
          <w:szCs w:val="26"/>
          <w:rtl/>
        </w:rPr>
        <w:t>הסנגורית, מצידה, הפנתה ל</w:t>
      </w:r>
      <w:hyperlink r:id="rId20" w:history="1">
        <w:r w:rsidR="0004368D" w:rsidRPr="0004368D">
          <w:rPr>
            <w:color w:val="0000FF"/>
            <w:sz w:val="26"/>
            <w:szCs w:val="26"/>
            <w:u w:val="single"/>
            <w:rtl/>
          </w:rPr>
          <w:t>ע"פ 4659/12</w:t>
        </w:r>
      </w:hyperlink>
      <w:r w:rsidR="0004368D">
        <w:rPr>
          <w:b/>
          <w:bCs/>
          <w:sz w:val="26"/>
          <w:szCs w:val="26"/>
        </w:rPr>
        <w:t xml:space="preserve"> </w:t>
      </w:r>
      <w:r>
        <w:rPr>
          <w:b/>
          <w:bCs/>
          <w:sz w:val="26"/>
          <w:szCs w:val="26"/>
          <w:rtl/>
        </w:rPr>
        <w:t>סיריפונג נ' מ"י</w:t>
      </w:r>
      <w:r w:rsidR="0004368D">
        <w:rPr>
          <w:b/>
          <w:bCs/>
          <w:sz w:val="26"/>
          <w:szCs w:val="26"/>
        </w:rPr>
        <w:t xml:space="preserve"> </w:t>
      </w:r>
      <w:r>
        <w:rPr>
          <w:sz w:val="26"/>
          <w:szCs w:val="26"/>
          <w:rtl/>
        </w:rPr>
        <w:t xml:space="preserve">(22.10.12), שם הורשע נאשם, על פי הודאתו, בעבירות של ייבוא סמים מסוכנים וקשירת קשר לביצוע פשע, לאחר שקשר קשר עם אחר לייבא סם מסוג מתאמפטאמין מתאילנד לישראל. במסגרת הקשר מסר לאחר את פרטי תא הדואר שלו ובהמשך נשלחה חבילה לישראל, ובה </w:t>
      </w:r>
      <w:r>
        <w:rPr>
          <w:b/>
          <w:bCs/>
          <w:sz w:val="26"/>
          <w:szCs w:val="26"/>
          <w:rtl/>
        </w:rPr>
        <w:t>1084 כדורים</w:t>
      </w:r>
      <w:r>
        <w:rPr>
          <w:sz w:val="26"/>
          <w:szCs w:val="26"/>
          <w:rtl/>
        </w:rPr>
        <w:t xml:space="preserve"> של הסם. החבילה נתפסה במשרדי המכס בנמל התעופה. הצדדים הגיעו להסדר טיעון במסגרתו תגביל המאשימה את עתירתה העונשית ל-24 חודשי מאסר בפועל, ואילו ההגנה תטען לעונש כרצונה. על הנאשם, צעיר, אזרח תאילנד, ללא עבר פלילי, הוטלו </w:t>
      </w:r>
      <w:r>
        <w:rPr>
          <w:b/>
          <w:bCs/>
          <w:sz w:val="26"/>
          <w:szCs w:val="26"/>
          <w:rtl/>
        </w:rPr>
        <w:t>18 חודשי מאסר בפועל</w:t>
      </w:r>
      <w:r>
        <w:rPr>
          <w:sz w:val="26"/>
          <w:szCs w:val="26"/>
          <w:rtl/>
        </w:rPr>
        <w:t>. בית המשפט העליון דחה את הערעור על חומרת העונש</w:t>
      </w:r>
      <w:r>
        <w:rPr>
          <w:sz w:val="26"/>
          <w:szCs w:val="26"/>
        </w:rPr>
        <w:t>.</w:t>
      </w:r>
    </w:p>
    <w:p w14:paraId="20319C80" w14:textId="77777777" w:rsidR="008049B9" w:rsidRDefault="008049B9" w:rsidP="008049B9">
      <w:pPr>
        <w:spacing w:line="360" w:lineRule="auto"/>
        <w:jc w:val="both"/>
        <w:rPr>
          <w:sz w:val="26"/>
          <w:szCs w:val="26"/>
          <w:rtl/>
        </w:rPr>
      </w:pPr>
    </w:p>
    <w:p w14:paraId="2A4DA714" w14:textId="77777777" w:rsidR="008049B9" w:rsidRDefault="008049B9" w:rsidP="008049B9">
      <w:pPr>
        <w:spacing w:line="360" w:lineRule="auto"/>
        <w:jc w:val="both"/>
        <w:rPr>
          <w:sz w:val="26"/>
          <w:szCs w:val="26"/>
          <w:rtl/>
        </w:rPr>
      </w:pPr>
      <w:r>
        <w:rPr>
          <w:sz w:val="26"/>
          <w:szCs w:val="26"/>
          <w:rtl/>
        </w:rPr>
        <w:t>שני הצדדים גם יחד הפנו ל</w:t>
      </w:r>
      <w:hyperlink r:id="rId21" w:history="1">
        <w:r w:rsidR="0004368D" w:rsidRPr="0004368D">
          <w:rPr>
            <w:color w:val="0000FF"/>
            <w:sz w:val="26"/>
            <w:szCs w:val="26"/>
            <w:u w:val="single"/>
            <w:rtl/>
          </w:rPr>
          <w:t>ע"פ 4536/21</w:t>
        </w:r>
      </w:hyperlink>
      <w:r>
        <w:rPr>
          <w:sz w:val="26"/>
          <w:szCs w:val="26"/>
          <w:rtl/>
        </w:rPr>
        <w:t xml:space="preserve"> </w:t>
      </w:r>
      <w:r>
        <w:rPr>
          <w:b/>
          <w:bCs/>
          <w:sz w:val="26"/>
          <w:szCs w:val="26"/>
          <w:rtl/>
        </w:rPr>
        <w:t>פרץ נ' מ"</w:t>
      </w:r>
      <w:r>
        <w:rPr>
          <w:sz w:val="26"/>
          <w:szCs w:val="26"/>
          <w:rtl/>
        </w:rPr>
        <w:t xml:space="preserve">י (4.11.21), שם נדחה ערעור על חומרת העונש שהוטל על נאשם שהורשע, על פי הודאתו, בעבירות של קשירת קשר לביצוע פשע וייבוא סם מסוכן בצוותא חדא. הנאשם ואדם נוסף קשרו קשר לייבא לישראל סמים ממקסיקו באמצעות הדואר, ובהתאם לכך נשלחה ממקסיקו חבילה שמוענה לנאשם, שהכילה 19 פסלונים בהם הוסלק סם מסוג מתאמפטאמין, במשקל כולל של </w:t>
      </w:r>
      <w:r>
        <w:rPr>
          <w:b/>
          <w:bCs/>
          <w:sz w:val="26"/>
          <w:szCs w:val="26"/>
          <w:rtl/>
        </w:rPr>
        <w:t xml:space="preserve">1.865 ק"ג </w:t>
      </w:r>
      <w:r>
        <w:rPr>
          <w:sz w:val="26"/>
          <w:szCs w:val="26"/>
          <w:rtl/>
        </w:rPr>
        <w:t xml:space="preserve">נטו. החבילה נתפסה על ידי רשות המכס. בית המשפט המחוזי קבע </w:t>
      </w:r>
      <w:r>
        <w:rPr>
          <w:b/>
          <w:bCs/>
          <w:sz w:val="26"/>
          <w:szCs w:val="26"/>
          <w:rtl/>
        </w:rPr>
        <w:t>מתחם ענישה הנע בין 21 ל-48 חודשי מאסר בפועל</w:t>
      </w:r>
      <w:r>
        <w:rPr>
          <w:sz w:val="26"/>
          <w:szCs w:val="26"/>
          <w:rtl/>
        </w:rPr>
        <w:t xml:space="preserve">, ועל רקע שיקולי שיקום ואחידות ענישה חרג מעט לקולה מהמתחם והטיל על הנאשם </w:t>
      </w:r>
      <w:r>
        <w:rPr>
          <w:b/>
          <w:bCs/>
          <w:sz w:val="26"/>
          <w:szCs w:val="26"/>
          <w:rtl/>
        </w:rPr>
        <w:t>16 חודשי מאסר</w:t>
      </w:r>
      <w:r>
        <w:rPr>
          <w:sz w:val="26"/>
          <w:szCs w:val="26"/>
          <w:rtl/>
        </w:rPr>
        <w:t>. גם לגבי מקרה זה ראוי להדגיש כי כמות הסם הייתה נמוכה משמעותית מהמקרה שלפני, ומנגד את מעורבותו של המערער במעשים עוד בשלב קשירת הקשר הראשונית ולאורך תהליך הייבוא כולו.</w:t>
      </w:r>
    </w:p>
    <w:p w14:paraId="000F762C" w14:textId="77777777" w:rsidR="008049B9" w:rsidRDefault="008049B9" w:rsidP="008049B9">
      <w:pPr>
        <w:spacing w:line="360" w:lineRule="auto"/>
        <w:jc w:val="both"/>
        <w:rPr>
          <w:sz w:val="26"/>
          <w:szCs w:val="26"/>
          <w:rtl/>
        </w:rPr>
      </w:pPr>
    </w:p>
    <w:p w14:paraId="6C352988" w14:textId="77777777" w:rsidR="008049B9" w:rsidRDefault="008049B9" w:rsidP="008049B9">
      <w:pPr>
        <w:spacing w:line="360" w:lineRule="auto"/>
        <w:jc w:val="both"/>
        <w:rPr>
          <w:sz w:val="26"/>
          <w:szCs w:val="26"/>
          <w:rtl/>
        </w:rPr>
      </w:pPr>
      <w:r>
        <w:rPr>
          <w:sz w:val="26"/>
          <w:szCs w:val="26"/>
          <w:rtl/>
        </w:rPr>
        <w:t>שני הצדדים הפנו גם ל</w:t>
      </w:r>
      <w:hyperlink r:id="rId22" w:history="1">
        <w:r w:rsidR="0004368D" w:rsidRPr="0004368D">
          <w:rPr>
            <w:color w:val="0000FF"/>
            <w:sz w:val="26"/>
            <w:szCs w:val="26"/>
            <w:u w:val="single"/>
            <w:rtl/>
          </w:rPr>
          <w:t>ת"פ (מרכז) 25859-10-19</w:t>
        </w:r>
      </w:hyperlink>
      <w:r>
        <w:rPr>
          <w:sz w:val="26"/>
          <w:szCs w:val="26"/>
          <w:rtl/>
        </w:rPr>
        <w:t xml:space="preserve"> </w:t>
      </w:r>
      <w:r>
        <w:rPr>
          <w:b/>
          <w:bCs/>
          <w:sz w:val="26"/>
          <w:szCs w:val="26"/>
          <w:rtl/>
        </w:rPr>
        <w:t>מ"י נ' מרזוקי</w:t>
      </w:r>
      <w:r>
        <w:rPr>
          <w:sz w:val="26"/>
          <w:szCs w:val="26"/>
          <w:rtl/>
        </w:rPr>
        <w:t xml:space="preserve"> (14.10.21) (להלן: "</w:t>
      </w:r>
      <w:r>
        <w:rPr>
          <w:b/>
          <w:bCs/>
          <w:sz w:val="26"/>
          <w:szCs w:val="26"/>
          <w:rtl/>
        </w:rPr>
        <w:t>עניין מרזוקי</w:t>
      </w:r>
      <w:r>
        <w:rPr>
          <w:sz w:val="26"/>
          <w:szCs w:val="26"/>
          <w:rtl/>
        </w:rPr>
        <w:t xml:space="preserve">"), וביקשו להסתמך עליו ועל הפסיקה המאוזכרת בו. באותו מקרה הורשע הנאשם, על פי הודאתו, בעבירות של יבוא סם מסוכן ושיבוש מהלכי משפט. הנאשם הציע לאחר לייבא סם מסוג מתאמפטאמין מתאילנד תמורת תשלום. האחר הביא את הסם במשקל של </w:t>
      </w:r>
      <w:r>
        <w:rPr>
          <w:b/>
          <w:bCs/>
          <w:sz w:val="26"/>
          <w:szCs w:val="26"/>
          <w:rtl/>
        </w:rPr>
        <w:t xml:space="preserve">כ-2.9 ק"ג </w:t>
      </w:r>
      <w:r>
        <w:rPr>
          <w:sz w:val="26"/>
          <w:szCs w:val="26"/>
          <w:rtl/>
        </w:rPr>
        <w:t xml:space="preserve">ונעצר בביקורת במכס, כאשר הנאשם עמד עמו בקשר לאורך כל נסיעתו ואף היה אמור לאסוף אותו מנתב"ג. בנוסף, על רקע עיסוקו במתן שרותי תרגום למשטרת ישראל, הוזמן הנאשם לשמש כמתורגמן לשפה התאית בחקירתו של האחר. הנאשם נכח במספר חקירות ודיונים של האחר כאשר הוא מסתיר את מעורבותו במקרה ונחשף לחומרים בתיק. בית המשפט קבע </w:t>
      </w:r>
      <w:r>
        <w:rPr>
          <w:b/>
          <w:bCs/>
          <w:sz w:val="26"/>
          <w:szCs w:val="26"/>
          <w:rtl/>
        </w:rPr>
        <w:t xml:space="preserve">מתחם ענישה הנע בין 28 ל-40 חודשי מאסר </w:t>
      </w:r>
      <w:r>
        <w:rPr>
          <w:sz w:val="26"/>
          <w:szCs w:val="26"/>
          <w:rtl/>
        </w:rPr>
        <w:t xml:space="preserve">והשית על הנאשם, נעדר עבר פלילי, </w:t>
      </w:r>
      <w:r>
        <w:rPr>
          <w:b/>
          <w:bCs/>
          <w:sz w:val="26"/>
          <w:szCs w:val="26"/>
          <w:rtl/>
        </w:rPr>
        <w:t>28 חודשים</w:t>
      </w:r>
      <w:r>
        <w:rPr>
          <w:sz w:val="26"/>
          <w:szCs w:val="26"/>
          <w:rtl/>
        </w:rPr>
        <w:t>. ראוי להדגיש כי ערעור שהוגש על חומרת העונש (</w:t>
      </w:r>
      <w:hyperlink r:id="rId23" w:history="1">
        <w:r w:rsidR="0004368D" w:rsidRPr="0004368D">
          <w:rPr>
            <w:color w:val="0000FF"/>
            <w:sz w:val="26"/>
            <w:szCs w:val="26"/>
            <w:u w:val="single"/>
            <w:rtl/>
          </w:rPr>
          <w:t>ע"פ 7757/21</w:t>
        </w:r>
      </w:hyperlink>
      <w:r>
        <w:rPr>
          <w:sz w:val="26"/>
          <w:szCs w:val="26"/>
          <w:rtl/>
        </w:rPr>
        <w:t xml:space="preserve">) טרם נדון, ועל כן אין מדובר בענישה חלוטה. בנוסף, על אף שכמות הסם דומה לענייננו, אין חולק כי מעשיו של מרזוקי, הן בהיבט של המעורבות בייבוא והן בהיבט השיבוש, חמורים יותר מאלו של הנאשם שלפני. להשלמת התמונה אציין כי על האחר </w:t>
      </w:r>
      <w:r>
        <w:rPr>
          <w:b/>
          <w:bCs/>
          <w:sz w:val="26"/>
          <w:szCs w:val="26"/>
          <w:rtl/>
        </w:rPr>
        <w:t>בעניין מרזוקי</w:t>
      </w:r>
      <w:r>
        <w:rPr>
          <w:sz w:val="26"/>
          <w:szCs w:val="26"/>
          <w:rtl/>
        </w:rPr>
        <w:t xml:space="preserve">, אותו נתין זר ששימש כבלדר, והביא בפועל את הסם ארצה, הוטלו בהסכמה </w:t>
      </w:r>
      <w:r>
        <w:rPr>
          <w:b/>
          <w:bCs/>
          <w:sz w:val="26"/>
          <w:szCs w:val="26"/>
          <w:rtl/>
        </w:rPr>
        <w:t>26 חודשי</w:t>
      </w:r>
      <w:r>
        <w:rPr>
          <w:sz w:val="26"/>
          <w:szCs w:val="26"/>
          <w:rtl/>
        </w:rPr>
        <w:t xml:space="preserve"> </w:t>
      </w:r>
      <w:r>
        <w:rPr>
          <w:b/>
          <w:bCs/>
          <w:sz w:val="26"/>
          <w:szCs w:val="26"/>
          <w:rtl/>
        </w:rPr>
        <w:t>מאסר בפועל</w:t>
      </w:r>
      <w:r>
        <w:rPr>
          <w:sz w:val="26"/>
          <w:szCs w:val="26"/>
          <w:rtl/>
        </w:rPr>
        <w:t>, לאחר שהודה והורשע בעבירה של ייבוא סם, הכול כאמור ב</w:t>
      </w:r>
      <w:hyperlink r:id="rId24" w:history="1">
        <w:r w:rsidR="0004368D" w:rsidRPr="0004368D">
          <w:rPr>
            <w:color w:val="0000FF"/>
            <w:sz w:val="26"/>
            <w:szCs w:val="26"/>
            <w:u w:val="single"/>
            <w:rtl/>
          </w:rPr>
          <w:t>ת"פ (מרכז) 25840-10-19</w:t>
        </w:r>
      </w:hyperlink>
      <w:r>
        <w:rPr>
          <w:sz w:val="26"/>
          <w:szCs w:val="26"/>
          <w:rtl/>
        </w:rPr>
        <w:t xml:space="preserve"> </w:t>
      </w:r>
      <w:r>
        <w:rPr>
          <w:b/>
          <w:bCs/>
          <w:sz w:val="26"/>
          <w:szCs w:val="26"/>
          <w:rtl/>
        </w:rPr>
        <w:t>מ"י נ' סורינטה</w:t>
      </w:r>
      <w:r>
        <w:rPr>
          <w:sz w:val="26"/>
          <w:szCs w:val="26"/>
          <w:rtl/>
        </w:rPr>
        <w:t xml:space="preserve"> (8.9.20), </w:t>
      </w:r>
    </w:p>
    <w:p w14:paraId="4E874569" w14:textId="77777777" w:rsidR="008049B9" w:rsidRDefault="0004368D" w:rsidP="008049B9">
      <w:pPr>
        <w:spacing w:line="360" w:lineRule="auto"/>
        <w:jc w:val="both"/>
        <w:rPr>
          <w:sz w:val="26"/>
          <w:szCs w:val="26"/>
        </w:rPr>
      </w:pPr>
      <w:r>
        <w:rPr>
          <w:b/>
          <w:bCs/>
          <w:sz w:val="26"/>
          <w:szCs w:val="26"/>
          <w:rtl/>
        </w:rPr>
        <w:t xml:space="preserve"> </w:t>
      </w:r>
    </w:p>
    <w:p w14:paraId="367EB020" w14:textId="77777777" w:rsidR="008049B9" w:rsidRDefault="008049B9" w:rsidP="008049B9">
      <w:pPr>
        <w:spacing w:line="360" w:lineRule="auto"/>
        <w:jc w:val="both"/>
        <w:rPr>
          <w:sz w:val="26"/>
          <w:szCs w:val="26"/>
          <w:rtl/>
        </w:rPr>
      </w:pPr>
      <w:r>
        <w:rPr>
          <w:rFonts w:ascii="David" w:hAnsi="David"/>
          <w:sz w:val="26"/>
          <w:szCs w:val="26"/>
          <w:shd w:val="clear" w:color="auto" w:fill="FFFFFF"/>
          <w:rtl/>
        </w:rPr>
        <w:t>עוד הפנה כל אחד מהצדדים לפסיקה של בתי המשפט המחוזיים. התביעה הפנתה ל</w:t>
      </w:r>
      <w:hyperlink r:id="rId25" w:history="1">
        <w:r w:rsidR="0004368D" w:rsidRPr="0004368D">
          <w:rPr>
            <w:rFonts w:ascii="David" w:hAnsi="David"/>
            <w:color w:val="0000FF"/>
            <w:sz w:val="26"/>
            <w:szCs w:val="26"/>
            <w:u w:val="single"/>
            <w:shd w:val="clear" w:color="auto" w:fill="FFFFFF"/>
            <w:rtl/>
          </w:rPr>
          <w:t>ת"פ (ב"ש) 27948-05-11</w:t>
        </w:r>
      </w:hyperlink>
      <w:r w:rsidR="0004368D">
        <w:rPr>
          <w:rFonts w:ascii="David" w:hAnsi="David"/>
          <w:b/>
          <w:bCs/>
          <w:sz w:val="26"/>
          <w:szCs w:val="26"/>
          <w:shd w:val="clear" w:color="auto" w:fill="FFFFFF"/>
        </w:rPr>
        <w:t xml:space="preserve"> </w:t>
      </w:r>
      <w:r>
        <w:rPr>
          <w:rFonts w:ascii="David" w:hAnsi="David"/>
          <w:b/>
          <w:bCs/>
          <w:color w:val="000000"/>
          <w:sz w:val="26"/>
          <w:szCs w:val="26"/>
          <w:shd w:val="clear" w:color="auto" w:fill="FFFFFF"/>
          <w:rtl/>
        </w:rPr>
        <w:t>מ"י נ' לונג</w:t>
      </w:r>
      <w:r>
        <w:rPr>
          <w:rFonts w:ascii="David" w:hAnsi="David"/>
          <w:color w:val="000000"/>
          <w:sz w:val="26"/>
          <w:szCs w:val="26"/>
          <w:shd w:val="clear" w:color="auto" w:fill="FFFFFF"/>
        </w:rPr>
        <w:t xml:space="preserve"> </w:t>
      </w:r>
      <w:r>
        <w:rPr>
          <w:rFonts w:ascii="David" w:hAnsi="David"/>
          <w:color w:val="000000"/>
          <w:sz w:val="26"/>
          <w:szCs w:val="26"/>
          <w:shd w:val="clear" w:color="auto" w:fill="FFFFFF"/>
          <w:rtl/>
        </w:rPr>
        <w:t xml:space="preserve">(2.12.12), שם הורשע הנאשם, אזרח תאילנד שעבד בישראל, בקשירת קשר לפשע ובייבוא של </w:t>
      </w:r>
      <w:r>
        <w:rPr>
          <w:rFonts w:ascii="David" w:hAnsi="David"/>
          <w:b/>
          <w:bCs/>
          <w:color w:val="000000"/>
          <w:sz w:val="26"/>
          <w:szCs w:val="26"/>
          <w:shd w:val="clear" w:color="auto" w:fill="FFFFFF"/>
          <w:rtl/>
        </w:rPr>
        <w:t>991 טבליות</w:t>
      </w:r>
      <w:r>
        <w:rPr>
          <w:rFonts w:ascii="David" w:hAnsi="David"/>
          <w:color w:val="000000"/>
          <w:sz w:val="26"/>
          <w:szCs w:val="26"/>
          <w:shd w:val="clear" w:color="auto" w:fill="FFFFFF"/>
          <w:rtl/>
        </w:rPr>
        <w:t xml:space="preserve"> של סם מסוג מתאמפטאמין, מתאילנד לישראל באמצעות הדואר. נקבע </w:t>
      </w:r>
      <w:r>
        <w:rPr>
          <w:rFonts w:ascii="David" w:hAnsi="David"/>
          <w:b/>
          <w:bCs/>
          <w:color w:val="000000"/>
          <w:sz w:val="26"/>
          <w:szCs w:val="26"/>
          <w:shd w:val="clear" w:color="auto" w:fill="FFFFFF"/>
          <w:rtl/>
        </w:rPr>
        <w:t>מתחם ענישה הנע בין 24 ל-36 חודשי מאסר</w:t>
      </w:r>
      <w:r>
        <w:rPr>
          <w:rFonts w:ascii="David" w:hAnsi="David"/>
          <w:color w:val="000000"/>
          <w:sz w:val="26"/>
          <w:szCs w:val="26"/>
          <w:shd w:val="clear" w:color="auto" w:fill="FFFFFF"/>
          <w:rtl/>
        </w:rPr>
        <w:t xml:space="preserve"> בפועל והושת עונש של </w:t>
      </w:r>
      <w:r>
        <w:rPr>
          <w:rFonts w:ascii="David" w:hAnsi="David"/>
          <w:b/>
          <w:bCs/>
          <w:color w:val="000000"/>
          <w:sz w:val="26"/>
          <w:szCs w:val="26"/>
          <w:shd w:val="clear" w:color="auto" w:fill="FFFFFF"/>
          <w:rtl/>
        </w:rPr>
        <w:t>30 חודשי מאסר</w:t>
      </w:r>
      <w:r>
        <w:rPr>
          <w:rFonts w:ascii="David" w:hAnsi="David"/>
          <w:color w:val="000000"/>
          <w:sz w:val="26"/>
          <w:szCs w:val="26"/>
          <w:shd w:val="clear" w:color="auto" w:fill="FFFFFF"/>
          <w:rtl/>
        </w:rPr>
        <w:t xml:space="preserve"> בפועל</w:t>
      </w:r>
      <w:r>
        <w:rPr>
          <w:rFonts w:ascii="David" w:hAnsi="David"/>
          <w:color w:val="000000"/>
          <w:sz w:val="26"/>
          <w:szCs w:val="26"/>
          <w:shd w:val="clear" w:color="auto" w:fill="FFFFFF"/>
        </w:rPr>
        <w:t>.</w:t>
      </w:r>
      <w:r>
        <w:rPr>
          <w:sz w:val="26"/>
          <w:szCs w:val="26"/>
          <w:rtl/>
        </w:rPr>
        <w:t xml:space="preserve"> עוד הפנתה המאשימה ל</w:t>
      </w:r>
      <w:hyperlink r:id="rId26" w:history="1">
        <w:r w:rsidR="0004368D" w:rsidRPr="0004368D">
          <w:rPr>
            <w:color w:val="0000FF"/>
            <w:sz w:val="26"/>
            <w:szCs w:val="26"/>
            <w:u w:val="single"/>
            <w:rtl/>
          </w:rPr>
          <w:t>ת"פ (ב"ש) 6008-12-16</w:t>
        </w:r>
      </w:hyperlink>
      <w:r>
        <w:rPr>
          <w:sz w:val="26"/>
          <w:szCs w:val="26"/>
          <w:rtl/>
        </w:rPr>
        <w:t xml:space="preserve"> </w:t>
      </w:r>
      <w:r>
        <w:rPr>
          <w:b/>
          <w:bCs/>
          <w:sz w:val="26"/>
          <w:szCs w:val="26"/>
          <w:rtl/>
        </w:rPr>
        <w:t xml:space="preserve">מ"י נ' </w:t>
      </w:r>
      <w:r>
        <w:rPr>
          <w:b/>
          <w:bCs/>
          <w:sz w:val="26"/>
          <w:szCs w:val="26"/>
        </w:rPr>
        <w:t>SATSANA</w:t>
      </w:r>
      <w:r>
        <w:rPr>
          <w:sz w:val="26"/>
          <w:szCs w:val="26"/>
          <w:rtl/>
        </w:rPr>
        <w:t xml:space="preserve"> (25.5.17), שם גזר בית המשפט על נתין זר, ללא עבר פלילי, שהורשע בהחזקת 126 גרם </w:t>
      </w:r>
      <w:r>
        <w:rPr>
          <w:rFonts w:ascii="David" w:hAnsi="David"/>
          <w:color w:val="000000"/>
          <w:sz w:val="26"/>
          <w:szCs w:val="26"/>
          <w:shd w:val="clear" w:color="auto" w:fill="FFFFFF"/>
          <w:rtl/>
        </w:rPr>
        <w:t xml:space="preserve">מתאמפטאמין ובתיווך בסחר ב-10 גרם סם מאותו סוג, עונש של </w:t>
      </w:r>
      <w:r>
        <w:rPr>
          <w:rFonts w:ascii="David" w:hAnsi="David"/>
          <w:b/>
          <w:bCs/>
          <w:color w:val="000000"/>
          <w:sz w:val="26"/>
          <w:szCs w:val="26"/>
          <w:shd w:val="clear" w:color="auto" w:fill="FFFFFF"/>
          <w:rtl/>
        </w:rPr>
        <w:t>30 חודשי מאסר</w:t>
      </w:r>
      <w:r>
        <w:rPr>
          <w:rFonts w:ascii="David" w:hAnsi="David"/>
          <w:color w:val="000000"/>
          <w:sz w:val="26"/>
          <w:szCs w:val="26"/>
          <w:shd w:val="clear" w:color="auto" w:fill="FFFFFF"/>
          <w:rtl/>
        </w:rPr>
        <w:t xml:space="preserve"> בפועל.</w:t>
      </w:r>
      <w:r>
        <w:rPr>
          <w:sz w:val="26"/>
          <w:szCs w:val="26"/>
          <w:rtl/>
        </w:rPr>
        <w:t xml:space="preserve"> ההגנה הפנתה ל</w:t>
      </w:r>
      <w:hyperlink r:id="rId27" w:history="1">
        <w:r w:rsidR="0004368D" w:rsidRPr="0004368D">
          <w:rPr>
            <w:color w:val="0000FF"/>
            <w:sz w:val="26"/>
            <w:szCs w:val="26"/>
            <w:u w:val="single"/>
            <w:rtl/>
          </w:rPr>
          <w:t>ת"פ (ת"א) 39924-02-16</w:t>
        </w:r>
      </w:hyperlink>
      <w:r w:rsidR="0004368D">
        <w:rPr>
          <w:sz w:val="26"/>
          <w:szCs w:val="26"/>
        </w:rPr>
        <w:t xml:space="preserve"> </w:t>
      </w:r>
      <w:r>
        <w:rPr>
          <w:b/>
          <w:bCs/>
          <w:sz w:val="26"/>
          <w:szCs w:val="26"/>
          <w:rtl/>
        </w:rPr>
        <w:t>מ"י נ'</w:t>
      </w:r>
      <w:r>
        <w:rPr>
          <w:rFonts w:hint="cs"/>
          <w:b/>
          <w:bCs/>
          <w:sz w:val="26"/>
          <w:szCs w:val="26"/>
        </w:rPr>
        <w:t xml:space="preserve"> </w:t>
      </w:r>
      <w:r>
        <w:rPr>
          <w:rFonts w:ascii="David" w:hAnsi="David"/>
          <w:b/>
          <w:bCs/>
          <w:sz w:val="26"/>
          <w:szCs w:val="26"/>
        </w:rPr>
        <w:t>ANOG</w:t>
      </w:r>
      <w:r w:rsidR="0004368D">
        <w:rPr>
          <w:sz w:val="26"/>
          <w:szCs w:val="26"/>
        </w:rPr>
        <w:t xml:space="preserve"> </w:t>
      </w:r>
      <w:r>
        <w:rPr>
          <w:sz w:val="26"/>
          <w:szCs w:val="26"/>
          <w:rtl/>
        </w:rPr>
        <w:t xml:space="preserve">(9.8.16), בו הורשעה נאשמת, על פי הודאתה, בקשירת קשר לפשע, ייבוא סם ושהייה בלתי חוקית. הנאשמת, אזרחית הפיליפינים, קשרה קשר עם אחרים לייבא מהפיליפינים סם מסוכן, ייבאה סם מסוג מתאמפטאמין במשקל של </w:t>
      </w:r>
      <w:r>
        <w:rPr>
          <w:b/>
          <w:bCs/>
          <w:sz w:val="26"/>
          <w:szCs w:val="26"/>
          <w:rtl/>
        </w:rPr>
        <w:t>116 גרם</w:t>
      </w:r>
      <w:r>
        <w:rPr>
          <w:sz w:val="26"/>
          <w:szCs w:val="26"/>
          <w:rtl/>
        </w:rPr>
        <w:t xml:space="preserve"> </w:t>
      </w:r>
      <w:r>
        <w:rPr>
          <w:b/>
          <w:bCs/>
          <w:sz w:val="26"/>
          <w:szCs w:val="26"/>
          <w:rtl/>
        </w:rPr>
        <w:t>וב-6 הזדמנויות נוספות</w:t>
      </w:r>
      <w:r>
        <w:rPr>
          <w:sz w:val="26"/>
          <w:szCs w:val="26"/>
          <w:rtl/>
        </w:rPr>
        <w:t xml:space="preserve"> ייבאה באמצעות הדואר סם מסוג ובכמות בלתי ידועים. בית המשפט המחוזי קבע </w:t>
      </w:r>
      <w:r>
        <w:rPr>
          <w:b/>
          <w:bCs/>
          <w:sz w:val="26"/>
          <w:szCs w:val="26"/>
          <w:rtl/>
        </w:rPr>
        <w:t>מתחם ענישה הנע בין 12 ל-40 חודשי</w:t>
      </w:r>
      <w:r>
        <w:rPr>
          <w:sz w:val="26"/>
          <w:szCs w:val="26"/>
          <w:rtl/>
        </w:rPr>
        <w:t xml:space="preserve"> </w:t>
      </w:r>
      <w:r>
        <w:rPr>
          <w:b/>
          <w:bCs/>
          <w:sz w:val="26"/>
          <w:szCs w:val="26"/>
          <w:rtl/>
        </w:rPr>
        <w:t>מאסר</w:t>
      </w:r>
      <w:r>
        <w:rPr>
          <w:sz w:val="26"/>
          <w:szCs w:val="26"/>
          <w:rtl/>
        </w:rPr>
        <w:t xml:space="preserve"> בפועל, וגזר על הנאשמת, ללא עבר פלילי, </w:t>
      </w:r>
      <w:r>
        <w:rPr>
          <w:b/>
          <w:bCs/>
          <w:sz w:val="26"/>
          <w:szCs w:val="26"/>
          <w:rtl/>
        </w:rPr>
        <w:t>18 חודשי</w:t>
      </w:r>
      <w:r>
        <w:rPr>
          <w:sz w:val="26"/>
          <w:szCs w:val="26"/>
          <w:rtl/>
        </w:rPr>
        <w:t xml:space="preserve"> </w:t>
      </w:r>
      <w:r>
        <w:rPr>
          <w:b/>
          <w:bCs/>
          <w:sz w:val="26"/>
          <w:szCs w:val="26"/>
          <w:rtl/>
        </w:rPr>
        <w:t>מאסר</w:t>
      </w:r>
      <w:r>
        <w:rPr>
          <w:sz w:val="26"/>
          <w:szCs w:val="26"/>
        </w:rPr>
        <w:t>.</w:t>
      </w:r>
    </w:p>
    <w:p w14:paraId="35379371" w14:textId="77777777" w:rsidR="008049B9" w:rsidRDefault="008049B9" w:rsidP="008049B9">
      <w:pPr>
        <w:spacing w:line="360" w:lineRule="auto"/>
        <w:jc w:val="both"/>
        <w:rPr>
          <w:sz w:val="26"/>
          <w:szCs w:val="26"/>
          <w:rtl/>
        </w:rPr>
      </w:pPr>
    </w:p>
    <w:p w14:paraId="30202B65" w14:textId="77777777" w:rsidR="008049B9" w:rsidRDefault="008049B9" w:rsidP="008049B9">
      <w:pPr>
        <w:spacing w:line="360" w:lineRule="auto"/>
        <w:jc w:val="both"/>
        <w:rPr>
          <w:sz w:val="26"/>
          <w:szCs w:val="26"/>
          <w:rtl/>
        </w:rPr>
      </w:pPr>
      <w:r>
        <w:rPr>
          <w:sz w:val="26"/>
          <w:szCs w:val="26"/>
          <w:rtl/>
        </w:rPr>
        <w:t xml:space="preserve">בשים לב לערכים החברתיים החשובים שנפגעו כתוצאה ממעשיו של הנאשם ,לעצמת הפגיעה בערכים אלה, למכלול הנסיבות הקשורות בביצוע העבירה, ולפסיקה הנוהגת, בהתאמות ובשינויים המתחייבים לנוכח טיב העבירה בה הורשע ומעמדו באופרציה העבריינית, אני סבור כי </w:t>
      </w:r>
      <w:r>
        <w:rPr>
          <w:b/>
          <w:bCs/>
          <w:sz w:val="26"/>
          <w:szCs w:val="26"/>
          <w:rtl/>
        </w:rPr>
        <w:t>מתחם העונש ההולם את מעשיו של הנאשם נע בין 16 ל-36 חודשי מאסר בפועל, לצד מאסר על תנאי וקנס כספי משמעותי.</w:t>
      </w:r>
    </w:p>
    <w:p w14:paraId="5D2D9742" w14:textId="77777777" w:rsidR="008049B9" w:rsidRDefault="008049B9" w:rsidP="008049B9">
      <w:pPr>
        <w:spacing w:line="360" w:lineRule="auto"/>
        <w:jc w:val="both"/>
        <w:rPr>
          <w:sz w:val="26"/>
          <w:szCs w:val="26"/>
          <w:rtl/>
        </w:rPr>
      </w:pPr>
    </w:p>
    <w:p w14:paraId="3910A973" w14:textId="77777777" w:rsidR="008049B9" w:rsidRDefault="008049B9" w:rsidP="008049B9">
      <w:pPr>
        <w:spacing w:line="360" w:lineRule="auto"/>
        <w:jc w:val="both"/>
        <w:rPr>
          <w:sz w:val="26"/>
          <w:szCs w:val="26"/>
          <w:rtl/>
        </w:rPr>
      </w:pPr>
      <w:r>
        <w:rPr>
          <w:sz w:val="26"/>
          <w:szCs w:val="26"/>
          <w:rtl/>
        </w:rPr>
        <w:t>משנקבע מתחם העונש ההולם למעשיו של הנאשם יש לאתר את העונש המתאים בגדר המתחם, בהתאם למכלול הנסיבות שאינן קשורות לביצוע העבירה, אלא נוגעות יותר לנאשם עצמו, לעברו ולדפוסיו. בתוך כך יש לקחת בחשבון לקולה את העובדה כי מדובר בבחור צעיר כבן 27, אשר הודה בעובדות כתב האישום המתוקן, לקח אחריות וחסך זמן ציבורי יקר. לדברי באת כוחו נסיבותיו האישיות והמשפחתיות אינן פשוטות כלל ועיקר, מצבו הרפואי אינו שפיר וביסוד הסתבכותו הנוכחית עומדת התמכרותו הפעילה לסמים. אבהיר כי בהיעדר תסקיר מטעם שירות המבחן, אשר לא התבקש כלל מטעם ההגנה, ובהעדר אסמכתאות כלשהן בכתובים, יש להתייחס לטענה אחרונה זו בזהירות, אך מכל מקום ניתן לסכם ולומר כי יהיה המניע אשר יהיה, הרי שלא חל בהיבט זה כל שינוי או הליך טיפולי מפחית מסוכנות המצדיק התחשבות, ואילו כוחן של נסיבות אישיות מוגבל כאשר מדובר במעורבות בביצוע עבירות סמים חמורות.</w:t>
      </w:r>
    </w:p>
    <w:p w14:paraId="4F417EE3" w14:textId="77777777" w:rsidR="008049B9" w:rsidRDefault="008049B9" w:rsidP="008049B9">
      <w:pPr>
        <w:spacing w:line="360" w:lineRule="auto"/>
        <w:jc w:val="both"/>
        <w:rPr>
          <w:sz w:val="26"/>
          <w:szCs w:val="26"/>
          <w:rtl/>
        </w:rPr>
      </w:pPr>
    </w:p>
    <w:p w14:paraId="1EADA9B3" w14:textId="77777777" w:rsidR="008049B9" w:rsidRDefault="008049B9" w:rsidP="008049B9">
      <w:pPr>
        <w:spacing w:line="360" w:lineRule="auto"/>
        <w:jc w:val="both"/>
        <w:rPr>
          <w:sz w:val="26"/>
          <w:szCs w:val="26"/>
          <w:rtl/>
        </w:rPr>
      </w:pPr>
    </w:p>
    <w:p w14:paraId="07540CB3" w14:textId="77777777" w:rsidR="008049B9" w:rsidRDefault="008049B9" w:rsidP="008049B9">
      <w:pPr>
        <w:spacing w:line="360" w:lineRule="auto"/>
        <w:jc w:val="both"/>
        <w:rPr>
          <w:sz w:val="26"/>
          <w:szCs w:val="26"/>
          <w:rtl/>
        </w:rPr>
      </w:pPr>
      <w:r>
        <w:rPr>
          <w:sz w:val="26"/>
          <w:szCs w:val="26"/>
          <w:rtl/>
        </w:rPr>
        <w:t xml:space="preserve">בצד המחמיר, אין מנוס מלהזכיר את עברו הפלילי של הנאשם, אשר על אף גילו הצעיר כבר צבר לחובתו בעשור האחרון 8 הרשעות קודמות במגוון עבירות אלימות וסמים, ואף נשא בשל כך מספר תקופות מאסר קצרות מאחורי סורג ובריח. מאסרים מותנים שהוטלו עליו בעבר לא הרתיעו אותו מפני ביצוע עבירות דומות, וגם הפעם תלוי ועומד לחובתו מאסר מותנה בן 12 חודשים, מגזר דין שניתן במאי 2019 ובו הורשע, בין היתר, בעבירה של סחר בסמים. </w:t>
      </w:r>
    </w:p>
    <w:p w14:paraId="3E77EC3F" w14:textId="77777777" w:rsidR="008049B9" w:rsidRDefault="008049B9" w:rsidP="008049B9">
      <w:pPr>
        <w:spacing w:line="360" w:lineRule="auto"/>
        <w:jc w:val="both"/>
        <w:rPr>
          <w:sz w:val="26"/>
          <w:szCs w:val="26"/>
          <w:rtl/>
        </w:rPr>
      </w:pPr>
    </w:p>
    <w:p w14:paraId="19AEEFBA" w14:textId="77777777" w:rsidR="008049B9" w:rsidRDefault="008049B9" w:rsidP="008049B9">
      <w:pPr>
        <w:spacing w:line="360" w:lineRule="auto"/>
        <w:jc w:val="both"/>
        <w:rPr>
          <w:sz w:val="26"/>
          <w:szCs w:val="26"/>
          <w:rtl/>
        </w:rPr>
      </w:pPr>
    </w:p>
    <w:p w14:paraId="672F66F1" w14:textId="77777777" w:rsidR="008049B9" w:rsidRDefault="008049B9" w:rsidP="008049B9">
      <w:pPr>
        <w:spacing w:line="360" w:lineRule="auto"/>
        <w:jc w:val="both"/>
        <w:rPr>
          <w:sz w:val="26"/>
          <w:szCs w:val="26"/>
          <w:rtl/>
        </w:rPr>
      </w:pPr>
      <w:r>
        <w:rPr>
          <w:sz w:val="26"/>
          <w:szCs w:val="26"/>
          <w:rtl/>
        </w:rPr>
        <w:t>בשים לב לנתונים אלה, כמו גם לצרכי ההרתעה ולהעדרו של אופק טיפולי מפחית מסוכנות, ראוי יהיה למקם את עונשו של הנאשם קרוב יותר למרכז המתחם מאשר לתחתיתו. כמו כן, למעט ההודאה ונטילת האחריות לא מצאתי הצדקה של ממש לסטות מהכלל לפיו יופעל מאסר מותנה, ככלל, באופן מצטבר לעונש שהושת, ואם בכל זאת מצאתי לחפוף חלק מסוים מהתנאי שיופעל, הרי זה מתוך התקווה כי זו הפעם ינצל הנאשם את תקופת המאסר הממושכת על מנת לעבור הליך טיפולי ולשנות מדרכיו. בהיבט הכספי, אין מנוס מהשתת קנס בעבירות מעין אלה, שהמוטיבציה הכלכלית טבועה בהם, אך הקנס יהיה מתון באופן יחסי בשים לב לטענות שנשמעו בדבר מצבו הכלכלי של הנאשם ולנוכח תקופת המאסר הממשית בה יישא.</w:t>
      </w:r>
    </w:p>
    <w:p w14:paraId="208D2A7B" w14:textId="77777777" w:rsidR="008049B9" w:rsidRDefault="008049B9" w:rsidP="008049B9">
      <w:pPr>
        <w:spacing w:line="360" w:lineRule="auto"/>
        <w:jc w:val="both"/>
        <w:rPr>
          <w:sz w:val="26"/>
          <w:szCs w:val="26"/>
          <w:rtl/>
        </w:rPr>
      </w:pPr>
    </w:p>
    <w:p w14:paraId="62A37EFB" w14:textId="77777777" w:rsidR="008049B9" w:rsidRDefault="008049B9" w:rsidP="008049B9">
      <w:pPr>
        <w:spacing w:line="360" w:lineRule="auto"/>
        <w:jc w:val="both"/>
        <w:rPr>
          <w:sz w:val="26"/>
          <w:szCs w:val="26"/>
          <w:rtl/>
        </w:rPr>
      </w:pPr>
    </w:p>
    <w:p w14:paraId="354B5C45" w14:textId="77777777" w:rsidR="008049B9" w:rsidRDefault="008049B9" w:rsidP="008049B9">
      <w:pPr>
        <w:spacing w:line="360" w:lineRule="auto"/>
        <w:jc w:val="both"/>
        <w:rPr>
          <w:sz w:val="26"/>
          <w:szCs w:val="26"/>
          <w:rtl/>
        </w:rPr>
      </w:pPr>
    </w:p>
    <w:p w14:paraId="271F8AED" w14:textId="77777777" w:rsidR="008049B9" w:rsidRDefault="008049B9" w:rsidP="008049B9">
      <w:pPr>
        <w:spacing w:line="360" w:lineRule="auto"/>
        <w:jc w:val="both"/>
        <w:rPr>
          <w:sz w:val="26"/>
          <w:szCs w:val="26"/>
          <w:rtl/>
        </w:rPr>
      </w:pPr>
    </w:p>
    <w:p w14:paraId="002160FF" w14:textId="77777777" w:rsidR="008049B9" w:rsidRDefault="008049B9" w:rsidP="008049B9">
      <w:pPr>
        <w:spacing w:line="360" w:lineRule="auto"/>
        <w:jc w:val="both"/>
        <w:rPr>
          <w:sz w:val="26"/>
          <w:szCs w:val="26"/>
          <w:rtl/>
        </w:rPr>
      </w:pPr>
    </w:p>
    <w:p w14:paraId="1B92C146" w14:textId="77777777" w:rsidR="008049B9" w:rsidRDefault="008049B9" w:rsidP="008049B9">
      <w:pPr>
        <w:spacing w:line="360" w:lineRule="auto"/>
        <w:jc w:val="both"/>
        <w:rPr>
          <w:b/>
          <w:bCs/>
          <w:sz w:val="26"/>
          <w:szCs w:val="26"/>
          <w:u w:val="single"/>
          <w:rtl/>
        </w:rPr>
      </w:pPr>
      <w:r>
        <w:rPr>
          <w:b/>
          <w:bCs/>
          <w:sz w:val="26"/>
          <w:szCs w:val="26"/>
          <w:u w:val="single"/>
          <w:rtl/>
        </w:rPr>
        <w:t>לאור כל האמור לעיל אני גוזר על הנאשם את העונשים הבאים:</w:t>
      </w:r>
    </w:p>
    <w:p w14:paraId="680D5B77" w14:textId="77777777" w:rsidR="008049B9" w:rsidRDefault="008049B9" w:rsidP="008049B9">
      <w:pPr>
        <w:spacing w:line="360" w:lineRule="auto"/>
        <w:jc w:val="both"/>
        <w:rPr>
          <w:b/>
          <w:bCs/>
          <w:sz w:val="26"/>
          <w:szCs w:val="26"/>
          <w:u w:val="single"/>
          <w:rtl/>
        </w:rPr>
      </w:pPr>
    </w:p>
    <w:p w14:paraId="637AE5EE" w14:textId="77777777" w:rsidR="008049B9" w:rsidRDefault="008049B9" w:rsidP="008049B9">
      <w:pPr>
        <w:pStyle w:val="a9"/>
        <w:numPr>
          <w:ilvl w:val="0"/>
          <w:numId w:val="1"/>
        </w:numPr>
        <w:spacing w:after="0" w:line="360" w:lineRule="auto"/>
        <w:jc w:val="both"/>
        <w:rPr>
          <w:rFonts w:cs="David"/>
          <w:sz w:val="26"/>
          <w:szCs w:val="26"/>
          <w:rtl/>
        </w:rPr>
      </w:pPr>
      <w:r>
        <w:rPr>
          <w:rFonts w:cs="David"/>
          <w:sz w:val="26"/>
          <w:szCs w:val="26"/>
          <w:rtl/>
        </w:rPr>
        <w:t xml:space="preserve"> 22 חודשי מאסר בפועל.</w:t>
      </w:r>
    </w:p>
    <w:p w14:paraId="7CD3C568" w14:textId="77777777" w:rsidR="008049B9" w:rsidRDefault="008049B9" w:rsidP="008049B9">
      <w:pPr>
        <w:pStyle w:val="a9"/>
        <w:spacing w:after="0" w:line="360" w:lineRule="auto"/>
        <w:jc w:val="both"/>
        <w:rPr>
          <w:rFonts w:cs="David"/>
          <w:sz w:val="26"/>
          <w:szCs w:val="26"/>
        </w:rPr>
      </w:pPr>
    </w:p>
    <w:p w14:paraId="634920D6" w14:textId="77777777" w:rsidR="008049B9" w:rsidRDefault="008049B9" w:rsidP="008049B9">
      <w:pPr>
        <w:pStyle w:val="a9"/>
        <w:numPr>
          <w:ilvl w:val="0"/>
          <w:numId w:val="1"/>
        </w:numPr>
        <w:spacing w:after="0" w:line="360" w:lineRule="auto"/>
        <w:jc w:val="both"/>
        <w:rPr>
          <w:rFonts w:cs="David"/>
          <w:sz w:val="26"/>
          <w:szCs w:val="26"/>
        </w:rPr>
      </w:pPr>
      <w:r>
        <w:rPr>
          <w:rFonts w:cs="David"/>
          <w:sz w:val="26"/>
          <w:szCs w:val="26"/>
          <w:rtl/>
        </w:rPr>
        <w:t>אני מורה על הפעלת מאסר מותנה בן 12 חודשים שהוטל על הנאשם ב</w:t>
      </w:r>
      <w:hyperlink r:id="rId28" w:history="1">
        <w:r w:rsidR="0004368D" w:rsidRPr="0004368D">
          <w:rPr>
            <w:rFonts w:cs="David" w:hint="cs"/>
            <w:color w:val="0000FF"/>
            <w:sz w:val="26"/>
            <w:szCs w:val="26"/>
            <w:u w:val="single"/>
            <w:rtl/>
          </w:rPr>
          <w:t>ת</w:t>
        </w:r>
        <w:r w:rsidR="0004368D" w:rsidRPr="0004368D">
          <w:rPr>
            <w:rFonts w:cs="David"/>
            <w:color w:val="0000FF"/>
            <w:sz w:val="26"/>
            <w:szCs w:val="26"/>
            <w:u w:val="single"/>
            <w:rtl/>
          </w:rPr>
          <w:t>"</w:t>
        </w:r>
        <w:r w:rsidR="0004368D" w:rsidRPr="0004368D">
          <w:rPr>
            <w:rFonts w:cs="David" w:hint="cs"/>
            <w:color w:val="0000FF"/>
            <w:sz w:val="26"/>
            <w:szCs w:val="26"/>
            <w:u w:val="single"/>
            <w:rtl/>
          </w:rPr>
          <w:t>פ</w:t>
        </w:r>
        <w:r w:rsidR="0004368D" w:rsidRPr="0004368D">
          <w:rPr>
            <w:rFonts w:cs="David"/>
            <w:color w:val="0000FF"/>
            <w:sz w:val="26"/>
            <w:szCs w:val="26"/>
            <w:u w:val="single"/>
            <w:rtl/>
          </w:rPr>
          <w:t xml:space="preserve"> 56000-02-19</w:t>
        </w:r>
      </w:hyperlink>
      <w:r>
        <w:rPr>
          <w:rFonts w:cs="David"/>
          <w:sz w:val="26"/>
          <w:szCs w:val="26"/>
          <w:rtl/>
        </w:rPr>
        <w:t>, חלקו בחופף וחלקו במצטבר, כך שבסך הכול יישא הנאשם 30 חודשי מאסר בפועל מיום המעצר - 22.7.21.</w:t>
      </w:r>
    </w:p>
    <w:p w14:paraId="077DADE7" w14:textId="77777777" w:rsidR="008049B9" w:rsidRDefault="008049B9" w:rsidP="008049B9">
      <w:pPr>
        <w:pStyle w:val="a9"/>
        <w:spacing w:after="0" w:line="360" w:lineRule="auto"/>
        <w:jc w:val="both"/>
        <w:rPr>
          <w:rFonts w:cs="David"/>
          <w:sz w:val="26"/>
          <w:szCs w:val="26"/>
        </w:rPr>
      </w:pPr>
    </w:p>
    <w:p w14:paraId="7B852991" w14:textId="77777777" w:rsidR="008049B9" w:rsidRDefault="008049B9" w:rsidP="008049B9">
      <w:pPr>
        <w:pStyle w:val="a9"/>
        <w:numPr>
          <w:ilvl w:val="0"/>
          <w:numId w:val="1"/>
        </w:numPr>
        <w:spacing w:after="0" w:line="360" w:lineRule="auto"/>
        <w:jc w:val="both"/>
        <w:rPr>
          <w:rFonts w:cs="David"/>
          <w:sz w:val="26"/>
          <w:szCs w:val="26"/>
        </w:rPr>
      </w:pPr>
      <w:r>
        <w:rPr>
          <w:rFonts w:cs="David"/>
          <w:sz w:val="26"/>
          <w:szCs w:val="26"/>
          <w:rtl/>
        </w:rPr>
        <w:t>12 חודשי מאסר על תנאי, והתנאי הוא כי במשך 3 שנים מיום שחרורו מהמאסר לא יעבור הנאשם כל עבירת סמים מסוג פשע.</w:t>
      </w:r>
    </w:p>
    <w:p w14:paraId="3E9897C9" w14:textId="77777777" w:rsidR="008049B9" w:rsidRDefault="008049B9" w:rsidP="008049B9">
      <w:pPr>
        <w:spacing w:line="360" w:lineRule="auto"/>
        <w:jc w:val="both"/>
        <w:rPr>
          <w:sz w:val="26"/>
          <w:szCs w:val="26"/>
        </w:rPr>
      </w:pPr>
    </w:p>
    <w:p w14:paraId="7F03DA73" w14:textId="77777777" w:rsidR="008049B9" w:rsidRDefault="008049B9" w:rsidP="008049B9">
      <w:pPr>
        <w:pStyle w:val="a9"/>
        <w:numPr>
          <w:ilvl w:val="0"/>
          <w:numId w:val="1"/>
        </w:numPr>
        <w:spacing w:after="0" w:line="360" w:lineRule="auto"/>
        <w:jc w:val="both"/>
        <w:rPr>
          <w:rFonts w:cs="David"/>
          <w:sz w:val="26"/>
          <w:szCs w:val="26"/>
        </w:rPr>
      </w:pPr>
      <w:r>
        <w:rPr>
          <w:rFonts w:ascii="David" w:hAnsi="David" w:cs="David"/>
          <w:sz w:val="26"/>
          <w:szCs w:val="26"/>
          <w:rtl/>
        </w:rPr>
        <w:t>6 חודשי מאסר על תנאי, והתנאי הוא כי במשך 3 שנים מיום שחרורו מהמאסר לא יעבור הנאשם כל עבירת סמים מסוג עוון.</w:t>
      </w:r>
    </w:p>
    <w:p w14:paraId="51E06536" w14:textId="77777777" w:rsidR="008049B9" w:rsidRDefault="008049B9" w:rsidP="008049B9">
      <w:pPr>
        <w:spacing w:line="360" w:lineRule="auto"/>
        <w:jc w:val="both"/>
        <w:rPr>
          <w:sz w:val="26"/>
          <w:szCs w:val="26"/>
        </w:rPr>
      </w:pPr>
    </w:p>
    <w:p w14:paraId="2897B723" w14:textId="77777777" w:rsidR="008049B9" w:rsidRDefault="008049B9" w:rsidP="008049B9">
      <w:pPr>
        <w:pStyle w:val="a9"/>
        <w:numPr>
          <w:ilvl w:val="0"/>
          <w:numId w:val="1"/>
        </w:numPr>
        <w:spacing w:after="0" w:line="360" w:lineRule="auto"/>
        <w:jc w:val="both"/>
        <w:rPr>
          <w:rFonts w:cs="David"/>
          <w:sz w:val="26"/>
          <w:szCs w:val="26"/>
        </w:rPr>
      </w:pPr>
      <w:r>
        <w:rPr>
          <w:rFonts w:cs="David"/>
          <w:sz w:val="26"/>
          <w:szCs w:val="26"/>
          <w:rtl/>
        </w:rPr>
        <w:t>קנס בסך 7,500 ₪ או 75 ימי מאסר תמורתו. הקנס ישולם ב-10 תשלומים חודשיים, שווים ורצופים, החל מיום 15.7.22.</w:t>
      </w:r>
    </w:p>
    <w:p w14:paraId="5F59907B" w14:textId="77777777" w:rsidR="008049B9" w:rsidRDefault="008049B9" w:rsidP="008049B9">
      <w:pPr>
        <w:spacing w:line="360" w:lineRule="auto"/>
        <w:jc w:val="both"/>
        <w:rPr>
          <w:rFonts w:ascii="David" w:hAnsi="David"/>
          <w:b/>
          <w:bCs/>
          <w:sz w:val="26"/>
          <w:szCs w:val="26"/>
          <w:u w:val="single"/>
          <w:rtl/>
        </w:rPr>
      </w:pPr>
    </w:p>
    <w:p w14:paraId="0A08A590" w14:textId="77777777" w:rsidR="008049B9" w:rsidRDefault="008049B9" w:rsidP="008049B9">
      <w:pPr>
        <w:spacing w:line="360" w:lineRule="auto"/>
        <w:jc w:val="both"/>
        <w:rPr>
          <w:rFonts w:ascii="David" w:hAnsi="David"/>
          <w:b/>
          <w:bCs/>
          <w:sz w:val="26"/>
          <w:szCs w:val="26"/>
          <w:u w:val="single"/>
          <w:rtl/>
        </w:rPr>
      </w:pPr>
    </w:p>
    <w:p w14:paraId="08C447DA" w14:textId="77777777" w:rsidR="008049B9" w:rsidRDefault="008049B9" w:rsidP="008049B9">
      <w:pPr>
        <w:spacing w:line="360" w:lineRule="auto"/>
        <w:jc w:val="both"/>
        <w:rPr>
          <w:rFonts w:ascii="David" w:hAnsi="David"/>
          <w:b/>
          <w:bCs/>
          <w:sz w:val="26"/>
          <w:szCs w:val="26"/>
          <w:u w:val="single"/>
          <w:rtl/>
        </w:rPr>
      </w:pPr>
      <w:r>
        <w:rPr>
          <w:rFonts w:ascii="David" w:hAnsi="David"/>
          <w:b/>
          <w:bCs/>
          <w:sz w:val="26"/>
          <w:szCs w:val="26"/>
          <w:u w:val="single"/>
          <w:rtl/>
        </w:rPr>
        <w:t>הסמים יושמדו</w:t>
      </w:r>
    </w:p>
    <w:p w14:paraId="6D05350F" w14:textId="77777777" w:rsidR="008049B9" w:rsidRDefault="008049B9" w:rsidP="008049B9">
      <w:pPr>
        <w:spacing w:line="360" w:lineRule="auto"/>
        <w:jc w:val="both"/>
        <w:rPr>
          <w:rFonts w:ascii="David" w:hAnsi="David"/>
          <w:b/>
          <w:bCs/>
          <w:sz w:val="26"/>
          <w:szCs w:val="26"/>
          <w:u w:val="single"/>
          <w:rtl/>
        </w:rPr>
      </w:pPr>
    </w:p>
    <w:p w14:paraId="7BD1697F" w14:textId="77777777" w:rsidR="008049B9" w:rsidRDefault="008049B9" w:rsidP="008049B9">
      <w:pPr>
        <w:spacing w:line="360" w:lineRule="auto"/>
        <w:jc w:val="both"/>
        <w:rPr>
          <w:rFonts w:ascii="David" w:hAnsi="David"/>
          <w:b/>
          <w:bCs/>
          <w:sz w:val="26"/>
          <w:szCs w:val="26"/>
          <w:u w:val="single"/>
          <w:rtl/>
        </w:rPr>
      </w:pPr>
      <w:r>
        <w:rPr>
          <w:rFonts w:ascii="David" w:hAnsi="David"/>
          <w:b/>
          <w:bCs/>
          <w:sz w:val="26"/>
          <w:szCs w:val="26"/>
          <w:u w:val="single"/>
          <w:rtl/>
        </w:rPr>
        <w:t>זכות ערעור בתוך 45 ימים.</w:t>
      </w:r>
    </w:p>
    <w:p w14:paraId="2BC92074" w14:textId="77777777" w:rsidR="008049B9" w:rsidRPr="0004368D" w:rsidRDefault="0004368D" w:rsidP="008049B9">
      <w:pPr>
        <w:rPr>
          <w:rFonts w:ascii="Arial" w:hAnsi="Arial"/>
          <w:b/>
          <w:bCs/>
          <w:color w:val="FFFFFF"/>
          <w:sz w:val="2"/>
          <w:szCs w:val="2"/>
          <w:rtl/>
        </w:rPr>
      </w:pPr>
      <w:r w:rsidRPr="0004368D">
        <w:rPr>
          <w:rFonts w:ascii="Arial" w:hAnsi="Arial"/>
          <w:b/>
          <w:bCs/>
          <w:color w:val="FFFFFF"/>
          <w:sz w:val="2"/>
          <w:szCs w:val="2"/>
          <w:rtl/>
        </w:rPr>
        <w:t>5129371</w:t>
      </w:r>
    </w:p>
    <w:p w14:paraId="5DEECA98" w14:textId="77777777" w:rsidR="008049B9" w:rsidRPr="0004368D" w:rsidRDefault="0004368D" w:rsidP="008049B9">
      <w:pPr>
        <w:rPr>
          <w:rFonts w:ascii="Arial" w:hAnsi="Arial"/>
          <w:b/>
          <w:bCs/>
          <w:color w:val="FFFFFF"/>
          <w:sz w:val="2"/>
          <w:szCs w:val="2"/>
          <w:rtl/>
        </w:rPr>
      </w:pPr>
      <w:r w:rsidRPr="0004368D">
        <w:rPr>
          <w:rFonts w:ascii="Arial" w:hAnsi="Arial"/>
          <w:b/>
          <w:bCs/>
          <w:color w:val="FFFFFF"/>
          <w:sz w:val="2"/>
          <w:szCs w:val="2"/>
          <w:rtl/>
        </w:rPr>
        <w:t>54678313</w:t>
      </w:r>
    </w:p>
    <w:p w14:paraId="2CDF1BDC" w14:textId="77777777" w:rsidR="008049B9" w:rsidRPr="000F2247" w:rsidRDefault="008049B9" w:rsidP="008049B9">
      <w:pPr>
        <w:rPr>
          <w:rFonts w:ascii="Arial" w:hAnsi="Arial"/>
          <w:b/>
          <w:bCs/>
          <w:sz w:val="26"/>
          <w:szCs w:val="26"/>
          <w:rtl/>
        </w:rPr>
      </w:pPr>
    </w:p>
    <w:p w14:paraId="063C9D51" w14:textId="77777777" w:rsidR="008049B9" w:rsidRPr="00AF4BCB" w:rsidRDefault="0004368D" w:rsidP="008049B9">
      <w:pPr>
        <w:rPr>
          <w:rFonts w:ascii="Arial" w:hAnsi="Arial"/>
          <w:b/>
          <w:bCs/>
          <w:sz w:val="26"/>
          <w:szCs w:val="26"/>
          <w:rtl/>
        </w:rPr>
      </w:pPr>
      <w:bookmarkStart w:id="8" w:name="Nitan"/>
      <w:r>
        <w:rPr>
          <w:rFonts w:ascii="Arial" w:hAnsi="Arial"/>
          <w:b/>
          <w:bCs/>
          <w:rtl/>
        </w:rPr>
        <w:t xml:space="preserve">ניתנה היום, כ"ה ניסן תשפ"ב, 26 אפריל 2022, במעמד הצדדים. </w:t>
      </w:r>
      <w:bookmarkEnd w:id="8"/>
    </w:p>
    <w:p w14:paraId="5E6BF076" w14:textId="77777777" w:rsidR="008049B9" w:rsidRPr="000F2247" w:rsidRDefault="008049B9" w:rsidP="0004368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DF4B602" w14:textId="77777777" w:rsidR="008049B9" w:rsidRPr="000F2247" w:rsidRDefault="008049B9" w:rsidP="008049B9">
      <w:pPr>
        <w:jc w:val="center"/>
        <w:rPr>
          <w:rFonts w:ascii="Arial" w:hAnsi="Arial"/>
          <w:b/>
          <w:bCs/>
          <w:sz w:val="26"/>
          <w:szCs w:val="26"/>
          <w:rtl/>
        </w:rPr>
      </w:pPr>
    </w:p>
    <w:p w14:paraId="5FF74E14" w14:textId="77777777" w:rsidR="00953E37" w:rsidRPr="0004368D" w:rsidRDefault="00953E37" w:rsidP="0004368D">
      <w:pPr>
        <w:keepNext/>
        <w:rPr>
          <w:rFonts w:ascii="David" w:hAnsi="David"/>
          <w:color w:val="000000"/>
          <w:sz w:val="22"/>
          <w:szCs w:val="22"/>
          <w:rtl/>
        </w:rPr>
      </w:pPr>
    </w:p>
    <w:p w14:paraId="2D7B5013" w14:textId="77777777" w:rsidR="0004368D" w:rsidRPr="0004368D" w:rsidRDefault="0004368D" w:rsidP="0004368D">
      <w:pPr>
        <w:keepNext/>
        <w:rPr>
          <w:rFonts w:ascii="David" w:hAnsi="David"/>
          <w:color w:val="000000"/>
          <w:sz w:val="22"/>
          <w:szCs w:val="22"/>
          <w:rtl/>
        </w:rPr>
      </w:pPr>
      <w:r w:rsidRPr="0004368D">
        <w:rPr>
          <w:rFonts w:ascii="David" w:hAnsi="David"/>
          <w:color w:val="000000"/>
          <w:sz w:val="22"/>
          <w:szCs w:val="22"/>
          <w:rtl/>
        </w:rPr>
        <w:t>חגי טרסי 54678313</w:t>
      </w:r>
    </w:p>
    <w:p w14:paraId="6EBBB793" w14:textId="77777777" w:rsidR="0004368D" w:rsidRDefault="0004368D" w:rsidP="0004368D">
      <w:r w:rsidRPr="0004368D">
        <w:rPr>
          <w:color w:val="000000"/>
          <w:rtl/>
        </w:rPr>
        <w:t>נוסח מסמך זה כפוף לשינויי ניסוח ועריכה</w:t>
      </w:r>
    </w:p>
    <w:p w14:paraId="327E77F7" w14:textId="77777777" w:rsidR="0004368D" w:rsidRDefault="0004368D" w:rsidP="0004368D">
      <w:pPr>
        <w:rPr>
          <w:rtl/>
        </w:rPr>
      </w:pPr>
    </w:p>
    <w:p w14:paraId="38CD186C" w14:textId="77777777" w:rsidR="0004368D" w:rsidRDefault="0004368D" w:rsidP="0004368D">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2F2EAAF9" w14:textId="77777777" w:rsidR="0004368D" w:rsidRPr="0004368D" w:rsidRDefault="0004368D" w:rsidP="0004368D">
      <w:pPr>
        <w:jc w:val="center"/>
        <w:rPr>
          <w:color w:val="0000FF"/>
          <w:u w:val="single"/>
        </w:rPr>
      </w:pPr>
    </w:p>
    <w:sectPr w:rsidR="0004368D" w:rsidRPr="0004368D" w:rsidSect="0004368D">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38FC8A" w14:textId="77777777" w:rsidR="00D97DE2" w:rsidRDefault="00D97DE2" w:rsidP="0007238A">
      <w:r>
        <w:separator/>
      </w:r>
    </w:p>
  </w:endnote>
  <w:endnote w:type="continuationSeparator" w:id="0">
    <w:p w14:paraId="255972EA" w14:textId="77777777" w:rsidR="00D97DE2" w:rsidRDefault="00D97DE2" w:rsidP="00072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B131A2" w14:textId="77777777" w:rsidR="0004368D" w:rsidRDefault="0004368D" w:rsidP="0004368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CC9D975" w14:textId="77777777" w:rsidR="003C1506" w:rsidRPr="0004368D" w:rsidRDefault="0004368D" w:rsidP="0004368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72B5E" w14:textId="77777777" w:rsidR="0004368D" w:rsidRDefault="0004368D" w:rsidP="0004368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E2FD6">
      <w:rPr>
        <w:rFonts w:ascii="FrankRuehl" w:hAnsi="FrankRuehl" w:cs="FrankRuehl"/>
        <w:noProof/>
        <w:rtl/>
      </w:rPr>
      <w:t>1</w:t>
    </w:r>
    <w:r>
      <w:rPr>
        <w:rFonts w:ascii="FrankRuehl" w:hAnsi="FrankRuehl" w:cs="FrankRuehl"/>
        <w:rtl/>
      </w:rPr>
      <w:fldChar w:fldCharType="end"/>
    </w:r>
  </w:p>
  <w:p w14:paraId="7237914F" w14:textId="77777777" w:rsidR="003C1506" w:rsidRPr="0004368D" w:rsidRDefault="0004368D" w:rsidP="0004368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5C044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1E260C" w14:textId="77777777" w:rsidR="00D97DE2" w:rsidRDefault="00D97DE2" w:rsidP="0007238A">
      <w:r>
        <w:separator/>
      </w:r>
    </w:p>
  </w:footnote>
  <w:footnote w:type="continuationSeparator" w:id="0">
    <w:p w14:paraId="45B6665B" w14:textId="77777777" w:rsidR="00D97DE2" w:rsidRDefault="00D97DE2" w:rsidP="000723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9835E" w14:textId="77777777" w:rsidR="0004368D" w:rsidRPr="0004368D" w:rsidRDefault="0004368D" w:rsidP="0004368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7271-08-21</w:t>
    </w:r>
    <w:r>
      <w:rPr>
        <w:rFonts w:ascii="David" w:hAnsi="David"/>
        <w:color w:val="000000"/>
        <w:sz w:val="22"/>
        <w:szCs w:val="22"/>
        <w:rtl/>
      </w:rPr>
      <w:tab/>
      <w:t xml:space="preserve"> מדינת ישראל נ' אליהו בבייב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82B95" w14:textId="77777777" w:rsidR="0004368D" w:rsidRPr="0004368D" w:rsidRDefault="0004368D" w:rsidP="0004368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7271-08-21</w:t>
    </w:r>
    <w:r>
      <w:rPr>
        <w:rFonts w:ascii="David" w:hAnsi="David"/>
        <w:color w:val="000000"/>
        <w:sz w:val="22"/>
        <w:szCs w:val="22"/>
        <w:rtl/>
      </w:rPr>
      <w:tab/>
      <w:t xml:space="preserve"> מדינת ישראל נ' אליהו בבייב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F24252"/>
    <w:multiLevelType w:val="hybridMultilevel"/>
    <w:tmpl w:val="416E6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83991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049B9"/>
    <w:rsid w:val="0004368D"/>
    <w:rsid w:val="0007238A"/>
    <w:rsid w:val="001B5A3B"/>
    <w:rsid w:val="002B0A2B"/>
    <w:rsid w:val="002C3CCC"/>
    <w:rsid w:val="002F1296"/>
    <w:rsid w:val="003C1506"/>
    <w:rsid w:val="00641815"/>
    <w:rsid w:val="008049B9"/>
    <w:rsid w:val="00953E37"/>
    <w:rsid w:val="00A537D8"/>
    <w:rsid w:val="00AE2FD6"/>
    <w:rsid w:val="00C34D2E"/>
    <w:rsid w:val="00CF52D7"/>
    <w:rsid w:val="00D97DE2"/>
    <w:rsid w:val="00EA3CD9"/>
    <w:rsid w:val="00F204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1A289"/>
  <w15:chartTrackingRefBased/>
  <w15:docId w15:val="{9A8B5E55-3B88-4403-B12B-6938249AF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049B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049B9"/>
    <w:pPr>
      <w:tabs>
        <w:tab w:val="center" w:pos="4153"/>
        <w:tab w:val="right" w:pos="8306"/>
      </w:tabs>
    </w:pPr>
  </w:style>
  <w:style w:type="character" w:customStyle="1" w:styleId="a4">
    <w:name w:val="כותרת עליונה תו"/>
    <w:link w:val="a3"/>
    <w:rsid w:val="008049B9"/>
    <w:rPr>
      <w:rFonts w:ascii="Times New Roman" w:eastAsia="Times New Roman" w:hAnsi="Times New Roman" w:cs="David"/>
      <w:sz w:val="24"/>
      <w:szCs w:val="24"/>
    </w:rPr>
  </w:style>
  <w:style w:type="paragraph" w:styleId="a5">
    <w:name w:val="footer"/>
    <w:basedOn w:val="a"/>
    <w:link w:val="a6"/>
    <w:rsid w:val="008049B9"/>
    <w:pPr>
      <w:tabs>
        <w:tab w:val="center" w:pos="4153"/>
        <w:tab w:val="right" w:pos="8306"/>
      </w:tabs>
    </w:pPr>
  </w:style>
  <w:style w:type="character" w:customStyle="1" w:styleId="a6">
    <w:name w:val="כותרת תחתונה תו"/>
    <w:link w:val="a5"/>
    <w:rsid w:val="008049B9"/>
    <w:rPr>
      <w:rFonts w:ascii="Times New Roman" w:eastAsia="Times New Roman" w:hAnsi="Times New Roman" w:cs="David"/>
      <w:sz w:val="24"/>
      <w:szCs w:val="24"/>
    </w:rPr>
  </w:style>
  <w:style w:type="table" w:styleId="a7">
    <w:name w:val="Table Grid"/>
    <w:basedOn w:val="a1"/>
    <w:rsid w:val="008049B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049B9"/>
  </w:style>
  <w:style w:type="character" w:styleId="Hyperlink">
    <w:name w:val="Hyperlink"/>
    <w:rsid w:val="008049B9"/>
    <w:rPr>
      <w:color w:val="0000FF"/>
      <w:u w:val="single"/>
    </w:rPr>
  </w:style>
  <w:style w:type="paragraph" w:styleId="a9">
    <w:name w:val="List Paragraph"/>
    <w:basedOn w:val="a"/>
    <w:qFormat/>
    <w:rsid w:val="008049B9"/>
    <w:pPr>
      <w:spacing w:after="160" w:line="25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case/5698919" TargetMode="External"/><Relationship Id="rId26" Type="http://schemas.openxmlformats.org/officeDocument/2006/relationships/hyperlink" Target="http://www.nevo.co.il/case/21712542" TargetMode="External"/><Relationship Id="rId3" Type="http://schemas.openxmlformats.org/officeDocument/2006/relationships/settings" Target="settings.xml"/><Relationship Id="rId21" Type="http://schemas.openxmlformats.org/officeDocument/2006/relationships/hyperlink" Target="http://www.nevo.co.il/case/27742715"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4216/7.a" TargetMode="External"/><Relationship Id="rId17" Type="http://schemas.openxmlformats.org/officeDocument/2006/relationships/hyperlink" Target="http://www.nevo.co.il/case/13022249" TargetMode="External"/><Relationship Id="rId25" Type="http://schemas.openxmlformats.org/officeDocument/2006/relationships/hyperlink" Target="http://www.nevo.co.il/case/2796493"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5587855"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5" TargetMode="External"/><Relationship Id="rId24" Type="http://schemas.openxmlformats.org/officeDocument/2006/relationships/hyperlink" Target="http://www.nevo.co.il/case/26109773"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25" TargetMode="External"/><Relationship Id="rId23" Type="http://schemas.openxmlformats.org/officeDocument/2006/relationships/hyperlink" Target="http://www.nevo.co.il/case/28092391" TargetMode="External"/><Relationship Id="rId28" Type="http://schemas.openxmlformats.org/officeDocument/2006/relationships/hyperlink" Target="http://www.nevo.co.il/case/25477853"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6728182"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6109770" TargetMode="External"/><Relationship Id="rId27" Type="http://schemas.openxmlformats.org/officeDocument/2006/relationships/hyperlink" Target="http://www.nevo.co.il/case/20974694"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2769</Words>
  <Characters>13850</Characters>
  <Application>Microsoft Office Word</Application>
  <DocSecurity>0</DocSecurity>
  <Lines>115</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16586</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3407998</vt:i4>
      </vt:variant>
      <vt:variant>
        <vt:i4>63</vt:i4>
      </vt:variant>
      <vt:variant>
        <vt:i4>0</vt:i4>
      </vt:variant>
      <vt:variant>
        <vt:i4>5</vt:i4>
      </vt:variant>
      <vt:variant>
        <vt:lpwstr>http://www.nevo.co.il/case/25477853</vt:lpwstr>
      </vt:variant>
      <vt:variant>
        <vt:lpwstr/>
      </vt:variant>
      <vt:variant>
        <vt:i4>3539061</vt:i4>
      </vt:variant>
      <vt:variant>
        <vt:i4>60</vt:i4>
      </vt:variant>
      <vt:variant>
        <vt:i4>0</vt:i4>
      </vt:variant>
      <vt:variant>
        <vt:i4>5</vt:i4>
      </vt:variant>
      <vt:variant>
        <vt:lpwstr>http://www.nevo.co.il/case/20974694</vt:lpwstr>
      </vt:variant>
      <vt:variant>
        <vt:lpwstr/>
      </vt:variant>
      <vt:variant>
        <vt:i4>3342449</vt:i4>
      </vt:variant>
      <vt:variant>
        <vt:i4>57</vt:i4>
      </vt:variant>
      <vt:variant>
        <vt:i4>0</vt:i4>
      </vt:variant>
      <vt:variant>
        <vt:i4>5</vt:i4>
      </vt:variant>
      <vt:variant>
        <vt:lpwstr>http://www.nevo.co.il/case/21712542</vt:lpwstr>
      </vt:variant>
      <vt:variant>
        <vt:lpwstr/>
      </vt:variant>
      <vt:variant>
        <vt:i4>3932284</vt:i4>
      </vt:variant>
      <vt:variant>
        <vt:i4>54</vt:i4>
      </vt:variant>
      <vt:variant>
        <vt:i4>0</vt:i4>
      </vt:variant>
      <vt:variant>
        <vt:i4>5</vt:i4>
      </vt:variant>
      <vt:variant>
        <vt:lpwstr>http://www.nevo.co.il/case/2796493</vt:lpwstr>
      </vt:variant>
      <vt:variant>
        <vt:lpwstr/>
      </vt:variant>
      <vt:variant>
        <vt:i4>3997813</vt:i4>
      </vt:variant>
      <vt:variant>
        <vt:i4>51</vt:i4>
      </vt:variant>
      <vt:variant>
        <vt:i4>0</vt:i4>
      </vt:variant>
      <vt:variant>
        <vt:i4>5</vt:i4>
      </vt:variant>
      <vt:variant>
        <vt:lpwstr>http://www.nevo.co.il/case/26109773</vt:lpwstr>
      </vt:variant>
      <vt:variant>
        <vt:lpwstr/>
      </vt:variant>
      <vt:variant>
        <vt:i4>3735670</vt:i4>
      </vt:variant>
      <vt:variant>
        <vt:i4>48</vt:i4>
      </vt:variant>
      <vt:variant>
        <vt:i4>0</vt:i4>
      </vt:variant>
      <vt:variant>
        <vt:i4>5</vt:i4>
      </vt:variant>
      <vt:variant>
        <vt:lpwstr>http://www.nevo.co.il/case/28092391</vt:lpwstr>
      </vt:variant>
      <vt:variant>
        <vt:lpwstr/>
      </vt:variant>
      <vt:variant>
        <vt:i4>3997813</vt:i4>
      </vt:variant>
      <vt:variant>
        <vt:i4>45</vt:i4>
      </vt:variant>
      <vt:variant>
        <vt:i4>0</vt:i4>
      </vt:variant>
      <vt:variant>
        <vt:i4>5</vt:i4>
      </vt:variant>
      <vt:variant>
        <vt:lpwstr>http://www.nevo.co.il/case/26109770</vt:lpwstr>
      </vt:variant>
      <vt:variant>
        <vt:lpwstr/>
      </vt:variant>
      <vt:variant>
        <vt:i4>3539056</vt:i4>
      </vt:variant>
      <vt:variant>
        <vt:i4>42</vt:i4>
      </vt:variant>
      <vt:variant>
        <vt:i4>0</vt:i4>
      </vt:variant>
      <vt:variant>
        <vt:i4>5</vt:i4>
      </vt:variant>
      <vt:variant>
        <vt:lpwstr>http://www.nevo.co.il/case/27742715</vt:lpwstr>
      </vt:variant>
      <vt:variant>
        <vt:lpwstr/>
      </vt:variant>
      <vt:variant>
        <vt:i4>3145843</vt:i4>
      </vt:variant>
      <vt:variant>
        <vt:i4>39</vt:i4>
      </vt:variant>
      <vt:variant>
        <vt:i4>0</vt:i4>
      </vt:variant>
      <vt:variant>
        <vt:i4>5</vt:i4>
      </vt:variant>
      <vt:variant>
        <vt:lpwstr>http://www.nevo.co.il/case/5587855</vt:lpwstr>
      </vt:variant>
      <vt:variant>
        <vt:lpwstr/>
      </vt:variant>
      <vt:variant>
        <vt:i4>3473521</vt:i4>
      </vt:variant>
      <vt:variant>
        <vt:i4>36</vt:i4>
      </vt:variant>
      <vt:variant>
        <vt:i4>0</vt:i4>
      </vt:variant>
      <vt:variant>
        <vt:i4>5</vt:i4>
      </vt:variant>
      <vt:variant>
        <vt:lpwstr>http://www.nevo.co.il/case/26728182</vt:lpwstr>
      </vt:variant>
      <vt:variant>
        <vt:lpwstr/>
      </vt:variant>
      <vt:variant>
        <vt:i4>3932283</vt:i4>
      </vt:variant>
      <vt:variant>
        <vt:i4>33</vt:i4>
      </vt:variant>
      <vt:variant>
        <vt:i4>0</vt:i4>
      </vt:variant>
      <vt:variant>
        <vt:i4>5</vt:i4>
      </vt:variant>
      <vt:variant>
        <vt:lpwstr>http://www.nevo.co.il/case/5698919</vt:lpwstr>
      </vt:variant>
      <vt:variant>
        <vt:lpwstr/>
      </vt:variant>
      <vt:variant>
        <vt:i4>3604599</vt:i4>
      </vt:variant>
      <vt:variant>
        <vt:i4>30</vt:i4>
      </vt:variant>
      <vt:variant>
        <vt:i4>0</vt:i4>
      </vt:variant>
      <vt:variant>
        <vt:i4>5</vt:i4>
      </vt:variant>
      <vt:variant>
        <vt:lpwstr>http://www.nevo.co.il/case/13022249</vt:lpwstr>
      </vt:variant>
      <vt:variant>
        <vt:lpwstr/>
      </vt:variant>
      <vt:variant>
        <vt:i4>7995492</vt:i4>
      </vt:variant>
      <vt:variant>
        <vt:i4>27</vt:i4>
      </vt:variant>
      <vt:variant>
        <vt:i4>0</vt:i4>
      </vt:variant>
      <vt:variant>
        <vt:i4>5</vt:i4>
      </vt:variant>
      <vt:variant>
        <vt:lpwstr>http://www.nevo.co.il/law/70301</vt:lpwstr>
      </vt:variant>
      <vt:variant>
        <vt:lpwstr/>
      </vt:variant>
      <vt:variant>
        <vt:i4>6291559</vt:i4>
      </vt:variant>
      <vt:variant>
        <vt:i4>24</vt:i4>
      </vt:variant>
      <vt:variant>
        <vt:i4>0</vt:i4>
      </vt:variant>
      <vt:variant>
        <vt:i4>5</vt:i4>
      </vt:variant>
      <vt:variant>
        <vt:lpwstr>http://www.nevo.co.il/law/70301/25</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6291559</vt:i4>
      </vt:variant>
      <vt:variant>
        <vt:i4>12</vt:i4>
      </vt:variant>
      <vt:variant>
        <vt:i4>0</vt:i4>
      </vt:variant>
      <vt:variant>
        <vt:i4>5</vt:i4>
      </vt:variant>
      <vt:variant>
        <vt:lpwstr>http://www.nevo.co.il/law/70301/25</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2025-04-22T21:14:00Z</dcterms:created>
  <dcterms:modified xsi:type="dcterms:W3CDTF">2025-04-22T21:14:00Z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7271</vt:lpwstr>
  </property>
  <property fmtid="{D5CDD505-2E9C-101B-9397-08002B2CF9AE}" pid="6" name="NEWPARTB">
    <vt:lpwstr>08</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אליהו בבייב</vt:lpwstr>
  </property>
  <property fmtid="{D5CDD505-2E9C-101B-9397-08002B2CF9AE}" pid="10" name="LAWYER">
    <vt:lpwstr>טלי חזום</vt:lpwstr>
  </property>
  <property fmtid="{D5CDD505-2E9C-101B-9397-08002B2CF9AE}" pid="11" name="JUDGE">
    <vt:lpwstr>חגי טרסי</vt:lpwstr>
  </property>
  <property fmtid="{D5CDD505-2E9C-101B-9397-08002B2CF9AE}" pid="12" name="CITY">
    <vt:lpwstr>מרכז</vt:lpwstr>
  </property>
  <property fmtid="{D5CDD505-2E9C-101B-9397-08002B2CF9AE}" pid="13" name="DATE">
    <vt:lpwstr>20220426</vt:lpwstr>
  </property>
  <property fmtid="{D5CDD505-2E9C-101B-9397-08002B2CF9AE}" pid="14" name="TYPE_N_DATE">
    <vt:lpwstr>39020220426</vt:lpwstr>
  </property>
  <property fmtid="{D5CDD505-2E9C-101B-9397-08002B2CF9AE}" pid="15" name="WORDNUMPAGES">
    <vt:lpwstr>9</vt:lpwstr>
  </property>
  <property fmtid="{D5CDD505-2E9C-101B-9397-08002B2CF9AE}" pid="16" name="TYPE_ABS_DATE">
    <vt:lpwstr>390020220426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13022249;5698919;26728182;5587855;27742715;26109770;28092391;26109773;2796493;21712542;20974694;25477853</vt:lpwstr>
  </property>
  <property fmtid="{D5CDD505-2E9C-101B-9397-08002B2CF9AE}" pid="36" name="LAWLISTTMP1">
    <vt:lpwstr>4216/007.a;007.c</vt:lpwstr>
  </property>
  <property fmtid="{D5CDD505-2E9C-101B-9397-08002B2CF9AE}" pid="37" name="LAWLISTTMP2">
    <vt:lpwstr>70301/025</vt:lpwstr>
  </property>
</Properties>
</file>