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3"/>
        <w:gridCol w:w="2552"/>
      </w:tblGrid>
      <w:tr w:rsidR="00654319" w:rsidRPr="00F24FC8" w14:paraId="50BB0BBB" w14:textId="77777777" w:rsidTr="00337DE6">
        <w:trPr>
          <w:trHeight w:hRule="exact" w:val="418"/>
          <w:jc w:val="center"/>
        </w:trPr>
        <w:tc>
          <w:tcPr>
            <w:tcW w:w="8505" w:type="dxa"/>
            <w:gridSpan w:val="2"/>
          </w:tcPr>
          <w:p w14:paraId="1FA9D0C6" w14:textId="77777777" w:rsidR="00654319" w:rsidRPr="00F24FC8" w:rsidRDefault="00654319" w:rsidP="00337DE6">
            <w:pPr>
              <w:pStyle w:val="a3"/>
              <w:jc w:val="center"/>
              <w:rPr>
                <w:rFonts w:ascii="Tahoma" w:hAnsi="Tahoma" w:cs="Tahoma"/>
                <w:color w:val="000080"/>
                <w:rtl/>
              </w:rPr>
            </w:pPr>
            <w:bookmarkStart w:id="0" w:name="LastJudge"/>
            <w:r w:rsidRPr="00F24FC8">
              <w:rPr>
                <w:rFonts w:ascii="Tahoma" w:hAnsi="Tahoma" w:cs="Tahoma"/>
                <w:b/>
                <w:bCs/>
                <w:color w:val="000080"/>
                <w:rtl/>
              </w:rPr>
              <w:t>בית המשפט המחוזי בחיפה</w:t>
            </w:r>
          </w:p>
        </w:tc>
      </w:tr>
      <w:tr w:rsidR="00654319" w:rsidRPr="00F24FC8" w14:paraId="6CE17E43" w14:textId="77777777" w:rsidTr="00337DE6">
        <w:trPr>
          <w:trHeight w:val="337"/>
          <w:jc w:val="center"/>
        </w:trPr>
        <w:tc>
          <w:tcPr>
            <w:tcW w:w="5953" w:type="dxa"/>
          </w:tcPr>
          <w:p w14:paraId="32BDD512" w14:textId="77777777" w:rsidR="00654319" w:rsidRPr="00F24FC8" w:rsidRDefault="00654319" w:rsidP="00337DE6">
            <w:pPr>
              <w:rPr>
                <w:rFonts w:cs="FrankRuehl"/>
                <w:sz w:val="28"/>
                <w:szCs w:val="28"/>
                <w:rtl/>
              </w:rPr>
            </w:pPr>
            <w:r w:rsidRPr="00F24FC8">
              <w:rPr>
                <w:rFonts w:cs="FrankRuehl"/>
                <w:sz w:val="28"/>
                <w:szCs w:val="28"/>
                <w:rtl/>
              </w:rPr>
              <w:t>ת"פ</w:t>
            </w:r>
            <w:r w:rsidRPr="00F24FC8">
              <w:rPr>
                <w:rFonts w:cs="FrankRuehl" w:hint="cs"/>
                <w:sz w:val="28"/>
                <w:szCs w:val="28"/>
                <w:rtl/>
              </w:rPr>
              <w:t xml:space="preserve"> </w:t>
            </w:r>
            <w:r w:rsidRPr="00F24FC8">
              <w:rPr>
                <w:rFonts w:cs="FrankRuehl"/>
                <w:sz w:val="28"/>
                <w:szCs w:val="28"/>
                <w:rtl/>
              </w:rPr>
              <w:t>6574-09-21</w:t>
            </w:r>
            <w:r w:rsidRPr="00F24FC8">
              <w:rPr>
                <w:rFonts w:cs="FrankRuehl" w:hint="cs"/>
                <w:sz w:val="28"/>
                <w:szCs w:val="28"/>
                <w:rtl/>
              </w:rPr>
              <w:t xml:space="preserve"> </w:t>
            </w:r>
            <w:r w:rsidRPr="00F24FC8">
              <w:rPr>
                <w:rFonts w:cs="FrankRuehl"/>
                <w:sz w:val="28"/>
                <w:szCs w:val="28"/>
                <w:rtl/>
              </w:rPr>
              <w:t>מדינת ישראל נ' עואד(עצור/אסיר בפיקוח)</w:t>
            </w:r>
          </w:p>
          <w:p w14:paraId="37A3E450" w14:textId="77777777" w:rsidR="00654319" w:rsidRPr="00F24FC8" w:rsidRDefault="00654319" w:rsidP="00337DE6">
            <w:pPr>
              <w:pStyle w:val="a3"/>
              <w:rPr>
                <w:rFonts w:cs="FrankRuehl"/>
                <w:sz w:val="28"/>
                <w:szCs w:val="28"/>
                <w:rtl/>
              </w:rPr>
            </w:pPr>
          </w:p>
        </w:tc>
        <w:tc>
          <w:tcPr>
            <w:tcW w:w="2552" w:type="dxa"/>
          </w:tcPr>
          <w:p w14:paraId="257AA38F" w14:textId="77777777" w:rsidR="00654319" w:rsidRPr="00F24FC8" w:rsidRDefault="00654319" w:rsidP="00337DE6">
            <w:pPr>
              <w:pStyle w:val="a3"/>
              <w:jc w:val="right"/>
              <w:rPr>
                <w:rFonts w:cs="FrankRuehl"/>
                <w:sz w:val="28"/>
                <w:szCs w:val="28"/>
                <w:rtl/>
              </w:rPr>
            </w:pPr>
          </w:p>
        </w:tc>
      </w:tr>
    </w:tbl>
    <w:p w14:paraId="21B5BDF6" w14:textId="77777777" w:rsidR="00654319" w:rsidRPr="00F24FC8" w:rsidRDefault="00654319" w:rsidP="00654319">
      <w:pPr>
        <w:pStyle w:val="a3"/>
        <w:rPr>
          <w:rtl/>
        </w:rPr>
      </w:pPr>
      <w:r w:rsidRPr="00F24FC8">
        <w:rPr>
          <w:rFonts w:hint="cs"/>
          <w:rtl/>
        </w:rPr>
        <w:t xml:space="preserve"> </w:t>
      </w:r>
    </w:p>
    <w:p w14:paraId="54455651" w14:textId="77777777" w:rsidR="00654319" w:rsidRPr="00F24FC8" w:rsidRDefault="00654319" w:rsidP="00654319">
      <w:pPr>
        <w:rPr>
          <w:sz w:val="26"/>
          <w:szCs w:val="26"/>
          <w:rtl/>
        </w:rPr>
      </w:pPr>
    </w:p>
    <w:p w14:paraId="030D3400" w14:textId="77777777" w:rsidR="00654319" w:rsidRPr="00F24FC8" w:rsidRDefault="00654319" w:rsidP="00654319">
      <w:pPr>
        <w:rPr>
          <w:sz w:val="26"/>
          <w:szCs w:val="26"/>
          <w:rtl/>
        </w:rPr>
      </w:pPr>
    </w:p>
    <w:tbl>
      <w:tblPr>
        <w:bidiVisual/>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7"/>
        <w:gridCol w:w="5813"/>
      </w:tblGrid>
      <w:tr w:rsidR="00654319" w:rsidRPr="00F24FC8" w14:paraId="5BFAEAB7" w14:textId="77777777" w:rsidTr="00654319">
        <w:trPr>
          <w:trHeight w:val="295"/>
          <w:jc w:val="center"/>
        </w:trPr>
        <w:tc>
          <w:tcPr>
            <w:tcW w:w="8640" w:type="dxa"/>
            <w:gridSpan w:val="2"/>
            <w:tcBorders>
              <w:top w:val="nil"/>
              <w:left w:val="nil"/>
              <w:bottom w:val="nil"/>
              <w:right w:val="nil"/>
            </w:tcBorders>
            <w:shd w:val="clear" w:color="auto" w:fill="auto"/>
          </w:tcPr>
          <w:p w14:paraId="2C909DEC" w14:textId="77777777" w:rsidR="00654319" w:rsidRPr="00F24FC8" w:rsidRDefault="00654319" w:rsidP="00337DE6">
            <w:pPr>
              <w:rPr>
                <w:rFonts w:ascii="David" w:hAnsi="David"/>
                <w:b/>
                <w:bCs/>
                <w:sz w:val="26"/>
                <w:szCs w:val="26"/>
                <w:rtl/>
              </w:rPr>
            </w:pPr>
            <w:r w:rsidRPr="00F24FC8">
              <w:rPr>
                <w:rFonts w:ascii="David" w:hAnsi="David" w:hint="cs"/>
                <w:b/>
                <w:bCs/>
                <w:sz w:val="26"/>
                <w:szCs w:val="26"/>
                <w:rtl/>
              </w:rPr>
              <w:t xml:space="preserve">בפני </w:t>
            </w:r>
            <w:r w:rsidRPr="00F24FC8">
              <w:rPr>
                <w:rFonts w:ascii="David" w:hAnsi="David"/>
                <w:b/>
                <w:bCs/>
                <w:sz w:val="26"/>
                <w:szCs w:val="26"/>
                <w:rtl/>
              </w:rPr>
              <w:t>כבוד השופט  דניאל פיש</w:t>
            </w:r>
          </w:p>
          <w:p w14:paraId="430729DF" w14:textId="77777777" w:rsidR="00654319" w:rsidRPr="00F24FC8" w:rsidRDefault="00654319" w:rsidP="00337DE6">
            <w:pPr>
              <w:rPr>
                <w:rFonts w:ascii="David" w:hAnsi="David"/>
                <w:sz w:val="26"/>
                <w:szCs w:val="26"/>
                <w:rtl/>
              </w:rPr>
            </w:pPr>
          </w:p>
          <w:p w14:paraId="04DE3744" w14:textId="77777777" w:rsidR="00654319" w:rsidRPr="00F24FC8" w:rsidRDefault="00654319" w:rsidP="00654319">
            <w:pPr>
              <w:jc w:val="both"/>
              <w:rPr>
                <w:rFonts w:ascii="David" w:hAnsi="David"/>
                <w:sz w:val="26"/>
                <w:szCs w:val="26"/>
              </w:rPr>
            </w:pPr>
          </w:p>
        </w:tc>
      </w:tr>
      <w:tr w:rsidR="00654319" w:rsidRPr="00F24FC8" w14:paraId="2D4A9A2F" w14:textId="77777777" w:rsidTr="00654319">
        <w:trPr>
          <w:trHeight w:val="355"/>
          <w:jc w:val="center"/>
        </w:trPr>
        <w:tc>
          <w:tcPr>
            <w:tcW w:w="2827" w:type="dxa"/>
            <w:tcBorders>
              <w:top w:val="nil"/>
              <w:left w:val="nil"/>
              <w:bottom w:val="nil"/>
              <w:right w:val="nil"/>
            </w:tcBorders>
            <w:shd w:val="clear" w:color="auto" w:fill="auto"/>
          </w:tcPr>
          <w:p w14:paraId="440B6577" w14:textId="77777777" w:rsidR="00654319" w:rsidRPr="00F24FC8" w:rsidRDefault="00654319" w:rsidP="00654319">
            <w:pPr>
              <w:suppressLineNumbers/>
            </w:pPr>
            <w:bookmarkStart w:id="1" w:name="FirstAppellant"/>
            <w:r w:rsidRPr="00F24FC8">
              <w:rPr>
                <w:rFonts w:ascii="Arial" w:hAnsi="Arial" w:hint="cs"/>
                <w:b/>
                <w:bCs/>
                <w:sz w:val="26"/>
                <w:szCs w:val="26"/>
                <w:rtl/>
              </w:rPr>
              <w:t>ה</w:t>
            </w:r>
            <w:r w:rsidRPr="00F24FC8">
              <w:rPr>
                <w:rFonts w:ascii="Arial" w:hAnsi="Arial"/>
                <w:b/>
                <w:bCs/>
                <w:sz w:val="26"/>
                <w:szCs w:val="26"/>
                <w:rtl/>
              </w:rPr>
              <w:t>מאשימה</w:t>
            </w:r>
          </w:p>
          <w:p w14:paraId="04407128" w14:textId="77777777" w:rsidR="00654319" w:rsidRPr="00F24FC8" w:rsidRDefault="00654319" w:rsidP="00337DE6">
            <w:pPr>
              <w:rPr>
                <w:rFonts w:ascii="David" w:hAnsi="David"/>
                <w:sz w:val="26"/>
                <w:szCs w:val="26"/>
              </w:rPr>
            </w:pPr>
          </w:p>
        </w:tc>
        <w:tc>
          <w:tcPr>
            <w:tcW w:w="5813" w:type="dxa"/>
            <w:tcBorders>
              <w:top w:val="nil"/>
              <w:left w:val="nil"/>
              <w:bottom w:val="nil"/>
              <w:right w:val="nil"/>
            </w:tcBorders>
            <w:shd w:val="clear" w:color="auto" w:fill="auto"/>
            <w:vAlign w:val="center"/>
          </w:tcPr>
          <w:p w14:paraId="3741C6BA" w14:textId="77777777" w:rsidR="00654319" w:rsidRPr="00F24FC8" w:rsidRDefault="00654319" w:rsidP="00654319">
            <w:pPr>
              <w:suppressLineNumbers/>
            </w:pPr>
            <w:r w:rsidRPr="00F24FC8">
              <w:rPr>
                <w:rFonts w:ascii="Arial" w:hAnsi="Arial"/>
                <w:b/>
                <w:bCs/>
                <w:sz w:val="26"/>
                <w:szCs w:val="26"/>
                <w:rtl/>
              </w:rPr>
              <w:t>מדינת ישראל</w:t>
            </w:r>
            <w:r w:rsidRPr="00F24FC8">
              <w:rPr>
                <w:rFonts w:ascii="Arial" w:hAnsi="Arial" w:hint="cs"/>
                <w:b/>
                <w:bCs/>
                <w:sz w:val="26"/>
                <w:szCs w:val="26"/>
                <w:rtl/>
              </w:rPr>
              <w:t xml:space="preserve"> </w:t>
            </w:r>
          </w:p>
          <w:p w14:paraId="71719413" w14:textId="77777777" w:rsidR="00654319" w:rsidRPr="00F24FC8" w:rsidRDefault="00654319" w:rsidP="00337DE6">
            <w:pPr>
              <w:rPr>
                <w:rFonts w:ascii="David" w:hAnsi="David"/>
                <w:sz w:val="26"/>
                <w:szCs w:val="26"/>
              </w:rPr>
            </w:pPr>
          </w:p>
        </w:tc>
      </w:tr>
      <w:bookmarkEnd w:id="1"/>
      <w:tr w:rsidR="00654319" w:rsidRPr="00F24FC8" w14:paraId="55D39F6D" w14:textId="77777777" w:rsidTr="00654319">
        <w:trPr>
          <w:trHeight w:val="355"/>
          <w:jc w:val="center"/>
        </w:trPr>
        <w:tc>
          <w:tcPr>
            <w:tcW w:w="8640" w:type="dxa"/>
            <w:gridSpan w:val="2"/>
            <w:tcBorders>
              <w:top w:val="nil"/>
              <w:left w:val="nil"/>
              <w:bottom w:val="nil"/>
              <w:right w:val="nil"/>
            </w:tcBorders>
            <w:shd w:val="clear" w:color="auto" w:fill="auto"/>
          </w:tcPr>
          <w:p w14:paraId="2209CB87" w14:textId="77777777" w:rsidR="00654319" w:rsidRPr="00F24FC8" w:rsidRDefault="00654319" w:rsidP="00654319">
            <w:pPr>
              <w:jc w:val="center"/>
              <w:rPr>
                <w:rFonts w:ascii="David" w:hAnsi="David"/>
                <w:b/>
                <w:bCs/>
                <w:sz w:val="26"/>
                <w:szCs w:val="26"/>
                <w:rtl/>
              </w:rPr>
            </w:pPr>
          </w:p>
          <w:p w14:paraId="6CD1B456" w14:textId="77777777" w:rsidR="00654319" w:rsidRPr="00F24FC8" w:rsidRDefault="00654319" w:rsidP="00337DE6">
            <w:pPr>
              <w:rPr>
                <w:rFonts w:ascii="David" w:hAnsi="David"/>
                <w:b/>
                <w:bCs/>
                <w:sz w:val="26"/>
                <w:szCs w:val="26"/>
                <w:rtl/>
              </w:rPr>
            </w:pPr>
            <w:r w:rsidRPr="00F24FC8">
              <w:rPr>
                <w:rFonts w:ascii="David" w:hAnsi="David" w:hint="cs"/>
                <w:b/>
                <w:bCs/>
                <w:sz w:val="26"/>
                <w:szCs w:val="26"/>
                <w:rtl/>
              </w:rPr>
              <w:t xml:space="preserve">                                             </w:t>
            </w:r>
            <w:r w:rsidRPr="00F24FC8">
              <w:rPr>
                <w:rFonts w:ascii="David" w:hAnsi="David"/>
                <w:b/>
                <w:bCs/>
                <w:sz w:val="26"/>
                <w:szCs w:val="26"/>
                <w:rtl/>
              </w:rPr>
              <w:t>נגד</w:t>
            </w:r>
          </w:p>
          <w:p w14:paraId="44002D38" w14:textId="77777777" w:rsidR="00654319" w:rsidRPr="00F24FC8" w:rsidRDefault="00654319" w:rsidP="00654319">
            <w:pPr>
              <w:jc w:val="both"/>
              <w:rPr>
                <w:rFonts w:ascii="David" w:hAnsi="David"/>
                <w:sz w:val="26"/>
                <w:szCs w:val="26"/>
              </w:rPr>
            </w:pPr>
          </w:p>
        </w:tc>
      </w:tr>
      <w:tr w:rsidR="00654319" w:rsidRPr="00F24FC8" w14:paraId="12632FA9" w14:textId="77777777" w:rsidTr="00654319">
        <w:trPr>
          <w:trHeight w:val="355"/>
          <w:jc w:val="center"/>
        </w:trPr>
        <w:tc>
          <w:tcPr>
            <w:tcW w:w="2827" w:type="dxa"/>
            <w:tcBorders>
              <w:top w:val="nil"/>
              <w:left w:val="nil"/>
              <w:bottom w:val="nil"/>
              <w:right w:val="nil"/>
            </w:tcBorders>
            <w:shd w:val="clear" w:color="auto" w:fill="auto"/>
          </w:tcPr>
          <w:p w14:paraId="3297E985" w14:textId="77777777" w:rsidR="00654319" w:rsidRPr="00F24FC8" w:rsidRDefault="00654319" w:rsidP="00337DE6">
            <w:pPr>
              <w:rPr>
                <w:rFonts w:ascii="Arial" w:hAnsi="Arial"/>
                <w:b/>
                <w:bCs/>
                <w:sz w:val="26"/>
                <w:szCs w:val="26"/>
                <w:rtl/>
              </w:rPr>
            </w:pPr>
            <w:r w:rsidRPr="00F24FC8">
              <w:rPr>
                <w:rFonts w:ascii="Arial" w:hAnsi="Arial"/>
                <w:b/>
                <w:bCs/>
                <w:sz w:val="26"/>
                <w:szCs w:val="26"/>
                <w:rtl/>
              </w:rPr>
              <w:t>הנאשם</w:t>
            </w:r>
          </w:p>
        </w:tc>
        <w:tc>
          <w:tcPr>
            <w:tcW w:w="5813" w:type="dxa"/>
            <w:tcBorders>
              <w:top w:val="nil"/>
              <w:left w:val="nil"/>
              <w:bottom w:val="nil"/>
              <w:right w:val="nil"/>
            </w:tcBorders>
            <w:shd w:val="clear" w:color="auto" w:fill="auto"/>
            <w:vAlign w:val="center"/>
          </w:tcPr>
          <w:p w14:paraId="08E673C1" w14:textId="77777777" w:rsidR="00654319" w:rsidRPr="00F24FC8" w:rsidRDefault="00654319" w:rsidP="00654319">
            <w:pPr>
              <w:suppressLineNumbers/>
            </w:pPr>
            <w:r w:rsidRPr="00F24FC8">
              <w:rPr>
                <w:rFonts w:ascii="Arial" w:hAnsi="Arial"/>
                <w:b/>
                <w:bCs/>
                <w:sz w:val="26"/>
                <w:szCs w:val="26"/>
                <w:rtl/>
              </w:rPr>
              <w:t xml:space="preserve">עמרואן עואד </w:t>
            </w:r>
            <w:r w:rsidRPr="00F24FC8">
              <w:rPr>
                <w:rFonts w:ascii="Arial" w:hAnsi="Arial" w:hint="cs"/>
                <w:b/>
                <w:bCs/>
                <w:sz w:val="26"/>
                <w:szCs w:val="26"/>
                <w:rtl/>
              </w:rPr>
              <w:t xml:space="preserve"> </w:t>
            </w:r>
          </w:p>
          <w:p w14:paraId="0BF35DD3" w14:textId="77777777" w:rsidR="00654319" w:rsidRPr="00F24FC8" w:rsidRDefault="00654319" w:rsidP="00337DE6">
            <w:pPr>
              <w:rPr>
                <w:rFonts w:ascii="David" w:hAnsi="David"/>
                <w:sz w:val="26"/>
                <w:szCs w:val="26"/>
              </w:rPr>
            </w:pPr>
          </w:p>
        </w:tc>
      </w:tr>
    </w:tbl>
    <w:p w14:paraId="02282F3B" w14:textId="77777777" w:rsidR="00654319" w:rsidRPr="00F24FC8" w:rsidRDefault="00654319" w:rsidP="00654319">
      <w:pPr>
        <w:rPr>
          <w:sz w:val="26"/>
          <w:szCs w:val="26"/>
          <w:rtl/>
        </w:rPr>
      </w:pPr>
    </w:p>
    <w:p w14:paraId="5AA88CD3" w14:textId="77777777" w:rsidR="00654319" w:rsidRPr="00F24FC8" w:rsidRDefault="00654319" w:rsidP="00654319">
      <w:pPr>
        <w:rPr>
          <w:rtl/>
        </w:rPr>
      </w:pPr>
      <w:bookmarkStart w:id="2" w:name="FirstLawyer"/>
      <w:r w:rsidRPr="00F24FC8">
        <w:rPr>
          <w:rFonts w:hint="cs"/>
          <w:rtl/>
        </w:rPr>
        <w:t>בשם</w:t>
      </w:r>
      <w:bookmarkEnd w:id="2"/>
      <w:r w:rsidRPr="00F24FC8">
        <w:rPr>
          <w:rFonts w:hint="cs"/>
          <w:rtl/>
        </w:rPr>
        <w:t xml:space="preserve"> המאשימה: עו"ד יוסי גימפל מפרקליטות מחוז חיפה (פלילי)</w:t>
      </w:r>
    </w:p>
    <w:p w14:paraId="0F2F62CF" w14:textId="77777777" w:rsidR="00654319" w:rsidRPr="00F24FC8" w:rsidRDefault="00654319" w:rsidP="00654319">
      <w:pPr>
        <w:rPr>
          <w:rtl/>
        </w:rPr>
      </w:pPr>
      <w:r w:rsidRPr="00F24FC8">
        <w:rPr>
          <w:rFonts w:hint="cs"/>
          <w:rtl/>
        </w:rPr>
        <w:t>בשם הנאשם: עו"ד באסל פאלח</w:t>
      </w:r>
    </w:p>
    <w:p w14:paraId="27EE55C0" w14:textId="77777777" w:rsidR="00654319" w:rsidRPr="00F24FC8" w:rsidRDefault="00654319" w:rsidP="00654319">
      <w:pPr>
        <w:rPr>
          <w:rtl/>
        </w:rPr>
      </w:pPr>
    </w:p>
    <w:p w14:paraId="7D5C6337" w14:textId="77777777" w:rsidR="00D56C64" w:rsidRPr="00D56C64" w:rsidRDefault="00D56C64" w:rsidP="00D56C64">
      <w:pPr>
        <w:spacing w:before="120" w:after="120" w:line="240" w:lineRule="exact"/>
        <w:ind w:left="283" w:hanging="283"/>
        <w:jc w:val="both"/>
        <w:rPr>
          <w:rFonts w:ascii="FrankRuehl" w:hAnsi="FrankRuehl" w:cs="FrankRuehl"/>
          <w:rtl/>
        </w:rPr>
      </w:pPr>
    </w:p>
    <w:p w14:paraId="5C572539" w14:textId="77777777" w:rsidR="00D56C64" w:rsidRPr="00D56C64" w:rsidRDefault="00D56C64" w:rsidP="00D56C64">
      <w:pPr>
        <w:spacing w:before="120" w:after="120" w:line="240" w:lineRule="exact"/>
        <w:ind w:left="283" w:hanging="283"/>
        <w:jc w:val="both"/>
        <w:rPr>
          <w:rFonts w:ascii="FrankRuehl" w:hAnsi="FrankRuehl" w:cs="FrankRuehl"/>
          <w:rtl/>
        </w:rPr>
      </w:pPr>
    </w:p>
    <w:p w14:paraId="163BD972" w14:textId="77777777" w:rsidR="00ED3586" w:rsidRDefault="00ED3586" w:rsidP="00ED3586">
      <w:pPr>
        <w:spacing w:line="360" w:lineRule="auto"/>
        <w:rPr>
          <w:rFonts w:ascii="Arial" w:hAnsi="Arial"/>
          <w:sz w:val="26"/>
          <w:szCs w:val="26"/>
          <w:rtl/>
        </w:rPr>
      </w:pPr>
      <w:bookmarkStart w:id="3" w:name="LawTable"/>
      <w:bookmarkEnd w:id="3"/>
    </w:p>
    <w:p w14:paraId="1111A6CF" w14:textId="77777777" w:rsidR="00ED3586" w:rsidRPr="00ED3586" w:rsidRDefault="00ED3586" w:rsidP="00ED3586">
      <w:pPr>
        <w:spacing w:before="120" w:after="120" w:line="240" w:lineRule="exact"/>
        <w:ind w:left="283" w:hanging="283"/>
        <w:jc w:val="both"/>
        <w:rPr>
          <w:rFonts w:ascii="FrankRuehl" w:hAnsi="FrankRuehl" w:cs="FrankRuehl"/>
          <w:rtl/>
        </w:rPr>
      </w:pPr>
    </w:p>
    <w:p w14:paraId="6D39161C" w14:textId="77777777" w:rsidR="00ED3586" w:rsidRPr="00ED3586" w:rsidRDefault="00ED3586" w:rsidP="00ED3586">
      <w:pPr>
        <w:spacing w:before="120" w:after="120" w:line="240" w:lineRule="exact"/>
        <w:ind w:left="283" w:hanging="283"/>
        <w:jc w:val="both"/>
        <w:rPr>
          <w:rFonts w:ascii="FrankRuehl" w:hAnsi="FrankRuehl" w:cs="FrankRuehl"/>
          <w:rtl/>
        </w:rPr>
      </w:pPr>
    </w:p>
    <w:p w14:paraId="421211E1" w14:textId="77777777" w:rsidR="00ED3586" w:rsidRPr="00ED3586" w:rsidRDefault="00ED3586" w:rsidP="00ED3586">
      <w:pPr>
        <w:spacing w:before="120" w:after="120" w:line="240" w:lineRule="exact"/>
        <w:ind w:left="283" w:hanging="283"/>
        <w:jc w:val="both"/>
        <w:rPr>
          <w:rFonts w:ascii="FrankRuehl" w:hAnsi="FrankRuehl" w:cs="FrankRuehl"/>
          <w:rtl/>
        </w:rPr>
      </w:pPr>
      <w:r w:rsidRPr="00ED3586">
        <w:rPr>
          <w:rFonts w:ascii="FrankRuehl" w:hAnsi="FrankRuehl" w:cs="FrankRuehl"/>
          <w:rtl/>
        </w:rPr>
        <w:t xml:space="preserve">חקיקה שאוזכרה: </w:t>
      </w:r>
    </w:p>
    <w:p w14:paraId="4A44B92F" w14:textId="77777777" w:rsidR="00ED3586" w:rsidRPr="00ED3586" w:rsidRDefault="00ED3586" w:rsidP="00ED3586">
      <w:pPr>
        <w:spacing w:before="120" w:after="120" w:line="240" w:lineRule="exact"/>
        <w:ind w:left="283" w:hanging="283"/>
        <w:jc w:val="both"/>
        <w:rPr>
          <w:rFonts w:ascii="FrankRuehl" w:hAnsi="FrankRuehl" w:cs="FrankRuehl"/>
          <w:rtl/>
        </w:rPr>
      </w:pPr>
      <w:hyperlink r:id="rId7" w:history="1">
        <w:r w:rsidRPr="00ED3586">
          <w:rPr>
            <w:rFonts w:ascii="FrankRuehl" w:hAnsi="FrankRuehl" w:cs="FrankRuehl"/>
            <w:color w:val="0000FF"/>
            <w:rtl/>
          </w:rPr>
          <w:t>חוק העונשין, תשל"ז-1977</w:t>
        </w:r>
      </w:hyperlink>
      <w:r w:rsidRPr="00ED3586">
        <w:rPr>
          <w:rFonts w:ascii="FrankRuehl" w:hAnsi="FrankRuehl" w:cs="FrankRuehl"/>
          <w:rtl/>
        </w:rPr>
        <w:t xml:space="preserve">: סע'  </w:t>
      </w:r>
      <w:hyperlink r:id="rId8" w:history="1">
        <w:r w:rsidRPr="00ED3586">
          <w:rPr>
            <w:rFonts w:ascii="FrankRuehl" w:hAnsi="FrankRuehl" w:cs="FrankRuehl"/>
            <w:color w:val="0000FF"/>
            <w:rtl/>
          </w:rPr>
          <w:t>144(א)</w:t>
        </w:r>
      </w:hyperlink>
      <w:r w:rsidRPr="00ED3586">
        <w:rPr>
          <w:rFonts w:ascii="FrankRuehl" w:hAnsi="FrankRuehl" w:cs="FrankRuehl"/>
          <w:rtl/>
        </w:rPr>
        <w:t xml:space="preserve">, </w:t>
      </w:r>
      <w:hyperlink r:id="rId9" w:history="1">
        <w:r w:rsidRPr="00ED3586">
          <w:rPr>
            <w:rFonts w:ascii="FrankRuehl" w:hAnsi="FrankRuehl" w:cs="FrankRuehl"/>
            <w:color w:val="0000FF"/>
            <w:rtl/>
          </w:rPr>
          <w:t>144(ב)</w:t>
        </w:r>
      </w:hyperlink>
      <w:r w:rsidRPr="00ED3586">
        <w:rPr>
          <w:rFonts w:ascii="FrankRuehl" w:hAnsi="FrankRuehl" w:cs="FrankRuehl"/>
          <w:rtl/>
        </w:rPr>
        <w:t xml:space="preserve">, </w:t>
      </w:r>
      <w:hyperlink r:id="rId10" w:history="1">
        <w:r w:rsidRPr="00ED3586">
          <w:rPr>
            <w:rFonts w:ascii="FrankRuehl" w:hAnsi="FrankRuehl" w:cs="FrankRuehl"/>
            <w:color w:val="0000FF"/>
            <w:rtl/>
          </w:rPr>
          <w:t>144(ג)</w:t>
        </w:r>
      </w:hyperlink>
    </w:p>
    <w:p w14:paraId="49810EC0" w14:textId="77777777" w:rsidR="00ED3586" w:rsidRPr="00ED3586" w:rsidRDefault="00ED3586" w:rsidP="00ED3586">
      <w:pPr>
        <w:spacing w:before="120" w:after="120" w:line="240" w:lineRule="exact"/>
        <w:ind w:left="283" w:hanging="283"/>
        <w:jc w:val="both"/>
        <w:rPr>
          <w:rFonts w:ascii="FrankRuehl" w:hAnsi="FrankRuehl" w:cs="FrankRuehl"/>
          <w:rtl/>
        </w:rPr>
      </w:pPr>
      <w:hyperlink r:id="rId11" w:history="1">
        <w:r w:rsidRPr="00ED3586">
          <w:rPr>
            <w:rFonts w:ascii="FrankRuehl" w:hAnsi="FrankRuehl" w:cs="FrankRuehl"/>
            <w:color w:val="0000FF"/>
            <w:rtl/>
          </w:rPr>
          <w:t>פקודת הסמים המסוכנים [נוסח חדש], תשל"ג-1973</w:t>
        </w:r>
      </w:hyperlink>
      <w:r w:rsidRPr="00ED3586">
        <w:rPr>
          <w:rFonts w:ascii="FrankRuehl" w:hAnsi="FrankRuehl" w:cs="FrankRuehl"/>
          <w:rtl/>
        </w:rPr>
        <w:t xml:space="preserve">: סע'  </w:t>
      </w:r>
      <w:hyperlink r:id="rId12" w:history="1">
        <w:r w:rsidRPr="00ED3586">
          <w:rPr>
            <w:rFonts w:ascii="FrankRuehl" w:hAnsi="FrankRuehl" w:cs="FrankRuehl"/>
            <w:color w:val="0000FF"/>
            <w:rtl/>
          </w:rPr>
          <w:t>7.א.</w:t>
        </w:r>
      </w:hyperlink>
      <w:r w:rsidRPr="00ED3586">
        <w:rPr>
          <w:rFonts w:ascii="FrankRuehl" w:hAnsi="FrankRuehl" w:cs="FrankRuehl"/>
          <w:rtl/>
        </w:rPr>
        <w:t xml:space="preserve">, </w:t>
      </w:r>
      <w:hyperlink r:id="rId13" w:history="1">
        <w:r w:rsidRPr="00ED3586">
          <w:rPr>
            <w:rFonts w:ascii="FrankRuehl" w:hAnsi="FrankRuehl" w:cs="FrankRuehl"/>
            <w:color w:val="0000FF"/>
            <w:rtl/>
          </w:rPr>
          <w:t>7.ג</w:t>
        </w:r>
      </w:hyperlink>
    </w:p>
    <w:p w14:paraId="771FAAF2" w14:textId="77777777" w:rsidR="00ED3586" w:rsidRPr="00ED3586" w:rsidRDefault="00ED3586" w:rsidP="00ED3586">
      <w:pPr>
        <w:spacing w:line="360" w:lineRule="auto"/>
        <w:rPr>
          <w:rFonts w:ascii="Arial" w:hAnsi="Arial"/>
          <w:sz w:val="26"/>
          <w:szCs w:val="26"/>
          <w:rtl/>
        </w:rPr>
      </w:pPr>
      <w:bookmarkStart w:id="4" w:name="LawTable_End"/>
      <w:bookmarkEnd w:id="4"/>
    </w:p>
    <w:p w14:paraId="14EE05E5" w14:textId="77777777" w:rsidR="00654319" w:rsidRPr="00D56C64" w:rsidRDefault="00654319" w:rsidP="00D56C64">
      <w:pPr>
        <w:spacing w:line="360" w:lineRule="auto"/>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4319" w14:paraId="1C6FD995" w14:textId="77777777" w:rsidTr="00654319">
        <w:trPr>
          <w:trHeight w:val="355"/>
          <w:jc w:val="center"/>
        </w:trPr>
        <w:tc>
          <w:tcPr>
            <w:tcW w:w="8820" w:type="dxa"/>
            <w:tcBorders>
              <w:top w:val="nil"/>
              <w:left w:val="nil"/>
              <w:bottom w:val="nil"/>
              <w:right w:val="nil"/>
            </w:tcBorders>
            <w:shd w:val="clear" w:color="auto" w:fill="auto"/>
          </w:tcPr>
          <w:p w14:paraId="0A64DEF6" w14:textId="77777777" w:rsidR="00F24FC8" w:rsidRPr="00F24FC8" w:rsidRDefault="00F24FC8" w:rsidP="00F24FC8">
            <w:pPr>
              <w:jc w:val="center"/>
              <w:rPr>
                <w:rFonts w:ascii="David" w:hAnsi="David"/>
                <w:b/>
                <w:bCs/>
                <w:sz w:val="32"/>
                <w:szCs w:val="32"/>
                <w:u w:val="single"/>
                <w:rtl/>
              </w:rPr>
            </w:pPr>
            <w:bookmarkStart w:id="5" w:name="PsakDin" w:colFirst="0" w:colLast="0"/>
            <w:bookmarkEnd w:id="0"/>
            <w:r w:rsidRPr="00F24FC8">
              <w:rPr>
                <w:rFonts w:ascii="David" w:hAnsi="David"/>
                <w:b/>
                <w:bCs/>
                <w:sz w:val="32"/>
                <w:szCs w:val="32"/>
                <w:u w:val="single"/>
                <w:rtl/>
              </w:rPr>
              <w:t>גזר דין</w:t>
            </w:r>
          </w:p>
          <w:p w14:paraId="5ACA42C1" w14:textId="77777777" w:rsidR="00654319" w:rsidRPr="00F24FC8" w:rsidRDefault="00654319" w:rsidP="00F24FC8">
            <w:pPr>
              <w:jc w:val="center"/>
              <w:rPr>
                <w:rFonts w:ascii="David" w:hAnsi="David"/>
                <w:bCs/>
                <w:sz w:val="32"/>
                <w:szCs w:val="32"/>
                <w:u w:val="single"/>
                <w:rtl/>
              </w:rPr>
            </w:pPr>
          </w:p>
        </w:tc>
      </w:tr>
      <w:bookmarkEnd w:id="5"/>
    </w:tbl>
    <w:p w14:paraId="09FAD916" w14:textId="77777777" w:rsidR="00654319" w:rsidRDefault="00654319" w:rsidP="00654319">
      <w:pPr>
        <w:spacing w:line="360" w:lineRule="auto"/>
        <w:rPr>
          <w:rFonts w:ascii="Arial" w:hAnsi="Arial"/>
          <w:b/>
          <w:bCs/>
          <w:sz w:val="26"/>
          <w:szCs w:val="26"/>
          <w:rtl/>
        </w:rPr>
      </w:pPr>
    </w:p>
    <w:p w14:paraId="7766DE0E" w14:textId="77777777" w:rsidR="00654319" w:rsidRDefault="00654319" w:rsidP="00654319">
      <w:pPr>
        <w:pStyle w:val="a9"/>
        <w:numPr>
          <w:ilvl w:val="0"/>
          <w:numId w:val="1"/>
        </w:numPr>
        <w:spacing w:line="360" w:lineRule="auto"/>
        <w:ind w:left="357" w:hanging="357"/>
        <w:jc w:val="both"/>
        <w:rPr>
          <w:rFonts w:ascii="Arial" w:hAnsi="Arial"/>
        </w:rPr>
      </w:pPr>
      <w:bookmarkStart w:id="6" w:name="ABSTRACT_START"/>
      <w:bookmarkEnd w:id="6"/>
      <w:r w:rsidRPr="000038A6">
        <w:rPr>
          <w:rFonts w:ascii="Arial" w:hAnsi="Arial" w:hint="cs"/>
          <w:rtl/>
        </w:rPr>
        <w:t xml:space="preserve">הנאשם הורשע לאחר ניהול הוכחות בעבירות </w:t>
      </w:r>
      <w:r>
        <w:rPr>
          <w:rFonts w:ascii="Arial" w:hAnsi="Arial" w:hint="cs"/>
          <w:rtl/>
        </w:rPr>
        <w:t xml:space="preserve">החזקת נשק לפי </w:t>
      </w:r>
      <w:hyperlink r:id="rId14" w:history="1">
        <w:r w:rsidR="008A415C" w:rsidRPr="008A415C">
          <w:rPr>
            <w:rStyle w:val="Hyperlink"/>
            <w:rFonts w:ascii="Arial" w:hAnsi="Arial" w:hint="eastAsia"/>
            <w:rtl/>
          </w:rPr>
          <w:t>סעיפים</w:t>
        </w:r>
        <w:r w:rsidR="008A415C" w:rsidRPr="008A415C">
          <w:rPr>
            <w:rStyle w:val="Hyperlink"/>
            <w:rFonts w:ascii="Arial" w:hAnsi="Arial"/>
            <w:rtl/>
          </w:rPr>
          <w:t xml:space="preserve"> 144(א)</w:t>
        </w:r>
      </w:hyperlink>
      <w:r>
        <w:rPr>
          <w:rFonts w:ascii="Arial" w:hAnsi="Arial" w:hint="cs"/>
          <w:rtl/>
        </w:rPr>
        <w:t xml:space="preserve"> רישא וסיפא ו-</w:t>
      </w:r>
      <w:hyperlink r:id="rId15" w:history="1">
        <w:r w:rsidR="008A415C" w:rsidRPr="008A415C">
          <w:rPr>
            <w:rStyle w:val="Hyperlink"/>
            <w:rFonts w:ascii="Arial" w:hAnsi="Arial"/>
            <w:rtl/>
          </w:rPr>
          <w:t>144(ג)</w:t>
        </w:r>
      </w:hyperlink>
      <w:r>
        <w:rPr>
          <w:rFonts w:ascii="Arial" w:hAnsi="Arial" w:hint="cs"/>
          <w:rtl/>
        </w:rPr>
        <w:t xml:space="preserve"> ל</w:t>
      </w:r>
      <w:hyperlink r:id="rId16" w:history="1">
        <w:r w:rsidR="00F24FC8" w:rsidRPr="00F24FC8">
          <w:rPr>
            <w:rFonts w:ascii="Arial" w:hAnsi="Arial"/>
            <w:color w:val="0000FF"/>
            <w:u w:val="single"/>
            <w:rtl/>
          </w:rPr>
          <w:t>חוק העונשין</w:t>
        </w:r>
      </w:hyperlink>
      <w:r>
        <w:rPr>
          <w:rFonts w:ascii="Arial" w:hAnsi="Arial" w:hint="cs"/>
          <w:rtl/>
        </w:rPr>
        <w:t>, תשל"ז- 1977 (להלן: "</w:t>
      </w:r>
      <w:r w:rsidRPr="00A56E93">
        <w:rPr>
          <w:rFonts w:ascii="Arial" w:hAnsi="Arial" w:hint="cs"/>
          <w:b/>
          <w:bCs/>
          <w:rtl/>
        </w:rPr>
        <w:t>חוק העונשין</w:t>
      </w:r>
      <w:r>
        <w:rPr>
          <w:rFonts w:ascii="Arial" w:hAnsi="Arial" w:hint="cs"/>
          <w:rtl/>
        </w:rPr>
        <w:t xml:space="preserve">"); ובעבירת החזקת סם מסוכן לשימוש עצמי לפי סעיף </w:t>
      </w:r>
      <w:hyperlink r:id="rId17" w:history="1">
        <w:r w:rsidR="008A415C" w:rsidRPr="008A415C">
          <w:rPr>
            <w:rStyle w:val="Hyperlink"/>
            <w:rFonts w:ascii="Arial" w:hAnsi="Arial"/>
            <w:rtl/>
          </w:rPr>
          <w:t>7(א) ו-(ג)</w:t>
        </w:r>
      </w:hyperlink>
      <w:r>
        <w:rPr>
          <w:rFonts w:ascii="Arial" w:hAnsi="Arial" w:hint="cs"/>
          <w:rtl/>
        </w:rPr>
        <w:t xml:space="preserve"> ל</w:t>
      </w:r>
      <w:hyperlink r:id="rId18" w:history="1">
        <w:r w:rsidR="00F24FC8" w:rsidRPr="00F24FC8">
          <w:rPr>
            <w:rFonts w:ascii="Arial" w:hAnsi="Arial"/>
            <w:color w:val="0000FF"/>
            <w:u w:val="single"/>
            <w:rtl/>
          </w:rPr>
          <w:t>פקודת הסמים המסוכנים</w:t>
        </w:r>
      </w:hyperlink>
      <w:r>
        <w:rPr>
          <w:rFonts w:ascii="Arial" w:hAnsi="Arial" w:hint="cs"/>
          <w:rtl/>
        </w:rPr>
        <w:t xml:space="preserve"> [נוסח חדש], תשל"ג-1973; וזוכה מעבירת הנשיאה וההובלה לפי </w:t>
      </w:r>
      <w:hyperlink r:id="rId19" w:history="1">
        <w:r w:rsidR="008A415C" w:rsidRPr="008A415C">
          <w:rPr>
            <w:rStyle w:val="Hyperlink"/>
            <w:rFonts w:ascii="Arial" w:hAnsi="Arial" w:hint="eastAsia"/>
            <w:rtl/>
          </w:rPr>
          <w:t>סעיף</w:t>
        </w:r>
        <w:r w:rsidR="008A415C" w:rsidRPr="008A415C">
          <w:rPr>
            <w:rStyle w:val="Hyperlink"/>
            <w:rFonts w:ascii="Arial" w:hAnsi="Arial"/>
            <w:rtl/>
          </w:rPr>
          <w:t xml:space="preserve"> 144(ב)</w:t>
        </w:r>
      </w:hyperlink>
      <w:r>
        <w:rPr>
          <w:rFonts w:ascii="Arial" w:hAnsi="Arial" w:hint="cs"/>
          <w:rtl/>
        </w:rPr>
        <w:t xml:space="preserve"> לחוק העונשין שיוחסה לו בכתב האישום. </w:t>
      </w:r>
    </w:p>
    <w:p w14:paraId="4061C0B6" w14:textId="77777777" w:rsidR="00654319" w:rsidRDefault="00654319" w:rsidP="00654319">
      <w:pPr>
        <w:pStyle w:val="a9"/>
        <w:spacing w:line="360" w:lineRule="auto"/>
        <w:ind w:left="357"/>
        <w:jc w:val="both"/>
        <w:rPr>
          <w:rFonts w:ascii="Arial" w:hAnsi="Arial"/>
        </w:rPr>
      </w:pPr>
      <w:bookmarkStart w:id="7" w:name="ABSTRACT_END"/>
      <w:bookmarkEnd w:id="7"/>
    </w:p>
    <w:p w14:paraId="012AE940"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עובדות כתב האישום שהוגש כנגד הנאשם והעובדות בהן הורשע בסופו של דבר פורטו בהרחבה במסגרת הכרעת הדין. בתמצית יצוין כי הנאשם הורשע בכך שהחזיק במגרש רכבים שבבעלותו</w:t>
      </w:r>
      <w:r>
        <w:rPr>
          <w:rFonts w:ascii="Arial" w:hAnsi="Arial"/>
          <w:rtl/>
        </w:rPr>
        <w:t xml:space="preserve"> ברובה קלצ'ניקוב, מחסנית תואמת ו</w:t>
      </w:r>
      <w:r>
        <w:rPr>
          <w:rFonts w:ascii="Arial" w:hAnsi="Arial" w:hint="cs"/>
          <w:rtl/>
        </w:rPr>
        <w:t>-</w:t>
      </w:r>
      <w:r>
        <w:rPr>
          <w:rFonts w:ascii="Arial" w:hAnsi="Arial"/>
          <w:rtl/>
        </w:rPr>
        <w:t xml:space="preserve"> 154 כדורי תחמושת תואמים</w:t>
      </w:r>
      <w:r>
        <w:rPr>
          <w:rFonts w:ascii="Arial" w:hAnsi="Arial" w:hint="cs"/>
          <w:rtl/>
        </w:rPr>
        <w:t>,</w:t>
      </w:r>
      <w:r>
        <w:rPr>
          <w:rFonts w:ascii="Arial" w:hAnsi="Arial"/>
          <w:rtl/>
        </w:rPr>
        <w:t xml:space="preserve"> </w:t>
      </w:r>
      <w:r>
        <w:rPr>
          <w:rFonts w:ascii="Arial" w:hAnsi="Arial" w:hint="cs"/>
          <w:rtl/>
        </w:rPr>
        <w:t xml:space="preserve">ועוד </w:t>
      </w:r>
      <w:r w:rsidRPr="00F33C68">
        <w:rPr>
          <w:rFonts w:ascii="Arial" w:hAnsi="Arial"/>
          <w:rtl/>
        </w:rPr>
        <w:t>מחסנית</w:t>
      </w:r>
      <w:r>
        <w:rPr>
          <w:rFonts w:ascii="Arial" w:hAnsi="Arial" w:hint="cs"/>
          <w:rtl/>
        </w:rPr>
        <w:t xml:space="preserve"> נוספת </w:t>
      </w:r>
      <w:r w:rsidRPr="00F33C68">
        <w:rPr>
          <w:rFonts w:ascii="Arial" w:hAnsi="Arial"/>
          <w:rtl/>
        </w:rPr>
        <w:t xml:space="preserve">תואמת </w:t>
      </w:r>
      <w:r>
        <w:rPr>
          <w:rFonts w:ascii="Arial" w:hAnsi="Arial" w:hint="cs"/>
          <w:rtl/>
        </w:rPr>
        <w:t>ל</w:t>
      </w:r>
      <w:r w:rsidRPr="00F33C68">
        <w:rPr>
          <w:rFonts w:ascii="Arial" w:hAnsi="Arial"/>
          <w:rtl/>
        </w:rPr>
        <w:t>רובה גליל</w:t>
      </w:r>
      <w:r>
        <w:rPr>
          <w:rFonts w:ascii="Arial" w:hAnsi="Arial" w:hint="cs"/>
          <w:rtl/>
        </w:rPr>
        <w:t xml:space="preserve">, אשר הוסלקו בתוך רמקול. כמו כן, הנאשם </w:t>
      </w:r>
      <w:r w:rsidRPr="00F33C68">
        <w:rPr>
          <w:rFonts w:ascii="Arial" w:hAnsi="Arial"/>
          <w:rtl/>
        </w:rPr>
        <w:t xml:space="preserve">החזיק במגרש </w:t>
      </w:r>
      <w:r>
        <w:rPr>
          <w:rFonts w:ascii="Arial" w:hAnsi="Arial" w:hint="cs"/>
          <w:rtl/>
        </w:rPr>
        <w:lastRenderedPageBreak/>
        <w:t>ב</w:t>
      </w:r>
      <w:r w:rsidRPr="00F33C68">
        <w:rPr>
          <w:rFonts w:ascii="Arial" w:hAnsi="Arial"/>
          <w:rtl/>
        </w:rPr>
        <w:t>מחסנית תואמת לאקדח ובה 53 כדורי 9 מ"מ, כשהיא מוסלקת</w:t>
      </w:r>
      <w:r>
        <w:rPr>
          <w:rFonts w:ascii="Arial" w:hAnsi="Arial"/>
          <w:rtl/>
        </w:rPr>
        <w:t xml:space="preserve"> מתחת לשקית בפח אשפה</w:t>
      </w:r>
      <w:r>
        <w:rPr>
          <w:rFonts w:ascii="Arial" w:hAnsi="Arial" w:hint="cs"/>
          <w:rtl/>
        </w:rPr>
        <w:t>.</w:t>
      </w:r>
      <w:r>
        <w:rPr>
          <w:rFonts w:ascii="Arial" w:hAnsi="Arial"/>
          <w:rtl/>
        </w:rPr>
        <w:t xml:space="preserve"> </w:t>
      </w:r>
      <w:r>
        <w:rPr>
          <w:rFonts w:ascii="Arial" w:hAnsi="Arial" w:hint="cs"/>
          <w:rtl/>
        </w:rPr>
        <w:t xml:space="preserve">בנוסף, </w:t>
      </w:r>
      <w:r>
        <w:rPr>
          <w:rFonts w:ascii="Arial" w:hAnsi="Arial"/>
          <w:rtl/>
        </w:rPr>
        <w:t xml:space="preserve">הנאשם </w:t>
      </w:r>
      <w:r w:rsidRPr="00F33C68">
        <w:rPr>
          <w:rFonts w:ascii="Arial" w:hAnsi="Arial"/>
          <w:rtl/>
        </w:rPr>
        <w:t xml:space="preserve">החזיק במשרד במגרש בסם מסוכן מסוג קנבוס במשקל כולל נטו של 1.85 גרם לצריכתו העצמית וללא רישיון. </w:t>
      </w:r>
    </w:p>
    <w:p w14:paraId="6642FBA3" w14:textId="77777777" w:rsidR="00654319" w:rsidRPr="00F33C68" w:rsidRDefault="00654319" w:rsidP="00654319">
      <w:pPr>
        <w:pStyle w:val="a9"/>
        <w:spacing w:line="360" w:lineRule="auto"/>
        <w:rPr>
          <w:rFonts w:ascii="Arial" w:hAnsi="Arial"/>
          <w:rtl/>
        </w:rPr>
      </w:pPr>
    </w:p>
    <w:p w14:paraId="32BC8FAF" w14:textId="77777777" w:rsidR="00654319" w:rsidRDefault="00654319" w:rsidP="00654319">
      <w:pPr>
        <w:spacing w:line="360" w:lineRule="auto"/>
        <w:jc w:val="both"/>
        <w:rPr>
          <w:rFonts w:ascii="Arial" w:hAnsi="Arial"/>
          <w:b/>
          <w:bCs/>
          <w:u w:val="single"/>
          <w:rtl/>
        </w:rPr>
      </w:pPr>
      <w:r w:rsidRPr="00796273">
        <w:rPr>
          <w:rFonts w:ascii="Arial" w:hAnsi="Arial" w:hint="cs"/>
          <w:b/>
          <w:bCs/>
          <w:u w:val="single"/>
          <w:rtl/>
        </w:rPr>
        <w:t>טיעוני המאשימה</w:t>
      </w:r>
    </w:p>
    <w:p w14:paraId="06E0E7FF" w14:textId="77777777" w:rsidR="00654319" w:rsidRPr="00796273" w:rsidRDefault="00654319" w:rsidP="00654319">
      <w:pPr>
        <w:spacing w:line="360" w:lineRule="auto"/>
        <w:jc w:val="both"/>
        <w:rPr>
          <w:rFonts w:ascii="Arial" w:hAnsi="Arial"/>
          <w:b/>
          <w:bCs/>
          <w:u w:val="single"/>
          <w:rtl/>
        </w:rPr>
      </w:pPr>
    </w:p>
    <w:p w14:paraId="7D30D6AF"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נטען שעבירות אלימות שמבוצעות באמצעות נשק, ככלל לא היו מבוצעות אילולא הייתה קיימת תופעה של החזקת נשק. נטען כי בשל היות עבירות אלה בגדר מכת מדינה יש הצדקה לנקיטת מדיניות ענישה מחמירה ביחס למכלול עבירות הנשק הבלתי חוקי לצורך צמצומן. נטען שבשנים האחרונות ישנה מגמה של החמרה בענישה ובהקשר זה הפנתה המאשימה ל</w:t>
      </w:r>
      <w:hyperlink r:id="rId20" w:history="1">
        <w:r w:rsidR="00F24FC8" w:rsidRPr="00F24FC8">
          <w:rPr>
            <w:rFonts w:ascii="Arial" w:hAnsi="Arial"/>
            <w:color w:val="0000FF"/>
            <w:u w:val="single"/>
            <w:rtl/>
          </w:rPr>
          <w:t>ע"פ 4439/19</w:t>
        </w:r>
      </w:hyperlink>
      <w:r>
        <w:rPr>
          <w:rFonts w:ascii="Arial" w:hAnsi="Arial" w:hint="cs"/>
          <w:rtl/>
        </w:rPr>
        <w:t xml:space="preserve">. </w:t>
      </w:r>
    </w:p>
    <w:p w14:paraId="55A8E87D" w14:textId="77777777" w:rsidR="00654319" w:rsidRDefault="00654319" w:rsidP="00654319">
      <w:pPr>
        <w:pStyle w:val="a9"/>
        <w:spacing w:line="360" w:lineRule="auto"/>
        <w:ind w:left="357"/>
        <w:jc w:val="both"/>
        <w:rPr>
          <w:rFonts w:ascii="Arial" w:hAnsi="Arial"/>
        </w:rPr>
      </w:pPr>
    </w:p>
    <w:p w14:paraId="4BEBF96C"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נטען כי במעשיו של הנאשם יש נסיבות מחמירות בהן תכנון מוקדם הבא לידי ביטוי בהסלקת אמל"ח בתוך הרמקול. צוין כי חלקו בביצוע העבירה הוא מלא ובלעדי וכי פוטנציאל הנזק שיכול להיגרם כתוצאה משימוש בנשק או העברתו לידי גורמים פליליים הוא רב. </w:t>
      </w:r>
    </w:p>
    <w:p w14:paraId="36CC814C"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באשר למדיניות הענישה הנוהגת הפנתה המאשימה, בין היתר, לפסיקה הבאה:</w:t>
      </w:r>
    </w:p>
    <w:p w14:paraId="5E890B03" w14:textId="77777777" w:rsidR="00654319" w:rsidRPr="00760AA4" w:rsidRDefault="00654319" w:rsidP="00654319">
      <w:pPr>
        <w:pStyle w:val="a9"/>
        <w:spacing w:line="360" w:lineRule="auto"/>
        <w:rPr>
          <w:rFonts w:ascii="Arial" w:hAnsi="Arial"/>
          <w:rtl/>
        </w:rPr>
      </w:pPr>
    </w:p>
    <w:p w14:paraId="4A785A17" w14:textId="77777777" w:rsidR="00654319" w:rsidRDefault="00F24FC8" w:rsidP="00654319">
      <w:pPr>
        <w:pStyle w:val="a9"/>
        <w:numPr>
          <w:ilvl w:val="0"/>
          <w:numId w:val="2"/>
        </w:numPr>
        <w:spacing w:line="360" w:lineRule="auto"/>
        <w:jc w:val="both"/>
        <w:rPr>
          <w:rFonts w:ascii="Arial" w:hAnsi="Arial"/>
        </w:rPr>
      </w:pPr>
      <w:hyperlink r:id="rId21" w:history="1">
        <w:r w:rsidRPr="00F24FC8">
          <w:rPr>
            <w:rFonts w:ascii="Arial" w:hAnsi="Arial"/>
            <w:color w:val="0000FF"/>
            <w:u w:val="single"/>
            <w:rtl/>
          </w:rPr>
          <w:t>עפ"ג 2024-04-21</w:t>
        </w:r>
      </w:hyperlink>
      <w:r w:rsidR="00654319">
        <w:rPr>
          <w:rFonts w:ascii="Arial" w:hAnsi="Arial" w:hint="cs"/>
          <w:rtl/>
        </w:rPr>
        <w:t xml:space="preserve"> </w:t>
      </w:r>
      <w:r w:rsidR="00654319" w:rsidRPr="00760AA4">
        <w:rPr>
          <w:rFonts w:ascii="Arial" w:hAnsi="Arial" w:hint="cs"/>
          <w:b/>
          <w:bCs/>
          <w:rtl/>
        </w:rPr>
        <w:t xml:space="preserve">מדינת ישראל נ' מנדבורי </w:t>
      </w:r>
      <w:r w:rsidR="00654319">
        <w:rPr>
          <w:rFonts w:ascii="Arial" w:hAnsi="Arial" w:hint="cs"/>
          <w:rtl/>
        </w:rPr>
        <w:t xml:space="preserve">(29.6.2021), שם הורשע נאשם לפי הודאתו בעבירת החזקת רובה דמוי </w:t>
      </w:r>
      <w:r w:rsidR="00654319" w:rsidRPr="00654319">
        <w:rPr>
          <w:rFonts w:cs="Times New Roman"/>
        </w:rPr>
        <w:t>M-16</w:t>
      </w:r>
      <w:r w:rsidR="00654319" w:rsidRPr="00654319">
        <w:rPr>
          <w:rFonts w:cs="Times New Roman"/>
          <w:rtl/>
        </w:rPr>
        <w:t xml:space="preserve"> </w:t>
      </w:r>
      <w:r w:rsidR="00654319">
        <w:rPr>
          <w:rFonts w:ascii="Arial" w:hAnsi="Arial" w:hint="cs"/>
          <w:rtl/>
        </w:rPr>
        <w:t xml:space="preserve">מחסנית תואמת ותחמושת ובית משפט השלום גזר את דינו ל-12 חודשי מאסר, לאחר שנקבע מתחם עונש הולם הנע בין 12-30 חודשי מאסר. ערעור שהוגש על קולת העונש התקבל ובבית המשפט המחוזי נקבע מתחם בן 18-36 חודשי מאסר ונקבע עונש בן 20 חודשי מאסר. </w:t>
      </w:r>
    </w:p>
    <w:p w14:paraId="062502B2" w14:textId="77777777" w:rsidR="00654319" w:rsidRDefault="00654319" w:rsidP="00654319">
      <w:pPr>
        <w:spacing w:line="360" w:lineRule="auto"/>
        <w:rPr>
          <w:rFonts w:ascii="Arial" w:hAnsi="Arial"/>
          <w:b/>
          <w:bCs/>
          <w:rtl/>
        </w:rPr>
      </w:pPr>
    </w:p>
    <w:p w14:paraId="54E50E13" w14:textId="77777777" w:rsidR="00654319" w:rsidRDefault="00F24FC8" w:rsidP="00654319">
      <w:pPr>
        <w:pStyle w:val="a9"/>
        <w:numPr>
          <w:ilvl w:val="0"/>
          <w:numId w:val="2"/>
        </w:numPr>
        <w:spacing w:line="360" w:lineRule="auto"/>
        <w:jc w:val="both"/>
        <w:rPr>
          <w:rFonts w:ascii="Arial" w:hAnsi="Arial"/>
        </w:rPr>
      </w:pPr>
      <w:hyperlink r:id="rId22" w:history="1">
        <w:r w:rsidRPr="00F24FC8">
          <w:rPr>
            <w:rFonts w:ascii="Arial" w:hAnsi="Arial"/>
            <w:color w:val="0000FF"/>
            <w:u w:val="single"/>
            <w:rtl/>
          </w:rPr>
          <w:t>ת"פ 54607-07-19</w:t>
        </w:r>
      </w:hyperlink>
      <w:r w:rsidR="00654319">
        <w:rPr>
          <w:rFonts w:ascii="Arial" w:hAnsi="Arial" w:hint="cs"/>
          <w:rtl/>
        </w:rPr>
        <w:t xml:space="preserve"> </w:t>
      </w:r>
      <w:r w:rsidR="00654319" w:rsidRPr="00693C72">
        <w:rPr>
          <w:rFonts w:ascii="Arial" w:hAnsi="Arial" w:hint="cs"/>
          <w:b/>
          <w:bCs/>
          <w:rtl/>
        </w:rPr>
        <w:t>מדינת ישראל נ' ג'בור</w:t>
      </w:r>
      <w:r w:rsidR="00654319">
        <w:rPr>
          <w:rFonts w:ascii="Arial" w:hAnsi="Arial" w:hint="cs"/>
          <w:rtl/>
        </w:rPr>
        <w:t xml:space="preserve"> (12.1.2020), הנאשם במקרה זה הורשע לפי הודאתו בהחזקת רובה </w:t>
      </w:r>
      <w:r w:rsidR="00654319" w:rsidRPr="00654319">
        <w:rPr>
          <w:rFonts w:cs="Times New Roman"/>
        </w:rPr>
        <w:t>M-16</w:t>
      </w:r>
      <w:r w:rsidR="00654319" w:rsidRPr="00654319">
        <w:rPr>
          <w:rFonts w:cs="Times New Roman" w:hint="cs"/>
          <w:rtl/>
        </w:rPr>
        <w:t xml:space="preserve"> </w:t>
      </w:r>
      <w:r w:rsidR="00654319" w:rsidRPr="00693C72">
        <w:rPr>
          <w:rFonts w:ascii="Arial" w:hAnsi="Arial" w:hint="cs"/>
          <w:rtl/>
        </w:rPr>
        <w:t>ומחסנית ריקה.</w:t>
      </w:r>
      <w:r w:rsidR="00654319">
        <w:rPr>
          <w:rFonts w:ascii="Arial" w:hAnsi="Arial" w:hint="cs"/>
          <w:rtl/>
        </w:rPr>
        <w:t xml:space="preserve"> נקבע מתחם עונש הולם הנע בין 20-40 חודשי מאסר ועל הנאשם, שלחובתו הרשעות קודמות, נגזרו 22 חודשי מאסר.</w:t>
      </w:r>
      <w:r w:rsidR="00654319" w:rsidRPr="00693C72">
        <w:rPr>
          <w:rFonts w:ascii="Arial" w:hAnsi="Arial" w:hint="cs"/>
          <w:rtl/>
        </w:rPr>
        <w:t xml:space="preserve"> </w:t>
      </w:r>
    </w:p>
    <w:p w14:paraId="7259DD92" w14:textId="77777777" w:rsidR="00654319" w:rsidRPr="00C124C8" w:rsidRDefault="00654319" w:rsidP="00654319">
      <w:pPr>
        <w:spacing w:line="360" w:lineRule="auto"/>
        <w:jc w:val="both"/>
        <w:rPr>
          <w:rFonts w:ascii="Arial" w:hAnsi="Arial"/>
          <w:rtl/>
        </w:rPr>
      </w:pPr>
      <w:r w:rsidRPr="00C124C8">
        <w:rPr>
          <w:rFonts w:ascii="Arial" w:hAnsi="Arial" w:hint="cs"/>
          <w:rtl/>
        </w:rPr>
        <w:t xml:space="preserve"> </w:t>
      </w:r>
    </w:p>
    <w:p w14:paraId="7C960EBD" w14:textId="77777777" w:rsidR="00654319" w:rsidRDefault="00F24FC8" w:rsidP="00654319">
      <w:pPr>
        <w:pStyle w:val="a9"/>
        <w:numPr>
          <w:ilvl w:val="0"/>
          <w:numId w:val="2"/>
        </w:numPr>
        <w:spacing w:line="360" w:lineRule="auto"/>
        <w:jc w:val="both"/>
        <w:rPr>
          <w:rFonts w:ascii="Arial" w:hAnsi="Arial"/>
        </w:rPr>
      </w:pPr>
      <w:hyperlink r:id="rId23" w:history="1">
        <w:r w:rsidRPr="00F24FC8">
          <w:rPr>
            <w:rFonts w:ascii="Arial" w:hAnsi="Arial"/>
            <w:color w:val="0000FF"/>
            <w:u w:val="single"/>
            <w:rtl/>
          </w:rPr>
          <w:t>ת"פ 69980-11-20</w:t>
        </w:r>
      </w:hyperlink>
      <w:r w:rsidR="00654319" w:rsidRPr="00C124C8">
        <w:rPr>
          <w:rFonts w:ascii="Arial" w:hAnsi="Arial"/>
          <w:rtl/>
        </w:rPr>
        <w:t xml:space="preserve"> </w:t>
      </w:r>
      <w:r w:rsidR="00654319" w:rsidRPr="00C124C8">
        <w:rPr>
          <w:rFonts w:ascii="Arial" w:hAnsi="Arial"/>
          <w:b/>
          <w:bCs/>
          <w:rtl/>
        </w:rPr>
        <w:t>מדינת ישראל נ' בדר</w:t>
      </w:r>
      <w:r w:rsidR="00654319">
        <w:rPr>
          <w:rFonts w:ascii="Arial" w:hAnsi="Arial" w:hint="cs"/>
          <w:rtl/>
        </w:rPr>
        <w:t xml:space="preserve"> (30.9.2021), שם דובר בנאשם שהורשע לפי הודאתו בעבירה של החזקת נשק לאחר שהחזיק יחד עם נאשם אחר בתת מקלע מאולתר. בית המשפט קבע מתחם ענישה הנע בין 20-40 חודשי מאסר בפועל וגזר על הנאשם 22 חודשי מאסר.</w:t>
      </w:r>
    </w:p>
    <w:p w14:paraId="23C06DA9" w14:textId="77777777" w:rsidR="00654319" w:rsidRPr="00C124C8" w:rsidRDefault="00654319" w:rsidP="00654319">
      <w:pPr>
        <w:pStyle w:val="a9"/>
        <w:spacing w:line="360" w:lineRule="auto"/>
        <w:rPr>
          <w:rFonts w:ascii="Arial" w:hAnsi="Arial"/>
          <w:rtl/>
        </w:rPr>
      </w:pPr>
    </w:p>
    <w:p w14:paraId="283BAFC2" w14:textId="77777777" w:rsidR="00654319" w:rsidRPr="008E16B6" w:rsidRDefault="00F24FC8" w:rsidP="00654319">
      <w:pPr>
        <w:pStyle w:val="a9"/>
        <w:numPr>
          <w:ilvl w:val="0"/>
          <w:numId w:val="2"/>
        </w:numPr>
        <w:spacing w:line="360" w:lineRule="auto"/>
        <w:jc w:val="both"/>
        <w:rPr>
          <w:rFonts w:ascii="Arial" w:hAnsi="Arial"/>
        </w:rPr>
      </w:pPr>
      <w:hyperlink r:id="rId24" w:history="1">
        <w:r w:rsidRPr="00F24FC8">
          <w:rPr>
            <w:rFonts w:ascii="Arial" w:hAnsi="Arial"/>
            <w:color w:val="0000FF"/>
            <w:u w:val="single"/>
            <w:rtl/>
          </w:rPr>
          <w:t>ת"פ 14044-03-20</w:t>
        </w:r>
      </w:hyperlink>
      <w:r w:rsidR="00654319">
        <w:rPr>
          <w:rFonts w:ascii="Arial" w:hAnsi="Arial" w:hint="cs"/>
          <w:rtl/>
        </w:rPr>
        <w:t xml:space="preserve"> </w:t>
      </w:r>
      <w:r w:rsidR="00654319" w:rsidRPr="008E16B6">
        <w:rPr>
          <w:rFonts w:ascii="Arial" w:hAnsi="Arial" w:hint="cs"/>
          <w:b/>
          <w:bCs/>
          <w:rtl/>
        </w:rPr>
        <w:t xml:space="preserve">מדינת ישראל נ' </w:t>
      </w:r>
      <w:r w:rsidR="00654319" w:rsidRPr="008E16B6">
        <w:rPr>
          <w:rFonts w:ascii="Arial" w:hAnsi="Arial"/>
          <w:b/>
          <w:bCs/>
          <w:rtl/>
        </w:rPr>
        <w:t>קטאווי</w:t>
      </w:r>
      <w:r w:rsidR="00654319" w:rsidRPr="008E16B6">
        <w:rPr>
          <w:rFonts w:ascii="Arial" w:hAnsi="Arial" w:hint="cs"/>
          <w:rtl/>
        </w:rPr>
        <w:t xml:space="preserve"> (15.12.2020)</w:t>
      </w:r>
      <w:r w:rsidR="00654319">
        <w:rPr>
          <w:rFonts w:ascii="Arial" w:hAnsi="Arial" w:hint="cs"/>
          <w:rtl/>
        </w:rPr>
        <w:t>, מקרה בו נאשם הורשע בעבירת החזקת נשק ותחמושת לאחר שהחזיק ב</w:t>
      </w:r>
      <w:r w:rsidR="00654319" w:rsidRPr="008E16B6">
        <w:rPr>
          <w:rFonts w:ascii="David" w:hAnsi="David"/>
          <w:color w:val="000000"/>
          <w:shd w:val="clear" w:color="auto" w:fill="FFFFFF"/>
          <w:rtl/>
        </w:rPr>
        <w:t>תת מקלע מאולתר "קרלו</w:t>
      </w:r>
      <w:r w:rsidR="00654319" w:rsidRPr="008E16B6">
        <w:rPr>
          <w:rFonts w:ascii="David" w:hAnsi="David"/>
          <w:color w:val="000000"/>
          <w:shd w:val="clear" w:color="auto" w:fill="FFFFFF"/>
        </w:rPr>
        <w:t>"</w:t>
      </w:r>
      <w:r w:rsidR="00654319">
        <w:rPr>
          <w:rFonts w:ascii="Arial" w:hAnsi="Arial" w:hint="cs"/>
          <w:rtl/>
        </w:rPr>
        <w:t xml:space="preserve"> ובמחסנית תואמת ובא תחמושת אשר הוסלקו במשאית שעמדה בסמוך לביתו. בית המשפט קבע מתחם עונש הולם הנע בין 15-36 חודשי מאסר בפועל וגזר על הנאשם עונש בן 20 חודשי מאסר. </w:t>
      </w:r>
    </w:p>
    <w:p w14:paraId="14D26445" w14:textId="77777777" w:rsidR="00654319" w:rsidRPr="008E16B6" w:rsidRDefault="00654319" w:rsidP="00654319">
      <w:pPr>
        <w:pStyle w:val="a9"/>
        <w:spacing w:line="360" w:lineRule="auto"/>
        <w:ind w:left="357"/>
        <w:jc w:val="both"/>
        <w:rPr>
          <w:rFonts w:ascii="Arial" w:hAnsi="Arial"/>
          <w:rtl/>
        </w:rPr>
      </w:pPr>
    </w:p>
    <w:p w14:paraId="665D66C8" w14:textId="77777777" w:rsidR="00654319" w:rsidRDefault="00654319" w:rsidP="00654319">
      <w:pPr>
        <w:pStyle w:val="a9"/>
        <w:numPr>
          <w:ilvl w:val="0"/>
          <w:numId w:val="1"/>
        </w:numPr>
        <w:spacing w:line="360" w:lineRule="auto"/>
        <w:ind w:left="357" w:hanging="357"/>
        <w:jc w:val="both"/>
        <w:rPr>
          <w:rFonts w:ascii="Arial" w:hAnsi="Arial"/>
        </w:rPr>
      </w:pPr>
      <w:r w:rsidRPr="00CD65C9">
        <w:rPr>
          <w:rFonts w:ascii="Arial" w:hAnsi="Arial" w:hint="cs"/>
          <w:rtl/>
        </w:rPr>
        <w:lastRenderedPageBreak/>
        <w:t xml:space="preserve">באשר לנסיבות שאינן קשורות לביצוע העבירה נטען כי </w:t>
      </w:r>
      <w:r>
        <w:rPr>
          <w:rFonts w:ascii="Arial" w:hAnsi="Arial" w:hint="cs"/>
          <w:rtl/>
        </w:rPr>
        <w:t xml:space="preserve">הנאשם אינו זכאי להקלה שהיא נחלתם של מי שנוטל אחריות על מעשיו, וכי הנאשם אינו קרוב לסייג לאחריות פלילית. נטען שהנאשם הבין את השלכות מעשיו. כן, צוין שהנאשם לא ביצע מהלכי שיקום. </w:t>
      </w:r>
    </w:p>
    <w:p w14:paraId="283CFDF2" w14:textId="77777777" w:rsidR="00654319" w:rsidRPr="00CD65C9" w:rsidRDefault="00654319" w:rsidP="00654319">
      <w:pPr>
        <w:pStyle w:val="a9"/>
        <w:spacing w:line="360" w:lineRule="auto"/>
        <w:ind w:left="357"/>
        <w:jc w:val="both"/>
        <w:rPr>
          <w:rFonts w:ascii="Arial" w:hAnsi="Arial"/>
          <w:rtl/>
        </w:rPr>
      </w:pPr>
      <w:r>
        <w:rPr>
          <w:rFonts w:ascii="Arial" w:hAnsi="Arial" w:hint="cs"/>
          <w:rtl/>
        </w:rPr>
        <w:t xml:space="preserve"> </w:t>
      </w:r>
    </w:p>
    <w:p w14:paraId="46E6E6FC"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המאשימה הוסיפה והזכירה כי ביום 8.12.2021 נכנסה לתוקפה הוראת השעה המתקנת את </w:t>
      </w:r>
      <w:hyperlink r:id="rId25" w:history="1">
        <w:r w:rsidR="00F24FC8" w:rsidRPr="00F24FC8">
          <w:rPr>
            <w:rFonts w:ascii="Arial" w:hAnsi="Arial"/>
            <w:color w:val="0000FF"/>
            <w:u w:val="single"/>
            <w:rtl/>
          </w:rPr>
          <w:t>חוק העונשין</w:t>
        </w:r>
      </w:hyperlink>
      <w:r>
        <w:rPr>
          <w:rFonts w:ascii="Arial" w:hAnsi="Arial" w:hint="cs"/>
          <w:rtl/>
        </w:rPr>
        <w:t xml:space="preserve"> וקובעת עונש מזערי של רבע מהעונש המרבי בחוק בגין עבירות בנשק. נטען שאומנם התיקון אינו חל על הנאשם דנן אולם מלמד על יחס החברה לעבירות אלה.   </w:t>
      </w:r>
    </w:p>
    <w:p w14:paraId="2338229F" w14:textId="77777777" w:rsidR="00654319" w:rsidRPr="003E740C" w:rsidRDefault="00654319" w:rsidP="00654319">
      <w:pPr>
        <w:pStyle w:val="a9"/>
        <w:spacing w:line="360" w:lineRule="auto"/>
        <w:rPr>
          <w:rFonts w:ascii="Arial" w:hAnsi="Arial"/>
          <w:rtl/>
        </w:rPr>
      </w:pPr>
    </w:p>
    <w:p w14:paraId="3B94F5C5" w14:textId="77777777" w:rsidR="00654319" w:rsidRPr="00CD65C9" w:rsidRDefault="00654319" w:rsidP="00654319">
      <w:pPr>
        <w:pStyle w:val="a9"/>
        <w:numPr>
          <w:ilvl w:val="0"/>
          <w:numId w:val="1"/>
        </w:numPr>
        <w:spacing w:line="360" w:lineRule="auto"/>
        <w:ind w:left="357" w:hanging="357"/>
        <w:jc w:val="both"/>
        <w:rPr>
          <w:rFonts w:ascii="Arial" w:hAnsi="Arial"/>
          <w:rtl/>
        </w:rPr>
      </w:pPr>
      <w:r>
        <w:rPr>
          <w:rFonts w:ascii="Arial" w:hAnsi="Arial" w:hint="cs"/>
          <w:rtl/>
        </w:rPr>
        <w:t xml:space="preserve">המאשימה ביקשה שייקבע מתחם עונש הולם הנע בין 2.5-4.5 שנות מאסר בפועל וטענה שיש למקם את עונשו של הנאשם בחלקו האמצעי של המתחם, וכן ביקשה שיוטלו על הנאשם עונש מאסר על תנאי וקנס. </w:t>
      </w:r>
    </w:p>
    <w:p w14:paraId="5CA54F65" w14:textId="77777777" w:rsidR="00654319" w:rsidRDefault="00654319" w:rsidP="00654319">
      <w:pPr>
        <w:spacing w:line="360" w:lineRule="auto"/>
        <w:rPr>
          <w:rFonts w:ascii="Arial" w:hAnsi="Arial"/>
          <w:b/>
          <w:bCs/>
          <w:u w:val="single"/>
          <w:rtl/>
        </w:rPr>
      </w:pPr>
    </w:p>
    <w:p w14:paraId="4CE3C4CF" w14:textId="77777777" w:rsidR="00654319" w:rsidRDefault="00654319" w:rsidP="00654319">
      <w:pPr>
        <w:spacing w:line="360" w:lineRule="auto"/>
        <w:rPr>
          <w:rFonts w:ascii="Arial" w:hAnsi="Arial"/>
          <w:b/>
          <w:bCs/>
          <w:u w:val="single"/>
          <w:rtl/>
        </w:rPr>
      </w:pPr>
    </w:p>
    <w:p w14:paraId="59022159" w14:textId="77777777" w:rsidR="00654319" w:rsidRDefault="00654319" w:rsidP="00654319">
      <w:pPr>
        <w:spacing w:line="360" w:lineRule="auto"/>
        <w:rPr>
          <w:rFonts w:ascii="Arial" w:hAnsi="Arial"/>
          <w:b/>
          <w:bCs/>
          <w:u w:val="single"/>
          <w:rtl/>
        </w:rPr>
      </w:pPr>
    </w:p>
    <w:p w14:paraId="41C63F9B" w14:textId="77777777" w:rsidR="00654319" w:rsidRPr="00796273" w:rsidRDefault="00654319" w:rsidP="00654319">
      <w:pPr>
        <w:spacing w:line="360" w:lineRule="auto"/>
        <w:rPr>
          <w:rFonts w:ascii="Arial" w:hAnsi="Arial"/>
          <w:b/>
          <w:bCs/>
          <w:u w:val="single"/>
          <w:rtl/>
        </w:rPr>
      </w:pPr>
      <w:r w:rsidRPr="00796273">
        <w:rPr>
          <w:rFonts w:ascii="Arial" w:hAnsi="Arial" w:hint="cs"/>
          <w:b/>
          <w:bCs/>
          <w:u w:val="single"/>
          <w:rtl/>
        </w:rPr>
        <w:t>טיעוני ההגנה</w:t>
      </w:r>
    </w:p>
    <w:p w14:paraId="6D82E2D7" w14:textId="77777777" w:rsidR="00654319" w:rsidRDefault="00654319" w:rsidP="00654319">
      <w:pPr>
        <w:spacing w:line="360" w:lineRule="auto"/>
        <w:rPr>
          <w:rFonts w:ascii="Arial" w:hAnsi="Arial"/>
          <w:b/>
          <w:bCs/>
          <w:rtl/>
        </w:rPr>
      </w:pPr>
    </w:p>
    <w:p w14:paraId="51454186"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נטען שהנאשם יליד שנת 87' ונעדר הרשעות קודמות, וכי מדובר בבעל עסקים נשוי ואב לילדים קטנים. </w:t>
      </w:r>
    </w:p>
    <w:p w14:paraId="68EF8F6A" w14:textId="77777777" w:rsidR="00654319" w:rsidRDefault="00654319" w:rsidP="00654319">
      <w:pPr>
        <w:pStyle w:val="a9"/>
        <w:spacing w:line="360" w:lineRule="auto"/>
        <w:ind w:left="357"/>
        <w:jc w:val="both"/>
        <w:rPr>
          <w:rFonts w:ascii="Arial" w:hAnsi="Arial"/>
        </w:rPr>
      </w:pPr>
    </w:p>
    <w:p w14:paraId="495DB843"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נטען שההליכים לא נוהלו באופן סתמי, כאשר לא ברור מתי הנאשם החזיק את הנשק ולכמה זמן, וההרשעה נעשתה נוכח החזקה שבדין אותה הנאשם לא הצליח להפריך. נטען שהפסיקה לגבי מי שהורשע נוכח החזקה שונה מהפסיקה אליה הפנתה המאשימה. בנוסף, נטען כי בכל פסקי הדין אליהם הפנתה המאשימה דובר בנאשמים שלחובתם עבר פלילי, כך שהפסיקה אינה רלוונטית.</w:t>
      </w:r>
    </w:p>
    <w:p w14:paraId="2B72CB9E" w14:textId="77777777" w:rsidR="00654319" w:rsidRPr="0076237E" w:rsidRDefault="00654319" w:rsidP="00654319">
      <w:pPr>
        <w:pStyle w:val="a9"/>
        <w:spacing w:line="360" w:lineRule="auto"/>
        <w:rPr>
          <w:rFonts w:ascii="Arial" w:hAnsi="Arial"/>
          <w:rtl/>
        </w:rPr>
      </w:pPr>
    </w:p>
    <w:p w14:paraId="6DFA27BD"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נטען כי נוכח ההחמרה במדיניות הענישה בשנים האחרונות הענישה בגין החזקה נשק עומדת על תקופה של שנה. הסנגור ביקש שלנוכח הנסיבות המיוחדות בתיק ואופי הכרעת הדין וההרשעה ייקבע מתחם שיתחיל בעבודות שירות, ובהתבקש שעל הנאשם יושת עונש של מאסר בעבודות שירות. </w:t>
      </w:r>
    </w:p>
    <w:p w14:paraId="30D37878" w14:textId="77777777" w:rsidR="00654319" w:rsidRPr="0076237E" w:rsidRDefault="00654319" w:rsidP="00654319">
      <w:pPr>
        <w:pStyle w:val="a9"/>
        <w:spacing w:line="360" w:lineRule="auto"/>
        <w:rPr>
          <w:rFonts w:ascii="Arial" w:hAnsi="Arial"/>
          <w:rtl/>
        </w:rPr>
      </w:pPr>
    </w:p>
    <w:p w14:paraId="3BC16258" w14:textId="77777777" w:rsidR="00654319" w:rsidRDefault="00654319" w:rsidP="00654319">
      <w:pPr>
        <w:pStyle w:val="a9"/>
        <w:numPr>
          <w:ilvl w:val="0"/>
          <w:numId w:val="1"/>
        </w:numPr>
        <w:spacing w:line="360" w:lineRule="auto"/>
        <w:ind w:left="357" w:hanging="357"/>
        <w:jc w:val="both"/>
        <w:rPr>
          <w:rFonts w:ascii="Arial" w:hAnsi="Arial"/>
        </w:rPr>
      </w:pPr>
      <w:r>
        <w:rPr>
          <w:rFonts w:ascii="Arial" w:hAnsi="Arial" w:hint="cs"/>
          <w:rtl/>
        </w:rPr>
        <w:t xml:space="preserve">כמו כן, הוזכר שהנאשם שהה 47 ימים במעצר ועוד שנה וחצי בפיקוח אלקטרוני.    </w:t>
      </w:r>
    </w:p>
    <w:p w14:paraId="04E6A024" w14:textId="77777777" w:rsidR="00654319" w:rsidRDefault="00654319" w:rsidP="00654319">
      <w:pPr>
        <w:spacing w:line="360" w:lineRule="auto"/>
        <w:rPr>
          <w:rFonts w:ascii="Arial" w:hAnsi="Arial"/>
          <w:b/>
          <w:bCs/>
          <w:u w:val="single"/>
          <w:rtl/>
        </w:rPr>
      </w:pPr>
    </w:p>
    <w:p w14:paraId="1E9A3436" w14:textId="77777777" w:rsidR="00654319" w:rsidRPr="00796273" w:rsidRDefault="00654319" w:rsidP="00654319">
      <w:pPr>
        <w:spacing w:line="360" w:lineRule="auto"/>
        <w:rPr>
          <w:rFonts w:ascii="Arial" w:hAnsi="Arial"/>
          <w:b/>
          <w:bCs/>
          <w:u w:val="single"/>
          <w:rtl/>
        </w:rPr>
      </w:pPr>
      <w:r w:rsidRPr="00796273">
        <w:rPr>
          <w:rFonts w:ascii="Arial" w:hAnsi="Arial" w:hint="cs"/>
          <w:b/>
          <w:bCs/>
          <w:u w:val="single"/>
          <w:rtl/>
        </w:rPr>
        <w:t>דבר הנאשם</w:t>
      </w:r>
    </w:p>
    <w:p w14:paraId="1CD1B8C3" w14:textId="77777777" w:rsidR="00654319" w:rsidRDefault="00654319" w:rsidP="00654319">
      <w:pPr>
        <w:spacing w:line="360" w:lineRule="auto"/>
        <w:rPr>
          <w:rFonts w:ascii="Arial" w:hAnsi="Arial"/>
          <w:b/>
          <w:bCs/>
          <w:rtl/>
        </w:rPr>
      </w:pPr>
    </w:p>
    <w:p w14:paraId="34A9CCB5" w14:textId="77777777" w:rsidR="00654319" w:rsidRPr="0076237E" w:rsidRDefault="00654319" w:rsidP="00654319">
      <w:pPr>
        <w:pStyle w:val="a9"/>
        <w:numPr>
          <w:ilvl w:val="0"/>
          <w:numId w:val="1"/>
        </w:numPr>
        <w:spacing w:line="360" w:lineRule="auto"/>
        <w:ind w:left="357" w:hanging="357"/>
        <w:jc w:val="both"/>
        <w:rPr>
          <w:rFonts w:ascii="Arial" w:hAnsi="Arial"/>
        </w:rPr>
      </w:pPr>
      <w:r w:rsidRPr="0076237E">
        <w:rPr>
          <w:rFonts w:ascii="Arial" w:hAnsi="Arial" w:hint="cs"/>
          <w:rtl/>
        </w:rPr>
        <w:t xml:space="preserve">הנאשם ציין שהוא מעדיף לא לומר דברים בשל </w:t>
      </w:r>
      <w:r>
        <w:rPr>
          <w:rFonts w:ascii="Arial" w:hAnsi="Arial" w:hint="cs"/>
          <w:rtl/>
        </w:rPr>
        <w:t>"</w:t>
      </w:r>
      <w:r w:rsidRPr="0076237E">
        <w:rPr>
          <w:rFonts w:ascii="Arial" w:hAnsi="Arial" w:hint="cs"/>
          <w:rtl/>
        </w:rPr>
        <w:t>נושא הכרעת הדין</w:t>
      </w:r>
      <w:r>
        <w:rPr>
          <w:rFonts w:ascii="Arial" w:hAnsi="Arial" w:hint="cs"/>
          <w:rtl/>
        </w:rPr>
        <w:t>"</w:t>
      </w:r>
      <w:r w:rsidRPr="0076237E">
        <w:rPr>
          <w:rFonts w:ascii="Arial" w:hAnsi="Arial" w:hint="cs"/>
          <w:rtl/>
        </w:rPr>
        <w:t>.</w:t>
      </w:r>
    </w:p>
    <w:p w14:paraId="711F1A9C" w14:textId="77777777" w:rsidR="00654319" w:rsidRPr="00E31C10" w:rsidRDefault="00654319" w:rsidP="00654319">
      <w:pPr>
        <w:spacing w:line="360" w:lineRule="auto"/>
        <w:rPr>
          <w:rFonts w:ascii="Arial" w:hAnsi="Arial"/>
          <w:b/>
          <w:bCs/>
          <w:u w:val="single"/>
          <w:rtl/>
        </w:rPr>
      </w:pPr>
    </w:p>
    <w:p w14:paraId="514CD13A" w14:textId="77777777" w:rsidR="00654319" w:rsidRPr="00796273" w:rsidRDefault="00654319" w:rsidP="00654319">
      <w:pPr>
        <w:spacing w:line="360" w:lineRule="auto"/>
        <w:rPr>
          <w:rFonts w:ascii="Arial" w:hAnsi="Arial"/>
          <w:b/>
          <w:bCs/>
          <w:u w:val="single"/>
          <w:rtl/>
        </w:rPr>
      </w:pPr>
      <w:r w:rsidRPr="00796273">
        <w:rPr>
          <w:rFonts w:ascii="Arial" w:hAnsi="Arial" w:hint="cs"/>
          <w:b/>
          <w:bCs/>
          <w:u w:val="single"/>
          <w:rtl/>
        </w:rPr>
        <w:t>דיון</w:t>
      </w:r>
    </w:p>
    <w:p w14:paraId="0B036FF8" w14:textId="77777777" w:rsidR="00654319" w:rsidRDefault="00654319" w:rsidP="00654319">
      <w:pPr>
        <w:spacing w:line="360" w:lineRule="auto"/>
        <w:rPr>
          <w:rFonts w:ascii="Arial" w:hAnsi="Arial"/>
          <w:b/>
          <w:bCs/>
          <w:rtl/>
        </w:rPr>
      </w:pPr>
    </w:p>
    <w:p w14:paraId="1DEB4507"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אין צורך להכביר במילים על החומרה הרבה הטמונה בביצוע עבירות נשק, כאשר בתי המשפט חזרו שוב ושוב על כך שמדובר ברעה חולה שהפכה למכת מדינה של ממש, וכי כמענה לתופעה קשה זו יש לנקוט במדיניות ענישה הולמת שתפעל לצמצום תופעת החזקת הנשק הבלתי חוקי. </w:t>
      </w:r>
    </w:p>
    <w:p w14:paraId="65C3DF67" w14:textId="77777777" w:rsidR="00654319" w:rsidRPr="00384A52" w:rsidRDefault="00654319" w:rsidP="00654319">
      <w:pPr>
        <w:pStyle w:val="a9"/>
        <w:spacing w:after="120" w:line="360" w:lineRule="auto"/>
        <w:ind w:left="360"/>
        <w:jc w:val="both"/>
        <w:rPr>
          <w:rFonts w:ascii="Arial" w:hAnsi="Arial"/>
        </w:rPr>
      </w:pPr>
    </w:p>
    <w:p w14:paraId="265E65A9"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במעשיו הנאשם פגע בערכים החברתיים של שמירה על שלום הציבור ובטחונו וכן שמירה על חיי האדם ושלמות הגוף. הנאשם החזיק נשק התקפי מסוג קלצ'ניקוב, וכן מחסנית תואמת ואף מחסניות נוספות של כלי נשק מסוגים נוספים </w:t>
      </w:r>
      <w:r>
        <w:rPr>
          <w:rFonts w:ascii="Arial" w:hAnsi="Arial"/>
          <w:rtl/>
        </w:rPr>
        <w:t>–</w:t>
      </w:r>
      <w:r>
        <w:rPr>
          <w:rFonts w:ascii="Arial" w:hAnsi="Arial" w:hint="cs"/>
          <w:rtl/>
        </w:rPr>
        <w:t xml:space="preserve"> מחסנית תואמת לנשק מסוג גליל ומחסנית תואמת לאקדח. בנוסף, הנאשם החזיק בכמות בלתי מבוטלת של תחמושת תואמת. עוד נתתי דעתי לכך שאמצעי הלחימה הוסלקו בשני מקומות שונים במגרש. בהתאם לאמור בנסיבות העניין מידת הפגיעה בערכים המוגנים היא בינונית.</w:t>
      </w:r>
    </w:p>
    <w:p w14:paraId="0E6EC5CF" w14:textId="77777777" w:rsidR="00654319" w:rsidRPr="00806CA1" w:rsidRDefault="00654319" w:rsidP="00654319">
      <w:pPr>
        <w:pStyle w:val="a9"/>
        <w:spacing w:line="360" w:lineRule="auto"/>
        <w:rPr>
          <w:rFonts w:ascii="Arial" w:hAnsi="Arial"/>
          <w:rtl/>
        </w:rPr>
      </w:pPr>
    </w:p>
    <w:p w14:paraId="4AA75FA1"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בכל הנוגע לנסיבות ביצוע העבירה, יש לתת את הדעת לכך שהסלקת אמצעי הלחימה שנתפסו בתוך הרמקול הצריכה תכנון מוקדם והשקעת מאמץ בפירוק הרמקול, הכנסת אמצעי הלחימה לתוכו והרכבתו מחדש. כמו כן, לקחתי בחשבון את פוטנציאל הנזק שיש בהחזקת נשק התקפי מסוג רובה סער. בנוסף, הואיל ואמצעי הלחימה הוחזקו במגרש בבעלות הנאשם חלקו הוא דומיננטי, הוא יכל להימנע מהמעשה ולהבין את הפסול במעשיו. </w:t>
      </w:r>
    </w:p>
    <w:p w14:paraId="120C7DA1" w14:textId="77777777" w:rsidR="00654319" w:rsidRPr="00806CA1" w:rsidRDefault="00654319" w:rsidP="00654319">
      <w:pPr>
        <w:pStyle w:val="a9"/>
        <w:spacing w:line="360" w:lineRule="auto"/>
        <w:rPr>
          <w:rFonts w:ascii="Arial" w:hAnsi="Arial"/>
          <w:rtl/>
        </w:rPr>
      </w:pPr>
    </w:p>
    <w:p w14:paraId="043C50AD"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לנוכח האמור, ובהינתן מדיניות הענישה הנוהגת בעבירות מסוג זה בשנים האחרונות כעולה מהפסיקה אני קובע שמתחם העונש ההולם במקרה זה נע בין 20-40 חודשי מאסר בפועל. </w:t>
      </w:r>
    </w:p>
    <w:p w14:paraId="18EF9F64" w14:textId="77777777" w:rsidR="00654319" w:rsidRPr="00FA4E51" w:rsidRDefault="00654319" w:rsidP="00654319">
      <w:pPr>
        <w:pStyle w:val="a9"/>
        <w:spacing w:line="360" w:lineRule="auto"/>
        <w:rPr>
          <w:rFonts w:ascii="Arial" w:hAnsi="Arial"/>
          <w:rtl/>
        </w:rPr>
      </w:pPr>
    </w:p>
    <w:p w14:paraId="3BC28F0D"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 xml:space="preserve">בכל הנוגע לגזרת עונשו של הנאשם בתוך מתחם העונש ההולם נתתי משקל לכך שהנאשם נעדר עבר פלילי, אם כי יש לזכור כי מגמת ההחמרה בענישה באה לידי ביטוי, בין היתר, </w:t>
      </w:r>
      <w:r w:rsidRPr="00B574F4">
        <w:rPr>
          <w:rFonts w:ascii="Arial" w:hAnsi="Arial"/>
          <w:rtl/>
        </w:rPr>
        <w:t xml:space="preserve">בעונשים </w:t>
      </w:r>
      <w:r w:rsidRPr="00B574F4">
        <w:rPr>
          <w:rFonts w:ascii="Arial" w:hAnsi="Arial" w:hint="cs"/>
          <w:rtl/>
        </w:rPr>
        <w:t>משמעותיים ה</w:t>
      </w:r>
      <w:r w:rsidRPr="00B574F4">
        <w:rPr>
          <w:rFonts w:ascii="Arial" w:hAnsi="Arial"/>
          <w:rtl/>
        </w:rPr>
        <w:t xml:space="preserve">מוטלים על </w:t>
      </w:r>
      <w:r w:rsidRPr="00B574F4">
        <w:rPr>
          <w:rFonts w:ascii="Arial" w:hAnsi="Arial" w:hint="cs"/>
          <w:rtl/>
        </w:rPr>
        <w:t xml:space="preserve">נאשמים </w:t>
      </w:r>
      <w:r w:rsidRPr="00B574F4">
        <w:rPr>
          <w:rFonts w:ascii="Arial" w:hAnsi="Arial"/>
          <w:rtl/>
        </w:rPr>
        <w:t>המבצעים עבירות ב</w:t>
      </w:r>
      <w:r w:rsidRPr="00B574F4">
        <w:rPr>
          <w:rFonts w:ascii="Arial" w:hAnsi="Arial" w:hint="cs"/>
          <w:rtl/>
        </w:rPr>
        <w:t>נ</w:t>
      </w:r>
      <w:r w:rsidRPr="00B574F4">
        <w:rPr>
          <w:rFonts w:ascii="Arial" w:hAnsi="Arial"/>
          <w:rtl/>
        </w:rPr>
        <w:t xml:space="preserve">שק </w:t>
      </w:r>
      <w:r w:rsidRPr="00B574F4">
        <w:rPr>
          <w:rFonts w:ascii="Arial" w:hAnsi="Arial" w:hint="cs"/>
          <w:rtl/>
        </w:rPr>
        <w:t>שאין לחובתם עבר</w:t>
      </w:r>
      <w:r w:rsidRPr="00B574F4">
        <w:rPr>
          <w:rFonts w:ascii="Arial" w:hAnsi="Arial"/>
          <w:rtl/>
        </w:rPr>
        <w:t xml:space="preserve"> פלילי</w:t>
      </w:r>
      <w:r w:rsidRPr="00B574F4">
        <w:rPr>
          <w:rFonts w:ascii="Arial" w:hAnsi="Arial"/>
        </w:rPr>
        <w:t>.</w:t>
      </w:r>
      <w:r>
        <w:rPr>
          <w:rFonts w:ascii="Arial" w:hAnsi="Arial" w:hint="cs"/>
          <w:rtl/>
        </w:rPr>
        <w:t xml:space="preserve"> עוד לקחתי בחשבון לקולא שהנאשם הוא בעל משפחה ואב לילדים צעירים. </w:t>
      </w:r>
    </w:p>
    <w:p w14:paraId="31F6C9C1" w14:textId="77777777" w:rsidR="00654319" w:rsidRPr="00C047F0" w:rsidRDefault="00654319" w:rsidP="00654319">
      <w:pPr>
        <w:pStyle w:val="a9"/>
        <w:spacing w:line="360" w:lineRule="auto"/>
        <w:rPr>
          <w:rFonts w:ascii="Arial" w:hAnsi="Arial"/>
          <w:rtl/>
        </w:rPr>
      </w:pPr>
    </w:p>
    <w:p w14:paraId="63A6B765" w14:textId="77777777" w:rsidR="00654319" w:rsidRDefault="00654319" w:rsidP="00654319">
      <w:pPr>
        <w:pStyle w:val="a9"/>
        <w:numPr>
          <w:ilvl w:val="0"/>
          <w:numId w:val="1"/>
        </w:numPr>
        <w:spacing w:after="120" w:line="360" w:lineRule="auto"/>
        <w:jc w:val="both"/>
        <w:rPr>
          <w:rFonts w:ascii="Arial" w:hAnsi="Arial"/>
        </w:rPr>
      </w:pPr>
      <w:r>
        <w:rPr>
          <w:rFonts w:ascii="Arial" w:hAnsi="Arial" w:hint="cs"/>
          <w:rtl/>
        </w:rPr>
        <w:t>בהתאם לכל האמור ובאיזון בין השיקולים השונים יש למקם את עונשו של הנאשם בחלק האמצעי של המתחם, ולהטיל עליו עונשים כדלקמן:</w:t>
      </w:r>
    </w:p>
    <w:p w14:paraId="0DD68612" w14:textId="77777777" w:rsidR="00654319" w:rsidRPr="00C047F0" w:rsidRDefault="00654319" w:rsidP="00654319">
      <w:pPr>
        <w:pStyle w:val="a9"/>
        <w:spacing w:line="360" w:lineRule="auto"/>
        <w:rPr>
          <w:rFonts w:ascii="Arial" w:hAnsi="Arial"/>
          <w:rtl/>
        </w:rPr>
      </w:pPr>
    </w:p>
    <w:p w14:paraId="79E214FC" w14:textId="77777777" w:rsidR="00654319" w:rsidRDefault="00654319" w:rsidP="00654319">
      <w:pPr>
        <w:pStyle w:val="a9"/>
        <w:numPr>
          <w:ilvl w:val="0"/>
          <w:numId w:val="2"/>
        </w:numPr>
        <w:spacing w:after="120" w:line="360" w:lineRule="auto"/>
        <w:ind w:left="714" w:hanging="357"/>
        <w:contextualSpacing w:val="0"/>
        <w:jc w:val="both"/>
        <w:rPr>
          <w:rFonts w:ascii="Arial" w:hAnsi="Arial"/>
        </w:rPr>
      </w:pPr>
      <w:r>
        <w:rPr>
          <w:rFonts w:ascii="Arial" w:hAnsi="Arial" w:hint="cs"/>
          <w:rtl/>
        </w:rPr>
        <w:t xml:space="preserve">30 חודשי מאסר בפועל בניכוי ימי מעצרו של הנאשם מיום </w:t>
      </w:r>
      <w:r w:rsidRPr="00AF4648">
        <w:rPr>
          <w:rFonts w:ascii="Arial" w:hAnsi="Arial"/>
          <w:rtl/>
        </w:rPr>
        <w:t>18.8.2021 ועד ליום 4.10.2021.</w:t>
      </w:r>
      <w:r>
        <w:rPr>
          <w:rFonts w:ascii="Arial" w:hAnsi="Arial" w:hint="cs"/>
          <w:rtl/>
        </w:rPr>
        <w:t xml:space="preserve"> </w:t>
      </w:r>
    </w:p>
    <w:p w14:paraId="714C0D71" w14:textId="77777777" w:rsidR="00654319" w:rsidRPr="00742B2D" w:rsidRDefault="00654319" w:rsidP="00654319">
      <w:pPr>
        <w:pStyle w:val="a9"/>
        <w:numPr>
          <w:ilvl w:val="0"/>
          <w:numId w:val="2"/>
        </w:numPr>
        <w:spacing w:after="120" w:line="360" w:lineRule="auto"/>
        <w:ind w:left="714" w:hanging="357"/>
        <w:contextualSpacing w:val="0"/>
        <w:jc w:val="both"/>
        <w:rPr>
          <w:rFonts w:ascii="Arial" w:hAnsi="Arial"/>
        </w:rPr>
      </w:pPr>
      <w:r>
        <w:rPr>
          <w:rFonts w:ascii="Arial" w:hAnsi="Arial" w:hint="cs"/>
          <w:rtl/>
        </w:rPr>
        <w:t>מאסר על תנאי בן 12 חודשים שיופעל במידה והנאשם יעבור עבירת נשק מסוג פשע בתוך 3 שנים מיום שחרורו;</w:t>
      </w:r>
    </w:p>
    <w:p w14:paraId="0DAC98AC" w14:textId="77777777" w:rsidR="00654319" w:rsidRPr="00742B2D" w:rsidRDefault="00654319" w:rsidP="00654319">
      <w:pPr>
        <w:pStyle w:val="a9"/>
        <w:numPr>
          <w:ilvl w:val="0"/>
          <w:numId w:val="2"/>
        </w:numPr>
        <w:spacing w:after="120" w:line="360" w:lineRule="auto"/>
        <w:ind w:left="714" w:hanging="357"/>
        <w:contextualSpacing w:val="0"/>
        <w:jc w:val="both"/>
        <w:rPr>
          <w:rFonts w:ascii="Arial" w:hAnsi="Arial"/>
        </w:rPr>
      </w:pPr>
      <w:r>
        <w:rPr>
          <w:rFonts w:ascii="Arial" w:hAnsi="Arial" w:hint="cs"/>
          <w:rtl/>
        </w:rPr>
        <w:t>מאסר על תנאי בן 6 חודשים שיופעל במידה והנאשם יבצע עבירת נשק מסוג עוון בתוך 3 שנים מיום שחרורו;</w:t>
      </w:r>
    </w:p>
    <w:p w14:paraId="3169B243" w14:textId="77777777" w:rsidR="00654319" w:rsidRPr="00DD64C4" w:rsidRDefault="00654319" w:rsidP="00654319">
      <w:pPr>
        <w:pStyle w:val="a9"/>
        <w:numPr>
          <w:ilvl w:val="0"/>
          <w:numId w:val="2"/>
        </w:numPr>
        <w:spacing w:after="120" w:line="360" w:lineRule="auto"/>
        <w:jc w:val="both"/>
        <w:rPr>
          <w:rFonts w:ascii="Arial" w:hAnsi="Arial"/>
          <w:rtl/>
        </w:rPr>
      </w:pPr>
      <w:r>
        <w:rPr>
          <w:rFonts w:ascii="Arial" w:hAnsi="Arial" w:hint="cs"/>
          <w:rtl/>
        </w:rPr>
        <w:t>קנס כספי בסך 7,000 ₪ שישולם בחמישה תשלומים החל מיום 1.6.2023 ובכל 1 לחודש עוקב.</w:t>
      </w:r>
    </w:p>
    <w:p w14:paraId="3EE87B86" w14:textId="77777777" w:rsidR="00654319" w:rsidRDefault="00654319" w:rsidP="00654319">
      <w:pPr>
        <w:shd w:val="clear" w:color="auto" w:fill="FFFFFF"/>
        <w:spacing w:line="360" w:lineRule="auto"/>
        <w:jc w:val="both"/>
        <w:textAlignment w:val="baseline"/>
        <w:rPr>
          <w:rFonts w:ascii="Arial" w:hAnsi="Arial"/>
          <w:highlight w:val="yellow"/>
          <w:u w:val="single"/>
          <w:rtl/>
        </w:rPr>
      </w:pPr>
    </w:p>
    <w:p w14:paraId="77D78C95" w14:textId="77777777" w:rsidR="00654319" w:rsidRPr="00CB0A11" w:rsidRDefault="00654319" w:rsidP="00654319">
      <w:pPr>
        <w:shd w:val="clear" w:color="auto" w:fill="FFFFFF"/>
        <w:spacing w:line="360" w:lineRule="auto"/>
        <w:jc w:val="both"/>
        <w:textAlignment w:val="baseline"/>
        <w:rPr>
          <w:rFonts w:ascii="Arial" w:hAnsi="Arial"/>
          <w:b/>
          <w:bCs/>
          <w:rtl/>
        </w:rPr>
      </w:pPr>
      <w:r w:rsidRPr="00211641">
        <w:rPr>
          <w:rFonts w:ascii="Arial" w:hAnsi="Arial" w:hint="cs"/>
          <w:u w:val="single"/>
          <w:rtl/>
        </w:rPr>
        <w:t>הנאשם יתייצב לריצוי עונשו ב</w:t>
      </w:r>
      <w:r>
        <w:rPr>
          <w:rFonts w:ascii="Arial" w:hAnsi="Arial" w:hint="cs"/>
          <w:u w:val="single"/>
          <w:rtl/>
        </w:rPr>
        <w:t>יום 6.7.23 שעה 10:00</w:t>
      </w:r>
      <w:r>
        <w:rPr>
          <w:rFonts w:ascii="Arial" w:hAnsi="Arial" w:hint="cs"/>
          <w:b/>
          <w:bCs/>
          <w:rtl/>
        </w:rPr>
        <w:t>.</w:t>
      </w:r>
    </w:p>
    <w:p w14:paraId="23392638" w14:textId="77777777" w:rsidR="00654319" w:rsidRPr="00F24FC8" w:rsidRDefault="00F24FC8" w:rsidP="00654319">
      <w:pPr>
        <w:shd w:val="clear" w:color="auto" w:fill="FFFFFF"/>
        <w:spacing w:line="360" w:lineRule="auto"/>
        <w:jc w:val="both"/>
        <w:rPr>
          <w:rFonts w:ascii="David" w:hAnsi="David"/>
          <w:color w:val="FFFFFF"/>
          <w:sz w:val="2"/>
          <w:szCs w:val="2"/>
          <w:rtl/>
        </w:rPr>
      </w:pPr>
      <w:r w:rsidRPr="00F24FC8">
        <w:rPr>
          <w:rFonts w:ascii="David" w:hAnsi="David"/>
          <w:color w:val="FFFFFF"/>
          <w:sz w:val="2"/>
          <w:szCs w:val="2"/>
          <w:rtl/>
        </w:rPr>
        <w:t>5129371</w:t>
      </w:r>
    </w:p>
    <w:p w14:paraId="627BF002" w14:textId="77777777" w:rsidR="00654319" w:rsidRPr="00006708" w:rsidRDefault="00F24FC8" w:rsidP="00654319">
      <w:pPr>
        <w:shd w:val="clear" w:color="auto" w:fill="FFFFFF"/>
        <w:spacing w:line="360" w:lineRule="auto"/>
        <w:jc w:val="both"/>
        <w:rPr>
          <w:rFonts w:ascii="David" w:hAnsi="David"/>
          <w:b/>
          <w:bCs/>
          <w:color w:val="000000"/>
          <w:u w:val="single"/>
          <w:rtl/>
        </w:rPr>
      </w:pPr>
      <w:r w:rsidRPr="00F24FC8">
        <w:rPr>
          <w:rFonts w:ascii="David" w:hAnsi="David"/>
          <w:b/>
          <w:bCs/>
          <w:color w:val="FFFFFF"/>
          <w:sz w:val="2"/>
          <w:szCs w:val="2"/>
          <w:u w:val="single"/>
          <w:rtl/>
        </w:rPr>
        <w:t>54678313</w:t>
      </w:r>
      <w:r w:rsidR="00654319" w:rsidRPr="00006708">
        <w:rPr>
          <w:rFonts w:ascii="David" w:hAnsi="David" w:hint="cs"/>
          <w:b/>
          <w:bCs/>
          <w:color w:val="000000"/>
          <w:u w:val="single"/>
          <w:rtl/>
        </w:rPr>
        <w:t>זכות ערעור תוך 45 ימים.</w:t>
      </w:r>
    </w:p>
    <w:p w14:paraId="47B3695F" w14:textId="77777777" w:rsidR="00654319" w:rsidRDefault="00654319" w:rsidP="00654319">
      <w:pPr>
        <w:spacing w:line="360" w:lineRule="auto"/>
        <w:rPr>
          <w:rFonts w:ascii="Arial" w:hAnsi="Arial"/>
          <w:b/>
          <w:bCs/>
          <w:rtl/>
        </w:rPr>
      </w:pPr>
    </w:p>
    <w:p w14:paraId="48DE49E3" w14:textId="77777777" w:rsidR="00654319" w:rsidRPr="000038A6" w:rsidRDefault="00F24FC8" w:rsidP="00654319">
      <w:pPr>
        <w:spacing w:line="360" w:lineRule="auto"/>
        <w:jc w:val="both"/>
        <w:rPr>
          <w:rFonts w:ascii="Arial" w:hAnsi="Arial"/>
          <w:b/>
          <w:bCs/>
          <w:rtl/>
        </w:rPr>
      </w:pPr>
      <w:bookmarkStart w:id="8" w:name="Nitan"/>
      <w:r>
        <w:rPr>
          <w:rFonts w:ascii="Arial" w:hAnsi="Arial"/>
          <w:b/>
          <w:bCs/>
          <w:rtl/>
        </w:rPr>
        <w:t xml:space="preserve">ניתן היום,  א' סיוון תשפ"ג, 21 מאי 2023, בהעדר הצדדים. </w:t>
      </w:r>
      <w:bookmarkEnd w:id="8"/>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b/>
          <w:bCs/>
          <w:rtl/>
        </w:rPr>
        <w:tab/>
      </w:r>
      <w:r w:rsidR="00654319" w:rsidRPr="000038A6">
        <w:rPr>
          <w:rFonts w:ascii="Arial" w:hAnsi="Arial" w:hint="cs"/>
          <w:b/>
          <w:bCs/>
          <w:rtl/>
        </w:rPr>
        <w:t xml:space="preserve">         </w:t>
      </w:r>
    </w:p>
    <w:p w14:paraId="12C56448" w14:textId="77777777" w:rsidR="00654319" w:rsidRPr="000038A6" w:rsidRDefault="00654319" w:rsidP="00F24FC8">
      <w:pPr>
        <w:jc w:val="center"/>
      </w:pPr>
      <w:r w:rsidRPr="000038A6">
        <w:rPr>
          <w:rFonts w:ascii="Arial" w:hAnsi="Arial"/>
          <w:b/>
          <w:bCs/>
          <w:rtl/>
        </w:rPr>
        <w:t xml:space="preserve">   </w:t>
      </w:r>
      <w:r w:rsidRPr="000038A6">
        <w:rPr>
          <w:rFonts w:ascii="Arial" w:hAnsi="Arial"/>
          <w:b/>
          <w:bCs/>
          <w:rtl/>
        </w:rPr>
        <w:tab/>
      </w:r>
      <w:r w:rsidRPr="000038A6">
        <w:rPr>
          <w:rFonts w:ascii="Arial" w:hAnsi="Arial"/>
          <w:b/>
          <w:bCs/>
          <w:rtl/>
        </w:rPr>
        <w:tab/>
      </w:r>
      <w:r w:rsidRPr="000038A6">
        <w:rPr>
          <w:rFonts w:ascii="Arial" w:hAnsi="Arial"/>
          <w:b/>
          <w:bCs/>
          <w:rtl/>
        </w:rPr>
        <w:tab/>
      </w:r>
      <w:r w:rsidRPr="000038A6">
        <w:rPr>
          <w:rFonts w:ascii="Arial" w:hAnsi="Arial"/>
          <w:b/>
          <w:bCs/>
          <w:rtl/>
        </w:rPr>
        <w:tab/>
      </w:r>
      <w:r w:rsidRPr="000038A6">
        <w:rPr>
          <w:rFonts w:ascii="Arial" w:hAnsi="Arial"/>
          <w:b/>
          <w:bCs/>
          <w:rtl/>
        </w:rPr>
        <w:tab/>
      </w:r>
    </w:p>
    <w:p w14:paraId="39A4D754" w14:textId="77777777" w:rsidR="00654319" w:rsidRPr="000038A6" w:rsidRDefault="00654319" w:rsidP="00654319">
      <w:pPr>
        <w:jc w:val="center"/>
        <w:rPr>
          <w:rFonts w:ascii="Arial" w:hAnsi="Arial"/>
          <w:b/>
          <w:bCs/>
          <w:rtl/>
        </w:rPr>
      </w:pPr>
    </w:p>
    <w:p w14:paraId="03E57BB3" w14:textId="77777777" w:rsidR="008F56BC" w:rsidRPr="00F24FC8" w:rsidRDefault="008F56BC" w:rsidP="00F24FC8">
      <w:pPr>
        <w:keepNext/>
        <w:rPr>
          <w:rFonts w:ascii="David" w:hAnsi="David"/>
          <w:color w:val="000000"/>
          <w:sz w:val="22"/>
          <w:szCs w:val="22"/>
          <w:rtl/>
        </w:rPr>
      </w:pPr>
    </w:p>
    <w:p w14:paraId="15C72EC3" w14:textId="77777777" w:rsidR="00F24FC8" w:rsidRPr="00F24FC8" w:rsidRDefault="00F24FC8" w:rsidP="00F24FC8">
      <w:pPr>
        <w:keepNext/>
        <w:rPr>
          <w:rFonts w:ascii="David" w:hAnsi="David"/>
          <w:color w:val="000000"/>
          <w:sz w:val="22"/>
          <w:szCs w:val="22"/>
          <w:rtl/>
        </w:rPr>
      </w:pPr>
      <w:r w:rsidRPr="00F24FC8">
        <w:rPr>
          <w:rFonts w:ascii="David" w:hAnsi="David"/>
          <w:color w:val="000000"/>
          <w:sz w:val="22"/>
          <w:szCs w:val="22"/>
          <w:rtl/>
        </w:rPr>
        <w:t>דניאל פיש 54678313</w:t>
      </w:r>
    </w:p>
    <w:p w14:paraId="1559B32D" w14:textId="77777777" w:rsidR="00F24FC8" w:rsidRDefault="00F24FC8" w:rsidP="00F24FC8">
      <w:r w:rsidRPr="00F24FC8">
        <w:rPr>
          <w:color w:val="000000"/>
          <w:rtl/>
        </w:rPr>
        <w:t>נוסח מסמך זה כפוף לשינויי ניסוח ועריכה</w:t>
      </w:r>
    </w:p>
    <w:p w14:paraId="2D3B9200" w14:textId="77777777" w:rsidR="00F24FC8" w:rsidRDefault="00F24FC8" w:rsidP="00F24FC8">
      <w:pPr>
        <w:rPr>
          <w:rtl/>
        </w:rPr>
      </w:pPr>
    </w:p>
    <w:p w14:paraId="615CDCDE" w14:textId="77777777" w:rsidR="00F24FC8" w:rsidRDefault="00F24FC8" w:rsidP="00F24FC8">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2922CCE" w14:textId="77777777" w:rsidR="00F24FC8" w:rsidRPr="00F24FC8" w:rsidRDefault="00F24FC8" w:rsidP="00F24FC8">
      <w:pPr>
        <w:jc w:val="center"/>
        <w:rPr>
          <w:color w:val="0000FF"/>
          <w:u w:val="single"/>
        </w:rPr>
      </w:pPr>
    </w:p>
    <w:sectPr w:rsidR="00F24FC8" w:rsidRPr="00F24FC8" w:rsidSect="00F24FC8">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F1F4B" w14:textId="77777777" w:rsidR="00C51677" w:rsidRDefault="00C51677" w:rsidP="002523F6">
      <w:r>
        <w:separator/>
      </w:r>
    </w:p>
  </w:endnote>
  <w:endnote w:type="continuationSeparator" w:id="0">
    <w:p w14:paraId="326C0EB8" w14:textId="77777777" w:rsidR="00C51677" w:rsidRDefault="00C51677" w:rsidP="0025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1C40B" w14:textId="77777777" w:rsidR="00F24FC8" w:rsidRDefault="00F24FC8" w:rsidP="00F24F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2AA5C0" w14:textId="77777777" w:rsidR="00337DE6" w:rsidRPr="00F24FC8" w:rsidRDefault="00F24FC8" w:rsidP="00F24F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4FA74" w14:textId="77777777" w:rsidR="00F24FC8" w:rsidRDefault="00F24FC8" w:rsidP="00F24F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452A">
      <w:rPr>
        <w:rFonts w:ascii="FrankRuehl" w:hAnsi="FrankRuehl" w:cs="FrankRuehl"/>
        <w:noProof/>
        <w:rtl/>
      </w:rPr>
      <w:t>1</w:t>
    </w:r>
    <w:r>
      <w:rPr>
        <w:rFonts w:ascii="FrankRuehl" w:hAnsi="FrankRuehl" w:cs="FrankRuehl"/>
        <w:rtl/>
      </w:rPr>
      <w:fldChar w:fldCharType="end"/>
    </w:r>
  </w:p>
  <w:p w14:paraId="50D908A9" w14:textId="77777777" w:rsidR="00337DE6" w:rsidRPr="00F24FC8" w:rsidRDefault="00F24FC8" w:rsidP="00F24F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0D5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983F0" w14:textId="77777777" w:rsidR="00C51677" w:rsidRDefault="00C51677" w:rsidP="002523F6">
      <w:r>
        <w:separator/>
      </w:r>
    </w:p>
  </w:footnote>
  <w:footnote w:type="continuationSeparator" w:id="0">
    <w:p w14:paraId="5DAB58B1" w14:textId="77777777" w:rsidR="00C51677" w:rsidRDefault="00C51677" w:rsidP="00252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AC8DE" w14:textId="77777777" w:rsidR="00F24FC8" w:rsidRPr="00F24FC8" w:rsidRDefault="00F24FC8" w:rsidP="00F24F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6574-09-21</w:t>
    </w:r>
    <w:r>
      <w:rPr>
        <w:rFonts w:ascii="David" w:hAnsi="David"/>
        <w:color w:val="000000"/>
        <w:sz w:val="22"/>
        <w:szCs w:val="22"/>
        <w:rtl/>
      </w:rPr>
      <w:tab/>
      <w:t xml:space="preserve"> מדינת ישראל נ' עמרואן עואד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37B15" w14:textId="77777777" w:rsidR="00F24FC8" w:rsidRPr="00F24FC8" w:rsidRDefault="00F24FC8" w:rsidP="00F24F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6574-09-21</w:t>
    </w:r>
    <w:r>
      <w:rPr>
        <w:rFonts w:ascii="David" w:hAnsi="David"/>
        <w:color w:val="000000"/>
        <w:sz w:val="22"/>
        <w:szCs w:val="22"/>
        <w:rtl/>
      </w:rPr>
      <w:tab/>
      <w:t xml:space="preserve"> מדינת ישראל נ' עמרואן עואד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B2949"/>
    <w:multiLevelType w:val="hybridMultilevel"/>
    <w:tmpl w:val="2F96DE2E"/>
    <w:lvl w:ilvl="0" w:tplc="2CE25C82">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424345"/>
    <w:multiLevelType w:val="hybridMultilevel"/>
    <w:tmpl w:val="0D6EB806"/>
    <w:lvl w:ilvl="0" w:tplc="46EE9942">
      <w:numFmt w:val="bullet"/>
      <w:lvlText w:val="-"/>
      <w:lvlJc w:val="left"/>
      <w:pPr>
        <w:ind w:left="717" w:hanging="360"/>
      </w:pPr>
      <w:rPr>
        <w:rFonts w:ascii="David" w:eastAsia="Times New Roman" w:hAnsi="David" w:cs="David" w:hint="default"/>
        <w:b/>
        <w:bCs w:val="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16cid:durableId="1045563087">
    <w:abstractNumId w:val="0"/>
  </w:num>
  <w:num w:numId="2" w16cid:durableId="1358963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4319"/>
    <w:rsid w:val="0000284C"/>
    <w:rsid w:val="0020759F"/>
    <w:rsid w:val="002523F6"/>
    <w:rsid w:val="00337DE6"/>
    <w:rsid w:val="005F2FEB"/>
    <w:rsid w:val="00654319"/>
    <w:rsid w:val="00722605"/>
    <w:rsid w:val="007D452A"/>
    <w:rsid w:val="008A415C"/>
    <w:rsid w:val="008F56BC"/>
    <w:rsid w:val="009A4E4C"/>
    <w:rsid w:val="009F740A"/>
    <w:rsid w:val="00A1554F"/>
    <w:rsid w:val="00C51677"/>
    <w:rsid w:val="00D56C64"/>
    <w:rsid w:val="00ED3586"/>
    <w:rsid w:val="00F24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CFAC05"/>
  <w15:chartTrackingRefBased/>
  <w15:docId w15:val="{97749D34-9C61-4FEA-A955-C68F5DF4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43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4319"/>
    <w:pPr>
      <w:tabs>
        <w:tab w:val="center" w:pos="4153"/>
        <w:tab w:val="right" w:pos="8306"/>
      </w:tabs>
    </w:pPr>
  </w:style>
  <w:style w:type="character" w:customStyle="1" w:styleId="a4">
    <w:name w:val="כותרת עליונה תו"/>
    <w:link w:val="a3"/>
    <w:rsid w:val="00654319"/>
    <w:rPr>
      <w:rFonts w:ascii="Times New Roman" w:eastAsia="Times New Roman" w:hAnsi="Times New Roman" w:cs="David"/>
      <w:sz w:val="24"/>
      <w:szCs w:val="24"/>
    </w:rPr>
  </w:style>
  <w:style w:type="paragraph" w:styleId="a5">
    <w:name w:val="footer"/>
    <w:basedOn w:val="a"/>
    <w:link w:val="a6"/>
    <w:rsid w:val="00654319"/>
    <w:pPr>
      <w:tabs>
        <w:tab w:val="center" w:pos="4153"/>
        <w:tab w:val="right" w:pos="8306"/>
      </w:tabs>
    </w:pPr>
  </w:style>
  <w:style w:type="character" w:customStyle="1" w:styleId="a6">
    <w:name w:val="כותרת תחתונה תו"/>
    <w:link w:val="a5"/>
    <w:rsid w:val="00654319"/>
    <w:rPr>
      <w:rFonts w:ascii="Times New Roman" w:eastAsia="Times New Roman" w:hAnsi="Times New Roman" w:cs="David"/>
      <w:sz w:val="24"/>
      <w:szCs w:val="24"/>
    </w:rPr>
  </w:style>
  <w:style w:type="table" w:styleId="a7">
    <w:name w:val="Table Grid"/>
    <w:basedOn w:val="a1"/>
    <w:rsid w:val="006543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4319"/>
  </w:style>
  <w:style w:type="paragraph" w:styleId="a9">
    <w:name w:val="List Paragraph"/>
    <w:basedOn w:val="a"/>
    <w:qFormat/>
    <w:rsid w:val="00654319"/>
    <w:pPr>
      <w:ind w:left="720"/>
      <w:contextualSpacing/>
    </w:pPr>
  </w:style>
  <w:style w:type="character" w:styleId="Hyperlink">
    <w:name w:val="Hyperlink"/>
    <w:rsid w:val="00F24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7510949"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82489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652033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c" TargetMode="External"/><Relationship Id="rId23" Type="http://schemas.openxmlformats.org/officeDocument/2006/relationships/hyperlink" Target="http://www.nevo.co.il/case/27196837" TargetMode="External"/><Relationship Id="rId28" Type="http://schemas.openxmlformats.org/officeDocument/2006/relationships/header" Target="header2.xml"/><Relationship Id="rId10" Type="http://schemas.openxmlformats.org/officeDocument/2006/relationships/hyperlink" Target="http://www.nevo.co.il/law/70301/144.c" TargetMode="External"/><Relationship Id="rId19" Type="http://schemas.openxmlformats.org/officeDocument/2006/relationships/hyperlink" Target="http://www.nevo.co.il/law/70301/144.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89068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7735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3407987</vt:i4>
      </vt:variant>
      <vt:variant>
        <vt:i4>51</vt:i4>
      </vt:variant>
      <vt:variant>
        <vt:i4>0</vt:i4>
      </vt:variant>
      <vt:variant>
        <vt:i4>5</vt:i4>
      </vt:variant>
      <vt:variant>
        <vt:lpwstr>http://www.nevo.co.il/case/26520337</vt:lpwstr>
      </vt:variant>
      <vt:variant>
        <vt:lpwstr/>
      </vt:variant>
      <vt:variant>
        <vt:i4>3539058</vt:i4>
      </vt:variant>
      <vt:variant>
        <vt:i4>48</vt:i4>
      </vt:variant>
      <vt:variant>
        <vt:i4>0</vt:i4>
      </vt:variant>
      <vt:variant>
        <vt:i4>5</vt:i4>
      </vt:variant>
      <vt:variant>
        <vt:lpwstr>http://www.nevo.co.il/case/27196837</vt:lpwstr>
      </vt:variant>
      <vt:variant>
        <vt:lpwstr/>
      </vt:variant>
      <vt:variant>
        <vt:i4>3276926</vt:i4>
      </vt:variant>
      <vt:variant>
        <vt:i4>45</vt:i4>
      </vt:variant>
      <vt:variant>
        <vt:i4>0</vt:i4>
      </vt:variant>
      <vt:variant>
        <vt:i4>5</vt:i4>
      </vt:variant>
      <vt:variant>
        <vt:lpwstr>http://www.nevo.co.il/case/25890687</vt:lpwstr>
      </vt:variant>
      <vt:variant>
        <vt:lpwstr/>
      </vt:variant>
      <vt:variant>
        <vt:i4>3342459</vt:i4>
      </vt:variant>
      <vt:variant>
        <vt:i4>42</vt:i4>
      </vt:variant>
      <vt:variant>
        <vt:i4>0</vt:i4>
      </vt:variant>
      <vt:variant>
        <vt:i4>5</vt:i4>
      </vt:variant>
      <vt:variant>
        <vt:lpwstr>http://www.nevo.co.il/case/27510949</vt:lpwstr>
      </vt:variant>
      <vt:variant>
        <vt:lpwstr/>
      </vt:variant>
      <vt:variant>
        <vt:i4>3604603</vt:i4>
      </vt:variant>
      <vt:variant>
        <vt:i4>39</vt:i4>
      </vt:variant>
      <vt:variant>
        <vt:i4>0</vt:i4>
      </vt:variant>
      <vt:variant>
        <vt:i4>5</vt:i4>
      </vt:variant>
      <vt:variant>
        <vt:lpwstr>http://www.nevo.co.il/case/25824897</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6574</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עמרואן עואד</vt:lpwstr>
  </property>
  <property fmtid="{D5CDD505-2E9C-101B-9397-08002B2CF9AE}" pid="10" name="LAWYER">
    <vt:lpwstr>יוסי גימפל ;באסל פאלח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20230521</vt:lpwstr>
  </property>
  <property fmtid="{D5CDD505-2E9C-101B-9397-08002B2CF9AE}" pid="14" name="TYPE_N_DATE">
    <vt:lpwstr>39020230521</vt:lpwstr>
  </property>
  <property fmtid="{D5CDD505-2E9C-101B-9397-08002B2CF9AE}" pid="15" name="WORDNUMPAGES">
    <vt:lpwstr>5</vt:lpwstr>
  </property>
  <property fmtid="{D5CDD505-2E9C-101B-9397-08002B2CF9AE}" pid="16" name="TYPE_ABS_DATE">
    <vt:lpwstr>390020230521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25824897;27510949;25890687;27196837;26520337</vt:lpwstr>
  </property>
  <property fmtid="{D5CDD505-2E9C-101B-9397-08002B2CF9AE}" pid="36" name="LAWLISTTMP1">
    <vt:lpwstr>70301/144.a;144.c;144.b</vt:lpwstr>
  </property>
  <property fmtid="{D5CDD505-2E9C-101B-9397-08002B2CF9AE}" pid="37" name="LAWLISTTMP2">
    <vt:lpwstr>4216/007.a;007.c</vt:lpwstr>
  </property>
</Properties>
</file>