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B084D" w:rsidRPr="00567D7D" w14:paraId="0696A9EC" w14:textId="77777777" w:rsidTr="003766AB">
        <w:trPr>
          <w:trHeight w:hRule="exact" w:val="418"/>
          <w:jc w:val="center"/>
        </w:trPr>
        <w:tc>
          <w:tcPr>
            <w:tcW w:w="8721" w:type="dxa"/>
            <w:gridSpan w:val="2"/>
          </w:tcPr>
          <w:p w14:paraId="0D07FD8C" w14:textId="77777777" w:rsidR="003B084D" w:rsidRPr="00567D7D" w:rsidRDefault="003B084D" w:rsidP="006C43D4">
            <w:pPr>
              <w:pStyle w:val="a3"/>
              <w:jc w:val="center"/>
              <w:rPr>
                <w:rFonts w:ascii="Tahoma" w:hAnsi="Tahoma" w:cs="Tahoma"/>
                <w:color w:val="000080"/>
                <w:rtl/>
              </w:rPr>
            </w:pPr>
            <w:bookmarkStart w:id="0" w:name="LastJudge"/>
            <w:r w:rsidRPr="00567D7D">
              <w:rPr>
                <w:rFonts w:ascii="Tahoma" w:hAnsi="Tahoma" w:cs="Tahoma"/>
                <w:b/>
                <w:bCs/>
                <w:color w:val="000080"/>
                <w:rtl/>
              </w:rPr>
              <w:t>בית המשפט המחוזי בירושלים</w:t>
            </w:r>
          </w:p>
        </w:tc>
      </w:tr>
      <w:tr w:rsidR="003B084D" w:rsidRPr="00567D7D" w14:paraId="13291292" w14:textId="77777777" w:rsidTr="003766AB">
        <w:trPr>
          <w:trHeight w:val="337"/>
          <w:jc w:val="center"/>
        </w:trPr>
        <w:tc>
          <w:tcPr>
            <w:tcW w:w="5054" w:type="dxa"/>
          </w:tcPr>
          <w:p w14:paraId="5D016FD7" w14:textId="77777777" w:rsidR="003B084D" w:rsidRPr="00567D7D" w:rsidRDefault="003B084D" w:rsidP="006C43D4">
            <w:pPr>
              <w:rPr>
                <w:rFonts w:cs="FrankRuehl"/>
                <w:sz w:val="28"/>
                <w:szCs w:val="28"/>
                <w:rtl/>
              </w:rPr>
            </w:pPr>
            <w:r w:rsidRPr="00567D7D">
              <w:rPr>
                <w:rFonts w:cs="FrankRuehl"/>
                <w:sz w:val="28"/>
                <w:szCs w:val="28"/>
                <w:rtl/>
              </w:rPr>
              <w:t>ת"פ</w:t>
            </w:r>
            <w:r w:rsidRPr="00567D7D">
              <w:rPr>
                <w:rFonts w:cs="FrankRuehl" w:hint="cs"/>
                <w:sz w:val="28"/>
                <w:szCs w:val="28"/>
                <w:rtl/>
              </w:rPr>
              <w:t xml:space="preserve"> </w:t>
            </w:r>
            <w:r w:rsidRPr="00567D7D">
              <w:rPr>
                <w:rFonts w:cs="FrankRuehl"/>
                <w:sz w:val="28"/>
                <w:szCs w:val="28"/>
                <w:rtl/>
              </w:rPr>
              <w:t>8066-09-21</w:t>
            </w:r>
            <w:r w:rsidRPr="00567D7D">
              <w:rPr>
                <w:rFonts w:cs="FrankRuehl" w:hint="cs"/>
                <w:sz w:val="28"/>
                <w:szCs w:val="28"/>
                <w:rtl/>
              </w:rPr>
              <w:t xml:space="preserve"> </w:t>
            </w:r>
            <w:r w:rsidRPr="00567D7D">
              <w:rPr>
                <w:rFonts w:cs="FrankRuehl"/>
                <w:sz w:val="28"/>
                <w:szCs w:val="28"/>
                <w:rtl/>
              </w:rPr>
              <w:t>מדינת ישראל נ' מימון</w:t>
            </w:r>
          </w:p>
        </w:tc>
        <w:tc>
          <w:tcPr>
            <w:tcW w:w="3667" w:type="dxa"/>
          </w:tcPr>
          <w:p w14:paraId="1B2C7249" w14:textId="77777777" w:rsidR="003B084D" w:rsidRPr="00567D7D" w:rsidRDefault="003B084D" w:rsidP="006C43D4">
            <w:pPr>
              <w:pStyle w:val="a3"/>
              <w:jc w:val="right"/>
              <w:rPr>
                <w:rFonts w:cs="FrankRuehl"/>
                <w:sz w:val="28"/>
                <w:szCs w:val="28"/>
                <w:rtl/>
              </w:rPr>
            </w:pPr>
          </w:p>
        </w:tc>
      </w:tr>
    </w:tbl>
    <w:p w14:paraId="29BA196C" w14:textId="77777777" w:rsidR="003B084D" w:rsidRPr="00567D7D" w:rsidRDefault="003B084D" w:rsidP="003B084D">
      <w:pPr>
        <w:pStyle w:val="a3"/>
        <w:rPr>
          <w:rtl/>
        </w:rPr>
      </w:pPr>
      <w:r w:rsidRPr="00567D7D">
        <w:rPr>
          <w:rFonts w:hint="cs"/>
          <w:rtl/>
        </w:rPr>
        <w:t xml:space="preserve"> </w:t>
      </w:r>
    </w:p>
    <w:p w14:paraId="636E086B" w14:textId="77777777" w:rsidR="003B084D" w:rsidRPr="00567D7D" w:rsidRDefault="003B084D" w:rsidP="003B084D">
      <w:pPr>
        <w:spacing w:line="360" w:lineRule="auto"/>
        <w:jc w:val="both"/>
        <w:rPr>
          <w:sz w:val="6"/>
          <w:szCs w:val="6"/>
          <w:rtl/>
        </w:rPr>
      </w:pPr>
    </w:p>
    <w:p w14:paraId="0F45D5F4" w14:textId="77777777" w:rsidR="003B084D" w:rsidRPr="00567D7D" w:rsidRDefault="003B084D" w:rsidP="003B084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3B084D" w:rsidRPr="00567D7D" w14:paraId="33A15F92" w14:textId="77777777" w:rsidTr="003B084D">
        <w:trPr>
          <w:gridAfter w:val="1"/>
          <w:wAfter w:w="55" w:type="dxa"/>
        </w:trPr>
        <w:tc>
          <w:tcPr>
            <w:tcW w:w="8719" w:type="dxa"/>
            <w:gridSpan w:val="2"/>
            <w:shd w:val="clear" w:color="auto" w:fill="auto"/>
          </w:tcPr>
          <w:p w14:paraId="052DA665" w14:textId="77777777" w:rsidR="003B084D" w:rsidRPr="00567D7D" w:rsidRDefault="003B084D" w:rsidP="003B084D">
            <w:pPr>
              <w:spacing w:line="360" w:lineRule="auto"/>
              <w:jc w:val="both"/>
              <w:rPr>
                <w:b/>
                <w:bCs/>
                <w:sz w:val="26"/>
                <w:szCs w:val="26"/>
                <w:rtl/>
              </w:rPr>
            </w:pPr>
            <w:r w:rsidRPr="00567D7D">
              <w:rPr>
                <w:rFonts w:hint="cs"/>
                <w:b/>
                <w:bCs/>
                <w:sz w:val="26"/>
                <w:szCs w:val="26"/>
                <w:rtl/>
              </w:rPr>
              <w:t>לפני כב' ה</w:t>
            </w:r>
            <w:r w:rsidRPr="00567D7D">
              <w:rPr>
                <w:b/>
                <w:bCs/>
                <w:sz w:val="26"/>
                <w:szCs w:val="26"/>
                <w:rtl/>
              </w:rPr>
              <w:t>שופטת חנה מרים לומפ</w:t>
            </w:r>
          </w:p>
          <w:p w14:paraId="43551F5F" w14:textId="77777777" w:rsidR="003B084D" w:rsidRPr="00567D7D" w:rsidRDefault="003B084D" w:rsidP="003B084D">
            <w:pPr>
              <w:spacing w:line="360" w:lineRule="auto"/>
              <w:jc w:val="both"/>
              <w:rPr>
                <w:rFonts w:ascii="Arial" w:hAnsi="Arial"/>
                <w:sz w:val="12"/>
                <w:szCs w:val="12"/>
                <w:rtl/>
              </w:rPr>
            </w:pPr>
          </w:p>
        </w:tc>
      </w:tr>
      <w:tr w:rsidR="003B084D" w:rsidRPr="00567D7D" w14:paraId="35AD768F" w14:textId="77777777" w:rsidTr="003B084D">
        <w:tc>
          <w:tcPr>
            <w:tcW w:w="2880" w:type="dxa"/>
            <w:shd w:val="clear" w:color="auto" w:fill="auto"/>
          </w:tcPr>
          <w:p w14:paraId="50DC38A2" w14:textId="77777777" w:rsidR="003B084D" w:rsidRPr="00567D7D" w:rsidRDefault="003B084D" w:rsidP="003B084D">
            <w:pPr>
              <w:spacing w:line="360" w:lineRule="auto"/>
              <w:ind w:left="26"/>
              <w:jc w:val="both"/>
              <w:rPr>
                <w:b/>
                <w:bCs/>
                <w:sz w:val="26"/>
                <w:szCs w:val="26"/>
                <w:rtl/>
              </w:rPr>
            </w:pPr>
            <w:bookmarkStart w:id="1" w:name="FirstAppellant"/>
            <w:bookmarkStart w:id="2" w:name="FirstLawyer"/>
            <w:r w:rsidRPr="00567D7D">
              <w:rPr>
                <w:rFonts w:hint="cs"/>
                <w:b/>
                <w:bCs/>
                <w:sz w:val="26"/>
                <w:szCs w:val="26"/>
                <w:rtl/>
              </w:rPr>
              <w:t>ה</w:t>
            </w:r>
            <w:r w:rsidRPr="00567D7D">
              <w:rPr>
                <w:b/>
                <w:bCs/>
                <w:sz w:val="26"/>
                <w:szCs w:val="26"/>
                <w:rtl/>
              </w:rPr>
              <w:t>מאשימה</w:t>
            </w:r>
            <w:r w:rsidRPr="00567D7D">
              <w:rPr>
                <w:rFonts w:hint="cs"/>
                <w:b/>
                <w:bCs/>
                <w:sz w:val="26"/>
                <w:szCs w:val="26"/>
                <w:rtl/>
              </w:rPr>
              <w:t>:</w:t>
            </w:r>
          </w:p>
        </w:tc>
        <w:tc>
          <w:tcPr>
            <w:tcW w:w="5922" w:type="dxa"/>
            <w:gridSpan w:val="2"/>
            <w:shd w:val="clear" w:color="auto" w:fill="auto"/>
          </w:tcPr>
          <w:p w14:paraId="2B757B77" w14:textId="77777777" w:rsidR="003B084D" w:rsidRPr="00567D7D" w:rsidRDefault="003B084D" w:rsidP="003B084D">
            <w:pPr>
              <w:spacing w:line="360" w:lineRule="auto"/>
              <w:jc w:val="both"/>
              <w:rPr>
                <w:b/>
                <w:bCs/>
                <w:rtl/>
              </w:rPr>
            </w:pPr>
            <w:r w:rsidRPr="00567D7D">
              <w:rPr>
                <w:b/>
                <w:bCs/>
                <w:sz w:val="26"/>
                <w:szCs w:val="26"/>
                <w:rtl/>
              </w:rPr>
              <w:t>מדינת ישראל</w:t>
            </w:r>
          </w:p>
          <w:p w14:paraId="550E4B30" w14:textId="77777777" w:rsidR="003B084D" w:rsidRPr="00567D7D" w:rsidRDefault="003B084D" w:rsidP="003B084D">
            <w:pPr>
              <w:spacing w:line="360" w:lineRule="auto"/>
              <w:jc w:val="both"/>
              <w:rPr>
                <w:rtl/>
              </w:rPr>
            </w:pPr>
            <w:r w:rsidRPr="00567D7D">
              <w:rPr>
                <w:rFonts w:hint="cs"/>
                <w:rtl/>
              </w:rPr>
              <w:t>באמצעות פרקליטות מחוז ירושלים (פלילי)</w:t>
            </w:r>
          </w:p>
          <w:p w14:paraId="20674ACE" w14:textId="77777777" w:rsidR="003B084D" w:rsidRPr="00567D7D" w:rsidRDefault="003B084D" w:rsidP="003B084D">
            <w:pPr>
              <w:spacing w:line="360" w:lineRule="auto"/>
              <w:jc w:val="both"/>
              <w:rPr>
                <w:rtl/>
              </w:rPr>
            </w:pPr>
            <w:r w:rsidRPr="00567D7D">
              <w:rPr>
                <w:rFonts w:hint="cs"/>
                <w:rtl/>
              </w:rPr>
              <w:t>על ידי ב"כ עו"ד אסף סויסה</w:t>
            </w:r>
          </w:p>
        </w:tc>
      </w:tr>
      <w:bookmarkEnd w:id="1"/>
      <w:bookmarkEnd w:id="2"/>
      <w:tr w:rsidR="003B084D" w:rsidRPr="00567D7D" w14:paraId="3595B115" w14:textId="77777777" w:rsidTr="003B084D">
        <w:tc>
          <w:tcPr>
            <w:tcW w:w="8802" w:type="dxa"/>
            <w:gridSpan w:val="3"/>
            <w:shd w:val="clear" w:color="auto" w:fill="auto"/>
          </w:tcPr>
          <w:p w14:paraId="5AAA2EDA" w14:textId="77777777" w:rsidR="003B084D" w:rsidRPr="00567D7D" w:rsidRDefault="003B084D" w:rsidP="003B084D">
            <w:pPr>
              <w:spacing w:line="360" w:lineRule="auto"/>
              <w:jc w:val="center"/>
              <w:rPr>
                <w:rFonts w:ascii="Arial" w:hAnsi="Arial"/>
                <w:b/>
                <w:bCs/>
                <w:sz w:val="16"/>
                <w:szCs w:val="16"/>
                <w:rtl/>
              </w:rPr>
            </w:pPr>
          </w:p>
          <w:p w14:paraId="4DD45868" w14:textId="77777777" w:rsidR="003B084D" w:rsidRPr="00567D7D" w:rsidRDefault="003B084D" w:rsidP="003B084D">
            <w:pPr>
              <w:spacing w:line="360" w:lineRule="auto"/>
              <w:jc w:val="center"/>
              <w:rPr>
                <w:rFonts w:ascii="Arial" w:hAnsi="Arial"/>
                <w:b/>
                <w:bCs/>
                <w:sz w:val="26"/>
                <w:szCs w:val="26"/>
                <w:rtl/>
              </w:rPr>
            </w:pPr>
            <w:r w:rsidRPr="00567D7D">
              <w:rPr>
                <w:rFonts w:ascii="Arial" w:hAnsi="Arial" w:hint="cs"/>
                <w:b/>
                <w:bCs/>
                <w:sz w:val="26"/>
                <w:szCs w:val="26"/>
                <w:rtl/>
              </w:rPr>
              <w:t>נגד</w:t>
            </w:r>
          </w:p>
          <w:p w14:paraId="6650673E" w14:textId="77777777" w:rsidR="003B084D" w:rsidRPr="00567D7D" w:rsidRDefault="003B084D" w:rsidP="003B084D">
            <w:pPr>
              <w:spacing w:line="360" w:lineRule="auto"/>
              <w:jc w:val="center"/>
              <w:rPr>
                <w:rFonts w:ascii="Arial" w:hAnsi="Arial"/>
                <w:b/>
                <w:bCs/>
                <w:sz w:val="2"/>
                <w:szCs w:val="2"/>
                <w:rtl/>
              </w:rPr>
            </w:pPr>
          </w:p>
        </w:tc>
      </w:tr>
      <w:tr w:rsidR="003B084D" w:rsidRPr="00567D7D" w14:paraId="04F758D3" w14:textId="77777777" w:rsidTr="003B084D">
        <w:tc>
          <w:tcPr>
            <w:tcW w:w="2880" w:type="dxa"/>
            <w:shd w:val="clear" w:color="auto" w:fill="auto"/>
          </w:tcPr>
          <w:p w14:paraId="4AB73A43" w14:textId="77777777" w:rsidR="003B084D" w:rsidRPr="00567D7D" w:rsidRDefault="003B084D" w:rsidP="003B084D">
            <w:pPr>
              <w:spacing w:line="360" w:lineRule="auto"/>
              <w:ind w:left="26"/>
              <w:jc w:val="both"/>
              <w:rPr>
                <w:b/>
                <w:bCs/>
                <w:sz w:val="26"/>
                <w:szCs w:val="26"/>
              </w:rPr>
            </w:pPr>
            <w:r w:rsidRPr="00567D7D">
              <w:rPr>
                <w:rFonts w:hint="cs"/>
                <w:b/>
                <w:bCs/>
                <w:sz w:val="26"/>
                <w:szCs w:val="26"/>
                <w:rtl/>
              </w:rPr>
              <w:t>ה</w:t>
            </w:r>
            <w:r w:rsidRPr="00567D7D">
              <w:rPr>
                <w:b/>
                <w:bCs/>
                <w:sz w:val="26"/>
                <w:szCs w:val="26"/>
                <w:rtl/>
              </w:rPr>
              <w:t>נאשם</w:t>
            </w:r>
            <w:r w:rsidRPr="00567D7D">
              <w:rPr>
                <w:rFonts w:hint="cs"/>
                <w:b/>
                <w:bCs/>
                <w:sz w:val="26"/>
                <w:szCs w:val="26"/>
                <w:rtl/>
              </w:rPr>
              <w:t>:</w:t>
            </w:r>
          </w:p>
        </w:tc>
        <w:tc>
          <w:tcPr>
            <w:tcW w:w="5922" w:type="dxa"/>
            <w:gridSpan w:val="2"/>
            <w:shd w:val="clear" w:color="auto" w:fill="auto"/>
          </w:tcPr>
          <w:p w14:paraId="7242E8B0" w14:textId="77777777" w:rsidR="003B084D" w:rsidRPr="00567D7D" w:rsidRDefault="003B084D" w:rsidP="003B084D">
            <w:pPr>
              <w:spacing w:line="360" w:lineRule="auto"/>
              <w:jc w:val="both"/>
              <w:rPr>
                <w:b/>
                <w:bCs/>
                <w:sz w:val="26"/>
                <w:szCs w:val="26"/>
                <w:rtl/>
              </w:rPr>
            </w:pPr>
            <w:r w:rsidRPr="00567D7D">
              <w:rPr>
                <w:b/>
                <w:bCs/>
                <w:sz w:val="26"/>
                <w:szCs w:val="26"/>
                <w:rtl/>
              </w:rPr>
              <w:t>נאור מימון</w:t>
            </w:r>
            <w:r w:rsidRPr="00567D7D">
              <w:rPr>
                <w:rFonts w:hint="cs"/>
                <w:b/>
                <w:bCs/>
                <w:sz w:val="26"/>
                <w:szCs w:val="26"/>
                <w:rtl/>
              </w:rPr>
              <w:t xml:space="preserve">, </w:t>
            </w:r>
            <w:r w:rsidRPr="00567D7D">
              <w:rPr>
                <w:b/>
                <w:bCs/>
                <w:sz w:val="26"/>
                <w:szCs w:val="26"/>
                <w:rtl/>
              </w:rPr>
              <w:t>ת"ז</w:t>
            </w:r>
            <w:r w:rsidRPr="00567D7D">
              <w:rPr>
                <w:rFonts w:hint="cs"/>
                <w:b/>
                <w:bCs/>
                <w:sz w:val="26"/>
                <w:szCs w:val="26"/>
                <w:rtl/>
              </w:rPr>
              <w:t xml:space="preserve"> </w:t>
            </w:r>
            <w:r w:rsidR="00567D7D">
              <w:rPr>
                <w:b/>
                <w:bCs/>
                <w:sz w:val="26"/>
                <w:szCs w:val="26"/>
              </w:rPr>
              <w:t>xxxxxxxxx</w:t>
            </w:r>
          </w:p>
          <w:p w14:paraId="0BE5ABAA" w14:textId="77777777" w:rsidR="003B084D" w:rsidRPr="00567D7D" w:rsidRDefault="003B084D" w:rsidP="003B084D">
            <w:pPr>
              <w:spacing w:line="360" w:lineRule="auto"/>
              <w:jc w:val="both"/>
              <w:rPr>
                <w:rtl/>
              </w:rPr>
            </w:pPr>
            <w:r w:rsidRPr="00567D7D">
              <w:rPr>
                <w:rFonts w:hint="cs"/>
                <w:rtl/>
              </w:rPr>
              <w:t>על ידי ב"כ עו"ד שלומית עדיקה</w:t>
            </w:r>
          </w:p>
        </w:tc>
      </w:tr>
    </w:tbl>
    <w:p w14:paraId="201755BF" w14:textId="77777777" w:rsidR="003B084D" w:rsidRPr="00567D7D" w:rsidRDefault="003B084D" w:rsidP="003B084D">
      <w:pPr>
        <w:spacing w:line="360" w:lineRule="auto"/>
        <w:jc w:val="both"/>
        <w:rPr>
          <w:sz w:val="6"/>
          <w:szCs w:val="6"/>
          <w:rtl/>
        </w:rPr>
      </w:pPr>
    </w:p>
    <w:p w14:paraId="3A41319E" w14:textId="77777777" w:rsidR="003B084D" w:rsidRPr="00567D7D" w:rsidRDefault="003B084D" w:rsidP="003B084D">
      <w:pPr>
        <w:pStyle w:val="12"/>
        <w:spacing w:line="360" w:lineRule="auto"/>
        <w:jc w:val="both"/>
        <w:rPr>
          <w:b w:val="0"/>
          <w:bCs w:val="0"/>
          <w:sz w:val="8"/>
          <w:szCs w:val="8"/>
          <w:u w:val="none"/>
          <w:rtl/>
        </w:rPr>
      </w:pPr>
    </w:p>
    <w:p w14:paraId="72193AD6" w14:textId="77777777" w:rsidR="003766AB" w:rsidRPr="003766AB" w:rsidRDefault="003766AB" w:rsidP="003766AB">
      <w:pPr>
        <w:spacing w:before="120" w:after="120" w:line="240" w:lineRule="exact"/>
        <w:ind w:left="283" w:hanging="283"/>
        <w:jc w:val="both"/>
        <w:rPr>
          <w:rFonts w:ascii="FrankRuehl" w:hAnsi="FrankRuehl" w:cs="FrankRuehl"/>
          <w:rtl/>
        </w:rPr>
      </w:pPr>
    </w:p>
    <w:p w14:paraId="4CF305AC" w14:textId="77777777" w:rsidR="001F7B9A" w:rsidRPr="001F7B9A" w:rsidRDefault="001F7B9A" w:rsidP="001F7B9A">
      <w:pPr>
        <w:spacing w:before="120" w:after="120" w:line="240" w:lineRule="exact"/>
        <w:ind w:left="283" w:hanging="283"/>
        <w:jc w:val="both"/>
        <w:rPr>
          <w:rFonts w:ascii="FrankRuehl" w:hAnsi="FrankRuehl" w:cs="FrankRuehl"/>
          <w:rtl/>
        </w:rPr>
      </w:pPr>
    </w:p>
    <w:p w14:paraId="222D80E9" w14:textId="77777777" w:rsidR="00830B48" w:rsidRDefault="00830B48" w:rsidP="00830B48">
      <w:pPr>
        <w:spacing w:line="360" w:lineRule="auto"/>
        <w:jc w:val="both"/>
        <w:rPr>
          <w:rFonts w:ascii="Arial" w:hAnsi="Arial"/>
          <w:sz w:val="16"/>
          <w:szCs w:val="16"/>
          <w:rtl/>
        </w:rPr>
      </w:pPr>
      <w:bookmarkStart w:id="3" w:name="LawTable"/>
      <w:bookmarkEnd w:id="3"/>
    </w:p>
    <w:p w14:paraId="46B733ED" w14:textId="77777777" w:rsidR="00830B48" w:rsidRPr="00830B48" w:rsidRDefault="00830B48" w:rsidP="00830B48">
      <w:pPr>
        <w:spacing w:before="120" w:after="120" w:line="240" w:lineRule="exact"/>
        <w:ind w:left="283" w:hanging="283"/>
        <w:jc w:val="both"/>
        <w:rPr>
          <w:rFonts w:ascii="FrankRuehl" w:hAnsi="FrankRuehl" w:cs="FrankRuehl"/>
          <w:rtl/>
        </w:rPr>
      </w:pPr>
    </w:p>
    <w:p w14:paraId="7D4FD74C" w14:textId="77777777" w:rsidR="00830B48" w:rsidRPr="00830B48" w:rsidRDefault="00830B48" w:rsidP="00830B48">
      <w:pPr>
        <w:spacing w:before="120" w:after="120" w:line="240" w:lineRule="exact"/>
        <w:ind w:left="283" w:hanging="283"/>
        <w:jc w:val="both"/>
        <w:rPr>
          <w:rFonts w:ascii="FrankRuehl" w:hAnsi="FrankRuehl" w:cs="FrankRuehl"/>
          <w:rtl/>
        </w:rPr>
      </w:pPr>
    </w:p>
    <w:p w14:paraId="7B037465" w14:textId="77777777" w:rsidR="00830B48" w:rsidRPr="00830B48" w:rsidRDefault="00830B48" w:rsidP="00830B48">
      <w:pPr>
        <w:spacing w:before="120" w:after="120" w:line="240" w:lineRule="exact"/>
        <w:ind w:left="283" w:hanging="283"/>
        <w:jc w:val="both"/>
        <w:rPr>
          <w:rFonts w:ascii="FrankRuehl" w:hAnsi="FrankRuehl" w:cs="FrankRuehl"/>
          <w:rtl/>
        </w:rPr>
      </w:pPr>
      <w:r w:rsidRPr="00830B48">
        <w:rPr>
          <w:rFonts w:ascii="FrankRuehl" w:hAnsi="FrankRuehl" w:cs="FrankRuehl"/>
          <w:rtl/>
        </w:rPr>
        <w:t xml:space="preserve">חקיקה שאוזכרה: </w:t>
      </w:r>
    </w:p>
    <w:p w14:paraId="4E953536" w14:textId="77777777" w:rsidR="00830B48" w:rsidRPr="00830B48" w:rsidRDefault="00830B48" w:rsidP="00830B48">
      <w:pPr>
        <w:spacing w:before="120" w:after="120" w:line="240" w:lineRule="exact"/>
        <w:ind w:left="283" w:hanging="283"/>
        <w:jc w:val="both"/>
        <w:rPr>
          <w:rFonts w:ascii="FrankRuehl" w:hAnsi="FrankRuehl" w:cs="FrankRuehl"/>
          <w:rtl/>
        </w:rPr>
      </w:pPr>
      <w:hyperlink r:id="rId7" w:history="1">
        <w:r w:rsidRPr="00830B48">
          <w:rPr>
            <w:rFonts w:ascii="FrankRuehl" w:hAnsi="FrankRuehl" w:cs="FrankRuehl"/>
            <w:color w:val="0000FF"/>
            <w:rtl/>
          </w:rPr>
          <w:t>פקודת הסמים המסוכנים [נוסח חדש], תשל"ג-1973</w:t>
        </w:r>
      </w:hyperlink>
      <w:r w:rsidRPr="00830B48">
        <w:rPr>
          <w:rFonts w:ascii="FrankRuehl" w:hAnsi="FrankRuehl" w:cs="FrankRuehl"/>
          <w:rtl/>
        </w:rPr>
        <w:t xml:space="preserve">: סע'  </w:t>
      </w:r>
      <w:hyperlink r:id="rId8" w:history="1">
        <w:r w:rsidRPr="00830B48">
          <w:rPr>
            <w:rFonts w:ascii="FrankRuehl" w:hAnsi="FrankRuehl" w:cs="FrankRuehl"/>
            <w:color w:val="0000FF"/>
            <w:rtl/>
          </w:rPr>
          <w:t>6</w:t>
        </w:r>
      </w:hyperlink>
      <w:r w:rsidRPr="00830B48">
        <w:rPr>
          <w:rFonts w:ascii="FrankRuehl" w:hAnsi="FrankRuehl" w:cs="FrankRuehl"/>
          <w:rtl/>
        </w:rPr>
        <w:t xml:space="preserve">, </w:t>
      </w:r>
      <w:hyperlink r:id="rId9" w:history="1">
        <w:r w:rsidRPr="00830B48">
          <w:rPr>
            <w:rFonts w:ascii="FrankRuehl" w:hAnsi="FrankRuehl" w:cs="FrankRuehl"/>
            <w:color w:val="0000FF"/>
            <w:rtl/>
          </w:rPr>
          <w:t>7(א)</w:t>
        </w:r>
      </w:hyperlink>
      <w:r w:rsidRPr="00830B48">
        <w:rPr>
          <w:rFonts w:ascii="FrankRuehl" w:hAnsi="FrankRuehl" w:cs="FrankRuehl"/>
          <w:rtl/>
        </w:rPr>
        <w:t xml:space="preserve">, </w:t>
      </w:r>
      <w:hyperlink r:id="rId10" w:history="1">
        <w:r w:rsidRPr="00830B48">
          <w:rPr>
            <w:rFonts w:ascii="FrankRuehl" w:hAnsi="FrankRuehl" w:cs="FrankRuehl"/>
            <w:color w:val="0000FF"/>
            <w:rtl/>
          </w:rPr>
          <w:t>(ג)</w:t>
        </w:r>
      </w:hyperlink>
      <w:r w:rsidRPr="00830B48">
        <w:rPr>
          <w:rFonts w:ascii="FrankRuehl" w:hAnsi="FrankRuehl" w:cs="FrankRuehl"/>
          <w:rtl/>
        </w:rPr>
        <w:t xml:space="preserve">, </w:t>
      </w:r>
      <w:hyperlink r:id="rId11" w:history="1">
        <w:r w:rsidRPr="00830B48">
          <w:rPr>
            <w:rFonts w:ascii="FrankRuehl" w:hAnsi="FrankRuehl" w:cs="FrankRuehl"/>
            <w:color w:val="0000FF"/>
            <w:rtl/>
          </w:rPr>
          <w:t>9(א)</w:t>
        </w:r>
      </w:hyperlink>
      <w:r w:rsidRPr="00830B48">
        <w:rPr>
          <w:rFonts w:ascii="FrankRuehl" w:hAnsi="FrankRuehl" w:cs="FrankRuehl"/>
          <w:rtl/>
        </w:rPr>
        <w:t xml:space="preserve">, </w:t>
      </w:r>
      <w:hyperlink r:id="rId12" w:history="1">
        <w:r w:rsidRPr="00830B48">
          <w:rPr>
            <w:rFonts w:ascii="FrankRuehl" w:hAnsi="FrankRuehl" w:cs="FrankRuehl"/>
            <w:color w:val="0000FF"/>
            <w:rtl/>
          </w:rPr>
          <w:t>10</w:t>
        </w:r>
      </w:hyperlink>
    </w:p>
    <w:p w14:paraId="4D272F75" w14:textId="77777777" w:rsidR="00830B48" w:rsidRPr="00830B48" w:rsidRDefault="00830B48" w:rsidP="00830B48">
      <w:pPr>
        <w:spacing w:before="120" w:after="120" w:line="240" w:lineRule="exact"/>
        <w:ind w:left="283" w:hanging="283"/>
        <w:jc w:val="both"/>
        <w:rPr>
          <w:rFonts w:ascii="FrankRuehl" w:hAnsi="FrankRuehl" w:cs="FrankRuehl"/>
          <w:rtl/>
        </w:rPr>
      </w:pPr>
      <w:hyperlink r:id="rId13" w:history="1">
        <w:r w:rsidRPr="00830B48">
          <w:rPr>
            <w:rFonts w:ascii="FrankRuehl" w:hAnsi="FrankRuehl" w:cs="FrankRuehl"/>
            <w:color w:val="0000FF"/>
            <w:rtl/>
          </w:rPr>
          <w:t>חוק העונשין, תשל"ז-1977</w:t>
        </w:r>
      </w:hyperlink>
      <w:r w:rsidRPr="00830B48">
        <w:rPr>
          <w:rFonts w:ascii="FrankRuehl" w:hAnsi="FrankRuehl" w:cs="FrankRuehl"/>
          <w:rtl/>
        </w:rPr>
        <w:t xml:space="preserve">: סע'  </w:t>
      </w:r>
      <w:hyperlink r:id="rId14" w:history="1">
        <w:r w:rsidRPr="00830B48">
          <w:rPr>
            <w:rFonts w:ascii="FrankRuehl" w:hAnsi="FrankRuehl" w:cs="FrankRuehl"/>
            <w:color w:val="0000FF"/>
            <w:rtl/>
          </w:rPr>
          <w:t>40ב</w:t>
        </w:r>
      </w:hyperlink>
      <w:r w:rsidRPr="00830B48">
        <w:rPr>
          <w:rFonts w:ascii="FrankRuehl" w:hAnsi="FrankRuehl" w:cs="FrankRuehl"/>
          <w:rtl/>
        </w:rPr>
        <w:t xml:space="preserve">, </w:t>
      </w:r>
      <w:hyperlink r:id="rId15" w:history="1">
        <w:r w:rsidRPr="00830B48">
          <w:rPr>
            <w:rFonts w:ascii="FrankRuehl" w:hAnsi="FrankRuehl" w:cs="FrankRuehl"/>
            <w:color w:val="0000FF"/>
            <w:rtl/>
          </w:rPr>
          <w:t>40ג</w:t>
        </w:r>
      </w:hyperlink>
      <w:r w:rsidRPr="00830B48">
        <w:rPr>
          <w:rFonts w:ascii="FrankRuehl" w:hAnsi="FrankRuehl" w:cs="FrankRuehl"/>
          <w:rtl/>
        </w:rPr>
        <w:t xml:space="preserve">, </w:t>
      </w:r>
      <w:hyperlink r:id="rId16" w:history="1">
        <w:r w:rsidRPr="00830B48">
          <w:rPr>
            <w:rFonts w:ascii="FrankRuehl" w:hAnsi="FrankRuehl" w:cs="FrankRuehl"/>
            <w:color w:val="0000FF"/>
            <w:rtl/>
          </w:rPr>
          <w:t>40ד</w:t>
        </w:r>
      </w:hyperlink>
      <w:r w:rsidRPr="00830B48">
        <w:rPr>
          <w:rFonts w:ascii="FrankRuehl" w:hAnsi="FrankRuehl" w:cs="FrankRuehl"/>
          <w:rtl/>
        </w:rPr>
        <w:t xml:space="preserve">, </w:t>
      </w:r>
      <w:hyperlink r:id="rId17" w:history="1">
        <w:r w:rsidRPr="00830B48">
          <w:rPr>
            <w:rFonts w:ascii="FrankRuehl" w:hAnsi="FrankRuehl" w:cs="FrankRuehl"/>
            <w:color w:val="0000FF"/>
            <w:rtl/>
          </w:rPr>
          <w:t>40ט</w:t>
        </w:r>
      </w:hyperlink>
      <w:r w:rsidRPr="00830B48">
        <w:rPr>
          <w:rFonts w:ascii="FrankRuehl" w:hAnsi="FrankRuehl" w:cs="FrankRuehl"/>
          <w:rtl/>
        </w:rPr>
        <w:t xml:space="preserve">, </w:t>
      </w:r>
      <w:hyperlink r:id="rId18" w:history="1">
        <w:r w:rsidRPr="00830B48">
          <w:rPr>
            <w:rFonts w:ascii="FrankRuehl" w:hAnsi="FrankRuehl" w:cs="FrankRuehl"/>
            <w:color w:val="0000FF"/>
            <w:rtl/>
          </w:rPr>
          <w:t>400</w:t>
        </w:r>
      </w:hyperlink>
    </w:p>
    <w:p w14:paraId="73548959" w14:textId="77777777" w:rsidR="00830B48" w:rsidRPr="00830B48" w:rsidRDefault="00830B48" w:rsidP="00830B48">
      <w:pPr>
        <w:spacing w:line="360" w:lineRule="auto"/>
        <w:jc w:val="both"/>
        <w:rPr>
          <w:rFonts w:ascii="Arial" w:hAnsi="Arial"/>
          <w:sz w:val="16"/>
          <w:szCs w:val="16"/>
          <w:rtl/>
        </w:rPr>
      </w:pPr>
      <w:bookmarkStart w:id="4" w:name="LawTable_End"/>
      <w:bookmarkEnd w:id="4"/>
    </w:p>
    <w:p w14:paraId="0D26001D" w14:textId="77777777" w:rsidR="003B084D" w:rsidRPr="001F7B9A" w:rsidRDefault="003B084D" w:rsidP="001F7B9A">
      <w:pPr>
        <w:spacing w:line="360" w:lineRule="auto"/>
        <w:jc w:val="both"/>
        <w:rPr>
          <w:rFonts w:ascii="Arial" w:hAnsi="Arial"/>
          <w:sz w:val="16"/>
          <w:szCs w:val="1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084D" w14:paraId="32858CF5" w14:textId="77777777" w:rsidTr="003B084D">
        <w:trPr>
          <w:trHeight w:val="355"/>
          <w:jc w:val="center"/>
        </w:trPr>
        <w:tc>
          <w:tcPr>
            <w:tcW w:w="8820" w:type="dxa"/>
            <w:tcBorders>
              <w:top w:val="nil"/>
              <w:left w:val="nil"/>
              <w:bottom w:val="nil"/>
              <w:right w:val="nil"/>
            </w:tcBorders>
            <w:shd w:val="clear" w:color="auto" w:fill="auto"/>
          </w:tcPr>
          <w:p w14:paraId="05DF17DA" w14:textId="77777777" w:rsidR="00567D7D" w:rsidRPr="003766AB" w:rsidRDefault="00567D7D" w:rsidP="00567D7D">
            <w:pPr>
              <w:spacing w:line="360" w:lineRule="auto"/>
              <w:jc w:val="center"/>
              <w:rPr>
                <w:rFonts w:ascii="David" w:hAnsi="David"/>
                <w:b/>
                <w:bCs/>
                <w:sz w:val="28"/>
                <w:szCs w:val="28"/>
                <w:u w:val="single"/>
                <w:rtl/>
              </w:rPr>
            </w:pPr>
            <w:bookmarkStart w:id="5" w:name="PsakDin" w:colFirst="0" w:colLast="0"/>
            <w:bookmarkEnd w:id="0"/>
            <w:r w:rsidRPr="003766AB">
              <w:rPr>
                <w:rFonts w:ascii="David" w:hAnsi="David"/>
                <w:b/>
                <w:bCs/>
                <w:sz w:val="28"/>
                <w:szCs w:val="28"/>
                <w:u w:val="single"/>
                <w:rtl/>
              </w:rPr>
              <w:t>גזר דין</w:t>
            </w:r>
          </w:p>
          <w:p w14:paraId="5AA2CC54" w14:textId="77777777" w:rsidR="003B084D" w:rsidRPr="003766AB" w:rsidRDefault="003B084D" w:rsidP="00567D7D">
            <w:pPr>
              <w:spacing w:line="360" w:lineRule="auto"/>
              <w:jc w:val="center"/>
              <w:rPr>
                <w:rFonts w:ascii="David" w:hAnsi="David"/>
                <w:bCs/>
                <w:sz w:val="28"/>
                <w:szCs w:val="28"/>
                <w:u w:val="single"/>
                <w:rtl/>
              </w:rPr>
            </w:pPr>
          </w:p>
        </w:tc>
      </w:tr>
      <w:bookmarkEnd w:id="5"/>
    </w:tbl>
    <w:p w14:paraId="487D4FB2" w14:textId="77777777" w:rsidR="003B084D" w:rsidRPr="00424414" w:rsidRDefault="003B084D" w:rsidP="003B084D">
      <w:pPr>
        <w:spacing w:line="360" w:lineRule="auto"/>
        <w:jc w:val="both"/>
        <w:rPr>
          <w:rFonts w:ascii="Arial" w:hAnsi="Arial"/>
          <w:b/>
          <w:bCs/>
          <w:sz w:val="16"/>
          <w:szCs w:val="16"/>
          <w:rtl/>
        </w:rPr>
      </w:pPr>
    </w:p>
    <w:p w14:paraId="0A673E74" w14:textId="77777777" w:rsidR="003B084D" w:rsidRDefault="003B084D" w:rsidP="003B084D">
      <w:pPr>
        <w:spacing w:line="360" w:lineRule="auto"/>
        <w:jc w:val="both"/>
        <w:rPr>
          <w:rFonts w:ascii="Arial" w:hAnsi="Arial"/>
          <w:sz w:val="26"/>
          <w:szCs w:val="26"/>
          <w:rtl/>
        </w:rPr>
      </w:pPr>
      <w:r>
        <w:rPr>
          <w:rFonts w:ascii="Arial" w:hAnsi="Arial" w:hint="cs"/>
          <w:b/>
          <w:bCs/>
          <w:sz w:val="26"/>
          <w:szCs w:val="26"/>
          <w:u w:val="single"/>
          <w:rtl/>
        </w:rPr>
        <w:t>רקע</w:t>
      </w:r>
    </w:p>
    <w:p w14:paraId="35D39300" w14:textId="77777777" w:rsidR="003B084D" w:rsidRDefault="003B084D" w:rsidP="003B084D">
      <w:pPr>
        <w:numPr>
          <w:ilvl w:val="0"/>
          <w:numId w:val="1"/>
        </w:numPr>
        <w:spacing w:after="160" w:line="360" w:lineRule="auto"/>
        <w:ind w:left="283" w:hanging="283"/>
        <w:contextualSpacing/>
        <w:jc w:val="both"/>
        <w:rPr>
          <w:rFonts w:ascii="Calibri" w:hAnsi="Calibri"/>
        </w:rPr>
      </w:pPr>
      <w:bookmarkStart w:id="6" w:name="ABSTRACT_START"/>
      <w:bookmarkEnd w:id="6"/>
      <w:r w:rsidRPr="00D62BB3">
        <w:rPr>
          <w:rFonts w:ascii="Calibri" w:hAnsi="Calibri"/>
          <w:rtl/>
        </w:rPr>
        <w:t>הנאשם הורשע על פי הודאת</w:t>
      </w:r>
      <w:r w:rsidRPr="00D62BB3">
        <w:rPr>
          <w:rFonts w:ascii="Calibri" w:hAnsi="Calibri" w:hint="cs"/>
          <w:rtl/>
        </w:rPr>
        <w:t>ו</w:t>
      </w:r>
      <w:r w:rsidRPr="00D62BB3">
        <w:rPr>
          <w:rFonts w:ascii="Calibri" w:hAnsi="Calibri"/>
          <w:rtl/>
        </w:rPr>
        <w:t xml:space="preserve">, </w:t>
      </w:r>
      <w:r>
        <w:rPr>
          <w:rFonts w:ascii="Calibri" w:hAnsi="Calibri" w:hint="cs"/>
          <w:rtl/>
        </w:rPr>
        <w:t xml:space="preserve">בעובדות כתב האישום המתוקן, וזאת </w:t>
      </w:r>
      <w:r w:rsidRPr="00D62BB3">
        <w:rPr>
          <w:rFonts w:ascii="Calibri" w:hAnsi="Calibri"/>
          <w:rtl/>
        </w:rPr>
        <w:t>במסגרת הסדר טיעון, בעביר</w:t>
      </w:r>
      <w:r>
        <w:rPr>
          <w:rFonts w:ascii="Calibri" w:hAnsi="Calibri" w:hint="cs"/>
          <w:rtl/>
        </w:rPr>
        <w:t>ות כדלקמן:</w:t>
      </w:r>
      <w:r w:rsidRPr="00D62BB3">
        <w:rPr>
          <w:rFonts w:ascii="Calibri" w:hAnsi="Calibri"/>
          <w:rtl/>
        </w:rPr>
        <w:t xml:space="preserve"> גידול סם מסוכן לפי </w:t>
      </w:r>
      <w:hyperlink r:id="rId19" w:history="1">
        <w:r w:rsidR="003766AB" w:rsidRPr="003766AB">
          <w:rPr>
            <w:rStyle w:val="Hyperlink"/>
            <w:rFonts w:ascii="Calibri" w:hAnsi="Calibri"/>
            <w:rtl/>
          </w:rPr>
          <w:t>סעיף 6</w:t>
        </w:r>
      </w:hyperlink>
      <w:r w:rsidRPr="00D62BB3">
        <w:rPr>
          <w:rFonts w:ascii="Calibri" w:hAnsi="Calibri"/>
          <w:rtl/>
        </w:rPr>
        <w:t xml:space="preserve"> ל</w:t>
      </w:r>
      <w:hyperlink r:id="rId20" w:history="1">
        <w:r w:rsidR="00567D7D" w:rsidRPr="00567D7D">
          <w:rPr>
            <w:rFonts w:ascii="Calibri" w:hAnsi="Calibri" w:hint="eastAsia"/>
            <w:color w:val="0000FF"/>
            <w:u w:val="single"/>
            <w:rtl/>
          </w:rPr>
          <w:t>פקודת</w:t>
        </w:r>
        <w:r w:rsidR="00567D7D" w:rsidRPr="00567D7D">
          <w:rPr>
            <w:rFonts w:ascii="Calibri" w:hAnsi="Calibri"/>
            <w:color w:val="0000FF"/>
            <w:u w:val="single"/>
            <w:rtl/>
          </w:rPr>
          <w:t xml:space="preserve"> </w:t>
        </w:r>
        <w:r w:rsidR="00567D7D" w:rsidRPr="00567D7D">
          <w:rPr>
            <w:rFonts w:ascii="Calibri" w:hAnsi="Calibri" w:hint="eastAsia"/>
            <w:color w:val="0000FF"/>
            <w:u w:val="single"/>
            <w:rtl/>
          </w:rPr>
          <w:t>הסמים</w:t>
        </w:r>
        <w:r w:rsidR="00567D7D" w:rsidRPr="00567D7D">
          <w:rPr>
            <w:rFonts w:ascii="Calibri" w:hAnsi="Calibri"/>
            <w:color w:val="0000FF"/>
            <w:u w:val="single"/>
            <w:rtl/>
          </w:rPr>
          <w:t xml:space="preserve"> </w:t>
        </w:r>
        <w:r w:rsidR="00567D7D" w:rsidRPr="00567D7D">
          <w:rPr>
            <w:rFonts w:ascii="Calibri" w:hAnsi="Calibri" w:hint="eastAsia"/>
            <w:color w:val="0000FF"/>
            <w:u w:val="single"/>
            <w:rtl/>
          </w:rPr>
          <w:t>המסוכנים</w:t>
        </w:r>
      </w:hyperlink>
      <w:r w:rsidRPr="00D62BB3">
        <w:rPr>
          <w:rFonts w:ascii="Calibri" w:hAnsi="Calibri"/>
          <w:rtl/>
        </w:rPr>
        <w:t xml:space="preserve"> (נוסח חדש)</w:t>
      </w:r>
      <w:r>
        <w:rPr>
          <w:rFonts w:ascii="Calibri" w:hAnsi="Calibri" w:hint="cs"/>
          <w:rtl/>
        </w:rPr>
        <w:t>,</w:t>
      </w:r>
      <w:r w:rsidRPr="00D62BB3">
        <w:rPr>
          <w:rFonts w:ascii="Calibri" w:hAnsi="Calibri"/>
          <w:rtl/>
        </w:rPr>
        <w:t xml:space="preserve"> התשל"ג-1973 (להלן: </w:t>
      </w:r>
      <w:r>
        <w:rPr>
          <w:rFonts w:ascii="Calibri" w:hAnsi="Calibri" w:hint="cs"/>
          <w:b/>
          <w:bCs/>
          <w:rtl/>
        </w:rPr>
        <w:t>"</w:t>
      </w:r>
      <w:r w:rsidRPr="00D62BB3">
        <w:rPr>
          <w:rFonts w:ascii="Calibri" w:hAnsi="Calibri"/>
          <w:b/>
          <w:bCs/>
          <w:rtl/>
        </w:rPr>
        <w:t>הפקודה</w:t>
      </w:r>
      <w:r>
        <w:rPr>
          <w:rFonts w:ascii="Calibri" w:hAnsi="Calibri" w:hint="cs"/>
          <w:b/>
          <w:bCs/>
          <w:rtl/>
        </w:rPr>
        <w:t>"</w:t>
      </w:r>
      <w:r>
        <w:rPr>
          <w:rFonts w:ascii="Calibri" w:hAnsi="Calibri"/>
          <w:rtl/>
        </w:rPr>
        <w:t>)</w:t>
      </w:r>
      <w:r>
        <w:rPr>
          <w:rFonts w:ascii="Calibri" w:hAnsi="Calibri" w:hint="cs"/>
          <w:rtl/>
        </w:rPr>
        <w:t>;</w:t>
      </w:r>
      <w:r w:rsidRPr="00D62BB3">
        <w:rPr>
          <w:rFonts w:ascii="Calibri" w:hAnsi="Calibri"/>
          <w:rtl/>
        </w:rPr>
        <w:t xml:space="preserve"> החזקת חצרים לפי </w:t>
      </w:r>
      <w:hyperlink r:id="rId21" w:history="1">
        <w:r w:rsidR="003766AB" w:rsidRPr="003766AB">
          <w:rPr>
            <w:rStyle w:val="Hyperlink"/>
            <w:rFonts w:ascii="Calibri" w:hAnsi="Calibri"/>
            <w:rtl/>
          </w:rPr>
          <w:t>סעיף 9(א)</w:t>
        </w:r>
      </w:hyperlink>
      <w:r>
        <w:rPr>
          <w:rFonts w:ascii="Calibri" w:hAnsi="Calibri"/>
          <w:rtl/>
        </w:rPr>
        <w:t xml:space="preserve"> לפקודה</w:t>
      </w:r>
      <w:r>
        <w:rPr>
          <w:rFonts w:ascii="Calibri" w:hAnsi="Calibri" w:hint="cs"/>
          <w:rtl/>
        </w:rPr>
        <w:t xml:space="preserve">; החזקת כלים לפי </w:t>
      </w:r>
      <w:hyperlink r:id="rId22" w:history="1">
        <w:r w:rsidR="003766AB" w:rsidRPr="003766AB">
          <w:rPr>
            <w:rStyle w:val="Hyperlink"/>
            <w:rFonts w:ascii="Calibri" w:hAnsi="Calibri" w:hint="eastAsia"/>
            <w:rtl/>
          </w:rPr>
          <w:t>סעיף</w:t>
        </w:r>
        <w:r w:rsidR="003766AB" w:rsidRPr="003766AB">
          <w:rPr>
            <w:rStyle w:val="Hyperlink"/>
            <w:rFonts w:ascii="Calibri" w:hAnsi="Calibri"/>
            <w:rtl/>
          </w:rPr>
          <w:t xml:space="preserve"> 10</w:t>
        </w:r>
      </w:hyperlink>
      <w:r>
        <w:rPr>
          <w:rFonts w:ascii="Calibri" w:hAnsi="Calibri" w:hint="cs"/>
          <w:rtl/>
        </w:rPr>
        <w:t xml:space="preserve"> רישא לפקודה; החזקת סמים שלא לצריכה עצמית לפי </w:t>
      </w:r>
      <w:hyperlink r:id="rId23" w:history="1">
        <w:r w:rsidR="003766AB" w:rsidRPr="003766AB">
          <w:rPr>
            <w:rStyle w:val="Hyperlink"/>
            <w:rFonts w:ascii="Calibri" w:hAnsi="Calibri" w:hint="eastAsia"/>
            <w:rtl/>
          </w:rPr>
          <w:t>סעיף</w:t>
        </w:r>
        <w:r w:rsidR="003766AB" w:rsidRPr="003766AB">
          <w:rPr>
            <w:rStyle w:val="Hyperlink"/>
            <w:rFonts w:ascii="Calibri" w:hAnsi="Calibri"/>
            <w:rtl/>
          </w:rPr>
          <w:t xml:space="preserve"> 7(א)</w:t>
        </w:r>
      </w:hyperlink>
      <w:r>
        <w:rPr>
          <w:rFonts w:ascii="Calibri" w:hAnsi="Calibri" w:hint="cs"/>
          <w:rtl/>
        </w:rPr>
        <w:t xml:space="preserve"> בצירוף </w:t>
      </w:r>
      <w:hyperlink r:id="rId24" w:history="1">
        <w:r w:rsidR="003766AB" w:rsidRPr="003766AB">
          <w:rPr>
            <w:rStyle w:val="Hyperlink"/>
            <w:rFonts w:ascii="Calibri" w:hAnsi="Calibri"/>
            <w:rtl/>
          </w:rPr>
          <w:t>(ג)</w:t>
        </w:r>
      </w:hyperlink>
      <w:r>
        <w:rPr>
          <w:rFonts w:ascii="Calibri" w:hAnsi="Calibri" w:hint="cs"/>
          <w:rtl/>
        </w:rPr>
        <w:t xml:space="preserve"> רישא לפקודה; נטילת חשמל לפי </w:t>
      </w:r>
      <w:hyperlink r:id="rId25" w:history="1">
        <w:r w:rsidR="003766AB" w:rsidRPr="003766AB">
          <w:rPr>
            <w:rStyle w:val="Hyperlink"/>
            <w:rFonts w:ascii="Calibri" w:hAnsi="Calibri" w:hint="eastAsia"/>
            <w:rtl/>
          </w:rPr>
          <w:t>סעיף</w:t>
        </w:r>
        <w:r w:rsidR="003766AB" w:rsidRPr="003766AB">
          <w:rPr>
            <w:rStyle w:val="Hyperlink"/>
            <w:rFonts w:ascii="Calibri" w:hAnsi="Calibri"/>
            <w:rtl/>
          </w:rPr>
          <w:t xml:space="preserve"> 400</w:t>
        </w:r>
      </w:hyperlink>
      <w:r>
        <w:rPr>
          <w:rFonts w:ascii="Calibri" w:hAnsi="Calibri" w:hint="cs"/>
          <w:rtl/>
        </w:rPr>
        <w:t xml:space="preserve"> ל</w:t>
      </w:r>
      <w:hyperlink r:id="rId26" w:history="1">
        <w:r w:rsidR="00567D7D" w:rsidRPr="00567D7D">
          <w:rPr>
            <w:rFonts w:ascii="Calibri" w:hAnsi="Calibri" w:hint="eastAsia"/>
            <w:color w:val="0000FF"/>
            <w:u w:val="single"/>
            <w:rtl/>
          </w:rPr>
          <w:t>חוק</w:t>
        </w:r>
        <w:r w:rsidR="00567D7D" w:rsidRPr="00567D7D">
          <w:rPr>
            <w:rFonts w:ascii="Calibri" w:hAnsi="Calibri"/>
            <w:color w:val="0000FF"/>
            <w:u w:val="single"/>
            <w:rtl/>
          </w:rPr>
          <w:t xml:space="preserve"> </w:t>
        </w:r>
        <w:r w:rsidR="00567D7D" w:rsidRPr="00567D7D">
          <w:rPr>
            <w:rFonts w:ascii="Calibri" w:hAnsi="Calibri" w:hint="eastAsia"/>
            <w:color w:val="0000FF"/>
            <w:u w:val="single"/>
            <w:rtl/>
          </w:rPr>
          <w:t>העונשין</w:t>
        </w:r>
      </w:hyperlink>
      <w:r>
        <w:rPr>
          <w:rFonts w:ascii="Calibri" w:hAnsi="Calibri" w:hint="cs"/>
          <w:rtl/>
        </w:rPr>
        <w:t xml:space="preserve">, התשל"ז-1977 (להלן: </w:t>
      </w:r>
      <w:r w:rsidRPr="00A610B5">
        <w:rPr>
          <w:rFonts w:ascii="Calibri" w:hAnsi="Calibri" w:hint="cs"/>
          <w:b/>
          <w:bCs/>
          <w:rtl/>
        </w:rPr>
        <w:t>" החוק"</w:t>
      </w:r>
      <w:r>
        <w:rPr>
          <w:rFonts w:ascii="Calibri" w:hAnsi="Calibri" w:hint="cs"/>
          <w:rtl/>
        </w:rPr>
        <w:t xml:space="preserve">). </w:t>
      </w:r>
      <w:r w:rsidRPr="000E677F">
        <w:rPr>
          <w:rFonts w:ascii="David" w:hAnsi="David"/>
          <w:color w:val="000000"/>
          <w:rtl/>
        </w:rPr>
        <w:t xml:space="preserve">במסגרת הסדר הטיעון לא הייתה הסכמה בין הצדדים לעניין העונש. הוסכם, כי הטיעונים לעונש יישמעו </w:t>
      </w:r>
      <w:r>
        <w:rPr>
          <w:rFonts w:ascii="David" w:hAnsi="David"/>
          <w:color w:val="000000"/>
          <w:rtl/>
        </w:rPr>
        <w:t>לאחר קבלת תסקיר שירות המבחן</w:t>
      </w:r>
      <w:r>
        <w:rPr>
          <w:rFonts w:ascii="David" w:hAnsi="David" w:hint="cs"/>
          <w:color w:val="000000"/>
          <w:rtl/>
        </w:rPr>
        <w:t>.</w:t>
      </w:r>
    </w:p>
    <w:p w14:paraId="10BB3CF2" w14:textId="77777777" w:rsidR="003B084D" w:rsidRPr="000E677F" w:rsidRDefault="003B084D" w:rsidP="003B084D">
      <w:pPr>
        <w:spacing w:after="160" w:line="360" w:lineRule="auto"/>
        <w:ind w:left="283"/>
        <w:contextualSpacing/>
        <w:jc w:val="both"/>
        <w:rPr>
          <w:rFonts w:ascii="Calibri" w:hAnsi="Calibri"/>
          <w:sz w:val="12"/>
          <w:szCs w:val="12"/>
        </w:rPr>
      </w:pPr>
      <w:bookmarkStart w:id="7" w:name="ABSTRACT_END"/>
      <w:bookmarkEnd w:id="7"/>
    </w:p>
    <w:p w14:paraId="7A1DD080" w14:textId="77777777" w:rsidR="003B084D" w:rsidRDefault="003B084D" w:rsidP="003B084D">
      <w:pPr>
        <w:numPr>
          <w:ilvl w:val="0"/>
          <w:numId w:val="1"/>
        </w:numPr>
        <w:spacing w:after="160" w:line="360" w:lineRule="auto"/>
        <w:ind w:left="283" w:hanging="283"/>
        <w:contextualSpacing/>
        <w:jc w:val="both"/>
        <w:rPr>
          <w:rFonts w:ascii="Arial" w:hAnsi="Arial"/>
          <w:sz w:val="26"/>
          <w:szCs w:val="26"/>
        </w:rPr>
      </w:pPr>
      <w:r>
        <w:rPr>
          <w:rFonts w:ascii="Calibri" w:hAnsi="Calibri"/>
          <w:rtl/>
        </w:rPr>
        <w:lastRenderedPageBreak/>
        <w:t>מעובדות כתב האישום המתוקן עולה, כי</w:t>
      </w:r>
      <w:r>
        <w:rPr>
          <w:rFonts w:ascii="Calibri" w:hAnsi="Calibri" w:hint="cs"/>
          <w:rtl/>
        </w:rPr>
        <w:t xml:space="preserve"> </w:t>
      </w:r>
      <w:r w:rsidRPr="000E677F">
        <w:rPr>
          <w:rFonts w:ascii="Calibri" w:hAnsi="Calibri" w:hint="cs"/>
          <w:rtl/>
        </w:rPr>
        <w:t xml:space="preserve">מספר חודשים עובר ליום 17.8.2021 הוקמה בבית במשק 77 בישוב גפן, בדרך שאינה ידועה במדויק למאשימה, מעבדה לצורך גידול סמים מסוכנים מסוג קנבוס, אשר כללה ציוד רב לצורך גידול, ייצור, הפקת והכנת קנבוס </w:t>
      </w:r>
      <w:r>
        <w:rPr>
          <w:rFonts w:ascii="Calibri" w:hAnsi="Calibri" w:hint="cs"/>
          <w:rtl/>
        </w:rPr>
        <w:t>-</w:t>
      </w:r>
      <w:r w:rsidRPr="000E677F">
        <w:rPr>
          <w:rFonts w:ascii="Calibri" w:hAnsi="Calibri" w:hint="cs"/>
          <w:rtl/>
        </w:rPr>
        <w:t xml:space="preserve"> לרבות מערכת אוורור, דשן מנורות חשמל, גופי תאורה וחימום, מדי טמפרטורה, שנאים מסננים, מפוחים, מזגנים, משאבות מים, צינורות השקיה, מאווררים, בריכות מים, בתי מנורות, אדניות משקל דיגיטלי, מייבשים וכלי</w:t>
      </w:r>
      <w:r>
        <w:rPr>
          <w:rFonts w:ascii="Arial" w:hAnsi="Arial" w:hint="cs"/>
          <w:sz w:val="26"/>
          <w:szCs w:val="26"/>
          <w:rtl/>
        </w:rPr>
        <w:t xml:space="preserve"> </w:t>
      </w:r>
      <w:r w:rsidRPr="000E677F">
        <w:rPr>
          <w:rFonts w:ascii="Arial" w:hAnsi="Arial" w:hint="cs"/>
          <w:rtl/>
        </w:rPr>
        <w:t>עבודה</w:t>
      </w:r>
      <w:r>
        <w:rPr>
          <w:rFonts w:ascii="Arial" w:hAnsi="Arial" w:hint="cs"/>
          <w:sz w:val="26"/>
          <w:szCs w:val="26"/>
          <w:rtl/>
        </w:rPr>
        <w:t xml:space="preserve"> </w:t>
      </w:r>
      <w:r w:rsidRPr="000E677F">
        <w:rPr>
          <w:rFonts w:ascii="Arial" w:hAnsi="Arial" w:hint="cs"/>
          <w:rtl/>
        </w:rPr>
        <w:t xml:space="preserve">(להלן: </w:t>
      </w:r>
      <w:r w:rsidRPr="000E677F">
        <w:rPr>
          <w:rFonts w:ascii="Arial" w:hAnsi="Arial" w:hint="cs"/>
          <w:b/>
          <w:bCs/>
          <w:rtl/>
        </w:rPr>
        <w:t>"המעבדה"</w:t>
      </w:r>
      <w:r w:rsidRPr="000E677F">
        <w:rPr>
          <w:rFonts w:ascii="Arial" w:hAnsi="Arial" w:hint="cs"/>
          <w:rtl/>
        </w:rPr>
        <w:t>).</w:t>
      </w:r>
      <w:r>
        <w:rPr>
          <w:rFonts w:ascii="Arial" w:hAnsi="Arial" w:hint="cs"/>
          <w:sz w:val="26"/>
          <w:szCs w:val="26"/>
          <w:rtl/>
        </w:rPr>
        <w:t xml:space="preserve"> </w:t>
      </w:r>
    </w:p>
    <w:p w14:paraId="64D4AE5E" w14:textId="77777777" w:rsidR="003B084D" w:rsidRPr="000E677F" w:rsidRDefault="003B084D" w:rsidP="003B084D">
      <w:pPr>
        <w:spacing w:line="360" w:lineRule="auto"/>
        <w:jc w:val="both"/>
        <w:rPr>
          <w:rFonts w:ascii="Arial" w:hAnsi="Arial"/>
          <w:sz w:val="12"/>
          <w:szCs w:val="12"/>
          <w:rtl/>
        </w:rPr>
      </w:pPr>
    </w:p>
    <w:p w14:paraId="4E322D54" w14:textId="77777777" w:rsidR="003B084D" w:rsidRPr="000E677F" w:rsidRDefault="003B084D" w:rsidP="003B084D">
      <w:pPr>
        <w:numPr>
          <w:ilvl w:val="0"/>
          <w:numId w:val="1"/>
        </w:numPr>
        <w:spacing w:after="160" w:line="360" w:lineRule="auto"/>
        <w:ind w:left="283" w:hanging="283"/>
        <w:contextualSpacing/>
        <w:jc w:val="both"/>
        <w:rPr>
          <w:rFonts w:ascii="Arial" w:hAnsi="Arial"/>
        </w:rPr>
      </w:pPr>
      <w:r w:rsidRPr="000E677F">
        <w:rPr>
          <w:rFonts w:ascii="Calibri" w:hAnsi="Calibri" w:hint="cs"/>
          <w:rtl/>
        </w:rPr>
        <w:t>החל</w:t>
      </w:r>
      <w:r w:rsidRPr="000E677F">
        <w:rPr>
          <w:rFonts w:ascii="Arial" w:hAnsi="Arial" w:hint="cs"/>
          <w:rtl/>
        </w:rPr>
        <w:t xml:space="preserve"> מתחילת חודש אפריל 2021 ועד ליום מעצרו של הנאשם ביום 17.8.2021, החזיק הנאשם במעבדה וגידל בתוכה כ-250 שתילים של סם מסוכן מסוג קנבוס, במשקל כולל של 80 קילוגרם נטו. בתקופה הרלבנטית לכתב האישום, ובמטרה לחסוך בהוצאות החשמל בגין תהליך הגידול, הייצור והפקת הסם המסוכן מסוג קנבוס, חוברה המעבדה, חיבור לא חוקי ומסוכן, אל קופסאות החיבורים של חברת החשמל הממוקמות מחוץ לדירה, אשר התפצל לארבעת החדרים בדירה בהם גידל הנאשם סם מסוכן מסוג קנבוס, כך שהחשמל הזין את הדירה מבלי שהנאשם נשא בעלויות צריכת החשמל המלאות של הדירה.</w:t>
      </w:r>
      <w:r w:rsidRPr="000E677F">
        <w:rPr>
          <w:rFonts w:ascii="Arial" w:hAnsi="Arial" w:hint="cs"/>
          <w:sz w:val="26"/>
          <w:szCs w:val="26"/>
          <w:rtl/>
        </w:rPr>
        <w:t xml:space="preserve"> </w:t>
      </w:r>
      <w:r w:rsidRPr="000E677F">
        <w:rPr>
          <w:rFonts w:ascii="Arial" w:hAnsi="Arial" w:hint="cs"/>
          <w:rtl/>
        </w:rPr>
        <w:t>חיבור החשמל בדרך המפורטת לעיל יצרה סכנה בטיחותית מידית לגוף ולרכוש. שווי החשמל שגנב הנאשם בדרך המפורטת לעיל, הינ</w:t>
      </w:r>
      <w:r>
        <w:rPr>
          <w:rFonts w:ascii="Arial" w:hAnsi="Arial" w:hint="cs"/>
          <w:rtl/>
        </w:rPr>
        <w:t>ו</w:t>
      </w:r>
      <w:r w:rsidRPr="000E677F">
        <w:rPr>
          <w:rFonts w:ascii="Arial" w:hAnsi="Arial" w:hint="cs"/>
          <w:rtl/>
        </w:rPr>
        <w:t xml:space="preserve"> כ-73,714 ₪. </w:t>
      </w:r>
    </w:p>
    <w:p w14:paraId="7601DFE8" w14:textId="77777777" w:rsidR="003B084D" w:rsidRPr="000E677F" w:rsidRDefault="003B084D" w:rsidP="003B084D">
      <w:pPr>
        <w:spacing w:after="160" w:line="360" w:lineRule="auto"/>
        <w:ind w:left="283"/>
        <w:contextualSpacing/>
        <w:jc w:val="both"/>
        <w:rPr>
          <w:rFonts w:ascii="Arial" w:hAnsi="Arial"/>
          <w:sz w:val="12"/>
          <w:szCs w:val="12"/>
          <w:rtl/>
        </w:rPr>
      </w:pPr>
    </w:p>
    <w:p w14:paraId="40F7B2CE" w14:textId="77777777" w:rsidR="003B084D" w:rsidRPr="000E677F" w:rsidRDefault="003B084D" w:rsidP="003B084D">
      <w:pPr>
        <w:numPr>
          <w:ilvl w:val="0"/>
          <w:numId w:val="1"/>
        </w:numPr>
        <w:spacing w:after="160" w:line="360" w:lineRule="auto"/>
        <w:ind w:left="283" w:hanging="283"/>
        <w:contextualSpacing/>
        <w:jc w:val="both"/>
        <w:rPr>
          <w:rFonts w:ascii="Arial" w:hAnsi="Arial"/>
        </w:rPr>
      </w:pPr>
      <w:r w:rsidRPr="000E677F">
        <w:rPr>
          <w:rFonts w:ascii="Arial" w:hAnsi="Arial" w:hint="cs"/>
          <w:rtl/>
        </w:rPr>
        <w:t xml:space="preserve">בנוסף, החזיק הנאשם שקית ובה סם מסוכן מסוג קנבוס במשקל 129.27 גרם, מוכנה לשימושו האישי של הנאשם. </w:t>
      </w:r>
    </w:p>
    <w:p w14:paraId="7993557C" w14:textId="77777777" w:rsidR="003B084D" w:rsidRPr="005408F8" w:rsidRDefault="003B084D" w:rsidP="003B084D">
      <w:pPr>
        <w:spacing w:after="160" w:line="360" w:lineRule="auto"/>
        <w:ind w:left="283"/>
        <w:contextualSpacing/>
        <w:jc w:val="both"/>
        <w:rPr>
          <w:rFonts w:ascii="Arial" w:hAnsi="Arial"/>
          <w:sz w:val="12"/>
          <w:szCs w:val="12"/>
        </w:rPr>
      </w:pPr>
    </w:p>
    <w:p w14:paraId="24436F48" w14:textId="77777777" w:rsidR="003B084D" w:rsidRPr="005408F8" w:rsidRDefault="003B084D" w:rsidP="003B084D">
      <w:pPr>
        <w:numPr>
          <w:ilvl w:val="0"/>
          <w:numId w:val="1"/>
        </w:numPr>
        <w:spacing w:after="160" w:line="360" w:lineRule="auto"/>
        <w:ind w:left="283" w:hanging="283"/>
        <w:contextualSpacing/>
        <w:jc w:val="both"/>
        <w:rPr>
          <w:rFonts w:ascii="Arial" w:hAnsi="Arial"/>
        </w:rPr>
      </w:pPr>
      <w:r w:rsidRPr="005408F8">
        <w:rPr>
          <w:rFonts w:ascii="Arial" w:hAnsi="Arial" w:hint="cs"/>
          <w:rtl/>
        </w:rPr>
        <w:t>במעשיו המתוארים לעיל גידל וייצר הנאשם סם מסוכן מסוג קנבוס. הנאשם החזיק בחצרים לשם הכנת סם מסוכן מסוג קנבוס ללא היתר, וכן החזיק הנאשם בסם מסוכן מסוג קנבוס שלא לצריכה עצמית ובכלים המשמשים להכנת סם מסוכן או לצריכתו שלא בהיתר. בנוסף, נטל הנאשם או צרך חשמל שאינו זכאי לו במזיד או במרמה.</w:t>
      </w:r>
    </w:p>
    <w:p w14:paraId="4A10F319" w14:textId="77777777" w:rsidR="003B084D" w:rsidRPr="005408F8" w:rsidRDefault="003B084D" w:rsidP="003B084D">
      <w:pPr>
        <w:spacing w:line="360" w:lineRule="auto"/>
        <w:jc w:val="both"/>
        <w:rPr>
          <w:rFonts w:ascii="Arial" w:hAnsi="Arial"/>
          <w:b/>
          <w:bCs/>
          <w:rtl/>
        </w:rPr>
      </w:pPr>
    </w:p>
    <w:p w14:paraId="074AED0A" w14:textId="77777777" w:rsidR="003B084D" w:rsidRPr="005408F8" w:rsidRDefault="003B084D" w:rsidP="003B084D">
      <w:pPr>
        <w:spacing w:line="360" w:lineRule="auto"/>
        <w:jc w:val="both"/>
        <w:rPr>
          <w:rFonts w:ascii="Arial" w:hAnsi="Arial"/>
          <w:b/>
          <w:bCs/>
          <w:u w:val="single"/>
          <w:rtl/>
        </w:rPr>
      </w:pPr>
      <w:r w:rsidRPr="005408F8">
        <w:rPr>
          <w:rFonts w:ascii="Arial" w:hAnsi="Arial" w:hint="cs"/>
          <w:b/>
          <w:bCs/>
          <w:u w:val="single"/>
          <w:rtl/>
        </w:rPr>
        <w:t>תסקירי שירות המבחן</w:t>
      </w:r>
    </w:p>
    <w:p w14:paraId="60743BC6" w14:textId="77777777" w:rsidR="003B084D" w:rsidRDefault="003B084D" w:rsidP="003B084D">
      <w:pPr>
        <w:numPr>
          <w:ilvl w:val="0"/>
          <w:numId w:val="1"/>
        </w:numPr>
        <w:spacing w:after="160" w:line="360" w:lineRule="auto"/>
        <w:ind w:left="284" w:hanging="284"/>
        <w:contextualSpacing/>
        <w:jc w:val="both"/>
        <w:rPr>
          <w:rFonts w:ascii="Arial" w:hAnsi="Arial"/>
        </w:rPr>
      </w:pPr>
      <w:r w:rsidRPr="0015049A">
        <w:rPr>
          <w:rFonts w:ascii="Arial" w:hAnsi="Arial" w:hint="cs"/>
          <w:rtl/>
        </w:rPr>
        <w:t xml:space="preserve">מתסקיר שירות המבחן מיום 4.4.2022 עולה, כי הנאשם בן 30, הבן הבכור להוריו ולו אח צעיר, נשוי. אביו בן 68 ואמו בת 64 ולשני הוריו ילדים נוספים מנישואים קודמים, עם חלקם </w:t>
      </w:r>
      <w:r>
        <w:rPr>
          <w:rFonts w:ascii="Arial" w:hAnsi="Arial" w:hint="cs"/>
          <w:rtl/>
        </w:rPr>
        <w:t>הוא מ</w:t>
      </w:r>
      <w:r w:rsidRPr="0015049A">
        <w:rPr>
          <w:rFonts w:ascii="Arial" w:hAnsi="Arial" w:hint="cs"/>
          <w:rtl/>
        </w:rPr>
        <w:t>קיים קשר חלקי. הוריו התגרשו ב</w:t>
      </w:r>
      <w:r>
        <w:rPr>
          <w:rFonts w:ascii="Arial" w:hAnsi="Arial" w:hint="cs"/>
          <w:rtl/>
        </w:rPr>
        <w:t>עת שהיה</w:t>
      </w:r>
      <w:r w:rsidRPr="0015049A">
        <w:rPr>
          <w:rFonts w:ascii="Arial" w:hAnsi="Arial" w:hint="cs"/>
          <w:rtl/>
        </w:rPr>
        <w:t xml:space="preserve"> כבן 16 ותקופ</w:t>
      </w:r>
      <w:r>
        <w:rPr>
          <w:rFonts w:ascii="Arial" w:hAnsi="Arial" w:hint="cs"/>
          <w:rtl/>
        </w:rPr>
        <w:t xml:space="preserve">ה זו הייתה מורכבת רגשית עבורו. </w:t>
      </w:r>
      <w:r w:rsidRPr="0015049A">
        <w:rPr>
          <w:rFonts w:ascii="Arial" w:hAnsi="Arial" w:hint="cs"/>
          <w:rtl/>
        </w:rPr>
        <w:t xml:space="preserve">עם חלוף הזמן חלה התייצבות ביחסים בין ההורים. הנאשם השלים 11 שנות לימוד, אובחן עם לקות למידה, עיכוב בהתפתחות שפתית, ושולב בכיתה קטנה. בד בבד, החל לעבוד באופן מזדמן סביב התקופה בה התגרשו הוריו, </w:t>
      </w:r>
      <w:r>
        <w:rPr>
          <w:rFonts w:ascii="Arial" w:hAnsi="Arial" w:hint="cs"/>
          <w:rtl/>
        </w:rPr>
        <w:t>ו</w:t>
      </w:r>
      <w:r w:rsidRPr="0015049A">
        <w:rPr>
          <w:rFonts w:ascii="Arial" w:hAnsi="Arial" w:hint="cs"/>
          <w:rtl/>
        </w:rPr>
        <w:t>החל בצריכת סמים. בגיל המתאים גויס לצה"ל ושירת כנהג</w:t>
      </w:r>
      <w:r>
        <w:rPr>
          <w:rFonts w:ascii="Arial" w:hAnsi="Arial" w:hint="cs"/>
          <w:rtl/>
        </w:rPr>
        <w:t>,</w:t>
      </w:r>
      <w:r w:rsidRPr="0015049A">
        <w:rPr>
          <w:rFonts w:ascii="Arial" w:hAnsi="Arial" w:hint="cs"/>
          <w:rtl/>
        </w:rPr>
        <w:t xml:space="preserve"> ולמרות שביקש שינוי בתפקיד על מנת שיוכל לסייע בפרנסת אביו, הוא לא נענה, ולאחר שנפקד מספר פעמים מהשירות, שוחרר. בהמשך הקים עסק בתחום שטיפת הרכבים, אולם הוא נסגר כעבור שנתיים בשל קשיים בניהול כספי</w:t>
      </w:r>
      <w:r>
        <w:rPr>
          <w:rFonts w:ascii="Arial" w:hAnsi="Arial" w:hint="cs"/>
          <w:rtl/>
        </w:rPr>
        <w:t>,</w:t>
      </w:r>
      <w:r w:rsidRPr="0015049A">
        <w:rPr>
          <w:rFonts w:ascii="Arial" w:hAnsi="Arial" w:hint="cs"/>
          <w:rtl/>
        </w:rPr>
        <w:t xml:space="preserve"> </w:t>
      </w:r>
      <w:r>
        <w:rPr>
          <w:rFonts w:ascii="Arial" w:hAnsi="Arial" w:hint="cs"/>
          <w:rtl/>
        </w:rPr>
        <w:t>ו</w:t>
      </w:r>
      <w:r w:rsidRPr="0015049A">
        <w:rPr>
          <w:rFonts w:ascii="Arial" w:hAnsi="Arial" w:hint="cs"/>
          <w:rtl/>
        </w:rPr>
        <w:t xml:space="preserve">מאז עבד באופן לא יציב. </w:t>
      </w:r>
    </w:p>
    <w:p w14:paraId="6625FC09" w14:textId="77777777" w:rsidR="003B084D" w:rsidRPr="00425067" w:rsidRDefault="003B084D" w:rsidP="003B084D">
      <w:pPr>
        <w:spacing w:after="160" w:line="360" w:lineRule="auto"/>
        <w:ind w:left="283"/>
        <w:contextualSpacing/>
        <w:jc w:val="both"/>
        <w:rPr>
          <w:rFonts w:ascii="Arial" w:hAnsi="Arial"/>
          <w:sz w:val="12"/>
          <w:szCs w:val="12"/>
        </w:rPr>
      </w:pPr>
    </w:p>
    <w:p w14:paraId="5A42CEB1" w14:textId="77777777" w:rsidR="003B084D" w:rsidRDefault="003B084D" w:rsidP="003B084D">
      <w:pPr>
        <w:numPr>
          <w:ilvl w:val="0"/>
          <w:numId w:val="1"/>
        </w:numPr>
        <w:spacing w:after="160" w:line="360" w:lineRule="auto"/>
        <w:ind w:left="283" w:hanging="283"/>
        <w:contextualSpacing/>
        <w:jc w:val="both"/>
        <w:rPr>
          <w:rFonts w:ascii="Arial" w:hAnsi="Arial"/>
        </w:rPr>
      </w:pPr>
      <w:r w:rsidRPr="00425067">
        <w:rPr>
          <w:rFonts w:ascii="Arial" w:hAnsi="Arial" w:hint="cs"/>
          <w:rtl/>
        </w:rPr>
        <w:lastRenderedPageBreak/>
        <w:t>הנאשם הופנה לשירות המבחן עוד בשלב המעצר וביטא נכונות להיעזר בגורמי טיפול במסגרת</w:t>
      </w:r>
      <w:r>
        <w:rPr>
          <w:rFonts w:ascii="Arial" w:hAnsi="Arial" w:hint="cs"/>
          <w:rtl/>
        </w:rPr>
        <w:t xml:space="preserve"> שירות המבחן בתחום ההתמכרויות. זאת בשונה מהתנהלותו טרם מעצרו, שאז </w:t>
      </w:r>
      <w:r w:rsidRPr="00425067">
        <w:rPr>
          <w:rFonts w:ascii="Arial" w:hAnsi="Arial" w:hint="cs"/>
          <w:rtl/>
        </w:rPr>
        <w:t xml:space="preserve">נמנע מלשתף אחרים במצבו, או לפנות לגורמי טיפול, דבר שהוביל להידרדרות נוספת במצבו. במסגרת פיקוח המעצרים, טופל הנאשם ביחידה העירונית לנפגעי סמים בחולון, ובדיקות הסם שלו נמצאו נקיות. </w:t>
      </w:r>
      <w:r>
        <w:rPr>
          <w:rFonts w:ascii="Arial" w:hAnsi="Arial" w:hint="cs"/>
          <w:rtl/>
        </w:rPr>
        <w:t>סופו של דבר</w:t>
      </w:r>
      <w:r w:rsidRPr="00425067">
        <w:rPr>
          <w:rFonts w:ascii="Arial" w:hAnsi="Arial" w:hint="cs"/>
          <w:rtl/>
        </w:rPr>
        <w:t>, שירות המבחן ביקש לדחות את הדיון על מנת להעמיק את הטיפול ב</w:t>
      </w:r>
      <w:r>
        <w:rPr>
          <w:rFonts w:ascii="Arial" w:hAnsi="Arial" w:hint="cs"/>
          <w:rtl/>
        </w:rPr>
        <w:t>ו</w:t>
      </w:r>
      <w:r w:rsidRPr="00425067">
        <w:rPr>
          <w:rFonts w:ascii="Arial" w:hAnsi="Arial" w:hint="cs"/>
          <w:rtl/>
        </w:rPr>
        <w:t xml:space="preserve">, ובית המשפט נעתר לבקשה על מנת </w:t>
      </w:r>
      <w:r>
        <w:rPr>
          <w:rFonts w:ascii="Arial" w:hAnsi="Arial" w:hint="cs"/>
          <w:rtl/>
        </w:rPr>
        <w:t>שי</w:t>
      </w:r>
      <w:r w:rsidRPr="00425067">
        <w:rPr>
          <w:rFonts w:ascii="Arial" w:hAnsi="Arial" w:hint="cs"/>
          <w:rtl/>
        </w:rPr>
        <w:t>מ</w:t>
      </w:r>
      <w:r>
        <w:rPr>
          <w:rFonts w:ascii="Arial" w:hAnsi="Arial" w:hint="cs"/>
          <w:rtl/>
        </w:rPr>
        <w:t>ו</w:t>
      </w:r>
      <w:r w:rsidRPr="00425067">
        <w:rPr>
          <w:rFonts w:ascii="Arial" w:hAnsi="Arial" w:hint="cs"/>
          <w:rtl/>
        </w:rPr>
        <w:t>צ</w:t>
      </w:r>
      <w:r>
        <w:rPr>
          <w:rFonts w:ascii="Arial" w:hAnsi="Arial" w:hint="cs"/>
          <w:rtl/>
        </w:rPr>
        <w:t>ה</w:t>
      </w:r>
      <w:r w:rsidRPr="00425067">
        <w:rPr>
          <w:rFonts w:ascii="Arial" w:hAnsi="Arial" w:hint="cs"/>
          <w:rtl/>
        </w:rPr>
        <w:t xml:space="preserve"> </w:t>
      </w:r>
      <w:r>
        <w:rPr>
          <w:rFonts w:ascii="Arial" w:hAnsi="Arial" w:hint="cs"/>
          <w:rtl/>
        </w:rPr>
        <w:t>הקשר עם</w:t>
      </w:r>
      <w:r w:rsidRPr="00425067">
        <w:rPr>
          <w:rFonts w:ascii="Arial" w:hAnsi="Arial" w:hint="cs"/>
          <w:rtl/>
        </w:rPr>
        <w:t xml:space="preserve"> שירות המבחן. </w:t>
      </w:r>
    </w:p>
    <w:p w14:paraId="50004BF1" w14:textId="77777777" w:rsidR="003B084D" w:rsidRPr="00425067" w:rsidRDefault="003B084D" w:rsidP="003B084D">
      <w:pPr>
        <w:spacing w:after="160" w:line="360" w:lineRule="auto"/>
        <w:ind w:left="283"/>
        <w:contextualSpacing/>
        <w:jc w:val="both"/>
        <w:rPr>
          <w:rFonts w:ascii="Arial" w:hAnsi="Arial"/>
          <w:sz w:val="12"/>
          <w:szCs w:val="12"/>
        </w:rPr>
      </w:pPr>
    </w:p>
    <w:p w14:paraId="366E4F1E" w14:textId="77777777" w:rsidR="003B084D" w:rsidRDefault="003B084D" w:rsidP="003B084D">
      <w:pPr>
        <w:numPr>
          <w:ilvl w:val="0"/>
          <w:numId w:val="1"/>
        </w:numPr>
        <w:spacing w:after="160" w:line="360" w:lineRule="auto"/>
        <w:ind w:left="283" w:hanging="283"/>
        <w:contextualSpacing/>
        <w:jc w:val="both"/>
        <w:rPr>
          <w:rFonts w:ascii="Arial" w:hAnsi="Arial"/>
        </w:rPr>
      </w:pPr>
      <w:r w:rsidRPr="00425067">
        <w:rPr>
          <w:rFonts w:ascii="Arial" w:hAnsi="Arial" w:hint="cs"/>
          <w:rtl/>
        </w:rPr>
        <w:t>בתסקיר שירות המבחן מיום 21.6.2022</w:t>
      </w:r>
      <w:r>
        <w:rPr>
          <w:rFonts w:ascii="Arial" w:hAnsi="Arial" w:hint="cs"/>
          <w:rtl/>
        </w:rPr>
        <w:t>,</w:t>
      </w:r>
      <w:r w:rsidRPr="00425067">
        <w:rPr>
          <w:rFonts w:ascii="Arial" w:hAnsi="Arial" w:hint="cs"/>
          <w:rtl/>
        </w:rPr>
        <w:t xml:space="preserve"> שירות המבחן דיווח כי הנאשם השתלב בטיפול ביחידה להתמכרויות, </w:t>
      </w:r>
      <w:r>
        <w:rPr>
          <w:rFonts w:ascii="Arial" w:hAnsi="Arial" w:hint="cs"/>
          <w:rtl/>
        </w:rPr>
        <w:t xml:space="preserve">כי </w:t>
      </w:r>
      <w:r w:rsidRPr="00425067">
        <w:rPr>
          <w:rFonts w:ascii="Arial" w:hAnsi="Arial" w:hint="cs"/>
          <w:rtl/>
        </w:rPr>
        <w:t>הוא נקי מסמים ועובר טיפול פרטני וקבוצתי</w:t>
      </w:r>
      <w:r>
        <w:rPr>
          <w:rFonts w:ascii="Arial" w:hAnsi="Arial" w:hint="cs"/>
          <w:rtl/>
        </w:rPr>
        <w:t xml:space="preserve">. כמו </w:t>
      </w:r>
      <w:r w:rsidRPr="00425067">
        <w:rPr>
          <w:rFonts w:ascii="Arial" w:hAnsi="Arial" w:hint="cs"/>
          <w:rtl/>
        </w:rPr>
        <w:t xml:space="preserve">כן, ביקש </w:t>
      </w:r>
      <w:r>
        <w:rPr>
          <w:rFonts w:ascii="Arial" w:hAnsi="Arial" w:hint="cs"/>
          <w:rtl/>
        </w:rPr>
        <w:t xml:space="preserve">הנאשם </w:t>
      </w:r>
      <w:r w:rsidRPr="00425067">
        <w:rPr>
          <w:rFonts w:ascii="Arial" w:hAnsi="Arial" w:hint="cs"/>
          <w:rtl/>
        </w:rPr>
        <w:t>לצאת ממעצר הבית ל</w:t>
      </w:r>
      <w:r>
        <w:rPr>
          <w:rFonts w:ascii="Arial" w:hAnsi="Arial" w:hint="cs"/>
          <w:rtl/>
        </w:rPr>
        <w:t>מקום ה</w:t>
      </w:r>
      <w:r w:rsidRPr="00425067">
        <w:rPr>
          <w:rFonts w:ascii="Arial" w:hAnsi="Arial" w:hint="cs"/>
          <w:rtl/>
        </w:rPr>
        <w:t>עבודה ב</w:t>
      </w:r>
      <w:r>
        <w:rPr>
          <w:rFonts w:ascii="Arial" w:hAnsi="Arial" w:hint="cs"/>
          <w:rtl/>
        </w:rPr>
        <w:t>ו</w:t>
      </w:r>
      <w:r w:rsidRPr="00425067">
        <w:rPr>
          <w:rFonts w:ascii="Arial" w:hAnsi="Arial" w:hint="cs"/>
          <w:rtl/>
        </w:rPr>
        <w:t xml:space="preserve"> עבד </w:t>
      </w:r>
      <w:r>
        <w:rPr>
          <w:rFonts w:ascii="Arial" w:hAnsi="Arial" w:hint="cs"/>
          <w:rtl/>
        </w:rPr>
        <w:t xml:space="preserve">בשנתיים </w:t>
      </w:r>
      <w:r w:rsidRPr="00425067">
        <w:rPr>
          <w:rFonts w:ascii="Arial" w:hAnsi="Arial" w:hint="cs"/>
          <w:rtl/>
        </w:rPr>
        <w:t>טרם מעצרו. מעסיקו</w:t>
      </w:r>
      <w:r>
        <w:rPr>
          <w:rFonts w:ascii="Arial" w:hAnsi="Arial" w:hint="cs"/>
          <w:rtl/>
        </w:rPr>
        <w:t xml:space="preserve"> של הנאשם</w:t>
      </w:r>
      <w:r w:rsidRPr="00425067">
        <w:rPr>
          <w:rFonts w:ascii="Arial" w:hAnsi="Arial" w:hint="cs"/>
          <w:rtl/>
        </w:rPr>
        <w:t xml:space="preserve"> נרתם לעניין והביע נכונות להעסיקו ולסייע בשיקומו. המעסיק ציין</w:t>
      </w:r>
      <w:r>
        <w:rPr>
          <w:rFonts w:ascii="Arial" w:hAnsi="Arial" w:hint="cs"/>
          <w:rtl/>
        </w:rPr>
        <w:t>,</w:t>
      </w:r>
      <w:r w:rsidRPr="00425067">
        <w:rPr>
          <w:rFonts w:ascii="Arial" w:hAnsi="Arial" w:hint="cs"/>
          <w:rtl/>
        </w:rPr>
        <w:t xml:space="preserve"> כי טרם המעצר, הנאשם לא דיווח על שימוש בסמים ולא הייתה בעיתיות בעבודתו, אך כעת משהדברים ידועים</w:t>
      </w:r>
      <w:r>
        <w:rPr>
          <w:rFonts w:ascii="Arial" w:hAnsi="Arial" w:hint="cs"/>
          <w:rtl/>
        </w:rPr>
        <w:t>, הוא</w:t>
      </w:r>
      <w:r w:rsidRPr="00425067">
        <w:rPr>
          <w:rFonts w:ascii="Arial" w:hAnsi="Arial" w:hint="cs"/>
          <w:rtl/>
        </w:rPr>
        <w:t xml:space="preserve"> מבקש לסייע לו. על כן שירות המבחן ביקש להיעתר לבקשה ולאפשר לו לעבוד</w:t>
      </w:r>
      <w:r>
        <w:rPr>
          <w:rFonts w:ascii="Arial" w:hAnsi="Arial" w:hint="cs"/>
          <w:rtl/>
        </w:rPr>
        <w:t xml:space="preserve">, כאשר </w:t>
      </w:r>
      <w:r w:rsidRPr="00425067">
        <w:rPr>
          <w:rFonts w:ascii="Arial" w:hAnsi="Arial" w:hint="cs"/>
          <w:rtl/>
        </w:rPr>
        <w:t>בד בבד, שירות המבחן ימשיך לעקוב אחריו. בדיון מיום 11.7.2022</w:t>
      </w:r>
      <w:r>
        <w:rPr>
          <w:rFonts w:ascii="Arial" w:hAnsi="Arial" w:hint="cs"/>
          <w:rtl/>
        </w:rPr>
        <w:t>,</w:t>
      </w:r>
      <w:r w:rsidRPr="00425067">
        <w:rPr>
          <w:rFonts w:ascii="Arial" w:hAnsi="Arial" w:hint="cs"/>
          <w:rtl/>
        </w:rPr>
        <w:t xml:space="preserve"> לאחר שבית המשפט התרשם מהמעסיק וממנהלת העבודה, הוחלט על המשך מעקב אחר הנאשם בהשתלבותו בהליך הטיפולי בשירות המבחן</w:t>
      </w:r>
      <w:r>
        <w:rPr>
          <w:rFonts w:ascii="Arial" w:hAnsi="Arial" w:hint="cs"/>
          <w:rtl/>
        </w:rPr>
        <w:t>,</w:t>
      </w:r>
      <w:r w:rsidRPr="00425067">
        <w:rPr>
          <w:rFonts w:ascii="Arial" w:hAnsi="Arial" w:hint="cs"/>
          <w:rtl/>
        </w:rPr>
        <w:t xml:space="preserve"> וכן לאפשר לו לצאת לעבודה. </w:t>
      </w:r>
    </w:p>
    <w:p w14:paraId="40DE0153" w14:textId="77777777" w:rsidR="003B084D" w:rsidRPr="003F685B" w:rsidRDefault="003B084D" w:rsidP="003B084D">
      <w:pPr>
        <w:rPr>
          <w:rFonts w:ascii="Arial" w:hAnsi="Arial"/>
          <w:sz w:val="12"/>
          <w:szCs w:val="12"/>
          <w:rtl/>
        </w:rPr>
      </w:pPr>
    </w:p>
    <w:p w14:paraId="1FE59550" w14:textId="77777777" w:rsidR="003B084D" w:rsidRDefault="003B084D" w:rsidP="003B084D">
      <w:pPr>
        <w:numPr>
          <w:ilvl w:val="0"/>
          <w:numId w:val="1"/>
        </w:numPr>
        <w:spacing w:after="160" w:line="360" w:lineRule="auto"/>
        <w:ind w:left="283" w:hanging="283"/>
        <w:contextualSpacing/>
        <w:jc w:val="both"/>
        <w:rPr>
          <w:rFonts w:ascii="Arial" w:hAnsi="Arial"/>
        </w:rPr>
      </w:pPr>
      <w:r w:rsidRPr="003F685B">
        <w:rPr>
          <w:rFonts w:ascii="Arial" w:hAnsi="Arial" w:hint="cs"/>
          <w:rtl/>
        </w:rPr>
        <w:t>בתסקירי שירות המבחן מיום 25.10.2022 ו-27.10.2022, דיווח שירות המבחן על כך שהנאשם משתף פעולה כנדרש בטיפול הייעודי, במסגרת היחידה להתמכרויות בחולון. הנאשם נמצא בשלבי סיום של התכנית</w:t>
      </w:r>
      <w:r>
        <w:rPr>
          <w:rFonts w:ascii="Arial" w:hAnsi="Arial" w:hint="cs"/>
          <w:rtl/>
        </w:rPr>
        <w:t>,</w:t>
      </w:r>
      <w:r w:rsidRPr="003F685B">
        <w:rPr>
          <w:rFonts w:ascii="Arial" w:hAnsi="Arial" w:hint="cs"/>
          <w:rtl/>
        </w:rPr>
        <w:t xml:space="preserve"> ולאור עזיבת העובדת הסוציאלית המטפלת בו, ביקש שירות המבחן לדחות את גזר הדין בארבעה חודשים נוספים</w:t>
      </w:r>
      <w:r>
        <w:rPr>
          <w:rFonts w:ascii="Arial" w:hAnsi="Arial" w:hint="cs"/>
          <w:rtl/>
        </w:rPr>
        <w:t>,</w:t>
      </w:r>
      <w:r w:rsidRPr="003F685B">
        <w:rPr>
          <w:rFonts w:ascii="Arial" w:hAnsi="Arial" w:hint="cs"/>
          <w:rtl/>
        </w:rPr>
        <w:t xml:space="preserve"> על מנת להמשיך ולבחון את התנהלותו ויכולותיו של הנאשם לשמור על שיתוף פעולה גבוה ולהשתמש בכלים הטיפוליים שרכש עד כה, גם לאחר החלפת העובדת הסוציאלית המטפלת בו. על כן, בהמשך להחלטות הקודמות ולהסכמת הצדדים, בית המשפט נעתר לבקשה. </w:t>
      </w:r>
    </w:p>
    <w:p w14:paraId="459DCE77" w14:textId="77777777" w:rsidR="003B084D" w:rsidRPr="003F685B" w:rsidRDefault="003B084D" w:rsidP="003B084D">
      <w:pPr>
        <w:spacing w:after="160" w:line="360" w:lineRule="auto"/>
        <w:ind w:left="283"/>
        <w:contextualSpacing/>
        <w:jc w:val="both"/>
        <w:rPr>
          <w:rFonts w:ascii="Arial" w:hAnsi="Arial"/>
          <w:sz w:val="12"/>
          <w:szCs w:val="12"/>
        </w:rPr>
      </w:pPr>
    </w:p>
    <w:p w14:paraId="5206921B" w14:textId="77777777" w:rsidR="003B084D" w:rsidRDefault="003B084D" w:rsidP="003B084D">
      <w:pPr>
        <w:numPr>
          <w:ilvl w:val="0"/>
          <w:numId w:val="1"/>
        </w:numPr>
        <w:spacing w:after="160" w:line="360" w:lineRule="auto"/>
        <w:ind w:left="283" w:hanging="283"/>
        <w:contextualSpacing/>
        <w:jc w:val="both"/>
        <w:rPr>
          <w:rFonts w:ascii="Arial" w:hAnsi="Arial"/>
        </w:rPr>
      </w:pPr>
      <w:r w:rsidRPr="003F685B">
        <w:rPr>
          <w:rFonts w:ascii="Arial" w:hAnsi="Arial" w:hint="cs"/>
          <w:rtl/>
        </w:rPr>
        <w:t>ביום 26.2.2023 הוגש תסקיר משלים</w:t>
      </w:r>
      <w:r>
        <w:rPr>
          <w:rFonts w:ascii="Arial" w:hAnsi="Arial" w:hint="cs"/>
          <w:rtl/>
        </w:rPr>
        <w:t>,</w:t>
      </w:r>
      <w:r w:rsidRPr="003F685B">
        <w:rPr>
          <w:rFonts w:ascii="Arial" w:hAnsi="Arial" w:hint="cs"/>
          <w:rtl/>
        </w:rPr>
        <w:t xml:space="preserve"> בגדרו ביקש שירות המבחן להמשיך ולעקוב אחר הנאשם</w:t>
      </w:r>
      <w:r>
        <w:rPr>
          <w:rFonts w:ascii="Arial" w:hAnsi="Arial" w:hint="cs"/>
          <w:rtl/>
        </w:rPr>
        <w:t xml:space="preserve">, לאחר שצוין, כי הנאשם </w:t>
      </w:r>
      <w:r w:rsidRPr="003F685B">
        <w:rPr>
          <w:rFonts w:ascii="Arial" w:hAnsi="Arial" w:hint="cs"/>
          <w:rtl/>
        </w:rPr>
        <w:t>"פועל מתוך מוטיבציה פנימית גבוהה על מנת להשיג שינוי חיובי בחייו והינו בעל יכולת להיעזר במרחב הטיפולי על מנת להעמיק את ההיכרות עם עצמו ולהבין כיצד חווית חיים ויחסים שחווה בתוך המשפחה הובילוהו לגבש דפוסים מכשילים בחלקם שבזמנו עמדו גם בבסיס מעורבותו בעבירות הנוכחיות". בנסיבות אלה שירות המבחן סבר, כי יש להסיר את התנאים המגבילים לאור הסיכון הנמוך מ</w:t>
      </w:r>
      <w:r>
        <w:rPr>
          <w:rFonts w:ascii="Arial" w:hAnsi="Arial" w:hint="cs"/>
          <w:rtl/>
        </w:rPr>
        <w:t>הנאשם,</w:t>
      </w:r>
      <w:r w:rsidRPr="003F685B">
        <w:rPr>
          <w:rFonts w:ascii="Arial" w:hAnsi="Arial" w:hint="cs"/>
          <w:rtl/>
        </w:rPr>
        <w:t xml:space="preserve"> ולעקוב אחריו במשך ארבעה חודשים נוספים</w:t>
      </w:r>
      <w:r>
        <w:rPr>
          <w:rFonts w:ascii="Arial" w:hAnsi="Arial" w:hint="cs"/>
          <w:rtl/>
        </w:rPr>
        <w:t>, על מנת</w:t>
      </w:r>
      <w:r w:rsidRPr="003F685B">
        <w:rPr>
          <w:rFonts w:ascii="Arial" w:hAnsi="Arial" w:hint="cs"/>
          <w:rtl/>
        </w:rPr>
        <w:t xml:space="preserve"> לראות כיצד יתמודד בתנאים נורמטיביים פתוחים, בטרם תגובש המלצה סופית בעניין.</w:t>
      </w:r>
    </w:p>
    <w:p w14:paraId="611FFEB5" w14:textId="77777777" w:rsidR="003B084D" w:rsidRPr="00593E47" w:rsidRDefault="003B084D" w:rsidP="003B084D">
      <w:pPr>
        <w:spacing w:after="160" w:line="360" w:lineRule="auto"/>
        <w:ind w:left="283"/>
        <w:contextualSpacing/>
        <w:jc w:val="both"/>
        <w:rPr>
          <w:rFonts w:ascii="Arial" w:hAnsi="Arial"/>
          <w:sz w:val="12"/>
          <w:szCs w:val="12"/>
        </w:rPr>
      </w:pPr>
    </w:p>
    <w:p w14:paraId="237B4AFC" w14:textId="77777777" w:rsidR="003B084D" w:rsidRDefault="003B084D" w:rsidP="003B084D">
      <w:pPr>
        <w:numPr>
          <w:ilvl w:val="0"/>
          <w:numId w:val="1"/>
        </w:numPr>
        <w:spacing w:after="160" w:line="360" w:lineRule="auto"/>
        <w:ind w:left="283" w:hanging="283"/>
        <w:contextualSpacing/>
        <w:jc w:val="both"/>
        <w:rPr>
          <w:rFonts w:ascii="Arial" w:hAnsi="Arial"/>
        </w:rPr>
      </w:pPr>
      <w:r>
        <w:rPr>
          <w:rFonts w:ascii="Arial" w:hAnsi="Arial" w:hint="cs"/>
          <w:rtl/>
        </w:rPr>
        <w:t xml:space="preserve">בישיבת </w:t>
      </w:r>
      <w:r w:rsidRPr="00E042FD">
        <w:rPr>
          <w:rFonts w:ascii="Arial" w:hAnsi="Arial" w:hint="cs"/>
          <w:rtl/>
        </w:rPr>
        <w:t>יום 5.3.2023 הסכימו הצדדים לדח</w:t>
      </w:r>
      <w:r>
        <w:rPr>
          <w:rFonts w:ascii="Arial" w:hAnsi="Arial" w:hint="cs"/>
          <w:rtl/>
        </w:rPr>
        <w:t xml:space="preserve">ות את </w:t>
      </w:r>
      <w:r w:rsidRPr="00E042FD">
        <w:rPr>
          <w:rFonts w:ascii="Arial" w:hAnsi="Arial" w:hint="cs"/>
          <w:rtl/>
        </w:rPr>
        <w:t>הדיון לארבעה חודשים</w:t>
      </w:r>
      <w:r>
        <w:rPr>
          <w:rFonts w:ascii="Arial" w:hAnsi="Arial" w:hint="cs"/>
          <w:rtl/>
        </w:rPr>
        <w:t>,</w:t>
      </w:r>
      <w:r w:rsidRPr="00E042FD">
        <w:rPr>
          <w:rFonts w:ascii="Arial" w:hAnsi="Arial" w:hint="cs"/>
          <w:rtl/>
        </w:rPr>
        <w:t xml:space="preserve"> בהתאם להמלצת שירות המבחן</w:t>
      </w:r>
      <w:r>
        <w:rPr>
          <w:rFonts w:ascii="Arial" w:hAnsi="Arial" w:hint="cs"/>
          <w:rtl/>
        </w:rPr>
        <w:t>. עוד הוסכם</w:t>
      </w:r>
      <w:r w:rsidRPr="00E042FD">
        <w:rPr>
          <w:rFonts w:ascii="Arial" w:hAnsi="Arial" w:hint="cs"/>
          <w:rtl/>
        </w:rPr>
        <w:t xml:space="preserve"> שהנאשם ישהה במעצר בית לילי בין חצות לשש בבוקר </w:t>
      </w:r>
      <w:r>
        <w:rPr>
          <w:rFonts w:ascii="Arial" w:hAnsi="Arial" w:hint="cs"/>
          <w:rtl/>
        </w:rPr>
        <w:t xml:space="preserve">עד לקבלת </w:t>
      </w:r>
      <w:r w:rsidRPr="00E042FD">
        <w:rPr>
          <w:rFonts w:ascii="Arial" w:hAnsi="Arial" w:hint="cs"/>
          <w:rtl/>
        </w:rPr>
        <w:t>תסקיר מסכם בעניינו.</w:t>
      </w:r>
      <w:r>
        <w:rPr>
          <w:rFonts w:ascii="Arial" w:hAnsi="Arial" w:hint="cs"/>
          <w:rtl/>
        </w:rPr>
        <w:t xml:space="preserve"> בית המשפט נעתר לבקשה.</w:t>
      </w:r>
      <w:r w:rsidRPr="00E042FD">
        <w:rPr>
          <w:rFonts w:ascii="Arial" w:hAnsi="Arial" w:hint="cs"/>
          <w:rtl/>
        </w:rPr>
        <w:t xml:space="preserve"> </w:t>
      </w:r>
    </w:p>
    <w:p w14:paraId="4BF8683C" w14:textId="77777777" w:rsidR="003B084D" w:rsidRPr="00593E47" w:rsidRDefault="003B084D" w:rsidP="003B084D">
      <w:pPr>
        <w:spacing w:after="160" w:line="360" w:lineRule="auto"/>
        <w:ind w:left="283"/>
        <w:contextualSpacing/>
        <w:jc w:val="both"/>
        <w:rPr>
          <w:rFonts w:ascii="Arial" w:hAnsi="Arial"/>
          <w:sz w:val="12"/>
          <w:szCs w:val="12"/>
        </w:rPr>
      </w:pPr>
    </w:p>
    <w:p w14:paraId="13C3929A" w14:textId="77777777" w:rsidR="003B084D" w:rsidRDefault="003B084D" w:rsidP="003B084D">
      <w:pPr>
        <w:numPr>
          <w:ilvl w:val="0"/>
          <w:numId w:val="1"/>
        </w:numPr>
        <w:spacing w:after="160" w:line="360" w:lineRule="auto"/>
        <w:ind w:left="283" w:hanging="283"/>
        <w:contextualSpacing/>
        <w:jc w:val="both"/>
        <w:rPr>
          <w:rFonts w:ascii="Arial" w:hAnsi="Arial"/>
        </w:rPr>
      </w:pPr>
      <w:r w:rsidRPr="00E042FD">
        <w:rPr>
          <w:rFonts w:ascii="Arial" w:hAnsi="Arial" w:hint="cs"/>
          <w:rtl/>
        </w:rPr>
        <w:t>בתסקיר המסכם מיום 25.6.2023 ציין שירות המבחן</w:t>
      </w:r>
      <w:r>
        <w:rPr>
          <w:rFonts w:ascii="Arial" w:hAnsi="Arial" w:hint="cs"/>
          <w:rtl/>
        </w:rPr>
        <w:t>,</w:t>
      </w:r>
      <w:r w:rsidRPr="00E042FD">
        <w:rPr>
          <w:rFonts w:ascii="Arial" w:hAnsi="Arial" w:hint="cs"/>
          <w:rtl/>
        </w:rPr>
        <w:t xml:space="preserve"> כי הנאשם התמיד בטיפול מאז חודש פברואר 2022 ללא כל סט</w:t>
      </w:r>
      <w:r>
        <w:rPr>
          <w:rFonts w:ascii="Arial" w:hAnsi="Arial" w:hint="cs"/>
          <w:rtl/>
        </w:rPr>
        <w:t>י</w:t>
      </w:r>
      <w:r w:rsidRPr="00E042FD">
        <w:rPr>
          <w:rFonts w:ascii="Arial" w:hAnsi="Arial" w:hint="cs"/>
          <w:rtl/>
        </w:rPr>
        <w:t xml:space="preserve">יה מכללי המסגרת. </w:t>
      </w:r>
      <w:r>
        <w:rPr>
          <w:rFonts w:ascii="Arial" w:hAnsi="Arial" w:hint="cs"/>
          <w:rtl/>
        </w:rPr>
        <w:t xml:space="preserve">נמסר, כי </w:t>
      </w:r>
      <w:r w:rsidRPr="00E042FD">
        <w:rPr>
          <w:rFonts w:ascii="Arial" w:hAnsi="Arial" w:hint="cs"/>
          <w:rtl/>
        </w:rPr>
        <w:t>ה</w:t>
      </w:r>
      <w:r>
        <w:rPr>
          <w:rFonts w:ascii="Arial" w:hAnsi="Arial" w:hint="cs"/>
          <w:rtl/>
        </w:rPr>
        <w:t>נאשם</w:t>
      </w:r>
      <w:r w:rsidRPr="00E042FD">
        <w:rPr>
          <w:rFonts w:ascii="Arial" w:hAnsi="Arial" w:hint="cs"/>
          <w:rtl/>
        </w:rPr>
        <w:t xml:space="preserve"> שומר על ניקיון מלא מסמים, מגיע לשיחות פרטניות ומשולב בקבוצ</w:t>
      </w:r>
      <w:r>
        <w:rPr>
          <w:rFonts w:ascii="Arial" w:hAnsi="Arial" w:hint="cs"/>
          <w:rtl/>
        </w:rPr>
        <w:t>ת</w:t>
      </w:r>
      <w:r w:rsidRPr="00E042FD">
        <w:rPr>
          <w:rFonts w:ascii="Arial" w:hAnsi="Arial" w:hint="cs"/>
          <w:rtl/>
        </w:rPr>
        <w:t xml:space="preserve"> "יחסים" המיועדת למטופלים ותיקים. שירות המבחן התרשם</w:t>
      </w:r>
      <w:r>
        <w:rPr>
          <w:rFonts w:ascii="Arial" w:hAnsi="Arial" w:hint="cs"/>
          <w:rtl/>
        </w:rPr>
        <w:t>,</w:t>
      </w:r>
      <w:r w:rsidRPr="00E042FD">
        <w:rPr>
          <w:rFonts w:ascii="Arial" w:hAnsi="Arial" w:hint="cs"/>
          <w:rtl/>
        </w:rPr>
        <w:t xml:space="preserve"> כי הנאשם ערך תהליך כן ומעמיק של טיפול</w:t>
      </w:r>
      <w:r>
        <w:rPr>
          <w:rFonts w:ascii="Arial" w:hAnsi="Arial" w:hint="cs"/>
          <w:rtl/>
        </w:rPr>
        <w:t>,</w:t>
      </w:r>
      <w:r w:rsidRPr="00E042FD">
        <w:rPr>
          <w:rFonts w:ascii="Arial" w:hAnsi="Arial" w:hint="cs"/>
          <w:rtl/>
        </w:rPr>
        <w:t xml:space="preserve"> במסגרתו הגיע לרמות גבוהות של חשיפה אישית ונכונות לחקור את כשליו, אם באירוע העבירה ואם בתחומי חייו האחרים. הוא אינו פועל עוד מתוך אימפולסיביות, שולט בדחפיו והסיכון בהסתבכותו בפלילים פחת באופן משמעותי. על כן</w:t>
      </w:r>
      <w:r>
        <w:rPr>
          <w:rFonts w:ascii="Arial" w:hAnsi="Arial" w:hint="cs"/>
          <w:rtl/>
        </w:rPr>
        <w:t>,</w:t>
      </w:r>
      <w:r w:rsidRPr="00E042FD">
        <w:rPr>
          <w:rFonts w:ascii="Arial" w:hAnsi="Arial" w:hint="cs"/>
          <w:rtl/>
        </w:rPr>
        <w:t xml:space="preserve"> המליצו גורמי הטיפול על ענישה שלא תקטע את הרצף הטיפולי בו </w:t>
      </w:r>
      <w:r>
        <w:rPr>
          <w:rFonts w:ascii="Arial" w:hAnsi="Arial" w:hint="cs"/>
          <w:rtl/>
        </w:rPr>
        <w:t xml:space="preserve">הוא </w:t>
      </w:r>
      <w:r w:rsidRPr="00E042FD">
        <w:rPr>
          <w:rFonts w:ascii="Arial" w:hAnsi="Arial" w:hint="cs"/>
          <w:rtl/>
        </w:rPr>
        <w:t xml:space="preserve">נתון. </w:t>
      </w:r>
      <w:r>
        <w:rPr>
          <w:rFonts w:ascii="Arial" w:hAnsi="Arial" w:hint="cs"/>
          <w:rtl/>
        </w:rPr>
        <w:t xml:space="preserve">צוין, כי </w:t>
      </w:r>
      <w:r w:rsidRPr="00E042FD">
        <w:rPr>
          <w:rFonts w:ascii="Arial" w:hAnsi="Arial" w:hint="cs"/>
          <w:rtl/>
        </w:rPr>
        <w:t xml:space="preserve">הנאשם ואביו מצויים במצב כלכלי מורכב, </w:t>
      </w:r>
      <w:r>
        <w:rPr>
          <w:rFonts w:ascii="Arial" w:hAnsi="Arial" w:hint="cs"/>
          <w:rtl/>
        </w:rPr>
        <w:t>ו</w:t>
      </w:r>
      <w:r w:rsidRPr="00E042FD">
        <w:rPr>
          <w:rFonts w:ascii="Arial" w:hAnsi="Arial" w:hint="cs"/>
          <w:rtl/>
        </w:rPr>
        <w:t>החלו בהליכים להסדרת חובותיהם</w:t>
      </w:r>
      <w:r>
        <w:rPr>
          <w:rFonts w:ascii="Arial" w:hAnsi="Arial" w:hint="cs"/>
          <w:rtl/>
        </w:rPr>
        <w:t>.</w:t>
      </w:r>
      <w:r w:rsidRPr="00E042FD">
        <w:rPr>
          <w:rFonts w:ascii="Arial" w:hAnsi="Arial" w:hint="cs"/>
          <w:rtl/>
        </w:rPr>
        <w:t xml:space="preserve"> גם בקשר הזוגי</w:t>
      </w:r>
      <w:r>
        <w:rPr>
          <w:rFonts w:ascii="Arial" w:hAnsi="Arial" w:hint="cs"/>
          <w:rtl/>
        </w:rPr>
        <w:t>,</w:t>
      </w:r>
      <w:r w:rsidRPr="00E042FD">
        <w:rPr>
          <w:rFonts w:ascii="Arial" w:hAnsi="Arial" w:hint="cs"/>
          <w:rtl/>
        </w:rPr>
        <w:t xml:space="preserve"> הנאשם שיתף במצבו המשפטי לאשורו ומבטא את עצמו ללא חשש מחשיפת רגשותיו. הנאשם גם התרחק מחברים שעלולים לסכנו ומכל חשיפה חוזרת לסם. מאז ביצוע עבירות אלה, לא נפתחו ל</w:t>
      </w:r>
      <w:r>
        <w:rPr>
          <w:rFonts w:ascii="Arial" w:hAnsi="Arial" w:hint="cs"/>
          <w:rtl/>
        </w:rPr>
        <w:t>נאשם</w:t>
      </w:r>
      <w:r w:rsidRPr="00E042FD">
        <w:rPr>
          <w:rFonts w:ascii="Arial" w:hAnsi="Arial" w:hint="cs"/>
          <w:rtl/>
        </w:rPr>
        <w:t xml:space="preserve"> תיקים נוספים וגם לאחר הסרת כל התנאים המגבילים</w:t>
      </w:r>
      <w:r>
        <w:rPr>
          <w:rFonts w:ascii="Arial" w:hAnsi="Arial" w:hint="cs"/>
          <w:rtl/>
        </w:rPr>
        <w:t>,</w:t>
      </w:r>
      <w:r w:rsidRPr="00E042FD">
        <w:rPr>
          <w:rFonts w:ascii="Arial" w:hAnsi="Arial" w:hint="cs"/>
          <w:rtl/>
        </w:rPr>
        <w:t xml:space="preserve"> וקבלת מידה גבוהה יותר של חופש פעולה</w:t>
      </w:r>
      <w:r>
        <w:rPr>
          <w:rFonts w:ascii="Arial" w:hAnsi="Arial" w:hint="cs"/>
          <w:rtl/>
        </w:rPr>
        <w:t>,</w:t>
      </w:r>
      <w:r w:rsidRPr="00E042FD">
        <w:rPr>
          <w:rFonts w:ascii="Arial" w:hAnsi="Arial" w:hint="cs"/>
          <w:rtl/>
        </w:rPr>
        <w:t xml:space="preserve"> הוא מתנהל היטב עם מצבי חייו</w:t>
      </w:r>
      <w:r>
        <w:rPr>
          <w:rFonts w:ascii="Arial" w:hAnsi="Arial" w:hint="cs"/>
          <w:rtl/>
        </w:rPr>
        <w:t>,</w:t>
      </w:r>
      <w:r w:rsidRPr="00E042FD">
        <w:rPr>
          <w:rFonts w:ascii="Arial" w:hAnsi="Arial" w:hint="cs"/>
          <w:rtl/>
        </w:rPr>
        <w:t xml:space="preserve"> ומפעיל את הכלים הטיפוליים שרכ</w:t>
      </w:r>
      <w:r>
        <w:rPr>
          <w:rFonts w:ascii="Arial" w:hAnsi="Arial" w:hint="cs"/>
          <w:rtl/>
        </w:rPr>
        <w:t>ש</w:t>
      </w:r>
      <w:r w:rsidRPr="00E042FD">
        <w:rPr>
          <w:rFonts w:ascii="Arial" w:hAnsi="Arial" w:hint="cs"/>
          <w:rtl/>
        </w:rPr>
        <w:t xml:space="preserve"> במצבים מעוררי מתח או קונפליקט. </w:t>
      </w:r>
    </w:p>
    <w:p w14:paraId="50DBD864" w14:textId="77777777" w:rsidR="003B084D" w:rsidRPr="00593E47" w:rsidRDefault="003B084D" w:rsidP="003B084D">
      <w:pPr>
        <w:spacing w:after="160" w:line="360" w:lineRule="auto"/>
        <w:ind w:left="283"/>
        <w:contextualSpacing/>
        <w:jc w:val="both"/>
        <w:rPr>
          <w:rFonts w:ascii="Arial" w:hAnsi="Arial"/>
          <w:sz w:val="12"/>
          <w:szCs w:val="12"/>
        </w:rPr>
      </w:pPr>
    </w:p>
    <w:p w14:paraId="1D0941E2" w14:textId="77777777" w:rsidR="003B084D" w:rsidRPr="00E042FD" w:rsidRDefault="003B084D" w:rsidP="003B084D">
      <w:pPr>
        <w:numPr>
          <w:ilvl w:val="0"/>
          <w:numId w:val="1"/>
        </w:numPr>
        <w:spacing w:after="160" w:line="360" w:lineRule="auto"/>
        <w:ind w:left="283" w:hanging="283"/>
        <w:contextualSpacing/>
        <w:jc w:val="both"/>
        <w:rPr>
          <w:rFonts w:ascii="Arial" w:hAnsi="Arial"/>
          <w:rtl/>
        </w:rPr>
      </w:pPr>
      <w:r w:rsidRPr="00E042FD">
        <w:rPr>
          <w:rFonts w:ascii="Arial" w:hAnsi="Arial" w:hint="cs"/>
          <w:rtl/>
        </w:rPr>
        <w:t>שירות המבחן התרשם</w:t>
      </w:r>
      <w:r>
        <w:rPr>
          <w:rFonts w:ascii="Arial" w:hAnsi="Arial" w:hint="cs"/>
          <w:rtl/>
        </w:rPr>
        <w:t>,</w:t>
      </w:r>
      <w:r w:rsidRPr="00E042FD">
        <w:rPr>
          <w:rFonts w:ascii="Arial" w:hAnsi="Arial" w:hint="cs"/>
          <w:rtl/>
        </w:rPr>
        <w:t xml:space="preserve"> </w:t>
      </w:r>
      <w:r>
        <w:rPr>
          <w:rFonts w:ascii="Arial" w:hAnsi="Arial" w:hint="cs"/>
          <w:rtl/>
        </w:rPr>
        <w:t xml:space="preserve">שאין </w:t>
      </w:r>
      <w:r w:rsidRPr="00E042FD">
        <w:rPr>
          <w:rFonts w:ascii="Arial" w:hAnsi="Arial" w:hint="cs"/>
          <w:rtl/>
        </w:rPr>
        <w:t xml:space="preserve">לנאשם דפוסי חשיבה והתנהגות שוליים מופנמים, וכן התרשם שנסיבות החיים, קרי הקושי בלימודים, </w:t>
      </w:r>
      <w:r>
        <w:rPr>
          <w:rFonts w:ascii="Arial" w:hAnsi="Arial" w:hint="cs"/>
          <w:rtl/>
        </w:rPr>
        <w:t>ו</w:t>
      </w:r>
      <w:r w:rsidRPr="00E042FD">
        <w:rPr>
          <w:rFonts w:ascii="Arial" w:hAnsi="Arial" w:hint="cs"/>
          <w:rtl/>
        </w:rPr>
        <w:t>הקושי החברתי והמשפחתי</w:t>
      </w:r>
      <w:r>
        <w:rPr>
          <w:rFonts w:ascii="Arial" w:hAnsi="Arial" w:hint="cs"/>
          <w:rtl/>
        </w:rPr>
        <w:t>,</w:t>
      </w:r>
      <w:r w:rsidRPr="00E042FD">
        <w:rPr>
          <w:rFonts w:ascii="Arial" w:hAnsi="Arial" w:hint="cs"/>
          <w:rtl/>
        </w:rPr>
        <w:t xml:space="preserve"> הובילו אותו להתמכרות לסמים ו</w:t>
      </w:r>
      <w:r>
        <w:rPr>
          <w:rFonts w:ascii="Arial" w:hAnsi="Arial" w:hint="cs"/>
          <w:rtl/>
        </w:rPr>
        <w:t xml:space="preserve">לטשטוש גבולות נוסף בתחום הפלילי. עמדותיו </w:t>
      </w:r>
      <w:r w:rsidRPr="00E042FD">
        <w:rPr>
          <w:rFonts w:ascii="Arial" w:hAnsi="Arial" w:hint="cs"/>
          <w:rtl/>
        </w:rPr>
        <w:t>השתנו בעקבות הטיפול המשמעותי שעבר</w:t>
      </w:r>
      <w:r>
        <w:rPr>
          <w:rFonts w:ascii="Arial" w:hAnsi="Arial" w:hint="cs"/>
          <w:rtl/>
        </w:rPr>
        <w:t>,</w:t>
      </w:r>
      <w:r w:rsidRPr="00E042FD">
        <w:rPr>
          <w:rFonts w:ascii="Arial" w:hAnsi="Arial" w:hint="cs"/>
          <w:rtl/>
        </w:rPr>
        <w:t xml:space="preserve"> וכיום הוא מבטא חרטה </w:t>
      </w:r>
      <w:r>
        <w:rPr>
          <w:rFonts w:ascii="Arial" w:hAnsi="Arial" w:hint="cs"/>
          <w:rtl/>
        </w:rPr>
        <w:t>ו</w:t>
      </w:r>
      <w:r w:rsidRPr="00E042FD">
        <w:rPr>
          <w:rFonts w:ascii="Arial" w:hAnsi="Arial" w:hint="cs"/>
          <w:rtl/>
        </w:rPr>
        <w:t>הפנמה של חומרת המעשים</w:t>
      </w:r>
      <w:r>
        <w:rPr>
          <w:rFonts w:ascii="Arial" w:hAnsi="Arial" w:hint="cs"/>
          <w:rtl/>
        </w:rPr>
        <w:t>,</w:t>
      </w:r>
      <w:r w:rsidRPr="00E042FD">
        <w:rPr>
          <w:rFonts w:ascii="Arial" w:hAnsi="Arial" w:hint="cs"/>
          <w:rtl/>
        </w:rPr>
        <w:t xml:space="preserve"> וההליך הפלילי היווה גורם מרתיע עבורו נוכח המחירים ששילם בעת שהייתו במעצר, במעצר בית ובתנאים מגבילים. סופו של דבר, שירות המ</w:t>
      </w:r>
      <w:r>
        <w:rPr>
          <w:rFonts w:ascii="Arial" w:hAnsi="Arial" w:hint="cs"/>
          <w:rtl/>
        </w:rPr>
        <w:t>בחן המליץ על ענישה שיקומית שחורגת</w:t>
      </w:r>
      <w:r w:rsidRPr="00E042FD">
        <w:rPr>
          <w:rFonts w:ascii="Arial" w:hAnsi="Arial" w:hint="cs"/>
          <w:rtl/>
        </w:rPr>
        <w:t xml:space="preserve"> לקול</w:t>
      </w:r>
      <w:r>
        <w:rPr>
          <w:rFonts w:ascii="Arial" w:hAnsi="Arial" w:hint="cs"/>
          <w:rtl/>
        </w:rPr>
        <w:t>ה ממתחם העונש ההולם.</w:t>
      </w:r>
      <w:r w:rsidRPr="00E042FD">
        <w:rPr>
          <w:rFonts w:ascii="Arial" w:hAnsi="Arial" w:hint="cs"/>
          <w:rtl/>
        </w:rPr>
        <w:t xml:space="preserve"> </w:t>
      </w:r>
      <w:r>
        <w:rPr>
          <w:rFonts w:ascii="Arial" w:hAnsi="Arial" w:hint="cs"/>
          <w:rtl/>
        </w:rPr>
        <w:t>לחילופין, הוסיף שירות המבחן, שאם ב</w:t>
      </w:r>
      <w:r w:rsidRPr="00E042FD">
        <w:rPr>
          <w:rFonts w:ascii="Arial" w:hAnsi="Arial" w:hint="cs"/>
          <w:rtl/>
        </w:rPr>
        <w:t xml:space="preserve">ית המשפט יסבור שיש להטיל עונש מאסר, </w:t>
      </w:r>
      <w:r>
        <w:rPr>
          <w:rFonts w:ascii="Arial" w:hAnsi="Arial" w:hint="cs"/>
          <w:rtl/>
        </w:rPr>
        <w:t>הוא</w:t>
      </w:r>
      <w:r w:rsidRPr="00E042FD">
        <w:rPr>
          <w:rFonts w:ascii="Arial" w:hAnsi="Arial" w:hint="cs"/>
          <w:rtl/>
        </w:rPr>
        <w:t xml:space="preserve"> ירוצה בעבודות שירות לצד העמדתו של הנאשם בצו מבחן ו</w:t>
      </w:r>
      <w:r>
        <w:rPr>
          <w:rFonts w:ascii="Arial" w:hAnsi="Arial" w:hint="cs"/>
          <w:rtl/>
        </w:rPr>
        <w:t xml:space="preserve">הטלת </w:t>
      </w:r>
      <w:r w:rsidRPr="00E042FD">
        <w:rPr>
          <w:rFonts w:ascii="Arial" w:hAnsi="Arial" w:hint="cs"/>
          <w:rtl/>
        </w:rPr>
        <w:t xml:space="preserve">מאסר על תנאי מרתיע. </w:t>
      </w:r>
    </w:p>
    <w:p w14:paraId="07312E82" w14:textId="77777777" w:rsidR="003B084D" w:rsidRPr="007B617C" w:rsidRDefault="003B084D" w:rsidP="003B084D">
      <w:pPr>
        <w:spacing w:line="360" w:lineRule="auto"/>
        <w:jc w:val="both"/>
        <w:rPr>
          <w:rFonts w:ascii="Arial" w:hAnsi="Arial"/>
          <w:sz w:val="12"/>
          <w:szCs w:val="12"/>
          <w:rtl/>
        </w:rPr>
      </w:pPr>
    </w:p>
    <w:p w14:paraId="04D1D592" w14:textId="77777777" w:rsidR="003B084D" w:rsidRPr="00714DB2" w:rsidRDefault="003B084D" w:rsidP="003B084D">
      <w:pPr>
        <w:spacing w:line="360" w:lineRule="auto"/>
        <w:jc w:val="both"/>
        <w:rPr>
          <w:rFonts w:ascii="Arial" w:hAnsi="Arial"/>
          <w:b/>
          <w:bCs/>
          <w:u w:val="single"/>
          <w:rtl/>
        </w:rPr>
      </w:pPr>
      <w:r>
        <w:rPr>
          <w:rFonts w:ascii="Arial" w:hAnsi="Arial" w:hint="cs"/>
          <w:b/>
          <w:bCs/>
          <w:u w:val="single"/>
          <w:rtl/>
        </w:rPr>
        <w:t>ראיות לעונש</w:t>
      </w:r>
    </w:p>
    <w:p w14:paraId="00FAF931" w14:textId="77777777" w:rsidR="003B084D" w:rsidRPr="00373499" w:rsidRDefault="003B084D" w:rsidP="003B084D">
      <w:pPr>
        <w:pStyle w:val="a9"/>
        <w:numPr>
          <w:ilvl w:val="0"/>
          <w:numId w:val="1"/>
        </w:numPr>
        <w:spacing w:line="360" w:lineRule="auto"/>
        <w:ind w:left="283" w:hanging="283"/>
        <w:jc w:val="both"/>
        <w:rPr>
          <w:rFonts w:ascii="Arial" w:hAnsi="Arial"/>
        </w:rPr>
      </w:pPr>
      <w:r w:rsidRPr="00373499">
        <w:rPr>
          <w:rFonts w:ascii="Arial" w:hAnsi="Arial" w:hint="cs"/>
          <w:rtl/>
        </w:rPr>
        <w:t>ב"כ המאשימה הגיש את גיליון ההרשעות הקודמות של הנאשם, וכן צילומים המתעדים את הדירה בה גודלו הסמים (ת/1). ב"כ הנאשם הגיש את התעודות הבאות: תעודה מאגף הרווחה בעיריית חולון על כך ש</w:t>
      </w:r>
      <w:r>
        <w:rPr>
          <w:rFonts w:ascii="Arial" w:hAnsi="Arial" w:hint="cs"/>
          <w:rtl/>
        </w:rPr>
        <w:t xml:space="preserve">הנאשם </w:t>
      </w:r>
      <w:r w:rsidRPr="00373499">
        <w:rPr>
          <w:rFonts w:ascii="Arial" w:hAnsi="Arial" w:hint="cs"/>
          <w:rtl/>
        </w:rPr>
        <w:t>סיים קבוצת מתחילים ביחידה לטיפול בהתמכרויות, הכוללת דברי הערכה שכתבה לו העובדת הסוציאלית שטיפלה בו במסגרת אותה קבוצה (נ/1); תעודת הערכה ממעסיקו של הנאשם, שציין שהוא מרוצה מתפקודו ושהוא עושה את עבודתו נאמנה, משקיע ומגדיל ראש ולוקח אחריות בעבודה, ומקווה שיוכל להמשיך להעסיק אותו לתמוך בו. עוד ציין המעסיק</w:t>
      </w:r>
      <w:r>
        <w:rPr>
          <w:rFonts w:ascii="Arial" w:hAnsi="Arial" w:hint="cs"/>
          <w:rtl/>
        </w:rPr>
        <w:t>,</w:t>
      </w:r>
      <w:r w:rsidRPr="00373499">
        <w:rPr>
          <w:rFonts w:ascii="Arial" w:hAnsi="Arial" w:hint="cs"/>
          <w:rtl/>
        </w:rPr>
        <w:t xml:space="preserve"> כי הוא רואה שינוי גדול באופן התנהלותו של הנאשם</w:t>
      </w:r>
      <w:r>
        <w:rPr>
          <w:rFonts w:ascii="Arial" w:hAnsi="Arial" w:hint="cs"/>
          <w:rtl/>
        </w:rPr>
        <w:t>,</w:t>
      </w:r>
      <w:r w:rsidRPr="00373499">
        <w:rPr>
          <w:rFonts w:ascii="Arial" w:hAnsi="Arial" w:hint="cs"/>
          <w:rtl/>
        </w:rPr>
        <w:t xml:space="preserve"> והוא מ</w:t>
      </w:r>
      <w:r>
        <w:rPr>
          <w:rFonts w:ascii="Arial" w:hAnsi="Arial" w:hint="cs"/>
          <w:rtl/>
        </w:rPr>
        <w:t>אוד</w:t>
      </w:r>
      <w:r w:rsidRPr="00373499">
        <w:rPr>
          <w:rFonts w:ascii="Arial" w:hAnsi="Arial" w:hint="cs"/>
          <w:rtl/>
        </w:rPr>
        <w:t xml:space="preserve"> מרוצה מכך (נ/2); תעודת סיום מאגף הרווחה בעיריית חולון, על כך שהנאשם סיים קבוצת "לימודי 12 הצעדים" ביחידה לטיפול בהתמכרויות (נ/3). בנוסף, הגיש ב"כ הנאשם תלושי </w:t>
      </w:r>
      <w:r>
        <w:rPr>
          <w:rFonts w:ascii="Arial" w:hAnsi="Arial" w:hint="cs"/>
          <w:rtl/>
        </w:rPr>
        <w:t>שכר</w:t>
      </w:r>
      <w:r w:rsidRPr="00373499">
        <w:rPr>
          <w:rFonts w:ascii="Arial" w:hAnsi="Arial" w:hint="cs"/>
          <w:rtl/>
        </w:rPr>
        <w:t xml:space="preserve"> של הנאשם (נ/4)</w:t>
      </w:r>
      <w:r>
        <w:rPr>
          <w:rFonts w:ascii="Arial" w:hAnsi="Arial" w:hint="cs"/>
          <w:rtl/>
        </w:rPr>
        <w:t xml:space="preserve"> ו</w:t>
      </w:r>
      <w:r w:rsidRPr="00373499">
        <w:rPr>
          <w:rFonts w:ascii="Arial" w:hAnsi="Arial" w:hint="cs"/>
          <w:rtl/>
        </w:rPr>
        <w:t>מסמכים המעידים על התיקים בהוצאה לפועל התלויים ועומדים כנגדו (נ/5)</w:t>
      </w:r>
      <w:r>
        <w:rPr>
          <w:rFonts w:ascii="Arial" w:hAnsi="Arial" w:hint="cs"/>
          <w:rtl/>
        </w:rPr>
        <w:t>.</w:t>
      </w:r>
      <w:r w:rsidRPr="00373499">
        <w:rPr>
          <w:rFonts w:ascii="Arial" w:hAnsi="Arial" w:hint="cs"/>
          <w:rtl/>
        </w:rPr>
        <w:t xml:space="preserve"> </w:t>
      </w:r>
    </w:p>
    <w:p w14:paraId="3736744A" w14:textId="77777777" w:rsidR="003B084D" w:rsidRPr="00373499" w:rsidRDefault="003B084D" w:rsidP="003B084D">
      <w:pPr>
        <w:spacing w:line="360" w:lineRule="auto"/>
        <w:jc w:val="both"/>
        <w:rPr>
          <w:rFonts w:ascii="Arial" w:hAnsi="Arial"/>
          <w:b/>
          <w:bCs/>
          <w:sz w:val="12"/>
          <w:szCs w:val="12"/>
          <w:u w:val="single"/>
          <w:rtl/>
        </w:rPr>
      </w:pPr>
    </w:p>
    <w:p w14:paraId="3F180A29" w14:textId="77777777" w:rsidR="003B084D" w:rsidRPr="008808AA" w:rsidRDefault="003B084D" w:rsidP="003B084D">
      <w:pPr>
        <w:spacing w:line="360" w:lineRule="auto"/>
        <w:jc w:val="both"/>
        <w:rPr>
          <w:rFonts w:ascii="Arial" w:hAnsi="Arial"/>
          <w:b/>
          <w:bCs/>
          <w:u w:val="single"/>
          <w:rtl/>
        </w:rPr>
      </w:pPr>
      <w:r w:rsidRPr="008808AA">
        <w:rPr>
          <w:rFonts w:ascii="Arial" w:hAnsi="Arial" w:hint="cs"/>
          <w:b/>
          <w:bCs/>
          <w:u w:val="single"/>
          <w:rtl/>
        </w:rPr>
        <w:t>טיעוני הצדדים לעונש</w:t>
      </w:r>
    </w:p>
    <w:p w14:paraId="184A8C95" w14:textId="77777777" w:rsidR="003B084D" w:rsidRDefault="003B084D" w:rsidP="003B084D">
      <w:pPr>
        <w:pStyle w:val="a9"/>
        <w:numPr>
          <w:ilvl w:val="0"/>
          <w:numId w:val="1"/>
        </w:numPr>
        <w:spacing w:line="360" w:lineRule="auto"/>
        <w:ind w:left="283" w:hanging="283"/>
        <w:jc w:val="both"/>
        <w:rPr>
          <w:rFonts w:ascii="Arial" w:hAnsi="Arial"/>
        </w:rPr>
      </w:pPr>
      <w:r w:rsidRPr="00DC7C53">
        <w:rPr>
          <w:rFonts w:ascii="Arial" w:hAnsi="Arial" w:hint="cs"/>
          <w:rtl/>
        </w:rPr>
        <w:t>ב"כ המאשימה התייחס בטיעוניו לחומרת העבירה, בשים לב לציוד הרב שכללה המעבדה, לכמות השתילים שנמצאו בה ולמשקל הכולל של הסם</w:t>
      </w:r>
      <w:r>
        <w:rPr>
          <w:rFonts w:ascii="Arial" w:hAnsi="Arial" w:hint="cs"/>
          <w:rtl/>
        </w:rPr>
        <w:t xml:space="preserve">. </w:t>
      </w:r>
      <w:r w:rsidRPr="00DC7C53">
        <w:rPr>
          <w:rFonts w:ascii="Arial" w:hAnsi="Arial" w:hint="cs"/>
          <w:rtl/>
        </w:rPr>
        <w:t>בנוסף</w:t>
      </w:r>
      <w:r>
        <w:rPr>
          <w:rFonts w:ascii="Arial" w:hAnsi="Arial" w:hint="cs"/>
          <w:rtl/>
        </w:rPr>
        <w:t>, ציין ש</w:t>
      </w:r>
      <w:r w:rsidRPr="00DC7C53">
        <w:rPr>
          <w:rFonts w:ascii="Arial" w:hAnsi="Arial" w:hint="cs"/>
          <w:rtl/>
        </w:rPr>
        <w:t xml:space="preserve">הנאשם </w:t>
      </w:r>
      <w:r>
        <w:rPr>
          <w:rFonts w:ascii="Arial" w:hAnsi="Arial" w:hint="cs"/>
          <w:rtl/>
        </w:rPr>
        <w:t xml:space="preserve">גם </w:t>
      </w:r>
      <w:r w:rsidRPr="00DC7C53">
        <w:rPr>
          <w:rFonts w:ascii="Arial" w:hAnsi="Arial" w:hint="cs"/>
          <w:rtl/>
        </w:rPr>
        <w:t>חיבר את המעבדה באופן לא חוקי לקופסאות החשמל</w:t>
      </w:r>
      <w:r>
        <w:rPr>
          <w:rFonts w:ascii="Arial" w:hAnsi="Arial" w:hint="cs"/>
          <w:rtl/>
        </w:rPr>
        <w:t>,</w:t>
      </w:r>
      <w:r w:rsidRPr="00DC7C53">
        <w:rPr>
          <w:rFonts w:ascii="Arial" w:hAnsi="Arial" w:hint="cs"/>
          <w:rtl/>
        </w:rPr>
        <w:t xml:space="preserve"> מבלי לשאת בעלויות הגבוהות בסך 73,714 ₪</w:t>
      </w:r>
      <w:r>
        <w:rPr>
          <w:rFonts w:ascii="Arial" w:hAnsi="Arial" w:hint="cs"/>
          <w:rtl/>
        </w:rPr>
        <w:t>,</w:t>
      </w:r>
      <w:r w:rsidRPr="00DC7C53">
        <w:rPr>
          <w:rFonts w:ascii="Arial" w:hAnsi="Arial" w:hint="cs"/>
          <w:rtl/>
        </w:rPr>
        <w:t xml:space="preserve"> שלמעשה נגנבו. כמו כן</w:t>
      </w:r>
      <w:r>
        <w:rPr>
          <w:rFonts w:ascii="Arial" w:hAnsi="Arial" w:hint="cs"/>
          <w:rtl/>
        </w:rPr>
        <w:t>,</w:t>
      </w:r>
      <w:r w:rsidRPr="00DC7C53">
        <w:rPr>
          <w:rFonts w:ascii="Arial" w:hAnsi="Arial" w:hint="cs"/>
          <w:rtl/>
        </w:rPr>
        <w:t xml:space="preserve"> נתפסו במעבדה סמים שלא לצריכה עצמית, שקית ובה 129.27 גרם סם מסוכן. ב"כ המאשימה הוסיף ועמד על המניע לביצוע העבירות, והוא הרצון לרווח קל בזמן קצר. </w:t>
      </w:r>
      <w:r>
        <w:rPr>
          <w:rFonts w:ascii="Arial" w:hAnsi="Arial" w:hint="cs"/>
          <w:rtl/>
        </w:rPr>
        <w:t>ב"כ המאשימה הדגיש</w:t>
      </w:r>
      <w:r w:rsidRPr="00DC7C53">
        <w:rPr>
          <w:rFonts w:ascii="Arial" w:hAnsi="Arial" w:hint="cs"/>
          <w:rtl/>
        </w:rPr>
        <w:t xml:space="preserve">, </w:t>
      </w:r>
      <w:r>
        <w:rPr>
          <w:rFonts w:ascii="Arial" w:hAnsi="Arial" w:hint="cs"/>
          <w:rtl/>
        </w:rPr>
        <w:t xml:space="preserve">כי </w:t>
      </w:r>
      <w:r w:rsidRPr="00DC7C53">
        <w:rPr>
          <w:rFonts w:ascii="Arial" w:hAnsi="Arial" w:hint="cs"/>
          <w:rtl/>
        </w:rPr>
        <w:t>מדובר בעבירות מתוכננות היטב, ובחיבור החשמל יש גם סיכון לגוף ולנפש, שכן מדובר בחיבור פיראטי. ב"כ המאשימה טען</w:t>
      </w:r>
      <w:r>
        <w:rPr>
          <w:rFonts w:ascii="Arial" w:hAnsi="Arial" w:hint="cs"/>
          <w:rtl/>
        </w:rPr>
        <w:t>,</w:t>
      </w:r>
      <w:r w:rsidRPr="00DC7C53">
        <w:rPr>
          <w:rFonts w:ascii="Arial" w:hAnsi="Arial" w:hint="cs"/>
          <w:rtl/>
        </w:rPr>
        <w:t xml:space="preserve"> שהערכים החברתיים שנפגעו כתוצאה ממעשיו של הנאשם הם פגיעה בשלומו של הציבור, והנזקים הישירים שנגרמים כתוצאה משימוש בסמים. </w:t>
      </w:r>
      <w:r>
        <w:rPr>
          <w:rFonts w:ascii="Arial" w:hAnsi="Arial" w:hint="cs"/>
          <w:rtl/>
        </w:rPr>
        <w:t xml:space="preserve">לתמיכה בטיעוניו </w:t>
      </w:r>
      <w:r w:rsidRPr="00DC7C53">
        <w:rPr>
          <w:rFonts w:ascii="Arial" w:hAnsi="Arial" w:hint="cs"/>
          <w:rtl/>
        </w:rPr>
        <w:t xml:space="preserve">הגיש ב"כ המאשימה פסיקה במקרים דומים, וציין שיש להסתכל לא רק על הכמות שנתפסה בפועל, </w:t>
      </w:r>
      <w:r>
        <w:rPr>
          <w:rFonts w:ascii="Arial" w:hAnsi="Arial" w:hint="cs"/>
          <w:rtl/>
        </w:rPr>
        <w:t xml:space="preserve">אלא </w:t>
      </w:r>
      <w:r w:rsidRPr="00DC7C53">
        <w:rPr>
          <w:rFonts w:ascii="Arial" w:hAnsi="Arial" w:hint="cs"/>
          <w:rtl/>
        </w:rPr>
        <w:t>יש לתת דגש על פוטנציאל הגידול, ההפצה והשיווק ולנזק שייגרם כתוצאה מהם, שכן אם החיפוש היה מתבצע חודש או חודשיים לאחר מכן, כמובן שהשתילים היו גדולים יותר</w:t>
      </w:r>
      <w:r>
        <w:rPr>
          <w:rFonts w:ascii="Arial" w:hAnsi="Arial" w:hint="cs"/>
          <w:rtl/>
        </w:rPr>
        <w:t xml:space="preserve">. </w:t>
      </w:r>
      <w:r w:rsidRPr="00EE3DA4">
        <w:rPr>
          <w:rFonts w:ascii="Arial" w:hAnsi="Arial" w:hint="cs"/>
          <w:rtl/>
        </w:rPr>
        <w:t xml:space="preserve">בהתחשב במדיניות הענישה הנוהגת ובפגיעה בערכים המוגנים, טען ב"כ המאשימה למתחם עונש הולם הנע בין 26 ל-50 חודשי מאסר. </w:t>
      </w:r>
    </w:p>
    <w:p w14:paraId="7EFFE0C1" w14:textId="77777777" w:rsidR="003B084D" w:rsidRPr="00EE3DA4" w:rsidRDefault="003B084D" w:rsidP="003B084D">
      <w:pPr>
        <w:pStyle w:val="a9"/>
        <w:spacing w:line="360" w:lineRule="auto"/>
        <w:ind w:left="283"/>
        <w:jc w:val="both"/>
        <w:rPr>
          <w:rFonts w:ascii="Arial" w:hAnsi="Arial"/>
          <w:sz w:val="12"/>
          <w:szCs w:val="12"/>
        </w:rPr>
      </w:pPr>
    </w:p>
    <w:p w14:paraId="395E47E5" w14:textId="77777777" w:rsidR="003B084D" w:rsidRPr="00EE3DA4" w:rsidRDefault="003B084D" w:rsidP="003B084D">
      <w:pPr>
        <w:pStyle w:val="a9"/>
        <w:numPr>
          <w:ilvl w:val="0"/>
          <w:numId w:val="1"/>
        </w:numPr>
        <w:spacing w:line="360" w:lineRule="auto"/>
        <w:ind w:left="283" w:hanging="283"/>
        <w:jc w:val="both"/>
        <w:rPr>
          <w:rFonts w:ascii="Arial" w:hAnsi="Arial"/>
        </w:rPr>
      </w:pPr>
      <w:r w:rsidRPr="00EE3DA4">
        <w:rPr>
          <w:rFonts w:ascii="Arial" w:hAnsi="Arial" w:hint="cs"/>
          <w:rtl/>
        </w:rPr>
        <w:t>ב"כ המאשימה טען שמדובר בתופעה שהיא מכת מדינה, ולכן על בית המשפט להעביר מסר, כי מדובר בהתנהלות פסולה. לדבריו, אין מקום לתת לתופעה זו יחס סלחני, ואין לנהוג במדיניות ענישה מקלה בעבירות מסוג זה, אלא במצבים של שיקום יוצאי דופן, שלדידו, אינו מתקיים בענייננו. גם בעניין זה הפנה ב"כ המאשימה לפסיקה לתמיכה בטיעוניו.</w:t>
      </w:r>
    </w:p>
    <w:p w14:paraId="70F8F8BA" w14:textId="77777777" w:rsidR="003B084D" w:rsidRPr="001316B9" w:rsidRDefault="003B084D" w:rsidP="003B084D">
      <w:pPr>
        <w:pStyle w:val="a9"/>
        <w:rPr>
          <w:rFonts w:ascii="Arial" w:hAnsi="Arial"/>
          <w:sz w:val="12"/>
          <w:szCs w:val="12"/>
          <w:rtl/>
        </w:rPr>
      </w:pPr>
    </w:p>
    <w:p w14:paraId="1A6ADDED" w14:textId="77777777" w:rsidR="003B084D" w:rsidRDefault="003B084D" w:rsidP="003B084D">
      <w:pPr>
        <w:pStyle w:val="a9"/>
        <w:numPr>
          <w:ilvl w:val="0"/>
          <w:numId w:val="1"/>
        </w:numPr>
        <w:spacing w:line="360" w:lineRule="auto"/>
        <w:ind w:left="283" w:hanging="283"/>
        <w:jc w:val="both"/>
        <w:rPr>
          <w:rFonts w:ascii="Arial" w:hAnsi="Arial"/>
        </w:rPr>
      </w:pPr>
      <w:r w:rsidRPr="00A01D51">
        <w:rPr>
          <w:rFonts w:ascii="Arial" w:hAnsi="Arial" w:hint="cs"/>
          <w:rtl/>
        </w:rPr>
        <w:t>אשר לעונש המתאים</w:t>
      </w:r>
      <w:r>
        <w:rPr>
          <w:rFonts w:ascii="Arial" w:hAnsi="Arial" w:hint="cs"/>
          <w:rtl/>
        </w:rPr>
        <w:t>-</w:t>
      </w:r>
      <w:r w:rsidRPr="00A01D51">
        <w:rPr>
          <w:rFonts w:ascii="Arial" w:hAnsi="Arial" w:hint="cs"/>
          <w:rtl/>
        </w:rPr>
        <w:t xml:space="preserve"> ב"כ המאשימה ציין את עברו הפלילי של הנאשם, שהוא בעבירת סמים. אשר לתסקירי שירות המבחן</w:t>
      </w:r>
      <w:r>
        <w:rPr>
          <w:rFonts w:ascii="Arial" w:hAnsi="Arial" w:hint="cs"/>
          <w:rtl/>
        </w:rPr>
        <w:t>-</w:t>
      </w:r>
      <w:r w:rsidRPr="00A01D51">
        <w:rPr>
          <w:rFonts w:ascii="Arial" w:hAnsi="Arial" w:hint="cs"/>
          <w:rtl/>
        </w:rPr>
        <w:t xml:space="preserve"> ב"כ המאשימה סבר שיש לדחות את המלצתם, שכן ההליך השיקומי נוגע להתמכרותו של הנאשם מסמים, ואילו בענייננו אין מדובר בגידול סמים לצריכה עצמית, אלא על מעבדה משמעותית, ולכן בעבירות כאלה רכיב השיקום צריך לקבל משקל נמוך יותר. נטען</w:t>
      </w:r>
      <w:r>
        <w:rPr>
          <w:rFonts w:ascii="Arial" w:hAnsi="Arial" w:hint="cs"/>
          <w:rtl/>
        </w:rPr>
        <w:t>,</w:t>
      </w:r>
      <w:r w:rsidRPr="00A01D51">
        <w:rPr>
          <w:rFonts w:ascii="Arial" w:hAnsi="Arial" w:hint="cs"/>
          <w:rtl/>
        </w:rPr>
        <w:t xml:space="preserve"> כי שיקול</w:t>
      </w:r>
      <w:r>
        <w:rPr>
          <w:rFonts w:ascii="Arial" w:hAnsi="Arial" w:hint="cs"/>
          <w:rtl/>
        </w:rPr>
        <w:t xml:space="preserve">י </w:t>
      </w:r>
      <w:r w:rsidRPr="00A01D51">
        <w:rPr>
          <w:rFonts w:ascii="Arial" w:hAnsi="Arial" w:hint="cs"/>
          <w:rtl/>
        </w:rPr>
        <w:t xml:space="preserve">שיקום </w:t>
      </w:r>
      <w:r>
        <w:rPr>
          <w:rFonts w:ascii="Arial" w:hAnsi="Arial" w:hint="cs"/>
          <w:rtl/>
        </w:rPr>
        <w:t>הם</w:t>
      </w:r>
      <w:r w:rsidRPr="00A01D51">
        <w:rPr>
          <w:rFonts w:ascii="Arial" w:hAnsi="Arial" w:hint="cs"/>
          <w:rtl/>
        </w:rPr>
        <w:t xml:space="preserve"> </w:t>
      </w:r>
      <w:r>
        <w:rPr>
          <w:rFonts w:ascii="Arial" w:hAnsi="Arial" w:hint="cs"/>
          <w:rtl/>
        </w:rPr>
        <w:t xml:space="preserve">רק </w:t>
      </w:r>
      <w:r w:rsidRPr="00A01D51">
        <w:rPr>
          <w:rFonts w:ascii="Arial" w:hAnsi="Arial" w:hint="cs"/>
          <w:rtl/>
        </w:rPr>
        <w:t>אחד מתוך מגוון שיקולים שעל בית המשפט לשקול, ו</w:t>
      </w:r>
      <w:r>
        <w:rPr>
          <w:rFonts w:ascii="Arial" w:hAnsi="Arial" w:hint="cs"/>
          <w:rtl/>
        </w:rPr>
        <w:t xml:space="preserve">בעבירות מסוג זה, </w:t>
      </w:r>
      <w:r w:rsidRPr="00A01D51">
        <w:rPr>
          <w:rFonts w:ascii="Arial" w:hAnsi="Arial" w:hint="cs"/>
          <w:rtl/>
        </w:rPr>
        <w:t xml:space="preserve">יש ליתן דגש על שיקולי הלימה והרתעת הרבים, בשים לב גם לכך שהעונש הקבוע לצד העבירה עומד על 20 שנה. על כן, </w:t>
      </w:r>
      <w:r>
        <w:rPr>
          <w:rFonts w:ascii="Arial" w:hAnsi="Arial" w:hint="cs"/>
          <w:rtl/>
        </w:rPr>
        <w:t xml:space="preserve">סבר </w:t>
      </w:r>
      <w:r w:rsidRPr="00A01D51">
        <w:rPr>
          <w:rFonts w:ascii="Arial" w:hAnsi="Arial" w:hint="cs"/>
          <w:rtl/>
        </w:rPr>
        <w:t xml:space="preserve">ב"כ המאשימה שהנסיבות האישיות של הנאשם צריכות לסגת מפני האינטרס הציבורי, על מנת שיועבר מסר ברור בדבר פסלות התופעה והיעדר </w:t>
      </w:r>
      <w:r>
        <w:rPr>
          <w:rFonts w:ascii="Arial" w:hAnsi="Arial" w:hint="cs"/>
          <w:rtl/>
        </w:rPr>
        <w:t>ה</w:t>
      </w:r>
      <w:r w:rsidRPr="00A01D51">
        <w:rPr>
          <w:rFonts w:ascii="Arial" w:hAnsi="Arial" w:hint="cs"/>
          <w:rtl/>
        </w:rPr>
        <w:t xml:space="preserve">כדאיות </w:t>
      </w:r>
      <w:r>
        <w:rPr>
          <w:rFonts w:ascii="Arial" w:hAnsi="Arial" w:hint="cs"/>
          <w:rtl/>
        </w:rPr>
        <w:t>ה</w:t>
      </w:r>
      <w:r w:rsidRPr="00A01D51">
        <w:rPr>
          <w:rFonts w:ascii="Arial" w:hAnsi="Arial" w:hint="cs"/>
          <w:rtl/>
        </w:rPr>
        <w:t xml:space="preserve">כלכלית שבה. </w:t>
      </w:r>
      <w:r>
        <w:rPr>
          <w:rFonts w:ascii="Arial" w:hAnsi="Arial" w:hint="cs"/>
          <w:rtl/>
        </w:rPr>
        <w:t xml:space="preserve">גם בעניין זה הגיש ב"כ המאשימה </w:t>
      </w:r>
      <w:r w:rsidRPr="00A01D51">
        <w:rPr>
          <w:rFonts w:ascii="Arial" w:hAnsi="Arial" w:hint="cs"/>
          <w:rtl/>
        </w:rPr>
        <w:t xml:space="preserve">פסיקה </w:t>
      </w:r>
      <w:r>
        <w:rPr>
          <w:rFonts w:ascii="Arial" w:hAnsi="Arial" w:hint="cs"/>
          <w:rtl/>
        </w:rPr>
        <w:t>ל</w:t>
      </w:r>
      <w:r w:rsidRPr="00A01D51">
        <w:rPr>
          <w:rFonts w:ascii="Arial" w:hAnsi="Arial" w:hint="cs"/>
          <w:rtl/>
        </w:rPr>
        <w:t xml:space="preserve">תמיכה בטענותיו. </w:t>
      </w:r>
    </w:p>
    <w:p w14:paraId="10D0855F" w14:textId="77777777" w:rsidR="003B084D" w:rsidRPr="00A01D51" w:rsidRDefault="003B084D" w:rsidP="003B084D">
      <w:pPr>
        <w:pStyle w:val="a9"/>
        <w:rPr>
          <w:rFonts w:ascii="Arial" w:hAnsi="Arial"/>
          <w:sz w:val="12"/>
          <w:szCs w:val="12"/>
          <w:rtl/>
        </w:rPr>
      </w:pPr>
    </w:p>
    <w:p w14:paraId="2A9950CD" w14:textId="77777777" w:rsidR="003B084D" w:rsidRDefault="003B084D" w:rsidP="003B084D">
      <w:pPr>
        <w:pStyle w:val="a9"/>
        <w:numPr>
          <w:ilvl w:val="0"/>
          <w:numId w:val="1"/>
        </w:numPr>
        <w:spacing w:line="360" w:lineRule="auto"/>
        <w:ind w:left="283" w:hanging="283"/>
        <w:jc w:val="both"/>
        <w:rPr>
          <w:rFonts w:ascii="Arial" w:hAnsi="Arial"/>
        </w:rPr>
      </w:pPr>
      <w:r w:rsidRPr="00A01D51">
        <w:rPr>
          <w:rFonts w:ascii="Arial" w:hAnsi="Arial" w:hint="cs"/>
          <w:rtl/>
        </w:rPr>
        <w:t>סופו של דבר, עתר ב"כ המא</w:t>
      </w:r>
      <w:r>
        <w:rPr>
          <w:rFonts w:ascii="Arial" w:hAnsi="Arial" w:hint="cs"/>
          <w:rtl/>
        </w:rPr>
        <w:t xml:space="preserve">שימה להטלת עונש בחלק התחתון של </w:t>
      </w:r>
      <w:r w:rsidRPr="00A01D51">
        <w:rPr>
          <w:rFonts w:ascii="Arial" w:hAnsi="Arial" w:hint="cs"/>
          <w:rtl/>
        </w:rPr>
        <w:t>מתחם</w:t>
      </w:r>
      <w:r>
        <w:rPr>
          <w:rFonts w:ascii="Arial" w:hAnsi="Arial" w:hint="cs"/>
          <w:rtl/>
        </w:rPr>
        <w:t xml:space="preserve"> העונש ההולם</w:t>
      </w:r>
      <w:r w:rsidRPr="00A01D51">
        <w:rPr>
          <w:rFonts w:ascii="Arial" w:hAnsi="Arial" w:hint="cs"/>
          <w:rtl/>
        </w:rPr>
        <w:t xml:space="preserve">, אך לא בתחתיתו, לצד הטלת קנס משמעותי ומאסר מותנה. עוד ביקש להכריז על הנאשם כסוחר סמים ולהורות על חילוט הרכוש המצוין בפרק ג' לכתב האישום. </w:t>
      </w:r>
    </w:p>
    <w:p w14:paraId="56BD804B" w14:textId="77777777" w:rsidR="003B084D" w:rsidRPr="00A01D51" w:rsidRDefault="003B084D" w:rsidP="003B084D">
      <w:pPr>
        <w:pStyle w:val="a9"/>
        <w:rPr>
          <w:rFonts w:ascii="Arial" w:hAnsi="Arial"/>
          <w:sz w:val="12"/>
          <w:szCs w:val="12"/>
          <w:rtl/>
        </w:rPr>
      </w:pPr>
    </w:p>
    <w:p w14:paraId="3EEFA373" w14:textId="77777777" w:rsidR="003B084D" w:rsidRDefault="003B084D" w:rsidP="003B084D">
      <w:pPr>
        <w:pStyle w:val="a9"/>
        <w:numPr>
          <w:ilvl w:val="0"/>
          <w:numId w:val="1"/>
        </w:numPr>
        <w:spacing w:line="360" w:lineRule="auto"/>
        <w:ind w:left="283" w:hanging="283"/>
        <w:jc w:val="both"/>
        <w:rPr>
          <w:rFonts w:ascii="Arial" w:hAnsi="Arial"/>
        </w:rPr>
      </w:pPr>
      <w:r>
        <w:rPr>
          <w:rFonts w:ascii="Arial" w:hAnsi="Arial" w:hint="cs"/>
          <w:rtl/>
        </w:rPr>
        <w:t xml:space="preserve">מנגד, טענה ב"כ </w:t>
      </w:r>
      <w:r w:rsidRPr="00A01D51">
        <w:rPr>
          <w:rFonts w:ascii="Arial" w:hAnsi="Arial" w:hint="cs"/>
          <w:rtl/>
        </w:rPr>
        <w:t>הנאשם</w:t>
      </w:r>
      <w:r>
        <w:rPr>
          <w:rFonts w:ascii="Arial" w:hAnsi="Arial" w:hint="cs"/>
          <w:rtl/>
        </w:rPr>
        <w:t xml:space="preserve"> </w:t>
      </w:r>
      <w:r w:rsidRPr="00A01D51">
        <w:rPr>
          <w:rFonts w:ascii="Arial" w:hAnsi="Arial" w:hint="cs"/>
          <w:rtl/>
        </w:rPr>
        <w:t xml:space="preserve">כי יש לתת דגש על שיקולי </w:t>
      </w:r>
      <w:r>
        <w:rPr>
          <w:rFonts w:ascii="Arial" w:hAnsi="Arial" w:hint="cs"/>
          <w:rtl/>
        </w:rPr>
        <w:t>השיקום, בציינה כי</w:t>
      </w:r>
      <w:r w:rsidRPr="00A01D51">
        <w:rPr>
          <w:rFonts w:ascii="Arial" w:hAnsi="Arial" w:hint="cs"/>
          <w:rtl/>
        </w:rPr>
        <w:t xml:space="preserve"> הנאשם בן 31, </w:t>
      </w:r>
      <w:r>
        <w:rPr>
          <w:rFonts w:ascii="Arial" w:hAnsi="Arial" w:hint="cs"/>
          <w:rtl/>
        </w:rPr>
        <w:t>שהחל לצרוך סמים בגיל 16.</w:t>
      </w:r>
      <w:r w:rsidRPr="00A01D51">
        <w:rPr>
          <w:rFonts w:ascii="Arial" w:hAnsi="Arial" w:hint="cs"/>
          <w:rtl/>
        </w:rPr>
        <w:t xml:space="preserve"> </w:t>
      </w:r>
      <w:r>
        <w:rPr>
          <w:rFonts w:ascii="Arial" w:hAnsi="Arial" w:hint="cs"/>
          <w:rtl/>
        </w:rPr>
        <w:t xml:space="preserve">עוד ציינה ב"כ הנאשם, שהנאשם </w:t>
      </w:r>
      <w:r w:rsidRPr="00A01D51">
        <w:rPr>
          <w:rFonts w:ascii="Arial" w:hAnsi="Arial" w:hint="cs"/>
          <w:rtl/>
        </w:rPr>
        <w:t>שהה במעצר ממש במשך 3.5 חודשים ובהמשך שהה במעצר בית מלא למשך שנה. לאחר מכן יצא לעבוד ובמשך כל התקופה הוכיח הנאשם כי הוא ראוי לאמון ולא הפר את התנאים. הנאשם עשה כברת דרך ארוכה וחיובית עם שירות המ</w:t>
      </w:r>
      <w:r>
        <w:rPr>
          <w:rFonts w:ascii="Arial" w:hAnsi="Arial" w:hint="cs"/>
          <w:rtl/>
        </w:rPr>
        <w:t>בחן, הוא כיום עובד, לקח אחריות על מעשיו ו</w:t>
      </w:r>
      <w:r w:rsidRPr="00A01D51">
        <w:rPr>
          <w:rFonts w:ascii="Arial" w:hAnsi="Arial" w:hint="cs"/>
          <w:rtl/>
        </w:rPr>
        <w:t>הביע חרטה</w:t>
      </w:r>
      <w:r>
        <w:rPr>
          <w:rFonts w:ascii="Arial" w:hAnsi="Arial" w:hint="cs"/>
          <w:rtl/>
        </w:rPr>
        <w:t>,</w:t>
      </w:r>
      <w:r w:rsidRPr="00A01D51">
        <w:rPr>
          <w:rFonts w:ascii="Arial" w:hAnsi="Arial" w:hint="cs"/>
          <w:rtl/>
        </w:rPr>
        <w:t xml:space="preserve"> והחזרתו למאסר בשלב זה עלולה לפגוע בכל תהליך השיקום</w:t>
      </w:r>
      <w:r>
        <w:rPr>
          <w:rFonts w:ascii="Arial" w:hAnsi="Arial" w:hint="cs"/>
          <w:rtl/>
        </w:rPr>
        <w:t>,</w:t>
      </w:r>
      <w:r w:rsidRPr="00A01D51">
        <w:rPr>
          <w:rFonts w:ascii="Arial" w:hAnsi="Arial" w:hint="cs"/>
          <w:rtl/>
        </w:rPr>
        <w:t xml:space="preserve"> ובכך ייפגע האינטרס הציבורי. ב"כ הנאשם ציינה</w:t>
      </w:r>
      <w:r>
        <w:rPr>
          <w:rFonts w:ascii="Arial" w:hAnsi="Arial" w:hint="cs"/>
          <w:rtl/>
        </w:rPr>
        <w:t>,</w:t>
      </w:r>
      <w:r w:rsidRPr="00A01D51">
        <w:rPr>
          <w:rFonts w:ascii="Arial" w:hAnsi="Arial" w:hint="cs"/>
          <w:rtl/>
        </w:rPr>
        <w:t xml:space="preserve"> כי הפסיקה אליה הפנתה המאשימה נוגעת לכמות רבה יותר של שתילים וגם במקרים כאלה הוטלו על נאשמים עונשי מאסר בדרך של עבודות שירות. </w:t>
      </w:r>
    </w:p>
    <w:p w14:paraId="0A5E4354" w14:textId="77777777" w:rsidR="003B084D" w:rsidRPr="00404292" w:rsidRDefault="003B084D" w:rsidP="003B084D">
      <w:pPr>
        <w:pStyle w:val="a9"/>
        <w:rPr>
          <w:rFonts w:ascii="Arial" w:hAnsi="Arial"/>
          <w:sz w:val="12"/>
          <w:szCs w:val="12"/>
          <w:rtl/>
        </w:rPr>
      </w:pPr>
    </w:p>
    <w:p w14:paraId="5D49AB1B" w14:textId="77777777" w:rsidR="003B084D" w:rsidRDefault="003B084D" w:rsidP="003B084D">
      <w:pPr>
        <w:pStyle w:val="a9"/>
        <w:numPr>
          <w:ilvl w:val="0"/>
          <w:numId w:val="1"/>
        </w:numPr>
        <w:spacing w:line="360" w:lineRule="auto"/>
        <w:ind w:left="283" w:hanging="283"/>
        <w:jc w:val="both"/>
        <w:rPr>
          <w:rFonts w:ascii="Arial" w:hAnsi="Arial"/>
        </w:rPr>
      </w:pPr>
      <w:r w:rsidRPr="00F60280">
        <w:rPr>
          <w:rFonts w:ascii="Arial" w:hAnsi="Arial" w:hint="cs"/>
          <w:rtl/>
        </w:rPr>
        <w:t>ב"כ הנאשם הוסיפה</w:t>
      </w:r>
      <w:r>
        <w:rPr>
          <w:rFonts w:ascii="Arial" w:hAnsi="Arial" w:hint="cs"/>
          <w:rtl/>
        </w:rPr>
        <w:t>,</w:t>
      </w:r>
      <w:r w:rsidRPr="00F60280">
        <w:rPr>
          <w:rFonts w:ascii="Arial" w:hAnsi="Arial" w:hint="cs"/>
          <w:rtl/>
        </w:rPr>
        <w:t xml:space="preserve"> כי הנאשם הבין כיצד להתנהל באופן נורמטיבי, הוא עובד, מסדיר את חובותיו וקיבל המלצות חיוביות ממעסיקו</w:t>
      </w:r>
      <w:r>
        <w:rPr>
          <w:rFonts w:ascii="Arial" w:hAnsi="Arial" w:hint="cs"/>
          <w:rtl/>
        </w:rPr>
        <w:t xml:space="preserve">. </w:t>
      </w:r>
      <w:r w:rsidRPr="00F60280">
        <w:rPr>
          <w:rFonts w:ascii="Arial" w:hAnsi="Arial" w:hint="cs"/>
          <w:rtl/>
        </w:rPr>
        <w:t>לכן</w:t>
      </w:r>
      <w:r>
        <w:rPr>
          <w:rFonts w:ascii="Arial" w:hAnsi="Arial" w:hint="cs"/>
          <w:rtl/>
        </w:rPr>
        <w:t>,</w:t>
      </w:r>
      <w:r w:rsidRPr="00F60280">
        <w:rPr>
          <w:rFonts w:ascii="Arial" w:hAnsi="Arial" w:hint="cs"/>
          <w:rtl/>
        </w:rPr>
        <w:t xml:space="preserve"> לדידה</w:t>
      </w:r>
      <w:r>
        <w:rPr>
          <w:rFonts w:ascii="Arial" w:hAnsi="Arial" w:hint="cs"/>
          <w:rtl/>
        </w:rPr>
        <w:t>,</w:t>
      </w:r>
      <w:r w:rsidRPr="00F60280">
        <w:rPr>
          <w:rFonts w:ascii="Arial" w:hAnsi="Arial" w:hint="cs"/>
          <w:rtl/>
        </w:rPr>
        <w:t xml:space="preserve"> זה המקרה לסטות ממתחם העונש ההולם מטעמי שיקום, והגישה פסיקה לתמיכה בטענותיה. ב"כ הנאשם עתרה להסתפק בעונש מאסר של שישה חודשים שירוצה בעבודות שירות לצד ענישה צופה פני עתיד, ולאמץ את המלצת שירות המבחן. לצד זאת, הנאשם גם ימשיך בפיקוח קצין מבחן וימשיך בתהליך החיובי שהחל ויקבל את מלוא הכלים להמשיך בדרך זו. </w:t>
      </w:r>
    </w:p>
    <w:p w14:paraId="6E36107C" w14:textId="77777777" w:rsidR="003B084D" w:rsidRPr="00F60280" w:rsidRDefault="003B084D" w:rsidP="003B084D">
      <w:pPr>
        <w:pStyle w:val="a9"/>
        <w:rPr>
          <w:rFonts w:ascii="Arial" w:hAnsi="Arial"/>
          <w:sz w:val="12"/>
          <w:szCs w:val="12"/>
          <w:rtl/>
        </w:rPr>
      </w:pPr>
    </w:p>
    <w:p w14:paraId="2B23518B" w14:textId="77777777" w:rsidR="003B084D" w:rsidRPr="00F60280" w:rsidRDefault="003B084D" w:rsidP="003B084D">
      <w:pPr>
        <w:pStyle w:val="a9"/>
        <w:numPr>
          <w:ilvl w:val="0"/>
          <w:numId w:val="1"/>
        </w:numPr>
        <w:spacing w:line="360" w:lineRule="auto"/>
        <w:ind w:left="283" w:hanging="283"/>
        <w:jc w:val="both"/>
        <w:rPr>
          <w:rFonts w:ascii="Arial" w:hAnsi="Arial"/>
          <w:rtl/>
        </w:rPr>
      </w:pPr>
      <w:r>
        <w:rPr>
          <w:rFonts w:ascii="Arial" w:hAnsi="Arial" w:hint="cs"/>
          <w:rtl/>
        </w:rPr>
        <w:t xml:space="preserve">בתום טיעוני בא כוחו, </w:t>
      </w:r>
      <w:r w:rsidRPr="00F60280">
        <w:rPr>
          <w:rFonts w:ascii="Arial" w:hAnsi="Arial" w:hint="cs"/>
          <w:rtl/>
        </w:rPr>
        <w:t>הנאשם מסר שהוא עבר דרך ארוכה מאז מעצרו</w:t>
      </w:r>
      <w:r>
        <w:rPr>
          <w:rFonts w:ascii="Arial" w:hAnsi="Arial" w:hint="cs"/>
          <w:rtl/>
        </w:rPr>
        <w:t>,</w:t>
      </w:r>
      <w:r w:rsidRPr="00F60280">
        <w:rPr>
          <w:rFonts w:ascii="Arial" w:hAnsi="Arial" w:hint="cs"/>
          <w:rtl/>
        </w:rPr>
        <w:t xml:space="preserve"> עבר טיפולי גמילה מסמים</w:t>
      </w:r>
      <w:r>
        <w:rPr>
          <w:rFonts w:ascii="Arial" w:hAnsi="Arial" w:hint="cs"/>
          <w:rtl/>
        </w:rPr>
        <w:t xml:space="preserve"> בהם </w:t>
      </w:r>
      <w:r w:rsidRPr="00F60280">
        <w:rPr>
          <w:rFonts w:ascii="Arial" w:hAnsi="Arial" w:hint="cs"/>
          <w:rtl/>
        </w:rPr>
        <w:t xml:space="preserve">ניתנו לו </w:t>
      </w:r>
      <w:r>
        <w:rPr>
          <w:rFonts w:ascii="Arial" w:hAnsi="Arial" w:hint="cs"/>
          <w:rtl/>
        </w:rPr>
        <w:t xml:space="preserve">גם </w:t>
      </w:r>
      <w:r w:rsidRPr="00F60280">
        <w:rPr>
          <w:rFonts w:ascii="Arial" w:hAnsi="Arial" w:hint="cs"/>
          <w:rtl/>
        </w:rPr>
        <w:t>כלים לחיים עצמם</w:t>
      </w:r>
      <w:r>
        <w:rPr>
          <w:rFonts w:ascii="Arial" w:hAnsi="Arial" w:hint="cs"/>
          <w:rtl/>
        </w:rPr>
        <w:t xml:space="preserve">. כמו כן, הנאשם לקח אחריות </w:t>
      </w:r>
      <w:r w:rsidRPr="00F60280">
        <w:rPr>
          <w:rFonts w:ascii="Arial" w:hAnsi="Arial" w:hint="cs"/>
          <w:rtl/>
        </w:rPr>
        <w:t>למעשיו ו</w:t>
      </w:r>
      <w:r>
        <w:rPr>
          <w:rFonts w:ascii="Arial" w:hAnsi="Arial" w:hint="cs"/>
          <w:rtl/>
        </w:rPr>
        <w:t>ה</w:t>
      </w:r>
      <w:r w:rsidRPr="00F60280">
        <w:rPr>
          <w:rFonts w:ascii="Arial" w:hAnsi="Arial" w:hint="cs"/>
          <w:rtl/>
        </w:rPr>
        <w:t>צטער עליהם</w:t>
      </w:r>
      <w:r>
        <w:rPr>
          <w:rFonts w:ascii="Arial" w:hAnsi="Arial" w:hint="cs"/>
          <w:rtl/>
        </w:rPr>
        <w:t>,</w:t>
      </w:r>
      <w:r w:rsidRPr="00F60280">
        <w:rPr>
          <w:rFonts w:ascii="Arial" w:hAnsi="Arial" w:hint="cs"/>
          <w:rtl/>
        </w:rPr>
        <w:t xml:space="preserve"> </w:t>
      </w:r>
      <w:r>
        <w:rPr>
          <w:rFonts w:ascii="Arial" w:hAnsi="Arial" w:hint="cs"/>
          <w:rtl/>
        </w:rPr>
        <w:t>ו</w:t>
      </w:r>
      <w:r w:rsidRPr="00F60280">
        <w:rPr>
          <w:rFonts w:ascii="Arial" w:hAnsi="Arial" w:hint="cs"/>
          <w:rtl/>
        </w:rPr>
        <w:t xml:space="preserve">הדגיש </w:t>
      </w:r>
      <w:r>
        <w:rPr>
          <w:rFonts w:ascii="Arial" w:hAnsi="Arial" w:hint="cs"/>
          <w:rtl/>
        </w:rPr>
        <w:t xml:space="preserve">שזו הייתה </w:t>
      </w:r>
      <w:r w:rsidRPr="00F60280">
        <w:rPr>
          <w:rFonts w:ascii="Arial" w:hAnsi="Arial" w:hint="cs"/>
          <w:rtl/>
        </w:rPr>
        <w:t>הפעם הראשונה שהוא הסתבך ב</w:t>
      </w:r>
      <w:r>
        <w:rPr>
          <w:rFonts w:ascii="Arial" w:hAnsi="Arial" w:hint="cs"/>
          <w:rtl/>
        </w:rPr>
        <w:t>עבירות מסוג זה</w:t>
      </w:r>
      <w:r w:rsidRPr="00F60280">
        <w:rPr>
          <w:rFonts w:ascii="Arial" w:hAnsi="Arial" w:hint="cs"/>
          <w:rtl/>
        </w:rPr>
        <w:t xml:space="preserve">. </w:t>
      </w:r>
    </w:p>
    <w:p w14:paraId="04FC1BF0" w14:textId="77777777" w:rsidR="003B084D" w:rsidRDefault="003B084D" w:rsidP="003B084D">
      <w:pPr>
        <w:spacing w:line="360" w:lineRule="auto"/>
        <w:jc w:val="both"/>
        <w:rPr>
          <w:rFonts w:ascii="Arial" w:hAnsi="Arial"/>
          <w:rtl/>
        </w:rPr>
      </w:pPr>
    </w:p>
    <w:p w14:paraId="56C882E1" w14:textId="77777777" w:rsidR="003B084D" w:rsidRDefault="003B084D" w:rsidP="003B084D">
      <w:pPr>
        <w:spacing w:line="360" w:lineRule="auto"/>
        <w:jc w:val="both"/>
        <w:rPr>
          <w:rFonts w:ascii="Arial" w:hAnsi="Arial"/>
          <w:b/>
          <w:bCs/>
          <w:u w:val="single"/>
          <w:rtl/>
        </w:rPr>
      </w:pPr>
    </w:p>
    <w:p w14:paraId="6551D085" w14:textId="77777777" w:rsidR="003B084D" w:rsidRDefault="003B084D" w:rsidP="003B084D">
      <w:pPr>
        <w:spacing w:line="360" w:lineRule="auto"/>
        <w:jc w:val="both"/>
        <w:rPr>
          <w:rFonts w:ascii="Arial" w:hAnsi="Arial"/>
          <w:b/>
          <w:bCs/>
          <w:u w:val="single"/>
          <w:rtl/>
        </w:rPr>
      </w:pPr>
      <w:r>
        <w:rPr>
          <w:rFonts w:ascii="Arial" w:hAnsi="Arial" w:hint="cs"/>
          <w:b/>
          <w:bCs/>
          <w:u w:val="single"/>
          <w:rtl/>
        </w:rPr>
        <w:t>דיון והכרעה</w:t>
      </w:r>
    </w:p>
    <w:p w14:paraId="0EB975E8" w14:textId="77777777" w:rsidR="003B084D" w:rsidRDefault="003B084D" w:rsidP="003B084D">
      <w:pPr>
        <w:spacing w:line="360" w:lineRule="auto"/>
        <w:jc w:val="both"/>
        <w:rPr>
          <w:rFonts w:ascii="Arial" w:hAnsi="Arial"/>
          <w:b/>
          <w:bCs/>
          <w:u w:val="single"/>
          <w:rtl/>
        </w:rPr>
      </w:pPr>
      <w:r>
        <w:rPr>
          <w:rFonts w:ascii="Arial" w:hAnsi="Arial" w:hint="cs"/>
          <w:b/>
          <w:bCs/>
          <w:u w:val="single"/>
          <w:rtl/>
        </w:rPr>
        <w:t>מתחם העונש ההולם</w:t>
      </w:r>
    </w:p>
    <w:p w14:paraId="7BECF4DB" w14:textId="77777777" w:rsidR="003B084D" w:rsidRDefault="003B084D" w:rsidP="003B084D">
      <w:pPr>
        <w:pStyle w:val="a9"/>
        <w:numPr>
          <w:ilvl w:val="0"/>
          <w:numId w:val="1"/>
        </w:numPr>
        <w:spacing w:line="360" w:lineRule="auto"/>
        <w:ind w:left="283" w:hanging="283"/>
        <w:jc w:val="both"/>
        <w:rPr>
          <w:rFonts w:ascii="Arial" w:hAnsi="Arial"/>
        </w:rPr>
      </w:pPr>
      <w:r>
        <w:rPr>
          <w:rFonts w:ascii="Arial" w:hAnsi="Arial" w:hint="cs"/>
          <w:rtl/>
        </w:rPr>
        <w:t xml:space="preserve">על פי </w:t>
      </w:r>
      <w:hyperlink r:id="rId27" w:history="1">
        <w:r w:rsidR="003766AB" w:rsidRPr="003766AB">
          <w:rPr>
            <w:rStyle w:val="Hyperlink"/>
            <w:rFonts w:ascii="Arial" w:hAnsi="Arial" w:hint="eastAsia"/>
            <w:rtl/>
          </w:rPr>
          <w:t>סעיף</w:t>
        </w:r>
        <w:r w:rsidR="003766AB" w:rsidRPr="003766AB">
          <w:rPr>
            <w:rStyle w:val="Hyperlink"/>
            <w:rFonts w:ascii="Arial" w:hAnsi="Arial"/>
            <w:rtl/>
          </w:rPr>
          <w:t xml:space="preserve"> 40ב</w:t>
        </w:r>
      </w:hyperlink>
      <w:r>
        <w:rPr>
          <w:rFonts w:ascii="Arial" w:hAnsi="Arial" w:hint="cs"/>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4C7A82DF" w14:textId="77777777" w:rsidR="003B084D" w:rsidRPr="00DF1AE3" w:rsidRDefault="003B084D" w:rsidP="003B084D">
      <w:pPr>
        <w:pStyle w:val="a9"/>
        <w:spacing w:line="360" w:lineRule="auto"/>
        <w:ind w:left="283"/>
        <w:jc w:val="both"/>
        <w:rPr>
          <w:rFonts w:ascii="Arial" w:hAnsi="Arial"/>
          <w:sz w:val="12"/>
          <w:szCs w:val="12"/>
        </w:rPr>
      </w:pPr>
    </w:p>
    <w:p w14:paraId="12FB9508" w14:textId="77777777" w:rsidR="003B084D" w:rsidRDefault="003B084D" w:rsidP="003B084D">
      <w:pPr>
        <w:pStyle w:val="a9"/>
        <w:numPr>
          <w:ilvl w:val="0"/>
          <w:numId w:val="1"/>
        </w:numPr>
        <w:spacing w:line="360" w:lineRule="auto"/>
        <w:ind w:left="283" w:hanging="283"/>
        <w:jc w:val="both"/>
        <w:rPr>
          <w:rFonts w:ascii="Arial" w:hAnsi="Arial"/>
        </w:rPr>
      </w:pPr>
      <w:r w:rsidRPr="00DC2B29">
        <w:rPr>
          <w:rFonts w:ascii="Arial" w:hAnsi="Arial"/>
          <w:rtl/>
        </w:rPr>
        <w:t>הערך החברתי המוגן העומד בבסיס עבירות הסמים הוא בראש ובראשונה בריאות הציבור, וכן ההגנה על שלום הציבור ובטחונו מפני הנזקים הישירים והעקיפים הנגרמים כתוצאה מגידול הסמים.</w:t>
      </w:r>
    </w:p>
    <w:p w14:paraId="58911C96" w14:textId="77777777" w:rsidR="003B084D" w:rsidRPr="00DC2B29" w:rsidRDefault="003B084D" w:rsidP="003B084D">
      <w:pPr>
        <w:pStyle w:val="a9"/>
        <w:rPr>
          <w:rFonts w:ascii="Arial" w:hAnsi="Arial"/>
          <w:sz w:val="12"/>
          <w:szCs w:val="12"/>
          <w:rtl/>
        </w:rPr>
      </w:pPr>
    </w:p>
    <w:p w14:paraId="520287AC" w14:textId="77777777" w:rsidR="003B084D" w:rsidRDefault="003B084D" w:rsidP="003B084D">
      <w:pPr>
        <w:pStyle w:val="a9"/>
        <w:numPr>
          <w:ilvl w:val="0"/>
          <w:numId w:val="1"/>
        </w:numPr>
        <w:spacing w:line="360" w:lineRule="auto"/>
        <w:ind w:left="283" w:hanging="283"/>
        <w:jc w:val="both"/>
        <w:rPr>
          <w:rFonts w:ascii="Arial" w:hAnsi="Arial"/>
        </w:rPr>
      </w:pPr>
      <w:r w:rsidRPr="00DC2B29">
        <w:rPr>
          <w:rFonts w:ascii="Arial" w:hAnsi="Arial"/>
          <w:rtl/>
        </w:rPr>
        <w:t xml:space="preserve">בתי המשפט </w:t>
      </w:r>
      <w:r>
        <w:rPr>
          <w:rFonts w:ascii="Arial" w:hAnsi="Arial" w:hint="cs"/>
          <w:rtl/>
        </w:rPr>
        <w:t>הדגישו לא אחת את</w:t>
      </w:r>
      <w:r w:rsidRPr="00DC2B29">
        <w:rPr>
          <w:rFonts w:ascii="Arial" w:hAnsi="Arial"/>
          <w:rtl/>
        </w:rPr>
        <w:t xml:space="preserve"> הצורך במיגור עבירות אלה וזאת בכל שלבי הפצת הסם, החל בשימוש עצמי וכלה בעבירות הסחר החמורות. העבירה של גידול והפקת סם מגלמת בתוכה חומרה יתרה בשים לב לכך שבביצועה יש משום יצור, יש מאין, שרשרת חדשה של הפצת הסם שבסופה יגיעו לצרכני סמים חדשים. תופעת המעבדות או המשתלות לגידול סמים הפכה בשנים האחרונות לתופעה נפוצה, אשר טמון בחובה פוטנציאל נזק רב, בשל החשש שהסם אשר גדל במקום יתגלגל לשוק הסמים, לגורמים עבריינים ומשם לציבור.</w:t>
      </w:r>
    </w:p>
    <w:p w14:paraId="461BC1E0" w14:textId="77777777" w:rsidR="003B084D" w:rsidRPr="00037116" w:rsidRDefault="003B084D" w:rsidP="003B084D">
      <w:pPr>
        <w:spacing w:after="160" w:line="360" w:lineRule="auto"/>
        <w:ind w:left="283"/>
        <w:contextualSpacing/>
        <w:jc w:val="both"/>
        <w:rPr>
          <w:rFonts w:ascii="Arial" w:hAnsi="Arial"/>
          <w:sz w:val="12"/>
          <w:szCs w:val="12"/>
        </w:rPr>
      </w:pPr>
    </w:p>
    <w:p w14:paraId="31E999E6" w14:textId="77777777" w:rsidR="003B084D" w:rsidRPr="00DC2B29" w:rsidRDefault="003B084D" w:rsidP="003B084D">
      <w:pPr>
        <w:numPr>
          <w:ilvl w:val="0"/>
          <w:numId w:val="1"/>
        </w:numPr>
        <w:spacing w:after="160" w:line="360" w:lineRule="auto"/>
        <w:ind w:left="283" w:hanging="283"/>
        <w:contextualSpacing/>
        <w:jc w:val="both"/>
        <w:rPr>
          <w:rFonts w:ascii="Arial" w:hAnsi="Arial"/>
        </w:rPr>
      </w:pPr>
      <w:r w:rsidRPr="00DC2B29">
        <w:rPr>
          <w:rFonts w:ascii="Arial" w:hAnsi="Arial"/>
          <w:rtl/>
        </w:rPr>
        <w:t>העובדה שהמחוקק קבע לצד עבירת גידול סם מסוכן עונש מאסר של עד 20 שנה, מלמדת על כך שמדובר בערך חברתי ממעלה ראשונה. בית משפט העליון חוזר ועומד על החומרה הטמונה בעבירות הקשורות בסמים והנזק הרב אשר הן גורמות לחברה כפי שהדבר בא לביטוי בשורה ארוכה של פסקי דין.</w:t>
      </w:r>
      <w:r w:rsidRPr="00DC2B29">
        <w:rPr>
          <w:rFonts w:ascii="Arial" w:hAnsi="Arial" w:hint="cs"/>
          <w:rtl/>
        </w:rPr>
        <w:t xml:space="preserve"> </w:t>
      </w:r>
      <w:r w:rsidRPr="00DC2B29">
        <w:rPr>
          <w:rFonts w:ascii="Calibri" w:hAnsi="Calibri"/>
          <w:rtl/>
        </w:rPr>
        <w:t>כך למשל ב</w:t>
      </w:r>
      <w:hyperlink r:id="rId28" w:history="1">
        <w:r w:rsidR="00567D7D" w:rsidRPr="00567D7D">
          <w:rPr>
            <w:rFonts w:ascii="Calibri" w:hAnsi="Calibri" w:hint="eastAsia"/>
            <w:color w:val="0000FF"/>
            <w:u w:val="single"/>
            <w:rtl/>
          </w:rPr>
          <w:t>ע</w:t>
        </w:r>
        <w:r w:rsidR="00567D7D" w:rsidRPr="00567D7D">
          <w:rPr>
            <w:rFonts w:ascii="Calibri" w:hAnsi="Calibri"/>
            <w:color w:val="0000FF"/>
            <w:u w:val="single"/>
            <w:rtl/>
          </w:rPr>
          <w:t>"</w:t>
        </w:r>
        <w:r w:rsidR="00567D7D" w:rsidRPr="00567D7D">
          <w:rPr>
            <w:rFonts w:ascii="Calibri" w:hAnsi="Calibri" w:hint="eastAsia"/>
            <w:color w:val="0000FF"/>
            <w:u w:val="single"/>
            <w:rtl/>
          </w:rPr>
          <w:t>פ</w:t>
        </w:r>
        <w:r w:rsidR="00567D7D" w:rsidRPr="00567D7D">
          <w:rPr>
            <w:rFonts w:ascii="Calibri" w:hAnsi="Calibri"/>
            <w:color w:val="0000FF"/>
            <w:u w:val="single"/>
            <w:rtl/>
          </w:rPr>
          <w:t xml:space="preserve"> 211/09</w:t>
        </w:r>
      </w:hyperlink>
      <w:r w:rsidRPr="00DC2B29">
        <w:rPr>
          <w:rFonts w:ascii="Calibri" w:hAnsi="Calibri"/>
          <w:rtl/>
        </w:rPr>
        <w:t xml:space="preserve"> </w:t>
      </w:r>
      <w:r w:rsidRPr="00DC2B29">
        <w:rPr>
          <w:rFonts w:ascii="Calibri" w:hAnsi="Calibri"/>
          <w:b/>
          <w:bCs/>
          <w:rtl/>
        </w:rPr>
        <w:t>אזולאי נ' מדינת ישראל</w:t>
      </w:r>
      <w:r w:rsidRPr="00DC2B29">
        <w:rPr>
          <w:rFonts w:ascii="Calibri" w:hAnsi="Calibri"/>
          <w:rtl/>
        </w:rPr>
        <w:t xml:space="preserve"> (22.6.10) נאמר:</w:t>
      </w:r>
    </w:p>
    <w:p w14:paraId="69C1D921" w14:textId="77777777" w:rsidR="003B084D" w:rsidRPr="00DC2B29" w:rsidRDefault="003B084D" w:rsidP="003B084D">
      <w:pPr>
        <w:pStyle w:val="a9"/>
        <w:spacing w:line="360" w:lineRule="auto"/>
        <w:ind w:left="850" w:right="709"/>
        <w:jc w:val="both"/>
        <w:rPr>
          <w:rFonts w:ascii="Arial" w:hAnsi="Arial"/>
        </w:rPr>
      </w:pPr>
      <w:r>
        <w:rPr>
          <w:rFonts w:ascii="Calibri" w:hAnsi="Calibri"/>
          <w:b/>
          <w:bCs/>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בפיסקה 10, וראו גם, </w:t>
      </w:r>
      <w:hyperlink r:id="rId29" w:history="1">
        <w:r w:rsidR="00567D7D" w:rsidRPr="00567D7D">
          <w:rPr>
            <w:rFonts w:ascii="Calibri" w:hAnsi="Calibri" w:hint="eastAsia"/>
            <w:b/>
            <w:bCs/>
            <w:color w:val="0000FF"/>
            <w:u w:val="single"/>
            <w:rtl/>
          </w:rPr>
          <w:t>ע</w:t>
        </w:r>
        <w:r w:rsidR="00567D7D" w:rsidRPr="00567D7D">
          <w:rPr>
            <w:rFonts w:ascii="Calibri" w:hAnsi="Calibri"/>
            <w:b/>
            <w:bCs/>
            <w:color w:val="0000FF"/>
            <w:u w:val="single"/>
            <w:rtl/>
          </w:rPr>
          <w:t>"</w:t>
        </w:r>
        <w:r w:rsidR="00567D7D" w:rsidRPr="00567D7D">
          <w:rPr>
            <w:rFonts w:ascii="Calibri" w:hAnsi="Calibri" w:hint="eastAsia"/>
            <w:b/>
            <w:bCs/>
            <w:color w:val="0000FF"/>
            <w:u w:val="single"/>
            <w:rtl/>
          </w:rPr>
          <w:t>פ</w:t>
        </w:r>
        <w:r w:rsidR="00567D7D" w:rsidRPr="00567D7D">
          <w:rPr>
            <w:rFonts w:ascii="Calibri" w:hAnsi="Calibri"/>
            <w:b/>
            <w:bCs/>
            <w:color w:val="0000FF"/>
            <w:u w:val="single"/>
            <w:rtl/>
          </w:rPr>
          <w:t xml:space="preserve"> 9482/09</w:t>
        </w:r>
      </w:hyperlink>
      <w:r>
        <w:rPr>
          <w:rFonts w:ascii="Calibri" w:hAnsi="Calibri"/>
          <w:b/>
          <w:bCs/>
          <w:rtl/>
        </w:rPr>
        <w:t xml:space="preserve"> ביטון נ' מדינת ישראל ([פורסם בנבו], 24.7.2011); </w:t>
      </w:r>
      <w:hyperlink r:id="rId30" w:history="1">
        <w:r w:rsidR="00567D7D" w:rsidRPr="00567D7D">
          <w:rPr>
            <w:rFonts w:ascii="Calibri" w:hAnsi="Calibri" w:hint="eastAsia"/>
            <w:b/>
            <w:bCs/>
            <w:color w:val="0000FF"/>
            <w:u w:val="single"/>
            <w:rtl/>
          </w:rPr>
          <w:t>ע</w:t>
        </w:r>
        <w:r w:rsidR="00567D7D" w:rsidRPr="00567D7D">
          <w:rPr>
            <w:rFonts w:ascii="Calibri" w:hAnsi="Calibri"/>
            <w:b/>
            <w:bCs/>
            <w:color w:val="0000FF"/>
            <w:u w:val="single"/>
            <w:rtl/>
          </w:rPr>
          <w:t>"</w:t>
        </w:r>
        <w:r w:rsidR="00567D7D" w:rsidRPr="00567D7D">
          <w:rPr>
            <w:rFonts w:ascii="Calibri" w:hAnsi="Calibri" w:hint="eastAsia"/>
            <w:b/>
            <w:bCs/>
            <w:color w:val="0000FF"/>
            <w:u w:val="single"/>
            <w:rtl/>
          </w:rPr>
          <w:t>פ</w:t>
        </w:r>
        <w:r w:rsidR="00567D7D" w:rsidRPr="00567D7D">
          <w:rPr>
            <w:rFonts w:ascii="Calibri" w:hAnsi="Calibri"/>
            <w:b/>
            <w:bCs/>
            <w:color w:val="0000FF"/>
            <w:u w:val="single"/>
            <w:rtl/>
          </w:rPr>
          <w:t xml:space="preserve"> 5765/10</w:t>
        </w:r>
      </w:hyperlink>
      <w:r>
        <w:rPr>
          <w:rFonts w:ascii="Calibri" w:hAnsi="Calibri"/>
          <w:b/>
          <w:bCs/>
          <w:rtl/>
        </w:rPr>
        <w:t xml:space="preserve"> פלוני נ' מדינת ישראל ([פורסם בנבו], 5.6.2011); </w:t>
      </w:r>
      <w:hyperlink r:id="rId31" w:history="1">
        <w:r w:rsidR="00567D7D" w:rsidRPr="00567D7D">
          <w:rPr>
            <w:rFonts w:ascii="Calibri" w:hAnsi="Calibri" w:hint="eastAsia"/>
            <w:b/>
            <w:bCs/>
            <w:color w:val="0000FF"/>
            <w:u w:val="single"/>
            <w:rtl/>
          </w:rPr>
          <w:t>ע</w:t>
        </w:r>
        <w:r w:rsidR="00567D7D" w:rsidRPr="00567D7D">
          <w:rPr>
            <w:rFonts w:ascii="Calibri" w:hAnsi="Calibri"/>
            <w:b/>
            <w:bCs/>
            <w:color w:val="0000FF"/>
            <w:u w:val="single"/>
            <w:rtl/>
          </w:rPr>
          <w:t>"</w:t>
        </w:r>
        <w:r w:rsidR="00567D7D" w:rsidRPr="00567D7D">
          <w:rPr>
            <w:rFonts w:ascii="Calibri" w:hAnsi="Calibri" w:hint="eastAsia"/>
            <w:b/>
            <w:bCs/>
            <w:color w:val="0000FF"/>
            <w:u w:val="single"/>
            <w:rtl/>
          </w:rPr>
          <w:t>פ</w:t>
        </w:r>
        <w:r w:rsidR="00567D7D" w:rsidRPr="00567D7D">
          <w:rPr>
            <w:rFonts w:ascii="Calibri" w:hAnsi="Calibri"/>
            <w:b/>
            <w:bCs/>
            <w:color w:val="0000FF"/>
            <w:u w:val="single"/>
            <w:rtl/>
          </w:rPr>
          <w:t xml:space="preserve"> 3570/09</w:t>
        </w:r>
      </w:hyperlink>
      <w:r>
        <w:rPr>
          <w:rFonts w:ascii="Calibri" w:hAnsi="Calibri"/>
          <w:b/>
          <w:bCs/>
          <w:rtl/>
        </w:rPr>
        <w:t xml:space="preserve"> אבו עמרה נ' מדינת ישראל ([פורסם בנבו], 3.5.2010))" </w:t>
      </w:r>
      <w:r>
        <w:rPr>
          <w:rFonts w:ascii="Calibri" w:hAnsi="Calibri"/>
          <w:rtl/>
        </w:rPr>
        <w:t>(שם בפסקה 10)</w:t>
      </w:r>
      <w:r w:rsidRPr="00DC2B29">
        <w:rPr>
          <w:rFonts w:ascii="Calibri" w:hAnsi="Calibri"/>
          <w:rtl/>
        </w:rPr>
        <w:t>.</w:t>
      </w:r>
    </w:p>
    <w:p w14:paraId="4CB3B941" w14:textId="77777777" w:rsidR="003B084D" w:rsidRPr="00086507" w:rsidRDefault="003B084D" w:rsidP="003B084D">
      <w:pPr>
        <w:pStyle w:val="a9"/>
        <w:spacing w:line="360" w:lineRule="auto"/>
        <w:ind w:left="283"/>
        <w:jc w:val="both"/>
        <w:rPr>
          <w:rFonts w:ascii="Arial" w:hAnsi="Arial"/>
          <w:sz w:val="12"/>
          <w:szCs w:val="12"/>
        </w:rPr>
      </w:pPr>
    </w:p>
    <w:p w14:paraId="25D6CC87" w14:textId="77777777" w:rsidR="003B084D" w:rsidRDefault="003B084D" w:rsidP="003B084D">
      <w:pPr>
        <w:numPr>
          <w:ilvl w:val="0"/>
          <w:numId w:val="1"/>
        </w:numPr>
        <w:spacing w:after="160" w:line="360" w:lineRule="auto"/>
        <w:ind w:left="283" w:hanging="283"/>
        <w:contextualSpacing/>
        <w:jc w:val="both"/>
        <w:rPr>
          <w:rFonts w:ascii="Arial" w:hAnsi="Arial"/>
        </w:rPr>
      </w:pPr>
      <w:r w:rsidRPr="003337F7">
        <w:rPr>
          <w:rFonts w:ascii="Arial" w:hAnsi="Arial" w:hint="cs"/>
          <w:rtl/>
        </w:rPr>
        <w:t>בפסיקה</w:t>
      </w:r>
      <w:r>
        <w:rPr>
          <w:rFonts w:ascii="Arial" w:hAnsi="Arial" w:hint="cs"/>
          <w:rtl/>
        </w:rPr>
        <w:t xml:space="preserve"> אף הודגש</w:t>
      </w:r>
      <w:r w:rsidRPr="003337F7">
        <w:rPr>
          <w:rFonts w:ascii="Arial" w:hAnsi="Arial" w:hint="cs"/>
          <w:rtl/>
        </w:rPr>
        <w:t>, כי אין בכך שמדובר ב</w:t>
      </w:r>
      <w:r>
        <w:rPr>
          <w:rFonts w:ascii="Arial" w:hAnsi="Arial" w:hint="cs"/>
          <w:rtl/>
        </w:rPr>
        <w:t xml:space="preserve">סם מסוג </w:t>
      </w:r>
      <w:r w:rsidRPr="003337F7">
        <w:rPr>
          <w:rFonts w:ascii="Arial" w:hAnsi="Arial" w:hint="cs"/>
          <w:rtl/>
        </w:rPr>
        <w:t xml:space="preserve">קנבוס או בסוגי סמים הנחשבים "קלים" כדי להקל בחומרת העבירות: </w:t>
      </w:r>
      <w:r w:rsidRPr="00086507">
        <w:rPr>
          <w:b/>
          <w:bCs/>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tl/>
        </w:rPr>
        <w:t xml:space="preserve"> (</w:t>
      </w:r>
      <w:hyperlink r:id="rId32" w:history="1">
        <w:r w:rsidR="00567D7D" w:rsidRPr="00567D7D">
          <w:rPr>
            <w:color w:val="0000FF"/>
            <w:u w:val="single"/>
            <w:rtl/>
          </w:rPr>
          <w:t>ע"פ 2596/18</w:t>
        </w:r>
      </w:hyperlink>
      <w:r>
        <w:rPr>
          <w:rFonts w:hint="cs"/>
          <w:rtl/>
        </w:rPr>
        <w:t xml:space="preserve"> </w:t>
      </w:r>
      <w:r>
        <w:rPr>
          <w:rFonts w:hint="cs"/>
          <w:b/>
          <w:bCs/>
          <w:rtl/>
        </w:rPr>
        <w:t>כפיר זנגורי נ' מדינת ישראל</w:t>
      </w:r>
      <w:r>
        <w:rPr>
          <w:rFonts w:hint="cs"/>
          <w:rtl/>
        </w:rPr>
        <w:t>, פס' 8 לפסק דינו של כב' השופט י' עמית (12.08.18)</w:t>
      </w:r>
      <w:r>
        <w:rPr>
          <w:rtl/>
        </w:rPr>
        <w:t>).</w:t>
      </w:r>
    </w:p>
    <w:p w14:paraId="3C712FAF" w14:textId="77777777" w:rsidR="003B084D" w:rsidRPr="00086507" w:rsidRDefault="003B084D" w:rsidP="003B084D">
      <w:pPr>
        <w:pStyle w:val="a9"/>
        <w:spacing w:line="360" w:lineRule="auto"/>
        <w:ind w:left="283"/>
        <w:jc w:val="both"/>
        <w:rPr>
          <w:rFonts w:ascii="Arial" w:hAnsi="Arial"/>
          <w:sz w:val="12"/>
          <w:szCs w:val="12"/>
        </w:rPr>
      </w:pPr>
    </w:p>
    <w:p w14:paraId="5D3F21D7" w14:textId="77777777" w:rsidR="003B084D" w:rsidRPr="00DC2B29" w:rsidRDefault="003B084D" w:rsidP="003B084D">
      <w:pPr>
        <w:numPr>
          <w:ilvl w:val="0"/>
          <w:numId w:val="1"/>
        </w:numPr>
        <w:spacing w:after="160" w:line="360" w:lineRule="auto"/>
        <w:ind w:left="283" w:hanging="283"/>
        <w:contextualSpacing/>
        <w:jc w:val="both"/>
        <w:rPr>
          <w:rFonts w:ascii="Arial" w:hAnsi="Arial"/>
        </w:rPr>
      </w:pPr>
      <w:r w:rsidRPr="00DC2B29">
        <w:rPr>
          <w:rFonts w:ascii="Arial" w:hAnsi="Arial" w:hint="cs"/>
          <w:rtl/>
        </w:rPr>
        <w:t xml:space="preserve">אשר למדיניות הענישה, </w:t>
      </w:r>
      <w:r>
        <w:rPr>
          <w:rFonts w:hint="cs"/>
          <w:rtl/>
        </w:rPr>
        <w:t xml:space="preserve">הפסיקה מבחינה בין המקרים השונים </w:t>
      </w:r>
      <w:r>
        <w:rPr>
          <w:rtl/>
        </w:rPr>
        <w:t xml:space="preserve">בהתחשב בכמות הסם שנתפסה, </w:t>
      </w:r>
      <w:r w:rsidRPr="00DC2B29">
        <w:rPr>
          <w:rFonts w:ascii="David" w:hAnsi="David"/>
          <w:rtl/>
        </w:rPr>
        <w:t>סוג הסם</w:t>
      </w:r>
      <w:r>
        <w:rPr>
          <w:rtl/>
        </w:rPr>
        <w:t>, טיב המעבדה ומשך פעולתה וכן מידת מעורבותו של הנאשם בגידול או עבירות קשורות נוספות בהן הואשם</w:t>
      </w:r>
      <w:r w:rsidRPr="00DC2B29">
        <w:rPr>
          <w:rFonts w:ascii="David" w:hAnsi="David"/>
          <w:rtl/>
        </w:rPr>
        <w:t>.</w:t>
      </w:r>
      <w:r>
        <w:rPr>
          <w:rFonts w:ascii="David" w:hAnsi="David" w:hint="cs"/>
          <w:rtl/>
        </w:rPr>
        <w:t xml:space="preserve"> </w:t>
      </w:r>
      <w:r w:rsidRPr="00DC2B29">
        <w:rPr>
          <w:rFonts w:ascii="Arial" w:hAnsi="Arial" w:hint="cs"/>
          <w:rtl/>
        </w:rPr>
        <w:t>להלן אביא פסיקה מאירועים דומים, כדלהלן:</w:t>
      </w:r>
    </w:p>
    <w:p w14:paraId="5A022A11" w14:textId="77777777" w:rsidR="003B084D" w:rsidRPr="00086507" w:rsidRDefault="003B084D" w:rsidP="003B084D">
      <w:pPr>
        <w:pStyle w:val="a9"/>
        <w:spacing w:line="360" w:lineRule="auto"/>
        <w:ind w:left="643"/>
        <w:jc w:val="both"/>
        <w:rPr>
          <w:rFonts w:ascii="Arial" w:hAnsi="Arial"/>
          <w:sz w:val="12"/>
          <w:szCs w:val="12"/>
        </w:rPr>
      </w:pPr>
    </w:p>
    <w:p w14:paraId="2014BCC6" w14:textId="77777777" w:rsidR="003B084D" w:rsidRDefault="003B084D" w:rsidP="003B084D">
      <w:pPr>
        <w:pStyle w:val="a9"/>
        <w:numPr>
          <w:ilvl w:val="0"/>
          <w:numId w:val="2"/>
        </w:numPr>
        <w:spacing w:line="360" w:lineRule="auto"/>
        <w:jc w:val="both"/>
        <w:rPr>
          <w:rFonts w:ascii="Arial" w:hAnsi="Arial"/>
        </w:rPr>
      </w:pPr>
      <w:r>
        <w:rPr>
          <w:rFonts w:ascii="Arial" w:hAnsi="Arial" w:hint="cs"/>
          <w:rtl/>
        </w:rPr>
        <w:t>ב</w:t>
      </w:r>
      <w:hyperlink r:id="rId33" w:history="1">
        <w:r w:rsidR="00567D7D" w:rsidRPr="00567D7D">
          <w:rPr>
            <w:rFonts w:ascii="Arial" w:hAnsi="Arial"/>
            <w:color w:val="0000FF"/>
            <w:u w:val="single"/>
            <w:rtl/>
          </w:rPr>
          <w:t>ע"פ 3398/22</w:t>
        </w:r>
      </w:hyperlink>
      <w:r>
        <w:rPr>
          <w:rFonts w:ascii="Arial" w:hAnsi="Arial" w:hint="cs"/>
          <w:rtl/>
        </w:rPr>
        <w:t xml:space="preserve"> </w:t>
      </w:r>
      <w:r>
        <w:rPr>
          <w:rFonts w:ascii="Arial" w:hAnsi="Arial" w:hint="cs"/>
          <w:b/>
          <w:bCs/>
          <w:rtl/>
        </w:rPr>
        <w:t>ניתאי גמליאל נ' מדינת ישראל</w:t>
      </w:r>
      <w:r>
        <w:rPr>
          <w:rFonts w:ascii="Arial" w:hAnsi="Arial" w:hint="cs"/>
          <w:rtl/>
        </w:rPr>
        <w:t xml:space="preserve"> (17.7.2022), נדון עניינו של מי שהורשע בעבירות של ייצור, הכנה והפקה של סם מסוכן, החזקת סם מסוכן שלא לצריכה עצמית, החזקת כלים וגניבת חשמל. הנאשם הודה במסגרת הסדר טיעון בכך ששכר דירה במשך כחצי שנה, צייד אותה באביזרים וכלים שונים וגידל בה סם מסוכן מסוג קנבוס. בדירה נמצאו 202 שתילים של הסם האמור במשקל של כ-65 ק"ג נטו. בית המשפט המחוזי קבע מתחם עונש הולם הנע בין 22 ל-48 חודשי מאסר לריצוי בפועל. בתוך המתחם, בית המשפט המחוזי התחשב, בין היתר, בהודאתו במעשים ובעברו הפלילי הנקי, וגזר עליו 22 חודשי מאסר לריצוי בפועל, וכן ענישה נלווית ובה קנס בסך 10,000 ₪ וכן חויב בתשלום 21,072 ₪ לחברת החשמל, כשווי החשמל שגנב. בית המשפט העליון דחה את ערעורו של הנאשם.</w:t>
      </w:r>
    </w:p>
    <w:p w14:paraId="569AAF4D" w14:textId="77777777" w:rsidR="003B084D" w:rsidRPr="00467899" w:rsidRDefault="003B084D" w:rsidP="003B084D">
      <w:pPr>
        <w:pStyle w:val="a9"/>
        <w:spacing w:line="360" w:lineRule="auto"/>
        <w:ind w:left="643"/>
        <w:jc w:val="both"/>
        <w:rPr>
          <w:rFonts w:ascii="Arial" w:hAnsi="Arial"/>
          <w:sz w:val="12"/>
          <w:szCs w:val="12"/>
        </w:rPr>
      </w:pPr>
    </w:p>
    <w:p w14:paraId="0743FFBB" w14:textId="77777777" w:rsidR="003B084D" w:rsidRDefault="003B084D" w:rsidP="003B084D">
      <w:pPr>
        <w:pStyle w:val="a9"/>
        <w:numPr>
          <w:ilvl w:val="0"/>
          <w:numId w:val="2"/>
        </w:numPr>
        <w:spacing w:line="360" w:lineRule="auto"/>
        <w:jc w:val="both"/>
        <w:rPr>
          <w:rFonts w:ascii="Arial" w:hAnsi="Arial"/>
        </w:rPr>
      </w:pPr>
      <w:r>
        <w:rPr>
          <w:rFonts w:ascii="Arial" w:hAnsi="Arial" w:hint="cs"/>
          <w:rtl/>
        </w:rPr>
        <w:t>ב</w:t>
      </w:r>
      <w:hyperlink r:id="rId34" w:history="1">
        <w:r w:rsidR="00567D7D" w:rsidRPr="00567D7D">
          <w:rPr>
            <w:rFonts w:ascii="Arial" w:hAnsi="Arial"/>
            <w:color w:val="0000FF"/>
            <w:u w:val="single"/>
            <w:rtl/>
          </w:rPr>
          <w:t>ע"פ 2139/22</w:t>
        </w:r>
      </w:hyperlink>
      <w:r>
        <w:rPr>
          <w:rFonts w:ascii="Arial" w:hAnsi="Arial" w:hint="cs"/>
          <w:rtl/>
        </w:rPr>
        <w:t xml:space="preserve"> </w:t>
      </w:r>
      <w:r w:rsidRPr="00F36F8C">
        <w:rPr>
          <w:rFonts w:ascii="Arial" w:hAnsi="Arial" w:hint="cs"/>
          <w:b/>
          <w:bCs/>
          <w:rtl/>
        </w:rPr>
        <w:t>שלום ג'נאח נ' מדינת ישראל</w:t>
      </w:r>
      <w:r>
        <w:rPr>
          <w:rFonts w:ascii="Arial" w:hAnsi="Arial" w:hint="cs"/>
          <w:rtl/>
        </w:rPr>
        <w:t xml:space="preserve"> (14.7.22), נדון עניינו של מי שהורשע בעבירות של ייצור, הכנה והפקה של סם מסוכן וגניבה בנסיבות מחמירות. הנאשם הודה במסגרת הסדר טיעון בכך ששכר מחסן גדול אותו צייד בכלים ובאביזרים שונים לצורך הפיכתו למעבדה לגידול קנבוס שפעלה במשך כשמונה חודשים, ואף עשה שימוש בחשמל ללא רשות בשווי המוערך בסך של 135,382 ₪. הנאשם גידל במעבדה 790 שתילים של סם מסוכן מסוג קנבוס, והחזיק בכמות כוללת של 82.485 קילוגרם נטו על קנביס מיובש, בשווי המוערך של כ-4 מיליון ₪. חמישה נאשמים נוספים הורשעו במסגרת הסדר הטיעון בסיוע לייצור, הכנה והפקה של סם מסוכן. בית המשפט המחוזי קבע מתחם עונש הולם בעניינו של הנאשם הנע בין 24 ל-48 חודשי מאסר לריצוי בפועל, וגזר עליו  24 חודשי מאסר לריצוי בפועל. זאת תוך שבית המשפט התייחס למצבו הרפואי של הנאשם והיותו מוכר כבעל נכות בשיעור של 100%, היעדר הרשעות קודמות ונסיבות אישיות נוספות. בית המשפט העליון דחה את ערעורו של הנאשם על חומרת העונש.</w:t>
      </w:r>
    </w:p>
    <w:p w14:paraId="56B66BD8" w14:textId="77777777" w:rsidR="003B084D" w:rsidRPr="00330508" w:rsidRDefault="003B084D" w:rsidP="003B084D">
      <w:pPr>
        <w:pStyle w:val="a9"/>
        <w:spacing w:line="360" w:lineRule="auto"/>
        <w:ind w:left="643"/>
        <w:jc w:val="both"/>
        <w:rPr>
          <w:rFonts w:ascii="Arial" w:hAnsi="Arial"/>
          <w:sz w:val="12"/>
          <w:szCs w:val="12"/>
        </w:rPr>
      </w:pPr>
    </w:p>
    <w:p w14:paraId="2F541F2D" w14:textId="77777777" w:rsidR="003B084D" w:rsidRDefault="003B084D" w:rsidP="003B084D">
      <w:pPr>
        <w:pStyle w:val="a9"/>
        <w:numPr>
          <w:ilvl w:val="0"/>
          <w:numId w:val="2"/>
        </w:numPr>
        <w:spacing w:line="360" w:lineRule="auto"/>
        <w:jc w:val="both"/>
        <w:rPr>
          <w:rFonts w:ascii="Arial" w:hAnsi="Arial"/>
        </w:rPr>
      </w:pPr>
      <w:r>
        <w:rPr>
          <w:rFonts w:ascii="Arial" w:hAnsi="Arial" w:hint="cs"/>
          <w:rtl/>
        </w:rPr>
        <w:t>ב</w:t>
      </w:r>
      <w:hyperlink r:id="rId35" w:history="1">
        <w:r w:rsidR="00567D7D" w:rsidRPr="00567D7D">
          <w:rPr>
            <w:rFonts w:ascii="Arial" w:hAnsi="Arial"/>
            <w:color w:val="0000FF"/>
            <w:u w:val="single"/>
            <w:rtl/>
          </w:rPr>
          <w:t>ע"פ 1517/22</w:t>
        </w:r>
      </w:hyperlink>
      <w:r>
        <w:rPr>
          <w:rFonts w:ascii="Arial" w:hAnsi="Arial" w:hint="cs"/>
          <w:rtl/>
        </w:rPr>
        <w:t xml:space="preserve"> </w:t>
      </w:r>
      <w:r w:rsidRPr="004F5C6E">
        <w:rPr>
          <w:rFonts w:ascii="Arial" w:hAnsi="Arial" w:hint="cs"/>
          <w:b/>
          <w:bCs/>
          <w:rtl/>
        </w:rPr>
        <w:t>גבריאל בן-הרוש נ' מדינת ישראל</w:t>
      </w:r>
      <w:r>
        <w:rPr>
          <w:rFonts w:ascii="Arial" w:hAnsi="Arial" w:hint="cs"/>
          <w:rtl/>
        </w:rPr>
        <w:t xml:space="preserve"> (19.5.22), נדון עניינו של מי שהורשע בעבירות של ייצור, הכנה והפקה של סם מסוכן, החזקת סם מסוכן שלא לצריכה עצמית, החזקת כלים ונטילת חשמל. הנאשם הודה במסגרת הסדר טיעון בכך שבמשך כשלושה חודשים, עשה שימוש במכולה הנמצאת על שטח חקלאי בבעלותו של אדם אחר, שהייתה סמוך למקום מגוריו, לצורך גידול סם מסוכן מסוג קנבוס, וכן עשה שימוש במכולה נוספת סמוכה לצורך אחסנת ציוד הדרוש לגידול הסם. בנוסף נטל הנאשם חשמל במרמה לצורך גידול הסם, בעלות כוללת של 8,817.35 ₪. הנאשם החזיק במכולת הגידול 108 שתילים של קנבוס במשקל כולל של 77.58 קילוגרם נטו. בית המשפט המחוזי קבע מתחם עונש הולם הנע בין 23 ל-48 חודשי מאסר לריצוי בפועל. בתוך המתחם, בית המשפט המחוזי התחשב בהודייתו המידית של הנאשם בביצוע העבירות; בנטילת האחריות למעשיו; בתקופת מעצרו בזמן ניהול ההליך; בנסיבותיו האישיות ובהן היותו רווק בן 28, אב לשני ילדים קטנים בן שלוש ושנה ושלושה חודשים; בהחזרתו את סכום הכסף שנגנב לחברת החשמל; ובעברו הפלילי המכביד. לפיכך נגזרו על הנאשם 23 חודשים לריצוי בפועל, ובית המשפט העליון דחה את ערעורו.</w:t>
      </w:r>
    </w:p>
    <w:p w14:paraId="493CD5CB" w14:textId="77777777" w:rsidR="003B084D" w:rsidRPr="00330508" w:rsidRDefault="003B084D" w:rsidP="003B084D">
      <w:pPr>
        <w:pStyle w:val="a9"/>
        <w:spacing w:line="360" w:lineRule="auto"/>
        <w:ind w:left="643"/>
        <w:jc w:val="both"/>
        <w:rPr>
          <w:rFonts w:ascii="Arial" w:hAnsi="Arial"/>
          <w:sz w:val="12"/>
          <w:szCs w:val="12"/>
        </w:rPr>
      </w:pPr>
    </w:p>
    <w:p w14:paraId="3DE29B6C" w14:textId="77777777" w:rsidR="003B084D" w:rsidRDefault="003B084D" w:rsidP="003B084D">
      <w:pPr>
        <w:pStyle w:val="a9"/>
        <w:numPr>
          <w:ilvl w:val="0"/>
          <w:numId w:val="2"/>
        </w:numPr>
        <w:spacing w:line="360" w:lineRule="auto"/>
        <w:jc w:val="both"/>
        <w:rPr>
          <w:rFonts w:ascii="Arial" w:hAnsi="Arial"/>
        </w:rPr>
      </w:pPr>
      <w:r>
        <w:rPr>
          <w:rFonts w:ascii="Arial" w:hAnsi="Arial" w:hint="cs"/>
          <w:rtl/>
        </w:rPr>
        <w:t>ב</w:t>
      </w:r>
      <w:hyperlink r:id="rId36" w:history="1">
        <w:r w:rsidR="00567D7D" w:rsidRPr="00567D7D">
          <w:rPr>
            <w:rFonts w:ascii="Arial" w:hAnsi="Arial"/>
            <w:color w:val="0000FF"/>
            <w:u w:val="single"/>
            <w:rtl/>
          </w:rPr>
          <w:t>ע"פ 126/22</w:t>
        </w:r>
      </w:hyperlink>
      <w:r>
        <w:rPr>
          <w:rFonts w:ascii="Arial" w:hAnsi="Arial" w:hint="cs"/>
          <w:rtl/>
        </w:rPr>
        <w:t xml:space="preserve"> </w:t>
      </w:r>
      <w:r>
        <w:rPr>
          <w:rFonts w:ascii="Arial" w:hAnsi="Arial" w:hint="cs"/>
          <w:b/>
          <w:bCs/>
          <w:rtl/>
        </w:rPr>
        <w:t>מדינת ישראל נ' פלוני</w:t>
      </w:r>
      <w:r>
        <w:rPr>
          <w:rFonts w:ascii="Arial" w:hAnsi="Arial" w:hint="cs"/>
          <w:rtl/>
        </w:rPr>
        <w:t xml:space="preserve"> (27.4.22) (להלן: "עניין </w:t>
      </w:r>
      <w:r>
        <w:rPr>
          <w:rFonts w:ascii="Arial" w:hAnsi="Arial" w:hint="cs"/>
          <w:b/>
          <w:bCs/>
          <w:rtl/>
        </w:rPr>
        <w:t>פלוני</w:t>
      </w:r>
      <w:r>
        <w:rPr>
          <w:rFonts w:ascii="Arial" w:hAnsi="Arial" w:hint="cs"/>
          <w:rtl/>
        </w:rPr>
        <w:t xml:space="preserve">"), נדון עניינו של מי שהורשע בעבירות של ייצור, הכנה והפקה של סם מסוכן, החזקת סם מסוכן שלא לצריכה עצמית, החזקת כלים להכנת סם מסוכן וגניבת חשמל. הנאשם הודה במסגרת הסדר טיעון בכך ששכר דירה אותה הפך למעבדה לגידול קנבוס, אותה חיבר למתקני חברת החשמל וצרך במרמה חשמל בשווי של למעלה מ-70,000 ₪, ואף גרם נזק לארון החשמל בשווי של כ-3,400 ₪. ביום מעצרו של הנאשם נמצאו בדירתו 286 שתילים של הסם במשקל 63.23 קילוגרם נטו. בית המשפט המחוזי קבע מתחם עונש הולם בעניינו של הנאשם שנע בין 18 ל-48 חודשי מאסר לריצוי בפועל, אולם חרג לקולה מהמתחם משיקולי שיקום, וגזר על הנאשם 9 חודשי מאסר לריצוי בעבודות שירות. בית המשפט העליון קיבל את ערעור המדינה בעניינו של הנאשם, החמיר בעונשו וגזר עליו עונש של 18 חודשי מאסר לריצוי בפועל. </w:t>
      </w:r>
    </w:p>
    <w:p w14:paraId="39714D6F" w14:textId="77777777" w:rsidR="003B084D" w:rsidRPr="00120840" w:rsidRDefault="003B084D" w:rsidP="003B084D">
      <w:pPr>
        <w:pStyle w:val="a9"/>
        <w:spacing w:line="360" w:lineRule="auto"/>
        <w:ind w:left="643"/>
        <w:jc w:val="both"/>
        <w:rPr>
          <w:rFonts w:ascii="Arial" w:hAnsi="Arial"/>
          <w:sz w:val="12"/>
          <w:szCs w:val="12"/>
        </w:rPr>
      </w:pPr>
    </w:p>
    <w:p w14:paraId="4AB474F0" w14:textId="77777777" w:rsidR="003B084D" w:rsidRDefault="003B084D" w:rsidP="003B084D">
      <w:pPr>
        <w:pStyle w:val="a9"/>
        <w:numPr>
          <w:ilvl w:val="0"/>
          <w:numId w:val="2"/>
        </w:numPr>
        <w:spacing w:line="360" w:lineRule="auto"/>
        <w:jc w:val="both"/>
        <w:rPr>
          <w:rFonts w:ascii="Arial" w:hAnsi="Arial"/>
        </w:rPr>
      </w:pPr>
      <w:r w:rsidRPr="0060575C">
        <w:rPr>
          <w:rFonts w:ascii="Arial" w:hAnsi="Arial" w:hint="cs"/>
          <w:rtl/>
        </w:rPr>
        <w:t>ב</w:t>
      </w:r>
      <w:hyperlink r:id="rId37" w:history="1">
        <w:r w:rsidR="00567D7D" w:rsidRPr="00567D7D">
          <w:rPr>
            <w:rFonts w:ascii="Arial" w:hAnsi="Arial"/>
            <w:color w:val="0000FF"/>
            <w:u w:val="single"/>
            <w:rtl/>
          </w:rPr>
          <w:t>ע"פ 871/20</w:t>
        </w:r>
      </w:hyperlink>
      <w:r>
        <w:rPr>
          <w:rFonts w:ascii="Arial" w:hAnsi="Arial" w:hint="cs"/>
          <w:rtl/>
        </w:rPr>
        <w:t xml:space="preserve"> </w:t>
      </w:r>
      <w:r>
        <w:rPr>
          <w:rFonts w:ascii="Arial" w:hAnsi="Arial" w:hint="cs"/>
          <w:b/>
          <w:bCs/>
          <w:rtl/>
        </w:rPr>
        <w:t>אברהם אברג'יל נ' מדינת ישראל</w:t>
      </w:r>
      <w:r>
        <w:rPr>
          <w:rFonts w:ascii="Arial" w:hAnsi="Arial" w:hint="cs"/>
          <w:rtl/>
        </w:rPr>
        <w:t xml:space="preserve"> (30.3.20), נדון עניינו של מי שהורשע בעבירות של ייצור, הכנה והפקה של סם מסוכן והחזקת סם מסוכן שלא לצריכה עצמית. הנאשם הודה במסגרת הסדר טיעון כי הקים בדירה מעבדה לגידול סמים מסוג קנבוס שפעלה במשך כשלושה חודשים, ולשם כך צייד את הדירה בכלים ובאביזרים שונים. החל ממועד הקמת המעבדה ועד ליום מעצרו, גידל הנאשם בדירה מאות שתילים של סם מסוג קנבוס שהגיעו למשקל של 80 קילוגרם. במסגרת הסדר הטיעון הוסכם, כי המאשימה תעתור לעונש של 27 חודשי מאסר לריצוי בפועל, לצד מאסר על תנאי וקנס. בית המשפט המחוזי קבע מתחם עונש הולם שנע בין 22 ל-46 חודשי מאסר לריצוי בפועל. בתוך המתחם, התחשב בית המשפט המחוזי בעברו הפלילי המשמעותי של הנאשם, וגזר עליו עונש של 26 חודשי מאסר לריצוי בפועל לצד ענישה נלווית הכוללת קנס בסך של 20,000 ₪. בית המשפט העליון דחה את ערעורו של הנאשם. </w:t>
      </w:r>
    </w:p>
    <w:p w14:paraId="07F6FE52" w14:textId="77777777" w:rsidR="003B084D" w:rsidRPr="00330508" w:rsidRDefault="003B084D" w:rsidP="003B084D">
      <w:pPr>
        <w:pStyle w:val="a9"/>
        <w:spacing w:line="360" w:lineRule="auto"/>
        <w:ind w:left="643"/>
        <w:jc w:val="both"/>
        <w:rPr>
          <w:rFonts w:ascii="Arial" w:hAnsi="Arial"/>
          <w:sz w:val="12"/>
          <w:szCs w:val="12"/>
        </w:rPr>
      </w:pPr>
    </w:p>
    <w:p w14:paraId="29874F2E" w14:textId="77777777" w:rsidR="003B084D" w:rsidRDefault="003B084D" w:rsidP="003B084D">
      <w:pPr>
        <w:pStyle w:val="a9"/>
        <w:numPr>
          <w:ilvl w:val="0"/>
          <w:numId w:val="2"/>
        </w:numPr>
        <w:spacing w:line="360" w:lineRule="auto"/>
        <w:jc w:val="both"/>
        <w:rPr>
          <w:rFonts w:ascii="Arial" w:hAnsi="Arial"/>
        </w:rPr>
      </w:pPr>
      <w:r w:rsidRPr="00FF37EF">
        <w:rPr>
          <w:rFonts w:ascii="David" w:hAnsi="David"/>
          <w:rtl/>
        </w:rPr>
        <w:t>ב</w:t>
      </w:r>
      <w:hyperlink r:id="rId38" w:history="1">
        <w:r w:rsidR="00567D7D" w:rsidRPr="00567D7D">
          <w:rPr>
            <w:rFonts w:ascii="David" w:hAnsi="David"/>
            <w:color w:val="0000FF"/>
            <w:u w:val="single"/>
            <w:rtl/>
          </w:rPr>
          <w:t>ע"פ 5807/17</w:t>
        </w:r>
      </w:hyperlink>
      <w:r w:rsidRPr="00FF37EF">
        <w:rPr>
          <w:rFonts w:ascii="David" w:hAnsi="David"/>
          <w:rtl/>
        </w:rPr>
        <w:t xml:space="preserve"> </w:t>
      </w:r>
      <w:r w:rsidRPr="00FF37EF">
        <w:rPr>
          <w:rFonts w:ascii="David" w:hAnsi="David"/>
          <w:b/>
          <w:bCs/>
          <w:rtl/>
        </w:rPr>
        <w:t>דרחי נ' מדינת ישראל</w:t>
      </w:r>
      <w:r w:rsidRPr="00FF37EF">
        <w:rPr>
          <w:rFonts w:ascii="David" w:hAnsi="David"/>
          <w:rtl/>
        </w:rPr>
        <w:t xml:space="preserve"> (18.6.18),</w:t>
      </w:r>
      <w:r>
        <w:rPr>
          <w:rFonts w:ascii="David" w:hAnsi="David" w:hint="cs"/>
          <w:rtl/>
        </w:rPr>
        <w:t xml:space="preserve"> נדון עניינו של מי</w:t>
      </w:r>
      <w:r w:rsidRPr="00FF37EF">
        <w:rPr>
          <w:rFonts w:ascii="David" w:hAnsi="David"/>
          <w:rtl/>
        </w:rPr>
        <w:t xml:space="preserve"> שהורשע על פי הודאתו בעבירות של גידול סם מסוכן והחזקת סם שלא לצריכה עצמית. המערער הקים מעבדה לגידול סם מסוג קנב</w:t>
      </w:r>
      <w:r>
        <w:rPr>
          <w:rFonts w:ascii="David" w:hAnsi="David" w:hint="cs"/>
          <w:rtl/>
        </w:rPr>
        <w:t>ו</w:t>
      </w:r>
      <w:r w:rsidRPr="00FF37EF">
        <w:rPr>
          <w:rFonts w:ascii="David" w:hAnsi="David"/>
          <w:rtl/>
        </w:rPr>
        <w:t>ס במספר חדרים בדירה בחזקתו. המעבדה הכילה ציוד טכני רב. בדירה נמצאו סמים מסוג קנב</w:t>
      </w:r>
      <w:r>
        <w:rPr>
          <w:rFonts w:ascii="David" w:hAnsi="David" w:hint="cs"/>
          <w:rtl/>
        </w:rPr>
        <w:t>ו</w:t>
      </w:r>
      <w:r>
        <w:rPr>
          <w:rFonts w:ascii="David" w:hAnsi="David"/>
          <w:rtl/>
        </w:rPr>
        <w:t>ס במשקל של 76.85 ק</w:t>
      </w:r>
      <w:r>
        <w:rPr>
          <w:rFonts w:ascii="David" w:hAnsi="David" w:hint="cs"/>
          <w:rtl/>
        </w:rPr>
        <w:t>ילוגרם</w:t>
      </w:r>
      <w:r w:rsidRPr="00FF37EF">
        <w:rPr>
          <w:rFonts w:ascii="David" w:hAnsi="David"/>
          <w:rtl/>
        </w:rPr>
        <w:t>. בית המשפט המחוזי קבע מתחם עונש הולם הנע בין 24 ל-48 חודשי מאסר בפועל</w:t>
      </w:r>
      <w:r>
        <w:rPr>
          <w:rFonts w:ascii="David" w:hAnsi="David" w:hint="cs"/>
          <w:rtl/>
        </w:rPr>
        <w:t>,</w:t>
      </w:r>
      <w:r w:rsidRPr="00FF37EF">
        <w:rPr>
          <w:rFonts w:ascii="David" w:hAnsi="David"/>
          <w:rtl/>
        </w:rPr>
        <w:t xml:space="preserve"> והשית על הנאשם עונש של 30 חודשי מאסר בפועל תוך שנתן משקל לנסיבותיו האישיות. ערעור</w:t>
      </w:r>
      <w:r>
        <w:rPr>
          <w:rFonts w:ascii="David" w:hAnsi="David" w:hint="cs"/>
          <w:rtl/>
        </w:rPr>
        <w:t>ו של הנאשם לבית המשפט העליון</w:t>
      </w:r>
      <w:r w:rsidRPr="00FF37EF">
        <w:rPr>
          <w:rFonts w:ascii="David" w:hAnsi="David"/>
          <w:rtl/>
        </w:rPr>
        <w:t xml:space="preserve"> נדחה.</w:t>
      </w:r>
    </w:p>
    <w:p w14:paraId="46F564D0" w14:textId="77777777" w:rsidR="003B084D" w:rsidRPr="00EA1C64" w:rsidRDefault="003B084D" w:rsidP="003B084D">
      <w:pPr>
        <w:pStyle w:val="a9"/>
        <w:spacing w:line="360" w:lineRule="auto"/>
        <w:ind w:left="643"/>
        <w:jc w:val="both"/>
        <w:rPr>
          <w:rFonts w:ascii="Arial" w:hAnsi="Arial"/>
          <w:sz w:val="12"/>
          <w:szCs w:val="12"/>
        </w:rPr>
      </w:pPr>
    </w:p>
    <w:p w14:paraId="4F2955E1" w14:textId="77777777" w:rsidR="003B084D" w:rsidRDefault="003B084D" w:rsidP="003B084D">
      <w:pPr>
        <w:pStyle w:val="a9"/>
        <w:numPr>
          <w:ilvl w:val="0"/>
          <w:numId w:val="2"/>
        </w:numPr>
        <w:spacing w:line="360" w:lineRule="auto"/>
        <w:jc w:val="both"/>
        <w:rPr>
          <w:rFonts w:ascii="Arial" w:hAnsi="Arial"/>
        </w:rPr>
      </w:pPr>
      <w:r>
        <w:rPr>
          <w:rFonts w:ascii="Arial" w:hAnsi="Arial" w:hint="cs"/>
          <w:rtl/>
        </w:rPr>
        <w:t>ב</w:t>
      </w:r>
      <w:hyperlink r:id="rId39" w:history="1">
        <w:r w:rsidR="00567D7D" w:rsidRPr="00567D7D">
          <w:rPr>
            <w:rFonts w:ascii="Arial" w:hAnsi="Arial"/>
            <w:color w:val="0000FF"/>
            <w:u w:val="single"/>
            <w:rtl/>
          </w:rPr>
          <w:t>ת"פ (מחוזי מרכז) 25458-11-18</w:t>
        </w:r>
      </w:hyperlink>
      <w:r>
        <w:rPr>
          <w:rFonts w:ascii="Arial" w:hAnsi="Arial" w:hint="cs"/>
          <w:rtl/>
        </w:rPr>
        <w:t xml:space="preserve"> </w:t>
      </w:r>
      <w:r>
        <w:rPr>
          <w:rFonts w:ascii="Arial" w:hAnsi="Arial" w:hint="cs"/>
          <w:b/>
          <w:bCs/>
          <w:rtl/>
        </w:rPr>
        <w:t>מדינת ישראל נ' ארז אליאב</w:t>
      </w:r>
      <w:r>
        <w:rPr>
          <w:rFonts w:ascii="Arial" w:hAnsi="Arial" w:hint="cs"/>
          <w:rtl/>
        </w:rPr>
        <w:t xml:space="preserve"> (19.9.19), נדון עניינו של מי שהורשע בעבירות של ייצור, הכנה והפקה של סם מסוכן, החזקת חצרים לשם הכנת סם, החזקת כלים המשמשים להכנת סם מסוכן ונטילת חשמל. הנאשם הודה במסגרת הסדר טיעון בכך שהקים מעבדה לגידול צמחי קנאביס בבית אותו שכר, במשך כשלושה חודשים. הנאשם הכניס לדירה ציוד בהיקף נרחב, וכן חיבר את הבית באופן פיראטי לחשמל וגנב חשמל בשווי של 37,572.02 ₪. בסך הכל הנאשם גידל והחזיק בבית 768 שתילים במשקל כולל של 80.3 קילוגרם נטו. בית המשפט המחוזי קבע מתחם עונש הולם שנע בין 22 ל-46 חודשי מאסר לריצוי בפועל. במסגרת קביעת העונש בתוך המתחם, בית המשפט המחוזי התחשב בכך שהנאשם כבן 41, גרוש ואב לילדים, אשר גדל בסביבה נורמטיבית ונעצר לראשונה בחייו. כמו כן, ציין את התרשמות שירות המבחן, כי הנאשם מצמצם מחומרת העבירה בה הורשע, אינו מכיר באופן מלא בחומרת התמכרותו להימורים, ומסרב להשתלב בטיפול ארוך טווח ואינטנסיבי.  לבסוף בית המשפט המחוזי גזר על הנאשם 25 חודשי מאסר לריצוי בפועל, מאסר על תנאי, קנס כספי בסך של 36,000 ₪ והורה על חילוט הרכוש שנתפס. על גזר הדין לא הוגש ערעור לבית המשפט העליון.</w:t>
      </w:r>
    </w:p>
    <w:p w14:paraId="7FD07C2A" w14:textId="77777777" w:rsidR="003B084D" w:rsidRPr="00EA1C64" w:rsidRDefault="003B084D" w:rsidP="003B084D">
      <w:pPr>
        <w:pStyle w:val="a9"/>
        <w:spacing w:line="360" w:lineRule="auto"/>
        <w:ind w:left="643"/>
        <w:jc w:val="both"/>
        <w:rPr>
          <w:rFonts w:ascii="Arial" w:hAnsi="Arial"/>
          <w:sz w:val="12"/>
          <w:szCs w:val="12"/>
        </w:rPr>
      </w:pPr>
    </w:p>
    <w:p w14:paraId="7C3858E1" w14:textId="77777777" w:rsidR="003B084D" w:rsidRDefault="003B084D" w:rsidP="003B084D">
      <w:pPr>
        <w:pStyle w:val="a9"/>
        <w:numPr>
          <w:ilvl w:val="0"/>
          <w:numId w:val="2"/>
        </w:numPr>
        <w:spacing w:line="360" w:lineRule="auto"/>
        <w:jc w:val="both"/>
        <w:rPr>
          <w:rFonts w:ascii="Arial" w:hAnsi="Arial"/>
        </w:rPr>
      </w:pPr>
      <w:r>
        <w:rPr>
          <w:rFonts w:ascii="Arial" w:hAnsi="Arial" w:hint="cs"/>
          <w:rtl/>
        </w:rPr>
        <w:t>ב</w:t>
      </w:r>
      <w:hyperlink r:id="rId40" w:history="1">
        <w:r w:rsidR="00567D7D" w:rsidRPr="00567D7D">
          <w:rPr>
            <w:rFonts w:ascii="Arial" w:hAnsi="Arial"/>
            <w:color w:val="0000FF"/>
            <w:u w:val="single"/>
            <w:rtl/>
          </w:rPr>
          <w:t>ת"פ 17677-04-17</w:t>
        </w:r>
      </w:hyperlink>
      <w:r>
        <w:rPr>
          <w:rFonts w:ascii="Arial" w:hAnsi="Arial" w:hint="cs"/>
          <w:rtl/>
        </w:rPr>
        <w:t xml:space="preserve"> </w:t>
      </w:r>
      <w:r>
        <w:rPr>
          <w:rFonts w:ascii="Arial" w:hAnsi="Arial" w:hint="cs"/>
          <w:b/>
          <w:bCs/>
          <w:rtl/>
        </w:rPr>
        <w:t xml:space="preserve">מדינת ישראל נ' טל סבן </w:t>
      </w:r>
      <w:r>
        <w:rPr>
          <w:rFonts w:ascii="Arial" w:hAnsi="Arial" w:hint="cs"/>
          <w:rtl/>
        </w:rPr>
        <w:t>(2.11.2017), נדון עניינו של מי שהורשע על פי הודעתו בעבירות של ייצור, הכנה והפקה של סם מסוכן וגניבת חשמל. במשך כשנה הנאשם שכר בית בן 5 חדרים, ממ"ד ומרתף והקים בו מעבדה לגידול קנבוס. לשם כך צייד את הבית בכלים ואביזרים שונים. ביום מעצרו החזיק הנאשם במעבדה סם מסוג קנבוס בכמות כוללת של 72.8 קילוגרם נטו בשווי מיליוני שקלים. כמו כן הנאשם גנב חשמל בהיקף כולל של 18,838 ₪. במסגרת הסדר טיעון הוסכם שהמאשימה תעתור לעונש של 30 חודשי מאסר לריצוי בפועל כרף עליון, לצד ענישה נלווית. בית המשפט המחוזי קבע מתחם עונש הולם הנע בין 22 ל-46 חודשי מאסר לריצוי בפועל, וגזר עליו 27 חודשי מאסר לריצוי בפועל, לצד ענישה נלווית הכוללת קנס בסך של 20,000 ₪. על גזר הדין לא הוגש ערעור לבית המשפט העליון.</w:t>
      </w:r>
    </w:p>
    <w:p w14:paraId="18B6B93C" w14:textId="77777777" w:rsidR="003B084D" w:rsidRPr="00DC2B29" w:rsidRDefault="003B084D" w:rsidP="003B084D">
      <w:pPr>
        <w:pStyle w:val="a9"/>
        <w:spacing w:line="360" w:lineRule="auto"/>
        <w:ind w:left="643"/>
        <w:jc w:val="both"/>
        <w:rPr>
          <w:rFonts w:ascii="Arial" w:hAnsi="Arial"/>
          <w:sz w:val="12"/>
          <w:szCs w:val="12"/>
        </w:rPr>
      </w:pPr>
    </w:p>
    <w:p w14:paraId="34ECF243" w14:textId="77777777" w:rsidR="003B084D" w:rsidRDefault="003766AB" w:rsidP="003B084D">
      <w:pPr>
        <w:numPr>
          <w:ilvl w:val="0"/>
          <w:numId w:val="1"/>
        </w:numPr>
        <w:spacing w:after="160" w:line="360" w:lineRule="auto"/>
        <w:ind w:left="283" w:hanging="283"/>
        <w:contextualSpacing/>
        <w:jc w:val="both"/>
        <w:rPr>
          <w:rFonts w:ascii="Arial" w:hAnsi="Arial"/>
        </w:rPr>
      </w:pPr>
      <w:hyperlink r:id="rId41" w:history="1">
        <w:r w:rsidRPr="003766AB">
          <w:rPr>
            <w:rStyle w:val="Hyperlink"/>
            <w:rFonts w:ascii="Arial" w:hAnsi="Arial" w:hint="eastAsia"/>
            <w:rtl/>
          </w:rPr>
          <w:t>סעיף</w:t>
        </w:r>
        <w:r w:rsidRPr="003766AB">
          <w:rPr>
            <w:rStyle w:val="Hyperlink"/>
            <w:rFonts w:ascii="Arial" w:hAnsi="Arial"/>
            <w:rtl/>
          </w:rPr>
          <w:t xml:space="preserve"> 40ג</w:t>
        </w:r>
      </w:hyperlink>
      <w:r w:rsidR="003B084D">
        <w:rPr>
          <w:rFonts w:ascii="Arial" w:hAnsi="Arial" w:hint="cs"/>
          <w:rtl/>
        </w:rPr>
        <w:t xml:space="preserve"> לחוק קובע, כי בעת קביעת מתחם העונש ההולם על בית המשפט להתחשב בנסיבות הקשורות בביצוע העבירה בהתאם </w:t>
      </w:r>
      <w:hyperlink r:id="rId42" w:history="1">
        <w:r w:rsidRPr="003766AB">
          <w:rPr>
            <w:rStyle w:val="Hyperlink"/>
            <w:rFonts w:ascii="Arial" w:hAnsi="Arial" w:hint="eastAsia"/>
            <w:rtl/>
          </w:rPr>
          <w:t>לסעיף</w:t>
        </w:r>
        <w:r w:rsidRPr="003766AB">
          <w:rPr>
            <w:rStyle w:val="Hyperlink"/>
            <w:rFonts w:ascii="Arial" w:hAnsi="Arial"/>
            <w:rtl/>
          </w:rPr>
          <w:t xml:space="preserve"> 40ט</w:t>
        </w:r>
      </w:hyperlink>
      <w:r w:rsidR="003B084D">
        <w:rPr>
          <w:rFonts w:ascii="Arial" w:hAnsi="Arial" w:hint="cs"/>
          <w:rtl/>
        </w:rPr>
        <w:t xml:space="preserve"> לחוק. </w:t>
      </w:r>
    </w:p>
    <w:p w14:paraId="0116C86A" w14:textId="77777777" w:rsidR="003B084D" w:rsidRPr="007E4364" w:rsidRDefault="003B084D" w:rsidP="003B084D">
      <w:pPr>
        <w:spacing w:after="160" w:line="360" w:lineRule="auto"/>
        <w:ind w:left="283"/>
        <w:contextualSpacing/>
        <w:jc w:val="both"/>
        <w:rPr>
          <w:rFonts w:ascii="Arial" w:hAnsi="Arial"/>
          <w:sz w:val="12"/>
          <w:szCs w:val="12"/>
        </w:rPr>
      </w:pPr>
    </w:p>
    <w:p w14:paraId="62133657" w14:textId="77777777" w:rsidR="003B084D" w:rsidRDefault="003B084D" w:rsidP="003B084D">
      <w:pPr>
        <w:numPr>
          <w:ilvl w:val="0"/>
          <w:numId w:val="1"/>
        </w:numPr>
        <w:spacing w:after="160" w:line="360" w:lineRule="auto"/>
        <w:ind w:left="283" w:hanging="283"/>
        <w:contextualSpacing/>
        <w:jc w:val="both"/>
        <w:rPr>
          <w:rFonts w:ascii="Arial" w:hAnsi="Arial"/>
        </w:rPr>
      </w:pPr>
      <w:r>
        <w:rPr>
          <w:rFonts w:ascii="Arial" w:hAnsi="Arial" w:hint="cs"/>
          <w:rtl/>
        </w:rPr>
        <w:t xml:space="preserve">במסגרת </w:t>
      </w:r>
      <w:r>
        <w:rPr>
          <w:rFonts w:ascii="Arial" w:hAnsi="Arial" w:hint="cs"/>
          <w:b/>
          <w:bCs/>
          <w:rtl/>
        </w:rPr>
        <w:t>הנסיבות הקשורות בביצוע העבירה</w:t>
      </w:r>
      <w:r>
        <w:rPr>
          <w:rFonts w:ascii="Arial" w:hAnsi="Arial" w:hint="cs"/>
          <w:rtl/>
        </w:rPr>
        <w:t xml:space="preserve">, יש לתת את הדעת לכך שמדובר בעבירה מתוכננת היטב. כפי שניתן להתרשם מהתמונות בת/2 ומהאמור בכתב האישום המתוקן, מדובר בבית גדול שחלק נכבד ממנו שימש כמעבדה שבה גידל הנאשם את הסמים. המעבדה כללה ציוד רב, לרבות מערכת אוורר, דשן, מנורות חשמל, גופי תאורה וחימום, שנאים, מסננים, מזגנים, משאבות מים, צינורות השקיה ועוד. לכך יש להוסיף את חיבורה הלא חוקי והמסוכן אל קופסת החיבורים של חברת החשמל. </w:t>
      </w:r>
      <w:r>
        <w:rPr>
          <w:rFonts w:ascii="David" w:hAnsi="David"/>
          <w:rtl/>
        </w:rPr>
        <w:t xml:space="preserve">עוד יש לתת את הדעת לכך שמדובר בעבירה </w:t>
      </w:r>
      <w:r>
        <w:rPr>
          <w:rFonts w:ascii="David" w:hAnsi="David" w:hint="cs"/>
          <w:rtl/>
        </w:rPr>
        <w:t>מתמשכת</w:t>
      </w:r>
      <w:r>
        <w:rPr>
          <w:rFonts w:ascii="David" w:hAnsi="David"/>
          <w:rtl/>
        </w:rPr>
        <w:t xml:space="preserve"> המצריכה באופן תדיר ביצוע פעולות לצורך גידול הסם והשבחתו.</w:t>
      </w:r>
      <w:r>
        <w:rPr>
          <w:rFonts w:ascii="David" w:hAnsi="David" w:hint="cs"/>
          <w:rtl/>
        </w:rPr>
        <w:t xml:space="preserve"> </w:t>
      </w:r>
      <w:r>
        <w:rPr>
          <w:rFonts w:ascii="Arial" w:hAnsi="Arial" w:hint="cs"/>
          <w:rtl/>
        </w:rPr>
        <w:t xml:space="preserve">כמו כן יש לציין כי הנאשם מואשם לבדו בכתב האישום, ועל כן יש לראות בו כמי שאחראי באופן בלעדי לביצוע העבירות כמו גם לנזקים שגרמו ואלו הפוטנציאליים. אשר לנזק שנגרם מביצוע העבירות, הרי שלא ניתן לדעת איזו כמות של סמים גודלה במעבדה ויוצאה ממנה במשך התקופה בה גידל הנאשם את הסמים, אולם לנוכח המשקל המשמעותי של הסמים שנתפסו בה בסופו של דבר, מובן כי מדובר בנזק אפשרי משמעותי שנגרם ושצפוי היה להיגרם. כמו כן, חיבור החשמל בדרך שתוארה בכתב האישום יצרה סכנה בטיחותית מידית לגוף ולרכוש, והנזק הקנייני שנגרם לחברת החשמל, בסך של 73,714 ₪, ושצפוי היה להיגרם אילו המעבדה הייתה ממשיכה לפעול, הוא רב מאוד. </w:t>
      </w:r>
      <w:r>
        <w:rPr>
          <w:rFonts w:ascii="David" w:hAnsi="David"/>
          <w:rtl/>
        </w:rPr>
        <w:t xml:space="preserve">בנוסף, יש ליתן משקל </w:t>
      </w:r>
      <w:r>
        <w:rPr>
          <w:rFonts w:ascii="David" w:hAnsi="David" w:hint="cs"/>
          <w:rtl/>
        </w:rPr>
        <w:t>לכך ש</w:t>
      </w:r>
      <w:r>
        <w:rPr>
          <w:rFonts w:ascii="David" w:hAnsi="David"/>
          <w:rtl/>
        </w:rPr>
        <w:t>העבירות בוצעו בעבור בצע כסף</w:t>
      </w:r>
      <w:r>
        <w:rPr>
          <w:rFonts w:ascii="David" w:hAnsi="David" w:hint="cs"/>
          <w:rtl/>
        </w:rPr>
        <w:t xml:space="preserve">. </w:t>
      </w:r>
    </w:p>
    <w:p w14:paraId="16188B6A" w14:textId="77777777" w:rsidR="003B084D" w:rsidRPr="007E4364" w:rsidRDefault="003B084D" w:rsidP="003B084D">
      <w:pPr>
        <w:spacing w:after="160" w:line="360" w:lineRule="auto"/>
        <w:ind w:left="283"/>
        <w:contextualSpacing/>
        <w:jc w:val="both"/>
        <w:rPr>
          <w:rFonts w:ascii="Arial" w:hAnsi="Arial"/>
          <w:sz w:val="12"/>
          <w:szCs w:val="12"/>
        </w:rPr>
      </w:pPr>
    </w:p>
    <w:p w14:paraId="46A91E59" w14:textId="77777777" w:rsidR="003B084D" w:rsidRDefault="003B084D" w:rsidP="003B084D">
      <w:pPr>
        <w:numPr>
          <w:ilvl w:val="0"/>
          <w:numId w:val="1"/>
        </w:numPr>
        <w:spacing w:after="160" w:line="360" w:lineRule="auto"/>
        <w:ind w:left="283" w:hanging="283"/>
        <w:contextualSpacing/>
        <w:jc w:val="both"/>
        <w:rPr>
          <w:rFonts w:ascii="Arial" w:hAnsi="Arial"/>
        </w:rPr>
      </w:pPr>
      <w:r>
        <w:rPr>
          <w:rFonts w:ascii="Arial" w:hAnsi="Arial" w:hint="cs"/>
          <w:rtl/>
        </w:rPr>
        <w:t xml:space="preserve">לאור כל זאת ובשים לב לענישה הנוהגת, אני סבורה כי מתחם העונש ההולם בעניינו של הנאשם נע </w:t>
      </w:r>
      <w:r w:rsidRPr="0001340D">
        <w:rPr>
          <w:rFonts w:ascii="Arial" w:hAnsi="Arial" w:hint="cs"/>
          <w:rtl/>
        </w:rPr>
        <w:t xml:space="preserve">בין עונש של </w:t>
      </w:r>
      <w:r>
        <w:rPr>
          <w:rFonts w:ascii="Arial" w:hAnsi="Arial" w:hint="cs"/>
          <w:rtl/>
        </w:rPr>
        <w:t>24</w:t>
      </w:r>
      <w:r w:rsidRPr="0001340D">
        <w:rPr>
          <w:rFonts w:ascii="Arial" w:hAnsi="Arial" w:hint="cs"/>
          <w:rtl/>
        </w:rPr>
        <w:t xml:space="preserve"> חודשי מאסר לריצוי בפועל ועד ל-</w:t>
      </w:r>
      <w:r>
        <w:rPr>
          <w:rFonts w:ascii="Arial" w:hAnsi="Arial" w:hint="cs"/>
          <w:rtl/>
        </w:rPr>
        <w:t>48</w:t>
      </w:r>
      <w:r w:rsidRPr="0001340D">
        <w:rPr>
          <w:rFonts w:ascii="Arial" w:hAnsi="Arial" w:hint="cs"/>
          <w:rtl/>
        </w:rPr>
        <w:t xml:space="preserve"> חודשי מאסר לריצוי בפועל לצד ענישה</w:t>
      </w:r>
      <w:r>
        <w:rPr>
          <w:rFonts w:ascii="Arial" w:hAnsi="Arial" w:hint="cs"/>
          <w:rtl/>
        </w:rPr>
        <w:t xml:space="preserve"> נלווית.</w:t>
      </w:r>
    </w:p>
    <w:p w14:paraId="60FE290D" w14:textId="77777777" w:rsidR="003B084D" w:rsidRDefault="003B084D" w:rsidP="003B084D">
      <w:pPr>
        <w:rPr>
          <w:rFonts w:ascii="Arial" w:hAnsi="Arial"/>
          <w:b/>
          <w:bCs/>
          <w:u w:val="single"/>
          <w:rtl/>
        </w:rPr>
      </w:pPr>
    </w:p>
    <w:p w14:paraId="1179C712" w14:textId="77777777" w:rsidR="003B084D" w:rsidRDefault="003B084D" w:rsidP="003B084D">
      <w:pPr>
        <w:rPr>
          <w:rFonts w:ascii="Arial" w:hAnsi="Arial"/>
          <w:b/>
          <w:bCs/>
          <w:u w:val="single"/>
          <w:rtl/>
        </w:rPr>
      </w:pPr>
      <w:r w:rsidRPr="0058293A">
        <w:rPr>
          <w:rFonts w:ascii="Arial" w:hAnsi="Arial" w:hint="cs"/>
          <w:b/>
          <w:bCs/>
          <w:u w:val="single"/>
          <w:rtl/>
        </w:rPr>
        <w:t>חריגה ממתחם העונש ההולם</w:t>
      </w:r>
    </w:p>
    <w:p w14:paraId="07D6ADDF" w14:textId="77777777" w:rsidR="003B084D" w:rsidRPr="007E4364" w:rsidRDefault="003B084D" w:rsidP="003B084D">
      <w:pPr>
        <w:rPr>
          <w:rFonts w:ascii="Arial" w:hAnsi="Arial"/>
          <w:b/>
          <w:bCs/>
          <w:sz w:val="12"/>
          <w:szCs w:val="12"/>
          <w:u w:val="single"/>
          <w:rtl/>
        </w:rPr>
      </w:pPr>
    </w:p>
    <w:p w14:paraId="51D8FD8E" w14:textId="77777777" w:rsidR="003B084D" w:rsidRDefault="003B084D" w:rsidP="003B084D">
      <w:pPr>
        <w:numPr>
          <w:ilvl w:val="0"/>
          <w:numId w:val="1"/>
        </w:numPr>
        <w:spacing w:after="160" w:line="360" w:lineRule="auto"/>
        <w:ind w:left="283" w:hanging="283"/>
        <w:contextualSpacing/>
        <w:jc w:val="both"/>
        <w:rPr>
          <w:rFonts w:ascii="Arial" w:hAnsi="Arial"/>
        </w:rPr>
      </w:pPr>
      <w:r>
        <w:rPr>
          <w:rFonts w:ascii="Arial" w:hAnsi="Arial" w:hint="cs"/>
          <w:rtl/>
        </w:rPr>
        <w:t xml:space="preserve">המחוקק קבע </w:t>
      </w:r>
      <w:hyperlink r:id="rId43" w:history="1">
        <w:r w:rsidR="003766AB" w:rsidRPr="003766AB">
          <w:rPr>
            <w:rStyle w:val="Hyperlink"/>
            <w:rFonts w:ascii="Arial" w:hAnsi="Arial" w:hint="eastAsia"/>
            <w:rtl/>
          </w:rPr>
          <w:t>בסעיף</w:t>
        </w:r>
        <w:r w:rsidR="003766AB" w:rsidRPr="003766AB">
          <w:rPr>
            <w:rStyle w:val="Hyperlink"/>
            <w:rFonts w:ascii="Arial" w:hAnsi="Arial"/>
            <w:rtl/>
          </w:rPr>
          <w:t xml:space="preserve"> 40ד</w:t>
        </w:r>
      </w:hyperlink>
      <w:r>
        <w:rPr>
          <w:rFonts w:ascii="Arial" w:hAnsi="Arial" w:hint="cs"/>
          <w:rtl/>
        </w:rPr>
        <w:t xml:space="preserve"> לחוק, כי גם במקרה בו מעשה העבירה ומידת אשמו של הנאשם הם בעלי חומרה יתרה, אם הנאשם השתקם, או שיש סיכוי של ממש שישתקם, בנסיבות מיוחדות ויוצאות דופן, יכול בית המשפט לקבוע, כי העונש שיוטל עליו יחרוג ממתחם העונש ההולם, וזאת מטעמי שיקום. </w:t>
      </w:r>
    </w:p>
    <w:p w14:paraId="0C841D9C" w14:textId="77777777" w:rsidR="003B084D" w:rsidRPr="007E4364" w:rsidRDefault="003B084D" w:rsidP="003B084D">
      <w:pPr>
        <w:spacing w:after="160" w:line="360" w:lineRule="auto"/>
        <w:ind w:left="283"/>
        <w:contextualSpacing/>
        <w:jc w:val="both"/>
        <w:rPr>
          <w:rFonts w:ascii="Arial" w:hAnsi="Arial"/>
          <w:sz w:val="12"/>
          <w:szCs w:val="12"/>
        </w:rPr>
      </w:pPr>
    </w:p>
    <w:p w14:paraId="4370A82A" w14:textId="77777777" w:rsidR="003B084D" w:rsidRDefault="003B084D" w:rsidP="003B084D">
      <w:pPr>
        <w:numPr>
          <w:ilvl w:val="0"/>
          <w:numId w:val="1"/>
        </w:numPr>
        <w:spacing w:after="160" w:line="360" w:lineRule="auto"/>
        <w:ind w:left="283" w:hanging="283"/>
        <w:contextualSpacing/>
        <w:jc w:val="both"/>
        <w:rPr>
          <w:rFonts w:ascii="Arial" w:hAnsi="Arial"/>
        </w:rPr>
      </w:pPr>
      <w:r>
        <w:rPr>
          <w:rFonts w:ascii="Arial" w:hAnsi="Arial" w:hint="cs"/>
          <w:rtl/>
        </w:rPr>
        <w:t xml:space="preserve">כאמור, בית המשפט לא יחרוג לקולה מהמתחם משיקולי שיקום כעניין שבשגרה, אלא לנסיבות מיוחדות ויוצאות דופן. בית המשפט העליון עמד על כך בעניין </w:t>
      </w:r>
      <w:r>
        <w:rPr>
          <w:rFonts w:ascii="Arial" w:hAnsi="Arial" w:hint="cs"/>
          <w:b/>
          <w:bCs/>
          <w:rtl/>
        </w:rPr>
        <w:t>פלוני</w:t>
      </w:r>
      <w:r>
        <w:rPr>
          <w:rFonts w:ascii="Arial" w:hAnsi="Arial" w:hint="cs"/>
          <w:rtl/>
        </w:rPr>
        <w:t xml:space="preserve">: </w:t>
      </w:r>
    </w:p>
    <w:p w14:paraId="53F01977" w14:textId="77777777" w:rsidR="003B084D" w:rsidRDefault="003B084D" w:rsidP="003B084D">
      <w:pPr>
        <w:pStyle w:val="a9"/>
        <w:spacing w:line="360" w:lineRule="auto"/>
        <w:ind w:left="850" w:right="567"/>
        <w:jc w:val="both"/>
        <w:rPr>
          <w:rFonts w:ascii="Arial" w:hAnsi="Arial"/>
          <w:rtl/>
        </w:rPr>
      </w:pPr>
      <w:r w:rsidRPr="00037116">
        <w:rPr>
          <w:rFonts w:ascii="Arial" w:hAnsi="Arial" w:hint="cs"/>
          <w:b/>
          <w:bCs/>
          <w:rtl/>
        </w:rPr>
        <w:t>"</w:t>
      </w:r>
      <w:r w:rsidRPr="00037116">
        <w:rPr>
          <w:rFonts w:ascii="Arial" w:hAnsi="Arial"/>
          <w:b/>
          <w:bCs/>
          <w:rtl/>
        </w:rPr>
        <w:t>לא בכל מקרה שבו תהליך טיפולי מתקדם בכיוון חיובי, יש להפעיל את הסמכות הקבועה בסעיף 40ד ל</w:t>
      </w:r>
      <w:hyperlink r:id="rId44" w:history="1">
        <w:r w:rsidR="00567D7D" w:rsidRPr="00567D7D">
          <w:rPr>
            <w:rFonts w:ascii="Arial" w:hAnsi="Arial"/>
            <w:b/>
            <w:bCs/>
            <w:color w:val="0000FF"/>
            <w:u w:val="single"/>
            <w:rtl/>
          </w:rPr>
          <w:t>חוק העונשין</w:t>
        </w:r>
      </w:hyperlink>
      <w:r w:rsidRPr="00037116">
        <w:rPr>
          <w:rFonts w:ascii="Arial" w:hAnsi="Arial"/>
          <w:b/>
          <w:bCs/>
          <w:rtl/>
        </w:rPr>
        <w:t>. אחרת, נמצא כי החריג מרוקן מתוכן את הכלל, שלפיו יש לגזור את העונש בתוך מתחם הענישה בהלימה לחומרת המעשה ולמידת האשם של העושה</w:t>
      </w:r>
      <w:r w:rsidRPr="00037116">
        <w:rPr>
          <w:rFonts w:ascii="Arial" w:hAnsi="Arial" w:hint="cs"/>
          <w:b/>
          <w:bCs/>
          <w:rtl/>
        </w:rPr>
        <w:t xml:space="preserve"> [...]</w:t>
      </w:r>
      <w:r w:rsidRPr="00037116">
        <w:rPr>
          <w:b/>
          <w:bCs/>
          <w:rtl/>
        </w:rPr>
        <w:t xml:space="preserve"> </w:t>
      </w:r>
      <w:r w:rsidRPr="00037116">
        <w:rPr>
          <w:rFonts w:ascii="Arial" w:hAnsi="Arial" w:hint="cs"/>
          <w:b/>
          <w:bCs/>
          <w:rtl/>
        </w:rPr>
        <w:t>ה</w:t>
      </w:r>
      <w:r w:rsidRPr="00037116">
        <w:rPr>
          <w:rFonts w:ascii="Arial" w:hAnsi="Arial"/>
          <w:b/>
          <w:bCs/>
          <w:rtl/>
        </w:rPr>
        <w:t>סטייה ממתחם הענישה תיעשה אך במקרים חריגים, בבחינת יוצא מן הכלל, כאשר סיכויי שיקום מובהקים מצדיקים זאת</w:t>
      </w:r>
      <w:r w:rsidRPr="00037116">
        <w:rPr>
          <w:rFonts w:ascii="Arial" w:hAnsi="Arial" w:hint="cs"/>
          <w:b/>
          <w:bCs/>
          <w:rtl/>
        </w:rPr>
        <w:t>"</w:t>
      </w:r>
      <w:r>
        <w:rPr>
          <w:rFonts w:ascii="Arial" w:hAnsi="Arial" w:hint="cs"/>
          <w:rtl/>
        </w:rPr>
        <w:t xml:space="preserve"> (שם, פסקה 16 לפסק דינה של כב' השופטת י' וילנר).</w:t>
      </w:r>
    </w:p>
    <w:p w14:paraId="3D0DCBA3" w14:textId="77777777" w:rsidR="003B084D" w:rsidRPr="0058293A" w:rsidRDefault="003B084D" w:rsidP="003B084D">
      <w:pPr>
        <w:pStyle w:val="a9"/>
        <w:spacing w:line="360" w:lineRule="auto"/>
        <w:ind w:left="850" w:right="567"/>
        <w:jc w:val="both"/>
        <w:rPr>
          <w:rFonts w:ascii="Arial" w:hAnsi="Arial"/>
          <w:sz w:val="12"/>
          <w:szCs w:val="12"/>
        </w:rPr>
      </w:pPr>
    </w:p>
    <w:p w14:paraId="554A0B26" w14:textId="77777777" w:rsidR="003B084D" w:rsidRDefault="003B084D" w:rsidP="003B084D">
      <w:pPr>
        <w:numPr>
          <w:ilvl w:val="0"/>
          <w:numId w:val="1"/>
        </w:numPr>
        <w:spacing w:after="160" w:line="360" w:lineRule="auto"/>
        <w:ind w:left="283" w:hanging="283"/>
        <w:contextualSpacing/>
        <w:jc w:val="both"/>
        <w:rPr>
          <w:rFonts w:ascii="Arial" w:hAnsi="Arial"/>
        </w:rPr>
      </w:pPr>
      <w:r w:rsidRPr="002F4777">
        <w:rPr>
          <w:rFonts w:ascii="Arial" w:hAnsi="Arial" w:hint="cs"/>
          <w:rtl/>
        </w:rPr>
        <w:t xml:space="preserve">בעניין </w:t>
      </w:r>
      <w:r w:rsidRPr="002F4777">
        <w:rPr>
          <w:rFonts w:ascii="Arial" w:hAnsi="Arial" w:hint="cs"/>
          <w:b/>
          <w:bCs/>
          <w:rtl/>
        </w:rPr>
        <w:t>פלוני</w:t>
      </w:r>
      <w:r>
        <w:rPr>
          <w:rFonts w:ascii="Arial" w:hAnsi="Arial" w:hint="cs"/>
          <w:rtl/>
        </w:rPr>
        <w:t xml:space="preserve">, בית המשפט העליון קבע, כי חרף שיתוף הפעולה של המשיב עם שירות המבחן, והשיפור ביכולתו לשתף בקשיים רגשיים ולהתמודד עם קונפליקטים, לא התקיימו "אינדיקציות ממשיות לשינוי עמוק ומובהק בדרך החשיבה של המשיב ובהתנהגותו, באופן שמבסס ברמה המספקת הצדקה להעדיף במקרה זה את הפן השיקומי על פני ענישה הולמת" (שם, פסקה 17). </w:t>
      </w:r>
    </w:p>
    <w:p w14:paraId="149A8FF7" w14:textId="77777777" w:rsidR="003B084D" w:rsidRPr="007E4364" w:rsidRDefault="003B084D" w:rsidP="003B084D">
      <w:pPr>
        <w:spacing w:after="160" w:line="360" w:lineRule="auto"/>
        <w:ind w:left="283"/>
        <w:contextualSpacing/>
        <w:jc w:val="both"/>
        <w:rPr>
          <w:rFonts w:ascii="Arial" w:hAnsi="Arial"/>
          <w:sz w:val="12"/>
          <w:szCs w:val="12"/>
        </w:rPr>
      </w:pPr>
    </w:p>
    <w:p w14:paraId="0891C46F" w14:textId="77777777" w:rsidR="003B084D" w:rsidRDefault="003B084D" w:rsidP="003B084D">
      <w:pPr>
        <w:numPr>
          <w:ilvl w:val="0"/>
          <w:numId w:val="1"/>
        </w:numPr>
        <w:spacing w:after="160" w:line="360" w:lineRule="auto"/>
        <w:ind w:left="283" w:hanging="283"/>
        <w:contextualSpacing/>
        <w:jc w:val="both"/>
        <w:rPr>
          <w:rFonts w:ascii="Arial" w:hAnsi="Arial"/>
        </w:rPr>
      </w:pPr>
      <w:r>
        <w:rPr>
          <w:rFonts w:ascii="Arial" w:hAnsi="Arial" w:hint="cs"/>
          <w:rtl/>
        </w:rPr>
        <w:t xml:space="preserve">בעניין </w:t>
      </w:r>
      <w:hyperlink r:id="rId45" w:history="1">
        <w:r w:rsidR="00567D7D" w:rsidRPr="00567D7D">
          <w:rPr>
            <w:rFonts w:ascii="Arial" w:hAnsi="Arial"/>
            <w:color w:val="0000FF"/>
            <w:u w:val="single"/>
            <w:rtl/>
          </w:rPr>
          <w:t>ע"פ 2729/22</w:t>
        </w:r>
      </w:hyperlink>
      <w:r>
        <w:rPr>
          <w:rFonts w:ascii="Arial" w:hAnsi="Arial" w:hint="cs"/>
          <w:rtl/>
        </w:rPr>
        <w:t xml:space="preserve"> </w:t>
      </w:r>
      <w:r>
        <w:rPr>
          <w:rFonts w:ascii="Arial" w:hAnsi="Arial" w:hint="cs"/>
          <w:b/>
          <w:bCs/>
          <w:rtl/>
        </w:rPr>
        <w:t>מיכאל שטרית נ' מדינת ישראל</w:t>
      </w:r>
      <w:r>
        <w:rPr>
          <w:rFonts w:ascii="Arial" w:hAnsi="Arial" w:hint="cs"/>
          <w:rtl/>
        </w:rPr>
        <w:t xml:space="preserve"> (3.5.23), בית המשפט העליון מצא להקל בעונש מטעמי שיקום של מי שהקים והפעיל מעבדה לגידול סמים, אשר פעלה במשך כשנה ונתפסו בה סמים במשקל של 70 קילוגרם. זאת, לאחר שמצא שהמשיב באותו עניין מצוי </w:t>
      </w:r>
      <w:r w:rsidRPr="00037116">
        <w:rPr>
          <w:rFonts w:ascii="Arial" w:hAnsi="Arial" w:hint="cs"/>
          <w:b/>
          <w:bCs/>
          <w:rtl/>
        </w:rPr>
        <w:t>"בתהליך שיקום משמעותי, לוקח אחריות על מעשיו ומחויב להטמעת שינוי בחייו ובהתנהלותו"</w:t>
      </w:r>
      <w:r>
        <w:rPr>
          <w:rFonts w:ascii="Arial" w:hAnsi="Arial" w:hint="cs"/>
          <w:rtl/>
        </w:rPr>
        <w:t>, על רקע התמדתו בהליך הטיפולי בהתמכרותו לסמים מזה למעלה משנה, המפחיתה את הסיכון לביצוע עבירות נוספות בתחום הסמים (שם, פסקה 30 לפסק דינה של כב' הנשיאה א' חיות). עם זאת, בית המשפט העליון עמד על כך שגם בנסיבות שבהן יש מקום לחרוג לקולה ממתחם העונש ההולם מטעמי שיקום, אין בכך כדי לשלול לחלוטין את תחולת שיקולי ההלימה (שם, פסקה 31). אשר על כן, עונשו של המשיב לא הוקל עד לכדי מאסר שירוצה בעבודות שירות, אלא הוקל בשישה חודשים מ-25 חודשי מאסר לריצוי בפועל ל-19 חודשי מאסר לריצוי בפועל.</w:t>
      </w:r>
    </w:p>
    <w:p w14:paraId="5B2997A9" w14:textId="77777777" w:rsidR="003B084D" w:rsidRPr="00A44B69" w:rsidRDefault="003B084D" w:rsidP="003B084D">
      <w:pPr>
        <w:spacing w:after="160" w:line="360" w:lineRule="auto"/>
        <w:ind w:left="283"/>
        <w:contextualSpacing/>
        <w:jc w:val="both"/>
        <w:rPr>
          <w:rFonts w:ascii="Arial" w:hAnsi="Arial"/>
          <w:sz w:val="12"/>
          <w:szCs w:val="12"/>
        </w:rPr>
      </w:pPr>
    </w:p>
    <w:p w14:paraId="65AC1738" w14:textId="77777777" w:rsidR="003B084D" w:rsidRDefault="003B084D" w:rsidP="003B084D">
      <w:pPr>
        <w:numPr>
          <w:ilvl w:val="0"/>
          <w:numId w:val="1"/>
        </w:numPr>
        <w:spacing w:after="160" w:line="360" w:lineRule="auto"/>
        <w:ind w:left="283" w:hanging="283"/>
        <w:contextualSpacing/>
        <w:jc w:val="both"/>
        <w:rPr>
          <w:rFonts w:ascii="Arial" w:hAnsi="Arial"/>
        </w:rPr>
      </w:pPr>
      <w:r>
        <w:rPr>
          <w:rFonts w:ascii="Arial" w:hAnsi="Arial" w:hint="cs"/>
          <w:rtl/>
        </w:rPr>
        <w:t>יצוין, כי ב</w:t>
      </w:r>
      <w:hyperlink r:id="rId46" w:history="1">
        <w:r w:rsidR="00567D7D" w:rsidRPr="00567D7D">
          <w:rPr>
            <w:rFonts w:ascii="Arial" w:hAnsi="Arial"/>
            <w:color w:val="0000FF"/>
            <w:u w:val="single"/>
            <w:rtl/>
          </w:rPr>
          <w:t>ע"פ 6972/20</w:t>
        </w:r>
      </w:hyperlink>
      <w:r w:rsidRPr="00976B6C">
        <w:rPr>
          <w:rFonts w:ascii="Arial" w:hAnsi="Arial"/>
          <w:rtl/>
        </w:rPr>
        <w:t xml:space="preserve"> </w:t>
      </w:r>
      <w:r w:rsidRPr="00976B6C">
        <w:rPr>
          <w:rFonts w:ascii="Arial" w:hAnsi="Arial"/>
          <w:b/>
          <w:bCs/>
          <w:rtl/>
        </w:rPr>
        <w:t>דין פלץ נ' מדינת ישראל</w:t>
      </w:r>
      <w:r w:rsidRPr="00976B6C">
        <w:rPr>
          <w:rFonts w:ascii="Arial" w:hAnsi="Arial"/>
          <w:rtl/>
        </w:rPr>
        <w:t xml:space="preserve"> (נבו </w:t>
      </w:r>
      <w:r>
        <w:rPr>
          <w:rFonts w:ascii="Arial" w:hAnsi="Arial" w:hint="cs"/>
          <w:rtl/>
        </w:rPr>
        <w:t>7.4.2022</w:t>
      </w:r>
      <w:r w:rsidRPr="00976B6C">
        <w:rPr>
          <w:rFonts w:ascii="Arial" w:hAnsi="Arial"/>
          <w:rtl/>
        </w:rPr>
        <w:t>)</w:t>
      </w:r>
      <w:r>
        <w:rPr>
          <w:rFonts w:ascii="Arial" w:hAnsi="Arial" w:hint="cs"/>
          <w:rtl/>
        </w:rPr>
        <w:t xml:space="preserve"> (להלן: (עניין </w:t>
      </w:r>
      <w:r>
        <w:rPr>
          <w:rFonts w:ascii="Arial" w:hAnsi="Arial" w:hint="cs"/>
          <w:b/>
          <w:bCs/>
          <w:rtl/>
        </w:rPr>
        <w:t>פלץ</w:t>
      </w:r>
      <w:r>
        <w:rPr>
          <w:rFonts w:ascii="Arial" w:hAnsi="Arial" w:hint="cs"/>
          <w:rtl/>
        </w:rPr>
        <w:t>")</w:t>
      </w:r>
      <w:r w:rsidRPr="00976B6C">
        <w:rPr>
          <w:rFonts w:ascii="Arial" w:hAnsi="Arial" w:hint="cs"/>
          <w:rtl/>
        </w:rPr>
        <w:t xml:space="preserve">, </w:t>
      </w:r>
      <w:r>
        <w:rPr>
          <w:rFonts w:ascii="Arial" w:hAnsi="Arial" w:hint="cs"/>
          <w:rtl/>
        </w:rPr>
        <w:t xml:space="preserve">בית המשפט העליון הורה באופן חריג על הקלה משמעותית בעונשו של המערער, בהסכמת המדינה, מ-24 חודשי מאסר לריצוי בפועל ל-9 חודשי מאסר שירוצו בעבודות שירות. עם זאת, מגזר דינו של בית המשפט המחוזי בעניין זה עולה, כי נסיבות הנאשם שם שונות מאלה שבענייננו. כך למשל, שם דובר במי שביצע את העבירות בגיל צעיר, עם שחרורו משירותו הצבאי. אף בית המשפט העליון בפסק דינו בעניין </w:t>
      </w:r>
      <w:r w:rsidRPr="006A1A58">
        <w:rPr>
          <w:rFonts w:ascii="Arial" w:hAnsi="Arial" w:hint="cs"/>
          <w:b/>
          <w:bCs/>
          <w:rtl/>
        </w:rPr>
        <w:t>פלוני</w:t>
      </w:r>
      <w:r>
        <w:rPr>
          <w:rFonts w:ascii="Arial" w:hAnsi="Arial" w:hint="cs"/>
          <w:rtl/>
        </w:rPr>
        <w:t xml:space="preserve">, אשר דומה יותר בנסיבותיו לעניינו של הנאשם, התייחס להחלטה בעניין </w:t>
      </w:r>
      <w:r>
        <w:rPr>
          <w:rFonts w:ascii="Arial" w:hAnsi="Arial" w:hint="cs"/>
          <w:b/>
          <w:bCs/>
          <w:rtl/>
        </w:rPr>
        <w:t>פלץ</w:t>
      </w:r>
      <w:r>
        <w:rPr>
          <w:rFonts w:ascii="Arial" w:hAnsi="Arial" w:hint="cs"/>
          <w:rtl/>
        </w:rPr>
        <w:t xml:space="preserve">, בציינו כי ישנם הבדלים הן בהיבט חומרת העבירות הן בהיבט ההליך השיקומי שנעשה (עניין </w:t>
      </w:r>
      <w:r>
        <w:rPr>
          <w:rFonts w:ascii="Arial" w:hAnsi="Arial" w:hint="cs"/>
          <w:b/>
          <w:bCs/>
          <w:rtl/>
        </w:rPr>
        <w:t>פלוני</w:t>
      </w:r>
      <w:r>
        <w:rPr>
          <w:rFonts w:ascii="Arial" w:hAnsi="Arial" w:hint="cs"/>
          <w:rtl/>
        </w:rPr>
        <w:t>, פסקה 20 לפסק דינה של כב' השופטת י' וילנר).</w:t>
      </w:r>
    </w:p>
    <w:p w14:paraId="16039D9B" w14:textId="77777777" w:rsidR="003B084D" w:rsidRPr="00A44B69" w:rsidRDefault="003B084D" w:rsidP="003B084D">
      <w:pPr>
        <w:spacing w:after="160" w:line="360" w:lineRule="auto"/>
        <w:ind w:left="283"/>
        <w:contextualSpacing/>
        <w:jc w:val="both"/>
        <w:rPr>
          <w:rFonts w:ascii="Arial" w:hAnsi="Arial"/>
          <w:sz w:val="12"/>
          <w:szCs w:val="12"/>
        </w:rPr>
      </w:pPr>
    </w:p>
    <w:p w14:paraId="23C20A1E" w14:textId="77777777" w:rsidR="003B084D" w:rsidRDefault="003B084D" w:rsidP="003B084D">
      <w:pPr>
        <w:numPr>
          <w:ilvl w:val="0"/>
          <w:numId w:val="1"/>
        </w:numPr>
        <w:spacing w:after="160" w:line="360" w:lineRule="auto"/>
        <w:ind w:left="283" w:hanging="283"/>
        <w:contextualSpacing/>
        <w:jc w:val="both"/>
        <w:rPr>
          <w:rFonts w:ascii="David" w:hAnsi="David"/>
        </w:rPr>
      </w:pPr>
      <w:r>
        <w:rPr>
          <w:rFonts w:ascii="Arial" w:hAnsi="Arial" w:hint="cs"/>
          <w:rtl/>
        </w:rPr>
        <w:t>בענייננו, אין ספק שהנאשם עבר דרך טיפולית משמעותית. כפי שעולה מתסקירי שירות המבחן, הנאשם, שהחל להשתמש בסמים בגיל 16, השתתף בתכנית לגמילה מהתמכרות לסמים אותה סיים בהצלחה. זו פעם ראשונה שהוא מטפל בבעיית ההתמכרות לסמים, וקנה כלים להתמודדות עם הקשיים איתם הוא מתמודד גם במישור הכלכלי והמשפחתי.</w:t>
      </w:r>
      <w:r w:rsidRPr="006A5D7D">
        <w:rPr>
          <w:rFonts w:ascii="Arial" w:hAnsi="Arial" w:hint="cs"/>
          <w:rtl/>
        </w:rPr>
        <w:t xml:space="preserve"> </w:t>
      </w:r>
      <w:r>
        <w:rPr>
          <w:rFonts w:ascii="Arial" w:hAnsi="Arial" w:hint="cs"/>
          <w:rtl/>
        </w:rPr>
        <w:t xml:space="preserve">כמו כן, הוא חזר לעבוד, ומעסיקו מדווח, כי הוא משקיע בעבודתו ולוקח על עצמו אחריות.  עם זאת, אין מדובר במי שלא ניהל אורח חיים מתפקד טרם מעצרו וסבל מהתמכרות קשה לסמים. כפי שנמסר ממעסיקו, הנאשם עבד במשך שנתיים במקום העבודה ולא היתה בעייתיות בהתנהלותו, ולא המעסיק ולא בני משפחתו היו מודעים לבעיית ההתמכרות. הנאשם נקלע לחובות כפי שעולה ממסמך נ/5 והתפתה לעשות רווחים קלים, ואין זיקה ישירה בין התמכרותו לבין המניע לביצוע העבירות. אכן, יש לברך את הנאשם על התמדתו בתכנית הטיפולית שבה לקח חלק ובהתרחקותו מעולם הסמים ומחברה רעה. עם זאת, סבורתני כי נסיבותיו של הנאשם ואופיו של התהליך השיקומי שבו השתתף, אינם מגיעים לכדי אותו סוג של תהליך שיקום אשר מצדיק חריגה ניכרת לקולה ממתחם העונש ההולם לפי </w:t>
      </w:r>
      <w:hyperlink r:id="rId47" w:history="1">
        <w:r w:rsidR="003766AB" w:rsidRPr="003766AB">
          <w:rPr>
            <w:rStyle w:val="Hyperlink"/>
            <w:rFonts w:ascii="Arial" w:hAnsi="Arial" w:hint="eastAsia"/>
            <w:rtl/>
          </w:rPr>
          <w:t>סעיף</w:t>
        </w:r>
        <w:r w:rsidR="003766AB" w:rsidRPr="003766AB">
          <w:rPr>
            <w:rStyle w:val="Hyperlink"/>
            <w:rFonts w:ascii="Arial" w:hAnsi="Arial"/>
            <w:rtl/>
          </w:rPr>
          <w:t xml:space="preserve"> 40ד</w:t>
        </w:r>
      </w:hyperlink>
      <w:r>
        <w:rPr>
          <w:rFonts w:ascii="Arial" w:hAnsi="Arial" w:hint="cs"/>
          <w:rtl/>
        </w:rPr>
        <w:t xml:space="preserve">, עד כדי השתת מאסר שירוצה בעבודות שירות. </w:t>
      </w:r>
      <w:r>
        <w:rPr>
          <w:rFonts w:ascii="David" w:hAnsi="David"/>
          <w:rtl/>
        </w:rPr>
        <w:t>על כן</w:t>
      </w:r>
      <w:r>
        <w:rPr>
          <w:rFonts w:ascii="David" w:hAnsi="David" w:hint="cs"/>
          <w:rtl/>
        </w:rPr>
        <w:t>,</w:t>
      </w:r>
      <w:r>
        <w:rPr>
          <w:rFonts w:ascii="David" w:hAnsi="David"/>
          <w:rtl/>
        </w:rPr>
        <w:t xml:space="preserve"> לא מצאתי לחרוג ממתחם העונש ההולם באופן ניכר ולקבל את המלצת שירות המבחן במלואה, אך ניתן לה משקל משמעותי בעת קביעת העונש, שכן הגם שהיה מקום ליתן דגש</w:t>
      </w:r>
      <w:r>
        <w:rPr>
          <w:rFonts w:ascii="David" w:hAnsi="David" w:hint="cs"/>
          <w:rtl/>
        </w:rPr>
        <w:t xml:space="preserve"> </w:t>
      </w:r>
      <w:r>
        <w:rPr>
          <w:rFonts w:ascii="David" w:hAnsi="David"/>
          <w:rtl/>
        </w:rPr>
        <w:t>על שיקולי הרתעת הרבים והיחיד, עונשו של הנאשם יחרוג ממתחם העונש ההולם במידה שאינה ניכרת, ויקבע בסמוך לרף התחתון של מתחם העונש ההולם.</w:t>
      </w:r>
    </w:p>
    <w:p w14:paraId="660AED53" w14:textId="77777777" w:rsidR="003B084D" w:rsidRPr="00365DC3" w:rsidRDefault="003B084D" w:rsidP="003B084D">
      <w:pPr>
        <w:spacing w:after="160" w:line="360" w:lineRule="auto"/>
        <w:ind w:left="283"/>
        <w:contextualSpacing/>
        <w:jc w:val="both"/>
        <w:rPr>
          <w:rFonts w:ascii="David" w:hAnsi="David"/>
          <w:sz w:val="12"/>
          <w:szCs w:val="12"/>
        </w:rPr>
      </w:pPr>
    </w:p>
    <w:p w14:paraId="4C3F6D7B" w14:textId="77777777" w:rsidR="003B084D" w:rsidRPr="002B08ED" w:rsidRDefault="003B084D" w:rsidP="003B084D">
      <w:pPr>
        <w:numPr>
          <w:ilvl w:val="0"/>
          <w:numId w:val="1"/>
        </w:numPr>
        <w:spacing w:after="160" w:line="360" w:lineRule="auto"/>
        <w:ind w:left="283" w:hanging="283"/>
        <w:contextualSpacing/>
        <w:jc w:val="both"/>
        <w:rPr>
          <w:rFonts w:ascii="David" w:hAnsi="David"/>
          <w:sz w:val="12"/>
          <w:szCs w:val="12"/>
        </w:rPr>
      </w:pPr>
      <w:r w:rsidRPr="002B08ED">
        <w:rPr>
          <w:rFonts w:ascii="David" w:hAnsi="David" w:hint="cs"/>
          <w:rtl/>
        </w:rPr>
        <w:t xml:space="preserve">יודגש, שלא נעלמה מעיני המלצת שירות המבחן. אולם, </w:t>
      </w:r>
      <w:r w:rsidRPr="002B08ED">
        <w:rPr>
          <w:rFonts w:ascii="David" w:hAnsi="David"/>
          <w:rtl/>
        </w:rPr>
        <w:t xml:space="preserve">כידוע, עמדת שירות המבחן בנוגע לעונש שיש להטיל על נאשם, היא בבחינת המלצה שאינה מחייבת את בית המשפט (ראה למשל, </w:t>
      </w:r>
      <w:hyperlink r:id="rId48" w:history="1">
        <w:r w:rsidR="00567D7D" w:rsidRPr="00567D7D">
          <w:rPr>
            <w:rFonts w:ascii="David" w:hAnsi="David"/>
            <w:color w:val="0000FF"/>
            <w:u w:val="single"/>
            <w:rtl/>
          </w:rPr>
          <w:t>ע"פ 4295/15</w:t>
        </w:r>
      </w:hyperlink>
      <w:r w:rsidRPr="002B08ED">
        <w:rPr>
          <w:rFonts w:ascii="David" w:hAnsi="David"/>
          <w:rtl/>
        </w:rPr>
        <w:t xml:space="preserve"> </w:t>
      </w:r>
      <w:r w:rsidRPr="002B08ED">
        <w:rPr>
          <w:rFonts w:ascii="David" w:hAnsi="David" w:hint="cs"/>
          <w:b/>
          <w:bCs/>
          <w:rtl/>
        </w:rPr>
        <w:t>ג'אבר אלצאנע</w:t>
      </w:r>
      <w:r w:rsidRPr="002B08ED">
        <w:rPr>
          <w:rFonts w:ascii="David" w:hAnsi="David" w:hint="cs"/>
          <w:rtl/>
        </w:rPr>
        <w:t xml:space="preserve"> </w:t>
      </w:r>
      <w:r w:rsidRPr="002B08ED">
        <w:rPr>
          <w:rFonts w:ascii="David" w:hAnsi="David" w:hint="cs"/>
          <w:b/>
          <w:bCs/>
          <w:rtl/>
        </w:rPr>
        <w:t>נ'</w:t>
      </w:r>
      <w:r w:rsidRPr="002B08ED">
        <w:rPr>
          <w:rFonts w:ascii="David" w:hAnsi="David" w:hint="cs"/>
          <w:rtl/>
        </w:rPr>
        <w:t xml:space="preserve"> </w:t>
      </w:r>
      <w:r w:rsidRPr="002B08ED">
        <w:rPr>
          <w:rFonts w:ascii="David" w:hAnsi="David" w:hint="cs"/>
          <w:b/>
          <w:bCs/>
          <w:rtl/>
        </w:rPr>
        <w:t>מדינת ישראל</w:t>
      </w:r>
      <w:r w:rsidRPr="002B08ED">
        <w:rPr>
          <w:sz w:val="22"/>
          <w:rtl/>
        </w:rPr>
        <w:t xml:space="preserve"> </w:t>
      </w:r>
      <w:r w:rsidRPr="002B08ED">
        <w:rPr>
          <w:rFonts w:ascii="David" w:hAnsi="David"/>
          <w:rtl/>
        </w:rPr>
        <w:t xml:space="preserve">(2.5.16) </w:t>
      </w:r>
      <w:hyperlink r:id="rId49" w:history="1">
        <w:r w:rsidR="00567D7D" w:rsidRPr="00567D7D">
          <w:rPr>
            <w:rFonts w:ascii="David" w:hAnsi="David"/>
            <w:color w:val="0000FF"/>
            <w:u w:val="single"/>
            <w:rtl/>
          </w:rPr>
          <w:t>רע"פ 4144/15</w:t>
        </w:r>
      </w:hyperlink>
      <w:r w:rsidRPr="002B08ED">
        <w:rPr>
          <w:rFonts w:ascii="David" w:hAnsi="David"/>
          <w:rtl/>
        </w:rPr>
        <w:t xml:space="preserve"> </w:t>
      </w:r>
      <w:r w:rsidRPr="002B08ED">
        <w:rPr>
          <w:rFonts w:ascii="David" w:hAnsi="David" w:hint="cs"/>
          <w:b/>
          <w:bCs/>
          <w:rtl/>
        </w:rPr>
        <w:t xml:space="preserve">אבו אלטיף </w:t>
      </w:r>
      <w:r w:rsidRPr="002B08ED">
        <w:rPr>
          <w:rFonts w:ascii="David" w:hAnsi="David" w:hint="cs"/>
          <w:rtl/>
        </w:rPr>
        <w:t>נ'</w:t>
      </w:r>
      <w:r w:rsidRPr="002B08ED">
        <w:rPr>
          <w:rFonts w:ascii="David" w:hAnsi="David" w:hint="cs"/>
          <w:b/>
          <w:bCs/>
          <w:rtl/>
        </w:rPr>
        <w:t xml:space="preserve"> מדינת ישראל</w:t>
      </w:r>
      <w:r w:rsidRPr="002B08ED">
        <w:rPr>
          <w:rFonts w:ascii="David" w:hAnsi="David" w:hint="cs"/>
          <w:rtl/>
        </w:rPr>
        <w:t xml:space="preserve"> (16.6.15)). יוער בהקשר זה, ששירות המבחן רשאי להמליץ כל המלצה שנראית בעיניו, אך המלצתו היא אחד מהשיקולים שעל בית המשפט לשקול עת יגזור את דינו של נאשם, שכן עליו לשקול שיקולים שהם רחבים יותר משיקולי שירות המבחן. </w:t>
      </w:r>
    </w:p>
    <w:p w14:paraId="3857E9D7" w14:textId="77777777" w:rsidR="003B084D" w:rsidRPr="002B08ED" w:rsidRDefault="003B084D" w:rsidP="003B084D">
      <w:pPr>
        <w:spacing w:after="160" w:line="360" w:lineRule="auto"/>
        <w:ind w:left="283"/>
        <w:contextualSpacing/>
        <w:jc w:val="both"/>
        <w:rPr>
          <w:rFonts w:ascii="David" w:hAnsi="David"/>
          <w:sz w:val="12"/>
          <w:szCs w:val="12"/>
        </w:rPr>
      </w:pPr>
    </w:p>
    <w:p w14:paraId="1FB2B500" w14:textId="77777777" w:rsidR="003B084D" w:rsidRPr="00976B6C" w:rsidRDefault="003B084D" w:rsidP="003B084D">
      <w:pPr>
        <w:numPr>
          <w:ilvl w:val="0"/>
          <w:numId w:val="1"/>
        </w:numPr>
        <w:spacing w:after="160" w:line="360" w:lineRule="auto"/>
        <w:ind w:left="283" w:hanging="283"/>
        <w:contextualSpacing/>
        <w:jc w:val="both"/>
        <w:rPr>
          <w:rFonts w:ascii="Arial" w:hAnsi="Arial"/>
          <w:rtl/>
        </w:rPr>
      </w:pPr>
      <w:r>
        <w:rPr>
          <w:rFonts w:ascii="Arial" w:hAnsi="Arial" w:hint="cs"/>
          <w:rtl/>
        </w:rPr>
        <w:t>משכך, מצאתי מקום לחרוג ממתחם העונש ההולם חריגה שאינה ניכרת, וכפי שיפורט בהמשך, התהליך הטיפולי שעבר הנאשם יקבל ביטוי במסגרת גזירת העונש.</w:t>
      </w:r>
    </w:p>
    <w:p w14:paraId="25D676F3" w14:textId="77777777" w:rsidR="003B084D" w:rsidRPr="00976B6C" w:rsidRDefault="003B084D" w:rsidP="003B084D">
      <w:pPr>
        <w:spacing w:line="360" w:lineRule="auto"/>
        <w:jc w:val="both"/>
        <w:rPr>
          <w:rFonts w:ascii="Arial" w:hAnsi="Arial"/>
          <w:b/>
          <w:bCs/>
          <w:rtl/>
        </w:rPr>
      </w:pPr>
    </w:p>
    <w:p w14:paraId="2F9E19BA" w14:textId="77777777" w:rsidR="003B084D" w:rsidRDefault="003B084D" w:rsidP="003B084D">
      <w:pPr>
        <w:spacing w:line="360" w:lineRule="auto"/>
        <w:jc w:val="both"/>
        <w:rPr>
          <w:rFonts w:ascii="Arial" w:hAnsi="Arial"/>
          <w:b/>
          <w:bCs/>
          <w:u w:val="single"/>
          <w:rtl/>
        </w:rPr>
      </w:pPr>
      <w:r>
        <w:rPr>
          <w:rFonts w:ascii="Arial" w:hAnsi="Arial" w:hint="cs"/>
          <w:b/>
          <w:bCs/>
          <w:u w:val="single"/>
          <w:rtl/>
        </w:rPr>
        <w:t>העונש המתאים</w:t>
      </w:r>
    </w:p>
    <w:p w14:paraId="5F4DB90E" w14:textId="77777777" w:rsidR="003B084D" w:rsidRPr="007E4364" w:rsidRDefault="003B084D" w:rsidP="003B084D">
      <w:pPr>
        <w:spacing w:line="360" w:lineRule="auto"/>
        <w:jc w:val="both"/>
        <w:rPr>
          <w:rFonts w:ascii="Arial" w:hAnsi="Arial"/>
          <w:b/>
          <w:bCs/>
          <w:sz w:val="2"/>
          <w:szCs w:val="2"/>
          <w:u w:val="single"/>
          <w:rtl/>
        </w:rPr>
      </w:pPr>
    </w:p>
    <w:p w14:paraId="43C128AD" w14:textId="77777777" w:rsidR="003B084D" w:rsidRDefault="003B084D" w:rsidP="003B084D">
      <w:pPr>
        <w:numPr>
          <w:ilvl w:val="0"/>
          <w:numId w:val="1"/>
        </w:numPr>
        <w:spacing w:after="160" w:line="360" w:lineRule="auto"/>
        <w:ind w:left="283" w:hanging="283"/>
        <w:contextualSpacing/>
        <w:jc w:val="both"/>
        <w:rPr>
          <w:rFonts w:ascii="Arial" w:hAnsi="Arial"/>
        </w:rPr>
      </w:pPr>
      <w:r w:rsidRPr="004C1738">
        <w:rPr>
          <w:rFonts w:ascii="Arial" w:hAnsi="Arial" w:hint="cs"/>
          <w:rtl/>
        </w:rPr>
        <w:t xml:space="preserve">במסגרת </w:t>
      </w:r>
      <w:r w:rsidRPr="00592567">
        <w:rPr>
          <w:rFonts w:ascii="Arial" w:hAnsi="Arial" w:hint="cs"/>
          <w:rtl/>
        </w:rPr>
        <w:t>הנסיבות שאינן קשורות לביצוע העבירה, שקלתי</w:t>
      </w:r>
      <w:r w:rsidRPr="004C1738">
        <w:rPr>
          <w:rFonts w:ascii="Arial" w:hAnsi="Arial" w:hint="cs"/>
          <w:rtl/>
        </w:rPr>
        <w:t xml:space="preserve"> את גילו הצעיר יחסית של הנאשם, וכן את </w:t>
      </w:r>
      <w:r>
        <w:rPr>
          <w:rFonts w:ascii="Arial" w:hAnsi="Arial" w:hint="cs"/>
          <w:rtl/>
        </w:rPr>
        <w:t>ה</w:t>
      </w:r>
      <w:r w:rsidRPr="004C1738">
        <w:rPr>
          <w:rFonts w:ascii="Arial" w:hAnsi="Arial" w:hint="cs"/>
          <w:rtl/>
        </w:rPr>
        <w:t xml:space="preserve">עובדה </w:t>
      </w:r>
      <w:r>
        <w:rPr>
          <w:rFonts w:ascii="Arial" w:hAnsi="Arial" w:hint="cs"/>
          <w:rtl/>
        </w:rPr>
        <w:t>שזה לו מאסרו הראשון</w:t>
      </w:r>
      <w:r w:rsidRPr="004C1738">
        <w:rPr>
          <w:rFonts w:ascii="Arial" w:hAnsi="Arial" w:hint="cs"/>
          <w:rtl/>
        </w:rPr>
        <w:t xml:space="preserve">, על משמעויותיה הקשות עבור הנאשם. כמו כן לקחתי בחשבון </w:t>
      </w:r>
      <w:r>
        <w:rPr>
          <w:rFonts w:ascii="Arial" w:hAnsi="Arial" w:hint="cs"/>
          <w:rtl/>
        </w:rPr>
        <w:t>לקיחת האחריות של הנאשם, הבעת החרטה והחיסכון בזמן שיפוטי משמעותי</w:t>
      </w:r>
      <w:r w:rsidRPr="004C1738">
        <w:rPr>
          <w:rFonts w:ascii="Arial" w:hAnsi="Arial" w:hint="cs"/>
          <w:rtl/>
        </w:rPr>
        <w:t xml:space="preserve">. </w:t>
      </w:r>
      <w:r>
        <w:rPr>
          <w:rFonts w:ascii="Arial" w:hAnsi="Arial" w:hint="cs"/>
          <w:rtl/>
        </w:rPr>
        <w:t>עוד, התחשבתי בכך שהנאשם שהה במעצר ממש במשך למעלה משלושה חודשים ובהמשך במעצר בית למשך שנה, ולאחר מכן בתנאים מגבילים. כמו כן, התחשבתי בחלוף הזמן של כשנתיים מאז ביצוע העבירות, ואת התקדמותו החיובית של הנאשם בתהליך הטיפולי כמתואר לעיל. בנוסף,</w:t>
      </w:r>
      <w:r w:rsidRPr="004C1738">
        <w:rPr>
          <w:rFonts w:ascii="Arial" w:hAnsi="Arial" w:hint="cs"/>
          <w:rtl/>
        </w:rPr>
        <w:t xml:space="preserve"> </w:t>
      </w:r>
      <w:r>
        <w:rPr>
          <w:rFonts w:ascii="Arial" w:hAnsi="Arial" w:hint="cs"/>
          <w:rtl/>
        </w:rPr>
        <w:t xml:space="preserve">שקלתי כי לנאשם </w:t>
      </w:r>
      <w:r w:rsidRPr="004C1738">
        <w:rPr>
          <w:rFonts w:ascii="Arial" w:hAnsi="Arial" w:hint="cs"/>
          <w:rtl/>
        </w:rPr>
        <w:t xml:space="preserve">הרשעה אחת </w:t>
      </w:r>
      <w:r>
        <w:rPr>
          <w:rFonts w:ascii="Arial" w:hAnsi="Arial" w:hint="cs"/>
          <w:rtl/>
        </w:rPr>
        <w:t xml:space="preserve">משנת 2014 </w:t>
      </w:r>
      <w:r w:rsidRPr="004C1738">
        <w:rPr>
          <w:rFonts w:ascii="Arial" w:hAnsi="Arial" w:hint="cs"/>
          <w:rtl/>
        </w:rPr>
        <w:t>בעבירה של החזקה</w:t>
      </w:r>
      <w:r>
        <w:rPr>
          <w:rFonts w:ascii="Arial" w:hAnsi="Arial" w:hint="cs"/>
          <w:rtl/>
        </w:rPr>
        <w:t xml:space="preserve"> או </w:t>
      </w:r>
      <w:r w:rsidRPr="004C1738">
        <w:rPr>
          <w:rFonts w:ascii="Arial" w:hAnsi="Arial" w:hint="cs"/>
          <w:rtl/>
        </w:rPr>
        <w:t>שימוש בסמים לצריכה עצמית שבגינה נגזרו עליו 3 חודשי מאסר על תנאי והתחייבות להימנע מעבירה על סך 1,000</w:t>
      </w:r>
      <w:r>
        <w:rPr>
          <w:rFonts w:ascii="Arial" w:hAnsi="Arial" w:hint="cs"/>
          <w:rtl/>
        </w:rPr>
        <w:t xml:space="preserve"> ₪</w:t>
      </w:r>
      <w:r w:rsidRPr="004C1738">
        <w:rPr>
          <w:rFonts w:ascii="Arial" w:hAnsi="Arial" w:hint="cs"/>
          <w:rtl/>
        </w:rPr>
        <w:t xml:space="preserve">. </w:t>
      </w:r>
      <w:r>
        <w:rPr>
          <w:rFonts w:ascii="Arial" w:hAnsi="Arial" w:hint="cs"/>
          <w:rtl/>
        </w:rPr>
        <w:t>כאמור, על אף שהיה מקום לגזור על הנאשם עונש בחלק עליון של הרף התחתון של מתחם העונש ההולם, בשל הצורך בהרתעת הרבים והיחיד, כאמור מטעמי שיקום אגזור את העונש בסמוך לרף התחתון של מתחם העונש ההולם. בנוסף, על אף שהיה ראוי להטיל על הנאשם קנס משמעותי, מאחר שמדובר בעבירות המבוצעות ממניע כלכלי, החלטתי שלא לעשות כן, וזאת כדי להושיט לנאשם יד, בשל כך שהוא מצוי בחובות ועומד לרצות עונש מאסר ממושך, על מנת שיחזור לחברה ללא חובות כספיים נוספים. מטעם זה גם לא פסקתי פיצוי לחברת החשמל בגדרי הליך זה, ופתוחה לפניה הדרך לפתוח בהליך אחר לשם כך, והיא תעשה כחוכמתה.</w:t>
      </w:r>
    </w:p>
    <w:p w14:paraId="64423F79" w14:textId="77777777" w:rsidR="003B084D" w:rsidRPr="00037116" w:rsidRDefault="003B084D" w:rsidP="003B084D">
      <w:pPr>
        <w:spacing w:after="160" w:line="360" w:lineRule="auto"/>
        <w:ind w:left="283"/>
        <w:contextualSpacing/>
        <w:jc w:val="both"/>
        <w:rPr>
          <w:rFonts w:ascii="Arial" w:hAnsi="Arial"/>
          <w:sz w:val="12"/>
          <w:szCs w:val="12"/>
        </w:rPr>
      </w:pPr>
    </w:p>
    <w:p w14:paraId="5C8A01DC" w14:textId="77777777" w:rsidR="003B084D" w:rsidRDefault="003B084D" w:rsidP="003B084D">
      <w:pPr>
        <w:numPr>
          <w:ilvl w:val="0"/>
          <w:numId w:val="1"/>
        </w:numPr>
        <w:spacing w:after="160" w:line="360" w:lineRule="auto"/>
        <w:ind w:left="283" w:hanging="283"/>
        <w:contextualSpacing/>
        <w:jc w:val="both"/>
        <w:rPr>
          <w:rFonts w:ascii="Arial" w:hAnsi="Arial"/>
        </w:rPr>
      </w:pPr>
      <w:r>
        <w:rPr>
          <w:rFonts w:ascii="Arial" w:hAnsi="Arial" w:hint="cs"/>
          <w:rtl/>
        </w:rPr>
        <w:t>אשר על כן, הנני גוזרת על הנאשם את העונשים הבאים כדלהלן:</w:t>
      </w:r>
    </w:p>
    <w:p w14:paraId="35764D42" w14:textId="77777777" w:rsidR="003B084D" w:rsidRDefault="003B084D" w:rsidP="003B084D">
      <w:pPr>
        <w:pStyle w:val="a9"/>
        <w:numPr>
          <w:ilvl w:val="0"/>
          <w:numId w:val="3"/>
        </w:numPr>
        <w:spacing w:line="360" w:lineRule="auto"/>
        <w:jc w:val="both"/>
        <w:rPr>
          <w:rFonts w:ascii="Arial" w:hAnsi="Arial"/>
        </w:rPr>
      </w:pPr>
      <w:r>
        <w:rPr>
          <w:rFonts w:ascii="Arial" w:hAnsi="Arial" w:hint="cs"/>
          <w:rtl/>
        </w:rPr>
        <w:t>18</w:t>
      </w:r>
      <w:r w:rsidRPr="004446CC">
        <w:rPr>
          <w:rFonts w:ascii="Arial" w:hAnsi="Arial" w:hint="cs"/>
          <w:rtl/>
        </w:rPr>
        <w:t xml:space="preserve"> חודשי מאסר לריצוי בפועל</w:t>
      </w:r>
      <w:r w:rsidRPr="00DE3AC1">
        <w:rPr>
          <w:rFonts w:ascii="Arial" w:hAnsi="Arial" w:hint="cs"/>
          <w:rtl/>
        </w:rPr>
        <w:t xml:space="preserve"> בניכוי ימי מעצרו (17.8.2021 עד 24.11.2021).</w:t>
      </w:r>
    </w:p>
    <w:p w14:paraId="167EABE1" w14:textId="77777777" w:rsidR="003B084D" w:rsidRPr="00DE3AC1" w:rsidRDefault="003B084D" w:rsidP="003B084D">
      <w:pPr>
        <w:pStyle w:val="a9"/>
        <w:spacing w:line="360" w:lineRule="auto"/>
        <w:ind w:left="785"/>
        <w:jc w:val="both"/>
        <w:rPr>
          <w:rFonts w:ascii="Arial" w:hAnsi="Arial"/>
          <w:sz w:val="12"/>
          <w:szCs w:val="12"/>
        </w:rPr>
      </w:pPr>
    </w:p>
    <w:p w14:paraId="1494947B" w14:textId="77777777" w:rsidR="003B084D" w:rsidRDefault="003B084D" w:rsidP="003B084D">
      <w:pPr>
        <w:pStyle w:val="a9"/>
        <w:numPr>
          <w:ilvl w:val="0"/>
          <w:numId w:val="3"/>
        </w:numPr>
        <w:spacing w:line="360" w:lineRule="auto"/>
        <w:jc w:val="both"/>
        <w:rPr>
          <w:rFonts w:ascii="Arial" w:hAnsi="Arial"/>
        </w:rPr>
      </w:pPr>
      <w:r>
        <w:rPr>
          <w:rFonts w:ascii="Arial" w:hAnsi="Arial" w:hint="cs"/>
          <w:rtl/>
        </w:rPr>
        <w:t>12</w:t>
      </w:r>
      <w:r w:rsidRPr="004446CC">
        <w:rPr>
          <w:rFonts w:ascii="Arial" w:hAnsi="Arial" w:hint="cs"/>
          <w:rtl/>
        </w:rPr>
        <w:t xml:space="preserve"> חודשי מאסר, הנאשם לא ירצה עונש זה אלא אם יעבור בתוך 3 שנים מיום שחרורו מהמאסר על כל עבירת סמים מסוג פשע.</w:t>
      </w:r>
    </w:p>
    <w:p w14:paraId="2310FFF0" w14:textId="77777777" w:rsidR="003B084D" w:rsidRPr="00DE3AC1" w:rsidRDefault="003B084D" w:rsidP="003B084D">
      <w:pPr>
        <w:pStyle w:val="a9"/>
        <w:spacing w:line="360" w:lineRule="auto"/>
        <w:ind w:left="785"/>
        <w:jc w:val="both"/>
        <w:rPr>
          <w:rFonts w:ascii="Arial" w:hAnsi="Arial"/>
          <w:sz w:val="12"/>
          <w:szCs w:val="12"/>
        </w:rPr>
      </w:pPr>
    </w:p>
    <w:p w14:paraId="5E375814" w14:textId="77777777" w:rsidR="003B084D" w:rsidRDefault="003B084D" w:rsidP="003B084D">
      <w:pPr>
        <w:pStyle w:val="a9"/>
        <w:numPr>
          <w:ilvl w:val="0"/>
          <w:numId w:val="3"/>
        </w:numPr>
        <w:spacing w:line="360" w:lineRule="auto"/>
        <w:jc w:val="both"/>
        <w:rPr>
          <w:rFonts w:ascii="Arial" w:hAnsi="Arial"/>
        </w:rPr>
      </w:pPr>
      <w:r>
        <w:rPr>
          <w:rFonts w:ascii="Arial" w:hAnsi="Arial" w:hint="cs"/>
          <w:rtl/>
        </w:rPr>
        <w:t>3 חודשי מאסר, הנאשם לא ירצה עונש זה אלא אם יעבור בתוך 3 שנים מיום שחרורו מהמאסר על כל עבירת סמים מסוג עוון.</w:t>
      </w:r>
    </w:p>
    <w:p w14:paraId="0C3AD275" w14:textId="77777777" w:rsidR="003B084D" w:rsidRPr="00DE3AC1" w:rsidRDefault="003B084D" w:rsidP="003B084D">
      <w:pPr>
        <w:pStyle w:val="a9"/>
        <w:spacing w:line="360" w:lineRule="auto"/>
        <w:ind w:left="785"/>
        <w:jc w:val="both"/>
        <w:rPr>
          <w:rFonts w:ascii="Arial" w:hAnsi="Arial"/>
          <w:sz w:val="12"/>
          <w:szCs w:val="12"/>
        </w:rPr>
      </w:pPr>
    </w:p>
    <w:p w14:paraId="47A88827" w14:textId="77777777" w:rsidR="003B084D" w:rsidRDefault="003B084D" w:rsidP="003B084D">
      <w:pPr>
        <w:pStyle w:val="a9"/>
        <w:numPr>
          <w:ilvl w:val="0"/>
          <w:numId w:val="3"/>
        </w:numPr>
        <w:spacing w:line="360" w:lineRule="auto"/>
        <w:jc w:val="both"/>
        <w:rPr>
          <w:rFonts w:ascii="Arial" w:hAnsi="Arial"/>
        </w:rPr>
      </w:pPr>
      <w:r>
        <w:rPr>
          <w:rFonts w:ascii="Arial" w:hAnsi="Arial" w:hint="cs"/>
          <w:rtl/>
        </w:rPr>
        <w:t xml:space="preserve">אני מכריזה על הנאשם סוחר סמים ומורה על חילוט </w:t>
      </w:r>
      <w:r w:rsidRPr="000E677F">
        <w:rPr>
          <w:rFonts w:ascii="Calibri" w:hAnsi="Calibri" w:hint="cs"/>
          <w:rtl/>
        </w:rPr>
        <w:t>מערכת אוורור, דשן מנורות חשמל, גופי תאורה וחימום, מדי טמפרטורה, שנאים מסננים, מפוחים, מזגנים, משאבות מים, צינורות השקיה, מאווררים, בריכות מים, בתי מנורות, אדניות</w:t>
      </w:r>
      <w:r>
        <w:rPr>
          <w:rFonts w:ascii="Calibri" w:hAnsi="Calibri" w:hint="cs"/>
          <w:rtl/>
        </w:rPr>
        <w:t>,</w:t>
      </w:r>
      <w:r w:rsidRPr="000E677F">
        <w:rPr>
          <w:rFonts w:ascii="Calibri" w:hAnsi="Calibri" w:hint="cs"/>
          <w:rtl/>
        </w:rPr>
        <w:t xml:space="preserve"> משקל דיגיטלי, מייבשים וכלי</w:t>
      </w:r>
      <w:r>
        <w:rPr>
          <w:rFonts w:ascii="Arial" w:hAnsi="Arial" w:hint="cs"/>
          <w:sz w:val="26"/>
          <w:szCs w:val="26"/>
          <w:rtl/>
        </w:rPr>
        <w:t xml:space="preserve"> </w:t>
      </w:r>
      <w:r w:rsidRPr="000E677F">
        <w:rPr>
          <w:rFonts w:ascii="Arial" w:hAnsi="Arial" w:hint="cs"/>
          <w:rtl/>
        </w:rPr>
        <w:t>עבודה</w:t>
      </w:r>
      <w:r>
        <w:rPr>
          <w:rFonts w:ascii="Arial" w:hAnsi="Arial" w:hint="cs"/>
          <w:rtl/>
        </w:rPr>
        <w:t xml:space="preserve"> שישמשו לגידול הסמים.</w:t>
      </w:r>
    </w:p>
    <w:p w14:paraId="277C1C1B" w14:textId="77777777" w:rsidR="003B084D" w:rsidRDefault="003B084D" w:rsidP="003B084D">
      <w:pPr>
        <w:spacing w:line="360" w:lineRule="auto"/>
        <w:jc w:val="both"/>
        <w:rPr>
          <w:rFonts w:ascii="Arial" w:hAnsi="Arial"/>
          <w:sz w:val="12"/>
          <w:szCs w:val="12"/>
          <w:rtl/>
        </w:rPr>
      </w:pPr>
    </w:p>
    <w:p w14:paraId="5F4F0CC7" w14:textId="77777777" w:rsidR="003B084D" w:rsidRPr="008D19DA" w:rsidRDefault="00567D7D" w:rsidP="003B084D">
      <w:pPr>
        <w:spacing w:line="360" w:lineRule="auto"/>
        <w:jc w:val="both"/>
        <w:rPr>
          <w:rFonts w:ascii="Arial" w:hAnsi="Arial"/>
          <w:b/>
          <w:bCs/>
          <w:rtl/>
        </w:rPr>
      </w:pPr>
      <w:r w:rsidRPr="00567D7D">
        <w:rPr>
          <w:rFonts w:ascii="Arial" w:hAnsi="Arial"/>
          <w:b/>
          <w:bCs/>
          <w:color w:val="FFFFFF"/>
          <w:sz w:val="2"/>
          <w:szCs w:val="2"/>
          <w:rtl/>
        </w:rPr>
        <w:t>5129371</w:t>
      </w:r>
      <w:r w:rsidR="003B084D" w:rsidRPr="008D19DA">
        <w:rPr>
          <w:rFonts w:ascii="Arial" w:hAnsi="Arial" w:hint="cs"/>
          <w:b/>
          <w:bCs/>
          <w:rtl/>
        </w:rPr>
        <w:t>העתק גזר הדין ישלח לשירות המבחן.</w:t>
      </w:r>
    </w:p>
    <w:p w14:paraId="76AA0761" w14:textId="77777777" w:rsidR="003B084D" w:rsidRPr="00567D7D" w:rsidRDefault="00567D7D" w:rsidP="003B084D">
      <w:pPr>
        <w:spacing w:line="360" w:lineRule="auto"/>
        <w:jc w:val="both"/>
        <w:rPr>
          <w:rFonts w:ascii="Arial" w:hAnsi="Arial"/>
          <w:color w:val="FFFFFF"/>
          <w:sz w:val="2"/>
          <w:szCs w:val="2"/>
          <w:rtl/>
        </w:rPr>
      </w:pPr>
      <w:r w:rsidRPr="00567D7D">
        <w:rPr>
          <w:rFonts w:ascii="Arial" w:hAnsi="Arial"/>
          <w:color w:val="FFFFFF"/>
          <w:sz w:val="2"/>
          <w:szCs w:val="2"/>
          <w:rtl/>
        </w:rPr>
        <w:t>54678313</w:t>
      </w:r>
    </w:p>
    <w:p w14:paraId="73EA1350" w14:textId="77777777" w:rsidR="003B084D" w:rsidRPr="007E4364" w:rsidRDefault="003B084D" w:rsidP="003B084D">
      <w:pPr>
        <w:spacing w:line="360" w:lineRule="auto"/>
        <w:jc w:val="both"/>
        <w:rPr>
          <w:rFonts w:ascii="Arial" w:hAnsi="Arial"/>
          <w:b/>
          <w:bCs/>
          <w:rtl/>
        </w:rPr>
      </w:pPr>
      <w:r w:rsidRPr="007E4364">
        <w:rPr>
          <w:rFonts w:ascii="Arial" w:hAnsi="Arial" w:hint="cs"/>
          <w:b/>
          <w:bCs/>
          <w:rtl/>
        </w:rPr>
        <w:t>זכות ערעור לבית המשפט העליון בתוך 45 יום מהיום.</w:t>
      </w:r>
    </w:p>
    <w:p w14:paraId="75F3E6A9" w14:textId="77777777" w:rsidR="003B084D" w:rsidRPr="007E4364" w:rsidRDefault="003B084D" w:rsidP="003B084D">
      <w:pPr>
        <w:spacing w:line="360" w:lineRule="auto"/>
        <w:jc w:val="both"/>
        <w:rPr>
          <w:rFonts w:ascii="Arial" w:hAnsi="Arial"/>
          <w:sz w:val="12"/>
          <w:szCs w:val="12"/>
          <w:rtl/>
        </w:rPr>
      </w:pPr>
    </w:p>
    <w:p w14:paraId="28E4D250" w14:textId="77777777" w:rsidR="003B084D" w:rsidRPr="000F2247" w:rsidRDefault="00567D7D" w:rsidP="00567D7D">
      <w:pPr>
        <w:jc w:val="both"/>
      </w:pPr>
      <w:bookmarkStart w:id="8" w:name="Nitan"/>
      <w:r>
        <w:rPr>
          <w:rFonts w:ascii="Arial" w:hAnsi="Arial"/>
          <w:b/>
          <w:bCs/>
          <w:sz w:val="26"/>
          <w:szCs w:val="26"/>
          <w:rtl/>
        </w:rPr>
        <w:t xml:space="preserve">ניתן היום,  ב' אב תשפ"ג, 20 יולי 2023, במעמד ב"כ הצדדים והנאשם.     </w:t>
      </w:r>
      <w:bookmarkEnd w:id="8"/>
      <w:r w:rsidR="003B084D" w:rsidRPr="000F2247">
        <w:rPr>
          <w:rFonts w:ascii="Arial" w:hAnsi="Arial"/>
          <w:b/>
          <w:bCs/>
          <w:sz w:val="26"/>
          <w:szCs w:val="26"/>
          <w:rtl/>
        </w:rPr>
        <w:t xml:space="preserve">   </w:t>
      </w:r>
      <w:r w:rsidR="003B084D" w:rsidRPr="000F2247">
        <w:rPr>
          <w:rFonts w:ascii="Arial" w:hAnsi="Arial"/>
          <w:b/>
          <w:bCs/>
          <w:sz w:val="26"/>
          <w:szCs w:val="26"/>
          <w:rtl/>
        </w:rPr>
        <w:tab/>
      </w:r>
      <w:r w:rsidR="003B084D" w:rsidRPr="000F2247">
        <w:rPr>
          <w:rFonts w:ascii="Arial" w:hAnsi="Arial"/>
          <w:b/>
          <w:bCs/>
          <w:sz w:val="26"/>
          <w:szCs w:val="26"/>
          <w:rtl/>
        </w:rPr>
        <w:tab/>
      </w:r>
      <w:r w:rsidR="003B084D" w:rsidRPr="000F2247">
        <w:rPr>
          <w:rFonts w:ascii="Arial" w:hAnsi="Arial"/>
          <w:b/>
          <w:bCs/>
          <w:sz w:val="26"/>
          <w:szCs w:val="26"/>
          <w:rtl/>
        </w:rPr>
        <w:tab/>
      </w:r>
      <w:r w:rsidR="003B084D" w:rsidRPr="000F2247">
        <w:rPr>
          <w:rFonts w:ascii="Arial" w:hAnsi="Arial"/>
          <w:b/>
          <w:bCs/>
          <w:sz w:val="26"/>
          <w:szCs w:val="26"/>
          <w:rtl/>
        </w:rPr>
        <w:tab/>
      </w:r>
      <w:r w:rsidR="003B084D" w:rsidRPr="000F2247">
        <w:rPr>
          <w:rFonts w:ascii="Arial" w:hAnsi="Arial"/>
          <w:b/>
          <w:bCs/>
          <w:sz w:val="26"/>
          <w:szCs w:val="26"/>
          <w:rtl/>
        </w:rPr>
        <w:tab/>
      </w:r>
    </w:p>
    <w:p w14:paraId="6D6516B5" w14:textId="77777777" w:rsidR="003B084D" w:rsidRPr="000F2247" w:rsidRDefault="003B084D" w:rsidP="003B084D">
      <w:pPr>
        <w:jc w:val="both"/>
        <w:rPr>
          <w:rFonts w:ascii="Arial" w:hAnsi="Arial"/>
          <w:b/>
          <w:bCs/>
          <w:sz w:val="26"/>
          <w:szCs w:val="26"/>
          <w:rtl/>
        </w:rPr>
      </w:pPr>
    </w:p>
    <w:p w14:paraId="5A25212D" w14:textId="77777777" w:rsidR="001701EC" w:rsidRPr="00567D7D" w:rsidRDefault="001701EC" w:rsidP="00567D7D">
      <w:pPr>
        <w:keepNext/>
        <w:rPr>
          <w:rFonts w:ascii="David" w:hAnsi="David"/>
          <w:color w:val="000000"/>
          <w:sz w:val="22"/>
          <w:szCs w:val="22"/>
          <w:rtl/>
        </w:rPr>
      </w:pPr>
    </w:p>
    <w:p w14:paraId="5D76AC43" w14:textId="77777777" w:rsidR="00567D7D" w:rsidRPr="00567D7D" w:rsidRDefault="00567D7D" w:rsidP="00567D7D">
      <w:pPr>
        <w:keepNext/>
        <w:rPr>
          <w:rFonts w:ascii="David" w:hAnsi="David"/>
          <w:color w:val="000000"/>
          <w:sz w:val="22"/>
          <w:szCs w:val="22"/>
          <w:rtl/>
        </w:rPr>
      </w:pPr>
      <w:r w:rsidRPr="00567D7D">
        <w:rPr>
          <w:rFonts w:ascii="David" w:hAnsi="David"/>
          <w:color w:val="000000"/>
          <w:sz w:val="22"/>
          <w:szCs w:val="22"/>
          <w:rtl/>
        </w:rPr>
        <w:t>חנה מרים לומפ 54678313</w:t>
      </w:r>
    </w:p>
    <w:p w14:paraId="2CBB7C47" w14:textId="77777777" w:rsidR="00567D7D" w:rsidRDefault="00567D7D" w:rsidP="00567D7D">
      <w:r w:rsidRPr="00567D7D">
        <w:rPr>
          <w:color w:val="000000"/>
          <w:rtl/>
        </w:rPr>
        <w:t>נוסח מסמך זה כפוף לשינויי ניסוח ועריכה</w:t>
      </w:r>
    </w:p>
    <w:p w14:paraId="2F9B85E3" w14:textId="77777777" w:rsidR="00567D7D" w:rsidRDefault="00567D7D" w:rsidP="00567D7D">
      <w:pPr>
        <w:rPr>
          <w:rtl/>
        </w:rPr>
      </w:pPr>
    </w:p>
    <w:p w14:paraId="7C6C23FD" w14:textId="77777777" w:rsidR="00567D7D" w:rsidRDefault="00567D7D" w:rsidP="00567D7D">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5BAD8889" w14:textId="77777777" w:rsidR="00567D7D" w:rsidRPr="00567D7D" w:rsidRDefault="00567D7D" w:rsidP="00567D7D">
      <w:pPr>
        <w:jc w:val="center"/>
        <w:rPr>
          <w:color w:val="0000FF"/>
          <w:u w:val="single"/>
        </w:rPr>
      </w:pPr>
    </w:p>
    <w:sectPr w:rsidR="00567D7D" w:rsidRPr="00567D7D" w:rsidSect="00567D7D">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6CE37" w14:textId="77777777" w:rsidR="001C31E5" w:rsidRDefault="001C31E5" w:rsidP="00610B3A">
      <w:r>
        <w:separator/>
      </w:r>
    </w:p>
  </w:endnote>
  <w:endnote w:type="continuationSeparator" w:id="0">
    <w:p w14:paraId="36ECA645" w14:textId="77777777" w:rsidR="001C31E5" w:rsidRDefault="001C31E5" w:rsidP="00610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B589C" w14:textId="77777777" w:rsidR="00567D7D" w:rsidRDefault="00567D7D" w:rsidP="00567D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A316B7" w14:textId="77777777" w:rsidR="006C43D4" w:rsidRPr="00567D7D" w:rsidRDefault="00567D7D" w:rsidP="00567D7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3774B" w14:textId="77777777" w:rsidR="00567D7D" w:rsidRDefault="00567D7D" w:rsidP="00567D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72D2">
      <w:rPr>
        <w:rFonts w:ascii="FrankRuehl" w:hAnsi="FrankRuehl" w:cs="FrankRuehl"/>
        <w:noProof/>
        <w:rtl/>
      </w:rPr>
      <w:t>1</w:t>
    </w:r>
    <w:r>
      <w:rPr>
        <w:rFonts w:ascii="FrankRuehl" w:hAnsi="FrankRuehl" w:cs="FrankRuehl"/>
        <w:rtl/>
      </w:rPr>
      <w:fldChar w:fldCharType="end"/>
    </w:r>
  </w:p>
  <w:p w14:paraId="563454EE" w14:textId="77777777" w:rsidR="006C43D4" w:rsidRPr="00567D7D" w:rsidRDefault="00567D7D" w:rsidP="00567D7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2C9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8A960" w14:textId="77777777" w:rsidR="001C31E5" w:rsidRDefault="001C31E5" w:rsidP="00610B3A">
      <w:r>
        <w:separator/>
      </w:r>
    </w:p>
  </w:footnote>
  <w:footnote w:type="continuationSeparator" w:id="0">
    <w:p w14:paraId="443FE19F" w14:textId="77777777" w:rsidR="001C31E5" w:rsidRDefault="001C31E5" w:rsidP="00610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A4938" w14:textId="77777777" w:rsidR="00567D7D" w:rsidRPr="00567D7D" w:rsidRDefault="00567D7D" w:rsidP="00567D7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8066-09-21</w:t>
    </w:r>
    <w:r>
      <w:rPr>
        <w:rFonts w:ascii="David" w:hAnsi="David"/>
        <w:color w:val="000000"/>
        <w:sz w:val="22"/>
        <w:szCs w:val="22"/>
        <w:rtl/>
      </w:rPr>
      <w:tab/>
      <w:t xml:space="preserve"> מדינת ישראל נ' נאור מימון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64F29" w14:textId="77777777" w:rsidR="00567D7D" w:rsidRPr="00567D7D" w:rsidRDefault="00567D7D" w:rsidP="00567D7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8066-09-21</w:t>
    </w:r>
    <w:r>
      <w:rPr>
        <w:rFonts w:ascii="David" w:hAnsi="David"/>
        <w:color w:val="000000"/>
        <w:sz w:val="22"/>
        <w:szCs w:val="22"/>
        <w:rtl/>
      </w:rPr>
      <w:tab/>
      <w:t xml:space="preserve"> מדינת ישראל נ' נאור מימון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74A72"/>
    <w:multiLevelType w:val="hybridMultilevel"/>
    <w:tmpl w:val="933CEE86"/>
    <w:lvl w:ilvl="0" w:tplc="2B1ADA8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22B18"/>
    <w:multiLevelType w:val="hybridMultilevel"/>
    <w:tmpl w:val="655035AA"/>
    <w:lvl w:ilvl="0" w:tplc="211810E6">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312D4BD5"/>
    <w:multiLevelType w:val="hybridMultilevel"/>
    <w:tmpl w:val="2954D492"/>
    <w:lvl w:ilvl="0" w:tplc="7A98AB9C">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958612431">
    <w:abstractNumId w:val="0"/>
  </w:num>
  <w:num w:numId="2" w16cid:durableId="414476031">
    <w:abstractNumId w:val="1"/>
  </w:num>
  <w:num w:numId="3" w16cid:durableId="97718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084D"/>
    <w:rsid w:val="00105878"/>
    <w:rsid w:val="001701EC"/>
    <w:rsid w:val="001B5A3B"/>
    <w:rsid w:val="001C31E5"/>
    <w:rsid w:val="001F7B9A"/>
    <w:rsid w:val="003766AB"/>
    <w:rsid w:val="003B084D"/>
    <w:rsid w:val="004F29BC"/>
    <w:rsid w:val="00567D7D"/>
    <w:rsid w:val="00610B3A"/>
    <w:rsid w:val="006A4643"/>
    <w:rsid w:val="006C43D4"/>
    <w:rsid w:val="007072D2"/>
    <w:rsid w:val="007B1E30"/>
    <w:rsid w:val="00830B48"/>
    <w:rsid w:val="00F069DE"/>
    <w:rsid w:val="00FD23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3609D1"/>
  <w15:chartTrackingRefBased/>
  <w15:docId w15:val="{59411984-8D6F-4114-8AC0-AB4A926A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08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084D"/>
    <w:pPr>
      <w:tabs>
        <w:tab w:val="center" w:pos="4153"/>
        <w:tab w:val="right" w:pos="8306"/>
      </w:tabs>
    </w:pPr>
  </w:style>
  <w:style w:type="character" w:customStyle="1" w:styleId="a4">
    <w:name w:val="כותרת עליונה תו"/>
    <w:link w:val="a3"/>
    <w:rsid w:val="003B084D"/>
    <w:rPr>
      <w:rFonts w:ascii="Times New Roman" w:eastAsia="Times New Roman" w:hAnsi="Times New Roman" w:cs="David"/>
      <w:sz w:val="24"/>
      <w:szCs w:val="24"/>
    </w:rPr>
  </w:style>
  <w:style w:type="paragraph" w:styleId="a5">
    <w:name w:val="footer"/>
    <w:basedOn w:val="a"/>
    <w:link w:val="a6"/>
    <w:rsid w:val="003B084D"/>
    <w:pPr>
      <w:tabs>
        <w:tab w:val="center" w:pos="4153"/>
        <w:tab w:val="right" w:pos="8306"/>
      </w:tabs>
    </w:pPr>
  </w:style>
  <w:style w:type="character" w:customStyle="1" w:styleId="a6">
    <w:name w:val="כותרת תחתונה תו"/>
    <w:link w:val="a5"/>
    <w:rsid w:val="003B084D"/>
    <w:rPr>
      <w:rFonts w:ascii="Times New Roman" w:eastAsia="Times New Roman" w:hAnsi="Times New Roman" w:cs="David"/>
      <w:sz w:val="24"/>
      <w:szCs w:val="24"/>
    </w:rPr>
  </w:style>
  <w:style w:type="table" w:styleId="a7">
    <w:name w:val="Table Grid"/>
    <w:basedOn w:val="a1"/>
    <w:rsid w:val="003B08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B084D"/>
  </w:style>
  <w:style w:type="paragraph" w:customStyle="1" w:styleId="12">
    <w:name w:val="רגיל + ‏12 נק'"/>
    <w:aliases w:val="מיושר לשני הצדדים,מרווח בין שורות:  שורה וחצי"/>
    <w:basedOn w:val="a"/>
    <w:rsid w:val="003B084D"/>
    <w:rPr>
      <w:b/>
      <w:bCs/>
      <w:u w:val="single"/>
    </w:rPr>
  </w:style>
  <w:style w:type="paragraph" w:styleId="a9">
    <w:name w:val="List Paragraph"/>
    <w:basedOn w:val="a"/>
    <w:qFormat/>
    <w:rsid w:val="003B084D"/>
    <w:pPr>
      <w:ind w:left="720"/>
      <w:contextualSpacing/>
    </w:pPr>
  </w:style>
  <w:style w:type="character" w:styleId="Hyperlink">
    <w:name w:val="Hyperlink"/>
    <w:rsid w:val="003B0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0"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5135813" TargetMode="External"/><Relationship Id="rId21" Type="http://schemas.openxmlformats.org/officeDocument/2006/relationships/hyperlink" Target="http://www.nevo.co.il/law/4216/9.a" TargetMode="External"/><Relationship Id="rId34" Type="http://schemas.openxmlformats.org/officeDocument/2006/relationships/hyperlink" Target="http://www.nevo.co.il/case/28437031" TargetMode="External"/><Relationship Id="rId42" Type="http://schemas.openxmlformats.org/officeDocument/2006/relationships/hyperlink" Target="http://www.nevo.co.il/law/70301/40i" TargetMode="External"/><Relationship Id="rId47" Type="http://schemas.openxmlformats.org/officeDocument/2006/relationships/hyperlink" Target="http://www.nevo.co.il/law/70301/40d"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d" TargetMode="External"/><Relationship Id="rId29" Type="http://schemas.openxmlformats.org/officeDocument/2006/relationships/hyperlink" Target="http://www.nevo.co.il/case/5726579" TargetMode="External"/><Relationship Id="rId11" Type="http://schemas.openxmlformats.org/officeDocument/2006/relationships/hyperlink" Target="http://www.nevo.co.il/law/4216/9.a"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3827604" TargetMode="External"/><Relationship Id="rId37" Type="http://schemas.openxmlformats.org/officeDocument/2006/relationships/hyperlink" Target="http://www.nevo.co.il/case/26418332" TargetMode="External"/><Relationship Id="rId40" Type="http://schemas.openxmlformats.org/officeDocument/2006/relationships/hyperlink" Target="http://www.nevo.co.il/case/22527622" TargetMode="External"/><Relationship Id="rId45" Type="http://schemas.openxmlformats.org/officeDocument/2006/relationships/hyperlink" Target="http://www.nevo.co.il/case/28550106"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4216/6" TargetMode="External"/><Relationship Id="rId31" Type="http://schemas.openxmlformats.org/officeDocument/2006/relationships/hyperlink" Target="http://www.nevo.co.il/case/5903534" TargetMode="External"/><Relationship Id="rId44" Type="http://schemas.openxmlformats.org/officeDocument/2006/relationships/hyperlink" Target="http://www.nevo.co.il/law/7030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10"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6076151" TargetMode="External"/><Relationship Id="rId35" Type="http://schemas.openxmlformats.org/officeDocument/2006/relationships/hyperlink" Target="http://www.nevo.co.il/case/28362589" TargetMode="External"/><Relationship Id="rId43" Type="http://schemas.openxmlformats.org/officeDocument/2006/relationships/hyperlink" Target="http://www.nevo.co.il/law/70301/40d" TargetMode="External"/><Relationship Id="rId48" Type="http://schemas.openxmlformats.org/officeDocument/2006/relationships/hyperlink" Target="http://www.nevo.co.il/case/20371632" TargetMode="External"/><Relationship Id="rId56" Type="http://schemas.openxmlformats.org/officeDocument/2006/relationships/theme" Target="theme/theme1.xml"/><Relationship Id="rId8" Type="http://schemas.openxmlformats.org/officeDocument/2006/relationships/hyperlink" Target="http://www.nevo.co.il/law/4216/6"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400" TargetMode="External"/><Relationship Id="rId33" Type="http://schemas.openxmlformats.org/officeDocument/2006/relationships/hyperlink" Target="http://www.nevo.co.il/case/28623297" TargetMode="External"/><Relationship Id="rId38" Type="http://schemas.openxmlformats.org/officeDocument/2006/relationships/hyperlink" Target="http://www.nevo.co.il/case/22841413" TargetMode="External"/><Relationship Id="rId46" Type="http://schemas.openxmlformats.org/officeDocument/2006/relationships/hyperlink" Target="http://www.nevo.co.il/case/27052952" TargetMode="External"/><Relationship Id="rId20" Type="http://schemas.openxmlformats.org/officeDocument/2006/relationships/hyperlink" Target="http://www.nevo.co.il/law/4216" TargetMode="External"/><Relationship Id="rId41" Type="http://schemas.openxmlformats.org/officeDocument/2006/relationships/hyperlink" Target="http://www.nevo.co.il/law/70301/40c"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5698919" TargetMode="External"/><Relationship Id="rId36" Type="http://schemas.openxmlformats.org/officeDocument/2006/relationships/hyperlink" Target="http://www.nevo.co.il/case/28226828" TargetMode="External"/><Relationship Id="rId49" Type="http://schemas.openxmlformats.org/officeDocument/2006/relationships/hyperlink" Target="http://www.nevo.co.il/case/2035675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5097</Words>
  <Characters>25488</Characters>
  <Application>Microsoft Office Word</Application>
  <DocSecurity>0</DocSecurity>
  <Lines>212</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30524</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3276918</vt:i4>
      </vt:variant>
      <vt:variant>
        <vt:i4>126</vt:i4>
      </vt:variant>
      <vt:variant>
        <vt:i4>0</vt:i4>
      </vt:variant>
      <vt:variant>
        <vt:i4>5</vt:i4>
      </vt:variant>
      <vt:variant>
        <vt:lpwstr>http://www.nevo.co.il/case/20356752</vt:lpwstr>
      </vt:variant>
      <vt:variant>
        <vt:lpwstr/>
      </vt:variant>
      <vt:variant>
        <vt:i4>3342453</vt:i4>
      </vt:variant>
      <vt:variant>
        <vt:i4>123</vt:i4>
      </vt:variant>
      <vt:variant>
        <vt:i4>0</vt:i4>
      </vt:variant>
      <vt:variant>
        <vt:i4>5</vt:i4>
      </vt:variant>
      <vt:variant>
        <vt:lpwstr>http://www.nevo.co.il/case/20371632</vt:lpwstr>
      </vt:variant>
      <vt:variant>
        <vt:lpwstr/>
      </vt:variant>
      <vt:variant>
        <vt:i4>6619233</vt:i4>
      </vt:variant>
      <vt:variant>
        <vt:i4>120</vt:i4>
      </vt:variant>
      <vt:variant>
        <vt:i4>0</vt:i4>
      </vt:variant>
      <vt:variant>
        <vt:i4>5</vt:i4>
      </vt:variant>
      <vt:variant>
        <vt:lpwstr>http://www.nevo.co.il/law/70301/40d</vt:lpwstr>
      </vt:variant>
      <vt:variant>
        <vt:lpwstr/>
      </vt:variant>
      <vt:variant>
        <vt:i4>3473535</vt:i4>
      </vt:variant>
      <vt:variant>
        <vt:i4>117</vt:i4>
      </vt:variant>
      <vt:variant>
        <vt:i4>0</vt:i4>
      </vt:variant>
      <vt:variant>
        <vt:i4>5</vt:i4>
      </vt:variant>
      <vt:variant>
        <vt:lpwstr>http://www.nevo.co.il/case/27052952</vt:lpwstr>
      </vt:variant>
      <vt:variant>
        <vt:lpwstr/>
      </vt:variant>
      <vt:variant>
        <vt:i4>3604600</vt:i4>
      </vt:variant>
      <vt:variant>
        <vt:i4>114</vt:i4>
      </vt:variant>
      <vt:variant>
        <vt:i4>0</vt:i4>
      </vt:variant>
      <vt:variant>
        <vt:i4>5</vt:i4>
      </vt:variant>
      <vt:variant>
        <vt:lpwstr>http://www.nevo.co.il/case/28550106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http://www.nevo.co.il/law/70301/40d</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6619233</vt:i4>
      </vt:variant>
      <vt:variant>
        <vt:i4>102</vt:i4>
      </vt:variant>
      <vt:variant>
        <vt:i4>0</vt:i4>
      </vt:variant>
      <vt:variant>
        <vt:i4>5</vt:i4>
      </vt:variant>
      <vt:variant>
        <vt:lpwstr>http://www.nevo.co.il/law/70301/40c</vt:lpwstr>
      </vt:variant>
      <vt:variant>
        <vt:lpwstr/>
      </vt:variant>
      <vt:variant>
        <vt:i4>3276914</vt:i4>
      </vt:variant>
      <vt:variant>
        <vt:i4>99</vt:i4>
      </vt:variant>
      <vt:variant>
        <vt:i4>0</vt:i4>
      </vt:variant>
      <vt:variant>
        <vt:i4>5</vt:i4>
      </vt:variant>
      <vt:variant>
        <vt:lpwstr>http://www.nevo.co.il/case/22527622</vt:lpwstr>
      </vt:variant>
      <vt:variant>
        <vt:lpwstr/>
      </vt:variant>
      <vt:variant>
        <vt:i4>3604602</vt:i4>
      </vt:variant>
      <vt:variant>
        <vt:i4>96</vt:i4>
      </vt:variant>
      <vt:variant>
        <vt:i4>0</vt:i4>
      </vt:variant>
      <vt:variant>
        <vt:i4>5</vt:i4>
      </vt:variant>
      <vt:variant>
        <vt:lpwstr>http://www.nevo.co.il/case/25135813</vt:lpwstr>
      </vt:variant>
      <vt:variant>
        <vt:lpwstr/>
      </vt:variant>
      <vt:variant>
        <vt:i4>3801206</vt:i4>
      </vt:variant>
      <vt:variant>
        <vt:i4>93</vt:i4>
      </vt:variant>
      <vt:variant>
        <vt:i4>0</vt:i4>
      </vt:variant>
      <vt:variant>
        <vt:i4>5</vt:i4>
      </vt:variant>
      <vt:variant>
        <vt:lpwstr>http://www.nevo.co.il/case/22841413</vt:lpwstr>
      </vt:variant>
      <vt:variant>
        <vt:lpwstr/>
      </vt:variant>
      <vt:variant>
        <vt:i4>3997808</vt:i4>
      </vt:variant>
      <vt:variant>
        <vt:i4>90</vt:i4>
      </vt:variant>
      <vt:variant>
        <vt:i4>0</vt:i4>
      </vt:variant>
      <vt:variant>
        <vt:i4>5</vt:i4>
      </vt:variant>
      <vt:variant>
        <vt:lpwstr>http://www.nevo.co.il/case/26418332</vt:lpwstr>
      </vt:variant>
      <vt:variant>
        <vt:lpwstr/>
      </vt:variant>
      <vt:variant>
        <vt:i4>3407990</vt:i4>
      </vt:variant>
      <vt:variant>
        <vt:i4>87</vt:i4>
      </vt:variant>
      <vt:variant>
        <vt:i4>0</vt:i4>
      </vt:variant>
      <vt:variant>
        <vt:i4>5</vt:i4>
      </vt:variant>
      <vt:variant>
        <vt:lpwstr>http://www.nevo.co.il/case/28226828</vt:lpwstr>
      </vt:variant>
      <vt:variant>
        <vt:lpwstr/>
      </vt:variant>
      <vt:variant>
        <vt:i4>3866751</vt:i4>
      </vt:variant>
      <vt:variant>
        <vt:i4>84</vt:i4>
      </vt:variant>
      <vt:variant>
        <vt:i4>0</vt:i4>
      </vt:variant>
      <vt:variant>
        <vt:i4>5</vt:i4>
      </vt:variant>
      <vt:variant>
        <vt:lpwstr>http://www.nevo.co.il/case/28362589</vt:lpwstr>
      </vt:variant>
      <vt:variant>
        <vt:lpwstr/>
      </vt:variant>
      <vt:variant>
        <vt:i4>3276927</vt:i4>
      </vt:variant>
      <vt:variant>
        <vt:i4>81</vt:i4>
      </vt:variant>
      <vt:variant>
        <vt:i4>0</vt:i4>
      </vt:variant>
      <vt:variant>
        <vt:i4>5</vt:i4>
      </vt:variant>
      <vt:variant>
        <vt:lpwstr>http://www.nevo.co.il/case/28437031</vt:lpwstr>
      </vt:variant>
      <vt:variant>
        <vt:lpwstr/>
      </vt:variant>
      <vt:variant>
        <vt:i4>4063356</vt:i4>
      </vt:variant>
      <vt:variant>
        <vt:i4>78</vt:i4>
      </vt:variant>
      <vt:variant>
        <vt:i4>0</vt:i4>
      </vt:variant>
      <vt:variant>
        <vt:i4>5</vt:i4>
      </vt:variant>
      <vt:variant>
        <vt:lpwstr>http://www.nevo.co.il/case/28623297</vt:lpwstr>
      </vt:variant>
      <vt:variant>
        <vt:lpwstr/>
      </vt:variant>
      <vt:variant>
        <vt:i4>3997811</vt:i4>
      </vt:variant>
      <vt:variant>
        <vt:i4>75</vt:i4>
      </vt:variant>
      <vt:variant>
        <vt:i4>0</vt:i4>
      </vt:variant>
      <vt:variant>
        <vt:i4>5</vt:i4>
      </vt:variant>
      <vt:variant>
        <vt:lpwstr>http://www.nevo.co.il/case/23827604</vt:lpwstr>
      </vt:variant>
      <vt:variant>
        <vt:lpwstr/>
      </vt:variant>
      <vt:variant>
        <vt:i4>3407997</vt:i4>
      </vt:variant>
      <vt:variant>
        <vt:i4>72</vt:i4>
      </vt:variant>
      <vt:variant>
        <vt:i4>0</vt:i4>
      </vt:variant>
      <vt:variant>
        <vt:i4>5</vt:i4>
      </vt:variant>
      <vt:variant>
        <vt:lpwstr>http://www.nevo.co.il/case/5903534</vt:lpwstr>
      </vt:variant>
      <vt:variant>
        <vt:lpwstr/>
      </vt:variant>
      <vt:variant>
        <vt:i4>3211383</vt:i4>
      </vt:variant>
      <vt:variant>
        <vt:i4>69</vt:i4>
      </vt:variant>
      <vt:variant>
        <vt:i4>0</vt:i4>
      </vt:variant>
      <vt:variant>
        <vt:i4>5</vt:i4>
      </vt:variant>
      <vt:variant>
        <vt:lpwstr>http://www.nevo.co.il/case/6076151</vt:lpwstr>
      </vt:variant>
      <vt:variant>
        <vt:lpwstr/>
      </vt:variant>
      <vt:variant>
        <vt:i4>3866738</vt:i4>
      </vt:variant>
      <vt:variant>
        <vt:i4>66</vt:i4>
      </vt:variant>
      <vt:variant>
        <vt:i4>0</vt:i4>
      </vt:variant>
      <vt:variant>
        <vt:i4>5</vt:i4>
      </vt:variant>
      <vt:variant>
        <vt:lpwstr>http://www.nevo.co.il/case/5726579</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http://www.nevo.co.il/law/70301/400</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5177418</vt:i4>
      </vt:variant>
      <vt:variant>
        <vt:i4>45</vt:i4>
      </vt:variant>
      <vt:variant>
        <vt:i4>0</vt:i4>
      </vt:variant>
      <vt:variant>
        <vt:i4>5</vt:i4>
      </vt:variant>
      <vt:variant>
        <vt:lpwstr>http://www.nevo.co.il/law/4216/10</vt:lpwstr>
      </vt:variant>
      <vt:variant>
        <vt:lpwstr/>
      </vt:variant>
      <vt:variant>
        <vt:i4>2490468</vt:i4>
      </vt:variant>
      <vt:variant>
        <vt:i4>42</vt:i4>
      </vt:variant>
      <vt:variant>
        <vt:i4>0</vt:i4>
      </vt:variant>
      <vt:variant>
        <vt:i4>5</vt:i4>
      </vt:variant>
      <vt:variant>
        <vt:lpwstr>http://www.nevo.co.il/law/4216/9.a</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2025-04-22T21:14:00Z</dcterms:created>
  <dcterms:modified xsi:type="dcterms:W3CDTF">2025-04-22T21:14:00Z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8066</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נאור מימון</vt:lpwstr>
  </property>
  <property fmtid="{D5CDD505-2E9C-101B-9397-08002B2CF9AE}" pid="10" name="LAWYER">
    <vt:lpwstr>אסף סויסה;שלומית עדיקה</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20230720</vt:lpwstr>
  </property>
  <property fmtid="{D5CDD505-2E9C-101B-9397-08002B2CF9AE}" pid="14" name="TYPE_N_DATE">
    <vt:lpwstr>39020230720</vt:lpwstr>
  </property>
  <property fmtid="{D5CDD505-2E9C-101B-9397-08002B2CF9AE}" pid="15" name="WORDNUMPAGES">
    <vt:lpwstr>13</vt:lpwstr>
  </property>
  <property fmtid="{D5CDD505-2E9C-101B-9397-08002B2CF9AE}" pid="16" name="TYPE_ABS_DATE">
    <vt:lpwstr>390020230720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5698919;5726579;6076151;5903534;23827604;28623297;28437031;28362589;28226828;26418332;22841413;25135813;22527622;28550106;27052952;20371632;20356752</vt:lpwstr>
  </property>
  <property fmtid="{D5CDD505-2E9C-101B-9397-08002B2CF9AE}" pid="36" name="LAWLISTTMP1">
    <vt:lpwstr>4216/006;009.a;010;007.a;007.c</vt:lpwstr>
  </property>
  <property fmtid="{D5CDD505-2E9C-101B-9397-08002B2CF9AE}" pid="37" name="LAWLISTTMP2">
    <vt:lpwstr>70301/400;040b;040c;040i;040d:2</vt:lpwstr>
  </property>
</Properties>
</file>