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1846"/>
        <w:gridCol w:w="3663"/>
        <w:gridCol w:w="53"/>
      </w:tblGrid>
      <w:tr w:rsidR="009E3061" w:rsidRPr="009446A4" w14:paraId="4EE003A5" w14:textId="77777777" w:rsidTr="001E2203">
        <w:trPr>
          <w:gridBefore w:val="1"/>
          <w:gridAfter w:val="1"/>
          <w:wBefore w:w="28" w:type="dxa"/>
          <w:wAfter w:w="53" w:type="dxa"/>
          <w:trHeight w:hRule="exact" w:val="418"/>
          <w:jc w:val="center"/>
        </w:trPr>
        <w:tc>
          <w:tcPr>
            <w:tcW w:w="8721" w:type="dxa"/>
            <w:gridSpan w:val="3"/>
          </w:tcPr>
          <w:p w14:paraId="6BDE6BF2" w14:textId="77777777" w:rsidR="009E3061" w:rsidRPr="009446A4" w:rsidRDefault="009E3061" w:rsidP="002C7A1D">
            <w:pPr>
              <w:pStyle w:val="a3"/>
              <w:jc w:val="center"/>
              <w:rPr>
                <w:rFonts w:ascii="Tahoma" w:hAnsi="Tahoma" w:cs="Tahoma"/>
                <w:color w:val="000080"/>
                <w:rtl/>
              </w:rPr>
            </w:pPr>
            <w:bookmarkStart w:id="0" w:name="LastJudge"/>
            <w:r w:rsidRPr="009446A4">
              <w:rPr>
                <w:rFonts w:ascii="Tahoma" w:hAnsi="Tahoma" w:cs="Tahoma"/>
                <w:b/>
                <w:bCs/>
                <w:color w:val="000080"/>
                <w:rtl/>
              </w:rPr>
              <w:t>בית המשפט המחוזי בחיפה</w:t>
            </w:r>
          </w:p>
        </w:tc>
      </w:tr>
      <w:tr w:rsidR="009E3061" w:rsidRPr="009446A4" w14:paraId="199D1C6C" w14:textId="77777777" w:rsidTr="001E2203">
        <w:trPr>
          <w:gridBefore w:val="1"/>
          <w:gridAfter w:val="1"/>
          <w:wBefore w:w="28" w:type="dxa"/>
          <w:wAfter w:w="53" w:type="dxa"/>
          <w:trHeight w:val="337"/>
          <w:jc w:val="center"/>
        </w:trPr>
        <w:tc>
          <w:tcPr>
            <w:tcW w:w="5058" w:type="dxa"/>
            <w:gridSpan w:val="2"/>
          </w:tcPr>
          <w:p w14:paraId="02F8BDF7" w14:textId="77777777" w:rsidR="009E3061" w:rsidRPr="009446A4" w:rsidRDefault="009E3061" w:rsidP="002C7A1D">
            <w:pPr>
              <w:rPr>
                <w:rFonts w:cs="FrankRuehl"/>
                <w:sz w:val="28"/>
                <w:szCs w:val="28"/>
                <w:rtl/>
              </w:rPr>
            </w:pPr>
            <w:r w:rsidRPr="009446A4">
              <w:rPr>
                <w:rFonts w:cs="FrankRuehl"/>
                <w:sz w:val="28"/>
                <w:szCs w:val="28"/>
                <w:rtl/>
              </w:rPr>
              <w:t>ת"פ</w:t>
            </w:r>
            <w:r w:rsidRPr="009446A4">
              <w:rPr>
                <w:rFonts w:cs="FrankRuehl" w:hint="cs"/>
                <w:sz w:val="28"/>
                <w:szCs w:val="28"/>
                <w:rtl/>
              </w:rPr>
              <w:t xml:space="preserve"> </w:t>
            </w:r>
            <w:r w:rsidRPr="009446A4">
              <w:rPr>
                <w:rFonts w:cs="FrankRuehl"/>
                <w:sz w:val="28"/>
                <w:szCs w:val="28"/>
                <w:rtl/>
              </w:rPr>
              <w:t>12612-10-21</w:t>
            </w:r>
            <w:r w:rsidRPr="009446A4">
              <w:rPr>
                <w:rFonts w:cs="FrankRuehl" w:hint="cs"/>
                <w:sz w:val="28"/>
                <w:szCs w:val="28"/>
                <w:rtl/>
              </w:rPr>
              <w:t xml:space="preserve"> </w:t>
            </w:r>
            <w:r w:rsidRPr="009446A4">
              <w:rPr>
                <w:rFonts w:cs="FrankRuehl"/>
                <w:sz w:val="28"/>
                <w:szCs w:val="28"/>
                <w:rtl/>
              </w:rPr>
              <w:t>מדינת ישראל נ' אסרף(עציר)</w:t>
            </w:r>
          </w:p>
          <w:p w14:paraId="1B9C6B39" w14:textId="77777777" w:rsidR="009E3061" w:rsidRPr="009446A4" w:rsidRDefault="009E3061" w:rsidP="002C7A1D">
            <w:pPr>
              <w:pStyle w:val="a3"/>
              <w:rPr>
                <w:rFonts w:cs="FrankRuehl"/>
                <w:sz w:val="28"/>
                <w:szCs w:val="28"/>
                <w:rtl/>
              </w:rPr>
            </w:pPr>
          </w:p>
        </w:tc>
        <w:tc>
          <w:tcPr>
            <w:tcW w:w="3663" w:type="dxa"/>
          </w:tcPr>
          <w:p w14:paraId="5ACA2FEA" w14:textId="77777777" w:rsidR="009E3061" w:rsidRPr="009446A4" w:rsidRDefault="009E3061" w:rsidP="002C7A1D">
            <w:pPr>
              <w:pStyle w:val="a3"/>
              <w:jc w:val="right"/>
              <w:rPr>
                <w:rFonts w:cs="FrankRuehl"/>
                <w:sz w:val="28"/>
                <w:szCs w:val="28"/>
                <w:rtl/>
              </w:rPr>
            </w:pPr>
          </w:p>
        </w:tc>
      </w:tr>
      <w:tr w:rsidR="009E3061" w:rsidRPr="009446A4" w14:paraId="3BA0D4A5" w14:textId="77777777" w:rsidTr="001E2203">
        <w:tblPrEx>
          <w:jc w:val="left"/>
          <w:tblInd w:w="-28" w:type="dxa"/>
          <w:tblLook w:val="01E0" w:firstRow="1" w:lastRow="1" w:firstColumn="1" w:lastColumn="1" w:noHBand="0" w:noVBand="0"/>
        </w:tblPrEx>
        <w:tc>
          <w:tcPr>
            <w:tcW w:w="8802" w:type="dxa"/>
            <w:gridSpan w:val="5"/>
            <w:shd w:val="clear" w:color="auto" w:fill="auto"/>
          </w:tcPr>
          <w:p w14:paraId="3B580ABD" w14:textId="77777777" w:rsidR="009E3061" w:rsidRPr="009446A4" w:rsidRDefault="009E3061" w:rsidP="002C7A1D">
            <w:pPr>
              <w:rPr>
                <w:b/>
                <w:bCs/>
                <w:sz w:val="26"/>
                <w:szCs w:val="26"/>
              </w:rPr>
            </w:pPr>
            <w:r w:rsidRPr="009446A4">
              <w:rPr>
                <w:rFonts w:hint="cs"/>
                <w:rtl/>
              </w:rPr>
              <w:t xml:space="preserve"> </w:t>
            </w:r>
            <w:r w:rsidRPr="009446A4">
              <w:rPr>
                <w:rFonts w:hint="cs"/>
                <w:b/>
                <w:bCs/>
                <w:sz w:val="26"/>
                <w:szCs w:val="26"/>
                <w:rtl/>
              </w:rPr>
              <w:t>לפני כבוד השופט אמיר טובי, שופט בכיר</w:t>
            </w:r>
          </w:p>
        </w:tc>
      </w:tr>
      <w:tr w:rsidR="009E3061" w:rsidRPr="009446A4" w14:paraId="34A28FD5" w14:textId="77777777" w:rsidTr="001E2203">
        <w:tblPrEx>
          <w:jc w:val="left"/>
          <w:tblInd w:w="-28" w:type="dxa"/>
          <w:tblLook w:val="01E0" w:firstRow="1" w:lastRow="1" w:firstColumn="1" w:lastColumn="1" w:noHBand="0" w:noVBand="0"/>
        </w:tblPrEx>
        <w:tc>
          <w:tcPr>
            <w:tcW w:w="3240" w:type="dxa"/>
            <w:gridSpan w:val="2"/>
            <w:shd w:val="clear" w:color="auto" w:fill="auto"/>
          </w:tcPr>
          <w:p w14:paraId="240A8B92" w14:textId="77777777" w:rsidR="009E3061" w:rsidRPr="009446A4" w:rsidRDefault="009E3061" w:rsidP="009E3061">
            <w:pPr>
              <w:ind w:left="26"/>
              <w:rPr>
                <w:b/>
                <w:bCs/>
                <w:sz w:val="26"/>
                <w:szCs w:val="26"/>
                <w:rtl/>
              </w:rPr>
            </w:pPr>
            <w:bookmarkStart w:id="1" w:name="FirstAppellant"/>
          </w:p>
          <w:p w14:paraId="43991A69" w14:textId="77777777" w:rsidR="009E3061" w:rsidRPr="009446A4" w:rsidRDefault="009E3061" w:rsidP="009E3061">
            <w:pPr>
              <w:ind w:left="26"/>
              <w:rPr>
                <w:b/>
                <w:bCs/>
                <w:sz w:val="26"/>
                <w:szCs w:val="26"/>
                <w:rtl/>
              </w:rPr>
            </w:pPr>
            <w:r w:rsidRPr="009446A4">
              <w:rPr>
                <w:rFonts w:hint="cs"/>
                <w:b/>
                <w:bCs/>
                <w:sz w:val="26"/>
                <w:szCs w:val="26"/>
                <w:rtl/>
              </w:rPr>
              <w:t>ה</w:t>
            </w:r>
            <w:r w:rsidRPr="009446A4">
              <w:rPr>
                <w:b/>
                <w:bCs/>
                <w:sz w:val="26"/>
                <w:szCs w:val="26"/>
                <w:rtl/>
              </w:rPr>
              <w:t>מאשימה</w:t>
            </w:r>
          </w:p>
        </w:tc>
        <w:tc>
          <w:tcPr>
            <w:tcW w:w="5562" w:type="dxa"/>
            <w:gridSpan w:val="3"/>
            <w:shd w:val="clear" w:color="auto" w:fill="auto"/>
          </w:tcPr>
          <w:p w14:paraId="6396F4BA" w14:textId="77777777" w:rsidR="009E3061" w:rsidRPr="009446A4" w:rsidRDefault="009E3061" w:rsidP="002C7A1D">
            <w:pPr>
              <w:rPr>
                <w:rtl/>
              </w:rPr>
            </w:pPr>
          </w:p>
          <w:p w14:paraId="31376175" w14:textId="77777777" w:rsidR="009E3061" w:rsidRPr="009446A4" w:rsidRDefault="009E3061" w:rsidP="002C7A1D">
            <w:pPr>
              <w:rPr>
                <w:b/>
                <w:bCs/>
                <w:sz w:val="26"/>
                <w:szCs w:val="26"/>
                <w:rtl/>
              </w:rPr>
            </w:pPr>
            <w:r w:rsidRPr="009446A4">
              <w:rPr>
                <w:b/>
                <w:bCs/>
                <w:sz w:val="26"/>
                <w:szCs w:val="26"/>
                <w:rtl/>
              </w:rPr>
              <w:t>מדינת ישראל</w:t>
            </w:r>
          </w:p>
        </w:tc>
      </w:tr>
      <w:bookmarkEnd w:id="1"/>
      <w:tr w:rsidR="009E3061" w:rsidRPr="009446A4" w14:paraId="0226A82A" w14:textId="77777777" w:rsidTr="001E2203">
        <w:tblPrEx>
          <w:jc w:val="left"/>
          <w:tblInd w:w="-28" w:type="dxa"/>
          <w:tblLook w:val="01E0" w:firstRow="1" w:lastRow="1" w:firstColumn="1" w:lastColumn="1" w:noHBand="0" w:noVBand="0"/>
        </w:tblPrEx>
        <w:tc>
          <w:tcPr>
            <w:tcW w:w="8802" w:type="dxa"/>
            <w:gridSpan w:val="5"/>
            <w:shd w:val="clear" w:color="auto" w:fill="auto"/>
          </w:tcPr>
          <w:p w14:paraId="5B74BF69" w14:textId="77777777" w:rsidR="009E3061" w:rsidRPr="009446A4" w:rsidRDefault="009E3061" w:rsidP="009E3061">
            <w:pPr>
              <w:jc w:val="both"/>
              <w:rPr>
                <w:rFonts w:ascii="Arial" w:hAnsi="Arial"/>
                <w:b/>
                <w:bCs/>
                <w:sz w:val="26"/>
                <w:szCs w:val="26"/>
                <w:rtl/>
              </w:rPr>
            </w:pPr>
          </w:p>
          <w:p w14:paraId="28E0019A" w14:textId="77777777" w:rsidR="009E3061" w:rsidRPr="009446A4" w:rsidRDefault="009E3061" w:rsidP="009E3061">
            <w:pPr>
              <w:jc w:val="center"/>
              <w:rPr>
                <w:rFonts w:ascii="Arial" w:hAnsi="Arial"/>
                <w:b/>
                <w:bCs/>
                <w:sz w:val="26"/>
                <w:szCs w:val="26"/>
                <w:rtl/>
              </w:rPr>
            </w:pPr>
            <w:r w:rsidRPr="009446A4">
              <w:rPr>
                <w:rFonts w:ascii="Arial" w:hAnsi="Arial" w:hint="cs"/>
                <w:b/>
                <w:bCs/>
                <w:sz w:val="26"/>
                <w:szCs w:val="26"/>
                <w:rtl/>
              </w:rPr>
              <w:t>נגד</w:t>
            </w:r>
          </w:p>
          <w:p w14:paraId="34AA3E59" w14:textId="77777777" w:rsidR="009E3061" w:rsidRPr="009446A4" w:rsidRDefault="009E3061" w:rsidP="009E3061">
            <w:pPr>
              <w:jc w:val="center"/>
              <w:rPr>
                <w:rFonts w:ascii="Arial" w:hAnsi="Arial"/>
                <w:b/>
                <w:bCs/>
                <w:sz w:val="26"/>
                <w:szCs w:val="26"/>
                <w:rtl/>
              </w:rPr>
            </w:pPr>
          </w:p>
        </w:tc>
      </w:tr>
      <w:tr w:rsidR="009E3061" w:rsidRPr="009446A4" w14:paraId="6CC6AB8B" w14:textId="77777777" w:rsidTr="001E2203">
        <w:tblPrEx>
          <w:jc w:val="left"/>
          <w:tblInd w:w="-28" w:type="dxa"/>
          <w:tblLook w:val="01E0" w:firstRow="1" w:lastRow="1" w:firstColumn="1" w:lastColumn="1" w:noHBand="0" w:noVBand="0"/>
        </w:tblPrEx>
        <w:tc>
          <w:tcPr>
            <w:tcW w:w="3240" w:type="dxa"/>
            <w:gridSpan w:val="2"/>
            <w:shd w:val="clear" w:color="auto" w:fill="auto"/>
          </w:tcPr>
          <w:p w14:paraId="200DFFD8" w14:textId="77777777" w:rsidR="009E3061" w:rsidRPr="009446A4" w:rsidRDefault="009E3061" w:rsidP="009E3061">
            <w:pPr>
              <w:ind w:left="26"/>
              <w:rPr>
                <w:b/>
                <w:bCs/>
                <w:sz w:val="26"/>
                <w:szCs w:val="26"/>
              </w:rPr>
            </w:pPr>
            <w:r w:rsidRPr="009446A4">
              <w:rPr>
                <w:rFonts w:hint="cs"/>
                <w:b/>
                <w:bCs/>
                <w:sz w:val="26"/>
                <w:szCs w:val="26"/>
                <w:rtl/>
              </w:rPr>
              <w:t>ה</w:t>
            </w:r>
            <w:r w:rsidRPr="009446A4">
              <w:rPr>
                <w:b/>
                <w:bCs/>
                <w:sz w:val="26"/>
                <w:szCs w:val="26"/>
                <w:rtl/>
              </w:rPr>
              <w:t>נאשם</w:t>
            </w:r>
          </w:p>
        </w:tc>
        <w:tc>
          <w:tcPr>
            <w:tcW w:w="5562" w:type="dxa"/>
            <w:gridSpan w:val="3"/>
            <w:shd w:val="clear" w:color="auto" w:fill="auto"/>
          </w:tcPr>
          <w:p w14:paraId="541CB7DE" w14:textId="77777777" w:rsidR="009E3061" w:rsidRPr="009446A4" w:rsidRDefault="009E3061" w:rsidP="002C7A1D">
            <w:pPr>
              <w:rPr>
                <w:b/>
                <w:bCs/>
                <w:sz w:val="26"/>
                <w:szCs w:val="26"/>
                <w:rtl/>
              </w:rPr>
            </w:pPr>
            <w:r w:rsidRPr="009446A4">
              <w:rPr>
                <w:b/>
                <w:bCs/>
                <w:sz w:val="26"/>
                <w:szCs w:val="26"/>
                <w:rtl/>
              </w:rPr>
              <w:t xml:space="preserve">אורן אסרף, ת"ז </w:t>
            </w:r>
            <w:r w:rsidR="009446A4">
              <w:rPr>
                <w:b/>
                <w:bCs/>
                <w:sz w:val="26"/>
                <w:szCs w:val="26"/>
              </w:rPr>
              <w:t>xxxxxxxxxx</w:t>
            </w:r>
            <w:r w:rsidRPr="009446A4">
              <w:rPr>
                <w:b/>
                <w:bCs/>
                <w:sz w:val="26"/>
                <w:szCs w:val="26"/>
                <w:rtl/>
              </w:rPr>
              <w:t>(עציר)</w:t>
            </w:r>
          </w:p>
        </w:tc>
      </w:tr>
    </w:tbl>
    <w:p w14:paraId="1CAFE2EB" w14:textId="77777777" w:rsidR="009E3061" w:rsidRPr="009446A4" w:rsidRDefault="009E3061" w:rsidP="009E3061">
      <w:pPr>
        <w:rPr>
          <w:rtl/>
        </w:rPr>
      </w:pPr>
    </w:p>
    <w:p w14:paraId="22A108BF" w14:textId="77777777" w:rsidR="009E3061" w:rsidRPr="009446A4" w:rsidRDefault="009E3061" w:rsidP="009E3061">
      <w:pPr>
        <w:rPr>
          <w:rFonts w:ascii="Arial" w:hAnsi="Arial"/>
          <w:rtl/>
        </w:rPr>
      </w:pPr>
      <w:r w:rsidRPr="009446A4">
        <w:rPr>
          <w:rFonts w:ascii="Arial" w:hAnsi="Arial" w:hint="cs"/>
          <w:rtl/>
        </w:rPr>
        <w:t>נוכחים:</w:t>
      </w:r>
    </w:p>
    <w:p w14:paraId="16D943C8" w14:textId="77777777" w:rsidR="009E3061" w:rsidRPr="009446A4" w:rsidRDefault="009E3061" w:rsidP="009E3061">
      <w:pPr>
        <w:rPr>
          <w:rFonts w:ascii="Arial" w:hAnsi="Arial"/>
          <w:rtl/>
        </w:rPr>
      </w:pPr>
      <w:bookmarkStart w:id="2" w:name="FirstLawyer"/>
      <w:r w:rsidRPr="009446A4">
        <w:rPr>
          <w:rFonts w:ascii="Arial" w:hAnsi="Arial" w:hint="cs"/>
          <w:rtl/>
        </w:rPr>
        <w:t>ב"כ</w:t>
      </w:r>
      <w:bookmarkEnd w:id="2"/>
      <w:r w:rsidRPr="009446A4">
        <w:rPr>
          <w:rFonts w:ascii="Arial" w:hAnsi="Arial" w:hint="cs"/>
          <w:rtl/>
        </w:rPr>
        <w:t xml:space="preserve"> המאשימה: עו"ד מונא מנסור</w:t>
      </w:r>
    </w:p>
    <w:p w14:paraId="280A1292" w14:textId="77777777" w:rsidR="009E3061" w:rsidRPr="009446A4" w:rsidRDefault="009E3061" w:rsidP="009E3061">
      <w:pPr>
        <w:rPr>
          <w:rFonts w:ascii="Arial" w:hAnsi="Arial"/>
          <w:rtl/>
        </w:rPr>
      </w:pPr>
      <w:r w:rsidRPr="009446A4">
        <w:rPr>
          <w:rFonts w:ascii="Arial" w:hAnsi="Arial" w:hint="cs"/>
          <w:rtl/>
        </w:rPr>
        <w:t>ב"כ הנאשם: עו"ד שושנה גולדשטיין ממשרד יהלי שפרלינג</w:t>
      </w:r>
    </w:p>
    <w:p w14:paraId="25772662" w14:textId="77777777" w:rsidR="001E2203" w:rsidRDefault="009E3061" w:rsidP="009E3061">
      <w:pPr>
        <w:rPr>
          <w:rFonts w:ascii="Arial" w:hAnsi="Arial"/>
          <w:rtl/>
        </w:rPr>
      </w:pPr>
      <w:r w:rsidRPr="009446A4">
        <w:rPr>
          <w:rFonts w:ascii="Arial" w:hAnsi="Arial" w:hint="cs"/>
          <w:rtl/>
        </w:rPr>
        <w:t>הנאשם באמצעות הליווי</w:t>
      </w:r>
    </w:p>
    <w:p w14:paraId="6708520B" w14:textId="77777777" w:rsidR="001E2203" w:rsidRPr="001E2203" w:rsidRDefault="001E2203" w:rsidP="001E2203">
      <w:pPr>
        <w:spacing w:after="120" w:line="240" w:lineRule="exact"/>
        <w:ind w:left="283" w:hanging="283"/>
        <w:jc w:val="both"/>
        <w:rPr>
          <w:rFonts w:ascii="FrankRuehl" w:hAnsi="FrankRuehl" w:cs="FrankRuehl"/>
          <w:rtl/>
        </w:rPr>
      </w:pPr>
    </w:p>
    <w:p w14:paraId="45406509" w14:textId="77777777" w:rsidR="00D91F1A" w:rsidRPr="00D91F1A" w:rsidRDefault="00D91F1A" w:rsidP="00D91F1A">
      <w:pPr>
        <w:spacing w:before="120" w:after="120" w:line="240" w:lineRule="exact"/>
        <w:ind w:left="283" w:hanging="283"/>
        <w:jc w:val="both"/>
        <w:rPr>
          <w:rFonts w:ascii="FrankRuehl" w:hAnsi="FrankRuehl" w:cs="FrankRuehl"/>
          <w:rtl/>
        </w:rPr>
      </w:pPr>
    </w:p>
    <w:p w14:paraId="5270D978" w14:textId="77777777" w:rsidR="00BA734D" w:rsidRDefault="00BA734D" w:rsidP="00BA734D">
      <w:pPr>
        <w:rPr>
          <w:rFonts w:ascii="Arial" w:hAnsi="Arial"/>
          <w:rtl/>
        </w:rPr>
      </w:pPr>
      <w:bookmarkStart w:id="3" w:name="LawTable"/>
      <w:bookmarkEnd w:id="3"/>
    </w:p>
    <w:p w14:paraId="4E53AA35" w14:textId="77777777" w:rsidR="00BA734D" w:rsidRPr="00BA734D" w:rsidRDefault="00BA734D" w:rsidP="00BA734D">
      <w:pPr>
        <w:spacing w:before="120" w:after="120" w:line="240" w:lineRule="exact"/>
        <w:ind w:left="283" w:hanging="283"/>
        <w:jc w:val="both"/>
        <w:rPr>
          <w:rFonts w:ascii="FrankRuehl" w:hAnsi="FrankRuehl" w:cs="FrankRuehl"/>
          <w:rtl/>
        </w:rPr>
      </w:pPr>
    </w:p>
    <w:p w14:paraId="7AB59661" w14:textId="77777777" w:rsidR="00BA734D" w:rsidRPr="00BA734D" w:rsidRDefault="00BA734D" w:rsidP="00BA734D">
      <w:pPr>
        <w:spacing w:before="120" w:after="120" w:line="240" w:lineRule="exact"/>
        <w:ind w:left="283" w:hanging="283"/>
        <w:jc w:val="both"/>
        <w:rPr>
          <w:rFonts w:ascii="FrankRuehl" w:hAnsi="FrankRuehl" w:cs="FrankRuehl"/>
          <w:rtl/>
        </w:rPr>
      </w:pPr>
    </w:p>
    <w:p w14:paraId="2357135B" w14:textId="77777777" w:rsidR="00BA734D" w:rsidRPr="00BA734D" w:rsidRDefault="00BA734D" w:rsidP="00BA734D">
      <w:pPr>
        <w:spacing w:before="120" w:after="120" w:line="240" w:lineRule="exact"/>
        <w:ind w:left="283" w:hanging="283"/>
        <w:jc w:val="both"/>
        <w:rPr>
          <w:rFonts w:ascii="FrankRuehl" w:hAnsi="FrankRuehl" w:cs="FrankRuehl"/>
          <w:rtl/>
        </w:rPr>
      </w:pPr>
      <w:r w:rsidRPr="00BA734D">
        <w:rPr>
          <w:rFonts w:ascii="FrankRuehl" w:hAnsi="FrankRuehl" w:cs="FrankRuehl"/>
          <w:rtl/>
        </w:rPr>
        <w:t xml:space="preserve">חקיקה שאוזכרה: </w:t>
      </w:r>
    </w:p>
    <w:p w14:paraId="5E8E574F" w14:textId="77777777" w:rsidR="00BA734D" w:rsidRPr="00BA734D" w:rsidRDefault="00BA734D" w:rsidP="00BA734D">
      <w:pPr>
        <w:spacing w:before="120" w:after="120" w:line="240" w:lineRule="exact"/>
        <w:ind w:left="283" w:hanging="283"/>
        <w:jc w:val="both"/>
        <w:rPr>
          <w:rFonts w:ascii="FrankRuehl" w:hAnsi="FrankRuehl" w:cs="FrankRuehl"/>
          <w:rtl/>
        </w:rPr>
      </w:pPr>
      <w:hyperlink r:id="rId6" w:history="1">
        <w:r w:rsidRPr="00BA734D">
          <w:rPr>
            <w:rFonts w:ascii="FrankRuehl" w:hAnsi="FrankRuehl" w:cs="FrankRuehl"/>
            <w:color w:val="0000FF"/>
            <w:rtl/>
          </w:rPr>
          <w:t>פקודת הסמים המסוכנים [נוסח חדש], תשל"ג-1973</w:t>
        </w:r>
      </w:hyperlink>
      <w:r w:rsidRPr="00BA734D">
        <w:rPr>
          <w:rFonts w:ascii="FrankRuehl" w:hAnsi="FrankRuehl" w:cs="FrankRuehl"/>
          <w:rtl/>
        </w:rPr>
        <w:t xml:space="preserve">: סע'  </w:t>
      </w:r>
      <w:hyperlink r:id="rId7" w:history="1">
        <w:r w:rsidRPr="00BA734D">
          <w:rPr>
            <w:rFonts w:ascii="FrankRuehl" w:hAnsi="FrankRuehl" w:cs="FrankRuehl"/>
            <w:color w:val="0000FF"/>
            <w:rtl/>
          </w:rPr>
          <w:t>7(א)</w:t>
        </w:r>
      </w:hyperlink>
      <w:r w:rsidRPr="00BA734D">
        <w:rPr>
          <w:rFonts w:ascii="FrankRuehl" w:hAnsi="FrankRuehl" w:cs="FrankRuehl"/>
          <w:rtl/>
        </w:rPr>
        <w:t xml:space="preserve">, </w:t>
      </w:r>
      <w:hyperlink r:id="rId8" w:history="1">
        <w:r w:rsidRPr="00BA734D">
          <w:rPr>
            <w:rFonts w:ascii="FrankRuehl" w:hAnsi="FrankRuehl" w:cs="FrankRuehl"/>
            <w:color w:val="0000FF"/>
            <w:rtl/>
          </w:rPr>
          <w:t>ג</w:t>
        </w:r>
      </w:hyperlink>
      <w:r w:rsidRPr="00BA734D">
        <w:rPr>
          <w:rFonts w:ascii="FrankRuehl" w:hAnsi="FrankRuehl" w:cs="FrankRuehl"/>
          <w:rtl/>
        </w:rPr>
        <w:t xml:space="preserve">, </w:t>
      </w:r>
      <w:hyperlink r:id="rId9" w:history="1">
        <w:r w:rsidRPr="00BA734D">
          <w:rPr>
            <w:rFonts w:ascii="FrankRuehl" w:hAnsi="FrankRuehl" w:cs="FrankRuehl"/>
            <w:color w:val="0000FF"/>
            <w:rtl/>
          </w:rPr>
          <w:t>13</w:t>
        </w:r>
      </w:hyperlink>
      <w:r w:rsidRPr="00BA734D">
        <w:rPr>
          <w:rFonts w:ascii="FrankRuehl" w:hAnsi="FrankRuehl" w:cs="FrankRuehl"/>
          <w:rtl/>
        </w:rPr>
        <w:t xml:space="preserve">, </w:t>
      </w:r>
      <w:hyperlink r:id="rId10" w:history="1">
        <w:r w:rsidRPr="00BA734D">
          <w:rPr>
            <w:rFonts w:ascii="FrankRuehl" w:hAnsi="FrankRuehl" w:cs="FrankRuehl"/>
            <w:color w:val="0000FF"/>
            <w:rtl/>
          </w:rPr>
          <w:t>19א'</w:t>
        </w:r>
      </w:hyperlink>
    </w:p>
    <w:p w14:paraId="15B855F5" w14:textId="77777777" w:rsidR="00BA734D" w:rsidRPr="00BA734D" w:rsidRDefault="00BA734D" w:rsidP="00BA734D">
      <w:pPr>
        <w:spacing w:before="120" w:after="120" w:line="240" w:lineRule="exact"/>
        <w:ind w:left="283" w:hanging="283"/>
        <w:jc w:val="both"/>
        <w:rPr>
          <w:rFonts w:ascii="FrankRuehl" w:hAnsi="FrankRuehl" w:cs="FrankRuehl"/>
          <w:rtl/>
        </w:rPr>
      </w:pPr>
      <w:hyperlink r:id="rId11" w:history="1">
        <w:r w:rsidRPr="00BA734D">
          <w:rPr>
            <w:rFonts w:ascii="FrankRuehl" w:hAnsi="FrankRuehl" w:cs="FrankRuehl"/>
            <w:color w:val="0000FF"/>
            <w:rtl/>
          </w:rPr>
          <w:t>חוק העונשין, תשל"ז-1977</w:t>
        </w:r>
      </w:hyperlink>
      <w:r w:rsidRPr="00BA734D">
        <w:rPr>
          <w:rFonts w:ascii="FrankRuehl" w:hAnsi="FrankRuehl" w:cs="FrankRuehl"/>
          <w:rtl/>
        </w:rPr>
        <w:t xml:space="preserve">: סע'  </w:t>
      </w:r>
      <w:hyperlink r:id="rId12" w:history="1">
        <w:r w:rsidRPr="00BA734D">
          <w:rPr>
            <w:rFonts w:ascii="FrankRuehl" w:hAnsi="FrankRuehl" w:cs="FrankRuehl"/>
            <w:color w:val="0000FF"/>
            <w:rtl/>
          </w:rPr>
          <w:t>25</w:t>
        </w:r>
      </w:hyperlink>
      <w:r w:rsidRPr="00BA734D">
        <w:rPr>
          <w:rFonts w:ascii="FrankRuehl" w:hAnsi="FrankRuehl" w:cs="FrankRuehl"/>
          <w:rtl/>
        </w:rPr>
        <w:t xml:space="preserve">, </w:t>
      </w:r>
      <w:hyperlink r:id="rId13" w:history="1">
        <w:r w:rsidRPr="00BA734D">
          <w:rPr>
            <w:rFonts w:ascii="FrankRuehl" w:hAnsi="FrankRuehl" w:cs="FrankRuehl"/>
            <w:color w:val="0000FF"/>
            <w:rtl/>
          </w:rPr>
          <w:t>29</w:t>
        </w:r>
      </w:hyperlink>
    </w:p>
    <w:p w14:paraId="5BC64CD4" w14:textId="77777777" w:rsidR="00BA734D" w:rsidRPr="00BA734D" w:rsidRDefault="00BA734D" w:rsidP="00BA734D">
      <w:pPr>
        <w:rPr>
          <w:rFonts w:ascii="Arial" w:hAnsi="Arial"/>
          <w:rtl/>
        </w:rPr>
      </w:pPr>
      <w:bookmarkStart w:id="4" w:name="LawTable_End"/>
      <w:bookmarkEnd w:id="4"/>
    </w:p>
    <w:p w14:paraId="617E3D07" w14:textId="77777777" w:rsidR="009E3061" w:rsidRPr="00D91F1A" w:rsidRDefault="009E3061" w:rsidP="00D91F1A">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3061" w14:paraId="01C58FC3" w14:textId="77777777" w:rsidTr="009E3061">
        <w:trPr>
          <w:trHeight w:val="355"/>
          <w:jc w:val="center"/>
        </w:trPr>
        <w:tc>
          <w:tcPr>
            <w:tcW w:w="8820" w:type="dxa"/>
            <w:tcBorders>
              <w:top w:val="nil"/>
              <w:left w:val="nil"/>
              <w:bottom w:val="nil"/>
              <w:right w:val="nil"/>
            </w:tcBorders>
            <w:shd w:val="clear" w:color="auto" w:fill="auto"/>
          </w:tcPr>
          <w:p w14:paraId="42F8117B" w14:textId="77777777" w:rsidR="009446A4" w:rsidRPr="009446A4" w:rsidRDefault="009446A4" w:rsidP="009446A4">
            <w:pPr>
              <w:jc w:val="center"/>
              <w:rPr>
                <w:rFonts w:ascii="Arial" w:hAnsi="Arial" w:cs="FrankRuehl"/>
                <w:b/>
                <w:bCs/>
                <w:sz w:val="32"/>
                <w:szCs w:val="32"/>
                <w:u w:val="single"/>
                <w:rtl/>
              </w:rPr>
            </w:pPr>
            <w:bookmarkStart w:id="5" w:name="PsakDin" w:colFirst="0" w:colLast="0"/>
            <w:bookmarkEnd w:id="0"/>
            <w:r w:rsidRPr="009446A4">
              <w:rPr>
                <w:rFonts w:ascii="Arial" w:hAnsi="Arial" w:cs="FrankRuehl"/>
                <w:b/>
                <w:bCs/>
                <w:sz w:val="32"/>
                <w:szCs w:val="32"/>
                <w:u w:val="single"/>
                <w:rtl/>
              </w:rPr>
              <w:t>גזר דין</w:t>
            </w:r>
          </w:p>
          <w:p w14:paraId="41C370A7" w14:textId="77777777" w:rsidR="009E3061" w:rsidRPr="009446A4" w:rsidRDefault="009E3061" w:rsidP="009446A4">
            <w:pPr>
              <w:jc w:val="center"/>
              <w:rPr>
                <w:rFonts w:ascii="Arial" w:hAnsi="Arial" w:cs="FrankRuehl"/>
                <w:bCs/>
                <w:sz w:val="32"/>
                <w:szCs w:val="32"/>
                <w:u w:val="single"/>
                <w:rtl/>
              </w:rPr>
            </w:pPr>
          </w:p>
        </w:tc>
      </w:tr>
      <w:bookmarkEnd w:id="5"/>
    </w:tbl>
    <w:p w14:paraId="1328DE32" w14:textId="77777777" w:rsidR="009E3061" w:rsidRDefault="009E3061" w:rsidP="009E3061">
      <w:pPr>
        <w:rPr>
          <w:rFonts w:ascii="Arial" w:hAnsi="Arial"/>
          <w:rtl/>
        </w:rPr>
      </w:pPr>
    </w:p>
    <w:p w14:paraId="21E0DA0B" w14:textId="77777777" w:rsidR="009E3061" w:rsidRPr="00B05847" w:rsidRDefault="009E3061" w:rsidP="009E3061">
      <w:pPr>
        <w:rPr>
          <w:rFonts w:ascii="Arial" w:hAnsi="Arial"/>
          <w:rtl/>
        </w:rPr>
      </w:pPr>
    </w:p>
    <w:p w14:paraId="4A19931D"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Pr>
      </w:pPr>
      <w:r w:rsidRPr="00B82EBA">
        <w:rPr>
          <w:rFonts w:ascii="David" w:eastAsia="Calibri" w:hAnsi="David" w:hint="cs"/>
          <w:u w:val="single"/>
          <w:rtl/>
        </w:rPr>
        <w:t>ההליך וכתב האישום</w:t>
      </w:r>
    </w:p>
    <w:p w14:paraId="522DA570"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tl/>
        </w:rPr>
      </w:pPr>
    </w:p>
    <w:p w14:paraId="3C3094BA"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1.</w:t>
      </w:r>
      <w:r w:rsidRPr="00B82EBA">
        <w:rPr>
          <w:rFonts w:ascii="David" w:eastAsia="Calibri" w:hAnsi="David" w:hint="cs"/>
          <w:rtl/>
        </w:rPr>
        <w:tab/>
      </w:r>
      <w:bookmarkStart w:id="6" w:name="ABSTRACT_START"/>
      <w:bookmarkEnd w:id="6"/>
      <w:r w:rsidRPr="00B82EBA">
        <w:rPr>
          <w:rFonts w:ascii="David" w:eastAsia="Calibri" w:hAnsi="David" w:hint="cs"/>
          <w:rtl/>
        </w:rPr>
        <w:t xml:space="preserve">הנאשם הורשע על סמך הודאתו, במסגרת הסדר טיעון שכלל את תיקון כתב האישום, בעבירות שלהלן: ניסיון יבוא סמים עבירה לפי </w:t>
      </w:r>
      <w:hyperlink r:id="rId14" w:history="1">
        <w:r w:rsidR="001E2203" w:rsidRPr="001E2203">
          <w:rPr>
            <w:rStyle w:val="Hyperlink"/>
            <w:rFonts w:ascii="David" w:eastAsia="Calibri" w:hAnsi="David" w:hint="cs"/>
            <w:rtl/>
          </w:rPr>
          <w:t>סעיף</w:t>
        </w:r>
        <w:r w:rsidR="001E2203" w:rsidRPr="001E2203">
          <w:rPr>
            <w:rStyle w:val="Hyperlink"/>
            <w:rFonts w:ascii="David" w:eastAsia="Calibri" w:hAnsi="David"/>
            <w:rtl/>
          </w:rPr>
          <w:t xml:space="preserve"> 13</w:t>
        </w:r>
      </w:hyperlink>
      <w:r w:rsidRPr="00B82EBA">
        <w:rPr>
          <w:rFonts w:ascii="David" w:eastAsia="Calibri" w:hAnsi="David" w:hint="cs"/>
          <w:rtl/>
        </w:rPr>
        <w:t xml:space="preserve"> + </w:t>
      </w:r>
      <w:hyperlink r:id="rId15" w:history="1">
        <w:r w:rsidR="001E2203" w:rsidRPr="001E2203">
          <w:rPr>
            <w:rStyle w:val="Hyperlink"/>
            <w:rFonts w:ascii="David" w:eastAsia="Calibri" w:hAnsi="David"/>
            <w:rtl/>
          </w:rPr>
          <w:t>19א'</w:t>
        </w:r>
      </w:hyperlink>
      <w:r w:rsidRPr="00B82EBA">
        <w:rPr>
          <w:rFonts w:ascii="David" w:eastAsia="Calibri" w:hAnsi="David" w:hint="cs"/>
          <w:rtl/>
        </w:rPr>
        <w:t xml:space="preserve"> ל</w:t>
      </w:r>
      <w:hyperlink r:id="rId16" w:history="1">
        <w:r w:rsidR="009446A4" w:rsidRPr="009446A4">
          <w:rPr>
            <w:rFonts w:ascii="David" w:eastAsia="Calibri" w:hAnsi="David"/>
            <w:color w:val="0000FF"/>
            <w:u w:val="single"/>
            <w:rtl/>
          </w:rPr>
          <w:t>פקודת הסמים המסוכנים</w:t>
        </w:r>
      </w:hyperlink>
      <w:r w:rsidRPr="00B82EBA">
        <w:rPr>
          <w:rFonts w:ascii="David" w:eastAsia="Calibri" w:hAnsi="David" w:hint="cs"/>
          <w:rtl/>
        </w:rPr>
        <w:t xml:space="preserve"> [נוסח חדש], התשל"ג – 1973 (להלן: "פקודת הסמים") + </w:t>
      </w:r>
      <w:hyperlink r:id="rId17" w:history="1">
        <w:r w:rsidR="001E2203" w:rsidRPr="001E2203">
          <w:rPr>
            <w:rStyle w:val="Hyperlink"/>
            <w:rFonts w:ascii="David" w:eastAsia="Calibri" w:hAnsi="David" w:hint="cs"/>
            <w:rtl/>
          </w:rPr>
          <w:t>סעיף</w:t>
        </w:r>
        <w:r w:rsidR="001E2203" w:rsidRPr="001E2203">
          <w:rPr>
            <w:rStyle w:val="Hyperlink"/>
            <w:rFonts w:ascii="David" w:eastAsia="Calibri" w:hAnsi="David"/>
            <w:rtl/>
          </w:rPr>
          <w:t xml:space="preserve"> 29</w:t>
        </w:r>
      </w:hyperlink>
      <w:r w:rsidRPr="00B82EBA">
        <w:rPr>
          <w:rFonts w:ascii="David" w:eastAsia="Calibri" w:hAnsi="David" w:hint="cs"/>
          <w:rtl/>
        </w:rPr>
        <w:t xml:space="preserve"> ל</w:t>
      </w:r>
      <w:hyperlink r:id="rId18" w:history="1">
        <w:r w:rsidR="009446A4" w:rsidRPr="009446A4">
          <w:rPr>
            <w:rFonts w:ascii="David" w:eastAsia="Calibri" w:hAnsi="David"/>
            <w:color w:val="0000FF"/>
            <w:u w:val="single"/>
            <w:rtl/>
          </w:rPr>
          <w:t>חוק העונשין</w:t>
        </w:r>
      </w:hyperlink>
      <w:r w:rsidRPr="00B82EBA">
        <w:rPr>
          <w:rFonts w:ascii="David" w:eastAsia="Calibri" w:hAnsi="David" w:hint="cs"/>
          <w:rtl/>
        </w:rPr>
        <w:t xml:space="preserve">, התשל"ז – 1977 (להלן: "חוק העונשין"); ניסיון להחזקת סם מסוכן שלא לצריכה עצמית, עבירה לפי </w:t>
      </w:r>
      <w:hyperlink r:id="rId19" w:history="1">
        <w:r w:rsidR="001E2203" w:rsidRPr="001E2203">
          <w:rPr>
            <w:rStyle w:val="Hyperlink"/>
            <w:rFonts w:ascii="David" w:eastAsia="Calibri" w:hAnsi="David" w:hint="cs"/>
            <w:rtl/>
          </w:rPr>
          <w:t>סעיף</w:t>
        </w:r>
        <w:r w:rsidR="001E2203" w:rsidRPr="001E2203">
          <w:rPr>
            <w:rStyle w:val="Hyperlink"/>
            <w:rFonts w:ascii="David" w:eastAsia="Calibri" w:hAnsi="David"/>
            <w:rtl/>
          </w:rPr>
          <w:t xml:space="preserve"> 7(א)</w:t>
        </w:r>
      </w:hyperlink>
      <w:r w:rsidRPr="00B82EBA">
        <w:rPr>
          <w:rFonts w:ascii="David" w:eastAsia="Calibri" w:hAnsi="David" w:hint="cs"/>
          <w:rtl/>
        </w:rPr>
        <w:t xml:space="preserve"> + (</w:t>
      </w:r>
      <w:hyperlink r:id="rId20" w:history="1">
        <w:r w:rsidR="001E2203" w:rsidRPr="001E2203">
          <w:rPr>
            <w:rStyle w:val="Hyperlink"/>
            <w:rFonts w:ascii="David" w:eastAsia="Calibri" w:hAnsi="David" w:hint="cs"/>
            <w:rtl/>
          </w:rPr>
          <w:t>ג</w:t>
        </w:r>
      </w:hyperlink>
      <w:r w:rsidRPr="00B82EBA">
        <w:rPr>
          <w:rFonts w:ascii="David" w:eastAsia="Calibri" w:hAnsi="David" w:hint="cs"/>
          <w:rtl/>
        </w:rPr>
        <w:t>) רישא לפקודת הסמים +</w:t>
      </w:r>
      <w:hyperlink r:id="rId21" w:history="1">
        <w:r w:rsidR="001E2203" w:rsidRPr="001E2203">
          <w:rPr>
            <w:rStyle w:val="Hyperlink"/>
            <w:rFonts w:ascii="David" w:eastAsia="Calibri" w:hAnsi="David" w:hint="cs"/>
            <w:rtl/>
          </w:rPr>
          <w:t>סעיף</w:t>
        </w:r>
        <w:r w:rsidR="001E2203" w:rsidRPr="001E2203">
          <w:rPr>
            <w:rStyle w:val="Hyperlink"/>
            <w:rFonts w:ascii="David" w:eastAsia="Calibri" w:hAnsi="David"/>
            <w:rtl/>
          </w:rPr>
          <w:t xml:space="preserve"> 25</w:t>
        </w:r>
      </w:hyperlink>
      <w:r w:rsidRPr="00B82EBA">
        <w:rPr>
          <w:rFonts w:ascii="David" w:eastAsia="Calibri" w:hAnsi="David" w:hint="cs"/>
          <w:rtl/>
        </w:rPr>
        <w:t xml:space="preserve"> לחוק העונשין והחזקת סם מסוכן שלא לצריכה עצמית, עבירה לפי סעיף </w:t>
      </w:r>
      <w:hyperlink r:id="rId22" w:history="1">
        <w:r w:rsidR="001E2203" w:rsidRPr="001E2203">
          <w:rPr>
            <w:rStyle w:val="Hyperlink"/>
            <w:rFonts w:ascii="David" w:eastAsia="Calibri" w:hAnsi="David"/>
            <w:rtl/>
          </w:rPr>
          <w:t>7(א) + (ג)</w:t>
        </w:r>
      </w:hyperlink>
      <w:r w:rsidRPr="00B82EBA">
        <w:rPr>
          <w:rFonts w:ascii="David" w:eastAsia="Calibri" w:hAnsi="David" w:hint="cs"/>
          <w:rtl/>
        </w:rPr>
        <w:t xml:space="preserve"> רישא לפקודת הסמים. </w:t>
      </w:r>
    </w:p>
    <w:p w14:paraId="2EC671A6"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p>
    <w:p w14:paraId="0E02AB20"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lastRenderedPageBreak/>
        <w:tab/>
        <w:t xml:space="preserve">הסדר הטיעון שסומן ה/1 כלל הסכמה עונשית, לפיה יעתרו הצדדים במשותף להטיל על הנאשם 6.5 שנות מאסר לריצוי בפועל. לא הושג הסדר לגבי יתר רכיבי הענישה והוסכם כי לעניין זה יטען כל צד את טענותיו באופן חופשי. </w:t>
      </w:r>
    </w:p>
    <w:p w14:paraId="176B987C"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15C586D2"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cs="Arial"/>
          <w:rtl/>
        </w:rPr>
      </w:pPr>
      <w:r w:rsidRPr="00B82EBA">
        <w:rPr>
          <w:rFonts w:ascii="David" w:eastAsia="Calibri" w:hAnsi="David" w:hint="cs"/>
          <w:rtl/>
        </w:rPr>
        <w:t>2.</w:t>
      </w:r>
      <w:r w:rsidRPr="00B82EBA">
        <w:rPr>
          <w:rFonts w:ascii="David" w:eastAsia="Calibri" w:hAnsi="David" w:hint="cs"/>
          <w:rtl/>
        </w:rPr>
        <w:tab/>
        <w:t>בעובדות כתב האישום המתוקן (להלן: "כתב האישום") נאמר כי במועד שאינו ידוע במדויק למאשימה, בסמוך למועדים המפורטים בכתב האישום, תיאם הנאשם עם אחר או אחרים שזהותם אינה ידועה למאשימה, לייבא סם מסוכן מסוג קוקאין במשקל העולה על 7.994 ק"ג נטו (להלן: "הסמים") מקולומביה לישראל, באופן שהאחר ישלח לישראל את הסמים מקולומביה, כאשר הסמים יוכנסו לתוך שקיות והאחר ידווח על הסמים כתוסף ויטמין ויישלח את הסמים אל הנאשם, תוך רישום שם וכתובת בדויים, באמצעות חברת המשל</w:t>
      </w:r>
      <w:r>
        <w:rPr>
          <w:rFonts w:ascii="David" w:eastAsia="Calibri" w:hAnsi="David" w:hint="cs"/>
          <w:rtl/>
        </w:rPr>
        <w:t>ו</w:t>
      </w:r>
      <w:r w:rsidRPr="00B82EBA">
        <w:rPr>
          <w:rFonts w:ascii="David" w:eastAsia="Calibri" w:hAnsi="David" w:hint="cs"/>
          <w:rtl/>
        </w:rPr>
        <w:t xml:space="preserve">חים </w:t>
      </w:r>
      <w:r w:rsidRPr="00B82EBA">
        <w:rPr>
          <w:rFonts w:ascii="David" w:eastAsia="Calibri" w:hAnsi="David" w:cs="Arial"/>
          <w:lang w:bidi="ar-LB"/>
        </w:rPr>
        <w:t>DHL</w:t>
      </w:r>
      <w:r w:rsidRPr="00B82EBA">
        <w:rPr>
          <w:rFonts w:ascii="David" w:eastAsia="Calibri" w:hAnsi="David" w:cs="Arial"/>
          <w:rtl/>
        </w:rPr>
        <w:t>.</w:t>
      </w:r>
    </w:p>
    <w:p w14:paraId="55D1DB7D"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6EDE22E6"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 xml:space="preserve">בהתאם לסיכום הנ"ל, נשלחו הסמים מקולומביה לישראל ביום 19.8.2021, כשהם ארוזים בתוך 18 שקיות בחבילה הממוענת ל- </w:t>
      </w:r>
      <w:r w:rsidRPr="00B82EBA">
        <w:rPr>
          <w:rFonts w:ascii="David" w:eastAsia="Calibri" w:hAnsi="David" w:cs="Arial"/>
          <w:lang w:bidi="ar-LB"/>
        </w:rPr>
        <w:t>Yuval Zaidman</w:t>
      </w:r>
      <w:r w:rsidRPr="00B82EBA">
        <w:rPr>
          <w:rFonts w:ascii="David" w:eastAsia="Calibri" w:hAnsi="David" w:hint="cs"/>
          <w:rtl/>
        </w:rPr>
        <w:t xml:space="preserve"> ועליה מופיעים הכתובת: רחוב שטרית 12 , חיפה ומספר טלפון בו החזיק הנאשם. </w:t>
      </w:r>
    </w:p>
    <w:p w14:paraId="5AEDBF40"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6DCED117"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 xml:space="preserve">בתאריך 21.8.2021 אותרה החבילה שהכילה את הסמים, על ידי רשויות המכס בגרמניה, בדרכה מקולומביה לישראל. רשויות המכס בגרמניה פתחו את החבילה והוציאו מתוכה 2 שקיות המכילות חומר החשוד כסם מסוכן מסוג קוקאין במשקל 1.063 ק"ג לצורך בקרה ומעקב והשאירו בחבילה 16 שקיות המכילות סם במשקל 7.994 ק"ג נטו. החבילה הועברה בגרמניה, ע"י נציגי המכס הגרמנים, לידי רשויות החוק בישראל ביום 26.8.021. </w:t>
      </w:r>
    </w:p>
    <w:p w14:paraId="32384D34"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34F68275"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3.</w:t>
      </w:r>
      <w:r w:rsidRPr="00B82EBA">
        <w:rPr>
          <w:rFonts w:ascii="David" w:eastAsia="Calibri" w:hAnsi="David" w:hint="cs"/>
          <w:rtl/>
        </w:rPr>
        <w:tab/>
        <w:t xml:space="preserve">בין התאריכים 27.8.2021 – 26.8.2021 העבירו נציגי משטרת ישראל את החבילה כשבתוכה הסם מגרמניה לישראל. </w:t>
      </w:r>
    </w:p>
    <w:p w14:paraId="6FF78FAD"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074FE380"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cs="Arial"/>
          <w:rtl/>
          <w:lang w:bidi="ar-LB"/>
        </w:rPr>
      </w:pPr>
      <w:r w:rsidRPr="00B82EBA">
        <w:rPr>
          <w:rFonts w:ascii="David" w:eastAsia="Calibri" w:hAnsi="David" w:hint="cs"/>
          <w:rtl/>
        </w:rPr>
        <w:tab/>
        <w:t>בהמשך לאמור, ובמטרה לחשוף את מייבאי הסם ובעליו, פתחו שוטרי משטרת ישראל את החבילה, הוציאו את הסם מתוכה והכניס</w:t>
      </w:r>
      <w:r>
        <w:rPr>
          <w:rFonts w:ascii="David" w:eastAsia="Calibri" w:hAnsi="David" w:hint="cs"/>
          <w:rtl/>
        </w:rPr>
        <w:t>ו</w:t>
      </w:r>
      <w:r w:rsidRPr="00B82EBA">
        <w:rPr>
          <w:rFonts w:ascii="David" w:eastAsia="Calibri" w:hAnsi="David" w:hint="cs"/>
          <w:rtl/>
        </w:rPr>
        <w:t xml:space="preserve"> לתוכה חומר הנחזה להיות סם מסוכן. השוטרים סגרו את החבילה ופעלו להעברתה לחברת </w:t>
      </w:r>
      <w:r w:rsidRPr="00B82EBA">
        <w:rPr>
          <w:rFonts w:ascii="David" w:eastAsia="Calibri" w:hAnsi="David" w:cs="Arial"/>
          <w:lang w:bidi="ar-LB"/>
        </w:rPr>
        <w:t>DHL</w:t>
      </w:r>
      <w:r w:rsidRPr="00B82EBA">
        <w:rPr>
          <w:rFonts w:ascii="David" w:eastAsia="Calibri" w:hAnsi="David" w:cs="Arial"/>
          <w:rtl/>
        </w:rPr>
        <w:t>.</w:t>
      </w:r>
      <w:r w:rsidRPr="00B82EBA">
        <w:rPr>
          <w:rFonts w:ascii="David" w:eastAsia="Calibri" w:hAnsi="David" w:hint="cs"/>
          <w:rtl/>
        </w:rPr>
        <w:t xml:space="preserve"> </w:t>
      </w:r>
    </w:p>
    <w:p w14:paraId="1ED75E86"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Pr>
      </w:pPr>
    </w:p>
    <w:p w14:paraId="4751F6EC"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 xml:space="preserve">בתקופה שבין 13.9.2021 – 9.9.2021 בדק הנאשם, באמצעות המשיבון הקולי, ונציגי חברת </w:t>
      </w:r>
      <w:r w:rsidRPr="00B82EBA">
        <w:rPr>
          <w:rFonts w:ascii="David" w:eastAsia="Calibri" w:hAnsi="David" w:cs="Arial"/>
          <w:lang w:bidi="ar-LB"/>
        </w:rPr>
        <w:t>DHL</w:t>
      </w:r>
      <w:r w:rsidRPr="00B82EBA">
        <w:rPr>
          <w:rFonts w:ascii="David" w:eastAsia="Calibri" w:hAnsi="David" w:cs="Arial"/>
          <w:rtl/>
        </w:rPr>
        <w:t xml:space="preserve"> </w:t>
      </w:r>
      <w:r w:rsidRPr="00B82EBA">
        <w:rPr>
          <w:rFonts w:ascii="David" w:eastAsia="Calibri" w:hAnsi="David" w:hint="cs"/>
          <w:rtl/>
        </w:rPr>
        <w:t xml:space="preserve">במספר הזדמנויות את סטאטוס החבילה, תוך שהוא מתחזה בכזב ליובל זיידמן ווידא כי החבילה, בה הסם, הגיעה לסניף חברת </w:t>
      </w:r>
      <w:r w:rsidRPr="00B82EBA">
        <w:rPr>
          <w:rFonts w:ascii="David" w:eastAsia="Calibri" w:hAnsi="David" w:cs="Arial"/>
          <w:lang w:bidi="ar-LB"/>
        </w:rPr>
        <w:t>DHL</w:t>
      </w:r>
      <w:r w:rsidRPr="00B82EBA">
        <w:rPr>
          <w:rFonts w:ascii="David" w:eastAsia="Calibri" w:hAnsi="David" w:hint="cs"/>
          <w:rtl/>
        </w:rPr>
        <w:t xml:space="preserve"> בפארק מבוא כרמל, יוקנעם משם הוא אמור היה לקחת את החבילה. </w:t>
      </w:r>
    </w:p>
    <w:p w14:paraId="2E7A9713"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3002777D"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lastRenderedPageBreak/>
        <w:tab/>
        <w:t xml:space="preserve">ביום 12.9.2021 שילם הנאשם לחברת </w:t>
      </w:r>
      <w:r w:rsidRPr="00B82EBA">
        <w:rPr>
          <w:rFonts w:ascii="David" w:eastAsia="Calibri" w:hAnsi="David" w:cs="Arial"/>
          <w:lang w:bidi="ar-LB"/>
        </w:rPr>
        <w:t>DHL</w:t>
      </w:r>
      <w:r w:rsidRPr="00B82EBA">
        <w:rPr>
          <w:rFonts w:ascii="David" w:eastAsia="Calibri" w:hAnsi="David" w:hint="cs"/>
          <w:rtl/>
        </w:rPr>
        <w:t xml:space="preserve"> עבור משלוח החבילה סך של 169.06 ₪ בעסקה טלפונית, באמצעות כרטיס חיוב ע"ש מיכאל ליסיצין, וזאת בכוונה למנוע מרשויות החוק לזהותו. </w:t>
      </w:r>
    </w:p>
    <w:p w14:paraId="69AECA1A"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718C4386"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 xml:space="preserve">בתאריך 13.9.2021 הגיע הנאשם באמצעות רכבו לסניף חברת </w:t>
      </w:r>
      <w:r w:rsidRPr="00B82EBA">
        <w:rPr>
          <w:rFonts w:ascii="David" w:eastAsia="Calibri" w:hAnsi="David" w:cs="Arial"/>
          <w:lang w:bidi="ar-LB"/>
        </w:rPr>
        <w:t>DHL</w:t>
      </w:r>
      <w:r w:rsidRPr="00B82EBA">
        <w:rPr>
          <w:rFonts w:ascii="David" w:eastAsia="Calibri" w:hAnsi="David" w:hint="cs"/>
          <w:rtl/>
        </w:rPr>
        <w:t xml:space="preserve"> ודרש את החבילה. השוטר אייל דבוש שהתייצג כעובד חברת </w:t>
      </w:r>
      <w:r w:rsidRPr="00B82EBA">
        <w:rPr>
          <w:rFonts w:ascii="David" w:eastAsia="Calibri" w:hAnsi="David" w:cs="Arial"/>
          <w:lang w:bidi="ar-LB"/>
        </w:rPr>
        <w:t>DHL</w:t>
      </w:r>
      <w:r w:rsidRPr="00B82EBA">
        <w:rPr>
          <w:rFonts w:ascii="David" w:eastAsia="Calibri" w:hAnsi="David" w:hint="cs"/>
          <w:rtl/>
        </w:rPr>
        <w:t xml:space="preserve"> מסר לנאשם כי החבילה נשלחה לכתובת הרשומה ע"ג החבילה, והנאשם עזב את המקום. </w:t>
      </w:r>
    </w:p>
    <w:p w14:paraId="2D076417"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0F979C4D"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בהמשך אותו היום, ולאחר שהנאשם תיאם טלפונית מול השוטר עמנואל אדוני, שהתייצ</w:t>
      </w:r>
      <w:r>
        <w:rPr>
          <w:rFonts w:ascii="David" w:eastAsia="Calibri" w:hAnsi="David" w:hint="cs"/>
          <w:rtl/>
        </w:rPr>
        <w:t>ג</w:t>
      </w:r>
      <w:r w:rsidRPr="00B82EBA">
        <w:rPr>
          <w:rFonts w:ascii="David" w:eastAsia="Calibri" w:hAnsi="David" w:hint="cs"/>
          <w:rtl/>
        </w:rPr>
        <w:t xml:space="preserve"> כעובד חברת </w:t>
      </w:r>
      <w:r w:rsidRPr="00B82EBA">
        <w:rPr>
          <w:rFonts w:ascii="David" w:eastAsia="Calibri" w:hAnsi="David" w:cs="Arial"/>
          <w:lang w:bidi="ar-LB"/>
        </w:rPr>
        <w:t>DHL</w:t>
      </w:r>
      <w:r w:rsidRPr="00B82EBA">
        <w:rPr>
          <w:rFonts w:ascii="David" w:eastAsia="Calibri" w:hAnsi="David" w:hint="cs"/>
          <w:rtl/>
        </w:rPr>
        <w:t xml:space="preserve"> נפגשו השניים במתחם ביג בקרית חיים לצורך העברת החבילה לידי הנאשם. הנאשם התחזה בפני השוטר עמנואל אדוני בשם יובל זיידמן ולאחר שהציג בפניו תעודת זהות על שם הנ"ל, בכוונה להונות, קיבל את החבילה לידיו, הכניס אותה לתא המטען ברכב ונסע לדירת מגוריו. </w:t>
      </w:r>
    </w:p>
    <w:p w14:paraId="4653F690"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1E26BBD2"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4.</w:t>
      </w:r>
      <w:r w:rsidRPr="00B82EBA">
        <w:rPr>
          <w:rFonts w:ascii="David" w:eastAsia="Calibri" w:hAnsi="David" w:hint="cs"/>
          <w:rtl/>
        </w:rPr>
        <w:tab/>
        <w:t xml:space="preserve">לאחר הגעת הנאשם לדירתו, הוא פתח את החבילה על מנת לוודא שהשקיות עם הסם נמצאות בתוכה. בשלב זה הגיעו אנשי המשטרה ועצרו את הנאשם. בחיפוש שנערך בדירה נתפס סם מסוכן מסוג קנבוס במשקל 520.1 גרם נטו, אותו החזיק הנאשם שלא לצריכה עצמית וללא היתר ורישיון כדין. </w:t>
      </w:r>
    </w:p>
    <w:p w14:paraId="4F002208"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53267654"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5.</w:t>
      </w:r>
      <w:r w:rsidRPr="00B82EBA">
        <w:rPr>
          <w:rFonts w:ascii="David" w:eastAsia="Calibri" w:hAnsi="David" w:hint="cs"/>
          <w:rtl/>
        </w:rPr>
        <w:tab/>
        <w:t xml:space="preserve">הנאשם, כאמור, הודה במסגרת הסדר טיעון והורשע על סמך הודאתו. </w:t>
      </w:r>
    </w:p>
    <w:p w14:paraId="0596642A"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758D4518"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tl/>
        </w:rPr>
      </w:pPr>
      <w:r w:rsidRPr="00B82EBA">
        <w:rPr>
          <w:rFonts w:ascii="David" w:eastAsia="Calibri" w:hAnsi="David" w:hint="cs"/>
          <w:u w:val="single"/>
          <w:rtl/>
        </w:rPr>
        <w:t>הראיות לעונש</w:t>
      </w:r>
    </w:p>
    <w:p w14:paraId="47A09F82"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tl/>
        </w:rPr>
      </w:pPr>
    </w:p>
    <w:p w14:paraId="78140661"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6.</w:t>
      </w:r>
      <w:r w:rsidRPr="00B82EBA">
        <w:rPr>
          <w:rFonts w:ascii="David" w:eastAsia="Calibri" w:hAnsi="David" w:hint="cs"/>
          <w:rtl/>
        </w:rPr>
        <w:tab/>
        <w:t xml:space="preserve">במסגרת הראיות לעונש הגישה המאשימה את גיליון רישומו הפלילי של הנאשם (מע/1) ממנו עולה כי לחובתו שלוש הרשעות קודמות בעבירות רכוש, סמים (החזקה לצריכה עצמית) והעדר מן השירות שלא ברשות. בנוסף, הוגש תדפיס רישומו התעבורתי המלמד כי לחובתו של הנאשם לא פחות מ- 26 הרשעות בשלל עבירות מתחום התעבורה. </w:t>
      </w:r>
    </w:p>
    <w:p w14:paraId="3345B45F"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1425612E"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7.</w:t>
      </w:r>
      <w:r w:rsidRPr="00B82EBA">
        <w:rPr>
          <w:rFonts w:ascii="David" w:eastAsia="Calibri" w:hAnsi="David" w:hint="cs"/>
          <w:rtl/>
        </w:rPr>
        <w:tab/>
        <w:t xml:space="preserve">מטעם ההגנה לא הוצגו ראיות לעונש. </w:t>
      </w:r>
    </w:p>
    <w:p w14:paraId="790DCBD1"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21511447"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tl/>
        </w:rPr>
      </w:pPr>
      <w:r w:rsidRPr="00B82EBA">
        <w:rPr>
          <w:rFonts w:ascii="David" w:eastAsia="Calibri" w:hAnsi="David" w:hint="cs"/>
          <w:u w:val="single"/>
          <w:rtl/>
        </w:rPr>
        <w:t>טיעוני הצדדים לעונש</w:t>
      </w:r>
    </w:p>
    <w:p w14:paraId="3E83AB4E"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tl/>
        </w:rPr>
      </w:pPr>
    </w:p>
    <w:p w14:paraId="5C4F9C10"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8.</w:t>
      </w:r>
      <w:r w:rsidRPr="00B82EBA">
        <w:rPr>
          <w:rFonts w:ascii="David" w:eastAsia="Calibri" w:hAnsi="David" w:hint="cs"/>
          <w:rtl/>
        </w:rPr>
        <w:tab/>
        <w:t xml:space="preserve">בטיעוניה בקשה המאשימה לאמץ את ההסדר בציינה כי מדובר בהסדר סביר, המביא בחשבון את כלל השיקולים הרלוונטיים, ובכללם כמות הסם, סוגו, חלקו של הנאשם בביצוע העבירה ועברו הפלילי. כן הובאה בחשבון העובדה כי הנאשם חסך בהודאתו שמיעת מספר רב של עדים, לרבות עדים מחו"ל שהיו צריכים להגיע ולהעיד בישראל. </w:t>
      </w:r>
    </w:p>
    <w:p w14:paraId="7522EBA6"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57B73757"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 xml:space="preserve">ביחס ליתר רכיבי הענישה, בקשה המאשימה להשית על הנאשם, מעבר למאסר המוסכם מאסר מותנה ארוך ומרתיע, פסילת רישיונו בפועל ופסילה על תנאי וכן לחייבו בקנס בשים לב לסוג הסם והכמות הגדולה המצוינת בכתב האישום. </w:t>
      </w:r>
    </w:p>
    <w:p w14:paraId="2AD2DE25"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76A10D9A"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9.</w:t>
      </w:r>
      <w:r w:rsidRPr="00B82EBA">
        <w:rPr>
          <w:rFonts w:ascii="David" w:eastAsia="Calibri" w:hAnsi="David" w:hint="cs"/>
          <w:rtl/>
        </w:rPr>
        <w:tab/>
        <w:t xml:space="preserve">ההגנה הצטרפה לבקשת התביעה לאמץ את הסדר הטיעון בהיותו מאוזן וסביר. נאמר כי הנאשם הודה בהזדמנות הראשונה ונטל אחריות על מעשיו ובכך חסך שמיעתו של תיק גדול שבו נדרשו להתייצב עדים מחו"ל, דבר שהיה מעמיס על הקופה הציבורית. לטענת הסנגור חיסכון זה צריך להילקח בחשבון בקביעת גובה הקנס שיוטל על הנאשם. עוד הוסיפה ההגנה כי בסופו של דבר הסמים נתפסו מבלי שהנאשם הפיק מהם רווח כלשהו. נטען כי מצבו הכלכלי של הנאשם קשה, שכן העסק אותו ניהל קרס והוא עתיד להיכנס למאסר לתקופה ארוכה, כאשר אשתו מכלכלת, ללא הצלחה יתרה, את המשפחה שהגיעה לסף עוני. מכאן שכל קנס שייגזר עליו יוטל בפועל על משפחתו ושני ילדיו הקטינים החיים ממילא במצוקה ובעוני. לכן עתר הסנגור להשית על הנאשם קנס מינימאלי, תוך שתקלח בחשבון העובדה כי אין לו עבר פלילי ביבוא או סחר בסמים. </w:t>
      </w:r>
    </w:p>
    <w:p w14:paraId="1B93B6D2"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0CD96318"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 xml:space="preserve">אשר לרישיון הנהיגה, סבורה ההגנה כי אין כל צורך בפסילה שכן לא מדובר בנאשם שנהג תחת השפעת סמים. בנסיבות ניתן להסתפק בפסילה על תנאי. </w:t>
      </w:r>
    </w:p>
    <w:p w14:paraId="0ABB4A2B"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4E18FACF"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tl/>
        </w:rPr>
      </w:pPr>
      <w:r w:rsidRPr="00B82EBA">
        <w:rPr>
          <w:rFonts w:ascii="David" w:eastAsia="Calibri" w:hAnsi="David" w:hint="cs"/>
          <w:u w:val="single"/>
          <w:rtl/>
        </w:rPr>
        <w:t>דברו האחרון של הנאשם</w:t>
      </w:r>
    </w:p>
    <w:p w14:paraId="2F5AB0F7"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tl/>
        </w:rPr>
      </w:pPr>
    </w:p>
    <w:p w14:paraId="4543BE6F"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10.</w:t>
      </w:r>
      <w:r w:rsidRPr="00B82EBA">
        <w:rPr>
          <w:rFonts w:ascii="David" w:eastAsia="Calibri" w:hAnsi="David" w:hint="cs"/>
          <w:rtl/>
        </w:rPr>
        <w:tab/>
        <w:t xml:space="preserve">בדברו האחרון, הביע הנאשם צער על כך שהביא את משפחתו למצב הזה. לדבריו, המצב הכלכלי בבית לא טוב, ואשתו נוטלת הלוואות על מנת לממן את הוצאות המשפט. לכן ביקש להתחשב במצב המשפחה בעת קביעת גובה הקנס. </w:t>
      </w:r>
    </w:p>
    <w:p w14:paraId="52ED85D5"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7D343097"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tl/>
        </w:rPr>
      </w:pPr>
      <w:r w:rsidRPr="00B82EBA">
        <w:rPr>
          <w:rFonts w:ascii="David" w:eastAsia="Calibri" w:hAnsi="David" w:hint="cs"/>
          <w:u w:val="single"/>
          <w:rtl/>
        </w:rPr>
        <w:t>דיון והכרעה</w:t>
      </w:r>
    </w:p>
    <w:p w14:paraId="5639067E"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u w:val="single"/>
          <w:rtl/>
        </w:rPr>
      </w:pPr>
    </w:p>
    <w:p w14:paraId="64BAF081"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11.</w:t>
      </w:r>
      <w:r w:rsidRPr="00B82EBA">
        <w:rPr>
          <w:rFonts w:ascii="David" w:eastAsia="Calibri" w:hAnsi="David" w:hint="cs"/>
          <w:rtl/>
        </w:rPr>
        <w:tab/>
        <w:t xml:space="preserve">בתי המשפט עמדו פעמים רבות על חומרתן של עבירות הסמים, ובפרט עבירות הסחר בסם. חומרה זו נגזרת מנזקיהם הקשים של הסמים הן למשתמשים והן לסביבתם. נפסק כי עבירות אלו מחייבות ענישה מחמירה ומרתיעה, כחלק מהמלחמה בתופעה זו. (ראו לדוגמא: </w:t>
      </w:r>
      <w:hyperlink r:id="rId23" w:history="1">
        <w:r w:rsidR="009446A4" w:rsidRPr="009446A4">
          <w:rPr>
            <w:rFonts w:ascii="David" w:eastAsia="Calibri" w:hAnsi="David"/>
            <w:color w:val="0000FF"/>
            <w:u w:val="single"/>
            <w:rtl/>
          </w:rPr>
          <w:t>ע"פ 4522/18</w:t>
        </w:r>
      </w:hyperlink>
      <w:r w:rsidRPr="00B82EBA">
        <w:rPr>
          <w:rFonts w:ascii="David" w:eastAsia="Calibri" w:hAnsi="David" w:hint="cs"/>
          <w:rtl/>
        </w:rPr>
        <w:t xml:space="preserve"> </w:t>
      </w:r>
      <w:r w:rsidRPr="00B82EBA">
        <w:rPr>
          <w:rFonts w:ascii="David" w:eastAsia="Calibri" w:hAnsi="David" w:hint="cs"/>
          <w:b/>
          <w:bCs/>
          <w:rtl/>
        </w:rPr>
        <w:t>אסבאן נ' מדינת ישראל</w:t>
      </w:r>
      <w:r w:rsidRPr="00B82EBA">
        <w:rPr>
          <w:rFonts w:ascii="David" w:eastAsia="Calibri" w:hAnsi="David" w:hint="cs"/>
          <w:rtl/>
        </w:rPr>
        <w:t xml:space="preserve"> (11.11.2018); </w:t>
      </w:r>
      <w:hyperlink r:id="rId24" w:history="1">
        <w:r w:rsidR="009446A4" w:rsidRPr="009446A4">
          <w:rPr>
            <w:rFonts w:ascii="David" w:eastAsia="Calibri" w:hAnsi="David"/>
            <w:color w:val="0000FF"/>
            <w:u w:val="single"/>
            <w:rtl/>
          </w:rPr>
          <w:t>ע"פ 1945/13</w:t>
        </w:r>
      </w:hyperlink>
      <w:r w:rsidRPr="00B82EBA">
        <w:rPr>
          <w:rFonts w:ascii="David" w:eastAsia="Calibri" w:hAnsi="David" w:hint="cs"/>
          <w:rtl/>
        </w:rPr>
        <w:t xml:space="preserve"> </w:t>
      </w:r>
      <w:r w:rsidRPr="00B82EBA">
        <w:rPr>
          <w:rFonts w:ascii="David" w:eastAsia="Calibri" w:hAnsi="David" w:hint="cs"/>
          <w:b/>
          <w:bCs/>
          <w:rtl/>
        </w:rPr>
        <w:t>עאמר נ' מדינת ישראל</w:t>
      </w:r>
      <w:r w:rsidRPr="00B82EBA">
        <w:rPr>
          <w:rFonts w:ascii="David" w:eastAsia="Calibri" w:hAnsi="David" w:hint="cs"/>
          <w:rtl/>
        </w:rPr>
        <w:t xml:space="preserve"> (5.10.2014); </w:t>
      </w:r>
      <w:hyperlink r:id="rId25" w:history="1">
        <w:r w:rsidR="009446A4" w:rsidRPr="009446A4">
          <w:rPr>
            <w:rFonts w:ascii="David" w:eastAsia="Calibri" w:hAnsi="David"/>
            <w:color w:val="0000FF"/>
            <w:u w:val="single"/>
            <w:rtl/>
          </w:rPr>
          <w:t>ע"פ 2194/14</w:t>
        </w:r>
      </w:hyperlink>
      <w:r w:rsidRPr="00B82EBA">
        <w:rPr>
          <w:rFonts w:ascii="David" w:eastAsia="Calibri" w:hAnsi="David" w:hint="cs"/>
          <w:rtl/>
        </w:rPr>
        <w:t xml:space="preserve"> </w:t>
      </w:r>
      <w:r w:rsidRPr="00B82EBA">
        <w:rPr>
          <w:rFonts w:ascii="David" w:eastAsia="Calibri" w:hAnsi="David" w:hint="cs"/>
          <w:b/>
          <w:bCs/>
          <w:rtl/>
        </w:rPr>
        <w:t xml:space="preserve">בן שמעון נ' מדינת ישראל </w:t>
      </w:r>
      <w:r w:rsidRPr="00B82EBA">
        <w:rPr>
          <w:rFonts w:ascii="David" w:eastAsia="Calibri" w:hAnsi="David" w:hint="cs"/>
          <w:rtl/>
        </w:rPr>
        <w:t>(10.9.2014)). ב</w:t>
      </w:r>
      <w:hyperlink r:id="rId26" w:history="1">
        <w:r w:rsidR="009446A4" w:rsidRPr="009446A4">
          <w:rPr>
            <w:rFonts w:ascii="David" w:eastAsia="Calibri" w:hAnsi="David"/>
            <w:color w:val="0000FF"/>
            <w:u w:val="single"/>
            <w:rtl/>
          </w:rPr>
          <w:t>ע"פ 4592/15</w:t>
        </w:r>
      </w:hyperlink>
      <w:r w:rsidRPr="00B82EBA">
        <w:rPr>
          <w:rFonts w:ascii="David" w:eastAsia="Calibri" w:hAnsi="David" w:hint="cs"/>
          <w:rtl/>
        </w:rPr>
        <w:t xml:space="preserve"> </w:t>
      </w:r>
      <w:r w:rsidRPr="00B82EBA">
        <w:rPr>
          <w:rFonts w:ascii="David" w:eastAsia="Calibri" w:hAnsi="David" w:hint="cs"/>
          <w:b/>
          <w:bCs/>
          <w:rtl/>
        </w:rPr>
        <w:t>פדידה נ' מדינת ישראל</w:t>
      </w:r>
      <w:r w:rsidRPr="00B82EBA">
        <w:rPr>
          <w:rFonts w:ascii="David" w:eastAsia="Calibri" w:hAnsi="David" w:hint="cs"/>
          <w:rtl/>
        </w:rPr>
        <w:t xml:space="preserve"> (8.2.2016) ציין בית המשפט כי "נגע הסמים, והסמים הקשים כבענייננו בפרט, מרעיל לא רק את הצרכנים עצמם, אלא השפעתו הרסנית לחברה הסובבת ככלל. בנגע זה יש להילחם בכל שלביו החל מהפצתו ועד מכירתו והשימוש בו". </w:t>
      </w:r>
    </w:p>
    <w:p w14:paraId="72A971CE"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697FF015"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ב</w:t>
      </w:r>
      <w:hyperlink r:id="rId27" w:history="1">
        <w:r w:rsidR="009446A4" w:rsidRPr="009446A4">
          <w:rPr>
            <w:rFonts w:ascii="David" w:eastAsia="Calibri" w:hAnsi="David"/>
            <w:color w:val="0000FF"/>
            <w:u w:val="single"/>
            <w:rtl/>
          </w:rPr>
          <w:t>ע"פ 4484/05</w:t>
        </w:r>
      </w:hyperlink>
      <w:r w:rsidRPr="00B82EBA">
        <w:rPr>
          <w:rFonts w:ascii="David" w:eastAsia="Calibri" w:hAnsi="David" w:hint="cs"/>
          <w:rtl/>
        </w:rPr>
        <w:t xml:space="preserve"> </w:t>
      </w:r>
      <w:r w:rsidRPr="00B82EBA">
        <w:rPr>
          <w:rFonts w:ascii="David" w:eastAsia="Calibri" w:hAnsi="David" w:hint="cs"/>
          <w:b/>
          <w:bCs/>
          <w:rtl/>
        </w:rPr>
        <w:t>שגב נ' מדינת ישראל</w:t>
      </w:r>
      <w:r w:rsidRPr="00B82EBA">
        <w:rPr>
          <w:rFonts w:ascii="David" w:eastAsia="Calibri" w:hAnsi="David" w:hint="cs"/>
          <w:rtl/>
        </w:rPr>
        <w:t xml:space="preserve"> (8.8.2006) נאמר כי:</w:t>
      </w:r>
    </w:p>
    <w:p w14:paraId="6C2A4665"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2CDB78B2" w14:textId="77777777" w:rsidR="009E3061" w:rsidRPr="00B82EBA" w:rsidRDefault="009E3061" w:rsidP="009E3061">
      <w:pPr>
        <w:tabs>
          <w:tab w:val="left" w:pos="567"/>
          <w:tab w:val="left" w:pos="1134"/>
          <w:tab w:val="left" w:pos="1701"/>
          <w:tab w:val="left" w:pos="2268"/>
        </w:tabs>
        <w:spacing w:line="360" w:lineRule="auto"/>
        <w:ind w:left="1429" w:right="1429"/>
        <w:jc w:val="both"/>
        <w:rPr>
          <w:rFonts w:ascii="Calibri" w:eastAsia="Calibri" w:hAnsi="Calibri"/>
          <w:rtl/>
        </w:rPr>
      </w:pPr>
      <w:r w:rsidRPr="00B82EBA">
        <w:rPr>
          <w:rFonts w:ascii="Calibri" w:eastAsia="Calibri" w:hAnsi="Calibri"/>
          <w:rtl/>
        </w:rPr>
        <w:t>"נגע הסמים מכלה בישראל כל חלקה טובה. כמות המילים שהושמעו באשר לצורך להילחם בנגע זה היא אין סופית. אין לך בית משפט בכל ערכאה שהיא, שלא חזר על 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בהירארכיה באותה פעולה ספציפית שעליה נסוב הדיון, גבוה יותר".</w:t>
      </w:r>
    </w:p>
    <w:p w14:paraId="7AB1FCA2"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1935C6FE"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12.</w:t>
      </w:r>
      <w:r w:rsidRPr="00B82EBA">
        <w:rPr>
          <w:rFonts w:ascii="David" w:eastAsia="Calibri" w:hAnsi="David" w:hint="cs"/>
          <w:rtl/>
        </w:rPr>
        <w:tab/>
        <w:t xml:space="preserve">העיקרון המנחה בענישה הוא עיקרון ההלימה, קרי קיומו של יחס הולם בין חומרת מעשה העבירה בנסיבותיו ומידת אשמו של הנאשם ובין סוג ומידת העונש המוטל עליו. </w:t>
      </w:r>
      <w:r w:rsidRPr="00B82EBA">
        <w:rPr>
          <w:rFonts w:ascii="Calibri" w:eastAsia="Calibri" w:hAnsi="Calibri" w:hint="cs"/>
          <w:rtl/>
        </w:rPr>
        <w:t>סוגיית גזירת הדין בהסדרי טיעון, בגדרם הושגה הסכמה עונשית, לא נכללה באופן מפורש בתיקון 113 ל</w:t>
      </w:r>
      <w:hyperlink r:id="rId28" w:history="1">
        <w:r w:rsidR="009446A4" w:rsidRPr="009446A4">
          <w:rPr>
            <w:rFonts w:ascii="Calibri" w:eastAsia="Calibri" w:hAnsi="Calibri" w:hint="cs"/>
            <w:color w:val="0000FF"/>
            <w:u w:val="single"/>
            <w:rtl/>
          </w:rPr>
          <w:t>חוק</w:t>
        </w:r>
        <w:r w:rsidR="009446A4" w:rsidRPr="009446A4">
          <w:rPr>
            <w:rFonts w:ascii="Calibri" w:eastAsia="Calibri" w:hAnsi="Calibri"/>
            <w:color w:val="0000FF"/>
            <w:u w:val="single"/>
            <w:rtl/>
          </w:rPr>
          <w:t xml:space="preserve"> </w:t>
        </w:r>
        <w:r w:rsidR="009446A4" w:rsidRPr="009446A4">
          <w:rPr>
            <w:rFonts w:ascii="Calibri" w:eastAsia="Calibri" w:hAnsi="Calibri" w:hint="cs"/>
            <w:color w:val="0000FF"/>
            <w:u w:val="single"/>
            <w:rtl/>
          </w:rPr>
          <w:t>העונשין</w:t>
        </w:r>
      </w:hyperlink>
      <w:r w:rsidRPr="00B82EBA">
        <w:rPr>
          <w:rFonts w:ascii="Calibri" w:eastAsia="Calibri" w:hAnsi="Calibri" w:hint="cs"/>
          <w:rtl/>
        </w:rPr>
        <w:t>. בית המשפט עמד על קיומן של שתי גישות ביחס לשאלה באם על בית המשפט לקבוע את מתחם העונש ההולם, בבואו לבחון הסדר טיעון המוצג בפניו. "האחת, עונה על תשובה זו בחיוב והשנייה גורסת כי במקרים מסוימים לא יהא בכך צורך, למשל במקרה בו סבירותו של הטווח המוסכם ברורה על פניה ואינה מעוררת שאלה בדבר חריגה מהסדר הטיעון" (</w:t>
      </w:r>
      <w:hyperlink r:id="rId29" w:history="1">
        <w:r w:rsidR="009446A4" w:rsidRPr="009446A4">
          <w:rPr>
            <w:rFonts w:ascii="Calibri" w:eastAsia="Calibri" w:hAnsi="Calibri" w:hint="cs"/>
            <w:color w:val="0000FF"/>
            <w:u w:val="single"/>
            <w:rtl/>
          </w:rPr>
          <w:t>ע</w:t>
        </w:r>
        <w:r w:rsidR="009446A4" w:rsidRPr="009446A4">
          <w:rPr>
            <w:rFonts w:ascii="Calibri" w:eastAsia="Calibri" w:hAnsi="Calibri"/>
            <w:color w:val="0000FF"/>
            <w:u w:val="single"/>
            <w:rtl/>
          </w:rPr>
          <w:t>"</w:t>
        </w:r>
        <w:r w:rsidR="009446A4" w:rsidRPr="009446A4">
          <w:rPr>
            <w:rFonts w:ascii="Calibri" w:eastAsia="Calibri" w:hAnsi="Calibri" w:hint="cs"/>
            <w:color w:val="0000FF"/>
            <w:u w:val="single"/>
            <w:rtl/>
          </w:rPr>
          <w:t>פ</w:t>
        </w:r>
        <w:r w:rsidR="009446A4" w:rsidRPr="009446A4">
          <w:rPr>
            <w:rFonts w:ascii="Calibri" w:eastAsia="Calibri" w:hAnsi="Calibri"/>
            <w:color w:val="0000FF"/>
            <w:u w:val="single"/>
            <w:rtl/>
          </w:rPr>
          <w:t xml:space="preserve"> 2014/20</w:t>
        </w:r>
      </w:hyperlink>
      <w:r w:rsidRPr="00B82EBA">
        <w:rPr>
          <w:rFonts w:ascii="Calibri" w:eastAsia="Calibri" w:hAnsi="Calibri" w:hint="cs"/>
          <w:rtl/>
        </w:rPr>
        <w:t xml:space="preserve"> </w:t>
      </w:r>
      <w:r w:rsidRPr="00B82EBA">
        <w:rPr>
          <w:rFonts w:ascii="Calibri" w:eastAsia="Calibri" w:hAnsi="Calibri" w:hint="cs"/>
          <w:b/>
          <w:bCs/>
          <w:rtl/>
        </w:rPr>
        <w:t>אנקרי נ' מדינת ישראל</w:t>
      </w:r>
      <w:r w:rsidRPr="00B82EBA">
        <w:rPr>
          <w:rFonts w:ascii="Calibri" w:eastAsia="Calibri" w:hAnsi="Calibri" w:hint="cs"/>
          <w:rtl/>
        </w:rPr>
        <w:t xml:space="preserve"> (19.01.2021)).</w:t>
      </w:r>
    </w:p>
    <w:p w14:paraId="3F1FC6BB"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4117C036"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13.</w:t>
      </w:r>
      <w:r w:rsidRPr="00B82EBA">
        <w:rPr>
          <w:rFonts w:ascii="David" w:eastAsia="Calibri" w:hAnsi="David" w:hint="cs"/>
          <w:rtl/>
        </w:rPr>
        <w:tab/>
        <w:t xml:space="preserve">לדעתי, העונש שהוסכם בין הצדדים בעניינו מצוי בגדר מתחם העונש ההולם ואינו מעורר קושי או צורך בקביעת מתחמי ענישה מדוקדקים. </w:t>
      </w:r>
    </w:p>
    <w:p w14:paraId="4735AE02"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71616D1F"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 xml:space="preserve">הערך החברתי שנפגע מביצוע העבירות בהן הורשע הנאשם הוא בטחונו ושלומו של הציבור, שכן הסמים המופצים בחברה הם רעה חולה המשחיתה כל חלקה טובה וזורעת חורבן בסביבה, גם הרחוקה. הסמים בענייננו הם במדרג גבוהה בהיררכית הסמים, ולכן ההתייחסות העונשית לגבי מי שעוסק בסחר בהם היא מחמירה. </w:t>
      </w:r>
    </w:p>
    <w:p w14:paraId="41A43BC4"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5495B1A2"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14.</w:t>
      </w:r>
      <w:r w:rsidRPr="00B82EBA">
        <w:rPr>
          <w:rFonts w:ascii="David" w:eastAsia="Calibri" w:hAnsi="David" w:hint="cs"/>
          <w:rtl/>
        </w:rPr>
        <w:tab/>
        <w:t>בחינת מדיניות הענישה הנוהגת במקרים דומים מלמדת כי העונש המוסכם בין הצדדים מצוי במתחם הסבירות ועומד ברמת הענישה הנהוגה במקרים דומים. להלן מספר דוגמאות מהשנים האחרונות.</w:t>
      </w:r>
    </w:p>
    <w:p w14:paraId="0DCC6F1E"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76CF8E83"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ב</w:t>
      </w:r>
      <w:hyperlink r:id="rId30" w:history="1">
        <w:r w:rsidR="009446A4" w:rsidRPr="009446A4">
          <w:rPr>
            <w:rFonts w:ascii="David" w:eastAsia="Calibri" w:hAnsi="David"/>
            <w:color w:val="0000FF"/>
            <w:u w:val="single"/>
            <w:rtl/>
          </w:rPr>
          <w:t>ע"פ 671/19</w:t>
        </w:r>
      </w:hyperlink>
      <w:r w:rsidRPr="00B82EBA">
        <w:rPr>
          <w:rFonts w:ascii="David" w:eastAsia="Calibri" w:hAnsi="David" w:hint="cs"/>
          <w:rtl/>
        </w:rPr>
        <w:t xml:space="preserve"> </w:t>
      </w:r>
      <w:r w:rsidRPr="00B82EBA">
        <w:rPr>
          <w:rFonts w:ascii="David" w:eastAsia="Calibri" w:hAnsi="David" w:hint="cs"/>
          <w:b/>
          <w:bCs/>
          <w:rtl/>
        </w:rPr>
        <w:t xml:space="preserve">אבוטבול נ' מדינת ישראל </w:t>
      </w:r>
      <w:r w:rsidRPr="00B82EBA">
        <w:rPr>
          <w:rFonts w:ascii="David" w:eastAsia="Calibri" w:hAnsi="David" w:hint="cs"/>
          <w:rtl/>
        </w:rPr>
        <w:t xml:space="preserve">(7.10.2019) נדון עניינו של מי שהבריח לארץ סם מסוכן מסוג קוקאין בכמות של 6.98 ק"ג והורשע בייבוא לפי </w:t>
      </w:r>
      <w:hyperlink r:id="rId31" w:history="1">
        <w:r w:rsidR="001E2203" w:rsidRPr="001E2203">
          <w:rPr>
            <w:rStyle w:val="Hyperlink"/>
            <w:rFonts w:ascii="David" w:eastAsia="Calibri" w:hAnsi="David" w:hint="cs"/>
            <w:rtl/>
          </w:rPr>
          <w:t>סעיף</w:t>
        </w:r>
        <w:r w:rsidR="001E2203" w:rsidRPr="001E2203">
          <w:rPr>
            <w:rStyle w:val="Hyperlink"/>
            <w:rFonts w:ascii="David" w:eastAsia="Calibri" w:hAnsi="David"/>
            <w:rtl/>
          </w:rPr>
          <w:t xml:space="preserve"> 13</w:t>
        </w:r>
      </w:hyperlink>
      <w:r w:rsidRPr="00B82EBA">
        <w:rPr>
          <w:rFonts w:ascii="David" w:eastAsia="Calibri" w:hAnsi="David" w:hint="cs"/>
          <w:rtl/>
        </w:rPr>
        <w:t xml:space="preserve"> לפקודת הסמים והחזקת סם שלא לצריכה עצמית לפי </w:t>
      </w:r>
      <w:hyperlink r:id="rId32" w:history="1">
        <w:r w:rsidR="001E2203" w:rsidRPr="001E2203">
          <w:rPr>
            <w:rStyle w:val="Hyperlink"/>
            <w:rFonts w:ascii="David" w:eastAsia="Calibri" w:hAnsi="David" w:hint="cs"/>
            <w:rtl/>
          </w:rPr>
          <w:t>סעיף</w:t>
        </w:r>
        <w:r w:rsidR="001E2203" w:rsidRPr="001E2203">
          <w:rPr>
            <w:rStyle w:val="Hyperlink"/>
            <w:rFonts w:ascii="David" w:eastAsia="Calibri" w:hAnsi="David"/>
            <w:rtl/>
          </w:rPr>
          <w:t xml:space="preserve"> 7(א) + (ג)</w:t>
        </w:r>
      </w:hyperlink>
      <w:r w:rsidRPr="00B82EBA">
        <w:rPr>
          <w:rFonts w:ascii="David" w:eastAsia="Calibri" w:hAnsi="David" w:hint="cs"/>
          <w:rtl/>
        </w:rPr>
        <w:t xml:space="preserve"> רישא לפקודה. סוג הסם באותו מקרה זהה לענייננו ואף הכמות קרובה. בית המשפט המחוזי קבע מתחם ענישה הנע בין 4.5 ל- 7.5 שנות מאסר בפועל. בהמשך, ראה בית המשפט המחוזי לחרוג לקולא מהמתחם שקבע בשל טעמי שיקום וגזר על הנאשם שם 50 חודשי מאסר לריצוי בפועל. בית המשפט העליון דחה את הערעור על חומרת העונש. </w:t>
      </w:r>
    </w:p>
    <w:p w14:paraId="139B35C6"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446A9BE9"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ב</w:t>
      </w:r>
      <w:hyperlink r:id="rId33" w:history="1">
        <w:r w:rsidR="009446A4" w:rsidRPr="009446A4">
          <w:rPr>
            <w:rFonts w:ascii="David" w:eastAsia="Calibri" w:hAnsi="David"/>
            <w:color w:val="0000FF"/>
            <w:u w:val="single"/>
            <w:rtl/>
          </w:rPr>
          <w:t>ע"פ 3759/18</w:t>
        </w:r>
      </w:hyperlink>
      <w:r w:rsidRPr="00B82EBA">
        <w:rPr>
          <w:rFonts w:ascii="David" w:eastAsia="Calibri" w:hAnsi="David" w:hint="cs"/>
          <w:rtl/>
        </w:rPr>
        <w:t xml:space="preserve"> </w:t>
      </w:r>
      <w:r w:rsidRPr="00B82EBA">
        <w:rPr>
          <w:rFonts w:ascii="David" w:eastAsia="Calibri" w:hAnsi="David" w:hint="cs"/>
          <w:b/>
          <w:bCs/>
          <w:rtl/>
        </w:rPr>
        <w:t xml:space="preserve">כהן נ' מדינת ישראל </w:t>
      </w:r>
      <w:r w:rsidRPr="00B82EBA">
        <w:rPr>
          <w:rFonts w:ascii="David" w:eastAsia="Calibri" w:hAnsi="David" w:hint="cs"/>
          <w:rtl/>
        </w:rPr>
        <w:t xml:space="preserve">(16.7.2019) נדחה ערעורו של מי שנדון ל- 7 שנות מאסר לאחר שהורשע בייבוא של סם מסוג קוקאין במשקל 3.711 ק"ג. באותו מקרה ניהל הנאשם את משפטו עד תום ולכן נשללה ממנו ההקלה השמורה לנאשמים הנוטלים אחריות על מעשיהם. </w:t>
      </w:r>
    </w:p>
    <w:p w14:paraId="48EC0F36"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23107518"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ב</w:t>
      </w:r>
      <w:hyperlink r:id="rId34" w:history="1">
        <w:r w:rsidR="009446A4" w:rsidRPr="009446A4">
          <w:rPr>
            <w:rFonts w:ascii="David" w:eastAsia="Calibri" w:hAnsi="David"/>
            <w:color w:val="0000FF"/>
            <w:u w:val="single"/>
            <w:rtl/>
          </w:rPr>
          <w:t>ע"פ 1256/18</w:t>
        </w:r>
      </w:hyperlink>
      <w:r w:rsidRPr="00B82EBA">
        <w:rPr>
          <w:rFonts w:ascii="David" w:eastAsia="Calibri" w:hAnsi="David" w:hint="cs"/>
          <w:rtl/>
        </w:rPr>
        <w:t xml:space="preserve"> </w:t>
      </w:r>
      <w:r w:rsidRPr="00B82EBA">
        <w:rPr>
          <w:rFonts w:ascii="David" w:eastAsia="Calibri" w:hAnsi="David" w:hint="cs"/>
          <w:b/>
          <w:bCs/>
          <w:rtl/>
        </w:rPr>
        <w:t>זואדי נ' מדינת ישראל</w:t>
      </w:r>
      <w:r w:rsidRPr="00B82EBA">
        <w:rPr>
          <w:rFonts w:ascii="David" w:eastAsia="Calibri" w:hAnsi="David" w:hint="cs"/>
          <w:rtl/>
        </w:rPr>
        <w:t xml:space="preserve"> (7.6.2018) העמיד בית המשפט העליון את עונשו של המערער על 6 שנות מאסר חלף 6.5 שנגזרו על ידי בית המשפט המחוזי. באותו מקרה מדובר היה במערער שהורשע בייבוא סם מסוכן מסוג קוקאין במשקל 7 ק"ג נטו. </w:t>
      </w:r>
    </w:p>
    <w:p w14:paraId="4968D177"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5538A177"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 xml:space="preserve">בע"פ 31011/20 </w:t>
      </w:r>
      <w:r w:rsidRPr="00B82EBA">
        <w:rPr>
          <w:rFonts w:ascii="David" w:eastAsia="Calibri" w:hAnsi="David" w:hint="cs"/>
          <w:b/>
          <w:bCs/>
          <w:rtl/>
        </w:rPr>
        <w:t>אלפסי נ' מדינת ישראל</w:t>
      </w:r>
      <w:r w:rsidRPr="00B82EBA">
        <w:rPr>
          <w:rFonts w:ascii="David" w:eastAsia="Calibri" w:hAnsi="David" w:hint="cs"/>
          <w:rtl/>
        </w:rPr>
        <w:t xml:space="preserve"> (1.10.2020) אישר בית המשפט העליון עונש בן 24 חודשי מאסר שהוטל על מי שנקבע כי היה חוליה בשרשרת של הברחת סם מסוכן מסוג קוקאין במשקל 2 ק"ג מברזיל לישראל, והורשע בעבירה של ניסיון ייבוא לפי </w:t>
      </w:r>
      <w:hyperlink r:id="rId35" w:history="1">
        <w:r w:rsidR="001E2203" w:rsidRPr="001E2203">
          <w:rPr>
            <w:rStyle w:val="Hyperlink"/>
            <w:rFonts w:ascii="David" w:eastAsia="Calibri" w:hAnsi="David" w:hint="cs"/>
            <w:rtl/>
          </w:rPr>
          <w:t>סעיף</w:t>
        </w:r>
        <w:r w:rsidR="001E2203" w:rsidRPr="001E2203">
          <w:rPr>
            <w:rStyle w:val="Hyperlink"/>
            <w:rFonts w:ascii="David" w:eastAsia="Calibri" w:hAnsi="David"/>
            <w:rtl/>
          </w:rPr>
          <w:t xml:space="preserve"> 13</w:t>
        </w:r>
      </w:hyperlink>
      <w:r w:rsidRPr="00B82EBA">
        <w:rPr>
          <w:rFonts w:ascii="David" w:eastAsia="Calibri" w:hAnsi="David" w:hint="cs"/>
          <w:rtl/>
        </w:rPr>
        <w:t xml:space="preserve"> לפקודת הסמים.</w:t>
      </w:r>
    </w:p>
    <w:p w14:paraId="789726E5"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59BC2922"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15.</w:t>
      </w:r>
      <w:r w:rsidRPr="00B82EBA">
        <w:rPr>
          <w:rFonts w:ascii="David" w:eastAsia="Calibri" w:hAnsi="David" w:hint="cs"/>
          <w:rtl/>
        </w:rPr>
        <w:tab/>
        <w:t xml:space="preserve">הדוגמאות מהפסיקה שהובאו לעיל מלמדות כי העונש המוסכם בין הצדדים בענייננו עומד במבחני האיזון שנקבעו על ידי בית המשפט ואינו חורג מהענישה המקובלת במקרים דומים. </w:t>
      </w:r>
    </w:p>
    <w:p w14:paraId="2282E6A1"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12D669D6"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16.</w:t>
      </w:r>
      <w:r w:rsidRPr="00B82EBA">
        <w:rPr>
          <w:rFonts w:ascii="David" w:eastAsia="Calibri" w:hAnsi="David" w:hint="cs"/>
          <w:rtl/>
        </w:rPr>
        <w:tab/>
        <w:t>לצד כל האמור יש להוסיף שני טעמים המובילים למסקנה כי יש לכבד את ההסדר בין הצדדים ולאמץ את הענישה שהוצגה על ידם.</w:t>
      </w:r>
    </w:p>
    <w:p w14:paraId="46A6E4D3"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0BA54155"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t>ראשית, הודאתו של הנאשם בשלב מוקדם של ההליך מבטאת נטילת אחריות מצדו על מעשיו ונזקפת לזכותו.</w:t>
      </w:r>
    </w:p>
    <w:p w14:paraId="5DC802B7"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5D1D0018" w14:textId="77777777" w:rsidR="009E3061" w:rsidRPr="00B82EBA" w:rsidRDefault="009E3061" w:rsidP="009E3061">
      <w:pPr>
        <w:tabs>
          <w:tab w:val="left" w:pos="567"/>
          <w:tab w:val="left" w:pos="1134"/>
          <w:tab w:val="left" w:pos="1701"/>
        </w:tabs>
        <w:spacing w:line="360" w:lineRule="auto"/>
        <w:ind w:left="567" w:hanging="567"/>
        <w:jc w:val="both"/>
        <w:rPr>
          <w:rFonts w:ascii="Calibri" w:eastAsia="Calibri" w:hAnsi="Calibri"/>
          <w:rtl/>
        </w:rPr>
      </w:pPr>
      <w:r w:rsidRPr="00B82EBA">
        <w:rPr>
          <w:rFonts w:ascii="David" w:eastAsia="Calibri" w:hAnsi="David" w:hint="cs"/>
          <w:rtl/>
        </w:rPr>
        <w:tab/>
        <w:t xml:space="preserve">שנית, בהתאם לפסיקה מושרשת ועקבית, בית המשפט לא ימהר להתערב בעונש שהוסכם בין הצדדים במסגרת הסדר "סגור" והתערבותו תעשה במשורה ובמצבים חריגים ביותר (ראו: </w:t>
      </w:r>
      <w:hyperlink r:id="rId36" w:history="1">
        <w:r w:rsidR="009446A4" w:rsidRPr="009446A4">
          <w:rPr>
            <w:rFonts w:ascii="Calibri" w:eastAsia="Calibri" w:hAnsi="Calibri" w:hint="cs"/>
            <w:color w:val="0000FF"/>
            <w:u w:val="single"/>
            <w:rtl/>
          </w:rPr>
          <w:t>ע</w:t>
        </w:r>
        <w:r w:rsidR="009446A4" w:rsidRPr="009446A4">
          <w:rPr>
            <w:rFonts w:ascii="Calibri" w:eastAsia="Calibri" w:hAnsi="Calibri"/>
            <w:color w:val="0000FF"/>
            <w:u w:val="single"/>
            <w:rtl/>
          </w:rPr>
          <w:t>"</w:t>
        </w:r>
        <w:r w:rsidR="009446A4" w:rsidRPr="009446A4">
          <w:rPr>
            <w:rFonts w:ascii="Calibri" w:eastAsia="Calibri" w:hAnsi="Calibri" w:hint="cs"/>
            <w:color w:val="0000FF"/>
            <w:u w:val="single"/>
            <w:rtl/>
          </w:rPr>
          <w:t>פ</w:t>
        </w:r>
        <w:r w:rsidR="009446A4" w:rsidRPr="009446A4">
          <w:rPr>
            <w:rFonts w:ascii="Calibri" w:eastAsia="Calibri" w:hAnsi="Calibri"/>
            <w:color w:val="0000FF"/>
            <w:u w:val="single"/>
            <w:rtl/>
          </w:rPr>
          <w:t xml:space="preserve"> 5845/14</w:t>
        </w:r>
      </w:hyperlink>
      <w:r w:rsidRPr="00B82EBA">
        <w:rPr>
          <w:rFonts w:ascii="Calibri" w:eastAsia="Calibri" w:hAnsi="Calibri" w:hint="cs"/>
          <w:rtl/>
        </w:rPr>
        <w:t xml:space="preserve"> </w:t>
      </w:r>
      <w:r w:rsidRPr="00B82EBA">
        <w:rPr>
          <w:rFonts w:ascii="Calibri" w:eastAsia="Calibri" w:hAnsi="Calibri" w:hint="cs"/>
          <w:b/>
          <w:bCs/>
          <w:rtl/>
        </w:rPr>
        <w:t xml:space="preserve">אסט נ' מדינת ישראל </w:t>
      </w:r>
      <w:r w:rsidRPr="00B82EBA">
        <w:rPr>
          <w:rFonts w:ascii="Calibri" w:eastAsia="Calibri" w:hAnsi="Calibri" w:hint="cs"/>
          <w:rtl/>
        </w:rPr>
        <w:t xml:space="preserve">(20.4.2016) וראו גם: </w:t>
      </w:r>
      <w:hyperlink r:id="rId37" w:history="1">
        <w:r w:rsidR="009446A4" w:rsidRPr="009446A4">
          <w:rPr>
            <w:rFonts w:ascii="Calibri" w:eastAsia="Calibri" w:hAnsi="Calibri" w:hint="cs"/>
            <w:color w:val="0000FF"/>
            <w:u w:val="single"/>
            <w:rtl/>
          </w:rPr>
          <w:t>ע</w:t>
        </w:r>
        <w:r w:rsidR="009446A4" w:rsidRPr="009446A4">
          <w:rPr>
            <w:rFonts w:ascii="Calibri" w:eastAsia="Calibri" w:hAnsi="Calibri"/>
            <w:color w:val="0000FF"/>
            <w:u w:val="single"/>
            <w:rtl/>
          </w:rPr>
          <w:t>"</w:t>
        </w:r>
        <w:r w:rsidR="009446A4" w:rsidRPr="009446A4">
          <w:rPr>
            <w:rFonts w:ascii="Calibri" w:eastAsia="Calibri" w:hAnsi="Calibri" w:hint="cs"/>
            <w:color w:val="0000FF"/>
            <w:u w:val="single"/>
            <w:rtl/>
          </w:rPr>
          <w:t>פ</w:t>
        </w:r>
        <w:r w:rsidR="009446A4" w:rsidRPr="009446A4">
          <w:rPr>
            <w:rFonts w:ascii="Calibri" w:eastAsia="Calibri" w:hAnsi="Calibri"/>
            <w:color w:val="0000FF"/>
            <w:u w:val="single"/>
            <w:rtl/>
          </w:rPr>
          <w:t xml:space="preserve"> 5310/12</w:t>
        </w:r>
      </w:hyperlink>
      <w:r w:rsidRPr="00B82EBA">
        <w:rPr>
          <w:rFonts w:ascii="Calibri" w:eastAsia="Calibri" w:hAnsi="Calibri" w:hint="cs"/>
          <w:rtl/>
        </w:rPr>
        <w:t xml:space="preserve"> </w:t>
      </w:r>
      <w:r w:rsidRPr="00B82EBA">
        <w:rPr>
          <w:rFonts w:ascii="Calibri" w:eastAsia="Calibri" w:hAnsi="Calibri" w:hint="cs"/>
          <w:b/>
          <w:bCs/>
          <w:rtl/>
        </w:rPr>
        <w:t>פלוני נ' מדינת ישראל</w:t>
      </w:r>
      <w:r w:rsidRPr="00B82EBA">
        <w:rPr>
          <w:rFonts w:ascii="Calibri" w:eastAsia="Calibri" w:hAnsi="Calibri" w:hint="cs"/>
          <w:rtl/>
        </w:rPr>
        <w:t xml:space="preserve"> (9.9.2012)). ענייננו אינו נמנה על אותם מקרים חריגים המצדיקים התערבות בית המשפט. </w:t>
      </w:r>
    </w:p>
    <w:p w14:paraId="3C997BD9" w14:textId="77777777" w:rsidR="009E3061" w:rsidRPr="00B82EBA" w:rsidRDefault="009E3061" w:rsidP="009E3061">
      <w:pPr>
        <w:tabs>
          <w:tab w:val="left" w:pos="567"/>
          <w:tab w:val="left" w:pos="1134"/>
          <w:tab w:val="left" w:pos="1701"/>
        </w:tabs>
        <w:spacing w:line="360" w:lineRule="auto"/>
        <w:ind w:left="567" w:hanging="567"/>
        <w:jc w:val="both"/>
        <w:rPr>
          <w:rFonts w:ascii="Calibri" w:eastAsia="Calibri" w:hAnsi="Calibri"/>
          <w:rtl/>
        </w:rPr>
      </w:pPr>
    </w:p>
    <w:p w14:paraId="67311995" w14:textId="77777777" w:rsidR="009E3061" w:rsidRPr="00B82EBA" w:rsidRDefault="009E3061" w:rsidP="009E3061">
      <w:pPr>
        <w:tabs>
          <w:tab w:val="left" w:pos="567"/>
          <w:tab w:val="left" w:pos="1134"/>
          <w:tab w:val="left" w:pos="1701"/>
        </w:tabs>
        <w:spacing w:line="360" w:lineRule="auto"/>
        <w:ind w:left="567" w:hanging="567"/>
        <w:jc w:val="both"/>
        <w:rPr>
          <w:rFonts w:ascii="Calibri" w:eastAsia="Calibri" w:hAnsi="Calibri"/>
          <w:rtl/>
        </w:rPr>
      </w:pPr>
      <w:r w:rsidRPr="00B82EBA">
        <w:rPr>
          <w:rFonts w:ascii="Calibri" w:eastAsia="Calibri" w:hAnsi="Calibri" w:hint="cs"/>
          <w:rtl/>
        </w:rPr>
        <w:t>17.</w:t>
      </w:r>
      <w:r w:rsidRPr="00B82EBA">
        <w:rPr>
          <w:rFonts w:ascii="Calibri" w:eastAsia="Calibri" w:hAnsi="Calibri" w:hint="cs"/>
          <w:rtl/>
        </w:rPr>
        <w:tab/>
        <w:t>על יסוד מקבץ האמור, אני גוזר על הנאשם את העונשים הבאים:</w:t>
      </w:r>
    </w:p>
    <w:p w14:paraId="61AF5C97" w14:textId="77777777" w:rsidR="009E3061" w:rsidRPr="00B82EBA" w:rsidRDefault="009E3061" w:rsidP="009E3061">
      <w:pPr>
        <w:tabs>
          <w:tab w:val="left" w:pos="567"/>
          <w:tab w:val="left" w:pos="1134"/>
          <w:tab w:val="left" w:pos="1701"/>
        </w:tabs>
        <w:spacing w:line="360" w:lineRule="auto"/>
        <w:ind w:left="567" w:hanging="567"/>
        <w:jc w:val="both"/>
        <w:rPr>
          <w:rFonts w:ascii="Calibri" w:eastAsia="Calibri" w:hAnsi="Calibri"/>
          <w:rtl/>
        </w:rPr>
      </w:pPr>
    </w:p>
    <w:p w14:paraId="1F80098A" w14:textId="77777777" w:rsidR="009E3061" w:rsidRPr="00B82EBA" w:rsidRDefault="009E3061" w:rsidP="009E3061">
      <w:pPr>
        <w:tabs>
          <w:tab w:val="left" w:pos="567"/>
          <w:tab w:val="left" w:pos="1134"/>
          <w:tab w:val="left" w:pos="1701"/>
        </w:tabs>
        <w:spacing w:line="360" w:lineRule="auto"/>
        <w:ind w:left="567" w:hanging="567"/>
        <w:jc w:val="both"/>
        <w:rPr>
          <w:rFonts w:ascii="Calibri" w:eastAsia="Calibri" w:hAnsi="Calibri"/>
          <w:rtl/>
        </w:rPr>
      </w:pPr>
      <w:r w:rsidRPr="00B82EBA">
        <w:rPr>
          <w:rFonts w:ascii="Calibri" w:eastAsia="Calibri" w:hAnsi="Calibri" w:hint="cs"/>
          <w:rtl/>
        </w:rPr>
        <w:t>א.</w:t>
      </w:r>
      <w:r w:rsidRPr="00B82EBA">
        <w:rPr>
          <w:rFonts w:ascii="Calibri" w:eastAsia="Calibri" w:hAnsi="Calibri" w:hint="cs"/>
          <w:rtl/>
        </w:rPr>
        <w:tab/>
        <w:t xml:space="preserve">6.5 שנות מאסר לריצוי בפועל שמניינם יחל במועד מעצרו ביום 13.9.2021. </w:t>
      </w:r>
    </w:p>
    <w:p w14:paraId="0DFAB034" w14:textId="77777777" w:rsidR="009E3061" w:rsidRPr="00B82EBA" w:rsidRDefault="009E3061" w:rsidP="009E3061">
      <w:pPr>
        <w:tabs>
          <w:tab w:val="left" w:pos="567"/>
          <w:tab w:val="left" w:pos="1134"/>
          <w:tab w:val="left" w:pos="1701"/>
        </w:tabs>
        <w:spacing w:line="360" w:lineRule="auto"/>
        <w:ind w:left="567" w:hanging="567"/>
        <w:jc w:val="both"/>
        <w:rPr>
          <w:rFonts w:ascii="Calibri" w:eastAsia="Calibri" w:hAnsi="Calibri"/>
          <w:rtl/>
        </w:rPr>
      </w:pPr>
    </w:p>
    <w:p w14:paraId="65466FCA" w14:textId="77777777" w:rsidR="009E3061" w:rsidRPr="00B82EBA" w:rsidRDefault="009E3061" w:rsidP="009E3061">
      <w:pPr>
        <w:tabs>
          <w:tab w:val="left" w:pos="567"/>
          <w:tab w:val="left" w:pos="1134"/>
          <w:tab w:val="left" w:pos="1701"/>
        </w:tabs>
        <w:spacing w:line="360" w:lineRule="auto"/>
        <w:ind w:left="567" w:hanging="567"/>
        <w:jc w:val="both"/>
        <w:rPr>
          <w:rFonts w:ascii="Calibri" w:eastAsia="Calibri" w:hAnsi="Calibri"/>
          <w:rtl/>
        </w:rPr>
      </w:pPr>
      <w:r w:rsidRPr="00B82EBA">
        <w:rPr>
          <w:rFonts w:ascii="Calibri" w:eastAsia="Calibri" w:hAnsi="Calibri" w:hint="cs"/>
          <w:rtl/>
        </w:rPr>
        <w:t>ב.</w:t>
      </w:r>
      <w:r w:rsidRPr="00B82EBA">
        <w:rPr>
          <w:rFonts w:ascii="Calibri" w:eastAsia="Calibri" w:hAnsi="Calibri" w:hint="cs"/>
          <w:rtl/>
        </w:rPr>
        <w:tab/>
        <w:t xml:space="preserve">12 חודשי מאסר על תנאי לבל יעבור משך שלוש שנים עבירת סמים מסוג פשע ויורשע בגינה. </w:t>
      </w:r>
      <w:r w:rsidRPr="00B82EBA">
        <w:rPr>
          <w:rFonts w:ascii="Calibri" w:eastAsia="Calibri" w:hAnsi="Calibri" w:hint="cs"/>
          <w:rtl/>
        </w:rPr>
        <w:tab/>
      </w:r>
    </w:p>
    <w:p w14:paraId="5A3B7B5D"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ג.</w:t>
      </w:r>
      <w:r w:rsidRPr="00B82EBA">
        <w:rPr>
          <w:rFonts w:ascii="David" w:eastAsia="Calibri" w:hAnsi="David" w:hint="cs"/>
          <w:rtl/>
        </w:rPr>
        <w:tab/>
        <w:t xml:space="preserve">6 חודשי מאסר על תנאי לבל יעבור משך שלוש שנים עבירת סמים מסוג עוון ויורשע בגינה. </w:t>
      </w:r>
    </w:p>
    <w:p w14:paraId="36F8769A"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74EAC749"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ד.</w:t>
      </w:r>
      <w:r w:rsidRPr="00B82EBA">
        <w:rPr>
          <w:rFonts w:ascii="David" w:eastAsia="Calibri" w:hAnsi="David" w:hint="cs"/>
          <w:rtl/>
        </w:rPr>
        <w:tab/>
        <w:t>קנס בסך 1</w:t>
      </w:r>
      <w:r>
        <w:rPr>
          <w:rFonts w:ascii="David" w:eastAsia="Calibri" w:hAnsi="David" w:hint="cs"/>
          <w:rtl/>
        </w:rPr>
        <w:t>0</w:t>
      </w:r>
      <w:r w:rsidRPr="00B82EBA">
        <w:rPr>
          <w:rFonts w:ascii="David" w:eastAsia="Calibri" w:hAnsi="David" w:hint="cs"/>
          <w:rtl/>
        </w:rPr>
        <w:t>,000 ₪ שישולם ב – 1</w:t>
      </w:r>
      <w:r>
        <w:rPr>
          <w:rFonts w:ascii="David" w:eastAsia="Calibri" w:hAnsi="David" w:hint="cs"/>
          <w:rtl/>
        </w:rPr>
        <w:t>0</w:t>
      </w:r>
      <w:r w:rsidRPr="00B82EBA">
        <w:rPr>
          <w:rFonts w:ascii="David" w:eastAsia="Calibri" w:hAnsi="David" w:hint="cs"/>
          <w:rtl/>
        </w:rPr>
        <w:t xml:space="preserve"> שיעורים חודשיים שווים ורצופים בסך 1,000 ₪ כל אחד כשמועד תשלום השיעור הראשון יחול ביום 1.1.2023 ויתר התשלומים ב- 1 לכל חודש עוקב. לא שולם אחד התשלומים במלואו או במועדו תעמוד כל היתרה לסילוק מידי בצירוף ריבית פיגורים על פי דין. </w:t>
      </w:r>
    </w:p>
    <w:p w14:paraId="6DEC3773"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1A182167" w14:textId="77777777" w:rsidR="009E3061"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ה.</w:t>
      </w:r>
      <w:r w:rsidRPr="00B82EBA">
        <w:rPr>
          <w:rFonts w:ascii="David" w:eastAsia="Calibri" w:hAnsi="David" w:hint="cs"/>
          <w:rtl/>
        </w:rPr>
        <w:tab/>
      </w:r>
      <w:r>
        <w:rPr>
          <w:rFonts w:ascii="David" w:eastAsia="Calibri" w:hAnsi="David" w:hint="cs"/>
          <w:rtl/>
        </w:rPr>
        <w:t xml:space="preserve">12 חודשי פסילה על תנאי לבל יעבור משך שנתיים ממועד שחרורו עבירת סמים מסוג פשע ויורשע בגינה. </w:t>
      </w:r>
    </w:p>
    <w:p w14:paraId="2AC6322E" w14:textId="77777777" w:rsidR="009E3061" w:rsidRDefault="009E3061" w:rsidP="009E3061">
      <w:pPr>
        <w:tabs>
          <w:tab w:val="left" w:pos="567"/>
          <w:tab w:val="left" w:pos="1134"/>
          <w:tab w:val="left" w:pos="1701"/>
        </w:tabs>
        <w:spacing w:line="360" w:lineRule="auto"/>
        <w:ind w:left="567" w:hanging="567"/>
        <w:jc w:val="both"/>
        <w:rPr>
          <w:rFonts w:ascii="David" w:eastAsia="Calibri" w:hAnsi="David"/>
          <w:rtl/>
        </w:rPr>
      </w:pPr>
    </w:p>
    <w:p w14:paraId="107FC650"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hint="cs"/>
          <w:rtl/>
        </w:rPr>
        <w:t>ו.</w:t>
      </w:r>
      <w:r>
        <w:rPr>
          <w:rFonts w:ascii="David" w:eastAsia="Calibri" w:hAnsi="David" w:hint="cs"/>
          <w:rtl/>
        </w:rPr>
        <w:tab/>
      </w:r>
      <w:r w:rsidRPr="00B82EBA">
        <w:rPr>
          <w:rFonts w:ascii="David" w:eastAsia="Calibri" w:hAnsi="David" w:hint="cs"/>
          <w:rtl/>
        </w:rPr>
        <w:t xml:space="preserve">ניתן בזאת צו להשמדת הסמים שנתפסו. </w:t>
      </w:r>
    </w:p>
    <w:p w14:paraId="10E79600"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1F72348D" w14:textId="77777777" w:rsidR="009E3061" w:rsidRDefault="009E3061" w:rsidP="009E3061">
      <w:pPr>
        <w:tabs>
          <w:tab w:val="left" w:pos="567"/>
          <w:tab w:val="left" w:pos="1134"/>
          <w:tab w:val="left" w:pos="1701"/>
        </w:tabs>
        <w:spacing w:line="360" w:lineRule="auto"/>
        <w:ind w:left="567" w:hanging="567"/>
        <w:jc w:val="both"/>
        <w:rPr>
          <w:rFonts w:ascii="David" w:eastAsia="Calibri" w:hAnsi="David"/>
          <w:rtl/>
        </w:rPr>
      </w:pPr>
      <w:r w:rsidRPr="00B82EBA">
        <w:rPr>
          <w:rFonts w:ascii="David" w:eastAsia="Calibri" w:hAnsi="David" w:hint="cs"/>
          <w:rtl/>
        </w:rPr>
        <w:tab/>
      </w:r>
    </w:p>
    <w:p w14:paraId="7B56C1B0" w14:textId="77777777" w:rsidR="009E3061" w:rsidRPr="00B82EBA" w:rsidRDefault="009E3061" w:rsidP="009E3061">
      <w:pPr>
        <w:rPr>
          <w:rFonts w:ascii="David" w:eastAsia="Calibri" w:hAnsi="David"/>
          <w:rtl/>
        </w:rPr>
      </w:pPr>
      <w:r>
        <w:rPr>
          <w:rFonts w:ascii="David" w:eastAsia="Calibri" w:hAnsi="David" w:hint="cs"/>
          <w:rtl/>
        </w:rPr>
        <w:t>זכות ערעור לבית המשפט העליון תוך 45 ימים.</w:t>
      </w:r>
    </w:p>
    <w:p w14:paraId="4A516D2E"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30D65B73" w14:textId="77777777" w:rsidR="009E3061" w:rsidRPr="00B82EBA" w:rsidRDefault="009E3061" w:rsidP="009E3061">
      <w:pPr>
        <w:tabs>
          <w:tab w:val="left" w:pos="567"/>
          <w:tab w:val="left" w:pos="1134"/>
          <w:tab w:val="left" w:pos="1701"/>
        </w:tabs>
        <w:spacing w:line="360" w:lineRule="auto"/>
        <w:ind w:left="567" w:hanging="567"/>
        <w:jc w:val="both"/>
        <w:rPr>
          <w:rFonts w:ascii="David" w:eastAsia="Calibri" w:hAnsi="David"/>
          <w:rtl/>
        </w:rPr>
      </w:pPr>
    </w:p>
    <w:p w14:paraId="2A7F072C" w14:textId="77777777" w:rsidR="009E3061" w:rsidRPr="00B05847" w:rsidRDefault="009E3061" w:rsidP="009E3061">
      <w:pPr>
        <w:rPr>
          <w:rtl/>
        </w:rPr>
      </w:pPr>
    </w:p>
    <w:p w14:paraId="6642E5E5" w14:textId="77777777" w:rsidR="009E3061" w:rsidRPr="00B05847" w:rsidRDefault="009E3061" w:rsidP="009E3061">
      <w:pPr>
        <w:rPr>
          <w:rtl/>
        </w:rPr>
      </w:pPr>
    </w:p>
    <w:p w14:paraId="2F7A63E6" w14:textId="77777777" w:rsidR="009E3061" w:rsidRPr="009446A4" w:rsidRDefault="009446A4" w:rsidP="009E3061">
      <w:pPr>
        <w:rPr>
          <w:color w:val="FFFFFF"/>
          <w:sz w:val="2"/>
          <w:szCs w:val="2"/>
          <w:rtl/>
        </w:rPr>
      </w:pPr>
      <w:r w:rsidRPr="009446A4">
        <w:rPr>
          <w:color w:val="FFFFFF"/>
          <w:sz w:val="2"/>
          <w:szCs w:val="2"/>
          <w:rtl/>
        </w:rPr>
        <w:t>5129371</w:t>
      </w:r>
    </w:p>
    <w:p w14:paraId="05574301" w14:textId="77777777" w:rsidR="009E3061" w:rsidRDefault="009446A4" w:rsidP="009E3061">
      <w:pPr>
        <w:rPr>
          <w:rFonts w:cs="FrankRuehl"/>
          <w:sz w:val="28"/>
          <w:szCs w:val="28"/>
          <w:rtl/>
        </w:rPr>
      </w:pPr>
      <w:bookmarkStart w:id="8" w:name="Nitan"/>
      <w:r w:rsidRPr="009446A4">
        <w:rPr>
          <w:rFonts w:ascii="Arial" w:hAnsi="Arial"/>
          <w:color w:val="FFFFFF"/>
          <w:sz w:val="2"/>
          <w:szCs w:val="2"/>
          <w:rtl/>
        </w:rPr>
        <w:t>54678313</w:t>
      </w:r>
      <w:r>
        <w:rPr>
          <w:rFonts w:ascii="Arial" w:hAnsi="Arial"/>
          <w:rtl/>
        </w:rPr>
        <w:t xml:space="preserve">ניתן היום,  ה' כסלו תשפ"ג, 29 נובמבר 2022, בהעדר הצדדים. </w:t>
      </w:r>
      <w:bookmarkEnd w:id="8"/>
    </w:p>
    <w:p w14:paraId="7FB225AC" w14:textId="77777777" w:rsidR="009E3061" w:rsidRDefault="009E3061" w:rsidP="009446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05C2D0B" w14:textId="77777777" w:rsidR="009E3061" w:rsidRDefault="009E3061" w:rsidP="009E3061">
      <w:pPr>
        <w:jc w:val="center"/>
        <w:rPr>
          <w:rFonts w:ascii="Arial" w:hAnsi="Arial" w:cs="FrankRuehl"/>
          <w:sz w:val="28"/>
          <w:szCs w:val="28"/>
          <w:rtl/>
        </w:rPr>
      </w:pPr>
    </w:p>
    <w:p w14:paraId="1B38FF0D" w14:textId="77777777" w:rsidR="009E3061" w:rsidRDefault="009E3061" w:rsidP="009E3061">
      <w:pPr>
        <w:rPr>
          <w:rFonts w:cs="FrankRuehl"/>
          <w:sz w:val="28"/>
          <w:szCs w:val="28"/>
          <w:rtl/>
        </w:rPr>
      </w:pPr>
    </w:p>
    <w:p w14:paraId="749D5988" w14:textId="77777777" w:rsidR="009446A4" w:rsidRDefault="001E2203" w:rsidP="009446A4">
      <w:r w:rsidRPr="001E2203">
        <w:rPr>
          <w:color w:val="FFFFFF"/>
          <w:sz w:val="2"/>
          <w:szCs w:val="2"/>
          <w:rtl/>
        </w:rPr>
        <w:t>5129371</w:t>
      </w:r>
    </w:p>
    <w:p w14:paraId="53809F01" w14:textId="77777777" w:rsidR="009446A4" w:rsidRDefault="009446A4" w:rsidP="009446A4">
      <w:pPr>
        <w:rPr>
          <w:rtl/>
        </w:rPr>
      </w:pPr>
    </w:p>
    <w:p w14:paraId="0860D916" w14:textId="77777777" w:rsidR="009446A4" w:rsidRDefault="009446A4" w:rsidP="009446A4">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674CDCE" w14:textId="77777777" w:rsidR="001E2203" w:rsidRPr="001E2203" w:rsidRDefault="001E2203" w:rsidP="001E2203">
      <w:pPr>
        <w:keepNext/>
        <w:rPr>
          <w:rFonts w:ascii="David" w:hAnsi="David"/>
          <w:color w:val="000000"/>
          <w:sz w:val="22"/>
          <w:szCs w:val="22"/>
          <w:rtl/>
        </w:rPr>
      </w:pPr>
    </w:p>
    <w:p w14:paraId="4A07FCC6" w14:textId="77777777" w:rsidR="001E2203" w:rsidRPr="001E2203" w:rsidRDefault="001E2203" w:rsidP="001E2203">
      <w:pPr>
        <w:keepNext/>
        <w:rPr>
          <w:rFonts w:ascii="David" w:hAnsi="David"/>
          <w:color w:val="000000"/>
          <w:sz w:val="22"/>
          <w:szCs w:val="22"/>
          <w:rtl/>
        </w:rPr>
      </w:pPr>
      <w:r w:rsidRPr="001E2203">
        <w:rPr>
          <w:rFonts w:ascii="David" w:hAnsi="David"/>
          <w:color w:val="000000"/>
          <w:sz w:val="22"/>
          <w:szCs w:val="22"/>
          <w:rtl/>
        </w:rPr>
        <w:t>אמיר טובי 54678313-/</w:t>
      </w:r>
    </w:p>
    <w:p w14:paraId="2F7926D3" w14:textId="77777777" w:rsidR="009446A4" w:rsidRPr="009446A4" w:rsidRDefault="001E2203" w:rsidP="001E2203">
      <w:pPr>
        <w:rPr>
          <w:color w:val="0000FF"/>
          <w:u w:val="single"/>
        </w:rPr>
      </w:pPr>
      <w:r w:rsidRPr="001E2203">
        <w:rPr>
          <w:color w:val="000000"/>
          <w:u w:val="single"/>
          <w:rtl/>
        </w:rPr>
        <w:t>נוסח מסמך זה כפוף לשינויי ניסוח ועריכה</w:t>
      </w:r>
    </w:p>
    <w:sectPr w:rsidR="009446A4" w:rsidRPr="009446A4" w:rsidSect="001E220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5BFF5" w14:textId="77777777" w:rsidR="002D58E3" w:rsidRDefault="002D58E3" w:rsidP="005F5B8F">
      <w:r>
        <w:separator/>
      </w:r>
    </w:p>
  </w:endnote>
  <w:endnote w:type="continuationSeparator" w:id="0">
    <w:p w14:paraId="24E8D08D" w14:textId="77777777" w:rsidR="002D58E3" w:rsidRDefault="002D58E3" w:rsidP="005F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71648" w14:textId="77777777" w:rsidR="001E2203" w:rsidRDefault="001E2203" w:rsidP="001E220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DE7CD4" w14:textId="77777777" w:rsidR="002C7A1D" w:rsidRPr="001E2203" w:rsidRDefault="001E2203" w:rsidP="001E2203">
    <w:pPr>
      <w:pStyle w:val="a5"/>
      <w:pBdr>
        <w:top w:val="single" w:sz="4" w:space="1" w:color="auto"/>
        <w:between w:val="single" w:sz="4" w:space="0" w:color="auto"/>
      </w:pBdr>
      <w:spacing w:after="60"/>
      <w:jc w:val="center"/>
      <w:rPr>
        <w:rFonts w:ascii="FrankRuehl" w:hAnsi="FrankRuehl" w:cs="FrankRuehl"/>
        <w:color w:val="000000"/>
      </w:rPr>
    </w:pPr>
    <w:r w:rsidRPr="001E220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ED779" w14:textId="77777777" w:rsidR="001E2203" w:rsidRDefault="001E2203" w:rsidP="001E220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187C">
      <w:rPr>
        <w:rFonts w:ascii="FrankRuehl" w:hAnsi="FrankRuehl" w:cs="FrankRuehl"/>
        <w:noProof/>
        <w:rtl/>
      </w:rPr>
      <w:t>1</w:t>
    </w:r>
    <w:r>
      <w:rPr>
        <w:rFonts w:ascii="FrankRuehl" w:hAnsi="FrankRuehl" w:cs="FrankRuehl"/>
        <w:rtl/>
      </w:rPr>
      <w:fldChar w:fldCharType="end"/>
    </w:r>
  </w:p>
  <w:p w14:paraId="456CF8C0" w14:textId="77777777" w:rsidR="002C7A1D" w:rsidRPr="001E2203" w:rsidRDefault="001E2203" w:rsidP="001E2203">
    <w:pPr>
      <w:pStyle w:val="a5"/>
      <w:pBdr>
        <w:top w:val="single" w:sz="4" w:space="1" w:color="auto"/>
        <w:between w:val="single" w:sz="4" w:space="0" w:color="auto"/>
      </w:pBdr>
      <w:spacing w:after="60"/>
      <w:jc w:val="center"/>
      <w:rPr>
        <w:rFonts w:ascii="FrankRuehl" w:hAnsi="FrankRuehl" w:cs="FrankRuehl"/>
        <w:color w:val="000000"/>
      </w:rPr>
    </w:pPr>
    <w:r w:rsidRPr="001E2203">
      <w:rPr>
        <w:rFonts w:ascii="FrankRuehl" w:hAnsi="FrankRuehl" w:cs="FrankRuehl"/>
        <w:color w:val="000000"/>
      </w:rPr>
      <w:pict w14:anchorId="1AB86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72CD4" w14:textId="77777777" w:rsidR="002D58E3" w:rsidRDefault="002D58E3" w:rsidP="005F5B8F">
      <w:r>
        <w:separator/>
      </w:r>
    </w:p>
  </w:footnote>
  <w:footnote w:type="continuationSeparator" w:id="0">
    <w:p w14:paraId="71FE7A37" w14:textId="77777777" w:rsidR="002D58E3" w:rsidRDefault="002D58E3" w:rsidP="005F5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ED163" w14:textId="77777777" w:rsidR="009446A4" w:rsidRPr="001E2203" w:rsidRDefault="001E2203" w:rsidP="001E22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12612-10-21</w:t>
    </w:r>
    <w:r>
      <w:rPr>
        <w:rFonts w:ascii="David" w:hAnsi="David"/>
        <w:color w:val="000000"/>
        <w:sz w:val="22"/>
        <w:szCs w:val="22"/>
        <w:rtl/>
      </w:rPr>
      <w:tab/>
      <w:t xml:space="preserve"> מדינת ישראל נ' אורן אסרף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48BD" w14:textId="77777777" w:rsidR="009446A4" w:rsidRPr="001E2203" w:rsidRDefault="001E2203" w:rsidP="001E22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12612-10-21</w:t>
    </w:r>
    <w:r>
      <w:rPr>
        <w:rFonts w:ascii="David" w:hAnsi="David"/>
        <w:color w:val="000000"/>
        <w:sz w:val="22"/>
        <w:szCs w:val="22"/>
        <w:rtl/>
      </w:rPr>
      <w:tab/>
      <w:t xml:space="preserve"> מדינת ישראל נ' אורן אסרף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3061"/>
    <w:rsid w:val="001B5A3B"/>
    <w:rsid w:val="001E2203"/>
    <w:rsid w:val="002C7A1D"/>
    <w:rsid w:val="002D58E3"/>
    <w:rsid w:val="005F5B8F"/>
    <w:rsid w:val="0066187C"/>
    <w:rsid w:val="00832249"/>
    <w:rsid w:val="0093248C"/>
    <w:rsid w:val="009446A4"/>
    <w:rsid w:val="009E3061"/>
    <w:rsid w:val="00A312C6"/>
    <w:rsid w:val="00B23230"/>
    <w:rsid w:val="00BA734D"/>
    <w:rsid w:val="00CC05B3"/>
    <w:rsid w:val="00D14BAD"/>
    <w:rsid w:val="00D91F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4A4E88"/>
  <w15:chartTrackingRefBased/>
  <w15:docId w15:val="{9294DAD6-3D37-4042-A067-11D3FC05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306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3061"/>
    <w:pPr>
      <w:tabs>
        <w:tab w:val="center" w:pos="4153"/>
        <w:tab w:val="right" w:pos="8306"/>
      </w:tabs>
    </w:pPr>
  </w:style>
  <w:style w:type="character" w:customStyle="1" w:styleId="a4">
    <w:name w:val="כותרת עליונה תו"/>
    <w:link w:val="a3"/>
    <w:rsid w:val="009E3061"/>
    <w:rPr>
      <w:rFonts w:ascii="Times New Roman" w:eastAsia="Times New Roman" w:hAnsi="Times New Roman" w:cs="David"/>
      <w:sz w:val="24"/>
      <w:szCs w:val="24"/>
    </w:rPr>
  </w:style>
  <w:style w:type="paragraph" w:styleId="a5">
    <w:name w:val="footer"/>
    <w:basedOn w:val="a"/>
    <w:link w:val="a6"/>
    <w:rsid w:val="009E3061"/>
    <w:pPr>
      <w:tabs>
        <w:tab w:val="center" w:pos="4153"/>
        <w:tab w:val="right" w:pos="8306"/>
      </w:tabs>
    </w:pPr>
  </w:style>
  <w:style w:type="character" w:customStyle="1" w:styleId="a6">
    <w:name w:val="כותרת תחתונה תו"/>
    <w:link w:val="a5"/>
    <w:rsid w:val="009E3061"/>
    <w:rPr>
      <w:rFonts w:ascii="Times New Roman" w:eastAsia="Times New Roman" w:hAnsi="Times New Roman" w:cs="David"/>
      <w:sz w:val="24"/>
      <w:szCs w:val="24"/>
    </w:rPr>
  </w:style>
  <w:style w:type="table" w:styleId="a7">
    <w:name w:val="Table Grid"/>
    <w:basedOn w:val="a1"/>
    <w:rsid w:val="009E306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3061"/>
  </w:style>
  <w:style w:type="character" w:styleId="Hyperlink">
    <w:name w:val="Hyperlink"/>
    <w:rsid w:val="00944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0412551" TargetMode="External"/><Relationship Id="rId39" Type="http://schemas.openxmlformats.org/officeDocument/2006/relationships/header" Target="header1.xml"/><Relationship Id="rId21" Type="http://schemas.openxmlformats.org/officeDocument/2006/relationships/hyperlink" Target="http://www.nevo.co.il/law/70301/25" TargetMode="External"/><Relationship Id="rId34" Type="http://schemas.openxmlformats.org/officeDocument/2006/relationships/hyperlink" Target="http://www.nevo.co.il/case/23750885" TargetMode="External"/><Relationship Id="rId42"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4216/7.c" TargetMode="External"/><Relationship Id="rId29" Type="http://schemas.openxmlformats.org/officeDocument/2006/relationships/hyperlink" Target="http://www.nevo.co.il/case/26541540"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6834904" TargetMode="External"/><Relationship Id="rId32" Type="http://schemas.openxmlformats.org/officeDocument/2006/relationships/hyperlink" Target="http://www.nevo.co.il/law/4216/7.a.;7.c" TargetMode="External"/><Relationship Id="rId37" Type="http://schemas.openxmlformats.org/officeDocument/2006/relationships/hyperlink" Target="http://www.nevo.co.il/case/6246245"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2428780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7948120"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4216/13"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5753269" TargetMode="External"/><Relationship Id="rId30" Type="http://schemas.openxmlformats.org/officeDocument/2006/relationships/hyperlink" Target="http://www.nevo.co.il/case/25386231" TargetMode="External"/><Relationship Id="rId35" Type="http://schemas.openxmlformats.org/officeDocument/2006/relationships/hyperlink" Target="http://www.nevo.co.il/law/4216/13" TargetMode="External"/><Relationship Id="rId43" Type="http://schemas.openxmlformats.org/officeDocument/2006/relationships/fontTable" Target="fontTable.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13070717" TargetMode="External"/><Relationship Id="rId33" Type="http://schemas.openxmlformats.org/officeDocument/2006/relationships/hyperlink" Target="http://www.nevo.co.il/case/2426304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2071</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12406</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3473524</vt:i4>
      </vt:variant>
      <vt:variant>
        <vt:i4>93</vt:i4>
      </vt:variant>
      <vt:variant>
        <vt:i4>0</vt:i4>
      </vt:variant>
      <vt:variant>
        <vt:i4>5</vt:i4>
      </vt:variant>
      <vt:variant>
        <vt:lpwstr>http://www.nevo.co.il/case/6246245</vt:lpwstr>
      </vt:variant>
      <vt:variant>
        <vt:lpwstr/>
      </vt:variant>
      <vt:variant>
        <vt:i4>3276918</vt:i4>
      </vt:variant>
      <vt:variant>
        <vt:i4>90</vt:i4>
      </vt:variant>
      <vt:variant>
        <vt:i4>0</vt:i4>
      </vt:variant>
      <vt:variant>
        <vt:i4>5</vt:i4>
      </vt:variant>
      <vt:variant>
        <vt:lpwstr>http://www.nevo.co.il/case/17948120</vt:lpwstr>
      </vt:variant>
      <vt:variant>
        <vt:lpwstr/>
      </vt:variant>
      <vt:variant>
        <vt:i4>5177418</vt:i4>
      </vt:variant>
      <vt:variant>
        <vt:i4>87</vt:i4>
      </vt:variant>
      <vt:variant>
        <vt:i4>0</vt:i4>
      </vt:variant>
      <vt:variant>
        <vt:i4>5</vt:i4>
      </vt:variant>
      <vt:variant>
        <vt:lpwstr>http://www.nevo.co.il/law/4216/13</vt:lpwstr>
      </vt:variant>
      <vt:variant>
        <vt:lpwstr/>
      </vt:variant>
      <vt:variant>
        <vt:i4>3997818</vt:i4>
      </vt:variant>
      <vt:variant>
        <vt:i4>84</vt:i4>
      </vt:variant>
      <vt:variant>
        <vt:i4>0</vt:i4>
      </vt:variant>
      <vt:variant>
        <vt:i4>5</vt:i4>
      </vt:variant>
      <vt:variant>
        <vt:lpwstr>http://www.nevo.co.il/case/23750885</vt:lpwstr>
      </vt:variant>
      <vt:variant>
        <vt:lpwstr/>
      </vt:variant>
      <vt:variant>
        <vt:i4>3604598</vt:i4>
      </vt:variant>
      <vt:variant>
        <vt:i4>81</vt:i4>
      </vt:variant>
      <vt:variant>
        <vt:i4>0</vt:i4>
      </vt:variant>
      <vt:variant>
        <vt:i4>5</vt:i4>
      </vt:variant>
      <vt:variant>
        <vt:lpwstr>http://www.nevo.co.il/case/24263044</vt:lpwstr>
      </vt:variant>
      <vt:variant>
        <vt:lpwstr/>
      </vt:variant>
      <vt:variant>
        <vt:i4>3997821</vt:i4>
      </vt:variant>
      <vt:variant>
        <vt:i4>78</vt:i4>
      </vt:variant>
      <vt:variant>
        <vt:i4>0</vt:i4>
      </vt:variant>
      <vt:variant>
        <vt:i4>5</vt:i4>
      </vt:variant>
      <vt:variant>
        <vt:lpwstr>http://www.nevo.co.il/law/4216/7.a.;7.c</vt:lpwstr>
      </vt:variant>
      <vt:variant>
        <vt:lpwstr/>
      </vt:variant>
      <vt:variant>
        <vt:i4>5177418</vt:i4>
      </vt:variant>
      <vt:variant>
        <vt:i4>75</vt:i4>
      </vt:variant>
      <vt:variant>
        <vt:i4>0</vt:i4>
      </vt:variant>
      <vt:variant>
        <vt:i4>5</vt:i4>
      </vt:variant>
      <vt:variant>
        <vt:lpwstr>http://www.nevo.co.il/law/4216/13</vt:lpwstr>
      </vt:variant>
      <vt:variant>
        <vt:lpwstr/>
      </vt:variant>
      <vt:variant>
        <vt:i4>3407995</vt:i4>
      </vt:variant>
      <vt:variant>
        <vt:i4>72</vt:i4>
      </vt:variant>
      <vt:variant>
        <vt:i4>0</vt:i4>
      </vt:variant>
      <vt:variant>
        <vt:i4>5</vt:i4>
      </vt:variant>
      <vt:variant>
        <vt:lpwstr>http://www.nevo.co.il/case/25386231</vt:lpwstr>
      </vt:variant>
      <vt:variant>
        <vt:lpwstr/>
      </vt:variant>
      <vt:variant>
        <vt:i4>3276915</vt:i4>
      </vt:variant>
      <vt:variant>
        <vt:i4>69</vt:i4>
      </vt:variant>
      <vt:variant>
        <vt:i4>0</vt:i4>
      </vt:variant>
      <vt:variant>
        <vt:i4>5</vt:i4>
      </vt:variant>
      <vt:variant>
        <vt:lpwstr>http://www.nevo.co.il/case/26541540</vt:lpwstr>
      </vt:variant>
      <vt:variant>
        <vt:lpwstr/>
      </vt:variant>
      <vt:variant>
        <vt:i4>7995492</vt:i4>
      </vt:variant>
      <vt:variant>
        <vt:i4>66</vt:i4>
      </vt:variant>
      <vt:variant>
        <vt:i4>0</vt:i4>
      </vt:variant>
      <vt:variant>
        <vt:i4>5</vt:i4>
      </vt:variant>
      <vt:variant>
        <vt:lpwstr>http://www.nevo.co.il/law/70301</vt:lpwstr>
      </vt:variant>
      <vt:variant>
        <vt:lpwstr/>
      </vt:variant>
      <vt:variant>
        <vt:i4>3866742</vt:i4>
      </vt:variant>
      <vt:variant>
        <vt:i4>63</vt:i4>
      </vt:variant>
      <vt:variant>
        <vt:i4>0</vt:i4>
      </vt:variant>
      <vt:variant>
        <vt:i4>5</vt:i4>
      </vt:variant>
      <vt:variant>
        <vt:lpwstr>http://www.nevo.co.il/case/5753269</vt:lpwstr>
      </vt:variant>
      <vt:variant>
        <vt:lpwstr/>
      </vt:variant>
      <vt:variant>
        <vt:i4>3211376</vt:i4>
      </vt:variant>
      <vt:variant>
        <vt:i4>60</vt:i4>
      </vt:variant>
      <vt:variant>
        <vt:i4>0</vt:i4>
      </vt:variant>
      <vt:variant>
        <vt:i4>5</vt:i4>
      </vt:variant>
      <vt:variant>
        <vt:lpwstr>http://www.nevo.co.il/case/20412551</vt:lpwstr>
      </vt:variant>
      <vt:variant>
        <vt:lpwstr/>
      </vt:variant>
      <vt:variant>
        <vt:i4>3145847</vt:i4>
      </vt:variant>
      <vt:variant>
        <vt:i4>57</vt:i4>
      </vt:variant>
      <vt:variant>
        <vt:i4>0</vt:i4>
      </vt:variant>
      <vt:variant>
        <vt:i4>5</vt:i4>
      </vt:variant>
      <vt:variant>
        <vt:lpwstr>http://www.nevo.co.il/case/13070717</vt:lpwstr>
      </vt:variant>
      <vt:variant>
        <vt:lpwstr/>
      </vt:variant>
      <vt:variant>
        <vt:i4>3670136</vt:i4>
      </vt:variant>
      <vt:variant>
        <vt:i4>54</vt:i4>
      </vt:variant>
      <vt:variant>
        <vt:i4>0</vt:i4>
      </vt:variant>
      <vt:variant>
        <vt:i4>5</vt:i4>
      </vt:variant>
      <vt:variant>
        <vt:lpwstr>http://www.nevo.co.il/case/6834904</vt:lpwstr>
      </vt:variant>
      <vt:variant>
        <vt:lpwstr/>
      </vt:variant>
      <vt:variant>
        <vt:i4>3604592</vt:i4>
      </vt:variant>
      <vt:variant>
        <vt:i4>51</vt:i4>
      </vt:variant>
      <vt:variant>
        <vt:i4>0</vt:i4>
      </vt:variant>
      <vt:variant>
        <vt:i4>5</vt:i4>
      </vt:variant>
      <vt:variant>
        <vt:lpwstr>http://www.nevo.co.il/case/24287803</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12612</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אורן אסרף</vt:lpwstr>
  </property>
  <property fmtid="{D5CDD505-2E9C-101B-9397-08002B2CF9AE}" pid="10" name="LAWYER">
    <vt:lpwstr>מונא מנסור;שושנה גולדשטיין</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20221129</vt:lpwstr>
  </property>
  <property fmtid="{D5CDD505-2E9C-101B-9397-08002B2CF9AE}" pid="14" name="TYPE_N_DATE">
    <vt:lpwstr>39020221129</vt:lpwstr>
  </property>
  <property fmtid="{D5CDD505-2E9C-101B-9397-08002B2CF9AE}" pid="15" name="WORDNUMPAGES">
    <vt:lpwstr>7</vt:lpwstr>
  </property>
  <property fmtid="{D5CDD505-2E9C-101B-9397-08002B2CF9AE}" pid="16" name="TYPE_ABS_DATE">
    <vt:lpwstr>390020221129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24287803;6834904;13070717;20412551;5753269;26541540;25386231;24263044;23750885;17948120;6246245</vt:lpwstr>
  </property>
  <property fmtid="{D5CDD505-2E9C-101B-9397-08002B2CF9AE}" pid="36" name="LAWLISTTMP1">
    <vt:lpwstr>4216/013:3;019a;007.a:3;007.c:3</vt:lpwstr>
  </property>
  <property fmtid="{D5CDD505-2E9C-101B-9397-08002B2CF9AE}" pid="37" name="LAWLISTTMP2">
    <vt:lpwstr>70301/029;025</vt:lpwstr>
  </property>
</Properties>
</file>