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643BE" w:rsidRPr="0065449C" w14:paraId="52A8B692" w14:textId="77777777" w:rsidTr="00DA0DCD">
        <w:trPr>
          <w:trHeight w:hRule="exact" w:val="418"/>
          <w:jc w:val="center"/>
        </w:trPr>
        <w:tc>
          <w:tcPr>
            <w:tcW w:w="8721" w:type="dxa"/>
            <w:gridSpan w:val="2"/>
          </w:tcPr>
          <w:p w14:paraId="0E64F8C8" w14:textId="77777777" w:rsidR="006643BE" w:rsidRPr="0065449C" w:rsidRDefault="006643BE" w:rsidP="00146FB1">
            <w:pPr>
              <w:pStyle w:val="a3"/>
              <w:jc w:val="center"/>
              <w:rPr>
                <w:rFonts w:ascii="Tahoma" w:hAnsi="Tahoma" w:cs="Tahoma"/>
                <w:color w:val="000080"/>
                <w:rtl/>
              </w:rPr>
            </w:pPr>
            <w:bookmarkStart w:id="0" w:name="LastJudge"/>
            <w:r w:rsidRPr="0065449C">
              <w:rPr>
                <w:rFonts w:ascii="Tahoma" w:hAnsi="Tahoma" w:cs="Tahoma"/>
                <w:b/>
                <w:bCs/>
                <w:color w:val="000080"/>
                <w:rtl/>
              </w:rPr>
              <w:t>בית המשפט המחוזי בירושלים</w:t>
            </w:r>
          </w:p>
        </w:tc>
      </w:tr>
      <w:tr w:rsidR="006643BE" w:rsidRPr="0065449C" w14:paraId="188DD6AC" w14:textId="77777777" w:rsidTr="00DA0DCD">
        <w:trPr>
          <w:trHeight w:val="337"/>
          <w:jc w:val="center"/>
        </w:trPr>
        <w:tc>
          <w:tcPr>
            <w:tcW w:w="5058" w:type="dxa"/>
          </w:tcPr>
          <w:p w14:paraId="2D70D56F" w14:textId="77777777" w:rsidR="006643BE" w:rsidRPr="0065449C" w:rsidRDefault="006643BE" w:rsidP="00146FB1">
            <w:pPr>
              <w:rPr>
                <w:rFonts w:cs="FrankRuehl"/>
                <w:sz w:val="28"/>
                <w:szCs w:val="28"/>
                <w:rtl/>
              </w:rPr>
            </w:pPr>
            <w:r w:rsidRPr="0065449C">
              <w:rPr>
                <w:rFonts w:cs="FrankRuehl"/>
                <w:sz w:val="28"/>
                <w:szCs w:val="28"/>
                <w:rtl/>
              </w:rPr>
              <w:t>ת"פ</w:t>
            </w:r>
            <w:r w:rsidRPr="0065449C">
              <w:rPr>
                <w:rFonts w:cs="FrankRuehl" w:hint="cs"/>
                <w:sz w:val="28"/>
                <w:szCs w:val="28"/>
                <w:rtl/>
              </w:rPr>
              <w:t xml:space="preserve"> </w:t>
            </w:r>
            <w:r w:rsidRPr="0065449C">
              <w:rPr>
                <w:rFonts w:cs="FrankRuehl"/>
                <w:sz w:val="28"/>
                <w:szCs w:val="28"/>
                <w:rtl/>
              </w:rPr>
              <w:t>61406-10-21</w:t>
            </w:r>
            <w:r w:rsidRPr="0065449C">
              <w:rPr>
                <w:rFonts w:cs="FrankRuehl" w:hint="cs"/>
                <w:sz w:val="28"/>
                <w:szCs w:val="28"/>
                <w:rtl/>
              </w:rPr>
              <w:t xml:space="preserve"> </w:t>
            </w:r>
            <w:r w:rsidRPr="0065449C">
              <w:rPr>
                <w:rFonts w:cs="FrankRuehl"/>
                <w:sz w:val="28"/>
                <w:szCs w:val="28"/>
                <w:rtl/>
              </w:rPr>
              <w:t>מדינת ישראל נ' ולטמן(עציר)</w:t>
            </w:r>
          </w:p>
          <w:p w14:paraId="5CB8C75C" w14:textId="77777777" w:rsidR="006643BE" w:rsidRPr="0065449C" w:rsidRDefault="006643BE" w:rsidP="00146FB1">
            <w:pPr>
              <w:pStyle w:val="a3"/>
              <w:rPr>
                <w:rFonts w:cs="FrankRuehl"/>
                <w:sz w:val="28"/>
                <w:szCs w:val="28"/>
                <w:rtl/>
              </w:rPr>
            </w:pPr>
          </w:p>
        </w:tc>
        <w:tc>
          <w:tcPr>
            <w:tcW w:w="3663" w:type="dxa"/>
          </w:tcPr>
          <w:p w14:paraId="37C4EB90" w14:textId="77777777" w:rsidR="006643BE" w:rsidRPr="0065449C" w:rsidRDefault="006643BE" w:rsidP="00146FB1">
            <w:pPr>
              <w:pStyle w:val="a3"/>
              <w:jc w:val="right"/>
              <w:rPr>
                <w:rFonts w:cs="FrankRuehl"/>
                <w:sz w:val="28"/>
                <w:szCs w:val="28"/>
                <w:rtl/>
              </w:rPr>
            </w:pPr>
          </w:p>
        </w:tc>
      </w:tr>
    </w:tbl>
    <w:p w14:paraId="1471326B" w14:textId="77777777" w:rsidR="006643BE" w:rsidRPr="0065449C" w:rsidRDefault="006643BE" w:rsidP="00DA0DCD">
      <w:pPr>
        <w:pStyle w:val="a3"/>
        <w:rPr>
          <w:sz w:val="20"/>
          <w:szCs w:val="20"/>
          <w:rtl/>
        </w:rPr>
      </w:pPr>
      <w:r w:rsidRPr="0065449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5245"/>
      </w:tblGrid>
      <w:tr w:rsidR="006643BE" w:rsidRPr="0065449C" w14:paraId="27397F1D" w14:textId="77777777" w:rsidTr="006643BE">
        <w:trPr>
          <w:trHeight w:val="295"/>
          <w:jc w:val="center"/>
        </w:trPr>
        <w:tc>
          <w:tcPr>
            <w:tcW w:w="8820" w:type="dxa"/>
            <w:gridSpan w:val="2"/>
            <w:tcBorders>
              <w:top w:val="nil"/>
              <w:left w:val="nil"/>
              <w:bottom w:val="nil"/>
              <w:right w:val="nil"/>
            </w:tcBorders>
            <w:shd w:val="clear" w:color="auto" w:fill="auto"/>
          </w:tcPr>
          <w:p w14:paraId="55A7F39C" w14:textId="77777777" w:rsidR="006643BE" w:rsidRPr="0065449C" w:rsidRDefault="006643BE" w:rsidP="006643BE">
            <w:pPr>
              <w:jc w:val="right"/>
              <w:rPr>
                <w:rFonts w:ascii="David" w:hAnsi="David"/>
                <w:b/>
                <w:bCs/>
                <w:sz w:val="26"/>
                <w:szCs w:val="26"/>
                <w:rtl/>
              </w:rPr>
            </w:pPr>
            <w:r w:rsidRPr="0065449C">
              <w:rPr>
                <w:rFonts w:ascii="David" w:hAnsi="David" w:hint="cs"/>
                <w:b/>
                <w:bCs/>
                <w:sz w:val="26"/>
                <w:szCs w:val="26"/>
                <w:rtl/>
              </w:rPr>
              <w:t>20.9.2022</w:t>
            </w:r>
          </w:p>
        </w:tc>
      </w:tr>
      <w:tr w:rsidR="006643BE" w:rsidRPr="0065449C" w14:paraId="2F27D3D7" w14:textId="77777777" w:rsidTr="006643BE">
        <w:trPr>
          <w:trHeight w:val="295"/>
          <w:jc w:val="center"/>
        </w:trPr>
        <w:tc>
          <w:tcPr>
            <w:tcW w:w="8820" w:type="dxa"/>
            <w:gridSpan w:val="2"/>
            <w:tcBorders>
              <w:top w:val="nil"/>
              <w:left w:val="nil"/>
              <w:bottom w:val="nil"/>
              <w:right w:val="nil"/>
            </w:tcBorders>
            <w:shd w:val="clear" w:color="auto" w:fill="auto"/>
          </w:tcPr>
          <w:p w14:paraId="63CE5466" w14:textId="77777777" w:rsidR="006643BE" w:rsidRPr="0065449C" w:rsidRDefault="006643BE" w:rsidP="006643BE">
            <w:pPr>
              <w:jc w:val="both"/>
              <w:rPr>
                <w:rFonts w:ascii="David" w:hAnsi="David"/>
                <w:b/>
                <w:bCs/>
                <w:sz w:val="26"/>
                <w:szCs w:val="26"/>
                <w:rtl/>
              </w:rPr>
            </w:pPr>
            <w:r w:rsidRPr="0065449C">
              <w:rPr>
                <w:rFonts w:ascii="David" w:hAnsi="David" w:hint="cs"/>
                <w:b/>
                <w:bCs/>
                <w:sz w:val="26"/>
                <w:szCs w:val="26"/>
                <w:rtl/>
              </w:rPr>
              <w:t>ל</w:t>
            </w:r>
            <w:r w:rsidRPr="0065449C">
              <w:rPr>
                <w:rFonts w:ascii="David" w:hAnsi="David"/>
                <w:b/>
                <w:bCs/>
                <w:sz w:val="26"/>
                <w:szCs w:val="26"/>
                <w:rtl/>
              </w:rPr>
              <w:t>פני כבוד השופטת  תמר בר-אשר</w:t>
            </w:r>
          </w:p>
          <w:p w14:paraId="7D88B73A" w14:textId="77777777" w:rsidR="006643BE" w:rsidRPr="0065449C" w:rsidRDefault="006643BE" w:rsidP="00146FB1">
            <w:pPr>
              <w:rPr>
                <w:rFonts w:ascii="David" w:hAnsi="David"/>
                <w:rtl/>
              </w:rPr>
            </w:pPr>
          </w:p>
          <w:p w14:paraId="00EA14AD" w14:textId="77777777" w:rsidR="006643BE" w:rsidRPr="0065449C" w:rsidRDefault="006643BE" w:rsidP="006643BE">
            <w:pPr>
              <w:jc w:val="both"/>
              <w:rPr>
                <w:rFonts w:ascii="David" w:hAnsi="David"/>
              </w:rPr>
            </w:pPr>
          </w:p>
        </w:tc>
      </w:tr>
      <w:tr w:rsidR="006643BE" w:rsidRPr="0065449C" w14:paraId="2CE2D8C3" w14:textId="77777777" w:rsidTr="006643BE">
        <w:trPr>
          <w:trHeight w:val="355"/>
          <w:jc w:val="center"/>
        </w:trPr>
        <w:tc>
          <w:tcPr>
            <w:tcW w:w="3575" w:type="dxa"/>
            <w:tcBorders>
              <w:top w:val="nil"/>
              <w:left w:val="nil"/>
              <w:bottom w:val="nil"/>
              <w:right w:val="nil"/>
            </w:tcBorders>
            <w:shd w:val="clear" w:color="auto" w:fill="auto"/>
            <w:vAlign w:val="center"/>
          </w:tcPr>
          <w:p w14:paraId="25F6B247" w14:textId="77777777" w:rsidR="006643BE" w:rsidRPr="0065449C" w:rsidRDefault="006643BE" w:rsidP="006643BE">
            <w:pPr>
              <w:suppressLineNumbers/>
              <w:rPr>
                <w:rFonts w:ascii="David" w:hAnsi="David"/>
                <w:sz w:val="26"/>
                <w:szCs w:val="26"/>
              </w:rPr>
            </w:pPr>
            <w:bookmarkStart w:id="1" w:name="FirstAppellant"/>
            <w:r w:rsidRPr="0065449C">
              <w:rPr>
                <w:rFonts w:ascii="Arial" w:hAnsi="Arial" w:hint="cs"/>
                <w:b/>
                <w:bCs/>
                <w:sz w:val="26"/>
                <w:szCs w:val="26"/>
                <w:rtl/>
              </w:rPr>
              <w:t>ה</w:t>
            </w:r>
            <w:r w:rsidRPr="0065449C">
              <w:rPr>
                <w:rFonts w:ascii="Arial" w:hAnsi="Arial"/>
                <w:b/>
                <w:bCs/>
                <w:sz w:val="26"/>
                <w:szCs w:val="26"/>
                <w:rtl/>
              </w:rPr>
              <w:t>מאשימה</w:t>
            </w:r>
          </w:p>
        </w:tc>
        <w:tc>
          <w:tcPr>
            <w:tcW w:w="5245" w:type="dxa"/>
            <w:tcBorders>
              <w:top w:val="nil"/>
              <w:left w:val="nil"/>
              <w:bottom w:val="nil"/>
              <w:right w:val="nil"/>
            </w:tcBorders>
            <w:shd w:val="clear" w:color="auto" w:fill="auto"/>
            <w:vAlign w:val="center"/>
          </w:tcPr>
          <w:p w14:paraId="0422249A" w14:textId="77777777" w:rsidR="006643BE" w:rsidRPr="0065449C" w:rsidRDefault="006643BE" w:rsidP="006643BE">
            <w:pPr>
              <w:suppressLineNumbers/>
              <w:rPr>
                <w:rFonts w:ascii="David" w:hAnsi="David"/>
                <w:sz w:val="26"/>
                <w:szCs w:val="26"/>
              </w:rPr>
            </w:pPr>
            <w:r w:rsidRPr="0065449C">
              <w:rPr>
                <w:rFonts w:ascii="Arial" w:hAnsi="Arial"/>
                <w:b/>
                <w:bCs/>
                <w:sz w:val="26"/>
                <w:szCs w:val="26"/>
                <w:rtl/>
              </w:rPr>
              <w:t>מדינת ישראל</w:t>
            </w:r>
          </w:p>
        </w:tc>
      </w:tr>
      <w:bookmarkEnd w:id="1"/>
      <w:tr w:rsidR="006643BE" w:rsidRPr="0065449C" w14:paraId="64040845" w14:textId="77777777" w:rsidTr="006643BE">
        <w:trPr>
          <w:trHeight w:val="355"/>
          <w:jc w:val="center"/>
        </w:trPr>
        <w:tc>
          <w:tcPr>
            <w:tcW w:w="8820" w:type="dxa"/>
            <w:gridSpan w:val="2"/>
            <w:tcBorders>
              <w:top w:val="nil"/>
              <w:left w:val="nil"/>
              <w:bottom w:val="nil"/>
              <w:right w:val="nil"/>
            </w:tcBorders>
            <w:shd w:val="clear" w:color="auto" w:fill="auto"/>
          </w:tcPr>
          <w:p w14:paraId="15A28480" w14:textId="77777777" w:rsidR="006643BE" w:rsidRPr="0065449C" w:rsidRDefault="006643BE" w:rsidP="006643BE">
            <w:pPr>
              <w:jc w:val="center"/>
              <w:rPr>
                <w:rFonts w:ascii="David" w:hAnsi="David"/>
                <w:b/>
                <w:bCs/>
                <w:rtl/>
              </w:rPr>
            </w:pPr>
          </w:p>
          <w:p w14:paraId="16C1E18E" w14:textId="77777777" w:rsidR="006643BE" w:rsidRPr="0065449C" w:rsidRDefault="006643BE" w:rsidP="006643BE">
            <w:pPr>
              <w:jc w:val="center"/>
              <w:rPr>
                <w:rFonts w:ascii="David" w:hAnsi="David"/>
                <w:b/>
                <w:bCs/>
                <w:sz w:val="26"/>
                <w:szCs w:val="26"/>
                <w:rtl/>
              </w:rPr>
            </w:pPr>
            <w:r w:rsidRPr="0065449C">
              <w:rPr>
                <w:rFonts w:ascii="David" w:hAnsi="David"/>
                <w:b/>
                <w:bCs/>
                <w:sz w:val="26"/>
                <w:szCs w:val="26"/>
                <w:rtl/>
              </w:rPr>
              <w:t>נגד</w:t>
            </w:r>
          </w:p>
          <w:p w14:paraId="26F6C583" w14:textId="77777777" w:rsidR="006643BE" w:rsidRPr="0065449C" w:rsidRDefault="006643BE" w:rsidP="006643BE">
            <w:pPr>
              <w:jc w:val="both"/>
              <w:rPr>
                <w:rFonts w:ascii="David" w:hAnsi="David"/>
              </w:rPr>
            </w:pPr>
          </w:p>
        </w:tc>
      </w:tr>
      <w:tr w:rsidR="006643BE" w:rsidRPr="0065449C" w14:paraId="6397766E" w14:textId="77777777" w:rsidTr="006643BE">
        <w:trPr>
          <w:trHeight w:val="355"/>
          <w:jc w:val="center"/>
        </w:trPr>
        <w:tc>
          <w:tcPr>
            <w:tcW w:w="3575" w:type="dxa"/>
            <w:tcBorders>
              <w:top w:val="nil"/>
              <w:left w:val="nil"/>
              <w:bottom w:val="nil"/>
              <w:right w:val="nil"/>
            </w:tcBorders>
            <w:shd w:val="clear" w:color="auto" w:fill="auto"/>
            <w:vAlign w:val="center"/>
          </w:tcPr>
          <w:p w14:paraId="09BE20D0" w14:textId="77777777" w:rsidR="006643BE" w:rsidRPr="0065449C" w:rsidRDefault="006643BE" w:rsidP="00146FB1">
            <w:pPr>
              <w:rPr>
                <w:rFonts w:ascii="Arial" w:hAnsi="Arial"/>
                <w:b/>
                <w:bCs/>
                <w:sz w:val="26"/>
                <w:szCs w:val="26"/>
                <w:rtl/>
              </w:rPr>
            </w:pPr>
            <w:r w:rsidRPr="0065449C">
              <w:rPr>
                <w:rFonts w:ascii="Arial" w:hAnsi="Arial"/>
                <w:b/>
                <w:bCs/>
                <w:sz w:val="26"/>
                <w:szCs w:val="26"/>
                <w:rtl/>
              </w:rPr>
              <w:t>הנאשם</w:t>
            </w:r>
          </w:p>
        </w:tc>
        <w:tc>
          <w:tcPr>
            <w:tcW w:w="5245" w:type="dxa"/>
            <w:tcBorders>
              <w:top w:val="nil"/>
              <w:left w:val="nil"/>
              <w:bottom w:val="nil"/>
              <w:right w:val="nil"/>
            </w:tcBorders>
            <w:shd w:val="clear" w:color="auto" w:fill="auto"/>
            <w:vAlign w:val="center"/>
          </w:tcPr>
          <w:p w14:paraId="5DFD9058" w14:textId="77777777" w:rsidR="006643BE" w:rsidRPr="0065449C" w:rsidRDefault="006643BE" w:rsidP="006643BE">
            <w:pPr>
              <w:suppressLineNumbers/>
              <w:rPr>
                <w:rFonts w:ascii="David" w:hAnsi="David"/>
                <w:sz w:val="26"/>
                <w:szCs w:val="26"/>
              </w:rPr>
            </w:pPr>
            <w:r w:rsidRPr="0065449C">
              <w:rPr>
                <w:rFonts w:ascii="Arial" w:hAnsi="Arial"/>
                <w:b/>
                <w:bCs/>
                <w:sz w:val="26"/>
                <w:szCs w:val="26"/>
                <w:rtl/>
              </w:rPr>
              <w:t>מיכאל ולטמן (עציר)</w:t>
            </w:r>
          </w:p>
        </w:tc>
      </w:tr>
    </w:tbl>
    <w:p w14:paraId="44A73A78" w14:textId="77777777" w:rsidR="006643BE" w:rsidRPr="0065449C" w:rsidRDefault="006643BE" w:rsidP="006643BE">
      <w:pPr>
        <w:rPr>
          <w:sz w:val="20"/>
          <w:szCs w:val="20"/>
          <w:rtl/>
        </w:rPr>
      </w:pPr>
    </w:p>
    <w:p w14:paraId="5E7AE5A2" w14:textId="77777777" w:rsidR="006643BE" w:rsidRPr="0065449C" w:rsidRDefault="006643BE" w:rsidP="006643BE">
      <w:pPr>
        <w:rPr>
          <w:sz w:val="20"/>
          <w:szCs w:val="20"/>
          <w:rtl/>
        </w:rPr>
      </w:pPr>
    </w:p>
    <w:p w14:paraId="2BC8621A" w14:textId="77777777" w:rsidR="006643BE" w:rsidRPr="0065449C" w:rsidRDefault="006643BE" w:rsidP="006643BE">
      <w:pPr>
        <w:rPr>
          <w:rtl/>
        </w:rPr>
      </w:pPr>
      <w:bookmarkStart w:id="2" w:name="FirstLawyer"/>
      <w:r w:rsidRPr="0065449C">
        <w:rPr>
          <w:rFonts w:hint="cs"/>
          <w:rtl/>
        </w:rPr>
        <w:t>בא-כ</w:t>
      </w:r>
      <w:bookmarkEnd w:id="2"/>
      <w:r w:rsidRPr="0065449C">
        <w:rPr>
          <w:rFonts w:hint="cs"/>
          <w:rtl/>
        </w:rPr>
        <w:t>וח המאשימה:</w:t>
      </w:r>
      <w:r w:rsidRPr="0065449C">
        <w:rPr>
          <w:rtl/>
        </w:rPr>
        <w:tab/>
      </w:r>
      <w:r w:rsidRPr="0065449C">
        <w:rPr>
          <w:rFonts w:hint="cs"/>
          <w:rtl/>
        </w:rPr>
        <w:t>עו"ד בני ליבסקינד (פרקליטות מחוז ירושלים (פלילי))</w:t>
      </w:r>
    </w:p>
    <w:p w14:paraId="416848A7" w14:textId="77777777" w:rsidR="006643BE" w:rsidRPr="0065449C" w:rsidRDefault="006643BE" w:rsidP="006643BE">
      <w:pPr>
        <w:rPr>
          <w:rtl/>
        </w:rPr>
      </w:pPr>
      <w:r w:rsidRPr="0065449C">
        <w:rPr>
          <w:rFonts w:hint="cs"/>
          <w:rtl/>
        </w:rPr>
        <w:t>באי-כוח הנאשם:</w:t>
      </w:r>
      <w:r w:rsidRPr="0065449C">
        <w:rPr>
          <w:rtl/>
        </w:rPr>
        <w:tab/>
      </w:r>
      <w:r w:rsidRPr="0065449C">
        <w:rPr>
          <w:rFonts w:hint="cs"/>
          <w:rtl/>
        </w:rPr>
        <w:t>עו"ד מתי צעידי, עו"ד יוסי פלסיוס קליין</w:t>
      </w:r>
    </w:p>
    <w:p w14:paraId="58B7F3E7" w14:textId="77777777" w:rsidR="006643BE" w:rsidRPr="0065449C" w:rsidRDefault="006643BE" w:rsidP="006643BE">
      <w:pPr>
        <w:rPr>
          <w:sz w:val="20"/>
          <w:szCs w:val="20"/>
          <w:rtl/>
        </w:rPr>
      </w:pPr>
    </w:p>
    <w:p w14:paraId="2414B877" w14:textId="77777777" w:rsidR="00DA0DCD" w:rsidRDefault="00DA0DCD" w:rsidP="006643BE">
      <w:pPr>
        <w:rPr>
          <w:sz w:val="20"/>
          <w:szCs w:val="20"/>
          <w:rtl/>
        </w:rPr>
      </w:pPr>
    </w:p>
    <w:p w14:paraId="49F57503" w14:textId="77777777" w:rsidR="00DA0DCD" w:rsidRPr="00DA0DCD" w:rsidRDefault="00DA0DCD" w:rsidP="00DA0DCD">
      <w:pPr>
        <w:spacing w:after="120" w:line="240" w:lineRule="exact"/>
        <w:ind w:left="283" w:hanging="283"/>
        <w:jc w:val="both"/>
        <w:rPr>
          <w:rFonts w:ascii="FrankRuehl" w:hAnsi="FrankRuehl" w:cs="FrankRuehl"/>
          <w:rtl/>
        </w:rPr>
      </w:pPr>
    </w:p>
    <w:p w14:paraId="6896CE60" w14:textId="77777777" w:rsidR="005C166E" w:rsidRPr="005C166E" w:rsidRDefault="005C166E" w:rsidP="005C166E">
      <w:pPr>
        <w:spacing w:before="120" w:after="120" w:line="240" w:lineRule="exact"/>
        <w:ind w:left="283" w:hanging="283"/>
        <w:jc w:val="both"/>
        <w:rPr>
          <w:rFonts w:ascii="FrankRuehl" w:hAnsi="FrankRuehl" w:cs="FrankRuehl"/>
          <w:rtl/>
        </w:rPr>
      </w:pPr>
    </w:p>
    <w:p w14:paraId="7C78345A" w14:textId="77777777" w:rsidR="00BC44F8" w:rsidRDefault="00BC44F8" w:rsidP="00BC44F8">
      <w:pPr>
        <w:jc w:val="center"/>
        <w:rPr>
          <w:rFonts w:ascii="David" w:hAnsi="David"/>
          <w:sz w:val="28"/>
          <w:szCs w:val="28"/>
          <w:rtl/>
        </w:rPr>
      </w:pPr>
      <w:bookmarkStart w:id="3" w:name="LawTable"/>
      <w:bookmarkEnd w:id="3"/>
    </w:p>
    <w:p w14:paraId="2A7D6E16" w14:textId="77777777" w:rsidR="00BC44F8" w:rsidRPr="00BC44F8" w:rsidRDefault="00BC44F8" w:rsidP="00BC44F8">
      <w:pPr>
        <w:spacing w:before="120" w:after="120" w:line="240" w:lineRule="exact"/>
        <w:ind w:left="283" w:hanging="283"/>
        <w:jc w:val="both"/>
        <w:rPr>
          <w:rFonts w:ascii="FrankRuehl" w:hAnsi="FrankRuehl" w:cs="FrankRuehl"/>
          <w:rtl/>
        </w:rPr>
      </w:pPr>
    </w:p>
    <w:p w14:paraId="28F5128B" w14:textId="77777777" w:rsidR="00BC44F8" w:rsidRPr="00BC44F8" w:rsidRDefault="00BC44F8" w:rsidP="00BC44F8">
      <w:pPr>
        <w:spacing w:before="120" w:after="120" w:line="240" w:lineRule="exact"/>
        <w:ind w:left="283" w:hanging="283"/>
        <w:jc w:val="both"/>
        <w:rPr>
          <w:rFonts w:ascii="FrankRuehl" w:hAnsi="FrankRuehl" w:cs="FrankRuehl"/>
          <w:rtl/>
        </w:rPr>
      </w:pPr>
    </w:p>
    <w:p w14:paraId="5CD51C16" w14:textId="77777777" w:rsidR="00BC44F8" w:rsidRPr="00BC44F8" w:rsidRDefault="00BC44F8" w:rsidP="00BC44F8">
      <w:pPr>
        <w:spacing w:before="120" w:after="120" w:line="240" w:lineRule="exact"/>
        <w:ind w:left="283" w:hanging="283"/>
        <w:jc w:val="both"/>
        <w:rPr>
          <w:rFonts w:ascii="FrankRuehl" w:hAnsi="FrankRuehl" w:cs="FrankRuehl"/>
          <w:rtl/>
        </w:rPr>
      </w:pPr>
      <w:r w:rsidRPr="00BC44F8">
        <w:rPr>
          <w:rFonts w:ascii="FrankRuehl" w:hAnsi="FrankRuehl" w:cs="FrankRuehl"/>
          <w:rtl/>
        </w:rPr>
        <w:t xml:space="preserve">חקיקה שאוזכרה: </w:t>
      </w:r>
    </w:p>
    <w:p w14:paraId="76A35DAB" w14:textId="77777777" w:rsidR="00BC44F8" w:rsidRPr="00BC44F8" w:rsidRDefault="00BC44F8" w:rsidP="00BC44F8">
      <w:pPr>
        <w:spacing w:before="120" w:after="120" w:line="240" w:lineRule="exact"/>
        <w:ind w:left="283" w:hanging="283"/>
        <w:jc w:val="both"/>
        <w:rPr>
          <w:rFonts w:ascii="FrankRuehl" w:hAnsi="FrankRuehl" w:cs="FrankRuehl"/>
          <w:rtl/>
        </w:rPr>
      </w:pPr>
      <w:hyperlink r:id="rId6" w:history="1">
        <w:r w:rsidRPr="00BC44F8">
          <w:rPr>
            <w:rFonts w:ascii="FrankRuehl" w:hAnsi="FrankRuehl" w:cs="FrankRuehl"/>
            <w:color w:val="0000FF"/>
            <w:rtl/>
          </w:rPr>
          <w:t>חוק העונשין, תשל"ז-1977</w:t>
        </w:r>
      </w:hyperlink>
      <w:r w:rsidRPr="00BC44F8">
        <w:rPr>
          <w:rFonts w:ascii="FrankRuehl" w:hAnsi="FrankRuehl" w:cs="FrankRuehl"/>
          <w:rtl/>
        </w:rPr>
        <w:t xml:space="preserve">: סע'  </w:t>
      </w:r>
      <w:hyperlink r:id="rId7" w:history="1">
        <w:r w:rsidRPr="00BC44F8">
          <w:rPr>
            <w:rFonts w:ascii="FrankRuehl" w:hAnsi="FrankRuehl" w:cs="FrankRuehl"/>
            <w:color w:val="0000FF"/>
            <w:rtl/>
          </w:rPr>
          <w:t>31</w:t>
        </w:r>
      </w:hyperlink>
      <w:r w:rsidRPr="00BC44F8">
        <w:rPr>
          <w:rFonts w:ascii="FrankRuehl" w:hAnsi="FrankRuehl" w:cs="FrankRuehl"/>
          <w:rtl/>
        </w:rPr>
        <w:t xml:space="preserve">, </w:t>
      </w:r>
      <w:hyperlink r:id="rId8" w:history="1">
        <w:r w:rsidRPr="00BC44F8">
          <w:rPr>
            <w:rFonts w:ascii="FrankRuehl" w:hAnsi="FrankRuehl" w:cs="FrankRuehl"/>
            <w:color w:val="0000FF"/>
            <w:rtl/>
          </w:rPr>
          <w:t>186</w:t>
        </w:r>
      </w:hyperlink>
      <w:r w:rsidRPr="00BC44F8">
        <w:rPr>
          <w:rFonts w:ascii="FrankRuehl" w:hAnsi="FrankRuehl" w:cs="FrankRuehl"/>
          <w:rtl/>
        </w:rPr>
        <w:t xml:space="preserve">, </w:t>
      </w:r>
      <w:hyperlink r:id="rId9" w:history="1">
        <w:r w:rsidRPr="00BC44F8">
          <w:rPr>
            <w:rFonts w:ascii="FrankRuehl" w:hAnsi="FrankRuehl" w:cs="FrankRuehl"/>
            <w:color w:val="0000FF"/>
            <w:rtl/>
          </w:rPr>
          <w:t>244</w:t>
        </w:r>
      </w:hyperlink>
      <w:r w:rsidRPr="00BC44F8">
        <w:rPr>
          <w:rFonts w:ascii="FrankRuehl" w:hAnsi="FrankRuehl" w:cs="FrankRuehl"/>
          <w:rtl/>
        </w:rPr>
        <w:t xml:space="preserve">, </w:t>
      </w:r>
      <w:hyperlink r:id="rId10" w:history="1">
        <w:r w:rsidRPr="00BC44F8">
          <w:rPr>
            <w:rFonts w:ascii="FrankRuehl" w:hAnsi="FrankRuehl" w:cs="FrankRuehl"/>
            <w:color w:val="0000FF"/>
            <w:rtl/>
          </w:rPr>
          <w:t>413ה</w:t>
        </w:r>
      </w:hyperlink>
      <w:r w:rsidRPr="00BC44F8">
        <w:rPr>
          <w:rFonts w:ascii="FrankRuehl" w:hAnsi="FrankRuehl" w:cs="FrankRuehl"/>
          <w:rtl/>
        </w:rPr>
        <w:t xml:space="preserve">, </w:t>
      </w:r>
      <w:hyperlink r:id="rId11" w:history="1">
        <w:r w:rsidRPr="00BC44F8">
          <w:rPr>
            <w:rFonts w:ascii="FrankRuehl" w:hAnsi="FrankRuehl" w:cs="FrankRuehl"/>
            <w:color w:val="0000FF"/>
            <w:rtl/>
          </w:rPr>
          <w:t>448</w:t>
        </w:r>
      </w:hyperlink>
    </w:p>
    <w:p w14:paraId="744D559D" w14:textId="77777777" w:rsidR="00BC44F8" w:rsidRPr="00BC44F8" w:rsidRDefault="00BC44F8" w:rsidP="00BC44F8">
      <w:pPr>
        <w:spacing w:before="120" w:after="120" w:line="240" w:lineRule="exact"/>
        <w:ind w:left="283" w:hanging="283"/>
        <w:jc w:val="both"/>
        <w:rPr>
          <w:rFonts w:ascii="FrankRuehl" w:hAnsi="FrankRuehl" w:cs="FrankRuehl"/>
          <w:rtl/>
        </w:rPr>
      </w:pPr>
      <w:hyperlink r:id="rId12" w:history="1">
        <w:r w:rsidRPr="00BC44F8">
          <w:rPr>
            <w:rFonts w:ascii="FrankRuehl" w:hAnsi="FrankRuehl" w:cs="FrankRuehl"/>
            <w:color w:val="0000FF"/>
            <w:rtl/>
          </w:rPr>
          <w:t>פקודת הסמים המסוכנים [נוסח חדש], תשל"ג-1973</w:t>
        </w:r>
      </w:hyperlink>
      <w:r w:rsidRPr="00BC44F8">
        <w:rPr>
          <w:rFonts w:ascii="FrankRuehl" w:hAnsi="FrankRuehl" w:cs="FrankRuehl"/>
          <w:rtl/>
        </w:rPr>
        <w:t xml:space="preserve">: סע'  </w:t>
      </w:r>
      <w:hyperlink r:id="rId13" w:history="1">
        <w:r w:rsidRPr="00BC44F8">
          <w:rPr>
            <w:rFonts w:ascii="FrankRuehl" w:hAnsi="FrankRuehl" w:cs="FrankRuehl"/>
            <w:color w:val="0000FF"/>
            <w:rtl/>
          </w:rPr>
          <w:t>7(א)</w:t>
        </w:r>
      </w:hyperlink>
      <w:r w:rsidRPr="00BC44F8">
        <w:rPr>
          <w:rFonts w:ascii="FrankRuehl" w:hAnsi="FrankRuehl" w:cs="FrankRuehl"/>
          <w:rtl/>
        </w:rPr>
        <w:t xml:space="preserve">, </w:t>
      </w:r>
      <w:hyperlink r:id="rId14" w:history="1">
        <w:r w:rsidRPr="00BC44F8">
          <w:rPr>
            <w:rFonts w:ascii="FrankRuehl" w:hAnsi="FrankRuehl" w:cs="FrankRuehl"/>
            <w:color w:val="0000FF"/>
            <w:rtl/>
          </w:rPr>
          <w:t>7(ג)</w:t>
        </w:r>
      </w:hyperlink>
    </w:p>
    <w:p w14:paraId="55DA68D6" w14:textId="77777777" w:rsidR="00BC44F8" w:rsidRPr="00BC44F8" w:rsidRDefault="00BC44F8" w:rsidP="00BC44F8">
      <w:pPr>
        <w:jc w:val="center"/>
        <w:rPr>
          <w:rFonts w:ascii="David" w:hAnsi="David"/>
          <w:sz w:val="28"/>
          <w:szCs w:val="28"/>
          <w:rtl/>
        </w:rPr>
      </w:pPr>
      <w:bookmarkStart w:id="4" w:name="LawTable_End"/>
      <w:bookmarkEnd w:id="4"/>
    </w:p>
    <w:p w14:paraId="36F4BCE0" w14:textId="77777777" w:rsidR="00DA0DCD" w:rsidRPr="005C166E" w:rsidRDefault="00DA0DCD" w:rsidP="005C166E">
      <w:pPr>
        <w:jc w:val="center"/>
        <w:rPr>
          <w:rFonts w:ascii="David" w:hAnsi="David"/>
          <w:sz w:val="28"/>
          <w:szCs w:val="28"/>
          <w:rtl/>
        </w:rPr>
      </w:pPr>
    </w:p>
    <w:p w14:paraId="65FE9CC3" w14:textId="77777777" w:rsidR="00DA0DCD" w:rsidRPr="0065449C" w:rsidRDefault="00DA0DCD" w:rsidP="0065449C">
      <w:pPr>
        <w:jc w:val="center"/>
        <w:rPr>
          <w:rFonts w:ascii="David" w:hAnsi="David"/>
          <w:b/>
          <w:bCs/>
          <w:sz w:val="28"/>
          <w:szCs w:val="28"/>
          <w:u w:val="single"/>
          <w:rtl/>
        </w:rPr>
      </w:pPr>
      <w:bookmarkStart w:id="5" w:name="PsakDin"/>
      <w:r w:rsidRPr="0065449C">
        <w:rPr>
          <w:rFonts w:ascii="David" w:hAnsi="David"/>
          <w:b/>
          <w:bCs/>
          <w:sz w:val="28"/>
          <w:szCs w:val="28"/>
          <w:u w:val="single"/>
          <w:rtl/>
        </w:rPr>
        <w:t>גזר דין</w:t>
      </w:r>
    </w:p>
    <w:bookmarkEnd w:id="5"/>
    <w:p w14:paraId="73D0D84D" w14:textId="77777777" w:rsidR="00DA0DCD" w:rsidRPr="006643BE" w:rsidRDefault="00DA0DCD" w:rsidP="006643BE">
      <w:pPr>
        <w:jc w:val="center"/>
        <w:rPr>
          <w:rFonts w:ascii="David" w:hAnsi="David"/>
          <w:u w:val="single"/>
          <w:rtl/>
        </w:rPr>
      </w:pPr>
    </w:p>
    <w:p w14:paraId="2E06FEA8" w14:textId="77777777" w:rsidR="006643BE" w:rsidRPr="00C67748" w:rsidRDefault="006643BE" w:rsidP="006643BE">
      <w:pPr>
        <w:spacing w:line="360" w:lineRule="auto"/>
        <w:jc w:val="both"/>
        <w:rPr>
          <w:rFonts w:ascii="Arial" w:hAnsi="Arial"/>
          <w:rtl/>
        </w:rPr>
      </w:pPr>
      <w:bookmarkStart w:id="6" w:name="ABSTRACT_START"/>
      <w:bookmarkEnd w:id="0"/>
      <w:bookmarkEnd w:id="6"/>
      <w:r w:rsidRPr="00C67748">
        <w:rPr>
          <w:rFonts w:ascii="Arial" w:hAnsi="Arial"/>
          <w:rtl/>
        </w:rPr>
        <w:t>ביום 8.6.2022 הודיעו באי-כוח הצדדים על סדר הטיעון, הנאשם הודה והורשע ולבקשת בא-כוחו, ישיבת הטיעונים לעונש התקיימה היום. בהסכמת הנאשם ובאי-כוח הצדדים, גזר הדין ניתן</w:t>
      </w:r>
      <w:r>
        <w:rPr>
          <w:rFonts w:ascii="Arial" w:hAnsi="Arial" w:hint="cs"/>
          <w:rtl/>
        </w:rPr>
        <w:t xml:space="preserve"> בהיעדרם לאחר הדיון</w:t>
      </w:r>
      <w:r w:rsidRPr="00C67748">
        <w:rPr>
          <w:rFonts w:ascii="Arial" w:hAnsi="Arial"/>
          <w:rtl/>
        </w:rPr>
        <w:t xml:space="preserve">. </w:t>
      </w:r>
    </w:p>
    <w:p w14:paraId="5D643019" w14:textId="77777777" w:rsidR="006643BE" w:rsidRPr="00C67748" w:rsidRDefault="006643BE" w:rsidP="006643BE">
      <w:pPr>
        <w:spacing w:line="360" w:lineRule="auto"/>
        <w:jc w:val="both"/>
        <w:rPr>
          <w:rFonts w:ascii="Arial" w:hAnsi="Arial"/>
          <w:rtl/>
        </w:rPr>
      </w:pPr>
    </w:p>
    <w:p w14:paraId="67960A58" w14:textId="77777777" w:rsidR="006643BE" w:rsidRPr="00C67748" w:rsidRDefault="006643BE" w:rsidP="006643BE">
      <w:pPr>
        <w:spacing w:line="360" w:lineRule="auto"/>
        <w:jc w:val="both"/>
        <w:rPr>
          <w:rFonts w:ascii="Arial" w:hAnsi="Arial"/>
          <w:rtl/>
        </w:rPr>
      </w:pPr>
      <w:bookmarkStart w:id="7" w:name="ABSTRACT_END"/>
      <w:bookmarkEnd w:id="7"/>
      <w:r w:rsidRPr="00C67748">
        <w:rPr>
          <w:rFonts w:ascii="Arial" w:hAnsi="Arial"/>
          <w:rtl/>
        </w:rPr>
        <w:t>1.</w:t>
      </w:r>
      <w:r w:rsidRPr="00C67748">
        <w:rPr>
          <w:rFonts w:ascii="Arial" w:hAnsi="Arial"/>
          <w:rtl/>
        </w:rPr>
        <w:tab/>
      </w:r>
      <w:r w:rsidRPr="00C67748">
        <w:rPr>
          <w:rFonts w:ascii="Arial" w:hAnsi="Arial"/>
          <w:b/>
          <w:bCs/>
          <w:u w:val="single"/>
          <w:rtl/>
        </w:rPr>
        <w:t>הכרעת הדין</w:t>
      </w:r>
      <w:r w:rsidRPr="00C67748">
        <w:rPr>
          <w:rFonts w:ascii="Arial" w:hAnsi="Arial"/>
          <w:b/>
          <w:bCs/>
          <w:rtl/>
        </w:rPr>
        <w:t>:</w:t>
      </w:r>
      <w:r w:rsidRPr="00C67748">
        <w:rPr>
          <w:rFonts w:ascii="Arial" w:hAnsi="Arial"/>
          <w:rtl/>
        </w:rPr>
        <w:t xml:space="preserve"> הנאשם, יליד 4.11.1994 (כבן 28), הודה בעובדות כתב אישום מתוקן במסגרת הסדר טיעון ובהתאם לכך הורשע ביום 8.6.2022 בעבירות הבאות: </w:t>
      </w:r>
      <w:r w:rsidRPr="00C67748">
        <w:rPr>
          <w:rFonts w:ascii="Arial" w:hAnsi="Arial"/>
          <w:b/>
          <w:bCs/>
          <w:rtl/>
        </w:rPr>
        <w:t>סיוע להצתה</w:t>
      </w:r>
      <w:r w:rsidRPr="00C67748">
        <w:rPr>
          <w:rFonts w:ascii="Arial" w:hAnsi="Arial"/>
          <w:rtl/>
        </w:rPr>
        <w:t xml:space="preserve">, לפי </w:t>
      </w:r>
      <w:hyperlink r:id="rId15" w:history="1">
        <w:r w:rsidR="00DA0DCD" w:rsidRPr="00DA0DCD">
          <w:rPr>
            <w:rStyle w:val="Hyperlink"/>
            <w:rFonts w:ascii="Arial" w:hAnsi="Arial"/>
            <w:rtl/>
          </w:rPr>
          <w:t>סעיף 448</w:t>
        </w:r>
      </w:hyperlink>
      <w:r w:rsidRPr="00C67748">
        <w:rPr>
          <w:rFonts w:ascii="Arial" w:hAnsi="Arial"/>
          <w:rtl/>
        </w:rPr>
        <w:t xml:space="preserve"> רישה בצירוף </w:t>
      </w:r>
      <w:hyperlink r:id="rId16" w:history="1">
        <w:r w:rsidR="00DA0DCD" w:rsidRPr="00DA0DCD">
          <w:rPr>
            <w:rStyle w:val="Hyperlink"/>
            <w:rFonts w:ascii="Arial" w:hAnsi="Arial"/>
            <w:rtl/>
          </w:rPr>
          <w:t>סעיף 31</w:t>
        </w:r>
      </w:hyperlink>
      <w:r w:rsidRPr="00C67748">
        <w:rPr>
          <w:rFonts w:ascii="Arial" w:hAnsi="Arial"/>
          <w:rtl/>
        </w:rPr>
        <w:t xml:space="preserve"> ב</w:t>
      </w:r>
      <w:hyperlink r:id="rId17" w:history="1">
        <w:r w:rsidR="0065449C" w:rsidRPr="0065449C">
          <w:rPr>
            <w:rFonts w:ascii="Arial" w:hAnsi="Arial"/>
            <w:color w:val="0000FF"/>
            <w:u w:val="single"/>
            <w:rtl/>
          </w:rPr>
          <w:t>חוק העונשין</w:t>
        </w:r>
      </w:hyperlink>
      <w:r w:rsidRPr="00C67748">
        <w:rPr>
          <w:rFonts w:ascii="Arial" w:hAnsi="Arial"/>
          <w:rtl/>
        </w:rPr>
        <w:t xml:space="preserve">, התשל"ז-1977 (להלן – </w:t>
      </w:r>
      <w:r w:rsidRPr="00C67748">
        <w:rPr>
          <w:rFonts w:ascii="Arial" w:hAnsi="Arial"/>
          <w:b/>
          <w:bCs/>
          <w:rtl/>
        </w:rPr>
        <w:t>החוק</w:t>
      </w:r>
      <w:r w:rsidRPr="00C67748">
        <w:rPr>
          <w:rFonts w:ascii="Arial" w:hAnsi="Arial"/>
          <w:rtl/>
        </w:rPr>
        <w:t xml:space="preserve">); </w:t>
      </w:r>
      <w:r w:rsidRPr="00C67748">
        <w:rPr>
          <w:rFonts w:ascii="Arial" w:hAnsi="Arial"/>
          <w:b/>
          <w:bCs/>
          <w:rtl/>
        </w:rPr>
        <w:t>סיוע לחבלה במזיד לרכב</w:t>
      </w:r>
      <w:r w:rsidRPr="00C67748">
        <w:rPr>
          <w:rFonts w:ascii="Arial" w:hAnsi="Arial"/>
          <w:rtl/>
        </w:rPr>
        <w:t xml:space="preserve">, לפי </w:t>
      </w:r>
      <w:hyperlink r:id="rId18" w:history="1">
        <w:r w:rsidR="00DA0DCD" w:rsidRPr="00DA0DCD">
          <w:rPr>
            <w:rStyle w:val="Hyperlink"/>
            <w:rFonts w:ascii="Arial" w:hAnsi="Arial"/>
            <w:rtl/>
          </w:rPr>
          <w:t>סעיף 413ה</w:t>
        </w:r>
      </w:hyperlink>
      <w:r w:rsidRPr="00C67748">
        <w:rPr>
          <w:rFonts w:ascii="Arial" w:hAnsi="Arial"/>
          <w:rtl/>
        </w:rPr>
        <w:t xml:space="preserve"> בצירוף </w:t>
      </w:r>
      <w:hyperlink r:id="rId19" w:history="1">
        <w:r w:rsidR="00DA0DCD" w:rsidRPr="00DA0DCD">
          <w:rPr>
            <w:rStyle w:val="Hyperlink"/>
            <w:rFonts w:ascii="Arial" w:hAnsi="Arial"/>
            <w:rtl/>
          </w:rPr>
          <w:t>סעיף 31</w:t>
        </w:r>
      </w:hyperlink>
      <w:r w:rsidRPr="00C67748">
        <w:rPr>
          <w:rFonts w:ascii="Arial" w:hAnsi="Arial"/>
          <w:rtl/>
        </w:rPr>
        <w:t xml:space="preserve"> בחוק; </w:t>
      </w:r>
      <w:r w:rsidRPr="00C67748">
        <w:rPr>
          <w:rFonts w:ascii="Arial" w:hAnsi="Arial"/>
          <w:b/>
          <w:bCs/>
          <w:rtl/>
        </w:rPr>
        <w:t>החזקת סמים שלא לצריכה עצמית</w:t>
      </w:r>
      <w:r w:rsidRPr="00C67748">
        <w:rPr>
          <w:rFonts w:ascii="Arial" w:hAnsi="Arial"/>
          <w:rtl/>
        </w:rPr>
        <w:t xml:space="preserve">, לפי </w:t>
      </w:r>
      <w:hyperlink r:id="rId20" w:history="1">
        <w:r w:rsidR="00DA0DCD" w:rsidRPr="00DA0DCD">
          <w:rPr>
            <w:rStyle w:val="Hyperlink"/>
            <w:rFonts w:ascii="Arial" w:hAnsi="Arial"/>
            <w:rtl/>
          </w:rPr>
          <w:t>סעיף 7(א)</w:t>
        </w:r>
      </w:hyperlink>
      <w:r w:rsidRPr="00C67748">
        <w:rPr>
          <w:rFonts w:ascii="Arial" w:hAnsi="Arial"/>
          <w:rtl/>
        </w:rPr>
        <w:t xml:space="preserve"> ו-</w:t>
      </w:r>
      <w:hyperlink r:id="rId21" w:history="1">
        <w:r w:rsidR="00DA0DCD" w:rsidRPr="00DA0DCD">
          <w:rPr>
            <w:rStyle w:val="Hyperlink"/>
            <w:rFonts w:ascii="Arial" w:hAnsi="Arial"/>
            <w:rtl/>
          </w:rPr>
          <w:t>7(ג)</w:t>
        </w:r>
      </w:hyperlink>
      <w:r w:rsidRPr="00C67748">
        <w:rPr>
          <w:rFonts w:ascii="Arial" w:hAnsi="Arial"/>
          <w:rtl/>
        </w:rPr>
        <w:t xml:space="preserve"> ב</w:t>
      </w:r>
      <w:hyperlink r:id="rId22" w:history="1">
        <w:r w:rsidR="0065449C" w:rsidRPr="0065449C">
          <w:rPr>
            <w:rFonts w:ascii="Arial" w:hAnsi="Arial"/>
            <w:color w:val="0000FF"/>
            <w:u w:val="single"/>
            <w:rtl/>
          </w:rPr>
          <w:t>פקודת הסמים המסוכנים</w:t>
        </w:r>
      </w:hyperlink>
      <w:r w:rsidRPr="00C67748">
        <w:rPr>
          <w:rFonts w:ascii="Arial" w:hAnsi="Arial"/>
          <w:rtl/>
        </w:rPr>
        <w:t xml:space="preserve"> (נוסח חדש), התשל"ג-1973 (להלן – </w:t>
      </w:r>
      <w:r w:rsidRPr="00C67748">
        <w:rPr>
          <w:rFonts w:ascii="Arial" w:hAnsi="Arial"/>
          <w:b/>
          <w:bCs/>
          <w:rtl/>
        </w:rPr>
        <w:t>פקודת הסמים</w:t>
      </w:r>
      <w:r w:rsidRPr="00C67748">
        <w:rPr>
          <w:rFonts w:ascii="Arial" w:hAnsi="Arial"/>
          <w:rtl/>
        </w:rPr>
        <w:t xml:space="preserve">); </w:t>
      </w:r>
      <w:r w:rsidRPr="00C67748">
        <w:rPr>
          <w:rFonts w:ascii="Arial" w:hAnsi="Arial"/>
          <w:b/>
          <w:bCs/>
          <w:rtl/>
        </w:rPr>
        <w:t>החזקת סכין שלא כדין</w:t>
      </w:r>
      <w:r w:rsidRPr="00C67748">
        <w:rPr>
          <w:rFonts w:ascii="Arial" w:hAnsi="Arial"/>
          <w:rtl/>
        </w:rPr>
        <w:t xml:space="preserve">, לפי </w:t>
      </w:r>
      <w:hyperlink r:id="rId23" w:history="1">
        <w:r w:rsidR="00DA0DCD" w:rsidRPr="00DA0DCD">
          <w:rPr>
            <w:rStyle w:val="Hyperlink"/>
            <w:rFonts w:ascii="Arial" w:hAnsi="Arial"/>
            <w:rtl/>
          </w:rPr>
          <w:t>סעיף 186</w:t>
        </w:r>
      </w:hyperlink>
      <w:r w:rsidRPr="00C67748">
        <w:rPr>
          <w:rFonts w:ascii="Arial" w:hAnsi="Arial"/>
          <w:rtl/>
        </w:rPr>
        <w:t xml:space="preserve"> בחוק; </w:t>
      </w:r>
      <w:r w:rsidRPr="00C67748">
        <w:rPr>
          <w:rFonts w:ascii="Arial" w:hAnsi="Arial"/>
          <w:b/>
          <w:bCs/>
          <w:rtl/>
        </w:rPr>
        <w:t>שיבוש מהלכי משפט</w:t>
      </w:r>
      <w:r w:rsidRPr="00C67748">
        <w:rPr>
          <w:rFonts w:ascii="Arial" w:hAnsi="Arial"/>
          <w:rtl/>
        </w:rPr>
        <w:t xml:space="preserve">, לפי </w:t>
      </w:r>
      <w:hyperlink r:id="rId24" w:history="1">
        <w:r w:rsidR="00DA0DCD" w:rsidRPr="00DA0DCD">
          <w:rPr>
            <w:rStyle w:val="Hyperlink"/>
            <w:rFonts w:ascii="Arial" w:hAnsi="Arial"/>
            <w:rtl/>
          </w:rPr>
          <w:t>סעיף 244</w:t>
        </w:r>
      </w:hyperlink>
      <w:r w:rsidRPr="00C67748">
        <w:rPr>
          <w:rFonts w:ascii="Arial" w:hAnsi="Arial"/>
          <w:rtl/>
        </w:rPr>
        <w:t xml:space="preserve"> בחוק. </w:t>
      </w:r>
    </w:p>
    <w:p w14:paraId="0217B4F4" w14:textId="77777777" w:rsidR="006643BE" w:rsidRPr="00C67748" w:rsidRDefault="006643BE" w:rsidP="006643BE">
      <w:pPr>
        <w:spacing w:line="360" w:lineRule="auto"/>
        <w:jc w:val="both"/>
        <w:rPr>
          <w:rFonts w:ascii="Arial" w:hAnsi="Arial"/>
        </w:rPr>
      </w:pPr>
    </w:p>
    <w:p w14:paraId="6285A617" w14:textId="77777777" w:rsidR="006643BE" w:rsidRPr="00C67748" w:rsidRDefault="006643BE" w:rsidP="006643BE">
      <w:pPr>
        <w:spacing w:line="360" w:lineRule="auto"/>
        <w:jc w:val="both"/>
        <w:rPr>
          <w:rFonts w:ascii="Arial" w:hAnsi="Arial"/>
          <w:rtl/>
        </w:rPr>
      </w:pPr>
      <w:r w:rsidRPr="00C67748">
        <w:rPr>
          <w:rFonts w:ascii="Arial" w:hAnsi="Arial"/>
          <w:rtl/>
        </w:rPr>
        <w:lastRenderedPageBreak/>
        <w:t>2.</w:t>
      </w:r>
      <w:r w:rsidRPr="00C67748">
        <w:rPr>
          <w:rFonts w:ascii="Arial" w:hAnsi="Arial"/>
          <w:rtl/>
        </w:rPr>
        <w:tab/>
      </w:r>
      <w:r w:rsidRPr="00C67748">
        <w:rPr>
          <w:rFonts w:ascii="Arial" w:hAnsi="Arial"/>
          <w:b/>
          <w:bCs/>
          <w:u w:val="single"/>
          <w:rtl/>
        </w:rPr>
        <w:t>הסדר הטיעון</w:t>
      </w:r>
      <w:r w:rsidRPr="00C67748">
        <w:rPr>
          <w:rFonts w:ascii="Arial" w:hAnsi="Arial"/>
          <w:b/>
          <w:bCs/>
          <w:rtl/>
        </w:rPr>
        <w:t>:</w:t>
      </w:r>
      <w:r w:rsidRPr="00C67748">
        <w:rPr>
          <w:rFonts w:ascii="Arial" w:hAnsi="Arial"/>
          <w:rtl/>
        </w:rPr>
        <w:t xml:space="preserve"> במסגרת הסדר הטיעון הוסכם כי על הנאשם יוטלו העונשים הבאים: עשרים ואחד חודשי מאסר בפועל; הפעלת מאסר מותנה בחופף לעונש המאסר בפועל; מאסר מותנה כפי שייקבע בית המשפט; פיצוי למתלונן בסך 2,000 ₪.</w:t>
      </w:r>
    </w:p>
    <w:p w14:paraId="3C41BC11" w14:textId="77777777" w:rsidR="006643BE" w:rsidRPr="00C67748" w:rsidRDefault="006643BE" w:rsidP="006643BE">
      <w:pPr>
        <w:spacing w:line="360" w:lineRule="auto"/>
        <w:jc w:val="both"/>
        <w:rPr>
          <w:rFonts w:ascii="Arial" w:hAnsi="Arial"/>
          <w:rtl/>
        </w:rPr>
      </w:pPr>
    </w:p>
    <w:p w14:paraId="40D89E62" w14:textId="77777777" w:rsidR="006643BE" w:rsidRPr="00C67748" w:rsidRDefault="006643BE" w:rsidP="006643BE">
      <w:pPr>
        <w:spacing w:line="360" w:lineRule="auto"/>
        <w:jc w:val="both"/>
        <w:rPr>
          <w:rFonts w:ascii="Arial" w:hAnsi="Arial"/>
          <w:rtl/>
        </w:rPr>
      </w:pPr>
      <w:r w:rsidRPr="00C67748">
        <w:rPr>
          <w:rFonts w:ascii="Arial" w:hAnsi="Arial"/>
          <w:rtl/>
        </w:rPr>
        <w:t>3.</w:t>
      </w:r>
      <w:r w:rsidRPr="00C67748">
        <w:rPr>
          <w:rFonts w:ascii="Arial" w:hAnsi="Arial"/>
          <w:rtl/>
        </w:rPr>
        <w:tab/>
      </w:r>
      <w:r w:rsidRPr="00C67748">
        <w:rPr>
          <w:rFonts w:ascii="Arial" w:hAnsi="Arial"/>
          <w:b/>
          <w:bCs/>
          <w:u w:val="single"/>
          <w:rtl/>
        </w:rPr>
        <w:t>עובדות כתב האישום המתוקן שבהן הודה הנאשם</w:t>
      </w:r>
      <w:r w:rsidRPr="00C67748">
        <w:rPr>
          <w:rFonts w:ascii="Arial" w:hAnsi="Arial"/>
          <w:b/>
          <w:bCs/>
          <w:rtl/>
        </w:rPr>
        <w:t>:</w:t>
      </w:r>
      <w:r w:rsidRPr="00C67748">
        <w:rPr>
          <w:rFonts w:ascii="Arial" w:hAnsi="Arial"/>
          <w:rtl/>
        </w:rPr>
        <w:t xml:space="preserve"> עיקרי העובדות שבהן הודה הנאשם הן כלהלן: </w:t>
      </w:r>
    </w:p>
    <w:p w14:paraId="5140F702" w14:textId="77777777" w:rsidR="006643BE" w:rsidRPr="00C67748" w:rsidRDefault="006643BE" w:rsidP="006643BE">
      <w:pPr>
        <w:spacing w:line="360" w:lineRule="auto"/>
        <w:jc w:val="both"/>
        <w:rPr>
          <w:rFonts w:ascii="Arial" w:hAnsi="Arial"/>
          <w:rtl/>
        </w:rPr>
      </w:pPr>
    </w:p>
    <w:p w14:paraId="4450E6A9" w14:textId="77777777" w:rsidR="006643BE" w:rsidRPr="00C67748" w:rsidRDefault="006643BE" w:rsidP="006643BE">
      <w:pPr>
        <w:spacing w:line="360" w:lineRule="auto"/>
        <w:jc w:val="both"/>
        <w:rPr>
          <w:rFonts w:ascii="Arial" w:hAnsi="Arial"/>
          <w:b/>
          <w:bCs/>
          <w:rtl/>
        </w:rPr>
      </w:pPr>
      <w:r w:rsidRPr="00C67748">
        <w:rPr>
          <w:rFonts w:ascii="Arial" w:hAnsi="Arial"/>
          <w:b/>
          <w:bCs/>
          <w:u w:val="single"/>
          <w:rtl/>
        </w:rPr>
        <w:t>האישום הראשון</w:t>
      </w:r>
      <w:r w:rsidRPr="00C67748">
        <w:rPr>
          <w:rFonts w:ascii="Arial" w:hAnsi="Arial"/>
          <w:b/>
          <w:bCs/>
          <w:rtl/>
        </w:rPr>
        <w:t>:</w:t>
      </w:r>
      <w:r w:rsidRPr="00C67748">
        <w:rPr>
          <w:rFonts w:ascii="Arial" w:hAnsi="Arial"/>
          <w:rtl/>
        </w:rPr>
        <w:t xml:space="preserve"> ביום 11.10.2021 הגיעו הנאשם ואדם נוסף ברכבו של סבו של הנאשם (להלן – </w:t>
      </w:r>
      <w:r w:rsidRPr="00C67748">
        <w:rPr>
          <w:rFonts w:ascii="Arial" w:hAnsi="Arial"/>
          <w:b/>
          <w:bCs/>
          <w:rtl/>
        </w:rPr>
        <w:t>הרכב</w:t>
      </w:r>
      <w:r w:rsidRPr="00C67748">
        <w:rPr>
          <w:rFonts w:ascii="Arial" w:hAnsi="Arial"/>
          <w:rtl/>
        </w:rPr>
        <w:t xml:space="preserve">) אל רחוב פולוצקי בשכונת גילה בירושלים בכוונה להצית את רכבו של א"ק (להלן – </w:t>
      </w:r>
      <w:r w:rsidRPr="00C67748">
        <w:rPr>
          <w:rFonts w:ascii="Arial" w:hAnsi="Arial"/>
          <w:b/>
          <w:bCs/>
          <w:rtl/>
        </w:rPr>
        <w:t>המתלונן</w:t>
      </w:r>
      <w:r w:rsidRPr="00C67748">
        <w:rPr>
          <w:rFonts w:ascii="Arial" w:hAnsi="Arial"/>
          <w:rtl/>
        </w:rPr>
        <w:t xml:space="preserve">). אחד מהשניים ירד מהרכב, עטה על ראשו קפוצ'ון ומסכה, שפך נוזל כלשהו על השמשה הקדמית של רכבו של המתלונן מתוצרת שברולט (להלן – </w:t>
      </w:r>
      <w:r w:rsidRPr="00C67748">
        <w:rPr>
          <w:rFonts w:ascii="Arial" w:hAnsi="Arial"/>
          <w:b/>
          <w:bCs/>
          <w:rtl/>
        </w:rPr>
        <w:t>השברולט</w:t>
      </w:r>
      <w:r w:rsidRPr="00C67748">
        <w:rPr>
          <w:rFonts w:ascii="Arial" w:hAnsi="Arial"/>
          <w:rtl/>
        </w:rPr>
        <w:t xml:space="preserve">), הצית גפרור והשליך אותו על השמשה. כתוצאה מכך הוצת חלקו הקדמי של השברולט, השמשה נשברה וכן נשרפו חלקי מנוע וחלקי השברולט. מיד לאחר מכן הוא ברח חזרה אל הרכב והשניים נמלטו מהמקום בלי לקרוא לצוות כיבוי אש או למשטרה. </w:t>
      </w:r>
    </w:p>
    <w:p w14:paraId="6EADC08D" w14:textId="77777777" w:rsidR="006643BE" w:rsidRPr="00C67748" w:rsidRDefault="006643BE" w:rsidP="006643BE">
      <w:pPr>
        <w:spacing w:line="360" w:lineRule="auto"/>
        <w:jc w:val="both"/>
        <w:rPr>
          <w:rFonts w:ascii="Arial" w:hAnsi="Arial"/>
          <w:b/>
          <w:bCs/>
          <w:rtl/>
        </w:rPr>
      </w:pPr>
    </w:p>
    <w:p w14:paraId="1AC0D54A" w14:textId="77777777" w:rsidR="006643BE" w:rsidRPr="00C67748" w:rsidRDefault="006643BE" w:rsidP="006643BE">
      <w:pPr>
        <w:spacing w:line="360" w:lineRule="auto"/>
        <w:jc w:val="both"/>
        <w:rPr>
          <w:rFonts w:ascii="Arial" w:hAnsi="Arial"/>
          <w:rtl/>
        </w:rPr>
      </w:pPr>
      <w:r w:rsidRPr="00C67748">
        <w:rPr>
          <w:rFonts w:ascii="Arial" w:hAnsi="Arial"/>
          <w:b/>
          <w:bCs/>
          <w:u w:val="single"/>
          <w:rtl/>
        </w:rPr>
        <w:t>האישום השני</w:t>
      </w:r>
      <w:r w:rsidRPr="00C67748">
        <w:rPr>
          <w:rFonts w:ascii="Arial" w:hAnsi="Arial"/>
          <w:b/>
          <w:bCs/>
          <w:rtl/>
        </w:rPr>
        <w:t>:</w:t>
      </w:r>
      <w:r w:rsidRPr="00C67748">
        <w:rPr>
          <w:rFonts w:ascii="Arial" w:hAnsi="Arial"/>
          <w:rtl/>
        </w:rPr>
        <w:t xml:space="preserve"> ביום</w:t>
      </w:r>
      <w:r w:rsidRPr="00C67748">
        <w:rPr>
          <w:rFonts w:ascii="Arial" w:hAnsi="Arial"/>
          <w:b/>
          <w:bCs/>
          <w:rtl/>
        </w:rPr>
        <w:t xml:space="preserve"> </w:t>
      </w:r>
      <w:r w:rsidRPr="00C67748">
        <w:rPr>
          <w:rFonts w:ascii="Arial" w:hAnsi="Arial"/>
          <w:rtl/>
        </w:rPr>
        <w:t>13.10.2021 הגיע שוטר אל רחוב הגריזים בראשון לציון כדי לעצור את הנאשם שהיה במקום עם אדם נוסף בשם מיכאל טוט. בעת שהשוטר הזדהה כשוטר בפני טוט, הוציא הנאשם מכיסו נייר מגולגל ובו שתי שקיות שהכילו סם מסוכן מסוג קוקאין וזרק זאת למרחק מטרים ספורים, כדי למנוע מהשוטר למצוא את הסמים. כמו כן, הנאשם החזיק ברכבו סכין מתקפלת השייכת לו, שאורך להבה עולה על 10 ס"מ ושניתן להפוך לסכין בעלת להב קבוע.</w:t>
      </w:r>
    </w:p>
    <w:p w14:paraId="72C3394B" w14:textId="77777777" w:rsidR="006643BE" w:rsidRPr="00C67748" w:rsidRDefault="006643BE" w:rsidP="006643BE">
      <w:pPr>
        <w:spacing w:line="360" w:lineRule="auto"/>
        <w:jc w:val="both"/>
        <w:rPr>
          <w:rFonts w:ascii="Arial" w:hAnsi="Arial"/>
          <w:rtl/>
        </w:rPr>
      </w:pPr>
    </w:p>
    <w:p w14:paraId="4679E20A" w14:textId="77777777" w:rsidR="006643BE" w:rsidRPr="00C67748" w:rsidRDefault="006643BE" w:rsidP="006643BE">
      <w:pPr>
        <w:spacing w:line="360" w:lineRule="auto"/>
        <w:jc w:val="both"/>
        <w:rPr>
          <w:rFonts w:ascii="Arial" w:hAnsi="Arial"/>
          <w:rtl/>
        </w:rPr>
      </w:pPr>
      <w:r w:rsidRPr="00C67748">
        <w:rPr>
          <w:rFonts w:ascii="Arial" w:hAnsi="Arial"/>
          <w:rtl/>
        </w:rPr>
        <w:t>4.</w:t>
      </w:r>
      <w:r w:rsidRPr="00C67748">
        <w:rPr>
          <w:rFonts w:ascii="Arial" w:hAnsi="Arial"/>
          <w:rtl/>
        </w:rPr>
        <w:tab/>
      </w:r>
      <w:r w:rsidRPr="00C67748">
        <w:rPr>
          <w:rFonts w:ascii="Arial" w:hAnsi="Arial"/>
          <w:b/>
          <w:bCs/>
          <w:u w:val="single"/>
          <w:rtl/>
        </w:rPr>
        <w:t>הראיות לעונש מטעם המאשימה</w:t>
      </w:r>
      <w:r w:rsidRPr="00C67748">
        <w:rPr>
          <w:rFonts w:ascii="Arial" w:hAnsi="Arial"/>
          <w:b/>
          <w:bCs/>
          <w:rtl/>
        </w:rPr>
        <w:t>:</w:t>
      </w:r>
      <w:r w:rsidRPr="00C67748">
        <w:rPr>
          <w:rFonts w:ascii="Arial" w:hAnsi="Arial"/>
          <w:rtl/>
        </w:rPr>
        <w:t xml:space="preserve"> </w:t>
      </w:r>
    </w:p>
    <w:p w14:paraId="4CE173C5" w14:textId="77777777" w:rsidR="006643BE" w:rsidRPr="00C67748" w:rsidRDefault="006643BE" w:rsidP="006643BE">
      <w:pPr>
        <w:spacing w:line="360" w:lineRule="auto"/>
        <w:jc w:val="both"/>
        <w:rPr>
          <w:rFonts w:ascii="Arial" w:hAnsi="Arial"/>
          <w:rtl/>
        </w:rPr>
      </w:pPr>
    </w:p>
    <w:p w14:paraId="00233A1E" w14:textId="77777777" w:rsidR="006643BE" w:rsidRPr="00C67748" w:rsidRDefault="006643BE" w:rsidP="006643BE">
      <w:pPr>
        <w:spacing w:line="360" w:lineRule="auto"/>
        <w:jc w:val="both"/>
        <w:rPr>
          <w:rFonts w:ascii="Arial" w:hAnsi="Arial"/>
          <w:rtl/>
        </w:rPr>
      </w:pPr>
      <w:r w:rsidRPr="00C67748">
        <w:rPr>
          <w:rFonts w:ascii="Arial" w:hAnsi="Arial"/>
          <w:b/>
          <w:bCs/>
          <w:u w:val="single"/>
          <w:rtl/>
        </w:rPr>
        <w:t>גיליון הרשעות קודמות</w:t>
      </w:r>
      <w:r w:rsidRPr="00C67748">
        <w:rPr>
          <w:rFonts w:ascii="Arial" w:hAnsi="Arial"/>
          <w:b/>
          <w:bCs/>
          <w:rtl/>
        </w:rPr>
        <w:t>:</w:t>
      </w:r>
      <w:r w:rsidRPr="00C67748">
        <w:rPr>
          <w:rFonts w:ascii="Arial" w:hAnsi="Arial"/>
          <w:rtl/>
        </w:rPr>
        <w:t xml:space="preserve"> בשנת 2013 – הרשעה בעבירות איומים, גניבה, תקיפה, היזק לרכוש ותגרה, שבעטין הושתו עליו של"ץ, צו מבחן, פיצויים לנפגעים; בשנת 2017 – הרשעה ב-3 עבירות החזקת סמים שלא לצריכה עצמית וב-16 עבירות סחר בסמים, שבעניינן הושתו עליו 29 חודשי מאסר בפועל, מאסרים מותנים וקנס; בשנת 2018 – הרשעה בעבירות שימוש בכוח למניעת מעצר, העלבת עובד ציבור והחזקת סמים שלא לצריכה עצמית. הושתו 3 חודשי מאסר בפועל, הופעלו חודשיים מאסר מותנה בחופף, צו התחייבות ופסילת רישיון נהיגה; בשנת 2020 – הרשעה ב-3 עבירות סחר בסמים בצוותא, החזקת סמים לשימוש עצמי. הושתו 25 חודשי מאסר בפועל, מאסרים מותנים, הופעלו שני מאסרים מותנים (2 ו-6 חודשים), בחופף וצו התחייבות.</w:t>
      </w:r>
    </w:p>
    <w:p w14:paraId="62793370" w14:textId="77777777" w:rsidR="006643BE" w:rsidRPr="00C67748" w:rsidRDefault="006643BE" w:rsidP="006643BE">
      <w:pPr>
        <w:spacing w:line="360" w:lineRule="auto"/>
        <w:jc w:val="both"/>
        <w:rPr>
          <w:rFonts w:ascii="Arial" w:hAnsi="Arial"/>
          <w:rtl/>
        </w:rPr>
      </w:pPr>
    </w:p>
    <w:p w14:paraId="5EB745C6" w14:textId="77777777" w:rsidR="006643BE" w:rsidRPr="00C67748" w:rsidRDefault="006643BE" w:rsidP="006643BE">
      <w:pPr>
        <w:spacing w:line="360" w:lineRule="auto"/>
        <w:jc w:val="both"/>
        <w:rPr>
          <w:rFonts w:ascii="Arial" w:hAnsi="Arial"/>
          <w:rtl/>
        </w:rPr>
      </w:pPr>
      <w:r w:rsidRPr="00C67748">
        <w:rPr>
          <w:rFonts w:ascii="Arial" w:hAnsi="Arial"/>
          <w:b/>
          <w:bCs/>
          <w:u w:val="single"/>
          <w:rtl/>
        </w:rPr>
        <w:t>מאסר מותנה להפעלה</w:t>
      </w:r>
      <w:r w:rsidRPr="00C67748">
        <w:rPr>
          <w:rFonts w:ascii="Arial" w:hAnsi="Arial"/>
          <w:b/>
          <w:bCs/>
          <w:rtl/>
        </w:rPr>
        <w:t>:</w:t>
      </w:r>
      <w:r w:rsidRPr="00C67748">
        <w:rPr>
          <w:rFonts w:ascii="Arial" w:hAnsi="Arial"/>
          <w:rtl/>
        </w:rPr>
        <w:t xml:space="preserve"> גזר הדין שניתן ב</w:t>
      </w:r>
      <w:hyperlink r:id="rId25" w:history="1">
        <w:r w:rsidR="0065449C" w:rsidRPr="0065449C">
          <w:rPr>
            <w:rFonts w:ascii="Arial" w:hAnsi="Arial"/>
            <w:color w:val="0000FF"/>
            <w:u w:val="single"/>
            <w:rtl/>
          </w:rPr>
          <w:t>ת"פ (שלום ת"א) 64999-11-19</w:t>
        </w:r>
      </w:hyperlink>
      <w:r w:rsidRPr="00C67748">
        <w:rPr>
          <w:rFonts w:ascii="Arial" w:hAnsi="Arial"/>
          <w:rtl/>
        </w:rPr>
        <w:t xml:space="preserve"> מיום 22.12.2020, שלפיו בין השאר הושת על הנאשם מאסר מותנה למשך שבעה חודשים, שיופעל אם תוך שלוש שנים ממועד שחרורו מהמאסר שהושת באותו עניין יעבור עבירה מסוג פשע לפי פקודת הסמים.</w:t>
      </w:r>
    </w:p>
    <w:p w14:paraId="37FCAF59" w14:textId="77777777" w:rsidR="006643BE" w:rsidRPr="00C67748" w:rsidRDefault="006643BE" w:rsidP="006643BE">
      <w:pPr>
        <w:spacing w:line="360" w:lineRule="auto"/>
        <w:jc w:val="both"/>
        <w:rPr>
          <w:rFonts w:ascii="Arial" w:hAnsi="Arial"/>
          <w:rtl/>
        </w:rPr>
      </w:pPr>
    </w:p>
    <w:p w14:paraId="73DFAAD1" w14:textId="77777777" w:rsidR="006643BE" w:rsidRPr="00C67748" w:rsidRDefault="006643BE" w:rsidP="006643BE">
      <w:pPr>
        <w:spacing w:line="360" w:lineRule="auto"/>
        <w:jc w:val="both"/>
        <w:rPr>
          <w:rFonts w:ascii="Arial" w:hAnsi="Arial"/>
          <w:rtl/>
        </w:rPr>
      </w:pPr>
      <w:r w:rsidRPr="00C67748">
        <w:rPr>
          <w:rFonts w:ascii="Arial" w:hAnsi="Arial"/>
          <w:rtl/>
        </w:rPr>
        <w:t>5.</w:t>
      </w:r>
      <w:r w:rsidRPr="00C67748">
        <w:rPr>
          <w:rFonts w:ascii="Arial" w:hAnsi="Arial"/>
          <w:rtl/>
        </w:rPr>
        <w:tab/>
      </w:r>
      <w:r w:rsidRPr="00C67748">
        <w:rPr>
          <w:rFonts w:ascii="Arial" w:hAnsi="Arial"/>
          <w:b/>
          <w:bCs/>
          <w:u w:val="single"/>
          <w:rtl/>
        </w:rPr>
        <w:t>טענות הצדדים בעניין העונש</w:t>
      </w:r>
      <w:r w:rsidRPr="00C67748">
        <w:rPr>
          <w:rFonts w:ascii="Arial" w:hAnsi="Arial"/>
          <w:b/>
          <w:bCs/>
          <w:rtl/>
        </w:rPr>
        <w:t>:</w:t>
      </w:r>
      <w:r w:rsidRPr="00C67748">
        <w:rPr>
          <w:rFonts w:ascii="Arial" w:hAnsi="Arial"/>
          <w:rtl/>
        </w:rPr>
        <w:t xml:space="preserve"> בא-כוח המאשימה טען כי בעת גיבוש הסדר הטיעון נשקלו הרשעותיו הקודמות של הנאשם ומנגד, הכרתו באחריותו לעבירות שבהן הורשע, הודאתו כבר בשלב </w:t>
      </w:r>
      <w:r w:rsidRPr="00C67748">
        <w:rPr>
          <w:rFonts w:ascii="Arial" w:hAnsi="Arial"/>
          <w:rtl/>
        </w:rPr>
        <w:lastRenderedPageBreak/>
        <w:t>מוקדם והחיסכון המשמעותי בזמנו של בית המשפט. כמו כן נשקל הליך השיקום שהנאשם עובר במסגרת מעצרו. לנוכח שיקולים אלו, ביקש כי הסדר הטיעון יכובד.</w:t>
      </w:r>
    </w:p>
    <w:p w14:paraId="66A90AAF" w14:textId="77777777" w:rsidR="006643BE" w:rsidRPr="00C67748" w:rsidRDefault="006643BE" w:rsidP="006643BE">
      <w:pPr>
        <w:spacing w:line="360" w:lineRule="auto"/>
        <w:jc w:val="both"/>
        <w:rPr>
          <w:rFonts w:ascii="Arial" w:hAnsi="Arial"/>
          <w:rtl/>
        </w:rPr>
      </w:pPr>
    </w:p>
    <w:p w14:paraId="7E0BD807" w14:textId="77777777" w:rsidR="006643BE" w:rsidRPr="00C67748" w:rsidRDefault="006643BE" w:rsidP="006643BE">
      <w:pPr>
        <w:spacing w:line="360" w:lineRule="auto"/>
        <w:jc w:val="both"/>
        <w:rPr>
          <w:rFonts w:ascii="Arial" w:hAnsi="Arial"/>
          <w:rtl/>
        </w:rPr>
      </w:pPr>
      <w:r w:rsidRPr="00C67748">
        <w:rPr>
          <w:rFonts w:ascii="Arial" w:hAnsi="Arial"/>
          <w:rtl/>
        </w:rPr>
        <w:t>בא-כוח הנאשם הצטרף לבקשה לכבד את הסדר הטיעון, הדגיש את התהליך השיקומי המשמעותי שהנאשם עובר במסגרת שירות בתי הסוהר, הכולל בין השאר, השתתפות בקורס משגיחי כשרות וכן את העובדה שהנאשם מקווה להשתלב בתחום זה לאחר שחרורו מהמאסר. כן ביקש לשקול את הכרתו באחריות למעשיו ואת הודאתו בעבירות שעבר. לטענתו, לאחר שהנאשם יסיים לשאת בעונש שיושת עליו, בכוונתו לצאת לדרך חיים חדשה ולכן טען, כי בנסיבות הנדונות שיקום הנאשם הוא חלק מהאינטרס הציבורי.</w:t>
      </w:r>
    </w:p>
    <w:p w14:paraId="276B796F" w14:textId="77777777" w:rsidR="006643BE" w:rsidRPr="00C67748" w:rsidRDefault="006643BE" w:rsidP="006643BE">
      <w:pPr>
        <w:spacing w:line="360" w:lineRule="auto"/>
        <w:jc w:val="both"/>
        <w:rPr>
          <w:rFonts w:ascii="Arial" w:hAnsi="Arial"/>
          <w:rtl/>
        </w:rPr>
      </w:pPr>
    </w:p>
    <w:p w14:paraId="611E5896" w14:textId="77777777" w:rsidR="006643BE" w:rsidRPr="00C67748" w:rsidRDefault="006643BE" w:rsidP="006643BE">
      <w:pPr>
        <w:spacing w:line="360" w:lineRule="auto"/>
        <w:jc w:val="both"/>
        <w:rPr>
          <w:rFonts w:ascii="Arial" w:hAnsi="Arial"/>
          <w:rtl/>
        </w:rPr>
      </w:pPr>
      <w:r w:rsidRPr="00C67748">
        <w:rPr>
          <w:rFonts w:ascii="Arial" w:hAnsi="Arial"/>
          <w:rtl/>
        </w:rPr>
        <w:t>6.</w:t>
      </w:r>
      <w:r w:rsidRPr="00C67748">
        <w:rPr>
          <w:rFonts w:ascii="Arial" w:hAnsi="Arial"/>
          <w:rtl/>
        </w:rPr>
        <w:tab/>
      </w:r>
      <w:r w:rsidRPr="00C67748">
        <w:rPr>
          <w:rFonts w:ascii="Arial" w:hAnsi="Arial"/>
          <w:b/>
          <w:bCs/>
          <w:u w:val="single"/>
          <w:rtl/>
        </w:rPr>
        <w:t>דברי הנאשם</w:t>
      </w:r>
      <w:r w:rsidRPr="00C67748">
        <w:rPr>
          <w:rFonts w:ascii="Arial" w:hAnsi="Arial"/>
          <w:b/>
          <w:bCs/>
          <w:rtl/>
        </w:rPr>
        <w:t>:</w:t>
      </w:r>
      <w:r w:rsidRPr="00C67748">
        <w:rPr>
          <w:rFonts w:ascii="Arial" w:hAnsi="Arial"/>
          <w:rtl/>
        </w:rPr>
        <w:t xml:space="preserve"> הנאשם הביע צער על העבירות שעבר ולדבריו, החל בתהליך טיפולי ושיקומי במסגרת שריות בתי הסוהר וכן הביא תקווה כי יהיה בכך כדי לסייע לו בהמשך חייו ובשיקומם.</w:t>
      </w:r>
    </w:p>
    <w:p w14:paraId="64395459" w14:textId="77777777" w:rsidR="006643BE" w:rsidRPr="00C67748" w:rsidRDefault="006643BE" w:rsidP="006643BE">
      <w:pPr>
        <w:spacing w:line="360" w:lineRule="auto"/>
        <w:jc w:val="both"/>
        <w:rPr>
          <w:rFonts w:ascii="Arial" w:hAnsi="Arial"/>
          <w:rtl/>
        </w:rPr>
      </w:pPr>
    </w:p>
    <w:p w14:paraId="0665BCB7" w14:textId="77777777" w:rsidR="006643BE" w:rsidRPr="00C67748" w:rsidRDefault="006643BE" w:rsidP="006643BE">
      <w:pPr>
        <w:spacing w:line="360" w:lineRule="auto"/>
        <w:jc w:val="both"/>
        <w:rPr>
          <w:rFonts w:ascii="Arial" w:hAnsi="Arial"/>
          <w:rtl/>
        </w:rPr>
      </w:pPr>
      <w:r w:rsidRPr="00C67748">
        <w:rPr>
          <w:rFonts w:ascii="Arial" w:hAnsi="Arial"/>
          <w:rtl/>
        </w:rPr>
        <w:t>7.</w:t>
      </w:r>
      <w:r w:rsidRPr="00C67748">
        <w:rPr>
          <w:rFonts w:ascii="Arial" w:hAnsi="Arial"/>
          <w:rtl/>
        </w:rPr>
        <w:tab/>
      </w:r>
      <w:r w:rsidRPr="00C67748">
        <w:rPr>
          <w:rFonts w:ascii="Arial" w:hAnsi="Arial"/>
          <w:b/>
          <w:bCs/>
          <w:u w:val="single"/>
          <w:rtl/>
        </w:rPr>
        <w:t>גזר הדין ונימוקיו</w:t>
      </w:r>
      <w:r w:rsidRPr="00C67748">
        <w:rPr>
          <w:rFonts w:ascii="Arial" w:hAnsi="Arial"/>
          <w:b/>
          <w:bCs/>
          <w:rtl/>
        </w:rPr>
        <w:t>:</w:t>
      </w:r>
      <w:r w:rsidRPr="00C67748">
        <w:rPr>
          <w:rFonts w:ascii="Arial" w:hAnsi="Arial"/>
          <w:rtl/>
        </w:rPr>
        <w:t xml:space="preserve"> בעת שקילת העונש שיושת על הנאשם, נשקלו חומרת העבירות שעבר, חומרת הנסיבות שבהן נעברו העבירות כמתואר לעיל, הרשעותיו הקודמות והעובדה שהעבירות נעברו בעוד מאסר מותנה תלוי ועומד נגדו.</w:t>
      </w:r>
    </w:p>
    <w:p w14:paraId="08057EEB" w14:textId="77777777" w:rsidR="006643BE" w:rsidRPr="00C67748" w:rsidRDefault="006643BE" w:rsidP="006643BE">
      <w:pPr>
        <w:spacing w:line="360" w:lineRule="auto"/>
        <w:jc w:val="both"/>
        <w:rPr>
          <w:rFonts w:ascii="Arial" w:hAnsi="Arial"/>
          <w:rtl/>
        </w:rPr>
      </w:pPr>
    </w:p>
    <w:p w14:paraId="55E2A6F5" w14:textId="77777777" w:rsidR="006643BE" w:rsidRPr="00C67748" w:rsidRDefault="006643BE" w:rsidP="006643BE">
      <w:pPr>
        <w:spacing w:line="360" w:lineRule="auto"/>
        <w:jc w:val="both"/>
        <w:rPr>
          <w:rFonts w:ascii="Arial" w:hAnsi="Arial"/>
          <w:rtl/>
        </w:rPr>
      </w:pPr>
      <w:r w:rsidRPr="00C67748">
        <w:rPr>
          <w:rFonts w:ascii="Arial" w:hAnsi="Arial"/>
          <w:rtl/>
        </w:rPr>
        <w:t>מנגד נשקלו הכרת הנאשם באחריותו לעבירות שעבר, הודאתו, הצער שהביע לפניי, התהליך השיקומי שהחל במסגרת שירות בתי הסוהר והרצון שהביע לשקם את חייו ולעלות על מסלול חיים חדש.</w:t>
      </w:r>
    </w:p>
    <w:p w14:paraId="732BD792" w14:textId="77777777" w:rsidR="006643BE" w:rsidRPr="00C67748" w:rsidRDefault="006643BE" w:rsidP="006643BE">
      <w:pPr>
        <w:spacing w:line="360" w:lineRule="auto"/>
        <w:jc w:val="both"/>
        <w:rPr>
          <w:rFonts w:ascii="Arial" w:hAnsi="Arial"/>
          <w:rtl/>
        </w:rPr>
      </w:pPr>
    </w:p>
    <w:p w14:paraId="73FA02AF" w14:textId="77777777" w:rsidR="006643BE" w:rsidRPr="00C67748" w:rsidRDefault="006643BE" w:rsidP="006643BE">
      <w:pPr>
        <w:spacing w:line="360" w:lineRule="auto"/>
        <w:jc w:val="both"/>
        <w:rPr>
          <w:rFonts w:ascii="Arial" w:hAnsi="Arial"/>
          <w:rtl/>
        </w:rPr>
      </w:pPr>
      <w:r w:rsidRPr="00C67748">
        <w:rPr>
          <w:rFonts w:ascii="Arial" w:hAnsi="Arial"/>
          <w:rtl/>
        </w:rPr>
        <w:t>לנוכח שיקולים אלו מצאתי כי העונש שעליו הוסכם במסגרת הסדר הטיעון הולם את העבירות שבהן הורשע הנאשם ועל כן החלטתי לכבדו.</w:t>
      </w:r>
    </w:p>
    <w:p w14:paraId="5945DD26" w14:textId="77777777" w:rsidR="006643BE" w:rsidRPr="00C67748" w:rsidRDefault="006643BE" w:rsidP="006643BE">
      <w:pPr>
        <w:spacing w:line="360" w:lineRule="auto"/>
        <w:jc w:val="both"/>
        <w:rPr>
          <w:rFonts w:ascii="Arial" w:hAnsi="Arial"/>
          <w:rtl/>
        </w:rPr>
      </w:pPr>
    </w:p>
    <w:p w14:paraId="6841D218" w14:textId="77777777" w:rsidR="006643BE" w:rsidRPr="00C67748" w:rsidRDefault="006643BE" w:rsidP="006643BE">
      <w:pPr>
        <w:spacing w:line="360" w:lineRule="auto"/>
        <w:jc w:val="both"/>
        <w:rPr>
          <w:rFonts w:ascii="Arial" w:hAnsi="Arial"/>
          <w:rtl/>
        </w:rPr>
      </w:pPr>
      <w:r w:rsidRPr="00C67748">
        <w:rPr>
          <w:rFonts w:ascii="Arial" w:hAnsi="Arial"/>
          <w:rtl/>
        </w:rPr>
        <w:t>על הנאשם יושתו אפוא, העונשים הבאים:</w:t>
      </w:r>
    </w:p>
    <w:p w14:paraId="4025D403" w14:textId="77777777" w:rsidR="006643BE" w:rsidRPr="00C67748" w:rsidRDefault="006643BE" w:rsidP="006643BE">
      <w:pPr>
        <w:spacing w:line="360" w:lineRule="auto"/>
        <w:jc w:val="both"/>
        <w:rPr>
          <w:rFonts w:ascii="Arial" w:hAnsi="Arial"/>
          <w:rtl/>
        </w:rPr>
      </w:pPr>
    </w:p>
    <w:p w14:paraId="06434325" w14:textId="77777777" w:rsidR="006643BE" w:rsidRPr="00C67748" w:rsidRDefault="006643BE" w:rsidP="006643BE">
      <w:pPr>
        <w:spacing w:line="360" w:lineRule="auto"/>
        <w:ind w:left="720" w:hanging="720"/>
        <w:jc w:val="both"/>
        <w:rPr>
          <w:rFonts w:ascii="Arial" w:hAnsi="Arial"/>
          <w:rtl/>
        </w:rPr>
      </w:pPr>
      <w:r w:rsidRPr="00C67748">
        <w:rPr>
          <w:rFonts w:ascii="Arial" w:hAnsi="Arial"/>
          <w:rtl/>
        </w:rPr>
        <w:t>א.</w:t>
      </w:r>
      <w:r w:rsidRPr="00C67748">
        <w:rPr>
          <w:rFonts w:ascii="Arial" w:hAnsi="Arial"/>
          <w:rtl/>
        </w:rPr>
        <w:tab/>
        <w:t>מאסר בפועל למשך עשרים ואחד חודש, החל מיום מעצרו ביום 13.10.2021.</w:t>
      </w:r>
    </w:p>
    <w:p w14:paraId="5D73A3ED" w14:textId="77777777" w:rsidR="006643BE" w:rsidRPr="00C67748" w:rsidRDefault="006643BE" w:rsidP="006643BE">
      <w:pPr>
        <w:spacing w:line="360" w:lineRule="auto"/>
        <w:ind w:left="720" w:hanging="720"/>
        <w:jc w:val="both"/>
        <w:rPr>
          <w:rFonts w:ascii="Arial" w:hAnsi="Arial"/>
          <w:rtl/>
        </w:rPr>
      </w:pPr>
    </w:p>
    <w:p w14:paraId="3864B1DC" w14:textId="77777777" w:rsidR="006643BE" w:rsidRPr="00C67748" w:rsidRDefault="006643BE" w:rsidP="006643BE">
      <w:pPr>
        <w:spacing w:line="360" w:lineRule="auto"/>
        <w:ind w:left="720" w:hanging="720"/>
        <w:jc w:val="both"/>
        <w:rPr>
          <w:rFonts w:ascii="Arial" w:hAnsi="Arial"/>
          <w:rtl/>
        </w:rPr>
      </w:pPr>
      <w:r w:rsidRPr="00C67748">
        <w:rPr>
          <w:rFonts w:ascii="Arial" w:hAnsi="Arial"/>
          <w:rtl/>
        </w:rPr>
        <w:t>ב.</w:t>
      </w:r>
      <w:r w:rsidRPr="00C67748">
        <w:rPr>
          <w:rFonts w:ascii="Arial" w:hAnsi="Arial"/>
          <w:rtl/>
        </w:rPr>
        <w:tab/>
        <w:t>הפעלת שבעה חודשי מאסר מותנה שהוטלו על הנאשם בגזר הדין ב</w:t>
      </w:r>
      <w:hyperlink r:id="rId26" w:history="1">
        <w:r w:rsidR="0065449C" w:rsidRPr="0065449C">
          <w:rPr>
            <w:rFonts w:ascii="Arial" w:hAnsi="Arial"/>
            <w:color w:val="0000FF"/>
            <w:u w:val="single"/>
            <w:rtl/>
          </w:rPr>
          <w:t>ת"פ (שלום ת"א) 64999-11-19</w:t>
        </w:r>
      </w:hyperlink>
      <w:r w:rsidRPr="00C67748">
        <w:rPr>
          <w:rFonts w:ascii="Arial" w:hAnsi="Arial"/>
          <w:rtl/>
        </w:rPr>
        <w:t xml:space="preserve"> מיום 22.12.2020, בחופף לעונש המאסר בפועל.</w:t>
      </w:r>
    </w:p>
    <w:p w14:paraId="0A081AF1" w14:textId="77777777" w:rsidR="006643BE" w:rsidRPr="00C67748" w:rsidRDefault="006643BE" w:rsidP="006643BE">
      <w:pPr>
        <w:spacing w:line="360" w:lineRule="auto"/>
        <w:ind w:left="720" w:hanging="720"/>
        <w:jc w:val="both"/>
        <w:rPr>
          <w:rFonts w:ascii="Arial" w:hAnsi="Arial"/>
          <w:rtl/>
        </w:rPr>
      </w:pPr>
    </w:p>
    <w:p w14:paraId="73FE571B" w14:textId="77777777" w:rsidR="006643BE" w:rsidRPr="00C67748" w:rsidRDefault="006643BE" w:rsidP="006643BE">
      <w:pPr>
        <w:spacing w:line="360" w:lineRule="auto"/>
        <w:ind w:left="720" w:hanging="720"/>
        <w:jc w:val="both"/>
        <w:rPr>
          <w:rFonts w:ascii="Arial" w:hAnsi="Arial"/>
          <w:rtl/>
        </w:rPr>
      </w:pPr>
      <w:r w:rsidRPr="00C67748">
        <w:rPr>
          <w:rFonts w:ascii="Arial" w:hAnsi="Arial"/>
          <w:rtl/>
        </w:rPr>
        <w:t>ג.</w:t>
      </w:r>
      <w:r w:rsidRPr="00C67748">
        <w:rPr>
          <w:rFonts w:ascii="Arial" w:hAnsi="Arial"/>
          <w:rtl/>
        </w:rPr>
        <w:tab/>
        <w:t>מאסר מותנה למשך שישה חודשים. הנאשם יישא עונש זה אם תוך שלוש שנים מיום שחרורו מן המאסר יעבור עבירה מהעבירות שבהן הורשע או עבירות סמים או רכוש מסוג פשע או ניסיון לעבור עבירה מעבירות אלו.</w:t>
      </w:r>
    </w:p>
    <w:p w14:paraId="7F60928D" w14:textId="77777777" w:rsidR="006643BE" w:rsidRPr="00C67748" w:rsidRDefault="006643BE" w:rsidP="006643BE">
      <w:pPr>
        <w:spacing w:line="360" w:lineRule="auto"/>
        <w:ind w:left="720" w:hanging="720"/>
        <w:jc w:val="both"/>
        <w:rPr>
          <w:rFonts w:ascii="Arial" w:hAnsi="Arial"/>
          <w:rtl/>
        </w:rPr>
      </w:pPr>
    </w:p>
    <w:p w14:paraId="36E33338" w14:textId="77777777" w:rsidR="006643BE" w:rsidRPr="00C67748" w:rsidRDefault="006643BE" w:rsidP="006643BE">
      <w:pPr>
        <w:spacing w:line="360" w:lineRule="auto"/>
        <w:ind w:left="720" w:hanging="720"/>
        <w:jc w:val="both"/>
        <w:rPr>
          <w:rFonts w:ascii="Arial" w:hAnsi="Arial"/>
          <w:rtl/>
        </w:rPr>
      </w:pPr>
      <w:r w:rsidRPr="00C67748">
        <w:rPr>
          <w:rFonts w:ascii="Arial" w:hAnsi="Arial"/>
          <w:rtl/>
        </w:rPr>
        <w:t>ד.</w:t>
      </w:r>
      <w:r w:rsidRPr="00C67748">
        <w:rPr>
          <w:rFonts w:ascii="Arial" w:hAnsi="Arial"/>
          <w:rtl/>
        </w:rPr>
        <w:tab/>
        <w:t>מאסר מותנה למשך שלושה חודשים. הנאשם יישא עונש זה אם תוך שלוש שנים מיום שחרורו מן המאסר יעבור עבירת סמים או רכוש מסוג עוון, או ניסיון לעבור עבירה כאמור.</w:t>
      </w:r>
    </w:p>
    <w:p w14:paraId="4530B8E5" w14:textId="77777777" w:rsidR="006643BE" w:rsidRPr="00C67748" w:rsidRDefault="006643BE" w:rsidP="006643BE">
      <w:pPr>
        <w:spacing w:line="360" w:lineRule="auto"/>
        <w:ind w:left="720" w:hanging="720"/>
        <w:jc w:val="both"/>
        <w:rPr>
          <w:rFonts w:ascii="Arial" w:hAnsi="Arial"/>
          <w:rtl/>
        </w:rPr>
      </w:pPr>
    </w:p>
    <w:p w14:paraId="793202F4" w14:textId="77777777" w:rsidR="006643BE" w:rsidRPr="00C67748" w:rsidRDefault="006643BE" w:rsidP="006643BE">
      <w:pPr>
        <w:spacing w:line="360" w:lineRule="auto"/>
        <w:ind w:left="720" w:hanging="720"/>
        <w:jc w:val="both"/>
        <w:rPr>
          <w:rFonts w:ascii="Arial" w:hAnsi="Arial"/>
          <w:rtl/>
        </w:rPr>
      </w:pPr>
      <w:r w:rsidRPr="00C67748">
        <w:rPr>
          <w:rFonts w:ascii="Arial" w:hAnsi="Arial"/>
          <w:rtl/>
        </w:rPr>
        <w:t>ה.</w:t>
      </w:r>
      <w:r w:rsidRPr="00C67748">
        <w:rPr>
          <w:rFonts w:ascii="Arial" w:hAnsi="Arial"/>
          <w:rtl/>
        </w:rPr>
        <w:tab/>
        <w:t>פיצוי למתלונן בסך 2,000 ₪. הנאשם רשאי לשלם את הפיצוי בחמישה תשלומים שווים ורצופים החל מיום 1.11.2022.</w:t>
      </w:r>
    </w:p>
    <w:p w14:paraId="0EA83BB6" w14:textId="77777777" w:rsidR="006643BE" w:rsidRPr="00C67748" w:rsidRDefault="006643BE" w:rsidP="006643BE">
      <w:pPr>
        <w:spacing w:line="360" w:lineRule="auto"/>
        <w:ind w:left="1440" w:hanging="1440"/>
        <w:jc w:val="both"/>
        <w:rPr>
          <w:rFonts w:ascii="Arial" w:hAnsi="Arial"/>
          <w:rtl/>
        </w:rPr>
      </w:pPr>
    </w:p>
    <w:p w14:paraId="67076C56" w14:textId="77777777" w:rsidR="006643BE" w:rsidRDefault="006643BE" w:rsidP="006643BE">
      <w:pPr>
        <w:spacing w:line="360" w:lineRule="auto"/>
        <w:jc w:val="both"/>
        <w:rPr>
          <w:rFonts w:ascii="Arial" w:hAnsi="Arial"/>
          <w:rtl/>
        </w:rPr>
      </w:pPr>
      <w:r w:rsidRPr="00C67748">
        <w:rPr>
          <w:rFonts w:ascii="Arial" w:hAnsi="Arial"/>
          <w:rtl/>
        </w:rPr>
        <w:t xml:space="preserve">כאמור לעיל, בהסכמת הנאשם ובאי-כוח הצדדים גזר הדין ניתן בהיעדרם. </w:t>
      </w:r>
    </w:p>
    <w:p w14:paraId="22D41A6D" w14:textId="77777777" w:rsidR="006643BE" w:rsidRPr="00C67748" w:rsidRDefault="006643BE" w:rsidP="006643BE">
      <w:pPr>
        <w:spacing w:line="360" w:lineRule="auto"/>
        <w:jc w:val="both"/>
        <w:rPr>
          <w:rFonts w:ascii="Arial" w:hAnsi="Arial"/>
          <w:b/>
          <w:bCs/>
          <w:rtl/>
        </w:rPr>
      </w:pPr>
      <w:r w:rsidRPr="00C67748">
        <w:rPr>
          <w:rFonts w:ascii="Arial" w:hAnsi="Arial"/>
          <w:rtl/>
        </w:rPr>
        <w:t>המזכירות תמציא את גזר הדין אל באי-כוח הצדדים והנאשם (באמצעות שב"ס).</w:t>
      </w:r>
    </w:p>
    <w:p w14:paraId="3E0692C0" w14:textId="77777777" w:rsidR="006643BE" w:rsidRPr="00C67748" w:rsidRDefault="006643BE" w:rsidP="006643BE">
      <w:pPr>
        <w:spacing w:line="360" w:lineRule="auto"/>
        <w:jc w:val="both"/>
        <w:rPr>
          <w:rFonts w:ascii="Arial" w:hAnsi="Arial"/>
          <w:rtl/>
        </w:rPr>
      </w:pPr>
    </w:p>
    <w:p w14:paraId="1D38B0B6" w14:textId="77777777" w:rsidR="006643BE" w:rsidRPr="00C67748" w:rsidRDefault="006643BE" w:rsidP="006643BE">
      <w:pPr>
        <w:spacing w:line="360" w:lineRule="auto"/>
        <w:jc w:val="both"/>
        <w:rPr>
          <w:rFonts w:ascii="Arial" w:hAnsi="Arial"/>
          <w:b/>
          <w:bCs/>
          <w:rtl/>
        </w:rPr>
      </w:pPr>
      <w:r w:rsidRPr="00C67748">
        <w:rPr>
          <w:rFonts w:ascii="Arial" w:hAnsi="Arial"/>
          <w:b/>
          <w:bCs/>
          <w:rtl/>
        </w:rPr>
        <w:t>זכות ערעור לבית המשפט העליון תוך ארבעים וחמישה יום.</w:t>
      </w:r>
    </w:p>
    <w:p w14:paraId="22DFEB3E" w14:textId="77777777" w:rsidR="006643BE" w:rsidRPr="0065449C" w:rsidRDefault="0065449C" w:rsidP="006643BE">
      <w:pPr>
        <w:spacing w:line="360" w:lineRule="auto"/>
        <w:jc w:val="both"/>
        <w:rPr>
          <w:rFonts w:ascii="Arial" w:hAnsi="Arial"/>
          <w:color w:val="FFFFFF"/>
          <w:sz w:val="2"/>
          <w:szCs w:val="2"/>
          <w:rtl/>
        </w:rPr>
      </w:pPr>
      <w:r w:rsidRPr="0065449C">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6643BE" w14:paraId="418D46D0" w14:textId="77777777" w:rsidTr="006643BE">
        <w:trPr>
          <w:jc w:val="right"/>
        </w:trPr>
        <w:tc>
          <w:tcPr>
            <w:tcW w:w="2392" w:type="dxa"/>
            <w:tcBorders>
              <w:top w:val="nil"/>
              <w:left w:val="nil"/>
              <w:bottom w:val="single" w:sz="4" w:space="0" w:color="auto"/>
              <w:right w:val="nil"/>
            </w:tcBorders>
            <w:shd w:val="clear" w:color="auto" w:fill="auto"/>
            <w:vAlign w:val="center"/>
          </w:tcPr>
          <w:p w14:paraId="03507B0D" w14:textId="77777777" w:rsidR="006643BE" w:rsidRPr="006643BE" w:rsidRDefault="0065449C" w:rsidP="0065449C">
            <w:pPr>
              <w:spacing w:before="40" w:after="40"/>
              <w:jc w:val="center"/>
              <w:rPr>
                <w:rFonts w:ascii="Courier New" w:hAnsi="Courier New"/>
                <w:b/>
                <w:bCs/>
                <w:rtl/>
              </w:rPr>
            </w:pPr>
            <w:bookmarkStart w:id="8" w:name="Nitan"/>
            <w:r w:rsidRPr="0065449C">
              <w:rPr>
                <w:rFonts w:ascii="Arial" w:hAnsi="Arial"/>
                <w:color w:val="FFFFFF"/>
                <w:sz w:val="2"/>
                <w:szCs w:val="2"/>
                <w:rtl/>
              </w:rPr>
              <w:t>54678313</w:t>
            </w:r>
            <w:r>
              <w:rPr>
                <w:rFonts w:ascii="Arial" w:hAnsi="Arial"/>
                <w:rtl/>
              </w:rPr>
              <w:t xml:space="preserve">ניתן היום,  כ"ד באלול התשפ"ב, 20 בספטמבר 2022, בהיעדר הצדדים. </w:t>
            </w:r>
            <w:bookmarkEnd w:id="8"/>
          </w:p>
        </w:tc>
      </w:tr>
      <w:tr w:rsidR="006643BE" w14:paraId="00F0C4EB" w14:textId="77777777" w:rsidTr="006643BE">
        <w:trPr>
          <w:jc w:val="right"/>
        </w:trPr>
        <w:tc>
          <w:tcPr>
            <w:tcW w:w="2392" w:type="dxa"/>
            <w:tcBorders>
              <w:top w:val="single" w:sz="4" w:space="0" w:color="auto"/>
              <w:left w:val="nil"/>
              <w:bottom w:val="nil"/>
              <w:right w:val="nil"/>
            </w:tcBorders>
            <w:shd w:val="clear" w:color="auto" w:fill="auto"/>
          </w:tcPr>
          <w:p w14:paraId="63E27008" w14:textId="77777777" w:rsidR="006643BE" w:rsidRPr="006643BE" w:rsidRDefault="006643BE" w:rsidP="006643BE">
            <w:pPr>
              <w:pStyle w:val="3"/>
              <w:spacing w:before="40" w:after="40" w:line="240" w:lineRule="auto"/>
              <w:jc w:val="center"/>
              <w:rPr>
                <w:sz w:val="28"/>
                <w:rtl/>
              </w:rPr>
            </w:pPr>
            <w:r w:rsidRPr="006643BE">
              <w:rPr>
                <w:rFonts w:hint="cs"/>
                <w:sz w:val="28"/>
                <w:rtl/>
              </w:rPr>
              <w:t>תמר בר-אשר, שופטת</w:t>
            </w:r>
          </w:p>
        </w:tc>
      </w:tr>
    </w:tbl>
    <w:p w14:paraId="2FBF0EF7" w14:textId="77777777" w:rsidR="006643BE" w:rsidRPr="000F2247" w:rsidRDefault="006643BE" w:rsidP="006643BE">
      <w:pPr>
        <w:rPr>
          <w:rFonts w:ascii="Arial" w:hAnsi="Arial"/>
          <w:b/>
          <w:bCs/>
          <w:sz w:val="26"/>
          <w:szCs w:val="26"/>
          <w:rtl/>
        </w:rPr>
      </w:pPr>
    </w:p>
    <w:p w14:paraId="4FADD7EC" w14:textId="77777777" w:rsidR="00683555" w:rsidRPr="0065449C" w:rsidRDefault="00683555" w:rsidP="0065449C">
      <w:pPr>
        <w:keepNext/>
        <w:rPr>
          <w:rFonts w:ascii="David" w:hAnsi="David"/>
          <w:color w:val="000000"/>
          <w:sz w:val="22"/>
          <w:szCs w:val="22"/>
          <w:rtl/>
        </w:rPr>
      </w:pPr>
    </w:p>
    <w:p w14:paraId="5B4154EF" w14:textId="77777777" w:rsidR="0065449C" w:rsidRPr="0065449C" w:rsidRDefault="0065449C" w:rsidP="0065449C">
      <w:pPr>
        <w:keepNext/>
        <w:rPr>
          <w:rFonts w:ascii="David" w:hAnsi="David"/>
          <w:color w:val="000000"/>
          <w:sz w:val="22"/>
          <w:szCs w:val="22"/>
          <w:rtl/>
        </w:rPr>
      </w:pPr>
      <w:r w:rsidRPr="0065449C">
        <w:rPr>
          <w:rFonts w:ascii="David" w:hAnsi="David"/>
          <w:color w:val="000000"/>
          <w:sz w:val="22"/>
          <w:szCs w:val="22"/>
          <w:rtl/>
        </w:rPr>
        <w:t>תמר בר אשר 54678313</w:t>
      </w:r>
    </w:p>
    <w:p w14:paraId="74642F09" w14:textId="77777777" w:rsidR="0065449C" w:rsidRDefault="0065449C" w:rsidP="0065449C">
      <w:r w:rsidRPr="0065449C">
        <w:rPr>
          <w:color w:val="000000"/>
          <w:rtl/>
        </w:rPr>
        <w:t>נוסח מסמך זה כפוף לשינויי ניסוח ועריכה</w:t>
      </w:r>
    </w:p>
    <w:p w14:paraId="426D60C9" w14:textId="77777777" w:rsidR="0065449C" w:rsidRDefault="0065449C" w:rsidP="0065449C">
      <w:pPr>
        <w:rPr>
          <w:rtl/>
        </w:rPr>
      </w:pPr>
    </w:p>
    <w:p w14:paraId="7926C3E0" w14:textId="77777777" w:rsidR="0065449C" w:rsidRDefault="0065449C" w:rsidP="0065449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F3565CE" w14:textId="77777777" w:rsidR="0065449C" w:rsidRPr="0065449C" w:rsidRDefault="0065449C" w:rsidP="0065449C">
      <w:pPr>
        <w:jc w:val="center"/>
        <w:rPr>
          <w:color w:val="0000FF"/>
          <w:u w:val="single"/>
        </w:rPr>
      </w:pPr>
    </w:p>
    <w:sectPr w:rsidR="0065449C" w:rsidRPr="0065449C" w:rsidSect="0065449C">
      <w:headerReference w:type="even" r:id="rId28"/>
      <w:headerReference w:type="default" r:id="rId29"/>
      <w:footerReference w:type="even" r:id="rId30"/>
      <w:footerReference w:type="default" r:id="rId31"/>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C888F" w14:textId="77777777" w:rsidR="0029175C" w:rsidRDefault="0029175C" w:rsidP="00C87022">
      <w:r>
        <w:separator/>
      </w:r>
    </w:p>
  </w:endnote>
  <w:endnote w:type="continuationSeparator" w:id="0">
    <w:p w14:paraId="40F1B467" w14:textId="77777777" w:rsidR="0029175C" w:rsidRDefault="0029175C" w:rsidP="00C8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E535" w14:textId="77777777" w:rsidR="0065449C" w:rsidRDefault="0065449C" w:rsidP="006544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6FD281" w14:textId="77777777" w:rsidR="00146FB1" w:rsidRPr="0065449C" w:rsidRDefault="0065449C" w:rsidP="006544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FAE03" w14:textId="77777777" w:rsidR="0065449C" w:rsidRDefault="0065449C" w:rsidP="006544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6465">
      <w:rPr>
        <w:rFonts w:ascii="FrankRuehl" w:hAnsi="FrankRuehl" w:cs="FrankRuehl"/>
        <w:noProof/>
        <w:rtl/>
      </w:rPr>
      <w:t>1</w:t>
    </w:r>
    <w:r>
      <w:rPr>
        <w:rFonts w:ascii="FrankRuehl" w:hAnsi="FrankRuehl" w:cs="FrankRuehl"/>
        <w:rtl/>
      </w:rPr>
      <w:fldChar w:fldCharType="end"/>
    </w:r>
  </w:p>
  <w:p w14:paraId="7F63937C" w14:textId="77777777" w:rsidR="00146FB1" w:rsidRPr="0065449C" w:rsidRDefault="0065449C" w:rsidP="0065449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76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D5EDC" w14:textId="77777777" w:rsidR="0029175C" w:rsidRDefault="0029175C" w:rsidP="00C87022">
      <w:r>
        <w:separator/>
      </w:r>
    </w:p>
  </w:footnote>
  <w:footnote w:type="continuationSeparator" w:id="0">
    <w:p w14:paraId="25DBBB5B" w14:textId="77777777" w:rsidR="0029175C" w:rsidRDefault="0029175C" w:rsidP="00C87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66A53" w14:textId="77777777" w:rsidR="0065449C" w:rsidRPr="0065449C" w:rsidRDefault="0065449C" w:rsidP="006544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61406-10-21</w:t>
    </w:r>
    <w:r>
      <w:rPr>
        <w:rFonts w:ascii="David" w:hAnsi="David"/>
        <w:color w:val="000000"/>
        <w:sz w:val="22"/>
        <w:szCs w:val="22"/>
        <w:rtl/>
      </w:rPr>
      <w:tab/>
      <w:t xml:space="preserve"> מדינת ישראל נ' מיכאל ולטמן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1227F" w14:textId="77777777" w:rsidR="0065449C" w:rsidRPr="0065449C" w:rsidRDefault="0065449C" w:rsidP="006544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61406-10-21</w:t>
    </w:r>
    <w:r>
      <w:rPr>
        <w:rFonts w:ascii="David" w:hAnsi="David"/>
        <w:color w:val="000000"/>
        <w:sz w:val="22"/>
        <w:szCs w:val="22"/>
        <w:rtl/>
      </w:rPr>
      <w:tab/>
      <w:t xml:space="preserve"> מדינת ישראל נ' מיכאל ולטמן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43BE"/>
    <w:rsid w:val="00146FB1"/>
    <w:rsid w:val="001B5A3B"/>
    <w:rsid w:val="0029175C"/>
    <w:rsid w:val="005C166E"/>
    <w:rsid w:val="0065449C"/>
    <w:rsid w:val="006643BE"/>
    <w:rsid w:val="00683555"/>
    <w:rsid w:val="00686C14"/>
    <w:rsid w:val="007A387F"/>
    <w:rsid w:val="00BC44F8"/>
    <w:rsid w:val="00BD6465"/>
    <w:rsid w:val="00C87022"/>
    <w:rsid w:val="00CA4812"/>
    <w:rsid w:val="00DA0DCD"/>
    <w:rsid w:val="00DA1B7B"/>
    <w:rsid w:val="00DA52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FB05F1"/>
  <w15:chartTrackingRefBased/>
  <w15:docId w15:val="{48CAF92C-3148-4FE5-A668-C2849E05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43BE"/>
    <w:pPr>
      <w:bidi/>
    </w:pPr>
    <w:rPr>
      <w:rFonts w:ascii="Times New Roman" w:eastAsia="Times New Roman" w:hAnsi="Times New Roman" w:cs="David"/>
      <w:sz w:val="24"/>
      <w:szCs w:val="24"/>
    </w:rPr>
  </w:style>
  <w:style w:type="paragraph" w:styleId="3">
    <w:name w:val="heading 3"/>
    <w:basedOn w:val="a"/>
    <w:next w:val="a"/>
    <w:link w:val="30"/>
    <w:qFormat/>
    <w:rsid w:val="006643BE"/>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6643BE"/>
    <w:rPr>
      <w:rFonts w:ascii="Times New Roman" w:eastAsia="Times New Roman" w:hAnsi="Times New Roman" w:cs="David"/>
      <w:b/>
      <w:bCs/>
      <w:noProof/>
      <w:sz w:val="20"/>
      <w:szCs w:val="24"/>
      <w:lang w:eastAsia="he-IL"/>
    </w:rPr>
  </w:style>
  <w:style w:type="paragraph" w:styleId="a3">
    <w:name w:val="header"/>
    <w:basedOn w:val="a"/>
    <w:link w:val="a4"/>
    <w:rsid w:val="006643BE"/>
    <w:pPr>
      <w:tabs>
        <w:tab w:val="center" w:pos="4153"/>
        <w:tab w:val="right" w:pos="8306"/>
      </w:tabs>
    </w:pPr>
  </w:style>
  <w:style w:type="character" w:customStyle="1" w:styleId="a4">
    <w:name w:val="כותרת עליונה תו"/>
    <w:link w:val="a3"/>
    <w:rsid w:val="006643BE"/>
    <w:rPr>
      <w:rFonts w:ascii="Times New Roman" w:eastAsia="Times New Roman" w:hAnsi="Times New Roman" w:cs="David"/>
      <w:sz w:val="24"/>
      <w:szCs w:val="24"/>
    </w:rPr>
  </w:style>
  <w:style w:type="paragraph" w:styleId="a5">
    <w:name w:val="footer"/>
    <w:basedOn w:val="a"/>
    <w:link w:val="a6"/>
    <w:rsid w:val="006643BE"/>
    <w:pPr>
      <w:tabs>
        <w:tab w:val="center" w:pos="4153"/>
        <w:tab w:val="right" w:pos="8306"/>
      </w:tabs>
    </w:pPr>
  </w:style>
  <w:style w:type="character" w:customStyle="1" w:styleId="a6">
    <w:name w:val="כותרת תחתונה תו"/>
    <w:link w:val="a5"/>
    <w:rsid w:val="006643BE"/>
    <w:rPr>
      <w:rFonts w:ascii="Times New Roman" w:eastAsia="Times New Roman" w:hAnsi="Times New Roman" w:cs="David"/>
      <w:sz w:val="24"/>
      <w:szCs w:val="24"/>
    </w:rPr>
  </w:style>
  <w:style w:type="table" w:styleId="a7">
    <w:name w:val="Table Grid"/>
    <w:basedOn w:val="a1"/>
    <w:rsid w:val="006643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43BE"/>
  </w:style>
  <w:style w:type="character" w:styleId="Hyperlink">
    <w:name w:val="Hyperlink"/>
    <w:rsid w:val="00654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13e" TargetMode="External"/><Relationship Id="rId26" Type="http://schemas.openxmlformats.org/officeDocument/2006/relationships/hyperlink" Target="http://www.nevo.co.il/case/26224124" TargetMode="External"/><Relationship Id="rId3" Type="http://schemas.openxmlformats.org/officeDocument/2006/relationships/webSettings" Target="webSettings.xml"/><Relationship Id="rId21" Type="http://schemas.openxmlformats.org/officeDocument/2006/relationships/hyperlink" Target="http://www.nevo.co.il/law/4216/7.c"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22412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law/4216/7.a"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48" TargetMode="External"/><Relationship Id="rId24" Type="http://schemas.openxmlformats.org/officeDocument/2006/relationships/hyperlink" Target="http://www.nevo.co.il/law/70301/244"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48" TargetMode="External"/><Relationship Id="rId23" Type="http://schemas.openxmlformats.org/officeDocument/2006/relationships/hyperlink" Target="http://www.nevo.co.il/law/70301/186" TargetMode="External"/><Relationship Id="rId28" Type="http://schemas.openxmlformats.org/officeDocument/2006/relationships/header" Target="header1.xml"/><Relationship Id="rId10" Type="http://schemas.openxmlformats.org/officeDocument/2006/relationships/hyperlink" Target="http://www.nevo.co.il/law/70301/413e" TargetMode="External"/><Relationship Id="rId19" Type="http://schemas.openxmlformats.org/officeDocument/2006/relationships/hyperlink" Target="http://www.nevo.co.il/law/70301/3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1146</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6864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3539057</vt:i4>
      </vt:variant>
      <vt:variant>
        <vt:i4>60</vt:i4>
      </vt:variant>
      <vt:variant>
        <vt:i4>0</vt:i4>
      </vt:variant>
      <vt:variant>
        <vt:i4>5</vt:i4>
      </vt:variant>
      <vt:variant>
        <vt:lpwstr>http://www.nevo.co.il/case/26224124</vt:lpwstr>
      </vt:variant>
      <vt:variant>
        <vt:lpwstr/>
      </vt:variant>
      <vt:variant>
        <vt:i4>3539057</vt:i4>
      </vt:variant>
      <vt:variant>
        <vt:i4>57</vt:i4>
      </vt:variant>
      <vt:variant>
        <vt:i4>0</vt:i4>
      </vt:variant>
      <vt:variant>
        <vt:i4>5</vt:i4>
      </vt:variant>
      <vt:variant>
        <vt:lpwstr>http://www.nevo.co.il/case/26224124</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7143524</vt:i4>
      </vt:variant>
      <vt:variant>
        <vt:i4>51</vt:i4>
      </vt:variant>
      <vt:variant>
        <vt:i4>0</vt:i4>
      </vt:variant>
      <vt:variant>
        <vt:i4>5</vt:i4>
      </vt:variant>
      <vt:variant>
        <vt:lpwstr>http://www.nevo.co.il/law/70301/186</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65618</vt:i4>
      </vt:variant>
      <vt:variant>
        <vt:i4>36</vt:i4>
      </vt:variant>
      <vt:variant>
        <vt:i4>0</vt:i4>
      </vt:variant>
      <vt:variant>
        <vt:i4>5</vt:i4>
      </vt:variant>
      <vt:variant>
        <vt:lpwstr>http://www.nevo.co.il/law/70301/413e</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6357089</vt:i4>
      </vt:variant>
      <vt:variant>
        <vt:i4>27</vt:i4>
      </vt:variant>
      <vt:variant>
        <vt:i4>0</vt:i4>
      </vt:variant>
      <vt:variant>
        <vt:i4>5</vt:i4>
      </vt:variant>
      <vt:variant>
        <vt:lpwstr>http://www.nevo.co.il/law/70301/448</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6357089</vt:i4>
      </vt:variant>
      <vt:variant>
        <vt:i4>15</vt:i4>
      </vt:variant>
      <vt:variant>
        <vt:i4>0</vt:i4>
      </vt:variant>
      <vt:variant>
        <vt:i4>5</vt:i4>
      </vt:variant>
      <vt:variant>
        <vt:lpwstr>http://www.nevo.co.il/law/70301/448</vt:lpwstr>
      </vt:variant>
      <vt:variant>
        <vt:lpwstr/>
      </vt:variant>
      <vt:variant>
        <vt:i4>65618</vt:i4>
      </vt:variant>
      <vt:variant>
        <vt:i4>12</vt:i4>
      </vt:variant>
      <vt:variant>
        <vt:i4>0</vt:i4>
      </vt:variant>
      <vt:variant>
        <vt:i4>5</vt:i4>
      </vt:variant>
      <vt:variant>
        <vt:lpwstr>http://www.nevo.co.il/law/70301/413e</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7143524</vt:i4>
      </vt:variant>
      <vt:variant>
        <vt:i4>6</vt:i4>
      </vt:variant>
      <vt:variant>
        <vt:i4>0</vt:i4>
      </vt:variant>
      <vt:variant>
        <vt:i4>5</vt:i4>
      </vt:variant>
      <vt:variant>
        <vt:lpwstr>http://www.nevo.co.il/law/70301/186</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61406</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מיכאל ולטמן</vt:lpwstr>
  </property>
  <property fmtid="{D5CDD505-2E9C-101B-9397-08002B2CF9AE}" pid="10" name="LAWYER">
    <vt:lpwstr>בני ליבסקינד (פרקליטות מחוז ירושלים (פלילי))</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20220920</vt:lpwstr>
  </property>
  <property fmtid="{D5CDD505-2E9C-101B-9397-08002B2CF9AE}" pid="14" name="TYPE_N_DATE">
    <vt:lpwstr>39020220920</vt:lpwstr>
  </property>
  <property fmtid="{D5CDD505-2E9C-101B-9397-08002B2CF9AE}" pid="15" name="WORDNUMPAGES">
    <vt:lpwstr>4</vt:lpwstr>
  </property>
  <property fmtid="{D5CDD505-2E9C-101B-9397-08002B2CF9AE}" pid="16" name="TYPE_ABS_DATE">
    <vt:lpwstr>390020220920</vt:lpwstr>
  </property>
  <property fmtid="{D5CDD505-2E9C-101B-9397-08002B2CF9AE}" pid="17" name="ISABSTRACT">
    <vt:lpwstr>Y</vt:lpwstr>
  </property>
  <property fmtid="{D5CDD505-2E9C-101B-9397-08002B2CF9AE}" pid="18" name="CASESLISTTMP1">
    <vt:lpwstr>26224124:2</vt:lpwstr>
  </property>
  <property fmtid="{D5CDD505-2E9C-101B-9397-08002B2CF9AE}" pid="19" name="LAWLISTTMP1">
    <vt:lpwstr>70301/448;031:2;413e;186;244</vt:lpwstr>
  </property>
  <property fmtid="{D5CDD505-2E9C-101B-9397-08002B2CF9AE}" pid="20" name="LAWLISTTMP2">
    <vt:lpwstr>4216/007.a;007.c</vt:lpwstr>
  </property>
</Properties>
</file>