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13"/>
        <w:gridCol w:w="2835"/>
        <w:gridCol w:w="824"/>
        <w:gridCol w:w="99"/>
      </w:tblGrid>
      <w:tr w:rsidR="00AE0903" w:rsidRPr="003E620B" w14:paraId="13192D63" w14:textId="77777777" w:rsidTr="00A8196F">
        <w:trPr>
          <w:gridAfter w:val="1"/>
          <w:wAfter w:w="99" w:type="dxa"/>
          <w:trHeight w:hRule="exact" w:val="418"/>
          <w:jc w:val="center"/>
        </w:trPr>
        <w:tc>
          <w:tcPr>
            <w:tcW w:w="8721" w:type="dxa"/>
            <w:gridSpan w:val="5"/>
          </w:tcPr>
          <w:p w14:paraId="3C974AB1" w14:textId="77777777" w:rsidR="00AE0903" w:rsidRPr="003E620B" w:rsidRDefault="00AE0903" w:rsidP="00532D2A">
            <w:pPr>
              <w:pStyle w:val="a3"/>
              <w:jc w:val="center"/>
              <w:rPr>
                <w:rFonts w:ascii="Tahoma" w:hAnsi="Tahoma" w:cs="Tahoma"/>
                <w:color w:val="000080"/>
                <w:rtl/>
              </w:rPr>
            </w:pPr>
            <w:r w:rsidRPr="003E620B">
              <w:rPr>
                <w:rFonts w:ascii="Tahoma" w:hAnsi="Tahoma" w:cs="Tahoma"/>
                <w:b/>
                <w:bCs/>
                <w:color w:val="000080"/>
                <w:rtl/>
              </w:rPr>
              <w:t>בית המשפט המחוזי בבאר שבע</w:t>
            </w:r>
          </w:p>
        </w:tc>
      </w:tr>
      <w:tr w:rsidR="00AE0903" w:rsidRPr="003E620B" w14:paraId="6C06C0E0" w14:textId="77777777" w:rsidTr="00A8196F">
        <w:trPr>
          <w:gridAfter w:val="1"/>
          <w:wAfter w:w="99" w:type="dxa"/>
          <w:trHeight w:val="337"/>
          <w:jc w:val="center"/>
        </w:trPr>
        <w:tc>
          <w:tcPr>
            <w:tcW w:w="5062" w:type="dxa"/>
            <w:gridSpan w:val="3"/>
          </w:tcPr>
          <w:p w14:paraId="47EEF493" w14:textId="77777777" w:rsidR="00AE0903" w:rsidRPr="003E620B" w:rsidRDefault="00AE0903" w:rsidP="00532D2A">
            <w:pPr>
              <w:rPr>
                <w:rFonts w:cs="FrankRuehl"/>
                <w:sz w:val="28"/>
                <w:szCs w:val="28"/>
                <w:rtl/>
              </w:rPr>
            </w:pPr>
            <w:r w:rsidRPr="003E620B">
              <w:rPr>
                <w:rFonts w:cs="FrankRuehl"/>
                <w:sz w:val="28"/>
                <w:szCs w:val="28"/>
                <w:rtl/>
              </w:rPr>
              <w:t>ת"פ</w:t>
            </w:r>
            <w:r w:rsidRPr="003E620B">
              <w:rPr>
                <w:rFonts w:cs="FrankRuehl" w:hint="cs"/>
                <w:sz w:val="28"/>
                <w:szCs w:val="28"/>
                <w:rtl/>
              </w:rPr>
              <w:t xml:space="preserve"> </w:t>
            </w:r>
            <w:r w:rsidRPr="003E620B">
              <w:rPr>
                <w:rFonts w:cs="FrankRuehl"/>
                <w:sz w:val="28"/>
                <w:szCs w:val="28"/>
                <w:rtl/>
              </w:rPr>
              <w:t>65963-10-21</w:t>
            </w:r>
            <w:r w:rsidRPr="003E620B">
              <w:rPr>
                <w:rFonts w:cs="FrankRuehl" w:hint="cs"/>
                <w:sz w:val="28"/>
                <w:szCs w:val="28"/>
                <w:rtl/>
              </w:rPr>
              <w:t xml:space="preserve"> </w:t>
            </w:r>
            <w:r w:rsidRPr="003E620B">
              <w:rPr>
                <w:rFonts w:cs="FrankRuehl"/>
                <w:sz w:val="28"/>
                <w:szCs w:val="28"/>
                <w:rtl/>
              </w:rPr>
              <w:t>מדינת ישראל נ' ט9165983(עציר)</w:t>
            </w:r>
          </w:p>
          <w:p w14:paraId="35297B6D" w14:textId="77777777" w:rsidR="00AE0903" w:rsidRPr="003E620B" w:rsidRDefault="00AE0903" w:rsidP="00532D2A">
            <w:pPr>
              <w:pStyle w:val="a3"/>
              <w:rPr>
                <w:rFonts w:cs="FrankRuehl"/>
                <w:sz w:val="28"/>
                <w:szCs w:val="28"/>
                <w:rtl/>
              </w:rPr>
            </w:pPr>
          </w:p>
        </w:tc>
        <w:tc>
          <w:tcPr>
            <w:tcW w:w="3659" w:type="dxa"/>
            <w:gridSpan w:val="2"/>
          </w:tcPr>
          <w:p w14:paraId="1370DE24" w14:textId="77777777" w:rsidR="00AE0903" w:rsidRPr="003E620B" w:rsidRDefault="00AE0903" w:rsidP="00532D2A">
            <w:pPr>
              <w:pStyle w:val="a3"/>
              <w:jc w:val="right"/>
              <w:rPr>
                <w:rFonts w:cs="FrankRuehl"/>
                <w:sz w:val="28"/>
                <w:szCs w:val="28"/>
                <w:rtl/>
              </w:rPr>
            </w:pPr>
          </w:p>
        </w:tc>
      </w:tr>
      <w:tr w:rsidR="00AE0903" w:rsidRPr="003E620B" w14:paraId="54787A87" w14:textId="77777777" w:rsidTr="00A819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923" w:type="dxa"/>
          <w:trHeight w:val="295"/>
          <w:jc w:val="center"/>
        </w:trPr>
        <w:tc>
          <w:tcPr>
            <w:tcW w:w="7897" w:type="dxa"/>
            <w:gridSpan w:val="4"/>
            <w:tcBorders>
              <w:top w:val="nil"/>
              <w:left w:val="nil"/>
              <w:bottom w:val="nil"/>
              <w:right w:val="nil"/>
            </w:tcBorders>
            <w:shd w:val="clear" w:color="auto" w:fill="auto"/>
          </w:tcPr>
          <w:p w14:paraId="5A223B3F" w14:textId="77777777" w:rsidR="00AE0903" w:rsidRPr="003E620B" w:rsidRDefault="00AE0903" w:rsidP="00532D2A">
            <w:pPr>
              <w:rPr>
                <w:rFonts w:ascii="Arial" w:hAnsi="Arial"/>
                <w:b/>
                <w:bCs/>
                <w:sz w:val="26"/>
                <w:szCs w:val="26"/>
                <w:rtl/>
              </w:rPr>
            </w:pPr>
            <w:r w:rsidRPr="003E620B">
              <w:rPr>
                <w:rFonts w:hint="cs"/>
                <w:rtl/>
              </w:rPr>
              <w:t xml:space="preserve"> </w:t>
            </w:r>
            <w:r w:rsidRPr="003E620B">
              <w:rPr>
                <w:rFonts w:ascii="Arial" w:hAnsi="Arial" w:hint="cs"/>
                <w:b/>
                <w:bCs/>
                <w:sz w:val="26"/>
                <w:szCs w:val="26"/>
                <w:rtl/>
              </w:rPr>
              <w:t>בפני כב' סגן הנשיאה, השופט אליהו ביתן</w:t>
            </w:r>
          </w:p>
          <w:p w14:paraId="6E47D30D" w14:textId="77777777" w:rsidR="00AE0903" w:rsidRPr="003E620B" w:rsidRDefault="00AE0903" w:rsidP="00532D2A">
            <w:pPr>
              <w:rPr>
                <w:rFonts w:ascii="Arial" w:hAnsi="Arial"/>
                <w:b/>
                <w:bCs/>
                <w:sz w:val="26"/>
                <w:szCs w:val="26"/>
              </w:rPr>
            </w:pPr>
          </w:p>
        </w:tc>
      </w:tr>
      <w:tr w:rsidR="00AE0903" w:rsidRPr="003E620B" w14:paraId="2F97D494" w14:textId="77777777" w:rsidTr="00A819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D0180F5" w14:textId="77777777" w:rsidR="00AE0903" w:rsidRPr="003E620B" w:rsidRDefault="00AE0903" w:rsidP="00AE0903">
            <w:pPr>
              <w:jc w:val="both"/>
              <w:rPr>
                <w:rFonts w:ascii="Arial" w:hAnsi="Arial"/>
                <w:b/>
                <w:bCs/>
                <w:sz w:val="26"/>
                <w:szCs w:val="26"/>
              </w:rPr>
            </w:pPr>
            <w:bookmarkStart w:id="0" w:name="FirstAppellant"/>
            <w:bookmarkStart w:id="1" w:name="LastJudge"/>
            <w:bookmarkEnd w:id="1"/>
            <w:r w:rsidRPr="003E620B">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2DBD10C5" w14:textId="77777777" w:rsidR="00AE0903" w:rsidRPr="003E620B" w:rsidRDefault="00AE0903" w:rsidP="00532D2A">
            <w:pPr>
              <w:rPr>
                <w:rFonts w:ascii="Arial" w:hAnsi="Arial"/>
                <w:b/>
                <w:bCs/>
                <w:sz w:val="26"/>
                <w:szCs w:val="26"/>
              </w:rPr>
            </w:pPr>
            <w:r w:rsidRPr="003E620B">
              <w:rPr>
                <w:rFonts w:ascii="Arial" w:hAnsi="Arial"/>
                <w:b/>
                <w:bCs/>
                <w:sz w:val="26"/>
                <w:szCs w:val="26"/>
                <w:rtl/>
              </w:rPr>
              <w:t>מדינת ישראל</w:t>
            </w:r>
          </w:p>
        </w:tc>
        <w:tc>
          <w:tcPr>
            <w:tcW w:w="3771" w:type="dxa"/>
            <w:gridSpan w:val="4"/>
            <w:tcBorders>
              <w:top w:val="nil"/>
              <w:left w:val="nil"/>
              <w:bottom w:val="nil"/>
              <w:right w:val="nil"/>
            </w:tcBorders>
            <w:shd w:val="clear" w:color="auto" w:fill="auto"/>
          </w:tcPr>
          <w:p w14:paraId="49392045" w14:textId="77777777" w:rsidR="00AE0903" w:rsidRPr="003E620B" w:rsidRDefault="00AE0903" w:rsidP="00AE0903">
            <w:pPr>
              <w:jc w:val="both"/>
              <w:rPr>
                <w:rFonts w:ascii="Arial" w:hAnsi="Arial"/>
                <w:b/>
                <w:bCs/>
                <w:sz w:val="26"/>
                <w:szCs w:val="26"/>
              </w:rPr>
            </w:pPr>
          </w:p>
        </w:tc>
      </w:tr>
      <w:bookmarkEnd w:id="0"/>
      <w:tr w:rsidR="00AE0903" w:rsidRPr="003E620B" w14:paraId="26222CEE" w14:textId="77777777" w:rsidTr="00A819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EC2FF9D" w14:textId="77777777" w:rsidR="00AE0903" w:rsidRPr="003E620B" w:rsidRDefault="00AE0903" w:rsidP="00AE0903">
            <w:pPr>
              <w:jc w:val="both"/>
              <w:rPr>
                <w:rFonts w:ascii="Arial" w:hAnsi="Arial"/>
                <w:b/>
                <w:bCs/>
                <w:sz w:val="26"/>
                <w:szCs w:val="26"/>
                <w:rtl/>
              </w:rPr>
            </w:pPr>
          </w:p>
        </w:tc>
        <w:tc>
          <w:tcPr>
            <w:tcW w:w="4126" w:type="dxa"/>
            <w:tcBorders>
              <w:top w:val="nil"/>
              <w:left w:val="nil"/>
              <w:bottom w:val="nil"/>
              <w:right w:val="nil"/>
            </w:tcBorders>
            <w:shd w:val="clear" w:color="auto" w:fill="auto"/>
          </w:tcPr>
          <w:p w14:paraId="49D51FAC" w14:textId="77777777" w:rsidR="00AE0903" w:rsidRPr="003E620B" w:rsidRDefault="00AE0903" w:rsidP="00AE0903">
            <w:pPr>
              <w:jc w:val="both"/>
              <w:rPr>
                <w:rFonts w:ascii="Arial" w:hAnsi="Arial"/>
                <w:b/>
                <w:bCs/>
                <w:sz w:val="26"/>
                <w:szCs w:val="26"/>
                <w:rtl/>
              </w:rPr>
            </w:pPr>
          </w:p>
        </w:tc>
        <w:tc>
          <w:tcPr>
            <w:tcW w:w="3771" w:type="dxa"/>
            <w:gridSpan w:val="4"/>
            <w:tcBorders>
              <w:top w:val="nil"/>
              <w:left w:val="nil"/>
              <w:bottom w:val="nil"/>
              <w:right w:val="nil"/>
            </w:tcBorders>
            <w:shd w:val="clear" w:color="auto" w:fill="auto"/>
          </w:tcPr>
          <w:p w14:paraId="102CEA38" w14:textId="77777777" w:rsidR="00AE0903" w:rsidRPr="003E620B" w:rsidRDefault="00AE0903" w:rsidP="00AE0903">
            <w:pPr>
              <w:jc w:val="right"/>
              <w:rPr>
                <w:rFonts w:ascii="Arial" w:hAnsi="Arial"/>
                <w:b/>
                <w:bCs/>
                <w:sz w:val="26"/>
                <w:szCs w:val="26"/>
                <w:rtl/>
              </w:rPr>
            </w:pPr>
            <w:r w:rsidRPr="003E620B">
              <w:rPr>
                <w:rFonts w:ascii="Arial" w:hAnsi="Arial" w:hint="cs"/>
                <w:b/>
                <w:bCs/>
                <w:sz w:val="26"/>
                <w:szCs w:val="26"/>
                <w:rtl/>
              </w:rPr>
              <w:t>ה</w:t>
            </w:r>
            <w:r w:rsidRPr="003E620B">
              <w:rPr>
                <w:rFonts w:ascii="Arial" w:hAnsi="Arial"/>
                <w:b/>
                <w:bCs/>
                <w:sz w:val="26"/>
                <w:szCs w:val="26"/>
                <w:rtl/>
              </w:rPr>
              <w:t>מאשימה</w:t>
            </w:r>
          </w:p>
        </w:tc>
      </w:tr>
      <w:tr w:rsidR="00AE0903" w:rsidRPr="003E620B" w14:paraId="327CB990" w14:textId="77777777" w:rsidTr="00A819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8225DFD" w14:textId="77777777" w:rsidR="00AE0903" w:rsidRPr="003E620B" w:rsidRDefault="00AE0903" w:rsidP="00AE0903">
            <w:pPr>
              <w:jc w:val="both"/>
              <w:rPr>
                <w:rFonts w:ascii="Arial" w:hAnsi="Arial"/>
                <w:b/>
                <w:bCs/>
                <w:sz w:val="26"/>
                <w:szCs w:val="26"/>
                <w:rtl/>
              </w:rPr>
            </w:pPr>
          </w:p>
        </w:tc>
        <w:tc>
          <w:tcPr>
            <w:tcW w:w="7897" w:type="dxa"/>
            <w:gridSpan w:val="5"/>
            <w:tcBorders>
              <w:top w:val="nil"/>
              <w:left w:val="nil"/>
              <w:bottom w:val="nil"/>
              <w:right w:val="nil"/>
            </w:tcBorders>
            <w:shd w:val="clear" w:color="auto" w:fill="auto"/>
          </w:tcPr>
          <w:p w14:paraId="297C56E1" w14:textId="77777777" w:rsidR="00AE0903" w:rsidRPr="003E620B" w:rsidRDefault="00AE0903" w:rsidP="00AE0903">
            <w:pPr>
              <w:jc w:val="center"/>
              <w:rPr>
                <w:rFonts w:ascii="Arial" w:hAnsi="Arial"/>
                <w:b/>
                <w:bCs/>
                <w:sz w:val="26"/>
                <w:szCs w:val="26"/>
                <w:rtl/>
              </w:rPr>
            </w:pPr>
          </w:p>
          <w:p w14:paraId="221DB069" w14:textId="77777777" w:rsidR="00AE0903" w:rsidRPr="003E620B" w:rsidRDefault="00AE0903" w:rsidP="00AE0903">
            <w:pPr>
              <w:jc w:val="center"/>
              <w:rPr>
                <w:rFonts w:ascii="Arial" w:hAnsi="Arial"/>
                <w:b/>
                <w:bCs/>
                <w:sz w:val="26"/>
                <w:szCs w:val="26"/>
                <w:rtl/>
              </w:rPr>
            </w:pPr>
            <w:r w:rsidRPr="003E620B">
              <w:rPr>
                <w:rFonts w:ascii="Arial" w:hAnsi="Arial"/>
                <w:b/>
                <w:bCs/>
                <w:sz w:val="26"/>
                <w:szCs w:val="26"/>
                <w:rtl/>
              </w:rPr>
              <w:t>נגד</w:t>
            </w:r>
          </w:p>
          <w:p w14:paraId="6805683C" w14:textId="77777777" w:rsidR="00AE0903" w:rsidRPr="003E620B" w:rsidRDefault="00AE0903" w:rsidP="00AE0903">
            <w:pPr>
              <w:jc w:val="both"/>
              <w:rPr>
                <w:rFonts w:ascii="Arial" w:hAnsi="Arial"/>
                <w:b/>
                <w:bCs/>
                <w:sz w:val="26"/>
                <w:szCs w:val="26"/>
              </w:rPr>
            </w:pPr>
          </w:p>
        </w:tc>
      </w:tr>
      <w:tr w:rsidR="00AE0903" w:rsidRPr="003E620B" w14:paraId="7F932D50" w14:textId="77777777" w:rsidTr="00A819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5E79523" w14:textId="77777777" w:rsidR="00AE0903" w:rsidRPr="003E620B" w:rsidRDefault="00AE0903" w:rsidP="00532D2A">
            <w:pPr>
              <w:rPr>
                <w:rFonts w:ascii="Arial" w:hAnsi="Arial"/>
                <w:b/>
                <w:bCs/>
                <w:sz w:val="26"/>
                <w:szCs w:val="26"/>
                <w:rtl/>
              </w:rPr>
            </w:pPr>
          </w:p>
        </w:tc>
        <w:tc>
          <w:tcPr>
            <w:tcW w:w="4126" w:type="dxa"/>
            <w:tcBorders>
              <w:top w:val="nil"/>
              <w:left w:val="nil"/>
              <w:bottom w:val="nil"/>
              <w:right w:val="nil"/>
            </w:tcBorders>
            <w:shd w:val="clear" w:color="auto" w:fill="auto"/>
          </w:tcPr>
          <w:p w14:paraId="50515906" w14:textId="77777777" w:rsidR="00AE0903" w:rsidRPr="003E620B" w:rsidRDefault="00AE0903" w:rsidP="00532D2A">
            <w:pPr>
              <w:rPr>
                <w:rFonts w:ascii="Arial" w:hAnsi="Arial"/>
                <w:b/>
                <w:bCs/>
                <w:sz w:val="26"/>
                <w:szCs w:val="26"/>
                <w:rtl/>
              </w:rPr>
            </w:pPr>
            <w:r w:rsidRPr="003E620B">
              <w:rPr>
                <w:rFonts w:ascii="Arial" w:hAnsi="Arial"/>
                <w:b/>
                <w:bCs/>
                <w:sz w:val="26"/>
                <w:szCs w:val="26"/>
                <w:rtl/>
              </w:rPr>
              <w:t>SEA LEE MONTREE ט9165983 (עציר)</w:t>
            </w:r>
          </w:p>
        </w:tc>
        <w:tc>
          <w:tcPr>
            <w:tcW w:w="3771" w:type="dxa"/>
            <w:gridSpan w:val="4"/>
            <w:tcBorders>
              <w:top w:val="nil"/>
              <w:left w:val="nil"/>
              <w:bottom w:val="nil"/>
              <w:right w:val="nil"/>
            </w:tcBorders>
            <w:shd w:val="clear" w:color="auto" w:fill="auto"/>
          </w:tcPr>
          <w:p w14:paraId="5BD11804" w14:textId="77777777" w:rsidR="00AE0903" w:rsidRPr="003E620B" w:rsidRDefault="00AE0903" w:rsidP="00AE0903">
            <w:pPr>
              <w:jc w:val="right"/>
              <w:rPr>
                <w:rFonts w:ascii="Arial" w:hAnsi="Arial"/>
                <w:b/>
                <w:bCs/>
                <w:sz w:val="26"/>
                <w:szCs w:val="26"/>
              </w:rPr>
            </w:pPr>
          </w:p>
        </w:tc>
      </w:tr>
      <w:tr w:rsidR="00AE0903" w:rsidRPr="003E620B" w14:paraId="3602F4C8" w14:textId="77777777" w:rsidTr="00A819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C3E4A6D" w14:textId="77777777" w:rsidR="00AE0903" w:rsidRPr="003E620B" w:rsidRDefault="00AE0903" w:rsidP="00AE0903">
            <w:pPr>
              <w:jc w:val="both"/>
              <w:rPr>
                <w:rFonts w:ascii="Arial" w:hAnsi="Arial"/>
                <w:b/>
                <w:bCs/>
                <w:sz w:val="26"/>
                <w:szCs w:val="26"/>
                <w:rtl/>
              </w:rPr>
            </w:pPr>
          </w:p>
        </w:tc>
        <w:tc>
          <w:tcPr>
            <w:tcW w:w="4126" w:type="dxa"/>
            <w:tcBorders>
              <w:top w:val="nil"/>
              <w:left w:val="nil"/>
              <w:bottom w:val="nil"/>
              <w:right w:val="nil"/>
            </w:tcBorders>
            <w:shd w:val="clear" w:color="auto" w:fill="auto"/>
          </w:tcPr>
          <w:p w14:paraId="0CBA14E3" w14:textId="77777777" w:rsidR="00AE0903" w:rsidRPr="003E620B" w:rsidRDefault="00AE0903" w:rsidP="00AE0903">
            <w:pPr>
              <w:jc w:val="both"/>
              <w:rPr>
                <w:rFonts w:ascii="Arial" w:hAnsi="Arial"/>
                <w:b/>
                <w:bCs/>
                <w:sz w:val="26"/>
                <w:szCs w:val="26"/>
                <w:rtl/>
              </w:rPr>
            </w:pPr>
          </w:p>
        </w:tc>
        <w:tc>
          <w:tcPr>
            <w:tcW w:w="3771" w:type="dxa"/>
            <w:gridSpan w:val="4"/>
            <w:tcBorders>
              <w:top w:val="nil"/>
              <w:left w:val="nil"/>
              <w:bottom w:val="nil"/>
              <w:right w:val="nil"/>
            </w:tcBorders>
            <w:shd w:val="clear" w:color="auto" w:fill="auto"/>
          </w:tcPr>
          <w:p w14:paraId="59C00169" w14:textId="77777777" w:rsidR="00AE0903" w:rsidRPr="003E620B" w:rsidRDefault="00AE0903" w:rsidP="00AE0903">
            <w:pPr>
              <w:jc w:val="right"/>
              <w:rPr>
                <w:rFonts w:ascii="Arial" w:hAnsi="Arial"/>
                <w:b/>
                <w:bCs/>
                <w:sz w:val="26"/>
                <w:szCs w:val="26"/>
              </w:rPr>
            </w:pPr>
            <w:r w:rsidRPr="003E620B">
              <w:rPr>
                <w:rFonts w:ascii="Arial" w:hAnsi="Arial" w:hint="cs"/>
                <w:b/>
                <w:bCs/>
                <w:sz w:val="26"/>
                <w:szCs w:val="26"/>
                <w:rtl/>
              </w:rPr>
              <w:t>ה</w:t>
            </w:r>
            <w:r w:rsidRPr="003E620B">
              <w:rPr>
                <w:rFonts w:ascii="Arial" w:hAnsi="Arial"/>
                <w:b/>
                <w:bCs/>
                <w:sz w:val="26"/>
                <w:szCs w:val="26"/>
                <w:rtl/>
              </w:rPr>
              <w:t>נאשם</w:t>
            </w:r>
          </w:p>
        </w:tc>
      </w:tr>
    </w:tbl>
    <w:p w14:paraId="2A757C1E" w14:textId="77777777" w:rsidR="00A8196F" w:rsidRDefault="00A8196F" w:rsidP="003E620B">
      <w:pPr>
        <w:rPr>
          <w:rFonts w:ascii="Arial" w:hAnsi="Arial"/>
          <w:sz w:val="26"/>
          <w:szCs w:val="26"/>
          <w:rtl/>
        </w:rPr>
      </w:pPr>
    </w:p>
    <w:p w14:paraId="78274E1B" w14:textId="77777777" w:rsidR="00A8196F" w:rsidRPr="00A8196F" w:rsidRDefault="00A8196F" w:rsidP="00A8196F">
      <w:pPr>
        <w:spacing w:after="120" w:line="240" w:lineRule="exact"/>
        <w:ind w:left="283" w:hanging="283"/>
        <w:jc w:val="both"/>
        <w:rPr>
          <w:rFonts w:ascii="FrankRuehl" w:hAnsi="FrankRuehl" w:cs="FrankRuehl"/>
          <w:rtl/>
        </w:rPr>
      </w:pPr>
    </w:p>
    <w:p w14:paraId="16EC5F64" w14:textId="77777777" w:rsidR="0014738E" w:rsidRPr="0014738E" w:rsidRDefault="0014738E" w:rsidP="0014738E">
      <w:pPr>
        <w:spacing w:before="120" w:after="120" w:line="240" w:lineRule="exact"/>
        <w:ind w:left="283" w:hanging="283"/>
        <w:jc w:val="both"/>
        <w:rPr>
          <w:rFonts w:ascii="FrankRuehl" w:hAnsi="FrankRuehl" w:cs="FrankRuehl"/>
          <w:rtl/>
        </w:rPr>
      </w:pPr>
    </w:p>
    <w:p w14:paraId="0514434B" w14:textId="77777777" w:rsidR="00A26BA0" w:rsidRDefault="00A26BA0" w:rsidP="00A26BA0">
      <w:pPr>
        <w:rPr>
          <w:rFonts w:ascii="Arial" w:hAnsi="Arial"/>
          <w:sz w:val="26"/>
          <w:szCs w:val="26"/>
          <w:rtl/>
        </w:rPr>
      </w:pPr>
      <w:bookmarkStart w:id="2" w:name="LawTable"/>
      <w:bookmarkEnd w:id="2"/>
    </w:p>
    <w:p w14:paraId="75663E0E" w14:textId="77777777" w:rsidR="00A26BA0" w:rsidRPr="00A26BA0" w:rsidRDefault="00A26BA0" w:rsidP="00A26BA0">
      <w:pPr>
        <w:spacing w:before="120" w:after="120" w:line="240" w:lineRule="exact"/>
        <w:ind w:left="283" w:hanging="283"/>
        <w:jc w:val="both"/>
        <w:rPr>
          <w:rFonts w:ascii="FrankRuehl" w:hAnsi="FrankRuehl" w:cs="FrankRuehl"/>
          <w:rtl/>
        </w:rPr>
      </w:pPr>
    </w:p>
    <w:p w14:paraId="6E67868F" w14:textId="77777777" w:rsidR="00A26BA0" w:rsidRPr="00A26BA0" w:rsidRDefault="00A26BA0" w:rsidP="00A26BA0">
      <w:pPr>
        <w:spacing w:before="120" w:after="120" w:line="240" w:lineRule="exact"/>
        <w:ind w:left="283" w:hanging="283"/>
        <w:jc w:val="both"/>
        <w:rPr>
          <w:rFonts w:ascii="FrankRuehl" w:hAnsi="FrankRuehl" w:cs="FrankRuehl"/>
          <w:rtl/>
        </w:rPr>
      </w:pPr>
    </w:p>
    <w:p w14:paraId="14A2164F" w14:textId="77777777" w:rsidR="00A26BA0" w:rsidRPr="00A26BA0" w:rsidRDefault="00A26BA0" w:rsidP="00A26BA0">
      <w:pPr>
        <w:spacing w:before="120" w:after="120" w:line="240" w:lineRule="exact"/>
        <w:ind w:left="283" w:hanging="283"/>
        <w:jc w:val="both"/>
        <w:rPr>
          <w:rFonts w:ascii="FrankRuehl" w:hAnsi="FrankRuehl" w:cs="FrankRuehl"/>
          <w:rtl/>
        </w:rPr>
      </w:pPr>
      <w:r w:rsidRPr="00A26BA0">
        <w:rPr>
          <w:rFonts w:ascii="FrankRuehl" w:hAnsi="FrankRuehl" w:cs="FrankRuehl"/>
          <w:rtl/>
        </w:rPr>
        <w:t xml:space="preserve">חקיקה שאוזכרה: </w:t>
      </w:r>
    </w:p>
    <w:p w14:paraId="293EA001" w14:textId="77777777" w:rsidR="00A26BA0" w:rsidRPr="00A26BA0" w:rsidRDefault="00A26BA0" w:rsidP="00A26BA0">
      <w:pPr>
        <w:spacing w:before="120" w:after="120" w:line="240" w:lineRule="exact"/>
        <w:ind w:left="283" w:hanging="283"/>
        <w:jc w:val="both"/>
        <w:rPr>
          <w:rFonts w:ascii="FrankRuehl" w:hAnsi="FrankRuehl" w:cs="FrankRuehl"/>
          <w:rtl/>
        </w:rPr>
      </w:pPr>
      <w:hyperlink r:id="rId6" w:history="1">
        <w:r w:rsidRPr="00A26BA0">
          <w:rPr>
            <w:rFonts w:ascii="FrankRuehl" w:hAnsi="FrankRuehl" w:cs="FrankRuehl"/>
            <w:color w:val="0000FF"/>
            <w:rtl/>
          </w:rPr>
          <w:t>פקודת הסמים המסוכנים [נוסח חדש], תשל"ג-1973</w:t>
        </w:r>
      </w:hyperlink>
      <w:r w:rsidRPr="00A26BA0">
        <w:rPr>
          <w:rFonts w:ascii="FrankRuehl" w:hAnsi="FrankRuehl" w:cs="FrankRuehl"/>
          <w:rtl/>
        </w:rPr>
        <w:t xml:space="preserve">: סע'  </w:t>
      </w:r>
      <w:hyperlink r:id="rId7" w:history="1">
        <w:r w:rsidRPr="00A26BA0">
          <w:rPr>
            <w:rFonts w:ascii="FrankRuehl" w:hAnsi="FrankRuehl" w:cs="FrankRuehl"/>
            <w:color w:val="0000FF"/>
            <w:rtl/>
          </w:rPr>
          <w:t>7(א)</w:t>
        </w:r>
      </w:hyperlink>
      <w:r w:rsidRPr="00A26BA0">
        <w:rPr>
          <w:rFonts w:ascii="FrankRuehl" w:hAnsi="FrankRuehl" w:cs="FrankRuehl"/>
          <w:rtl/>
        </w:rPr>
        <w:t xml:space="preserve">, </w:t>
      </w:r>
      <w:hyperlink r:id="rId8" w:history="1">
        <w:r w:rsidRPr="00A26BA0">
          <w:rPr>
            <w:rFonts w:ascii="FrankRuehl" w:hAnsi="FrankRuehl" w:cs="FrankRuehl"/>
            <w:color w:val="0000FF"/>
            <w:rtl/>
          </w:rPr>
          <w:t>ג</w:t>
        </w:r>
      </w:hyperlink>
      <w:r w:rsidRPr="00A26BA0">
        <w:rPr>
          <w:rFonts w:ascii="FrankRuehl" w:hAnsi="FrankRuehl" w:cs="FrankRuehl"/>
          <w:rtl/>
        </w:rPr>
        <w:t xml:space="preserve">, </w:t>
      </w:r>
      <w:hyperlink r:id="rId9" w:history="1">
        <w:r w:rsidRPr="00A26BA0">
          <w:rPr>
            <w:rFonts w:ascii="FrankRuehl" w:hAnsi="FrankRuehl" w:cs="FrankRuehl"/>
            <w:color w:val="0000FF"/>
            <w:rtl/>
          </w:rPr>
          <w:t>13</w:t>
        </w:r>
      </w:hyperlink>
      <w:r w:rsidRPr="00A26BA0">
        <w:rPr>
          <w:rFonts w:ascii="FrankRuehl" w:hAnsi="FrankRuehl" w:cs="FrankRuehl"/>
          <w:rtl/>
        </w:rPr>
        <w:t xml:space="preserve">, </w:t>
      </w:r>
      <w:hyperlink r:id="rId10" w:history="1">
        <w:r w:rsidRPr="00A26BA0">
          <w:rPr>
            <w:rFonts w:ascii="FrankRuehl" w:hAnsi="FrankRuehl" w:cs="FrankRuehl"/>
            <w:color w:val="0000FF"/>
            <w:rtl/>
          </w:rPr>
          <w:t>19א</w:t>
        </w:r>
      </w:hyperlink>
    </w:p>
    <w:p w14:paraId="628D0EE4" w14:textId="77777777" w:rsidR="00A26BA0" w:rsidRPr="00A26BA0" w:rsidRDefault="00A26BA0" w:rsidP="00A26BA0">
      <w:pPr>
        <w:spacing w:before="120" w:after="120" w:line="240" w:lineRule="exact"/>
        <w:ind w:left="283" w:hanging="283"/>
        <w:jc w:val="both"/>
        <w:rPr>
          <w:rFonts w:ascii="FrankRuehl" w:hAnsi="FrankRuehl" w:cs="FrankRuehl"/>
          <w:rtl/>
        </w:rPr>
      </w:pPr>
      <w:hyperlink r:id="rId11" w:history="1">
        <w:r w:rsidRPr="00A26BA0">
          <w:rPr>
            <w:rFonts w:ascii="FrankRuehl" w:hAnsi="FrankRuehl" w:cs="FrankRuehl"/>
            <w:color w:val="0000FF"/>
            <w:rtl/>
          </w:rPr>
          <w:t>חוק העונשין, תשל"ז-1977</w:t>
        </w:r>
      </w:hyperlink>
      <w:r w:rsidRPr="00A26BA0">
        <w:rPr>
          <w:rFonts w:ascii="FrankRuehl" w:hAnsi="FrankRuehl" w:cs="FrankRuehl"/>
          <w:rtl/>
        </w:rPr>
        <w:t xml:space="preserve">: סע'  </w:t>
      </w:r>
      <w:hyperlink r:id="rId12" w:history="1">
        <w:r w:rsidRPr="00A26BA0">
          <w:rPr>
            <w:rFonts w:ascii="FrankRuehl" w:hAnsi="FrankRuehl" w:cs="FrankRuehl"/>
            <w:color w:val="0000FF"/>
            <w:rtl/>
          </w:rPr>
          <w:t>25</w:t>
        </w:r>
      </w:hyperlink>
    </w:p>
    <w:p w14:paraId="58813A70" w14:textId="77777777" w:rsidR="00A26BA0" w:rsidRPr="00A26BA0" w:rsidRDefault="00A26BA0" w:rsidP="00A26BA0">
      <w:pPr>
        <w:rPr>
          <w:rFonts w:ascii="Arial" w:hAnsi="Arial"/>
          <w:sz w:val="26"/>
          <w:szCs w:val="26"/>
          <w:rtl/>
        </w:rPr>
      </w:pPr>
      <w:bookmarkStart w:id="3" w:name="LawTable_End"/>
      <w:bookmarkEnd w:id="3"/>
    </w:p>
    <w:p w14:paraId="70ABACF5" w14:textId="77777777" w:rsidR="00AE0903" w:rsidRPr="0014738E" w:rsidRDefault="00AE0903" w:rsidP="0014738E">
      <w:pPr>
        <w:rPr>
          <w:rFonts w:ascii="Arial" w:hAnsi="Arial"/>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E0903" w:rsidRPr="004C04B9" w14:paraId="00BD75A2" w14:textId="77777777" w:rsidTr="00AE0903">
        <w:trPr>
          <w:trHeight w:val="355"/>
          <w:jc w:val="center"/>
        </w:trPr>
        <w:tc>
          <w:tcPr>
            <w:tcW w:w="8820" w:type="dxa"/>
            <w:tcBorders>
              <w:top w:val="nil"/>
              <w:left w:val="nil"/>
              <w:bottom w:val="nil"/>
              <w:right w:val="nil"/>
            </w:tcBorders>
            <w:shd w:val="clear" w:color="auto" w:fill="auto"/>
          </w:tcPr>
          <w:p w14:paraId="05171DC8" w14:textId="77777777" w:rsidR="003E620B" w:rsidRPr="003E620B" w:rsidRDefault="003E620B" w:rsidP="003E620B">
            <w:pPr>
              <w:jc w:val="center"/>
              <w:rPr>
                <w:rFonts w:ascii="Arial" w:hAnsi="Arial"/>
                <w:b/>
                <w:bCs/>
                <w:sz w:val="28"/>
                <w:szCs w:val="28"/>
                <w:u w:val="single"/>
                <w:rtl/>
              </w:rPr>
            </w:pPr>
            <w:bookmarkStart w:id="4" w:name="PsakDin" w:colFirst="0" w:colLast="0"/>
            <w:r w:rsidRPr="003E620B">
              <w:rPr>
                <w:rFonts w:ascii="Arial" w:hAnsi="Arial"/>
                <w:b/>
                <w:bCs/>
                <w:sz w:val="28"/>
                <w:szCs w:val="28"/>
                <w:u w:val="single"/>
                <w:rtl/>
              </w:rPr>
              <w:t>גזר דין</w:t>
            </w:r>
          </w:p>
          <w:p w14:paraId="62DE2EFC" w14:textId="77777777" w:rsidR="00AE0903" w:rsidRPr="003E620B" w:rsidRDefault="00AE0903" w:rsidP="003E620B">
            <w:pPr>
              <w:jc w:val="center"/>
              <w:rPr>
                <w:rFonts w:ascii="Arial" w:hAnsi="Arial"/>
                <w:b/>
                <w:bCs/>
                <w:sz w:val="28"/>
                <w:szCs w:val="28"/>
                <w:u w:val="single"/>
                <w:rtl/>
              </w:rPr>
            </w:pPr>
          </w:p>
        </w:tc>
      </w:tr>
      <w:bookmarkEnd w:id="4"/>
    </w:tbl>
    <w:p w14:paraId="7F567388" w14:textId="77777777" w:rsidR="00AE0903" w:rsidRPr="00B05847" w:rsidRDefault="00AE0903" w:rsidP="00AE0903">
      <w:pPr>
        <w:rPr>
          <w:rFonts w:ascii="Arial" w:hAnsi="Arial"/>
          <w:rtl/>
        </w:rPr>
      </w:pPr>
    </w:p>
    <w:p w14:paraId="329B24A4" w14:textId="77777777" w:rsidR="00AE0903" w:rsidRPr="009C10B6" w:rsidRDefault="00AE0903" w:rsidP="00AE0903">
      <w:pPr>
        <w:autoSpaceDE w:val="0"/>
        <w:autoSpaceDN w:val="0"/>
        <w:adjustRightInd w:val="0"/>
        <w:spacing w:line="360" w:lineRule="auto"/>
        <w:jc w:val="both"/>
        <w:rPr>
          <w:rFonts w:ascii="David" w:eastAsia="David" w:hAnsi="David"/>
          <w:b/>
          <w:bCs/>
          <w:u w:val="single"/>
        </w:rPr>
      </w:pPr>
      <w:r w:rsidRPr="009C10B6">
        <w:rPr>
          <w:rFonts w:ascii="David" w:eastAsia="David" w:hAnsi="David" w:hint="cs"/>
          <w:b/>
          <w:bCs/>
          <w:u w:val="single"/>
          <w:rtl/>
        </w:rPr>
        <w:t>כללי</w:t>
      </w:r>
    </w:p>
    <w:p w14:paraId="04D96CBE" w14:textId="77777777" w:rsidR="00AE0903" w:rsidRPr="009C10B6" w:rsidRDefault="00AE0903" w:rsidP="00AE0903">
      <w:pPr>
        <w:spacing w:line="360" w:lineRule="auto"/>
        <w:ind w:left="720" w:hanging="720"/>
        <w:jc w:val="both"/>
        <w:rPr>
          <w:rFonts w:ascii="David" w:eastAsia="David" w:hAnsi="David"/>
          <w:rtl/>
        </w:rPr>
      </w:pPr>
      <w:r w:rsidRPr="009C10B6">
        <w:rPr>
          <w:rFonts w:ascii="David" w:eastAsia="David" w:hAnsi="David" w:hint="cs"/>
          <w:rtl/>
        </w:rPr>
        <w:t>1.</w:t>
      </w:r>
      <w:r w:rsidRPr="009C10B6">
        <w:rPr>
          <w:rFonts w:ascii="David" w:eastAsia="David" w:hAnsi="David" w:hint="cs"/>
          <w:rtl/>
        </w:rPr>
        <w:tab/>
      </w:r>
      <w:bookmarkStart w:id="5" w:name="ABSTRACT_START"/>
      <w:bookmarkEnd w:id="5"/>
      <w:r w:rsidRPr="009C10B6">
        <w:rPr>
          <w:rFonts w:ascii="David" w:eastAsia="David" w:hAnsi="David" w:hint="cs"/>
          <w:rtl/>
        </w:rPr>
        <w:t xml:space="preserve">בטרם שמיעת הראיות, הצדדים הגיעו להסדר במסגרתו כתב האישום המקורי שהוגש נגד הנאשם תוקן והנאשם הודה בעובדות כתב האישום המתוקן, שאלה הם עיקריהן - </w:t>
      </w:r>
    </w:p>
    <w:p w14:paraId="242D5B3D" w14:textId="77777777" w:rsidR="00AE0903" w:rsidRPr="009C10B6" w:rsidRDefault="00AE0903" w:rsidP="00AE0903">
      <w:pPr>
        <w:spacing w:line="360" w:lineRule="auto"/>
        <w:ind w:left="720" w:hanging="720"/>
        <w:jc w:val="both"/>
        <w:rPr>
          <w:rFonts w:ascii="David" w:eastAsia="David" w:hAnsi="David"/>
          <w:rtl/>
        </w:rPr>
      </w:pPr>
      <w:r w:rsidRPr="009C10B6">
        <w:rPr>
          <w:rFonts w:ascii="David" w:eastAsia="David" w:hAnsi="David" w:hint="cs"/>
          <w:rtl/>
        </w:rPr>
        <w:t xml:space="preserve"> </w:t>
      </w:r>
      <w:r w:rsidRPr="009C10B6">
        <w:rPr>
          <w:rFonts w:ascii="David" w:eastAsia="David" w:hAnsi="David" w:hint="cs"/>
          <w:rtl/>
        </w:rPr>
        <w:tab/>
        <w:t>הנאשם, אזרח תאילנד אשר בזמן הרלוונטי החזיק באשרת עבודה בישראל ועבד במושב שובה, החליט לייבא סם מסוכן מסוג מתאמפטמין (להלן: "הסם") מתאילנד לישראל, במטרה לסחור בו בישראל. בהמשך לכך הוא הזמין מתאילנד פריט דואר שהכיל שתי תמונות קיר ובתוכן 5 שקיות אטומות של הסם במשקל כולל של 415.737 גרם (להלן: "החבילה"), שמוענה לכתובת ביתו. החבילה הגיעה לישראל, ובסמוך לתאריך 29.08.21 היא נבדקה על ידי רשויות המכס, שגילו בה את הסם והעבירו את הסם ואת החבילה למשטרת ישראל. בתאריך 13.10.21 בשעת צהריים, שוטרים הגיעו לנקודת הדואר במושב שובה, וביקשו מעובדת הדואר ליצור קשר עם בעל הכתובת הרשום על החבילה ולהזמינו לאסוף אותה. ובעקבות כך, הנאשם הגיע לנקודת הדואר ונטל את החבילה לידיו כשהוא סובר שמדובר בחבילה שהזמין ובה הסם. מיד לאחר מכן הוא נעצר על ידי השוטרים.</w:t>
      </w:r>
    </w:p>
    <w:p w14:paraId="7B11FF0F" w14:textId="77777777" w:rsidR="00AE0903" w:rsidRPr="009C10B6" w:rsidRDefault="00AE0903" w:rsidP="00AE0903">
      <w:pPr>
        <w:autoSpaceDE w:val="0"/>
        <w:autoSpaceDN w:val="0"/>
        <w:adjustRightInd w:val="0"/>
        <w:spacing w:line="360" w:lineRule="auto"/>
        <w:ind w:left="720" w:hanging="720"/>
        <w:jc w:val="both"/>
        <w:rPr>
          <w:rFonts w:ascii="David" w:eastAsia="David" w:hAnsi="David"/>
          <w:rtl/>
        </w:rPr>
      </w:pPr>
      <w:bookmarkStart w:id="6" w:name="ABSTRACT_END"/>
      <w:bookmarkEnd w:id="6"/>
    </w:p>
    <w:p w14:paraId="7C72E2B9" w14:textId="77777777" w:rsidR="00AE0903" w:rsidRPr="009C10B6" w:rsidRDefault="00AE0903" w:rsidP="00AE0903">
      <w:pPr>
        <w:autoSpaceDE w:val="0"/>
        <w:autoSpaceDN w:val="0"/>
        <w:adjustRightInd w:val="0"/>
        <w:spacing w:line="360" w:lineRule="auto"/>
        <w:ind w:left="720" w:hanging="720"/>
        <w:jc w:val="both"/>
        <w:rPr>
          <w:rFonts w:ascii="David" w:eastAsia="David" w:hAnsi="David"/>
          <w:rtl/>
        </w:rPr>
      </w:pPr>
      <w:r w:rsidRPr="009C10B6">
        <w:rPr>
          <w:rFonts w:ascii="David" w:eastAsia="David" w:hAnsi="David" w:hint="cs"/>
          <w:rtl/>
        </w:rPr>
        <w:lastRenderedPageBreak/>
        <w:t>2.</w:t>
      </w:r>
      <w:r w:rsidRPr="009C10B6">
        <w:rPr>
          <w:rFonts w:ascii="David" w:eastAsia="David" w:hAnsi="David" w:hint="cs"/>
          <w:rtl/>
        </w:rPr>
        <w:tab/>
        <w:t xml:space="preserve">על יסוד הודאת הנאשם בעובדות כאמור, הוא הורשע בעבירות של  ייבוא סם מסוכן, לפי </w:t>
      </w:r>
      <w:hyperlink r:id="rId13" w:history="1">
        <w:r w:rsidR="00A8196F" w:rsidRPr="00A8196F">
          <w:rPr>
            <w:rStyle w:val="Hyperlink"/>
            <w:rFonts w:ascii="David" w:eastAsia="David" w:hAnsi="David" w:hint="eastAsia"/>
            <w:rtl/>
          </w:rPr>
          <w:t>סעיף</w:t>
        </w:r>
        <w:r w:rsidR="00A8196F" w:rsidRPr="00A8196F">
          <w:rPr>
            <w:rStyle w:val="Hyperlink"/>
            <w:rFonts w:ascii="David" w:eastAsia="David" w:hAnsi="David"/>
            <w:rtl/>
          </w:rPr>
          <w:t xml:space="preserve"> 13</w:t>
        </w:r>
      </w:hyperlink>
      <w:r w:rsidRPr="009C10B6">
        <w:rPr>
          <w:rFonts w:ascii="David" w:eastAsia="David" w:hAnsi="David" w:hint="cs"/>
          <w:rtl/>
        </w:rPr>
        <w:t xml:space="preserve">  ו- </w:t>
      </w:r>
      <w:hyperlink r:id="rId14" w:history="1">
        <w:r w:rsidR="00A8196F" w:rsidRPr="00A8196F">
          <w:rPr>
            <w:rStyle w:val="Hyperlink"/>
            <w:rFonts w:ascii="David" w:eastAsia="David" w:hAnsi="David"/>
            <w:rtl/>
          </w:rPr>
          <w:t>19א</w:t>
        </w:r>
      </w:hyperlink>
      <w:r w:rsidRPr="009C10B6">
        <w:rPr>
          <w:rFonts w:ascii="David" w:eastAsia="David" w:hAnsi="David" w:hint="cs"/>
          <w:rtl/>
        </w:rPr>
        <w:t xml:space="preserve"> ב</w:t>
      </w:r>
      <w:hyperlink r:id="rId15" w:history="1">
        <w:r w:rsidR="003E620B" w:rsidRPr="003E620B">
          <w:rPr>
            <w:rFonts w:ascii="David" w:eastAsia="David" w:hAnsi="David"/>
            <w:color w:val="0000FF"/>
            <w:u w:val="single"/>
            <w:rtl/>
          </w:rPr>
          <w:t>פקודת הסמים המסוכנים</w:t>
        </w:r>
      </w:hyperlink>
      <w:r w:rsidRPr="009C10B6">
        <w:rPr>
          <w:rFonts w:ascii="David" w:eastAsia="David" w:hAnsi="David" w:hint="cs"/>
          <w:rtl/>
        </w:rPr>
        <w:t xml:space="preserve"> [נוסח חדש], התשל"ג-1973 (להלן: "פקודת הסמים"); וניסיון להחזקת סם מסוכן שלא לצריכה עצמית, לפי </w:t>
      </w:r>
      <w:hyperlink r:id="rId16" w:history="1">
        <w:r w:rsidR="00A8196F" w:rsidRPr="00A8196F">
          <w:rPr>
            <w:rStyle w:val="Hyperlink"/>
            <w:rFonts w:ascii="David" w:eastAsia="David" w:hAnsi="David" w:hint="eastAsia"/>
            <w:rtl/>
          </w:rPr>
          <w:t>סעיף</w:t>
        </w:r>
        <w:r w:rsidR="00A8196F" w:rsidRPr="00A8196F">
          <w:rPr>
            <w:rStyle w:val="Hyperlink"/>
            <w:rFonts w:ascii="David" w:eastAsia="David" w:hAnsi="David"/>
            <w:rtl/>
          </w:rPr>
          <w:t xml:space="preserve"> 7(א)</w:t>
        </w:r>
      </w:hyperlink>
      <w:r w:rsidRPr="009C10B6">
        <w:rPr>
          <w:rFonts w:ascii="David" w:eastAsia="David" w:hAnsi="David" w:hint="cs"/>
          <w:rtl/>
        </w:rPr>
        <w:t xml:space="preserve"> ו- (</w:t>
      </w:r>
      <w:hyperlink r:id="rId17" w:history="1">
        <w:r w:rsidR="00A8196F" w:rsidRPr="00A8196F">
          <w:rPr>
            <w:rStyle w:val="Hyperlink"/>
            <w:rFonts w:ascii="David" w:eastAsia="David" w:hAnsi="David" w:hint="eastAsia"/>
            <w:rtl/>
          </w:rPr>
          <w:t>ג</w:t>
        </w:r>
      </w:hyperlink>
      <w:r w:rsidRPr="009C10B6">
        <w:rPr>
          <w:rFonts w:ascii="David" w:eastAsia="David" w:hAnsi="David" w:hint="cs"/>
          <w:rtl/>
        </w:rPr>
        <w:t xml:space="preserve">) רישא בפקודת הסמים </w:t>
      </w:r>
      <w:hyperlink r:id="rId18" w:history="1">
        <w:r w:rsidR="00A8196F" w:rsidRPr="00A8196F">
          <w:rPr>
            <w:rStyle w:val="Hyperlink"/>
            <w:rFonts w:ascii="David" w:eastAsia="David" w:hAnsi="David" w:hint="eastAsia"/>
            <w:rtl/>
          </w:rPr>
          <w:t>וסעיף</w:t>
        </w:r>
        <w:r w:rsidR="00A8196F" w:rsidRPr="00A8196F">
          <w:rPr>
            <w:rStyle w:val="Hyperlink"/>
            <w:rFonts w:ascii="David" w:eastAsia="David" w:hAnsi="David"/>
            <w:rtl/>
          </w:rPr>
          <w:t xml:space="preserve"> 25</w:t>
        </w:r>
      </w:hyperlink>
      <w:r w:rsidRPr="009C10B6">
        <w:rPr>
          <w:rFonts w:ascii="David" w:eastAsia="David" w:hAnsi="David" w:hint="cs"/>
          <w:rtl/>
        </w:rPr>
        <w:t xml:space="preserve"> ב</w:t>
      </w:r>
      <w:hyperlink r:id="rId19" w:history="1">
        <w:r w:rsidR="003E620B" w:rsidRPr="003E620B">
          <w:rPr>
            <w:rFonts w:ascii="David" w:eastAsia="David" w:hAnsi="David"/>
            <w:color w:val="0000FF"/>
            <w:u w:val="single"/>
            <w:rtl/>
          </w:rPr>
          <w:t>חוק העונשין</w:t>
        </w:r>
      </w:hyperlink>
      <w:r w:rsidRPr="009C10B6">
        <w:rPr>
          <w:rFonts w:ascii="David" w:eastAsia="David" w:hAnsi="David" w:hint="cs"/>
          <w:rtl/>
        </w:rPr>
        <w:t>, התשל"ז-1977.</w:t>
      </w:r>
    </w:p>
    <w:p w14:paraId="5E70D235" w14:textId="77777777" w:rsidR="00AE0903" w:rsidRPr="009C10B6" w:rsidRDefault="00AE0903" w:rsidP="00AE0903">
      <w:pPr>
        <w:autoSpaceDE w:val="0"/>
        <w:autoSpaceDN w:val="0"/>
        <w:adjustRightInd w:val="0"/>
        <w:spacing w:line="360" w:lineRule="auto"/>
        <w:ind w:left="720" w:hanging="720"/>
        <w:rPr>
          <w:rFonts w:ascii="David" w:eastAsia="David" w:hAnsi="David"/>
          <w:rtl/>
        </w:rPr>
      </w:pPr>
    </w:p>
    <w:p w14:paraId="293D36F6" w14:textId="77777777" w:rsidR="00AE0903" w:rsidRPr="009C10B6" w:rsidRDefault="00AE0903" w:rsidP="00AE0903">
      <w:pPr>
        <w:autoSpaceDE w:val="0"/>
        <w:autoSpaceDN w:val="0"/>
        <w:adjustRightInd w:val="0"/>
        <w:spacing w:line="360" w:lineRule="auto"/>
        <w:ind w:left="720" w:hanging="720"/>
        <w:rPr>
          <w:rFonts w:ascii="David" w:eastAsia="David" w:hAnsi="David"/>
          <w:rtl/>
        </w:rPr>
      </w:pPr>
      <w:r w:rsidRPr="009C10B6">
        <w:rPr>
          <w:rFonts w:ascii="David" w:eastAsia="David" w:hAnsi="David" w:hint="cs"/>
          <w:rtl/>
        </w:rPr>
        <w:t>3.</w:t>
      </w:r>
      <w:r w:rsidRPr="009C10B6">
        <w:rPr>
          <w:rFonts w:ascii="David" w:eastAsia="David" w:hAnsi="David" w:hint="cs"/>
          <w:rtl/>
        </w:rPr>
        <w:tab/>
        <w:t xml:space="preserve">ההסדר בין הצדדים לא כלל הסכמה לעניין העונש. </w:t>
      </w:r>
    </w:p>
    <w:p w14:paraId="2C7250F0" w14:textId="77777777" w:rsidR="00AE0903" w:rsidRDefault="00AE0903" w:rsidP="00AE0903">
      <w:pPr>
        <w:autoSpaceDE w:val="0"/>
        <w:autoSpaceDN w:val="0"/>
        <w:adjustRightInd w:val="0"/>
        <w:spacing w:line="360" w:lineRule="auto"/>
        <w:rPr>
          <w:rFonts w:ascii="David" w:eastAsia="David" w:hAnsi="David"/>
          <w:b/>
          <w:bCs/>
          <w:u w:val="single"/>
          <w:rtl/>
        </w:rPr>
      </w:pPr>
    </w:p>
    <w:p w14:paraId="3897CB4C" w14:textId="77777777" w:rsidR="00AE0903" w:rsidRPr="009C10B6" w:rsidRDefault="00AE0903" w:rsidP="00AE0903">
      <w:pPr>
        <w:autoSpaceDE w:val="0"/>
        <w:autoSpaceDN w:val="0"/>
        <w:adjustRightInd w:val="0"/>
        <w:spacing w:line="360" w:lineRule="auto"/>
        <w:rPr>
          <w:rFonts w:ascii="David" w:eastAsia="David" w:hAnsi="David"/>
          <w:b/>
          <w:bCs/>
          <w:u w:val="single"/>
          <w:rtl/>
        </w:rPr>
      </w:pPr>
      <w:r w:rsidRPr="009C10B6">
        <w:rPr>
          <w:rFonts w:ascii="David" w:eastAsia="David" w:hAnsi="David" w:hint="cs"/>
          <w:b/>
          <w:bCs/>
          <w:u w:val="single"/>
          <w:rtl/>
        </w:rPr>
        <w:t>טיעוני הצדדים</w:t>
      </w:r>
    </w:p>
    <w:p w14:paraId="325F00B8" w14:textId="77777777" w:rsidR="00AE0903" w:rsidRPr="009C10B6" w:rsidRDefault="00AE0903" w:rsidP="00AE0903">
      <w:pPr>
        <w:autoSpaceDE w:val="0"/>
        <w:autoSpaceDN w:val="0"/>
        <w:adjustRightInd w:val="0"/>
        <w:spacing w:line="360" w:lineRule="auto"/>
        <w:ind w:left="720" w:hanging="720"/>
        <w:jc w:val="both"/>
        <w:rPr>
          <w:rFonts w:ascii="David" w:eastAsia="David" w:hAnsi="David"/>
          <w:rtl/>
        </w:rPr>
      </w:pPr>
      <w:r w:rsidRPr="009C10B6">
        <w:rPr>
          <w:rFonts w:ascii="David" w:eastAsia="David" w:hAnsi="David" w:hint="cs"/>
          <w:rtl/>
        </w:rPr>
        <w:t>4.</w:t>
      </w:r>
      <w:r w:rsidRPr="009C10B6">
        <w:rPr>
          <w:rFonts w:ascii="David" w:eastAsia="David" w:hAnsi="David" w:hint="cs"/>
          <w:rtl/>
        </w:rPr>
        <w:tab/>
        <w:t xml:space="preserve">המאשימה עמדה על הערכים החברתיים המוגנים בעבירות הסמים ועל מידת הפגיעה בהם כאן; עמדה על מדיניות הענישה הנוהגת, וביקשה, להחמיר בענישה. עמדה על נסיבות ביצוע העבירות וביקשה ועתרה לקביעת מתחם עונש הולם הנע בין 4 ל- 6 שנות מאסר. אשר לעונש הראוי לנאשם בגדרי המתחם, ציינה את הודאת הנאשם - על משמעויותיה ואת העובדה שאין לו עבר פלילי, ומנגד הדגישה את הצורך בהרתעת היחיד והרבים. וביקשה להטיל על הנאשם עונש הממוקם בחלק התחתון של המתחם, מאסר על תנאי, קנס ופסילת רישיון נהיגה למשך חמש שנים. </w:t>
      </w:r>
    </w:p>
    <w:p w14:paraId="01AB7215" w14:textId="77777777" w:rsidR="00AE0903" w:rsidRPr="009C10B6" w:rsidRDefault="00AE0903" w:rsidP="00AE0903">
      <w:pPr>
        <w:autoSpaceDE w:val="0"/>
        <w:autoSpaceDN w:val="0"/>
        <w:adjustRightInd w:val="0"/>
        <w:spacing w:line="360" w:lineRule="auto"/>
        <w:ind w:left="720" w:hanging="720"/>
        <w:jc w:val="both"/>
        <w:rPr>
          <w:rFonts w:ascii="David" w:eastAsia="David" w:hAnsi="David"/>
          <w:rtl/>
        </w:rPr>
      </w:pPr>
      <w:r w:rsidRPr="009C10B6">
        <w:rPr>
          <w:rFonts w:ascii="David" w:eastAsia="David" w:hAnsi="David" w:hint="cs"/>
          <w:rtl/>
        </w:rPr>
        <w:tab/>
        <w:t xml:space="preserve">בהמשך, המאשימה תיקנה את טיעוניה ועתרה לקביעת מתחם עונש הולם הנע בין 36 ל- 50 חודשי מאסר בפועל וביקשה להעמיד את עונשו של הנאשם בתחתית המתחם. </w:t>
      </w:r>
    </w:p>
    <w:p w14:paraId="29443DF0" w14:textId="77777777" w:rsidR="00AE0903" w:rsidRPr="009C10B6" w:rsidRDefault="00AE0903" w:rsidP="00AE0903">
      <w:pPr>
        <w:autoSpaceDE w:val="0"/>
        <w:autoSpaceDN w:val="0"/>
        <w:adjustRightInd w:val="0"/>
        <w:spacing w:line="360" w:lineRule="auto"/>
        <w:ind w:left="720" w:hanging="720"/>
        <w:jc w:val="both"/>
        <w:rPr>
          <w:rFonts w:ascii="David" w:eastAsia="David" w:hAnsi="David"/>
          <w:rtl/>
        </w:rPr>
      </w:pPr>
    </w:p>
    <w:p w14:paraId="3A08DD68" w14:textId="77777777" w:rsidR="00AE0903" w:rsidRPr="009C10B6" w:rsidRDefault="00AE0903" w:rsidP="00AE0903">
      <w:pPr>
        <w:autoSpaceDE w:val="0"/>
        <w:autoSpaceDN w:val="0"/>
        <w:adjustRightInd w:val="0"/>
        <w:spacing w:line="360" w:lineRule="auto"/>
        <w:ind w:left="720" w:hanging="720"/>
        <w:jc w:val="both"/>
        <w:rPr>
          <w:rFonts w:ascii="David" w:eastAsia="David" w:hAnsi="David"/>
          <w:rtl/>
        </w:rPr>
      </w:pPr>
      <w:r w:rsidRPr="009C10B6">
        <w:rPr>
          <w:rFonts w:ascii="David" w:eastAsia="David" w:hAnsi="David" w:hint="cs"/>
          <w:rtl/>
        </w:rPr>
        <w:t>5.</w:t>
      </w:r>
      <w:r w:rsidRPr="009C10B6">
        <w:rPr>
          <w:rFonts w:ascii="David" w:eastAsia="David" w:hAnsi="David" w:hint="cs"/>
          <w:rtl/>
        </w:rPr>
        <w:tab/>
        <w:t xml:space="preserve">ב"כ הנאשם טען כי מתחם העונש ההולם נע בין מספר חודשים ל- 20 חודשי מאסר בפועל. ציין שהנאשם בן 32, אב לשלושה ילדים, ללא עבר פלילי, שהגיע לישראל על מנת לעבוד ולפרנס את משפחתו. הודה במיוחס לו. לקח אחריות על מעשיו וחסך בזמן שיפוטי. ומאז מעצרו מצבה הכלכלי של משפחתו הורע. ציין שלאחר שהנאשם ישוחרר הוא יגורש מן הארץ. ושבתור אזרח זר, תנאי מאסרו צפויים להיות קשים יותר. וביקש למקם את עונשו בחלק התחתון של המתחם. אשר לקנס, ביקש להימנע מהטלתו או לחילופין להטיל עליו קנס סמלי. </w:t>
      </w:r>
    </w:p>
    <w:p w14:paraId="0122B8A0" w14:textId="77777777" w:rsidR="00AE0903" w:rsidRPr="009C10B6" w:rsidRDefault="00AE0903" w:rsidP="00AE0903">
      <w:pPr>
        <w:autoSpaceDE w:val="0"/>
        <w:autoSpaceDN w:val="0"/>
        <w:adjustRightInd w:val="0"/>
        <w:spacing w:line="360" w:lineRule="auto"/>
        <w:ind w:left="720" w:hanging="720"/>
        <w:rPr>
          <w:rFonts w:ascii="David" w:eastAsia="David" w:hAnsi="David"/>
          <w:rtl/>
        </w:rPr>
      </w:pPr>
    </w:p>
    <w:p w14:paraId="2C117D6F" w14:textId="77777777" w:rsidR="00AE0903" w:rsidRPr="009C10B6" w:rsidRDefault="00AE0903" w:rsidP="00AE0903">
      <w:pPr>
        <w:autoSpaceDE w:val="0"/>
        <w:autoSpaceDN w:val="0"/>
        <w:adjustRightInd w:val="0"/>
        <w:spacing w:line="360" w:lineRule="auto"/>
        <w:ind w:left="720" w:hanging="720"/>
        <w:rPr>
          <w:rFonts w:ascii="David" w:eastAsia="David" w:hAnsi="David"/>
          <w:rtl/>
        </w:rPr>
      </w:pPr>
      <w:r w:rsidRPr="009C10B6">
        <w:rPr>
          <w:rFonts w:ascii="David" w:eastAsia="David" w:hAnsi="David" w:hint="cs"/>
          <w:rtl/>
        </w:rPr>
        <w:t>6.</w:t>
      </w:r>
      <w:r w:rsidRPr="009C10B6">
        <w:rPr>
          <w:rFonts w:ascii="David" w:eastAsia="David" w:hAnsi="David" w:hint="cs"/>
          <w:rtl/>
        </w:rPr>
        <w:tab/>
        <w:t>הנאשם הביע צער על מעשיו.</w:t>
      </w:r>
    </w:p>
    <w:p w14:paraId="3605E4B7" w14:textId="77777777" w:rsidR="00AE0903" w:rsidRPr="009C10B6" w:rsidRDefault="00AE0903" w:rsidP="00AE0903">
      <w:pPr>
        <w:autoSpaceDE w:val="0"/>
        <w:autoSpaceDN w:val="0"/>
        <w:adjustRightInd w:val="0"/>
        <w:spacing w:line="360" w:lineRule="auto"/>
        <w:ind w:left="720" w:hanging="720"/>
        <w:rPr>
          <w:rFonts w:ascii="David" w:eastAsia="David" w:hAnsi="David"/>
          <w:rtl/>
        </w:rPr>
      </w:pPr>
    </w:p>
    <w:p w14:paraId="1B241A36" w14:textId="77777777" w:rsidR="00AE0903" w:rsidRPr="009C10B6" w:rsidRDefault="00AE0903" w:rsidP="00AE0903">
      <w:pPr>
        <w:autoSpaceDE w:val="0"/>
        <w:autoSpaceDN w:val="0"/>
        <w:adjustRightInd w:val="0"/>
        <w:spacing w:line="360" w:lineRule="auto"/>
        <w:ind w:left="720" w:hanging="720"/>
        <w:rPr>
          <w:rFonts w:ascii="David" w:eastAsia="David" w:hAnsi="David"/>
          <w:b/>
          <w:bCs/>
          <w:u w:val="single"/>
          <w:rtl/>
        </w:rPr>
      </w:pPr>
      <w:r w:rsidRPr="009C10B6">
        <w:rPr>
          <w:rFonts w:ascii="David" w:eastAsia="David" w:hAnsi="David" w:hint="cs"/>
          <w:b/>
          <w:bCs/>
          <w:u w:val="single"/>
          <w:rtl/>
        </w:rPr>
        <w:t>דיון והכרעה</w:t>
      </w:r>
    </w:p>
    <w:p w14:paraId="530E3D9E" w14:textId="77777777" w:rsidR="00AE0903" w:rsidRPr="009C10B6" w:rsidRDefault="00AE0903" w:rsidP="00AE0903">
      <w:pPr>
        <w:spacing w:line="360" w:lineRule="auto"/>
        <w:ind w:left="720" w:hanging="720"/>
        <w:jc w:val="both"/>
        <w:rPr>
          <w:rFonts w:ascii="David" w:eastAsia="David" w:hAnsi="David"/>
          <w:rtl/>
        </w:rPr>
      </w:pPr>
      <w:r w:rsidRPr="009C10B6">
        <w:rPr>
          <w:rFonts w:ascii="David" w:eastAsia="David" w:hAnsi="David" w:hint="cs"/>
          <w:rtl/>
        </w:rPr>
        <w:t>7.</w:t>
      </w:r>
      <w:r w:rsidRPr="009C10B6">
        <w:rPr>
          <w:rFonts w:ascii="David" w:eastAsia="David" w:hAnsi="David" w:hint="cs"/>
          <w:rtl/>
        </w:rPr>
        <w:tab/>
        <w:t>הנאשם הורשע בשתי עבירות - ייבוא סם מסוכן וניסיון להחזיק סם מסוכן. העבירות בוצעו במסגרת פרשה אחת והן כרוכות זו בזו. ועל כן יש לראות בשתי העבירות כאירוע אחד, לקבוע מתחם עונש הולם לאירוע כולו ולגזור עונש כולל לשתי העבירות.</w:t>
      </w:r>
    </w:p>
    <w:p w14:paraId="645EB27C" w14:textId="77777777" w:rsidR="00AE0903" w:rsidRPr="009C10B6" w:rsidRDefault="00AE0903" w:rsidP="00AE0903">
      <w:pPr>
        <w:spacing w:line="360" w:lineRule="auto"/>
        <w:ind w:left="720" w:hanging="720"/>
        <w:jc w:val="both"/>
        <w:rPr>
          <w:rFonts w:ascii="David" w:eastAsia="David" w:hAnsi="David"/>
          <w:rtl/>
        </w:rPr>
      </w:pPr>
    </w:p>
    <w:p w14:paraId="1FF221F4" w14:textId="77777777" w:rsidR="00AE0903" w:rsidRPr="009C10B6" w:rsidRDefault="00AE0903" w:rsidP="00AE0903">
      <w:pPr>
        <w:spacing w:line="360" w:lineRule="auto"/>
        <w:ind w:left="720" w:hanging="720"/>
        <w:jc w:val="both"/>
        <w:rPr>
          <w:rFonts w:ascii="David" w:eastAsia="David" w:hAnsi="David"/>
          <w:rtl/>
        </w:rPr>
      </w:pPr>
      <w:r w:rsidRPr="009C10B6">
        <w:rPr>
          <w:rFonts w:ascii="David" w:eastAsia="David" w:hAnsi="David" w:hint="cs"/>
          <w:rtl/>
        </w:rPr>
        <w:t>8.</w:t>
      </w:r>
      <w:r w:rsidRPr="009C10B6">
        <w:rPr>
          <w:rFonts w:ascii="David" w:eastAsia="David" w:hAnsi="David" w:hint="cs"/>
          <w:rtl/>
        </w:rPr>
        <w:tab/>
        <w:t xml:space="preserve">באופן כללי, בישראל אין ייצור מקומי של סם המתאמפטמין, והוא מיובא אליה ממדינות אחרות. יבוא הסם לישראל הוא איפוא הפעולה הראשונה בשרשרת שבקצה שלה נמצא הצרכן המשתמש. והוא הבסיס ליצירת השוק לסם זה בישראל.  </w:t>
      </w:r>
    </w:p>
    <w:p w14:paraId="270D5E7D" w14:textId="77777777" w:rsidR="00AE0903" w:rsidRPr="009C10B6" w:rsidRDefault="00AE0903" w:rsidP="00AE0903">
      <w:pPr>
        <w:spacing w:line="360" w:lineRule="auto"/>
        <w:ind w:left="720" w:hanging="720"/>
        <w:rPr>
          <w:rFonts w:ascii="David" w:eastAsia="David" w:hAnsi="David"/>
          <w:rtl/>
        </w:rPr>
      </w:pPr>
    </w:p>
    <w:p w14:paraId="46EEBAE0" w14:textId="77777777" w:rsidR="00AE0903" w:rsidRPr="009C10B6" w:rsidRDefault="00AE0903" w:rsidP="00AE0903">
      <w:pPr>
        <w:spacing w:line="360" w:lineRule="auto"/>
        <w:ind w:left="720" w:hanging="720"/>
        <w:jc w:val="both"/>
        <w:rPr>
          <w:rFonts w:ascii="David" w:eastAsia="David" w:hAnsi="David"/>
          <w:rtl/>
        </w:rPr>
      </w:pPr>
      <w:r w:rsidRPr="009C10B6">
        <w:rPr>
          <w:rFonts w:ascii="David" w:eastAsia="David" w:hAnsi="David"/>
          <w:sz w:val="28"/>
          <w:rtl/>
        </w:rPr>
        <w:lastRenderedPageBreak/>
        <w:t>9.</w:t>
      </w:r>
      <w:r w:rsidRPr="009C10B6">
        <w:rPr>
          <w:rFonts w:ascii="David" w:eastAsia="David" w:hAnsi="David"/>
          <w:sz w:val="28"/>
          <w:rtl/>
        </w:rPr>
        <w:tab/>
      </w:r>
      <w:r w:rsidRPr="009C10B6">
        <w:rPr>
          <w:rFonts w:ascii="David" w:eastAsia="David" w:hAnsi="David" w:hint="cs"/>
          <w:rtl/>
        </w:rPr>
        <w:t xml:space="preserve">השימוש בסמים גורם לנזקים בריאותיים פיזיים ונפשיים, מחולל פשיעה ופוגע בפרט המשתמש בסם, בסביבתו הקרובה, בקהילה אליה הוא משתייך ובחברה בכללה. והאיסורים בעבירות הסמים נועדו להגן על הערכים החברתיים של שמירת החיים והגוף, בריאות הציבור, ושלום הציבור ובטחונו. </w:t>
      </w:r>
    </w:p>
    <w:p w14:paraId="4F83F891" w14:textId="77777777" w:rsidR="00AE0903" w:rsidRPr="009C10B6" w:rsidRDefault="00AE0903" w:rsidP="00AE0903">
      <w:pPr>
        <w:spacing w:line="360" w:lineRule="auto"/>
        <w:ind w:left="720"/>
        <w:jc w:val="both"/>
        <w:rPr>
          <w:rFonts w:ascii="David" w:eastAsia="David" w:hAnsi="David"/>
          <w:rtl/>
        </w:rPr>
      </w:pPr>
      <w:r w:rsidRPr="009C10B6">
        <w:rPr>
          <w:rFonts w:ascii="David" w:eastAsia="David" w:hAnsi="David" w:hint="cs"/>
          <w:rtl/>
        </w:rPr>
        <w:t xml:space="preserve">ייבוא סמים לישראל מגדיל את זמינות הסמים ואת השימוש בהם ותורם ליצירתם ולהתגברותם של הנזקים הנגרמים מהשימוש בסמים. </w:t>
      </w:r>
    </w:p>
    <w:p w14:paraId="14E3C0AC" w14:textId="77777777" w:rsidR="00AE0903" w:rsidRPr="009C10B6" w:rsidRDefault="00AE0903" w:rsidP="00AE0903">
      <w:pPr>
        <w:spacing w:line="360" w:lineRule="auto"/>
        <w:ind w:left="720" w:hanging="720"/>
        <w:jc w:val="both"/>
        <w:rPr>
          <w:rFonts w:ascii="David" w:eastAsia="David" w:hAnsi="David"/>
          <w:rtl/>
        </w:rPr>
      </w:pPr>
    </w:p>
    <w:p w14:paraId="006352D7" w14:textId="77777777" w:rsidR="00AE0903" w:rsidRPr="009C10B6" w:rsidRDefault="00AE0903" w:rsidP="00AE0903">
      <w:pPr>
        <w:spacing w:line="360" w:lineRule="auto"/>
        <w:ind w:left="720" w:hanging="720"/>
        <w:jc w:val="both"/>
        <w:rPr>
          <w:rFonts w:ascii="David" w:eastAsia="David" w:hAnsi="David"/>
          <w:sz w:val="28"/>
        </w:rPr>
      </w:pPr>
      <w:r w:rsidRPr="009C10B6">
        <w:rPr>
          <w:rFonts w:ascii="David" w:eastAsia="David" w:hAnsi="David"/>
          <w:b/>
          <w:rtl/>
        </w:rPr>
        <w:t>10.</w:t>
      </w:r>
      <w:r w:rsidRPr="009C10B6">
        <w:rPr>
          <w:rFonts w:ascii="David" w:eastAsia="David" w:hAnsi="David"/>
          <w:b/>
          <w:rtl/>
        </w:rPr>
        <w:tab/>
        <w:t xml:space="preserve">בסופו של דבר, הנזקים הישירים העיקריים נגרמים מעצם השימוש בסם. מטבע הדברים, ככל שסוג הסם קשה יותר וכמותו רבה יותר, כך הנזקים הנגרמים רבים וגדולים יותר, ובנגזר מכך גם חומרת המעשה רבה יותר. </w:t>
      </w:r>
    </w:p>
    <w:p w14:paraId="7D6DB919" w14:textId="77777777" w:rsidR="00AE0903" w:rsidRPr="009C10B6" w:rsidRDefault="00AE0903" w:rsidP="00AE0903">
      <w:pPr>
        <w:spacing w:line="360" w:lineRule="auto"/>
        <w:ind w:left="720"/>
        <w:jc w:val="both"/>
        <w:rPr>
          <w:rFonts w:ascii="David" w:eastAsia="David" w:hAnsi="David"/>
          <w:sz w:val="28"/>
          <w:rtl/>
        </w:rPr>
      </w:pPr>
    </w:p>
    <w:p w14:paraId="756300B9" w14:textId="77777777" w:rsidR="00AE0903" w:rsidRPr="009C10B6" w:rsidRDefault="00AE0903" w:rsidP="00AE0903">
      <w:pPr>
        <w:spacing w:line="360" w:lineRule="auto"/>
        <w:ind w:left="720" w:hanging="720"/>
        <w:jc w:val="both"/>
        <w:rPr>
          <w:rFonts w:ascii="David" w:eastAsia="David" w:hAnsi="David"/>
          <w:rtl/>
        </w:rPr>
      </w:pPr>
      <w:r w:rsidRPr="009C10B6">
        <w:rPr>
          <w:rFonts w:ascii="David" w:eastAsia="David" w:hAnsi="David" w:hint="cs"/>
          <w:sz w:val="28"/>
          <w:rtl/>
        </w:rPr>
        <w:t>11.</w:t>
      </w:r>
      <w:r w:rsidRPr="009C10B6">
        <w:rPr>
          <w:rFonts w:ascii="David" w:eastAsia="David" w:hAnsi="David" w:hint="cs"/>
          <w:sz w:val="28"/>
          <w:rtl/>
        </w:rPr>
        <w:tab/>
        <w:t xml:space="preserve">מתאמפטמין הוא </w:t>
      </w:r>
      <w:r w:rsidRPr="009C10B6">
        <w:rPr>
          <w:rFonts w:ascii="David" w:eastAsia="David" w:hAnsi="David" w:hint="cs"/>
          <w:rtl/>
        </w:rPr>
        <w:t xml:space="preserve">סם פסיכואקטיבי סינתטי ממריץ וממכר מאד. השפעותיו לטווח הקצר הם </w:t>
      </w:r>
      <w:r w:rsidRPr="009C10B6">
        <w:rPr>
          <w:rFonts w:ascii="David" w:eastAsia="David" w:hAnsi="David" w:hint="cs"/>
          <w:sz w:val="28"/>
          <w:rtl/>
        </w:rPr>
        <w:t xml:space="preserve">ערנות ופעילות פיזית מוגברת, ירידה בתיאבון, עלייה בנשימה, בקצב הלב, בלחץ הדם ובחום הגוף, והפרעות בקצב הלב. ובטווח הארוך הוא גורם לחרדה, בלבול, נדודי שינה, בעיות מצב רוח, התנהגות אלימה, פרנויה, הזיות, דלוזיות, אובדן משקל, בעיות שיניים חמורות, גירוד אינטנסיבי המוביל לפצעים על העור ועוד. ( מתוך האתר של </w:t>
      </w:r>
      <w:r w:rsidRPr="009C10B6">
        <w:rPr>
          <w:rFonts w:ascii="David" w:eastAsia="David" w:hAnsi="David" w:hint="cs"/>
          <w:rtl/>
        </w:rPr>
        <w:t>הרשות הלאומית לביטחון קהילתי במשרד הפנים).</w:t>
      </w:r>
    </w:p>
    <w:p w14:paraId="721F9F2F" w14:textId="77777777" w:rsidR="00AE0903" w:rsidRPr="009C10B6" w:rsidRDefault="00AE0903" w:rsidP="00AE0903">
      <w:pPr>
        <w:spacing w:line="360" w:lineRule="auto"/>
        <w:ind w:left="720" w:hanging="720"/>
        <w:rPr>
          <w:rFonts w:ascii="David" w:eastAsia="David" w:hAnsi="David"/>
          <w:rtl/>
        </w:rPr>
      </w:pPr>
    </w:p>
    <w:p w14:paraId="422AB028" w14:textId="77777777" w:rsidR="00AE0903" w:rsidRPr="009C10B6" w:rsidRDefault="00AE0903" w:rsidP="00AE0903">
      <w:pPr>
        <w:spacing w:line="360" w:lineRule="auto"/>
        <w:ind w:left="720" w:hanging="720"/>
        <w:jc w:val="both"/>
        <w:rPr>
          <w:rFonts w:ascii="David" w:eastAsia="David" w:hAnsi="David"/>
          <w:sz w:val="28"/>
          <w:rtl/>
        </w:rPr>
      </w:pPr>
      <w:r w:rsidRPr="009C10B6">
        <w:rPr>
          <w:rFonts w:ascii="David" w:eastAsia="David" w:hAnsi="David" w:hint="cs"/>
          <w:rtl/>
        </w:rPr>
        <w:t>12.</w:t>
      </w:r>
      <w:r w:rsidRPr="009C10B6">
        <w:rPr>
          <w:rFonts w:ascii="David" w:eastAsia="David" w:hAnsi="David" w:hint="cs"/>
          <w:rtl/>
        </w:rPr>
        <w:tab/>
        <w:t xml:space="preserve">בהתחשב בטיב הסם המדובר, ובכמותו – 462 גרם, המספיקה להכנת כמה </w:t>
      </w:r>
      <w:r w:rsidRPr="009C10B6">
        <w:rPr>
          <w:rFonts w:ascii="David" w:eastAsia="David" w:hAnsi="David" w:hint="cs"/>
          <w:b/>
          <w:bCs/>
          <w:rtl/>
        </w:rPr>
        <w:t>אלפי מנות סם</w:t>
      </w:r>
      <w:r w:rsidRPr="009C10B6">
        <w:rPr>
          <w:rFonts w:ascii="David" w:eastAsia="David" w:hAnsi="David" w:hint="cs"/>
          <w:rtl/>
        </w:rPr>
        <w:t xml:space="preserve">, הרי שמעשי הנאשם פגעו בערכים החברתיים הנ"ל במידה משמעותית. </w:t>
      </w:r>
      <w:r w:rsidRPr="009C10B6">
        <w:rPr>
          <w:rFonts w:ascii="David" w:eastAsia="David" w:hAnsi="David" w:hint="cs"/>
          <w:sz w:val="28"/>
          <w:rtl/>
        </w:rPr>
        <w:t xml:space="preserve">לסיבור האוזן יוזכר, כי על פי הקבוע בפקודת הסמים ובתוספת השניה בפקודת הסמים, חזקה על מי שמחזיק מתאמפטמין במשקל העולה על 0.2 גרם נטו כי הוא מחזיק בסם שלא לצורך צריכתו העצמית. </w:t>
      </w:r>
    </w:p>
    <w:p w14:paraId="7AB4BF87" w14:textId="77777777" w:rsidR="00AE0903" w:rsidRPr="009C10B6" w:rsidRDefault="00AE0903" w:rsidP="00AE0903">
      <w:pPr>
        <w:spacing w:line="360" w:lineRule="auto"/>
        <w:ind w:left="720" w:hanging="720"/>
        <w:rPr>
          <w:rFonts w:ascii="David" w:eastAsia="David" w:hAnsi="David"/>
          <w:sz w:val="28"/>
        </w:rPr>
      </w:pPr>
    </w:p>
    <w:p w14:paraId="03248573" w14:textId="77777777" w:rsidR="00AE0903" w:rsidRPr="009C10B6" w:rsidRDefault="00AE0903" w:rsidP="00AE0903">
      <w:pPr>
        <w:spacing w:line="360" w:lineRule="auto"/>
        <w:ind w:left="720" w:hanging="720"/>
        <w:jc w:val="both"/>
        <w:rPr>
          <w:rFonts w:ascii="David" w:eastAsia="David" w:hAnsi="David"/>
          <w:rtl/>
        </w:rPr>
      </w:pPr>
      <w:r w:rsidRPr="009C10B6">
        <w:rPr>
          <w:rFonts w:ascii="David" w:eastAsia="David" w:hAnsi="David" w:hint="cs"/>
          <w:sz w:val="28"/>
          <w:rtl/>
        </w:rPr>
        <w:t>13.</w:t>
      </w:r>
      <w:r w:rsidRPr="009C10B6">
        <w:rPr>
          <w:rFonts w:ascii="David" w:eastAsia="David" w:hAnsi="David" w:hint="cs"/>
          <w:sz w:val="28"/>
          <w:rtl/>
        </w:rPr>
        <w:tab/>
      </w:r>
      <w:r w:rsidRPr="009C10B6">
        <w:rPr>
          <w:rFonts w:ascii="David" w:eastAsia="David" w:hAnsi="David"/>
          <w:sz w:val="28"/>
          <w:rtl/>
        </w:rPr>
        <w:t xml:space="preserve">עובדות כתב האישום המתארות את מעשי הנאשם מלמדות מעצמן שמעשי הנאשם היו יזומים ומתוכננים מראש. </w:t>
      </w:r>
    </w:p>
    <w:p w14:paraId="2B20335E" w14:textId="77777777" w:rsidR="00AE0903" w:rsidRPr="009C10B6" w:rsidRDefault="00AE0903" w:rsidP="00AE0903">
      <w:pPr>
        <w:spacing w:line="360" w:lineRule="auto"/>
        <w:ind w:left="720"/>
        <w:jc w:val="both"/>
        <w:rPr>
          <w:rFonts w:ascii="David" w:eastAsia="David" w:hAnsi="David"/>
          <w:sz w:val="28"/>
          <w:rtl/>
        </w:rPr>
      </w:pPr>
      <w:r w:rsidRPr="009C10B6">
        <w:rPr>
          <w:rFonts w:ascii="David" w:eastAsia="David" w:hAnsi="David"/>
          <w:sz w:val="28"/>
          <w:rtl/>
        </w:rPr>
        <w:t>הנאשם הוא זה שייבא את הסמים והוא זה שהיה אמור לקבלם בישראל, וחלקו בביצוע העבירות מרכזי.</w:t>
      </w:r>
    </w:p>
    <w:p w14:paraId="0D5F6589" w14:textId="77777777" w:rsidR="00AE0903" w:rsidRPr="009C10B6" w:rsidRDefault="00AE0903" w:rsidP="00AE0903">
      <w:pPr>
        <w:spacing w:line="360" w:lineRule="auto"/>
        <w:ind w:left="720"/>
        <w:jc w:val="both"/>
        <w:rPr>
          <w:rFonts w:ascii="David" w:eastAsia="David" w:hAnsi="David"/>
          <w:sz w:val="28"/>
          <w:rtl/>
        </w:rPr>
      </w:pPr>
      <w:r w:rsidRPr="009C10B6">
        <w:rPr>
          <w:rFonts w:ascii="David" w:eastAsia="David" w:hAnsi="David"/>
          <w:sz w:val="28"/>
          <w:rtl/>
        </w:rPr>
        <w:t xml:space="preserve">הנאשם ייבא את הסמים במטרה לסחור בהם בישראל. </w:t>
      </w:r>
    </w:p>
    <w:p w14:paraId="1FC6EEB8" w14:textId="77777777" w:rsidR="00AE0903" w:rsidRPr="009C10B6" w:rsidRDefault="00AE0903" w:rsidP="00AE0903">
      <w:pPr>
        <w:spacing w:line="360" w:lineRule="auto"/>
        <w:ind w:left="720"/>
        <w:jc w:val="both"/>
        <w:rPr>
          <w:rFonts w:ascii="David" w:eastAsia="David" w:hAnsi="David"/>
          <w:sz w:val="28"/>
          <w:rtl/>
        </w:rPr>
      </w:pPr>
      <w:r w:rsidRPr="009C10B6">
        <w:rPr>
          <w:rFonts w:ascii="David" w:eastAsia="David" w:hAnsi="David"/>
          <w:sz w:val="28"/>
          <w:rtl/>
        </w:rPr>
        <w:t>הסם שהנאשם ייבא נתפס ע"י המשטרה טרם הפצתו, כך שהוא לא הגיע לצרכנים והנזק מהשימוש בו נמנע. אולם, הנזק שהיה צפוי להיגרם מהפצתו, משמעותי מאוד.</w:t>
      </w:r>
    </w:p>
    <w:p w14:paraId="2DC0DA4B" w14:textId="77777777" w:rsidR="00AE0903" w:rsidRPr="009C10B6" w:rsidRDefault="00AE0903" w:rsidP="00AE0903">
      <w:pPr>
        <w:spacing w:line="360" w:lineRule="auto"/>
        <w:ind w:left="720"/>
        <w:jc w:val="both"/>
        <w:rPr>
          <w:rFonts w:ascii="David" w:eastAsia="David" w:hAnsi="David"/>
          <w:sz w:val="28"/>
          <w:rtl/>
        </w:rPr>
      </w:pPr>
      <w:r w:rsidRPr="009C10B6">
        <w:rPr>
          <w:rFonts w:ascii="David" w:eastAsia="David" w:hAnsi="David"/>
          <w:sz w:val="28"/>
          <w:rtl/>
        </w:rPr>
        <w:t xml:space="preserve">הנאשם ביצע את העבירות בהיותו תושב זר השוהה בישראל באשרת עבודה. </w:t>
      </w:r>
    </w:p>
    <w:p w14:paraId="5A8333BB" w14:textId="77777777" w:rsidR="00AE0903" w:rsidRPr="009C10B6" w:rsidRDefault="00AE0903" w:rsidP="00AE0903">
      <w:pPr>
        <w:spacing w:line="360" w:lineRule="auto"/>
        <w:ind w:left="720"/>
        <w:rPr>
          <w:rFonts w:ascii="David" w:eastAsia="David" w:hAnsi="David"/>
          <w:sz w:val="28"/>
          <w:rtl/>
        </w:rPr>
      </w:pPr>
      <w:r w:rsidRPr="009C10B6">
        <w:rPr>
          <w:rFonts w:ascii="David" w:eastAsia="David" w:hAnsi="David"/>
          <w:sz w:val="28"/>
          <w:rtl/>
        </w:rPr>
        <w:t xml:space="preserve">הנאשם ביצע את העבירות לשם השגת רווח כספי. </w:t>
      </w:r>
    </w:p>
    <w:p w14:paraId="76646785" w14:textId="77777777" w:rsidR="00AE0903" w:rsidRPr="009C10B6" w:rsidRDefault="00AE0903" w:rsidP="00AE0903">
      <w:pPr>
        <w:spacing w:line="360" w:lineRule="auto"/>
        <w:ind w:left="720" w:hanging="720"/>
        <w:rPr>
          <w:rFonts w:ascii="David" w:eastAsia="David" w:hAnsi="David"/>
          <w:sz w:val="28"/>
          <w:rtl/>
        </w:rPr>
      </w:pPr>
    </w:p>
    <w:p w14:paraId="04E44A50" w14:textId="77777777" w:rsidR="00AE0903" w:rsidRPr="009C10B6" w:rsidRDefault="00AE0903" w:rsidP="00AE0903">
      <w:pPr>
        <w:spacing w:line="360" w:lineRule="auto"/>
        <w:ind w:left="720" w:hanging="720"/>
        <w:jc w:val="both"/>
        <w:rPr>
          <w:rFonts w:ascii="David" w:eastAsia="David" w:hAnsi="David"/>
          <w:sz w:val="28"/>
          <w:rtl/>
        </w:rPr>
      </w:pPr>
      <w:r w:rsidRPr="009C10B6">
        <w:rPr>
          <w:rFonts w:ascii="David" w:eastAsia="David" w:hAnsi="David"/>
          <w:sz w:val="28"/>
          <w:rtl/>
        </w:rPr>
        <w:t>14.</w:t>
      </w:r>
      <w:r w:rsidRPr="009C10B6">
        <w:rPr>
          <w:rFonts w:ascii="David" w:eastAsia="David" w:hAnsi="David"/>
          <w:sz w:val="28"/>
          <w:rtl/>
        </w:rPr>
        <w:tab/>
        <w:t xml:space="preserve">מדיניות הענישה הנהוגה בעבירות הסמים החמורות, הינה של חומרה מובהקת, הנותנת בכורה לשיקולי הגמול וההרתעה. </w:t>
      </w:r>
    </w:p>
    <w:p w14:paraId="45038F3E" w14:textId="77777777" w:rsidR="00AE0903" w:rsidRPr="009C10B6" w:rsidRDefault="00AE0903" w:rsidP="00AE0903">
      <w:pPr>
        <w:spacing w:line="360" w:lineRule="auto"/>
        <w:ind w:left="720" w:hanging="720"/>
        <w:rPr>
          <w:rFonts w:ascii="David" w:eastAsia="David" w:hAnsi="David"/>
          <w:sz w:val="28"/>
          <w:rtl/>
        </w:rPr>
      </w:pPr>
      <w:r w:rsidRPr="009C10B6">
        <w:rPr>
          <w:rFonts w:ascii="David" w:eastAsia="David" w:hAnsi="David"/>
          <w:sz w:val="28"/>
          <w:rtl/>
        </w:rPr>
        <w:tab/>
      </w:r>
    </w:p>
    <w:p w14:paraId="349B0F7F" w14:textId="77777777" w:rsidR="00AE0903" w:rsidRPr="009C10B6" w:rsidRDefault="00AE0903" w:rsidP="00AE0903">
      <w:pPr>
        <w:spacing w:line="360" w:lineRule="auto"/>
        <w:ind w:left="720" w:hanging="720"/>
        <w:jc w:val="both"/>
        <w:rPr>
          <w:rFonts w:ascii="David" w:eastAsia="David" w:hAnsi="David"/>
          <w:sz w:val="28"/>
          <w:rtl/>
        </w:rPr>
      </w:pPr>
      <w:r w:rsidRPr="009C10B6">
        <w:rPr>
          <w:rFonts w:ascii="David" w:eastAsia="David" w:hAnsi="David"/>
          <w:sz w:val="28"/>
          <w:rtl/>
        </w:rPr>
        <w:t>15.</w:t>
      </w:r>
      <w:r w:rsidRPr="009C10B6">
        <w:rPr>
          <w:rFonts w:ascii="David" w:eastAsia="David" w:hAnsi="David"/>
          <w:sz w:val="28"/>
          <w:rtl/>
        </w:rPr>
        <w:tab/>
        <w:t xml:space="preserve">הלכה למעשה, בתי המשפט מטילים על מעשים מהסוג שהנאשם ביצע, עונשי מאסר משמעותיים. </w:t>
      </w:r>
    </w:p>
    <w:p w14:paraId="3BAE4A09" w14:textId="77777777" w:rsidR="00AE0903" w:rsidRPr="009C10B6" w:rsidRDefault="00AE0903" w:rsidP="00AE0903">
      <w:pPr>
        <w:spacing w:line="360" w:lineRule="auto"/>
        <w:ind w:left="720" w:hanging="720"/>
        <w:jc w:val="both"/>
        <w:rPr>
          <w:rFonts w:ascii="David" w:eastAsia="David" w:hAnsi="David"/>
          <w:sz w:val="28"/>
          <w:rtl/>
        </w:rPr>
      </w:pPr>
      <w:r w:rsidRPr="009C10B6">
        <w:rPr>
          <w:rFonts w:ascii="David" w:eastAsia="David" w:hAnsi="David"/>
          <w:sz w:val="28"/>
          <w:rtl/>
        </w:rPr>
        <w:t xml:space="preserve"> </w:t>
      </w:r>
      <w:r w:rsidRPr="009C10B6">
        <w:rPr>
          <w:rFonts w:ascii="David" w:eastAsia="David" w:hAnsi="David"/>
          <w:sz w:val="28"/>
          <w:rtl/>
        </w:rPr>
        <w:tab/>
      </w:r>
    </w:p>
    <w:p w14:paraId="285B1F60" w14:textId="77777777" w:rsidR="00AE0903" w:rsidRPr="009C10B6" w:rsidRDefault="00AE0903" w:rsidP="00AE0903">
      <w:pPr>
        <w:spacing w:line="360" w:lineRule="auto"/>
        <w:ind w:left="720"/>
        <w:jc w:val="both"/>
        <w:rPr>
          <w:rFonts w:ascii="David" w:eastAsia="David" w:hAnsi="David"/>
          <w:rtl/>
        </w:rPr>
      </w:pPr>
      <w:r w:rsidRPr="009C10B6">
        <w:rPr>
          <w:rFonts w:ascii="David" w:eastAsia="David" w:hAnsi="David"/>
          <w:sz w:val="28"/>
          <w:rtl/>
        </w:rPr>
        <w:t>ב</w:t>
      </w:r>
      <w:hyperlink r:id="rId20" w:history="1">
        <w:r w:rsidR="003E620B" w:rsidRPr="003E620B">
          <w:rPr>
            <w:rFonts w:ascii="David" w:eastAsia="David" w:hAnsi="David"/>
            <w:color w:val="0000FF"/>
            <w:sz w:val="28"/>
            <w:u w:val="single"/>
            <w:rtl/>
          </w:rPr>
          <w:t>ע"פ 7757-21</w:t>
        </w:r>
      </w:hyperlink>
      <w:r w:rsidRPr="009C10B6">
        <w:rPr>
          <w:rFonts w:ascii="David" w:eastAsia="David" w:hAnsi="David" w:hint="cs"/>
          <w:sz w:val="28"/>
          <w:rtl/>
        </w:rPr>
        <w:t xml:space="preserve"> </w:t>
      </w:r>
      <w:r w:rsidRPr="009C10B6">
        <w:rPr>
          <w:rFonts w:ascii="David" w:eastAsia="David" w:hAnsi="David" w:hint="cs"/>
          <w:b/>
          <w:bCs/>
          <w:sz w:val="28"/>
          <w:rtl/>
        </w:rPr>
        <w:t>אהרון קיי מרזוקי נ' מדינת ישראל</w:t>
      </w:r>
      <w:r w:rsidRPr="009C10B6">
        <w:rPr>
          <w:rFonts w:ascii="David" w:eastAsia="David" w:hAnsi="David" w:hint="cs"/>
          <w:sz w:val="28"/>
          <w:rtl/>
        </w:rPr>
        <w:t xml:space="preserve"> (24.05.22) המערער- אזרח ישראלי יליד תאילנד, העוסק במתן שירותי תרגום לשפה התאית למשטרת ישראל, ייבא באמצעות עובד זר תאילנדי סם מסוכן מסוג </w:t>
      </w:r>
      <w:r w:rsidRPr="009C10B6">
        <w:rPr>
          <w:rFonts w:ascii="David" w:eastAsia="David" w:hAnsi="David" w:hint="cs"/>
          <w:sz w:val="28"/>
          <w:u w:val="single"/>
          <w:rtl/>
        </w:rPr>
        <w:t>מתאמפטמין</w:t>
      </w:r>
      <w:r w:rsidRPr="009C10B6">
        <w:rPr>
          <w:rFonts w:ascii="David" w:eastAsia="David" w:hAnsi="David" w:hint="cs"/>
          <w:sz w:val="28"/>
          <w:rtl/>
        </w:rPr>
        <w:t xml:space="preserve"> במשקל של </w:t>
      </w:r>
      <w:r w:rsidRPr="009C10B6">
        <w:rPr>
          <w:rFonts w:ascii="David" w:eastAsia="David" w:hAnsi="David" w:hint="cs"/>
          <w:b/>
          <w:bCs/>
          <w:sz w:val="28"/>
          <w:rtl/>
        </w:rPr>
        <w:t xml:space="preserve">2.975 ק"ג. </w:t>
      </w:r>
      <w:r w:rsidRPr="009C10B6">
        <w:rPr>
          <w:rFonts w:ascii="David" w:eastAsia="David" w:hAnsi="David" w:hint="cs"/>
          <w:sz w:val="28"/>
          <w:rtl/>
        </w:rPr>
        <w:t xml:space="preserve">הוא הורשע בעבירות של ייבוא סם מסוכן ושיבוש מהלכי משפט ובית המשפט המחוזי קבע מתחם עונש הנע בין </w:t>
      </w:r>
      <w:r w:rsidRPr="009C10B6">
        <w:rPr>
          <w:rFonts w:ascii="David" w:eastAsia="David" w:hAnsi="David" w:hint="cs"/>
          <w:sz w:val="28"/>
          <w:u w:val="single"/>
          <w:rtl/>
        </w:rPr>
        <w:t>28 ל- 40 חודשי מאסר</w:t>
      </w:r>
      <w:r w:rsidRPr="009C10B6">
        <w:rPr>
          <w:rFonts w:ascii="David" w:eastAsia="David" w:hAnsi="David" w:hint="cs"/>
          <w:sz w:val="28"/>
          <w:rtl/>
        </w:rPr>
        <w:t xml:space="preserve">, והשית עליו </w:t>
      </w:r>
      <w:r w:rsidRPr="009C10B6">
        <w:rPr>
          <w:rFonts w:ascii="David" w:eastAsia="David" w:hAnsi="David" w:hint="cs"/>
          <w:b/>
          <w:bCs/>
          <w:sz w:val="28"/>
          <w:rtl/>
        </w:rPr>
        <w:t>28 חודשי מאסר בפועל</w:t>
      </w:r>
      <w:r w:rsidRPr="009C10B6">
        <w:rPr>
          <w:rFonts w:ascii="David" w:eastAsia="David" w:hAnsi="David" w:hint="cs"/>
          <w:sz w:val="28"/>
          <w:rtl/>
        </w:rPr>
        <w:t xml:space="preserve">, ועונשים נלווים, ובהם </w:t>
      </w:r>
      <w:r w:rsidRPr="009C10B6">
        <w:rPr>
          <w:rFonts w:ascii="David" w:eastAsia="David" w:hAnsi="David" w:hint="cs"/>
          <w:b/>
          <w:bCs/>
          <w:sz w:val="28"/>
          <w:rtl/>
        </w:rPr>
        <w:t>קנס בסך 10,000 ₪</w:t>
      </w:r>
      <w:r w:rsidRPr="009C10B6">
        <w:rPr>
          <w:rFonts w:ascii="David" w:eastAsia="David" w:hAnsi="David" w:hint="cs"/>
          <w:sz w:val="28"/>
          <w:rtl/>
        </w:rPr>
        <w:t xml:space="preserve"> וחילוט כספים בסך של מעל 20,000 ₪ . </w:t>
      </w:r>
    </w:p>
    <w:p w14:paraId="4ACF7320" w14:textId="77777777" w:rsidR="00AE0903" w:rsidRPr="009C10B6" w:rsidRDefault="00AE0903" w:rsidP="00AE0903">
      <w:pPr>
        <w:spacing w:line="360" w:lineRule="auto"/>
        <w:ind w:left="720"/>
        <w:jc w:val="both"/>
        <w:rPr>
          <w:rFonts w:ascii="David" w:eastAsia="David" w:hAnsi="David"/>
          <w:sz w:val="28"/>
          <w:rtl/>
        </w:rPr>
      </w:pPr>
      <w:r w:rsidRPr="009C10B6">
        <w:rPr>
          <w:rFonts w:ascii="David" w:eastAsia="David" w:hAnsi="David" w:hint="cs"/>
          <w:sz w:val="28"/>
          <w:rtl/>
        </w:rPr>
        <w:t xml:space="preserve">בית המשפט העליון דחה את הערעור על חומרת העונש תוך ציון הדברים הבאים - </w:t>
      </w:r>
    </w:p>
    <w:p w14:paraId="138076E2" w14:textId="77777777" w:rsidR="00AE0903" w:rsidRPr="009C10B6" w:rsidRDefault="00AE0903" w:rsidP="00AE0903">
      <w:pPr>
        <w:spacing w:line="360" w:lineRule="auto"/>
        <w:ind w:left="1440"/>
        <w:jc w:val="both"/>
        <w:rPr>
          <w:rFonts w:ascii="David" w:eastAsia="David" w:hAnsi="David"/>
          <w:sz w:val="28"/>
          <w:rtl/>
        </w:rPr>
      </w:pPr>
      <w:r w:rsidRPr="009C10B6">
        <w:rPr>
          <w:rFonts w:ascii="David" w:eastAsia="David" w:hAnsi="David" w:hint="cs"/>
          <w:sz w:val="28"/>
          <w:rtl/>
        </w:rPr>
        <w:t>"</w:t>
      </w:r>
      <w:r w:rsidRPr="009C10B6">
        <w:rPr>
          <w:rFonts w:ascii="Century" w:eastAsia="David" w:hAnsi="Century" w:cs="FrankRuehl" w:hint="cs"/>
          <w:spacing w:val="10"/>
          <w:sz w:val="22"/>
          <w:szCs w:val="28"/>
          <w:rtl/>
        </w:rPr>
        <w:t xml:space="preserve"> </w:t>
      </w:r>
      <w:r w:rsidRPr="009C10B6">
        <w:rPr>
          <w:rFonts w:ascii="David" w:eastAsia="David" w:hAnsi="David" w:hint="cs"/>
          <w:sz w:val="28"/>
          <w:rtl/>
        </w:rPr>
        <w:t xml:space="preserve">לא אחת הדגיש בית משפט זה את החומרה היתרה שנלווית לעבירות סמים ובפרט לעבירות שעניינן יבוא והפצת סמים מסוכנים. זאת, שכן בעבירות אלו יש כדי לסכן את שלום הציבור ולהרחיב את מעגל המשתמשים בסמים והמכורים להם (ראו למשל: </w:t>
      </w:r>
      <w:hyperlink r:id="rId21" w:history="1">
        <w:r w:rsidR="003E620B" w:rsidRPr="003E620B">
          <w:rPr>
            <w:rFonts w:ascii="David" w:eastAsia="David" w:hAnsi="David"/>
            <w:color w:val="0000FF"/>
            <w:sz w:val="28"/>
            <w:u w:val="single"/>
            <w:rtl/>
          </w:rPr>
          <w:t>ע"פ 667/21</w:t>
        </w:r>
      </w:hyperlink>
      <w:r w:rsidRPr="009C10B6">
        <w:rPr>
          <w:rFonts w:ascii="David" w:eastAsia="David" w:hAnsi="David"/>
          <w:sz w:val="28"/>
          <w:rtl/>
        </w:rPr>
        <w:t xml:space="preserve"> </w:t>
      </w:r>
      <w:r w:rsidRPr="009C10B6">
        <w:rPr>
          <w:rFonts w:ascii="David" w:eastAsia="David" w:hAnsi="David" w:hint="cs"/>
          <w:b/>
          <w:sz w:val="28"/>
          <w:rtl/>
        </w:rPr>
        <w:t>מדינת ישראל נ' בן פורת</w:t>
      </w:r>
      <w:r w:rsidRPr="009C10B6">
        <w:rPr>
          <w:rFonts w:ascii="David" w:eastAsia="David" w:hAnsi="David" w:hint="cs"/>
          <w:sz w:val="28"/>
          <w:rtl/>
        </w:rPr>
        <w:t xml:space="preserve">, פסקה 18 [פורסם בנבו] (10.3.2021)). כן נקבע בפסיקה, כי יש להטיל ענישה מחמירה ומרתיעה על מבצעי עבירות סמים, מתוך מטרה לתמוך במאבק למיגורן (ראו למשל: </w:t>
      </w:r>
      <w:hyperlink r:id="rId22" w:history="1">
        <w:r w:rsidR="003E620B" w:rsidRPr="003E620B">
          <w:rPr>
            <w:rFonts w:ascii="David" w:eastAsia="David" w:hAnsi="David"/>
            <w:color w:val="0000FF"/>
            <w:sz w:val="28"/>
            <w:u w:val="single"/>
            <w:rtl/>
          </w:rPr>
          <w:t>ע"פ 8048/19</w:t>
        </w:r>
      </w:hyperlink>
      <w:r w:rsidRPr="009C10B6">
        <w:rPr>
          <w:rFonts w:ascii="David" w:eastAsia="David" w:hAnsi="David"/>
          <w:sz w:val="28"/>
          <w:rtl/>
        </w:rPr>
        <w:t xml:space="preserve"> </w:t>
      </w:r>
      <w:r w:rsidRPr="009C10B6">
        <w:rPr>
          <w:rFonts w:ascii="David" w:eastAsia="David" w:hAnsi="David" w:hint="cs"/>
          <w:b/>
          <w:sz w:val="28"/>
          <w:rtl/>
        </w:rPr>
        <w:t>פיצ'חדזה נ' מדינת ישראל</w:t>
      </w:r>
      <w:r w:rsidRPr="009C10B6">
        <w:rPr>
          <w:rFonts w:ascii="David" w:eastAsia="David" w:hAnsi="David" w:hint="cs"/>
          <w:sz w:val="28"/>
          <w:rtl/>
        </w:rPr>
        <w:t>, פסקה 11 [פורסם בנבו] (4.6.2020)). "</w:t>
      </w:r>
    </w:p>
    <w:p w14:paraId="425D70ED" w14:textId="77777777" w:rsidR="00AE0903" w:rsidRPr="009C10B6" w:rsidRDefault="00AE0903" w:rsidP="00AE0903">
      <w:pPr>
        <w:spacing w:line="360" w:lineRule="auto"/>
        <w:ind w:left="1440"/>
        <w:rPr>
          <w:rFonts w:ascii="David" w:eastAsia="David" w:hAnsi="David"/>
          <w:sz w:val="28"/>
          <w:u w:val="single"/>
          <w:rtl/>
        </w:rPr>
      </w:pPr>
    </w:p>
    <w:p w14:paraId="15C2101D" w14:textId="77777777" w:rsidR="00AE0903" w:rsidRPr="009C10B6" w:rsidRDefault="00AE0903" w:rsidP="00AE0903">
      <w:pPr>
        <w:spacing w:line="360" w:lineRule="auto"/>
        <w:ind w:left="720"/>
        <w:jc w:val="both"/>
        <w:rPr>
          <w:rFonts w:ascii="David" w:eastAsia="David" w:hAnsi="David"/>
          <w:sz w:val="28"/>
          <w:rtl/>
        </w:rPr>
      </w:pPr>
      <w:r w:rsidRPr="009C10B6">
        <w:rPr>
          <w:rFonts w:ascii="David" w:eastAsia="David" w:hAnsi="David" w:hint="cs"/>
          <w:sz w:val="28"/>
          <w:rtl/>
        </w:rPr>
        <w:t>ב</w:t>
      </w:r>
      <w:hyperlink r:id="rId23" w:history="1">
        <w:r w:rsidR="003E620B" w:rsidRPr="003E620B">
          <w:rPr>
            <w:rFonts w:ascii="David" w:eastAsia="David" w:hAnsi="David"/>
            <w:color w:val="0000FF"/>
            <w:sz w:val="28"/>
            <w:u w:val="single"/>
            <w:rtl/>
          </w:rPr>
          <w:t>ע"פ 4536/21</w:t>
        </w:r>
      </w:hyperlink>
      <w:r w:rsidRPr="009C10B6">
        <w:rPr>
          <w:rFonts w:ascii="David" w:eastAsia="David" w:hAnsi="David"/>
          <w:sz w:val="28"/>
          <w:rtl/>
        </w:rPr>
        <w:t xml:space="preserve"> </w:t>
      </w:r>
      <w:r w:rsidRPr="009C10B6">
        <w:rPr>
          <w:rFonts w:ascii="David" w:eastAsia="David" w:hAnsi="David" w:hint="cs"/>
          <w:b/>
          <w:bCs/>
          <w:sz w:val="28"/>
          <w:rtl/>
        </w:rPr>
        <w:t>מיכאל פרץ נ' מדינת ישראל</w:t>
      </w:r>
      <w:r w:rsidRPr="009C10B6">
        <w:rPr>
          <w:rFonts w:ascii="David" w:eastAsia="David" w:hAnsi="David" w:hint="cs"/>
          <w:sz w:val="28"/>
          <w:rtl/>
        </w:rPr>
        <w:t xml:space="preserve"> (04.11.21), המערער ואדם נוסף קשרו קשר לייבא לישראל סמים ממקסיקו באמצעות הדואר, ובהתאם לכך נשלחה ממקסיקו חבילה שמוענה למערער בה הוסלק סם מסוג מתאמפטאמין במשקל כולל של </w:t>
      </w:r>
      <w:r w:rsidRPr="009C10B6">
        <w:rPr>
          <w:rFonts w:ascii="David" w:eastAsia="David" w:hAnsi="David" w:hint="cs"/>
          <w:b/>
          <w:bCs/>
          <w:sz w:val="28"/>
          <w:rtl/>
        </w:rPr>
        <w:t>1.865 ק"ג</w:t>
      </w:r>
      <w:r w:rsidRPr="009C10B6">
        <w:rPr>
          <w:rFonts w:ascii="David" w:eastAsia="David" w:hAnsi="David" w:hint="cs"/>
          <w:sz w:val="28"/>
          <w:rtl/>
        </w:rPr>
        <w:t xml:space="preserve">. החבילה נתפסה על ידי רשות המכס. המערער הורשע בעבירות של </w:t>
      </w:r>
      <w:r w:rsidRPr="009C10B6">
        <w:rPr>
          <w:rFonts w:ascii="David" w:eastAsia="David" w:hAnsi="David" w:hint="cs"/>
          <w:sz w:val="28"/>
          <w:u w:val="single"/>
          <w:rtl/>
        </w:rPr>
        <w:t>קשירת קשר לביצוע פשע וייבוא סם מסוכן בצוותא חדא</w:t>
      </w:r>
      <w:r w:rsidRPr="009C10B6">
        <w:rPr>
          <w:rFonts w:ascii="David" w:eastAsia="David" w:hAnsi="David" w:hint="cs"/>
          <w:sz w:val="28"/>
          <w:rtl/>
        </w:rPr>
        <w:t xml:space="preserve">. בית המשפט המחוזי קבע </w:t>
      </w:r>
      <w:r w:rsidRPr="009C10B6">
        <w:rPr>
          <w:rFonts w:ascii="David" w:eastAsia="David" w:hAnsi="David" w:hint="cs"/>
          <w:sz w:val="28"/>
          <w:u w:val="single"/>
          <w:rtl/>
        </w:rPr>
        <w:t>מתחם ענישה הנע בין 21 ל-48 חודשי מאסר בפועל</w:t>
      </w:r>
      <w:r w:rsidRPr="009C10B6">
        <w:rPr>
          <w:rFonts w:ascii="David" w:eastAsia="David" w:hAnsi="David" w:hint="cs"/>
          <w:sz w:val="28"/>
          <w:rtl/>
        </w:rPr>
        <w:t xml:space="preserve">, ועל רקע שיקולי שיקום ואחידות ענישה חרג לקולה מהמתחם והטיל על הנאשם </w:t>
      </w:r>
      <w:r w:rsidRPr="009C10B6">
        <w:rPr>
          <w:rFonts w:ascii="David" w:eastAsia="David" w:hAnsi="David" w:hint="cs"/>
          <w:b/>
          <w:bCs/>
          <w:sz w:val="28"/>
          <w:rtl/>
        </w:rPr>
        <w:t>16 חודשי מאסר</w:t>
      </w:r>
      <w:r w:rsidRPr="009C10B6">
        <w:rPr>
          <w:rFonts w:ascii="David" w:eastAsia="David" w:hAnsi="David" w:hint="cs"/>
          <w:sz w:val="28"/>
          <w:rtl/>
        </w:rPr>
        <w:t xml:space="preserve"> ועונשים נלווים, ובהם </w:t>
      </w:r>
      <w:r w:rsidRPr="009C10B6">
        <w:rPr>
          <w:rFonts w:ascii="David" w:eastAsia="David" w:hAnsi="David" w:hint="cs"/>
          <w:b/>
          <w:bCs/>
          <w:sz w:val="28"/>
          <w:rtl/>
        </w:rPr>
        <w:t>קנס בסך 7,500 ₪.</w:t>
      </w:r>
      <w:r w:rsidRPr="009C10B6">
        <w:rPr>
          <w:rFonts w:ascii="David" w:eastAsia="David" w:hAnsi="David" w:hint="cs"/>
          <w:sz w:val="28"/>
          <w:rtl/>
        </w:rPr>
        <w:t xml:space="preserve"> הערעור על חומרת העונש נדחה.</w:t>
      </w:r>
    </w:p>
    <w:p w14:paraId="50F0DE1C" w14:textId="77777777" w:rsidR="00AE0903" w:rsidRPr="009C10B6" w:rsidRDefault="00AE0903" w:rsidP="00AE0903">
      <w:pPr>
        <w:spacing w:line="360" w:lineRule="auto"/>
        <w:ind w:left="1440"/>
        <w:rPr>
          <w:rFonts w:ascii="David" w:eastAsia="David" w:hAnsi="David"/>
          <w:sz w:val="28"/>
          <w:rtl/>
        </w:rPr>
      </w:pPr>
    </w:p>
    <w:p w14:paraId="4385AD24" w14:textId="77777777" w:rsidR="00AE0903" w:rsidRPr="009C10B6" w:rsidRDefault="00AE0903" w:rsidP="00AE0903">
      <w:pPr>
        <w:spacing w:line="360" w:lineRule="auto"/>
        <w:ind w:left="720"/>
        <w:jc w:val="both"/>
        <w:rPr>
          <w:rFonts w:ascii="David" w:eastAsia="David" w:hAnsi="David"/>
          <w:sz w:val="28"/>
          <w:rtl/>
        </w:rPr>
      </w:pPr>
      <w:r w:rsidRPr="009C10B6">
        <w:rPr>
          <w:rFonts w:ascii="David" w:eastAsia="David" w:hAnsi="David" w:hint="cs"/>
          <w:sz w:val="28"/>
          <w:u w:val="single"/>
          <w:rtl/>
        </w:rPr>
        <w:t>ב</w:t>
      </w:r>
      <w:hyperlink r:id="rId24" w:history="1">
        <w:r w:rsidR="003E620B" w:rsidRPr="003E620B">
          <w:rPr>
            <w:rFonts w:ascii="David" w:eastAsia="David" w:hAnsi="David"/>
            <w:color w:val="0000FF"/>
            <w:sz w:val="28"/>
            <w:u w:val="single"/>
            <w:rtl/>
          </w:rPr>
          <w:t>רע"פ 3569/20</w:t>
        </w:r>
      </w:hyperlink>
      <w:r w:rsidRPr="009C10B6">
        <w:rPr>
          <w:rFonts w:ascii="David" w:eastAsia="David" w:hAnsi="David"/>
          <w:sz w:val="28"/>
          <w:rtl/>
        </w:rPr>
        <w:t xml:space="preserve"> </w:t>
      </w:r>
      <w:r w:rsidRPr="009C10B6">
        <w:rPr>
          <w:rFonts w:ascii="David" w:eastAsia="David" w:hAnsi="David" w:hint="cs"/>
          <w:b/>
          <w:bCs/>
          <w:sz w:val="28"/>
          <w:rtl/>
        </w:rPr>
        <w:t>ארנל אלטאראוס נ' מדינת ישראל</w:t>
      </w:r>
      <w:r w:rsidRPr="009C10B6">
        <w:rPr>
          <w:rFonts w:ascii="David" w:eastAsia="David" w:hAnsi="David" w:hint="cs"/>
          <w:sz w:val="28"/>
          <w:rtl/>
        </w:rPr>
        <w:t xml:space="preserve"> (07.06.20), המבקש, אזרח הפיליפינים שעבד בשגרירות הפיליפינים בישראל, יצר קשר עם אחר לשם ייבוא סם מסוג מתאמפטאמין. אותו אחר שלח ארצה חבילה שהכילה כ-</w:t>
      </w:r>
      <w:r w:rsidRPr="009C10B6">
        <w:rPr>
          <w:rFonts w:ascii="David" w:eastAsia="David" w:hAnsi="David" w:hint="cs"/>
          <w:b/>
          <w:bCs/>
          <w:sz w:val="28"/>
          <w:rtl/>
        </w:rPr>
        <w:t>50 גרם</w:t>
      </w:r>
      <w:r w:rsidRPr="009C10B6">
        <w:rPr>
          <w:rFonts w:ascii="David" w:eastAsia="David" w:hAnsi="David" w:hint="cs"/>
          <w:sz w:val="28"/>
          <w:rtl/>
        </w:rPr>
        <w:t xml:space="preserve"> מהסם, והמבקש נתפס בעת שניסה לקבל את החבילה במשרדי חברת השילוח. בהתאם לכך המבקש הורשע בעבירות של ייבוא סם וקשירת קשר לפשע. בית משפט השלום קבע </w:t>
      </w:r>
      <w:r w:rsidRPr="009C10B6">
        <w:rPr>
          <w:rFonts w:ascii="David" w:eastAsia="David" w:hAnsi="David" w:hint="cs"/>
          <w:sz w:val="28"/>
          <w:u w:val="single"/>
          <w:rtl/>
        </w:rPr>
        <w:t xml:space="preserve">מתחם ענישה הנע בין 18 ל-36 חודשי מאסר </w:t>
      </w:r>
      <w:r w:rsidRPr="009C10B6">
        <w:rPr>
          <w:rFonts w:ascii="David" w:eastAsia="David" w:hAnsi="David" w:hint="cs"/>
          <w:sz w:val="28"/>
          <w:rtl/>
        </w:rPr>
        <w:t xml:space="preserve">והשית על הנאשם </w:t>
      </w:r>
      <w:r w:rsidRPr="009C10B6">
        <w:rPr>
          <w:rFonts w:ascii="David" w:eastAsia="David" w:hAnsi="David" w:hint="cs"/>
          <w:b/>
          <w:bCs/>
          <w:sz w:val="28"/>
          <w:rtl/>
        </w:rPr>
        <w:t>22 חודשי</w:t>
      </w:r>
      <w:r w:rsidRPr="009C10B6">
        <w:rPr>
          <w:rFonts w:ascii="David" w:eastAsia="David" w:hAnsi="David" w:hint="cs"/>
          <w:sz w:val="28"/>
          <w:rtl/>
        </w:rPr>
        <w:t xml:space="preserve"> מאסר בפועל ועונשים נלווים, ובהם </w:t>
      </w:r>
      <w:r w:rsidRPr="009C10B6">
        <w:rPr>
          <w:rFonts w:ascii="David" w:eastAsia="David" w:hAnsi="David" w:hint="cs"/>
          <w:b/>
          <w:bCs/>
          <w:sz w:val="28"/>
          <w:rtl/>
        </w:rPr>
        <w:t>קנס בסך 7,500 ₪</w:t>
      </w:r>
      <w:r w:rsidRPr="009C10B6">
        <w:rPr>
          <w:rFonts w:ascii="David" w:eastAsia="David" w:hAnsi="David" w:hint="cs"/>
          <w:sz w:val="28"/>
          <w:rtl/>
        </w:rPr>
        <w:t>. בית המשפט המחוזי ובית המשפט העליון קבעו שהעונש ראוי ודחו את הערעור ואת הרע"פ.</w:t>
      </w:r>
    </w:p>
    <w:p w14:paraId="7A50172A" w14:textId="77777777" w:rsidR="00AE0903" w:rsidRPr="009C10B6" w:rsidRDefault="00AE0903" w:rsidP="00AE0903">
      <w:pPr>
        <w:spacing w:line="360" w:lineRule="auto"/>
        <w:ind w:left="720"/>
        <w:jc w:val="both"/>
        <w:rPr>
          <w:rFonts w:ascii="David" w:eastAsia="David" w:hAnsi="David"/>
          <w:sz w:val="28"/>
          <w:rtl/>
        </w:rPr>
      </w:pPr>
    </w:p>
    <w:p w14:paraId="6D95A555" w14:textId="77777777" w:rsidR="00AE0903" w:rsidRPr="009C10B6" w:rsidRDefault="00AE0903" w:rsidP="00AE0903">
      <w:pPr>
        <w:spacing w:line="360" w:lineRule="auto"/>
        <w:ind w:left="720"/>
        <w:jc w:val="both"/>
        <w:rPr>
          <w:rFonts w:ascii="David" w:eastAsia="David" w:hAnsi="David"/>
          <w:sz w:val="28"/>
          <w:rtl/>
        </w:rPr>
      </w:pPr>
    </w:p>
    <w:p w14:paraId="20F4B07B" w14:textId="77777777" w:rsidR="00AE0903" w:rsidRPr="009C10B6" w:rsidRDefault="00AE0903" w:rsidP="00AE0903">
      <w:pPr>
        <w:spacing w:line="360" w:lineRule="auto"/>
        <w:ind w:left="720"/>
        <w:jc w:val="both"/>
        <w:rPr>
          <w:rFonts w:ascii="David" w:eastAsia="David" w:hAnsi="David"/>
          <w:sz w:val="28"/>
          <w:rtl/>
        </w:rPr>
      </w:pPr>
      <w:r w:rsidRPr="009C10B6">
        <w:rPr>
          <w:rFonts w:ascii="David" w:eastAsia="David" w:hAnsi="David" w:hint="cs"/>
          <w:sz w:val="28"/>
          <w:rtl/>
        </w:rPr>
        <w:t>ב</w:t>
      </w:r>
      <w:hyperlink r:id="rId25" w:history="1">
        <w:r w:rsidR="003E620B" w:rsidRPr="003E620B">
          <w:rPr>
            <w:rFonts w:ascii="David" w:eastAsia="David" w:hAnsi="David"/>
            <w:color w:val="0000FF"/>
            <w:sz w:val="28"/>
            <w:u w:val="single"/>
            <w:rtl/>
          </w:rPr>
          <w:t>ת"פ (תל אביב-יפו) 15059-08-20</w:t>
        </w:r>
      </w:hyperlink>
      <w:r w:rsidRPr="009C10B6">
        <w:rPr>
          <w:rFonts w:ascii="David" w:eastAsia="David" w:hAnsi="David" w:hint="cs"/>
          <w:sz w:val="28"/>
          <w:rtl/>
        </w:rPr>
        <w:t xml:space="preserve"> </w:t>
      </w:r>
      <w:r w:rsidRPr="009C10B6">
        <w:rPr>
          <w:rFonts w:ascii="David" w:eastAsia="David" w:hAnsi="David" w:hint="cs"/>
          <w:b/>
          <w:bCs/>
          <w:sz w:val="28"/>
          <w:rtl/>
        </w:rPr>
        <w:t>מדינת ישראל נ' רוואל טולנטינו מספר</w:t>
      </w:r>
      <w:r w:rsidRPr="009C10B6">
        <w:rPr>
          <w:rFonts w:ascii="David" w:eastAsia="David" w:hAnsi="David" w:hint="cs"/>
          <w:sz w:val="28"/>
          <w:rtl/>
        </w:rPr>
        <w:t xml:space="preserve"> (06.12.21) הנאשם קשר קשר עם אחר לייבא סמים מסוכנים מסוג מתמפטאמין מהפיליפינים לישראל. הסמים, במשקל </w:t>
      </w:r>
      <w:r w:rsidRPr="009C10B6">
        <w:rPr>
          <w:rFonts w:ascii="David" w:eastAsia="David" w:hAnsi="David" w:hint="cs"/>
          <w:b/>
          <w:bCs/>
          <w:sz w:val="28"/>
          <w:rtl/>
        </w:rPr>
        <w:t>99.49 גרם</w:t>
      </w:r>
      <w:r w:rsidRPr="009C10B6">
        <w:rPr>
          <w:rFonts w:ascii="David" w:eastAsia="David" w:hAnsi="David" w:hint="cs"/>
          <w:sz w:val="28"/>
          <w:rtl/>
        </w:rPr>
        <w:t>, הוסלקו בקלסר דפי פחם ונשלחו לכתובתו של הנאשם בישראל. והסם נתפס בהגיעו למכס. בית המשפט קבע כי מתחם העונש ההולם נע בין</w:t>
      </w:r>
      <w:r w:rsidRPr="009C10B6">
        <w:rPr>
          <w:rFonts w:ascii="David" w:eastAsia="David" w:hAnsi="David" w:hint="cs"/>
          <w:b/>
          <w:bCs/>
          <w:sz w:val="28"/>
          <w:rtl/>
        </w:rPr>
        <w:t xml:space="preserve"> </w:t>
      </w:r>
      <w:r w:rsidRPr="009C10B6">
        <w:rPr>
          <w:rFonts w:ascii="David" w:eastAsia="David" w:hAnsi="David" w:hint="cs"/>
          <w:sz w:val="28"/>
          <w:u w:val="single"/>
          <w:rtl/>
        </w:rPr>
        <w:t>15 ל- 42 חודשי מאסר</w:t>
      </w:r>
      <w:r w:rsidRPr="009C10B6">
        <w:rPr>
          <w:rFonts w:ascii="David" w:eastAsia="David" w:hAnsi="David" w:hint="cs"/>
          <w:b/>
          <w:bCs/>
          <w:sz w:val="28"/>
          <w:rtl/>
        </w:rPr>
        <w:t xml:space="preserve">, </w:t>
      </w:r>
      <w:r w:rsidRPr="009C10B6">
        <w:rPr>
          <w:rFonts w:ascii="David" w:eastAsia="David" w:hAnsi="David" w:hint="cs"/>
          <w:sz w:val="28"/>
          <w:rtl/>
        </w:rPr>
        <w:t xml:space="preserve">והטיל על הנאשם </w:t>
      </w:r>
      <w:r w:rsidRPr="009C10B6">
        <w:rPr>
          <w:rFonts w:ascii="David" w:eastAsia="David" w:hAnsi="David" w:hint="cs"/>
          <w:b/>
          <w:bCs/>
          <w:sz w:val="28"/>
          <w:rtl/>
        </w:rPr>
        <w:t xml:space="preserve">15 חודשי מאסר בפועל </w:t>
      </w:r>
      <w:r w:rsidRPr="009C10B6">
        <w:rPr>
          <w:rFonts w:ascii="David" w:eastAsia="David" w:hAnsi="David" w:hint="cs"/>
          <w:sz w:val="28"/>
          <w:rtl/>
        </w:rPr>
        <w:t xml:space="preserve">ועונשים נלווים, ובהם </w:t>
      </w:r>
      <w:r w:rsidRPr="009C10B6">
        <w:rPr>
          <w:rFonts w:ascii="David" w:eastAsia="David" w:hAnsi="David" w:hint="cs"/>
          <w:b/>
          <w:bCs/>
          <w:sz w:val="28"/>
          <w:rtl/>
        </w:rPr>
        <w:t>קנס בסך 2,000 ₪.</w:t>
      </w:r>
      <w:r w:rsidRPr="009C10B6">
        <w:rPr>
          <w:rFonts w:ascii="David" w:eastAsia="David" w:hAnsi="David" w:hint="cs"/>
          <w:sz w:val="28"/>
          <w:rtl/>
        </w:rPr>
        <w:t xml:space="preserve">  </w:t>
      </w:r>
    </w:p>
    <w:p w14:paraId="6623293C" w14:textId="77777777" w:rsidR="00AE0903" w:rsidRPr="009C10B6" w:rsidRDefault="00AE0903" w:rsidP="00AE0903">
      <w:pPr>
        <w:spacing w:line="360" w:lineRule="auto"/>
        <w:jc w:val="both"/>
        <w:rPr>
          <w:rFonts w:ascii="David" w:eastAsia="David" w:hAnsi="David"/>
          <w:sz w:val="28"/>
        </w:rPr>
      </w:pPr>
    </w:p>
    <w:p w14:paraId="6DF1D8BB" w14:textId="77777777" w:rsidR="00AE0903" w:rsidRPr="009C10B6" w:rsidRDefault="00AE0903" w:rsidP="00AE0903">
      <w:pPr>
        <w:spacing w:line="360" w:lineRule="auto"/>
        <w:ind w:left="720"/>
        <w:jc w:val="both"/>
        <w:rPr>
          <w:rFonts w:ascii="David" w:eastAsia="David" w:hAnsi="David"/>
          <w:sz w:val="28"/>
          <w:rtl/>
        </w:rPr>
      </w:pPr>
      <w:r w:rsidRPr="009C10B6">
        <w:rPr>
          <w:rFonts w:ascii="David" w:eastAsia="David" w:hAnsi="David" w:hint="cs"/>
          <w:sz w:val="28"/>
          <w:rtl/>
        </w:rPr>
        <w:t>ב</w:t>
      </w:r>
      <w:hyperlink r:id="rId26" w:history="1">
        <w:r w:rsidR="003E620B" w:rsidRPr="003E620B">
          <w:rPr>
            <w:rFonts w:ascii="David" w:eastAsia="David" w:hAnsi="David"/>
            <w:color w:val="0000FF"/>
            <w:sz w:val="28"/>
            <w:u w:val="single"/>
            <w:rtl/>
          </w:rPr>
          <w:t>ת"פ (מחוזי מרכז) 25840-10-19</w:t>
        </w:r>
      </w:hyperlink>
      <w:r w:rsidRPr="009C10B6">
        <w:rPr>
          <w:rFonts w:ascii="David" w:eastAsia="David" w:hAnsi="David"/>
          <w:sz w:val="28"/>
          <w:rtl/>
        </w:rPr>
        <w:t xml:space="preserve"> </w:t>
      </w:r>
      <w:r w:rsidRPr="009C10B6">
        <w:rPr>
          <w:rFonts w:ascii="David" w:eastAsia="David" w:hAnsi="David" w:hint="cs"/>
          <w:b/>
          <w:bCs/>
          <w:sz w:val="28"/>
          <w:rtl/>
        </w:rPr>
        <w:t>מדינת ישראל נ' סורינטה פאטום</w:t>
      </w:r>
      <w:r w:rsidRPr="009C10B6">
        <w:rPr>
          <w:rFonts w:ascii="David" w:eastAsia="David" w:hAnsi="David" w:hint="cs"/>
          <w:sz w:val="28"/>
          <w:rtl/>
        </w:rPr>
        <w:t xml:space="preserve"> (08.09.20) הנאשם ייבא בשליחותו של אחר כ- </w:t>
      </w:r>
      <w:r w:rsidRPr="009C10B6">
        <w:rPr>
          <w:rFonts w:ascii="David" w:eastAsia="David" w:hAnsi="David" w:hint="cs"/>
          <w:b/>
          <w:bCs/>
          <w:sz w:val="28"/>
          <w:rtl/>
        </w:rPr>
        <w:t xml:space="preserve">3 ק"ג </w:t>
      </w:r>
      <w:r w:rsidRPr="009C10B6">
        <w:rPr>
          <w:rFonts w:ascii="David" w:eastAsia="David" w:hAnsi="David" w:hint="cs"/>
          <w:sz w:val="28"/>
          <w:rtl/>
        </w:rPr>
        <w:t xml:space="preserve">מתאמפטמין מתאילנד לישראל. הנאשם שיתף פעולה באופן מלא בחקירה, ומשמש עד תביעה נגד האחר. הצדדים הגיעו להסדר טיעון "סגור", במסגרתו נגזר על הנאשם עונש של </w:t>
      </w:r>
      <w:r w:rsidRPr="009C10B6">
        <w:rPr>
          <w:rFonts w:ascii="David" w:eastAsia="David" w:hAnsi="David" w:hint="cs"/>
          <w:b/>
          <w:bCs/>
          <w:sz w:val="28"/>
          <w:rtl/>
        </w:rPr>
        <w:t>26 חודשי מאסר</w:t>
      </w:r>
      <w:r w:rsidRPr="009C10B6">
        <w:rPr>
          <w:rFonts w:ascii="David" w:eastAsia="David" w:hAnsi="David" w:hint="cs"/>
          <w:sz w:val="28"/>
          <w:rtl/>
        </w:rPr>
        <w:t xml:space="preserve">, לצד ענישה נלווית. </w:t>
      </w:r>
    </w:p>
    <w:p w14:paraId="72147A63" w14:textId="77777777" w:rsidR="00AE0903" w:rsidRPr="009C10B6" w:rsidRDefault="00AE0903" w:rsidP="00AE0903">
      <w:pPr>
        <w:spacing w:line="360" w:lineRule="auto"/>
        <w:ind w:left="720"/>
        <w:jc w:val="both"/>
        <w:rPr>
          <w:rFonts w:ascii="David" w:eastAsia="David" w:hAnsi="David"/>
          <w:rtl/>
        </w:rPr>
      </w:pPr>
    </w:p>
    <w:p w14:paraId="16A81CEE" w14:textId="77777777" w:rsidR="00AE0903" w:rsidRPr="009C10B6" w:rsidRDefault="00AE0903" w:rsidP="00AE0903">
      <w:pPr>
        <w:spacing w:line="360" w:lineRule="auto"/>
        <w:ind w:left="720"/>
        <w:jc w:val="both"/>
        <w:rPr>
          <w:rFonts w:ascii="David" w:eastAsia="David" w:hAnsi="David"/>
          <w:sz w:val="28"/>
          <w:rtl/>
        </w:rPr>
      </w:pPr>
      <w:r w:rsidRPr="009C10B6">
        <w:rPr>
          <w:rFonts w:ascii="David" w:eastAsia="David" w:hAnsi="David" w:hint="cs"/>
          <w:rtl/>
        </w:rPr>
        <w:t>ב</w:t>
      </w:r>
      <w:hyperlink r:id="rId27" w:history="1">
        <w:r w:rsidR="003E620B" w:rsidRPr="003E620B">
          <w:rPr>
            <w:rFonts w:ascii="David" w:eastAsia="David" w:hAnsi="David"/>
            <w:color w:val="0000FF"/>
            <w:u w:val="single"/>
            <w:rtl/>
          </w:rPr>
          <w:t>ת"פ (באר שבע) 66609-06-17</w:t>
        </w:r>
      </w:hyperlink>
      <w:r w:rsidRPr="009C10B6">
        <w:rPr>
          <w:rFonts w:ascii="David" w:eastAsia="David" w:hAnsi="David" w:hint="cs"/>
          <w:rtl/>
        </w:rPr>
        <w:t xml:space="preserve"> מדינת ישראל נ' </w:t>
      </w:r>
      <w:r w:rsidRPr="009C10B6">
        <w:rPr>
          <w:rFonts w:ascii="David" w:eastAsia="David" w:hAnsi="David"/>
        </w:rPr>
        <w:t>VAN THANG NGUYEN</w:t>
      </w:r>
      <w:r w:rsidRPr="009C10B6">
        <w:rPr>
          <w:rFonts w:ascii="David" w:eastAsia="David" w:hAnsi="David"/>
          <w:rtl/>
        </w:rPr>
        <w:t xml:space="preserve"> </w:t>
      </w:r>
      <w:r w:rsidRPr="009C10B6">
        <w:rPr>
          <w:rFonts w:ascii="David" w:eastAsia="David" w:hAnsi="David" w:hint="cs"/>
          <w:rtl/>
        </w:rPr>
        <w:t xml:space="preserve">( 06.11.17) הנאשם </w:t>
      </w:r>
      <w:r w:rsidRPr="009C10B6">
        <w:rPr>
          <w:rFonts w:ascii="David" w:eastAsia="David" w:hAnsi="David" w:hint="cs"/>
          <w:sz w:val="28"/>
          <w:rtl/>
        </w:rPr>
        <w:t xml:space="preserve">ייבא מויאטנם לישראל </w:t>
      </w:r>
      <w:r w:rsidRPr="009C10B6">
        <w:rPr>
          <w:rFonts w:ascii="David" w:eastAsia="David" w:hAnsi="David" w:hint="cs"/>
          <w:b/>
          <w:bCs/>
          <w:sz w:val="28"/>
          <w:rtl/>
        </w:rPr>
        <w:t>481 גרם</w:t>
      </w:r>
      <w:r w:rsidRPr="009C10B6">
        <w:rPr>
          <w:rFonts w:ascii="David" w:eastAsia="David" w:hAnsi="David" w:hint="cs"/>
          <w:sz w:val="28"/>
          <w:rtl/>
        </w:rPr>
        <w:t xml:space="preserve"> מתאמפטמין באמצעות חברת שילוח. ובית המשפט קיבל את המלצת הצדדים לעונש במסגרת הסדר טיעון והטיל עליו </w:t>
      </w:r>
      <w:r w:rsidRPr="009C10B6">
        <w:rPr>
          <w:rFonts w:ascii="David" w:eastAsia="David" w:hAnsi="David" w:hint="cs"/>
          <w:b/>
          <w:bCs/>
          <w:sz w:val="28"/>
          <w:rtl/>
        </w:rPr>
        <w:t>27 חודשי מאסר בפועל</w:t>
      </w:r>
      <w:r w:rsidRPr="009C10B6">
        <w:rPr>
          <w:rFonts w:ascii="David" w:eastAsia="David" w:hAnsi="David" w:hint="cs"/>
          <w:sz w:val="28"/>
          <w:rtl/>
        </w:rPr>
        <w:t xml:space="preserve"> ו</w:t>
      </w:r>
      <w:r w:rsidRPr="009C10B6">
        <w:rPr>
          <w:rFonts w:ascii="David" w:eastAsia="David" w:hAnsi="David" w:hint="cs"/>
          <w:b/>
          <w:bCs/>
          <w:sz w:val="28"/>
          <w:rtl/>
        </w:rPr>
        <w:t>קנס בסך 1,000 ₪.</w:t>
      </w:r>
      <w:r w:rsidRPr="009C10B6">
        <w:rPr>
          <w:rFonts w:ascii="David" w:eastAsia="David" w:hAnsi="David" w:hint="cs"/>
          <w:sz w:val="28"/>
          <w:rtl/>
        </w:rPr>
        <w:t xml:space="preserve"> </w:t>
      </w:r>
    </w:p>
    <w:p w14:paraId="4A6A9EC4" w14:textId="77777777" w:rsidR="00AE0903" w:rsidRPr="009C10B6" w:rsidRDefault="00AE0903" w:rsidP="00AE0903">
      <w:pPr>
        <w:spacing w:line="360" w:lineRule="auto"/>
        <w:rPr>
          <w:rFonts w:ascii="David" w:eastAsia="David" w:hAnsi="David"/>
        </w:rPr>
      </w:pPr>
    </w:p>
    <w:p w14:paraId="7759A9E7" w14:textId="77777777" w:rsidR="00AE0903" w:rsidRPr="009C10B6" w:rsidRDefault="00AE0903" w:rsidP="00AE0903">
      <w:pPr>
        <w:spacing w:line="360" w:lineRule="auto"/>
        <w:ind w:left="720" w:hanging="720"/>
        <w:jc w:val="both"/>
        <w:rPr>
          <w:rFonts w:ascii="David" w:eastAsia="David" w:hAnsi="David"/>
          <w:sz w:val="28"/>
          <w:rtl/>
        </w:rPr>
      </w:pPr>
      <w:r w:rsidRPr="009C10B6">
        <w:rPr>
          <w:rFonts w:ascii="David" w:eastAsia="David" w:hAnsi="David"/>
          <w:sz w:val="28"/>
          <w:rtl/>
        </w:rPr>
        <w:t xml:space="preserve">16. </w:t>
      </w:r>
      <w:r w:rsidRPr="009C10B6">
        <w:rPr>
          <w:rFonts w:ascii="David" w:eastAsia="David" w:hAnsi="David"/>
          <w:sz w:val="28"/>
          <w:rtl/>
        </w:rPr>
        <w:tab/>
      </w:r>
      <w:r w:rsidRPr="009C10B6">
        <w:rPr>
          <w:rFonts w:ascii="David" w:eastAsia="David" w:hAnsi="David" w:hint="cs"/>
          <w:rtl/>
        </w:rPr>
        <w:t>בהתאם לצורך לקיים יחס הולם בין חומרת מעשי העבירות בנסיבותיהם ומידת אשמו של הנאשם ובין העונש שיוטל; ובהתחשב בערכים החברתיים שנפגעו מביצוע העבירות; במידת הפגיעה בהם; במדיניות הענישה הנהוגה; ובנסיבות הקשורות בביצוע העבירות; אני קובע כי מתחם העונש ההולם לעבירה שביצע הנאשם הוא בין 24 ל- 48 חודשי מאסר בפועל.</w:t>
      </w:r>
    </w:p>
    <w:p w14:paraId="45D807EA" w14:textId="77777777" w:rsidR="00AE0903" w:rsidRPr="009C10B6" w:rsidRDefault="00AE0903" w:rsidP="00AE0903">
      <w:pPr>
        <w:spacing w:line="360" w:lineRule="auto"/>
        <w:ind w:left="720" w:hanging="720"/>
        <w:jc w:val="both"/>
        <w:rPr>
          <w:rFonts w:ascii="David" w:eastAsia="David" w:hAnsi="David"/>
          <w:sz w:val="28"/>
          <w:rtl/>
        </w:rPr>
      </w:pPr>
    </w:p>
    <w:p w14:paraId="0BB485BC" w14:textId="77777777" w:rsidR="00AE0903" w:rsidRPr="009C10B6" w:rsidRDefault="00AE0903" w:rsidP="00AE0903">
      <w:pPr>
        <w:spacing w:line="360" w:lineRule="auto"/>
        <w:ind w:left="720" w:hanging="720"/>
        <w:jc w:val="both"/>
        <w:rPr>
          <w:rFonts w:ascii="David" w:eastAsia="David" w:hAnsi="David"/>
          <w:sz w:val="28"/>
          <w:rtl/>
        </w:rPr>
      </w:pPr>
      <w:r w:rsidRPr="009C10B6">
        <w:rPr>
          <w:rFonts w:ascii="David" w:eastAsia="David" w:hAnsi="David"/>
          <w:sz w:val="28"/>
          <w:rtl/>
        </w:rPr>
        <w:t>17.</w:t>
      </w:r>
      <w:r w:rsidRPr="009C10B6">
        <w:rPr>
          <w:rFonts w:ascii="David" w:eastAsia="David" w:hAnsi="David"/>
          <w:sz w:val="28"/>
          <w:rtl/>
        </w:rPr>
        <w:tab/>
        <w:t xml:space="preserve">העובדים התאילנדים בישראל הם קהל יעד בולט לשימוש בסם מסוג מתאמפטמין וגם רבים מאלה המייבאים את הסם, נמנים עליהם. האזרחים הזרים העובדים בישראל מגיעים בדרך כלל ממדינות שההכנסה הממוצעת בהן, נמוכה מאוד. הכנסתם בישראל, למרות שהיא עולה על ההכנסה שיכלו להשיג בארצם, איננה גבוהה במיוחד. והרווחים הכספיים שניתן להפיק מעיסוק בייבוא סם והפצתו, גדולים בהרבה מההכנסה שניתן להשיג מעבודה. </w:t>
      </w:r>
    </w:p>
    <w:p w14:paraId="277B3C17" w14:textId="77777777" w:rsidR="00AE0903" w:rsidRPr="009C10B6" w:rsidRDefault="00AE0903" w:rsidP="00AE0903">
      <w:pPr>
        <w:spacing w:line="360" w:lineRule="auto"/>
        <w:ind w:left="720"/>
        <w:jc w:val="both"/>
        <w:rPr>
          <w:rFonts w:ascii="David" w:eastAsia="David" w:hAnsi="David"/>
          <w:sz w:val="28"/>
          <w:rtl/>
        </w:rPr>
      </w:pPr>
      <w:r w:rsidRPr="009C10B6">
        <w:rPr>
          <w:rFonts w:ascii="David" w:eastAsia="David" w:hAnsi="David"/>
          <w:sz w:val="28"/>
          <w:rtl/>
        </w:rPr>
        <w:t>הפיתוי גדול והסיכון להיתפס קטן, והעונשים המוטלים בישראל קלים לאין ערוך מאלה המוטלים בארצותיהם. בנסיבות אלה, יש להטיל עונש שיהיה בו כדי להרתיע, ולהבהיר כי אזרחות זרה אינה מהווה מגן מפני ענישה משמעותית. (ראה ע"פ 226/89זפה נ' מדינ"י, פ"ד מג(2) 543, 544)</w:t>
      </w:r>
    </w:p>
    <w:p w14:paraId="3DBCFA13" w14:textId="77777777" w:rsidR="00AE0903" w:rsidRPr="009C10B6" w:rsidRDefault="00AE0903" w:rsidP="00AE0903">
      <w:pPr>
        <w:spacing w:line="360" w:lineRule="auto"/>
        <w:rPr>
          <w:rFonts w:ascii="David" w:eastAsia="David" w:hAnsi="David"/>
          <w:sz w:val="28"/>
          <w:rtl/>
        </w:rPr>
      </w:pPr>
    </w:p>
    <w:p w14:paraId="15D27BD4" w14:textId="77777777" w:rsidR="00AE0903" w:rsidRPr="009C10B6" w:rsidRDefault="00AE0903" w:rsidP="00AE0903">
      <w:pPr>
        <w:spacing w:line="360" w:lineRule="auto"/>
        <w:ind w:left="720" w:hanging="720"/>
        <w:jc w:val="both"/>
        <w:rPr>
          <w:rFonts w:ascii="David" w:eastAsia="David" w:hAnsi="David"/>
          <w:sz w:val="28"/>
          <w:rtl/>
        </w:rPr>
      </w:pPr>
      <w:r w:rsidRPr="009C10B6">
        <w:rPr>
          <w:rFonts w:ascii="David" w:eastAsia="David" w:hAnsi="David"/>
          <w:sz w:val="28"/>
          <w:rtl/>
        </w:rPr>
        <w:t>18.</w:t>
      </w:r>
      <w:r w:rsidRPr="009C10B6">
        <w:rPr>
          <w:rFonts w:ascii="David" w:eastAsia="David" w:hAnsi="David"/>
          <w:sz w:val="28"/>
          <w:rtl/>
        </w:rPr>
        <w:tab/>
        <w:t xml:space="preserve">לטובת הנאשם אני מביא בחשבון את נסיבותיו האישיות; את העובדה שכאזרח זר, שאיננו דובר עברית ושאין לו קרובי משפחה בישראל, מאסרו כרוך בקשיים מיוחדים הנוספים על  הקשיים הרגילים הכרוכים במאסר; את הפגיעה שתיגרם לנאשם ולמשפחתו ממאסרו; את הודאת הנאשם; את שיתוף הפעולה שלו; את העובדה שזו הסתבכותו הראשונה עם החוק בישראל ושזהו מאסרו הראשון; ואת העובדה שבתום מאסרו הוא ככל הנראה יגורש מישראל. </w:t>
      </w:r>
    </w:p>
    <w:p w14:paraId="46E52E16" w14:textId="77777777" w:rsidR="00AE0903" w:rsidRPr="009C10B6" w:rsidRDefault="00AE0903" w:rsidP="00AE0903">
      <w:pPr>
        <w:spacing w:line="360" w:lineRule="auto"/>
        <w:ind w:left="720" w:hanging="720"/>
        <w:jc w:val="both"/>
        <w:rPr>
          <w:rFonts w:ascii="David" w:eastAsia="David" w:hAnsi="David"/>
          <w:sz w:val="28"/>
          <w:rtl/>
        </w:rPr>
      </w:pPr>
    </w:p>
    <w:p w14:paraId="6125D310" w14:textId="77777777" w:rsidR="00AE0903" w:rsidRDefault="00AE0903" w:rsidP="00AE0903">
      <w:pPr>
        <w:spacing w:line="360" w:lineRule="auto"/>
        <w:ind w:left="720" w:hanging="720"/>
        <w:jc w:val="both"/>
        <w:rPr>
          <w:rFonts w:ascii="David" w:eastAsia="David" w:hAnsi="David"/>
          <w:sz w:val="28"/>
          <w:rtl/>
        </w:rPr>
      </w:pPr>
      <w:r w:rsidRPr="009C10B6">
        <w:rPr>
          <w:rFonts w:ascii="David" w:eastAsia="David" w:hAnsi="David"/>
          <w:sz w:val="28"/>
          <w:rtl/>
        </w:rPr>
        <w:t>19.</w:t>
      </w:r>
      <w:r w:rsidRPr="009C10B6">
        <w:rPr>
          <w:rFonts w:ascii="David" w:eastAsia="David" w:hAnsi="David"/>
          <w:sz w:val="28"/>
          <w:rtl/>
        </w:rPr>
        <w:tab/>
      </w:r>
      <w:r w:rsidRPr="009C10B6">
        <w:rPr>
          <w:rFonts w:ascii="David" w:eastAsia="David" w:hAnsi="David" w:hint="cs"/>
          <w:sz w:val="28"/>
          <w:rtl/>
        </w:rPr>
        <w:t>באופן כללי, עבירות הסמים החמורות מבוצעות לשם השגת רווח כלכלי ובעבירות שמטרתן השגת רווח כלכלי יש טעם לחייב את מי שהורשע בהן בתשלום קנס</w:t>
      </w:r>
      <w:r w:rsidRPr="009C10B6">
        <w:rPr>
          <w:rFonts w:ascii="Arimo" w:eastAsia="David" w:hAnsi="Arimo" w:hint="cs"/>
          <w:color w:val="444444"/>
          <w:sz w:val="21"/>
          <w:szCs w:val="21"/>
          <w:rtl/>
        </w:rPr>
        <w:t xml:space="preserve"> </w:t>
      </w:r>
      <w:r w:rsidRPr="009C10B6">
        <w:rPr>
          <w:rFonts w:ascii="David" w:eastAsia="David" w:hAnsi="David" w:hint="cs"/>
          <w:sz w:val="28"/>
          <w:rtl/>
        </w:rPr>
        <w:t>המוציא את שכרו של העבריין בהפסדו ותורם להרתעה. והלכה למעשה בתי המשפט מטילים קנסות על נאשמים המורשעים בעבירת יבוא סם בנסיבות הדומות לענייננו.</w:t>
      </w:r>
      <w:r w:rsidRPr="009C10B6">
        <w:rPr>
          <w:rFonts w:ascii="David" w:eastAsia="David" w:hAnsi="David"/>
          <w:sz w:val="28"/>
          <w:rtl/>
        </w:rPr>
        <w:t xml:space="preserve"> עיון בפסיקה מעלה כי במקרים דומים הוטלו קנסות הנעים בטווח שבין 2,000 ל- 10,000 ₪. </w:t>
      </w:r>
    </w:p>
    <w:p w14:paraId="031EFB30" w14:textId="77777777" w:rsidR="00AE0903" w:rsidRDefault="00AE0903" w:rsidP="00AE0903">
      <w:pPr>
        <w:spacing w:line="360" w:lineRule="auto"/>
        <w:ind w:left="720" w:hanging="720"/>
        <w:jc w:val="both"/>
        <w:rPr>
          <w:rFonts w:ascii="David" w:eastAsia="David" w:hAnsi="David"/>
          <w:sz w:val="28"/>
          <w:rtl/>
        </w:rPr>
      </w:pPr>
    </w:p>
    <w:p w14:paraId="569702E7" w14:textId="77777777" w:rsidR="00AE0903" w:rsidRDefault="00AE0903" w:rsidP="00AE0903">
      <w:pPr>
        <w:spacing w:line="360" w:lineRule="auto"/>
        <w:ind w:left="720" w:hanging="720"/>
        <w:jc w:val="both"/>
        <w:rPr>
          <w:rFonts w:ascii="David" w:eastAsia="David" w:hAnsi="David"/>
          <w:sz w:val="28"/>
          <w:rtl/>
        </w:rPr>
      </w:pPr>
    </w:p>
    <w:p w14:paraId="7A574709" w14:textId="77777777" w:rsidR="00AE0903" w:rsidRPr="009C10B6" w:rsidRDefault="00AE0903" w:rsidP="00AE0903">
      <w:pPr>
        <w:spacing w:line="360" w:lineRule="auto"/>
        <w:ind w:left="720" w:hanging="720"/>
        <w:jc w:val="both"/>
        <w:rPr>
          <w:rFonts w:ascii="David" w:eastAsia="David" w:hAnsi="David"/>
          <w:sz w:val="28"/>
          <w:rtl/>
        </w:rPr>
      </w:pPr>
    </w:p>
    <w:p w14:paraId="014D236D" w14:textId="77777777" w:rsidR="00AE0903" w:rsidRPr="009C10B6" w:rsidRDefault="00AE0903" w:rsidP="00AE0903">
      <w:pPr>
        <w:spacing w:line="360" w:lineRule="auto"/>
        <w:ind w:left="720" w:hanging="720"/>
        <w:rPr>
          <w:rFonts w:ascii="David" w:eastAsia="David" w:hAnsi="David"/>
          <w:rtl/>
        </w:rPr>
      </w:pPr>
    </w:p>
    <w:p w14:paraId="0754C985" w14:textId="77777777" w:rsidR="00AE0903" w:rsidRPr="009C10B6" w:rsidRDefault="00AE0903" w:rsidP="00AE0903">
      <w:pPr>
        <w:spacing w:line="360" w:lineRule="auto"/>
        <w:ind w:left="720" w:hanging="720"/>
        <w:rPr>
          <w:rFonts w:ascii="David" w:eastAsia="David" w:hAnsi="David"/>
          <w:rtl/>
        </w:rPr>
      </w:pPr>
      <w:r w:rsidRPr="009C10B6">
        <w:rPr>
          <w:rFonts w:ascii="David" w:eastAsia="David" w:hAnsi="David"/>
          <w:sz w:val="28"/>
          <w:rtl/>
        </w:rPr>
        <w:t>20.</w:t>
      </w:r>
      <w:r w:rsidRPr="009C10B6">
        <w:rPr>
          <w:rFonts w:ascii="David" w:eastAsia="David" w:hAnsi="David"/>
          <w:sz w:val="28"/>
          <w:rtl/>
        </w:rPr>
        <w:tab/>
        <w:t>בהתחשב בכל האמור, אני דן את הנאשם לעונשים הבאים:-</w:t>
      </w:r>
    </w:p>
    <w:p w14:paraId="5AC39A47" w14:textId="77777777" w:rsidR="00AE0903" w:rsidRPr="009C10B6" w:rsidRDefault="00AE0903" w:rsidP="00AE0903">
      <w:pPr>
        <w:spacing w:line="360" w:lineRule="auto"/>
        <w:ind w:left="720" w:hanging="720"/>
        <w:rPr>
          <w:rFonts w:ascii="David" w:eastAsia="David" w:hAnsi="David"/>
          <w:sz w:val="28"/>
          <w:rtl/>
        </w:rPr>
      </w:pPr>
    </w:p>
    <w:p w14:paraId="1D028C85" w14:textId="77777777" w:rsidR="00AE0903" w:rsidRPr="009C10B6" w:rsidRDefault="00AE0903" w:rsidP="00AE0903">
      <w:pPr>
        <w:spacing w:line="360" w:lineRule="auto"/>
        <w:ind w:left="720" w:hanging="720"/>
        <w:rPr>
          <w:rFonts w:ascii="David" w:eastAsia="David" w:hAnsi="David"/>
          <w:sz w:val="28"/>
          <w:rtl/>
        </w:rPr>
      </w:pPr>
      <w:r w:rsidRPr="009C10B6">
        <w:rPr>
          <w:rFonts w:ascii="David" w:eastAsia="David" w:hAnsi="David"/>
          <w:sz w:val="28"/>
          <w:rtl/>
        </w:rPr>
        <w:tab/>
        <w:t>א.</w:t>
      </w:r>
      <w:r w:rsidRPr="009C10B6">
        <w:rPr>
          <w:rFonts w:ascii="David" w:eastAsia="David" w:hAnsi="David"/>
          <w:sz w:val="28"/>
          <w:rtl/>
        </w:rPr>
        <w:tab/>
        <w:t>30 חודשי מאסר בפועל, בניכוי ימי מעצרו.</w:t>
      </w:r>
    </w:p>
    <w:p w14:paraId="05D589B6" w14:textId="77777777" w:rsidR="00AE0903" w:rsidRPr="009C10B6" w:rsidRDefault="00AE0903" w:rsidP="00AE0903">
      <w:pPr>
        <w:spacing w:line="360" w:lineRule="auto"/>
        <w:ind w:left="1440" w:hanging="720"/>
        <w:rPr>
          <w:rFonts w:ascii="David" w:eastAsia="David" w:hAnsi="David"/>
          <w:sz w:val="28"/>
          <w:rtl/>
        </w:rPr>
      </w:pPr>
      <w:r w:rsidRPr="009C10B6">
        <w:rPr>
          <w:rFonts w:ascii="David" w:eastAsia="David" w:hAnsi="David"/>
          <w:sz w:val="28"/>
          <w:rtl/>
        </w:rPr>
        <w:t>ב.</w:t>
      </w:r>
      <w:r w:rsidRPr="009C10B6">
        <w:rPr>
          <w:rFonts w:ascii="David" w:eastAsia="David" w:hAnsi="David"/>
          <w:sz w:val="28"/>
          <w:rtl/>
        </w:rPr>
        <w:tab/>
        <w:t>12 חודשי מאסר על תנאי, למשך שלוש שנים מיום שחרורו מהמאסר, שלא יעבור עבירת סמים שהיא פשע.</w:t>
      </w:r>
    </w:p>
    <w:p w14:paraId="6C10B1DA" w14:textId="77777777" w:rsidR="00AE0903" w:rsidRPr="009C10B6" w:rsidRDefault="00AE0903" w:rsidP="00AE0903">
      <w:pPr>
        <w:spacing w:line="360" w:lineRule="auto"/>
        <w:ind w:left="1440" w:hanging="720"/>
        <w:rPr>
          <w:rFonts w:ascii="David" w:eastAsia="David" w:hAnsi="David"/>
          <w:rtl/>
        </w:rPr>
      </w:pPr>
      <w:r w:rsidRPr="009C10B6">
        <w:rPr>
          <w:rFonts w:ascii="David" w:eastAsia="David" w:hAnsi="David"/>
          <w:sz w:val="28"/>
          <w:rtl/>
        </w:rPr>
        <w:t>ג.</w:t>
      </w:r>
      <w:r w:rsidRPr="009C10B6">
        <w:rPr>
          <w:rFonts w:ascii="David" w:eastAsia="David" w:hAnsi="David"/>
          <w:sz w:val="28"/>
          <w:rtl/>
        </w:rPr>
        <w:tab/>
      </w:r>
      <w:r w:rsidRPr="009C10B6">
        <w:rPr>
          <w:rFonts w:ascii="David" w:eastAsia="David" w:hAnsi="David" w:hint="cs"/>
          <w:rtl/>
        </w:rPr>
        <w:t xml:space="preserve">קנס בסך 7,500 שקלים או 30 ימי מאסר תחתיו. </w:t>
      </w:r>
    </w:p>
    <w:p w14:paraId="5783F4E0" w14:textId="77777777" w:rsidR="00AE0903" w:rsidRPr="009C10B6" w:rsidRDefault="00AE0903" w:rsidP="00AE0903">
      <w:pPr>
        <w:spacing w:line="360" w:lineRule="auto"/>
        <w:ind w:left="1440"/>
        <w:rPr>
          <w:rFonts w:ascii="David" w:eastAsia="David" w:hAnsi="David"/>
          <w:rtl/>
        </w:rPr>
      </w:pPr>
      <w:r w:rsidRPr="009C10B6">
        <w:rPr>
          <w:rFonts w:ascii="David" w:eastAsia="David" w:hAnsi="David" w:hint="cs"/>
          <w:rtl/>
        </w:rPr>
        <w:t>הקנס ישולם בתוך 30  יום מהיום.</w:t>
      </w:r>
    </w:p>
    <w:p w14:paraId="7C5618CD" w14:textId="77777777" w:rsidR="00AE0903" w:rsidRPr="009C10B6" w:rsidRDefault="00AE0903" w:rsidP="00AE0903">
      <w:pPr>
        <w:spacing w:line="360" w:lineRule="auto"/>
        <w:ind w:left="1440" w:hanging="720"/>
        <w:rPr>
          <w:rFonts w:ascii="David" w:eastAsia="David" w:hAnsi="David"/>
          <w:rtl/>
        </w:rPr>
      </w:pPr>
    </w:p>
    <w:p w14:paraId="0E02721A" w14:textId="77777777" w:rsidR="00AE0903" w:rsidRPr="009C10B6" w:rsidRDefault="00AE0903" w:rsidP="00AE0903">
      <w:pPr>
        <w:spacing w:line="360" w:lineRule="auto"/>
        <w:ind w:left="720" w:hanging="720"/>
        <w:jc w:val="both"/>
        <w:rPr>
          <w:rFonts w:ascii="David" w:eastAsia="David" w:hAnsi="David"/>
          <w:rtl/>
        </w:rPr>
      </w:pPr>
      <w:r w:rsidRPr="009C10B6">
        <w:rPr>
          <w:rFonts w:ascii="David" w:eastAsia="David" w:hAnsi="David" w:hint="cs"/>
          <w:rtl/>
        </w:rPr>
        <w:t>21.</w:t>
      </w:r>
      <w:r w:rsidRPr="009C10B6">
        <w:rPr>
          <w:rFonts w:ascii="David" w:eastAsia="David" w:hAnsi="David" w:hint="cs"/>
          <w:rtl/>
        </w:rPr>
        <w:tab/>
        <w:t xml:space="preserve">בשולי גזר הדין אני מוצא לנכון להעיר, שבשונה מהסמים הקשים הידועים, כמו ההרואין והקוקאין, שטיבם והשפעתם מוכרים לבית המשפט ולגביהם ישנה אינטואיציה משפטית מבוססת בנוגע לחומרתם, טיבו המדויק של סם המתאמפטמין לוט בערפל מסוים. כידוע, אופי הסם הוא בעל חשיבות לקביעת חומרת מעשה העבירה בנסיבותיו, המשפיעה בסופו של דבר גם על מידת העונש במקרה נתון. ועל כן מן הראוי שיונחו לפני בית המשפט נתונים מבוססים בנושא זה. יוער, שהגם שכמות סם המתאמפטמין שהחזקתה מקימה חזקה שהיא נועדה שלא לצריכה עצמית, דומה לאלה של ההרואין והקוקאין, וכך גם צורות השימוש בסם, עדיין עבירות הסמים המבוצעות בהרואין וקוקאין נענשות בחומרה רבה יותר מאלה המבוצעות בסם המתאמפטמין. אם אכן יש הבדל מהותי בין הסמים, יש הצדקה לשימור הפער העונשי הזה. אולם אם אין לכך הצדקה, יש להחמיר את הענישה בעבירות המבוצעות בסם המתאמפטמין ולהתאימה לענישת העבירות המבוצעות בסמים הקשים האחרים. </w:t>
      </w:r>
    </w:p>
    <w:p w14:paraId="0EE00C37" w14:textId="77777777" w:rsidR="00AE0903" w:rsidRDefault="00AE0903" w:rsidP="00AE0903">
      <w:pPr>
        <w:spacing w:line="360" w:lineRule="auto"/>
        <w:rPr>
          <w:rFonts w:ascii="David" w:eastAsia="David" w:hAnsi="David"/>
          <w:rtl/>
        </w:rPr>
      </w:pPr>
    </w:p>
    <w:p w14:paraId="4441595F" w14:textId="77777777" w:rsidR="00AE0903" w:rsidRDefault="00AE0903" w:rsidP="00AE0903">
      <w:pPr>
        <w:spacing w:line="360" w:lineRule="auto"/>
        <w:rPr>
          <w:rFonts w:ascii="David" w:eastAsia="David" w:hAnsi="David"/>
          <w:sz w:val="28"/>
          <w:rtl/>
        </w:rPr>
      </w:pPr>
      <w:r w:rsidRPr="009C10B6">
        <w:rPr>
          <w:rFonts w:ascii="David" w:eastAsia="David" w:hAnsi="David" w:hint="cs"/>
          <w:rtl/>
        </w:rPr>
        <w:t>זכות ערעור בתוך 45 יום.</w:t>
      </w:r>
      <w:r w:rsidRPr="009C10B6">
        <w:rPr>
          <w:rFonts w:ascii="David" w:eastAsia="David" w:hAnsi="David"/>
          <w:sz w:val="28"/>
          <w:rtl/>
        </w:rPr>
        <w:t xml:space="preserve"> </w:t>
      </w:r>
    </w:p>
    <w:p w14:paraId="1A0E5E9E" w14:textId="77777777" w:rsidR="00AE0903" w:rsidRPr="009C10B6" w:rsidRDefault="00AE0903" w:rsidP="00AE0903">
      <w:pPr>
        <w:spacing w:line="360" w:lineRule="auto"/>
        <w:ind w:left="1440" w:hanging="720"/>
        <w:rPr>
          <w:rFonts w:ascii="David" w:eastAsia="David" w:hAnsi="David"/>
          <w:sz w:val="28"/>
        </w:rPr>
      </w:pPr>
    </w:p>
    <w:p w14:paraId="3450835B" w14:textId="77777777" w:rsidR="00AE0903" w:rsidRPr="009C10B6" w:rsidRDefault="00AE0903" w:rsidP="00AE0903">
      <w:pPr>
        <w:spacing w:line="360" w:lineRule="auto"/>
        <w:jc w:val="both"/>
        <w:rPr>
          <w:rFonts w:ascii="David" w:eastAsia="David" w:hAnsi="David"/>
          <w:sz w:val="6"/>
          <w:szCs w:val="6"/>
          <w:rtl/>
        </w:rPr>
      </w:pPr>
      <w:r w:rsidRPr="009C10B6">
        <w:rPr>
          <w:rFonts w:ascii="David" w:eastAsia="David" w:hAnsi="David" w:hint="cs"/>
          <w:sz w:val="6"/>
          <w:szCs w:val="6"/>
          <w:rtl/>
        </w:rPr>
        <w:t>&lt;#3#&gt;</w:t>
      </w:r>
    </w:p>
    <w:p w14:paraId="0FCBF721" w14:textId="77777777" w:rsidR="00AE0903" w:rsidRPr="009C10B6" w:rsidRDefault="00AE0903" w:rsidP="00AE0903">
      <w:pPr>
        <w:jc w:val="right"/>
        <w:rPr>
          <w:rFonts w:ascii="David" w:eastAsia="David" w:hAnsi="David"/>
        </w:rPr>
      </w:pPr>
    </w:p>
    <w:tbl>
      <w:tblPr>
        <w:tblpPr w:leftFromText="180" w:rightFromText="180" w:vertAnchor="text" w:horzAnchor="page" w:tblpX="574" w:tblpY="23"/>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AE0903" w:rsidRPr="009C10B6" w14:paraId="50CF013B" w14:textId="77777777" w:rsidTr="00AE0903">
        <w:trPr>
          <w:trHeight w:val="316"/>
        </w:trPr>
        <w:tc>
          <w:tcPr>
            <w:tcW w:w="3936" w:type="dxa"/>
            <w:tcBorders>
              <w:top w:val="nil"/>
              <w:left w:val="nil"/>
              <w:bottom w:val="single" w:sz="4" w:space="0" w:color="auto"/>
              <w:right w:val="nil"/>
            </w:tcBorders>
            <w:shd w:val="clear" w:color="auto" w:fill="auto"/>
          </w:tcPr>
          <w:p w14:paraId="1ED461E4" w14:textId="77777777" w:rsidR="00AE0903" w:rsidRPr="00AE0903" w:rsidRDefault="003E620B" w:rsidP="003E620B">
            <w:pPr>
              <w:jc w:val="center"/>
              <w:rPr>
                <w:rFonts w:ascii="David" w:eastAsia="David" w:hAnsi="David"/>
                <w:rtl/>
              </w:rPr>
            </w:pPr>
            <w:bookmarkStart w:id="7" w:name="Nitan"/>
            <w:r>
              <w:rPr>
                <w:rFonts w:ascii="David" w:eastAsia="David" w:hAnsi="David"/>
                <w:b/>
                <w:bCs/>
                <w:rtl/>
              </w:rPr>
              <w:t xml:space="preserve">ניתנה והודעה היום י"א תמוז תשפ"ב, 10/07/2022 במעמד הנוכחים. </w:t>
            </w:r>
            <w:bookmarkEnd w:id="7"/>
          </w:p>
          <w:p w14:paraId="54BC2472" w14:textId="77777777" w:rsidR="00AE0903" w:rsidRPr="00AE0903" w:rsidRDefault="00AE0903" w:rsidP="00AE0903">
            <w:pPr>
              <w:jc w:val="center"/>
              <w:rPr>
                <w:rFonts w:ascii="David" w:eastAsia="David" w:hAnsi="David"/>
              </w:rPr>
            </w:pPr>
          </w:p>
        </w:tc>
      </w:tr>
      <w:tr w:rsidR="00AE0903" w:rsidRPr="009C10B6" w14:paraId="06499E66" w14:textId="77777777" w:rsidTr="00AE0903">
        <w:trPr>
          <w:trHeight w:val="361"/>
        </w:trPr>
        <w:tc>
          <w:tcPr>
            <w:tcW w:w="3936" w:type="dxa"/>
            <w:tcBorders>
              <w:top w:val="single" w:sz="4" w:space="0" w:color="auto"/>
              <w:left w:val="nil"/>
              <w:bottom w:val="nil"/>
              <w:right w:val="nil"/>
            </w:tcBorders>
            <w:shd w:val="clear" w:color="auto" w:fill="auto"/>
          </w:tcPr>
          <w:p w14:paraId="306F09C7" w14:textId="77777777" w:rsidR="00AE0903" w:rsidRPr="00AE0903" w:rsidRDefault="00AE0903" w:rsidP="00AE0903">
            <w:pPr>
              <w:jc w:val="center"/>
              <w:rPr>
                <w:rFonts w:ascii="David" w:eastAsia="David" w:hAnsi="David"/>
                <w:b/>
                <w:bCs/>
                <w:rtl/>
              </w:rPr>
            </w:pPr>
            <w:r w:rsidRPr="00AE0903">
              <w:rPr>
                <w:rFonts w:ascii="David" w:eastAsia="David" w:hAnsi="David" w:hint="cs"/>
                <w:b/>
                <w:bCs/>
                <w:rtl/>
              </w:rPr>
              <w:t>אליהו ביתן, שופט</w:t>
            </w:r>
          </w:p>
          <w:p w14:paraId="2ED6ECDD" w14:textId="77777777" w:rsidR="00AE0903" w:rsidRPr="00AE0903" w:rsidRDefault="00AE0903" w:rsidP="00AE0903">
            <w:pPr>
              <w:jc w:val="center"/>
              <w:rPr>
                <w:rFonts w:ascii="David" w:eastAsia="David" w:hAnsi="David"/>
                <w:b/>
                <w:bCs/>
                <w:rtl/>
              </w:rPr>
            </w:pPr>
            <w:r w:rsidRPr="00AE0903">
              <w:rPr>
                <w:rFonts w:ascii="David" w:eastAsia="David" w:hAnsi="David" w:hint="cs"/>
                <w:b/>
                <w:bCs/>
                <w:rtl/>
              </w:rPr>
              <w:t>סגן הנשיאה</w:t>
            </w:r>
          </w:p>
        </w:tc>
      </w:tr>
    </w:tbl>
    <w:p w14:paraId="514E66CD" w14:textId="77777777" w:rsidR="00AE0903" w:rsidRPr="009C10B6" w:rsidRDefault="00AE0903" w:rsidP="00AE0903">
      <w:pPr>
        <w:jc w:val="center"/>
        <w:rPr>
          <w:rFonts w:ascii="David" w:eastAsia="David" w:hAnsi="David"/>
          <w:rtl/>
        </w:rPr>
      </w:pPr>
    </w:p>
    <w:p w14:paraId="47CAA5B5" w14:textId="77777777" w:rsidR="00AE0903" w:rsidRPr="009C10B6" w:rsidRDefault="00AE0903" w:rsidP="00AE0903">
      <w:pPr>
        <w:rPr>
          <w:rFonts w:ascii="Arial" w:hAnsi="Arial"/>
          <w:rtl/>
        </w:rPr>
      </w:pPr>
    </w:p>
    <w:p w14:paraId="4443E56C" w14:textId="77777777" w:rsidR="00AE0903" w:rsidRPr="003E620B" w:rsidRDefault="003E620B" w:rsidP="00AE0903">
      <w:pPr>
        <w:rPr>
          <w:color w:val="FFFFFF"/>
          <w:sz w:val="2"/>
          <w:szCs w:val="2"/>
          <w:rtl/>
        </w:rPr>
      </w:pPr>
      <w:r w:rsidRPr="003E620B">
        <w:rPr>
          <w:color w:val="FFFFFF"/>
          <w:sz w:val="2"/>
          <w:szCs w:val="2"/>
          <w:rtl/>
        </w:rPr>
        <w:t>5129371</w:t>
      </w:r>
    </w:p>
    <w:p w14:paraId="7BC543D0" w14:textId="77777777" w:rsidR="00AE0903" w:rsidRPr="003E620B" w:rsidRDefault="003E620B" w:rsidP="00AE0903">
      <w:pPr>
        <w:rPr>
          <w:color w:val="FFFFFF"/>
          <w:sz w:val="2"/>
          <w:szCs w:val="2"/>
          <w:rtl/>
        </w:rPr>
      </w:pPr>
      <w:r w:rsidRPr="003E620B">
        <w:rPr>
          <w:color w:val="FFFFFF"/>
          <w:sz w:val="2"/>
          <w:szCs w:val="2"/>
          <w:rtl/>
        </w:rPr>
        <w:t>54678313</w:t>
      </w:r>
    </w:p>
    <w:p w14:paraId="59C76BC3" w14:textId="77777777" w:rsidR="00AE0903" w:rsidRPr="00B05847" w:rsidRDefault="00AE0903" w:rsidP="00AE0903">
      <w:pPr>
        <w:rPr>
          <w:rtl/>
        </w:rPr>
      </w:pPr>
    </w:p>
    <w:p w14:paraId="527DF294" w14:textId="77777777" w:rsidR="00AE0903" w:rsidRPr="00B05847" w:rsidRDefault="00AE0903" w:rsidP="00AE0903">
      <w:pPr>
        <w:rPr>
          <w:rtl/>
        </w:rPr>
      </w:pPr>
    </w:p>
    <w:p w14:paraId="44CFF055" w14:textId="77777777" w:rsidR="00AE0903" w:rsidRPr="00B05847" w:rsidRDefault="00AE0903" w:rsidP="00AE0903">
      <w:pPr>
        <w:rPr>
          <w:rtl/>
        </w:rPr>
      </w:pPr>
    </w:p>
    <w:p w14:paraId="7843BB2D" w14:textId="77777777" w:rsidR="00AE0903" w:rsidRPr="00A8196F" w:rsidRDefault="00A8196F" w:rsidP="00AE0903">
      <w:pPr>
        <w:rPr>
          <w:color w:val="FFFFFF"/>
          <w:sz w:val="2"/>
          <w:szCs w:val="2"/>
          <w:rtl/>
        </w:rPr>
      </w:pPr>
      <w:r w:rsidRPr="00A8196F">
        <w:rPr>
          <w:color w:val="FFFFFF"/>
          <w:sz w:val="2"/>
          <w:szCs w:val="2"/>
          <w:rtl/>
        </w:rPr>
        <w:t>5129371</w:t>
      </w:r>
    </w:p>
    <w:p w14:paraId="5970A66E" w14:textId="77777777" w:rsidR="00AE1230" w:rsidRPr="00A8196F" w:rsidRDefault="00A8196F" w:rsidP="003E620B">
      <w:pPr>
        <w:keepNext/>
        <w:rPr>
          <w:rFonts w:ascii="David" w:hAnsi="David"/>
          <w:color w:val="FFFFFF"/>
          <w:sz w:val="2"/>
          <w:szCs w:val="2"/>
          <w:rtl/>
        </w:rPr>
      </w:pPr>
      <w:r w:rsidRPr="00A8196F">
        <w:rPr>
          <w:rFonts w:ascii="David" w:hAnsi="David"/>
          <w:color w:val="FFFFFF"/>
          <w:sz w:val="2"/>
          <w:szCs w:val="2"/>
          <w:rtl/>
        </w:rPr>
        <w:t>54678313</w:t>
      </w:r>
    </w:p>
    <w:p w14:paraId="51ADB82E" w14:textId="77777777" w:rsidR="003E620B" w:rsidRDefault="003E620B" w:rsidP="003E620B">
      <w:pPr>
        <w:rPr>
          <w:rtl/>
        </w:rPr>
      </w:pPr>
    </w:p>
    <w:p w14:paraId="107F9DF9" w14:textId="77777777" w:rsidR="003E620B" w:rsidRDefault="003E620B" w:rsidP="003E620B">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0ADC0418" w14:textId="77777777" w:rsidR="00A8196F" w:rsidRPr="00A8196F" w:rsidRDefault="00A8196F" w:rsidP="00A8196F">
      <w:pPr>
        <w:keepNext/>
        <w:rPr>
          <w:rFonts w:ascii="David" w:hAnsi="David"/>
          <w:color w:val="000000"/>
          <w:sz w:val="22"/>
          <w:szCs w:val="22"/>
          <w:rtl/>
        </w:rPr>
      </w:pPr>
    </w:p>
    <w:p w14:paraId="3595CDC2" w14:textId="77777777" w:rsidR="00A8196F" w:rsidRPr="00A8196F" w:rsidRDefault="00A8196F" w:rsidP="00A8196F">
      <w:pPr>
        <w:keepNext/>
        <w:rPr>
          <w:rFonts w:ascii="David" w:hAnsi="David"/>
          <w:color w:val="000000"/>
          <w:sz w:val="22"/>
          <w:szCs w:val="22"/>
          <w:rtl/>
        </w:rPr>
      </w:pPr>
      <w:r w:rsidRPr="00A8196F">
        <w:rPr>
          <w:rFonts w:ascii="David" w:hAnsi="David"/>
          <w:color w:val="000000"/>
          <w:sz w:val="22"/>
          <w:szCs w:val="22"/>
          <w:rtl/>
        </w:rPr>
        <w:t>אליהו ביתן 54678313-/</w:t>
      </w:r>
    </w:p>
    <w:p w14:paraId="4F03586D" w14:textId="77777777" w:rsidR="003E620B" w:rsidRPr="003E620B" w:rsidRDefault="00A8196F" w:rsidP="00A8196F">
      <w:pPr>
        <w:rPr>
          <w:color w:val="0000FF"/>
          <w:u w:val="single"/>
        </w:rPr>
      </w:pPr>
      <w:r w:rsidRPr="00A8196F">
        <w:rPr>
          <w:color w:val="000000"/>
          <w:u w:val="single"/>
          <w:rtl/>
        </w:rPr>
        <w:t>נוסח מסמך זה כפוף לשינויי ניסוח ועריכה</w:t>
      </w:r>
    </w:p>
    <w:sectPr w:rsidR="003E620B" w:rsidRPr="003E620B" w:rsidSect="00A8196F">
      <w:headerReference w:type="even" r:id="rId29"/>
      <w:headerReference w:type="default" r:id="rId30"/>
      <w:footerReference w:type="even" r:id="rId31"/>
      <w:footerReference w:type="default" r:id="rId32"/>
      <w:pgSz w:w="11907" w:h="16840" w:code="9"/>
      <w:pgMar w:top="1701" w:right="1701" w:bottom="170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DA2BE" w14:textId="77777777" w:rsidR="00662309" w:rsidRDefault="00662309" w:rsidP="00F942DC">
      <w:r>
        <w:separator/>
      </w:r>
    </w:p>
  </w:endnote>
  <w:endnote w:type="continuationSeparator" w:id="0">
    <w:p w14:paraId="02F542ED" w14:textId="77777777" w:rsidR="00662309" w:rsidRDefault="00662309" w:rsidP="00F94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72878" w14:textId="77777777" w:rsidR="00A8196F" w:rsidRDefault="00A8196F" w:rsidP="00A8196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89839C4" w14:textId="77777777" w:rsidR="00532D2A" w:rsidRPr="00A8196F" w:rsidRDefault="00A8196F" w:rsidP="00A8196F">
    <w:pPr>
      <w:pStyle w:val="a5"/>
      <w:pBdr>
        <w:top w:val="single" w:sz="4" w:space="1" w:color="auto"/>
        <w:between w:val="single" w:sz="4" w:space="0" w:color="auto"/>
      </w:pBdr>
      <w:spacing w:after="60"/>
      <w:jc w:val="center"/>
      <w:rPr>
        <w:rFonts w:ascii="FrankRuehl" w:hAnsi="FrankRuehl" w:cs="FrankRuehl"/>
        <w:color w:val="000000"/>
      </w:rPr>
    </w:pPr>
    <w:r w:rsidRPr="00A8196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4F812" w14:textId="77777777" w:rsidR="00A8196F" w:rsidRDefault="00A8196F" w:rsidP="00A8196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68D3">
      <w:rPr>
        <w:rFonts w:ascii="FrankRuehl" w:hAnsi="FrankRuehl" w:cs="FrankRuehl"/>
        <w:noProof/>
        <w:rtl/>
      </w:rPr>
      <w:t>1</w:t>
    </w:r>
    <w:r>
      <w:rPr>
        <w:rFonts w:ascii="FrankRuehl" w:hAnsi="FrankRuehl" w:cs="FrankRuehl"/>
        <w:rtl/>
      </w:rPr>
      <w:fldChar w:fldCharType="end"/>
    </w:r>
  </w:p>
  <w:p w14:paraId="7EBDA63F" w14:textId="77777777" w:rsidR="00532D2A" w:rsidRPr="00A8196F" w:rsidRDefault="00A8196F" w:rsidP="00A8196F">
    <w:pPr>
      <w:pStyle w:val="a5"/>
      <w:pBdr>
        <w:top w:val="single" w:sz="4" w:space="1" w:color="auto"/>
        <w:between w:val="single" w:sz="4" w:space="0" w:color="auto"/>
      </w:pBdr>
      <w:spacing w:after="60"/>
      <w:jc w:val="center"/>
      <w:rPr>
        <w:rFonts w:ascii="FrankRuehl" w:hAnsi="FrankRuehl" w:cs="FrankRuehl"/>
        <w:color w:val="000000"/>
      </w:rPr>
    </w:pPr>
    <w:r w:rsidRPr="00A8196F">
      <w:rPr>
        <w:rFonts w:ascii="FrankRuehl" w:hAnsi="FrankRuehl" w:cs="FrankRuehl"/>
        <w:color w:val="000000"/>
      </w:rPr>
      <w:pict w14:anchorId="52B6E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BC146" w14:textId="77777777" w:rsidR="00662309" w:rsidRDefault="00662309" w:rsidP="00F942DC">
      <w:r>
        <w:separator/>
      </w:r>
    </w:p>
  </w:footnote>
  <w:footnote w:type="continuationSeparator" w:id="0">
    <w:p w14:paraId="766CE95B" w14:textId="77777777" w:rsidR="00662309" w:rsidRDefault="00662309" w:rsidP="00F94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D9DBE" w14:textId="77777777" w:rsidR="003E620B" w:rsidRPr="00A8196F" w:rsidRDefault="00A8196F" w:rsidP="00A8196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65963-10-21</w:t>
    </w:r>
    <w:r>
      <w:rPr>
        <w:rFonts w:ascii="David" w:hAnsi="David"/>
        <w:color w:val="000000"/>
        <w:sz w:val="22"/>
        <w:szCs w:val="22"/>
        <w:rtl/>
      </w:rPr>
      <w:tab/>
      <w:t xml:space="preserve"> מדינת ישראל נ' </w:t>
    </w:r>
    <w:r>
      <w:rPr>
        <w:rFonts w:ascii="David" w:hAnsi="David"/>
        <w:color w:val="000000"/>
        <w:sz w:val="22"/>
        <w:szCs w:val="22"/>
      </w:rPr>
      <w:t>SEA LEE MONTREE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02EAA" w14:textId="77777777" w:rsidR="003E620B" w:rsidRPr="00A8196F" w:rsidRDefault="00A8196F" w:rsidP="00A8196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65963-10-21</w:t>
    </w:r>
    <w:r>
      <w:rPr>
        <w:rFonts w:ascii="David" w:hAnsi="David"/>
        <w:color w:val="000000"/>
        <w:sz w:val="22"/>
        <w:szCs w:val="22"/>
        <w:rtl/>
      </w:rPr>
      <w:tab/>
      <w:t xml:space="preserve"> מדינת ישראל נ' </w:t>
    </w:r>
    <w:r>
      <w:rPr>
        <w:rFonts w:ascii="David" w:hAnsi="David"/>
        <w:color w:val="000000"/>
        <w:sz w:val="22"/>
        <w:szCs w:val="22"/>
      </w:rPr>
      <w:t>SEA LEE MONTREE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0903"/>
    <w:rsid w:val="0014738E"/>
    <w:rsid w:val="001B5A3B"/>
    <w:rsid w:val="002A5D82"/>
    <w:rsid w:val="00330677"/>
    <w:rsid w:val="003E620B"/>
    <w:rsid w:val="00532D2A"/>
    <w:rsid w:val="00662309"/>
    <w:rsid w:val="008937D0"/>
    <w:rsid w:val="008F47A6"/>
    <w:rsid w:val="00A26BA0"/>
    <w:rsid w:val="00A8196F"/>
    <w:rsid w:val="00AE0903"/>
    <w:rsid w:val="00AE1230"/>
    <w:rsid w:val="00C968D3"/>
    <w:rsid w:val="00F942DC"/>
    <w:rsid w:val="00FA7C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DB37AB"/>
  <w15:chartTrackingRefBased/>
  <w15:docId w15:val="{B5774AFB-5603-47BA-91C1-990462D83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090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E0903"/>
    <w:pPr>
      <w:tabs>
        <w:tab w:val="center" w:pos="4153"/>
        <w:tab w:val="right" w:pos="8306"/>
      </w:tabs>
    </w:pPr>
  </w:style>
  <w:style w:type="character" w:customStyle="1" w:styleId="a4">
    <w:name w:val="כותרת עליונה תו"/>
    <w:link w:val="a3"/>
    <w:rsid w:val="00AE0903"/>
    <w:rPr>
      <w:rFonts w:ascii="Times New Roman" w:eastAsia="Times New Roman" w:hAnsi="Times New Roman" w:cs="David"/>
      <w:sz w:val="24"/>
      <w:szCs w:val="24"/>
    </w:rPr>
  </w:style>
  <w:style w:type="paragraph" w:styleId="a5">
    <w:name w:val="footer"/>
    <w:basedOn w:val="a"/>
    <w:link w:val="a6"/>
    <w:rsid w:val="00AE0903"/>
    <w:pPr>
      <w:tabs>
        <w:tab w:val="center" w:pos="4153"/>
        <w:tab w:val="right" w:pos="8306"/>
      </w:tabs>
    </w:pPr>
  </w:style>
  <w:style w:type="character" w:customStyle="1" w:styleId="a6">
    <w:name w:val="כותרת תחתונה תו"/>
    <w:link w:val="a5"/>
    <w:rsid w:val="00AE0903"/>
    <w:rPr>
      <w:rFonts w:ascii="Times New Roman" w:eastAsia="Times New Roman" w:hAnsi="Times New Roman" w:cs="David"/>
      <w:sz w:val="24"/>
      <w:szCs w:val="24"/>
    </w:rPr>
  </w:style>
  <w:style w:type="table" w:styleId="a7">
    <w:name w:val="Table Grid"/>
    <w:basedOn w:val="a1"/>
    <w:rsid w:val="00AE090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E0903"/>
  </w:style>
  <w:style w:type="table" w:customStyle="1" w:styleId="1">
    <w:name w:val="רשת טבלה1"/>
    <w:basedOn w:val="a1"/>
    <w:next w:val="a7"/>
    <w:rsid w:val="00AE0903"/>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62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25" TargetMode="External"/><Relationship Id="rId26" Type="http://schemas.openxmlformats.org/officeDocument/2006/relationships/hyperlink" Target="http://www.nevo.co.il/case/26109773" TargetMode="External"/><Relationship Id="rId3" Type="http://schemas.openxmlformats.org/officeDocument/2006/relationships/webSettings" Target="webSettings.xml"/><Relationship Id="rId21" Type="http://schemas.openxmlformats.org/officeDocument/2006/relationships/hyperlink" Target="http://www.nevo.co.il/case/27365570" TargetMode="External"/><Relationship Id="rId34" Type="http://schemas.openxmlformats.org/officeDocument/2006/relationships/theme" Target="theme/theme1.xml"/><Relationship Id="rId7" Type="http://schemas.openxmlformats.org/officeDocument/2006/relationships/hyperlink" Target="http://www.nevo.co.il/law/4216/7.a" TargetMode="External"/><Relationship Id="rId12" Type="http://schemas.openxmlformats.org/officeDocument/2006/relationships/hyperlink" Target="http://www.nevo.co.il/law/70301/25"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6906034"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4216/7.a" TargetMode="External"/><Relationship Id="rId20" Type="http://schemas.openxmlformats.org/officeDocument/2006/relationships/hyperlink" Target="http://www.nevo.co.il/case/28092391"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6728182"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7742715"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70301"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6246488" TargetMode="External"/><Relationship Id="rId27" Type="http://schemas.openxmlformats.org/officeDocument/2006/relationships/hyperlink" Target="http://www.nevo.co.il/case/22776052" TargetMode="External"/><Relationship Id="rId30" Type="http://schemas.openxmlformats.org/officeDocument/2006/relationships/header" Target="header2.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2058</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12324</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3539057</vt:i4>
      </vt:variant>
      <vt:variant>
        <vt:i4>63</vt:i4>
      </vt:variant>
      <vt:variant>
        <vt:i4>0</vt:i4>
      </vt:variant>
      <vt:variant>
        <vt:i4>5</vt:i4>
      </vt:variant>
      <vt:variant>
        <vt:lpwstr>http://www.nevo.co.il/case/22776052</vt:lpwstr>
      </vt:variant>
      <vt:variant>
        <vt:lpwstr/>
      </vt:variant>
      <vt:variant>
        <vt:i4>3997813</vt:i4>
      </vt:variant>
      <vt:variant>
        <vt:i4>60</vt:i4>
      </vt:variant>
      <vt:variant>
        <vt:i4>0</vt:i4>
      </vt:variant>
      <vt:variant>
        <vt:i4>5</vt:i4>
      </vt:variant>
      <vt:variant>
        <vt:lpwstr>http://www.nevo.co.il/case/26109773</vt:lpwstr>
      </vt:variant>
      <vt:variant>
        <vt:lpwstr/>
      </vt:variant>
      <vt:variant>
        <vt:i4>4063346</vt:i4>
      </vt:variant>
      <vt:variant>
        <vt:i4>57</vt:i4>
      </vt:variant>
      <vt:variant>
        <vt:i4>0</vt:i4>
      </vt:variant>
      <vt:variant>
        <vt:i4>5</vt:i4>
      </vt:variant>
      <vt:variant>
        <vt:lpwstr>http://www.nevo.co.il/case/26906034</vt:lpwstr>
      </vt:variant>
      <vt:variant>
        <vt:lpwstr/>
      </vt:variant>
      <vt:variant>
        <vt:i4>3473521</vt:i4>
      </vt:variant>
      <vt:variant>
        <vt:i4>54</vt:i4>
      </vt:variant>
      <vt:variant>
        <vt:i4>0</vt:i4>
      </vt:variant>
      <vt:variant>
        <vt:i4>5</vt:i4>
      </vt:variant>
      <vt:variant>
        <vt:lpwstr>http://www.nevo.co.il/case/26728182</vt:lpwstr>
      </vt:variant>
      <vt:variant>
        <vt:lpwstr/>
      </vt:variant>
      <vt:variant>
        <vt:i4>3539056</vt:i4>
      </vt:variant>
      <vt:variant>
        <vt:i4>51</vt:i4>
      </vt:variant>
      <vt:variant>
        <vt:i4>0</vt:i4>
      </vt:variant>
      <vt:variant>
        <vt:i4>5</vt:i4>
      </vt:variant>
      <vt:variant>
        <vt:lpwstr>http://www.nevo.co.il/case/27742715</vt:lpwstr>
      </vt:variant>
      <vt:variant>
        <vt:lpwstr/>
      </vt:variant>
      <vt:variant>
        <vt:i4>4063346</vt:i4>
      </vt:variant>
      <vt:variant>
        <vt:i4>48</vt:i4>
      </vt:variant>
      <vt:variant>
        <vt:i4>0</vt:i4>
      </vt:variant>
      <vt:variant>
        <vt:i4>5</vt:i4>
      </vt:variant>
      <vt:variant>
        <vt:lpwstr>http://www.nevo.co.il/case/26246488</vt:lpwstr>
      </vt:variant>
      <vt:variant>
        <vt:lpwstr/>
      </vt:variant>
      <vt:variant>
        <vt:i4>3342448</vt:i4>
      </vt:variant>
      <vt:variant>
        <vt:i4>45</vt:i4>
      </vt:variant>
      <vt:variant>
        <vt:i4>0</vt:i4>
      </vt:variant>
      <vt:variant>
        <vt:i4>5</vt:i4>
      </vt:variant>
      <vt:variant>
        <vt:lpwstr>http://www.nevo.co.il/case/27365570</vt:lpwstr>
      </vt:variant>
      <vt:variant>
        <vt:lpwstr/>
      </vt:variant>
      <vt:variant>
        <vt:i4>3735670</vt:i4>
      </vt:variant>
      <vt:variant>
        <vt:i4>42</vt:i4>
      </vt:variant>
      <vt:variant>
        <vt:i4>0</vt:i4>
      </vt:variant>
      <vt:variant>
        <vt:i4>5</vt:i4>
      </vt:variant>
      <vt:variant>
        <vt:lpwstr>http://www.nevo.co.il/case/28092391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2025-04-22T21:15:00Z</dcterms:created>
  <dcterms:modified xsi:type="dcterms:W3CDTF">2025-04-22T21:15:00Z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65963</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SEA LEE MONTREE</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20220710</vt:lpwstr>
  </property>
  <property fmtid="{D5CDD505-2E9C-101B-9397-08002B2CF9AE}" pid="13" name="TYPE_N_DATE">
    <vt:lpwstr>39020220710</vt:lpwstr>
  </property>
  <property fmtid="{D5CDD505-2E9C-101B-9397-08002B2CF9AE}" pid="14" name="WORDNUMPAGES">
    <vt:lpwstr>6</vt:lpwstr>
  </property>
  <property fmtid="{D5CDD505-2E9C-101B-9397-08002B2CF9AE}" pid="15" name="TYPE_ABS_DATE">
    <vt:lpwstr>390020220710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28092391;27365570;26246488;27742715;26728182;26906034;26109773;22776052</vt:lpwstr>
  </property>
  <property fmtid="{D5CDD505-2E9C-101B-9397-08002B2CF9AE}" pid="36" name="LAWLISTTMP1">
    <vt:lpwstr>4216/013;019a;007.a;007.c</vt:lpwstr>
  </property>
  <property fmtid="{D5CDD505-2E9C-101B-9397-08002B2CF9AE}" pid="37" name="LAWLISTTMP2">
    <vt:lpwstr>70301/025</vt:lpwstr>
  </property>
</Properties>
</file>