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3715"/>
        <w:gridCol w:w="1344"/>
        <w:gridCol w:w="3662"/>
        <w:gridCol w:w="99"/>
      </w:tblGrid>
      <w:tr w:rsidR="001C611F" w:rsidRPr="002620FC" w14:paraId="6335FDE9" w14:textId="77777777" w:rsidTr="002E217F">
        <w:trPr>
          <w:gridAfter w:val="1"/>
          <w:wAfter w:w="99" w:type="dxa"/>
          <w:trHeight w:hRule="exact" w:val="418"/>
          <w:jc w:val="center"/>
        </w:trPr>
        <w:tc>
          <w:tcPr>
            <w:tcW w:w="8721" w:type="dxa"/>
            <w:gridSpan w:val="3"/>
          </w:tcPr>
          <w:p w14:paraId="25A5C2FC" w14:textId="77777777" w:rsidR="001C611F" w:rsidRPr="002620FC" w:rsidRDefault="001C611F" w:rsidP="00503245">
            <w:pPr>
              <w:pStyle w:val="a3"/>
              <w:jc w:val="center"/>
              <w:rPr>
                <w:rFonts w:ascii="Tahoma" w:hAnsi="Tahoma" w:cs="Tahoma"/>
                <w:color w:val="000080"/>
                <w:rtl/>
              </w:rPr>
            </w:pPr>
            <w:bookmarkStart w:id="0" w:name="LastJudge"/>
            <w:r w:rsidRPr="002620FC">
              <w:rPr>
                <w:rFonts w:ascii="Tahoma" w:hAnsi="Tahoma" w:cs="Tahoma"/>
                <w:b/>
                <w:bCs/>
                <w:color w:val="000080"/>
                <w:rtl/>
              </w:rPr>
              <w:t>בית המשפט המחוזי בירושלים</w:t>
            </w:r>
          </w:p>
        </w:tc>
      </w:tr>
      <w:tr w:rsidR="001C611F" w:rsidRPr="002620FC" w14:paraId="7B28320F" w14:textId="77777777" w:rsidTr="002E217F">
        <w:trPr>
          <w:gridAfter w:val="1"/>
          <w:wAfter w:w="99" w:type="dxa"/>
          <w:trHeight w:val="434"/>
          <w:jc w:val="center"/>
        </w:trPr>
        <w:tc>
          <w:tcPr>
            <w:tcW w:w="5059" w:type="dxa"/>
            <w:gridSpan w:val="2"/>
          </w:tcPr>
          <w:p w14:paraId="295AAE9C" w14:textId="77777777" w:rsidR="001C611F" w:rsidRPr="002620FC" w:rsidRDefault="001C611F" w:rsidP="00503245">
            <w:pPr>
              <w:rPr>
                <w:rFonts w:cs="FrankRuehl"/>
                <w:sz w:val="28"/>
                <w:szCs w:val="28"/>
                <w:rtl/>
              </w:rPr>
            </w:pPr>
            <w:r w:rsidRPr="002620FC">
              <w:rPr>
                <w:rFonts w:cs="FrankRuehl"/>
                <w:sz w:val="28"/>
                <w:szCs w:val="28"/>
                <w:rtl/>
              </w:rPr>
              <w:t>ת"פ</w:t>
            </w:r>
            <w:r w:rsidRPr="002620FC">
              <w:rPr>
                <w:rFonts w:cs="FrankRuehl" w:hint="cs"/>
                <w:sz w:val="28"/>
                <w:szCs w:val="28"/>
                <w:rtl/>
              </w:rPr>
              <w:t xml:space="preserve"> </w:t>
            </w:r>
            <w:r w:rsidRPr="002620FC">
              <w:rPr>
                <w:rFonts w:cs="FrankRuehl"/>
                <w:sz w:val="28"/>
                <w:szCs w:val="28"/>
                <w:rtl/>
              </w:rPr>
              <w:t>1136-11-21</w:t>
            </w:r>
            <w:r w:rsidRPr="002620FC">
              <w:rPr>
                <w:rFonts w:cs="FrankRuehl" w:hint="cs"/>
                <w:sz w:val="28"/>
                <w:szCs w:val="28"/>
                <w:rtl/>
              </w:rPr>
              <w:t xml:space="preserve"> </w:t>
            </w:r>
            <w:r w:rsidRPr="002620FC">
              <w:rPr>
                <w:rFonts w:cs="FrankRuehl"/>
                <w:sz w:val="28"/>
                <w:szCs w:val="28"/>
                <w:rtl/>
              </w:rPr>
              <w:t>מדינת ישראל נ' שאריף(עציר)</w:t>
            </w:r>
          </w:p>
          <w:p w14:paraId="16E95DC8" w14:textId="77777777" w:rsidR="001C611F" w:rsidRPr="002620FC" w:rsidRDefault="001C611F" w:rsidP="00503245">
            <w:pPr>
              <w:pStyle w:val="a3"/>
              <w:rPr>
                <w:rFonts w:cs="FrankRuehl"/>
                <w:sz w:val="26"/>
                <w:szCs w:val="26"/>
                <w:rtl/>
              </w:rPr>
            </w:pPr>
          </w:p>
        </w:tc>
        <w:tc>
          <w:tcPr>
            <w:tcW w:w="3662" w:type="dxa"/>
          </w:tcPr>
          <w:p w14:paraId="11BF8399" w14:textId="77777777" w:rsidR="001C611F" w:rsidRPr="002620FC" w:rsidRDefault="001C611F" w:rsidP="00503245">
            <w:pPr>
              <w:pStyle w:val="a3"/>
              <w:jc w:val="right"/>
              <w:rPr>
                <w:rFonts w:cs="FrankRuehl"/>
                <w:sz w:val="28"/>
                <w:szCs w:val="28"/>
                <w:rtl/>
              </w:rPr>
            </w:pPr>
          </w:p>
        </w:tc>
      </w:tr>
      <w:tr w:rsidR="001C611F" w:rsidRPr="002620FC" w14:paraId="61FB8C8C" w14:textId="77777777" w:rsidTr="002E21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4"/>
            <w:tcBorders>
              <w:top w:val="nil"/>
              <w:left w:val="nil"/>
              <w:bottom w:val="nil"/>
              <w:right w:val="nil"/>
            </w:tcBorders>
            <w:shd w:val="clear" w:color="auto" w:fill="auto"/>
          </w:tcPr>
          <w:p w14:paraId="50157377" w14:textId="77777777" w:rsidR="001C611F" w:rsidRPr="002620FC" w:rsidRDefault="001C611F" w:rsidP="001C611F">
            <w:pPr>
              <w:jc w:val="right"/>
              <w:rPr>
                <w:rFonts w:ascii="David" w:hAnsi="David"/>
                <w:b/>
                <w:bCs/>
                <w:sz w:val="26"/>
                <w:szCs w:val="26"/>
                <w:rtl/>
              </w:rPr>
            </w:pPr>
            <w:r w:rsidRPr="002620FC">
              <w:rPr>
                <w:rFonts w:hint="cs"/>
                <w:rtl/>
              </w:rPr>
              <w:t xml:space="preserve"> </w:t>
            </w:r>
            <w:r w:rsidRPr="002620FC">
              <w:rPr>
                <w:rFonts w:ascii="David" w:hAnsi="David" w:hint="cs"/>
                <w:b/>
                <w:bCs/>
                <w:sz w:val="26"/>
                <w:szCs w:val="26"/>
                <w:rtl/>
              </w:rPr>
              <w:t>20.7.2022</w:t>
            </w:r>
          </w:p>
        </w:tc>
      </w:tr>
      <w:tr w:rsidR="001C611F" w:rsidRPr="002620FC" w14:paraId="0ADD5418" w14:textId="77777777" w:rsidTr="002E21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4"/>
            <w:tcBorders>
              <w:top w:val="nil"/>
              <w:left w:val="nil"/>
              <w:bottom w:val="nil"/>
              <w:right w:val="nil"/>
            </w:tcBorders>
            <w:shd w:val="clear" w:color="auto" w:fill="auto"/>
          </w:tcPr>
          <w:p w14:paraId="0A4BBB6B" w14:textId="77777777" w:rsidR="001C611F" w:rsidRPr="002620FC" w:rsidRDefault="001C611F" w:rsidP="001C611F">
            <w:pPr>
              <w:jc w:val="both"/>
              <w:rPr>
                <w:rFonts w:ascii="David" w:hAnsi="David"/>
                <w:b/>
                <w:bCs/>
                <w:sz w:val="26"/>
                <w:szCs w:val="26"/>
                <w:rtl/>
              </w:rPr>
            </w:pPr>
            <w:r w:rsidRPr="002620FC">
              <w:rPr>
                <w:rFonts w:ascii="David" w:hAnsi="David" w:hint="cs"/>
                <w:b/>
                <w:bCs/>
                <w:sz w:val="26"/>
                <w:szCs w:val="26"/>
                <w:rtl/>
              </w:rPr>
              <w:t>ל</w:t>
            </w:r>
            <w:r w:rsidRPr="002620FC">
              <w:rPr>
                <w:rFonts w:ascii="David" w:hAnsi="David"/>
                <w:b/>
                <w:bCs/>
                <w:sz w:val="26"/>
                <w:szCs w:val="26"/>
                <w:rtl/>
              </w:rPr>
              <w:t>פני כבוד השופטת תמר בר-אשר</w:t>
            </w:r>
          </w:p>
          <w:p w14:paraId="1661A235" w14:textId="77777777" w:rsidR="001C611F" w:rsidRPr="002620FC" w:rsidRDefault="001C611F" w:rsidP="00503245">
            <w:pPr>
              <w:rPr>
                <w:rFonts w:ascii="David" w:hAnsi="David"/>
                <w:b/>
                <w:bCs/>
                <w:sz w:val="26"/>
                <w:szCs w:val="26"/>
                <w:rtl/>
              </w:rPr>
            </w:pPr>
          </w:p>
          <w:p w14:paraId="3A9896C8" w14:textId="77777777" w:rsidR="001C611F" w:rsidRPr="002620FC" w:rsidRDefault="001C611F" w:rsidP="001C611F">
            <w:pPr>
              <w:jc w:val="both"/>
              <w:rPr>
                <w:rFonts w:ascii="David" w:hAnsi="David"/>
                <w:b/>
                <w:bCs/>
                <w:sz w:val="26"/>
                <w:szCs w:val="26"/>
              </w:rPr>
            </w:pPr>
          </w:p>
        </w:tc>
      </w:tr>
      <w:tr w:rsidR="001C611F" w:rsidRPr="002620FC" w14:paraId="5E5F0FD0" w14:textId="77777777" w:rsidTr="002E21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95"/>
          <w:jc w:val="center"/>
        </w:trPr>
        <w:tc>
          <w:tcPr>
            <w:tcW w:w="3715" w:type="dxa"/>
            <w:tcBorders>
              <w:top w:val="nil"/>
              <w:left w:val="nil"/>
              <w:bottom w:val="nil"/>
              <w:right w:val="nil"/>
            </w:tcBorders>
            <w:shd w:val="clear" w:color="auto" w:fill="auto"/>
          </w:tcPr>
          <w:p w14:paraId="67EFE399" w14:textId="77777777" w:rsidR="001C611F" w:rsidRPr="002620FC" w:rsidRDefault="001C611F" w:rsidP="001C611F">
            <w:pPr>
              <w:suppressLineNumbers/>
              <w:rPr>
                <w:rFonts w:ascii="David" w:hAnsi="David"/>
                <w:b/>
                <w:bCs/>
                <w:sz w:val="26"/>
                <w:szCs w:val="26"/>
              </w:rPr>
            </w:pPr>
            <w:bookmarkStart w:id="1" w:name="FirstAppellant"/>
            <w:r w:rsidRPr="002620FC">
              <w:rPr>
                <w:rFonts w:ascii="Arial" w:hAnsi="Arial" w:hint="cs"/>
                <w:b/>
                <w:bCs/>
                <w:sz w:val="26"/>
                <w:szCs w:val="26"/>
                <w:rtl/>
              </w:rPr>
              <w:t>ה</w:t>
            </w:r>
            <w:r w:rsidRPr="002620FC">
              <w:rPr>
                <w:rFonts w:ascii="Arial" w:hAnsi="Arial"/>
                <w:b/>
                <w:bCs/>
                <w:sz w:val="26"/>
                <w:szCs w:val="26"/>
                <w:rtl/>
              </w:rPr>
              <w:t>מאשימה</w:t>
            </w:r>
          </w:p>
        </w:tc>
        <w:tc>
          <w:tcPr>
            <w:tcW w:w="5105" w:type="dxa"/>
            <w:gridSpan w:val="3"/>
            <w:tcBorders>
              <w:top w:val="nil"/>
              <w:left w:val="nil"/>
              <w:bottom w:val="nil"/>
              <w:right w:val="nil"/>
            </w:tcBorders>
            <w:shd w:val="clear" w:color="auto" w:fill="auto"/>
          </w:tcPr>
          <w:p w14:paraId="78FB5E56" w14:textId="77777777" w:rsidR="001C611F" w:rsidRPr="002620FC" w:rsidRDefault="001C611F" w:rsidP="001C611F">
            <w:pPr>
              <w:suppressLineNumbers/>
              <w:rPr>
                <w:b/>
                <w:bCs/>
              </w:rPr>
            </w:pPr>
            <w:r w:rsidRPr="002620FC">
              <w:rPr>
                <w:rFonts w:ascii="Arial" w:hAnsi="Arial"/>
                <w:b/>
                <w:bCs/>
                <w:sz w:val="26"/>
                <w:szCs w:val="26"/>
                <w:rtl/>
              </w:rPr>
              <w:t>מדינת ישראל</w:t>
            </w:r>
          </w:p>
        </w:tc>
      </w:tr>
      <w:bookmarkEnd w:id="1"/>
      <w:tr w:rsidR="001C611F" w:rsidRPr="002620FC" w14:paraId="336524F3" w14:textId="77777777" w:rsidTr="002E21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4"/>
            <w:tcBorders>
              <w:top w:val="nil"/>
              <w:left w:val="nil"/>
              <w:bottom w:val="nil"/>
              <w:right w:val="nil"/>
            </w:tcBorders>
            <w:shd w:val="clear" w:color="auto" w:fill="auto"/>
          </w:tcPr>
          <w:p w14:paraId="7FEE8117" w14:textId="77777777" w:rsidR="001C611F" w:rsidRPr="002620FC" w:rsidRDefault="001C611F" w:rsidP="001C611F">
            <w:pPr>
              <w:jc w:val="center"/>
              <w:rPr>
                <w:rFonts w:ascii="David" w:hAnsi="David"/>
                <w:b/>
                <w:bCs/>
                <w:sz w:val="26"/>
                <w:szCs w:val="26"/>
                <w:rtl/>
              </w:rPr>
            </w:pPr>
          </w:p>
          <w:p w14:paraId="7BDB4A16" w14:textId="77777777" w:rsidR="001C611F" w:rsidRPr="002620FC" w:rsidRDefault="001C611F" w:rsidP="001C611F">
            <w:pPr>
              <w:jc w:val="center"/>
              <w:rPr>
                <w:rFonts w:ascii="David" w:hAnsi="David"/>
                <w:b/>
                <w:bCs/>
                <w:sz w:val="26"/>
                <w:szCs w:val="26"/>
                <w:rtl/>
              </w:rPr>
            </w:pPr>
            <w:r w:rsidRPr="002620FC">
              <w:rPr>
                <w:rFonts w:ascii="David" w:hAnsi="David"/>
                <w:b/>
                <w:bCs/>
                <w:sz w:val="26"/>
                <w:szCs w:val="26"/>
                <w:rtl/>
              </w:rPr>
              <w:t>נגד</w:t>
            </w:r>
          </w:p>
          <w:p w14:paraId="26B61C37" w14:textId="77777777" w:rsidR="001C611F" w:rsidRPr="002620FC" w:rsidRDefault="001C611F" w:rsidP="001C611F">
            <w:pPr>
              <w:jc w:val="both"/>
              <w:rPr>
                <w:rFonts w:ascii="David" w:hAnsi="David"/>
                <w:b/>
                <w:bCs/>
                <w:sz w:val="26"/>
                <w:szCs w:val="26"/>
              </w:rPr>
            </w:pPr>
          </w:p>
        </w:tc>
      </w:tr>
      <w:tr w:rsidR="001C611F" w:rsidRPr="002620FC" w14:paraId="63688B29" w14:textId="77777777" w:rsidTr="002E21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68"/>
          <w:jc w:val="center"/>
        </w:trPr>
        <w:tc>
          <w:tcPr>
            <w:tcW w:w="3715" w:type="dxa"/>
            <w:tcBorders>
              <w:top w:val="nil"/>
              <w:left w:val="nil"/>
              <w:bottom w:val="nil"/>
              <w:right w:val="nil"/>
            </w:tcBorders>
            <w:shd w:val="clear" w:color="auto" w:fill="auto"/>
          </w:tcPr>
          <w:p w14:paraId="4A47563E" w14:textId="77777777" w:rsidR="001C611F" w:rsidRPr="002620FC" w:rsidRDefault="001C611F" w:rsidP="00503245">
            <w:pPr>
              <w:rPr>
                <w:rFonts w:ascii="Arial" w:hAnsi="Arial"/>
                <w:b/>
                <w:bCs/>
                <w:sz w:val="26"/>
                <w:szCs w:val="26"/>
                <w:rtl/>
              </w:rPr>
            </w:pPr>
            <w:r w:rsidRPr="002620FC">
              <w:rPr>
                <w:rFonts w:ascii="Arial" w:hAnsi="Arial"/>
                <w:b/>
                <w:bCs/>
                <w:sz w:val="26"/>
                <w:szCs w:val="26"/>
                <w:rtl/>
              </w:rPr>
              <w:t>הנאשמים</w:t>
            </w:r>
          </w:p>
        </w:tc>
        <w:tc>
          <w:tcPr>
            <w:tcW w:w="5105" w:type="dxa"/>
            <w:gridSpan w:val="3"/>
            <w:tcBorders>
              <w:top w:val="nil"/>
              <w:left w:val="nil"/>
              <w:bottom w:val="nil"/>
              <w:right w:val="nil"/>
            </w:tcBorders>
            <w:shd w:val="clear" w:color="auto" w:fill="auto"/>
          </w:tcPr>
          <w:p w14:paraId="2DC46BCE" w14:textId="77777777" w:rsidR="001C611F" w:rsidRPr="002620FC" w:rsidRDefault="001C611F" w:rsidP="001C611F">
            <w:pPr>
              <w:suppressLineNumbers/>
              <w:rPr>
                <w:rFonts w:ascii="David" w:hAnsi="David"/>
                <w:b/>
                <w:bCs/>
                <w:sz w:val="26"/>
                <w:szCs w:val="26"/>
              </w:rPr>
            </w:pPr>
            <w:r w:rsidRPr="002620FC">
              <w:rPr>
                <w:rFonts w:ascii="Arial" w:hAnsi="Arial"/>
                <w:b/>
                <w:bCs/>
                <w:sz w:val="26"/>
                <w:szCs w:val="26"/>
                <w:rtl/>
              </w:rPr>
              <w:t>אחמד שאריף (עציר)</w:t>
            </w:r>
          </w:p>
        </w:tc>
      </w:tr>
    </w:tbl>
    <w:p w14:paraId="3CAF8F1E" w14:textId="77777777" w:rsidR="001C611F" w:rsidRPr="002620FC" w:rsidRDefault="001C611F" w:rsidP="001C611F">
      <w:pPr>
        <w:rPr>
          <w:sz w:val="20"/>
          <w:szCs w:val="20"/>
          <w:rtl/>
        </w:rPr>
      </w:pPr>
    </w:p>
    <w:p w14:paraId="361248F7" w14:textId="77777777" w:rsidR="001C611F" w:rsidRPr="002620FC" w:rsidRDefault="001C611F" w:rsidP="001C611F">
      <w:pPr>
        <w:rPr>
          <w:sz w:val="20"/>
          <w:szCs w:val="20"/>
          <w:rtl/>
        </w:rPr>
      </w:pPr>
    </w:p>
    <w:p w14:paraId="7686081D" w14:textId="77777777" w:rsidR="001C611F" w:rsidRPr="002620FC" w:rsidRDefault="001C611F" w:rsidP="001C611F">
      <w:pPr>
        <w:rPr>
          <w:rtl/>
        </w:rPr>
      </w:pPr>
      <w:bookmarkStart w:id="2" w:name="FirstLawyer"/>
      <w:r w:rsidRPr="002620FC">
        <w:rPr>
          <w:rFonts w:hint="cs"/>
          <w:rtl/>
        </w:rPr>
        <w:t>בא-כ</w:t>
      </w:r>
      <w:bookmarkEnd w:id="2"/>
      <w:r w:rsidRPr="002620FC">
        <w:rPr>
          <w:rFonts w:hint="cs"/>
          <w:rtl/>
        </w:rPr>
        <w:t>וח המאשימה:</w:t>
      </w:r>
      <w:r w:rsidRPr="002620FC">
        <w:rPr>
          <w:rtl/>
        </w:rPr>
        <w:tab/>
      </w:r>
      <w:r w:rsidRPr="002620FC">
        <w:rPr>
          <w:rFonts w:hint="cs"/>
          <w:rtl/>
        </w:rPr>
        <w:t>עו"ד ישי זיגמן (פרקליטות מחוז ירושלים (פלילי))</w:t>
      </w:r>
    </w:p>
    <w:p w14:paraId="0EF23F51" w14:textId="77777777" w:rsidR="001C611F" w:rsidRPr="002620FC" w:rsidRDefault="001C611F" w:rsidP="001C611F">
      <w:pPr>
        <w:rPr>
          <w:rtl/>
        </w:rPr>
      </w:pPr>
      <w:r w:rsidRPr="002620FC">
        <w:rPr>
          <w:rFonts w:hint="cs"/>
          <w:rtl/>
        </w:rPr>
        <w:t>בא-כוח הנאשם:</w:t>
      </w:r>
      <w:r w:rsidRPr="002620FC">
        <w:rPr>
          <w:rtl/>
        </w:rPr>
        <w:tab/>
      </w:r>
      <w:r w:rsidRPr="002620FC">
        <w:rPr>
          <w:rtl/>
        </w:rPr>
        <w:tab/>
      </w:r>
      <w:r w:rsidRPr="002620FC">
        <w:rPr>
          <w:rFonts w:hint="cs"/>
          <w:rtl/>
        </w:rPr>
        <w:t>עו"ד עבד דראושה</w:t>
      </w:r>
    </w:p>
    <w:p w14:paraId="7E73C6C9" w14:textId="77777777" w:rsidR="001C611F" w:rsidRPr="002620FC" w:rsidRDefault="001C611F" w:rsidP="001C611F">
      <w:pPr>
        <w:rPr>
          <w:sz w:val="20"/>
          <w:szCs w:val="20"/>
          <w:rtl/>
        </w:rPr>
      </w:pPr>
    </w:p>
    <w:p w14:paraId="3A9E0E59" w14:textId="77777777" w:rsidR="002E217F" w:rsidRDefault="002E217F" w:rsidP="001C611F">
      <w:pPr>
        <w:rPr>
          <w:sz w:val="20"/>
          <w:szCs w:val="20"/>
          <w:rtl/>
        </w:rPr>
      </w:pPr>
    </w:p>
    <w:p w14:paraId="5C993396" w14:textId="77777777" w:rsidR="002E217F" w:rsidRPr="002E217F" w:rsidRDefault="002E217F" w:rsidP="002E217F">
      <w:pPr>
        <w:spacing w:after="120" w:line="240" w:lineRule="exact"/>
        <w:ind w:left="283" w:hanging="283"/>
        <w:jc w:val="both"/>
        <w:rPr>
          <w:rFonts w:ascii="FrankRuehl" w:hAnsi="FrankRuehl" w:cs="FrankRuehl"/>
          <w:rtl/>
        </w:rPr>
      </w:pPr>
    </w:p>
    <w:p w14:paraId="7C5CF7BA" w14:textId="77777777" w:rsidR="00C61B12" w:rsidRPr="00C61B12" w:rsidRDefault="00C61B12" w:rsidP="00C61B12">
      <w:pPr>
        <w:spacing w:before="120" w:after="120" w:line="240" w:lineRule="exact"/>
        <w:ind w:left="283" w:hanging="283"/>
        <w:jc w:val="both"/>
        <w:rPr>
          <w:rFonts w:ascii="FrankRuehl" w:hAnsi="FrankRuehl" w:cs="FrankRuehl"/>
          <w:rtl/>
        </w:rPr>
      </w:pPr>
    </w:p>
    <w:p w14:paraId="15988C8A" w14:textId="77777777" w:rsidR="00430EB3" w:rsidRDefault="00430EB3" w:rsidP="00430EB3">
      <w:pPr>
        <w:jc w:val="center"/>
        <w:rPr>
          <w:rFonts w:ascii="David" w:hAnsi="David"/>
          <w:sz w:val="28"/>
          <w:szCs w:val="28"/>
          <w:rtl/>
        </w:rPr>
      </w:pPr>
      <w:bookmarkStart w:id="3" w:name="LawTable"/>
      <w:bookmarkEnd w:id="3"/>
    </w:p>
    <w:p w14:paraId="18544840" w14:textId="77777777" w:rsidR="00430EB3" w:rsidRPr="00430EB3" w:rsidRDefault="00430EB3" w:rsidP="00430EB3">
      <w:pPr>
        <w:spacing w:before="120" w:after="120" w:line="240" w:lineRule="exact"/>
        <w:ind w:left="283" w:hanging="283"/>
        <w:jc w:val="both"/>
        <w:rPr>
          <w:rFonts w:ascii="FrankRuehl" w:hAnsi="FrankRuehl" w:cs="FrankRuehl"/>
          <w:rtl/>
        </w:rPr>
      </w:pPr>
    </w:p>
    <w:p w14:paraId="746488FA" w14:textId="77777777" w:rsidR="00430EB3" w:rsidRPr="00430EB3" w:rsidRDefault="00430EB3" w:rsidP="00430EB3">
      <w:pPr>
        <w:spacing w:before="120" w:after="120" w:line="240" w:lineRule="exact"/>
        <w:ind w:left="283" w:hanging="283"/>
        <w:jc w:val="both"/>
        <w:rPr>
          <w:rFonts w:ascii="FrankRuehl" w:hAnsi="FrankRuehl" w:cs="FrankRuehl"/>
          <w:rtl/>
        </w:rPr>
      </w:pPr>
    </w:p>
    <w:p w14:paraId="4FE7D4D5" w14:textId="77777777" w:rsidR="00430EB3" w:rsidRPr="00430EB3" w:rsidRDefault="00430EB3" w:rsidP="00430EB3">
      <w:pPr>
        <w:spacing w:before="120" w:after="120" w:line="240" w:lineRule="exact"/>
        <w:ind w:left="283" w:hanging="283"/>
        <w:jc w:val="both"/>
        <w:rPr>
          <w:rFonts w:ascii="FrankRuehl" w:hAnsi="FrankRuehl" w:cs="FrankRuehl"/>
          <w:rtl/>
        </w:rPr>
      </w:pPr>
      <w:r w:rsidRPr="00430EB3">
        <w:rPr>
          <w:rFonts w:ascii="FrankRuehl" w:hAnsi="FrankRuehl" w:cs="FrankRuehl"/>
          <w:rtl/>
        </w:rPr>
        <w:t xml:space="preserve">חקיקה שאוזכרה: </w:t>
      </w:r>
    </w:p>
    <w:p w14:paraId="0BDCCC85" w14:textId="77777777" w:rsidR="00430EB3" w:rsidRPr="00430EB3" w:rsidRDefault="00430EB3" w:rsidP="00430EB3">
      <w:pPr>
        <w:spacing w:before="120" w:after="120" w:line="240" w:lineRule="exact"/>
        <w:ind w:left="283" w:hanging="283"/>
        <w:jc w:val="both"/>
        <w:rPr>
          <w:rFonts w:ascii="FrankRuehl" w:hAnsi="FrankRuehl" w:cs="FrankRuehl"/>
          <w:rtl/>
        </w:rPr>
      </w:pPr>
      <w:hyperlink r:id="rId6" w:history="1">
        <w:r w:rsidRPr="00430EB3">
          <w:rPr>
            <w:rFonts w:ascii="FrankRuehl" w:hAnsi="FrankRuehl" w:cs="FrankRuehl"/>
            <w:color w:val="0000FF"/>
            <w:rtl/>
          </w:rPr>
          <w:t>פקודת הסמים המסוכנים [נוסח חדש], תשל"ג-1973</w:t>
        </w:r>
      </w:hyperlink>
      <w:r w:rsidRPr="00430EB3">
        <w:rPr>
          <w:rFonts w:ascii="FrankRuehl" w:hAnsi="FrankRuehl" w:cs="FrankRuehl"/>
          <w:rtl/>
        </w:rPr>
        <w:t xml:space="preserve">: סע'  </w:t>
      </w:r>
      <w:hyperlink r:id="rId7" w:history="1">
        <w:r w:rsidRPr="00430EB3">
          <w:rPr>
            <w:rFonts w:ascii="FrankRuehl" w:hAnsi="FrankRuehl" w:cs="FrankRuehl"/>
            <w:color w:val="0000FF"/>
            <w:rtl/>
          </w:rPr>
          <w:t>1</w:t>
        </w:r>
      </w:hyperlink>
      <w:r w:rsidRPr="00430EB3">
        <w:rPr>
          <w:rFonts w:ascii="FrankRuehl" w:hAnsi="FrankRuehl" w:cs="FrankRuehl"/>
          <w:rtl/>
        </w:rPr>
        <w:t xml:space="preserve">, </w:t>
      </w:r>
      <w:hyperlink r:id="rId8" w:history="1">
        <w:r w:rsidRPr="00430EB3">
          <w:rPr>
            <w:rFonts w:ascii="FrankRuehl" w:hAnsi="FrankRuehl" w:cs="FrankRuehl"/>
            <w:color w:val="0000FF"/>
            <w:rtl/>
          </w:rPr>
          <w:t>7(א)</w:t>
        </w:r>
      </w:hyperlink>
      <w:r w:rsidRPr="00430EB3">
        <w:rPr>
          <w:rFonts w:ascii="FrankRuehl" w:hAnsi="FrankRuehl" w:cs="FrankRuehl"/>
          <w:rtl/>
        </w:rPr>
        <w:t xml:space="preserve">, </w:t>
      </w:r>
      <w:hyperlink r:id="rId9" w:history="1">
        <w:r w:rsidRPr="00430EB3">
          <w:rPr>
            <w:rFonts w:ascii="FrankRuehl" w:hAnsi="FrankRuehl" w:cs="FrankRuehl"/>
            <w:color w:val="0000FF"/>
            <w:rtl/>
          </w:rPr>
          <w:t>7(ג)</w:t>
        </w:r>
      </w:hyperlink>
      <w:r w:rsidRPr="00430EB3">
        <w:rPr>
          <w:rFonts w:ascii="FrankRuehl" w:hAnsi="FrankRuehl" w:cs="FrankRuehl"/>
          <w:rtl/>
        </w:rPr>
        <w:t xml:space="preserve">, </w:t>
      </w:r>
      <w:hyperlink r:id="rId10" w:history="1">
        <w:r w:rsidRPr="00430EB3">
          <w:rPr>
            <w:rFonts w:ascii="FrankRuehl" w:hAnsi="FrankRuehl" w:cs="FrankRuehl"/>
            <w:color w:val="0000FF"/>
            <w:rtl/>
          </w:rPr>
          <w:t>36א(ב)</w:t>
        </w:r>
      </w:hyperlink>
    </w:p>
    <w:p w14:paraId="309EB554" w14:textId="77777777" w:rsidR="00430EB3" w:rsidRPr="00430EB3" w:rsidRDefault="00430EB3" w:rsidP="00430EB3">
      <w:pPr>
        <w:spacing w:before="120" w:after="120" w:line="240" w:lineRule="exact"/>
        <w:ind w:left="283" w:hanging="283"/>
        <w:jc w:val="both"/>
        <w:rPr>
          <w:rFonts w:ascii="FrankRuehl" w:hAnsi="FrankRuehl" w:cs="FrankRuehl"/>
          <w:rtl/>
        </w:rPr>
      </w:pPr>
      <w:hyperlink r:id="rId11" w:history="1">
        <w:r w:rsidRPr="00430EB3">
          <w:rPr>
            <w:rFonts w:ascii="FrankRuehl" w:hAnsi="FrankRuehl" w:cs="FrankRuehl"/>
            <w:color w:val="0000FF"/>
            <w:rtl/>
          </w:rPr>
          <w:t>חוק העונשין, תשל"ז-1977</w:t>
        </w:r>
      </w:hyperlink>
      <w:r w:rsidRPr="00430EB3">
        <w:rPr>
          <w:rFonts w:ascii="FrankRuehl" w:hAnsi="FrankRuehl" w:cs="FrankRuehl"/>
          <w:rtl/>
        </w:rPr>
        <w:t xml:space="preserve">: סע'  </w:t>
      </w:r>
      <w:hyperlink r:id="rId12" w:history="1">
        <w:r w:rsidRPr="00430EB3">
          <w:rPr>
            <w:rFonts w:ascii="FrankRuehl" w:hAnsi="FrankRuehl" w:cs="FrankRuehl"/>
            <w:color w:val="0000FF"/>
            <w:rtl/>
          </w:rPr>
          <w:t>144(א)</w:t>
        </w:r>
      </w:hyperlink>
      <w:r w:rsidRPr="00430EB3">
        <w:rPr>
          <w:rFonts w:ascii="FrankRuehl" w:hAnsi="FrankRuehl" w:cs="FrankRuehl"/>
          <w:rtl/>
        </w:rPr>
        <w:t xml:space="preserve">, </w:t>
      </w:r>
      <w:hyperlink r:id="rId13" w:history="1">
        <w:r w:rsidRPr="00430EB3">
          <w:rPr>
            <w:rFonts w:ascii="FrankRuehl" w:hAnsi="FrankRuehl" w:cs="FrankRuehl"/>
            <w:color w:val="0000FF"/>
            <w:rtl/>
          </w:rPr>
          <w:t>144(ב)</w:t>
        </w:r>
      </w:hyperlink>
    </w:p>
    <w:p w14:paraId="539F1508" w14:textId="77777777" w:rsidR="00430EB3" w:rsidRPr="00430EB3" w:rsidRDefault="00430EB3" w:rsidP="00430EB3">
      <w:pPr>
        <w:jc w:val="center"/>
        <w:rPr>
          <w:rFonts w:ascii="David" w:hAnsi="David"/>
          <w:sz w:val="28"/>
          <w:szCs w:val="28"/>
          <w:rtl/>
        </w:rPr>
      </w:pPr>
      <w:bookmarkStart w:id="4" w:name="LawTable_End"/>
      <w:bookmarkEnd w:id="4"/>
    </w:p>
    <w:p w14:paraId="18F6B29E" w14:textId="77777777" w:rsidR="002E217F" w:rsidRPr="00C61B12" w:rsidRDefault="002E217F" w:rsidP="00C61B12">
      <w:pPr>
        <w:jc w:val="center"/>
        <w:rPr>
          <w:rFonts w:ascii="David" w:hAnsi="David"/>
          <w:sz w:val="28"/>
          <w:szCs w:val="28"/>
          <w:rtl/>
        </w:rPr>
      </w:pPr>
    </w:p>
    <w:p w14:paraId="4B2F21A7" w14:textId="77777777" w:rsidR="002E217F" w:rsidRPr="002620FC" w:rsidRDefault="002E217F" w:rsidP="002620FC">
      <w:pPr>
        <w:jc w:val="center"/>
        <w:rPr>
          <w:rFonts w:ascii="David" w:hAnsi="David"/>
          <w:b/>
          <w:bCs/>
          <w:sz w:val="28"/>
          <w:szCs w:val="28"/>
          <w:u w:val="single"/>
          <w:rtl/>
        </w:rPr>
      </w:pPr>
      <w:bookmarkStart w:id="5" w:name="PsakDin"/>
      <w:r w:rsidRPr="002620FC">
        <w:rPr>
          <w:rFonts w:ascii="David" w:hAnsi="David"/>
          <w:b/>
          <w:bCs/>
          <w:sz w:val="28"/>
          <w:szCs w:val="28"/>
          <w:u w:val="single"/>
          <w:rtl/>
        </w:rPr>
        <w:t>גזר דין</w:t>
      </w:r>
    </w:p>
    <w:p w14:paraId="6A2ADDBB" w14:textId="77777777" w:rsidR="002E217F" w:rsidRPr="001C611F" w:rsidRDefault="002E217F" w:rsidP="001C611F">
      <w:pPr>
        <w:jc w:val="center"/>
        <w:rPr>
          <w:rFonts w:ascii="David" w:hAnsi="David"/>
          <w:u w:val="single"/>
          <w:rtl/>
        </w:rPr>
      </w:pPr>
      <w:bookmarkStart w:id="6" w:name="ABSTRACT_START"/>
      <w:bookmarkEnd w:id="5"/>
      <w:bookmarkEnd w:id="6"/>
    </w:p>
    <w:bookmarkEnd w:id="0"/>
    <w:p w14:paraId="09893584"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על-פי הכרעת הדין מיום 18.5.2022, הנאשם, יליד 20.6.1995 (כבן 27), הורשע בהתאם להודאתו במסגרת הסדר טיעון בעבירת </w:t>
      </w:r>
      <w:r w:rsidRPr="003D6BF6">
        <w:rPr>
          <w:rFonts w:ascii="Arial" w:hAnsi="Arial" w:hint="cs"/>
          <w:b/>
          <w:bCs/>
          <w:rtl/>
        </w:rPr>
        <w:t>החזקת סמים שלא לצריכה עצמית</w:t>
      </w:r>
      <w:r w:rsidRPr="003D6BF6">
        <w:rPr>
          <w:rFonts w:ascii="Arial" w:hAnsi="Arial" w:hint="cs"/>
          <w:rtl/>
        </w:rPr>
        <w:t xml:space="preserve">, לפי </w:t>
      </w:r>
      <w:hyperlink r:id="rId14" w:history="1">
        <w:r w:rsidR="002E217F" w:rsidRPr="002E217F">
          <w:rPr>
            <w:rStyle w:val="Hyperlink"/>
            <w:rFonts w:ascii="Arial" w:hAnsi="Arial" w:hint="eastAsia"/>
            <w:rtl/>
          </w:rPr>
          <w:t>סעיף</w:t>
        </w:r>
        <w:r w:rsidR="002E217F" w:rsidRPr="002E217F">
          <w:rPr>
            <w:rStyle w:val="Hyperlink"/>
            <w:rFonts w:ascii="Arial" w:hAnsi="Arial"/>
            <w:rtl/>
          </w:rPr>
          <w:t xml:space="preserve"> 7(א)</w:t>
        </w:r>
      </w:hyperlink>
      <w:r w:rsidRPr="003D6BF6">
        <w:rPr>
          <w:rFonts w:ascii="Arial" w:hAnsi="Arial" w:hint="cs"/>
          <w:rtl/>
        </w:rPr>
        <w:t xml:space="preserve"> ו-</w:t>
      </w:r>
      <w:hyperlink r:id="rId15" w:history="1">
        <w:r w:rsidR="002E217F" w:rsidRPr="002E217F">
          <w:rPr>
            <w:rStyle w:val="Hyperlink"/>
            <w:rFonts w:ascii="Arial" w:hAnsi="Arial"/>
            <w:rtl/>
          </w:rPr>
          <w:t>7(ג)</w:t>
        </w:r>
      </w:hyperlink>
      <w:r w:rsidRPr="003D6BF6">
        <w:rPr>
          <w:rFonts w:ascii="Arial" w:hAnsi="Arial" w:hint="cs"/>
          <w:rtl/>
        </w:rPr>
        <w:t xml:space="preserve"> ב</w:t>
      </w:r>
      <w:hyperlink r:id="rId16" w:history="1">
        <w:r w:rsidR="002620FC" w:rsidRPr="002620FC">
          <w:rPr>
            <w:rFonts w:ascii="Arial" w:hAnsi="Arial"/>
            <w:color w:val="0000FF"/>
            <w:u w:val="single"/>
            <w:rtl/>
          </w:rPr>
          <w:t>פקודת הסמים המסוכנים</w:t>
        </w:r>
      </w:hyperlink>
      <w:r w:rsidRPr="003D6BF6">
        <w:rPr>
          <w:rFonts w:ascii="Arial" w:hAnsi="Arial" w:hint="cs"/>
          <w:rtl/>
        </w:rPr>
        <w:t xml:space="preserve"> (נוסח חדש), התשל"ג-1973 (להלן – </w:t>
      </w:r>
      <w:r w:rsidRPr="003D6BF6">
        <w:rPr>
          <w:rFonts w:ascii="Arial" w:hAnsi="Arial" w:hint="cs"/>
          <w:b/>
          <w:bCs/>
          <w:rtl/>
        </w:rPr>
        <w:t>פקודת הסמים</w:t>
      </w:r>
      <w:r w:rsidRPr="003D6BF6">
        <w:rPr>
          <w:rFonts w:ascii="Arial" w:hAnsi="Arial" w:hint="cs"/>
          <w:rtl/>
        </w:rPr>
        <w:t xml:space="preserve">), בעבירת </w:t>
      </w:r>
      <w:r w:rsidRPr="003D6BF6">
        <w:rPr>
          <w:rFonts w:ascii="Arial" w:hAnsi="Arial" w:hint="cs"/>
          <w:b/>
          <w:bCs/>
          <w:rtl/>
        </w:rPr>
        <w:t>נשיאת נשק</w:t>
      </w:r>
      <w:r w:rsidRPr="003D6BF6">
        <w:rPr>
          <w:rFonts w:ascii="Arial" w:hAnsi="Arial" w:hint="cs"/>
          <w:rtl/>
        </w:rPr>
        <w:t xml:space="preserve">, לפי </w:t>
      </w:r>
      <w:hyperlink r:id="rId17" w:history="1">
        <w:r w:rsidR="002E217F" w:rsidRPr="002E217F">
          <w:rPr>
            <w:rStyle w:val="Hyperlink"/>
            <w:rFonts w:ascii="Arial" w:hAnsi="Arial" w:hint="eastAsia"/>
            <w:rtl/>
          </w:rPr>
          <w:t>סעיף</w:t>
        </w:r>
        <w:r w:rsidR="002E217F" w:rsidRPr="002E217F">
          <w:rPr>
            <w:rStyle w:val="Hyperlink"/>
            <w:rFonts w:ascii="Arial" w:hAnsi="Arial"/>
            <w:rtl/>
          </w:rPr>
          <w:t xml:space="preserve"> 144(ב)</w:t>
        </w:r>
      </w:hyperlink>
      <w:r w:rsidRPr="003D6BF6">
        <w:rPr>
          <w:rFonts w:ascii="Arial" w:hAnsi="Arial" w:hint="cs"/>
          <w:rtl/>
        </w:rPr>
        <w:t xml:space="preserve"> רישה ב</w:t>
      </w:r>
      <w:hyperlink r:id="rId18" w:history="1">
        <w:r w:rsidR="002620FC" w:rsidRPr="002620FC">
          <w:rPr>
            <w:rFonts w:ascii="Arial" w:hAnsi="Arial"/>
            <w:color w:val="0000FF"/>
            <w:u w:val="single"/>
            <w:rtl/>
          </w:rPr>
          <w:t>חוק העונשין</w:t>
        </w:r>
      </w:hyperlink>
      <w:r w:rsidRPr="003D6BF6">
        <w:rPr>
          <w:rFonts w:ascii="Arial" w:hAnsi="Arial" w:hint="cs"/>
          <w:rtl/>
        </w:rPr>
        <w:t xml:space="preserve">, התשל"ז-1977 (להלן – </w:t>
      </w:r>
      <w:r w:rsidRPr="003D6BF6">
        <w:rPr>
          <w:rFonts w:ascii="Arial" w:hAnsi="Arial" w:hint="cs"/>
          <w:b/>
          <w:bCs/>
          <w:rtl/>
        </w:rPr>
        <w:t>החוק</w:t>
      </w:r>
      <w:r w:rsidRPr="003D6BF6">
        <w:rPr>
          <w:rFonts w:ascii="Arial" w:hAnsi="Arial" w:hint="cs"/>
          <w:rtl/>
        </w:rPr>
        <w:t xml:space="preserve">), בעבירת </w:t>
      </w:r>
      <w:r w:rsidRPr="003D6BF6">
        <w:rPr>
          <w:rFonts w:ascii="Arial" w:hAnsi="Arial" w:hint="cs"/>
          <w:b/>
          <w:bCs/>
          <w:rtl/>
        </w:rPr>
        <w:t>החזקת נשק</w:t>
      </w:r>
      <w:r w:rsidRPr="003D6BF6">
        <w:rPr>
          <w:rFonts w:ascii="Arial" w:hAnsi="Arial" w:hint="cs"/>
          <w:rtl/>
        </w:rPr>
        <w:t xml:space="preserve">, לפי </w:t>
      </w:r>
      <w:hyperlink r:id="rId19" w:history="1">
        <w:r w:rsidR="002E217F" w:rsidRPr="002E217F">
          <w:rPr>
            <w:rStyle w:val="Hyperlink"/>
            <w:rFonts w:ascii="Arial" w:hAnsi="Arial"/>
            <w:rtl/>
          </w:rPr>
          <w:t>סעיף 144(א)</w:t>
        </w:r>
      </w:hyperlink>
      <w:r w:rsidRPr="003D6BF6">
        <w:rPr>
          <w:rFonts w:ascii="Arial" w:hAnsi="Arial" w:hint="cs"/>
          <w:rtl/>
        </w:rPr>
        <w:t xml:space="preserve"> רישה בחוק ובעבירת </w:t>
      </w:r>
      <w:r w:rsidRPr="003D6BF6">
        <w:rPr>
          <w:rFonts w:ascii="Arial" w:hAnsi="Arial" w:hint="cs"/>
          <w:b/>
          <w:bCs/>
          <w:rtl/>
        </w:rPr>
        <w:t>החזקת תחמושת</w:t>
      </w:r>
      <w:r w:rsidRPr="003D6BF6">
        <w:rPr>
          <w:rFonts w:ascii="Arial" w:hAnsi="Arial" w:hint="cs"/>
          <w:rtl/>
        </w:rPr>
        <w:t xml:space="preserve">, לפי </w:t>
      </w:r>
      <w:hyperlink r:id="rId20" w:history="1">
        <w:r w:rsidR="002E217F" w:rsidRPr="002E217F">
          <w:rPr>
            <w:rStyle w:val="Hyperlink"/>
            <w:rFonts w:ascii="Arial" w:hAnsi="Arial" w:hint="eastAsia"/>
            <w:rtl/>
          </w:rPr>
          <w:t>סעיף</w:t>
        </w:r>
        <w:r w:rsidR="002E217F" w:rsidRPr="002E217F">
          <w:rPr>
            <w:rStyle w:val="Hyperlink"/>
            <w:rFonts w:ascii="Arial" w:hAnsi="Arial"/>
            <w:rtl/>
          </w:rPr>
          <w:t xml:space="preserve"> 144(א)</w:t>
        </w:r>
      </w:hyperlink>
      <w:r w:rsidRPr="003D6BF6">
        <w:rPr>
          <w:rFonts w:ascii="Arial" w:hAnsi="Arial" w:hint="cs"/>
          <w:rtl/>
        </w:rPr>
        <w:t xml:space="preserve"> בחוק. </w:t>
      </w:r>
    </w:p>
    <w:p w14:paraId="6FD6AF9D" w14:textId="77777777" w:rsidR="001C611F" w:rsidRPr="003D6BF6" w:rsidRDefault="001C611F" w:rsidP="001C611F">
      <w:pPr>
        <w:spacing w:line="360" w:lineRule="auto"/>
        <w:jc w:val="both"/>
        <w:rPr>
          <w:rFonts w:ascii="Arial" w:hAnsi="Arial"/>
          <w:rtl/>
        </w:rPr>
      </w:pPr>
      <w:bookmarkStart w:id="7" w:name="ABSTRACT_END"/>
      <w:bookmarkEnd w:id="7"/>
    </w:p>
    <w:p w14:paraId="1A1C0FC0" w14:textId="77777777" w:rsidR="001C611F" w:rsidRPr="003D6BF6" w:rsidRDefault="001C611F" w:rsidP="001C611F">
      <w:pPr>
        <w:spacing w:line="360" w:lineRule="auto"/>
        <w:jc w:val="both"/>
        <w:rPr>
          <w:rFonts w:ascii="Arial" w:hAnsi="Arial"/>
          <w:rtl/>
        </w:rPr>
      </w:pPr>
      <w:r w:rsidRPr="003D6BF6">
        <w:rPr>
          <w:rFonts w:ascii="Arial" w:hAnsi="Arial" w:hint="cs"/>
          <w:rtl/>
        </w:rPr>
        <w:t>הסדר הטיעון לא כלל הסכמה בעניין העונש. הטיעונים לעונש נשמעו ביום 6.7.2022. לבקשת בא-כוח הנאשם בדיון זה, מתן גזר הדין הושהה עד יום</w:t>
      </w:r>
      <w:r>
        <w:rPr>
          <w:rFonts w:ascii="Arial" w:hAnsi="Arial" w:hint="cs"/>
          <w:rtl/>
        </w:rPr>
        <w:t xml:space="preserve"> 18.7.2022</w:t>
      </w:r>
      <w:r w:rsidRPr="003D6BF6">
        <w:rPr>
          <w:rFonts w:ascii="Arial" w:hAnsi="Arial" w:hint="cs"/>
          <w:rtl/>
        </w:rPr>
        <w:t>, כדי לאפשר לו לנסות להגיע להסכמות בעניין בקשת החילוט.</w:t>
      </w:r>
    </w:p>
    <w:p w14:paraId="4194FA03" w14:textId="77777777" w:rsidR="001C611F" w:rsidRPr="003D6BF6" w:rsidRDefault="001C611F" w:rsidP="001C611F">
      <w:pPr>
        <w:spacing w:line="360" w:lineRule="auto"/>
        <w:jc w:val="both"/>
        <w:rPr>
          <w:rFonts w:ascii="Arial" w:hAnsi="Arial"/>
          <w:rtl/>
        </w:rPr>
      </w:pPr>
    </w:p>
    <w:p w14:paraId="0B4826F3" w14:textId="77777777" w:rsidR="001C611F" w:rsidRPr="003D6BF6" w:rsidRDefault="001C611F" w:rsidP="001C611F">
      <w:pPr>
        <w:spacing w:line="360" w:lineRule="auto"/>
        <w:jc w:val="both"/>
        <w:rPr>
          <w:rFonts w:ascii="Arial" w:hAnsi="Arial"/>
          <w:rtl/>
        </w:rPr>
      </w:pPr>
      <w:r w:rsidRPr="003D6BF6">
        <w:rPr>
          <w:rFonts w:ascii="Arial" w:hAnsi="Arial" w:hint="cs"/>
          <w:b/>
          <w:bCs/>
          <w:u w:val="single"/>
          <w:rtl/>
        </w:rPr>
        <w:t>עובדות כתב האישום המתוקן</w:t>
      </w:r>
    </w:p>
    <w:p w14:paraId="6A0AF44B" w14:textId="77777777" w:rsidR="001C611F" w:rsidRPr="003D6BF6" w:rsidRDefault="001C611F" w:rsidP="001C611F">
      <w:pPr>
        <w:spacing w:line="360" w:lineRule="auto"/>
        <w:jc w:val="both"/>
        <w:rPr>
          <w:rFonts w:ascii="Arial" w:hAnsi="Arial"/>
          <w:sz w:val="16"/>
          <w:szCs w:val="16"/>
          <w:rtl/>
        </w:rPr>
      </w:pPr>
    </w:p>
    <w:p w14:paraId="414ACE0B" w14:textId="77777777" w:rsidR="001C611F" w:rsidRPr="003D6BF6" w:rsidRDefault="001C611F" w:rsidP="001C611F">
      <w:pPr>
        <w:spacing w:line="360" w:lineRule="auto"/>
        <w:jc w:val="both"/>
        <w:rPr>
          <w:rFonts w:ascii="Arial" w:hAnsi="Arial"/>
          <w:rtl/>
        </w:rPr>
      </w:pPr>
      <w:r w:rsidRPr="003D6BF6">
        <w:rPr>
          <w:rFonts w:ascii="Arial" w:hAnsi="Arial" w:hint="cs"/>
          <w:rtl/>
        </w:rPr>
        <w:t>2.</w:t>
      </w:r>
      <w:r w:rsidRPr="003D6BF6">
        <w:rPr>
          <w:rFonts w:ascii="Arial" w:hAnsi="Arial" w:hint="cs"/>
          <w:rtl/>
        </w:rPr>
        <w:tab/>
        <w:t xml:space="preserve">על-פי עובדות כתב האישום המתוקן, הנאשם רכש במגרש גרוטאות רכב מסוג שברולט, מ"ר 3661965, שאינו תקין לנהיגה (להלן – </w:t>
      </w:r>
      <w:r w:rsidRPr="003D6BF6">
        <w:rPr>
          <w:rFonts w:ascii="Arial" w:hAnsi="Arial" w:hint="cs"/>
          <w:b/>
          <w:bCs/>
          <w:rtl/>
        </w:rPr>
        <w:t>הרכב</w:t>
      </w:r>
      <w:r w:rsidRPr="003D6BF6">
        <w:rPr>
          <w:rFonts w:ascii="Arial" w:hAnsi="Arial" w:hint="cs"/>
          <w:rtl/>
        </w:rPr>
        <w:t>) והחנה אותו ברחוב ג'ובראן חליל ג'ובראן בשכונת בית חנינה בירושלים, סמוך לביתו. הרכב בבעלות הנאשם ובשימושו.</w:t>
      </w:r>
    </w:p>
    <w:p w14:paraId="6DCF4BF1" w14:textId="77777777" w:rsidR="001C611F" w:rsidRPr="003D6BF6" w:rsidRDefault="001C611F" w:rsidP="001C611F">
      <w:pPr>
        <w:spacing w:line="360" w:lineRule="auto"/>
        <w:jc w:val="both"/>
        <w:rPr>
          <w:rFonts w:ascii="Arial" w:hAnsi="Arial"/>
          <w:rtl/>
        </w:rPr>
      </w:pPr>
    </w:p>
    <w:p w14:paraId="44A1557C"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כעבור מספר חודשים, קודם ליום 18.10.2021, נשא הנאשם אקדח חצי אוטומטי מסוג </w:t>
      </w:r>
      <w:r w:rsidRPr="003D6BF6">
        <w:rPr>
          <w:rFonts w:ascii="Arial" w:hAnsi="Arial"/>
        </w:rPr>
        <w:t>FN</w:t>
      </w:r>
      <w:r w:rsidRPr="003D6BF6">
        <w:rPr>
          <w:rFonts w:ascii="Arial" w:hAnsi="Arial" w:hint="cs"/>
          <w:rtl/>
        </w:rPr>
        <w:t xml:space="preserve">, תוצרת בלגיה, מודל </w:t>
      </w:r>
      <w:r w:rsidRPr="003D6BF6">
        <w:rPr>
          <w:rFonts w:ascii="Arial" w:hAnsi="Arial"/>
        </w:rPr>
        <w:t>HP-35</w:t>
      </w:r>
      <w:r w:rsidRPr="003D6BF6">
        <w:rPr>
          <w:rFonts w:ascii="Arial" w:hAnsi="Arial" w:hint="cs"/>
          <w:rtl/>
        </w:rPr>
        <w:t xml:space="preserve">, קליבר 9 מ"מ פאראבלום, מספר סידורי </w:t>
      </w:r>
      <w:r w:rsidRPr="003D6BF6">
        <w:rPr>
          <w:rFonts w:ascii="Arial" w:hAnsi="Arial"/>
        </w:rPr>
        <w:t>72c68810</w:t>
      </w:r>
      <w:r w:rsidRPr="003D6BF6">
        <w:rPr>
          <w:rFonts w:ascii="Arial" w:hAnsi="Arial" w:hint="cs"/>
          <w:rtl/>
        </w:rPr>
        <w:t xml:space="preserve">, אשר בכוחו להמית (להלן – </w:t>
      </w:r>
      <w:r w:rsidRPr="003D6BF6">
        <w:rPr>
          <w:rFonts w:ascii="Arial" w:hAnsi="Arial" w:hint="cs"/>
          <w:b/>
          <w:bCs/>
          <w:rtl/>
        </w:rPr>
        <w:t>האקדח</w:t>
      </w:r>
      <w:r w:rsidRPr="003D6BF6">
        <w:rPr>
          <w:rFonts w:ascii="Arial" w:hAnsi="Arial" w:hint="cs"/>
          <w:rtl/>
        </w:rPr>
        <w:t xml:space="preserve">), ושתי מחסניות שבהן 11 כדורי 9 מ"מ המתאימים לאקדח (להלן – </w:t>
      </w:r>
      <w:r w:rsidRPr="003D6BF6">
        <w:rPr>
          <w:rFonts w:ascii="Arial" w:hAnsi="Arial" w:hint="cs"/>
          <w:b/>
          <w:bCs/>
          <w:rtl/>
        </w:rPr>
        <w:t>התחמושת</w:t>
      </w:r>
      <w:r w:rsidRPr="003D6BF6">
        <w:rPr>
          <w:rFonts w:ascii="Arial" w:hAnsi="Arial" w:hint="cs"/>
          <w:rtl/>
        </w:rPr>
        <w:t xml:space="preserve">), אשר היו בחזקתו. הנאשם הכניס את האקדח ואת התחמושת אל הרכב והחזיק אותם בתוכו. במועד האמור, 18.10.2021 בשעה 9:25, הכניס גם דבר נוסף לא ידוע אל תא המטען של הרכב. שוטר ופקח עירוני ניגשו אל הנאשם ושאלו אותו מה הוא מחזיק ומה יש ברכב. הנאשם התחמק ממתן תשובה ואמר לשוטר ולפקח לחפש בביתו. </w:t>
      </w:r>
    </w:p>
    <w:p w14:paraId="7C59567A" w14:textId="77777777" w:rsidR="001C611F" w:rsidRPr="003D6BF6" w:rsidRDefault="001C611F" w:rsidP="001C611F">
      <w:pPr>
        <w:spacing w:line="360" w:lineRule="auto"/>
        <w:jc w:val="both"/>
        <w:rPr>
          <w:rFonts w:ascii="Arial" w:hAnsi="Arial"/>
          <w:rtl/>
        </w:rPr>
      </w:pPr>
    </w:p>
    <w:p w14:paraId="0A577DC2" w14:textId="77777777" w:rsidR="001C611F" w:rsidRPr="003D6BF6" w:rsidRDefault="001C611F" w:rsidP="001C611F">
      <w:pPr>
        <w:spacing w:line="360" w:lineRule="auto"/>
        <w:jc w:val="both"/>
        <w:rPr>
          <w:rFonts w:ascii="Arial" w:hAnsi="Arial"/>
          <w:rtl/>
        </w:rPr>
      </w:pPr>
      <w:r w:rsidRPr="003D6BF6">
        <w:rPr>
          <w:rFonts w:ascii="Arial" w:hAnsi="Arial" w:hint="cs"/>
          <w:rtl/>
        </w:rPr>
        <w:t>השוטר והפקח מצאו בשקית שהייתה ברכב את הנשק, התחמושת, 2 ק"ג סמים מסוג חשיש, שהיו מחולקים לאריזות קטנות, 600 גרם סמים מסוג קנאבוס וסך 13,720 ₪ במזומן.</w:t>
      </w:r>
    </w:p>
    <w:p w14:paraId="598043A2" w14:textId="77777777" w:rsidR="001C611F" w:rsidRPr="003D6BF6" w:rsidRDefault="001C611F" w:rsidP="001C611F">
      <w:pPr>
        <w:spacing w:line="360" w:lineRule="auto"/>
        <w:jc w:val="both"/>
        <w:rPr>
          <w:rFonts w:ascii="Arial" w:hAnsi="Arial"/>
          <w:rtl/>
        </w:rPr>
      </w:pPr>
    </w:p>
    <w:p w14:paraId="28AF749F" w14:textId="77777777" w:rsidR="001C611F" w:rsidRPr="003D6BF6" w:rsidRDefault="001C611F" w:rsidP="001C611F">
      <w:pPr>
        <w:spacing w:line="360" w:lineRule="auto"/>
        <w:jc w:val="both"/>
        <w:rPr>
          <w:rFonts w:ascii="Arial" w:hAnsi="Arial"/>
          <w:rtl/>
        </w:rPr>
      </w:pPr>
      <w:r w:rsidRPr="003D6BF6">
        <w:rPr>
          <w:rFonts w:ascii="Arial" w:hAnsi="Arial" w:hint="cs"/>
          <w:rtl/>
        </w:rPr>
        <w:t>3.</w:t>
      </w:r>
      <w:r w:rsidRPr="003D6BF6">
        <w:rPr>
          <w:rFonts w:ascii="Arial" w:hAnsi="Arial" w:hint="cs"/>
          <w:rtl/>
        </w:rPr>
        <w:tab/>
        <w:t xml:space="preserve">לבקשת המאשימה, בדיון מיום 6.7.2022 נקבע בהתאם להוראת </w:t>
      </w:r>
      <w:hyperlink r:id="rId21" w:history="1">
        <w:r w:rsidR="002E217F" w:rsidRPr="002E217F">
          <w:rPr>
            <w:rStyle w:val="Hyperlink"/>
            <w:rFonts w:ascii="Arial" w:hAnsi="Arial" w:hint="eastAsia"/>
            <w:rtl/>
          </w:rPr>
          <w:t>סעיף</w:t>
        </w:r>
        <w:r w:rsidR="002E217F" w:rsidRPr="002E217F">
          <w:rPr>
            <w:rStyle w:val="Hyperlink"/>
            <w:rFonts w:ascii="Arial" w:hAnsi="Arial"/>
            <w:rtl/>
          </w:rPr>
          <w:t xml:space="preserve"> 36א(ב)</w:t>
        </w:r>
      </w:hyperlink>
      <w:r w:rsidRPr="003D6BF6">
        <w:rPr>
          <w:rFonts w:ascii="Arial" w:hAnsi="Arial" w:hint="cs"/>
          <w:rtl/>
        </w:rPr>
        <w:t xml:space="preserve"> בפקודת הסמים, </w:t>
      </w:r>
      <w:r w:rsidRPr="003D6BF6">
        <w:rPr>
          <w:rFonts w:ascii="Arial" w:hAnsi="Arial" w:hint="cs"/>
          <w:b/>
          <w:bCs/>
          <w:rtl/>
        </w:rPr>
        <w:t>כי הנאשם הוא סוחר סמים</w:t>
      </w:r>
      <w:r w:rsidRPr="003D6BF6">
        <w:rPr>
          <w:rFonts w:ascii="Arial" w:hAnsi="Arial" w:hint="cs"/>
          <w:rtl/>
        </w:rPr>
        <w:t xml:space="preserve">. זאת בהתאם למוסכם ולבקשת המאשימה מיום 5.7.2022 ומאחר שהנאשם הורשע ב"עבירה של עסקת סמים" (כהגדרתה </w:t>
      </w:r>
      <w:hyperlink r:id="rId22" w:history="1">
        <w:r w:rsidR="002E217F" w:rsidRPr="002E217F">
          <w:rPr>
            <w:rStyle w:val="Hyperlink"/>
            <w:rFonts w:ascii="Arial" w:hAnsi="Arial" w:hint="eastAsia"/>
            <w:rtl/>
          </w:rPr>
          <w:t>בסעיף</w:t>
        </w:r>
        <w:r w:rsidR="002E217F" w:rsidRPr="002E217F">
          <w:rPr>
            <w:rStyle w:val="Hyperlink"/>
            <w:rFonts w:ascii="Arial" w:hAnsi="Arial"/>
            <w:rtl/>
          </w:rPr>
          <w:t xml:space="preserve"> 1</w:t>
        </w:r>
      </w:hyperlink>
      <w:r w:rsidRPr="003D6BF6">
        <w:rPr>
          <w:rFonts w:ascii="Arial" w:hAnsi="Arial" w:hint="cs"/>
          <w:rtl/>
        </w:rPr>
        <w:t xml:space="preserve"> בפקודת הסמים).</w:t>
      </w:r>
    </w:p>
    <w:p w14:paraId="6E19B846" w14:textId="77777777" w:rsidR="001C611F" w:rsidRPr="003D6BF6" w:rsidRDefault="001C611F" w:rsidP="001C611F">
      <w:pPr>
        <w:spacing w:line="360" w:lineRule="auto"/>
        <w:jc w:val="both"/>
        <w:rPr>
          <w:rFonts w:ascii="Arial" w:hAnsi="Arial"/>
          <w:rtl/>
        </w:rPr>
      </w:pPr>
    </w:p>
    <w:p w14:paraId="6BBF3E54" w14:textId="77777777" w:rsidR="001C611F" w:rsidRPr="003D6BF6" w:rsidRDefault="001C611F" w:rsidP="001C611F">
      <w:pPr>
        <w:spacing w:line="360" w:lineRule="auto"/>
        <w:jc w:val="both"/>
        <w:rPr>
          <w:rFonts w:ascii="Arial" w:hAnsi="Arial"/>
          <w:b/>
          <w:bCs/>
          <w:u w:val="single"/>
          <w:rtl/>
        </w:rPr>
      </w:pPr>
      <w:r w:rsidRPr="003D6BF6">
        <w:rPr>
          <w:rFonts w:ascii="Arial" w:hAnsi="Arial" w:hint="cs"/>
          <w:b/>
          <w:bCs/>
          <w:u w:val="single"/>
          <w:rtl/>
        </w:rPr>
        <w:t>ראיות לעונש (והסבר לאי הגשת תסקיר לעונש מטעם שירות המבחן)</w:t>
      </w:r>
    </w:p>
    <w:p w14:paraId="22C701BF" w14:textId="77777777" w:rsidR="001C611F" w:rsidRPr="003D6BF6" w:rsidRDefault="001C611F" w:rsidP="001C611F">
      <w:pPr>
        <w:spacing w:line="360" w:lineRule="auto"/>
        <w:jc w:val="both"/>
        <w:rPr>
          <w:rFonts w:ascii="Arial" w:hAnsi="Arial"/>
          <w:sz w:val="16"/>
          <w:szCs w:val="16"/>
          <w:rtl/>
        </w:rPr>
      </w:pPr>
    </w:p>
    <w:p w14:paraId="479ABF26" w14:textId="77777777" w:rsidR="001C611F" w:rsidRPr="003D6BF6" w:rsidRDefault="001C611F" w:rsidP="001C611F">
      <w:pPr>
        <w:spacing w:line="360" w:lineRule="auto"/>
        <w:jc w:val="both"/>
        <w:rPr>
          <w:rFonts w:ascii="Arial" w:hAnsi="Arial"/>
          <w:rtl/>
        </w:rPr>
      </w:pPr>
      <w:r w:rsidRPr="003D6BF6">
        <w:rPr>
          <w:rFonts w:ascii="Arial" w:hAnsi="Arial" w:hint="cs"/>
          <w:rtl/>
        </w:rPr>
        <w:t>4.</w:t>
      </w:r>
      <w:r w:rsidRPr="003D6BF6">
        <w:rPr>
          <w:rFonts w:ascii="Arial" w:hAnsi="Arial" w:hint="cs"/>
          <w:rtl/>
        </w:rPr>
        <w:tab/>
        <w:t>מטעם ההגנה הוגשו תעודת פטירה ורישיון קבורה בעניין פטירת אחיו הצעיר של הנאשם (נ/1). מטעם המאשימה לא הוגשו ראיות לעונש.</w:t>
      </w:r>
    </w:p>
    <w:p w14:paraId="16A3E894"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 </w:t>
      </w:r>
    </w:p>
    <w:p w14:paraId="291E2C17" w14:textId="77777777" w:rsidR="001C611F" w:rsidRPr="003D6BF6" w:rsidRDefault="001C611F" w:rsidP="001C611F">
      <w:pPr>
        <w:spacing w:line="360" w:lineRule="auto"/>
        <w:jc w:val="both"/>
        <w:rPr>
          <w:rFonts w:ascii="Arial" w:hAnsi="Arial"/>
          <w:rtl/>
        </w:rPr>
      </w:pPr>
      <w:r>
        <w:rPr>
          <w:rFonts w:ascii="Arial" w:hAnsi="Arial" w:hint="cs"/>
          <w:rtl/>
        </w:rPr>
        <w:t>5</w:t>
      </w:r>
      <w:r w:rsidRPr="003D6BF6">
        <w:rPr>
          <w:rFonts w:ascii="Arial" w:hAnsi="Arial" w:hint="cs"/>
          <w:rtl/>
        </w:rPr>
        <w:t>.</w:t>
      </w:r>
      <w:r w:rsidRPr="003D6BF6">
        <w:rPr>
          <w:rFonts w:ascii="Arial" w:hAnsi="Arial" w:hint="cs"/>
          <w:rtl/>
        </w:rPr>
        <w:tab/>
        <w:t xml:space="preserve">בדיון מיום 18.5.2022, שבמהלכו ניתנה הכרעת הדין, ביקש בא-כוח הנאשם כי יוגש תסקיר לעונש בעניין הנאשם. לאחר שהוסבר כי בשל העומס הרב שבו נתון שירות המבחן, יהיה צורך להמתין מספר חודשים עד כחצי שנה עד קבלתו ולדחות את ישיבת הטיעונים לעונש בהתאם, הוא הודיע כי הוא מוותר על הגשתו. כעבור למעלה מחודש, ביום 23.6.2022, סמוך למועד שנקבע לשמיעת הטיעונים לעונש, הגיש בא-כוח הנאשם בקשה להורות לשירות המבחן להגיש תסקיר בעניין הנאשם, אף אם הדבר יהיה כרוך בדחיית ישיבת הטיעונים לעונש. המאשימה התבקשה להגיב לבקשה, אך תגובתה לא הוגשה וביום 28.6.2022 ניתנה החלטה מנומקת הדוחה את הבקשה. </w:t>
      </w:r>
    </w:p>
    <w:p w14:paraId="058E3C49" w14:textId="77777777" w:rsidR="001C611F" w:rsidRPr="003D6BF6" w:rsidRDefault="001C611F" w:rsidP="001C611F">
      <w:pPr>
        <w:spacing w:line="360" w:lineRule="auto"/>
        <w:jc w:val="both"/>
        <w:rPr>
          <w:rFonts w:ascii="Arial" w:hAnsi="Arial"/>
          <w:rtl/>
        </w:rPr>
      </w:pPr>
    </w:p>
    <w:p w14:paraId="3CAB6C66" w14:textId="77777777" w:rsidR="001C611F" w:rsidRPr="003D6BF6" w:rsidRDefault="001C611F" w:rsidP="001C611F">
      <w:pPr>
        <w:spacing w:line="360" w:lineRule="auto"/>
        <w:jc w:val="both"/>
        <w:rPr>
          <w:rFonts w:ascii="Arial" w:hAnsi="Arial"/>
          <w:rtl/>
        </w:rPr>
      </w:pPr>
      <w:r w:rsidRPr="003D6BF6">
        <w:rPr>
          <w:rFonts w:ascii="Arial" w:hAnsi="Arial" w:hint="cs"/>
          <w:b/>
          <w:bCs/>
          <w:u w:val="single"/>
          <w:rtl/>
        </w:rPr>
        <w:t>טענות הצדדים בעניין העונש, לרבות דברי הנאשם</w:t>
      </w:r>
    </w:p>
    <w:p w14:paraId="176A6185" w14:textId="77777777" w:rsidR="001C611F" w:rsidRPr="003D6BF6" w:rsidRDefault="001C611F" w:rsidP="001C611F">
      <w:pPr>
        <w:spacing w:line="360" w:lineRule="auto"/>
        <w:jc w:val="both"/>
        <w:rPr>
          <w:rFonts w:ascii="Arial" w:hAnsi="Arial"/>
          <w:sz w:val="16"/>
          <w:szCs w:val="16"/>
          <w:rtl/>
        </w:rPr>
      </w:pPr>
    </w:p>
    <w:p w14:paraId="672BE456" w14:textId="77777777" w:rsidR="001C611F" w:rsidRPr="003D6BF6" w:rsidRDefault="001C611F" w:rsidP="001C611F">
      <w:pPr>
        <w:spacing w:line="360" w:lineRule="auto"/>
        <w:ind w:firstLine="720"/>
        <w:jc w:val="both"/>
        <w:rPr>
          <w:rFonts w:ascii="Arial" w:hAnsi="Arial"/>
          <w:rtl/>
        </w:rPr>
      </w:pPr>
      <w:r w:rsidRPr="003D6BF6">
        <w:rPr>
          <w:rFonts w:ascii="Arial" w:hAnsi="Arial" w:hint="cs"/>
          <w:b/>
          <w:bCs/>
          <w:u w:val="single"/>
          <w:rtl/>
        </w:rPr>
        <w:t>טענות המאשימה</w:t>
      </w:r>
    </w:p>
    <w:p w14:paraId="19E399DA" w14:textId="77777777" w:rsidR="001C611F" w:rsidRPr="003D6BF6" w:rsidRDefault="001C611F" w:rsidP="001C611F">
      <w:pPr>
        <w:spacing w:line="360" w:lineRule="auto"/>
        <w:jc w:val="both"/>
        <w:rPr>
          <w:rFonts w:ascii="Arial" w:hAnsi="Arial"/>
          <w:sz w:val="16"/>
          <w:szCs w:val="16"/>
          <w:rtl/>
        </w:rPr>
      </w:pPr>
    </w:p>
    <w:p w14:paraId="4B91F52B" w14:textId="77777777" w:rsidR="001C611F" w:rsidRPr="003D6BF6" w:rsidRDefault="001C611F" w:rsidP="001C611F">
      <w:pPr>
        <w:spacing w:line="360" w:lineRule="auto"/>
        <w:jc w:val="both"/>
        <w:rPr>
          <w:rFonts w:ascii="Arial" w:hAnsi="Arial"/>
          <w:rtl/>
        </w:rPr>
      </w:pPr>
      <w:r>
        <w:rPr>
          <w:rFonts w:ascii="Arial" w:hAnsi="Arial" w:hint="cs"/>
          <w:rtl/>
        </w:rPr>
        <w:t>6</w:t>
      </w:r>
      <w:r w:rsidRPr="003D6BF6">
        <w:rPr>
          <w:rFonts w:ascii="Arial" w:hAnsi="Arial" w:hint="cs"/>
          <w:rtl/>
        </w:rPr>
        <w:t>.</w:t>
      </w:r>
      <w:r w:rsidRPr="003D6BF6">
        <w:rPr>
          <w:rFonts w:ascii="Arial" w:hAnsi="Arial" w:hint="cs"/>
          <w:rtl/>
        </w:rPr>
        <w:tab/>
        <w:t>בא-כוח המאשימה טען כי הערכים החברתיים אשר נפגעו מעבירות הסמים הם פוטנציאל הנזק החברתי הטמון בהפצתם ובעניין עבירות הנשק טען כי הן עשויות לפגוע בשלום הציבור לנוכח החשש מפני קיפוח חיי אדם. עוד הדגיש את חומרת העבירות ובין השאר, את התיקון לחוק הקובע עונש מזערי לעבירות נשק, שאף אם אינו חל בנסיבות הנדונות, יש בו כדי לשקף את עמדת המחוקק בעניין עבירות אלו בדבר הצורך בהחמרת הענישה.</w:t>
      </w:r>
    </w:p>
    <w:p w14:paraId="39775C92" w14:textId="77777777" w:rsidR="001C611F" w:rsidRPr="003D6BF6" w:rsidRDefault="001C611F" w:rsidP="001C611F">
      <w:pPr>
        <w:spacing w:line="360" w:lineRule="auto"/>
        <w:jc w:val="both"/>
        <w:rPr>
          <w:rFonts w:ascii="Arial" w:hAnsi="Arial"/>
        </w:rPr>
      </w:pPr>
      <w:r w:rsidRPr="003D6BF6">
        <w:rPr>
          <w:rFonts w:ascii="Arial" w:hAnsi="Arial"/>
          <w:rtl/>
        </w:rPr>
        <w:t xml:space="preserve"> </w:t>
      </w:r>
    </w:p>
    <w:p w14:paraId="332720BC" w14:textId="77777777" w:rsidR="001C611F" w:rsidRPr="003D6BF6" w:rsidRDefault="001C611F" w:rsidP="001C611F">
      <w:pPr>
        <w:spacing w:line="360" w:lineRule="auto"/>
        <w:jc w:val="both"/>
        <w:rPr>
          <w:rFonts w:ascii="Arial" w:hAnsi="Arial"/>
          <w:rtl/>
        </w:rPr>
      </w:pPr>
      <w:r w:rsidRPr="003D6BF6">
        <w:rPr>
          <w:rFonts w:ascii="Arial" w:hAnsi="Arial" w:hint="cs"/>
          <w:rtl/>
        </w:rPr>
        <w:lastRenderedPageBreak/>
        <w:t xml:space="preserve">בעניין נסיבות העבירות טען, כי הנאשם היה אחראי באופן בלעדי לעבירות וכי נתפס בגפו עם הסמים, הנשק והתחמושת. מדובר בנאשם בגיר, אשר יכול היה להבין את השלכות מעשיו החמורים וכי עצם תפיסתו גם עם נשק וגם עם סמים, מעידה על אורח חיים עברייני. חומרה נוספת נעוצה בכך שהנאשם גם החזיק את הנשק וגם נשא אותו. כמו כן, כמות הסמים, 2 ק"ג חשיש ו-600 גרם קנאבוס,  והיותם מחולקים למנות מלמדת על כוונת הנאשם להשיא רווחים מהסמים. </w:t>
      </w:r>
    </w:p>
    <w:p w14:paraId="7F1FA203" w14:textId="77777777" w:rsidR="001C611F" w:rsidRPr="003D6BF6" w:rsidRDefault="001C611F" w:rsidP="001C611F">
      <w:pPr>
        <w:spacing w:line="360" w:lineRule="auto"/>
        <w:jc w:val="both"/>
        <w:rPr>
          <w:rFonts w:ascii="Arial" w:hAnsi="Arial"/>
          <w:rtl/>
        </w:rPr>
      </w:pPr>
    </w:p>
    <w:p w14:paraId="7B97457F" w14:textId="77777777" w:rsidR="001C611F" w:rsidRPr="003D6BF6" w:rsidRDefault="001C611F" w:rsidP="001C611F">
      <w:pPr>
        <w:spacing w:line="360" w:lineRule="auto"/>
        <w:jc w:val="both"/>
        <w:rPr>
          <w:rFonts w:ascii="Arial" w:hAnsi="Arial"/>
          <w:rtl/>
        </w:rPr>
      </w:pPr>
      <w:r>
        <w:rPr>
          <w:rFonts w:ascii="Arial" w:hAnsi="Arial" w:hint="cs"/>
          <w:rtl/>
        </w:rPr>
        <w:t>7</w:t>
      </w:r>
      <w:r w:rsidRPr="003D6BF6">
        <w:rPr>
          <w:rFonts w:ascii="Arial" w:hAnsi="Arial" w:hint="cs"/>
          <w:rtl/>
        </w:rPr>
        <w:t>.</w:t>
      </w:r>
      <w:r w:rsidRPr="003D6BF6">
        <w:rPr>
          <w:rFonts w:ascii="Arial" w:hAnsi="Arial" w:hint="cs"/>
          <w:rtl/>
        </w:rPr>
        <w:tab/>
        <w:t xml:space="preserve">בעניין מדיניות הענישה הנוהגת בעניין עבירות הנשק, הפנה בא-כוח המאשימה אל שני פסקי הדין הבאים: </w:t>
      </w:r>
      <w:hyperlink r:id="rId23" w:history="1">
        <w:r w:rsidR="002620FC" w:rsidRPr="002620FC">
          <w:rPr>
            <w:rFonts w:ascii="Arial" w:hAnsi="Arial"/>
            <w:color w:val="0000FF"/>
            <w:u w:val="single"/>
            <w:rtl/>
          </w:rPr>
          <w:t>ע"פ 6068/21</w:t>
        </w:r>
      </w:hyperlink>
      <w:r w:rsidRPr="003D6BF6">
        <w:rPr>
          <w:rFonts w:ascii="Arial" w:hAnsi="Arial" w:hint="cs"/>
          <w:rtl/>
        </w:rPr>
        <w:t xml:space="preserve"> </w:t>
      </w:r>
      <w:r w:rsidRPr="003D6BF6">
        <w:rPr>
          <w:rFonts w:ascii="Arial" w:hAnsi="Arial" w:hint="cs"/>
          <w:b/>
          <w:bCs/>
          <w:rtl/>
        </w:rPr>
        <w:t>מדינת ישראל נ' פקיה</w:t>
      </w:r>
      <w:r w:rsidRPr="003D6BF6">
        <w:rPr>
          <w:rFonts w:ascii="Arial" w:hAnsi="Arial" w:hint="cs"/>
          <w:rtl/>
        </w:rPr>
        <w:t xml:space="preserve"> (19.12.2021) (להלן – </w:t>
      </w:r>
      <w:r w:rsidRPr="003D6BF6">
        <w:rPr>
          <w:rFonts w:ascii="Arial" w:hAnsi="Arial" w:hint="cs"/>
          <w:b/>
          <w:bCs/>
          <w:rtl/>
        </w:rPr>
        <w:t>עניין פקיה</w:t>
      </w:r>
      <w:r w:rsidRPr="003D6BF6">
        <w:rPr>
          <w:rFonts w:ascii="Arial" w:hAnsi="Arial" w:hint="cs"/>
          <w:rtl/>
        </w:rPr>
        <w:t xml:space="preserve">) – הרשעה על-פי הודעה בעבירות נשיאת נשק וירי באזור מגורים. בבית המשפט המחוזי נקבע מתחם עונש בין 14 ל-36 חודשי מאסר והושתו 14 חודשי מאסר בפועל. ערעור המדינה התקבל והעונש הוחמר, בלי למצות את הדין, ל-25 חודשי מאסר בפועל; </w:t>
      </w:r>
      <w:hyperlink r:id="rId24" w:history="1">
        <w:r w:rsidR="002620FC" w:rsidRPr="002620FC">
          <w:rPr>
            <w:rFonts w:ascii="Arial" w:hAnsi="Arial"/>
            <w:color w:val="0000FF"/>
            <w:u w:val="single"/>
            <w:rtl/>
          </w:rPr>
          <w:t>ע"פ 1509/20</w:t>
        </w:r>
      </w:hyperlink>
      <w:r w:rsidRPr="003D6BF6">
        <w:rPr>
          <w:rFonts w:ascii="Arial" w:hAnsi="Arial" w:hint="cs"/>
          <w:rtl/>
        </w:rPr>
        <w:t xml:space="preserve"> </w:t>
      </w:r>
      <w:r w:rsidRPr="003D6BF6">
        <w:rPr>
          <w:rFonts w:ascii="Arial" w:hAnsi="Arial" w:hint="cs"/>
          <w:b/>
          <w:bCs/>
          <w:rtl/>
        </w:rPr>
        <w:t>מדינת ישראל נ' נבארי</w:t>
      </w:r>
      <w:r w:rsidRPr="003D6BF6">
        <w:rPr>
          <w:rFonts w:ascii="Arial" w:hAnsi="Arial" w:hint="cs"/>
          <w:rtl/>
        </w:rPr>
        <w:t xml:space="preserve"> (2.7.2020) – הרשעה על-פי הודעה בעבירות נשיאת נשק והובלתו, וירי באזור מגורים. בבית המשפט המחוזי נקבע מתחם עונש בין 20 ל-50 חודשי מאסר והושתו 27 חודשי מאסר בפועל. ערעור המדינה התקבל והעונש הוחמר, בלי למצות את הדין, ל-36 חודשי מאסר בפועל.</w:t>
      </w:r>
    </w:p>
    <w:p w14:paraId="75521571" w14:textId="77777777" w:rsidR="001C611F" w:rsidRPr="003D6BF6" w:rsidRDefault="001C611F" w:rsidP="001C611F">
      <w:pPr>
        <w:spacing w:line="360" w:lineRule="auto"/>
        <w:jc w:val="both"/>
        <w:rPr>
          <w:rFonts w:ascii="Arial" w:hAnsi="Arial"/>
          <w:rtl/>
        </w:rPr>
      </w:pPr>
    </w:p>
    <w:p w14:paraId="690D7713"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גם בעניין מדיניות הענישה הנוהגת בעבירות הסמים, הפנה אל שני פסקי דין, כלהלן: </w:t>
      </w:r>
      <w:hyperlink r:id="rId25" w:history="1">
        <w:r w:rsidR="002620FC" w:rsidRPr="002620FC">
          <w:rPr>
            <w:rFonts w:ascii="Arial" w:hAnsi="Arial"/>
            <w:color w:val="0000FF"/>
            <w:u w:val="single"/>
            <w:rtl/>
          </w:rPr>
          <w:t>רע"פ 1830/16</w:t>
        </w:r>
      </w:hyperlink>
      <w:r w:rsidRPr="003D6BF6">
        <w:rPr>
          <w:rFonts w:ascii="Arial" w:hAnsi="Arial" w:hint="cs"/>
          <w:rtl/>
        </w:rPr>
        <w:t xml:space="preserve"> </w:t>
      </w:r>
      <w:r w:rsidRPr="003D6BF6">
        <w:rPr>
          <w:rFonts w:ascii="Arial" w:hAnsi="Arial" w:hint="cs"/>
          <w:b/>
          <w:bCs/>
          <w:rtl/>
        </w:rPr>
        <w:t>רקיבי נ' מדינת ישראל</w:t>
      </w:r>
      <w:r w:rsidRPr="003D6BF6">
        <w:rPr>
          <w:rFonts w:ascii="Arial" w:hAnsi="Arial" w:hint="cs"/>
          <w:rtl/>
        </w:rPr>
        <w:t xml:space="preserve"> (11.4.2016) – הרשעה בעבירת החזקת סמים שלא לצריכה עצמית. דובר בהחזקת סמים מסוג חשיש במשקל 2.3 ק"ג. בבית משפט השלום הושתו 8 חודשי מאסר בפועל וענישה נלווית, וכן נקבע חילוט הרכב. הערעור שהוגש לבית המשפט המחוזי ובקשת רשות הערעור שהוגשה אל בית המשפט העליון נדחו; </w:t>
      </w:r>
      <w:hyperlink r:id="rId26" w:history="1">
        <w:r w:rsidR="002620FC" w:rsidRPr="002620FC">
          <w:rPr>
            <w:rFonts w:ascii="Arial" w:hAnsi="Arial"/>
            <w:color w:val="0000FF"/>
            <w:u w:val="single"/>
            <w:rtl/>
          </w:rPr>
          <w:t>ע"פ 6753/09</w:t>
        </w:r>
      </w:hyperlink>
      <w:r w:rsidRPr="003D6BF6">
        <w:rPr>
          <w:rFonts w:ascii="Arial" w:hAnsi="Arial" w:hint="cs"/>
          <w:rtl/>
        </w:rPr>
        <w:t xml:space="preserve"> </w:t>
      </w:r>
      <w:r w:rsidRPr="003D6BF6">
        <w:rPr>
          <w:rFonts w:ascii="Arial" w:hAnsi="Arial" w:hint="cs"/>
          <w:b/>
          <w:bCs/>
          <w:rtl/>
        </w:rPr>
        <w:t>חמאמדה נ' מדינת ישראל</w:t>
      </w:r>
      <w:r w:rsidRPr="003D6BF6">
        <w:rPr>
          <w:rFonts w:ascii="Arial" w:hAnsi="Arial" w:hint="cs"/>
          <w:rtl/>
        </w:rPr>
        <w:t xml:space="preserve"> (18.1.2010) – הרשעה בעבירת החזקת סם מסוג חשיש במשקל 1.5 ק"ג ובעבירת החזקת סכין. הושתו 8 חודשי מאסר בפועל, מאסר מותנה וקנס בסך 5,000 ₪. הערעור נדחה.</w:t>
      </w:r>
    </w:p>
    <w:p w14:paraId="449E0AD0" w14:textId="77777777" w:rsidR="001C611F" w:rsidRPr="003D6BF6" w:rsidRDefault="001C611F" w:rsidP="001C611F">
      <w:pPr>
        <w:spacing w:line="360" w:lineRule="auto"/>
        <w:jc w:val="both"/>
        <w:rPr>
          <w:rFonts w:ascii="Arial" w:hAnsi="Arial"/>
          <w:rtl/>
        </w:rPr>
      </w:pPr>
    </w:p>
    <w:p w14:paraId="7E11B183"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עמדת המאשימה היא כי מתחמי העונש בעניין עבירות הנשק הם כלהלן: בעניין עבירת נשיאת הנשק, בין 24 ל-48 חודשי מאסר; בעניין עבירת החזקת הנשק, בין 18 ל-36 חודשי מאסר; בעניין עבירת החזקת התחמושת, בין מאסר מותנה ל-6 חודשי מאסר בפועל. מאחר שיש לחפוף את שלושת מתחמי העונש, מתחם העונש ההולם בעניין כל עבירות הנשק הוא בין 36 ל-60 חודשי מאסר בפועל. בעניין עבירות הסמים על מתחם העונש להיקבע בין 8 ל-16 חודשי מאסר בפועל. </w:t>
      </w:r>
    </w:p>
    <w:p w14:paraId="07D3FAA2" w14:textId="77777777" w:rsidR="001C611F" w:rsidRPr="003D6BF6" w:rsidRDefault="001C611F" w:rsidP="001C611F">
      <w:pPr>
        <w:spacing w:line="360" w:lineRule="auto"/>
        <w:jc w:val="both"/>
        <w:rPr>
          <w:rFonts w:ascii="Arial" w:hAnsi="Arial"/>
          <w:rtl/>
        </w:rPr>
      </w:pPr>
    </w:p>
    <w:p w14:paraId="6A42DF0F" w14:textId="77777777" w:rsidR="001C611F" w:rsidRPr="003D6BF6" w:rsidRDefault="001C611F" w:rsidP="001C611F">
      <w:pPr>
        <w:spacing w:line="360" w:lineRule="auto"/>
        <w:jc w:val="both"/>
        <w:rPr>
          <w:rFonts w:ascii="Arial" w:hAnsi="Arial"/>
          <w:rtl/>
        </w:rPr>
      </w:pPr>
      <w:r>
        <w:rPr>
          <w:rFonts w:ascii="Arial" w:hAnsi="Arial" w:hint="cs"/>
          <w:rtl/>
        </w:rPr>
        <w:t>8</w:t>
      </w:r>
      <w:r w:rsidRPr="003D6BF6">
        <w:rPr>
          <w:rFonts w:ascii="Arial" w:hAnsi="Arial" w:hint="cs"/>
          <w:rtl/>
        </w:rPr>
        <w:t>.</w:t>
      </w:r>
      <w:r w:rsidRPr="003D6BF6">
        <w:rPr>
          <w:rFonts w:ascii="Arial" w:hAnsi="Arial" w:hint="cs"/>
          <w:rtl/>
        </w:rPr>
        <w:tab/>
        <w:t xml:space="preserve">בעניין נסיבותיו של הנאשם, טען בא-כוח המאשימה כי יש הנאשם נעדר הרשעות קודמות וכי הודה וחסך זמן שיפוטי. עם זאת, בעניין עבירות הסמים טען, כי משיקולי הרתעת היחיד והרתעת הרבים, יש למקם את עונשו בשליש התחתון של מתחם העונש. בעניין עבירות הנשק נטען, כי יש למקום את עונשו בשליש התחתון של המתחם, אך לא בחלקו התחתון וזאת משיקולי הרתעת היחיד והרבים. בהתאם לכך עתרה המאשימה להשית על הנאשם 40 חודשי מאסר בפועל בשל עבירות הנשק ועוד 8 חודשי מאסר בפועל בשל עבירות הסמים ובסך הכול 48 חודשי מאסר בפועל. זאת לצד מאסר מותנה וקנס. כן ביקש להורות על חילוט הנשק או השמדתו, בהתאם לשיקול דעת קצין החקירות. </w:t>
      </w:r>
    </w:p>
    <w:p w14:paraId="227423DC" w14:textId="77777777" w:rsidR="001C611F" w:rsidRPr="003D6BF6" w:rsidRDefault="001C611F" w:rsidP="001C611F">
      <w:pPr>
        <w:spacing w:line="360" w:lineRule="auto"/>
        <w:jc w:val="both"/>
        <w:rPr>
          <w:rFonts w:ascii="Arial" w:hAnsi="Arial"/>
          <w:rtl/>
        </w:rPr>
      </w:pPr>
    </w:p>
    <w:p w14:paraId="5C90677E" w14:textId="77777777" w:rsidR="001C611F" w:rsidRPr="003D6BF6" w:rsidRDefault="001C611F" w:rsidP="001C611F">
      <w:pPr>
        <w:spacing w:line="360" w:lineRule="auto"/>
        <w:ind w:firstLine="720"/>
        <w:jc w:val="both"/>
        <w:rPr>
          <w:rFonts w:ascii="Arial" w:hAnsi="Arial"/>
          <w:rtl/>
        </w:rPr>
      </w:pPr>
      <w:r w:rsidRPr="003D6BF6">
        <w:rPr>
          <w:rFonts w:ascii="Arial" w:hAnsi="Arial" w:hint="cs"/>
          <w:b/>
          <w:bCs/>
          <w:u w:val="single"/>
          <w:rtl/>
        </w:rPr>
        <w:t>טענות ההגנה</w:t>
      </w:r>
    </w:p>
    <w:p w14:paraId="2ADF2BEF" w14:textId="77777777" w:rsidR="001C611F" w:rsidRPr="003D6BF6" w:rsidRDefault="001C611F" w:rsidP="001C611F">
      <w:pPr>
        <w:spacing w:line="360" w:lineRule="auto"/>
        <w:jc w:val="both"/>
        <w:rPr>
          <w:rFonts w:ascii="Arial" w:hAnsi="Arial"/>
          <w:sz w:val="16"/>
          <w:szCs w:val="16"/>
          <w:rtl/>
        </w:rPr>
      </w:pPr>
    </w:p>
    <w:p w14:paraId="4EA53D86" w14:textId="77777777" w:rsidR="001C611F" w:rsidRPr="003D6BF6" w:rsidRDefault="001C611F" w:rsidP="001C611F">
      <w:pPr>
        <w:spacing w:line="360" w:lineRule="auto"/>
        <w:jc w:val="both"/>
        <w:rPr>
          <w:rFonts w:ascii="Arial" w:hAnsi="Arial"/>
          <w:rtl/>
        </w:rPr>
      </w:pPr>
      <w:r>
        <w:rPr>
          <w:rFonts w:ascii="Arial" w:hAnsi="Arial" w:hint="cs"/>
          <w:rtl/>
        </w:rPr>
        <w:t>9</w:t>
      </w:r>
      <w:r w:rsidRPr="003D6BF6">
        <w:rPr>
          <w:rFonts w:ascii="Arial" w:hAnsi="Arial" w:hint="cs"/>
          <w:rtl/>
        </w:rPr>
        <w:t>.</w:t>
      </w:r>
      <w:r w:rsidRPr="003D6BF6">
        <w:rPr>
          <w:rFonts w:ascii="Arial" w:hAnsi="Arial" w:hint="cs"/>
          <w:rtl/>
        </w:rPr>
        <w:tab/>
        <w:t xml:space="preserve">בא-כוח הנאשם טען כי מדובר בנאשם תושב שכונת בית חנינה בירושלים, יליד יוני 1995 (כבן 27), רווק, נעדר הרשעות קודמות, שמעולם לא היה מעורב בפלילים. אביו כבן 72, אינו עובד כעשרים שנה בשל מחלת לב. אמו עקרת בית, מעל גיל 50. לנאשם חמישה אחים וארבע אחיות בין גיל 9 ל-28. כולם אינם נשואים. המשפחה דלת אמצעים, גרה בדירה בת שלושה חדרים בתנאי מחייה קשים מאד ומתמודדת עם קשיי פרנסה. לטענת בא-כוח הנאשם, מדובר במשפחה מוכרת במזרח ירושלים כמשפחה טובה ונורמטיבית, שאינה מעורבת בפלילים. </w:t>
      </w:r>
    </w:p>
    <w:p w14:paraId="34362562" w14:textId="77777777" w:rsidR="001C611F" w:rsidRPr="003D6BF6" w:rsidRDefault="001C611F" w:rsidP="001C611F">
      <w:pPr>
        <w:spacing w:line="360" w:lineRule="auto"/>
        <w:jc w:val="both"/>
        <w:rPr>
          <w:rFonts w:ascii="Arial" w:hAnsi="Arial"/>
          <w:rtl/>
        </w:rPr>
      </w:pPr>
    </w:p>
    <w:p w14:paraId="1C44E311"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ביום 14.5.2022 קופחו חייו של וליד ז"ל, אחיו הצעיר של הנאשם שהיה כבן 21. הוא נהרג בשוגג במהלך מהומות שהיו בהר הבית, בעוד הוא היה במקום כעובר אורח תמים. לטענת בא-כוח הנאשם, הוא היה בחור נעים הליכות, שלא היה מעורב בפלילים והוא זה ששימש כאיש הקשר בינו לבין הנאשם. בא-כוח הנאשם טען, כי יש לשקול את מותו של וליד ז"ל, שהיה האח האהוב על הנאשם והקרוב אליו מבין כל האחים. לדבריו, הנאשם מתקשה להתמודד עם העובדה שלא השתתף בלוויה של אחיו, לאחר שבקשתו להשתתף בלוויה נדחתה ללא דיון. </w:t>
      </w:r>
    </w:p>
    <w:p w14:paraId="19C7BB13" w14:textId="77777777" w:rsidR="001C611F" w:rsidRPr="003D6BF6" w:rsidRDefault="001C611F" w:rsidP="001C611F">
      <w:pPr>
        <w:spacing w:line="360" w:lineRule="auto"/>
        <w:jc w:val="both"/>
        <w:rPr>
          <w:rFonts w:ascii="Arial" w:hAnsi="Arial"/>
        </w:rPr>
      </w:pPr>
    </w:p>
    <w:p w14:paraId="1E608EB6" w14:textId="77777777" w:rsidR="001C611F" w:rsidRPr="003D6BF6" w:rsidRDefault="001C611F" w:rsidP="001C611F">
      <w:pPr>
        <w:spacing w:line="360" w:lineRule="auto"/>
        <w:jc w:val="both"/>
        <w:rPr>
          <w:rFonts w:ascii="Arial" w:hAnsi="Arial"/>
          <w:rtl/>
        </w:rPr>
      </w:pPr>
      <w:r w:rsidRPr="003D6BF6">
        <w:rPr>
          <w:rFonts w:ascii="Arial" w:hAnsi="Arial" w:hint="cs"/>
          <w:rtl/>
        </w:rPr>
        <w:t>עוד טען בא-כוח הנאשם, כי לדברי הנאשם, הוא מעולם לא מכר סמים לאיש. לטענתו, הנשק והסמים הוחזקו ברכב שהיה מושבת וכי הוא הכיר באחריות לעבירות לאחר שהבין כי אחריותו נובעת מכך שהוא בעל הרכב, אולם לטענתו, אילו היה אומר מי הבעלים האמתי של הדברים שנתפסו ברכבו, הוא היה מסתבך בצרות שהן קשות מישיבה בכלא. מכל מקום הדגיש, כי הנאשם הודה בכך שעבר את העבירות וכי הוא מכיר באחריותו למעשים.</w:t>
      </w:r>
    </w:p>
    <w:p w14:paraId="794FA88A" w14:textId="77777777" w:rsidR="001C611F" w:rsidRPr="003D6BF6" w:rsidRDefault="001C611F" w:rsidP="001C611F">
      <w:pPr>
        <w:spacing w:line="360" w:lineRule="auto"/>
        <w:jc w:val="both"/>
        <w:rPr>
          <w:rFonts w:ascii="Arial" w:hAnsi="Arial"/>
          <w:rtl/>
        </w:rPr>
      </w:pPr>
    </w:p>
    <w:p w14:paraId="0001C0D4" w14:textId="77777777" w:rsidR="001C611F" w:rsidRPr="003D6BF6" w:rsidRDefault="001C611F" w:rsidP="001C611F">
      <w:pPr>
        <w:spacing w:line="360" w:lineRule="auto"/>
        <w:jc w:val="both"/>
        <w:rPr>
          <w:rFonts w:ascii="Arial" w:hAnsi="Arial"/>
          <w:rtl/>
        </w:rPr>
      </w:pPr>
      <w:r>
        <w:rPr>
          <w:rFonts w:ascii="Arial" w:hAnsi="Arial" w:hint="cs"/>
          <w:rtl/>
        </w:rPr>
        <w:t>10</w:t>
      </w:r>
      <w:r w:rsidRPr="003D6BF6">
        <w:rPr>
          <w:rFonts w:ascii="Arial" w:hAnsi="Arial" w:hint="cs"/>
          <w:rtl/>
        </w:rPr>
        <w:t>.</w:t>
      </w:r>
      <w:r w:rsidRPr="003D6BF6">
        <w:rPr>
          <w:rFonts w:ascii="Arial" w:hAnsi="Arial" w:hint="cs"/>
          <w:rtl/>
        </w:rPr>
        <w:tab/>
        <w:t xml:space="preserve">בא-כוח הנאשם טען כי פסקי הדין שהגיש בא-כוח המאשימה בעניין עבירות הנשק, אינם משקפים מדיניות ענישה רלוונטית, מאחר שבשניהם דובר גם בהרשעה בעבירת ירי מנשק חם באזור מגורים, ואף דובר בנסיבות שבהן לנאשם היו הרשעות קודמות, מה שאין כן לגבי הנאשם. </w:t>
      </w:r>
    </w:p>
    <w:p w14:paraId="5E4F40E2" w14:textId="77777777" w:rsidR="001C611F" w:rsidRPr="003D6BF6" w:rsidRDefault="001C611F" w:rsidP="001C611F">
      <w:pPr>
        <w:spacing w:line="360" w:lineRule="auto"/>
        <w:jc w:val="both"/>
        <w:rPr>
          <w:rFonts w:ascii="Arial" w:hAnsi="Arial"/>
          <w:rtl/>
        </w:rPr>
      </w:pPr>
    </w:p>
    <w:p w14:paraId="2178FCF7"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בעניין עבירות הנשק, הפנה בא-כוח הנאשם אל תשעת פסקי הדין הבאים: </w:t>
      </w:r>
      <w:hyperlink r:id="rId27" w:history="1">
        <w:r w:rsidR="002620FC" w:rsidRPr="002620FC">
          <w:rPr>
            <w:rFonts w:ascii="Arial" w:hAnsi="Arial"/>
            <w:color w:val="0000FF"/>
            <w:u w:val="single"/>
            <w:rtl/>
          </w:rPr>
          <w:t>ע"פ 8320/21</w:t>
        </w:r>
      </w:hyperlink>
      <w:r w:rsidRPr="003D6BF6">
        <w:rPr>
          <w:rFonts w:ascii="Arial" w:hAnsi="Arial" w:hint="cs"/>
          <w:rtl/>
        </w:rPr>
        <w:t xml:space="preserve"> </w:t>
      </w:r>
      <w:r w:rsidRPr="003D6BF6">
        <w:rPr>
          <w:rFonts w:ascii="Arial" w:hAnsi="Arial" w:hint="cs"/>
          <w:b/>
          <w:bCs/>
          <w:rtl/>
        </w:rPr>
        <w:t>מדינת ישראל נ' בסילה</w:t>
      </w:r>
      <w:r w:rsidRPr="003D6BF6">
        <w:rPr>
          <w:rFonts w:ascii="Arial" w:hAnsi="Arial" w:hint="cs"/>
          <w:rtl/>
        </w:rPr>
        <w:t xml:space="preserve"> (28.12.2021) – הרשעה בעבירת החזקת נשק ואביזרי תחמושת. בערעור הוחמר העונש מ-7 חודשי מאסר ל-14 חודשי מאסר; </w:t>
      </w:r>
      <w:hyperlink r:id="rId28" w:history="1">
        <w:r w:rsidR="002620FC" w:rsidRPr="002620FC">
          <w:rPr>
            <w:rFonts w:ascii="Arial" w:hAnsi="Arial"/>
            <w:color w:val="0000FF"/>
            <w:u w:val="single"/>
            <w:rtl/>
          </w:rPr>
          <w:t>ת"פ (מחוזי ירושלים) 35979-08-19</w:t>
        </w:r>
      </w:hyperlink>
      <w:r w:rsidRPr="003D6BF6">
        <w:rPr>
          <w:rFonts w:ascii="Arial" w:hAnsi="Arial" w:hint="cs"/>
          <w:rtl/>
        </w:rPr>
        <w:t xml:space="preserve"> </w:t>
      </w:r>
      <w:r w:rsidRPr="003D6BF6">
        <w:rPr>
          <w:rFonts w:ascii="Arial" w:hAnsi="Arial" w:hint="cs"/>
          <w:b/>
          <w:bCs/>
          <w:rtl/>
        </w:rPr>
        <w:t>מדינת ישראל נ' אבו נדה</w:t>
      </w:r>
      <w:r w:rsidRPr="003D6BF6">
        <w:rPr>
          <w:rFonts w:ascii="Arial" w:hAnsi="Arial" w:hint="cs"/>
          <w:rtl/>
        </w:rPr>
        <w:t xml:space="preserve"> (26.4.2020) – הרשעה בעבירת נשיאת נשק והובלתו, ירי באזור מגורים וחבלה במזיד לרכב. הושתו 20 חודשי מאסר; עניין </w:t>
      </w:r>
      <w:r w:rsidRPr="003D6BF6">
        <w:rPr>
          <w:rFonts w:ascii="Arial" w:hAnsi="Arial" w:hint="cs"/>
          <w:b/>
          <w:bCs/>
          <w:rtl/>
        </w:rPr>
        <w:t>פקיה</w:t>
      </w:r>
      <w:r w:rsidRPr="003D6BF6">
        <w:rPr>
          <w:rFonts w:ascii="Arial" w:hAnsi="Arial" w:hint="cs"/>
          <w:rtl/>
        </w:rPr>
        <w:t xml:space="preserve"> – הוגש גם באמצעות המאשימה (כמפורט לעיל); </w:t>
      </w:r>
      <w:hyperlink r:id="rId29" w:history="1">
        <w:r w:rsidR="002620FC" w:rsidRPr="002620FC">
          <w:rPr>
            <w:rFonts w:ascii="Arial" w:hAnsi="Arial"/>
            <w:color w:val="0000FF"/>
            <w:u w:val="single"/>
            <w:rtl/>
          </w:rPr>
          <w:t>ת"פ (מחוזי ירושלים) 34694-09-21</w:t>
        </w:r>
      </w:hyperlink>
      <w:r w:rsidRPr="003D6BF6">
        <w:rPr>
          <w:rFonts w:ascii="Arial" w:hAnsi="Arial" w:hint="cs"/>
          <w:rtl/>
        </w:rPr>
        <w:t xml:space="preserve"> </w:t>
      </w:r>
      <w:r w:rsidRPr="003D6BF6">
        <w:rPr>
          <w:rFonts w:ascii="Arial" w:hAnsi="Arial" w:hint="cs"/>
          <w:b/>
          <w:bCs/>
          <w:rtl/>
        </w:rPr>
        <w:t>מדינת ישראל נ' זהרה</w:t>
      </w:r>
      <w:r w:rsidRPr="003D6BF6">
        <w:rPr>
          <w:rFonts w:ascii="Arial" w:hAnsi="Arial" w:hint="cs"/>
          <w:rtl/>
        </w:rPr>
        <w:t xml:space="preserve"> (26.4.2022) – הרשעה בעבירת נשיאת נשק. הושתו 15 חודשי מאסר בפועל; </w:t>
      </w:r>
      <w:hyperlink r:id="rId30" w:history="1">
        <w:r w:rsidR="002620FC" w:rsidRPr="002620FC">
          <w:rPr>
            <w:rFonts w:ascii="Arial" w:hAnsi="Arial"/>
            <w:color w:val="0000FF"/>
            <w:u w:val="single"/>
            <w:rtl/>
          </w:rPr>
          <w:t>ע"פ 4332/21</w:t>
        </w:r>
      </w:hyperlink>
      <w:r w:rsidRPr="003D6BF6">
        <w:rPr>
          <w:rFonts w:ascii="Arial" w:hAnsi="Arial" w:hint="cs"/>
          <w:rtl/>
        </w:rPr>
        <w:t xml:space="preserve"> </w:t>
      </w:r>
      <w:r w:rsidRPr="003D6BF6">
        <w:rPr>
          <w:rFonts w:ascii="Arial" w:hAnsi="Arial" w:hint="cs"/>
          <w:b/>
          <w:bCs/>
          <w:rtl/>
        </w:rPr>
        <w:t>עאסלה נ' מדינת ישראל</w:t>
      </w:r>
      <w:r w:rsidRPr="003D6BF6">
        <w:rPr>
          <w:rFonts w:ascii="Arial" w:hAnsi="Arial" w:hint="cs"/>
          <w:rtl/>
        </w:rPr>
        <w:t xml:space="preserve"> (20.2.2022) – הרשעה בעבירת החזקת נשק. הושתו 15 חודשי מאסר בפועל; </w:t>
      </w:r>
      <w:hyperlink r:id="rId31" w:history="1">
        <w:r w:rsidR="002620FC" w:rsidRPr="002620FC">
          <w:rPr>
            <w:rFonts w:ascii="Arial" w:hAnsi="Arial"/>
            <w:color w:val="0000FF"/>
            <w:u w:val="single"/>
            <w:rtl/>
          </w:rPr>
          <w:t>ת"פ (מחוזי ירושלים) 51523-10-17</w:t>
        </w:r>
      </w:hyperlink>
      <w:r w:rsidRPr="003D6BF6">
        <w:rPr>
          <w:rFonts w:ascii="Arial" w:hAnsi="Arial" w:hint="cs"/>
          <w:rtl/>
        </w:rPr>
        <w:t xml:space="preserve"> </w:t>
      </w:r>
      <w:r w:rsidRPr="003D6BF6">
        <w:rPr>
          <w:rFonts w:ascii="Arial" w:hAnsi="Arial" w:hint="cs"/>
          <w:b/>
          <w:bCs/>
          <w:rtl/>
        </w:rPr>
        <w:t>מדינת ישראל נ' בזלמית</w:t>
      </w:r>
      <w:r w:rsidRPr="003D6BF6">
        <w:rPr>
          <w:rFonts w:ascii="Arial" w:hAnsi="Arial" w:hint="cs"/>
          <w:rtl/>
        </w:rPr>
        <w:t xml:space="preserve"> (2.5.2018) – הרשעה בעבירת רכישת נשק ואביזר נשק, נשיאת נשק והובלתו. הושתו 9 חודשי מאסר בפועל; ת"פ (מחוזי ירושלים) 7053-03-21 </w:t>
      </w:r>
      <w:r w:rsidRPr="003D6BF6">
        <w:rPr>
          <w:rFonts w:ascii="Arial" w:hAnsi="Arial" w:hint="cs"/>
          <w:b/>
          <w:bCs/>
          <w:rtl/>
        </w:rPr>
        <w:t>מדינת ישראל נ' רבאיעה</w:t>
      </w:r>
      <w:r w:rsidRPr="003D6BF6">
        <w:rPr>
          <w:rFonts w:ascii="Arial" w:hAnsi="Arial" w:hint="cs"/>
          <w:rtl/>
        </w:rPr>
        <w:t xml:space="preserve"> (24.1.2022) – הרשעה בעבירת רכישת נשק ובעבירת נשיאת נשק. הושתו 20 חודשי מאסר בפועל; </w:t>
      </w:r>
      <w:hyperlink r:id="rId32" w:history="1">
        <w:r w:rsidR="002620FC" w:rsidRPr="002620FC">
          <w:rPr>
            <w:rFonts w:ascii="Arial" w:hAnsi="Arial"/>
            <w:color w:val="0000FF"/>
            <w:u w:val="single"/>
            <w:rtl/>
          </w:rPr>
          <w:t>ת"פ (מחוזי ירושלים) 52515-03-20</w:t>
        </w:r>
      </w:hyperlink>
      <w:r w:rsidRPr="003D6BF6">
        <w:rPr>
          <w:rFonts w:ascii="Arial" w:hAnsi="Arial" w:hint="cs"/>
          <w:rtl/>
        </w:rPr>
        <w:t xml:space="preserve"> </w:t>
      </w:r>
      <w:r w:rsidRPr="003D6BF6">
        <w:rPr>
          <w:rFonts w:ascii="Arial" w:hAnsi="Arial" w:hint="cs"/>
          <w:b/>
          <w:bCs/>
          <w:rtl/>
        </w:rPr>
        <w:t>מדינת ישראל נ' סנדוקה</w:t>
      </w:r>
      <w:r w:rsidRPr="003D6BF6">
        <w:rPr>
          <w:rFonts w:ascii="Arial" w:hAnsi="Arial" w:hint="cs"/>
          <w:rtl/>
        </w:rPr>
        <w:t xml:space="preserve"> (19.10.2020), בעניין הנאשם 2 – הרשעה בעבירת החזקת נשק. הושתו 7 חודשי מאסר בפועל; </w:t>
      </w:r>
      <w:hyperlink r:id="rId33" w:history="1">
        <w:r w:rsidR="002620FC" w:rsidRPr="002620FC">
          <w:rPr>
            <w:rFonts w:ascii="Arial" w:hAnsi="Arial"/>
            <w:color w:val="0000FF"/>
            <w:u w:val="single"/>
            <w:rtl/>
          </w:rPr>
          <w:t>ת"פ (מחוזי ירושלים) 60648-07-18</w:t>
        </w:r>
      </w:hyperlink>
      <w:r w:rsidRPr="003D6BF6">
        <w:rPr>
          <w:rFonts w:ascii="Arial" w:hAnsi="Arial" w:hint="cs"/>
          <w:rtl/>
        </w:rPr>
        <w:t xml:space="preserve"> </w:t>
      </w:r>
      <w:r w:rsidRPr="003D6BF6">
        <w:rPr>
          <w:rFonts w:ascii="Arial" w:hAnsi="Arial" w:hint="cs"/>
          <w:b/>
          <w:bCs/>
          <w:rtl/>
        </w:rPr>
        <w:t>מדינת ישראל נ' מונה</w:t>
      </w:r>
      <w:r w:rsidRPr="003D6BF6">
        <w:rPr>
          <w:rFonts w:ascii="Arial" w:hAnsi="Arial" w:hint="cs"/>
          <w:rtl/>
        </w:rPr>
        <w:t xml:space="preserve"> (19.1.2019) – הרשעה בעבירת קשירת קשר לפשע ובעבירת נשיאת נשק והובלתו. הושתו 12 חודשי מאסר בפועל. </w:t>
      </w:r>
    </w:p>
    <w:p w14:paraId="398D4F6C" w14:textId="77777777" w:rsidR="001C611F" w:rsidRPr="003D6BF6" w:rsidRDefault="001C611F" w:rsidP="001C611F">
      <w:pPr>
        <w:spacing w:line="360" w:lineRule="auto"/>
        <w:jc w:val="both"/>
        <w:rPr>
          <w:rFonts w:ascii="Arial" w:hAnsi="Arial"/>
          <w:rtl/>
        </w:rPr>
      </w:pPr>
    </w:p>
    <w:p w14:paraId="7D2CA4D8" w14:textId="77777777" w:rsidR="001C611F" w:rsidRPr="003D6BF6" w:rsidRDefault="001C611F" w:rsidP="001C611F">
      <w:pPr>
        <w:spacing w:line="360" w:lineRule="auto"/>
        <w:jc w:val="both"/>
        <w:rPr>
          <w:rFonts w:ascii="Arial" w:hAnsi="Arial"/>
          <w:rtl/>
        </w:rPr>
      </w:pPr>
      <w:r w:rsidRPr="003D6BF6">
        <w:rPr>
          <w:rFonts w:ascii="Arial" w:hAnsi="Arial" w:hint="cs"/>
          <w:rtl/>
        </w:rPr>
        <w:t>בהתאם לפסקי הדין האמורים טען בא-כוח הנאשם, כי הענישה על עבירת החזקת נשק היא בדרך כלל בין כ-10 ל-20 חודשי מאסר בפועל. לטענתו, במקרים שבהם העונש היה חמור יותר, היה זה בשל נסיבות מחמירות כגון, הרשעה גם בעבירת ירי באזור מגורים, הרשעות קודמות רבות וכדומה. לפיכך לטענתו, על עונש המאסר שייקבע להיות בין 10 ל-18 חודשי מאסר בפועל.</w:t>
      </w:r>
    </w:p>
    <w:p w14:paraId="34BCDEAB" w14:textId="77777777" w:rsidR="001C611F" w:rsidRPr="003D6BF6" w:rsidRDefault="001C611F" w:rsidP="001C611F">
      <w:pPr>
        <w:spacing w:line="360" w:lineRule="auto"/>
        <w:jc w:val="both"/>
        <w:rPr>
          <w:rFonts w:ascii="Arial" w:hAnsi="Arial"/>
          <w:rtl/>
        </w:rPr>
      </w:pPr>
    </w:p>
    <w:p w14:paraId="4CB704B0"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בעניין עבירות הסמים הפנה אל ארבעת פסקי הדין הבאים: </w:t>
      </w:r>
      <w:hyperlink r:id="rId34" w:history="1">
        <w:r w:rsidR="002620FC" w:rsidRPr="002620FC">
          <w:rPr>
            <w:rFonts w:ascii="Arial" w:hAnsi="Arial"/>
            <w:color w:val="0000FF"/>
            <w:u w:val="single"/>
            <w:rtl/>
          </w:rPr>
          <w:t>עפ"ג (מחוזי ירושלים) 29138-07-17</w:t>
        </w:r>
      </w:hyperlink>
      <w:r w:rsidRPr="003D6BF6">
        <w:rPr>
          <w:rFonts w:ascii="Arial" w:hAnsi="Arial" w:hint="cs"/>
          <w:rtl/>
        </w:rPr>
        <w:t xml:space="preserve"> מדינת </w:t>
      </w:r>
      <w:r w:rsidRPr="003D6BF6">
        <w:rPr>
          <w:rFonts w:ascii="Arial" w:hAnsi="Arial" w:hint="cs"/>
          <w:b/>
          <w:bCs/>
          <w:rtl/>
        </w:rPr>
        <w:t>ישראל נ' ג'ית</w:t>
      </w:r>
      <w:r w:rsidRPr="003D6BF6">
        <w:rPr>
          <w:rFonts w:ascii="Arial" w:hAnsi="Arial" w:hint="cs"/>
          <w:rtl/>
        </w:rPr>
        <w:t xml:space="preserve"> (17.8.2017) – הרשעה בעבירת החזקת סמים מסוג חשיש במשקל 1.188 ק"ג ו-408 טבליות </w:t>
      </w:r>
      <w:r w:rsidRPr="003D6BF6">
        <w:rPr>
          <w:rFonts w:ascii="Arial" w:hAnsi="Arial"/>
        </w:rPr>
        <w:t>MDMA</w:t>
      </w:r>
      <w:r w:rsidRPr="003D6BF6">
        <w:rPr>
          <w:rFonts w:ascii="Arial" w:hAnsi="Arial" w:hint="cs"/>
          <w:rtl/>
        </w:rPr>
        <w:t xml:space="preserve">. העונש הוחמר בערעור ל-14 חודשי מאסר בפועל (במקום 9 חודשים), לצד פסילת רישיון נהיגה וענישה נלווית; </w:t>
      </w:r>
      <w:hyperlink r:id="rId35" w:history="1">
        <w:r w:rsidR="002620FC" w:rsidRPr="002620FC">
          <w:rPr>
            <w:rFonts w:ascii="Arial" w:hAnsi="Arial"/>
            <w:color w:val="0000FF"/>
            <w:u w:val="single"/>
            <w:rtl/>
          </w:rPr>
          <w:t>עפ"ג (מחוזי ירושלים) 22429-04-13</w:t>
        </w:r>
      </w:hyperlink>
      <w:r w:rsidRPr="003D6BF6">
        <w:rPr>
          <w:rFonts w:ascii="Arial" w:hAnsi="Arial" w:hint="cs"/>
          <w:rtl/>
        </w:rPr>
        <w:t xml:space="preserve"> </w:t>
      </w:r>
      <w:r w:rsidRPr="003D6BF6">
        <w:rPr>
          <w:rFonts w:ascii="Arial" w:hAnsi="Arial" w:hint="cs"/>
          <w:b/>
          <w:bCs/>
          <w:rtl/>
        </w:rPr>
        <w:t>מדינת ישראל נ' נשאשיבי</w:t>
      </w:r>
      <w:r w:rsidRPr="003D6BF6">
        <w:rPr>
          <w:rFonts w:ascii="Arial" w:hAnsi="Arial" w:hint="cs"/>
          <w:rtl/>
        </w:rPr>
        <w:t xml:space="preserve"> (12.5.2013) – הרשעה בעבירת החזקת סמים ובעבירות נהיגה ללא רישיון נהיגה וללא ביטוח. הושתו 8.5 חודשי מאסר בפועל; </w:t>
      </w:r>
      <w:hyperlink r:id="rId36" w:history="1">
        <w:r w:rsidR="002620FC" w:rsidRPr="002620FC">
          <w:rPr>
            <w:rFonts w:ascii="Arial" w:hAnsi="Arial"/>
            <w:color w:val="0000FF"/>
            <w:u w:val="single"/>
            <w:rtl/>
          </w:rPr>
          <w:t>עפ"ג (מחוזי ירושלים) 30863-07-11</w:t>
        </w:r>
      </w:hyperlink>
      <w:r w:rsidRPr="003D6BF6">
        <w:rPr>
          <w:rFonts w:ascii="Arial" w:hAnsi="Arial" w:hint="cs"/>
          <w:rtl/>
        </w:rPr>
        <w:t xml:space="preserve"> </w:t>
      </w:r>
      <w:r w:rsidRPr="003D6BF6">
        <w:rPr>
          <w:rFonts w:ascii="Arial" w:hAnsi="Arial" w:hint="cs"/>
          <w:b/>
          <w:bCs/>
          <w:rtl/>
        </w:rPr>
        <w:t>מדינת ישראל נ' סלאימה</w:t>
      </w:r>
      <w:r w:rsidRPr="003D6BF6">
        <w:rPr>
          <w:rFonts w:ascii="Arial" w:hAnsi="Arial" w:hint="cs"/>
          <w:rtl/>
        </w:rPr>
        <w:t xml:space="preserve"> (23.5.2012) – הרשעה במספר עבירות סמים וכן צורפו הליכים נוספים. הושתו 5 חודשי מאסר בעבודות שירות. ערעור המדינה התקבל והעונש הוחמר ל-6 חודשי מאסר בפעול; עפ"ג (מחוזי חיפה), 50966-05-15 </w:t>
      </w:r>
      <w:r w:rsidRPr="003D6BF6">
        <w:rPr>
          <w:rFonts w:ascii="Arial" w:hAnsi="Arial" w:hint="cs"/>
          <w:b/>
          <w:bCs/>
          <w:rtl/>
        </w:rPr>
        <w:t>מדינת ישראל נ' נתנוב</w:t>
      </w:r>
      <w:r w:rsidRPr="003D6BF6">
        <w:rPr>
          <w:rFonts w:ascii="Arial" w:hAnsi="Arial" w:hint="cs"/>
          <w:rtl/>
        </w:rPr>
        <w:t xml:space="preserve"> (8.10.2015) – הרשעה בעבירות סמים. הושתו 300 שעות של"ץ. הערעור התקבל רק בעניין הגדלת סכום הקנס; </w:t>
      </w:r>
      <w:hyperlink r:id="rId37" w:history="1">
        <w:r w:rsidR="002620FC" w:rsidRPr="002620FC">
          <w:rPr>
            <w:rFonts w:ascii="Arial" w:hAnsi="Arial"/>
            <w:color w:val="0000FF"/>
            <w:u w:val="single"/>
            <w:rtl/>
          </w:rPr>
          <w:t>רע"פ 1787/15</w:t>
        </w:r>
      </w:hyperlink>
      <w:r w:rsidRPr="003D6BF6">
        <w:rPr>
          <w:rFonts w:ascii="Arial" w:hAnsi="Arial" w:hint="cs"/>
          <w:rtl/>
        </w:rPr>
        <w:t xml:space="preserve"> </w:t>
      </w:r>
      <w:r w:rsidRPr="003D6BF6">
        <w:rPr>
          <w:rFonts w:ascii="Arial" w:hAnsi="Arial" w:hint="cs"/>
          <w:b/>
          <w:bCs/>
          <w:rtl/>
        </w:rPr>
        <w:t>עמר נ' מדינת ישראל</w:t>
      </w:r>
      <w:r w:rsidRPr="003D6BF6">
        <w:rPr>
          <w:rFonts w:ascii="Arial" w:hAnsi="Arial" w:hint="cs"/>
          <w:rtl/>
        </w:rPr>
        <w:t xml:space="preserve"> (24.3.2015) – הרשעה בעבירת גידול סמים מסוג קנאבוס ובעבירות סמים נוספות. נקבע מתחם עונש בין 8 ל-20 חודשי מאסר והושתו 8 חודשי מאסר. בקשת רשות הערעור נדחתה; </w:t>
      </w:r>
      <w:hyperlink r:id="rId38" w:history="1">
        <w:r w:rsidR="002620FC" w:rsidRPr="002620FC">
          <w:rPr>
            <w:rFonts w:ascii="Arial" w:hAnsi="Arial"/>
            <w:color w:val="0000FF"/>
            <w:u w:val="single"/>
            <w:rtl/>
          </w:rPr>
          <w:t>עפ"ג (מחוזי מרכז)  8650-04-15</w:t>
        </w:r>
      </w:hyperlink>
      <w:r w:rsidRPr="003D6BF6">
        <w:rPr>
          <w:rFonts w:ascii="Arial" w:hAnsi="Arial" w:hint="cs"/>
          <w:rtl/>
        </w:rPr>
        <w:t xml:space="preserve"> </w:t>
      </w:r>
      <w:r w:rsidRPr="003D6BF6">
        <w:rPr>
          <w:rFonts w:ascii="Arial" w:hAnsi="Arial" w:hint="cs"/>
          <w:b/>
          <w:bCs/>
          <w:rtl/>
        </w:rPr>
        <w:t>שוורץ נ' מדינת ישראל</w:t>
      </w:r>
      <w:r w:rsidRPr="003D6BF6">
        <w:rPr>
          <w:rFonts w:ascii="Arial" w:hAnsi="Arial" w:hint="cs"/>
          <w:rtl/>
        </w:rPr>
        <w:t xml:space="preserve"> (22.12.2015) – הרשעה בעבירות סמים שונות בקשר למעבדה לגידול סמים. נקבע מתחם עונש בין 6 ל-24 חודשי מאסר והושתו 9 חודשי מאסר. </w:t>
      </w:r>
    </w:p>
    <w:p w14:paraId="243BA11E" w14:textId="77777777" w:rsidR="001C611F" w:rsidRPr="003D6BF6" w:rsidRDefault="001C611F" w:rsidP="001C611F">
      <w:pPr>
        <w:spacing w:line="360" w:lineRule="auto"/>
        <w:jc w:val="both"/>
        <w:rPr>
          <w:rFonts w:ascii="Arial" w:hAnsi="Arial"/>
          <w:rtl/>
        </w:rPr>
      </w:pPr>
    </w:p>
    <w:p w14:paraId="1EA0B2D3" w14:textId="77777777" w:rsidR="001C611F" w:rsidRPr="003D6BF6" w:rsidRDefault="001C611F" w:rsidP="001C611F">
      <w:pPr>
        <w:spacing w:line="360" w:lineRule="auto"/>
        <w:jc w:val="both"/>
        <w:rPr>
          <w:rFonts w:ascii="Arial" w:hAnsi="Arial"/>
          <w:rtl/>
        </w:rPr>
      </w:pPr>
      <w:r w:rsidRPr="003D6BF6">
        <w:rPr>
          <w:rFonts w:ascii="Arial" w:hAnsi="Arial" w:hint="cs"/>
          <w:rtl/>
        </w:rPr>
        <w:t>1</w:t>
      </w:r>
      <w:r>
        <w:rPr>
          <w:rFonts w:ascii="Arial" w:hAnsi="Arial" w:hint="cs"/>
          <w:rtl/>
        </w:rPr>
        <w:t>1</w:t>
      </w:r>
      <w:r w:rsidRPr="003D6BF6">
        <w:rPr>
          <w:rFonts w:ascii="Arial" w:hAnsi="Arial" w:hint="cs"/>
          <w:rtl/>
        </w:rPr>
        <w:t>.</w:t>
      </w:r>
      <w:r w:rsidRPr="003D6BF6">
        <w:rPr>
          <w:rFonts w:ascii="Arial" w:hAnsi="Arial" w:hint="cs"/>
          <w:rtl/>
        </w:rPr>
        <w:tab/>
        <w:t>בא-כוח הנאשם טען כי רוב פסקי הדין שאליהם הפנה עוסקים בנסיבות חמורות מהנסיבות הנדונות ולפיכך על הנאשם יש להשית עונש מקל יותר. זאת לטענתו, בין השאר, בשל נסיבותיו של הנאשם, כפי שפורטו לעיל. לטענתו, על מתחם העונש להיות לכל היותר בין 6 ל-18 חודשי מאסר בפועל ולכל היותר להחמיר במאסר המותנה אשר ישמש גורם מרתיע מפני חזרה לעבור עבירות.</w:t>
      </w:r>
    </w:p>
    <w:p w14:paraId="15F9019A" w14:textId="77777777" w:rsidR="001C611F" w:rsidRPr="003D6BF6" w:rsidRDefault="001C611F" w:rsidP="001C611F">
      <w:pPr>
        <w:spacing w:line="360" w:lineRule="auto"/>
        <w:jc w:val="both"/>
        <w:rPr>
          <w:rFonts w:ascii="Arial" w:hAnsi="Arial"/>
          <w:rtl/>
        </w:rPr>
      </w:pPr>
    </w:p>
    <w:p w14:paraId="0CBF2639" w14:textId="77777777" w:rsidR="001C611F" w:rsidRPr="003D6BF6" w:rsidRDefault="001C611F" w:rsidP="001C611F">
      <w:pPr>
        <w:spacing w:line="360" w:lineRule="auto"/>
        <w:jc w:val="both"/>
        <w:rPr>
          <w:rFonts w:ascii="Arial" w:hAnsi="Arial"/>
          <w:b/>
          <w:bCs/>
          <w:u w:val="single"/>
          <w:rtl/>
        </w:rPr>
      </w:pPr>
      <w:r w:rsidRPr="003D6BF6">
        <w:rPr>
          <w:rFonts w:ascii="Arial" w:hAnsi="Arial" w:hint="cs"/>
          <w:rtl/>
        </w:rPr>
        <w:tab/>
      </w:r>
      <w:r w:rsidRPr="003D6BF6">
        <w:rPr>
          <w:rFonts w:ascii="Arial" w:hAnsi="Arial" w:hint="cs"/>
          <w:b/>
          <w:bCs/>
          <w:u w:val="single"/>
          <w:rtl/>
        </w:rPr>
        <w:t>דברי הנאשם</w:t>
      </w:r>
    </w:p>
    <w:p w14:paraId="1C2A11CE" w14:textId="77777777" w:rsidR="001C611F" w:rsidRPr="003D6BF6" w:rsidRDefault="001C611F" w:rsidP="001C611F">
      <w:pPr>
        <w:spacing w:line="360" w:lineRule="auto"/>
        <w:jc w:val="both"/>
        <w:rPr>
          <w:rFonts w:ascii="Arial" w:hAnsi="Arial"/>
          <w:sz w:val="16"/>
          <w:szCs w:val="16"/>
          <w:rtl/>
        </w:rPr>
      </w:pPr>
    </w:p>
    <w:p w14:paraId="14F9CF0D" w14:textId="77777777" w:rsidR="001C611F" w:rsidRPr="003D6BF6" w:rsidRDefault="001C611F" w:rsidP="001C611F">
      <w:pPr>
        <w:spacing w:line="360" w:lineRule="auto"/>
        <w:jc w:val="both"/>
        <w:rPr>
          <w:rFonts w:ascii="Arial" w:hAnsi="Arial"/>
          <w:rtl/>
        </w:rPr>
      </w:pPr>
      <w:r w:rsidRPr="003D6BF6">
        <w:rPr>
          <w:rFonts w:ascii="Arial" w:hAnsi="Arial" w:hint="cs"/>
          <w:rtl/>
        </w:rPr>
        <w:t>1</w:t>
      </w:r>
      <w:r>
        <w:rPr>
          <w:rFonts w:ascii="Arial" w:hAnsi="Arial" w:hint="cs"/>
          <w:rtl/>
        </w:rPr>
        <w:t>2</w:t>
      </w:r>
      <w:r w:rsidRPr="003D6BF6">
        <w:rPr>
          <w:rFonts w:ascii="Arial" w:hAnsi="Arial" w:hint="cs"/>
          <w:rtl/>
        </w:rPr>
        <w:t xml:space="preserve">. </w:t>
      </w:r>
      <w:r w:rsidRPr="003D6BF6">
        <w:rPr>
          <w:rFonts w:ascii="Arial" w:hAnsi="Arial" w:hint="cs"/>
          <w:rtl/>
        </w:rPr>
        <w:tab/>
        <w:t xml:space="preserve">הנאשם אמר שהוא מצטער על הטעות שעשה וכי הוא מודע לכך שעשה טעות. הוא מתחרט על מעשיו גם בגלל מות אחיו, שאליו היה קשור. עוד אמר, כי הוא יודע שלא יחזור לעבור עבירות נוספות וכי הוא מודה לבית המשפט. </w:t>
      </w:r>
    </w:p>
    <w:p w14:paraId="4E88D693" w14:textId="77777777" w:rsidR="001C611F" w:rsidRPr="003D6BF6" w:rsidRDefault="001C611F" w:rsidP="001C611F">
      <w:pPr>
        <w:spacing w:line="360" w:lineRule="auto"/>
        <w:jc w:val="both"/>
        <w:rPr>
          <w:rFonts w:ascii="Arial" w:hAnsi="Arial"/>
          <w:rtl/>
        </w:rPr>
      </w:pPr>
    </w:p>
    <w:p w14:paraId="729CAFB9" w14:textId="77777777" w:rsidR="001C611F" w:rsidRPr="003D6BF6" w:rsidRDefault="001C611F" w:rsidP="001C611F">
      <w:pPr>
        <w:spacing w:line="360" w:lineRule="auto"/>
        <w:jc w:val="both"/>
        <w:rPr>
          <w:rFonts w:ascii="Arial" w:hAnsi="Arial"/>
          <w:b/>
          <w:bCs/>
          <w:u w:val="single"/>
          <w:rtl/>
        </w:rPr>
      </w:pPr>
      <w:r w:rsidRPr="003D6BF6">
        <w:rPr>
          <w:rFonts w:ascii="Arial" w:hAnsi="Arial" w:hint="cs"/>
          <w:b/>
          <w:bCs/>
          <w:u w:val="single"/>
          <w:rtl/>
        </w:rPr>
        <w:t>דיון והכרעה</w:t>
      </w:r>
    </w:p>
    <w:p w14:paraId="000E42BF" w14:textId="77777777" w:rsidR="001C611F" w:rsidRPr="003D6BF6" w:rsidRDefault="001C611F" w:rsidP="001C611F">
      <w:pPr>
        <w:spacing w:line="360" w:lineRule="auto"/>
        <w:jc w:val="both"/>
        <w:rPr>
          <w:rFonts w:ascii="Arial" w:hAnsi="Arial"/>
          <w:b/>
          <w:bCs/>
          <w:sz w:val="16"/>
          <w:szCs w:val="16"/>
          <w:u w:val="single"/>
          <w:rtl/>
        </w:rPr>
      </w:pPr>
    </w:p>
    <w:p w14:paraId="3E235AA6" w14:textId="77777777" w:rsidR="001C611F" w:rsidRPr="003D6BF6" w:rsidRDefault="001C611F" w:rsidP="001C611F">
      <w:pPr>
        <w:spacing w:line="360" w:lineRule="auto"/>
        <w:jc w:val="both"/>
        <w:rPr>
          <w:rFonts w:ascii="Arial" w:hAnsi="Arial"/>
          <w:b/>
          <w:bCs/>
          <w:u w:val="single"/>
          <w:rtl/>
        </w:rPr>
      </w:pPr>
      <w:r w:rsidRPr="003D6BF6">
        <w:rPr>
          <w:rFonts w:ascii="Arial" w:hAnsi="Arial" w:hint="cs"/>
          <w:b/>
          <w:bCs/>
          <w:u w:val="single"/>
          <w:rtl/>
        </w:rPr>
        <w:t>קביעת מתחם העונש ההולם</w:t>
      </w:r>
    </w:p>
    <w:p w14:paraId="6D597429" w14:textId="77777777" w:rsidR="001C611F" w:rsidRPr="003D6BF6" w:rsidRDefault="001C611F" w:rsidP="001C611F">
      <w:pPr>
        <w:spacing w:line="360" w:lineRule="auto"/>
        <w:jc w:val="both"/>
        <w:rPr>
          <w:rFonts w:ascii="Arial" w:hAnsi="Arial"/>
          <w:b/>
          <w:bCs/>
          <w:sz w:val="16"/>
          <w:szCs w:val="16"/>
          <w:u w:val="single"/>
          <w:rtl/>
        </w:rPr>
      </w:pPr>
    </w:p>
    <w:p w14:paraId="1BCA38EA" w14:textId="77777777" w:rsidR="001C611F" w:rsidRPr="003D6BF6" w:rsidRDefault="001C611F" w:rsidP="001C611F">
      <w:pPr>
        <w:spacing w:line="360" w:lineRule="auto"/>
        <w:ind w:firstLine="720"/>
        <w:jc w:val="both"/>
        <w:rPr>
          <w:rFonts w:ascii="Arial" w:hAnsi="Arial"/>
          <w:rtl/>
        </w:rPr>
      </w:pPr>
      <w:r w:rsidRPr="003D6BF6">
        <w:rPr>
          <w:rFonts w:ascii="Arial" w:hAnsi="Arial" w:hint="cs"/>
          <w:b/>
          <w:bCs/>
          <w:u w:val="single"/>
          <w:rtl/>
        </w:rPr>
        <w:t>הערכים החברתיים שנפגעו מעבירות הנשק, חומרתן ומדיניות הענישה הנהוגה</w:t>
      </w:r>
    </w:p>
    <w:p w14:paraId="37F631C4" w14:textId="77777777" w:rsidR="001C611F" w:rsidRPr="003D6BF6" w:rsidRDefault="001C611F" w:rsidP="001C611F">
      <w:pPr>
        <w:spacing w:line="360" w:lineRule="auto"/>
        <w:jc w:val="both"/>
        <w:rPr>
          <w:rFonts w:ascii="Arial" w:hAnsi="Arial"/>
          <w:sz w:val="16"/>
          <w:szCs w:val="16"/>
          <w:rtl/>
        </w:rPr>
      </w:pPr>
    </w:p>
    <w:p w14:paraId="7ADFEDFD" w14:textId="77777777" w:rsidR="001C611F" w:rsidRPr="003D6BF6" w:rsidRDefault="001C611F" w:rsidP="001C611F">
      <w:pPr>
        <w:spacing w:line="360" w:lineRule="auto"/>
        <w:jc w:val="both"/>
        <w:rPr>
          <w:rFonts w:ascii="Arial" w:hAnsi="Arial"/>
          <w:rtl/>
        </w:rPr>
      </w:pPr>
      <w:r w:rsidRPr="003D6BF6">
        <w:rPr>
          <w:rFonts w:ascii="Arial" w:hAnsi="Arial" w:hint="cs"/>
          <w:rtl/>
        </w:rPr>
        <w:t>1</w:t>
      </w:r>
      <w:r>
        <w:rPr>
          <w:rFonts w:ascii="Arial" w:hAnsi="Arial" w:hint="cs"/>
          <w:rtl/>
        </w:rPr>
        <w:t>3</w:t>
      </w:r>
      <w:r w:rsidRPr="003D6BF6">
        <w:rPr>
          <w:rFonts w:ascii="Arial" w:hAnsi="Arial" w:hint="cs"/>
          <w:rtl/>
        </w:rPr>
        <w:t>.</w:t>
      </w:r>
      <w:r w:rsidRPr="003D6BF6">
        <w:rPr>
          <w:rFonts w:ascii="Arial" w:hAnsi="Arial" w:hint="cs"/>
          <w:rtl/>
        </w:rPr>
        <w:tab/>
        <w:t xml:space="preserve">מפסיקת בית המשפט העליון שניתנה במהלך החודשים האחרונים, עולה מגמת החמרה בענישה המושתת בשל עבירות נשק. זאת, כפי שנקבע לא אחת, לנוכח חומרת עבירות הנשק לסוגיהן אשר הפכו זה מכבר ל"מכת מדינה". כך בין השאר, נקבע בעניין </w:t>
      </w:r>
      <w:hyperlink r:id="rId39" w:history="1">
        <w:r w:rsidR="002620FC" w:rsidRPr="002620FC">
          <w:rPr>
            <w:rFonts w:ascii="Arial" w:hAnsi="Arial"/>
            <w:color w:val="0000FF"/>
            <w:u w:val="single"/>
            <w:rtl/>
          </w:rPr>
          <w:t>ע"פ 587/22</w:t>
        </w:r>
      </w:hyperlink>
      <w:r w:rsidR="002620FC">
        <w:rPr>
          <w:rFonts w:ascii="Arial" w:hAnsi="Arial" w:hint="cs"/>
          <w:rtl/>
        </w:rPr>
        <w:t xml:space="preserve"> </w:t>
      </w:r>
      <w:r w:rsidRPr="003D6BF6">
        <w:rPr>
          <w:rFonts w:ascii="Arial" w:hAnsi="Arial" w:hint="cs"/>
          <w:b/>
          <w:bCs/>
          <w:rtl/>
        </w:rPr>
        <w:t xml:space="preserve">אבו נאעסה נ' מדינת ישראל </w:t>
      </w:r>
      <w:r w:rsidRPr="003D6BF6">
        <w:rPr>
          <w:rFonts w:ascii="Arial" w:hAnsi="Arial" w:hint="cs"/>
          <w:rtl/>
        </w:rPr>
        <w:t xml:space="preserve">(22.5.2022)‏‏ (כבוד השופט י' אלרון, פסקה 9) (להלן – </w:t>
      </w:r>
      <w:r w:rsidRPr="003D6BF6">
        <w:rPr>
          <w:rFonts w:ascii="Arial" w:hAnsi="Arial" w:hint="cs"/>
          <w:b/>
          <w:bCs/>
          <w:rtl/>
        </w:rPr>
        <w:t>עניין אבו נאעסה</w:t>
      </w:r>
      <w:r w:rsidRPr="003D6BF6">
        <w:rPr>
          <w:rFonts w:ascii="Arial" w:hAnsi="Arial" w:hint="cs"/>
          <w:rtl/>
        </w:rPr>
        <w:t>):</w:t>
      </w:r>
    </w:p>
    <w:p w14:paraId="7BB9EF2E" w14:textId="77777777" w:rsidR="001C611F" w:rsidRPr="003D6BF6" w:rsidRDefault="001C611F" w:rsidP="001C611F">
      <w:pPr>
        <w:spacing w:line="360" w:lineRule="auto"/>
        <w:jc w:val="both"/>
        <w:rPr>
          <w:rFonts w:ascii="Arial" w:hAnsi="Arial"/>
          <w:rtl/>
        </w:rPr>
      </w:pPr>
    </w:p>
    <w:p w14:paraId="2719A3AF" w14:textId="77777777" w:rsidR="001C611F" w:rsidRPr="003D6BF6" w:rsidRDefault="001C611F" w:rsidP="001C611F">
      <w:pPr>
        <w:ind w:left="1440"/>
        <w:jc w:val="both"/>
        <w:rPr>
          <w:rFonts w:ascii="Arial" w:hAnsi="Arial"/>
          <w:rtl/>
        </w:rPr>
      </w:pPr>
      <w:r w:rsidRPr="003D6BF6">
        <w:rPr>
          <w:rFonts w:ascii="Arial" w:hAnsi="Arial" w:hint="cs"/>
          <w:b/>
          <w:bCs/>
          <w:rtl/>
        </w:rPr>
        <w:t>"רבות נכתב בפסיקת בית משפט זה על חומרתן הרבה של עבירות הנשק, אשר הפכו זה מכבר ל'מכת מדינה'</w:t>
      </w:r>
      <w:r w:rsidRPr="003D6BF6">
        <w:rPr>
          <w:rFonts w:ascii="Arial" w:hAnsi="Arial" w:hint="cs"/>
          <w:rtl/>
        </w:rPr>
        <w:t xml:space="preserve"> (</w:t>
      </w:r>
      <w:hyperlink r:id="rId40" w:history="1">
        <w:r w:rsidR="002620FC" w:rsidRPr="002620FC">
          <w:rPr>
            <w:rFonts w:ascii="Arial" w:hAnsi="Arial"/>
            <w:color w:val="0000FF"/>
            <w:u w:val="single"/>
            <w:rtl/>
          </w:rPr>
          <w:t>ע"פ 6028/21</w:t>
        </w:r>
      </w:hyperlink>
      <w:r w:rsidRPr="003D6BF6">
        <w:rPr>
          <w:rFonts w:ascii="Arial" w:hAnsi="Arial" w:hint="cs"/>
          <w:rtl/>
        </w:rPr>
        <w:t xml:space="preserve"> </w:t>
      </w:r>
      <w:r w:rsidRPr="003D6BF6">
        <w:rPr>
          <w:rFonts w:ascii="Arial" w:hAnsi="Arial" w:hint="cs"/>
          <w:b/>
          <w:bCs/>
          <w:rtl/>
        </w:rPr>
        <w:t>אטרש נ' מדינת ישראל</w:t>
      </w:r>
      <w:r w:rsidRPr="003D6BF6">
        <w:rPr>
          <w:rFonts w:ascii="Arial" w:hAnsi="Arial" w:hint="cs"/>
          <w:rtl/>
        </w:rPr>
        <w:t xml:space="preserve">, פסקה 9 (15.5.2022); </w:t>
      </w:r>
      <w:hyperlink r:id="rId41" w:history="1">
        <w:r w:rsidR="002620FC" w:rsidRPr="002620FC">
          <w:rPr>
            <w:rFonts w:ascii="Arial" w:hAnsi="Arial"/>
            <w:color w:val="0000FF"/>
            <w:u w:val="single"/>
            <w:rtl/>
          </w:rPr>
          <w:t>ע"פ 642/22</w:t>
        </w:r>
      </w:hyperlink>
      <w:r w:rsidRPr="003D6BF6">
        <w:rPr>
          <w:rFonts w:ascii="Arial" w:hAnsi="Arial" w:hint="cs"/>
          <w:rtl/>
        </w:rPr>
        <w:t xml:space="preserve"> </w:t>
      </w:r>
      <w:r w:rsidRPr="003D6BF6">
        <w:rPr>
          <w:rFonts w:ascii="Arial" w:hAnsi="Arial" w:hint="cs"/>
          <w:b/>
          <w:bCs/>
          <w:rtl/>
        </w:rPr>
        <w:t>פלוני נ' מדינת ישראל</w:t>
      </w:r>
      <w:r w:rsidRPr="003D6BF6">
        <w:rPr>
          <w:rFonts w:ascii="Arial" w:hAnsi="Arial" w:hint="cs"/>
          <w:rtl/>
        </w:rPr>
        <w:t xml:space="preserve">, פסקה 3 (28.4.2022); </w:t>
      </w:r>
      <w:hyperlink r:id="rId42" w:history="1">
        <w:r w:rsidR="002620FC" w:rsidRPr="002620FC">
          <w:rPr>
            <w:rFonts w:ascii="Arial" w:hAnsi="Arial"/>
            <w:color w:val="0000FF"/>
            <w:u w:val="single"/>
            <w:rtl/>
          </w:rPr>
          <w:t>ע"פ 8965/18</w:t>
        </w:r>
      </w:hyperlink>
      <w:r w:rsidRPr="003D6BF6">
        <w:rPr>
          <w:rFonts w:ascii="Arial" w:hAnsi="Arial" w:hint="cs"/>
          <w:rtl/>
        </w:rPr>
        <w:t xml:space="preserve"> </w:t>
      </w:r>
      <w:r w:rsidRPr="003D6BF6">
        <w:rPr>
          <w:rFonts w:ascii="Arial" w:hAnsi="Arial" w:hint="cs"/>
          <w:b/>
          <w:bCs/>
          <w:rtl/>
        </w:rPr>
        <w:t>מחאג'נה נ' מדינת ישראל</w:t>
      </w:r>
      <w:r w:rsidRPr="003D6BF6">
        <w:rPr>
          <w:rFonts w:ascii="Arial" w:hAnsi="Arial" w:hint="cs"/>
          <w:rtl/>
        </w:rPr>
        <w:t xml:space="preserve">, פסקה 47 (3.11.2019)). </w:t>
      </w:r>
      <w:r w:rsidRPr="003D6BF6">
        <w:rPr>
          <w:rFonts w:ascii="Arial" w:hAnsi="Arial" w:hint="cs"/>
          <w:b/>
          <w:bCs/>
          <w:rtl/>
        </w:rPr>
        <w:t>למרבה הצער, אנו עדים לנזקי עבירות אלו לעיתים תכופות, בדמות פגיעות בגוף או בנפש, ואף אבדן חיי אדם</w:t>
      </w:r>
      <w:r w:rsidRPr="003D6BF6">
        <w:rPr>
          <w:rFonts w:ascii="Arial" w:hAnsi="Arial" w:hint="cs"/>
          <w:rtl/>
        </w:rPr>
        <w:t xml:space="preserve"> (</w:t>
      </w:r>
      <w:hyperlink r:id="rId43" w:history="1">
        <w:r w:rsidR="002620FC" w:rsidRPr="002620FC">
          <w:rPr>
            <w:rFonts w:ascii="Arial" w:hAnsi="Arial"/>
            <w:color w:val="0000FF"/>
            <w:u w:val="single"/>
            <w:rtl/>
          </w:rPr>
          <w:t>ע"פ 8869/21</w:t>
        </w:r>
      </w:hyperlink>
      <w:r w:rsidRPr="003D6BF6">
        <w:rPr>
          <w:rFonts w:ascii="Arial" w:hAnsi="Arial" w:hint="cs"/>
          <w:rtl/>
        </w:rPr>
        <w:t xml:space="preserve"> </w:t>
      </w:r>
      <w:r w:rsidRPr="003D6BF6">
        <w:rPr>
          <w:rFonts w:ascii="Arial" w:hAnsi="Arial" w:hint="cs"/>
          <w:b/>
          <w:bCs/>
          <w:rtl/>
        </w:rPr>
        <w:t>מדינת ישראל נ' קואסמה</w:t>
      </w:r>
      <w:r w:rsidRPr="003D6BF6">
        <w:rPr>
          <w:rFonts w:ascii="Arial" w:hAnsi="Arial" w:hint="cs"/>
          <w:rtl/>
        </w:rPr>
        <w:t xml:space="preserve">, פסקה 11 (13.3.2022); </w:t>
      </w:r>
      <w:hyperlink r:id="rId44" w:history="1">
        <w:r w:rsidR="002620FC" w:rsidRPr="002620FC">
          <w:rPr>
            <w:rFonts w:ascii="Arial" w:hAnsi="Arial"/>
            <w:color w:val="0000FF"/>
            <w:u w:val="single"/>
            <w:rtl/>
          </w:rPr>
          <w:t>ע"פ 4456/21</w:t>
        </w:r>
      </w:hyperlink>
      <w:r w:rsidRPr="003D6BF6">
        <w:rPr>
          <w:rFonts w:ascii="Arial" w:hAnsi="Arial" w:hint="cs"/>
          <w:rtl/>
        </w:rPr>
        <w:t xml:space="preserve"> </w:t>
      </w:r>
      <w:r w:rsidRPr="003D6BF6">
        <w:rPr>
          <w:rFonts w:ascii="Arial" w:hAnsi="Arial" w:hint="cs"/>
          <w:b/>
          <w:bCs/>
          <w:rtl/>
        </w:rPr>
        <w:t>מדינת ישראל נ' אבו עבסה</w:t>
      </w:r>
      <w:r w:rsidRPr="003D6BF6">
        <w:rPr>
          <w:rFonts w:ascii="Arial" w:hAnsi="Arial" w:hint="cs"/>
          <w:rtl/>
        </w:rPr>
        <w:t xml:space="preserve">, פסקה 15 (23.1.2022) (להלן: עניין </w:t>
      </w:r>
      <w:r w:rsidRPr="003D6BF6">
        <w:rPr>
          <w:rFonts w:ascii="Arial" w:hAnsi="Arial" w:hint="cs"/>
          <w:b/>
          <w:bCs/>
          <w:rtl/>
        </w:rPr>
        <w:t>אבו עבסה</w:t>
      </w:r>
      <w:r w:rsidRPr="003D6BF6">
        <w:rPr>
          <w:rFonts w:ascii="Arial" w:hAnsi="Arial" w:hint="cs"/>
          <w:rtl/>
        </w:rPr>
        <w:t xml:space="preserve">)). </w:t>
      </w:r>
    </w:p>
    <w:p w14:paraId="1DA940AD" w14:textId="77777777" w:rsidR="001C611F" w:rsidRPr="003D6BF6" w:rsidRDefault="001C611F" w:rsidP="001C611F">
      <w:pPr>
        <w:ind w:left="1440" w:hanging="1440"/>
        <w:jc w:val="both"/>
        <w:rPr>
          <w:rFonts w:ascii="Arial" w:hAnsi="Arial"/>
          <w:rtl/>
        </w:rPr>
      </w:pPr>
    </w:p>
    <w:p w14:paraId="0122E6FF" w14:textId="77777777" w:rsidR="001C611F" w:rsidRPr="003D6BF6" w:rsidRDefault="001C611F" w:rsidP="001C611F">
      <w:pPr>
        <w:ind w:left="1440"/>
        <w:jc w:val="both"/>
        <w:rPr>
          <w:rFonts w:ascii="Arial" w:hAnsi="Arial"/>
          <w:rtl/>
        </w:rPr>
      </w:pPr>
      <w:r w:rsidRPr="003D6BF6">
        <w:rPr>
          <w:rFonts w:ascii="Arial" w:hAnsi="Arial" w:hint="cs"/>
          <w:b/>
          <w:bCs/>
          <w:rtl/>
        </w:rPr>
        <w:t>אך לאחרונה עמד בית משפט זה על הצורך לשרש רעה חולה זו מקרבנו, באמצעות ענישה מחמירה ומרתיעה</w:t>
      </w:r>
      <w:r w:rsidRPr="003D6BF6">
        <w:rPr>
          <w:rFonts w:ascii="Arial" w:hAnsi="Arial" w:hint="cs"/>
          <w:rtl/>
        </w:rPr>
        <w:t xml:space="preserve"> (</w:t>
      </w:r>
      <w:hyperlink r:id="rId45" w:history="1">
        <w:r w:rsidR="002620FC" w:rsidRPr="002620FC">
          <w:rPr>
            <w:rFonts w:ascii="Arial" w:hAnsi="Arial"/>
            <w:color w:val="0000FF"/>
            <w:u w:val="single"/>
            <w:rtl/>
          </w:rPr>
          <w:t>ע"פ 147/21</w:t>
        </w:r>
      </w:hyperlink>
      <w:r w:rsidRPr="003D6BF6">
        <w:rPr>
          <w:rFonts w:ascii="Arial" w:hAnsi="Arial" w:hint="cs"/>
          <w:rtl/>
        </w:rPr>
        <w:t xml:space="preserve"> </w:t>
      </w:r>
      <w:r w:rsidRPr="003D6BF6">
        <w:rPr>
          <w:rFonts w:ascii="Arial" w:hAnsi="Arial" w:hint="cs"/>
          <w:b/>
          <w:bCs/>
          <w:rtl/>
        </w:rPr>
        <w:t>מדינת ישראל נ' ביטון</w:t>
      </w:r>
      <w:r w:rsidRPr="003D6BF6">
        <w:rPr>
          <w:rFonts w:ascii="Arial" w:hAnsi="Arial" w:hint="cs"/>
          <w:rtl/>
        </w:rPr>
        <w:t xml:space="preserve">, פסקה 10 (14.2.2021); </w:t>
      </w:r>
      <w:hyperlink r:id="rId46" w:history="1">
        <w:r w:rsidR="002620FC" w:rsidRPr="002620FC">
          <w:rPr>
            <w:rFonts w:ascii="Arial" w:hAnsi="Arial"/>
            <w:color w:val="0000FF"/>
            <w:u w:val="single"/>
            <w:rtl/>
          </w:rPr>
          <w:t>ע"פ 4406/19</w:t>
        </w:r>
      </w:hyperlink>
      <w:r w:rsidRPr="003D6BF6">
        <w:rPr>
          <w:rFonts w:ascii="Arial" w:hAnsi="Arial" w:hint="cs"/>
          <w:rtl/>
        </w:rPr>
        <w:t xml:space="preserve"> </w:t>
      </w:r>
      <w:r w:rsidRPr="003D6BF6">
        <w:rPr>
          <w:rFonts w:ascii="Arial" w:hAnsi="Arial" w:hint="cs"/>
          <w:b/>
          <w:bCs/>
          <w:rtl/>
        </w:rPr>
        <w:t>מדינת ישראל נ' סובח</w:t>
      </w:r>
      <w:r w:rsidRPr="003D6BF6">
        <w:rPr>
          <w:rFonts w:ascii="Arial" w:hAnsi="Arial" w:hint="cs"/>
          <w:rtl/>
        </w:rPr>
        <w:t xml:space="preserve">, פסקאות 17-16 (5.11.2019)); </w:t>
      </w:r>
      <w:r w:rsidRPr="003D6BF6">
        <w:rPr>
          <w:rFonts w:ascii="Arial" w:hAnsi="Arial" w:hint="cs"/>
          <w:b/>
          <w:bCs/>
          <w:rtl/>
        </w:rPr>
        <w:t>ובפרט נגד מי אשר נוטלים חלק בהפצת כלי נשק שלא כדין:</w:t>
      </w:r>
      <w:r w:rsidRPr="003D6BF6">
        <w:rPr>
          <w:rFonts w:ascii="Arial" w:hAnsi="Arial" w:hint="cs"/>
          <w:rtl/>
        </w:rPr>
        <w:t xml:space="preserve"> </w:t>
      </w:r>
      <w:r w:rsidR="002620FC">
        <w:rPr>
          <w:rFonts w:ascii="Arial" w:hAnsi="Arial" w:hint="cs"/>
          <w:rtl/>
        </w:rPr>
        <w:t xml:space="preserve"> </w:t>
      </w:r>
    </w:p>
    <w:p w14:paraId="33047651" w14:textId="77777777" w:rsidR="001C611F" w:rsidRPr="003D6BF6" w:rsidRDefault="001C611F" w:rsidP="001C611F">
      <w:pPr>
        <w:ind w:left="1440" w:hanging="1440"/>
        <w:jc w:val="both"/>
        <w:rPr>
          <w:rFonts w:ascii="Arial" w:hAnsi="Arial"/>
          <w:rtl/>
        </w:rPr>
      </w:pPr>
      <w:r w:rsidRPr="003D6BF6">
        <w:rPr>
          <w:rFonts w:ascii="Arial" w:hAnsi="Arial" w:hint="cs"/>
          <w:rtl/>
        </w:rPr>
        <w:t xml:space="preserve"> </w:t>
      </w:r>
    </w:p>
    <w:p w14:paraId="4D3BC550" w14:textId="77777777" w:rsidR="001C611F" w:rsidRPr="003D6BF6" w:rsidRDefault="001C611F" w:rsidP="001C611F">
      <w:pPr>
        <w:ind w:left="2160"/>
        <w:jc w:val="both"/>
        <w:rPr>
          <w:rFonts w:ascii="Arial" w:hAnsi="Arial"/>
          <w:rtl/>
        </w:rPr>
      </w:pPr>
      <w:r w:rsidRPr="003D6BF6">
        <w:rPr>
          <w:rFonts w:ascii="Arial" w:hAnsi="Arial" w:hint="cs"/>
          <w:b/>
          <w:bCs/>
          <w:rtl/>
        </w:rPr>
        <w:t>'...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3D6BF6">
        <w:rPr>
          <w:rFonts w:ascii="Arial" w:hAnsi="Arial" w:hint="cs"/>
          <w:rtl/>
        </w:rPr>
        <w:t xml:space="preserve"> (עניין </w:t>
      </w:r>
      <w:r w:rsidRPr="003D6BF6">
        <w:rPr>
          <w:rFonts w:ascii="Arial" w:hAnsi="Arial" w:hint="cs"/>
          <w:b/>
          <w:bCs/>
          <w:rtl/>
        </w:rPr>
        <w:t>אבו עבסה</w:t>
      </w:r>
      <w:r w:rsidRPr="003D6BF6">
        <w:rPr>
          <w:rFonts w:ascii="Arial" w:hAnsi="Arial" w:hint="cs"/>
          <w:rtl/>
        </w:rPr>
        <w:t>, פסקה 15)</w:t>
      </w:r>
      <w:r w:rsidRPr="003D6BF6">
        <w:rPr>
          <w:rFonts w:ascii="Arial" w:hAnsi="Arial" w:hint="cs"/>
          <w:b/>
          <w:bCs/>
          <w:rtl/>
        </w:rPr>
        <w:t>"</w:t>
      </w:r>
      <w:r w:rsidRPr="003D6BF6">
        <w:rPr>
          <w:rFonts w:ascii="Arial" w:hAnsi="Arial" w:hint="cs"/>
          <w:rtl/>
        </w:rPr>
        <w:t>.</w:t>
      </w:r>
    </w:p>
    <w:p w14:paraId="090D62C6" w14:textId="77777777" w:rsidR="001C611F" w:rsidRPr="003D6BF6" w:rsidRDefault="001C611F" w:rsidP="001C611F">
      <w:pPr>
        <w:spacing w:line="360" w:lineRule="auto"/>
        <w:jc w:val="both"/>
        <w:rPr>
          <w:rFonts w:ascii="Arial" w:hAnsi="Arial"/>
          <w:rtl/>
        </w:rPr>
      </w:pPr>
    </w:p>
    <w:p w14:paraId="6192F37C" w14:textId="77777777" w:rsidR="001C611F" w:rsidRPr="003D6BF6" w:rsidRDefault="001C611F" w:rsidP="001C611F">
      <w:pPr>
        <w:spacing w:line="360" w:lineRule="auto"/>
        <w:jc w:val="both"/>
        <w:rPr>
          <w:rFonts w:ascii="Arial" w:hAnsi="Arial"/>
          <w:rtl/>
        </w:rPr>
      </w:pPr>
      <w:r w:rsidRPr="003D6BF6">
        <w:rPr>
          <w:rFonts w:ascii="Arial" w:hAnsi="Arial" w:hint="cs"/>
          <w:rtl/>
        </w:rPr>
        <w:t>1</w:t>
      </w:r>
      <w:r>
        <w:rPr>
          <w:rFonts w:ascii="Arial" w:hAnsi="Arial" w:hint="cs"/>
          <w:rtl/>
        </w:rPr>
        <w:t>4</w:t>
      </w:r>
      <w:r w:rsidRPr="003D6BF6">
        <w:rPr>
          <w:rFonts w:ascii="Arial" w:hAnsi="Arial" w:hint="cs"/>
          <w:rtl/>
        </w:rPr>
        <w:t>.</w:t>
      </w:r>
      <w:r w:rsidRPr="003D6BF6">
        <w:rPr>
          <w:rFonts w:ascii="Arial" w:hAnsi="Arial" w:hint="cs"/>
          <w:rtl/>
        </w:rPr>
        <w:tab/>
        <w:t xml:space="preserve">בעניין </w:t>
      </w:r>
      <w:r w:rsidRPr="003D6BF6">
        <w:rPr>
          <w:rFonts w:ascii="Arial" w:hAnsi="Arial" w:hint="cs"/>
          <w:b/>
          <w:bCs/>
          <w:rtl/>
        </w:rPr>
        <w:t>אבו נאעסה</w:t>
      </w:r>
      <w:r w:rsidRPr="003D6BF6">
        <w:rPr>
          <w:rFonts w:ascii="Arial" w:hAnsi="Arial" w:hint="cs"/>
          <w:rtl/>
        </w:rPr>
        <w:t xml:space="preserve"> דובר במערער אשר הורשע על-פי הודאתו במסגרת הסדר טיעון בעבירת נשיאת תחמושת והובלתה, בעבירת סיוע לעסקה אחרת בתחמושת ובעבירת ניסיון לעסקה אחרת בנשק. במסגרת גזר הדין נשקלו הודאתו, גילו הצעיר, היותו נעדר הרשעות קודמות, חרטתו, התסקיר החיובי בעניינו, תפקודו החיובי במסגרת מאסרו, לרבות היותו אסיר תומך לאסיר נזקק. נקבע מתחם עונש הולם בין 18 ל-36 חודשי מאסר והעונש שהושת עליו הועמד על 20 חודשי מאסר בפועל, מאסר מותנה וקנס בסך 3,500 ₪. ערעורו על העונש נדחה.</w:t>
      </w:r>
    </w:p>
    <w:p w14:paraId="5D93C6AB" w14:textId="77777777" w:rsidR="001C611F" w:rsidRPr="003D6BF6" w:rsidRDefault="001C611F" w:rsidP="001C611F">
      <w:pPr>
        <w:spacing w:line="360" w:lineRule="auto"/>
        <w:jc w:val="both"/>
        <w:rPr>
          <w:rFonts w:ascii="Arial" w:hAnsi="Arial"/>
          <w:rtl/>
        </w:rPr>
      </w:pPr>
    </w:p>
    <w:p w14:paraId="09397A2C" w14:textId="77777777" w:rsidR="001C611F" w:rsidRPr="003D6BF6" w:rsidRDefault="001C611F" w:rsidP="001C611F">
      <w:pPr>
        <w:spacing w:line="360" w:lineRule="auto"/>
        <w:jc w:val="both"/>
        <w:rPr>
          <w:rFonts w:ascii="Arial" w:hAnsi="Arial"/>
          <w:rtl/>
        </w:rPr>
      </w:pPr>
      <w:r w:rsidRPr="003D6BF6">
        <w:rPr>
          <w:rFonts w:ascii="Arial" w:hAnsi="Arial" w:hint="cs"/>
          <w:rtl/>
        </w:rPr>
        <w:t>פסק דין זה מצטרף אל פסקי דין נוספים אשר ניתנו בבית המשפט העליון במהלך החודשים האחרונים, אשר בהם חזר בית המשפט והדגיש את חומרת עבירות הנשק למיניהן ולסוגיהן, את העובדה שהפכו ל</w:t>
      </w:r>
      <w:r w:rsidRPr="003D6BF6">
        <w:rPr>
          <w:rFonts w:ascii="Arial" w:hAnsi="Arial" w:hint="cs"/>
          <w:b/>
          <w:bCs/>
          <w:rtl/>
        </w:rPr>
        <w:t>"מכת מדינה"</w:t>
      </w:r>
      <w:r w:rsidRPr="003D6BF6">
        <w:rPr>
          <w:rFonts w:ascii="Arial" w:hAnsi="Arial" w:hint="cs"/>
          <w:rtl/>
        </w:rPr>
        <w:t xml:space="preserve"> ואת הצורך להחמיר בענישת עוברי עבירות אלו. עם אותם פסקי-דין ניתן למנות עוד פסקי דין רבים ובין השאר, גם את פסקי הדין הבאים:</w:t>
      </w:r>
    </w:p>
    <w:p w14:paraId="7D109A9C" w14:textId="77777777" w:rsidR="001C611F" w:rsidRPr="003D6BF6" w:rsidRDefault="001C611F" w:rsidP="001C611F">
      <w:pPr>
        <w:spacing w:line="360" w:lineRule="auto"/>
        <w:jc w:val="both"/>
        <w:rPr>
          <w:rFonts w:ascii="Arial" w:hAnsi="Arial"/>
          <w:rtl/>
        </w:rPr>
      </w:pPr>
    </w:p>
    <w:p w14:paraId="01084E75" w14:textId="77777777" w:rsidR="001C611F" w:rsidRPr="003D6BF6" w:rsidRDefault="002620FC" w:rsidP="001C611F">
      <w:pPr>
        <w:spacing w:line="360" w:lineRule="auto"/>
        <w:jc w:val="both"/>
        <w:rPr>
          <w:rFonts w:ascii="Arial" w:hAnsi="Arial"/>
          <w:rtl/>
        </w:rPr>
      </w:pPr>
      <w:hyperlink r:id="rId47" w:history="1">
        <w:r w:rsidRPr="002620FC">
          <w:rPr>
            <w:rFonts w:ascii="Arial" w:hAnsi="Arial"/>
            <w:color w:val="0000FF"/>
            <w:u w:val="single"/>
            <w:rtl/>
          </w:rPr>
          <w:t>ע"פ 8320/21</w:t>
        </w:r>
      </w:hyperlink>
      <w:r w:rsidR="001C611F" w:rsidRPr="003D6BF6">
        <w:rPr>
          <w:rFonts w:ascii="Arial" w:hAnsi="Arial" w:hint="cs"/>
          <w:rtl/>
        </w:rPr>
        <w:t xml:space="preserve"> </w:t>
      </w:r>
      <w:r w:rsidR="001C611F" w:rsidRPr="003D6BF6">
        <w:rPr>
          <w:rFonts w:ascii="Arial" w:hAnsi="Arial" w:hint="cs"/>
          <w:bCs/>
          <w:rtl/>
        </w:rPr>
        <w:t>מדינת ישראל נ' בסילה</w:t>
      </w:r>
      <w:r>
        <w:rPr>
          <w:rFonts w:ascii="Arial" w:hAnsi="Arial" w:hint="cs"/>
          <w:rtl/>
        </w:rPr>
        <w:t xml:space="preserve"> </w:t>
      </w:r>
      <w:r w:rsidR="001C611F" w:rsidRPr="003D6BF6">
        <w:rPr>
          <w:rFonts w:ascii="Arial" w:hAnsi="Arial" w:hint="cs"/>
          <w:rtl/>
        </w:rPr>
        <w:t>(28.12.2021) – המשיב הורשע על-פי הודאתו במסגרת הסדר טיעון בעבירת החזקת נשק ואביזרי תחמושת. דובר בנשק דמוי רובה סער 16</w:t>
      </w:r>
      <w:r w:rsidR="001C611F" w:rsidRPr="003D6BF6">
        <w:rPr>
          <w:rFonts w:ascii="Arial" w:hAnsi="Arial"/>
        </w:rPr>
        <w:t>M-</w:t>
      </w:r>
      <w:r w:rsidR="001C611F" w:rsidRPr="003D6BF6">
        <w:rPr>
          <w:rFonts w:ascii="Arial" w:hAnsi="Arial" w:hint="cs"/>
          <w:rtl/>
        </w:rPr>
        <w:t>, חמש מחסניות, תחמושת ואביזרים נלווים. המשיב נעדר הרשעות קודמות (למעט הרשעה בעבירת ציד), נשוי ואב לילדים העובד באופן מסודר, הביע חרטה והתסקיר בעניינו היה חיובי. נקבע מתחם עונש בין 6 ל-24 חודשי מאסר ולאחר 80 ימי מעצר, הושתו עליו 7 חודשי מאסר ומאסר מותנה. ערעור המדינה התקבל ובלי למצות את הדין, הושתו עליו 14 חודשי מאסר בפועל.</w:t>
      </w:r>
    </w:p>
    <w:p w14:paraId="36B694AE" w14:textId="77777777" w:rsidR="001C611F" w:rsidRPr="003D6BF6" w:rsidRDefault="001C611F" w:rsidP="001C611F">
      <w:pPr>
        <w:spacing w:line="360" w:lineRule="auto"/>
        <w:jc w:val="both"/>
        <w:rPr>
          <w:rFonts w:ascii="Arial" w:hAnsi="Arial"/>
          <w:rtl/>
        </w:rPr>
      </w:pPr>
    </w:p>
    <w:p w14:paraId="15729734" w14:textId="77777777" w:rsidR="001C611F" w:rsidRPr="003D6BF6" w:rsidRDefault="002620FC" w:rsidP="001C611F">
      <w:pPr>
        <w:spacing w:line="360" w:lineRule="auto"/>
        <w:jc w:val="both"/>
        <w:rPr>
          <w:rFonts w:ascii="Arial" w:hAnsi="Arial"/>
          <w:rtl/>
        </w:rPr>
      </w:pPr>
      <w:hyperlink r:id="rId48" w:history="1">
        <w:r w:rsidRPr="002620FC">
          <w:rPr>
            <w:rFonts w:ascii="Arial" w:hAnsi="Arial"/>
            <w:color w:val="0000FF"/>
            <w:u w:val="single"/>
            <w:rtl/>
          </w:rPr>
          <w:t>ע"פ 8869/21</w:t>
        </w:r>
      </w:hyperlink>
      <w:r>
        <w:rPr>
          <w:rFonts w:ascii="Arial" w:hAnsi="Arial" w:hint="cs"/>
          <w:rtl/>
        </w:rPr>
        <w:t xml:space="preserve"> </w:t>
      </w:r>
      <w:r w:rsidR="001C611F" w:rsidRPr="003D6BF6">
        <w:rPr>
          <w:rFonts w:ascii="Arial" w:hAnsi="Arial" w:hint="cs"/>
          <w:b/>
          <w:bCs/>
          <w:rtl/>
        </w:rPr>
        <w:t>מדינת ישראל נ' קואסמה</w:t>
      </w:r>
      <w:r>
        <w:rPr>
          <w:rFonts w:ascii="Arial" w:hAnsi="Arial" w:hint="cs"/>
          <w:rtl/>
        </w:rPr>
        <w:t xml:space="preserve"> </w:t>
      </w:r>
      <w:r w:rsidR="001C611F" w:rsidRPr="003D6BF6">
        <w:rPr>
          <w:rFonts w:ascii="Arial" w:hAnsi="Arial" w:hint="cs"/>
          <w:rtl/>
        </w:rPr>
        <w:t>(13.3.2022) – המשיב, צעיר כבן 21, נעדר הרשעות קודמות, הורשע על-פי הודאתו במסגרת הסדר טיעון בעבירות רכישת נשק ואחזקתו ורכישת חלקי נשק והחזקתם. כל העבירות עסקו ברובה מסוג</w:t>
      </w:r>
      <w:r w:rsidR="001C611F" w:rsidRPr="003D6BF6">
        <w:rPr>
          <w:rFonts w:ascii="Arial" w:hAnsi="Arial"/>
        </w:rPr>
        <w:t xml:space="preserve">M-16 </w:t>
      </w:r>
      <w:r w:rsidR="001C611F" w:rsidRPr="003D6BF6">
        <w:rPr>
          <w:rFonts w:ascii="Arial" w:hAnsi="Arial" w:hint="cs"/>
          <w:rtl/>
        </w:rPr>
        <w:t xml:space="preserve">. בבית המשפט המחוזי נקבע מתחם עונש בין 28 ל-58 חודשי מאסר בפועל והושתו עליו 32 חודשי מאסר בפועל, מאסרים מותנים וקנס בסך 3,000 ₪. ערעור המדינה התקבל ומבלי למצות את הדין, עונשו הוחמר ל-42 חודשי מאסר בפועל. </w:t>
      </w:r>
    </w:p>
    <w:p w14:paraId="681F6979"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 </w:t>
      </w:r>
    </w:p>
    <w:p w14:paraId="181E4105" w14:textId="77777777" w:rsidR="001C611F" w:rsidRPr="003D6BF6" w:rsidRDefault="001C611F" w:rsidP="001C611F">
      <w:pPr>
        <w:spacing w:line="360" w:lineRule="auto"/>
        <w:jc w:val="both"/>
        <w:rPr>
          <w:rFonts w:ascii="Arial" w:hAnsi="Arial"/>
          <w:rtl/>
        </w:rPr>
      </w:pPr>
      <w:r w:rsidRPr="003D6BF6">
        <w:rPr>
          <w:rFonts w:ascii="Arial" w:hAnsi="Arial" w:hint="cs"/>
          <w:b/>
          <w:bCs/>
          <w:rtl/>
        </w:rPr>
        <w:t>עניין פקיה</w:t>
      </w:r>
      <w:r w:rsidRPr="003D6BF6">
        <w:rPr>
          <w:rFonts w:ascii="Arial" w:hAnsi="Arial" w:hint="cs"/>
          <w:rtl/>
        </w:rPr>
        <w:t xml:space="preserve"> – הוזכר בטיעוני הצדדים. כאמור, דובר במשיב שלחובתו הרשעות קודמות. הורשע על-פי הודאתו בעבירות נשיאת נשק וירי מנשק חם במקום מגורים. ערעור המדינה התקבל ובלי למצות את הדין עונש המאסר בפועל הוחמר מ-14 חודש ל-25 חודש, תוך קביעה כי </w:t>
      </w:r>
      <w:r w:rsidRPr="003D6BF6">
        <w:rPr>
          <w:rFonts w:ascii="Arial" w:hAnsi="Arial" w:hint="cs"/>
          <w:b/>
          <w:bCs/>
          <w:rtl/>
        </w:rPr>
        <w:t>"יש להדגיש את החומרה היתירה שנודעה לביצוע עבירות נשק, על כל סוגיהן ומיניהן"</w:t>
      </w:r>
      <w:r w:rsidRPr="003D6BF6">
        <w:rPr>
          <w:rFonts w:ascii="Arial" w:hAnsi="Arial" w:hint="cs"/>
          <w:rtl/>
        </w:rPr>
        <w:t xml:space="preserve"> (כבוד השופט י' אלרון, פסקה 12). </w:t>
      </w:r>
    </w:p>
    <w:p w14:paraId="5BB10C2B" w14:textId="77777777" w:rsidR="001C611F" w:rsidRPr="003D6BF6" w:rsidRDefault="001C611F" w:rsidP="001C611F">
      <w:pPr>
        <w:spacing w:line="360" w:lineRule="auto"/>
        <w:jc w:val="both"/>
        <w:rPr>
          <w:rFonts w:ascii="Arial" w:hAnsi="Arial"/>
          <w:rtl/>
        </w:rPr>
      </w:pPr>
    </w:p>
    <w:p w14:paraId="322CC608" w14:textId="77777777" w:rsidR="001C611F" w:rsidRPr="003D6BF6" w:rsidRDefault="002620FC" w:rsidP="001C611F">
      <w:pPr>
        <w:spacing w:line="360" w:lineRule="auto"/>
        <w:jc w:val="both"/>
        <w:rPr>
          <w:rFonts w:ascii="Arial" w:hAnsi="Arial"/>
          <w:rtl/>
        </w:rPr>
      </w:pPr>
      <w:hyperlink r:id="rId49" w:history="1">
        <w:r w:rsidRPr="002620FC">
          <w:rPr>
            <w:rFonts w:ascii="Arial" w:hAnsi="Arial"/>
            <w:color w:val="0000FF"/>
            <w:u w:val="single"/>
            <w:rtl/>
          </w:rPr>
          <w:t>ע"פ 309/22</w:t>
        </w:r>
      </w:hyperlink>
      <w:r w:rsidR="001C611F" w:rsidRPr="003D6BF6">
        <w:rPr>
          <w:rFonts w:ascii="Arial" w:hAnsi="Arial" w:hint="cs"/>
          <w:rtl/>
        </w:rPr>
        <w:t xml:space="preserve"> </w:t>
      </w:r>
      <w:r w:rsidR="001C611F" w:rsidRPr="003D6BF6">
        <w:rPr>
          <w:rFonts w:ascii="Arial" w:hAnsi="Arial" w:hint="cs"/>
          <w:b/>
          <w:bCs/>
          <w:rtl/>
        </w:rPr>
        <w:t>מדינת ישראל נ' ביאדסה</w:t>
      </w:r>
      <w:r>
        <w:rPr>
          <w:rFonts w:ascii="Arial" w:hAnsi="Arial" w:hint="cs"/>
          <w:rtl/>
        </w:rPr>
        <w:t xml:space="preserve"> </w:t>
      </w:r>
      <w:r w:rsidR="001C611F" w:rsidRPr="003D6BF6">
        <w:rPr>
          <w:rFonts w:ascii="Arial" w:hAnsi="Arial" w:hint="cs"/>
          <w:rtl/>
        </w:rPr>
        <w:t>(10.5.2022)‏‏ – המשיב, נעדר הרשעות קודמות, הורשע על פי הודאתו בעבירות החזקת נשק, נשיאתו והובלתו. דובר ברובה מסוג קלצ'ניקוב, מחסנית תואמת וכדורים, אקדח חצי אוטומטי טעון במחסנית תואמת עם כדורים וכדור בקנה ומחסנית נוספת עם כדורים. בבית המשפט המחוזי נקבע מתחם עונש בין 19 ל-54 חודשי מאסר והושתו 19 חודשי מאסר בפועל, מאסר מותנה וקנס בסך 15,000 ₪. ערעור המדינה התקבל ובלי למצות את הדין, עונש המאסר הוחמר ל-30 חודש.</w:t>
      </w:r>
    </w:p>
    <w:p w14:paraId="7AB5F6C5" w14:textId="77777777" w:rsidR="001C611F" w:rsidRPr="003D6BF6" w:rsidRDefault="001C611F" w:rsidP="001C611F">
      <w:pPr>
        <w:spacing w:line="360" w:lineRule="auto"/>
        <w:jc w:val="both"/>
        <w:rPr>
          <w:rFonts w:ascii="Arial" w:hAnsi="Arial"/>
          <w:rtl/>
        </w:rPr>
      </w:pPr>
    </w:p>
    <w:p w14:paraId="31C8E9EA" w14:textId="77777777" w:rsidR="001C611F" w:rsidRPr="003D6BF6" w:rsidRDefault="002620FC" w:rsidP="001C611F">
      <w:pPr>
        <w:spacing w:line="360" w:lineRule="auto"/>
        <w:jc w:val="both"/>
        <w:rPr>
          <w:rFonts w:ascii="Arial" w:hAnsi="Arial"/>
          <w:rtl/>
        </w:rPr>
      </w:pPr>
      <w:hyperlink r:id="rId50" w:history="1">
        <w:r w:rsidRPr="002620FC">
          <w:rPr>
            <w:rFonts w:ascii="Arial" w:hAnsi="Arial"/>
            <w:color w:val="0000FF"/>
            <w:u w:val="single"/>
            <w:rtl/>
          </w:rPr>
          <w:t>ע"פ 2482/22</w:t>
        </w:r>
      </w:hyperlink>
      <w:r w:rsidR="001C611F" w:rsidRPr="003D6BF6">
        <w:rPr>
          <w:rFonts w:ascii="Arial" w:hAnsi="Arial" w:hint="cs"/>
          <w:rtl/>
        </w:rPr>
        <w:t xml:space="preserve"> </w:t>
      </w:r>
      <w:r w:rsidR="001C611F" w:rsidRPr="003D6BF6">
        <w:rPr>
          <w:rFonts w:ascii="Arial" w:hAnsi="Arial" w:hint="cs"/>
          <w:b/>
          <w:bCs/>
          <w:rtl/>
        </w:rPr>
        <w:t xml:space="preserve">מדינת ישראל נ' קדורה </w:t>
      </w:r>
      <w:r w:rsidR="001C611F" w:rsidRPr="003D6BF6">
        <w:rPr>
          <w:rFonts w:ascii="Arial" w:hAnsi="Arial" w:hint="cs"/>
          <w:rtl/>
        </w:rPr>
        <w:t xml:space="preserve">(14.4.2022) – המשיב, צעיר כבן 19, נעדר הרשעות קודמות, הורשע על פי הודאתו במסגרת הסדר טיעון בעבירת החזקת נשק בצוותא עם אחר. דובר באקדח, מחסנית וכדורים שלא נתפסו וברימון הלם שנתפס. ערעור המדינה התקבל תוך החמרת עונש המאסר בפועל מ-10 חודשים ל-18 חודש, לצד מאסר מותנה וקנס בסך 5,000 ₪.  </w:t>
      </w:r>
    </w:p>
    <w:p w14:paraId="03C283B6" w14:textId="77777777" w:rsidR="001C611F" w:rsidRPr="003D6BF6" w:rsidRDefault="001C611F" w:rsidP="001C611F">
      <w:pPr>
        <w:spacing w:line="360" w:lineRule="auto"/>
        <w:jc w:val="both"/>
        <w:rPr>
          <w:rFonts w:ascii="Arial" w:hAnsi="Arial"/>
          <w:rtl/>
        </w:rPr>
      </w:pPr>
    </w:p>
    <w:p w14:paraId="58439E74" w14:textId="77777777" w:rsidR="001C611F" w:rsidRPr="003D6BF6" w:rsidRDefault="001C611F" w:rsidP="001C611F">
      <w:pPr>
        <w:spacing w:line="360" w:lineRule="auto"/>
        <w:jc w:val="both"/>
        <w:rPr>
          <w:rFonts w:ascii="Arial" w:hAnsi="Arial"/>
          <w:rtl/>
        </w:rPr>
      </w:pPr>
      <w:r w:rsidRPr="003D6BF6">
        <w:rPr>
          <w:rFonts w:ascii="Arial" w:hAnsi="Arial" w:hint="cs"/>
          <w:rtl/>
        </w:rPr>
        <w:t>1</w:t>
      </w:r>
      <w:r>
        <w:rPr>
          <w:rFonts w:ascii="Arial" w:hAnsi="Arial" w:hint="cs"/>
          <w:rtl/>
        </w:rPr>
        <w:t>5</w:t>
      </w:r>
      <w:r w:rsidRPr="003D6BF6">
        <w:rPr>
          <w:rFonts w:ascii="Arial" w:hAnsi="Arial" w:hint="cs"/>
          <w:rtl/>
        </w:rPr>
        <w:t>.</w:t>
      </w:r>
      <w:r w:rsidRPr="003D6BF6">
        <w:rPr>
          <w:rFonts w:ascii="Arial" w:hAnsi="Arial" w:hint="cs"/>
          <w:rtl/>
        </w:rPr>
        <w:tab/>
        <w:t xml:space="preserve">בכל פסקי הדין הנזכרים ובאחרים שנזכרו בהם, עמד בית המשפט העליון על הצורך בהחמרה בענישת עוברי </w:t>
      </w:r>
      <w:r w:rsidRPr="003D6BF6">
        <w:rPr>
          <w:rFonts w:ascii="Arial" w:hAnsi="Arial" w:hint="cs"/>
          <w:b/>
          <w:bCs/>
          <w:rtl/>
        </w:rPr>
        <w:t>כל עבירות הנשק</w:t>
      </w:r>
      <w:r w:rsidRPr="003D6BF6">
        <w:rPr>
          <w:rFonts w:ascii="Arial" w:hAnsi="Arial" w:hint="cs"/>
          <w:rtl/>
        </w:rPr>
        <w:t xml:space="preserve"> למיניהן ולסוגיהן. כך גם נקבע, כי יש להחמיר עם </w:t>
      </w:r>
      <w:r w:rsidRPr="003D6BF6">
        <w:rPr>
          <w:rFonts w:ascii="Arial" w:hAnsi="Arial" w:hint="cs"/>
          <w:b/>
          <w:bCs/>
          <w:rtl/>
        </w:rPr>
        <w:t>כל המעורבים באותן עבירות</w:t>
      </w:r>
      <w:r w:rsidRPr="003D6BF6">
        <w:rPr>
          <w:rFonts w:ascii="Arial" w:hAnsi="Arial" w:hint="cs"/>
          <w:rtl/>
        </w:rPr>
        <w:t xml:space="preserve"> ועם כל חברי חוליות השרשרת העבריינית. </w:t>
      </w:r>
      <w:r w:rsidRPr="003D6BF6">
        <w:rPr>
          <w:rFonts w:ascii="Arial" w:hAnsi="Arial" w:hint="cs"/>
          <w:b/>
          <w:bCs/>
          <w:rtl/>
        </w:rPr>
        <w:t>"[ו]כחלק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 החומרה היתירה של עבירות נשק, נוגעת לכל עבירות הנשק, על כל סוגיהן ומיניהן"</w:t>
      </w:r>
      <w:r w:rsidRPr="003D6BF6">
        <w:rPr>
          <w:rFonts w:ascii="Arial" w:hAnsi="Arial" w:hint="cs"/>
          <w:rtl/>
        </w:rPr>
        <w:t xml:space="preserve"> (עניין</w:t>
      </w:r>
      <w:r w:rsidR="002620FC">
        <w:rPr>
          <w:rFonts w:ascii="Arial" w:hAnsi="Arial" w:hint="cs"/>
          <w:rtl/>
        </w:rPr>
        <w:t xml:space="preserve"> </w:t>
      </w:r>
      <w:r w:rsidRPr="003D6BF6">
        <w:rPr>
          <w:rFonts w:ascii="Arial" w:hAnsi="Arial" w:hint="cs"/>
          <w:b/>
          <w:bCs/>
          <w:rtl/>
        </w:rPr>
        <w:t>אבו עבסה</w:t>
      </w:r>
      <w:r w:rsidRPr="003D6BF6">
        <w:rPr>
          <w:rFonts w:ascii="Arial" w:hAnsi="Arial" w:hint="cs"/>
          <w:rtl/>
        </w:rPr>
        <w:t xml:space="preserve">, פסקה 15). </w:t>
      </w:r>
    </w:p>
    <w:p w14:paraId="3522B0F7" w14:textId="77777777" w:rsidR="001C611F" w:rsidRPr="003D6BF6" w:rsidRDefault="001C611F" w:rsidP="001C611F">
      <w:pPr>
        <w:spacing w:line="360" w:lineRule="auto"/>
        <w:jc w:val="both"/>
        <w:rPr>
          <w:rFonts w:ascii="Arial" w:hAnsi="Arial"/>
          <w:rtl/>
        </w:rPr>
      </w:pPr>
    </w:p>
    <w:p w14:paraId="0EEBD1FE" w14:textId="77777777" w:rsidR="001C611F" w:rsidRPr="003D6BF6" w:rsidRDefault="001C611F" w:rsidP="001C611F">
      <w:pPr>
        <w:spacing w:line="360" w:lineRule="auto"/>
        <w:jc w:val="both"/>
        <w:rPr>
          <w:rFonts w:ascii="Arial" w:hAnsi="Arial"/>
          <w:rtl/>
        </w:rPr>
      </w:pPr>
      <w:r w:rsidRPr="003D6BF6">
        <w:rPr>
          <w:rFonts w:ascii="Arial" w:hAnsi="Arial" w:hint="cs"/>
          <w:rtl/>
        </w:rPr>
        <w:t>זו אפוא, מדיניות הענישה הנהוגה, אשר מבטאת אף את עמדת המחוקק, אשר לאחרונה אף ראה לנכון לקבוע בהוראת שעה עונשים מזעריים לעוברי עבירות נשק (</w:t>
      </w:r>
      <w:hyperlink r:id="rId51" w:history="1">
        <w:r w:rsidR="002620FC" w:rsidRPr="002620FC">
          <w:rPr>
            <w:rFonts w:ascii="Arial" w:hAnsi="Arial"/>
            <w:color w:val="0000FF"/>
            <w:u w:val="single"/>
            <w:rtl/>
          </w:rPr>
          <w:t>חוק העונשין</w:t>
        </w:r>
      </w:hyperlink>
      <w:r w:rsidRPr="003D6BF6">
        <w:rPr>
          <w:rFonts w:ascii="Arial" w:hAnsi="Arial" w:hint="cs"/>
          <w:rtl/>
        </w:rPr>
        <w:t xml:space="preserve"> (תיקון מס' 140 – הוראת שעה), התשפ"ב-2021, ס"ח 2938). הוראת שעה זו אמנם אינה חלה בעניינו של הנאשם הנדון, אך יש בה כדי ללמד על עמדת המחוקק, כפי שאף הובעה בדברי ההסבר להצעת החוק.</w:t>
      </w:r>
    </w:p>
    <w:p w14:paraId="07E3C416" w14:textId="77777777" w:rsidR="001C611F" w:rsidRPr="003D6BF6" w:rsidRDefault="001C611F" w:rsidP="001C611F">
      <w:pPr>
        <w:spacing w:line="360" w:lineRule="auto"/>
        <w:jc w:val="both"/>
        <w:rPr>
          <w:rFonts w:ascii="Arial" w:hAnsi="Arial"/>
          <w:rtl/>
        </w:rPr>
      </w:pPr>
    </w:p>
    <w:p w14:paraId="47E6260E"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ניתן אפוא, לסכם כי הערכים החברתיים הנפגעים מעבירות הנשק הם שלום הציבור ובטחונו. חומרתן של עבירות הנשק שעבר הנאשם היא רבה ובהתאם למדיניות הענישה, ישנה מגמה מובהקת של החמרה בענישת עוברי כל עבירות הנשק לסוגיהן. </w:t>
      </w:r>
    </w:p>
    <w:p w14:paraId="634ECB6A" w14:textId="77777777" w:rsidR="001C611F" w:rsidRPr="003D6BF6" w:rsidRDefault="001C611F" w:rsidP="001C611F">
      <w:pPr>
        <w:spacing w:line="360" w:lineRule="auto"/>
        <w:jc w:val="both"/>
        <w:rPr>
          <w:rFonts w:ascii="Arial" w:hAnsi="Arial"/>
          <w:b/>
          <w:bCs/>
          <w:rtl/>
        </w:rPr>
      </w:pPr>
    </w:p>
    <w:p w14:paraId="60DE83AA" w14:textId="77777777" w:rsidR="001C611F" w:rsidRPr="003D6BF6" w:rsidRDefault="001C611F" w:rsidP="001C611F">
      <w:pPr>
        <w:spacing w:line="360" w:lineRule="auto"/>
        <w:ind w:firstLine="720"/>
        <w:jc w:val="both"/>
        <w:rPr>
          <w:rFonts w:ascii="Arial" w:hAnsi="Arial"/>
          <w:rtl/>
        </w:rPr>
      </w:pPr>
      <w:r w:rsidRPr="003D6BF6">
        <w:rPr>
          <w:rFonts w:ascii="Arial" w:hAnsi="Arial" w:hint="cs"/>
          <w:b/>
          <w:bCs/>
          <w:u w:val="single"/>
          <w:rtl/>
        </w:rPr>
        <w:t>הערכים החברתיים שנפגעו מעבירות הסמים, חומרתן ומדיניות הענישה הנהוגה</w:t>
      </w:r>
    </w:p>
    <w:p w14:paraId="536DE8A6" w14:textId="77777777" w:rsidR="001C611F" w:rsidRPr="005E23F0" w:rsidRDefault="001C611F" w:rsidP="001C611F">
      <w:pPr>
        <w:spacing w:line="360" w:lineRule="auto"/>
        <w:jc w:val="both"/>
        <w:rPr>
          <w:rFonts w:ascii="Arial" w:hAnsi="Arial"/>
          <w:sz w:val="16"/>
          <w:szCs w:val="16"/>
          <w:rtl/>
        </w:rPr>
      </w:pPr>
    </w:p>
    <w:p w14:paraId="3A83049E" w14:textId="77777777" w:rsidR="001C611F" w:rsidRPr="003D6BF6" w:rsidRDefault="001C611F" w:rsidP="001C611F">
      <w:pPr>
        <w:spacing w:line="360" w:lineRule="auto"/>
        <w:jc w:val="both"/>
        <w:rPr>
          <w:rFonts w:ascii="Arial" w:hAnsi="Arial"/>
          <w:rtl/>
        </w:rPr>
      </w:pPr>
      <w:r w:rsidRPr="003D6BF6">
        <w:rPr>
          <w:rFonts w:ascii="Arial" w:hAnsi="Arial" w:hint="cs"/>
          <w:rtl/>
        </w:rPr>
        <w:t>1</w:t>
      </w:r>
      <w:r>
        <w:rPr>
          <w:rFonts w:ascii="Arial" w:hAnsi="Arial" w:hint="cs"/>
          <w:rtl/>
        </w:rPr>
        <w:t>6</w:t>
      </w:r>
      <w:r w:rsidRPr="003D6BF6">
        <w:rPr>
          <w:rFonts w:ascii="Arial" w:hAnsi="Arial" w:hint="cs"/>
          <w:rtl/>
        </w:rPr>
        <w:t>.</w:t>
      </w:r>
      <w:r w:rsidRPr="003D6BF6">
        <w:rPr>
          <w:rFonts w:ascii="Arial" w:hAnsi="Arial" w:hint="cs"/>
          <w:rtl/>
        </w:rPr>
        <w:tab/>
        <w:t xml:space="preserve">הערכים שעליהם נועדו עבירות הסמים להגן הם כידוע, בריאות הציבור ושלומו הפיזי והנפשי. כן נועדו עבירות אלו להגן מפני הנזק העקיף הנגרם מעבירות אלו, לרבות נזקי עבירות רכוש, אלימות ועוד כיוצא באלו עבירות הנעברות לעתים תכופות לשם מימון הסמים והשגתם. </w:t>
      </w:r>
    </w:p>
    <w:p w14:paraId="4F54F2D8" w14:textId="77777777" w:rsidR="001C611F" w:rsidRPr="003D6BF6" w:rsidRDefault="001C611F" w:rsidP="001C611F">
      <w:pPr>
        <w:spacing w:line="360" w:lineRule="auto"/>
        <w:jc w:val="both"/>
        <w:rPr>
          <w:rFonts w:ascii="Arial" w:hAnsi="Arial"/>
          <w:rtl/>
        </w:rPr>
      </w:pPr>
    </w:p>
    <w:p w14:paraId="08F53352" w14:textId="77777777" w:rsidR="001C611F" w:rsidRPr="003D6BF6" w:rsidRDefault="001C611F" w:rsidP="001C611F">
      <w:pPr>
        <w:spacing w:line="360" w:lineRule="auto"/>
        <w:jc w:val="both"/>
        <w:rPr>
          <w:rFonts w:ascii="Arial" w:hAnsi="Arial"/>
          <w:rtl/>
        </w:rPr>
      </w:pPr>
      <w:r w:rsidRPr="003D6BF6">
        <w:rPr>
          <w:rFonts w:ascii="Arial" w:hAnsi="Arial" w:hint="cs"/>
          <w:rtl/>
        </w:rPr>
        <w:t>חומרת עבירות הסמים שבהן הורשע הנאשם נלמדת בין השאר, מהענישה הקבועה לעבירות אלו, העומדת על מאסר עד עשרים שנה (</w:t>
      </w:r>
      <w:hyperlink r:id="rId52" w:history="1">
        <w:r w:rsidR="002E217F" w:rsidRPr="002E217F">
          <w:rPr>
            <w:rStyle w:val="Hyperlink"/>
            <w:rFonts w:ascii="Arial" w:hAnsi="Arial" w:hint="eastAsia"/>
            <w:rtl/>
          </w:rPr>
          <w:t>סעיף</w:t>
        </w:r>
        <w:r w:rsidR="002E217F" w:rsidRPr="002E217F">
          <w:rPr>
            <w:rStyle w:val="Hyperlink"/>
            <w:rFonts w:ascii="Arial" w:hAnsi="Arial"/>
            <w:rtl/>
          </w:rPr>
          <w:t xml:space="preserve"> 7(ג)</w:t>
        </w:r>
      </w:hyperlink>
      <w:r w:rsidRPr="003D6BF6">
        <w:rPr>
          <w:rFonts w:ascii="Arial" w:hAnsi="Arial" w:hint="cs"/>
          <w:rtl/>
        </w:rPr>
        <w:t xml:space="preserve"> בפקודת הסמים). על חומרתן של עבירות סמים, על הצורך בעקירתן מהשורש תוך מתן ביטוי לנזק הרב הנובע מהן, עמד בית המשפט העליון כל אימת שנדרש לענישה בשל עבירות אלו (ראו למשל: </w:t>
      </w:r>
      <w:hyperlink r:id="rId53" w:history="1">
        <w:r w:rsidR="002620FC" w:rsidRPr="002620FC">
          <w:rPr>
            <w:rFonts w:ascii="Arial" w:hAnsi="Arial"/>
            <w:color w:val="0000FF"/>
            <w:u w:val="single"/>
            <w:rtl/>
          </w:rPr>
          <w:t>ע"פ 972/11</w:t>
        </w:r>
      </w:hyperlink>
      <w:r w:rsidRPr="003D6BF6">
        <w:rPr>
          <w:rFonts w:ascii="Arial" w:hAnsi="Arial" w:hint="cs"/>
          <w:rtl/>
        </w:rPr>
        <w:t xml:space="preserve"> </w:t>
      </w:r>
      <w:r w:rsidRPr="003D6BF6">
        <w:rPr>
          <w:rFonts w:ascii="Arial" w:hAnsi="Arial" w:hint="cs"/>
          <w:b/>
          <w:bCs/>
          <w:rtl/>
        </w:rPr>
        <w:t>מדינת ישראל נ' יונה</w:t>
      </w:r>
      <w:r w:rsidRPr="003D6BF6">
        <w:rPr>
          <w:rFonts w:ascii="Arial" w:hAnsi="Arial" w:hint="cs"/>
          <w:rtl/>
        </w:rPr>
        <w:t xml:space="preserve"> (4.7.2012), כבוד השופט נ' הנדל, פסקה 4; </w:t>
      </w:r>
      <w:hyperlink r:id="rId54" w:history="1">
        <w:r w:rsidR="002620FC" w:rsidRPr="002620FC">
          <w:rPr>
            <w:rFonts w:ascii="Arial" w:hAnsi="Arial"/>
            <w:color w:val="0000FF"/>
            <w:u w:val="single"/>
            <w:rtl/>
          </w:rPr>
          <w:t>ע"פ 4998/95</w:t>
        </w:r>
      </w:hyperlink>
      <w:r w:rsidRPr="003D6BF6">
        <w:rPr>
          <w:rFonts w:ascii="Arial" w:hAnsi="Arial" w:hint="cs"/>
          <w:rtl/>
        </w:rPr>
        <w:t xml:space="preserve"> </w:t>
      </w:r>
      <w:r w:rsidRPr="003D6BF6">
        <w:rPr>
          <w:rFonts w:ascii="Arial" w:hAnsi="Arial" w:hint="cs"/>
          <w:b/>
          <w:bCs/>
          <w:rtl/>
        </w:rPr>
        <w:t>מדינת ישראל נ' אוקטביו</w:t>
      </w:r>
      <w:r w:rsidRPr="003D6BF6">
        <w:rPr>
          <w:rFonts w:ascii="Arial" w:hAnsi="Arial" w:hint="cs"/>
          <w:rtl/>
        </w:rPr>
        <w:t xml:space="preserve">, פ"ד נא(3) 769 (1997), כבוד השופט מ' חשין, עמ' 787; </w:t>
      </w:r>
      <w:hyperlink r:id="rId55" w:history="1">
        <w:r w:rsidR="002620FC" w:rsidRPr="002620FC">
          <w:rPr>
            <w:rFonts w:ascii="Arial" w:hAnsi="Arial"/>
            <w:color w:val="0000FF"/>
            <w:u w:val="single"/>
            <w:rtl/>
          </w:rPr>
          <w:t>ע"פ 6029/03</w:t>
        </w:r>
      </w:hyperlink>
      <w:r w:rsidRPr="003D6BF6">
        <w:rPr>
          <w:rFonts w:ascii="Arial" w:hAnsi="Arial" w:hint="cs"/>
          <w:rtl/>
        </w:rPr>
        <w:t xml:space="preserve"> </w:t>
      </w:r>
      <w:r w:rsidRPr="003D6BF6">
        <w:rPr>
          <w:rFonts w:ascii="Arial" w:hAnsi="Arial" w:hint="cs"/>
          <w:b/>
          <w:bCs/>
          <w:rtl/>
        </w:rPr>
        <w:t>מדינת ישראל נ' שמאי</w:t>
      </w:r>
      <w:r w:rsidRPr="003D6BF6">
        <w:rPr>
          <w:rFonts w:ascii="Arial" w:hAnsi="Arial" w:hint="cs"/>
          <w:rtl/>
        </w:rPr>
        <w:t xml:space="preserve">, פ"ס נח(2) 734 (2004), כבוד השופט מ' חשין, פסקה 7). </w:t>
      </w:r>
    </w:p>
    <w:p w14:paraId="41BE8504" w14:textId="77777777" w:rsidR="001C611F" w:rsidRPr="003D6BF6" w:rsidRDefault="001C611F" w:rsidP="001C611F">
      <w:pPr>
        <w:spacing w:line="360" w:lineRule="auto"/>
        <w:jc w:val="both"/>
        <w:rPr>
          <w:rFonts w:ascii="Arial" w:hAnsi="Arial"/>
          <w:rtl/>
        </w:rPr>
      </w:pPr>
    </w:p>
    <w:p w14:paraId="4501B515"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זה שנים רבות שבית המשפט העליון שב ומדגיש את </w:t>
      </w:r>
      <w:r w:rsidRPr="003D6BF6">
        <w:rPr>
          <w:rFonts w:ascii="Arial" w:hAnsi="Arial" w:hint="cs"/>
          <w:b/>
          <w:bCs/>
          <w:rtl/>
        </w:rPr>
        <w:t>"הצורך להטיל עונשים חמורים, מכאיבים ומרתיעים ביותר בגין עבירות של יבוא סמים מסוכנים וסחר בהם"</w:t>
      </w:r>
      <w:r w:rsidRPr="003D6BF6">
        <w:rPr>
          <w:rFonts w:ascii="Arial" w:hAnsi="Arial" w:hint="cs"/>
          <w:rtl/>
        </w:rPr>
        <w:t xml:space="preserve"> (</w:t>
      </w:r>
      <w:hyperlink r:id="rId56" w:history="1">
        <w:r w:rsidR="002620FC" w:rsidRPr="002620FC">
          <w:rPr>
            <w:rFonts w:ascii="Arial" w:hAnsi="Arial"/>
            <w:color w:val="0000FF"/>
            <w:u w:val="single"/>
            <w:rtl/>
          </w:rPr>
          <w:t>ע"פ 376/89</w:t>
        </w:r>
      </w:hyperlink>
      <w:r w:rsidRPr="003D6BF6">
        <w:rPr>
          <w:rFonts w:ascii="Arial" w:hAnsi="Arial" w:hint="cs"/>
          <w:rtl/>
        </w:rPr>
        <w:t xml:space="preserve"> </w:t>
      </w:r>
      <w:r w:rsidRPr="003D6BF6">
        <w:rPr>
          <w:rFonts w:ascii="Arial" w:hAnsi="Arial" w:hint="cs"/>
          <w:b/>
          <w:bCs/>
          <w:rtl/>
        </w:rPr>
        <w:t>לובטון נ' מדינת ישראל</w:t>
      </w:r>
      <w:r w:rsidRPr="003D6BF6">
        <w:rPr>
          <w:rFonts w:ascii="Arial" w:hAnsi="Arial" w:hint="cs"/>
          <w:rtl/>
        </w:rPr>
        <w:t xml:space="preserve">, פ"ד מה(4) 309 (1991), כבוד השופט ג' בך, פסקה 4). כך בעודו חוזר ומדגיש לאמור, </w:t>
      </w:r>
      <w:r w:rsidRPr="003D6BF6">
        <w:rPr>
          <w:rFonts w:ascii="Arial" w:hAnsi="Arial" w:hint="cs"/>
          <w:b/>
          <w:bCs/>
          <w:rtl/>
        </w:rPr>
        <w:t>"כתבנו חזרנו וכתבנו, כי לא צריך להסתפק באמירות בעלמא בנושא זה כלפי חוץ, אלא צריך ליישם מדיניות זו הלכה למעשה ולהטיל עונשים השואפים לעונש המירבי שבית המשפט מוסמך להטילו"</w:t>
      </w:r>
      <w:r w:rsidRPr="003D6BF6">
        <w:rPr>
          <w:rFonts w:ascii="Arial" w:hAnsi="Arial" w:hint="cs"/>
          <w:rtl/>
        </w:rPr>
        <w:t xml:space="preserve"> (שם)). כך נאמר לפני כשלושים שנה וכך גם היום.</w:t>
      </w:r>
    </w:p>
    <w:p w14:paraId="6D8CBD2B" w14:textId="77777777" w:rsidR="001C611F" w:rsidRPr="003D6BF6" w:rsidRDefault="001C611F" w:rsidP="001C611F">
      <w:pPr>
        <w:spacing w:line="360" w:lineRule="auto"/>
        <w:jc w:val="both"/>
        <w:rPr>
          <w:rFonts w:ascii="Arial" w:hAnsi="Arial"/>
          <w:rtl/>
        </w:rPr>
      </w:pPr>
    </w:p>
    <w:p w14:paraId="4B4212F5" w14:textId="77777777" w:rsidR="001C611F" w:rsidRPr="003D6BF6" w:rsidRDefault="001C611F" w:rsidP="001C611F">
      <w:pPr>
        <w:spacing w:line="360" w:lineRule="auto"/>
        <w:jc w:val="both"/>
        <w:rPr>
          <w:rFonts w:ascii="Arial" w:hAnsi="Arial"/>
          <w:rtl/>
        </w:rPr>
      </w:pPr>
      <w:r w:rsidRPr="003D6BF6">
        <w:rPr>
          <w:rFonts w:ascii="Arial" w:hAnsi="Arial" w:hint="cs"/>
          <w:rtl/>
        </w:rPr>
        <w:t>1</w:t>
      </w:r>
      <w:r>
        <w:rPr>
          <w:rFonts w:ascii="Arial" w:hAnsi="Arial" w:hint="cs"/>
          <w:rtl/>
        </w:rPr>
        <w:t>7</w:t>
      </w:r>
      <w:r w:rsidRPr="003D6BF6">
        <w:rPr>
          <w:rFonts w:ascii="Arial" w:hAnsi="Arial" w:hint="cs"/>
          <w:rtl/>
        </w:rPr>
        <w:t>.</w:t>
      </w:r>
      <w:r w:rsidRPr="003D6BF6">
        <w:rPr>
          <w:rFonts w:ascii="Arial" w:hAnsi="Arial" w:hint="cs"/>
          <w:rtl/>
        </w:rPr>
        <w:tab/>
        <w:t xml:space="preserve">הענישה בשל עבירות סמים משתנה בהתאם לסוגי העבירות, לסוגי הסמים ולכמויות הסמים. בנסיבות העניין נראה פסקי הדין שאליהם הפנה בא-כוח המאשימה משקפים את מדיניות הענישה הנהוגה לעניין עבירות הסמים מהסוג הנדון, בהתחשב בסוג העבירה שבה הורשע הנאשם (החזקת סמים שלא לצריכה עצמית), בסוג הסמים, בכמויות ובמצב הסמים (2 ק"ג חשיש ו600 גרם קנאביס, המחולקים למנות). </w:t>
      </w:r>
    </w:p>
    <w:p w14:paraId="40DE100E" w14:textId="77777777" w:rsidR="001C611F" w:rsidRPr="003D6BF6" w:rsidRDefault="001C611F" w:rsidP="001C611F">
      <w:pPr>
        <w:spacing w:line="360" w:lineRule="auto"/>
        <w:jc w:val="both"/>
        <w:rPr>
          <w:rFonts w:ascii="Arial" w:hAnsi="Arial"/>
        </w:rPr>
      </w:pPr>
    </w:p>
    <w:p w14:paraId="221AB4C4" w14:textId="77777777" w:rsidR="001C611F" w:rsidRPr="003D6BF6" w:rsidRDefault="001C611F" w:rsidP="001C611F">
      <w:pPr>
        <w:spacing w:line="360" w:lineRule="auto"/>
        <w:ind w:firstLine="720"/>
        <w:jc w:val="both"/>
        <w:rPr>
          <w:rFonts w:ascii="Arial" w:hAnsi="Arial"/>
          <w:b/>
          <w:bCs/>
          <w:u w:val="single"/>
          <w:rtl/>
        </w:rPr>
      </w:pPr>
      <w:r w:rsidRPr="003D6BF6">
        <w:rPr>
          <w:rFonts w:ascii="Arial" w:hAnsi="Arial" w:hint="cs"/>
          <w:b/>
          <w:bCs/>
          <w:u w:val="single"/>
          <w:rtl/>
        </w:rPr>
        <w:t>נסיבות העבירות</w:t>
      </w:r>
    </w:p>
    <w:p w14:paraId="75958836" w14:textId="77777777" w:rsidR="001C611F" w:rsidRPr="005E23F0" w:rsidRDefault="001C611F" w:rsidP="001C611F">
      <w:pPr>
        <w:spacing w:line="360" w:lineRule="auto"/>
        <w:jc w:val="both"/>
        <w:rPr>
          <w:rFonts w:ascii="Arial" w:hAnsi="Arial"/>
          <w:sz w:val="16"/>
          <w:szCs w:val="16"/>
          <w:rtl/>
        </w:rPr>
      </w:pPr>
    </w:p>
    <w:p w14:paraId="049764A0" w14:textId="77777777" w:rsidR="001C611F" w:rsidRPr="003D6BF6" w:rsidRDefault="001C611F" w:rsidP="001C611F">
      <w:pPr>
        <w:spacing w:line="360" w:lineRule="auto"/>
        <w:jc w:val="both"/>
        <w:rPr>
          <w:rFonts w:ascii="Arial" w:hAnsi="Arial"/>
          <w:rtl/>
        </w:rPr>
      </w:pPr>
      <w:r w:rsidRPr="003D6BF6">
        <w:rPr>
          <w:rFonts w:ascii="Arial" w:hAnsi="Arial" w:hint="cs"/>
          <w:rtl/>
        </w:rPr>
        <w:t>1</w:t>
      </w:r>
      <w:r>
        <w:rPr>
          <w:rFonts w:ascii="Arial" w:hAnsi="Arial" w:hint="cs"/>
          <w:rtl/>
        </w:rPr>
        <w:t>8</w:t>
      </w:r>
      <w:r w:rsidRPr="003D6BF6">
        <w:rPr>
          <w:rFonts w:ascii="Arial" w:hAnsi="Arial" w:hint="cs"/>
          <w:rtl/>
        </w:rPr>
        <w:t>.</w:t>
      </w:r>
      <w:r w:rsidRPr="003D6BF6">
        <w:rPr>
          <w:rFonts w:ascii="Arial" w:hAnsi="Arial" w:hint="cs"/>
          <w:rtl/>
        </w:rPr>
        <w:tab/>
        <w:t xml:space="preserve">בעניין נסיבות העבירות נשקלו צירוף עבירות הנשק עם עבירות הסמים, אשר כטענת בא-כוח המאשימה, יש בכך כדי להעיד על התנהלות עבריינית. כן נשקלה </w:t>
      </w:r>
      <w:r>
        <w:rPr>
          <w:rFonts w:ascii="Arial" w:hAnsi="Arial" w:hint="cs"/>
          <w:rtl/>
        </w:rPr>
        <w:t>אחריותו הבלעדית של הנאשם לעבירות</w:t>
      </w:r>
      <w:r w:rsidRPr="003D6BF6">
        <w:rPr>
          <w:rFonts w:ascii="Arial" w:hAnsi="Arial" w:hint="cs"/>
          <w:rtl/>
        </w:rPr>
        <w:t xml:space="preserve">, להימצאות הנשק עם מחסניות וכדורים תואמים, לכמות הסמים שנתפסה ולכך שהסמים היו מחולקים למנות, באופן העשוי להעיד על כוונה להשאת רווחים מהסמים. כן ניתן משקל להיקף הנזק שעשוי </w:t>
      </w:r>
      <w:r>
        <w:rPr>
          <w:rFonts w:ascii="Arial" w:hAnsi="Arial" w:hint="cs"/>
          <w:rtl/>
        </w:rPr>
        <w:t xml:space="preserve">היה </w:t>
      </w:r>
      <w:r w:rsidRPr="003D6BF6">
        <w:rPr>
          <w:rFonts w:ascii="Arial" w:hAnsi="Arial" w:hint="cs"/>
          <w:rtl/>
        </w:rPr>
        <w:t>להיגרם מהסמים שנתפסו ולפוטנציאל הנזק החמור הטמון בנשק שנתפס.</w:t>
      </w:r>
    </w:p>
    <w:p w14:paraId="3EFBFBE8" w14:textId="77777777" w:rsidR="001C611F" w:rsidRPr="003D6BF6" w:rsidRDefault="001C611F" w:rsidP="001C611F">
      <w:pPr>
        <w:spacing w:line="360" w:lineRule="auto"/>
        <w:jc w:val="both"/>
        <w:rPr>
          <w:rFonts w:ascii="Arial" w:hAnsi="Arial"/>
          <w:rtl/>
        </w:rPr>
      </w:pPr>
    </w:p>
    <w:p w14:paraId="63FBCC72" w14:textId="77777777" w:rsidR="001C611F" w:rsidRPr="003D6BF6" w:rsidRDefault="001C611F" w:rsidP="001C611F">
      <w:pPr>
        <w:spacing w:line="360" w:lineRule="auto"/>
        <w:jc w:val="both"/>
        <w:rPr>
          <w:rFonts w:ascii="Arial" w:hAnsi="Arial"/>
          <w:rtl/>
        </w:rPr>
      </w:pPr>
      <w:r w:rsidRPr="003D6BF6">
        <w:rPr>
          <w:rFonts w:ascii="Arial" w:hAnsi="Arial" w:hint="cs"/>
          <w:rtl/>
        </w:rPr>
        <w:tab/>
      </w:r>
      <w:r w:rsidRPr="003D6BF6">
        <w:rPr>
          <w:rFonts w:ascii="Arial" w:hAnsi="Arial" w:hint="cs"/>
          <w:b/>
          <w:bCs/>
          <w:u w:val="single"/>
          <w:rtl/>
        </w:rPr>
        <w:t>קביעת מתחם העונש ההולם - סיכום</w:t>
      </w:r>
    </w:p>
    <w:p w14:paraId="4DDF1119" w14:textId="77777777" w:rsidR="001C611F" w:rsidRPr="005E23F0" w:rsidRDefault="001C611F" w:rsidP="001C611F">
      <w:pPr>
        <w:spacing w:line="360" w:lineRule="auto"/>
        <w:jc w:val="both"/>
        <w:rPr>
          <w:rFonts w:ascii="Arial" w:hAnsi="Arial"/>
          <w:sz w:val="16"/>
          <w:szCs w:val="16"/>
          <w:rtl/>
        </w:rPr>
      </w:pPr>
    </w:p>
    <w:p w14:paraId="019FC434" w14:textId="77777777" w:rsidR="001C611F" w:rsidRPr="00090CD4" w:rsidRDefault="001C611F" w:rsidP="001C611F">
      <w:pPr>
        <w:spacing w:line="360" w:lineRule="auto"/>
        <w:jc w:val="both"/>
        <w:rPr>
          <w:rFonts w:ascii="Arial" w:hAnsi="Arial"/>
          <w:b/>
          <w:bCs/>
          <w:rtl/>
        </w:rPr>
      </w:pPr>
      <w:r w:rsidRPr="003D6BF6">
        <w:rPr>
          <w:rFonts w:ascii="Arial" w:hAnsi="Arial" w:hint="cs"/>
          <w:rtl/>
        </w:rPr>
        <w:t>1</w:t>
      </w:r>
      <w:r>
        <w:rPr>
          <w:rFonts w:ascii="Arial" w:hAnsi="Arial" w:hint="cs"/>
          <w:rtl/>
        </w:rPr>
        <w:t>9</w:t>
      </w:r>
      <w:r w:rsidRPr="003D6BF6">
        <w:rPr>
          <w:rFonts w:ascii="Arial" w:hAnsi="Arial" w:hint="cs"/>
          <w:rtl/>
        </w:rPr>
        <w:t>.</w:t>
      </w:r>
      <w:r w:rsidRPr="003D6BF6">
        <w:rPr>
          <w:rFonts w:ascii="Arial" w:hAnsi="Arial" w:hint="cs"/>
          <w:rtl/>
        </w:rPr>
        <w:tab/>
      </w:r>
      <w:r>
        <w:rPr>
          <w:rFonts w:ascii="Arial" w:hAnsi="Arial" w:hint="cs"/>
          <w:rtl/>
        </w:rPr>
        <w:t xml:space="preserve">לנוכח כלל השיקולים ובהם </w:t>
      </w:r>
      <w:r w:rsidRPr="003D6BF6">
        <w:rPr>
          <w:rFonts w:ascii="Arial" w:hAnsi="Arial" w:hint="cs"/>
          <w:rtl/>
        </w:rPr>
        <w:t>הערכים החברתיים שנפגעו</w:t>
      </w:r>
      <w:r>
        <w:rPr>
          <w:rFonts w:ascii="Arial" w:hAnsi="Arial" w:hint="cs"/>
          <w:rtl/>
        </w:rPr>
        <w:t xml:space="preserve"> מהעבירות</w:t>
      </w:r>
      <w:r w:rsidRPr="003D6BF6">
        <w:rPr>
          <w:rFonts w:ascii="Arial" w:hAnsi="Arial" w:hint="cs"/>
          <w:rtl/>
        </w:rPr>
        <w:t xml:space="preserve">, מידת הפגיעה בהם, מדיניות הענישה הנהוגה והנסיבות שבהן נעברו העבירות, כמפורט לעיל, מתחם העונש ההולם בעניין </w:t>
      </w:r>
      <w:r w:rsidRPr="003D6BF6">
        <w:rPr>
          <w:rFonts w:ascii="Arial" w:hAnsi="Arial" w:hint="cs"/>
          <w:b/>
          <w:bCs/>
          <w:rtl/>
        </w:rPr>
        <w:t>עבירות הנשק</w:t>
      </w:r>
      <w:r w:rsidRPr="003D6BF6">
        <w:rPr>
          <w:rFonts w:ascii="Arial" w:hAnsi="Arial" w:hint="cs"/>
          <w:rtl/>
        </w:rPr>
        <w:t xml:space="preserve"> הוא </w:t>
      </w:r>
      <w:r w:rsidRPr="003D6BF6">
        <w:rPr>
          <w:rFonts w:ascii="Arial" w:hAnsi="Arial" w:hint="cs"/>
          <w:b/>
          <w:bCs/>
          <w:rtl/>
        </w:rPr>
        <w:t xml:space="preserve">בין עשרים וחמישה לארבעים </w:t>
      </w:r>
      <w:r w:rsidRPr="003D6BF6">
        <w:rPr>
          <w:rFonts w:ascii="Arial" w:hAnsi="Arial" w:hint="cs"/>
          <w:rtl/>
        </w:rPr>
        <w:t>חודשי מאסר בפועל</w:t>
      </w:r>
      <w:r>
        <w:rPr>
          <w:rFonts w:ascii="Arial" w:hAnsi="Arial" w:hint="cs"/>
          <w:rtl/>
        </w:rPr>
        <w:t xml:space="preserve"> ומתחם העונש ההולם </w:t>
      </w:r>
      <w:r w:rsidRPr="003D6BF6">
        <w:rPr>
          <w:rFonts w:ascii="Arial" w:hAnsi="Arial" w:hint="cs"/>
          <w:rtl/>
        </w:rPr>
        <w:t>בעניין</w:t>
      </w:r>
      <w:r w:rsidRPr="003D6BF6">
        <w:rPr>
          <w:rFonts w:ascii="Arial" w:hAnsi="Arial" w:hint="cs"/>
          <w:b/>
          <w:bCs/>
          <w:rtl/>
        </w:rPr>
        <w:t xml:space="preserve"> עבירות הסמים</w:t>
      </w:r>
      <w:r w:rsidRPr="003D6BF6">
        <w:rPr>
          <w:rFonts w:ascii="Arial" w:hAnsi="Arial" w:hint="cs"/>
          <w:rtl/>
        </w:rPr>
        <w:t xml:space="preserve"> הוא </w:t>
      </w:r>
      <w:r w:rsidRPr="003D6BF6">
        <w:rPr>
          <w:rFonts w:ascii="Arial" w:hAnsi="Arial" w:hint="cs"/>
          <w:b/>
          <w:bCs/>
          <w:rtl/>
        </w:rPr>
        <w:t>בין עשרה לעשרים</w:t>
      </w:r>
      <w:r w:rsidRPr="003D6BF6">
        <w:rPr>
          <w:rFonts w:ascii="Arial" w:hAnsi="Arial" w:hint="cs"/>
          <w:rtl/>
        </w:rPr>
        <w:t xml:space="preserve"> חודשי מאסר.</w:t>
      </w:r>
      <w:r>
        <w:rPr>
          <w:rFonts w:ascii="Arial" w:hAnsi="Arial" w:hint="cs"/>
          <w:rtl/>
        </w:rPr>
        <w:t xml:space="preserve"> בהיעדר מחלוקת על כך </w:t>
      </w:r>
      <w:r w:rsidRPr="003D6BF6">
        <w:rPr>
          <w:rFonts w:ascii="Arial" w:hAnsi="Arial" w:hint="cs"/>
          <w:rtl/>
        </w:rPr>
        <w:t>שמדובר באירוע אחד אשר לגביו יש לקבוע מתחם עונש אחד</w:t>
      </w:r>
      <w:r>
        <w:rPr>
          <w:rFonts w:ascii="Arial" w:hAnsi="Arial" w:hint="cs"/>
          <w:rtl/>
        </w:rPr>
        <w:t xml:space="preserve">, מתחם העונש ההולם לכל העבירות שבהן הורשע הנאשם הוא </w:t>
      </w:r>
      <w:r w:rsidRPr="003D6BF6">
        <w:rPr>
          <w:rFonts w:ascii="Arial" w:hAnsi="Arial" w:hint="cs"/>
          <w:rtl/>
        </w:rPr>
        <w:t xml:space="preserve">אפוא, בין </w:t>
      </w:r>
      <w:r w:rsidRPr="00090CD4">
        <w:rPr>
          <w:rFonts w:ascii="Arial" w:hAnsi="Arial" w:hint="cs"/>
          <w:b/>
          <w:bCs/>
          <w:u w:val="single"/>
          <w:rtl/>
        </w:rPr>
        <w:t>שלושים וחמישה</w:t>
      </w:r>
      <w:r w:rsidRPr="003D6BF6">
        <w:rPr>
          <w:rFonts w:ascii="Arial" w:hAnsi="Arial" w:hint="cs"/>
          <w:b/>
          <w:bCs/>
          <w:rtl/>
        </w:rPr>
        <w:t xml:space="preserve"> </w:t>
      </w:r>
      <w:r w:rsidRPr="00090CD4">
        <w:rPr>
          <w:rFonts w:ascii="Arial" w:hAnsi="Arial" w:hint="cs"/>
          <w:b/>
          <w:bCs/>
          <w:u w:val="single"/>
          <w:rtl/>
        </w:rPr>
        <w:t>לשישים</w:t>
      </w:r>
      <w:r w:rsidRPr="003D6BF6">
        <w:rPr>
          <w:rFonts w:ascii="Arial" w:hAnsi="Arial" w:hint="cs"/>
          <w:b/>
          <w:bCs/>
          <w:rtl/>
        </w:rPr>
        <w:t xml:space="preserve"> חודשי</w:t>
      </w:r>
      <w:r w:rsidRPr="00090CD4">
        <w:rPr>
          <w:rFonts w:ascii="Arial" w:hAnsi="Arial" w:hint="cs"/>
          <w:b/>
          <w:bCs/>
          <w:rtl/>
        </w:rPr>
        <w:t xml:space="preserve"> מאסר בפועל.</w:t>
      </w:r>
    </w:p>
    <w:p w14:paraId="6936A361" w14:textId="77777777" w:rsidR="001C611F" w:rsidRPr="003D6BF6" w:rsidRDefault="001C611F" w:rsidP="001C611F">
      <w:pPr>
        <w:spacing w:line="360" w:lineRule="auto"/>
        <w:jc w:val="both"/>
        <w:rPr>
          <w:rFonts w:ascii="Arial" w:hAnsi="Arial"/>
          <w:rtl/>
        </w:rPr>
      </w:pPr>
    </w:p>
    <w:p w14:paraId="7026ABAF" w14:textId="77777777" w:rsidR="001C611F" w:rsidRPr="003D6BF6" w:rsidRDefault="001C611F" w:rsidP="001C611F">
      <w:pPr>
        <w:spacing w:line="360" w:lineRule="auto"/>
        <w:jc w:val="both"/>
        <w:rPr>
          <w:rFonts w:ascii="Arial" w:hAnsi="Arial"/>
          <w:b/>
          <w:bCs/>
          <w:u w:val="single"/>
          <w:rtl/>
        </w:rPr>
      </w:pPr>
      <w:r w:rsidRPr="003D6BF6">
        <w:rPr>
          <w:rFonts w:ascii="Arial" w:hAnsi="Arial" w:hint="cs"/>
          <w:b/>
          <w:bCs/>
          <w:u w:val="single"/>
          <w:rtl/>
        </w:rPr>
        <w:t>גזירת עונשו של הנאשם</w:t>
      </w:r>
      <w:r w:rsidRPr="003D6BF6">
        <w:rPr>
          <w:rFonts w:ascii="Arial" w:hAnsi="Arial" w:hint="cs"/>
          <w:b/>
          <w:bCs/>
          <w:rtl/>
        </w:rPr>
        <w:t xml:space="preserve">  </w:t>
      </w:r>
    </w:p>
    <w:p w14:paraId="16955003" w14:textId="77777777" w:rsidR="001C611F" w:rsidRPr="005E23F0" w:rsidRDefault="001C611F" w:rsidP="001C611F">
      <w:pPr>
        <w:spacing w:line="360" w:lineRule="auto"/>
        <w:jc w:val="both"/>
        <w:rPr>
          <w:rFonts w:ascii="Arial" w:hAnsi="Arial"/>
          <w:b/>
          <w:bCs/>
          <w:sz w:val="16"/>
          <w:szCs w:val="16"/>
          <w:u w:val="single"/>
          <w:rtl/>
        </w:rPr>
      </w:pPr>
    </w:p>
    <w:p w14:paraId="792B4B3E" w14:textId="77777777" w:rsidR="001C611F" w:rsidRPr="003D6BF6" w:rsidRDefault="001C611F" w:rsidP="001C611F">
      <w:pPr>
        <w:spacing w:line="360" w:lineRule="auto"/>
        <w:jc w:val="both"/>
        <w:rPr>
          <w:rFonts w:ascii="Arial" w:hAnsi="Arial"/>
          <w:rtl/>
        </w:rPr>
      </w:pPr>
      <w:r>
        <w:rPr>
          <w:rFonts w:ascii="Arial" w:hAnsi="Arial" w:hint="cs"/>
          <w:rtl/>
        </w:rPr>
        <w:t>20</w:t>
      </w:r>
      <w:r w:rsidRPr="003D6BF6">
        <w:rPr>
          <w:rFonts w:ascii="Arial" w:hAnsi="Arial" w:hint="cs"/>
          <w:rtl/>
        </w:rPr>
        <w:t>.</w:t>
      </w:r>
      <w:r w:rsidRPr="003D6BF6">
        <w:rPr>
          <w:rFonts w:ascii="Arial" w:hAnsi="Arial" w:hint="cs"/>
          <w:b/>
          <w:bCs/>
          <w:rtl/>
        </w:rPr>
        <w:tab/>
      </w:r>
      <w:r w:rsidRPr="003D6BF6">
        <w:rPr>
          <w:rFonts w:ascii="Arial" w:hAnsi="Arial" w:hint="cs"/>
          <w:b/>
          <w:bCs/>
          <w:u w:val="single"/>
          <w:rtl/>
        </w:rPr>
        <w:t>נסיבותיו של הנאשם (שאינן קשורות במעשה העבירה)</w:t>
      </w:r>
      <w:r w:rsidRPr="003D6BF6">
        <w:rPr>
          <w:rFonts w:ascii="Arial" w:hAnsi="Arial" w:hint="cs"/>
          <w:b/>
          <w:bCs/>
          <w:rtl/>
        </w:rPr>
        <w:t>:</w:t>
      </w:r>
      <w:r w:rsidRPr="003D6BF6">
        <w:rPr>
          <w:rFonts w:ascii="Arial" w:hAnsi="Arial" w:hint="cs"/>
          <w:rtl/>
        </w:rPr>
        <w:t xml:space="preserve"> נסיבותיו האישיות של הנאשם, אשר נשקלו, הן העובדה שהוא נעדר הרשעות קודמות וכי מדובר במי שעד מעצרו בהליך הנדון ניהל אורח חיים נורמטיבי. כן ניתן משקל לרקע המשפחתי שלו</w:t>
      </w:r>
      <w:r>
        <w:rPr>
          <w:rFonts w:ascii="Arial" w:hAnsi="Arial" w:hint="cs"/>
          <w:rtl/>
        </w:rPr>
        <w:t>, כפי שפורט במסגרת טענותיו של בא-כוחו</w:t>
      </w:r>
      <w:r w:rsidRPr="003D6BF6">
        <w:rPr>
          <w:rFonts w:ascii="Arial" w:hAnsi="Arial" w:hint="cs"/>
          <w:rtl/>
        </w:rPr>
        <w:t xml:space="preserve"> ובכלל זה המצוקה הכלכלית הנטענת שבה גדל. </w:t>
      </w:r>
      <w:r>
        <w:rPr>
          <w:rFonts w:ascii="Arial" w:hAnsi="Arial" w:hint="cs"/>
          <w:rtl/>
        </w:rPr>
        <w:t xml:space="preserve">לצד אלו, נשקלה הודאת הנאשם, </w:t>
      </w:r>
      <w:r w:rsidRPr="003D6BF6">
        <w:rPr>
          <w:rFonts w:ascii="Arial" w:hAnsi="Arial" w:hint="cs"/>
          <w:rtl/>
        </w:rPr>
        <w:t xml:space="preserve">חרטתו בבית המשפט וצערו על מעשיו וכן ניתן משקל לדבריו לפניי, כי הוא משוכנע שלא יחזור לעבור עבירות בעתיד. </w:t>
      </w:r>
      <w:r>
        <w:rPr>
          <w:rFonts w:ascii="Arial" w:hAnsi="Arial" w:hint="cs"/>
          <w:rtl/>
        </w:rPr>
        <w:t xml:space="preserve">בנוסף לכך, </w:t>
      </w:r>
      <w:r w:rsidRPr="003D6BF6">
        <w:rPr>
          <w:rFonts w:ascii="Arial" w:hAnsi="Arial" w:hint="cs"/>
          <w:rtl/>
        </w:rPr>
        <w:t>ניתן משקל למותו של אחיו</w:t>
      </w:r>
      <w:r>
        <w:rPr>
          <w:rFonts w:ascii="Arial" w:hAnsi="Arial" w:hint="cs"/>
          <w:rtl/>
        </w:rPr>
        <w:t xml:space="preserve"> הצעיר</w:t>
      </w:r>
      <w:r w:rsidRPr="003D6BF6">
        <w:rPr>
          <w:rFonts w:ascii="Arial" w:hAnsi="Arial" w:hint="cs"/>
          <w:rtl/>
        </w:rPr>
        <w:t xml:space="preserve"> בנסיבות מצערות</w:t>
      </w:r>
      <w:r>
        <w:rPr>
          <w:rFonts w:ascii="Arial" w:hAnsi="Arial" w:hint="cs"/>
          <w:rtl/>
        </w:rPr>
        <w:t xml:space="preserve"> (כמפורט במסגרת טענותיו של בא-כוח הנאשם),</w:t>
      </w:r>
      <w:r w:rsidRPr="003D6BF6">
        <w:rPr>
          <w:rFonts w:ascii="Arial" w:hAnsi="Arial" w:hint="cs"/>
          <w:rtl/>
        </w:rPr>
        <w:t xml:space="preserve"> ולכך שהיה זה אח שהיה קרוב אליו וכי מאחר שהיה זה בתקופת מעצרו של הנאשם, נמנעה ממנו האפשרות להשתתף בלוויה שלו.</w:t>
      </w:r>
    </w:p>
    <w:p w14:paraId="0CF286A8" w14:textId="77777777" w:rsidR="001C611F" w:rsidRPr="003D6BF6" w:rsidRDefault="001C611F" w:rsidP="001C611F">
      <w:pPr>
        <w:spacing w:line="360" w:lineRule="auto"/>
        <w:jc w:val="both"/>
        <w:rPr>
          <w:rFonts w:ascii="Arial" w:hAnsi="Arial"/>
          <w:rtl/>
        </w:rPr>
      </w:pPr>
    </w:p>
    <w:p w14:paraId="4F249BB2" w14:textId="77777777" w:rsidR="001C611F" w:rsidRPr="003D6BF6" w:rsidRDefault="001C611F" w:rsidP="001C611F">
      <w:pPr>
        <w:spacing w:line="360" w:lineRule="auto"/>
        <w:jc w:val="both"/>
        <w:rPr>
          <w:rFonts w:ascii="Arial" w:hAnsi="Arial"/>
          <w:rtl/>
        </w:rPr>
      </w:pPr>
      <w:r w:rsidRPr="003D6BF6">
        <w:rPr>
          <w:rFonts w:ascii="Arial" w:hAnsi="Arial" w:hint="cs"/>
          <w:rtl/>
        </w:rPr>
        <w:t>2</w:t>
      </w:r>
      <w:r>
        <w:rPr>
          <w:rFonts w:ascii="Arial" w:hAnsi="Arial" w:hint="cs"/>
          <w:rtl/>
        </w:rPr>
        <w:t>1</w:t>
      </w:r>
      <w:r w:rsidRPr="003D6BF6">
        <w:rPr>
          <w:rFonts w:ascii="Arial" w:hAnsi="Arial" w:hint="cs"/>
          <w:rtl/>
        </w:rPr>
        <w:t>.</w:t>
      </w:r>
      <w:r w:rsidRPr="003D6BF6">
        <w:rPr>
          <w:rFonts w:ascii="Arial" w:hAnsi="Arial" w:hint="cs"/>
          <w:rtl/>
        </w:rPr>
        <w:tab/>
      </w:r>
      <w:r w:rsidRPr="003D6BF6">
        <w:rPr>
          <w:rFonts w:ascii="Arial" w:hAnsi="Arial" w:hint="cs"/>
          <w:b/>
          <w:bCs/>
          <w:u w:val="single"/>
          <w:rtl/>
        </w:rPr>
        <w:t>גזירת עונשו של הנאשם</w:t>
      </w:r>
      <w:r w:rsidRPr="003D6BF6">
        <w:rPr>
          <w:rFonts w:ascii="Arial" w:hAnsi="Arial" w:hint="cs"/>
          <w:b/>
          <w:bCs/>
          <w:rtl/>
        </w:rPr>
        <w:t>:</w:t>
      </w:r>
      <w:r w:rsidRPr="003D6BF6">
        <w:rPr>
          <w:rFonts w:ascii="Arial" w:hAnsi="Arial" w:hint="cs"/>
          <w:rtl/>
        </w:rPr>
        <w:t xml:space="preserve"> איזון כלל השיקולים שנדונו, לרבות עמדותיהם של המאשימה ושל בא-כוח הנאשם, מוביל להעמדת עונש המאסר שיושת על הנאשם בחלקו התחתון של מתחם העונש ההולם, אך לא ממש בתחתיתו. זאת לצד מאסר מותנה שישמש גורם מרתיע מפני חזרת הנאשם לעבור את העבירות שבהן הורשע.</w:t>
      </w:r>
    </w:p>
    <w:p w14:paraId="4A75CC23" w14:textId="77777777" w:rsidR="001C611F" w:rsidRPr="003D6BF6" w:rsidRDefault="001C611F" w:rsidP="001C611F">
      <w:pPr>
        <w:spacing w:line="360" w:lineRule="auto"/>
        <w:jc w:val="both"/>
        <w:rPr>
          <w:rFonts w:ascii="Arial" w:hAnsi="Arial"/>
          <w:rtl/>
        </w:rPr>
      </w:pPr>
    </w:p>
    <w:p w14:paraId="242537B4" w14:textId="77777777" w:rsidR="001C611F" w:rsidRPr="003D6BF6" w:rsidRDefault="001C611F" w:rsidP="001C611F">
      <w:pPr>
        <w:spacing w:line="360" w:lineRule="auto"/>
        <w:jc w:val="both"/>
        <w:rPr>
          <w:rFonts w:ascii="Arial" w:hAnsi="Arial"/>
          <w:rtl/>
        </w:rPr>
      </w:pPr>
      <w:bookmarkStart w:id="8" w:name="Nitan"/>
      <w:r w:rsidRPr="003D6BF6">
        <w:rPr>
          <w:rFonts w:ascii="Arial" w:hAnsi="Arial" w:hint="cs"/>
          <w:rtl/>
        </w:rPr>
        <w:t xml:space="preserve">כמו כן, לנוכח חומרת עבירות הנשק וחומרת עבירות הסמים, ניתן משקל לשיקולי הרתעה אישית </w:t>
      </w:r>
      <w:bookmarkEnd w:id="8"/>
      <w:r w:rsidRPr="003D6BF6">
        <w:rPr>
          <w:rFonts w:ascii="Arial" w:hAnsi="Arial" w:hint="cs"/>
          <w:rtl/>
        </w:rPr>
        <w:t>ולשיקולי הרתעת הרבים, אשר מצדיקים כי העונש לא ימוקם בקצה התחתון של מתחם העונש.</w:t>
      </w:r>
    </w:p>
    <w:p w14:paraId="42D6B7D4" w14:textId="77777777" w:rsidR="001C611F" w:rsidRPr="003D6BF6" w:rsidRDefault="001C611F" w:rsidP="001C611F">
      <w:pPr>
        <w:spacing w:line="360" w:lineRule="auto"/>
        <w:jc w:val="both"/>
        <w:rPr>
          <w:rFonts w:ascii="Arial" w:hAnsi="Arial"/>
          <w:rtl/>
        </w:rPr>
      </w:pPr>
    </w:p>
    <w:p w14:paraId="425705C6"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לנוכח ההחלטה לחלט את הכסף שנתפס ברשות הנאשם, בהתחשב בדוחק הכלכלי שלו ושל משפחתו, לא ראיתי לנכון לחייב אותו גם בתשלום קנס. </w:t>
      </w:r>
    </w:p>
    <w:p w14:paraId="1F855AE4" w14:textId="77777777" w:rsidR="001C611F" w:rsidRPr="003D6BF6" w:rsidRDefault="001C611F" w:rsidP="001C611F">
      <w:pPr>
        <w:spacing w:line="360" w:lineRule="auto"/>
        <w:jc w:val="both"/>
        <w:rPr>
          <w:rFonts w:ascii="Arial" w:hAnsi="Arial"/>
          <w:rtl/>
        </w:rPr>
      </w:pPr>
    </w:p>
    <w:p w14:paraId="59FCAE20" w14:textId="77777777" w:rsidR="001C611F" w:rsidRPr="003D6BF6" w:rsidRDefault="001C611F" w:rsidP="001C611F">
      <w:pPr>
        <w:spacing w:line="360" w:lineRule="auto"/>
        <w:jc w:val="both"/>
        <w:rPr>
          <w:rFonts w:ascii="Arial" w:hAnsi="Arial"/>
          <w:rtl/>
        </w:rPr>
      </w:pPr>
      <w:r w:rsidRPr="003D6BF6">
        <w:rPr>
          <w:rFonts w:ascii="Arial" w:hAnsi="Arial" w:hint="cs"/>
          <w:b/>
          <w:bCs/>
          <w:u w:val="single"/>
          <w:rtl/>
        </w:rPr>
        <w:t>גזר הדין – סיכום</w:t>
      </w:r>
    </w:p>
    <w:p w14:paraId="4DB0DE89" w14:textId="77777777" w:rsidR="001C611F" w:rsidRPr="005E23F0" w:rsidRDefault="001C611F" w:rsidP="001C611F">
      <w:pPr>
        <w:spacing w:line="360" w:lineRule="auto"/>
        <w:jc w:val="both"/>
        <w:rPr>
          <w:rFonts w:ascii="Arial" w:hAnsi="Arial"/>
          <w:sz w:val="16"/>
          <w:szCs w:val="16"/>
          <w:rtl/>
        </w:rPr>
      </w:pPr>
    </w:p>
    <w:p w14:paraId="1556109A" w14:textId="77777777" w:rsidR="001C611F" w:rsidRPr="003D6BF6" w:rsidRDefault="001C611F" w:rsidP="001C611F">
      <w:pPr>
        <w:spacing w:line="360" w:lineRule="auto"/>
        <w:jc w:val="both"/>
        <w:rPr>
          <w:rFonts w:ascii="Arial" w:hAnsi="Arial"/>
          <w:rtl/>
        </w:rPr>
      </w:pPr>
      <w:r w:rsidRPr="003D6BF6">
        <w:rPr>
          <w:rFonts w:ascii="Arial" w:hAnsi="Arial" w:hint="cs"/>
          <w:rtl/>
        </w:rPr>
        <w:t>2</w:t>
      </w:r>
      <w:r>
        <w:rPr>
          <w:rFonts w:ascii="Arial" w:hAnsi="Arial" w:hint="cs"/>
          <w:rtl/>
        </w:rPr>
        <w:t>2</w:t>
      </w:r>
      <w:r w:rsidRPr="003D6BF6">
        <w:rPr>
          <w:rFonts w:ascii="Arial" w:hAnsi="Arial" w:hint="cs"/>
          <w:rtl/>
        </w:rPr>
        <w:t>.</w:t>
      </w:r>
      <w:r w:rsidRPr="003D6BF6">
        <w:rPr>
          <w:rFonts w:ascii="Arial" w:hAnsi="Arial" w:hint="cs"/>
          <w:rtl/>
        </w:rPr>
        <w:tab/>
        <w:t>לנוכח כל השיקולים שהובאו לעיל, על הנאשם נגזרים העונשים הבאים:</w:t>
      </w:r>
    </w:p>
    <w:p w14:paraId="21C7ADD4" w14:textId="77777777" w:rsidR="001C611F" w:rsidRPr="003D6BF6" w:rsidRDefault="001C611F" w:rsidP="001C611F">
      <w:pPr>
        <w:spacing w:line="360" w:lineRule="auto"/>
        <w:jc w:val="both"/>
        <w:rPr>
          <w:rFonts w:ascii="Arial" w:hAnsi="Arial"/>
          <w:rtl/>
        </w:rPr>
      </w:pPr>
    </w:p>
    <w:p w14:paraId="0464553E" w14:textId="77777777" w:rsidR="001C611F" w:rsidRPr="003D6BF6" w:rsidRDefault="001C611F" w:rsidP="001C611F">
      <w:pPr>
        <w:spacing w:line="360" w:lineRule="auto"/>
        <w:ind w:left="1440" w:hanging="720"/>
        <w:jc w:val="both"/>
        <w:rPr>
          <w:rFonts w:ascii="Arial" w:hAnsi="Arial"/>
          <w:rtl/>
        </w:rPr>
      </w:pPr>
      <w:r w:rsidRPr="003D6BF6">
        <w:rPr>
          <w:rFonts w:ascii="Arial" w:hAnsi="Arial" w:hint="cs"/>
          <w:rtl/>
        </w:rPr>
        <w:t>א.</w:t>
      </w:r>
      <w:r w:rsidRPr="003D6BF6">
        <w:rPr>
          <w:rFonts w:ascii="Arial" w:hAnsi="Arial" w:hint="cs"/>
          <w:rtl/>
        </w:rPr>
        <w:tab/>
        <w:t xml:space="preserve">מאסר בפועל למשך </w:t>
      </w:r>
      <w:r w:rsidRPr="003D6BF6">
        <w:rPr>
          <w:rFonts w:ascii="Arial" w:hAnsi="Arial" w:hint="cs"/>
          <w:b/>
          <w:bCs/>
          <w:rtl/>
        </w:rPr>
        <w:t>ארבעים חודש</w:t>
      </w:r>
      <w:r w:rsidRPr="003D6BF6">
        <w:rPr>
          <w:rFonts w:ascii="Arial" w:hAnsi="Arial" w:hint="cs"/>
          <w:rtl/>
        </w:rPr>
        <w:t>, החל מיום מעצרו ביום 18.10.2021 (במקרה של סתירה לרישומי שב"ס, יש לפעול על-פי רישומי שב"ס).</w:t>
      </w:r>
    </w:p>
    <w:p w14:paraId="1826D9FB" w14:textId="77777777" w:rsidR="001C611F" w:rsidRPr="003D6BF6" w:rsidRDefault="001C611F" w:rsidP="001C611F">
      <w:pPr>
        <w:spacing w:line="360" w:lineRule="auto"/>
        <w:ind w:left="1440" w:hanging="1440"/>
        <w:jc w:val="both"/>
        <w:rPr>
          <w:rFonts w:ascii="Arial" w:hAnsi="Arial"/>
          <w:rtl/>
        </w:rPr>
      </w:pPr>
    </w:p>
    <w:p w14:paraId="25853D57" w14:textId="77777777" w:rsidR="001C611F" w:rsidRPr="003D6BF6" w:rsidRDefault="001C611F" w:rsidP="001C611F">
      <w:pPr>
        <w:spacing w:line="360" w:lineRule="auto"/>
        <w:ind w:left="1440" w:hanging="720"/>
        <w:jc w:val="both"/>
        <w:rPr>
          <w:rFonts w:ascii="Arial" w:hAnsi="Arial"/>
          <w:rtl/>
        </w:rPr>
      </w:pPr>
      <w:r w:rsidRPr="003D6BF6">
        <w:rPr>
          <w:rFonts w:ascii="Arial" w:hAnsi="Arial" w:hint="cs"/>
          <w:rtl/>
        </w:rPr>
        <w:t>ב.</w:t>
      </w:r>
      <w:r w:rsidRPr="003D6BF6">
        <w:rPr>
          <w:rFonts w:ascii="Arial" w:hAnsi="Arial" w:hint="cs"/>
          <w:rtl/>
        </w:rPr>
        <w:tab/>
        <w:t xml:space="preserve">מאסר מותנה למשך </w:t>
      </w:r>
      <w:r w:rsidRPr="003D6BF6">
        <w:rPr>
          <w:rFonts w:ascii="Arial" w:hAnsi="Arial" w:hint="cs"/>
          <w:b/>
          <w:bCs/>
          <w:rtl/>
        </w:rPr>
        <w:t>שישה חודשים</w:t>
      </w:r>
      <w:r w:rsidRPr="003D6BF6">
        <w:rPr>
          <w:rFonts w:ascii="Arial" w:hAnsi="Arial" w:hint="cs"/>
          <w:rtl/>
        </w:rPr>
        <w:t>. הנאשם יישא עונש זה אם תוך שלוש שנים מיום שחרורו מן המאסר יעבור עבירת נשק או עבירת סמים מסוג פשע, או ניסיון לעבור עבירה כאמור.</w:t>
      </w:r>
    </w:p>
    <w:p w14:paraId="038EED34" w14:textId="77777777" w:rsidR="001C611F" w:rsidRPr="003D6BF6" w:rsidRDefault="001C611F" w:rsidP="001C611F">
      <w:pPr>
        <w:spacing w:line="360" w:lineRule="auto"/>
        <w:ind w:left="1440" w:hanging="1440"/>
        <w:jc w:val="both"/>
        <w:rPr>
          <w:rFonts w:ascii="Arial" w:hAnsi="Arial"/>
          <w:rtl/>
        </w:rPr>
      </w:pPr>
    </w:p>
    <w:p w14:paraId="1D2E9904" w14:textId="77777777" w:rsidR="001C611F" w:rsidRPr="003D6BF6" w:rsidRDefault="001C611F" w:rsidP="001C611F">
      <w:pPr>
        <w:spacing w:line="360" w:lineRule="auto"/>
        <w:ind w:left="1440" w:hanging="720"/>
        <w:jc w:val="both"/>
        <w:rPr>
          <w:rFonts w:ascii="Arial" w:hAnsi="Arial"/>
          <w:rtl/>
        </w:rPr>
      </w:pPr>
      <w:r w:rsidRPr="003D6BF6">
        <w:rPr>
          <w:rFonts w:ascii="Arial" w:hAnsi="Arial" w:hint="cs"/>
          <w:rtl/>
        </w:rPr>
        <w:t>ג.</w:t>
      </w:r>
      <w:r w:rsidRPr="003D6BF6">
        <w:rPr>
          <w:rFonts w:ascii="Arial" w:hAnsi="Arial" w:hint="cs"/>
          <w:rtl/>
        </w:rPr>
        <w:tab/>
        <w:t xml:space="preserve">מאסר מותנה למשך </w:t>
      </w:r>
      <w:r w:rsidRPr="003D6BF6">
        <w:rPr>
          <w:rFonts w:ascii="Arial" w:hAnsi="Arial" w:hint="cs"/>
          <w:b/>
          <w:bCs/>
          <w:rtl/>
        </w:rPr>
        <w:t>שלושה חודשים</w:t>
      </w:r>
      <w:r w:rsidRPr="003D6BF6">
        <w:rPr>
          <w:rFonts w:ascii="Arial" w:hAnsi="Arial" w:hint="cs"/>
          <w:rtl/>
        </w:rPr>
        <w:t>. הנאשם יישא עונש זה אם תוך שלוש שנים מיום שחרורו מן המאסר יעבור עבירת נשק או עבירת סמים מסוג עוון, או ניסיון לעבור עבירה כאמור.</w:t>
      </w:r>
    </w:p>
    <w:p w14:paraId="1FB0FFFA" w14:textId="77777777" w:rsidR="001C611F" w:rsidRPr="003D6BF6" w:rsidRDefault="001C611F" w:rsidP="001C611F">
      <w:pPr>
        <w:spacing w:line="360" w:lineRule="auto"/>
        <w:jc w:val="both"/>
        <w:rPr>
          <w:rFonts w:ascii="Arial" w:hAnsi="Arial"/>
          <w:rtl/>
        </w:rPr>
      </w:pPr>
    </w:p>
    <w:p w14:paraId="6458E545" w14:textId="77777777" w:rsidR="001C611F" w:rsidRPr="003D6BF6" w:rsidRDefault="001C611F" w:rsidP="001C611F">
      <w:pPr>
        <w:spacing w:line="360" w:lineRule="auto"/>
        <w:jc w:val="both"/>
        <w:rPr>
          <w:rFonts w:ascii="Arial" w:hAnsi="Arial"/>
          <w:rtl/>
        </w:rPr>
      </w:pPr>
      <w:r w:rsidRPr="003D6BF6">
        <w:rPr>
          <w:rFonts w:ascii="Arial" w:hAnsi="Arial" w:hint="cs"/>
          <w:rtl/>
        </w:rPr>
        <w:t>2</w:t>
      </w:r>
      <w:r>
        <w:rPr>
          <w:rFonts w:ascii="Arial" w:hAnsi="Arial" w:hint="cs"/>
          <w:rtl/>
        </w:rPr>
        <w:t>3</w:t>
      </w:r>
      <w:r w:rsidRPr="003D6BF6">
        <w:rPr>
          <w:rFonts w:ascii="Arial" w:hAnsi="Arial" w:hint="cs"/>
          <w:rtl/>
        </w:rPr>
        <w:t>.</w:t>
      </w:r>
      <w:r w:rsidRPr="003D6BF6">
        <w:rPr>
          <w:rFonts w:ascii="Arial" w:hAnsi="Arial" w:hint="cs"/>
          <w:rtl/>
        </w:rPr>
        <w:tab/>
      </w:r>
      <w:r w:rsidRPr="003D6BF6">
        <w:rPr>
          <w:rFonts w:ascii="Arial" w:hAnsi="Arial" w:hint="cs"/>
          <w:b/>
          <w:bCs/>
          <w:u w:val="single"/>
          <w:rtl/>
        </w:rPr>
        <w:t>חילוט</w:t>
      </w:r>
      <w:r w:rsidRPr="003D6BF6">
        <w:rPr>
          <w:rFonts w:ascii="Arial" w:hAnsi="Arial" w:hint="cs"/>
          <w:b/>
          <w:bCs/>
          <w:rtl/>
        </w:rPr>
        <w:t>:</w:t>
      </w:r>
      <w:r w:rsidRPr="003D6BF6">
        <w:rPr>
          <w:rFonts w:ascii="Arial" w:hAnsi="Arial" w:hint="cs"/>
          <w:rtl/>
        </w:rPr>
        <w:tab/>
        <w:t xml:space="preserve">משנקבע כי הנאשם הוא סוחר סמים, יחולט סך 13,720 ₪ במזומן שנתפס ברשותו. הנשק והתחמושת יחולטו או יושמדו, בהתאם לשיקול דעת קצין החקירות. </w:t>
      </w:r>
    </w:p>
    <w:p w14:paraId="416084E6" w14:textId="77777777" w:rsidR="001C611F" w:rsidRDefault="001C611F" w:rsidP="001C611F">
      <w:pPr>
        <w:spacing w:line="360" w:lineRule="auto"/>
        <w:jc w:val="both"/>
        <w:rPr>
          <w:rFonts w:ascii="Arial" w:hAnsi="Arial"/>
          <w:rtl/>
        </w:rPr>
      </w:pPr>
    </w:p>
    <w:p w14:paraId="2ED7368F" w14:textId="77777777" w:rsidR="001C611F" w:rsidRPr="003D6BF6" w:rsidRDefault="001C611F" w:rsidP="001C611F">
      <w:pPr>
        <w:spacing w:line="360" w:lineRule="auto"/>
        <w:jc w:val="both"/>
        <w:rPr>
          <w:rFonts w:ascii="Arial" w:hAnsi="Arial"/>
          <w:rtl/>
        </w:rPr>
      </w:pPr>
    </w:p>
    <w:p w14:paraId="1154DEF9" w14:textId="77777777" w:rsidR="001C611F" w:rsidRPr="003D6BF6" w:rsidRDefault="001C611F" w:rsidP="001C611F">
      <w:pPr>
        <w:spacing w:line="360" w:lineRule="auto"/>
        <w:jc w:val="both"/>
        <w:rPr>
          <w:rFonts w:ascii="Arial" w:hAnsi="Arial"/>
          <w:b/>
          <w:bCs/>
          <w:rtl/>
        </w:rPr>
      </w:pPr>
      <w:r w:rsidRPr="003D6BF6">
        <w:rPr>
          <w:rFonts w:ascii="Arial" w:hAnsi="Arial" w:hint="cs"/>
          <w:b/>
          <w:bCs/>
          <w:rtl/>
        </w:rPr>
        <w:t>זכות ערעור לבית המשפט העליון תוך ארבעים וחמישה יום.</w:t>
      </w:r>
    </w:p>
    <w:p w14:paraId="7FFAB3D2" w14:textId="77777777" w:rsidR="001C611F" w:rsidRDefault="001C611F" w:rsidP="001C611F">
      <w:pPr>
        <w:spacing w:line="360" w:lineRule="auto"/>
        <w:jc w:val="both"/>
        <w:rPr>
          <w:rFonts w:ascii="Arial" w:hAnsi="Arial"/>
          <w:rtl/>
        </w:rPr>
      </w:pPr>
    </w:p>
    <w:p w14:paraId="4FD1766D" w14:textId="77777777" w:rsidR="001C611F" w:rsidRDefault="001C611F" w:rsidP="001C611F">
      <w:pPr>
        <w:spacing w:line="360" w:lineRule="auto"/>
        <w:jc w:val="both"/>
        <w:rPr>
          <w:rFonts w:ascii="Arial" w:hAnsi="Arial"/>
          <w:rtl/>
        </w:rPr>
      </w:pPr>
    </w:p>
    <w:p w14:paraId="31B9063F" w14:textId="77777777" w:rsidR="001C611F" w:rsidRPr="002620FC" w:rsidRDefault="002620FC" w:rsidP="001C611F">
      <w:pPr>
        <w:spacing w:line="360" w:lineRule="auto"/>
        <w:jc w:val="both"/>
        <w:rPr>
          <w:rFonts w:ascii="Arial" w:hAnsi="Arial"/>
          <w:color w:val="FFFFFF"/>
          <w:sz w:val="2"/>
          <w:szCs w:val="2"/>
          <w:rtl/>
        </w:rPr>
      </w:pPr>
      <w:r w:rsidRPr="002620FC">
        <w:rPr>
          <w:rFonts w:ascii="Arial" w:hAnsi="Arial"/>
          <w:color w:val="FFFFFF"/>
          <w:sz w:val="2"/>
          <w:szCs w:val="2"/>
          <w:rtl/>
        </w:rPr>
        <w:t>5129371</w:t>
      </w:r>
    </w:p>
    <w:tbl>
      <w:tblPr>
        <w:bidiVisual/>
        <w:tblW w:w="0" w:type="auto"/>
        <w:jc w:val="right"/>
        <w:tblLook w:val="01E0" w:firstRow="1" w:lastRow="1" w:firstColumn="1" w:lastColumn="1" w:noHBand="0" w:noVBand="0"/>
      </w:tblPr>
      <w:tblGrid>
        <w:gridCol w:w="2392"/>
      </w:tblGrid>
      <w:tr w:rsidR="001C611F" w14:paraId="5B34144E" w14:textId="77777777" w:rsidTr="001C611F">
        <w:trPr>
          <w:jc w:val="right"/>
        </w:trPr>
        <w:tc>
          <w:tcPr>
            <w:tcW w:w="2392" w:type="dxa"/>
            <w:tcBorders>
              <w:top w:val="nil"/>
              <w:left w:val="nil"/>
              <w:bottom w:val="single" w:sz="4" w:space="0" w:color="auto"/>
              <w:right w:val="nil"/>
            </w:tcBorders>
            <w:shd w:val="clear" w:color="auto" w:fill="auto"/>
            <w:vAlign w:val="center"/>
          </w:tcPr>
          <w:p w14:paraId="22315FC7" w14:textId="77777777" w:rsidR="001C611F" w:rsidRPr="001C611F" w:rsidRDefault="002620FC" w:rsidP="002620FC">
            <w:pPr>
              <w:spacing w:before="40" w:after="40"/>
              <w:jc w:val="center"/>
              <w:rPr>
                <w:rFonts w:ascii="Courier New" w:hAnsi="Courier New"/>
                <w:b/>
                <w:bCs/>
                <w:rtl/>
              </w:rPr>
            </w:pPr>
            <w:r w:rsidRPr="002620FC">
              <w:rPr>
                <w:rFonts w:ascii="Arial" w:hAnsi="Arial"/>
                <w:color w:val="FFFFFF"/>
                <w:sz w:val="2"/>
                <w:szCs w:val="2"/>
                <w:rtl/>
              </w:rPr>
              <w:t>54678313</w:t>
            </w:r>
            <w:r>
              <w:rPr>
                <w:rFonts w:ascii="Arial" w:hAnsi="Arial"/>
                <w:rtl/>
              </w:rPr>
              <w:t xml:space="preserve">ניתן היום, כ"א בתמוז </w:t>
            </w:r>
            <w:r w:rsidR="001C611F" w:rsidRPr="003D6BF6">
              <w:rPr>
                <w:rFonts w:ascii="Arial" w:hAnsi="Arial" w:hint="cs"/>
                <w:rtl/>
              </w:rPr>
              <w:t>התשפ"ב</w:t>
            </w:r>
            <w:r w:rsidR="001C611F" w:rsidRPr="003D6BF6">
              <w:rPr>
                <w:rFonts w:ascii="Arial" w:hAnsi="Arial"/>
                <w:rtl/>
              </w:rPr>
              <w:t xml:space="preserve">, </w:t>
            </w:r>
            <w:r w:rsidR="001C611F" w:rsidRPr="003D6BF6">
              <w:rPr>
                <w:rFonts w:ascii="Arial" w:hAnsi="Arial" w:hint="cs"/>
                <w:rtl/>
              </w:rPr>
              <w:t>20 ב</w:t>
            </w:r>
            <w:r w:rsidR="001C611F" w:rsidRPr="003D6BF6">
              <w:rPr>
                <w:rFonts w:ascii="Arial" w:hAnsi="Arial"/>
                <w:rtl/>
              </w:rPr>
              <w:t xml:space="preserve">יולי 2022, </w:t>
            </w:r>
            <w:r w:rsidR="001C611F" w:rsidRPr="003D6BF6">
              <w:rPr>
                <w:rFonts w:ascii="Arial" w:hAnsi="Arial" w:hint="cs"/>
                <w:rtl/>
              </w:rPr>
              <w:t xml:space="preserve">במעמד הנאשם ובאי-כוח הצדדים כמפורט </w:t>
            </w:r>
            <w:r>
              <w:rPr>
                <w:rFonts w:ascii="Arial" w:hAnsi="Arial"/>
                <w:rtl/>
              </w:rPr>
              <w:t xml:space="preserve">בפרוטוקול הדיון מהיום. </w:t>
            </w:r>
          </w:p>
        </w:tc>
      </w:tr>
      <w:tr w:rsidR="001C611F" w14:paraId="167F93B7" w14:textId="77777777" w:rsidTr="001C611F">
        <w:trPr>
          <w:jc w:val="right"/>
        </w:trPr>
        <w:tc>
          <w:tcPr>
            <w:tcW w:w="2392" w:type="dxa"/>
            <w:tcBorders>
              <w:top w:val="single" w:sz="4" w:space="0" w:color="auto"/>
              <w:left w:val="nil"/>
              <w:bottom w:val="nil"/>
              <w:right w:val="nil"/>
            </w:tcBorders>
            <w:shd w:val="clear" w:color="auto" w:fill="auto"/>
          </w:tcPr>
          <w:p w14:paraId="77FBEB52" w14:textId="77777777" w:rsidR="001C611F" w:rsidRPr="001C611F" w:rsidRDefault="001C611F" w:rsidP="001C611F">
            <w:pPr>
              <w:pStyle w:val="3"/>
              <w:spacing w:before="40" w:after="40" w:line="240" w:lineRule="auto"/>
              <w:jc w:val="center"/>
              <w:rPr>
                <w:sz w:val="28"/>
                <w:rtl/>
              </w:rPr>
            </w:pPr>
            <w:r w:rsidRPr="001C611F">
              <w:rPr>
                <w:rFonts w:hint="cs"/>
                <w:sz w:val="28"/>
                <w:rtl/>
              </w:rPr>
              <w:t>תמר בר-אשר, שופטת</w:t>
            </w:r>
          </w:p>
        </w:tc>
      </w:tr>
    </w:tbl>
    <w:p w14:paraId="37528EC0" w14:textId="77777777" w:rsidR="002620FC" w:rsidRDefault="002620FC" w:rsidP="002620FC">
      <w:pPr>
        <w:rPr>
          <w:rtl/>
        </w:rPr>
      </w:pPr>
    </w:p>
    <w:p w14:paraId="753B2939" w14:textId="77777777" w:rsidR="002620FC" w:rsidRDefault="002620FC" w:rsidP="002620FC">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79A968DD" w14:textId="77777777" w:rsidR="002E217F" w:rsidRPr="002E217F" w:rsidRDefault="002E217F" w:rsidP="002E217F">
      <w:pPr>
        <w:keepNext/>
        <w:rPr>
          <w:rFonts w:ascii="David" w:hAnsi="David"/>
          <w:color w:val="000000"/>
          <w:sz w:val="22"/>
          <w:szCs w:val="22"/>
          <w:rtl/>
        </w:rPr>
      </w:pPr>
    </w:p>
    <w:p w14:paraId="7328DB8C" w14:textId="77777777" w:rsidR="002E217F" w:rsidRPr="002E217F" w:rsidRDefault="002E217F" w:rsidP="002E217F">
      <w:pPr>
        <w:keepNext/>
        <w:rPr>
          <w:rFonts w:ascii="David" w:hAnsi="David"/>
          <w:color w:val="000000"/>
          <w:sz w:val="22"/>
          <w:szCs w:val="22"/>
          <w:rtl/>
        </w:rPr>
      </w:pPr>
      <w:r w:rsidRPr="002E217F">
        <w:rPr>
          <w:rFonts w:ascii="David" w:hAnsi="David"/>
          <w:color w:val="000000"/>
          <w:sz w:val="22"/>
          <w:szCs w:val="22"/>
          <w:rtl/>
        </w:rPr>
        <w:t>תמר בר אשר 54678313-/</w:t>
      </w:r>
    </w:p>
    <w:p w14:paraId="017B6E0B" w14:textId="77777777" w:rsidR="002620FC" w:rsidRPr="002620FC" w:rsidRDefault="002E217F" w:rsidP="002E217F">
      <w:pPr>
        <w:rPr>
          <w:color w:val="0000FF"/>
          <w:u w:val="single"/>
        </w:rPr>
      </w:pPr>
      <w:r w:rsidRPr="002E217F">
        <w:rPr>
          <w:color w:val="000000"/>
          <w:u w:val="single"/>
          <w:rtl/>
        </w:rPr>
        <w:t>נוסח מסמך זה כפוף לשינויי ניסוח ועריכה</w:t>
      </w:r>
    </w:p>
    <w:sectPr w:rsidR="002620FC" w:rsidRPr="002620FC" w:rsidSect="002E217F">
      <w:headerReference w:type="even" r:id="rId58"/>
      <w:headerReference w:type="default" r:id="rId59"/>
      <w:footerReference w:type="even" r:id="rId60"/>
      <w:footerReference w:type="default" r:id="rId61"/>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4B611" w14:textId="77777777" w:rsidR="001D62DE" w:rsidRDefault="001D62DE" w:rsidP="004B333D">
      <w:r>
        <w:separator/>
      </w:r>
    </w:p>
  </w:endnote>
  <w:endnote w:type="continuationSeparator" w:id="0">
    <w:p w14:paraId="504A03DA" w14:textId="77777777" w:rsidR="001D62DE" w:rsidRDefault="001D62DE" w:rsidP="004B3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3B951" w14:textId="77777777" w:rsidR="002E217F" w:rsidRDefault="002E217F" w:rsidP="002E217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F944D8" w14:textId="77777777" w:rsidR="00503245" w:rsidRPr="002E217F" w:rsidRDefault="002E217F" w:rsidP="002E217F">
    <w:pPr>
      <w:pStyle w:val="a5"/>
      <w:pBdr>
        <w:top w:val="single" w:sz="4" w:space="1" w:color="auto"/>
        <w:between w:val="single" w:sz="4" w:space="0" w:color="auto"/>
      </w:pBdr>
      <w:spacing w:after="60"/>
      <w:jc w:val="center"/>
      <w:rPr>
        <w:rFonts w:ascii="FrankRuehl" w:hAnsi="FrankRuehl" w:cs="FrankRuehl"/>
        <w:color w:val="000000"/>
      </w:rPr>
    </w:pPr>
    <w:r w:rsidRPr="002E217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EAD17" w14:textId="77777777" w:rsidR="002E217F" w:rsidRDefault="002E217F" w:rsidP="002E217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D35BC">
      <w:rPr>
        <w:rFonts w:ascii="FrankRuehl" w:hAnsi="FrankRuehl" w:cs="FrankRuehl"/>
        <w:noProof/>
        <w:rtl/>
      </w:rPr>
      <w:t>1</w:t>
    </w:r>
    <w:r>
      <w:rPr>
        <w:rFonts w:ascii="FrankRuehl" w:hAnsi="FrankRuehl" w:cs="FrankRuehl"/>
        <w:rtl/>
      </w:rPr>
      <w:fldChar w:fldCharType="end"/>
    </w:r>
  </w:p>
  <w:p w14:paraId="209352FA" w14:textId="77777777" w:rsidR="00503245" w:rsidRPr="002E217F" w:rsidRDefault="002E217F" w:rsidP="002E217F">
    <w:pPr>
      <w:pStyle w:val="a5"/>
      <w:pBdr>
        <w:top w:val="single" w:sz="4" w:space="1" w:color="auto"/>
        <w:between w:val="single" w:sz="4" w:space="0" w:color="auto"/>
      </w:pBdr>
      <w:spacing w:after="60"/>
      <w:jc w:val="center"/>
      <w:rPr>
        <w:rFonts w:ascii="FrankRuehl" w:hAnsi="FrankRuehl" w:cs="FrankRuehl"/>
        <w:color w:val="000000"/>
      </w:rPr>
    </w:pPr>
    <w:r w:rsidRPr="002E217F">
      <w:rPr>
        <w:rFonts w:ascii="FrankRuehl" w:hAnsi="FrankRuehl" w:cs="FrankRuehl"/>
        <w:color w:val="000000"/>
      </w:rPr>
      <w:pict w14:anchorId="2A024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5F033" w14:textId="77777777" w:rsidR="001D62DE" w:rsidRDefault="001D62DE" w:rsidP="004B333D">
      <w:r>
        <w:separator/>
      </w:r>
    </w:p>
  </w:footnote>
  <w:footnote w:type="continuationSeparator" w:id="0">
    <w:p w14:paraId="2AC8CE1E" w14:textId="77777777" w:rsidR="001D62DE" w:rsidRDefault="001D62DE" w:rsidP="004B3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30D19" w14:textId="77777777" w:rsidR="002620FC" w:rsidRPr="002E217F" w:rsidRDefault="002E217F" w:rsidP="002E217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1136-11-21</w:t>
    </w:r>
    <w:r>
      <w:rPr>
        <w:rFonts w:ascii="David" w:hAnsi="David"/>
        <w:color w:val="000000"/>
        <w:sz w:val="22"/>
        <w:szCs w:val="22"/>
        <w:rtl/>
      </w:rPr>
      <w:tab/>
      <w:t xml:space="preserve"> מדינת ישראל נ' אחמד שאריף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4DFB7" w14:textId="77777777" w:rsidR="002620FC" w:rsidRPr="002E217F" w:rsidRDefault="002E217F" w:rsidP="002E217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1136-11-21</w:t>
    </w:r>
    <w:r>
      <w:rPr>
        <w:rFonts w:ascii="David" w:hAnsi="David"/>
        <w:color w:val="000000"/>
        <w:sz w:val="22"/>
        <w:szCs w:val="22"/>
        <w:rtl/>
      </w:rPr>
      <w:tab/>
      <w:t xml:space="preserve"> מדינת ישראל נ' אחמד שאריף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611F"/>
    <w:rsid w:val="00117053"/>
    <w:rsid w:val="001468C3"/>
    <w:rsid w:val="001B5A3B"/>
    <w:rsid w:val="001C611F"/>
    <w:rsid w:val="001D62DE"/>
    <w:rsid w:val="002620FC"/>
    <w:rsid w:val="002E217F"/>
    <w:rsid w:val="00312E39"/>
    <w:rsid w:val="00430EB3"/>
    <w:rsid w:val="004A5A95"/>
    <w:rsid w:val="004B333D"/>
    <w:rsid w:val="00503245"/>
    <w:rsid w:val="00A93AAA"/>
    <w:rsid w:val="00C61B12"/>
    <w:rsid w:val="00D02FB7"/>
    <w:rsid w:val="00FD35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385ABC"/>
  <w15:chartTrackingRefBased/>
  <w15:docId w15:val="{EED3B1E8-2A22-4E90-A02A-832A865B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611F"/>
    <w:pPr>
      <w:bidi/>
    </w:pPr>
    <w:rPr>
      <w:rFonts w:ascii="Times New Roman" w:eastAsia="Times New Roman" w:hAnsi="Times New Roman" w:cs="David"/>
      <w:sz w:val="24"/>
      <w:szCs w:val="24"/>
    </w:rPr>
  </w:style>
  <w:style w:type="paragraph" w:styleId="3">
    <w:name w:val="heading 3"/>
    <w:basedOn w:val="a"/>
    <w:next w:val="a"/>
    <w:link w:val="30"/>
    <w:qFormat/>
    <w:rsid w:val="001C611F"/>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1C611F"/>
    <w:rPr>
      <w:rFonts w:ascii="Times New Roman" w:eastAsia="Times New Roman" w:hAnsi="Times New Roman" w:cs="David"/>
      <w:b/>
      <w:bCs/>
      <w:noProof/>
      <w:sz w:val="20"/>
      <w:szCs w:val="24"/>
      <w:lang w:eastAsia="he-IL"/>
    </w:rPr>
  </w:style>
  <w:style w:type="paragraph" w:styleId="a3">
    <w:name w:val="header"/>
    <w:basedOn w:val="a"/>
    <w:link w:val="a4"/>
    <w:rsid w:val="001C611F"/>
    <w:pPr>
      <w:tabs>
        <w:tab w:val="center" w:pos="4153"/>
        <w:tab w:val="right" w:pos="8306"/>
      </w:tabs>
    </w:pPr>
  </w:style>
  <w:style w:type="character" w:customStyle="1" w:styleId="a4">
    <w:name w:val="כותרת עליונה תו"/>
    <w:link w:val="a3"/>
    <w:rsid w:val="001C611F"/>
    <w:rPr>
      <w:rFonts w:ascii="Times New Roman" w:eastAsia="Times New Roman" w:hAnsi="Times New Roman" w:cs="David"/>
      <w:sz w:val="24"/>
      <w:szCs w:val="24"/>
    </w:rPr>
  </w:style>
  <w:style w:type="paragraph" w:styleId="a5">
    <w:name w:val="footer"/>
    <w:basedOn w:val="a"/>
    <w:link w:val="a6"/>
    <w:rsid w:val="001C611F"/>
    <w:pPr>
      <w:tabs>
        <w:tab w:val="center" w:pos="4153"/>
        <w:tab w:val="right" w:pos="8306"/>
      </w:tabs>
    </w:pPr>
  </w:style>
  <w:style w:type="character" w:customStyle="1" w:styleId="a6">
    <w:name w:val="כותרת תחתונה תו"/>
    <w:link w:val="a5"/>
    <w:rsid w:val="001C611F"/>
    <w:rPr>
      <w:rFonts w:ascii="Times New Roman" w:eastAsia="Times New Roman" w:hAnsi="Times New Roman" w:cs="David"/>
      <w:sz w:val="24"/>
      <w:szCs w:val="24"/>
    </w:rPr>
  </w:style>
  <w:style w:type="table" w:styleId="a7">
    <w:name w:val="Table Grid"/>
    <w:basedOn w:val="a1"/>
    <w:rsid w:val="001C611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C611F"/>
  </w:style>
  <w:style w:type="character" w:styleId="Hyperlink">
    <w:name w:val="Hyperlink"/>
    <w:rsid w:val="002620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081459" TargetMode="External"/><Relationship Id="rId39" Type="http://schemas.openxmlformats.org/officeDocument/2006/relationships/hyperlink" Target="http://www.nevo.co.il/case/28268880" TargetMode="External"/><Relationship Id="rId21" Type="http://schemas.openxmlformats.org/officeDocument/2006/relationships/hyperlink" Target="http://www.nevo.co.il/law/4216/36a.b" TargetMode="External"/><Relationship Id="rId34" Type="http://schemas.openxmlformats.org/officeDocument/2006/relationships/hyperlink" Target="http://www.nevo.co.il/case/22828581" TargetMode="External"/><Relationship Id="rId42" Type="http://schemas.openxmlformats.org/officeDocument/2006/relationships/hyperlink" Target="http://www.nevo.co.il/case/25246134" TargetMode="External"/><Relationship Id="rId47" Type="http://schemas.openxmlformats.org/officeDocument/2006/relationships/hyperlink" Target="http://www.nevo.co.il/case/28152132" TargetMode="External"/><Relationship Id="rId50" Type="http://schemas.openxmlformats.org/officeDocument/2006/relationships/hyperlink" Target="http://www.nevo.co.il/case/28513828" TargetMode="External"/><Relationship Id="rId55" Type="http://schemas.openxmlformats.org/officeDocument/2006/relationships/hyperlink" Target="http://www.nevo.co.il/case/5786821" TargetMode="External"/><Relationship Id="rId63" Type="http://schemas.openxmlformats.org/officeDocument/2006/relationships/theme" Target="theme/theme1.xml"/><Relationship Id="rId7" Type="http://schemas.openxmlformats.org/officeDocument/2006/relationships/hyperlink" Target="http://www.nevo.co.il/law/4216/1"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9" Type="http://schemas.openxmlformats.org/officeDocument/2006/relationships/hyperlink" Target="http://www.nevo.co.il/case/28020685"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6492590" TargetMode="External"/><Relationship Id="rId32" Type="http://schemas.openxmlformats.org/officeDocument/2006/relationships/hyperlink" Target="http://www.nevo.co.il/case/26568495" TargetMode="External"/><Relationship Id="rId37" Type="http://schemas.openxmlformats.org/officeDocument/2006/relationships/hyperlink" Target="http://www.nevo.co.il/case/20111708" TargetMode="External"/><Relationship Id="rId40" Type="http://schemas.openxmlformats.org/officeDocument/2006/relationships/hyperlink" Target="http://www.nevo.co.il/case/27912651" TargetMode="External"/><Relationship Id="rId45" Type="http://schemas.openxmlformats.org/officeDocument/2006/relationships/hyperlink" Target="http://www.nevo.co.il/case/27309272" TargetMode="External"/><Relationship Id="rId53" Type="http://schemas.openxmlformats.org/officeDocument/2006/relationships/hyperlink" Target="http://www.nevo.co.il/case/5738608" TargetMode="External"/><Relationship Id="rId58"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www.nevo.co.il/law/70301/144.a"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1" TargetMode="External"/><Relationship Id="rId27" Type="http://schemas.openxmlformats.org/officeDocument/2006/relationships/hyperlink" Target="http://www.nevo.co.il/case/28152132" TargetMode="External"/><Relationship Id="rId30" Type="http://schemas.openxmlformats.org/officeDocument/2006/relationships/hyperlink" Target="http://www.nevo.co.il/case/27721185" TargetMode="External"/><Relationship Id="rId35" Type="http://schemas.openxmlformats.org/officeDocument/2006/relationships/hyperlink" Target="http://www.nevo.co.il/case/6885012" TargetMode="External"/><Relationship Id="rId43" Type="http://schemas.openxmlformats.org/officeDocument/2006/relationships/hyperlink" Target="http://www.nevo.co.il/case/28200855" TargetMode="External"/><Relationship Id="rId48" Type="http://schemas.openxmlformats.org/officeDocument/2006/relationships/hyperlink" Target="http://www.nevo.co.il/case/28200855" TargetMode="External"/><Relationship Id="rId56" Type="http://schemas.openxmlformats.org/officeDocument/2006/relationships/hyperlink" Target="http://www.nevo.co.il/case/17940011" TargetMode="Externa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21017469" TargetMode="External"/><Relationship Id="rId33" Type="http://schemas.openxmlformats.org/officeDocument/2006/relationships/hyperlink" Target="http://www.nevo.co.il/case/24413385" TargetMode="External"/><Relationship Id="rId38" Type="http://schemas.openxmlformats.org/officeDocument/2006/relationships/hyperlink" Target="http://www.nevo.co.il/case/20159091" TargetMode="External"/><Relationship Id="rId46" Type="http://schemas.openxmlformats.org/officeDocument/2006/relationships/hyperlink" Target="http://www.nevo.co.il/case/25824863" TargetMode="External"/><Relationship Id="rId59" Type="http://schemas.openxmlformats.org/officeDocument/2006/relationships/header" Target="header2.xml"/><Relationship Id="rId20" Type="http://schemas.openxmlformats.org/officeDocument/2006/relationships/hyperlink" Target="http://www.nevo.co.il/law/70301/144.a" TargetMode="External"/><Relationship Id="rId41" Type="http://schemas.openxmlformats.org/officeDocument/2006/relationships/hyperlink" Target="http://www.nevo.co.il/case/28274889" TargetMode="External"/><Relationship Id="rId54" Type="http://schemas.openxmlformats.org/officeDocument/2006/relationships/hyperlink" Target="http://www.nevo.co.il/case/5988308"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4216/7.c" TargetMode="External"/><Relationship Id="rId23" Type="http://schemas.openxmlformats.org/officeDocument/2006/relationships/hyperlink" Target="http://www.nevo.co.il/case/27915710" TargetMode="External"/><Relationship Id="rId28" Type="http://schemas.openxmlformats.org/officeDocument/2006/relationships/hyperlink" Target="http://www.nevo.co.il/case/25957703" TargetMode="External"/><Relationship Id="rId36" Type="http://schemas.openxmlformats.org/officeDocument/2006/relationships/hyperlink" Target="http://www.nevo.co.il/case/2393808" TargetMode="External"/><Relationship Id="rId49" Type="http://schemas.openxmlformats.org/officeDocument/2006/relationships/hyperlink" Target="http://www.nevo.co.il/case/28243273"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4216/36a.b" TargetMode="External"/><Relationship Id="rId31" Type="http://schemas.openxmlformats.org/officeDocument/2006/relationships/hyperlink" Target="http://www.nevo.co.il/case/23169485" TargetMode="External"/><Relationship Id="rId44" Type="http://schemas.openxmlformats.org/officeDocument/2006/relationships/hyperlink" Target="http://www.nevo.co.il/case/27734980" TargetMode="External"/><Relationship Id="rId52" Type="http://schemas.openxmlformats.org/officeDocument/2006/relationships/hyperlink" Target="http://www.nevo.co.il/law/4216/7.c"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3937</Words>
  <Characters>19687</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23577</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3735671</vt:i4>
      </vt:variant>
      <vt:variant>
        <vt:i4>150</vt:i4>
      </vt:variant>
      <vt:variant>
        <vt:i4>0</vt:i4>
      </vt:variant>
      <vt:variant>
        <vt:i4>5</vt:i4>
      </vt:variant>
      <vt:variant>
        <vt:lpwstr>http://www.nevo.co.il/case/17940011</vt:lpwstr>
      </vt:variant>
      <vt:variant>
        <vt:lpwstr/>
      </vt:variant>
      <vt:variant>
        <vt:i4>3407991</vt:i4>
      </vt:variant>
      <vt:variant>
        <vt:i4>147</vt:i4>
      </vt:variant>
      <vt:variant>
        <vt:i4>0</vt:i4>
      </vt:variant>
      <vt:variant>
        <vt:i4>5</vt:i4>
      </vt:variant>
      <vt:variant>
        <vt:lpwstr>http://www.nevo.co.il/case/5786821</vt:lpwstr>
      </vt:variant>
      <vt:variant>
        <vt:lpwstr/>
      </vt:variant>
      <vt:variant>
        <vt:i4>3539061</vt:i4>
      </vt:variant>
      <vt:variant>
        <vt:i4>144</vt:i4>
      </vt:variant>
      <vt:variant>
        <vt:i4>0</vt:i4>
      </vt:variant>
      <vt:variant>
        <vt:i4>5</vt:i4>
      </vt:variant>
      <vt:variant>
        <vt:lpwstr>http://www.nevo.co.il/case/5988308</vt:lpwstr>
      </vt:variant>
      <vt:variant>
        <vt:lpwstr/>
      </vt:variant>
      <vt:variant>
        <vt:i4>3670139</vt:i4>
      </vt:variant>
      <vt:variant>
        <vt:i4>141</vt:i4>
      </vt:variant>
      <vt:variant>
        <vt:i4>0</vt:i4>
      </vt:variant>
      <vt:variant>
        <vt:i4>5</vt:i4>
      </vt:variant>
      <vt:variant>
        <vt:lpwstr>http://www.nevo.co.il/case/5738608</vt:lpwstr>
      </vt:variant>
      <vt:variant>
        <vt:lpwstr/>
      </vt:variant>
      <vt:variant>
        <vt:i4>2752612</vt:i4>
      </vt:variant>
      <vt:variant>
        <vt:i4>138</vt:i4>
      </vt:variant>
      <vt:variant>
        <vt:i4>0</vt:i4>
      </vt:variant>
      <vt:variant>
        <vt:i4>5</vt:i4>
      </vt:variant>
      <vt:variant>
        <vt:lpwstr>http://www.nevo.co.il/law/4216/7.c</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3539061</vt:i4>
      </vt:variant>
      <vt:variant>
        <vt:i4>132</vt:i4>
      </vt:variant>
      <vt:variant>
        <vt:i4>0</vt:i4>
      </vt:variant>
      <vt:variant>
        <vt:i4>5</vt:i4>
      </vt:variant>
      <vt:variant>
        <vt:lpwstr>http://www.nevo.co.il/case/28513828</vt:lpwstr>
      </vt:variant>
      <vt:variant>
        <vt:lpwstr/>
      </vt:variant>
      <vt:variant>
        <vt:i4>3407994</vt:i4>
      </vt:variant>
      <vt:variant>
        <vt:i4>129</vt:i4>
      </vt:variant>
      <vt:variant>
        <vt:i4>0</vt:i4>
      </vt:variant>
      <vt:variant>
        <vt:i4>5</vt:i4>
      </vt:variant>
      <vt:variant>
        <vt:lpwstr>http://www.nevo.co.il/case/28243273</vt:lpwstr>
      </vt:variant>
      <vt:variant>
        <vt:lpwstr/>
      </vt:variant>
      <vt:variant>
        <vt:i4>3473524</vt:i4>
      </vt:variant>
      <vt:variant>
        <vt:i4>126</vt:i4>
      </vt:variant>
      <vt:variant>
        <vt:i4>0</vt:i4>
      </vt:variant>
      <vt:variant>
        <vt:i4>5</vt:i4>
      </vt:variant>
      <vt:variant>
        <vt:lpwstr>http://www.nevo.co.il/case/28200855</vt:lpwstr>
      </vt:variant>
      <vt:variant>
        <vt:lpwstr/>
      </vt:variant>
      <vt:variant>
        <vt:i4>3276920</vt:i4>
      </vt:variant>
      <vt:variant>
        <vt:i4>123</vt:i4>
      </vt:variant>
      <vt:variant>
        <vt:i4>0</vt:i4>
      </vt:variant>
      <vt:variant>
        <vt:i4>5</vt:i4>
      </vt:variant>
      <vt:variant>
        <vt:lpwstr>http://www.nevo.co.il/case/28152132</vt:lpwstr>
      </vt:variant>
      <vt:variant>
        <vt:lpwstr/>
      </vt:variant>
      <vt:variant>
        <vt:i4>3670139</vt:i4>
      </vt:variant>
      <vt:variant>
        <vt:i4>120</vt:i4>
      </vt:variant>
      <vt:variant>
        <vt:i4>0</vt:i4>
      </vt:variant>
      <vt:variant>
        <vt:i4>5</vt:i4>
      </vt:variant>
      <vt:variant>
        <vt:lpwstr>http://www.nevo.co.il/case/25824863</vt:lpwstr>
      </vt:variant>
      <vt:variant>
        <vt:lpwstr/>
      </vt:variant>
      <vt:variant>
        <vt:i4>4128881</vt:i4>
      </vt:variant>
      <vt:variant>
        <vt:i4>117</vt:i4>
      </vt:variant>
      <vt:variant>
        <vt:i4>0</vt:i4>
      </vt:variant>
      <vt:variant>
        <vt:i4>5</vt:i4>
      </vt:variant>
      <vt:variant>
        <vt:lpwstr>http://www.nevo.co.il/case/27309272</vt:lpwstr>
      </vt:variant>
      <vt:variant>
        <vt:lpwstr/>
      </vt:variant>
      <vt:variant>
        <vt:i4>3735673</vt:i4>
      </vt:variant>
      <vt:variant>
        <vt:i4>114</vt:i4>
      </vt:variant>
      <vt:variant>
        <vt:i4>0</vt:i4>
      </vt:variant>
      <vt:variant>
        <vt:i4>5</vt:i4>
      </vt:variant>
      <vt:variant>
        <vt:lpwstr>http://www.nevo.co.il/case/27734980</vt:lpwstr>
      </vt:variant>
      <vt:variant>
        <vt:lpwstr/>
      </vt:variant>
      <vt:variant>
        <vt:i4>3473524</vt:i4>
      </vt:variant>
      <vt:variant>
        <vt:i4>111</vt:i4>
      </vt:variant>
      <vt:variant>
        <vt:i4>0</vt:i4>
      </vt:variant>
      <vt:variant>
        <vt:i4>5</vt:i4>
      </vt:variant>
      <vt:variant>
        <vt:lpwstr>http://www.nevo.co.il/case/28200855</vt:lpwstr>
      </vt:variant>
      <vt:variant>
        <vt:lpwstr/>
      </vt:variant>
      <vt:variant>
        <vt:i4>3473524</vt:i4>
      </vt:variant>
      <vt:variant>
        <vt:i4>108</vt:i4>
      </vt:variant>
      <vt:variant>
        <vt:i4>0</vt:i4>
      </vt:variant>
      <vt:variant>
        <vt:i4>5</vt:i4>
      </vt:variant>
      <vt:variant>
        <vt:lpwstr>http://www.nevo.co.il/case/25246134</vt:lpwstr>
      </vt:variant>
      <vt:variant>
        <vt:lpwstr/>
      </vt:variant>
      <vt:variant>
        <vt:i4>3932275</vt:i4>
      </vt:variant>
      <vt:variant>
        <vt:i4>105</vt:i4>
      </vt:variant>
      <vt:variant>
        <vt:i4>0</vt:i4>
      </vt:variant>
      <vt:variant>
        <vt:i4>5</vt:i4>
      </vt:variant>
      <vt:variant>
        <vt:lpwstr>http://www.nevo.co.il/case/28274889</vt:lpwstr>
      </vt:variant>
      <vt:variant>
        <vt:lpwstr/>
      </vt:variant>
      <vt:variant>
        <vt:i4>3932276</vt:i4>
      </vt:variant>
      <vt:variant>
        <vt:i4>102</vt:i4>
      </vt:variant>
      <vt:variant>
        <vt:i4>0</vt:i4>
      </vt:variant>
      <vt:variant>
        <vt:i4>5</vt:i4>
      </vt:variant>
      <vt:variant>
        <vt:lpwstr>http://www.nevo.co.il/case/27912651</vt:lpwstr>
      </vt:variant>
      <vt:variant>
        <vt:lpwstr/>
      </vt:variant>
      <vt:variant>
        <vt:i4>3145842</vt:i4>
      </vt:variant>
      <vt:variant>
        <vt:i4>99</vt:i4>
      </vt:variant>
      <vt:variant>
        <vt:i4>0</vt:i4>
      </vt:variant>
      <vt:variant>
        <vt:i4>5</vt:i4>
      </vt:variant>
      <vt:variant>
        <vt:lpwstr>http://www.nevo.co.il/case/28268880</vt:lpwstr>
      </vt:variant>
      <vt:variant>
        <vt:lpwstr/>
      </vt:variant>
      <vt:variant>
        <vt:i4>3342449</vt:i4>
      </vt:variant>
      <vt:variant>
        <vt:i4>96</vt:i4>
      </vt:variant>
      <vt:variant>
        <vt:i4>0</vt:i4>
      </vt:variant>
      <vt:variant>
        <vt:i4>5</vt:i4>
      </vt:variant>
      <vt:variant>
        <vt:lpwstr>http://www.nevo.co.il/case/20159091</vt:lpwstr>
      </vt:variant>
      <vt:variant>
        <vt:lpwstr/>
      </vt:variant>
      <vt:variant>
        <vt:i4>3276914</vt:i4>
      </vt:variant>
      <vt:variant>
        <vt:i4>93</vt:i4>
      </vt:variant>
      <vt:variant>
        <vt:i4>0</vt:i4>
      </vt:variant>
      <vt:variant>
        <vt:i4>5</vt:i4>
      </vt:variant>
      <vt:variant>
        <vt:lpwstr>http://www.nevo.co.il/case/20111708</vt:lpwstr>
      </vt:variant>
      <vt:variant>
        <vt:lpwstr/>
      </vt:variant>
      <vt:variant>
        <vt:i4>3866740</vt:i4>
      </vt:variant>
      <vt:variant>
        <vt:i4>90</vt:i4>
      </vt:variant>
      <vt:variant>
        <vt:i4>0</vt:i4>
      </vt:variant>
      <vt:variant>
        <vt:i4>5</vt:i4>
      </vt:variant>
      <vt:variant>
        <vt:lpwstr>http://www.nevo.co.il/case/2393808</vt:lpwstr>
      </vt:variant>
      <vt:variant>
        <vt:lpwstr/>
      </vt:variant>
      <vt:variant>
        <vt:i4>3932280</vt:i4>
      </vt:variant>
      <vt:variant>
        <vt:i4>87</vt:i4>
      </vt:variant>
      <vt:variant>
        <vt:i4>0</vt:i4>
      </vt:variant>
      <vt:variant>
        <vt:i4>5</vt:i4>
      </vt:variant>
      <vt:variant>
        <vt:lpwstr>http://www.nevo.co.il/case/6885012</vt:lpwstr>
      </vt:variant>
      <vt:variant>
        <vt:lpwstr/>
      </vt:variant>
      <vt:variant>
        <vt:i4>3801201</vt:i4>
      </vt:variant>
      <vt:variant>
        <vt:i4>84</vt:i4>
      </vt:variant>
      <vt:variant>
        <vt:i4>0</vt:i4>
      </vt:variant>
      <vt:variant>
        <vt:i4>5</vt:i4>
      </vt:variant>
      <vt:variant>
        <vt:lpwstr>http://www.nevo.co.il/case/22828581</vt:lpwstr>
      </vt:variant>
      <vt:variant>
        <vt:lpwstr/>
      </vt:variant>
      <vt:variant>
        <vt:i4>3997810</vt:i4>
      </vt:variant>
      <vt:variant>
        <vt:i4>81</vt:i4>
      </vt:variant>
      <vt:variant>
        <vt:i4>0</vt:i4>
      </vt:variant>
      <vt:variant>
        <vt:i4>5</vt:i4>
      </vt:variant>
      <vt:variant>
        <vt:lpwstr>http://www.nevo.co.il/case/24413385</vt:lpwstr>
      </vt:variant>
      <vt:variant>
        <vt:lpwstr/>
      </vt:variant>
      <vt:variant>
        <vt:i4>3539056</vt:i4>
      </vt:variant>
      <vt:variant>
        <vt:i4>78</vt:i4>
      </vt:variant>
      <vt:variant>
        <vt:i4>0</vt:i4>
      </vt:variant>
      <vt:variant>
        <vt:i4>5</vt:i4>
      </vt:variant>
      <vt:variant>
        <vt:lpwstr>http://www.nevo.co.il/case/26568495</vt:lpwstr>
      </vt:variant>
      <vt:variant>
        <vt:lpwstr/>
      </vt:variant>
      <vt:variant>
        <vt:i4>3276917</vt:i4>
      </vt:variant>
      <vt:variant>
        <vt:i4>75</vt:i4>
      </vt:variant>
      <vt:variant>
        <vt:i4>0</vt:i4>
      </vt:variant>
      <vt:variant>
        <vt:i4>5</vt:i4>
      </vt:variant>
      <vt:variant>
        <vt:lpwstr>http://www.nevo.co.il/case/23169485</vt:lpwstr>
      </vt:variant>
      <vt:variant>
        <vt:lpwstr/>
      </vt:variant>
      <vt:variant>
        <vt:i4>3932272</vt:i4>
      </vt:variant>
      <vt:variant>
        <vt:i4>72</vt:i4>
      </vt:variant>
      <vt:variant>
        <vt:i4>0</vt:i4>
      </vt:variant>
      <vt:variant>
        <vt:i4>5</vt:i4>
      </vt:variant>
      <vt:variant>
        <vt:lpwstr>http://www.nevo.co.il/case/27721185</vt:lpwstr>
      </vt:variant>
      <vt:variant>
        <vt:lpwstr/>
      </vt:variant>
      <vt:variant>
        <vt:i4>3801208</vt:i4>
      </vt:variant>
      <vt:variant>
        <vt:i4>69</vt:i4>
      </vt:variant>
      <vt:variant>
        <vt:i4>0</vt:i4>
      </vt:variant>
      <vt:variant>
        <vt:i4>5</vt:i4>
      </vt:variant>
      <vt:variant>
        <vt:lpwstr>http://www.nevo.co.il/case/28020685</vt:lpwstr>
      </vt:variant>
      <vt:variant>
        <vt:lpwstr/>
      </vt:variant>
      <vt:variant>
        <vt:i4>3932275</vt:i4>
      </vt:variant>
      <vt:variant>
        <vt:i4>66</vt:i4>
      </vt:variant>
      <vt:variant>
        <vt:i4>0</vt:i4>
      </vt:variant>
      <vt:variant>
        <vt:i4>5</vt:i4>
      </vt:variant>
      <vt:variant>
        <vt:lpwstr>http://www.nevo.co.il/case/25957703</vt:lpwstr>
      </vt:variant>
      <vt:variant>
        <vt:lpwstr/>
      </vt:variant>
      <vt:variant>
        <vt:i4>3276920</vt:i4>
      </vt:variant>
      <vt:variant>
        <vt:i4>63</vt:i4>
      </vt:variant>
      <vt:variant>
        <vt:i4>0</vt:i4>
      </vt:variant>
      <vt:variant>
        <vt:i4>5</vt:i4>
      </vt:variant>
      <vt:variant>
        <vt:lpwstr>http://www.nevo.co.il/case/28152132</vt:lpwstr>
      </vt:variant>
      <vt:variant>
        <vt:lpwstr/>
      </vt:variant>
      <vt:variant>
        <vt:i4>3342448</vt:i4>
      </vt:variant>
      <vt:variant>
        <vt:i4>60</vt:i4>
      </vt:variant>
      <vt:variant>
        <vt:i4>0</vt:i4>
      </vt:variant>
      <vt:variant>
        <vt:i4>5</vt:i4>
      </vt:variant>
      <vt:variant>
        <vt:lpwstr>http://www.nevo.co.il/case/6081459</vt:lpwstr>
      </vt:variant>
      <vt:variant>
        <vt:lpwstr/>
      </vt:variant>
      <vt:variant>
        <vt:i4>3342448</vt:i4>
      </vt:variant>
      <vt:variant>
        <vt:i4>57</vt:i4>
      </vt:variant>
      <vt:variant>
        <vt:i4>0</vt:i4>
      </vt:variant>
      <vt:variant>
        <vt:i4>5</vt:i4>
      </vt:variant>
      <vt:variant>
        <vt:lpwstr>http://www.nevo.co.il/case/21017469</vt:lpwstr>
      </vt:variant>
      <vt:variant>
        <vt:lpwstr/>
      </vt:variant>
      <vt:variant>
        <vt:i4>3997822</vt:i4>
      </vt:variant>
      <vt:variant>
        <vt:i4>54</vt:i4>
      </vt:variant>
      <vt:variant>
        <vt:i4>0</vt:i4>
      </vt:variant>
      <vt:variant>
        <vt:i4>5</vt:i4>
      </vt:variant>
      <vt:variant>
        <vt:lpwstr>http://www.nevo.co.il/case/26492590</vt:lpwstr>
      </vt:variant>
      <vt:variant>
        <vt:lpwstr/>
      </vt:variant>
      <vt:variant>
        <vt:i4>4128885</vt:i4>
      </vt:variant>
      <vt:variant>
        <vt:i4>51</vt:i4>
      </vt:variant>
      <vt:variant>
        <vt:i4>0</vt:i4>
      </vt:variant>
      <vt:variant>
        <vt:i4>5</vt:i4>
      </vt:variant>
      <vt:variant>
        <vt:lpwstr>http://www.nevo.co.il/case/27915710</vt:lpwstr>
      </vt:variant>
      <vt:variant>
        <vt:lpwstr/>
      </vt:variant>
      <vt:variant>
        <vt:i4>5177418</vt:i4>
      </vt:variant>
      <vt:variant>
        <vt:i4>48</vt:i4>
      </vt:variant>
      <vt:variant>
        <vt:i4>0</vt:i4>
      </vt:variant>
      <vt:variant>
        <vt:i4>5</vt:i4>
      </vt:variant>
      <vt:variant>
        <vt:lpwstr>http://www.nevo.co.il/law/4216/1</vt:lpwstr>
      </vt:variant>
      <vt:variant>
        <vt:lpwstr/>
      </vt:variant>
      <vt:variant>
        <vt:i4>5111890</vt:i4>
      </vt:variant>
      <vt:variant>
        <vt:i4>45</vt:i4>
      </vt:variant>
      <vt:variant>
        <vt:i4>0</vt:i4>
      </vt:variant>
      <vt:variant>
        <vt:i4>5</vt:i4>
      </vt:variant>
      <vt:variant>
        <vt:lpwstr>http://www.nevo.co.il/law/4216/36a.b</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2025-04-22T21:15:00Z</dcterms:created>
  <dcterms:modified xsi:type="dcterms:W3CDTF">2025-04-22T21:15:00Z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1136</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אחמד שאריף</vt:lpwstr>
  </property>
  <property fmtid="{D5CDD505-2E9C-101B-9397-08002B2CF9AE}" pid="10" name="LAWYER">
    <vt:lpwstr>ישי זיגמן;עבד דראושה</vt:lpwstr>
  </property>
  <property fmtid="{D5CDD505-2E9C-101B-9397-08002B2CF9AE}" pid="11" name="JUDGE">
    <vt:lpwstr>תמר בר אשר</vt:lpwstr>
  </property>
  <property fmtid="{D5CDD505-2E9C-101B-9397-08002B2CF9AE}" pid="12" name="CITY">
    <vt:lpwstr>י-ם</vt:lpwstr>
  </property>
  <property fmtid="{D5CDD505-2E9C-101B-9397-08002B2CF9AE}" pid="13" name="TYPE_N_DATE">
    <vt:lpwstr>39020220720</vt:lpwstr>
  </property>
  <property fmtid="{D5CDD505-2E9C-101B-9397-08002B2CF9AE}" pid="14" name="WORDNUMPAGES">
    <vt:lpwstr>10</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20220720</vt:lpwstr>
  </property>
  <property fmtid="{D5CDD505-2E9C-101B-9397-08002B2CF9AE}" pid="33" name="TYPE_ABS_DATE">
    <vt:lpwstr>390020220720</vt:lpwstr>
  </property>
  <property fmtid="{D5CDD505-2E9C-101B-9397-08002B2CF9AE}" pid="34" name="ISABSTRACT">
    <vt:lpwstr>Y</vt:lpwstr>
  </property>
  <property fmtid="{D5CDD505-2E9C-101B-9397-08002B2CF9AE}" pid="35" name="CASESLISTTMP1">
    <vt:lpwstr>27915710;26492590;21017469;6081459;28152132:2;25957703;28020685;27721185;23169485;26568495;24413385;22828581;6885012;2393808;20111708;20159091;28268880;27912651;28274889;25246134;28200855:2;27734980;27309272;25824863;28243273;28513828;5738608;5988308</vt:lpwstr>
  </property>
  <property fmtid="{D5CDD505-2E9C-101B-9397-08002B2CF9AE}" pid="36" name="CASESLISTTMP2">
    <vt:lpwstr>5786821;17940011</vt:lpwstr>
  </property>
  <property fmtid="{D5CDD505-2E9C-101B-9397-08002B2CF9AE}" pid="37" name="LAWLISTTMP1">
    <vt:lpwstr>4216/007.a;007.c:2;036a.b;001</vt:lpwstr>
  </property>
  <property fmtid="{D5CDD505-2E9C-101B-9397-08002B2CF9AE}" pid="38" name="LAWLISTTMP2">
    <vt:lpwstr>70301/144.b;144.a:2</vt:lpwstr>
  </property>
</Properties>
</file>