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3D54B7" w:rsidRPr="00B07275" w14:paraId="0CD43B78" w14:textId="77777777" w:rsidTr="00DE2237">
        <w:trPr>
          <w:gridAfter w:val="1"/>
          <w:wAfter w:w="99" w:type="dxa"/>
          <w:trHeight w:hRule="exact" w:val="418"/>
          <w:jc w:val="center"/>
        </w:trPr>
        <w:tc>
          <w:tcPr>
            <w:tcW w:w="8721" w:type="dxa"/>
            <w:gridSpan w:val="4"/>
          </w:tcPr>
          <w:p w14:paraId="391F9CEE" w14:textId="77777777" w:rsidR="003D54B7" w:rsidRPr="00B07275" w:rsidRDefault="003D54B7" w:rsidP="00836D5E">
            <w:pPr>
              <w:pStyle w:val="a3"/>
              <w:jc w:val="center"/>
              <w:rPr>
                <w:rFonts w:ascii="Tahoma" w:hAnsi="Tahoma" w:cs="Tahoma"/>
                <w:color w:val="000080"/>
                <w:rtl/>
              </w:rPr>
            </w:pPr>
            <w:bookmarkStart w:id="0" w:name="LastJudge"/>
            <w:r w:rsidRPr="00B07275">
              <w:rPr>
                <w:rFonts w:ascii="Tahoma" w:hAnsi="Tahoma" w:cs="Tahoma"/>
                <w:b/>
                <w:bCs/>
                <w:color w:val="000080"/>
                <w:rtl/>
              </w:rPr>
              <w:t>בית המשפט המחוזי בבאר שבע</w:t>
            </w:r>
          </w:p>
        </w:tc>
      </w:tr>
      <w:tr w:rsidR="003D54B7" w:rsidRPr="00B07275" w14:paraId="3CBC128B" w14:textId="77777777" w:rsidTr="00DE2237">
        <w:trPr>
          <w:gridAfter w:val="1"/>
          <w:wAfter w:w="99" w:type="dxa"/>
          <w:trHeight w:val="337"/>
          <w:jc w:val="center"/>
        </w:trPr>
        <w:tc>
          <w:tcPr>
            <w:tcW w:w="5056" w:type="dxa"/>
            <w:gridSpan w:val="3"/>
          </w:tcPr>
          <w:p w14:paraId="44FA1860" w14:textId="77777777" w:rsidR="003D54B7" w:rsidRPr="00B07275" w:rsidRDefault="003D54B7" w:rsidP="00836D5E">
            <w:pPr>
              <w:rPr>
                <w:rFonts w:cs="FrankRuehl"/>
                <w:sz w:val="28"/>
                <w:szCs w:val="28"/>
                <w:rtl/>
              </w:rPr>
            </w:pPr>
            <w:r w:rsidRPr="00B07275">
              <w:rPr>
                <w:rFonts w:cs="FrankRuehl"/>
                <w:sz w:val="28"/>
                <w:szCs w:val="28"/>
                <w:rtl/>
              </w:rPr>
              <w:t>ת"פ</w:t>
            </w:r>
            <w:r w:rsidRPr="00B07275">
              <w:rPr>
                <w:rFonts w:cs="FrankRuehl" w:hint="cs"/>
                <w:sz w:val="28"/>
                <w:szCs w:val="28"/>
                <w:rtl/>
              </w:rPr>
              <w:t xml:space="preserve"> </w:t>
            </w:r>
            <w:r w:rsidRPr="00B07275">
              <w:rPr>
                <w:rFonts w:cs="FrankRuehl"/>
                <w:sz w:val="28"/>
                <w:szCs w:val="28"/>
                <w:rtl/>
              </w:rPr>
              <w:t>21086-11-21</w:t>
            </w:r>
            <w:r w:rsidRPr="00B07275">
              <w:rPr>
                <w:rFonts w:cs="FrankRuehl" w:hint="cs"/>
                <w:sz w:val="28"/>
                <w:szCs w:val="28"/>
                <w:rtl/>
              </w:rPr>
              <w:t xml:space="preserve"> </w:t>
            </w:r>
            <w:r w:rsidRPr="00B07275">
              <w:rPr>
                <w:rFonts w:cs="FrankRuehl"/>
                <w:sz w:val="28"/>
                <w:szCs w:val="28"/>
                <w:rtl/>
              </w:rPr>
              <w:t>מדינת ישראל נ' מוזס כהן(עציר)</w:t>
            </w:r>
          </w:p>
          <w:p w14:paraId="4985F40A" w14:textId="77777777" w:rsidR="003D54B7" w:rsidRPr="00B07275" w:rsidRDefault="003D54B7" w:rsidP="00836D5E">
            <w:pPr>
              <w:pStyle w:val="a3"/>
              <w:rPr>
                <w:rFonts w:cs="FrankRuehl"/>
                <w:sz w:val="28"/>
                <w:szCs w:val="28"/>
                <w:rtl/>
              </w:rPr>
            </w:pPr>
          </w:p>
        </w:tc>
        <w:tc>
          <w:tcPr>
            <w:tcW w:w="3665" w:type="dxa"/>
          </w:tcPr>
          <w:p w14:paraId="32F00351" w14:textId="77777777" w:rsidR="003D54B7" w:rsidRPr="00B07275" w:rsidRDefault="003D54B7" w:rsidP="00836D5E">
            <w:pPr>
              <w:pStyle w:val="a3"/>
              <w:jc w:val="right"/>
              <w:rPr>
                <w:rFonts w:cs="FrankRuehl"/>
                <w:sz w:val="28"/>
                <w:szCs w:val="28"/>
                <w:rtl/>
              </w:rPr>
            </w:pPr>
          </w:p>
        </w:tc>
      </w:tr>
      <w:tr w:rsidR="003D54B7" w:rsidRPr="00B07275" w14:paraId="3F6784FB" w14:textId="77777777" w:rsidTr="00DE22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20295A" w14:textId="77777777" w:rsidR="003D54B7" w:rsidRPr="00B07275" w:rsidRDefault="003D54B7" w:rsidP="003D54B7">
            <w:pPr>
              <w:jc w:val="both"/>
              <w:rPr>
                <w:rFonts w:ascii="David" w:hAnsi="David"/>
                <w:sz w:val="26"/>
                <w:szCs w:val="26"/>
              </w:rPr>
            </w:pPr>
            <w:r w:rsidRPr="00B07275">
              <w:rPr>
                <w:rFonts w:hint="cs"/>
                <w:rtl/>
              </w:rPr>
              <w:t xml:space="preserve"> </w:t>
            </w:r>
            <w:r w:rsidRPr="00B0727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ADF26C7" w14:textId="77777777" w:rsidR="003D54B7" w:rsidRPr="00B07275" w:rsidRDefault="003D54B7" w:rsidP="00836D5E">
            <w:pPr>
              <w:rPr>
                <w:rFonts w:ascii="David" w:hAnsi="David"/>
                <w:b/>
                <w:bCs/>
                <w:sz w:val="26"/>
                <w:szCs w:val="26"/>
                <w:rtl/>
              </w:rPr>
            </w:pPr>
            <w:r w:rsidRPr="00B07275">
              <w:rPr>
                <w:rFonts w:ascii="David" w:hAnsi="David"/>
                <w:b/>
                <w:bCs/>
                <w:sz w:val="26"/>
                <w:szCs w:val="26"/>
                <w:rtl/>
              </w:rPr>
              <w:t>כבוד השופט  יואל עדן</w:t>
            </w:r>
          </w:p>
          <w:p w14:paraId="0DDF8C45" w14:textId="77777777" w:rsidR="003D54B7" w:rsidRPr="00B07275" w:rsidRDefault="003D54B7" w:rsidP="00836D5E">
            <w:pPr>
              <w:rPr>
                <w:rFonts w:ascii="David" w:hAnsi="David"/>
                <w:sz w:val="26"/>
                <w:szCs w:val="26"/>
                <w:rtl/>
              </w:rPr>
            </w:pPr>
          </w:p>
          <w:p w14:paraId="5414DCCD" w14:textId="77777777" w:rsidR="003D54B7" w:rsidRPr="00B07275" w:rsidRDefault="003D54B7" w:rsidP="003D54B7">
            <w:pPr>
              <w:jc w:val="both"/>
              <w:rPr>
                <w:rFonts w:ascii="David" w:hAnsi="David"/>
                <w:sz w:val="26"/>
                <w:szCs w:val="26"/>
              </w:rPr>
            </w:pPr>
          </w:p>
        </w:tc>
      </w:tr>
      <w:tr w:rsidR="003D54B7" w:rsidRPr="00B07275" w14:paraId="6DE7E3FC" w14:textId="77777777" w:rsidTr="00DE22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65693A" w14:textId="77777777" w:rsidR="003D54B7" w:rsidRPr="00B07275" w:rsidRDefault="003D54B7" w:rsidP="003D54B7">
            <w:pPr>
              <w:jc w:val="both"/>
              <w:rPr>
                <w:rFonts w:ascii="David" w:hAnsi="David"/>
                <w:sz w:val="26"/>
                <w:szCs w:val="26"/>
              </w:rPr>
            </w:pPr>
            <w:bookmarkStart w:id="1" w:name="FirstAppellant"/>
            <w:bookmarkStart w:id="2" w:name="FirstLawyer"/>
            <w:r w:rsidRPr="00B07275">
              <w:rPr>
                <w:rFonts w:ascii="David" w:hAnsi="David"/>
                <w:sz w:val="26"/>
                <w:szCs w:val="26"/>
                <w:rtl/>
              </w:rPr>
              <w:t>בעניין:</w:t>
            </w:r>
          </w:p>
        </w:tc>
        <w:tc>
          <w:tcPr>
            <w:tcW w:w="3219" w:type="dxa"/>
            <w:tcBorders>
              <w:top w:val="nil"/>
              <w:left w:val="nil"/>
              <w:bottom w:val="nil"/>
              <w:right w:val="nil"/>
            </w:tcBorders>
            <w:shd w:val="clear" w:color="auto" w:fill="auto"/>
          </w:tcPr>
          <w:p w14:paraId="2A8299F5" w14:textId="77777777" w:rsidR="003D54B7" w:rsidRPr="00B07275" w:rsidRDefault="003D54B7" w:rsidP="003D54B7">
            <w:pPr>
              <w:suppressLineNumbers/>
            </w:pPr>
            <w:r w:rsidRPr="00B07275">
              <w:rPr>
                <w:rFonts w:ascii="Arial" w:hAnsi="Arial" w:hint="cs"/>
                <w:b/>
                <w:bCs/>
                <w:sz w:val="26"/>
                <w:szCs w:val="26"/>
                <w:rtl/>
              </w:rPr>
              <w:t>ה</w:t>
            </w:r>
            <w:r w:rsidRPr="00B07275">
              <w:rPr>
                <w:rFonts w:ascii="Arial" w:hAnsi="Arial"/>
                <w:b/>
                <w:bCs/>
                <w:sz w:val="26"/>
                <w:szCs w:val="26"/>
                <w:rtl/>
              </w:rPr>
              <w:t>מאשימה</w:t>
            </w:r>
            <w:r w:rsidRPr="00B07275">
              <w:rPr>
                <w:rFonts w:hint="cs"/>
                <w:rtl/>
              </w:rPr>
              <w:t>:</w:t>
            </w:r>
          </w:p>
          <w:p w14:paraId="6F591535" w14:textId="77777777" w:rsidR="003D54B7" w:rsidRPr="00B07275" w:rsidRDefault="003D54B7" w:rsidP="00836D5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78F895A" w14:textId="77777777" w:rsidR="003D54B7" w:rsidRPr="00B07275" w:rsidRDefault="003D54B7" w:rsidP="003D54B7">
            <w:pPr>
              <w:suppressLineNumbers/>
              <w:rPr>
                <w:rFonts w:ascii="Arial" w:hAnsi="Arial"/>
                <w:b/>
                <w:bCs/>
                <w:sz w:val="26"/>
                <w:szCs w:val="26"/>
                <w:rtl/>
              </w:rPr>
            </w:pPr>
            <w:r w:rsidRPr="00B07275">
              <w:rPr>
                <w:rFonts w:ascii="Arial" w:hAnsi="Arial"/>
                <w:b/>
                <w:bCs/>
                <w:sz w:val="26"/>
                <w:szCs w:val="26"/>
                <w:rtl/>
              </w:rPr>
              <w:t>מדינת ישראל</w:t>
            </w:r>
          </w:p>
          <w:p w14:paraId="689523ED" w14:textId="77777777" w:rsidR="003D54B7" w:rsidRPr="00B07275" w:rsidRDefault="003D54B7" w:rsidP="003D54B7">
            <w:pPr>
              <w:suppressLineNumbers/>
              <w:rPr>
                <w:rFonts w:ascii="Arial" w:hAnsi="Arial"/>
                <w:b/>
                <w:bCs/>
                <w:sz w:val="26"/>
                <w:szCs w:val="26"/>
                <w:rtl/>
              </w:rPr>
            </w:pPr>
          </w:p>
          <w:p w14:paraId="3C9019F5" w14:textId="77777777" w:rsidR="003D54B7" w:rsidRPr="00B07275" w:rsidRDefault="003D54B7" w:rsidP="003D54B7">
            <w:pPr>
              <w:suppressLineNumbers/>
            </w:pPr>
            <w:r w:rsidRPr="00B07275">
              <w:rPr>
                <w:rFonts w:ascii="Arial" w:hAnsi="Arial"/>
                <w:sz w:val="26"/>
                <w:szCs w:val="26"/>
                <w:rtl/>
              </w:rPr>
              <w:t>ע"י ב"כ עו"ד</w:t>
            </w:r>
            <w:r w:rsidRPr="00B07275">
              <w:rPr>
                <w:rFonts w:ascii="Arial" w:hAnsi="Arial" w:hint="cs"/>
                <w:sz w:val="26"/>
                <w:szCs w:val="26"/>
                <w:rtl/>
              </w:rPr>
              <w:t xml:space="preserve"> דרור שטורק </w:t>
            </w:r>
            <w:r w:rsidRPr="00B07275">
              <w:rPr>
                <w:rFonts w:ascii="Arial" w:hAnsi="Arial"/>
                <w:sz w:val="26"/>
                <w:szCs w:val="26"/>
                <w:rtl/>
              </w:rPr>
              <w:t>–</w:t>
            </w:r>
            <w:r w:rsidRPr="00B07275">
              <w:rPr>
                <w:rFonts w:ascii="Arial" w:hAnsi="Arial" w:hint="cs"/>
                <w:sz w:val="26"/>
                <w:szCs w:val="26"/>
                <w:rtl/>
              </w:rPr>
              <w:t xml:space="preserve"> פמ"ד</w:t>
            </w:r>
          </w:p>
          <w:p w14:paraId="7F40A431" w14:textId="77777777" w:rsidR="003D54B7" w:rsidRPr="00B07275" w:rsidRDefault="003D54B7" w:rsidP="00836D5E">
            <w:pPr>
              <w:rPr>
                <w:rFonts w:ascii="David" w:hAnsi="David"/>
                <w:sz w:val="26"/>
                <w:szCs w:val="26"/>
              </w:rPr>
            </w:pPr>
          </w:p>
        </w:tc>
      </w:tr>
      <w:bookmarkEnd w:id="1"/>
      <w:bookmarkEnd w:id="2"/>
      <w:tr w:rsidR="003D54B7" w:rsidRPr="00B07275" w14:paraId="46E4F109" w14:textId="77777777" w:rsidTr="00DE22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2221DF" w14:textId="77777777" w:rsidR="003D54B7" w:rsidRPr="00B07275" w:rsidRDefault="003D54B7" w:rsidP="003D54B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7A546E" w14:textId="77777777" w:rsidR="003D54B7" w:rsidRPr="00B07275" w:rsidRDefault="003D54B7" w:rsidP="003D54B7">
            <w:pPr>
              <w:jc w:val="center"/>
              <w:rPr>
                <w:rFonts w:ascii="David" w:hAnsi="David"/>
                <w:b/>
                <w:bCs/>
                <w:sz w:val="26"/>
                <w:szCs w:val="26"/>
                <w:rtl/>
              </w:rPr>
            </w:pPr>
          </w:p>
          <w:p w14:paraId="5C05F9DE" w14:textId="77777777" w:rsidR="003D54B7" w:rsidRPr="00B07275" w:rsidRDefault="003D54B7" w:rsidP="003D54B7">
            <w:pPr>
              <w:jc w:val="center"/>
              <w:rPr>
                <w:rFonts w:ascii="David" w:hAnsi="David"/>
                <w:b/>
                <w:bCs/>
                <w:sz w:val="26"/>
                <w:szCs w:val="26"/>
                <w:rtl/>
              </w:rPr>
            </w:pPr>
            <w:r w:rsidRPr="00B07275">
              <w:rPr>
                <w:rFonts w:ascii="David" w:hAnsi="David"/>
                <w:b/>
                <w:bCs/>
                <w:sz w:val="26"/>
                <w:szCs w:val="26"/>
                <w:rtl/>
              </w:rPr>
              <w:t>נגד</w:t>
            </w:r>
          </w:p>
          <w:p w14:paraId="6C4FA7CA" w14:textId="77777777" w:rsidR="003D54B7" w:rsidRPr="00B07275" w:rsidRDefault="003D54B7" w:rsidP="003D54B7">
            <w:pPr>
              <w:jc w:val="both"/>
              <w:rPr>
                <w:rFonts w:ascii="David" w:hAnsi="David"/>
                <w:sz w:val="26"/>
                <w:szCs w:val="26"/>
              </w:rPr>
            </w:pPr>
          </w:p>
        </w:tc>
      </w:tr>
      <w:tr w:rsidR="003D54B7" w:rsidRPr="00B07275" w14:paraId="5F690167" w14:textId="77777777" w:rsidTr="00DE22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FFBB76" w14:textId="77777777" w:rsidR="003D54B7" w:rsidRPr="00B07275" w:rsidRDefault="003D54B7" w:rsidP="00836D5E">
            <w:pPr>
              <w:rPr>
                <w:rFonts w:ascii="David" w:hAnsi="David"/>
                <w:sz w:val="26"/>
                <w:szCs w:val="26"/>
                <w:rtl/>
              </w:rPr>
            </w:pPr>
          </w:p>
        </w:tc>
        <w:tc>
          <w:tcPr>
            <w:tcW w:w="3219" w:type="dxa"/>
            <w:tcBorders>
              <w:top w:val="nil"/>
              <w:left w:val="nil"/>
              <w:bottom w:val="nil"/>
              <w:right w:val="nil"/>
            </w:tcBorders>
            <w:shd w:val="clear" w:color="auto" w:fill="auto"/>
          </w:tcPr>
          <w:p w14:paraId="08C78BDE" w14:textId="77777777" w:rsidR="003D54B7" w:rsidRPr="00B07275" w:rsidRDefault="003D54B7" w:rsidP="00836D5E">
            <w:pPr>
              <w:rPr>
                <w:rFonts w:ascii="Arial" w:hAnsi="Arial"/>
                <w:b/>
                <w:bCs/>
                <w:sz w:val="26"/>
                <w:szCs w:val="26"/>
                <w:rtl/>
              </w:rPr>
            </w:pPr>
            <w:r w:rsidRPr="00B07275">
              <w:rPr>
                <w:rFonts w:ascii="Arial" w:hAnsi="Arial"/>
                <w:b/>
                <w:bCs/>
                <w:sz w:val="26"/>
                <w:szCs w:val="26"/>
                <w:rtl/>
              </w:rPr>
              <w:t>הנאשם</w:t>
            </w:r>
            <w:r w:rsidRPr="00B07275">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6A4D69A3" w14:textId="77777777" w:rsidR="003D54B7" w:rsidRPr="00B07275" w:rsidRDefault="003D54B7" w:rsidP="003D54B7">
            <w:pPr>
              <w:suppressLineNumbers/>
              <w:rPr>
                <w:rFonts w:ascii="Arial" w:hAnsi="Arial"/>
                <w:b/>
                <w:bCs/>
                <w:sz w:val="26"/>
                <w:szCs w:val="26"/>
                <w:rtl/>
              </w:rPr>
            </w:pPr>
            <w:r w:rsidRPr="00B07275">
              <w:rPr>
                <w:rFonts w:ascii="Arial" w:hAnsi="Arial"/>
                <w:b/>
                <w:bCs/>
                <w:sz w:val="26"/>
                <w:szCs w:val="26"/>
                <w:rtl/>
              </w:rPr>
              <w:t>עמית כהן מוזס (עציר)</w:t>
            </w:r>
          </w:p>
          <w:p w14:paraId="36DA6F94" w14:textId="77777777" w:rsidR="003D54B7" w:rsidRPr="00B07275" w:rsidRDefault="003D54B7" w:rsidP="003D54B7">
            <w:pPr>
              <w:suppressLineNumbers/>
              <w:rPr>
                <w:rFonts w:ascii="Arial" w:hAnsi="Arial"/>
                <w:b/>
                <w:bCs/>
                <w:sz w:val="26"/>
                <w:szCs w:val="26"/>
                <w:rtl/>
              </w:rPr>
            </w:pPr>
          </w:p>
          <w:p w14:paraId="74F740AD" w14:textId="77777777" w:rsidR="003D54B7" w:rsidRPr="00B07275" w:rsidRDefault="003D54B7" w:rsidP="003D54B7">
            <w:pPr>
              <w:suppressLineNumbers/>
            </w:pPr>
            <w:r w:rsidRPr="00B07275">
              <w:rPr>
                <w:rFonts w:ascii="Arial" w:hAnsi="Arial"/>
                <w:sz w:val="26"/>
                <w:szCs w:val="26"/>
                <w:rtl/>
              </w:rPr>
              <w:t>ע"י ב"כ עו"ד</w:t>
            </w:r>
            <w:r w:rsidRPr="00B07275">
              <w:rPr>
                <w:rFonts w:ascii="Arial" w:hAnsi="Arial" w:hint="cs"/>
                <w:sz w:val="26"/>
                <w:szCs w:val="26"/>
                <w:rtl/>
              </w:rPr>
              <w:t xml:space="preserve"> רועי אטיאס </w:t>
            </w:r>
          </w:p>
          <w:p w14:paraId="4C792ABA" w14:textId="77777777" w:rsidR="003D54B7" w:rsidRPr="00B07275" w:rsidRDefault="003D54B7" w:rsidP="00836D5E">
            <w:pPr>
              <w:rPr>
                <w:rFonts w:ascii="David" w:hAnsi="David"/>
                <w:sz w:val="26"/>
                <w:szCs w:val="26"/>
              </w:rPr>
            </w:pPr>
          </w:p>
        </w:tc>
      </w:tr>
    </w:tbl>
    <w:p w14:paraId="5A67B278" w14:textId="77777777" w:rsidR="00DE2237" w:rsidRDefault="00DE2237" w:rsidP="00B07275">
      <w:pPr>
        <w:rPr>
          <w:sz w:val="26"/>
          <w:szCs w:val="26"/>
          <w:rtl/>
        </w:rPr>
      </w:pPr>
    </w:p>
    <w:p w14:paraId="57368E91" w14:textId="77777777" w:rsidR="00DE2237" w:rsidRPr="00DE2237" w:rsidRDefault="00DE2237" w:rsidP="00DE2237">
      <w:pPr>
        <w:spacing w:after="120" w:line="240" w:lineRule="exact"/>
        <w:ind w:left="283" w:hanging="283"/>
        <w:jc w:val="both"/>
        <w:rPr>
          <w:rFonts w:ascii="FrankRuehl" w:hAnsi="FrankRuehl" w:cs="FrankRuehl"/>
          <w:rtl/>
        </w:rPr>
      </w:pPr>
    </w:p>
    <w:p w14:paraId="63083CDF" w14:textId="77777777" w:rsidR="001663B3" w:rsidRPr="001663B3" w:rsidRDefault="001663B3" w:rsidP="001663B3">
      <w:pPr>
        <w:spacing w:before="120" w:after="120" w:line="240" w:lineRule="exact"/>
        <w:ind w:left="283" w:hanging="283"/>
        <w:jc w:val="both"/>
        <w:rPr>
          <w:rFonts w:ascii="FrankRuehl" w:hAnsi="FrankRuehl" w:cs="FrankRuehl"/>
          <w:rtl/>
        </w:rPr>
      </w:pPr>
    </w:p>
    <w:p w14:paraId="4E141BF1" w14:textId="77777777" w:rsidR="007325A0" w:rsidRDefault="007325A0" w:rsidP="007325A0">
      <w:pPr>
        <w:rPr>
          <w:sz w:val="26"/>
          <w:szCs w:val="26"/>
          <w:rtl/>
        </w:rPr>
      </w:pPr>
      <w:bookmarkStart w:id="3" w:name="LawTable"/>
      <w:bookmarkEnd w:id="3"/>
    </w:p>
    <w:p w14:paraId="7480B9B9" w14:textId="77777777" w:rsidR="007325A0" w:rsidRPr="007325A0" w:rsidRDefault="007325A0" w:rsidP="007325A0">
      <w:pPr>
        <w:spacing w:before="120" w:after="120" w:line="240" w:lineRule="exact"/>
        <w:ind w:left="283" w:hanging="283"/>
        <w:jc w:val="both"/>
        <w:rPr>
          <w:rFonts w:ascii="FrankRuehl" w:hAnsi="FrankRuehl" w:cs="FrankRuehl"/>
          <w:rtl/>
        </w:rPr>
      </w:pPr>
    </w:p>
    <w:p w14:paraId="0961F1DC" w14:textId="77777777" w:rsidR="007325A0" w:rsidRPr="007325A0" w:rsidRDefault="007325A0" w:rsidP="007325A0">
      <w:pPr>
        <w:spacing w:before="120" w:after="120" w:line="240" w:lineRule="exact"/>
        <w:ind w:left="283" w:hanging="283"/>
        <w:jc w:val="both"/>
        <w:rPr>
          <w:rFonts w:ascii="FrankRuehl" w:hAnsi="FrankRuehl" w:cs="FrankRuehl"/>
          <w:rtl/>
        </w:rPr>
      </w:pPr>
    </w:p>
    <w:p w14:paraId="0D883DF2" w14:textId="77777777" w:rsidR="007325A0" w:rsidRPr="007325A0" w:rsidRDefault="007325A0" w:rsidP="007325A0">
      <w:pPr>
        <w:spacing w:before="120" w:after="120" w:line="240" w:lineRule="exact"/>
        <w:ind w:left="283" w:hanging="283"/>
        <w:jc w:val="both"/>
        <w:rPr>
          <w:rFonts w:ascii="FrankRuehl" w:hAnsi="FrankRuehl" w:cs="FrankRuehl"/>
          <w:rtl/>
        </w:rPr>
      </w:pPr>
      <w:r w:rsidRPr="007325A0">
        <w:rPr>
          <w:rFonts w:ascii="FrankRuehl" w:hAnsi="FrankRuehl" w:cs="FrankRuehl"/>
          <w:rtl/>
        </w:rPr>
        <w:t xml:space="preserve">חקיקה שאוזכרה: </w:t>
      </w:r>
    </w:p>
    <w:p w14:paraId="3EBD2928" w14:textId="77777777" w:rsidR="007325A0" w:rsidRPr="007325A0" w:rsidRDefault="007325A0" w:rsidP="007325A0">
      <w:pPr>
        <w:spacing w:before="120" w:after="120" w:line="240" w:lineRule="exact"/>
        <w:ind w:left="283" w:hanging="283"/>
        <w:jc w:val="both"/>
        <w:rPr>
          <w:rFonts w:ascii="FrankRuehl" w:hAnsi="FrankRuehl" w:cs="FrankRuehl"/>
          <w:rtl/>
        </w:rPr>
      </w:pPr>
      <w:hyperlink r:id="rId6" w:history="1">
        <w:r w:rsidRPr="007325A0">
          <w:rPr>
            <w:rFonts w:ascii="FrankRuehl" w:hAnsi="FrankRuehl" w:cs="FrankRuehl"/>
            <w:color w:val="0000FF"/>
            <w:rtl/>
          </w:rPr>
          <w:t>פקודת הסמים המסוכנים [נוסח חדש], תשל"ג-1973</w:t>
        </w:r>
      </w:hyperlink>
      <w:r w:rsidRPr="007325A0">
        <w:rPr>
          <w:rFonts w:ascii="FrankRuehl" w:hAnsi="FrankRuehl" w:cs="FrankRuehl"/>
          <w:rtl/>
        </w:rPr>
        <w:t xml:space="preserve">: סע'  </w:t>
      </w:r>
      <w:hyperlink r:id="rId7" w:history="1">
        <w:r w:rsidRPr="007325A0">
          <w:rPr>
            <w:rFonts w:ascii="FrankRuehl" w:hAnsi="FrankRuehl" w:cs="FrankRuehl"/>
            <w:color w:val="0000FF"/>
            <w:rtl/>
          </w:rPr>
          <w:t>7.א.</w:t>
        </w:r>
      </w:hyperlink>
      <w:r w:rsidRPr="007325A0">
        <w:rPr>
          <w:rFonts w:ascii="FrankRuehl" w:hAnsi="FrankRuehl" w:cs="FrankRuehl"/>
          <w:rtl/>
        </w:rPr>
        <w:t xml:space="preserve">, </w:t>
      </w:r>
      <w:hyperlink r:id="rId8" w:history="1">
        <w:r w:rsidRPr="007325A0">
          <w:rPr>
            <w:rFonts w:ascii="FrankRuehl" w:hAnsi="FrankRuehl" w:cs="FrankRuehl"/>
            <w:color w:val="0000FF"/>
            <w:rtl/>
          </w:rPr>
          <w:t>7.ג</w:t>
        </w:r>
      </w:hyperlink>
    </w:p>
    <w:p w14:paraId="79E0BEDE" w14:textId="77777777" w:rsidR="007325A0" w:rsidRPr="007325A0" w:rsidRDefault="007325A0" w:rsidP="007325A0">
      <w:pPr>
        <w:spacing w:before="120" w:after="120" w:line="240" w:lineRule="exact"/>
        <w:ind w:left="283" w:hanging="283"/>
        <w:jc w:val="both"/>
        <w:rPr>
          <w:rFonts w:ascii="FrankRuehl" w:hAnsi="FrankRuehl" w:cs="FrankRuehl"/>
          <w:rtl/>
        </w:rPr>
      </w:pPr>
      <w:hyperlink r:id="rId9" w:history="1">
        <w:r w:rsidRPr="007325A0">
          <w:rPr>
            <w:rFonts w:ascii="FrankRuehl" w:hAnsi="FrankRuehl" w:cs="FrankRuehl"/>
            <w:color w:val="0000FF"/>
            <w:rtl/>
          </w:rPr>
          <w:t>חוק העונשין, תשל"ז-1977</w:t>
        </w:r>
      </w:hyperlink>
      <w:r w:rsidRPr="007325A0">
        <w:rPr>
          <w:rFonts w:ascii="FrankRuehl" w:hAnsi="FrankRuehl" w:cs="FrankRuehl"/>
          <w:rtl/>
        </w:rPr>
        <w:t xml:space="preserve">: סע'  </w:t>
      </w:r>
      <w:hyperlink r:id="rId10" w:history="1">
        <w:r w:rsidRPr="007325A0">
          <w:rPr>
            <w:rFonts w:ascii="FrankRuehl" w:hAnsi="FrankRuehl" w:cs="FrankRuehl"/>
            <w:color w:val="0000FF"/>
            <w:rtl/>
          </w:rPr>
          <w:t>275</w:t>
        </w:r>
      </w:hyperlink>
    </w:p>
    <w:p w14:paraId="3E073499" w14:textId="77777777" w:rsidR="007325A0" w:rsidRPr="007325A0" w:rsidRDefault="007325A0" w:rsidP="007325A0">
      <w:pPr>
        <w:rPr>
          <w:sz w:val="26"/>
          <w:szCs w:val="26"/>
          <w:rtl/>
        </w:rPr>
      </w:pPr>
      <w:bookmarkStart w:id="4" w:name="LawTable_End"/>
      <w:bookmarkEnd w:id="4"/>
    </w:p>
    <w:p w14:paraId="3579A56E" w14:textId="77777777" w:rsidR="003D54B7" w:rsidRPr="001663B3" w:rsidRDefault="003D54B7" w:rsidP="001663B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54B7" w14:paraId="41A4E47D" w14:textId="77777777" w:rsidTr="003D54B7">
        <w:trPr>
          <w:trHeight w:val="355"/>
          <w:jc w:val="center"/>
        </w:trPr>
        <w:tc>
          <w:tcPr>
            <w:tcW w:w="8820" w:type="dxa"/>
            <w:tcBorders>
              <w:top w:val="nil"/>
              <w:left w:val="nil"/>
              <w:bottom w:val="nil"/>
              <w:right w:val="nil"/>
            </w:tcBorders>
            <w:shd w:val="clear" w:color="auto" w:fill="auto"/>
          </w:tcPr>
          <w:p w14:paraId="16CC2A41" w14:textId="77777777" w:rsidR="00B07275" w:rsidRPr="00B07275" w:rsidRDefault="00B07275" w:rsidP="00B07275">
            <w:pPr>
              <w:jc w:val="center"/>
              <w:rPr>
                <w:rFonts w:ascii="David" w:hAnsi="David"/>
                <w:b/>
                <w:bCs/>
                <w:sz w:val="32"/>
                <w:szCs w:val="32"/>
                <w:u w:val="single"/>
                <w:rtl/>
              </w:rPr>
            </w:pPr>
            <w:bookmarkStart w:id="5" w:name="PsakDin" w:colFirst="0" w:colLast="0"/>
            <w:bookmarkEnd w:id="0"/>
            <w:r w:rsidRPr="00B07275">
              <w:rPr>
                <w:rFonts w:ascii="David" w:hAnsi="David"/>
                <w:b/>
                <w:bCs/>
                <w:sz w:val="32"/>
                <w:szCs w:val="32"/>
                <w:u w:val="single"/>
                <w:rtl/>
              </w:rPr>
              <w:t>גזר דין</w:t>
            </w:r>
          </w:p>
          <w:p w14:paraId="317DC96B" w14:textId="77777777" w:rsidR="003D54B7" w:rsidRPr="00B07275" w:rsidRDefault="003D54B7" w:rsidP="00B07275">
            <w:pPr>
              <w:jc w:val="center"/>
              <w:rPr>
                <w:rFonts w:ascii="David" w:hAnsi="David"/>
                <w:bCs/>
                <w:sz w:val="32"/>
                <w:szCs w:val="32"/>
                <w:u w:val="single"/>
                <w:rtl/>
              </w:rPr>
            </w:pPr>
          </w:p>
        </w:tc>
      </w:tr>
      <w:bookmarkEnd w:id="5"/>
    </w:tbl>
    <w:p w14:paraId="6DDE6859" w14:textId="77777777" w:rsidR="003D54B7" w:rsidRPr="000F2247" w:rsidRDefault="003D54B7" w:rsidP="003D54B7">
      <w:pPr>
        <w:rPr>
          <w:rFonts w:ascii="Arial" w:hAnsi="Arial"/>
          <w:b/>
          <w:bCs/>
          <w:sz w:val="26"/>
          <w:szCs w:val="26"/>
          <w:rtl/>
        </w:rPr>
      </w:pPr>
    </w:p>
    <w:p w14:paraId="08560F7A" w14:textId="77777777" w:rsidR="003D54B7" w:rsidRPr="00BC03EF" w:rsidRDefault="003D54B7" w:rsidP="003D54B7">
      <w:pPr>
        <w:spacing w:line="360" w:lineRule="auto"/>
        <w:jc w:val="both"/>
        <w:rPr>
          <w:b/>
          <w:bCs/>
          <w:rtl/>
          <w:lang w:eastAsia="he-IL"/>
        </w:rPr>
      </w:pPr>
    </w:p>
    <w:p w14:paraId="689C7995" w14:textId="77777777" w:rsidR="003D54B7" w:rsidRPr="00BC03EF" w:rsidRDefault="003D54B7" w:rsidP="003D54B7">
      <w:pPr>
        <w:spacing w:line="360" w:lineRule="auto"/>
        <w:jc w:val="both"/>
        <w:rPr>
          <w:b/>
          <w:bCs/>
          <w:u w:val="single"/>
          <w:rtl/>
          <w:lang w:eastAsia="he-IL"/>
        </w:rPr>
      </w:pPr>
      <w:r w:rsidRPr="00BC03EF">
        <w:rPr>
          <w:b/>
          <w:bCs/>
          <w:u w:val="single"/>
          <w:rtl/>
          <w:lang w:eastAsia="he-IL"/>
        </w:rPr>
        <w:t>האישום והכרעת הדין</w:t>
      </w:r>
    </w:p>
    <w:p w14:paraId="55F14728" w14:textId="77777777" w:rsidR="003D54B7" w:rsidRPr="00BC03EF" w:rsidRDefault="003D54B7" w:rsidP="003D54B7">
      <w:pPr>
        <w:spacing w:line="360" w:lineRule="auto"/>
        <w:jc w:val="both"/>
        <w:rPr>
          <w:b/>
          <w:bCs/>
          <w:u w:val="single"/>
          <w:rtl/>
          <w:lang w:eastAsia="he-IL"/>
        </w:rPr>
      </w:pPr>
    </w:p>
    <w:p w14:paraId="2443B74E" w14:textId="77777777" w:rsidR="003D54B7" w:rsidRPr="00BC03EF" w:rsidRDefault="003D54B7" w:rsidP="003D54B7">
      <w:pPr>
        <w:spacing w:line="360" w:lineRule="auto"/>
        <w:jc w:val="both"/>
        <w:rPr>
          <w:rFonts w:ascii="David" w:hAnsi="David"/>
          <w:rtl/>
        </w:rPr>
      </w:pPr>
      <w:r w:rsidRPr="00BC03EF">
        <w:rPr>
          <w:rtl/>
          <w:lang w:eastAsia="he-IL"/>
        </w:rPr>
        <w:t>1.</w:t>
      </w:r>
      <w:r w:rsidRPr="00BC03EF">
        <w:rPr>
          <w:rtl/>
          <w:lang w:eastAsia="he-IL"/>
        </w:rPr>
        <w:tab/>
      </w:r>
      <w:bookmarkStart w:id="6" w:name="ABSTRACT_START"/>
      <w:bookmarkEnd w:id="6"/>
      <w:r w:rsidRPr="00BC03EF">
        <w:rPr>
          <w:rtl/>
          <w:lang w:eastAsia="he-IL"/>
        </w:rPr>
        <w:t xml:space="preserve">הנאשם הורשע על פי הודאתו בכתב האישום המקורי </w:t>
      </w:r>
      <w:r>
        <w:rPr>
          <w:rFonts w:ascii="David" w:hAnsi="David"/>
          <w:rtl/>
        </w:rPr>
        <w:t>בעביר</w:t>
      </w:r>
      <w:r>
        <w:rPr>
          <w:rFonts w:ascii="David" w:hAnsi="David" w:hint="cs"/>
          <w:rtl/>
        </w:rPr>
        <w:t>ות</w:t>
      </w:r>
      <w:r w:rsidRPr="00BC03EF">
        <w:rPr>
          <w:rFonts w:ascii="David" w:hAnsi="David"/>
          <w:rtl/>
        </w:rPr>
        <w:t xml:space="preserve"> של החזקת סם מסוכן שלא לצריכה עצמית לפי </w:t>
      </w:r>
      <w:hyperlink r:id="rId11" w:history="1">
        <w:r w:rsidR="00DE2237" w:rsidRPr="00DE2237">
          <w:rPr>
            <w:rStyle w:val="Hyperlink"/>
            <w:rFonts w:ascii="David" w:hAnsi="David"/>
            <w:rtl/>
          </w:rPr>
          <w:t>סעיף 7(א)+(ג)</w:t>
        </w:r>
      </w:hyperlink>
      <w:r w:rsidRPr="00BC03EF">
        <w:rPr>
          <w:rFonts w:ascii="David" w:hAnsi="David"/>
          <w:rtl/>
        </w:rPr>
        <w:t xml:space="preserve"> רישא ל</w:t>
      </w:r>
      <w:hyperlink r:id="rId12" w:history="1">
        <w:r w:rsidR="00B07275" w:rsidRPr="00B07275">
          <w:rPr>
            <w:rFonts w:ascii="David" w:hAnsi="David"/>
            <w:color w:val="0000FF"/>
            <w:u w:val="single"/>
            <w:rtl/>
          </w:rPr>
          <w:t>פקודת הסמים המסוכנים</w:t>
        </w:r>
      </w:hyperlink>
      <w:r w:rsidRPr="00BC03EF">
        <w:rPr>
          <w:rFonts w:ascii="David" w:hAnsi="David"/>
          <w:rtl/>
        </w:rPr>
        <w:t xml:space="preserve"> (נוסח חדש), והפרעה לשוטר בשעת מילוי תפקידו, לפי </w:t>
      </w:r>
      <w:hyperlink r:id="rId13" w:history="1">
        <w:r w:rsidR="00DE2237" w:rsidRPr="00DE2237">
          <w:rPr>
            <w:rStyle w:val="Hyperlink"/>
            <w:rFonts w:ascii="David" w:hAnsi="David"/>
            <w:rtl/>
          </w:rPr>
          <w:t>סעיף 275</w:t>
        </w:r>
      </w:hyperlink>
      <w:r w:rsidRPr="00BC03EF">
        <w:rPr>
          <w:rFonts w:ascii="David" w:hAnsi="David"/>
          <w:rtl/>
        </w:rPr>
        <w:t xml:space="preserve"> ל</w:t>
      </w:r>
      <w:hyperlink r:id="rId14" w:history="1">
        <w:r w:rsidR="00B07275" w:rsidRPr="00B07275">
          <w:rPr>
            <w:rFonts w:ascii="David" w:hAnsi="David"/>
            <w:color w:val="0000FF"/>
            <w:u w:val="single"/>
            <w:rtl/>
          </w:rPr>
          <w:t>חוק העונשין</w:t>
        </w:r>
      </w:hyperlink>
      <w:r w:rsidRPr="00BC03EF">
        <w:rPr>
          <w:rFonts w:ascii="David" w:hAnsi="David"/>
          <w:rtl/>
        </w:rPr>
        <w:t xml:space="preserve">. </w:t>
      </w:r>
    </w:p>
    <w:p w14:paraId="54DBE2C8" w14:textId="77777777" w:rsidR="003D54B7" w:rsidRPr="00BC03EF" w:rsidRDefault="003D54B7" w:rsidP="003D54B7">
      <w:pPr>
        <w:spacing w:line="360" w:lineRule="auto"/>
        <w:jc w:val="both"/>
        <w:rPr>
          <w:rtl/>
          <w:lang w:eastAsia="he-IL"/>
        </w:rPr>
      </w:pPr>
    </w:p>
    <w:p w14:paraId="1297FC62" w14:textId="77777777" w:rsidR="003D54B7" w:rsidRPr="00BC03EF" w:rsidRDefault="003D54B7" w:rsidP="003D54B7">
      <w:pPr>
        <w:spacing w:line="360" w:lineRule="auto"/>
        <w:jc w:val="both"/>
        <w:rPr>
          <w:rFonts w:ascii="Calibri" w:hAnsi="Calibri"/>
          <w:rtl/>
        </w:rPr>
      </w:pPr>
      <w:r w:rsidRPr="00BC03EF">
        <w:rPr>
          <w:rtl/>
          <w:lang w:eastAsia="he-IL"/>
        </w:rPr>
        <w:t xml:space="preserve">על פי כתב האישום </w:t>
      </w:r>
      <w:r w:rsidRPr="00BC03EF">
        <w:rPr>
          <w:rFonts w:ascii="Calibri" w:hAnsi="Calibri" w:hint="eastAsia"/>
          <w:rtl/>
        </w:rPr>
        <w:t>בתאריך</w:t>
      </w:r>
      <w:r w:rsidRPr="00BC03EF">
        <w:rPr>
          <w:rFonts w:ascii="Calibri" w:hAnsi="Calibri"/>
          <w:rtl/>
        </w:rPr>
        <w:t xml:space="preserve"> 30.10.21 </w:t>
      </w:r>
      <w:r w:rsidRPr="00BC03EF">
        <w:rPr>
          <w:rFonts w:ascii="Calibri" w:hAnsi="Calibri" w:hint="eastAsia"/>
          <w:rtl/>
        </w:rPr>
        <w:t>בסמוך</w:t>
      </w:r>
      <w:r w:rsidRPr="00BC03EF">
        <w:rPr>
          <w:rFonts w:ascii="Calibri" w:hAnsi="Calibri"/>
          <w:rtl/>
        </w:rPr>
        <w:t xml:space="preserve"> </w:t>
      </w:r>
      <w:r w:rsidRPr="00BC03EF">
        <w:rPr>
          <w:rFonts w:ascii="Calibri" w:hAnsi="Calibri" w:hint="eastAsia"/>
          <w:rtl/>
        </w:rPr>
        <w:t>לשעה</w:t>
      </w:r>
      <w:r w:rsidRPr="00BC03EF">
        <w:rPr>
          <w:rFonts w:ascii="Calibri" w:hAnsi="Calibri"/>
          <w:rtl/>
        </w:rPr>
        <w:t xml:space="preserve"> 15:00, </w:t>
      </w:r>
      <w:r w:rsidRPr="00BC03EF">
        <w:rPr>
          <w:rFonts w:ascii="Calibri" w:hAnsi="Calibri" w:hint="eastAsia"/>
          <w:rtl/>
        </w:rPr>
        <w:t>הגיעו</w:t>
      </w:r>
      <w:r w:rsidRPr="00BC03EF">
        <w:rPr>
          <w:rFonts w:ascii="Calibri" w:hAnsi="Calibri"/>
          <w:rtl/>
        </w:rPr>
        <w:t xml:space="preserve"> </w:t>
      </w:r>
      <w:r w:rsidRPr="00BC03EF">
        <w:rPr>
          <w:rFonts w:ascii="Calibri" w:hAnsi="Calibri" w:hint="eastAsia"/>
          <w:rtl/>
        </w:rPr>
        <w:t>שוטרים</w:t>
      </w:r>
      <w:r w:rsidRPr="00BC03EF">
        <w:rPr>
          <w:rFonts w:ascii="Calibri" w:hAnsi="Calibri"/>
          <w:rtl/>
        </w:rPr>
        <w:t xml:space="preserve"> </w:t>
      </w:r>
      <w:r w:rsidRPr="00BC03EF">
        <w:rPr>
          <w:rFonts w:ascii="Calibri" w:hAnsi="Calibri" w:hint="eastAsia"/>
          <w:rtl/>
        </w:rPr>
        <w:t>במדים</w:t>
      </w:r>
      <w:r w:rsidRPr="00BC03EF">
        <w:rPr>
          <w:rFonts w:ascii="Calibri" w:hAnsi="Calibri"/>
          <w:rtl/>
        </w:rPr>
        <w:t xml:space="preserve"> </w:t>
      </w:r>
      <w:r w:rsidRPr="00BC03EF">
        <w:rPr>
          <w:rFonts w:ascii="Calibri" w:hAnsi="Calibri" w:hint="eastAsia"/>
          <w:rtl/>
        </w:rPr>
        <w:t>לערוך</w:t>
      </w:r>
      <w:r w:rsidRPr="00BC03EF">
        <w:rPr>
          <w:rFonts w:ascii="Calibri" w:hAnsi="Calibri"/>
          <w:rtl/>
        </w:rPr>
        <w:t xml:space="preserve"> </w:t>
      </w:r>
      <w:r w:rsidRPr="00BC03EF">
        <w:rPr>
          <w:rFonts w:ascii="Calibri" w:hAnsi="Calibri" w:hint="eastAsia"/>
          <w:rtl/>
        </w:rPr>
        <w:t>חיפוש</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פי</w:t>
      </w:r>
      <w:r w:rsidRPr="00BC03EF">
        <w:rPr>
          <w:rFonts w:ascii="Calibri" w:hAnsi="Calibri"/>
          <w:rtl/>
        </w:rPr>
        <w:t xml:space="preserve"> </w:t>
      </w:r>
      <w:r w:rsidRPr="00BC03EF">
        <w:rPr>
          <w:rFonts w:ascii="Calibri" w:hAnsi="Calibri" w:hint="eastAsia"/>
          <w:rtl/>
        </w:rPr>
        <w:t>צו</w:t>
      </w:r>
      <w:r w:rsidRPr="00BC03EF">
        <w:rPr>
          <w:rFonts w:ascii="Calibri" w:hAnsi="Calibri"/>
          <w:rtl/>
        </w:rPr>
        <w:t xml:space="preserve"> </w:t>
      </w:r>
      <w:r w:rsidRPr="00BC03EF">
        <w:rPr>
          <w:rFonts w:ascii="Calibri" w:hAnsi="Calibri" w:hint="eastAsia"/>
          <w:rtl/>
        </w:rPr>
        <w:t>בית</w:t>
      </w:r>
      <w:r w:rsidRPr="00BC03EF">
        <w:rPr>
          <w:rFonts w:ascii="Calibri" w:hAnsi="Calibri"/>
          <w:rtl/>
        </w:rPr>
        <w:t xml:space="preserve"> </w:t>
      </w:r>
      <w:r w:rsidRPr="00BC03EF">
        <w:rPr>
          <w:rFonts w:ascii="Calibri" w:hAnsi="Calibri" w:hint="eastAsia"/>
          <w:rtl/>
        </w:rPr>
        <w:t>משפט</w:t>
      </w:r>
      <w:r w:rsidRPr="00BC03EF">
        <w:rPr>
          <w:rFonts w:ascii="Calibri" w:hAnsi="Calibri"/>
          <w:rtl/>
        </w:rPr>
        <w:t xml:space="preserve"> </w:t>
      </w:r>
      <w:r w:rsidRPr="00BC03EF">
        <w:rPr>
          <w:rFonts w:ascii="Calibri" w:hAnsi="Calibri" w:hint="eastAsia"/>
          <w:rtl/>
        </w:rPr>
        <w:t>בביתו</w:t>
      </w:r>
      <w:r w:rsidRPr="00BC03EF">
        <w:rPr>
          <w:rFonts w:ascii="Calibri" w:hAnsi="Calibri"/>
          <w:rtl/>
        </w:rPr>
        <w:t xml:space="preserve"> </w:t>
      </w:r>
      <w:r w:rsidRPr="00BC03EF">
        <w:rPr>
          <w:rFonts w:ascii="Calibri" w:hAnsi="Calibri" w:hint="eastAsia"/>
          <w:rtl/>
        </w:rPr>
        <w:t>של</w:t>
      </w:r>
      <w:r w:rsidRPr="00BC03EF">
        <w:rPr>
          <w:rFonts w:ascii="Calibri" w:hAnsi="Calibri"/>
          <w:rtl/>
        </w:rPr>
        <w:t xml:space="preserve"> </w:t>
      </w:r>
      <w:r w:rsidRPr="00BC03EF">
        <w:rPr>
          <w:rFonts w:ascii="Calibri" w:hAnsi="Calibri" w:hint="eastAsia"/>
          <w:rtl/>
        </w:rPr>
        <w:t>הנאשם</w:t>
      </w:r>
      <w:r w:rsidRPr="00BC03EF">
        <w:rPr>
          <w:rFonts w:ascii="Calibri" w:hAnsi="Calibri"/>
          <w:rtl/>
        </w:rPr>
        <w:t xml:space="preserve">. </w:t>
      </w:r>
    </w:p>
    <w:p w14:paraId="6BB9FA64" w14:textId="77777777" w:rsidR="003D54B7" w:rsidRPr="00BC03EF" w:rsidRDefault="003D54B7" w:rsidP="003D54B7">
      <w:pPr>
        <w:spacing w:line="360" w:lineRule="auto"/>
        <w:jc w:val="both"/>
        <w:rPr>
          <w:rFonts w:ascii="Calibri" w:hAnsi="Calibri"/>
          <w:rtl/>
        </w:rPr>
      </w:pPr>
      <w:bookmarkStart w:id="7" w:name="ABSTRACT_END"/>
      <w:bookmarkEnd w:id="7"/>
    </w:p>
    <w:p w14:paraId="58C7B068" w14:textId="77777777" w:rsidR="003D54B7" w:rsidRPr="00BC03EF" w:rsidRDefault="003D54B7" w:rsidP="003D54B7">
      <w:pPr>
        <w:spacing w:line="360" w:lineRule="auto"/>
        <w:jc w:val="both"/>
        <w:rPr>
          <w:rFonts w:ascii="Calibri" w:hAnsi="Calibri"/>
          <w:rtl/>
        </w:rPr>
      </w:pPr>
      <w:r w:rsidRPr="00BC03EF">
        <w:rPr>
          <w:rFonts w:ascii="Calibri" w:hAnsi="Calibri" w:hint="eastAsia"/>
          <w:rtl/>
        </w:rPr>
        <w:lastRenderedPageBreak/>
        <w:t>השוטרים</w:t>
      </w:r>
      <w:r w:rsidRPr="00BC03EF">
        <w:rPr>
          <w:rFonts w:ascii="Calibri" w:hAnsi="Calibri"/>
          <w:rtl/>
        </w:rPr>
        <w:t xml:space="preserve"> </w:t>
      </w:r>
      <w:r w:rsidRPr="00BC03EF">
        <w:rPr>
          <w:rFonts w:ascii="Calibri" w:hAnsi="Calibri" w:hint="eastAsia"/>
          <w:rtl/>
        </w:rPr>
        <w:t>הקישו</w:t>
      </w:r>
      <w:r w:rsidRPr="00BC03EF">
        <w:rPr>
          <w:rFonts w:ascii="Calibri" w:hAnsi="Calibri"/>
          <w:rtl/>
        </w:rPr>
        <w:t xml:space="preserve"> </w:t>
      </w:r>
      <w:r w:rsidRPr="00BC03EF">
        <w:rPr>
          <w:rFonts w:ascii="Calibri" w:hAnsi="Calibri" w:hint="eastAsia"/>
          <w:rtl/>
        </w:rPr>
        <w:t>תחילה</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דלת</w:t>
      </w:r>
      <w:r w:rsidRPr="00BC03EF">
        <w:rPr>
          <w:rFonts w:ascii="Calibri" w:hAnsi="Calibri"/>
          <w:rtl/>
        </w:rPr>
        <w:t xml:space="preserve"> </w:t>
      </w:r>
      <w:r w:rsidRPr="00BC03EF">
        <w:rPr>
          <w:rFonts w:ascii="Calibri" w:hAnsi="Calibri" w:hint="eastAsia"/>
          <w:rtl/>
        </w:rPr>
        <w:t>הבית</w:t>
      </w:r>
      <w:r w:rsidRPr="00BC03EF">
        <w:rPr>
          <w:rFonts w:ascii="Calibri" w:hAnsi="Calibri"/>
          <w:rtl/>
        </w:rPr>
        <w:t xml:space="preserve">, </w:t>
      </w:r>
      <w:r w:rsidRPr="00BC03EF">
        <w:rPr>
          <w:rFonts w:ascii="Calibri" w:hAnsi="Calibri" w:hint="eastAsia"/>
          <w:rtl/>
        </w:rPr>
        <w:t>תוך</w:t>
      </w:r>
      <w:r w:rsidRPr="00BC03EF">
        <w:rPr>
          <w:rFonts w:ascii="Calibri" w:hAnsi="Calibri"/>
          <w:rtl/>
        </w:rPr>
        <w:t xml:space="preserve"> </w:t>
      </w:r>
      <w:r w:rsidRPr="00BC03EF">
        <w:rPr>
          <w:rFonts w:ascii="Calibri" w:hAnsi="Calibri" w:hint="eastAsia"/>
          <w:rtl/>
        </w:rPr>
        <w:t>שאחד</w:t>
      </w:r>
      <w:r w:rsidRPr="00BC03EF">
        <w:rPr>
          <w:rFonts w:ascii="Calibri" w:hAnsi="Calibri"/>
          <w:rtl/>
        </w:rPr>
        <w:t xml:space="preserve"> </w:t>
      </w:r>
      <w:r w:rsidRPr="00BC03EF">
        <w:rPr>
          <w:rFonts w:ascii="Calibri" w:hAnsi="Calibri" w:hint="eastAsia"/>
          <w:rtl/>
        </w:rPr>
        <w:t>מהם</w:t>
      </w:r>
      <w:r w:rsidRPr="00BC03EF">
        <w:rPr>
          <w:rFonts w:ascii="Calibri" w:hAnsi="Calibri"/>
          <w:rtl/>
        </w:rPr>
        <w:t xml:space="preserve"> </w:t>
      </w:r>
      <w:r w:rsidRPr="00BC03EF">
        <w:rPr>
          <w:rFonts w:ascii="Calibri" w:hAnsi="Calibri" w:hint="eastAsia"/>
          <w:rtl/>
        </w:rPr>
        <w:t>צעק</w:t>
      </w:r>
      <w:r w:rsidRPr="00BC03EF">
        <w:rPr>
          <w:rFonts w:ascii="Calibri" w:hAnsi="Calibri"/>
          <w:rtl/>
        </w:rPr>
        <w:t xml:space="preserve"> "</w:t>
      </w:r>
      <w:r w:rsidRPr="00BC03EF">
        <w:rPr>
          <w:rFonts w:ascii="Calibri" w:hAnsi="Calibri" w:hint="eastAsia"/>
          <w:rtl/>
        </w:rPr>
        <w:t>משטרה</w:t>
      </w:r>
      <w:r w:rsidRPr="00BC03EF">
        <w:rPr>
          <w:rFonts w:ascii="Calibri" w:hAnsi="Calibri"/>
          <w:rtl/>
        </w:rPr>
        <w:t xml:space="preserve"> </w:t>
      </w:r>
      <w:r w:rsidRPr="00BC03EF">
        <w:rPr>
          <w:rFonts w:ascii="Calibri" w:hAnsi="Calibri" w:hint="eastAsia"/>
          <w:rtl/>
        </w:rPr>
        <w:t>לפתוח</w:t>
      </w:r>
      <w:r w:rsidRPr="00BC03EF">
        <w:rPr>
          <w:rFonts w:ascii="Calibri" w:hAnsi="Calibri"/>
          <w:rtl/>
        </w:rPr>
        <w:t xml:space="preserve">" </w:t>
      </w:r>
      <w:r w:rsidRPr="00BC03EF">
        <w:rPr>
          <w:rFonts w:ascii="Calibri" w:hAnsi="Calibri" w:hint="eastAsia"/>
          <w:rtl/>
        </w:rPr>
        <w:t>במקביל</w:t>
      </w:r>
      <w:r w:rsidRPr="00BC03EF">
        <w:rPr>
          <w:rFonts w:ascii="Calibri" w:hAnsi="Calibri"/>
          <w:rtl/>
        </w:rPr>
        <w:t xml:space="preserve"> </w:t>
      </w:r>
      <w:r w:rsidRPr="00BC03EF">
        <w:rPr>
          <w:rFonts w:ascii="Calibri" w:hAnsi="Calibri" w:hint="eastAsia"/>
          <w:rtl/>
        </w:rPr>
        <w:t>לכך</w:t>
      </w:r>
      <w:r w:rsidRPr="00BC03EF">
        <w:rPr>
          <w:rFonts w:ascii="Calibri" w:hAnsi="Calibri"/>
          <w:rtl/>
        </w:rPr>
        <w:t xml:space="preserve"> </w:t>
      </w:r>
      <w:r w:rsidRPr="00BC03EF">
        <w:rPr>
          <w:rFonts w:ascii="Calibri" w:hAnsi="Calibri" w:hint="eastAsia"/>
          <w:rtl/>
        </w:rPr>
        <w:t>שוטרים</w:t>
      </w:r>
      <w:r w:rsidRPr="00BC03EF">
        <w:rPr>
          <w:rFonts w:ascii="Calibri" w:hAnsi="Calibri"/>
          <w:rtl/>
        </w:rPr>
        <w:t xml:space="preserve"> </w:t>
      </w:r>
      <w:r w:rsidRPr="00BC03EF">
        <w:rPr>
          <w:rFonts w:ascii="Calibri" w:hAnsi="Calibri" w:hint="eastAsia"/>
          <w:rtl/>
        </w:rPr>
        <w:t>אחרים</w:t>
      </w:r>
      <w:r w:rsidRPr="00BC03EF">
        <w:rPr>
          <w:rFonts w:ascii="Calibri" w:hAnsi="Calibri"/>
          <w:rtl/>
        </w:rPr>
        <w:t xml:space="preserve"> </w:t>
      </w:r>
      <w:r w:rsidRPr="00BC03EF">
        <w:rPr>
          <w:rFonts w:ascii="Calibri" w:hAnsi="Calibri" w:hint="eastAsia"/>
          <w:rtl/>
        </w:rPr>
        <w:t>ניגשו</w:t>
      </w:r>
      <w:r w:rsidRPr="00BC03EF">
        <w:rPr>
          <w:rFonts w:ascii="Calibri" w:hAnsi="Calibri"/>
          <w:rtl/>
        </w:rPr>
        <w:t xml:space="preserve"> </w:t>
      </w:r>
      <w:r w:rsidRPr="00BC03EF">
        <w:rPr>
          <w:rFonts w:ascii="Calibri" w:hAnsi="Calibri" w:hint="eastAsia"/>
          <w:rtl/>
        </w:rPr>
        <w:t>אל</w:t>
      </w:r>
      <w:r w:rsidRPr="00BC03EF">
        <w:rPr>
          <w:rFonts w:ascii="Calibri" w:hAnsi="Calibri"/>
          <w:rtl/>
        </w:rPr>
        <w:t xml:space="preserve"> </w:t>
      </w:r>
      <w:r w:rsidRPr="00BC03EF">
        <w:rPr>
          <w:rFonts w:ascii="Calibri" w:hAnsi="Calibri" w:hint="eastAsia"/>
          <w:rtl/>
        </w:rPr>
        <w:t>חצר</w:t>
      </w:r>
      <w:r w:rsidRPr="00BC03EF">
        <w:rPr>
          <w:rFonts w:ascii="Calibri" w:hAnsi="Calibri"/>
          <w:rtl/>
        </w:rPr>
        <w:t xml:space="preserve"> </w:t>
      </w:r>
      <w:r w:rsidRPr="00BC03EF">
        <w:rPr>
          <w:rFonts w:ascii="Calibri" w:hAnsi="Calibri" w:hint="eastAsia"/>
          <w:rtl/>
        </w:rPr>
        <w:t>הבית</w:t>
      </w:r>
      <w:r w:rsidRPr="00BC03EF">
        <w:rPr>
          <w:rFonts w:ascii="Calibri" w:hAnsi="Calibri"/>
          <w:rtl/>
        </w:rPr>
        <w:t xml:space="preserve">, </w:t>
      </w:r>
      <w:r w:rsidRPr="00BC03EF">
        <w:rPr>
          <w:rFonts w:ascii="Calibri" w:hAnsi="Calibri" w:hint="eastAsia"/>
          <w:rtl/>
        </w:rPr>
        <w:t>שם</w:t>
      </w:r>
      <w:r w:rsidRPr="00BC03EF">
        <w:rPr>
          <w:rFonts w:ascii="Calibri" w:hAnsi="Calibri"/>
          <w:rtl/>
        </w:rPr>
        <w:t xml:space="preserve"> </w:t>
      </w:r>
      <w:r w:rsidRPr="00BC03EF">
        <w:rPr>
          <w:rFonts w:ascii="Calibri" w:hAnsi="Calibri" w:hint="eastAsia"/>
          <w:rtl/>
        </w:rPr>
        <w:t>הבחינו</w:t>
      </w:r>
      <w:r w:rsidRPr="00BC03EF">
        <w:rPr>
          <w:rFonts w:ascii="Calibri" w:hAnsi="Calibri"/>
          <w:rtl/>
        </w:rPr>
        <w:t xml:space="preserve"> </w:t>
      </w:r>
      <w:r w:rsidRPr="00BC03EF">
        <w:rPr>
          <w:rFonts w:ascii="Calibri" w:hAnsi="Calibri" w:hint="eastAsia"/>
          <w:rtl/>
        </w:rPr>
        <w:t>בנאשם</w:t>
      </w:r>
      <w:r w:rsidRPr="00BC03EF">
        <w:rPr>
          <w:rFonts w:ascii="Calibri" w:hAnsi="Calibri"/>
          <w:rtl/>
        </w:rPr>
        <w:t xml:space="preserve"> </w:t>
      </w:r>
      <w:r w:rsidRPr="00BC03EF">
        <w:rPr>
          <w:rFonts w:ascii="Calibri" w:hAnsi="Calibri" w:hint="eastAsia"/>
          <w:rtl/>
        </w:rPr>
        <w:t>מנסה</w:t>
      </w:r>
      <w:r w:rsidRPr="00BC03EF">
        <w:rPr>
          <w:rFonts w:ascii="Calibri" w:hAnsi="Calibri"/>
          <w:rtl/>
        </w:rPr>
        <w:t xml:space="preserve"> </w:t>
      </w:r>
      <w:r w:rsidRPr="00BC03EF">
        <w:rPr>
          <w:rFonts w:ascii="Calibri" w:hAnsi="Calibri" w:hint="eastAsia"/>
          <w:rtl/>
        </w:rPr>
        <w:t>לקפוץ</w:t>
      </w:r>
      <w:r w:rsidRPr="00BC03EF">
        <w:rPr>
          <w:rFonts w:ascii="Calibri" w:hAnsi="Calibri"/>
          <w:rtl/>
        </w:rPr>
        <w:t xml:space="preserve"> </w:t>
      </w:r>
      <w:r w:rsidRPr="00BC03EF">
        <w:rPr>
          <w:rFonts w:ascii="Calibri" w:hAnsi="Calibri" w:hint="eastAsia"/>
          <w:rtl/>
        </w:rPr>
        <w:t>מעל</w:t>
      </w:r>
      <w:r w:rsidRPr="00BC03EF">
        <w:rPr>
          <w:rFonts w:ascii="Calibri" w:hAnsi="Calibri"/>
          <w:rtl/>
        </w:rPr>
        <w:t xml:space="preserve"> </w:t>
      </w:r>
      <w:r w:rsidRPr="00BC03EF">
        <w:rPr>
          <w:rFonts w:ascii="Calibri" w:hAnsi="Calibri" w:hint="eastAsia"/>
          <w:rtl/>
        </w:rPr>
        <w:t>החומה</w:t>
      </w:r>
      <w:r w:rsidRPr="00BC03EF">
        <w:rPr>
          <w:rFonts w:ascii="Calibri" w:hAnsi="Calibri"/>
          <w:rtl/>
        </w:rPr>
        <w:t xml:space="preserve"> </w:t>
      </w:r>
      <w:r w:rsidRPr="00BC03EF">
        <w:rPr>
          <w:rFonts w:ascii="Calibri" w:hAnsi="Calibri" w:hint="eastAsia"/>
          <w:rtl/>
        </w:rPr>
        <w:t>המקיפה</w:t>
      </w:r>
      <w:r w:rsidRPr="00BC03EF">
        <w:rPr>
          <w:rFonts w:ascii="Calibri" w:hAnsi="Calibri"/>
          <w:rtl/>
        </w:rPr>
        <w:t xml:space="preserve"> </w:t>
      </w:r>
      <w:r w:rsidRPr="00BC03EF">
        <w:rPr>
          <w:rFonts w:ascii="Calibri" w:hAnsi="Calibri" w:hint="eastAsia"/>
          <w:rtl/>
        </w:rPr>
        <w:t>את</w:t>
      </w:r>
      <w:r w:rsidRPr="00BC03EF">
        <w:rPr>
          <w:rFonts w:ascii="Calibri" w:hAnsi="Calibri"/>
          <w:rtl/>
        </w:rPr>
        <w:t xml:space="preserve"> </w:t>
      </w:r>
      <w:r w:rsidRPr="00BC03EF">
        <w:rPr>
          <w:rFonts w:ascii="Calibri" w:hAnsi="Calibri" w:hint="eastAsia"/>
          <w:rtl/>
        </w:rPr>
        <w:t>הבית</w:t>
      </w:r>
      <w:r w:rsidRPr="00BC03EF">
        <w:rPr>
          <w:rFonts w:ascii="Calibri" w:hAnsi="Calibri"/>
          <w:rtl/>
        </w:rPr>
        <w:t xml:space="preserve"> </w:t>
      </w:r>
      <w:r w:rsidRPr="00BC03EF">
        <w:rPr>
          <w:rFonts w:ascii="Calibri" w:hAnsi="Calibri" w:hint="eastAsia"/>
          <w:rtl/>
        </w:rPr>
        <w:t>ומנעו</w:t>
      </w:r>
      <w:r w:rsidRPr="00BC03EF">
        <w:rPr>
          <w:rFonts w:ascii="Calibri" w:hAnsi="Calibri"/>
          <w:rtl/>
        </w:rPr>
        <w:t xml:space="preserve"> </w:t>
      </w:r>
      <w:r w:rsidRPr="00BC03EF">
        <w:rPr>
          <w:rFonts w:ascii="Calibri" w:hAnsi="Calibri" w:hint="eastAsia"/>
          <w:rtl/>
        </w:rPr>
        <w:t>ממנו</w:t>
      </w:r>
      <w:r w:rsidRPr="00BC03EF">
        <w:rPr>
          <w:rFonts w:ascii="Calibri" w:hAnsi="Calibri"/>
          <w:rtl/>
        </w:rPr>
        <w:t xml:space="preserve"> </w:t>
      </w:r>
      <w:r w:rsidRPr="00BC03EF">
        <w:rPr>
          <w:rFonts w:ascii="Calibri" w:hAnsi="Calibri" w:hint="eastAsia"/>
          <w:rtl/>
        </w:rPr>
        <w:t>לברוח</w:t>
      </w:r>
      <w:r w:rsidRPr="00BC03EF">
        <w:rPr>
          <w:rFonts w:ascii="Calibri" w:hAnsi="Calibri"/>
          <w:rtl/>
        </w:rPr>
        <w:t xml:space="preserve"> </w:t>
      </w:r>
      <w:r w:rsidRPr="00BC03EF">
        <w:rPr>
          <w:rFonts w:ascii="Calibri" w:hAnsi="Calibri" w:hint="eastAsia"/>
          <w:rtl/>
        </w:rPr>
        <w:t>מהמקום</w:t>
      </w:r>
      <w:r w:rsidRPr="00BC03EF">
        <w:rPr>
          <w:rFonts w:ascii="Calibri" w:hAnsi="Calibri"/>
          <w:rtl/>
        </w:rPr>
        <w:t>.</w:t>
      </w:r>
    </w:p>
    <w:p w14:paraId="7FC77D23" w14:textId="77777777" w:rsidR="003D54B7" w:rsidRPr="00BC03EF" w:rsidRDefault="003D54B7" w:rsidP="003D54B7">
      <w:pPr>
        <w:spacing w:line="360" w:lineRule="auto"/>
        <w:jc w:val="both"/>
        <w:rPr>
          <w:rFonts w:ascii="Calibri" w:hAnsi="Calibri"/>
          <w:rtl/>
        </w:rPr>
      </w:pPr>
    </w:p>
    <w:p w14:paraId="2318B57B" w14:textId="77777777" w:rsidR="003D54B7" w:rsidRPr="00BC03EF" w:rsidRDefault="003D54B7" w:rsidP="003D54B7">
      <w:pPr>
        <w:spacing w:line="360" w:lineRule="auto"/>
        <w:jc w:val="both"/>
        <w:rPr>
          <w:rFonts w:ascii="Calibri" w:hAnsi="Calibri"/>
          <w:rtl/>
        </w:rPr>
      </w:pPr>
      <w:r w:rsidRPr="00BC03EF">
        <w:rPr>
          <w:rFonts w:ascii="Calibri" w:hAnsi="Calibri" w:hint="eastAsia"/>
          <w:rtl/>
        </w:rPr>
        <w:t>במהלך</w:t>
      </w:r>
      <w:r w:rsidRPr="00BC03EF">
        <w:rPr>
          <w:rFonts w:ascii="Calibri" w:hAnsi="Calibri"/>
          <w:rtl/>
        </w:rPr>
        <w:t xml:space="preserve"> </w:t>
      </w:r>
      <w:r w:rsidRPr="00BC03EF">
        <w:rPr>
          <w:rFonts w:ascii="Calibri" w:hAnsi="Calibri" w:hint="eastAsia"/>
          <w:rtl/>
        </w:rPr>
        <w:t>החיפוש</w:t>
      </w:r>
      <w:r w:rsidRPr="00BC03EF">
        <w:rPr>
          <w:rFonts w:ascii="Calibri" w:hAnsi="Calibri"/>
          <w:rtl/>
        </w:rPr>
        <w:t xml:space="preserve"> </w:t>
      </w:r>
      <w:r w:rsidRPr="00BC03EF">
        <w:rPr>
          <w:rFonts w:ascii="Calibri" w:hAnsi="Calibri" w:hint="eastAsia"/>
          <w:rtl/>
        </w:rPr>
        <w:t>שנערך</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ידי</w:t>
      </w:r>
      <w:r w:rsidRPr="00BC03EF">
        <w:rPr>
          <w:rFonts w:ascii="Calibri" w:hAnsi="Calibri"/>
          <w:rtl/>
        </w:rPr>
        <w:t xml:space="preserve"> </w:t>
      </w:r>
      <w:r w:rsidRPr="00BC03EF">
        <w:rPr>
          <w:rFonts w:ascii="Calibri" w:hAnsi="Calibri" w:hint="eastAsia"/>
          <w:rtl/>
        </w:rPr>
        <w:t>השוטרים</w:t>
      </w:r>
      <w:r w:rsidRPr="00BC03EF">
        <w:rPr>
          <w:rFonts w:ascii="Calibri" w:hAnsi="Calibri"/>
          <w:rtl/>
        </w:rPr>
        <w:t xml:space="preserve"> </w:t>
      </w:r>
      <w:r w:rsidRPr="00BC03EF">
        <w:rPr>
          <w:rFonts w:ascii="Calibri" w:hAnsi="Calibri" w:hint="eastAsia"/>
          <w:rtl/>
        </w:rPr>
        <w:t>נתפס</w:t>
      </w:r>
      <w:r w:rsidRPr="00BC03EF">
        <w:rPr>
          <w:rFonts w:ascii="Calibri" w:hAnsi="Calibri"/>
          <w:rtl/>
        </w:rPr>
        <w:t xml:space="preserve"> </w:t>
      </w:r>
      <w:r w:rsidRPr="00BC03EF">
        <w:rPr>
          <w:rFonts w:ascii="Calibri" w:hAnsi="Calibri" w:hint="eastAsia"/>
          <w:rtl/>
        </w:rPr>
        <w:t>סם</w:t>
      </w:r>
      <w:r w:rsidRPr="00BC03EF">
        <w:rPr>
          <w:rFonts w:ascii="Calibri" w:hAnsi="Calibri"/>
          <w:rtl/>
        </w:rPr>
        <w:t xml:space="preserve"> </w:t>
      </w:r>
      <w:r w:rsidRPr="00BC03EF">
        <w:rPr>
          <w:rFonts w:ascii="Calibri" w:hAnsi="Calibri" w:hint="eastAsia"/>
          <w:rtl/>
        </w:rPr>
        <w:t>מסוכן</w:t>
      </w:r>
      <w:r w:rsidRPr="00BC03EF">
        <w:rPr>
          <w:rFonts w:ascii="Calibri" w:hAnsi="Calibri"/>
          <w:rtl/>
        </w:rPr>
        <w:t xml:space="preserve"> </w:t>
      </w:r>
      <w:r w:rsidRPr="00BC03EF">
        <w:rPr>
          <w:rFonts w:ascii="Calibri" w:hAnsi="Calibri" w:hint="eastAsia"/>
          <w:rtl/>
        </w:rPr>
        <w:t>מסוג</w:t>
      </w:r>
      <w:r w:rsidRPr="00BC03EF">
        <w:rPr>
          <w:rFonts w:ascii="Calibri" w:hAnsi="Calibri"/>
          <w:rtl/>
        </w:rPr>
        <w:t xml:space="preserve"> </w:t>
      </w:r>
      <w:r w:rsidRPr="00BC03EF">
        <w:rPr>
          <w:rFonts w:ascii="Calibri" w:hAnsi="Calibri" w:hint="eastAsia"/>
          <w:rtl/>
        </w:rPr>
        <w:t>קוקאין</w:t>
      </w:r>
      <w:r w:rsidRPr="00BC03EF">
        <w:rPr>
          <w:rFonts w:ascii="Calibri" w:hAnsi="Calibri"/>
          <w:rtl/>
        </w:rPr>
        <w:t xml:space="preserve"> </w:t>
      </w:r>
      <w:r w:rsidRPr="00BC03EF">
        <w:rPr>
          <w:rFonts w:ascii="Calibri" w:hAnsi="Calibri" w:hint="eastAsia"/>
          <w:rtl/>
        </w:rPr>
        <w:t>במשקל</w:t>
      </w:r>
      <w:r w:rsidRPr="00BC03EF">
        <w:rPr>
          <w:rFonts w:ascii="Calibri" w:hAnsi="Calibri"/>
          <w:rtl/>
        </w:rPr>
        <w:t xml:space="preserve"> 441.67 </w:t>
      </w:r>
      <w:r w:rsidRPr="00BC03EF">
        <w:rPr>
          <w:rFonts w:ascii="Calibri" w:hAnsi="Calibri" w:hint="eastAsia"/>
          <w:rtl/>
        </w:rPr>
        <w:t>גרם</w:t>
      </w:r>
      <w:r w:rsidRPr="00BC03EF">
        <w:rPr>
          <w:rFonts w:ascii="Calibri" w:hAnsi="Calibri"/>
          <w:rtl/>
        </w:rPr>
        <w:t xml:space="preserve"> </w:t>
      </w:r>
      <w:r w:rsidRPr="00BC03EF">
        <w:rPr>
          <w:rFonts w:ascii="Calibri" w:hAnsi="Calibri" w:hint="eastAsia"/>
          <w:rtl/>
        </w:rPr>
        <w:t>בחצר</w:t>
      </w:r>
      <w:r w:rsidRPr="00BC03EF">
        <w:rPr>
          <w:rFonts w:ascii="Calibri" w:hAnsi="Calibri"/>
          <w:rtl/>
        </w:rPr>
        <w:t xml:space="preserve"> </w:t>
      </w:r>
      <w:r w:rsidRPr="00BC03EF">
        <w:rPr>
          <w:rFonts w:ascii="Calibri" w:hAnsi="Calibri" w:hint="eastAsia"/>
          <w:rtl/>
        </w:rPr>
        <w:t>הבית</w:t>
      </w:r>
      <w:r w:rsidRPr="00BC03EF">
        <w:rPr>
          <w:rFonts w:ascii="Calibri" w:hAnsi="Calibri"/>
          <w:rtl/>
        </w:rPr>
        <w:t>.</w:t>
      </w:r>
    </w:p>
    <w:p w14:paraId="05F6FCA4" w14:textId="77777777" w:rsidR="003D54B7" w:rsidRPr="00BC03EF" w:rsidRDefault="003D54B7" w:rsidP="003D54B7">
      <w:pPr>
        <w:spacing w:line="360" w:lineRule="auto"/>
        <w:jc w:val="both"/>
        <w:rPr>
          <w:rFonts w:ascii="Calibri" w:hAnsi="Calibri"/>
          <w:rtl/>
        </w:rPr>
      </w:pPr>
    </w:p>
    <w:p w14:paraId="6F46C198" w14:textId="77777777" w:rsidR="003D54B7" w:rsidRPr="00BC03EF" w:rsidRDefault="003D54B7" w:rsidP="003D54B7">
      <w:pPr>
        <w:spacing w:line="360" w:lineRule="auto"/>
        <w:jc w:val="both"/>
        <w:rPr>
          <w:rtl/>
          <w:lang w:eastAsia="he-IL"/>
        </w:rPr>
      </w:pP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פי</w:t>
      </w:r>
      <w:r w:rsidRPr="00BC03EF">
        <w:rPr>
          <w:rFonts w:ascii="Calibri" w:hAnsi="Calibri"/>
          <w:rtl/>
        </w:rPr>
        <w:t xml:space="preserve"> </w:t>
      </w:r>
      <w:r w:rsidRPr="00BC03EF">
        <w:rPr>
          <w:rFonts w:ascii="Calibri" w:hAnsi="Calibri" w:hint="eastAsia"/>
          <w:rtl/>
        </w:rPr>
        <w:t>כתב</w:t>
      </w:r>
      <w:r w:rsidRPr="00BC03EF">
        <w:rPr>
          <w:rFonts w:ascii="Calibri" w:hAnsi="Calibri"/>
          <w:rtl/>
        </w:rPr>
        <w:t xml:space="preserve"> </w:t>
      </w:r>
      <w:r w:rsidRPr="00BC03EF">
        <w:rPr>
          <w:rFonts w:ascii="Calibri" w:hAnsi="Calibri" w:hint="eastAsia"/>
          <w:rtl/>
        </w:rPr>
        <w:t>האישום</w:t>
      </w:r>
      <w:r w:rsidRPr="00BC03EF">
        <w:rPr>
          <w:rFonts w:ascii="Calibri" w:hAnsi="Calibri"/>
          <w:rtl/>
        </w:rPr>
        <w:t xml:space="preserve">, </w:t>
      </w:r>
      <w:r w:rsidRPr="00BC03EF">
        <w:rPr>
          <w:rFonts w:ascii="Calibri" w:hAnsi="Calibri" w:hint="eastAsia"/>
          <w:rtl/>
        </w:rPr>
        <w:t>הנאשם</w:t>
      </w:r>
      <w:r w:rsidRPr="00BC03EF">
        <w:rPr>
          <w:rFonts w:ascii="Calibri" w:hAnsi="Calibri"/>
          <w:rtl/>
        </w:rPr>
        <w:t xml:space="preserve"> </w:t>
      </w:r>
      <w:r w:rsidRPr="00BC03EF">
        <w:rPr>
          <w:rFonts w:ascii="Calibri" w:hAnsi="Calibri" w:hint="eastAsia"/>
          <w:rtl/>
        </w:rPr>
        <w:t>במעשיו</w:t>
      </w:r>
      <w:r w:rsidRPr="00BC03EF">
        <w:rPr>
          <w:rFonts w:ascii="Calibri" w:hAnsi="Calibri"/>
          <w:rtl/>
        </w:rPr>
        <w:t xml:space="preserve"> </w:t>
      </w:r>
      <w:r w:rsidRPr="00BC03EF">
        <w:rPr>
          <w:rFonts w:ascii="Calibri" w:hAnsi="Calibri" w:hint="eastAsia"/>
          <w:rtl/>
        </w:rPr>
        <w:t>הנ</w:t>
      </w:r>
      <w:r w:rsidRPr="00BC03EF">
        <w:rPr>
          <w:rFonts w:ascii="Calibri" w:hAnsi="Calibri"/>
          <w:rtl/>
        </w:rPr>
        <w:t>"</w:t>
      </w:r>
      <w:r w:rsidRPr="00BC03EF">
        <w:rPr>
          <w:rFonts w:ascii="Calibri" w:hAnsi="Calibri" w:hint="eastAsia"/>
          <w:rtl/>
        </w:rPr>
        <w:t>ל</w:t>
      </w:r>
      <w:r w:rsidRPr="00BC03EF">
        <w:rPr>
          <w:rFonts w:ascii="Calibri" w:hAnsi="Calibri"/>
          <w:rtl/>
        </w:rPr>
        <w:t xml:space="preserve"> </w:t>
      </w:r>
      <w:r w:rsidRPr="00BC03EF">
        <w:rPr>
          <w:rFonts w:ascii="Calibri" w:hAnsi="Calibri" w:hint="eastAsia"/>
          <w:rtl/>
        </w:rPr>
        <w:t>החזיק</w:t>
      </w:r>
      <w:r w:rsidRPr="00BC03EF">
        <w:rPr>
          <w:rFonts w:ascii="Calibri" w:hAnsi="Calibri"/>
          <w:rtl/>
        </w:rPr>
        <w:t xml:space="preserve"> </w:t>
      </w:r>
      <w:r w:rsidRPr="00BC03EF">
        <w:rPr>
          <w:rFonts w:ascii="Calibri" w:hAnsi="Calibri" w:hint="eastAsia"/>
          <w:rtl/>
        </w:rPr>
        <w:t>בסם</w:t>
      </w:r>
      <w:r w:rsidRPr="00BC03EF">
        <w:rPr>
          <w:rFonts w:ascii="Calibri" w:hAnsi="Calibri"/>
          <w:rtl/>
        </w:rPr>
        <w:t xml:space="preserve"> </w:t>
      </w:r>
      <w:r w:rsidRPr="00BC03EF">
        <w:rPr>
          <w:rFonts w:ascii="Calibri" w:hAnsi="Calibri" w:hint="eastAsia"/>
          <w:rtl/>
        </w:rPr>
        <w:t>מסוכן</w:t>
      </w:r>
      <w:r w:rsidRPr="00BC03EF">
        <w:rPr>
          <w:rFonts w:ascii="Calibri" w:hAnsi="Calibri"/>
          <w:rtl/>
        </w:rPr>
        <w:t xml:space="preserve"> </w:t>
      </w:r>
      <w:r w:rsidRPr="00BC03EF">
        <w:rPr>
          <w:rFonts w:ascii="Calibri" w:hAnsi="Calibri" w:hint="eastAsia"/>
          <w:rtl/>
        </w:rPr>
        <w:t>מסוג</w:t>
      </w:r>
      <w:r w:rsidRPr="00BC03EF">
        <w:rPr>
          <w:rFonts w:ascii="Calibri" w:hAnsi="Calibri"/>
          <w:rtl/>
        </w:rPr>
        <w:t xml:space="preserve"> </w:t>
      </w:r>
      <w:r w:rsidRPr="00BC03EF">
        <w:rPr>
          <w:rFonts w:ascii="Calibri" w:hAnsi="Calibri" w:hint="eastAsia"/>
          <w:rtl/>
        </w:rPr>
        <w:t>קוקאין</w:t>
      </w:r>
      <w:r w:rsidRPr="00BC03EF">
        <w:rPr>
          <w:rFonts w:ascii="Calibri" w:hAnsi="Calibri"/>
          <w:rtl/>
        </w:rPr>
        <w:t xml:space="preserve"> </w:t>
      </w:r>
      <w:r w:rsidRPr="00BC03EF">
        <w:rPr>
          <w:rFonts w:ascii="Calibri" w:hAnsi="Calibri" w:hint="eastAsia"/>
          <w:rtl/>
        </w:rPr>
        <w:t>במשקל</w:t>
      </w:r>
      <w:r w:rsidRPr="00BC03EF">
        <w:rPr>
          <w:rFonts w:ascii="Calibri" w:hAnsi="Calibri"/>
          <w:rtl/>
        </w:rPr>
        <w:t xml:space="preserve"> 441.67 </w:t>
      </w:r>
      <w:r w:rsidRPr="00BC03EF">
        <w:rPr>
          <w:rFonts w:ascii="Calibri" w:hAnsi="Calibri" w:hint="eastAsia"/>
          <w:rtl/>
        </w:rPr>
        <w:t>גרם</w:t>
      </w:r>
      <w:r w:rsidRPr="00BC03EF">
        <w:rPr>
          <w:rFonts w:ascii="Calibri" w:hAnsi="Calibri"/>
          <w:rtl/>
        </w:rPr>
        <w:t xml:space="preserve"> </w:t>
      </w:r>
      <w:r w:rsidRPr="00BC03EF">
        <w:rPr>
          <w:rFonts w:ascii="Calibri" w:hAnsi="Calibri" w:hint="eastAsia"/>
          <w:rtl/>
        </w:rPr>
        <w:t>ללא</w:t>
      </w:r>
      <w:r w:rsidRPr="00BC03EF">
        <w:rPr>
          <w:rFonts w:ascii="Calibri" w:hAnsi="Calibri"/>
          <w:rtl/>
        </w:rPr>
        <w:t xml:space="preserve"> </w:t>
      </w:r>
      <w:r w:rsidRPr="00BC03EF">
        <w:rPr>
          <w:rFonts w:ascii="Calibri" w:hAnsi="Calibri" w:hint="eastAsia"/>
          <w:rtl/>
        </w:rPr>
        <w:t>היתר</w:t>
      </w:r>
      <w:r w:rsidRPr="00BC03EF">
        <w:rPr>
          <w:rFonts w:ascii="Calibri" w:hAnsi="Calibri"/>
          <w:rtl/>
        </w:rPr>
        <w:t xml:space="preserve"> </w:t>
      </w:r>
      <w:r w:rsidRPr="00BC03EF">
        <w:rPr>
          <w:rFonts w:ascii="Calibri" w:hAnsi="Calibri" w:hint="eastAsia"/>
          <w:rtl/>
        </w:rPr>
        <w:t>כדין</w:t>
      </w:r>
      <w:r w:rsidRPr="00BC03EF">
        <w:rPr>
          <w:rFonts w:ascii="Calibri" w:hAnsi="Calibri"/>
          <w:rtl/>
        </w:rPr>
        <w:t xml:space="preserve"> </w:t>
      </w:r>
      <w:r w:rsidRPr="00BC03EF">
        <w:rPr>
          <w:rFonts w:ascii="Calibri" w:hAnsi="Calibri" w:hint="eastAsia"/>
          <w:rtl/>
        </w:rPr>
        <w:t>וכן</w:t>
      </w:r>
      <w:r w:rsidRPr="00BC03EF">
        <w:rPr>
          <w:rFonts w:ascii="Calibri" w:hAnsi="Calibri"/>
          <w:rtl/>
        </w:rPr>
        <w:t xml:space="preserve"> </w:t>
      </w:r>
      <w:r w:rsidRPr="00BC03EF">
        <w:rPr>
          <w:rFonts w:ascii="Calibri" w:hAnsi="Calibri" w:hint="eastAsia"/>
          <w:rtl/>
        </w:rPr>
        <w:t>הפריע</w:t>
      </w:r>
      <w:r w:rsidRPr="00BC03EF">
        <w:rPr>
          <w:rFonts w:ascii="Calibri" w:hAnsi="Calibri"/>
          <w:rtl/>
        </w:rPr>
        <w:t xml:space="preserve"> </w:t>
      </w:r>
      <w:r w:rsidRPr="00BC03EF">
        <w:rPr>
          <w:rFonts w:ascii="Calibri" w:hAnsi="Calibri" w:hint="eastAsia"/>
          <w:rtl/>
        </w:rPr>
        <w:t>לשוטרים</w:t>
      </w:r>
      <w:r w:rsidRPr="00BC03EF">
        <w:rPr>
          <w:rFonts w:ascii="Calibri" w:hAnsi="Calibri"/>
          <w:rtl/>
        </w:rPr>
        <w:t xml:space="preserve"> </w:t>
      </w:r>
      <w:r w:rsidRPr="00BC03EF">
        <w:rPr>
          <w:rFonts w:ascii="Calibri" w:hAnsi="Calibri" w:hint="eastAsia"/>
          <w:rtl/>
        </w:rPr>
        <w:t>בכוונה</w:t>
      </w:r>
      <w:r w:rsidRPr="00BC03EF">
        <w:rPr>
          <w:rFonts w:ascii="Calibri" w:hAnsi="Calibri"/>
          <w:rtl/>
        </w:rPr>
        <w:t xml:space="preserve"> </w:t>
      </w:r>
      <w:r w:rsidRPr="00BC03EF">
        <w:rPr>
          <w:rFonts w:ascii="Calibri" w:hAnsi="Calibri" w:hint="eastAsia"/>
          <w:rtl/>
        </w:rPr>
        <w:t>להפריע</w:t>
      </w:r>
      <w:r w:rsidRPr="00BC03EF">
        <w:rPr>
          <w:rFonts w:ascii="Calibri" w:hAnsi="Calibri"/>
          <w:rtl/>
        </w:rPr>
        <w:t xml:space="preserve"> </w:t>
      </w:r>
      <w:r w:rsidRPr="00BC03EF">
        <w:rPr>
          <w:rFonts w:ascii="Calibri" w:hAnsi="Calibri" w:hint="eastAsia"/>
          <w:rtl/>
        </w:rPr>
        <w:t>להם</w:t>
      </w:r>
      <w:r w:rsidRPr="00BC03EF">
        <w:rPr>
          <w:rFonts w:ascii="Calibri" w:hAnsi="Calibri"/>
          <w:rtl/>
        </w:rPr>
        <w:t xml:space="preserve"> </w:t>
      </w:r>
      <w:r w:rsidRPr="00BC03EF">
        <w:rPr>
          <w:rFonts w:ascii="Calibri" w:hAnsi="Calibri" w:hint="eastAsia"/>
          <w:rtl/>
        </w:rPr>
        <w:t>כשהם</w:t>
      </w:r>
      <w:r w:rsidRPr="00BC03EF">
        <w:rPr>
          <w:rFonts w:ascii="Calibri" w:hAnsi="Calibri"/>
          <w:rtl/>
        </w:rPr>
        <w:t xml:space="preserve"> </w:t>
      </w:r>
      <w:r w:rsidRPr="00BC03EF">
        <w:rPr>
          <w:rFonts w:ascii="Calibri" w:hAnsi="Calibri" w:hint="eastAsia"/>
          <w:rtl/>
        </w:rPr>
        <w:t>ממלאים</w:t>
      </w:r>
      <w:r w:rsidRPr="00BC03EF">
        <w:rPr>
          <w:rFonts w:ascii="Calibri" w:hAnsi="Calibri"/>
          <w:rtl/>
        </w:rPr>
        <w:t xml:space="preserve"> </w:t>
      </w:r>
      <w:r w:rsidRPr="00BC03EF">
        <w:rPr>
          <w:rFonts w:ascii="Calibri" w:hAnsi="Calibri" w:hint="eastAsia"/>
          <w:rtl/>
        </w:rPr>
        <w:t>תפקידם</w:t>
      </w:r>
      <w:r w:rsidRPr="00BC03EF">
        <w:rPr>
          <w:rFonts w:ascii="Calibri" w:hAnsi="Calibri"/>
          <w:rtl/>
        </w:rPr>
        <w:t xml:space="preserve"> </w:t>
      </w:r>
      <w:r w:rsidRPr="00BC03EF">
        <w:rPr>
          <w:rFonts w:ascii="Calibri" w:hAnsi="Calibri" w:hint="eastAsia"/>
          <w:rtl/>
        </w:rPr>
        <w:t>כחוק</w:t>
      </w:r>
      <w:r w:rsidRPr="00BC03EF">
        <w:rPr>
          <w:rFonts w:ascii="Calibri" w:hAnsi="Calibri"/>
          <w:rtl/>
        </w:rPr>
        <w:t xml:space="preserve"> </w:t>
      </w:r>
      <w:r w:rsidRPr="00BC03EF">
        <w:rPr>
          <w:rFonts w:ascii="Calibri" w:hAnsi="Calibri" w:hint="eastAsia"/>
          <w:rtl/>
        </w:rPr>
        <w:t>או</w:t>
      </w:r>
      <w:r w:rsidRPr="00BC03EF">
        <w:rPr>
          <w:rFonts w:ascii="Calibri" w:hAnsi="Calibri"/>
          <w:rtl/>
        </w:rPr>
        <w:t xml:space="preserve"> </w:t>
      </w:r>
      <w:r w:rsidRPr="00BC03EF">
        <w:rPr>
          <w:rFonts w:ascii="Calibri" w:hAnsi="Calibri" w:hint="eastAsia"/>
          <w:rtl/>
        </w:rPr>
        <w:t>להכשילם</w:t>
      </w:r>
      <w:r w:rsidRPr="00BC03EF">
        <w:rPr>
          <w:rFonts w:ascii="Calibri" w:hAnsi="Calibri"/>
          <w:rtl/>
        </w:rPr>
        <w:t xml:space="preserve"> </w:t>
      </w:r>
      <w:r w:rsidRPr="00BC03EF">
        <w:rPr>
          <w:rFonts w:ascii="Calibri" w:hAnsi="Calibri" w:hint="eastAsia"/>
          <w:rtl/>
        </w:rPr>
        <w:t>בכך</w:t>
      </w:r>
      <w:r w:rsidRPr="00BC03EF">
        <w:rPr>
          <w:rFonts w:ascii="Calibri" w:hAnsi="Calibri"/>
          <w:rtl/>
        </w:rPr>
        <w:t>.</w:t>
      </w:r>
    </w:p>
    <w:p w14:paraId="087DCFE5" w14:textId="77777777" w:rsidR="003D54B7" w:rsidRPr="00BC03EF" w:rsidRDefault="003D54B7" w:rsidP="003D54B7">
      <w:pPr>
        <w:spacing w:line="360" w:lineRule="auto"/>
        <w:jc w:val="both"/>
        <w:rPr>
          <w:rtl/>
          <w:lang w:eastAsia="he-IL"/>
        </w:rPr>
      </w:pPr>
    </w:p>
    <w:p w14:paraId="5D9D386A" w14:textId="77777777" w:rsidR="003D54B7" w:rsidRPr="00BC03EF" w:rsidRDefault="003D54B7" w:rsidP="003D54B7">
      <w:pPr>
        <w:spacing w:after="160" w:line="360" w:lineRule="auto"/>
        <w:jc w:val="both"/>
        <w:rPr>
          <w:rFonts w:ascii="David" w:hAnsi="David"/>
          <w:rtl/>
        </w:rPr>
      </w:pPr>
      <w:r w:rsidRPr="00BC03EF">
        <w:rPr>
          <w:rFonts w:ascii="David" w:hAnsi="David"/>
          <w:rtl/>
        </w:rPr>
        <w:t>2.</w:t>
      </w:r>
      <w:r w:rsidRPr="00BC03EF">
        <w:rPr>
          <w:rFonts w:ascii="David" w:hAnsi="David"/>
          <w:rtl/>
        </w:rPr>
        <w:tab/>
        <w:t>במענה לכתב האישום</w:t>
      </w:r>
      <w:r w:rsidRPr="00BC03EF">
        <w:rPr>
          <w:rFonts w:ascii="David" w:hAnsi="David"/>
          <w:b/>
          <w:bCs/>
          <w:rtl/>
        </w:rPr>
        <w:t xml:space="preserve">, </w:t>
      </w:r>
      <w:r w:rsidRPr="00BC03EF">
        <w:rPr>
          <w:rFonts w:ascii="David" w:hAnsi="David"/>
          <w:rtl/>
        </w:rPr>
        <w:t xml:space="preserve">הודה הנאשם בכל עובדות כתב האישום, וביקש להוסיף עובדה הקשורה בנסיבות ביצוע העבירות, והיא כי - את הסמים הוא החזיק בשל כך שהוא נאלץ להחזיקם עבור אחר. </w:t>
      </w:r>
    </w:p>
    <w:p w14:paraId="738A2B7F" w14:textId="77777777" w:rsidR="003D54B7" w:rsidRPr="00BC03EF" w:rsidRDefault="003D54B7" w:rsidP="003D54B7">
      <w:pPr>
        <w:spacing w:line="360" w:lineRule="auto"/>
        <w:jc w:val="both"/>
        <w:rPr>
          <w:rFonts w:ascii="David" w:hAnsi="David"/>
          <w:rtl/>
        </w:rPr>
      </w:pPr>
    </w:p>
    <w:p w14:paraId="16B3A40C" w14:textId="77777777" w:rsidR="003D54B7" w:rsidRPr="00BC03EF" w:rsidRDefault="003D54B7" w:rsidP="003D54B7">
      <w:pPr>
        <w:spacing w:line="360" w:lineRule="auto"/>
        <w:jc w:val="both"/>
        <w:rPr>
          <w:rFonts w:ascii="David" w:hAnsi="David"/>
          <w:rtl/>
        </w:rPr>
      </w:pPr>
      <w:r w:rsidRPr="00BC03EF">
        <w:rPr>
          <w:rFonts w:ascii="David" w:hAnsi="David"/>
          <w:rtl/>
        </w:rPr>
        <w:t xml:space="preserve">נטען כי הסמים לא היו של הנאשם, אבל הוא החזיקם עקב כך שהיה לנאשם כלפי האחר חוב כספי והנאשם התבקש להחזיק בסמים ולשמור עליהם, ושהחוב כלפי האחר נוצר עקב השימוש של הנאשם בסמים. </w:t>
      </w:r>
    </w:p>
    <w:p w14:paraId="04A90C0C" w14:textId="77777777" w:rsidR="003D54B7" w:rsidRPr="00BC03EF" w:rsidRDefault="003D54B7" w:rsidP="003D54B7">
      <w:pPr>
        <w:spacing w:line="360" w:lineRule="auto"/>
        <w:jc w:val="both"/>
        <w:rPr>
          <w:rFonts w:ascii="David" w:hAnsi="David"/>
          <w:rtl/>
        </w:rPr>
      </w:pPr>
    </w:p>
    <w:p w14:paraId="643FD7DD" w14:textId="77777777" w:rsidR="003D54B7" w:rsidRPr="00BC03EF" w:rsidRDefault="003D54B7" w:rsidP="003D54B7">
      <w:pPr>
        <w:spacing w:line="360" w:lineRule="auto"/>
        <w:jc w:val="both"/>
        <w:rPr>
          <w:rFonts w:ascii="David" w:hAnsi="David"/>
          <w:rtl/>
        </w:rPr>
      </w:pPr>
      <w:r w:rsidRPr="00BC03EF">
        <w:rPr>
          <w:rFonts w:ascii="David" w:hAnsi="David"/>
          <w:rtl/>
        </w:rPr>
        <w:t xml:space="preserve">הנאשם הודה וקיבל אחריות עוד במענה לכתב האישום, אך כאמור טען לנסיבות נוספות וביחס אליהן נשמעו ראיות. </w:t>
      </w:r>
    </w:p>
    <w:p w14:paraId="00491946" w14:textId="77777777" w:rsidR="003D54B7" w:rsidRPr="00BC03EF" w:rsidRDefault="003D54B7" w:rsidP="003D54B7">
      <w:pPr>
        <w:spacing w:line="360" w:lineRule="auto"/>
        <w:jc w:val="both"/>
        <w:rPr>
          <w:rFonts w:ascii="David" w:hAnsi="David"/>
          <w:rtl/>
        </w:rPr>
      </w:pPr>
    </w:p>
    <w:p w14:paraId="0F5B39B2" w14:textId="77777777" w:rsidR="003D54B7" w:rsidRPr="00BC03EF" w:rsidRDefault="003D54B7" w:rsidP="003D54B7">
      <w:pPr>
        <w:spacing w:line="360" w:lineRule="auto"/>
        <w:jc w:val="both"/>
        <w:rPr>
          <w:rFonts w:ascii="David" w:hAnsi="David"/>
          <w:rtl/>
        </w:rPr>
      </w:pPr>
      <w:r w:rsidRPr="00BC03EF">
        <w:rPr>
          <w:rFonts w:ascii="David" w:hAnsi="David"/>
          <w:rtl/>
        </w:rPr>
        <w:t>מדובר בטענות שהתייחסו לנסיבות ביצוע העבירות, והנסיבות שהתבקש להוסיף הינן כי הסמים לא היו של הנאשם, הוא החזיקם עבור אחר, והוא נאלץ להחזיקם עבור האחר, לאור כך שאויים.</w:t>
      </w:r>
    </w:p>
    <w:p w14:paraId="39C11C09" w14:textId="77777777" w:rsidR="003D54B7" w:rsidRPr="00BC03EF" w:rsidRDefault="003D54B7" w:rsidP="003D54B7">
      <w:pPr>
        <w:spacing w:line="360" w:lineRule="auto"/>
        <w:jc w:val="both"/>
        <w:rPr>
          <w:rFonts w:ascii="David" w:hAnsi="David"/>
          <w:rtl/>
        </w:rPr>
      </w:pPr>
    </w:p>
    <w:p w14:paraId="405D5A38" w14:textId="77777777" w:rsidR="003D54B7" w:rsidRPr="00BC03EF" w:rsidRDefault="003D54B7" w:rsidP="003D54B7">
      <w:pPr>
        <w:spacing w:line="360" w:lineRule="auto"/>
        <w:jc w:val="both"/>
        <w:rPr>
          <w:rFonts w:ascii="David" w:hAnsi="David"/>
          <w:rtl/>
        </w:rPr>
      </w:pPr>
      <w:r w:rsidRPr="00BC03EF">
        <w:rPr>
          <w:rFonts w:ascii="David" w:hAnsi="David"/>
          <w:rtl/>
        </w:rPr>
        <w:t>כפי שנכתב בהכרעת הדין, לא הועלתה במענה וגם לא בסיכומים ובכל שלב שהוא, טענה למי מההגנות ב</w:t>
      </w:r>
      <w:hyperlink r:id="rId15" w:history="1">
        <w:r w:rsidR="00B07275" w:rsidRPr="00B07275">
          <w:rPr>
            <w:rFonts w:ascii="David" w:hAnsi="David"/>
            <w:color w:val="0000FF"/>
            <w:u w:val="single"/>
            <w:rtl/>
          </w:rPr>
          <w:t>חוק העונשין</w:t>
        </w:r>
      </w:hyperlink>
      <w:r w:rsidRPr="00BC03EF">
        <w:rPr>
          <w:rFonts w:ascii="David" w:hAnsi="David"/>
          <w:rtl/>
        </w:rPr>
        <w:t>, והטענה שנטענה הינה טענה עובדתית ביחס להחזקת הסמים כאמור לעיל, תוך שנטען כי לדבר צריך להיות משקל בשלב שלאחר מכן, בגזירת הדין.</w:t>
      </w:r>
    </w:p>
    <w:p w14:paraId="585AF74D" w14:textId="77777777" w:rsidR="003D54B7" w:rsidRPr="00BC03EF" w:rsidRDefault="003D54B7" w:rsidP="003D54B7">
      <w:pPr>
        <w:spacing w:line="360" w:lineRule="auto"/>
        <w:jc w:val="both"/>
        <w:rPr>
          <w:rtl/>
          <w:lang w:eastAsia="he-IL"/>
        </w:rPr>
      </w:pPr>
    </w:p>
    <w:p w14:paraId="34CE2076" w14:textId="77777777" w:rsidR="003D54B7" w:rsidRPr="00BC03EF" w:rsidRDefault="003D54B7" w:rsidP="003D54B7">
      <w:pPr>
        <w:spacing w:line="360" w:lineRule="auto"/>
        <w:jc w:val="both"/>
        <w:rPr>
          <w:rtl/>
          <w:lang w:eastAsia="he-IL"/>
        </w:rPr>
      </w:pPr>
      <w:r w:rsidRPr="00BC03EF">
        <w:rPr>
          <w:rtl/>
          <w:lang w:eastAsia="he-IL"/>
        </w:rPr>
        <w:t>3.</w:t>
      </w:r>
      <w:r w:rsidRPr="00BC03EF">
        <w:rPr>
          <w:rtl/>
          <w:lang w:eastAsia="he-IL"/>
        </w:rPr>
        <w:tab/>
        <w:t xml:space="preserve">לאחר שנשמעו הראיות, נקבע כי </w:t>
      </w:r>
      <w:r w:rsidRPr="00BC03EF">
        <w:rPr>
          <w:rFonts w:ascii="Calibri" w:hAnsi="Calibri" w:hint="eastAsia"/>
          <w:rtl/>
        </w:rPr>
        <w:t>יש</w:t>
      </w:r>
      <w:r w:rsidRPr="00BC03EF">
        <w:rPr>
          <w:rFonts w:ascii="Calibri" w:hAnsi="Calibri"/>
          <w:rtl/>
        </w:rPr>
        <w:t xml:space="preserve"> </w:t>
      </w:r>
      <w:r w:rsidRPr="00BC03EF">
        <w:rPr>
          <w:rFonts w:ascii="Calibri" w:hAnsi="Calibri" w:hint="eastAsia"/>
          <w:rtl/>
        </w:rPr>
        <w:t>לקבל</w:t>
      </w:r>
      <w:r w:rsidRPr="00BC03EF">
        <w:rPr>
          <w:rFonts w:ascii="Calibri" w:hAnsi="Calibri"/>
          <w:rtl/>
        </w:rPr>
        <w:t xml:space="preserve"> </w:t>
      </w:r>
      <w:r w:rsidRPr="00BC03EF">
        <w:rPr>
          <w:rFonts w:ascii="Calibri" w:hAnsi="Calibri" w:hint="eastAsia"/>
          <w:rtl/>
        </w:rPr>
        <w:t>את</w:t>
      </w:r>
      <w:r w:rsidRPr="00BC03EF">
        <w:rPr>
          <w:rFonts w:ascii="Calibri" w:hAnsi="Calibri"/>
          <w:rtl/>
        </w:rPr>
        <w:t xml:space="preserve"> </w:t>
      </w:r>
      <w:r w:rsidRPr="00BC03EF">
        <w:rPr>
          <w:rFonts w:ascii="Calibri" w:hAnsi="Calibri" w:hint="eastAsia"/>
          <w:rtl/>
        </w:rPr>
        <w:t>גרסת</w:t>
      </w:r>
      <w:r w:rsidRPr="00BC03EF">
        <w:rPr>
          <w:rFonts w:ascii="Calibri" w:hAnsi="Calibri"/>
          <w:rtl/>
        </w:rPr>
        <w:t xml:space="preserve"> </w:t>
      </w:r>
      <w:r w:rsidRPr="00BC03EF">
        <w:rPr>
          <w:rFonts w:ascii="Calibri" w:hAnsi="Calibri" w:hint="eastAsia"/>
          <w:rtl/>
        </w:rPr>
        <w:t>הנאשם</w:t>
      </w:r>
      <w:r w:rsidRPr="00BC03EF">
        <w:rPr>
          <w:rFonts w:ascii="Calibri" w:hAnsi="Calibri"/>
          <w:rtl/>
        </w:rPr>
        <w:t xml:space="preserve"> </w:t>
      </w:r>
      <w:r w:rsidRPr="00BC03EF">
        <w:rPr>
          <w:rFonts w:ascii="Calibri" w:hAnsi="Calibri" w:hint="eastAsia"/>
          <w:rtl/>
        </w:rPr>
        <w:t>ביחס</w:t>
      </w:r>
      <w:r w:rsidRPr="00BC03EF">
        <w:rPr>
          <w:rFonts w:ascii="Calibri" w:hAnsi="Calibri"/>
          <w:rtl/>
        </w:rPr>
        <w:t xml:space="preserve"> </w:t>
      </w:r>
      <w:r w:rsidRPr="00BC03EF">
        <w:rPr>
          <w:rFonts w:ascii="Calibri" w:hAnsi="Calibri" w:hint="eastAsia"/>
          <w:rtl/>
        </w:rPr>
        <w:t>לנסיבות</w:t>
      </w:r>
      <w:r w:rsidRPr="00BC03EF">
        <w:rPr>
          <w:rFonts w:ascii="Calibri" w:hAnsi="Calibri"/>
          <w:rtl/>
        </w:rPr>
        <w:t xml:space="preserve"> </w:t>
      </w:r>
      <w:r w:rsidRPr="00BC03EF">
        <w:rPr>
          <w:rFonts w:ascii="Calibri" w:hAnsi="Calibri" w:hint="eastAsia"/>
          <w:rtl/>
        </w:rPr>
        <w:t>הקשורות</w:t>
      </w:r>
      <w:r w:rsidRPr="00BC03EF">
        <w:rPr>
          <w:rFonts w:ascii="Calibri" w:hAnsi="Calibri"/>
          <w:rtl/>
        </w:rPr>
        <w:t xml:space="preserve"> </w:t>
      </w:r>
      <w:r w:rsidRPr="00BC03EF">
        <w:rPr>
          <w:rFonts w:ascii="Calibri" w:hAnsi="Calibri" w:hint="eastAsia"/>
          <w:rtl/>
        </w:rPr>
        <w:t>בהחזקת</w:t>
      </w:r>
      <w:r w:rsidRPr="00BC03EF">
        <w:rPr>
          <w:rFonts w:ascii="Calibri" w:hAnsi="Calibri"/>
          <w:rtl/>
        </w:rPr>
        <w:t xml:space="preserve"> </w:t>
      </w:r>
      <w:r w:rsidRPr="00BC03EF">
        <w:rPr>
          <w:rFonts w:ascii="Calibri" w:hAnsi="Calibri" w:hint="eastAsia"/>
          <w:rtl/>
        </w:rPr>
        <w:t>הסמים</w:t>
      </w:r>
      <w:r w:rsidRPr="00BC03EF">
        <w:rPr>
          <w:rFonts w:ascii="Calibri" w:hAnsi="Calibri"/>
          <w:rtl/>
        </w:rPr>
        <w:t xml:space="preserve">, </w:t>
      </w:r>
      <w:r w:rsidRPr="00BC03EF">
        <w:rPr>
          <w:rFonts w:ascii="Calibri" w:hAnsi="Calibri" w:hint="eastAsia"/>
          <w:rtl/>
        </w:rPr>
        <w:t>ויש</w:t>
      </w:r>
      <w:r w:rsidRPr="00BC03EF">
        <w:rPr>
          <w:rFonts w:ascii="Calibri" w:hAnsi="Calibri"/>
          <w:rtl/>
        </w:rPr>
        <w:t xml:space="preserve"> </w:t>
      </w:r>
      <w:r w:rsidRPr="00BC03EF">
        <w:rPr>
          <w:rFonts w:ascii="Calibri" w:hAnsi="Calibri" w:hint="eastAsia"/>
          <w:rtl/>
        </w:rPr>
        <w:t>לקבוע</w:t>
      </w:r>
      <w:r w:rsidRPr="00BC03EF">
        <w:rPr>
          <w:rFonts w:ascii="Calibri" w:hAnsi="Calibri"/>
          <w:rtl/>
        </w:rPr>
        <w:t xml:space="preserve"> </w:t>
      </w:r>
      <w:r w:rsidRPr="00BC03EF">
        <w:rPr>
          <w:rFonts w:ascii="Calibri" w:hAnsi="Calibri" w:hint="eastAsia"/>
          <w:rtl/>
        </w:rPr>
        <w:t>כחלק</w:t>
      </w:r>
      <w:r w:rsidRPr="00BC03EF">
        <w:rPr>
          <w:rFonts w:ascii="Calibri" w:hAnsi="Calibri"/>
          <w:rtl/>
        </w:rPr>
        <w:t xml:space="preserve"> </w:t>
      </w:r>
      <w:r w:rsidRPr="00BC03EF">
        <w:rPr>
          <w:rFonts w:ascii="Calibri" w:hAnsi="Calibri" w:hint="eastAsia"/>
          <w:rtl/>
        </w:rPr>
        <w:t>מהתשתית</w:t>
      </w:r>
      <w:r w:rsidRPr="00BC03EF">
        <w:rPr>
          <w:rFonts w:ascii="Calibri" w:hAnsi="Calibri"/>
          <w:rtl/>
        </w:rPr>
        <w:t xml:space="preserve"> </w:t>
      </w:r>
      <w:r w:rsidRPr="00BC03EF">
        <w:rPr>
          <w:rFonts w:ascii="Calibri" w:hAnsi="Calibri" w:hint="eastAsia"/>
          <w:rtl/>
        </w:rPr>
        <w:t>העובדתית</w:t>
      </w:r>
      <w:r w:rsidRPr="00BC03EF">
        <w:rPr>
          <w:rFonts w:ascii="Calibri" w:hAnsi="Calibri"/>
          <w:rtl/>
        </w:rPr>
        <w:t xml:space="preserve"> </w:t>
      </w:r>
      <w:r w:rsidRPr="00BC03EF">
        <w:rPr>
          <w:rFonts w:ascii="Calibri" w:hAnsi="Calibri" w:hint="eastAsia"/>
          <w:rtl/>
        </w:rPr>
        <w:t>המהווה</w:t>
      </w:r>
      <w:r w:rsidRPr="00BC03EF">
        <w:rPr>
          <w:rFonts w:ascii="Calibri" w:hAnsi="Calibri"/>
          <w:rtl/>
        </w:rPr>
        <w:t xml:space="preserve"> </w:t>
      </w:r>
      <w:r w:rsidRPr="00BC03EF">
        <w:rPr>
          <w:rFonts w:ascii="Calibri" w:hAnsi="Calibri" w:hint="eastAsia"/>
          <w:rtl/>
        </w:rPr>
        <w:t>את</w:t>
      </w:r>
      <w:r w:rsidRPr="00BC03EF">
        <w:rPr>
          <w:rFonts w:ascii="Calibri" w:hAnsi="Calibri"/>
          <w:rtl/>
        </w:rPr>
        <w:t xml:space="preserve"> </w:t>
      </w:r>
      <w:r w:rsidRPr="00BC03EF">
        <w:rPr>
          <w:rFonts w:ascii="Calibri" w:hAnsi="Calibri" w:hint="eastAsia"/>
          <w:rtl/>
        </w:rPr>
        <w:t>נסיבות</w:t>
      </w:r>
      <w:r w:rsidRPr="00BC03EF">
        <w:rPr>
          <w:rFonts w:ascii="Calibri" w:hAnsi="Calibri"/>
          <w:rtl/>
        </w:rPr>
        <w:t xml:space="preserve"> </w:t>
      </w:r>
      <w:r w:rsidRPr="00BC03EF">
        <w:rPr>
          <w:rFonts w:ascii="Calibri" w:hAnsi="Calibri" w:hint="eastAsia"/>
          <w:rtl/>
        </w:rPr>
        <w:t>ביצוע</w:t>
      </w:r>
      <w:r w:rsidRPr="00BC03EF">
        <w:rPr>
          <w:rFonts w:ascii="Calibri" w:hAnsi="Calibri"/>
          <w:rtl/>
        </w:rPr>
        <w:t xml:space="preserve"> </w:t>
      </w:r>
      <w:r w:rsidRPr="00BC03EF">
        <w:rPr>
          <w:rFonts w:ascii="Calibri" w:hAnsi="Calibri" w:hint="eastAsia"/>
          <w:rtl/>
        </w:rPr>
        <w:t>העבירות</w:t>
      </w:r>
      <w:r w:rsidRPr="00BC03EF">
        <w:rPr>
          <w:rFonts w:ascii="Calibri" w:hAnsi="Calibri"/>
          <w:rtl/>
        </w:rPr>
        <w:t xml:space="preserve">, </w:t>
      </w:r>
      <w:r w:rsidRPr="00BC03EF">
        <w:rPr>
          <w:rFonts w:ascii="Calibri" w:hAnsi="Calibri" w:hint="eastAsia"/>
          <w:rtl/>
        </w:rPr>
        <w:t>את</w:t>
      </w:r>
      <w:r w:rsidRPr="00BC03EF">
        <w:rPr>
          <w:rFonts w:ascii="Calibri" w:hAnsi="Calibri"/>
          <w:rtl/>
        </w:rPr>
        <w:t xml:space="preserve"> </w:t>
      </w:r>
      <w:r w:rsidRPr="00BC03EF">
        <w:rPr>
          <w:rFonts w:ascii="Calibri" w:hAnsi="Calibri" w:hint="eastAsia"/>
          <w:rtl/>
        </w:rPr>
        <w:t>העובדה</w:t>
      </w:r>
      <w:r w:rsidRPr="00BC03EF">
        <w:rPr>
          <w:rFonts w:ascii="Calibri" w:hAnsi="Calibri"/>
          <w:rtl/>
        </w:rPr>
        <w:t xml:space="preserve"> </w:t>
      </w:r>
      <w:r w:rsidRPr="00BC03EF">
        <w:rPr>
          <w:rFonts w:ascii="Calibri" w:hAnsi="Calibri" w:hint="eastAsia"/>
          <w:rtl/>
        </w:rPr>
        <w:t>אשר</w:t>
      </w:r>
      <w:r w:rsidRPr="00BC03EF">
        <w:rPr>
          <w:rFonts w:ascii="Calibri" w:hAnsi="Calibri"/>
          <w:rtl/>
        </w:rPr>
        <w:t xml:space="preserve"> </w:t>
      </w:r>
      <w:r w:rsidRPr="00BC03EF">
        <w:rPr>
          <w:rFonts w:ascii="Calibri" w:hAnsi="Calibri" w:hint="eastAsia"/>
          <w:rtl/>
        </w:rPr>
        <w:t>נטענת</w:t>
      </w:r>
      <w:r w:rsidRPr="00BC03EF">
        <w:rPr>
          <w:rFonts w:ascii="Calibri" w:hAnsi="Calibri"/>
          <w:rtl/>
        </w:rPr>
        <w:t xml:space="preserve"> </w:t>
      </w:r>
      <w:r w:rsidRPr="00BC03EF">
        <w:rPr>
          <w:rFonts w:ascii="Calibri" w:hAnsi="Calibri" w:hint="eastAsia"/>
          <w:rtl/>
        </w:rPr>
        <w:t>ע</w:t>
      </w:r>
      <w:r w:rsidRPr="00BC03EF">
        <w:rPr>
          <w:rFonts w:ascii="Calibri" w:hAnsi="Calibri"/>
          <w:rtl/>
        </w:rPr>
        <w:t>"</w:t>
      </w:r>
      <w:r w:rsidRPr="00BC03EF">
        <w:rPr>
          <w:rFonts w:ascii="Calibri" w:hAnsi="Calibri" w:hint="eastAsia"/>
          <w:rtl/>
        </w:rPr>
        <w:t>י</w:t>
      </w:r>
      <w:r w:rsidRPr="00BC03EF">
        <w:rPr>
          <w:rFonts w:ascii="Calibri" w:hAnsi="Calibri"/>
          <w:rtl/>
        </w:rPr>
        <w:t xml:space="preserve"> </w:t>
      </w:r>
      <w:r w:rsidRPr="00BC03EF">
        <w:rPr>
          <w:rFonts w:ascii="Calibri" w:hAnsi="Calibri" w:hint="eastAsia"/>
          <w:rtl/>
        </w:rPr>
        <w:t>הנאשם</w:t>
      </w:r>
      <w:r w:rsidRPr="00BC03EF">
        <w:rPr>
          <w:rFonts w:ascii="Calibri" w:hAnsi="Calibri"/>
          <w:rtl/>
        </w:rPr>
        <w:t xml:space="preserve">, </w:t>
      </w:r>
      <w:r w:rsidRPr="00BC03EF">
        <w:rPr>
          <w:rFonts w:ascii="Calibri" w:hAnsi="Calibri" w:hint="eastAsia"/>
          <w:rtl/>
        </w:rPr>
        <w:t>כי</w:t>
      </w:r>
      <w:r w:rsidRPr="00BC03EF">
        <w:rPr>
          <w:rFonts w:ascii="Calibri" w:hAnsi="Calibri"/>
          <w:rtl/>
        </w:rPr>
        <w:t xml:space="preserve"> </w:t>
      </w:r>
      <w:r w:rsidRPr="00BC03EF">
        <w:rPr>
          <w:rFonts w:ascii="Calibri" w:hAnsi="Calibri" w:hint="eastAsia"/>
          <w:rtl/>
        </w:rPr>
        <w:t>הסמים</w:t>
      </w:r>
      <w:r w:rsidRPr="00BC03EF">
        <w:rPr>
          <w:rFonts w:ascii="Calibri" w:hAnsi="Calibri"/>
          <w:rtl/>
        </w:rPr>
        <w:t xml:space="preserve"> </w:t>
      </w:r>
      <w:r w:rsidRPr="00BC03EF">
        <w:rPr>
          <w:rFonts w:ascii="Calibri" w:hAnsi="Calibri" w:hint="eastAsia"/>
          <w:rtl/>
        </w:rPr>
        <w:t>הוחזקו</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ידו</w:t>
      </w:r>
      <w:r w:rsidRPr="00BC03EF">
        <w:rPr>
          <w:rFonts w:ascii="Calibri" w:hAnsi="Calibri"/>
          <w:rtl/>
        </w:rPr>
        <w:t xml:space="preserve"> </w:t>
      </w:r>
      <w:r w:rsidRPr="00BC03EF">
        <w:rPr>
          <w:rFonts w:ascii="Calibri" w:hAnsi="Calibri" w:hint="eastAsia"/>
          <w:rtl/>
        </w:rPr>
        <w:t>עבור</w:t>
      </w:r>
      <w:r w:rsidRPr="00BC03EF">
        <w:rPr>
          <w:rFonts w:ascii="Calibri" w:hAnsi="Calibri"/>
          <w:rtl/>
        </w:rPr>
        <w:t xml:space="preserve"> </w:t>
      </w:r>
      <w:r w:rsidRPr="00BC03EF">
        <w:rPr>
          <w:rFonts w:ascii="Calibri" w:hAnsi="Calibri" w:hint="eastAsia"/>
          <w:rtl/>
        </w:rPr>
        <w:t>אחר</w:t>
      </w:r>
      <w:r w:rsidRPr="00BC03EF">
        <w:rPr>
          <w:rFonts w:ascii="Calibri" w:hAnsi="Calibri"/>
          <w:rtl/>
        </w:rPr>
        <w:t xml:space="preserve">, </w:t>
      </w:r>
      <w:r w:rsidRPr="00BC03EF">
        <w:rPr>
          <w:rFonts w:ascii="Calibri" w:hAnsi="Calibri" w:hint="eastAsia"/>
          <w:rtl/>
        </w:rPr>
        <w:t>וכי</w:t>
      </w:r>
      <w:r w:rsidRPr="00BC03EF">
        <w:rPr>
          <w:rFonts w:ascii="Calibri" w:hAnsi="Calibri"/>
          <w:rtl/>
        </w:rPr>
        <w:t xml:space="preserve"> </w:t>
      </w:r>
      <w:r w:rsidRPr="00BC03EF">
        <w:rPr>
          <w:rFonts w:ascii="Calibri" w:hAnsi="Calibri" w:hint="eastAsia"/>
          <w:rtl/>
        </w:rPr>
        <w:t>האחר</w:t>
      </w:r>
      <w:r w:rsidRPr="00BC03EF">
        <w:rPr>
          <w:rFonts w:ascii="Calibri" w:hAnsi="Calibri"/>
          <w:rtl/>
        </w:rPr>
        <w:t xml:space="preserve"> </w:t>
      </w:r>
      <w:r w:rsidRPr="00BC03EF">
        <w:rPr>
          <w:rFonts w:ascii="Calibri" w:hAnsi="Calibri" w:hint="eastAsia"/>
          <w:rtl/>
        </w:rPr>
        <w:t>ניצלו</w:t>
      </w:r>
      <w:r w:rsidRPr="00BC03EF">
        <w:rPr>
          <w:rFonts w:ascii="Calibri" w:hAnsi="Calibri"/>
          <w:rtl/>
        </w:rPr>
        <w:t xml:space="preserve"> </w:t>
      </w:r>
      <w:r w:rsidRPr="00BC03EF">
        <w:rPr>
          <w:rFonts w:ascii="Calibri" w:hAnsi="Calibri" w:hint="eastAsia"/>
          <w:rtl/>
        </w:rPr>
        <w:t>ואיים</w:t>
      </w:r>
      <w:r w:rsidRPr="00BC03EF">
        <w:rPr>
          <w:rFonts w:ascii="Calibri" w:hAnsi="Calibri"/>
          <w:rtl/>
        </w:rPr>
        <w:t xml:space="preserve"> </w:t>
      </w:r>
      <w:r w:rsidRPr="00BC03EF">
        <w:rPr>
          <w:rFonts w:ascii="Calibri" w:hAnsi="Calibri" w:hint="eastAsia"/>
          <w:rtl/>
        </w:rPr>
        <w:t>עליו</w:t>
      </w:r>
      <w:r w:rsidRPr="00BC03EF">
        <w:rPr>
          <w:rFonts w:ascii="Calibri" w:hAnsi="Calibri"/>
          <w:rtl/>
        </w:rPr>
        <w:t xml:space="preserve">, </w:t>
      </w:r>
      <w:r w:rsidRPr="00BC03EF">
        <w:rPr>
          <w:rFonts w:ascii="Calibri" w:hAnsi="Calibri" w:hint="eastAsia"/>
          <w:rtl/>
        </w:rPr>
        <w:t>וזאת</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רקע</w:t>
      </w:r>
      <w:r w:rsidRPr="00BC03EF">
        <w:rPr>
          <w:rFonts w:ascii="Calibri" w:hAnsi="Calibri"/>
          <w:rtl/>
        </w:rPr>
        <w:t xml:space="preserve"> </w:t>
      </w:r>
      <w:r w:rsidRPr="00BC03EF">
        <w:rPr>
          <w:rFonts w:ascii="Calibri" w:hAnsi="Calibri" w:hint="eastAsia"/>
          <w:rtl/>
        </w:rPr>
        <w:t>כך</w:t>
      </w:r>
      <w:r w:rsidRPr="00BC03EF">
        <w:rPr>
          <w:rFonts w:ascii="Calibri" w:hAnsi="Calibri"/>
          <w:rtl/>
        </w:rPr>
        <w:t xml:space="preserve"> </w:t>
      </w:r>
      <w:r w:rsidRPr="00BC03EF">
        <w:rPr>
          <w:rFonts w:ascii="Calibri" w:hAnsi="Calibri" w:hint="eastAsia"/>
          <w:rtl/>
        </w:rPr>
        <w:t>שהנאשם</w:t>
      </w:r>
      <w:r w:rsidRPr="00BC03EF">
        <w:rPr>
          <w:rFonts w:ascii="Calibri" w:hAnsi="Calibri"/>
          <w:rtl/>
        </w:rPr>
        <w:t xml:space="preserve"> </w:t>
      </w:r>
      <w:r w:rsidRPr="00BC03EF">
        <w:rPr>
          <w:rFonts w:ascii="Calibri" w:hAnsi="Calibri" w:hint="eastAsia"/>
          <w:rtl/>
        </w:rPr>
        <w:t>צרך</w:t>
      </w:r>
      <w:r w:rsidRPr="00BC03EF">
        <w:rPr>
          <w:rFonts w:ascii="Calibri" w:hAnsi="Calibri"/>
          <w:rtl/>
        </w:rPr>
        <w:t xml:space="preserve"> </w:t>
      </w:r>
      <w:r w:rsidRPr="00BC03EF">
        <w:rPr>
          <w:rFonts w:ascii="Calibri" w:hAnsi="Calibri" w:hint="eastAsia"/>
          <w:rtl/>
        </w:rPr>
        <w:t>סמים</w:t>
      </w:r>
      <w:r w:rsidRPr="00BC03EF">
        <w:rPr>
          <w:rFonts w:ascii="Calibri" w:hAnsi="Calibri"/>
          <w:rtl/>
        </w:rPr>
        <w:t xml:space="preserve"> </w:t>
      </w:r>
      <w:r w:rsidRPr="00BC03EF">
        <w:rPr>
          <w:rFonts w:ascii="Calibri" w:hAnsi="Calibri" w:hint="eastAsia"/>
          <w:rtl/>
        </w:rPr>
        <w:t>וצבר</w:t>
      </w:r>
      <w:r w:rsidRPr="00BC03EF">
        <w:rPr>
          <w:rFonts w:ascii="Calibri" w:hAnsi="Calibri"/>
          <w:rtl/>
        </w:rPr>
        <w:t xml:space="preserve"> </w:t>
      </w:r>
      <w:r w:rsidRPr="00BC03EF">
        <w:rPr>
          <w:rFonts w:ascii="Calibri" w:hAnsi="Calibri" w:hint="eastAsia"/>
          <w:rtl/>
        </w:rPr>
        <w:t>חובות</w:t>
      </w:r>
      <w:r w:rsidRPr="00BC03EF">
        <w:rPr>
          <w:rFonts w:ascii="Calibri" w:hAnsi="Calibri"/>
          <w:rtl/>
        </w:rPr>
        <w:t xml:space="preserve"> </w:t>
      </w:r>
      <w:r w:rsidRPr="00BC03EF">
        <w:rPr>
          <w:rFonts w:ascii="Calibri" w:hAnsi="Calibri" w:hint="eastAsia"/>
          <w:rtl/>
        </w:rPr>
        <w:t>לאותו</w:t>
      </w:r>
      <w:r w:rsidRPr="00BC03EF">
        <w:rPr>
          <w:rFonts w:ascii="Calibri" w:hAnsi="Calibri"/>
          <w:rtl/>
        </w:rPr>
        <w:t xml:space="preserve"> </w:t>
      </w:r>
      <w:r w:rsidRPr="00BC03EF">
        <w:rPr>
          <w:rFonts w:ascii="Calibri" w:hAnsi="Calibri" w:hint="eastAsia"/>
          <w:rtl/>
        </w:rPr>
        <w:t>אחר</w:t>
      </w:r>
      <w:r w:rsidRPr="00BC03EF">
        <w:rPr>
          <w:rFonts w:ascii="Calibri" w:hAnsi="Calibri"/>
          <w:rtl/>
        </w:rPr>
        <w:t xml:space="preserve">. </w:t>
      </w:r>
    </w:p>
    <w:p w14:paraId="62C02063" w14:textId="77777777" w:rsidR="003D54B7" w:rsidRPr="00BC03EF" w:rsidRDefault="003D54B7" w:rsidP="003D54B7">
      <w:pPr>
        <w:spacing w:line="360" w:lineRule="auto"/>
        <w:jc w:val="both"/>
        <w:rPr>
          <w:rtl/>
          <w:lang w:eastAsia="he-IL"/>
        </w:rPr>
      </w:pPr>
    </w:p>
    <w:p w14:paraId="7FA767C7" w14:textId="77777777" w:rsidR="003D54B7" w:rsidRPr="00BC03EF" w:rsidRDefault="003D54B7" w:rsidP="003D54B7">
      <w:pPr>
        <w:spacing w:line="360" w:lineRule="auto"/>
        <w:jc w:val="both"/>
        <w:rPr>
          <w:rtl/>
          <w:lang w:eastAsia="he-IL"/>
        </w:rPr>
      </w:pPr>
      <w:r w:rsidRPr="00BC03EF">
        <w:rPr>
          <w:rtl/>
          <w:lang w:eastAsia="he-IL"/>
        </w:rPr>
        <w:lastRenderedPageBreak/>
        <w:t>עובדות אלו התווספו לתשתית העובדתית המפורטת בכתב האישום, והנאשם הורשע על יסוד הודאתו בעובדות כתב האישום, בעבירות המפורטות בו, כמפורט לעיל.</w:t>
      </w:r>
    </w:p>
    <w:p w14:paraId="54453A1F" w14:textId="77777777" w:rsidR="003D54B7" w:rsidRPr="00BC03EF" w:rsidRDefault="003D54B7" w:rsidP="003D54B7">
      <w:pPr>
        <w:spacing w:line="360" w:lineRule="auto"/>
        <w:jc w:val="both"/>
        <w:rPr>
          <w:rtl/>
          <w:lang w:eastAsia="he-IL"/>
        </w:rPr>
      </w:pPr>
    </w:p>
    <w:p w14:paraId="7ED3A8C6" w14:textId="77777777" w:rsidR="003D54B7" w:rsidRPr="00BC03EF" w:rsidRDefault="003D54B7" w:rsidP="003D54B7">
      <w:pPr>
        <w:spacing w:line="360" w:lineRule="auto"/>
        <w:jc w:val="both"/>
        <w:rPr>
          <w:b/>
          <w:bCs/>
          <w:u w:val="single"/>
          <w:rtl/>
          <w:lang w:eastAsia="he-IL"/>
        </w:rPr>
      </w:pPr>
      <w:r w:rsidRPr="00BC03EF">
        <w:rPr>
          <w:b/>
          <w:bCs/>
          <w:u w:val="single"/>
          <w:rtl/>
          <w:lang w:eastAsia="he-IL"/>
        </w:rPr>
        <w:t>טענות ב"כ המאשימה</w:t>
      </w:r>
    </w:p>
    <w:p w14:paraId="18FEBB41" w14:textId="77777777" w:rsidR="003D54B7" w:rsidRPr="00BC03EF" w:rsidRDefault="003D54B7" w:rsidP="003D54B7">
      <w:pPr>
        <w:spacing w:line="360" w:lineRule="auto"/>
        <w:jc w:val="both"/>
        <w:rPr>
          <w:b/>
          <w:bCs/>
          <w:u w:val="single"/>
          <w:rtl/>
          <w:lang w:eastAsia="he-IL"/>
        </w:rPr>
      </w:pPr>
    </w:p>
    <w:p w14:paraId="7F6261E2" w14:textId="77777777" w:rsidR="003D54B7" w:rsidRPr="00BC03EF" w:rsidRDefault="003D54B7" w:rsidP="003D54B7">
      <w:pPr>
        <w:spacing w:line="360" w:lineRule="auto"/>
        <w:jc w:val="both"/>
        <w:rPr>
          <w:rFonts w:ascii="David" w:hAnsi="David"/>
          <w:rtl/>
        </w:rPr>
      </w:pPr>
      <w:r w:rsidRPr="00BC03EF">
        <w:rPr>
          <w:rtl/>
          <w:lang w:eastAsia="he-IL"/>
        </w:rPr>
        <w:t>4.</w:t>
      </w:r>
      <w:r w:rsidRPr="00BC03EF">
        <w:rPr>
          <w:rtl/>
          <w:lang w:eastAsia="he-IL"/>
        </w:rPr>
        <w:tab/>
        <w:t>לטענת ב"כ המאשימה:</w:t>
      </w:r>
      <w:r w:rsidRPr="00BC03EF">
        <w:rPr>
          <w:rFonts w:ascii="David" w:hAnsi="David"/>
          <w:rtl/>
        </w:rPr>
        <w:t xml:space="preserve"> </w:t>
      </w:r>
    </w:p>
    <w:p w14:paraId="7C5220EC" w14:textId="77777777" w:rsidR="003D54B7" w:rsidRPr="00BC03EF" w:rsidRDefault="003D54B7" w:rsidP="003D54B7">
      <w:pPr>
        <w:spacing w:line="360" w:lineRule="auto"/>
        <w:jc w:val="both"/>
        <w:rPr>
          <w:rFonts w:ascii="David" w:hAnsi="David"/>
          <w:rtl/>
        </w:rPr>
      </w:pPr>
    </w:p>
    <w:p w14:paraId="75C5E775" w14:textId="77777777" w:rsidR="003D54B7" w:rsidRPr="00BC03EF" w:rsidRDefault="003D54B7" w:rsidP="003D54B7">
      <w:pPr>
        <w:spacing w:line="360" w:lineRule="auto"/>
        <w:jc w:val="both"/>
        <w:rPr>
          <w:rFonts w:ascii="David" w:hAnsi="David"/>
          <w:rtl/>
        </w:rPr>
      </w:pPr>
      <w:r w:rsidRPr="00BC03EF">
        <w:rPr>
          <w:rFonts w:ascii="David" w:hAnsi="David"/>
          <w:rtl/>
        </w:rPr>
        <w:t xml:space="preserve">בתיק זה הנאשם הודה בעבירה חמורה של החזקת 441.67 גרם של סמים  מסוג קוקאין, ובעבירה של הפרעה לשוטר במילוי תפקידו. התבקש, לאור עמדת בית המשפט העליון ומדיניות הענישה הנוהגת, לקבוע מתחם עונש שנע בין 5 ל-7 שנות מאסר, ולמקם את עונשו של הנאשם בחלקו התחתון של המתחם, וזאת לאור העדר עבר פלילי, ההודאה המסוימת בכתב האישום, ובשים לב לנסיבות ביצוע העבירה. </w:t>
      </w:r>
    </w:p>
    <w:p w14:paraId="444D58BB" w14:textId="77777777" w:rsidR="003D54B7" w:rsidRPr="00BC03EF" w:rsidRDefault="003D54B7" w:rsidP="003D54B7">
      <w:pPr>
        <w:spacing w:line="360" w:lineRule="auto"/>
        <w:jc w:val="both"/>
        <w:rPr>
          <w:rFonts w:ascii="David" w:hAnsi="David"/>
          <w:rtl/>
        </w:rPr>
      </w:pPr>
    </w:p>
    <w:p w14:paraId="6651E70E" w14:textId="77777777" w:rsidR="003D54B7" w:rsidRPr="00BC03EF" w:rsidRDefault="003D54B7" w:rsidP="003D54B7">
      <w:pPr>
        <w:spacing w:line="360" w:lineRule="auto"/>
        <w:jc w:val="both"/>
        <w:rPr>
          <w:rFonts w:ascii="David" w:hAnsi="David"/>
          <w:rtl/>
        </w:rPr>
      </w:pPr>
      <w:r w:rsidRPr="00BC03EF">
        <w:rPr>
          <w:rFonts w:ascii="David" w:hAnsi="David"/>
          <w:rtl/>
        </w:rPr>
        <w:t xml:space="preserve">התבקש שלא ליתן משמעות רבה ושלא להקל עם הנאשם בצורה משמעותית, חרף נסיבות ביצוע העבירה שנקבעו בהכרעת הדין, וזאת הואיל ומצופה מכל אזרח לשמור על החוק, ואם הוא מאוים לפנות למשטרה, ולא ניתן להסכים עם מצב שבו אזרחים מאוימים יבצעו עבירות כלשהן, לא כל שכן עבירות חמורות, לא היינו מקבלים מצב שאזרחים כתוצאה מאיום מבצעים עבירות איום ועבירות שוד וגם לא עבירות סמים. עוד נטען כי הנאשם עצמו השתמש בכמות גדולה של כ-60 גרם מתוך החצי קילו לערך שהחזיק עבור אותו אחר, שכאמור איים עליו ניצל אותו. מכאן המאשימה תטען כי יש לראות בנאשם כמי שהפיק לעצמו רווח מביצוע העבירות, גם בכך שהשתמש בסמים בכמות גדולה, כאמור 60 גרם של קוקאין, וגם מהעובדה שביצוע העבירה היווה עבורו ויתור על חוב כספי גדול, כך שהתמונה הכוללת מלמדת על נאשם שנהנה מביצוע עבירה, ומעין עסקה שעשה עם אותו אחר. </w:t>
      </w:r>
    </w:p>
    <w:p w14:paraId="6F19FE37" w14:textId="77777777" w:rsidR="003D54B7" w:rsidRPr="00BC03EF" w:rsidRDefault="003D54B7" w:rsidP="003D54B7">
      <w:pPr>
        <w:spacing w:line="360" w:lineRule="auto"/>
        <w:jc w:val="both"/>
        <w:rPr>
          <w:rFonts w:ascii="David" w:hAnsi="David"/>
          <w:rtl/>
        </w:rPr>
      </w:pPr>
    </w:p>
    <w:p w14:paraId="533A8707" w14:textId="77777777" w:rsidR="003D54B7" w:rsidRPr="00BC03EF" w:rsidRDefault="003D54B7" w:rsidP="003D54B7">
      <w:pPr>
        <w:spacing w:line="360" w:lineRule="auto"/>
        <w:jc w:val="both"/>
        <w:rPr>
          <w:rFonts w:ascii="David" w:hAnsi="David"/>
          <w:b/>
          <w:bCs/>
          <w:u w:val="single"/>
          <w:rtl/>
        </w:rPr>
      </w:pPr>
      <w:r w:rsidRPr="00BC03EF">
        <w:rPr>
          <w:rFonts w:ascii="David" w:hAnsi="David"/>
          <w:b/>
          <w:bCs/>
          <w:u w:val="single"/>
          <w:rtl/>
        </w:rPr>
        <w:t>טענות ב"כ הנאשם</w:t>
      </w:r>
    </w:p>
    <w:p w14:paraId="075B0BE9" w14:textId="77777777" w:rsidR="003D54B7" w:rsidRPr="00BC03EF" w:rsidRDefault="003D54B7" w:rsidP="003D54B7">
      <w:pPr>
        <w:spacing w:line="360" w:lineRule="auto"/>
        <w:jc w:val="both"/>
        <w:rPr>
          <w:rFonts w:ascii="David" w:hAnsi="David"/>
          <w:b/>
          <w:bCs/>
          <w:u w:val="single"/>
          <w:rtl/>
        </w:rPr>
      </w:pPr>
    </w:p>
    <w:p w14:paraId="4AE4A07E" w14:textId="77777777" w:rsidR="003D54B7" w:rsidRPr="00BC03EF" w:rsidRDefault="003D54B7" w:rsidP="003D54B7">
      <w:pPr>
        <w:spacing w:line="360" w:lineRule="auto"/>
        <w:jc w:val="both"/>
        <w:rPr>
          <w:rFonts w:ascii="David" w:hAnsi="David"/>
          <w:rtl/>
        </w:rPr>
      </w:pPr>
      <w:r w:rsidRPr="00BC03EF">
        <w:rPr>
          <w:rFonts w:ascii="David" w:hAnsi="David"/>
          <w:rtl/>
        </w:rPr>
        <w:t>5.</w:t>
      </w:r>
      <w:r w:rsidRPr="00BC03EF">
        <w:rPr>
          <w:rFonts w:ascii="David" w:hAnsi="David"/>
          <w:rtl/>
        </w:rPr>
        <w:tab/>
        <w:t>לטענת ב"כ הנאשם:</w:t>
      </w:r>
    </w:p>
    <w:p w14:paraId="3FEDDA1D" w14:textId="77777777" w:rsidR="003D54B7" w:rsidRPr="00BC03EF" w:rsidRDefault="003D54B7" w:rsidP="003D54B7">
      <w:pPr>
        <w:spacing w:line="360" w:lineRule="auto"/>
        <w:jc w:val="both"/>
        <w:rPr>
          <w:rFonts w:ascii="David" w:hAnsi="David"/>
          <w:rtl/>
        </w:rPr>
      </w:pPr>
    </w:p>
    <w:p w14:paraId="22D56A4C" w14:textId="77777777" w:rsidR="003D54B7" w:rsidRPr="00BC03EF" w:rsidRDefault="003D54B7" w:rsidP="003D54B7">
      <w:pPr>
        <w:spacing w:line="360" w:lineRule="auto"/>
        <w:jc w:val="both"/>
        <w:rPr>
          <w:rFonts w:ascii="David" w:hAnsi="David"/>
          <w:rtl/>
        </w:rPr>
      </w:pPr>
      <w:r w:rsidRPr="00BC03EF">
        <w:rPr>
          <w:rFonts w:ascii="David" w:hAnsi="David"/>
          <w:rtl/>
        </w:rPr>
        <w:t>לטענת ב"כ הנאשם, הפסיקה אליה הפנו ב"כ המאשימה מתייחסת "לעברייני סמים הכי גדולים במדינה". כאן מדובר באדם שמעולם לא קנה קוקאין מאף אחד אחר מלבד אותו אחר, אשר יש לו היכרות עימו מהילדות, והאחר ניצל את התמימות והבדידות שלו, ונסיבות חיים לא פשוטות שלו, בשביל בסופו של דבר לגרום לעצמו רווח בצורה אכזרית.</w:t>
      </w:r>
    </w:p>
    <w:p w14:paraId="705B9E54" w14:textId="77777777" w:rsidR="003D54B7" w:rsidRPr="00BC03EF" w:rsidRDefault="003D54B7" w:rsidP="003D54B7">
      <w:pPr>
        <w:spacing w:line="360" w:lineRule="auto"/>
        <w:jc w:val="both"/>
        <w:rPr>
          <w:rFonts w:ascii="David" w:hAnsi="David"/>
          <w:rtl/>
        </w:rPr>
      </w:pPr>
    </w:p>
    <w:p w14:paraId="05D5E99D" w14:textId="77777777" w:rsidR="003D54B7" w:rsidRPr="00BC03EF" w:rsidRDefault="003D54B7" w:rsidP="003D54B7">
      <w:pPr>
        <w:spacing w:line="360" w:lineRule="auto"/>
        <w:jc w:val="both"/>
        <w:rPr>
          <w:rFonts w:ascii="David" w:hAnsi="David"/>
          <w:rtl/>
        </w:rPr>
      </w:pPr>
      <w:r w:rsidRPr="00BC03EF">
        <w:rPr>
          <w:rFonts w:ascii="David" w:hAnsi="David"/>
          <w:rtl/>
        </w:rPr>
        <w:t xml:space="preserve">הנאשם הודה בכתב האישום ובא בידיים נקיות. נטען כי לא הועלתה טענה לסייג לאחריות פלילית, אך נטען כי הנסיבות מעלות קרבה לסייג הכורח. נטען כי בשורה ארוכה של החלטות התייחס בית המשפט העליון לפריפריה של הגנה, או כמעט הגנה, שגם אם לא מתמלאת באופן המושלם באופן שיוביל לזיכוי, הלא שיש משמעות לדברים לעניין העונש. </w:t>
      </w:r>
    </w:p>
    <w:p w14:paraId="7A6FF17E" w14:textId="77777777" w:rsidR="003D54B7" w:rsidRPr="00BC03EF" w:rsidRDefault="003D54B7" w:rsidP="003D54B7">
      <w:pPr>
        <w:spacing w:line="360" w:lineRule="auto"/>
        <w:jc w:val="both"/>
        <w:rPr>
          <w:rFonts w:ascii="David" w:hAnsi="David"/>
          <w:rtl/>
        </w:rPr>
      </w:pPr>
    </w:p>
    <w:p w14:paraId="33905739" w14:textId="77777777" w:rsidR="003D54B7" w:rsidRPr="00BC03EF" w:rsidRDefault="003D54B7" w:rsidP="003D54B7">
      <w:pPr>
        <w:spacing w:line="360" w:lineRule="auto"/>
        <w:jc w:val="both"/>
        <w:rPr>
          <w:rFonts w:ascii="David" w:hAnsi="David"/>
          <w:rtl/>
        </w:rPr>
      </w:pPr>
      <w:r w:rsidRPr="00BC03EF">
        <w:rPr>
          <w:rFonts w:ascii="David" w:hAnsi="David"/>
          <w:rtl/>
        </w:rPr>
        <w:t xml:space="preserve">נטען לקרבה לסייג, וכי ההחלטה של בית המשפט היא למעשה קרבה לסייג. </w:t>
      </w:r>
    </w:p>
    <w:p w14:paraId="436F07A3" w14:textId="77777777" w:rsidR="003D54B7" w:rsidRPr="00BC03EF" w:rsidRDefault="003D54B7" w:rsidP="003D54B7">
      <w:pPr>
        <w:spacing w:line="360" w:lineRule="auto"/>
        <w:jc w:val="both"/>
        <w:rPr>
          <w:rFonts w:ascii="David" w:hAnsi="David"/>
          <w:rtl/>
        </w:rPr>
      </w:pPr>
    </w:p>
    <w:p w14:paraId="1584E191" w14:textId="77777777" w:rsidR="003D54B7" w:rsidRPr="00BC03EF" w:rsidRDefault="003D54B7" w:rsidP="003D54B7">
      <w:pPr>
        <w:spacing w:line="360" w:lineRule="auto"/>
        <w:jc w:val="both"/>
        <w:rPr>
          <w:rFonts w:ascii="David" w:hAnsi="David"/>
          <w:rtl/>
        </w:rPr>
      </w:pPr>
      <w:r w:rsidRPr="00BC03EF">
        <w:rPr>
          <w:rFonts w:ascii="David" w:hAnsi="David"/>
          <w:rtl/>
        </w:rPr>
        <w:t>נטען כי מתחם העונש ההולם במקרה חריג ומיוחד זה הינו מאסר בעבודות שירות  עד 18 חודשים.</w:t>
      </w:r>
    </w:p>
    <w:p w14:paraId="25CE39FD" w14:textId="77777777" w:rsidR="003D54B7" w:rsidRPr="00BC03EF" w:rsidRDefault="003D54B7" w:rsidP="003D54B7">
      <w:pPr>
        <w:spacing w:line="360" w:lineRule="auto"/>
        <w:jc w:val="both"/>
        <w:rPr>
          <w:rFonts w:ascii="David" w:hAnsi="David"/>
          <w:rtl/>
        </w:rPr>
      </w:pPr>
    </w:p>
    <w:p w14:paraId="73936F3B" w14:textId="77777777" w:rsidR="003D54B7" w:rsidRPr="00BC03EF" w:rsidRDefault="003D54B7" w:rsidP="003D54B7">
      <w:pPr>
        <w:spacing w:line="360" w:lineRule="auto"/>
        <w:jc w:val="both"/>
        <w:rPr>
          <w:rFonts w:ascii="David" w:hAnsi="David"/>
          <w:rtl/>
        </w:rPr>
      </w:pPr>
      <w:r w:rsidRPr="00BC03EF">
        <w:rPr>
          <w:rFonts w:ascii="David" w:hAnsi="David"/>
          <w:rtl/>
        </w:rPr>
        <w:t>נטען כי לאור הפסיקה אליה הפנה ב"כ הנאשם, לא יהיה זה מופרך לומר ש-13 או 14 חודשים שהנאשם ריצה עד כה, מספיקים כדי למלא אחר הדרישה של יחס הולם בין חומרת מעשה העבירה למידת אשמו של הנאשם, למידת העונש שהוטל עליו עד לרגע זה לפי תיקון 113.</w:t>
      </w:r>
    </w:p>
    <w:p w14:paraId="7A1F1FD8" w14:textId="77777777" w:rsidR="003D54B7" w:rsidRPr="00BC03EF" w:rsidRDefault="003D54B7" w:rsidP="003D54B7">
      <w:pPr>
        <w:spacing w:line="360" w:lineRule="auto"/>
        <w:jc w:val="both"/>
        <w:rPr>
          <w:rFonts w:ascii="David" w:hAnsi="David"/>
          <w:rtl/>
        </w:rPr>
      </w:pPr>
    </w:p>
    <w:p w14:paraId="17159396" w14:textId="77777777" w:rsidR="003D54B7" w:rsidRPr="00BC03EF" w:rsidRDefault="003D54B7" w:rsidP="003D54B7">
      <w:pPr>
        <w:spacing w:line="360" w:lineRule="auto"/>
        <w:jc w:val="both"/>
        <w:rPr>
          <w:rFonts w:ascii="David" w:hAnsi="David"/>
          <w:rtl/>
        </w:rPr>
      </w:pPr>
      <w:r w:rsidRPr="00BC03EF">
        <w:rPr>
          <w:rFonts w:ascii="David" w:hAnsi="David"/>
          <w:rtl/>
        </w:rPr>
        <w:t>נטען כי הנאשם נעדר עבר פלילי, בחור צעיר, התבקש לגזור על הנאשם עונש כך שאף אם ייגזרו 15-16 חודשים קיים סיכוי שהנאשם ישתחרר במועד מתן גזר הדין בניכוי מנהלי.</w:t>
      </w:r>
    </w:p>
    <w:p w14:paraId="31CBAD8C" w14:textId="77777777" w:rsidR="003D54B7" w:rsidRPr="00BC03EF" w:rsidRDefault="003D54B7" w:rsidP="003D54B7">
      <w:pPr>
        <w:spacing w:line="360" w:lineRule="auto"/>
        <w:jc w:val="both"/>
        <w:rPr>
          <w:rFonts w:ascii="David" w:hAnsi="David"/>
          <w:rtl/>
        </w:rPr>
      </w:pPr>
    </w:p>
    <w:p w14:paraId="6DCD9558" w14:textId="77777777" w:rsidR="003D54B7" w:rsidRPr="00BC03EF" w:rsidRDefault="003D54B7" w:rsidP="003D54B7">
      <w:pPr>
        <w:spacing w:line="360" w:lineRule="auto"/>
        <w:jc w:val="both"/>
        <w:rPr>
          <w:rFonts w:ascii="David" w:hAnsi="David"/>
          <w:rtl/>
        </w:rPr>
      </w:pPr>
      <w:r w:rsidRPr="00BC03EF">
        <w:rPr>
          <w:rFonts w:ascii="David" w:hAnsi="David"/>
          <w:rtl/>
        </w:rPr>
        <w:t>נטען כי ב"כ המאשימה הסכימו שבכל מקרה העונש צריך להיות בתחתית המתחם יהא המתחם אשר יהא, לכן העונש שהנאשם ריצה עד כה, 14 חודשים, ולו אם בית המשפט יגזור חודשיים נוספים, זה המקסימום שראוי ונכון במקרה הזה.</w:t>
      </w:r>
    </w:p>
    <w:p w14:paraId="02E747BC" w14:textId="77777777" w:rsidR="003D54B7" w:rsidRPr="00BC03EF" w:rsidRDefault="003D54B7" w:rsidP="003D54B7">
      <w:pPr>
        <w:spacing w:line="360" w:lineRule="auto"/>
        <w:jc w:val="both"/>
        <w:rPr>
          <w:rFonts w:ascii="David" w:hAnsi="David"/>
          <w:rtl/>
        </w:rPr>
      </w:pPr>
    </w:p>
    <w:p w14:paraId="7DB7A706" w14:textId="77777777" w:rsidR="003D54B7" w:rsidRPr="00BC03EF" w:rsidRDefault="003D54B7" w:rsidP="003D54B7">
      <w:pPr>
        <w:spacing w:line="360" w:lineRule="auto"/>
        <w:jc w:val="both"/>
        <w:rPr>
          <w:rFonts w:ascii="David" w:hAnsi="David"/>
          <w:rtl/>
        </w:rPr>
      </w:pPr>
      <w:r w:rsidRPr="00BC03EF">
        <w:rPr>
          <w:rFonts w:ascii="David" w:hAnsi="David"/>
          <w:rtl/>
        </w:rPr>
        <w:t xml:space="preserve">נטען כי כרגע הנאשם נקי מסמים מכורח הנסיבות, הוא מאוד רוצה להישאר נקי מסמים, ולכן התבקש ליתן לו הזדמנות להשתחרר כמה שיותר מהר מבית הסוהר, שעד כה לא השכילו לטפל בו, ולאפשר לו לנסות להמשיך בחיים נורמטיביים, והוא ממשפחה נורמטיבית. </w:t>
      </w:r>
    </w:p>
    <w:p w14:paraId="098F8613" w14:textId="77777777" w:rsidR="003D54B7" w:rsidRPr="00BC03EF" w:rsidRDefault="003D54B7" w:rsidP="003D54B7">
      <w:pPr>
        <w:spacing w:line="360" w:lineRule="auto"/>
        <w:jc w:val="both"/>
        <w:rPr>
          <w:rFonts w:ascii="David" w:hAnsi="David"/>
          <w:rtl/>
        </w:rPr>
      </w:pPr>
    </w:p>
    <w:p w14:paraId="621738E1" w14:textId="77777777" w:rsidR="003D54B7" w:rsidRPr="00BC03EF" w:rsidRDefault="003D54B7" w:rsidP="003D54B7">
      <w:pPr>
        <w:spacing w:line="360" w:lineRule="auto"/>
        <w:jc w:val="both"/>
        <w:rPr>
          <w:rFonts w:ascii="David" w:hAnsi="David"/>
          <w:rtl/>
        </w:rPr>
      </w:pPr>
      <w:r w:rsidRPr="00BC03EF">
        <w:rPr>
          <w:rFonts w:ascii="David" w:hAnsi="David"/>
          <w:rtl/>
        </w:rPr>
        <w:t xml:space="preserve">הנאשם אמר שהוא מתחרט על מה שעשה, הוא מבקש שייתנו לו לצאת מפה, הוא נגמל מסמים, ומאז שהוא עצור, 14 חודשים, אינו משתמש בסמים, ואינו מתכוון לחזור לסמים, ורוצה להמשיך את חייו, וביקש את רחמיו של בית המשפט. </w:t>
      </w:r>
    </w:p>
    <w:p w14:paraId="2FEDEF7F" w14:textId="77777777" w:rsidR="003D54B7" w:rsidRPr="00BC03EF" w:rsidRDefault="003D54B7" w:rsidP="003D54B7">
      <w:pPr>
        <w:spacing w:line="360" w:lineRule="auto"/>
        <w:jc w:val="both"/>
        <w:rPr>
          <w:rFonts w:ascii="David" w:hAnsi="David"/>
          <w:rtl/>
        </w:rPr>
      </w:pPr>
    </w:p>
    <w:p w14:paraId="5609BA38" w14:textId="77777777" w:rsidR="003D54B7" w:rsidRPr="00BC03EF" w:rsidRDefault="003D54B7" w:rsidP="003D54B7">
      <w:pPr>
        <w:spacing w:line="360" w:lineRule="auto"/>
        <w:jc w:val="both"/>
        <w:rPr>
          <w:rFonts w:ascii="David" w:hAnsi="David"/>
          <w:b/>
          <w:bCs/>
          <w:u w:val="single"/>
          <w:rtl/>
          <w:lang w:eastAsia="he-IL"/>
        </w:rPr>
      </w:pPr>
      <w:r w:rsidRPr="00BC03EF">
        <w:rPr>
          <w:rFonts w:ascii="David" w:hAnsi="David"/>
          <w:b/>
          <w:bCs/>
          <w:u w:val="single"/>
          <w:rtl/>
          <w:lang w:eastAsia="he-IL"/>
        </w:rPr>
        <w:t>הערכים המוגנים ומתחם העונש ההולם</w:t>
      </w:r>
    </w:p>
    <w:p w14:paraId="4E39E370" w14:textId="77777777" w:rsidR="003D54B7" w:rsidRPr="00BC03EF" w:rsidRDefault="003D54B7" w:rsidP="003D54B7">
      <w:pPr>
        <w:spacing w:line="360" w:lineRule="auto"/>
        <w:jc w:val="both"/>
        <w:rPr>
          <w:rFonts w:ascii="David" w:hAnsi="David"/>
          <w:b/>
          <w:bCs/>
          <w:u w:val="single"/>
          <w:rtl/>
          <w:lang w:eastAsia="he-IL"/>
        </w:rPr>
      </w:pPr>
    </w:p>
    <w:p w14:paraId="1DD72B83"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6.</w:t>
      </w:r>
      <w:r w:rsidRPr="00BC03EF">
        <w:rPr>
          <w:rFonts w:ascii="David" w:hAnsi="David"/>
          <w:rtl/>
          <w:lang w:eastAsia="he-IL"/>
        </w:rPr>
        <w:tab/>
        <w:t xml:space="preserve">בביצוע העבירה של החזקת סם מסוכן שלא לצריכה עצמית פגע הנאשם בערכים המוגנים שביסודה, הכוללים שמירה על הסדר החברתי, שלטון החוק, שלום הציבור, בריאות הציבור והצורך למנוע השלכות פליליות וחברתיות הנובעות מעבירות הסמים. </w:t>
      </w:r>
    </w:p>
    <w:p w14:paraId="62AD02AD" w14:textId="77777777" w:rsidR="003D54B7" w:rsidRPr="00BC03EF" w:rsidRDefault="003D54B7" w:rsidP="003D54B7">
      <w:pPr>
        <w:spacing w:line="360" w:lineRule="auto"/>
        <w:jc w:val="both"/>
        <w:rPr>
          <w:rFonts w:ascii="David" w:hAnsi="David"/>
          <w:rtl/>
          <w:lang w:eastAsia="he-IL"/>
        </w:rPr>
      </w:pPr>
    </w:p>
    <w:p w14:paraId="224C88A2"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 xml:space="preserve">בביצוע עבירת הפרעה לשוטר בעת מילוי תפקידו פגע הנאשם בערכים המוגנים של שלטון החוק והצורך לאפשר לאנשי החוק ביצוע המוטל עליהם ללא הפרעה. </w:t>
      </w:r>
    </w:p>
    <w:p w14:paraId="6D2263E6" w14:textId="77777777" w:rsidR="003D54B7" w:rsidRPr="00BC03EF" w:rsidRDefault="003D54B7" w:rsidP="003D54B7">
      <w:pPr>
        <w:spacing w:line="360" w:lineRule="auto"/>
        <w:jc w:val="both"/>
        <w:rPr>
          <w:rFonts w:ascii="David" w:hAnsi="David"/>
          <w:rtl/>
          <w:lang w:eastAsia="he-IL"/>
        </w:rPr>
      </w:pPr>
    </w:p>
    <w:p w14:paraId="5B5F5F78"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 xml:space="preserve">הנאשם החזיק, שלא לצריכה עצמית, סם מסוכן מסוג קוקאין, במשקל של 441.67 גרם. מדובר בכמות גדולה של סם מסוכן אשר נודעת פגיעתו הרעה ובתי המשפט התייחסו בחומרה רבה לעבירות המבוצעות בקשר לסם מסוכן זה. </w:t>
      </w:r>
    </w:p>
    <w:p w14:paraId="74DE749A" w14:textId="77777777" w:rsidR="003D54B7" w:rsidRPr="00BC03EF" w:rsidRDefault="003D54B7" w:rsidP="003D54B7">
      <w:pPr>
        <w:spacing w:line="360" w:lineRule="auto"/>
        <w:jc w:val="both"/>
        <w:rPr>
          <w:rFonts w:ascii="David" w:hAnsi="David"/>
          <w:rtl/>
          <w:lang w:eastAsia="he-IL"/>
        </w:rPr>
      </w:pPr>
    </w:p>
    <w:p w14:paraId="152C3B5F" w14:textId="77777777" w:rsidR="003D54B7" w:rsidRPr="00BC03EF" w:rsidRDefault="003D54B7" w:rsidP="003D54B7">
      <w:pPr>
        <w:spacing w:after="200" w:line="360" w:lineRule="auto"/>
        <w:jc w:val="both"/>
        <w:rPr>
          <w:rFonts w:ascii="Calibri" w:hAnsi="Calibri"/>
          <w:rtl/>
        </w:rPr>
      </w:pPr>
      <w:r w:rsidRPr="00BC03EF">
        <w:rPr>
          <w:rFonts w:ascii="Calibri" w:hAnsi="Calibri" w:hint="eastAsia"/>
          <w:rtl/>
        </w:rPr>
        <w:t>לעניין</w:t>
      </w:r>
      <w:r w:rsidRPr="00BC03EF">
        <w:rPr>
          <w:rFonts w:ascii="Calibri" w:hAnsi="Calibri"/>
          <w:rtl/>
        </w:rPr>
        <w:t xml:space="preserve"> </w:t>
      </w:r>
      <w:r w:rsidRPr="00BC03EF">
        <w:rPr>
          <w:rFonts w:ascii="Calibri" w:hAnsi="Calibri" w:hint="eastAsia"/>
          <w:rtl/>
        </w:rPr>
        <w:t>חומרת</w:t>
      </w:r>
      <w:r w:rsidRPr="00BC03EF">
        <w:rPr>
          <w:rFonts w:ascii="Calibri" w:hAnsi="Calibri"/>
          <w:rtl/>
        </w:rPr>
        <w:t xml:space="preserve"> </w:t>
      </w:r>
      <w:r w:rsidRPr="00BC03EF">
        <w:rPr>
          <w:rFonts w:ascii="Calibri" w:hAnsi="Calibri" w:hint="eastAsia"/>
          <w:rtl/>
        </w:rPr>
        <w:t>עבירות</w:t>
      </w:r>
      <w:r w:rsidRPr="00BC03EF">
        <w:rPr>
          <w:rFonts w:ascii="Calibri" w:hAnsi="Calibri"/>
          <w:rtl/>
        </w:rPr>
        <w:t xml:space="preserve"> </w:t>
      </w:r>
      <w:r w:rsidRPr="00BC03EF">
        <w:rPr>
          <w:rFonts w:ascii="Calibri" w:hAnsi="Calibri" w:hint="eastAsia"/>
          <w:rtl/>
        </w:rPr>
        <w:t>הסמים</w:t>
      </w:r>
      <w:r w:rsidRPr="00BC03EF">
        <w:rPr>
          <w:rFonts w:ascii="Calibri" w:hAnsi="Calibri"/>
          <w:rtl/>
        </w:rPr>
        <w:t xml:space="preserve">, </w:t>
      </w:r>
      <w:r w:rsidRPr="00BC03EF">
        <w:rPr>
          <w:rFonts w:ascii="Calibri" w:hAnsi="Calibri" w:hint="eastAsia"/>
          <w:rtl/>
        </w:rPr>
        <w:t>הצורך</w:t>
      </w:r>
      <w:r w:rsidRPr="00BC03EF">
        <w:rPr>
          <w:rFonts w:ascii="Calibri" w:hAnsi="Calibri"/>
          <w:rtl/>
        </w:rPr>
        <w:t xml:space="preserve"> </w:t>
      </w:r>
      <w:r w:rsidRPr="00BC03EF">
        <w:rPr>
          <w:rFonts w:ascii="Calibri" w:hAnsi="Calibri" w:hint="eastAsia"/>
          <w:rtl/>
        </w:rPr>
        <w:t>במלחמה</w:t>
      </w:r>
      <w:r w:rsidRPr="00BC03EF">
        <w:rPr>
          <w:rFonts w:ascii="Calibri" w:hAnsi="Calibri"/>
          <w:rtl/>
        </w:rPr>
        <w:t xml:space="preserve"> </w:t>
      </w:r>
      <w:r w:rsidRPr="00BC03EF">
        <w:rPr>
          <w:rFonts w:ascii="Calibri" w:hAnsi="Calibri" w:hint="eastAsia"/>
          <w:rtl/>
        </w:rPr>
        <w:t>בהן</w:t>
      </w:r>
      <w:r w:rsidRPr="00BC03EF">
        <w:rPr>
          <w:rFonts w:ascii="Calibri" w:hAnsi="Calibri"/>
          <w:rtl/>
        </w:rPr>
        <w:t xml:space="preserve"> </w:t>
      </w:r>
      <w:r w:rsidRPr="00BC03EF">
        <w:rPr>
          <w:rFonts w:ascii="Calibri" w:hAnsi="Calibri" w:hint="eastAsia"/>
          <w:rtl/>
        </w:rPr>
        <w:t>ונסיגת</w:t>
      </w:r>
      <w:r w:rsidRPr="00BC03EF">
        <w:rPr>
          <w:rFonts w:ascii="Calibri" w:hAnsi="Calibri"/>
          <w:rtl/>
        </w:rPr>
        <w:t xml:space="preserve"> </w:t>
      </w:r>
      <w:r w:rsidRPr="00BC03EF">
        <w:rPr>
          <w:rFonts w:ascii="Calibri" w:hAnsi="Calibri" w:hint="eastAsia"/>
          <w:rtl/>
        </w:rPr>
        <w:t>השיקולים</w:t>
      </w:r>
      <w:r w:rsidRPr="00BC03EF">
        <w:rPr>
          <w:rFonts w:ascii="Calibri" w:hAnsi="Calibri"/>
          <w:rtl/>
        </w:rPr>
        <w:t xml:space="preserve"> </w:t>
      </w:r>
      <w:r w:rsidRPr="00BC03EF">
        <w:rPr>
          <w:rFonts w:ascii="Calibri" w:hAnsi="Calibri" w:hint="eastAsia"/>
          <w:rtl/>
        </w:rPr>
        <w:t>האישיים</w:t>
      </w:r>
      <w:r w:rsidRPr="00BC03EF">
        <w:rPr>
          <w:rFonts w:ascii="Calibri" w:hAnsi="Calibri"/>
          <w:rtl/>
        </w:rPr>
        <w:t xml:space="preserve"> </w:t>
      </w:r>
      <w:r w:rsidRPr="00BC03EF">
        <w:rPr>
          <w:rFonts w:ascii="Calibri" w:hAnsi="Calibri" w:hint="eastAsia"/>
          <w:rtl/>
        </w:rPr>
        <w:t>של</w:t>
      </w:r>
      <w:r w:rsidRPr="00BC03EF">
        <w:rPr>
          <w:rFonts w:ascii="Calibri" w:hAnsi="Calibri"/>
          <w:rtl/>
        </w:rPr>
        <w:t xml:space="preserve"> </w:t>
      </w:r>
      <w:r w:rsidRPr="00BC03EF">
        <w:rPr>
          <w:rFonts w:ascii="Calibri" w:hAnsi="Calibri" w:hint="eastAsia"/>
          <w:rtl/>
        </w:rPr>
        <w:t>העבריין</w:t>
      </w:r>
      <w:r w:rsidRPr="00BC03EF">
        <w:rPr>
          <w:rFonts w:ascii="Calibri" w:hAnsi="Calibri"/>
          <w:rtl/>
        </w:rPr>
        <w:t xml:space="preserve"> </w:t>
      </w:r>
      <w:r w:rsidRPr="00BC03EF">
        <w:rPr>
          <w:rFonts w:ascii="Calibri" w:hAnsi="Calibri" w:hint="eastAsia"/>
          <w:rtl/>
        </w:rPr>
        <w:t>מפני</w:t>
      </w:r>
      <w:r w:rsidRPr="00BC03EF">
        <w:rPr>
          <w:rFonts w:ascii="Calibri" w:hAnsi="Calibri"/>
          <w:rtl/>
        </w:rPr>
        <w:t xml:space="preserve"> </w:t>
      </w:r>
      <w:r w:rsidRPr="00BC03EF">
        <w:rPr>
          <w:rFonts w:ascii="Calibri" w:hAnsi="Calibri" w:hint="eastAsia"/>
          <w:rtl/>
        </w:rPr>
        <w:t>אלו</w:t>
      </w:r>
      <w:r w:rsidRPr="00BC03EF">
        <w:rPr>
          <w:rFonts w:ascii="Calibri" w:hAnsi="Calibri"/>
          <w:rtl/>
        </w:rPr>
        <w:t xml:space="preserve"> </w:t>
      </w:r>
      <w:r w:rsidRPr="00BC03EF">
        <w:rPr>
          <w:rFonts w:ascii="Calibri" w:hAnsi="Calibri" w:hint="eastAsia"/>
          <w:rtl/>
        </w:rPr>
        <w:t>הקשורים</w:t>
      </w:r>
      <w:r w:rsidRPr="00BC03EF">
        <w:rPr>
          <w:rFonts w:ascii="Calibri" w:hAnsi="Calibri"/>
          <w:rtl/>
        </w:rPr>
        <w:t xml:space="preserve"> </w:t>
      </w:r>
      <w:r w:rsidRPr="00BC03EF">
        <w:rPr>
          <w:rFonts w:ascii="Calibri" w:hAnsi="Calibri" w:hint="eastAsia"/>
          <w:rtl/>
        </w:rPr>
        <w:t>בנזק</w:t>
      </w:r>
      <w:r w:rsidRPr="00BC03EF">
        <w:rPr>
          <w:rFonts w:ascii="Calibri" w:hAnsi="Calibri"/>
          <w:rtl/>
        </w:rPr>
        <w:t xml:space="preserve"> </w:t>
      </w:r>
      <w:r w:rsidRPr="00BC03EF">
        <w:rPr>
          <w:rFonts w:ascii="Calibri" w:hAnsi="Calibri" w:hint="eastAsia"/>
          <w:rtl/>
        </w:rPr>
        <w:t>אשר</w:t>
      </w:r>
      <w:r w:rsidRPr="00BC03EF">
        <w:rPr>
          <w:rFonts w:ascii="Calibri" w:hAnsi="Calibri"/>
          <w:rtl/>
        </w:rPr>
        <w:t xml:space="preserve"> </w:t>
      </w:r>
      <w:r w:rsidRPr="00BC03EF">
        <w:rPr>
          <w:rFonts w:ascii="Calibri" w:hAnsi="Calibri" w:hint="eastAsia"/>
          <w:rtl/>
        </w:rPr>
        <w:t>מביאים</w:t>
      </w:r>
      <w:r w:rsidRPr="00BC03EF">
        <w:rPr>
          <w:rFonts w:ascii="Calibri" w:hAnsi="Calibri"/>
          <w:rtl/>
        </w:rPr>
        <w:t xml:space="preserve"> </w:t>
      </w:r>
      <w:r w:rsidRPr="00BC03EF">
        <w:rPr>
          <w:rFonts w:ascii="Calibri" w:hAnsi="Calibri" w:hint="eastAsia"/>
          <w:rtl/>
        </w:rPr>
        <w:t>הסמים</w:t>
      </w:r>
      <w:r w:rsidRPr="00BC03EF">
        <w:rPr>
          <w:rFonts w:ascii="Calibri" w:hAnsi="Calibri"/>
          <w:rtl/>
        </w:rPr>
        <w:t xml:space="preserve">, </w:t>
      </w:r>
      <w:r w:rsidRPr="00BC03EF">
        <w:rPr>
          <w:rFonts w:ascii="Calibri" w:hAnsi="Calibri" w:hint="eastAsia"/>
          <w:rtl/>
        </w:rPr>
        <w:t>אפנה</w:t>
      </w:r>
      <w:r w:rsidRPr="00BC03EF">
        <w:rPr>
          <w:rFonts w:ascii="Calibri" w:hAnsi="Calibri"/>
          <w:rtl/>
        </w:rPr>
        <w:t xml:space="preserve"> </w:t>
      </w:r>
      <w:r w:rsidRPr="00BC03EF">
        <w:rPr>
          <w:rFonts w:ascii="Calibri" w:hAnsi="Calibri" w:hint="eastAsia"/>
          <w:rtl/>
        </w:rPr>
        <w:t>לע</w:t>
      </w:r>
      <w:r w:rsidRPr="00BC03EF">
        <w:rPr>
          <w:rFonts w:ascii="Calibri" w:hAnsi="Calibri"/>
          <w:rtl/>
        </w:rPr>
        <w:t>"</w:t>
      </w:r>
      <w:r w:rsidRPr="00BC03EF">
        <w:rPr>
          <w:rFonts w:ascii="Calibri" w:hAnsi="Calibri" w:hint="eastAsia"/>
          <w:rtl/>
        </w:rPr>
        <w:t>פ</w:t>
      </w:r>
      <w:r w:rsidRPr="00BC03EF">
        <w:rPr>
          <w:rFonts w:ascii="Calibri" w:hAnsi="Calibri"/>
          <w:rtl/>
        </w:rPr>
        <w:t xml:space="preserve"> 6029/06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שמאי</w:t>
      </w:r>
      <w:r w:rsidRPr="00BC03EF">
        <w:rPr>
          <w:rFonts w:ascii="Calibri" w:hAnsi="Calibri"/>
          <w:rtl/>
        </w:rPr>
        <w:t xml:space="preserve">, </w:t>
      </w:r>
      <w:r w:rsidRPr="00BC03EF">
        <w:rPr>
          <w:rFonts w:ascii="Calibri" w:hAnsi="Calibri" w:hint="eastAsia"/>
          <w:rtl/>
        </w:rPr>
        <w:t>פד</w:t>
      </w:r>
      <w:r w:rsidRPr="00BC03EF">
        <w:rPr>
          <w:rFonts w:ascii="Calibri" w:hAnsi="Calibri"/>
          <w:rtl/>
        </w:rPr>
        <w:t>"</w:t>
      </w:r>
      <w:r w:rsidRPr="00BC03EF">
        <w:rPr>
          <w:rFonts w:ascii="Calibri" w:hAnsi="Calibri" w:hint="eastAsia"/>
          <w:rtl/>
        </w:rPr>
        <w:t>י</w:t>
      </w:r>
      <w:r w:rsidRPr="00BC03EF">
        <w:rPr>
          <w:rFonts w:ascii="Calibri" w:hAnsi="Calibri"/>
          <w:rtl/>
        </w:rPr>
        <w:t xml:space="preserve"> </w:t>
      </w:r>
      <w:r w:rsidRPr="00BC03EF">
        <w:rPr>
          <w:rFonts w:ascii="Calibri" w:hAnsi="Calibri" w:hint="eastAsia"/>
          <w:rtl/>
        </w:rPr>
        <w:t>נח</w:t>
      </w:r>
      <w:r w:rsidRPr="00BC03EF">
        <w:rPr>
          <w:rFonts w:ascii="Calibri" w:hAnsi="Calibri"/>
          <w:rtl/>
        </w:rPr>
        <w:t xml:space="preserve">' (2) 734, </w:t>
      </w:r>
      <w:r w:rsidRPr="00BC03EF">
        <w:rPr>
          <w:rFonts w:ascii="Calibri" w:hAnsi="Calibri" w:hint="eastAsia"/>
          <w:rtl/>
        </w:rPr>
        <w:t>ל</w:t>
      </w:r>
      <w:hyperlink r:id="rId16" w:history="1">
        <w:r w:rsidR="00B07275" w:rsidRPr="00B07275">
          <w:rPr>
            <w:rFonts w:ascii="Calibri" w:hAnsi="Calibri" w:hint="eastAsia"/>
            <w:color w:val="0000FF"/>
            <w:u w:val="single"/>
            <w:rtl/>
          </w:rPr>
          <w:t>רע</w:t>
        </w:r>
        <w:r w:rsidR="00B07275" w:rsidRPr="00B07275">
          <w:rPr>
            <w:rFonts w:ascii="Calibri" w:hAnsi="Calibri"/>
            <w:color w:val="0000FF"/>
            <w:u w:val="single"/>
            <w:rtl/>
          </w:rPr>
          <w:t>"</w:t>
        </w:r>
        <w:r w:rsidR="00B07275" w:rsidRPr="00B07275">
          <w:rPr>
            <w:rFonts w:ascii="Calibri" w:hAnsi="Calibri" w:hint="eastAsia"/>
            <w:color w:val="0000FF"/>
            <w:u w:val="single"/>
            <w:rtl/>
          </w:rPr>
          <w:t>פ</w:t>
        </w:r>
        <w:r w:rsidR="00B07275" w:rsidRPr="00B07275">
          <w:rPr>
            <w:rFonts w:ascii="Calibri" w:hAnsi="Calibri"/>
            <w:color w:val="0000FF"/>
            <w:u w:val="single"/>
            <w:rtl/>
          </w:rPr>
          <w:t xml:space="preserve"> 4267/05</w:t>
        </w:r>
      </w:hyperlink>
      <w:r w:rsidRPr="00BC03EF">
        <w:rPr>
          <w:rFonts w:ascii="Calibri" w:hAnsi="Calibri"/>
          <w:rtl/>
        </w:rPr>
        <w:t xml:space="preserve"> </w:t>
      </w:r>
      <w:r w:rsidRPr="00BC03EF">
        <w:rPr>
          <w:rFonts w:ascii="Calibri" w:hAnsi="Calibri" w:hint="eastAsia"/>
          <w:b/>
          <w:bCs/>
          <w:rtl/>
        </w:rPr>
        <w:t>בוקובזה</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rtl/>
        </w:rPr>
        <w:t xml:space="preserve"> (11.5.2005), </w:t>
      </w:r>
      <w:r w:rsidRPr="00BC03EF">
        <w:rPr>
          <w:rFonts w:ascii="Calibri" w:hAnsi="Calibri" w:hint="eastAsia"/>
          <w:rtl/>
        </w:rPr>
        <w:t>שם</w:t>
      </w:r>
      <w:r w:rsidRPr="00BC03EF">
        <w:rPr>
          <w:rFonts w:ascii="Calibri" w:hAnsi="Calibri"/>
          <w:rtl/>
        </w:rPr>
        <w:t xml:space="preserve"> </w:t>
      </w:r>
      <w:r w:rsidRPr="00BC03EF">
        <w:rPr>
          <w:rFonts w:ascii="Calibri" w:hAnsi="Calibri" w:hint="eastAsia"/>
          <w:rtl/>
        </w:rPr>
        <w:t>לא</w:t>
      </w:r>
      <w:r w:rsidRPr="00BC03EF">
        <w:rPr>
          <w:rFonts w:ascii="Calibri" w:hAnsi="Calibri"/>
          <w:rtl/>
        </w:rPr>
        <w:t xml:space="preserve"> </w:t>
      </w:r>
      <w:r w:rsidRPr="00BC03EF">
        <w:rPr>
          <w:rFonts w:ascii="Calibri" w:hAnsi="Calibri" w:hint="eastAsia"/>
          <w:rtl/>
        </w:rPr>
        <w:t>קיבל</w:t>
      </w:r>
      <w:r w:rsidRPr="00BC03EF">
        <w:rPr>
          <w:rFonts w:ascii="Calibri" w:hAnsi="Calibri"/>
          <w:rtl/>
        </w:rPr>
        <w:t xml:space="preserve"> </w:t>
      </w:r>
      <w:r w:rsidRPr="00BC03EF">
        <w:rPr>
          <w:rFonts w:ascii="Calibri" w:hAnsi="Calibri" w:hint="eastAsia"/>
          <w:rtl/>
        </w:rPr>
        <w:t>בימ</w:t>
      </w:r>
      <w:r w:rsidRPr="00BC03EF">
        <w:rPr>
          <w:rFonts w:ascii="Calibri" w:hAnsi="Calibri"/>
          <w:rtl/>
        </w:rPr>
        <w:t>"</w:t>
      </w:r>
      <w:r w:rsidRPr="00BC03EF">
        <w:rPr>
          <w:rFonts w:ascii="Calibri" w:hAnsi="Calibri" w:hint="eastAsia"/>
          <w:rtl/>
        </w:rPr>
        <w:t>ש</w:t>
      </w:r>
      <w:r w:rsidRPr="00BC03EF">
        <w:rPr>
          <w:rFonts w:ascii="Calibri" w:hAnsi="Calibri"/>
          <w:rtl/>
        </w:rPr>
        <w:t xml:space="preserve"> </w:t>
      </w:r>
      <w:r w:rsidRPr="00BC03EF">
        <w:rPr>
          <w:rFonts w:ascii="Calibri" w:hAnsi="Calibri" w:hint="eastAsia"/>
          <w:rtl/>
        </w:rPr>
        <w:t>המלצת</w:t>
      </w:r>
      <w:r w:rsidRPr="00BC03EF">
        <w:rPr>
          <w:rFonts w:ascii="Calibri" w:hAnsi="Calibri"/>
          <w:rtl/>
        </w:rPr>
        <w:t xml:space="preserve"> </w:t>
      </w:r>
      <w:r w:rsidRPr="00BC03EF">
        <w:rPr>
          <w:rFonts w:ascii="Calibri" w:hAnsi="Calibri" w:hint="eastAsia"/>
          <w:rtl/>
        </w:rPr>
        <w:t>שירות</w:t>
      </w:r>
      <w:r w:rsidRPr="00BC03EF">
        <w:rPr>
          <w:rFonts w:ascii="Calibri" w:hAnsi="Calibri"/>
          <w:rtl/>
        </w:rPr>
        <w:t xml:space="preserve"> </w:t>
      </w:r>
      <w:r w:rsidRPr="00BC03EF">
        <w:rPr>
          <w:rFonts w:ascii="Calibri" w:hAnsi="Calibri" w:hint="eastAsia"/>
          <w:rtl/>
        </w:rPr>
        <w:t>המבחן</w:t>
      </w:r>
      <w:r w:rsidRPr="00BC03EF">
        <w:rPr>
          <w:rFonts w:ascii="Calibri" w:hAnsi="Calibri"/>
          <w:rtl/>
        </w:rPr>
        <w:t xml:space="preserve"> </w:t>
      </w:r>
      <w:r w:rsidRPr="00BC03EF">
        <w:rPr>
          <w:rFonts w:ascii="Calibri" w:hAnsi="Calibri" w:hint="eastAsia"/>
          <w:rtl/>
        </w:rPr>
        <w:t>תוך</w:t>
      </w:r>
      <w:r w:rsidRPr="00BC03EF">
        <w:rPr>
          <w:rFonts w:ascii="Calibri" w:hAnsi="Calibri"/>
          <w:rtl/>
        </w:rPr>
        <w:t xml:space="preserve"> </w:t>
      </w:r>
      <w:r w:rsidRPr="00BC03EF">
        <w:rPr>
          <w:rFonts w:ascii="Calibri" w:hAnsi="Calibri" w:hint="eastAsia"/>
          <w:rtl/>
        </w:rPr>
        <w:t>הדגשת</w:t>
      </w:r>
      <w:r w:rsidRPr="00BC03EF">
        <w:rPr>
          <w:rFonts w:ascii="Calibri" w:hAnsi="Calibri"/>
          <w:rtl/>
        </w:rPr>
        <w:t xml:space="preserve"> </w:t>
      </w:r>
      <w:r w:rsidRPr="00BC03EF">
        <w:rPr>
          <w:rFonts w:ascii="Calibri" w:hAnsi="Calibri" w:hint="eastAsia"/>
          <w:rtl/>
        </w:rPr>
        <w:t>המאבק</w:t>
      </w:r>
      <w:r w:rsidRPr="00BC03EF">
        <w:rPr>
          <w:rFonts w:ascii="Calibri" w:hAnsi="Calibri"/>
          <w:rtl/>
        </w:rPr>
        <w:t xml:space="preserve"> </w:t>
      </w:r>
      <w:r w:rsidRPr="00BC03EF">
        <w:rPr>
          <w:rFonts w:ascii="Calibri" w:hAnsi="Calibri" w:hint="eastAsia"/>
          <w:rtl/>
        </w:rPr>
        <w:t>בנגע</w:t>
      </w:r>
      <w:r w:rsidRPr="00BC03EF">
        <w:rPr>
          <w:rFonts w:ascii="Calibri" w:hAnsi="Calibri"/>
          <w:rtl/>
        </w:rPr>
        <w:t xml:space="preserve"> </w:t>
      </w:r>
      <w:r w:rsidRPr="00BC03EF">
        <w:rPr>
          <w:rFonts w:ascii="Calibri" w:hAnsi="Calibri" w:hint="eastAsia"/>
          <w:rtl/>
        </w:rPr>
        <w:t>הסמים</w:t>
      </w:r>
      <w:r w:rsidRPr="00BC03EF">
        <w:rPr>
          <w:rFonts w:ascii="Calibri" w:hAnsi="Calibri"/>
          <w:rtl/>
        </w:rPr>
        <w:t xml:space="preserve">, </w:t>
      </w:r>
      <w:hyperlink r:id="rId17" w:history="1">
        <w:r w:rsidR="00B07275" w:rsidRPr="00B07275">
          <w:rPr>
            <w:rFonts w:ascii="Calibri" w:hAnsi="Calibri" w:hint="eastAsia"/>
            <w:color w:val="0000FF"/>
            <w:u w:val="single"/>
            <w:rtl/>
          </w:rPr>
          <w:t>ע</w:t>
        </w:r>
        <w:r w:rsidR="00B07275" w:rsidRPr="00B07275">
          <w:rPr>
            <w:rFonts w:ascii="Calibri" w:hAnsi="Calibri"/>
            <w:color w:val="0000FF"/>
            <w:u w:val="single"/>
            <w:rtl/>
          </w:rPr>
          <w:t>"</w:t>
        </w:r>
        <w:r w:rsidR="00B07275" w:rsidRPr="00B07275">
          <w:rPr>
            <w:rFonts w:ascii="Calibri" w:hAnsi="Calibri" w:hint="eastAsia"/>
            <w:color w:val="0000FF"/>
            <w:u w:val="single"/>
            <w:rtl/>
          </w:rPr>
          <w:t>פ</w:t>
        </w:r>
        <w:r w:rsidR="00B07275" w:rsidRPr="00B07275">
          <w:rPr>
            <w:rFonts w:ascii="Calibri" w:hAnsi="Calibri"/>
            <w:color w:val="0000FF"/>
            <w:u w:val="single"/>
            <w:rtl/>
          </w:rPr>
          <w:t xml:space="preserve"> 7070/03</w:t>
        </w:r>
      </w:hyperlink>
      <w:r w:rsidRPr="00BC03EF">
        <w:rPr>
          <w:rFonts w:ascii="Calibri" w:hAnsi="Calibri"/>
          <w:rtl/>
        </w:rPr>
        <w:t xml:space="preserve"> </w:t>
      </w:r>
      <w:r w:rsidRPr="00BC03EF">
        <w:rPr>
          <w:rFonts w:ascii="Calibri" w:hAnsi="Calibri" w:hint="eastAsia"/>
          <w:b/>
          <w:bCs/>
          <w:rtl/>
        </w:rPr>
        <w:t>עמיעד</w:t>
      </w:r>
      <w:r w:rsidRPr="00BC03EF">
        <w:rPr>
          <w:rFonts w:ascii="Calibri" w:hAnsi="Calibri"/>
          <w:b/>
          <w:bCs/>
          <w:rtl/>
        </w:rPr>
        <w:t xml:space="preserve"> </w:t>
      </w:r>
      <w:r w:rsidRPr="00BC03EF">
        <w:rPr>
          <w:rFonts w:ascii="Calibri" w:hAnsi="Calibri" w:hint="eastAsia"/>
          <w:b/>
          <w:bCs/>
          <w:rtl/>
        </w:rPr>
        <w:t>זניד</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b/>
          <w:bCs/>
          <w:rtl/>
        </w:rPr>
        <w:t>,</w:t>
      </w:r>
      <w:r w:rsidRPr="00BC03EF">
        <w:rPr>
          <w:rFonts w:ascii="Calibri" w:hAnsi="Calibri"/>
          <w:rtl/>
        </w:rPr>
        <w:t xml:space="preserve"> (3.4.2006), </w:t>
      </w:r>
      <w:hyperlink r:id="rId18" w:history="1">
        <w:r w:rsidR="00B07275" w:rsidRPr="00B07275">
          <w:rPr>
            <w:rFonts w:ascii="Calibri" w:hAnsi="Calibri" w:hint="eastAsia"/>
            <w:color w:val="0000FF"/>
            <w:u w:val="single"/>
            <w:rtl/>
          </w:rPr>
          <w:t>ע</w:t>
        </w:r>
        <w:r w:rsidR="00B07275" w:rsidRPr="00B07275">
          <w:rPr>
            <w:rFonts w:ascii="Calibri" w:hAnsi="Calibri"/>
            <w:color w:val="0000FF"/>
            <w:u w:val="single"/>
            <w:rtl/>
          </w:rPr>
          <w:t>"</w:t>
        </w:r>
        <w:r w:rsidR="00B07275" w:rsidRPr="00B07275">
          <w:rPr>
            <w:rFonts w:ascii="Calibri" w:hAnsi="Calibri" w:hint="eastAsia"/>
            <w:color w:val="0000FF"/>
            <w:u w:val="single"/>
            <w:rtl/>
          </w:rPr>
          <w:t>פ</w:t>
        </w:r>
        <w:r w:rsidR="00B07275" w:rsidRPr="00B07275">
          <w:rPr>
            <w:rFonts w:ascii="Calibri" w:hAnsi="Calibri"/>
            <w:color w:val="0000FF"/>
            <w:u w:val="single"/>
            <w:rtl/>
          </w:rPr>
          <w:t xml:space="preserve"> 6373/06</w:t>
        </w:r>
      </w:hyperlink>
      <w:r w:rsidRPr="00BC03EF">
        <w:rPr>
          <w:rFonts w:ascii="Calibri" w:hAnsi="Calibri"/>
          <w:rtl/>
        </w:rPr>
        <w:t xml:space="preserve">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אלנשאמי</w:t>
      </w:r>
      <w:r w:rsidRPr="00BC03EF">
        <w:rPr>
          <w:rFonts w:ascii="Calibri" w:hAnsi="Calibri"/>
          <w:rtl/>
        </w:rPr>
        <w:t xml:space="preserve"> (6.9.2006), </w:t>
      </w:r>
      <w:hyperlink r:id="rId19" w:history="1">
        <w:r w:rsidR="00B07275" w:rsidRPr="00B07275">
          <w:rPr>
            <w:rFonts w:ascii="Calibri" w:hAnsi="Calibri" w:hint="eastAsia"/>
            <w:color w:val="0000FF"/>
            <w:u w:val="single"/>
            <w:rtl/>
          </w:rPr>
          <w:t>ע</w:t>
        </w:r>
        <w:r w:rsidR="00B07275" w:rsidRPr="00B07275">
          <w:rPr>
            <w:rFonts w:ascii="Calibri" w:hAnsi="Calibri"/>
            <w:color w:val="0000FF"/>
            <w:u w:val="single"/>
            <w:rtl/>
          </w:rPr>
          <w:t>"</w:t>
        </w:r>
        <w:r w:rsidR="00B07275" w:rsidRPr="00B07275">
          <w:rPr>
            <w:rFonts w:ascii="Calibri" w:hAnsi="Calibri" w:hint="eastAsia"/>
            <w:color w:val="0000FF"/>
            <w:u w:val="single"/>
            <w:rtl/>
          </w:rPr>
          <w:t>פ</w:t>
        </w:r>
        <w:r w:rsidR="00B07275" w:rsidRPr="00B07275">
          <w:rPr>
            <w:rFonts w:ascii="Calibri" w:hAnsi="Calibri"/>
            <w:color w:val="0000FF"/>
            <w:u w:val="single"/>
            <w:rtl/>
          </w:rPr>
          <w:t xml:space="preserve"> 411/04</w:t>
        </w:r>
      </w:hyperlink>
      <w:r w:rsidRPr="00BC03EF">
        <w:rPr>
          <w:rFonts w:ascii="Calibri" w:hAnsi="Calibri"/>
          <w:rtl/>
        </w:rPr>
        <w:t xml:space="preserve"> </w:t>
      </w:r>
      <w:r w:rsidRPr="00BC03EF">
        <w:rPr>
          <w:rFonts w:ascii="Calibri" w:hAnsi="Calibri" w:hint="eastAsia"/>
          <w:b/>
          <w:bCs/>
          <w:rtl/>
        </w:rPr>
        <w:t>טטרו</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rtl/>
        </w:rPr>
        <w:t xml:space="preserve"> (9.1.2006) </w:t>
      </w:r>
      <w:r w:rsidRPr="00BC03EF">
        <w:rPr>
          <w:rFonts w:ascii="Calibri" w:hAnsi="Calibri" w:hint="eastAsia"/>
          <w:rtl/>
        </w:rPr>
        <w:t>וע</w:t>
      </w:r>
      <w:r w:rsidRPr="00BC03EF">
        <w:rPr>
          <w:rFonts w:ascii="Calibri" w:hAnsi="Calibri"/>
          <w:rtl/>
        </w:rPr>
        <w:t>"</w:t>
      </w:r>
      <w:r w:rsidRPr="00BC03EF">
        <w:rPr>
          <w:rFonts w:ascii="Calibri" w:hAnsi="Calibri" w:hint="eastAsia"/>
          <w:rtl/>
        </w:rPr>
        <w:t>פ</w:t>
      </w:r>
      <w:r w:rsidRPr="00BC03EF">
        <w:rPr>
          <w:rFonts w:ascii="Calibri" w:hAnsi="Calibri"/>
          <w:rtl/>
        </w:rPr>
        <w:t xml:space="preserve"> 3759/03 </w:t>
      </w:r>
      <w:r w:rsidRPr="00BC03EF">
        <w:rPr>
          <w:rFonts w:ascii="Calibri" w:hAnsi="Calibri" w:hint="eastAsia"/>
          <w:b/>
          <w:bCs/>
          <w:rtl/>
        </w:rPr>
        <w:t>תמיר</w:t>
      </w:r>
      <w:r w:rsidRPr="00BC03EF">
        <w:rPr>
          <w:rFonts w:ascii="Calibri" w:hAnsi="Calibri"/>
          <w:b/>
          <w:bCs/>
          <w:rtl/>
        </w:rPr>
        <w:t xml:space="preserve"> </w:t>
      </w:r>
      <w:r w:rsidRPr="00BC03EF">
        <w:rPr>
          <w:rFonts w:ascii="Calibri" w:hAnsi="Calibri" w:hint="eastAsia"/>
          <w:b/>
          <w:bCs/>
          <w:rtl/>
        </w:rPr>
        <w:t>נ</w:t>
      </w:r>
      <w:r w:rsidRPr="00BC03EF">
        <w:rPr>
          <w:rFonts w:ascii="Calibri" w:hAnsi="Calibri"/>
          <w:b/>
          <w:bCs/>
          <w:rtl/>
        </w:rPr>
        <w:t xml:space="preserve">. </w:t>
      </w:r>
      <w:r w:rsidRPr="00BC03EF">
        <w:rPr>
          <w:rFonts w:ascii="Calibri" w:hAnsi="Calibri" w:hint="eastAsia"/>
          <w:b/>
          <w:bCs/>
          <w:rtl/>
        </w:rPr>
        <w:t>מ</w:t>
      </w:r>
      <w:r w:rsidRPr="00BC03EF">
        <w:rPr>
          <w:rFonts w:ascii="Calibri" w:hAnsi="Calibri"/>
          <w:b/>
          <w:bCs/>
          <w:rtl/>
        </w:rPr>
        <w:t>"</w:t>
      </w:r>
      <w:r w:rsidRPr="00BC03EF">
        <w:rPr>
          <w:rFonts w:ascii="Calibri" w:hAnsi="Calibri" w:hint="eastAsia"/>
          <w:b/>
          <w:bCs/>
          <w:rtl/>
        </w:rPr>
        <w:t>י</w:t>
      </w:r>
      <w:r w:rsidRPr="00BC03EF">
        <w:rPr>
          <w:rFonts w:ascii="Calibri" w:hAnsi="Calibri"/>
          <w:rtl/>
        </w:rPr>
        <w:t xml:space="preserve"> (19.2.2004) </w:t>
      </w:r>
      <w:r w:rsidRPr="00BC03EF">
        <w:rPr>
          <w:rFonts w:ascii="Calibri" w:hAnsi="Calibri" w:hint="eastAsia"/>
          <w:rtl/>
        </w:rPr>
        <w:t>שם</w:t>
      </w:r>
      <w:r w:rsidRPr="00BC03EF">
        <w:rPr>
          <w:rFonts w:ascii="Calibri" w:hAnsi="Calibri"/>
          <w:rtl/>
        </w:rPr>
        <w:t xml:space="preserve"> </w:t>
      </w:r>
      <w:r w:rsidRPr="00BC03EF">
        <w:rPr>
          <w:rFonts w:ascii="Calibri" w:hAnsi="Calibri" w:hint="eastAsia"/>
          <w:rtl/>
        </w:rPr>
        <w:t>נקבע</w:t>
      </w:r>
      <w:r w:rsidRPr="00BC03EF">
        <w:rPr>
          <w:rFonts w:ascii="Calibri" w:hAnsi="Calibri"/>
          <w:rtl/>
        </w:rPr>
        <w:t xml:space="preserve"> </w:t>
      </w:r>
      <w:r w:rsidRPr="00BC03EF">
        <w:rPr>
          <w:rFonts w:ascii="Calibri" w:hAnsi="Calibri" w:hint="eastAsia"/>
          <w:rtl/>
        </w:rPr>
        <w:t>כי</w:t>
      </w:r>
      <w:r w:rsidRPr="00BC03EF">
        <w:rPr>
          <w:rFonts w:ascii="Calibri" w:hAnsi="Calibri"/>
          <w:rtl/>
        </w:rPr>
        <w:t xml:space="preserve"> </w:t>
      </w:r>
      <w:r w:rsidRPr="00BC03EF">
        <w:rPr>
          <w:rFonts w:ascii="Calibri" w:hAnsi="Calibri" w:hint="eastAsia"/>
          <w:rtl/>
        </w:rPr>
        <w:t>יש</w:t>
      </w:r>
      <w:r w:rsidRPr="00BC03EF">
        <w:rPr>
          <w:rFonts w:ascii="Calibri" w:hAnsi="Calibri"/>
          <w:rtl/>
        </w:rPr>
        <w:t xml:space="preserve"> </w:t>
      </w:r>
      <w:r w:rsidRPr="00BC03EF">
        <w:rPr>
          <w:rFonts w:ascii="Calibri" w:hAnsi="Calibri" w:hint="eastAsia"/>
          <w:rtl/>
        </w:rPr>
        <w:t>משקל</w:t>
      </w:r>
      <w:r w:rsidRPr="00BC03EF">
        <w:rPr>
          <w:rFonts w:ascii="Calibri" w:hAnsi="Calibri"/>
          <w:rtl/>
        </w:rPr>
        <w:t xml:space="preserve"> </w:t>
      </w:r>
      <w:r w:rsidRPr="00BC03EF">
        <w:rPr>
          <w:rFonts w:ascii="Calibri" w:hAnsi="Calibri" w:hint="eastAsia"/>
          <w:rtl/>
        </w:rPr>
        <w:t>לשיקול</w:t>
      </w:r>
      <w:r w:rsidRPr="00BC03EF">
        <w:rPr>
          <w:rFonts w:ascii="Calibri" w:hAnsi="Calibri"/>
          <w:rtl/>
        </w:rPr>
        <w:t xml:space="preserve"> </w:t>
      </w:r>
      <w:r w:rsidRPr="00BC03EF">
        <w:rPr>
          <w:rFonts w:ascii="Calibri" w:hAnsi="Calibri" w:hint="eastAsia"/>
          <w:rtl/>
        </w:rPr>
        <w:t>ההרתעה</w:t>
      </w:r>
      <w:r w:rsidRPr="00BC03EF">
        <w:rPr>
          <w:rFonts w:ascii="Calibri" w:hAnsi="Calibri"/>
          <w:rtl/>
        </w:rPr>
        <w:t xml:space="preserve"> </w:t>
      </w:r>
      <w:r w:rsidRPr="00BC03EF">
        <w:rPr>
          <w:rFonts w:ascii="Calibri" w:hAnsi="Calibri" w:hint="eastAsia"/>
          <w:rtl/>
        </w:rPr>
        <w:t>ע</w:t>
      </w:r>
      <w:r w:rsidRPr="00BC03EF">
        <w:rPr>
          <w:rFonts w:ascii="Calibri" w:hAnsi="Calibri"/>
          <w:rtl/>
        </w:rPr>
        <w:t>"</w:t>
      </w:r>
      <w:r w:rsidRPr="00BC03EF">
        <w:rPr>
          <w:rFonts w:ascii="Calibri" w:hAnsi="Calibri" w:hint="eastAsia"/>
          <w:rtl/>
        </w:rPr>
        <w:t>מ</w:t>
      </w:r>
      <w:r w:rsidRPr="00BC03EF">
        <w:rPr>
          <w:rFonts w:ascii="Calibri" w:hAnsi="Calibri"/>
          <w:rtl/>
        </w:rPr>
        <w:t xml:space="preserve"> </w:t>
      </w:r>
      <w:r w:rsidRPr="00BC03EF">
        <w:rPr>
          <w:rFonts w:ascii="Calibri" w:hAnsi="Calibri" w:hint="eastAsia"/>
          <w:rtl/>
        </w:rPr>
        <w:t>להזהיר</w:t>
      </w:r>
      <w:r w:rsidRPr="00BC03EF">
        <w:rPr>
          <w:rFonts w:ascii="Calibri" w:hAnsi="Calibri"/>
          <w:rtl/>
        </w:rPr>
        <w:t xml:space="preserve"> </w:t>
      </w:r>
      <w:r w:rsidRPr="00BC03EF">
        <w:rPr>
          <w:rFonts w:ascii="Calibri" w:hAnsi="Calibri" w:hint="eastAsia"/>
          <w:rtl/>
        </w:rPr>
        <w:t>ולהעביר</w:t>
      </w:r>
      <w:r w:rsidRPr="00BC03EF">
        <w:rPr>
          <w:rFonts w:ascii="Calibri" w:hAnsi="Calibri"/>
          <w:rtl/>
        </w:rPr>
        <w:t xml:space="preserve"> </w:t>
      </w:r>
      <w:r w:rsidRPr="00BC03EF">
        <w:rPr>
          <w:rFonts w:ascii="Calibri" w:hAnsi="Calibri" w:hint="eastAsia"/>
          <w:rtl/>
        </w:rPr>
        <w:t>מסר</w:t>
      </w:r>
      <w:r w:rsidRPr="00BC03EF">
        <w:rPr>
          <w:rFonts w:ascii="Calibri" w:hAnsi="Calibri"/>
          <w:rtl/>
        </w:rPr>
        <w:t xml:space="preserve"> </w:t>
      </w:r>
      <w:r w:rsidRPr="00BC03EF">
        <w:rPr>
          <w:rFonts w:ascii="Calibri" w:hAnsi="Calibri" w:hint="eastAsia"/>
          <w:rtl/>
        </w:rPr>
        <w:t>ברור</w:t>
      </w:r>
      <w:r w:rsidRPr="00BC03EF">
        <w:rPr>
          <w:rFonts w:ascii="Calibri" w:hAnsi="Calibri"/>
          <w:rtl/>
        </w:rPr>
        <w:t xml:space="preserve"> </w:t>
      </w:r>
      <w:r w:rsidRPr="00BC03EF">
        <w:rPr>
          <w:rFonts w:ascii="Calibri" w:hAnsi="Calibri" w:hint="eastAsia"/>
          <w:rtl/>
        </w:rPr>
        <w:t>לעבריינים</w:t>
      </w:r>
      <w:r w:rsidRPr="00BC03EF">
        <w:rPr>
          <w:rFonts w:ascii="Calibri" w:hAnsi="Calibri"/>
          <w:rtl/>
        </w:rPr>
        <w:t xml:space="preserve"> </w:t>
      </w:r>
      <w:r w:rsidRPr="00BC03EF">
        <w:rPr>
          <w:rFonts w:ascii="Calibri" w:hAnsi="Calibri" w:hint="eastAsia"/>
          <w:rtl/>
        </w:rPr>
        <w:t>פוטנציאלים</w:t>
      </w:r>
      <w:r w:rsidRPr="00BC03EF">
        <w:rPr>
          <w:rFonts w:ascii="Calibri" w:hAnsi="Calibri"/>
          <w:rtl/>
        </w:rPr>
        <w:t xml:space="preserve">.  </w:t>
      </w:r>
    </w:p>
    <w:p w14:paraId="5CEE7610" w14:textId="77777777" w:rsidR="003D54B7" w:rsidRPr="00BC03EF" w:rsidRDefault="003D54B7" w:rsidP="003D54B7">
      <w:pPr>
        <w:spacing w:line="360" w:lineRule="auto"/>
        <w:jc w:val="both"/>
        <w:rPr>
          <w:rFonts w:ascii="David" w:hAnsi="David"/>
          <w:rtl/>
        </w:rPr>
      </w:pPr>
      <w:r w:rsidRPr="00BC03EF">
        <w:rPr>
          <w:rFonts w:ascii="David" w:hAnsi="David"/>
          <w:rtl/>
        </w:rPr>
        <w:t>בעבירות הסמים החמורות, דוגמת זו שביצע הנאשם, האינטרס הציבורי במיגור התופעה על נזקיה הרבים, האישיים והחברתיים, מחייב מתן דגש לשיקולי ההרתעה, וגם הגמול.</w:t>
      </w:r>
    </w:p>
    <w:p w14:paraId="433439C0" w14:textId="77777777" w:rsidR="003D54B7" w:rsidRPr="00BC03EF" w:rsidRDefault="003D54B7" w:rsidP="003D54B7">
      <w:pPr>
        <w:spacing w:line="360" w:lineRule="auto"/>
        <w:jc w:val="both"/>
        <w:rPr>
          <w:rFonts w:ascii="David" w:hAnsi="David"/>
          <w:rtl/>
        </w:rPr>
      </w:pPr>
    </w:p>
    <w:p w14:paraId="459850D8" w14:textId="77777777" w:rsidR="003D54B7" w:rsidRPr="00BC03EF" w:rsidRDefault="003D54B7" w:rsidP="003D54B7">
      <w:pPr>
        <w:spacing w:line="360" w:lineRule="auto"/>
        <w:jc w:val="both"/>
        <w:rPr>
          <w:rFonts w:ascii="David" w:hAnsi="David"/>
          <w:b/>
          <w:bCs/>
          <w:rtl/>
        </w:rPr>
      </w:pPr>
      <w:r w:rsidRPr="00BC03EF">
        <w:rPr>
          <w:rFonts w:ascii="David" w:hAnsi="David"/>
          <w:rtl/>
        </w:rPr>
        <w:t xml:space="preserve">לחומרת עבירות הסמים, הצורך במלחמה בהן ונסיגת השיקולים האישיים של העבריין מפני אלו הקשורים בנזק אשר מביאים הסמים, ר' </w:t>
      </w:r>
      <w:hyperlink r:id="rId20" w:history="1">
        <w:r w:rsidR="00B07275" w:rsidRPr="00B07275">
          <w:rPr>
            <w:rFonts w:ascii="David" w:hAnsi="David"/>
            <w:color w:val="0000FF"/>
            <w:u w:val="single"/>
            <w:rtl/>
          </w:rPr>
          <w:t>ע"פ 11469/05</w:t>
        </w:r>
      </w:hyperlink>
      <w:r w:rsidRPr="00BC03EF">
        <w:rPr>
          <w:rFonts w:ascii="David" w:hAnsi="David"/>
          <w:rtl/>
        </w:rPr>
        <w:t xml:space="preserve"> </w:t>
      </w:r>
      <w:r w:rsidRPr="00BC03EF">
        <w:rPr>
          <w:rFonts w:ascii="David" w:hAnsi="David"/>
          <w:b/>
          <w:bCs/>
          <w:rtl/>
        </w:rPr>
        <w:t>מ"י נגד עייש</w:t>
      </w:r>
      <w:r w:rsidRPr="00BC03EF">
        <w:rPr>
          <w:rFonts w:ascii="David" w:hAnsi="David"/>
          <w:rtl/>
        </w:rPr>
        <w:t xml:space="preserve"> (16.5.2006): </w:t>
      </w:r>
      <w:r w:rsidRPr="00BC03EF">
        <w:rPr>
          <w:rFonts w:ascii="David" w:hAnsi="David"/>
          <w:b/>
          <w:bCs/>
          <w:rtl/>
        </w:rPr>
        <w:t>"בפסיקתנו הדגשנו את העובדה כי האינטרס הציבורי והצורך החברתי לעשות למיגור או למצער לצמצום משמעותי של נגע הסמים, מחייבים אותנו בעת גזירת הדין להעמיד במרכז את שיקולי ההרתעה והגמול ואילו השיקולים האינדיבידואליים נושאים בעניינים כאלה משקל משני בלבד".</w:t>
      </w:r>
    </w:p>
    <w:p w14:paraId="7F623CFD" w14:textId="77777777" w:rsidR="003D54B7" w:rsidRPr="00BC03EF" w:rsidRDefault="003D54B7" w:rsidP="003D54B7">
      <w:pPr>
        <w:spacing w:line="360" w:lineRule="auto"/>
        <w:jc w:val="both"/>
        <w:rPr>
          <w:rFonts w:ascii="David" w:hAnsi="David"/>
          <w:b/>
          <w:bCs/>
        </w:rPr>
      </w:pPr>
    </w:p>
    <w:p w14:paraId="76CAC3E5" w14:textId="77777777" w:rsidR="003D54B7" w:rsidRPr="00BC03EF" w:rsidRDefault="003D54B7" w:rsidP="003D54B7">
      <w:pPr>
        <w:spacing w:line="360" w:lineRule="auto"/>
        <w:jc w:val="both"/>
        <w:rPr>
          <w:rFonts w:ascii="David" w:hAnsi="David"/>
          <w:b/>
          <w:bCs/>
          <w:rtl/>
        </w:rPr>
      </w:pPr>
      <w:r w:rsidRPr="00BC03EF">
        <w:rPr>
          <w:rFonts w:ascii="David" w:hAnsi="David"/>
          <w:rtl/>
        </w:rPr>
        <w:t xml:space="preserve">החומרה הרבה בה רואה הפסיקה את עבירות הסמים אינה רק בעבירות סחר, אלא גם בעבירות של החזקה שלא לצריכה עצמית, מתוך ראיה כי יש להילחם בכל שלבי מערך הסמים. </w:t>
      </w:r>
      <w:r w:rsidRPr="00BC03EF">
        <w:rPr>
          <w:rFonts w:ascii="David" w:hAnsi="David"/>
          <w:rtl/>
          <w:lang w:eastAsia="he-IL"/>
        </w:rPr>
        <w:t xml:space="preserve">ר' לענין זה ע"פ </w:t>
      </w:r>
      <w:hyperlink r:id="rId21" w:history="1">
        <w:r w:rsidR="001663B3" w:rsidRPr="001663B3">
          <w:rPr>
            <w:rFonts w:ascii="David" w:hAnsi="David"/>
            <w:color w:val="0000FF"/>
            <w:u w:val="single"/>
            <w:rtl/>
            <w:lang w:eastAsia="he-IL"/>
          </w:rPr>
          <w:t xml:space="preserve">4203/14 </w:t>
        </w:r>
      </w:hyperlink>
      <w:r w:rsidRPr="00BC03EF">
        <w:rPr>
          <w:rFonts w:ascii="David" w:hAnsi="David"/>
          <w:rtl/>
          <w:lang w:eastAsia="he-IL"/>
        </w:rPr>
        <w:t xml:space="preserve"> </w:t>
      </w:r>
      <w:r w:rsidRPr="00BC03EF">
        <w:rPr>
          <w:rFonts w:ascii="David" w:hAnsi="David"/>
          <w:b/>
          <w:bCs/>
          <w:rtl/>
          <w:lang w:eastAsia="he-IL"/>
        </w:rPr>
        <w:t>אליהו כהן נ' מ"י</w:t>
      </w:r>
      <w:r w:rsidRPr="00BC03EF">
        <w:rPr>
          <w:rFonts w:ascii="David" w:hAnsi="David"/>
          <w:rtl/>
          <w:lang w:eastAsia="he-IL"/>
        </w:rPr>
        <w:t xml:space="preserve"> (14.5.2015): </w:t>
      </w:r>
      <w:r w:rsidRPr="00BC03EF">
        <w:rPr>
          <w:rFonts w:ascii="David" w:hAnsi="David"/>
          <w:b/>
          <w:bCs/>
          <w:rtl/>
        </w:rPr>
        <w:t>"ברי מדוע בחר המחוקק לקבוע כך, שכן לא תמיד ניתן להוכיח סחר, אך כמות גדולה של סמים שאינה לצריכה עצמית מטבעה מועדת לפורענות...".</w:t>
      </w:r>
    </w:p>
    <w:p w14:paraId="5BCA307C" w14:textId="77777777" w:rsidR="003D54B7" w:rsidRPr="00BC03EF" w:rsidRDefault="003D54B7" w:rsidP="003D54B7">
      <w:pPr>
        <w:spacing w:line="360" w:lineRule="auto"/>
        <w:jc w:val="both"/>
        <w:rPr>
          <w:rFonts w:ascii="David" w:hAnsi="David"/>
          <w:rtl/>
        </w:rPr>
      </w:pPr>
      <w:r w:rsidRPr="00BC03EF">
        <w:rPr>
          <w:rFonts w:ascii="David" w:hAnsi="David"/>
        </w:rPr>
        <w:t xml:space="preserve">    </w:t>
      </w:r>
    </w:p>
    <w:p w14:paraId="76B2EE78" w14:textId="77777777" w:rsidR="003D54B7" w:rsidRPr="00BC03EF" w:rsidRDefault="003D54B7" w:rsidP="003D54B7">
      <w:pPr>
        <w:spacing w:line="360" w:lineRule="auto"/>
        <w:jc w:val="both"/>
        <w:rPr>
          <w:rFonts w:ascii="David" w:hAnsi="David"/>
          <w:b/>
          <w:bCs/>
          <w:rtl/>
        </w:rPr>
      </w:pPr>
      <w:r w:rsidRPr="00BC03EF">
        <w:rPr>
          <w:rFonts w:ascii="David" w:hAnsi="David"/>
          <w:rtl/>
        </w:rPr>
        <w:t xml:space="preserve">ביחס לסם המסוכן אשר החזיק הנאשם, מסוג קוקאין, התייחסה הפסיקה באופן ספציפי להשפעתו ההרסנית. ר' ע"פ 6209/03 </w:t>
      </w:r>
      <w:r w:rsidRPr="00BC03EF">
        <w:rPr>
          <w:rFonts w:ascii="David" w:hAnsi="David"/>
          <w:b/>
          <w:bCs/>
          <w:rtl/>
        </w:rPr>
        <w:t>מ"י נ' גולן שמאי</w:t>
      </w:r>
      <w:r w:rsidRPr="00BC03EF">
        <w:rPr>
          <w:rFonts w:ascii="David" w:hAnsi="David"/>
          <w:rtl/>
        </w:rPr>
        <w:t xml:space="preserve">, פד' נח (2) 734, (9.2.2004) בעמ' 737: </w:t>
      </w:r>
      <w:r w:rsidRPr="00BC03EF">
        <w:rPr>
          <w:rFonts w:ascii="David" w:hAnsi="David"/>
          <w:b/>
          <w:bCs/>
          <w:rtl/>
        </w:rPr>
        <w:t>"נגע הסמים פשט ופשׂה בארצנו כמגפה. ככל שידיעתנו מגעת חלה בשנים האחרונות עלייה של-ממש בשיעור המשתמשים בסמים, ולענייננו עתה נציין בייחוד את השימוש בסמים הקשים, ובהם הקוקאין. סם הקוקאין נודעת לו השפעה הרסנית במיוחד הן על גופו הן על נפשו של המשתמש".</w:t>
      </w:r>
    </w:p>
    <w:p w14:paraId="4973613D" w14:textId="77777777" w:rsidR="003D54B7" w:rsidRPr="00BC03EF" w:rsidRDefault="003D54B7" w:rsidP="003D54B7">
      <w:pPr>
        <w:spacing w:line="360" w:lineRule="auto"/>
        <w:jc w:val="both"/>
        <w:rPr>
          <w:rFonts w:ascii="David" w:hAnsi="David"/>
          <w:rtl/>
        </w:rPr>
      </w:pPr>
    </w:p>
    <w:p w14:paraId="6A662D83" w14:textId="77777777" w:rsidR="003D54B7" w:rsidRPr="00BC03EF" w:rsidRDefault="003D54B7" w:rsidP="003D54B7">
      <w:pPr>
        <w:spacing w:line="360" w:lineRule="auto"/>
        <w:jc w:val="both"/>
        <w:rPr>
          <w:rFonts w:ascii="David" w:hAnsi="David"/>
          <w:rtl/>
        </w:rPr>
      </w:pPr>
      <w:r w:rsidRPr="00BC03EF">
        <w:rPr>
          <w:rFonts w:ascii="David" w:hAnsi="David"/>
          <w:rtl/>
        </w:rPr>
        <w:t>ב</w:t>
      </w:r>
      <w:hyperlink r:id="rId22" w:history="1">
        <w:r w:rsidR="00B07275" w:rsidRPr="00B07275">
          <w:rPr>
            <w:rFonts w:ascii="David" w:hAnsi="David"/>
            <w:color w:val="0000FF"/>
            <w:u w:val="single"/>
            <w:rtl/>
          </w:rPr>
          <w:t>ע"פ 4008/11</w:t>
        </w:r>
      </w:hyperlink>
      <w:r w:rsidRPr="00BC03EF">
        <w:rPr>
          <w:rFonts w:ascii="David" w:hAnsi="David"/>
          <w:rtl/>
        </w:rPr>
        <w:t xml:space="preserve"> </w:t>
      </w:r>
      <w:r w:rsidRPr="00BC03EF">
        <w:rPr>
          <w:rFonts w:ascii="David" w:hAnsi="David"/>
          <w:b/>
          <w:bCs/>
          <w:rtl/>
        </w:rPr>
        <w:t>גוארדיה נ' מ"י</w:t>
      </w:r>
      <w:r w:rsidRPr="00BC03EF">
        <w:rPr>
          <w:rFonts w:ascii="David" w:hAnsi="David"/>
          <w:rtl/>
        </w:rPr>
        <w:t xml:space="preserve"> (6.2.2012) נפסק כי : "</w:t>
      </w:r>
      <w:r w:rsidRPr="00BC03EF">
        <w:rPr>
          <w:rFonts w:ascii="David" w:hAnsi="David"/>
          <w:b/>
          <w:bCs/>
          <w:rtl/>
        </w:rPr>
        <w:t>סם הקוקאין הוא מן המסוכנים שבסמים.</w:t>
      </w:r>
      <w:r w:rsidRPr="00BC03EF">
        <w:rPr>
          <w:rFonts w:ascii="David" w:hAnsi="David"/>
          <w:rtl/>
        </w:rPr>
        <w:t>"</w:t>
      </w:r>
    </w:p>
    <w:p w14:paraId="6CECD7F3" w14:textId="77777777" w:rsidR="003D54B7" w:rsidRPr="00BC03EF" w:rsidRDefault="003D54B7" w:rsidP="003D54B7">
      <w:pPr>
        <w:spacing w:line="360" w:lineRule="auto"/>
        <w:jc w:val="both"/>
        <w:rPr>
          <w:rFonts w:ascii="David" w:hAnsi="David"/>
          <w:rtl/>
        </w:rPr>
      </w:pPr>
    </w:p>
    <w:p w14:paraId="55256B8E" w14:textId="77777777" w:rsidR="003D54B7" w:rsidRPr="00BC03EF" w:rsidRDefault="003D54B7" w:rsidP="003D54B7">
      <w:pPr>
        <w:spacing w:line="360" w:lineRule="auto"/>
        <w:jc w:val="both"/>
        <w:rPr>
          <w:rFonts w:ascii="David" w:hAnsi="David"/>
          <w:b/>
          <w:bCs/>
          <w:rtl/>
          <w:lang w:eastAsia="he-IL"/>
        </w:rPr>
      </w:pPr>
      <w:r w:rsidRPr="00BC03EF">
        <w:rPr>
          <w:rFonts w:ascii="David" w:hAnsi="David"/>
          <w:rtl/>
          <w:lang w:eastAsia="he-IL"/>
        </w:rPr>
        <w:t>וכך גם ב</w:t>
      </w:r>
      <w:hyperlink r:id="rId23" w:history="1">
        <w:r w:rsidR="00B07275" w:rsidRPr="00B07275">
          <w:rPr>
            <w:rFonts w:ascii="David" w:hAnsi="David"/>
            <w:color w:val="0000FF"/>
            <w:u w:val="single"/>
            <w:rtl/>
            <w:lang w:eastAsia="he-IL"/>
          </w:rPr>
          <w:t>ע"פ 6747/11</w:t>
        </w:r>
      </w:hyperlink>
      <w:r w:rsidRPr="00BC03EF">
        <w:rPr>
          <w:rFonts w:ascii="David" w:hAnsi="David"/>
          <w:rtl/>
          <w:lang w:eastAsia="he-IL"/>
        </w:rPr>
        <w:t xml:space="preserve"> </w:t>
      </w:r>
      <w:r w:rsidRPr="00BC03EF">
        <w:rPr>
          <w:rFonts w:ascii="David" w:hAnsi="David"/>
          <w:b/>
          <w:bCs/>
          <w:rtl/>
          <w:lang w:eastAsia="he-IL"/>
        </w:rPr>
        <w:t>מ"י נ' אבו רקיק</w:t>
      </w:r>
      <w:r w:rsidRPr="00BC03EF">
        <w:rPr>
          <w:rFonts w:ascii="David" w:hAnsi="David"/>
          <w:rtl/>
          <w:lang w:eastAsia="he-IL"/>
        </w:rPr>
        <w:t xml:space="preserve"> (3.1.13) בו היה מדובר בסם מסוכן מסוג קוקאין: </w:t>
      </w:r>
      <w:r w:rsidRPr="00BC03EF">
        <w:rPr>
          <w:rFonts w:ascii="David" w:hAnsi="David"/>
          <w:b/>
          <w:bCs/>
          <w:rtl/>
          <w:lang w:eastAsia="he-IL"/>
        </w:rPr>
        <w:t>"רבות נכתב על חומרתן המופלגת של עבירות הסמים, ובעיקר משמדובר בסחר בסמים מסוכנים המוגדרים כסמים "קשים", ועל כך אין צורך להכביר מילים."</w:t>
      </w:r>
    </w:p>
    <w:p w14:paraId="179BFE2E" w14:textId="77777777" w:rsidR="003D54B7" w:rsidRPr="00BC03EF" w:rsidRDefault="003D54B7" w:rsidP="003D54B7">
      <w:pPr>
        <w:spacing w:line="360" w:lineRule="auto"/>
        <w:jc w:val="both"/>
        <w:rPr>
          <w:rFonts w:ascii="David" w:hAnsi="David"/>
          <w:rtl/>
        </w:rPr>
      </w:pPr>
    </w:p>
    <w:p w14:paraId="5672EB26" w14:textId="77777777" w:rsidR="003D54B7" w:rsidRPr="00BC03EF" w:rsidRDefault="003D54B7" w:rsidP="003D54B7">
      <w:pPr>
        <w:spacing w:line="360" w:lineRule="auto"/>
        <w:jc w:val="both"/>
        <w:rPr>
          <w:rFonts w:ascii="David" w:hAnsi="David"/>
          <w:rtl/>
        </w:rPr>
      </w:pPr>
      <w:r w:rsidRPr="00BC03EF">
        <w:rPr>
          <w:rFonts w:ascii="David" w:hAnsi="David"/>
          <w:rtl/>
        </w:rPr>
        <w:t>פו</w:t>
      </w:r>
      <w:r>
        <w:rPr>
          <w:rFonts w:ascii="David" w:hAnsi="David"/>
          <w:rtl/>
        </w:rPr>
        <w:t>טנציאל הפגיעה כפועל יוצא מ</w:t>
      </w:r>
      <w:r>
        <w:rPr>
          <w:rFonts w:ascii="David" w:hAnsi="David" w:hint="cs"/>
          <w:rtl/>
        </w:rPr>
        <w:t>עבירת החזקת הסם המסוכן שלא לצריכה עצמית</w:t>
      </w:r>
      <w:r w:rsidRPr="00BC03EF">
        <w:rPr>
          <w:rFonts w:ascii="David" w:hAnsi="David"/>
          <w:rtl/>
        </w:rPr>
        <w:t xml:space="preserve"> שביצע הנאשם, הינה ברבדים ומישורים רבים - צרכני הסם, תוצאות הלוואי והפשיעה הנלווית.</w:t>
      </w:r>
    </w:p>
    <w:p w14:paraId="11B3F2BD" w14:textId="77777777" w:rsidR="003D54B7" w:rsidRPr="00BC03EF" w:rsidRDefault="003D54B7" w:rsidP="003D54B7">
      <w:pPr>
        <w:spacing w:line="360" w:lineRule="auto"/>
        <w:jc w:val="both"/>
        <w:rPr>
          <w:rFonts w:ascii="David" w:hAnsi="David"/>
          <w:rtl/>
          <w:lang w:eastAsia="he-IL"/>
        </w:rPr>
      </w:pPr>
    </w:p>
    <w:p w14:paraId="3F73FFA5" w14:textId="77777777" w:rsidR="003D54B7" w:rsidRPr="00BC03EF" w:rsidRDefault="003D54B7" w:rsidP="003D54B7">
      <w:pPr>
        <w:spacing w:line="360" w:lineRule="auto"/>
        <w:jc w:val="both"/>
        <w:rPr>
          <w:rFonts w:ascii="David" w:hAnsi="David"/>
          <w:rtl/>
        </w:rPr>
      </w:pPr>
      <w:r w:rsidRPr="00BC03EF">
        <w:rPr>
          <w:rFonts w:ascii="Calibri Light" w:hAnsi="Calibri Light"/>
          <w:rtl/>
          <w:lang w:eastAsia="he-IL"/>
        </w:rPr>
        <w:t>7.</w:t>
      </w:r>
      <w:r w:rsidRPr="00BC03EF">
        <w:rPr>
          <w:rFonts w:ascii="Calibri Light" w:hAnsi="Calibri Light"/>
          <w:rtl/>
          <w:lang w:eastAsia="he-IL"/>
        </w:rPr>
        <w:tab/>
      </w:r>
      <w:r w:rsidRPr="00BC03EF">
        <w:rPr>
          <w:rFonts w:ascii="Calibri Light" w:hAnsi="Calibri Light" w:hint="eastAsia"/>
          <w:rtl/>
          <w:lang w:eastAsia="he-IL"/>
        </w:rPr>
        <w:t>הענישה</w:t>
      </w:r>
      <w:r w:rsidRPr="00BC03EF">
        <w:rPr>
          <w:rFonts w:ascii="Calibri Light" w:hAnsi="Calibri Light"/>
          <w:rtl/>
          <w:lang w:eastAsia="he-IL"/>
        </w:rPr>
        <w:t xml:space="preserve"> </w:t>
      </w:r>
      <w:r w:rsidRPr="00BC03EF">
        <w:rPr>
          <w:rFonts w:ascii="Calibri Light" w:hAnsi="Calibri Light" w:hint="eastAsia"/>
          <w:rtl/>
          <w:lang w:eastAsia="he-IL"/>
        </w:rPr>
        <w:t>הינה</w:t>
      </w:r>
      <w:r w:rsidRPr="00BC03EF">
        <w:rPr>
          <w:rFonts w:ascii="Calibri Light" w:hAnsi="Calibri Light"/>
          <w:rtl/>
          <w:lang w:eastAsia="he-IL"/>
        </w:rPr>
        <w:t xml:space="preserve"> </w:t>
      </w:r>
      <w:r w:rsidRPr="00BC03EF">
        <w:rPr>
          <w:rFonts w:ascii="Calibri Light" w:hAnsi="Calibri Light" w:hint="eastAsia"/>
          <w:rtl/>
          <w:lang w:eastAsia="he-IL"/>
        </w:rPr>
        <w:t>אינדיבידואלית</w:t>
      </w:r>
      <w:r w:rsidRPr="00BC03EF">
        <w:rPr>
          <w:rFonts w:ascii="Calibri Light" w:hAnsi="Calibri Light"/>
          <w:rtl/>
          <w:lang w:eastAsia="he-IL"/>
        </w:rPr>
        <w:t xml:space="preserve"> </w:t>
      </w:r>
      <w:r w:rsidRPr="00BC03EF">
        <w:rPr>
          <w:rFonts w:ascii="Calibri Light" w:hAnsi="Calibri Light" w:hint="eastAsia"/>
          <w:rtl/>
          <w:lang w:eastAsia="he-IL"/>
        </w:rPr>
        <w:t>ומתחם</w:t>
      </w:r>
      <w:r w:rsidRPr="00BC03EF">
        <w:rPr>
          <w:rFonts w:ascii="Calibri Light" w:hAnsi="Calibri Light"/>
          <w:rtl/>
          <w:lang w:eastAsia="he-IL"/>
        </w:rPr>
        <w:t xml:space="preserve"> </w:t>
      </w:r>
      <w:r w:rsidRPr="00BC03EF">
        <w:rPr>
          <w:rFonts w:ascii="Calibri Light" w:hAnsi="Calibri Light" w:hint="eastAsia"/>
          <w:rtl/>
          <w:lang w:eastAsia="he-IL"/>
        </w:rPr>
        <w:t>העונש</w:t>
      </w:r>
      <w:r w:rsidRPr="00BC03EF">
        <w:rPr>
          <w:rFonts w:ascii="Calibri Light" w:hAnsi="Calibri Light"/>
          <w:rtl/>
          <w:lang w:eastAsia="he-IL"/>
        </w:rPr>
        <w:t xml:space="preserve"> </w:t>
      </w:r>
      <w:r w:rsidRPr="00BC03EF">
        <w:rPr>
          <w:rFonts w:ascii="Calibri Light" w:hAnsi="Calibri Light" w:hint="eastAsia"/>
          <w:rtl/>
          <w:lang w:eastAsia="he-IL"/>
        </w:rPr>
        <w:t>ההולם</w:t>
      </w:r>
      <w:r w:rsidRPr="00BC03EF">
        <w:rPr>
          <w:rFonts w:ascii="Calibri Light" w:hAnsi="Calibri Light"/>
          <w:rtl/>
          <w:lang w:eastAsia="he-IL"/>
        </w:rPr>
        <w:t xml:space="preserve"> </w:t>
      </w:r>
      <w:r w:rsidRPr="00BC03EF">
        <w:rPr>
          <w:rFonts w:ascii="Calibri Light" w:hAnsi="Calibri Light" w:hint="eastAsia"/>
          <w:rtl/>
          <w:lang w:eastAsia="he-IL"/>
        </w:rPr>
        <w:t>נקבע</w:t>
      </w:r>
      <w:r w:rsidRPr="00BC03EF">
        <w:rPr>
          <w:rFonts w:ascii="Calibri Light" w:hAnsi="Calibri Light"/>
          <w:rtl/>
          <w:lang w:eastAsia="he-IL"/>
        </w:rPr>
        <w:t xml:space="preserve"> </w:t>
      </w:r>
      <w:r w:rsidRPr="00BC03EF">
        <w:rPr>
          <w:rFonts w:ascii="Calibri Light" w:hAnsi="Calibri Light" w:hint="eastAsia"/>
          <w:rtl/>
          <w:lang w:eastAsia="he-IL"/>
        </w:rPr>
        <w:t>על</w:t>
      </w:r>
      <w:r w:rsidRPr="00BC03EF">
        <w:rPr>
          <w:rFonts w:ascii="Calibri Light" w:hAnsi="Calibri Light"/>
          <w:rtl/>
          <w:lang w:eastAsia="he-IL"/>
        </w:rPr>
        <w:t xml:space="preserve"> </w:t>
      </w:r>
      <w:r w:rsidRPr="00BC03EF">
        <w:rPr>
          <w:rFonts w:ascii="Calibri Light" w:hAnsi="Calibri Light" w:hint="eastAsia"/>
          <w:rtl/>
          <w:lang w:eastAsia="he-IL"/>
        </w:rPr>
        <w:t>פי</w:t>
      </w:r>
      <w:r w:rsidRPr="00BC03EF">
        <w:rPr>
          <w:rFonts w:ascii="Calibri Light" w:hAnsi="Calibri Light"/>
          <w:rtl/>
          <w:lang w:eastAsia="he-IL"/>
        </w:rPr>
        <w:t xml:space="preserve"> </w:t>
      </w:r>
      <w:r w:rsidRPr="00BC03EF">
        <w:rPr>
          <w:rFonts w:ascii="Calibri Light" w:hAnsi="Calibri Light" w:hint="eastAsia"/>
          <w:rtl/>
          <w:lang w:eastAsia="he-IL"/>
        </w:rPr>
        <w:t>הנסיבות</w:t>
      </w:r>
      <w:r w:rsidRPr="00BC03EF">
        <w:rPr>
          <w:rFonts w:ascii="Calibri Light" w:hAnsi="Calibri Light"/>
          <w:rtl/>
          <w:lang w:eastAsia="he-IL"/>
        </w:rPr>
        <w:t xml:space="preserve"> </w:t>
      </w:r>
      <w:r w:rsidRPr="00BC03EF">
        <w:rPr>
          <w:rFonts w:ascii="Calibri Light" w:hAnsi="Calibri Light" w:hint="eastAsia"/>
          <w:rtl/>
          <w:lang w:eastAsia="he-IL"/>
        </w:rPr>
        <w:t>המסויימות</w:t>
      </w:r>
      <w:r w:rsidRPr="00BC03EF">
        <w:rPr>
          <w:rFonts w:ascii="Calibri Light" w:hAnsi="Calibri Light"/>
          <w:rtl/>
          <w:lang w:eastAsia="he-IL"/>
        </w:rPr>
        <w:t xml:space="preserve"> </w:t>
      </w:r>
      <w:r w:rsidRPr="00BC03EF">
        <w:rPr>
          <w:rFonts w:ascii="Calibri Light" w:hAnsi="Calibri Light" w:hint="eastAsia"/>
          <w:rtl/>
          <w:lang w:eastAsia="he-IL"/>
        </w:rPr>
        <w:t>של</w:t>
      </w:r>
      <w:r w:rsidRPr="00BC03EF">
        <w:rPr>
          <w:rFonts w:ascii="Calibri Light" w:hAnsi="Calibri Light"/>
          <w:rtl/>
          <w:lang w:eastAsia="he-IL"/>
        </w:rPr>
        <w:t xml:space="preserve"> </w:t>
      </w:r>
      <w:r w:rsidRPr="00BC03EF">
        <w:rPr>
          <w:rFonts w:ascii="Calibri Light" w:hAnsi="Calibri Light" w:hint="eastAsia"/>
          <w:rtl/>
          <w:lang w:eastAsia="he-IL"/>
        </w:rPr>
        <w:t>ביצוע</w:t>
      </w:r>
      <w:r w:rsidRPr="00BC03EF">
        <w:rPr>
          <w:rFonts w:ascii="Calibri Light" w:hAnsi="Calibri Light"/>
          <w:rtl/>
          <w:lang w:eastAsia="he-IL"/>
        </w:rPr>
        <w:t xml:space="preserve"> </w:t>
      </w:r>
      <w:r w:rsidRPr="00BC03EF">
        <w:rPr>
          <w:rFonts w:ascii="Calibri Light" w:hAnsi="Calibri Light" w:hint="eastAsia"/>
          <w:rtl/>
          <w:lang w:eastAsia="he-IL"/>
        </w:rPr>
        <w:t>העבירה</w:t>
      </w:r>
      <w:r w:rsidRPr="00BC03EF">
        <w:rPr>
          <w:rFonts w:ascii="Calibri Light" w:hAnsi="Calibri Light"/>
          <w:rtl/>
          <w:lang w:eastAsia="he-IL"/>
        </w:rPr>
        <w:t>.</w:t>
      </w:r>
      <w:r w:rsidRPr="00BC03EF">
        <w:rPr>
          <w:rFonts w:ascii="David" w:hAnsi="David"/>
          <w:rtl/>
        </w:rPr>
        <w:t xml:space="preserve"> עיקרון אינדיבידואליות הענישה מיושם גם בשלב קביעת מתחם העונש ההולם, בכך שהיא נעשית בעיקר תוך התייחסות לנסיבות המסויימות של ביצוע עבירה ואינה קשורה אך בעבירה כפי נוסחה ועונשה בחוק. ר' לענין זה </w:t>
      </w:r>
      <w:hyperlink r:id="rId24" w:history="1">
        <w:r w:rsidR="00B07275" w:rsidRPr="00B07275">
          <w:rPr>
            <w:rFonts w:ascii="David" w:hAnsi="David"/>
            <w:color w:val="0000FF"/>
            <w:u w:val="single"/>
            <w:rtl/>
          </w:rPr>
          <w:t>ע"פ 1323/13</w:t>
        </w:r>
      </w:hyperlink>
      <w:r w:rsidRPr="00BC03EF">
        <w:rPr>
          <w:rFonts w:ascii="David" w:hAnsi="David"/>
          <w:rtl/>
        </w:rPr>
        <w:t xml:space="preserve"> </w:t>
      </w:r>
      <w:r w:rsidRPr="00BC03EF">
        <w:rPr>
          <w:rFonts w:ascii="David" w:hAnsi="David"/>
          <w:b/>
          <w:bCs/>
          <w:rtl/>
        </w:rPr>
        <w:t>רך חסן ואח' נ' מ"י</w:t>
      </w:r>
      <w:r w:rsidRPr="00BC03EF">
        <w:rPr>
          <w:rFonts w:ascii="David" w:hAnsi="David"/>
          <w:rtl/>
        </w:rPr>
        <w:t xml:space="preserve"> (5.6.2013) בו נפסק:</w:t>
      </w:r>
    </w:p>
    <w:p w14:paraId="6023459D" w14:textId="77777777" w:rsidR="003D54B7" w:rsidRPr="00BC03EF" w:rsidRDefault="003D54B7" w:rsidP="003D54B7">
      <w:pPr>
        <w:spacing w:line="360" w:lineRule="auto"/>
        <w:jc w:val="both"/>
        <w:rPr>
          <w:rFonts w:ascii="David" w:hAnsi="David"/>
          <w:rtl/>
        </w:rPr>
      </w:pPr>
    </w:p>
    <w:p w14:paraId="44328EB9" w14:textId="77777777" w:rsidR="003D54B7" w:rsidRPr="00BC03EF" w:rsidRDefault="003D54B7" w:rsidP="003D54B7">
      <w:pPr>
        <w:spacing w:line="360" w:lineRule="auto"/>
        <w:jc w:val="both"/>
        <w:rPr>
          <w:rFonts w:ascii="David" w:hAnsi="David"/>
          <w:b/>
          <w:bCs/>
          <w:rtl/>
        </w:rPr>
      </w:pPr>
      <w:r w:rsidRPr="00BC03EF">
        <w:rPr>
          <w:rFonts w:ascii="David" w:hAnsi="David"/>
          <w:b/>
          <w:bCs/>
          <w:rtl/>
        </w:rPr>
        <w:t xml:space="preserve">"מתחם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 </w:t>
      </w:r>
    </w:p>
    <w:p w14:paraId="629A1E41" w14:textId="77777777" w:rsidR="003D54B7" w:rsidRPr="00BC03EF" w:rsidRDefault="003D54B7" w:rsidP="003D54B7">
      <w:pPr>
        <w:spacing w:line="360" w:lineRule="auto"/>
        <w:jc w:val="both"/>
        <w:rPr>
          <w:rFonts w:ascii="David" w:hAnsi="David"/>
          <w:b/>
          <w:bCs/>
          <w:rtl/>
        </w:rPr>
      </w:pPr>
    </w:p>
    <w:p w14:paraId="4D8795A7" w14:textId="77777777" w:rsidR="003D54B7" w:rsidRPr="00BC03EF" w:rsidRDefault="003D54B7" w:rsidP="003D54B7">
      <w:pPr>
        <w:spacing w:line="360" w:lineRule="auto"/>
        <w:jc w:val="both"/>
        <w:rPr>
          <w:rtl/>
          <w:lang w:eastAsia="he-IL"/>
        </w:rPr>
      </w:pPr>
      <w:r w:rsidRPr="00BC03EF">
        <w:rPr>
          <w:rFonts w:ascii="David" w:hAnsi="David"/>
          <w:rtl/>
          <w:lang w:eastAsia="he-IL"/>
        </w:rPr>
        <w:t xml:space="preserve">כחלק מנסיבות ביצוע העבירה של החזקת הסם המסוכן שלא לצריכה עצמית, נקבע כאמור כי </w:t>
      </w:r>
      <w:r w:rsidRPr="00BC03EF">
        <w:rPr>
          <w:rFonts w:ascii="Calibri" w:hAnsi="Calibri" w:hint="eastAsia"/>
          <w:rtl/>
        </w:rPr>
        <w:t>הסמים</w:t>
      </w:r>
      <w:r w:rsidRPr="00BC03EF">
        <w:rPr>
          <w:rFonts w:ascii="Calibri" w:hAnsi="Calibri"/>
          <w:rtl/>
        </w:rPr>
        <w:t xml:space="preserve"> </w:t>
      </w:r>
      <w:r w:rsidRPr="00BC03EF">
        <w:rPr>
          <w:rFonts w:ascii="Calibri" w:hAnsi="Calibri" w:hint="eastAsia"/>
          <w:rtl/>
        </w:rPr>
        <w:t>הוחזקו</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ידי</w:t>
      </w:r>
      <w:r w:rsidRPr="00BC03EF">
        <w:rPr>
          <w:rFonts w:ascii="Calibri" w:hAnsi="Calibri"/>
          <w:rtl/>
        </w:rPr>
        <w:t xml:space="preserve"> </w:t>
      </w:r>
      <w:r w:rsidRPr="00BC03EF">
        <w:rPr>
          <w:rFonts w:ascii="Calibri" w:hAnsi="Calibri" w:hint="eastAsia"/>
          <w:rtl/>
        </w:rPr>
        <w:t>הנאשם</w:t>
      </w:r>
      <w:r w:rsidRPr="00BC03EF">
        <w:rPr>
          <w:rFonts w:ascii="Calibri" w:hAnsi="Calibri"/>
          <w:rtl/>
        </w:rPr>
        <w:t xml:space="preserve"> </w:t>
      </w:r>
      <w:r w:rsidRPr="00BC03EF">
        <w:rPr>
          <w:rFonts w:ascii="Calibri" w:hAnsi="Calibri" w:hint="eastAsia"/>
          <w:rtl/>
        </w:rPr>
        <w:t>עבור</w:t>
      </w:r>
      <w:r w:rsidRPr="00BC03EF">
        <w:rPr>
          <w:rFonts w:ascii="Calibri" w:hAnsi="Calibri"/>
          <w:rtl/>
        </w:rPr>
        <w:t xml:space="preserve"> </w:t>
      </w:r>
      <w:r w:rsidRPr="00BC03EF">
        <w:rPr>
          <w:rFonts w:ascii="Calibri" w:hAnsi="Calibri" w:hint="eastAsia"/>
          <w:rtl/>
        </w:rPr>
        <w:t>אחר</w:t>
      </w:r>
      <w:r w:rsidRPr="00BC03EF">
        <w:rPr>
          <w:rFonts w:ascii="Calibri" w:hAnsi="Calibri"/>
          <w:rtl/>
        </w:rPr>
        <w:t xml:space="preserve">, </w:t>
      </w:r>
      <w:r w:rsidRPr="00BC03EF">
        <w:rPr>
          <w:rFonts w:ascii="Calibri" w:hAnsi="Calibri" w:hint="eastAsia"/>
          <w:rtl/>
        </w:rPr>
        <w:t>וכי</w:t>
      </w:r>
      <w:r w:rsidRPr="00BC03EF">
        <w:rPr>
          <w:rFonts w:ascii="Calibri" w:hAnsi="Calibri"/>
          <w:rtl/>
        </w:rPr>
        <w:t xml:space="preserve"> </w:t>
      </w:r>
      <w:r w:rsidRPr="00BC03EF">
        <w:rPr>
          <w:rFonts w:ascii="Calibri" w:hAnsi="Calibri" w:hint="eastAsia"/>
          <w:rtl/>
        </w:rPr>
        <w:t>האחר</w:t>
      </w:r>
      <w:r w:rsidRPr="00BC03EF">
        <w:rPr>
          <w:rFonts w:ascii="Calibri" w:hAnsi="Calibri"/>
          <w:rtl/>
        </w:rPr>
        <w:t xml:space="preserve"> </w:t>
      </w:r>
      <w:r w:rsidRPr="00BC03EF">
        <w:rPr>
          <w:rFonts w:ascii="Calibri" w:hAnsi="Calibri" w:hint="eastAsia"/>
          <w:rtl/>
        </w:rPr>
        <w:t>ניצלו</w:t>
      </w:r>
      <w:r w:rsidRPr="00BC03EF">
        <w:rPr>
          <w:rFonts w:ascii="Calibri" w:hAnsi="Calibri"/>
          <w:rtl/>
        </w:rPr>
        <w:t xml:space="preserve"> </w:t>
      </w:r>
      <w:r w:rsidRPr="00BC03EF">
        <w:rPr>
          <w:rFonts w:ascii="Calibri" w:hAnsi="Calibri" w:hint="eastAsia"/>
          <w:rtl/>
        </w:rPr>
        <w:t>ואיים</w:t>
      </w:r>
      <w:r w:rsidRPr="00BC03EF">
        <w:rPr>
          <w:rFonts w:ascii="Calibri" w:hAnsi="Calibri"/>
          <w:rtl/>
        </w:rPr>
        <w:t xml:space="preserve"> </w:t>
      </w:r>
      <w:r w:rsidRPr="00BC03EF">
        <w:rPr>
          <w:rFonts w:ascii="Calibri" w:hAnsi="Calibri" w:hint="eastAsia"/>
          <w:rtl/>
        </w:rPr>
        <w:t>עליו</w:t>
      </w:r>
      <w:r w:rsidRPr="00BC03EF">
        <w:rPr>
          <w:rFonts w:ascii="Calibri" w:hAnsi="Calibri"/>
          <w:rtl/>
        </w:rPr>
        <w:t xml:space="preserve">, </w:t>
      </w:r>
      <w:r w:rsidRPr="00BC03EF">
        <w:rPr>
          <w:rFonts w:ascii="Calibri" w:hAnsi="Calibri" w:hint="eastAsia"/>
          <w:rtl/>
        </w:rPr>
        <w:t>וזאת</w:t>
      </w:r>
      <w:r w:rsidRPr="00BC03EF">
        <w:rPr>
          <w:rFonts w:ascii="Calibri" w:hAnsi="Calibri"/>
          <w:rtl/>
        </w:rPr>
        <w:t xml:space="preserve"> </w:t>
      </w:r>
      <w:r w:rsidRPr="00BC03EF">
        <w:rPr>
          <w:rFonts w:ascii="Calibri" w:hAnsi="Calibri" w:hint="eastAsia"/>
          <w:rtl/>
        </w:rPr>
        <w:t>על</w:t>
      </w:r>
      <w:r w:rsidRPr="00BC03EF">
        <w:rPr>
          <w:rFonts w:ascii="Calibri" w:hAnsi="Calibri"/>
          <w:rtl/>
        </w:rPr>
        <w:t xml:space="preserve"> </w:t>
      </w:r>
      <w:r w:rsidRPr="00BC03EF">
        <w:rPr>
          <w:rFonts w:ascii="Calibri" w:hAnsi="Calibri" w:hint="eastAsia"/>
          <w:rtl/>
        </w:rPr>
        <w:t>רקע</w:t>
      </w:r>
      <w:r w:rsidRPr="00BC03EF">
        <w:rPr>
          <w:rFonts w:ascii="Calibri" w:hAnsi="Calibri"/>
          <w:rtl/>
        </w:rPr>
        <w:t xml:space="preserve"> </w:t>
      </w:r>
      <w:r w:rsidRPr="00BC03EF">
        <w:rPr>
          <w:rFonts w:ascii="Calibri" w:hAnsi="Calibri" w:hint="eastAsia"/>
          <w:rtl/>
        </w:rPr>
        <w:t>כך</w:t>
      </w:r>
      <w:r w:rsidRPr="00BC03EF">
        <w:rPr>
          <w:rFonts w:ascii="Calibri" w:hAnsi="Calibri"/>
          <w:rtl/>
        </w:rPr>
        <w:t xml:space="preserve"> </w:t>
      </w:r>
      <w:r w:rsidRPr="00BC03EF">
        <w:rPr>
          <w:rFonts w:ascii="Calibri" w:hAnsi="Calibri" w:hint="eastAsia"/>
          <w:rtl/>
        </w:rPr>
        <w:t>שהנאשם</w:t>
      </w:r>
      <w:r w:rsidRPr="00BC03EF">
        <w:rPr>
          <w:rFonts w:ascii="Calibri" w:hAnsi="Calibri"/>
          <w:rtl/>
        </w:rPr>
        <w:t xml:space="preserve"> </w:t>
      </w:r>
      <w:r w:rsidRPr="00BC03EF">
        <w:rPr>
          <w:rFonts w:ascii="Calibri" w:hAnsi="Calibri" w:hint="eastAsia"/>
          <w:rtl/>
        </w:rPr>
        <w:t>צרך</w:t>
      </w:r>
      <w:r w:rsidRPr="00BC03EF">
        <w:rPr>
          <w:rFonts w:ascii="Calibri" w:hAnsi="Calibri"/>
          <w:rtl/>
        </w:rPr>
        <w:t xml:space="preserve"> </w:t>
      </w:r>
      <w:r w:rsidRPr="00BC03EF">
        <w:rPr>
          <w:rFonts w:ascii="Calibri" w:hAnsi="Calibri" w:hint="eastAsia"/>
          <w:rtl/>
        </w:rPr>
        <w:t>סמים</w:t>
      </w:r>
      <w:r w:rsidRPr="00BC03EF">
        <w:rPr>
          <w:rFonts w:ascii="Calibri" w:hAnsi="Calibri"/>
          <w:rtl/>
        </w:rPr>
        <w:t xml:space="preserve"> </w:t>
      </w:r>
      <w:r w:rsidRPr="00BC03EF">
        <w:rPr>
          <w:rFonts w:ascii="Calibri" w:hAnsi="Calibri" w:hint="eastAsia"/>
          <w:rtl/>
        </w:rPr>
        <w:t>וצבר</w:t>
      </w:r>
      <w:r w:rsidRPr="00BC03EF">
        <w:rPr>
          <w:rFonts w:ascii="Calibri" w:hAnsi="Calibri"/>
          <w:rtl/>
        </w:rPr>
        <w:t xml:space="preserve"> </w:t>
      </w:r>
      <w:r w:rsidRPr="00BC03EF">
        <w:rPr>
          <w:rFonts w:ascii="Calibri" w:hAnsi="Calibri" w:hint="eastAsia"/>
          <w:rtl/>
        </w:rPr>
        <w:t>חובות</w:t>
      </w:r>
      <w:r w:rsidRPr="00BC03EF">
        <w:rPr>
          <w:rFonts w:ascii="Calibri" w:hAnsi="Calibri"/>
          <w:rtl/>
        </w:rPr>
        <w:t xml:space="preserve"> </w:t>
      </w:r>
      <w:r w:rsidRPr="00BC03EF">
        <w:rPr>
          <w:rFonts w:ascii="Calibri" w:hAnsi="Calibri" w:hint="eastAsia"/>
          <w:rtl/>
        </w:rPr>
        <w:t>לאותו</w:t>
      </w:r>
      <w:r w:rsidRPr="00BC03EF">
        <w:rPr>
          <w:rFonts w:ascii="Calibri" w:hAnsi="Calibri"/>
          <w:rtl/>
        </w:rPr>
        <w:t xml:space="preserve"> </w:t>
      </w:r>
      <w:r w:rsidRPr="00BC03EF">
        <w:rPr>
          <w:rFonts w:ascii="Calibri" w:hAnsi="Calibri" w:hint="eastAsia"/>
          <w:rtl/>
        </w:rPr>
        <w:t>אחר</w:t>
      </w:r>
      <w:r w:rsidRPr="00BC03EF">
        <w:rPr>
          <w:rFonts w:ascii="Calibri" w:hAnsi="Calibri"/>
          <w:rtl/>
        </w:rPr>
        <w:t xml:space="preserve">. </w:t>
      </w:r>
    </w:p>
    <w:p w14:paraId="6585130A" w14:textId="77777777" w:rsidR="003D54B7" w:rsidRPr="00BC03EF" w:rsidRDefault="003D54B7" w:rsidP="003D54B7">
      <w:pPr>
        <w:spacing w:line="360" w:lineRule="auto"/>
        <w:jc w:val="both"/>
        <w:rPr>
          <w:rtl/>
          <w:lang w:eastAsia="he-IL"/>
        </w:rPr>
      </w:pPr>
    </w:p>
    <w:p w14:paraId="3D384BA3" w14:textId="77777777" w:rsidR="003D54B7" w:rsidRPr="00BC03EF" w:rsidRDefault="003D54B7" w:rsidP="003D54B7">
      <w:pPr>
        <w:spacing w:line="360" w:lineRule="auto"/>
        <w:jc w:val="both"/>
        <w:rPr>
          <w:rtl/>
          <w:lang w:eastAsia="he-IL"/>
        </w:rPr>
      </w:pPr>
      <w:r w:rsidRPr="00BC03EF">
        <w:rPr>
          <w:rtl/>
          <w:lang w:eastAsia="he-IL"/>
        </w:rPr>
        <w:t xml:space="preserve">אין מדובר בנסיבות אשר שוללות את אחריות הנאשם או מקימות הגנת כורח או כל הגנה אחרת, ואף לא נטען להגנה שכזו. הנאשם, גם בהינתן נסיבות אלו אשר התווספו על התשתית העובדתית בכתב האישום המקורי, ביצע את העבירה של החזקת סם מסוכן שלא לצריכה עצמית. ביצוע עבירה זו יכול להתבצע בין כאשר מדובר בהחזקת סמים השייכים לנאשם עצמו, ובין כאשר מדובר בהחזקה עבור אדם אחר, וגם כאשר האחר מנצל או מאיים, מדובר בעבירה אשר הנסיבות משכללות את קיומה, ללא כל הגנה בדין, ונדגיש כי לא נטען באף שלב לקיומה של הגנה כלשהי. </w:t>
      </w:r>
    </w:p>
    <w:p w14:paraId="33BA805C" w14:textId="77777777" w:rsidR="003D54B7" w:rsidRPr="00BC03EF" w:rsidRDefault="003D54B7" w:rsidP="003D54B7">
      <w:pPr>
        <w:spacing w:line="360" w:lineRule="auto"/>
        <w:jc w:val="both"/>
        <w:rPr>
          <w:rtl/>
          <w:lang w:eastAsia="he-IL"/>
        </w:rPr>
      </w:pPr>
    </w:p>
    <w:p w14:paraId="14DB2297" w14:textId="77777777" w:rsidR="003D54B7" w:rsidRPr="00BC03EF" w:rsidRDefault="003D54B7" w:rsidP="003D54B7">
      <w:pPr>
        <w:spacing w:line="360" w:lineRule="auto"/>
        <w:jc w:val="both"/>
        <w:rPr>
          <w:rtl/>
          <w:lang w:eastAsia="he-IL"/>
        </w:rPr>
      </w:pPr>
      <w:r w:rsidRPr="00BC03EF">
        <w:rPr>
          <w:rtl/>
          <w:lang w:eastAsia="he-IL"/>
        </w:rPr>
        <w:t xml:space="preserve">ואולם, העובדה שלא קמה הגנה אינה שוללת את הצורך להתייחס לתשתית עובדתית זו במסגרת קביעת העונש, ובפרט בעת קביעת מתחם העונש ההולם. </w:t>
      </w:r>
    </w:p>
    <w:p w14:paraId="35CAB42D" w14:textId="77777777" w:rsidR="003D54B7" w:rsidRPr="00BC03EF" w:rsidRDefault="003D54B7" w:rsidP="003D54B7">
      <w:pPr>
        <w:spacing w:line="360" w:lineRule="auto"/>
        <w:jc w:val="both"/>
        <w:rPr>
          <w:rtl/>
          <w:lang w:eastAsia="he-IL"/>
        </w:rPr>
      </w:pPr>
    </w:p>
    <w:p w14:paraId="3C6EFA77" w14:textId="77777777" w:rsidR="003D54B7" w:rsidRPr="00BC03EF" w:rsidRDefault="003D54B7" w:rsidP="003D54B7">
      <w:pPr>
        <w:spacing w:line="360" w:lineRule="auto"/>
        <w:jc w:val="both"/>
        <w:rPr>
          <w:rtl/>
          <w:lang w:eastAsia="he-IL"/>
        </w:rPr>
      </w:pPr>
      <w:r w:rsidRPr="00BC03EF">
        <w:rPr>
          <w:rtl/>
          <w:lang w:eastAsia="he-IL"/>
        </w:rPr>
        <w:t xml:space="preserve">כאמור לעיל, מתחם העונש ההולם נקבע על בסיס הנסיבות המסוימות של כל מקרה, ובמובן זה, ניתן ביטוי לאינדיווידואליות של שלב זה בענישה. </w:t>
      </w:r>
    </w:p>
    <w:p w14:paraId="088B7216" w14:textId="77777777" w:rsidR="003D54B7" w:rsidRPr="00BC03EF" w:rsidRDefault="003D54B7" w:rsidP="003D54B7">
      <w:pPr>
        <w:spacing w:line="360" w:lineRule="auto"/>
        <w:jc w:val="both"/>
        <w:rPr>
          <w:rtl/>
          <w:lang w:eastAsia="he-IL"/>
        </w:rPr>
      </w:pPr>
    </w:p>
    <w:p w14:paraId="68A47B13" w14:textId="77777777" w:rsidR="003D54B7" w:rsidRPr="00BC03EF" w:rsidRDefault="003D54B7" w:rsidP="003D54B7">
      <w:pPr>
        <w:spacing w:line="360" w:lineRule="auto"/>
        <w:jc w:val="both"/>
        <w:rPr>
          <w:b/>
          <w:bCs/>
          <w:rtl/>
          <w:lang w:eastAsia="he-IL"/>
        </w:rPr>
      </w:pPr>
      <w:r w:rsidRPr="00BC03EF">
        <w:rPr>
          <w:rtl/>
          <w:lang w:eastAsia="he-IL"/>
        </w:rPr>
        <w:t>ב"כ המאשימה הפנו לגזר הדין שניתן ב</w:t>
      </w:r>
      <w:hyperlink r:id="rId25" w:history="1">
        <w:r w:rsidR="00B07275" w:rsidRPr="00B07275">
          <w:rPr>
            <w:color w:val="0000FF"/>
            <w:u w:val="single"/>
            <w:rtl/>
            <w:lang w:eastAsia="he-IL"/>
          </w:rPr>
          <w:t>ת.פ. (ת"א) 45195-11-20</w:t>
        </w:r>
      </w:hyperlink>
      <w:r w:rsidRPr="00BC03EF">
        <w:rPr>
          <w:rtl/>
          <w:lang w:eastAsia="he-IL"/>
        </w:rPr>
        <w:t xml:space="preserve"> </w:t>
      </w:r>
      <w:r w:rsidRPr="00BC03EF">
        <w:rPr>
          <w:b/>
          <w:bCs/>
          <w:rtl/>
          <w:lang w:eastAsia="he-IL"/>
        </w:rPr>
        <w:t xml:space="preserve">מ"י נ' עבדאללה מוחמד </w:t>
      </w:r>
      <w:r w:rsidRPr="00BC03EF">
        <w:rPr>
          <w:rtl/>
          <w:lang w:eastAsia="he-IL"/>
        </w:rPr>
        <w:t xml:space="preserve">(19.5.2021), ואין אלא להצטרף לדברים שנקבעו שם ע"י כב' סגן הנשיא השופט בני שגיא, על כי הגם שהחזקה עבור אחר היא החזקה לכל דבר ועניין, בהיבט העונשי הינה פחותה בחומרתה: </w:t>
      </w:r>
      <w:r w:rsidRPr="00BC03EF">
        <w:rPr>
          <w:b/>
          <w:bCs/>
          <w:rtl/>
          <w:lang w:eastAsia="he-IL"/>
        </w:rPr>
        <w:t xml:space="preserve">"גם אם מבחינה משפטית החזקה "עבור אחר" היא החזקה לכל דבר ועניין, ברור כי מדובר בהחזקה פחותה בחומרתה בהיבט העונשי, המאפשר את ראיית הנאשם כסוג של "מחסנאי" ביחס לכמות הסם הרלבנטית שהחזיק "עבור אחר". החזקה מעין זו אף ממתנת את אותו פוטנציאל לרווח כלכלי עליו עמד התובע בטיעוניו". </w:t>
      </w:r>
    </w:p>
    <w:p w14:paraId="091273E1" w14:textId="77777777" w:rsidR="003D54B7" w:rsidRPr="00BC03EF" w:rsidRDefault="003D54B7" w:rsidP="003D54B7">
      <w:pPr>
        <w:spacing w:line="360" w:lineRule="auto"/>
        <w:jc w:val="both"/>
        <w:rPr>
          <w:b/>
          <w:bCs/>
          <w:rtl/>
          <w:lang w:eastAsia="he-IL"/>
        </w:rPr>
      </w:pPr>
    </w:p>
    <w:p w14:paraId="23F42867" w14:textId="77777777" w:rsidR="003D54B7" w:rsidRPr="00BC03EF" w:rsidRDefault="003D54B7" w:rsidP="003D54B7">
      <w:pPr>
        <w:spacing w:line="360" w:lineRule="auto"/>
        <w:jc w:val="both"/>
        <w:rPr>
          <w:rtl/>
          <w:lang w:eastAsia="he-IL"/>
        </w:rPr>
      </w:pPr>
      <w:r w:rsidRPr="00BC03EF">
        <w:rPr>
          <w:rtl/>
          <w:lang w:eastAsia="he-IL"/>
        </w:rPr>
        <w:t>לצד זאת, יש להדגיש כי מדובר בעבירה חמורה הכוללת נסיבות חמורות של ביצועה – החזקת סם מסוכן מסוג קוקאין במשקל של 441 גרם נטו, כמות גדולה ביותר של סם מסוכן שפגיעתו רעה והפצתו מסוכנת ומשמעותה מספר גדול מאוד של נפגעים פוטנציאליים.</w:t>
      </w:r>
    </w:p>
    <w:p w14:paraId="68BEAA98" w14:textId="77777777" w:rsidR="003D54B7" w:rsidRPr="00BC03EF" w:rsidRDefault="003D54B7" w:rsidP="003D54B7">
      <w:pPr>
        <w:spacing w:line="360" w:lineRule="auto"/>
        <w:jc w:val="both"/>
        <w:rPr>
          <w:rtl/>
          <w:lang w:eastAsia="he-IL"/>
        </w:rPr>
      </w:pPr>
    </w:p>
    <w:p w14:paraId="75A36561" w14:textId="77777777" w:rsidR="003D54B7" w:rsidRPr="00BC03EF" w:rsidRDefault="003D54B7" w:rsidP="003D54B7">
      <w:pPr>
        <w:spacing w:line="360" w:lineRule="auto"/>
        <w:jc w:val="both"/>
        <w:rPr>
          <w:rtl/>
          <w:lang w:eastAsia="he-IL"/>
        </w:rPr>
      </w:pPr>
      <w:r w:rsidRPr="00BC03EF">
        <w:rPr>
          <w:rtl/>
          <w:lang w:eastAsia="he-IL"/>
        </w:rPr>
        <w:t>הגם שיש להביא בבחינת מכלול הנסיבות את העובדה שהסם הוחזק עבור אחר, המשקל שיש לתת לעובדה זו אינו כה משמעותי עד כדי קביעת מתחם עונש הולם נמוך כפי טענת ב"כ הנאשם.</w:t>
      </w:r>
    </w:p>
    <w:p w14:paraId="1875241D" w14:textId="77777777" w:rsidR="003D54B7" w:rsidRPr="00BC03EF" w:rsidRDefault="003D54B7" w:rsidP="003D54B7">
      <w:pPr>
        <w:spacing w:line="360" w:lineRule="auto"/>
        <w:jc w:val="both"/>
        <w:rPr>
          <w:rtl/>
          <w:lang w:eastAsia="he-IL"/>
        </w:rPr>
      </w:pPr>
    </w:p>
    <w:p w14:paraId="60F73956" w14:textId="77777777" w:rsidR="003D54B7" w:rsidRPr="00BC03EF" w:rsidRDefault="003D54B7" w:rsidP="003D54B7">
      <w:pPr>
        <w:spacing w:line="360" w:lineRule="auto"/>
        <w:jc w:val="both"/>
        <w:rPr>
          <w:rtl/>
          <w:lang w:eastAsia="he-IL"/>
        </w:rPr>
      </w:pPr>
      <w:r w:rsidRPr="00BC03EF">
        <w:rPr>
          <w:rtl/>
          <w:lang w:eastAsia="he-IL"/>
        </w:rPr>
        <w:t>המשקל אשר יש לתת לעובדה זו צריך להיות מידתי, ואין בה כדי לצמצם במידה משמעותית את החומרה, כמו גם המענה העונשי המחמיר שיש לתת לעבירה זו, אך כאמור, יש לתת לכך משקל.</w:t>
      </w:r>
    </w:p>
    <w:p w14:paraId="075F790E" w14:textId="77777777" w:rsidR="003D54B7" w:rsidRPr="00BC03EF" w:rsidRDefault="003D54B7" w:rsidP="003D54B7">
      <w:pPr>
        <w:spacing w:line="360" w:lineRule="auto"/>
        <w:jc w:val="both"/>
        <w:rPr>
          <w:rtl/>
          <w:lang w:eastAsia="he-IL"/>
        </w:rPr>
      </w:pPr>
    </w:p>
    <w:p w14:paraId="74B3B545" w14:textId="77777777" w:rsidR="003D54B7" w:rsidRPr="00BC03EF" w:rsidRDefault="003D54B7" w:rsidP="003D54B7">
      <w:pPr>
        <w:spacing w:line="360" w:lineRule="auto"/>
        <w:jc w:val="both"/>
        <w:rPr>
          <w:rtl/>
          <w:lang w:eastAsia="he-IL"/>
        </w:rPr>
      </w:pPr>
      <w:r w:rsidRPr="00BC03EF">
        <w:rPr>
          <w:rtl/>
          <w:lang w:eastAsia="he-IL"/>
        </w:rPr>
        <w:t>יצוין כי בהינתן הנסיבות האמורות, ב</w:t>
      </w:r>
      <w:hyperlink r:id="rId26" w:history="1">
        <w:r w:rsidR="00B07275" w:rsidRPr="00B07275">
          <w:rPr>
            <w:color w:val="0000FF"/>
            <w:u w:val="single"/>
            <w:rtl/>
            <w:lang w:eastAsia="he-IL"/>
          </w:rPr>
          <w:t>ת.פ. (ת"א) 45195-11-20</w:t>
        </w:r>
      </w:hyperlink>
      <w:r w:rsidRPr="00BC03EF">
        <w:rPr>
          <w:rtl/>
          <w:lang w:eastAsia="he-IL"/>
        </w:rPr>
        <w:t xml:space="preserve"> נקבע מתחם עונש הולם להחזקת 113.7 גרם סם מסוכן מסוג קוקאין עבור אחר, לצד החזקת 20 גרם סם מסוכן מסוג הרואין ו-29 גרם סם מסוכן מסוג קוקאין, שלא עבור אחר, ככולל מאסר הנע בין 24 ל-60 חודשים.</w:t>
      </w:r>
    </w:p>
    <w:p w14:paraId="2D3E1832" w14:textId="77777777" w:rsidR="003D54B7" w:rsidRPr="00BC03EF" w:rsidRDefault="003D54B7" w:rsidP="003D54B7">
      <w:pPr>
        <w:spacing w:line="360" w:lineRule="auto"/>
        <w:jc w:val="both"/>
        <w:rPr>
          <w:rtl/>
          <w:lang w:eastAsia="he-IL"/>
        </w:rPr>
      </w:pPr>
    </w:p>
    <w:p w14:paraId="42330105" w14:textId="77777777" w:rsidR="003D54B7" w:rsidRPr="00BC03EF" w:rsidRDefault="003D54B7" w:rsidP="003D54B7">
      <w:pPr>
        <w:spacing w:line="360" w:lineRule="auto"/>
        <w:jc w:val="both"/>
        <w:rPr>
          <w:rtl/>
          <w:lang w:eastAsia="he-IL"/>
        </w:rPr>
      </w:pPr>
      <w:r w:rsidRPr="00BC03EF">
        <w:rPr>
          <w:rtl/>
          <w:lang w:eastAsia="he-IL"/>
        </w:rPr>
        <w:t xml:space="preserve">אין מחלוקת כי הגם שמדובר בשתי עבירות מדובר באירוע אחד, ואכן מדובר באירוע אחד ושתי העבירות בוצעו למעשה בו זמנית. לפיכך, ייקבע מתחם עונש הולם אחד. </w:t>
      </w:r>
    </w:p>
    <w:p w14:paraId="39BAE1E7" w14:textId="77777777" w:rsidR="003D54B7" w:rsidRPr="00BC03EF" w:rsidRDefault="003D54B7" w:rsidP="003D54B7">
      <w:pPr>
        <w:spacing w:line="360" w:lineRule="auto"/>
        <w:jc w:val="both"/>
        <w:rPr>
          <w:rtl/>
          <w:lang w:eastAsia="he-IL"/>
        </w:rPr>
      </w:pPr>
    </w:p>
    <w:p w14:paraId="51792087" w14:textId="77777777" w:rsidR="003D54B7" w:rsidRDefault="003D54B7" w:rsidP="003D54B7">
      <w:pPr>
        <w:spacing w:line="360" w:lineRule="auto"/>
        <w:jc w:val="both"/>
        <w:rPr>
          <w:rFonts w:ascii="David" w:hAnsi="David"/>
          <w:rtl/>
          <w:lang w:eastAsia="he-IL"/>
        </w:rPr>
      </w:pPr>
      <w:r w:rsidRPr="00BC03EF">
        <w:rPr>
          <w:rFonts w:ascii="David" w:hAnsi="David"/>
          <w:rtl/>
          <w:lang w:eastAsia="he-IL"/>
        </w:rPr>
        <w:t>להלן התייחסות למתחמי עונש הולם וענישה בעבירות דומות, אך כאמור יש לזכור כי קביעת מתחם העונש ההולם תתבצע בעיקר תוך התייחסות לנסיבות הספציפיות של מקרה זה.</w:t>
      </w:r>
    </w:p>
    <w:p w14:paraId="2EE1AB11" w14:textId="77777777" w:rsidR="003D54B7" w:rsidRPr="00BC03EF" w:rsidRDefault="003D54B7" w:rsidP="003D54B7">
      <w:pPr>
        <w:spacing w:line="360" w:lineRule="auto"/>
        <w:jc w:val="both"/>
        <w:rPr>
          <w:rFonts w:ascii="David" w:hAnsi="David"/>
          <w:rtl/>
          <w:lang w:eastAsia="he-IL"/>
        </w:rPr>
      </w:pPr>
    </w:p>
    <w:p w14:paraId="226C84B8" w14:textId="77777777" w:rsidR="003D54B7" w:rsidRPr="00BC03EF" w:rsidRDefault="003D54B7" w:rsidP="003D54B7">
      <w:pPr>
        <w:spacing w:line="360" w:lineRule="auto"/>
        <w:contextualSpacing/>
        <w:jc w:val="both"/>
        <w:rPr>
          <w:rFonts w:ascii="David" w:hAnsi="David"/>
          <w:rtl/>
          <w:lang w:eastAsia="he-IL"/>
        </w:rPr>
      </w:pPr>
      <w:r w:rsidRPr="00BC03EF">
        <w:rPr>
          <w:rFonts w:ascii="David" w:hAnsi="David"/>
          <w:rtl/>
        </w:rPr>
        <w:t>ב</w:t>
      </w:r>
      <w:hyperlink r:id="rId27" w:history="1">
        <w:r w:rsidR="00B07275" w:rsidRPr="00B07275">
          <w:rPr>
            <w:rFonts w:ascii="David" w:hAnsi="David"/>
            <w:color w:val="0000FF"/>
            <w:u w:val="single"/>
            <w:rtl/>
          </w:rPr>
          <w:t>ע"פ 4592/15</w:t>
        </w:r>
      </w:hyperlink>
      <w:r w:rsidRPr="00BC03EF">
        <w:rPr>
          <w:rFonts w:ascii="David" w:hAnsi="David"/>
          <w:rtl/>
        </w:rPr>
        <w:t xml:space="preserve"> </w:t>
      </w:r>
      <w:r w:rsidRPr="00BC03EF">
        <w:rPr>
          <w:rFonts w:ascii="David" w:hAnsi="David"/>
          <w:b/>
          <w:bCs/>
          <w:rtl/>
        </w:rPr>
        <w:t>פדידה ואח' נ' מ"י</w:t>
      </w:r>
      <w:r w:rsidRPr="00BC03EF">
        <w:rPr>
          <w:rFonts w:ascii="David" w:hAnsi="David"/>
          <w:rtl/>
        </w:rPr>
        <w:t xml:space="preserve">  (8.2.2016) – הורשע מערער 1 בעבירות של קשירת קשר לפשע והחזקת סם מסוכן שלא לצריכה עצמית, בכך שהחזיק בסם מסוכן מסוג קוקאין במשקל של כחצי ק"ג. המערער 1 נעדר עבר פלילי, וביהמ"ש המחוזי הטיל עליו 30 חודשי מאסר, לאחר שקבע מתחם עונש הולם בין 2-6 שנים. </w:t>
      </w:r>
      <w:r w:rsidRPr="00BC03EF">
        <w:rPr>
          <w:rFonts w:ascii="David" w:hAnsi="David"/>
          <w:rtl/>
          <w:lang w:eastAsia="he-IL"/>
        </w:rPr>
        <w:t xml:space="preserve">ביהמ"ש העליון דחה את הערעור, וציין כי הגם שקיים מגוון בענישה בסוג זה של עבירות, הרי במקרים של החזקת סמים מסוג קוקאין והרואין בכמות של עשרות גרמים טווח הענישה הנהוג נע בין 3-5 שנות מאסר, ובכמות גדולה יותר כבאותו מקרה המתחם שנקבע הנע בין 2-6 אינו גבוה. נפסק: </w:t>
      </w:r>
      <w:r w:rsidRPr="00BC03EF">
        <w:rPr>
          <w:rFonts w:ascii="David" w:hAnsi="David"/>
          <w:b/>
          <w:bCs/>
          <w:rtl/>
          <w:lang w:eastAsia="he-I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 עסקינן בנידון דידן בכמות גדולה, כאמור, ואין מקום להתערב בתחום הענישה שנקבע, 6-2 שנים אשר אינו גבוה לטעמנו". </w:t>
      </w:r>
      <w:r w:rsidRPr="00BC03EF">
        <w:rPr>
          <w:rFonts w:ascii="David" w:hAnsi="David"/>
          <w:rtl/>
        </w:rPr>
        <w:t>ביחס לעונש של 30 חודשי מאסר נאמר כי – זהו "</w:t>
      </w:r>
      <w:r w:rsidRPr="00BC03EF">
        <w:rPr>
          <w:rFonts w:ascii="David" w:hAnsi="David"/>
          <w:b/>
          <w:bCs/>
          <w:rtl/>
        </w:rPr>
        <w:t>עונש שכאמור נמוך מן הנהוג בעבירות החזקת סם מסוכן קשה בסדר גודל כזה</w:t>
      </w:r>
      <w:r w:rsidRPr="00BC03EF">
        <w:rPr>
          <w:rFonts w:ascii="David" w:hAnsi="David"/>
          <w:rtl/>
        </w:rPr>
        <w:t>".</w:t>
      </w:r>
    </w:p>
    <w:p w14:paraId="382C3CA5" w14:textId="77777777" w:rsidR="003D54B7" w:rsidRPr="00BC03EF" w:rsidRDefault="003D54B7" w:rsidP="003D54B7">
      <w:pPr>
        <w:spacing w:line="360" w:lineRule="auto"/>
        <w:contextualSpacing/>
        <w:jc w:val="both"/>
        <w:rPr>
          <w:rFonts w:ascii="David" w:hAnsi="David"/>
          <w:rtl/>
          <w:lang w:eastAsia="he-IL"/>
        </w:rPr>
      </w:pPr>
    </w:p>
    <w:p w14:paraId="141F4974" w14:textId="77777777" w:rsidR="003D54B7" w:rsidRPr="00BC03EF" w:rsidRDefault="003D54B7" w:rsidP="003D54B7">
      <w:pPr>
        <w:spacing w:line="360" w:lineRule="auto"/>
        <w:contextualSpacing/>
        <w:jc w:val="both"/>
        <w:rPr>
          <w:rFonts w:ascii="David" w:hAnsi="David"/>
          <w:b/>
          <w:bCs/>
          <w:rtl/>
          <w:lang w:eastAsia="he-IL"/>
        </w:rPr>
      </w:pPr>
      <w:r w:rsidRPr="00BC03EF">
        <w:rPr>
          <w:rFonts w:ascii="David" w:hAnsi="David"/>
          <w:rtl/>
          <w:lang w:eastAsia="he-IL"/>
        </w:rPr>
        <w:t xml:space="preserve">בע"פ </w:t>
      </w:r>
      <w:hyperlink r:id="rId28" w:history="1">
        <w:r w:rsidR="001663B3" w:rsidRPr="001663B3">
          <w:rPr>
            <w:rFonts w:ascii="David" w:hAnsi="David"/>
            <w:color w:val="0000FF"/>
            <w:u w:val="single"/>
            <w:rtl/>
            <w:lang w:eastAsia="he-IL"/>
          </w:rPr>
          <w:t xml:space="preserve">1313/4 </w:t>
        </w:r>
      </w:hyperlink>
      <w:r w:rsidRPr="00BC03EF">
        <w:rPr>
          <w:rFonts w:ascii="David" w:hAnsi="David"/>
          <w:rtl/>
          <w:lang w:eastAsia="he-IL"/>
        </w:rPr>
        <w:t xml:space="preserve"> </w:t>
      </w:r>
      <w:r w:rsidRPr="00BC03EF">
        <w:rPr>
          <w:rFonts w:ascii="David" w:hAnsi="David"/>
          <w:b/>
          <w:bCs/>
          <w:rtl/>
          <w:lang w:eastAsia="he-IL"/>
        </w:rPr>
        <w:t>בהתימי נ' מ"י</w:t>
      </w:r>
      <w:r w:rsidRPr="00BC03EF">
        <w:rPr>
          <w:rFonts w:ascii="David" w:hAnsi="David"/>
          <w:rtl/>
          <w:lang w:eastAsia="he-IL"/>
        </w:rPr>
        <w:t xml:space="preserve"> (9.6.2015) - הורשע המערער בהחזקת סם מסוכן שלא לצריכה עצמית בכך שהחזיק סם מסוכן מסוג קוקאין במשקל של 50 גרם. המערער נדון לעונש של 42 חודשי מאסר בפועל ולהפעלת מאסר על תנאי בן 10 חודשי מאסר במצטבר. ערעורו נדחה ונפסק :</w:t>
      </w:r>
      <w:r w:rsidRPr="00BC03EF">
        <w:rPr>
          <w:rFonts w:ascii="David" w:hAnsi="David"/>
          <w:b/>
          <w:bCs/>
          <w:rtl/>
          <w:lang w:eastAsia="he-IL"/>
        </w:rPr>
        <w:t>"עסקינן בסם מסוג קוקאין ובמשקל של כחמישים גרם. אלו נתונים שמצדיקים עונש חמור. המערער אף בעל עבר פלילי עשיר".</w:t>
      </w:r>
    </w:p>
    <w:p w14:paraId="0F51B3DF" w14:textId="77777777" w:rsidR="003D54B7" w:rsidRPr="00BC03EF" w:rsidRDefault="003D54B7" w:rsidP="003D54B7">
      <w:pPr>
        <w:jc w:val="both"/>
        <w:rPr>
          <w:rFonts w:ascii="David" w:hAnsi="David"/>
          <w:rtl/>
        </w:rPr>
      </w:pPr>
    </w:p>
    <w:p w14:paraId="4C6E257D" w14:textId="77777777" w:rsidR="003D54B7" w:rsidRPr="00BC03EF" w:rsidRDefault="003D54B7" w:rsidP="003D54B7">
      <w:pPr>
        <w:spacing w:line="360" w:lineRule="auto"/>
        <w:contextualSpacing/>
        <w:jc w:val="both"/>
        <w:rPr>
          <w:rFonts w:ascii="David" w:hAnsi="David"/>
          <w:b/>
          <w:bCs/>
          <w:lang w:eastAsia="he-IL"/>
        </w:rPr>
      </w:pPr>
      <w:r w:rsidRPr="00BC03EF">
        <w:rPr>
          <w:rFonts w:ascii="David" w:hAnsi="David"/>
          <w:rtl/>
          <w:lang w:eastAsia="he-IL"/>
        </w:rPr>
        <w:t xml:space="preserve">בע"פ </w:t>
      </w:r>
      <w:hyperlink r:id="rId29" w:history="1">
        <w:r w:rsidR="001663B3" w:rsidRPr="001663B3">
          <w:rPr>
            <w:rFonts w:ascii="David" w:hAnsi="David"/>
            <w:color w:val="0000FF"/>
            <w:u w:val="single"/>
            <w:rtl/>
            <w:lang w:eastAsia="he-IL"/>
          </w:rPr>
          <w:t>4203/14</w:t>
        </w:r>
      </w:hyperlink>
      <w:r w:rsidRPr="00BC03EF">
        <w:rPr>
          <w:rFonts w:ascii="David" w:hAnsi="David"/>
          <w:rtl/>
          <w:lang w:eastAsia="he-IL"/>
        </w:rPr>
        <w:t xml:space="preserve"> </w:t>
      </w:r>
      <w:r w:rsidRPr="00BC03EF">
        <w:rPr>
          <w:rFonts w:ascii="David" w:hAnsi="David"/>
          <w:b/>
          <w:bCs/>
          <w:rtl/>
          <w:lang w:eastAsia="he-IL"/>
        </w:rPr>
        <w:t>אליהו כהן נ' מ"י</w:t>
      </w:r>
      <w:r w:rsidRPr="00BC03EF">
        <w:rPr>
          <w:rFonts w:ascii="David" w:hAnsi="David"/>
          <w:rtl/>
          <w:lang w:eastAsia="he-IL"/>
        </w:rPr>
        <w:t xml:space="preserve"> (14.5.2015) – המערער הורשע בעבירות של החזקת סם מסוכן שלא לצריכה עצמית ועבירות נוספות של החזקת כלים המשמשים לסם, הפרעה לשוטר במילוי תפקידו, נהיגה ללא רישיון תקף וביטוח, בכך שבחזקתו נתפסו 208 גרם סם מסוכן מסוג קוקאין ו- 189 גרם סם מסוכן מסוג חשיש, ועל המערער, בעל עבר פלילי מכביד, הוטל עונש של 4 שנות מאסר במצטבר להפעלת 10 חודשי מאסר מותנה. ביהמ"ש העליון דחה את הערעור, והוסיף לעניין חומרת העבירה ומתחם העונש שנקבע: </w:t>
      </w:r>
      <w:r w:rsidRPr="00BC03EF">
        <w:rPr>
          <w:rFonts w:ascii="David" w:hAnsi="David"/>
          <w:b/>
          <w:bCs/>
          <w:rtl/>
          <w:lang w:eastAsia="he-IL"/>
        </w:rPr>
        <w:t>"אשר לעונש, הגם שהנגזר בבית המשפט המחוזי אינו קל, אין אף כאן מקום להתערבותנו – וזאת, ראשית, נוכח חומרת העבירה (החזקה של סם קשה מסוג קוקאין בכמות מסחרית משמעותית). כידוע השווה המחוקק החזקת סם שלא לצריכה עצמית (סעיף 7 (א) (ג) רישא ל</w:t>
      </w:r>
      <w:hyperlink r:id="rId30" w:history="1">
        <w:r w:rsidR="00B07275" w:rsidRPr="00B07275">
          <w:rPr>
            <w:rFonts w:ascii="David" w:hAnsi="David"/>
            <w:b/>
            <w:bCs/>
            <w:color w:val="0000FF"/>
            <w:u w:val="single"/>
            <w:rtl/>
            <w:lang w:eastAsia="he-IL"/>
          </w:rPr>
          <w:t>פקודת הסמים המסוכנים</w:t>
        </w:r>
      </w:hyperlink>
      <w:r w:rsidRPr="00BC03EF">
        <w:rPr>
          <w:rFonts w:ascii="David" w:hAnsi="David"/>
          <w:b/>
          <w:bCs/>
          <w:rtl/>
          <w:lang w:eastAsia="he-IL"/>
        </w:rPr>
        <w:t>) לסחר מבחינת תג הענישה המירבי, 20 שנות מאסר (לעניין סחר ראו סעיף 19א לפקודה), וזאת מטעמים טובים: ברי מדוע בחר המחוקק לקבוע כך, שכן לא תמיד ניתן להוכיח סחר, אך כמות גדולה של סמים שאינה לצריכה עצמית מטבעה מועדת לפורענות, ודעת לנבון נקל. בנדון דידן, שוב, רק שוטה שבעולם יתן אמונו בכוונותיו הבסיסיות של המחזיק 208 גרם של קוקאין בביתו, כאשר במקום נמצא גם משקל המשמש לסמים. אין איפוא דופי במתחם הענישה שנקבע, 3 עד 5 שנים."</w:t>
      </w:r>
    </w:p>
    <w:p w14:paraId="38A0FE15" w14:textId="77777777" w:rsidR="003D54B7" w:rsidRPr="00BC03EF" w:rsidRDefault="003D54B7" w:rsidP="003D54B7">
      <w:pPr>
        <w:spacing w:line="360" w:lineRule="auto"/>
        <w:jc w:val="both"/>
        <w:rPr>
          <w:rFonts w:ascii="David" w:hAnsi="David"/>
        </w:rPr>
      </w:pPr>
    </w:p>
    <w:p w14:paraId="13404505" w14:textId="77777777" w:rsidR="003D54B7" w:rsidRPr="00BC03EF" w:rsidRDefault="003D54B7" w:rsidP="003D54B7">
      <w:pPr>
        <w:spacing w:line="360" w:lineRule="auto"/>
        <w:contextualSpacing/>
        <w:jc w:val="both"/>
        <w:rPr>
          <w:rFonts w:ascii="David" w:hAnsi="David"/>
        </w:rPr>
      </w:pPr>
      <w:r w:rsidRPr="00BC03EF">
        <w:rPr>
          <w:rFonts w:ascii="David" w:hAnsi="David"/>
          <w:rtl/>
        </w:rPr>
        <w:t>ב</w:t>
      </w:r>
      <w:hyperlink r:id="rId31" w:history="1">
        <w:r w:rsidR="00B07275" w:rsidRPr="00B07275">
          <w:rPr>
            <w:rFonts w:ascii="David" w:hAnsi="David"/>
            <w:color w:val="0000FF"/>
            <w:u w:val="single"/>
            <w:rtl/>
          </w:rPr>
          <w:t>ע"פ 5958/13</w:t>
        </w:r>
      </w:hyperlink>
      <w:r w:rsidRPr="00BC03EF">
        <w:rPr>
          <w:rFonts w:ascii="David" w:hAnsi="David"/>
          <w:rtl/>
        </w:rPr>
        <w:t xml:space="preserve"> </w:t>
      </w:r>
      <w:r w:rsidRPr="00BC03EF">
        <w:rPr>
          <w:rFonts w:ascii="David" w:hAnsi="David"/>
          <w:b/>
          <w:bCs/>
          <w:rtl/>
        </w:rPr>
        <w:t>גיא סבג נ' מ"י</w:t>
      </w:r>
      <w:r w:rsidRPr="00BC03EF">
        <w:rPr>
          <w:rFonts w:ascii="David" w:hAnsi="David"/>
          <w:rtl/>
        </w:rPr>
        <w:t xml:space="preserve"> (29.7.2014) – המערער הורשע בעבירות של החזקת סם מסוכן שלא לצריכה עצמית וניסיון להחזקת סם מסוכן שלא לצריכה עצמית, כאשר אחר שלח למערער חבילת דואר לישראל ובה סם מסוכן מסוג קוקאין במשקל 453.28 גרם. המערער ללא עבר פלילי וביהמ"ש המחוזי קבע מתחם בין 2-6 שנות מאסר וגזר עליו 3 שנות מאסר.  ביהמ"ש העליון דחה את הערעור תוך הדגשה כי מדובר בעבירה חמורה, ובמקרים בהם נתפסו כמויות סמים פחותות בסך עשרות גרמים הוטלו עונשים דומים. </w:t>
      </w:r>
    </w:p>
    <w:p w14:paraId="23A49F0B" w14:textId="77777777" w:rsidR="003D54B7" w:rsidRPr="00BC03EF" w:rsidRDefault="003D54B7" w:rsidP="003D54B7">
      <w:pPr>
        <w:spacing w:line="360" w:lineRule="auto"/>
        <w:ind w:left="720"/>
        <w:contextualSpacing/>
        <w:jc w:val="both"/>
        <w:rPr>
          <w:rFonts w:ascii="David" w:hAnsi="David"/>
        </w:rPr>
      </w:pPr>
    </w:p>
    <w:p w14:paraId="7D7634BF" w14:textId="77777777" w:rsidR="003D54B7" w:rsidRPr="00BC03EF" w:rsidRDefault="003D54B7" w:rsidP="003D54B7">
      <w:pPr>
        <w:spacing w:line="360" w:lineRule="auto"/>
        <w:contextualSpacing/>
        <w:jc w:val="both"/>
        <w:rPr>
          <w:rFonts w:ascii="David" w:hAnsi="David"/>
          <w:b/>
          <w:bCs/>
        </w:rPr>
      </w:pPr>
      <w:r w:rsidRPr="00BC03EF">
        <w:rPr>
          <w:rFonts w:ascii="David" w:hAnsi="David"/>
          <w:rtl/>
        </w:rPr>
        <w:t>ב</w:t>
      </w:r>
      <w:hyperlink r:id="rId32" w:history="1">
        <w:r w:rsidR="00B07275" w:rsidRPr="00B07275">
          <w:rPr>
            <w:rFonts w:ascii="David" w:hAnsi="David"/>
            <w:color w:val="0000FF"/>
            <w:u w:val="single"/>
            <w:rtl/>
          </w:rPr>
          <w:t>ע"פ 2410/07</w:t>
        </w:r>
      </w:hyperlink>
      <w:r w:rsidRPr="00BC03EF">
        <w:rPr>
          <w:rFonts w:ascii="David" w:hAnsi="David"/>
          <w:rtl/>
        </w:rPr>
        <w:t xml:space="preserve"> </w:t>
      </w:r>
      <w:r w:rsidRPr="00BC03EF">
        <w:rPr>
          <w:rFonts w:ascii="David" w:hAnsi="David"/>
          <w:b/>
          <w:bCs/>
          <w:rtl/>
        </w:rPr>
        <w:t>אורהן תורכ נ' מ"י</w:t>
      </w:r>
      <w:r w:rsidRPr="00BC03EF">
        <w:rPr>
          <w:rFonts w:ascii="David" w:hAnsi="David"/>
          <w:rtl/>
        </w:rPr>
        <w:t xml:space="preserve"> (18.10.2007) - המערער הורשע בעבירה של החזקת סם מסוכן שלא לצריכה עצמית, בכך שהחזיק בסם מסוכן מסוג קוקאין במשקל של 68.6 גרם. ביהמ"ש המחוזי הטיל עליו 3 שנות מאסר. ביהמ"ש העליון דחה את הערעור וציין כי: </w:t>
      </w:r>
      <w:r w:rsidRPr="00BC03EF">
        <w:rPr>
          <w:rFonts w:ascii="David" w:hAnsi="David"/>
          <w:b/>
          <w:bCs/>
          <w:rtl/>
        </w:rPr>
        <w:t>"עבירות הסמים הפכו למגפה בחברתנו ומתפקידו של בית המשפט להלחם בהן בדרך של ענישה מחמירה".</w:t>
      </w:r>
    </w:p>
    <w:p w14:paraId="3AD275BA" w14:textId="77777777" w:rsidR="003D54B7" w:rsidRPr="00BC03EF" w:rsidRDefault="003D54B7" w:rsidP="003D54B7">
      <w:pPr>
        <w:spacing w:line="360" w:lineRule="auto"/>
        <w:jc w:val="both"/>
        <w:rPr>
          <w:rFonts w:ascii="David" w:hAnsi="David"/>
          <w:rtl/>
          <w:lang w:eastAsia="he-IL"/>
        </w:rPr>
      </w:pPr>
    </w:p>
    <w:p w14:paraId="36FB419A"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בעניינו של הנאשם, מדובר כאמור בנסיבות חמורות של ביצוע עבירה, החזקת סם מסוכן מסוג קוקאין במשקל של כ-441 גרם, ובנסיבות אלו המתחם צריך היה להיות אף גבוה מהמתחם אליו התייחס בית המשפט העליון במקרים של החזקת עשרות גרמים של סם מסוכן זה – דהיינו 3-5 שנות מאסר. ואולם, כאמור, יש להביא במסגרת השיקולים, אם כי באופן מידתי, את הנסיבות הנוספות שנקבעו בהכרעת הדין, על כי מדובר היה בסם של אחר, ועל כי האחר ניצלו ואיים עליו.</w:t>
      </w:r>
    </w:p>
    <w:p w14:paraId="60109366" w14:textId="77777777" w:rsidR="003D54B7" w:rsidRPr="00BC03EF" w:rsidRDefault="003D54B7" w:rsidP="003D54B7">
      <w:pPr>
        <w:spacing w:line="360" w:lineRule="auto"/>
        <w:jc w:val="both"/>
        <w:rPr>
          <w:rFonts w:ascii="David" w:hAnsi="David"/>
          <w:rtl/>
          <w:lang w:eastAsia="he-IL"/>
        </w:rPr>
      </w:pPr>
    </w:p>
    <w:p w14:paraId="76F3A3D1"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 xml:space="preserve">נסיבות אלו צריכות לבוא בגדר הנסיבות מכוחן ייקבע מתחם העונש ההולם, ונסיבות אלו משמעותן קביעת מתחם עונש הולם מעט נמוך יותר מאשר היה צריך להיקבע לו לא היו נסיבות אלו קיימות בעניינו של הנאשם. </w:t>
      </w:r>
    </w:p>
    <w:p w14:paraId="7BE07B1D" w14:textId="77777777" w:rsidR="003D54B7" w:rsidRPr="00BC03EF" w:rsidRDefault="003D54B7" w:rsidP="003D54B7">
      <w:pPr>
        <w:spacing w:line="360" w:lineRule="auto"/>
        <w:jc w:val="both"/>
        <w:rPr>
          <w:rFonts w:ascii="David" w:hAnsi="David"/>
          <w:rtl/>
          <w:lang w:eastAsia="he-IL"/>
        </w:rPr>
      </w:pPr>
    </w:p>
    <w:p w14:paraId="6DE000D7"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אכן, כטענת ב"כ המאשימה, אין לתת משמעות כה גדולה כפי שעותרת ההגנה לכך שהאחר איים עליו וניצל אותו, ואכן מצופה היה ממנו, כפי שמצופה מכל אזרח, לשמור על החוק ואם הוא מאוים לפנות למשטרה. לפיכך, ההבאה של נסיבות אלו במסגרת השיקולים תהיה מידתית ולא במשקל כפי שההגנה</w:t>
      </w:r>
      <w:r>
        <w:rPr>
          <w:rFonts w:ascii="David" w:hAnsi="David"/>
          <w:rtl/>
          <w:lang w:eastAsia="he-IL"/>
        </w:rPr>
        <w:t xml:space="preserve"> טוענת ל</w:t>
      </w:r>
      <w:r>
        <w:rPr>
          <w:rFonts w:ascii="David" w:hAnsi="David" w:hint="cs"/>
          <w:rtl/>
          <w:lang w:eastAsia="he-IL"/>
        </w:rPr>
        <w:t>ו</w:t>
      </w:r>
      <w:r w:rsidRPr="00BC03EF">
        <w:rPr>
          <w:rFonts w:ascii="David" w:hAnsi="David"/>
          <w:rtl/>
          <w:lang w:eastAsia="he-IL"/>
        </w:rPr>
        <w:t xml:space="preserve">, אך לא ניתן להתעלם מהעובדה שמדובר בנסיבות רלבנטיות לקביעת המתחם. </w:t>
      </w:r>
    </w:p>
    <w:p w14:paraId="458D3B4E" w14:textId="77777777" w:rsidR="003D54B7" w:rsidRPr="00BC03EF" w:rsidRDefault="003D54B7" w:rsidP="003D54B7">
      <w:pPr>
        <w:spacing w:line="360" w:lineRule="auto"/>
        <w:jc w:val="both"/>
        <w:rPr>
          <w:rFonts w:ascii="David" w:hAnsi="David"/>
          <w:rtl/>
          <w:lang w:eastAsia="he-IL"/>
        </w:rPr>
      </w:pPr>
    </w:p>
    <w:p w14:paraId="5628FB46"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 xml:space="preserve">אשר לטענה שהועלתה במסגרת הטיעונים לעונש על קרבה לסייג – אינני מוצא כי הנסיבות האמורות עולות כדי קרבה לסייג הכורח. לא הוכחה מי מהנסיבות אשר יכולות להביא לקרבה לסייג. הגם שנסיבות אלו רלבנטיות וצריכות לבוא במסגרת השיקולים, אין בהן כדי קרבה לסייג הכורח. </w:t>
      </w:r>
    </w:p>
    <w:p w14:paraId="7D3C8165" w14:textId="77777777" w:rsidR="003D54B7" w:rsidRPr="00BC03EF" w:rsidRDefault="003D54B7" w:rsidP="003D54B7">
      <w:pPr>
        <w:spacing w:line="360" w:lineRule="auto"/>
        <w:jc w:val="both"/>
        <w:rPr>
          <w:rFonts w:ascii="David" w:hAnsi="David"/>
          <w:rtl/>
          <w:lang w:eastAsia="he-IL"/>
        </w:rPr>
      </w:pPr>
    </w:p>
    <w:p w14:paraId="153CFF26" w14:textId="77777777" w:rsidR="003D54B7" w:rsidRPr="00BC03EF" w:rsidRDefault="003D54B7" w:rsidP="003D54B7">
      <w:pPr>
        <w:spacing w:line="360" w:lineRule="auto"/>
        <w:jc w:val="both"/>
        <w:rPr>
          <w:rFonts w:ascii="David" w:hAnsi="David"/>
          <w:rtl/>
          <w:lang w:eastAsia="he-IL"/>
        </w:rPr>
      </w:pPr>
      <w:r w:rsidRPr="00BC03EF">
        <w:rPr>
          <w:rFonts w:ascii="David" w:hAnsi="David"/>
          <w:rtl/>
          <w:lang w:eastAsia="he-IL"/>
        </w:rPr>
        <w:t>מכל האמור, לאור הנסיבות המסוימות של ביצוע העבירות במקרה ז</w:t>
      </w:r>
      <w:r>
        <w:rPr>
          <w:rFonts w:ascii="David" w:hAnsi="David" w:hint="cs"/>
          <w:rtl/>
          <w:lang w:eastAsia="he-IL"/>
        </w:rPr>
        <w:t>ה</w:t>
      </w:r>
      <w:r w:rsidRPr="00BC03EF">
        <w:rPr>
          <w:rFonts w:ascii="David" w:hAnsi="David"/>
          <w:rtl/>
          <w:lang w:eastAsia="he-IL"/>
        </w:rPr>
        <w:t xml:space="preserve">, אני מוצא את מתחם העונש ההולם בגין העבירות אשר בוצעו ע"י הנאשם, ככולל מאסר בפועל הנע בין 30 ל-54 חודשים. </w:t>
      </w:r>
    </w:p>
    <w:p w14:paraId="6015073B" w14:textId="77777777" w:rsidR="003D54B7" w:rsidRPr="00BC03EF" w:rsidRDefault="003D54B7" w:rsidP="003D54B7">
      <w:pPr>
        <w:spacing w:line="360" w:lineRule="auto"/>
        <w:jc w:val="both"/>
        <w:rPr>
          <w:rtl/>
          <w:lang w:eastAsia="he-IL"/>
        </w:rPr>
      </w:pPr>
    </w:p>
    <w:p w14:paraId="21C345A4" w14:textId="77777777" w:rsidR="003D54B7" w:rsidRPr="00BC03EF" w:rsidRDefault="003D54B7" w:rsidP="003D54B7">
      <w:pPr>
        <w:spacing w:line="360" w:lineRule="auto"/>
        <w:jc w:val="both"/>
        <w:rPr>
          <w:rtl/>
          <w:lang w:eastAsia="he-IL"/>
        </w:rPr>
      </w:pPr>
      <w:r w:rsidRPr="00BC03EF">
        <w:rPr>
          <w:rtl/>
          <w:lang w:eastAsia="he-IL"/>
        </w:rPr>
        <w:t>המאשימה עתרה גם להטלת קנס. אכן, בעבירות מסוג זה, לאור ההיבט הכלכלי שלהן על הענישה לכלול גם רכיב כלכלי. ברכיב זה יש להביא במסגרת השיקולים את מצבו הכלכלי של הנאשם.</w:t>
      </w:r>
    </w:p>
    <w:p w14:paraId="5B536AEF" w14:textId="77777777" w:rsidR="003D54B7" w:rsidRPr="00BC03EF" w:rsidRDefault="003D54B7" w:rsidP="003D54B7">
      <w:pPr>
        <w:spacing w:line="360" w:lineRule="auto"/>
        <w:jc w:val="both"/>
        <w:rPr>
          <w:rtl/>
          <w:lang w:eastAsia="he-IL"/>
        </w:rPr>
      </w:pPr>
    </w:p>
    <w:p w14:paraId="2A3A422B" w14:textId="77777777" w:rsidR="003D54B7" w:rsidRPr="00BC03EF" w:rsidRDefault="003D54B7" w:rsidP="003D54B7">
      <w:pPr>
        <w:spacing w:line="360" w:lineRule="auto"/>
        <w:jc w:val="both"/>
        <w:rPr>
          <w:rtl/>
          <w:lang w:eastAsia="he-IL"/>
        </w:rPr>
      </w:pPr>
      <w:r w:rsidRPr="00BC03EF">
        <w:rPr>
          <w:rtl/>
          <w:lang w:eastAsia="he-IL"/>
        </w:rPr>
        <w:t>כן יש להביא בשיקולים את העובדה שמדובר במי שהסמים לא היו שייכים לו, ולפיכך, ההיבט הכלכלי הינו בעל משקל נמוך יותר מטבע הדברים.</w:t>
      </w:r>
    </w:p>
    <w:p w14:paraId="18094251" w14:textId="77777777" w:rsidR="003D54B7" w:rsidRPr="00BC03EF" w:rsidRDefault="003D54B7" w:rsidP="003D54B7">
      <w:pPr>
        <w:spacing w:line="360" w:lineRule="auto"/>
        <w:jc w:val="both"/>
        <w:rPr>
          <w:rtl/>
          <w:lang w:eastAsia="he-IL"/>
        </w:rPr>
      </w:pPr>
    </w:p>
    <w:p w14:paraId="3641D6F9" w14:textId="77777777" w:rsidR="003D54B7" w:rsidRPr="00BC03EF" w:rsidRDefault="003D54B7" w:rsidP="003D54B7">
      <w:pPr>
        <w:spacing w:line="360" w:lineRule="auto"/>
        <w:jc w:val="both"/>
        <w:rPr>
          <w:rtl/>
          <w:lang w:eastAsia="he-IL"/>
        </w:rPr>
      </w:pPr>
      <w:r w:rsidRPr="00BC03EF">
        <w:rPr>
          <w:rtl/>
          <w:lang w:eastAsia="he-IL"/>
        </w:rPr>
        <w:t>אשר על כן, הקנס צריך יהיה להיות במתחם נמוך מהרגיל, ואני קובע כי  מתחם הקנס הינו בין</w:t>
      </w:r>
      <w:r>
        <w:rPr>
          <w:rFonts w:hint="cs"/>
          <w:rtl/>
          <w:lang w:eastAsia="he-IL"/>
        </w:rPr>
        <w:t xml:space="preserve"> </w:t>
      </w:r>
      <w:r w:rsidRPr="00BC03EF">
        <w:rPr>
          <w:rtl/>
          <w:lang w:eastAsia="he-IL"/>
        </w:rPr>
        <w:t xml:space="preserve"> 10,000 ₪ ל-30,000 ₪. </w:t>
      </w:r>
    </w:p>
    <w:p w14:paraId="16E0D51E" w14:textId="77777777" w:rsidR="003D54B7" w:rsidRPr="00BC03EF" w:rsidRDefault="003D54B7" w:rsidP="003D54B7">
      <w:pPr>
        <w:spacing w:line="360" w:lineRule="auto"/>
        <w:jc w:val="both"/>
        <w:rPr>
          <w:rtl/>
          <w:lang w:eastAsia="he-IL"/>
        </w:rPr>
      </w:pPr>
    </w:p>
    <w:p w14:paraId="4A5C9E63" w14:textId="77777777" w:rsidR="003D54B7" w:rsidRPr="00BC03EF" w:rsidRDefault="003D54B7" w:rsidP="003D54B7">
      <w:pPr>
        <w:spacing w:line="360" w:lineRule="auto"/>
        <w:jc w:val="both"/>
        <w:rPr>
          <w:b/>
          <w:bCs/>
          <w:u w:val="single"/>
          <w:rtl/>
          <w:lang w:eastAsia="he-IL"/>
        </w:rPr>
      </w:pPr>
      <w:r w:rsidRPr="00BC03EF">
        <w:rPr>
          <w:b/>
          <w:bCs/>
          <w:u w:val="single"/>
          <w:rtl/>
          <w:lang w:eastAsia="he-IL"/>
        </w:rPr>
        <w:t>הענישה</w:t>
      </w:r>
    </w:p>
    <w:p w14:paraId="5E352889" w14:textId="77777777" w:rsidR="003D54B7" w:rsidRPr="00BC03EF" w:rsidRDefault="003D54B7" w:rsidP="003D54B7">
      <w:pPr>
        <w:spacing w:line="360" w:lineRule="auto"/>
        <w:jc w:val="both"/>
        <w:rPr>
          <w:b/>
          <w:bCs/>
          <w:u w:val="single"/>
          <w:rtl/>
          <w:lang w:eastAsia="he-IL"/>
        </w:rPr>
      </w:pPr>
    </w:p>
    <w:p w14:paraId="3860F12D" w14:textId="77777777" w:rsidR="003D54B7" w:rsidRPr="00BC03EF" w:rsidRDefault="003D54B7" w:rsidP="003D54B7">
      <w:pPr>
        <w:spacing w:line="360" w:lineRule="auto"/>
        <w:jc w:val="both"/>
        <w:rPr>
          <w:rtl/>
          <w:lang w:eastAsia="he-IL"/>
        </w:rPr>
      </w:pPr>
      <w:r>
        <w:rPr>
          <w:rtl/>
          <w:lang w:eastAsia="he-IL"/>
        </w:rPr>
        <w:t>8.</w:t>
      </w:r>
      <w:r>
        <w:rPr>
          <w:rtl/>
          <w:lang w:eastAsia="he-IL"/>
        </w:rPr>
        <w:tab/>
        <w:t>הנאשם יליד 200</w:t>
      </w:r>
      <w:r>
        <w:rPr>
          <w:rFonts w:hint="cs"/>
          <w:rtl/>
          <w:lang w:eastAsia="he-IL"/>
        </w:rPr>
        <w:t>0</w:t>
      </w:r>
      <w:r w:rsidRPr="00BC03EF">
        <w:rPr>
          <w:rtl/>
          <w:lang w:eastAsia="he-IL"/>
        </w:rPr>
        <w:t xml:space="preserve"> והוא נעדר עבר פלילי. ב"כ הנאשם, לאחר הכרעת הדין, ביקש לקבוע ישיבת תזכורת בטרם יחליט אם יבקש הגשת תסקיר, ובהמשך לא התבקש תסקיר והתבקש לקבוע דיון לטיעונים לעונש, ואלו נשמעו. </w:t>
      </w:r>
    </w:p>
    <w:p w14:paraId="7A112A47" w14:textId="77777777" w:rsidR="003D54B7" w:rsidRPr="00BC03EF" w:rsidRDefault="003D54B7" w:rsidP="003D54B7">
      <w:pPr>
        <w:spacing w:line="360" w:lineRule="auto"/>
        <w:jc w:val="both"/>
        <w:rPr>
          <w:rtl/>
          <w:lang w:eastAsia="he-IL"/>
        </w:rPr>
      </w:pPr>
    </w:p>
    <w:p w14:paraId="7F8FEB50" w14:textId="77777777" w:rsidR="003D54B7" w:rsidRPr="00BC03EF" w:rsidRDefault="003D54B7" w:rsidP="003D54B7">
      <w:pPr>
        <w:spacing w:line="360" w:lineRule="auto"/>
        <w:jc w:val="both"/>
        <w:rPr>
          <w:rtl/>
          <w:lang w:eastAsia="he-IL"/>
        </w:rPr>
      </w:pPr>
      <w:r w:rsidRPr="00BC03EF">
        <w:rPr>
          <w:rtl/>
          <w:lang w:eastAsia="he-IL"/>
        </w:rPr>
        <w:t>ב"כ המאשימה עתר להטלת עונש ברף התחתון של מתחם העונש ההולם לו עתר, וזאת לאור העדר עבר פלילי, הגיל הצעי</w:t>
      </w:r>
      <w:r>
        <w:rPr>
          <w:rtl/>
          <w:lang w:eastAsia="he-IL"/>
        </w:rPr>
        <w:t>ר וקבלת האחריות המסוימת על יד</w:t>
      </w:r>
      <w:r>
        <w:rPr>
          <w:rFonts w:hint="cs"/>
          <w:rtl/>
          <w:lang w:eastAsia="he-IL"/>
        </w:rPr>
        <w:t>י הנאשם.</w:t>
      </w:r>
    </w:p>
    <w:p w14:paraId="4F435047" w14:textId="77777777" w:rsidR="003D54B7" w:rsidRPr="00BC03EF" w:rsidRDefault="003D54B7" w:rsidP="003D54B7">
      <w:pPr>
        <w:spacing w:line="360" w:lineRule="auto"/>
        <w:jc w:val="both"/>
        <w:rPr>
          <w:rtl/>
          <w:lang w:eastAsia="he-IL"/>
        </w:rPr>
      </w:pPr>
    </w:p>
    <w:p w14:paraId="646B8324" w14:textId="77777777" w:rsidR="003D54B7" w:rsidRPr="00BC03EF" w:rsidRDefault="003D54B7" w:rsidP="003D54B7">
      <w:pPr>
        <w:spacing w:line="360" w:lineRule="auto"/>
        <w:jc w:val="both"/>
        <w:rPr>
          <w:rtl/>
          <w:lang w:eastAsia="he-IL"/>
        </w:rPr>
      </w:pPr>
      <w:r w:rsidRPr="00BC03EF">
        <w:rPr>
          <w:rtl/>
          <w:lang w:eastAsia="he-IL"/>
        </w:rPr>
        <w:t xml:space="preserve">סבורני, כי הנימוקים של ב"כ המאשימה לענישה ברף התחתון של המתחם, עומדים בתוקפם גם משנקבע מתחם אחר מזה אליו עתרו. ומנימוקים אלו יש לקבוע את עונשו של הנאשם ברף התחתון של המתחם. זאת הן ביחס למאסר בפועל והן ביחס לקנס. </w:t>
      </w:r>
    </w:p>
    <w:p w14:paraId="0B92E3A2" w14:textId="77777777" w:rsidR="003D54B7" w:rsidRPr="00BC03EF" w:rsidRDefault="003D54B7" w:rsidP="003D54B7">
      <w:pPr>
        <w:spacing w:line="360" w:lineRule="auto"/>
        <w:jc w:val="both"/>
        <w:rPr>
          <w:rtl/>
          <w:lang w:eastAsia="he-IL"/>
        </w:rPr>
      </w:pPr>
    </w:p>
    <w:p w14:paraId="1D337261" w14:textId="77777777" w:rsidR="003D54B7" w:rsidRPr="00BC03EF" w:rsidRDefault="003D54B7" w:rsidP="003D54B7">
      <w:pPr>
        <w:spacing w:line="360" w:lineRule="auto"/>
        <w:jc w:val="both"/>
        <w:rPr>
          <w:rtl/>
          <w:lang w:eastAsia="he-IL"/>
        </w:rPr>
      </w:pPr>
      <w:r w:rsidRPr="00BC03EF">
        <w:rPr>
          <w:rtl/>
          <w:lang w:eastAsia="he-IL"/>
        </w:rPr>
        <w:t>יש להוסיף כי בעבירות אלו, ברגיל, יש לתת משקל גם לשיקול הרתעת הרבים כמו גם הרתעת היחיד, ואולם בנסיבותיו של הנאשם, גילו הצעיר, וקבלת האחריות על ידו, אינני סבור כי יש להחמיר בענישה.</w:t>
      </w:r>
    </w:p>
    <w:p w14:paraId="59B7B360" w14:textId="77777777" w:rsidR="003D54B7" w:rsidRPr="00BC03EF" w:rsidRDefault="003D54B7" w:rsidP="003D54B7">
      <w:pPr>
        <w:spacing w:line="360" w:lineRule="auto"/>
        <w:jc w:val="both"/>
        <w:rPr>
          <w:rtl/>
          <w:lang w:eastAsia="he-IL"/>
        </w:rPr>
      </w:pPr>
    </w:p>
    <w:p w14:paraId="7769564B" w14:textId="77777777" w:rsidR="003D54B7" w:rsidRPr="00BC03EF" w:rsidRDefault="003D54B7" w:rsidP="003D54B7">
      <w:pPr>
        <w:spacing w:line="360" w:lineRule="auto"/>
        <w:jc w:val="both"/>
        <w:rPr>
          <w:rtl/>
          <w:lang w:eastAsia="he-IL"/>
        </w:rPr>
      </w:pPr>
      <w:r w:rsidRPr="00BC03EF">
        <w:rPr>
          <w:rtl/>
          <w:lang w:eastAsia="he-IL"/>
        </w:rPr>
        <w:t xml:space="preserve">יש להוסיף, כי האחריות אשר קיבל הנאשם הינה אחריות מלאה, לכל האמור בכתב האישום המקורי, והעובדה שעמד על שמיעת ראיות, התייחסה אך ורק לעובדות הנוספות אשר הוא עתר לכך שיבואו במסגרת התשתית העובדתית, עובדות אשר נקבע לבסוף, כטענתו, כי יש לקבלן. </w:t>
      </w:r>
    </w:p>
    <w:p w14:paraId="1F207515" w14:textId="77777777" w:rsidR="003D54B7" w:rsidRPr="00BC03EF" w:rsidRDefault="003D54B7" w:rsidP="003D54B7">
      <w:pPr>
        <w:spacing w:line="360" w:lineRule="auto"/>
        <w:jc w:val="both"/>
        <w:rPr>
          <w:rtl/>
          <w:lang w:eastAsia="he-IL"/>
        </w:rPr>
      </w:pPr>
    </w:p>
    <w:p w14:paraId="3B386798" w14:textId="77777777" w:rsidR="003D54B7" w:rsidRPr="00BC03EF" w:rsidRDefault="003D54B7" w:rsidP="003D54B7">
      <w:pPr>
        <w:spacing w:line="360" w:lineRule="auto"/>
        <w:jc w:val="both"/>
        <w:rPr>
          <w:rtl/>
          <w:lang w:eastAsia="he-IL"/>
        </w:rPr>
      </w:pPr>
      <w:r w:rsidRPr="00BC03EF">
        <w:rPr>
          <w:rtl/>
          <w:lang w:eastAsia="he-IL"/>
        </w:rPr>
        <w:t>אשר לעתירת המאשימה להטיל פסילה בפועל ופסילה מותנית – אינני מוצא מקום להורות כן, מתוך תקווה כי יהיה בכך כדי לסייע לשיקומו של הנאשם, שהינו נעדר עבר פלילי.</w:t>
      </w:r>
    </w:p>
    <w:p w14:paraId="7DEAF833" w14:textId="77777777" w:rsidR="003D54B7" w:rsidRPr="00BC03EF" w:rsidRDefault="003D54B7" w:rsidP="003D54B7">
      <w:pPr>
        <w:spacing w:line="360" w:lineRule="auto"/>
        <w:jc w:val="both"/>
        <w:rPr>
          <w:rtl/>
          <w:lang w:eastAsia="he-IL"/>
        </w:rPr>
      </w:pPr>
    </w:p>
    <w:p w14:paraId="3A40AF65" w14:textId="77777777" w:rsidR="003D54B7" w:rsidRPr="00BC03EF" w:rsidRDefault="003D54B7" w:rsidP="003D54B7">
      <w:pPr>
        <w:spacing w:line="360" w:lineRule="auto"/>
        <w:jc w:val="both"/>
        <w:rPr>
          <w:b/>
          <w:bCs/>
          <w:rtl/>
          <w:lang w:eastAsia="he-IL"/>
        </w:rPr>
      </w:pPr>
      <w:r w:rsidRPr="00BC03EF">
        <w:rPr>
          <w:rtl/>
          <w:lang w:eastAsia="he-IL"/>
        </w:rPr>
        <w:t>9</w:t>
      </w:r>
      <w:r>
        <w:rPr>
          <w:rtl/>
          <w:lang w:eastAsia="he-IL"/>
        </w:rPr>
        <w:t>.</w:t>
      </w:r>
      <w:r>
        <w:rPr>
          <w:rtl/>
          <w:lang w:eastAsia="he-IL"/>
        </w:rPr>
        <w:tab/>
      </w:r>
      <w:r w:rsidRPr="00BC03EF">
        <w:rPr>
          <w:b/>
          <w:bCs/>
          <w:rtl/>
          <w:lang w:eastAsia="he-IL"/>
        </w:rPr>
        <w:t xml:space="preserve">אשר על כן אני גוזר על הנאשם את העונשים הבאים: </w:t>
      </w:r>
    </w:p>
    <w:p w14:paraId="5E957AB3" w14:textId="77777777" w:rsidR="003D54B7" w:rsidRPr="00BC03EF" w:rsidRDefault="003D54B7" w:rsidP="003D54B7">
      <w:pPr>
        <w:spacing w:line="360" w:lineRule="auto"/>
        <w:jc w:val="both"/>
        <w:rPr>
          <w:rtl/>
          <w:lang w:eastAsia="he-IL"/>
        </w:rPr>
      </w:pPr>
      <w:r w:rsidRPr="00BC03EF">
        <w:rPr>
          <w:rtl/>
          <w:lang w:eastAsia="he-IL"/>
        </w:rPr>
        <w:t xml:space="preserve"> </w:t>
      </w:r>
    </w:p>
    <w:p w14:paraId="27910A08" w14:textId="77777777" w:rsidR="003D54B7" w:rsidRPr="00BC03EF" w:rsidRDefault="003D54B7" w:rsidP="003D54B7">
      <w:pPr>
        <w:spacing w:line="360" w:lineRule="auto"/>
        <w:ind w:left="510"/>
        <w:jc w:val="both"/>
        <w:rPr>
          <w:b/>
          <w:bCs/>
          <w:rtl/>
        </w:rPr>
      </w:pPr>
      <w:r w:rsidRPr="00BC03EF">
        <w:rPr>
          <w:b/>
          <w:bCs/>
          <w:rtl/>
        </w:rPr>
        <w:t xml:space="preserve">מאסר - </w:t>
      </w:r>
      <w:r w:rsidRPr="00BC03EF">
        <w:rPr>
          <w:rtl/>
        </w:rPr>
        <w:t>מאסר בפועל לתקופה של 30 חודשים. מתקופת מאסרו ינוכו ימי מעצרו מיום 30.10.21.</w:t>
      </w:r>
    </w:p>
    <w:p w14:paraId="023AA90E" w14:textId="77777777" w:rsidR="003D54B7" w:rsidRPr="00BC03EF" w:rsidRDefault="003D54B7" w:rsidP="003D54B7">
      <w:pPr>
        <w:spacing w:line="360" w:lineRule="auto"/>
        <w:ind w:left="510"/>
        <w:jc w:val="both"/>
        <w:rPr>
          <w:b/>
          <w:bCs/>
          <w:rtl/>
        </w:rPr>
      </w:pPr>
    </w:p>
    <w:p w14:paraId="1F7430E4" w14:textId="77777777" w:rsidR="003D54B7" w:rsidRPr="00BC03EF" w:rsidRDefault="003D54B7" w:rsidP="003D54B7">
      <w:pPr>
        <w:spacing w:line="360" w:lineRule="auto"/>
        <w:ind w:left="510"/>
        <w:jc w:val="both"/>
        <w:rPr>
          <w:rtl/>
        </w:rPr>
      </w:pPr>
      <w:r w:rsidRPr="00BC03EF">
        <w:rPr>
          <w:b/>
          <w:bCs/>
          <w:rtl/>
        </w:rPr>
        <w:t xml:space="preserve">מאסר על תנאי - </w:t>
      </w:r>
      <w:r w:rsidRPr="00BC03EF">
        <w:rPr>
          <w:rtl/>
        </w:rPr>
        <w:t xml:space="preserve">מאסר על תנאי לתקופה של 9 חודשים. הנאשם ישא בעונש זה אם בתקופה של שלוש שנים מיום שחרורו יעבור על כל עבירת סמים מסוג פשע. </w:t>
      </w:r>
    </w:p>
    <w:p w14:paraId="47845427" w14:textId="77777777" w:rsidR="003D54B7" w:rsidRPr="00BC03EF" w:rsidRDefault="003D54B7" w:rsidP="003D54B7">
      <w:pPr>
        <w:spacing w:line="360" w:lineRule="auto"/>
        <w:ind w:left="510"/>
        <w:jc w:val="both"/>
        <w:rPr>
          <w:sz w:val="20"/>
          <w:rtl/>
        </w:rPr>
      </w:pPr>
    </w:p>
    <w:p w14:paraId="3A9D24ED" w14:textId="77777777" w:rsidR="003D54B7" w:rsidRPr="00BC03EF" w:rsidRDefault="003D54B7" w:rsidP="003D54B7">
      <w:pPr>
        <w:spacing w:line="360" w:lineRule="auto"/>
        <w:ind w:left="510"/>
        <w:jc w:val="both"/>
        <w:rPr>
          <w:u w:val="single"/>
          <w:rtl/>
          <w:lang w:eastAsia="he-IL"/>
        </w:rPr>
      </w:pPr>
      <w:r w:rsidRPr="00BC03EF">
        <w:rPr>
          <w:b/>
          <w:bCs/>
          <w:rtl/>
          <w:lang w:eastAsia="he-IL"/>
        </w:rPr>
        <w:t xml:space="preserve">קנס - </w:t>
      </w:r>
      <w:r w:rsidRPr="00BC03EF">
        <w:rPr>
          <w:rtl/>
          <w:lang w:eastAsia="he-IL"/>
        </w:rPr>
        <w:t>קנס בסך 10,000 ש"ח או מאסר למשך 50 יום תחתיו; הקנס ישולם ב- 20 תשלומים חודשיים שווים ורצופים. התשלום הראשון ישולם בתוך 90 יום מהיום ויתר התשלומים מידי 30 יום לאחר מכן.</w:t>
      </w:r>
      <w:r w:rsidRPr="00BC03EF">
        <w:rPr>
          <w:u w:val="single"/>
          <w:rtl/>
          <w:lang w:eastAsia="he-IL"/>
        </w:rPr>
        <w:t xml:space="preserve"> </w:t>
      </w:r>
    </w:p>
    <w:p w14:paraId="399E59E3" w14:textId="77777777" w:rsidR="003D54B7" w:rsidRPr="00BC03EF" w:rsidRDefault="003D54B7" w:rsidP="003D54B7">
      <w:pPr>
        <w:spacing w:line="360" w:lineRule="auto"/>
        <w:ind w:left="510"/>
        <w:jc w:val="both"/>
        <w:rPr>
          <w:b/>
          <w:bCs/>
          <w:sz w:val="20"/>
          <w:rtl/>
        </w:rPr>
      </w:pPr>
    </w:p>
    <w:p w14:paraId="0AEB1F60" w14:textId="77777777" w:rsidR="003D54B7" w:rsidRPr="00BC03EF" w:rsidRDefault="00B07275" w:rsidP="003D54B7">
      <w:pPr>
        <w:spacing w:line="360" w:lineRule="auto"/>
        <w:jc w:val="both"/>
        <w:rPr>
          <w:b/>
          <w:bCs/>
          <w:rtl/>
          <w:lang w:eastAsia="he-IL"/>
        </w:rPr>
      </w:pPr>
      <w:r w:rsidRPr="00B07275">
        <w:rPr>
          <w:b/>
          <w:bCs/>
          <w:color w:val="FFFFFF"/>
          <w:sz w:val="2"/>
          <w:szCs w:val="2"/>
          <w:rtl/>
          <w:lang w:eastAsia="he-IL"/>
        </w:rPr>
        <w:t>5129371</w:t>
      </w:r>
      <w:r w:rsidR="003D54B7" w:rsidRPr="00BC03EF">
        <w:rPr>
          <w:b/>
          <w:bCs/>
          <w:rtl/>
          <w:lang w:eastAsia="he-IL"/>
        </w:rPr>
        <w:t xml:space="preserve">זכות ערעור בתוך 45 יום מהיום. </w:t>
      </w:r>
    </w:p>
    <w:p w14:paraId="791F6B68" w14:textId="77777777" w:rsidR="003D54B7" w:rsidRPr="00B07275" w:rsidRDefault="00B07275" w:rsidP="003D54B7">
      <w:pPr>
        <w:rPr>
          <w:rFonts w:ascii="Arial" w:hAnsi="Arial"/>
          <w:b/>
          <w:bCs/>
          <w:color w:val="FFFFFF"/>
          <w:sz w:val="2"/>
          <w:szCs w:val="2"/>
          <w:rtl/>
        </w:rPr>
      </w:pPr>
      <w:r w:rsidRPr="00B07275">
        <w:rPr>
          <w:rFonts w:ascii="Arial" w:hAnsi="Arial"/>
          <w:b/>
          <w:bCs/>
          <w:color w:val="FFFFFF"/>
          <w:sz w:val="2"/>
          <w:szCs w:val="2"/>
          <w:rtl/>
        </w:rPr>
        <w:t>54678313</w:t>
      </w:r>
    </w:p>
    <w:p w14:paraId="45686433" w14:textId="77777777" w:rsidR="003D54B7" w:rsidRPr="000F2247" w:rsidRDefault="003D54B7" w:rsidP="003D54B7">
      <w:pPr>
        <w:rPr>
          <w:rFonts w:ascii="Arial" w:hAnsi="Arial"/>
          <w:b/>
          <w:bCs/>
          <w:sz w:val="26"/>
          <w:szCs w:val="26"/>
          <w:rtl/>
        </w:rPr>
      </w:pPr>
    </w:p>
    <w:p w14:paraId="50D8D643" w14:textId="77777777" w:rsidR="003D54B7" w:rsidRPr="000F2247" w:rsidRDefault="00B07275" w:rsidP="003D54B7">
      <w:pPr>
        <w:rPr>
          <w:rFonts w:ascii="Arial" w:hAnsi="Arial"/>
          <w:b/>
          <w:bCs/>
          <w:sz w:val="26"/>
          <w:szCs w:val="26"/>
          <w:rtl/>
        </w:rPr>
      </w:pPr>
      <w:bookmarkStart w:id="8" w:name="Nitan"/>
      <w:r>
        <w:rPr>
          <w:rFonts w:ascii="Arial" w:hAnsi="Arial"/>
          <w:b/>
          <w:bCs/>
          <w:sz w:val="26"/>
          <w:szCs w:val="26"/>
          <w:rtl/>
        </w:rPr>
        <w:t xml:space="preserve">ניתן היום,  כ"ד כסלו תשפ"ג, 18 דצמבר 2022, במעמד הצדדים. </w:t>
      </w:r>
      <w:bookmarkEnd w:id="8"/>
    </w:p>
    <w:p w14:paraId="29A0AB19" w14:textId="77777777" w:rsidR="003D54B7" w:rsidRPr="000F2247" w:rsidRDefault="003D54B7" w:rsidP="00B0727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3D0A0FF" w14:textId="77777777" w:rsidR="003D54B7" w:rsidRPr="00DE2237" w:rsidRDefault="00DE2237" w:rsidP="003D54B7">
      <w:pPr>
        <w:jc w:val="center"/>
        <w:rPr>
          <w:rFonts w:ascii="Arial" w:hAnsi="Arial"/>
          <w:b/>
          <w:bCs/>
          <w:color w:val="FFFFFF"/>
          <w:sz w:val="2"/>
          <w:szCs w:val="2"/>
          <w:rtl/>
        </w:rPr>
      </w:pPr>
      <w:r w:rsidRPr="00DE2237">
        <w:rPr>
          <w:rFonts w:ascii="Arial" w:hAnsi="Arial"/>
          <w:b/>
          <w:bCs/>
          <w:color w:val="FFFFFF"/>
          <w:sz w:val="2"/>
          <w:szCs w:val="2"/>
          <w:rtl/>
        </w:rPr>
        <w:t>5129371</w:t>
      </w:r>
    </w:p>
    <w:p w14:paraId="45BD11FB" w14:textId="77777777" w:rsidR="0027248A" w:rsidRPr="00DE2237" w:rsidRDefault="00DE2237" w:rsidP="00B07275">
      <w:pPr>
        <w:keepNext/>
        <w:rPr>
          <w:rFonts w:ascii="David" w:hAnsi="David"/>
          <w:color w:val="FFFFFF"/>
          <w:sz w:val="2"/>
          <w:szCs w:val="2"/>
          <w:rtl/>
        </w:rPr>
      </w:pPr>
      <w:r w:rsidRPr="00DE2237">
        <w:rPr>
          <w:rFonts w:ascii="David" w:hAnsi="David"/>
          <w:color w:val="FFFFFF"/>
          <w:sz w:val="2"/>
          <w:szCs w:val="2"/>
          <w:rtl/>
        </w:rPr>
        <w:t>54678313</w:t>
      </w:r>
    </w:p>
    <w:p w14:paraId="01679EA2" w14:textId="77777777" w:rsidR="00B07275" w:rsidRDefault="00B07275" w:rsidP="00B07275">
      <w:pPr>
        <w:rPr>
          <w:rtl/>
        </w:rPr>
      </w:pPr>
    </w:p>
    <w:p w14:paraId="7F3D5529" w14:textId="77777777" w:rsidR="00B07275" w:rsidRDefault="00B07275" w:rsidP="00B0727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EF8FB75" w14:textId="77777777" w:rsidR="00DE2237" w:rsidRPr="00DE2237" w:rsidRDefault="00DE2237" w:rsidP="00DE2237">
      <w:pPr>
        <w:keepNext/>
        <w:rPr>
          <w:rFonts w:ascii="David" w:hAnsi="David"/>
          <w:color w:val="000000"/>
          <w:sz w:val="22"/>
          <w:szCs w:val="22"/>
          <w:rtl/>
        </w:rPr>
      </w:pPr>
    </w:p>
    <w:p w14:paraId="60D39CBB" w14:textId="77777777" w:rsidR="00DE2237" w:rsidRPr="00DE2237" w:rsidRDefault="00DE2237" w:rsidP="00DE2237">
      <w:pPr>
        <w:keepNext/>
        <w:rPr>
          <w:rFonts w:ascii="David" w:hAnsi="David"/>
          <w:color w:val="000000"/>
          <w:sz w:val="22"/>
          <w:szCs w:val="22"/>
          <w:rtl/>
        </w:rPr>
      </w:pPr>
      <w:r w:rsidRPr="00DE2237">
        <w:rPr>
          <w:rFonts w:ascii="David" w:hAnsi="David"/>
          <w:color w:val="000000"/>
          <w:sz w:val="22"/>
          <w:szCs w:val="22"/>
          <w:rtl/>
        </w:rPr>
        <w:t>יואל עדן 54678313-/</w:t>
      </w:r>
    </w:p>
    <w:p w14:paraId="31309B0F" w14:textId="77777777" w:rsidR="00B07275" w:rsidRPr="00B07275" w:rsidRDefault="00DE2237" w:rsidP="00DE2237">
      <w:pPr>
        <w:rPr>
          <w:color w:val="0000FF"/>
          <w:u w:val="single"/>
        </w:rPr>
      </w:pPr>
      <w:r w:rsidRPr="00DE2237">
        <w:rPr>
          <w:color w:val="000000"/>
          <w:u w:val="single"/>
          <w:rtl/>
        </w:rPr>
        <w:t>נוסח מסמך זה כפוף לשינויי ניסוח ועריכה</w:t>
      </w:r>
    </w:p>
    <w:sectPr w:rsidR="00B07275" w:rsidRPr="00B07275" w:rsidSect="00DE223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8AE17" w14:textId="77777777" w:rsidR="007A3D38" w:rsidRDefault="007A3D38" w:rsidP="00BA3D93">
      <w:r>
        <w:separator/>
      </w:r>
    </w:p>
  </w:endnote>
  <w:endnote w:type="continuationSeparator" w:id="0">
    <w:p w14:paraId="4F5EDAB4" w14:textId="77777777" w:rsidR="007A3D38" w:rsidRDefault="007A3D38" w:rsidP="00BA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95183" w14:textId="77777777" w:rsidR="00DE2237" w:rsidRDefault="00DE2237" w:rsidP="00DE22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78DC38" w14:textId="77777777" w:rsidR="00836D5E" w:rsidRPr="00DE2237" w:rsidRDefault="00DE2237" w:rsidP="00DE2237">
    <w:pPr>
      <w:pStyle w:val="a5"/>
      <w:pBdr>
        <w:top w:val="single" w:sz="4" w:space="1" w:color="auto"/>
        <w:between w:val="single" w:sz="4" w:space="0" w:color="auto"/>
      </w:pBdr>
      <w:spacing w:after="60"/>
      <w:jc w:val="center"/>
      <w:rPr>
        <w:rFonts w:ascii="FrankRuehl" w:hAnsi="FrankRuehl" w:cs="FrankRuehl"/>
        <w:color w:val="000000"/>
      </w:rPr>
    </w:pPr>
    <w:r w:rsidRPr="00DE22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8D511" w14:textId="77777777" w:rsidR="00DE2237" w:rsidRDefault="00DE2237" w:rsidP="00DE22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6406">
      <w:rPr>
        <w:rFonts w:ascii="FrankRuehl" w:hAnsi="FrankRuehl" w:cs="FrankRuehl"/>
        <w:noProof/>
        <w:rtl/>
      </w:rPr>
      <w:t>1</w:t>
    </w:r>
    <w:r>
      <w:rPr>
        <w:rFonts w:ascii="FrankRuehl" w:hAnsi="FrankRuehl" w:cs="FrankRuehl"/>
        <w:rtl/>
      </w:rPr>
      <w:fldChar w:fldCharType="end"/>
    </w:r>
  </w:p>
  <w:p w14:paraId="5D32A4B2" w14:textId="77777777" w:rsidR="00836D5E" w:rsidRPr="00DE2237" w:rsidRDefault="00DE2237" w:rsidP="00DE2237">
    <w:pPr>
      <w:pStyle w:val="a5"/>
      <w:pBdr>
        <w:top w:val="single" w:sz="4" w:space="1" w:color="auto"/>
        <w:between w:val="single" w:sz="4" w:space="0" w:color="auto"/>
      </w:pBdr>
      <w:spacing w:after="60"/>
      <w:jc w:val="center"/>
      <w:rPr>
        <w:rFonts w:ascii="FrankRuehl" w:hAnsi="FrankRuehl" w:cs="FrankRuehl"/>
        <w:color w:val="000000"/>
      </w:rPr>
    </w:pPr>
    <w:r w:rsidRPr="00DE2237">
      <w:rPr>
        <w:rFonts w:ascii="FrankRuehl" w:hAnsi="FrankRuehl" w:cs="FrankRuehl"/>
        <w:color w:val="000000"/>
      </w:rPr>
      <w:pict w14:anchorId="256AC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DB07" w14:textId="77777777" w:rsidR="007A3D38" w:rsidRDefault="007A3D38" w:rsidP="00BA3D93">
      <w:r>
        <w:separator/>
      </w:r>
    </w:p>
  </w:footnote>
  <w:footnote w:type="continuationSeparator" w:id="0">
    <w:p w14:paraId="051EB4A0" w14:textId="77777777" w:rsidR="007A3D38" w:rsidRDefault="007A3D38" w:rsidP="00BA3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47E4C" w14:textId="77777777" w:rsidR="00B07275" w:rsidRPr="00DE2237" w:rsidRDefault="00DE2237" w:rsidP="00DE2237">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21086-11-21</w:t>
    </w:r>
    <w:r>
      <w:rPr>
        <w:rFonts w:ascii="David" w:hAnsi="David"/>
        <w:color w:val="000000"/>
        <w:sz w:val="22"/>
        <w:szCs w:val="22"/>
        <w:rtl/>
      </w:rPr>
      <w:tab/>
      <w:t xml:space="preserve"> מדינת ישראל נ' עמית כהן מוזס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8C959" w14:textId="77777777" w:rsidR="00B07275" w:rsidRPr="00DE2237" w:rsidRDefault="00DE2237" w:rsidP="00DE22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21086-11-21</w:t>
    </w:r>
    <w:r>
      <w:rPr>
        <w:rFonts w:ascii="David" w:hAnsi="David"/>
        <w:color w:val="000000"/>
        <w:sz w:val="22"/>
        <w:szCs w:val="22"/>
        <w:rtl/>
      </w:rPr>
      <w:tab/>
      <w:t xml:space="preserve"> מדינת ישראל נ' עמית כהן מוזס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54B7"/>
    <w:rsid w:val="00016406"/>
    <w:rsid w:val="000577C0"/>
    <w:rsid w:val="001663B3"/>
    <w:rsid w:val="001B5A3B"/>
    <w:rsid w:val="00251385"/>
    <w:rsid w:val="0027248A"/>
    <w:rsid w:val="003D54B7"/>
    <w:rsid w:val="007325A0"/>
    <w:rsid w:val="007A3D38"/>
    <w:rsid w:val="00836D5E"/>
    <w:rsid w:val="008919DB"/>
    <w:rsid w:val="008A3CD7"/>
    <w:rsid w:val="00B07275"/>
    <w:rsid w:val="00BA3D93"/>
    <w:rsid w:val="00BD0F81"/>
    <w:rsid w:val="00DE2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FDA73"/>
  <w15:chartTrackingRefBased/>
  <w15:docId w15:val="{D2C58C57-4465-41AE-9A69-2977AFD5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54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54B7"/>
    <w:pPr>
      <w:tabs>
        <w:tab w:val="center" w:pos="4153"/>
        <w:tab w:val="right" w:pos="8306"/>
      </w:tabs>
    </w:pPr>
  </w:style>
  <w:style w:type="character" w:customStyle="1" w:styleId="a4">
    <w:name w:val="כותרת עליונה תו"/>
    <w:link w:val="a3"/>
    <w:rsid w:val="003D54B7"/>
    <w:rPr>
      <w:rFonts w:ascii="Times New Roman" w:eastAsia="Times New Roman" w:hAnsi="Times New Roman" w:cs="David"/>
      <w:sz w:val="24"/>
      <w:szCs w:val="24"/>
    </w:rPr>
  </w:style>
  <w:style w:type="paragraph" w:styleId="a5">
    <w:name w:val="footer"/>
    <w:basedOn w:val="a"/>
    <w:link w:val="a6"/>
    <w:rsid w:val="003D54B7"/>
    <w:pPr>
      <w:tabs>
        <w:tab w:val="center" w:pos="4153"/>
        <w:tab w:val="right" w:pos="8306"/>
      </w:tabs>
    </w:pPr>
  </w:style>
  <w:style w:type="character" w:customStyle="1" w:styleId="a6">
    <w:name w:val="כותרת תחתונה תו"/>
    <w:link w:val="a5"/>
    <w:rsid w:val="003D54B7"/>
    <w:rPr>
      <w:rFonts w:ascii="Times New Roman" w:eastAsia="Times New Roman" w:hAnsi="Times New Roman" w:cs="David"/>
      <w:sz w:val="24"/>
      <w:szCs w:val="24"/>
    </w:rPr>
  </w:style>
  <w:style w:type="table" w:styleId="a7">
    <w:name w:val="Table Grid"/>
    <w:basedOn w:val="a1"/>
    <w:rsid w:val="003D54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54B7"/>
  </w:style>
  <w:style w:type="character" w:styleId="Hyperlink">
    <w:name w:val="Hyperlink"/>
    <w:rsid w:val="00B07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6062217" TargetMode="External"/><Relationship Id="rId26" Type="http://schemas.openxmlformats.org/officeDocument/2006/relationships/hyperlink" Target="http://www.nevo.co.il/case/27168665" TargetMode="External"/><Relationship Id="rId39" Type="http://schemas.openxmlformats.org/officeDocument/2006/relationships/theme" Target="theme/theme1.xml"/><Relationship Id="rId21" Type="http://schemas.openxmlformats.org/officeDocument/2006/relationships/hyperlink" Target="http://www.nevo.co.il/case/20061696" TargetMode="External"/><Relationship Id="rId34"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094597" TargetMode="External"/><Relationship Id="rId25" Type="http://schemas.openxmlformats.org/officeDocument/2006/relationships/hyperlink" Target="http://www.nevo.co.il/case/2716866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947321" TargetMode="External"/><Relationship Id="rId20" Type="http://schemas.openxmlformats.org/officeDocument/2006/relationships/hyperlink" Target="http://www.nevo.co.il/case/6180833" TargetMode="External"/><Relationship Id="rId29" Type="http://schemas.openxmlformats.org/officeDocument/2006/relationships/hyperlink" Target="http://www.nevo.co.il/case/2006169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hyperlink" Target="http://www.nevo.co.il/case/6473037" TargetMode="External"/><Relationship Id="rId32" Type="http://schemas.openxmlformats.org/officeDocument/2006/relationships/hyperlink" Target="http://www.nevo.co.il/case/5831254"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585052" TargetMode="External"/><Relationship Id="rId28" Type="http://schemas.openxmlformats.org/officeDocument/2006/relationships/hyperlink" Target="http://www.nevo.co.il/case/12063973" TargetMode="External"/><Relationship Id="rId36"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case/5699682" TargetMode="External"/><Relationship Id="rId31" Type="http://schemas.openxmlformats.org/officeDocument/2006/relationships/hyperlink" Target="http://www.nevo.co.il/case/798015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931190" TargetMode="External"/><Relationship Id="rId27" Type="http://schemas.openxmlformats.org/officeDocument/2006/relationships/hyperlink" Target="http://www.nevo.co.il/case/20412551"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3358</Words>
  <Characters>16791</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20109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3145848</vt:i4>
      </vt:variant>
      <vt:variant>
        <vt:i4>78</vt:i4>
      </vt:variant>
      <vt:variant>
        <vt:i4>0</vt:i4>
      </vt:variant>
      <vt:variant>
        <vt:i4>5</vt:i4>
      </vt:variant>
      <vt:variant>
        <vt:lpwstr>http://www.nevo.co.il/case/5831254</vt:lpwstr>
      </vt:variant>
      <vt:variant>
        <vt:lpwstr/>
      </vt:variant>
      <vt:variant>
        <vt:i4>3670136</vt:i4>
      </vt:variant>
      <vt:variant>
        <vt:i4>75</vt:i4>
      </vt:variant>
      <vt:variant>
        <vt:i4>0</vt:i4>
      </vt:variant>
      <vt:variant>
        <vt:i4>5</vt:i4>
      </vt:variant>
      <vt:variant>
        <vt:lpwstr>http://www.nevo.co.il/case/7980156</vt:lpwstr>
      </vt:variant>
      <vt:variant>
        <vt:lpwstr/>
      </vt:variant>
      <vt:variant>
        <vt:i4>8257637</vt:i4>
      </vt:variant>
      <vt:variant>
        <vt:i4>72</vt:i4>
      </vt:variant>
      <vt:variant>
        <vt:i4>0</vt:i4>
      </vt:variant>
      <vt:variant>
        <vt:i4>5</vt:i4>
      </vt:variant>
      <vt:variant>
        <vt:lpwstr>http://www.nevo.co.il/law/4216</vt:lpwstr>
      </vt:variant>
      <vt:variant>
        <vt:lpwstr/>
      </vt:variant>
      <vt:variant>
        <vt:i4>3801204</vt:i4>
      </vt:variant>
      <vt:variant>
        <vt:i4>69</vt:i4>
      </vt:variant>
      <vt:variant>
        <vt:i4>0</vt:i4>
      </vt:variant>
      <vt:variant>
        <vt:i4>5</vt:i4>
      </vt:variant>
      <vt:variant>
        <vt:lpwstr>http://www.nevo.co.il/case/20061696</vt:lpwstr>
      </vt:variant>
      <vt:variant>
        <vt:lpwstr/>
      </vt:variant>
      <vt:variant>
        <vt:i4>3473529</vt:i4>
      </vt:variant>
      <vt:variant>
        <vt:i4>66</vt:i4>
      </vt:variant>
      <vt:variant>
        <vt:i4>0</vt:i4>
      </vt:variant>
      <vt:variant>
        <vt:i4>5</vt:i4>
      </vt:variant>
      <vt:variant>
        <vt:lpwstr>http://www.nevo.co.il/case/12063973</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3997811</vt:i4>
      </vt:variant>
      <vt:variant>
        <vt:i4>60</vt:i4>
      </vt:variant>
      <vt:variant>
        <vt:i4>0</vt:i4>
      </vt:variant>
      <vt:variant>
        <vt:i4>5</vt:i4>
      </vt:variant>
      <vt:variant>
        <vt:lpwstr>http://www.nevo.co.il/case/27168665</vt:lpwstr>
      </vt:variant>
      <vt:variant>
        <vt:lpwstr/>
      </vt:variant>
      <vt:variant>
        <vt:i4>3997811</vt:i4>
      </vt:variant>
      <vt:variant>
        <vt:i4>57</vt:i4>
      </vt:variant>
      <vt:variant>
        <vt:i4>0</vt:i4>
      </vt:variant>
      <vt:variant>
        <vt:i4>5</vt:i4>
      </vt:variant>
      <vt:variant>
        <vt:lpwstr>http://www.nevo.co.il/case/27168665</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4128881</vt:i4>
      </vt:variant>
      <vt:variant>
        <vt:i4>51</vt:i4>
      </vt:variant>
      <vt:variant>
        <vt:i4>0</vt:i4>
      </vt:variant>
      <vt:variant>
        <vt:i4>5</vt:i4>
      </vt:variant>
      <vt:variant>
        <vt:lpwstr>http://www.nevo.co.il/case/5585052</vt:lpwstr>
      </vt:variant>
      <vt:variant>
        <vt:lpwstr/>
      </vt:variant>
      <vt:variant>
        <vt:i4>3604597</vt:i4>
      </vt:variant>
      <vt:variant>
        <vt:i4>48</vt:i4>
      </vt:variant>
      <vt:variant>
        <vt:i4>0</vt:i4>
      </vt:variant>
      <vt:variant>
        <vt:i4>5</vt:i4>
      </vt:variant>
      <vt:variant>
        <vt:lpwstr>http://www.nevo.co.il/case/5931190</vt:lpwstr>
      </vt:variant>
      <vt:variant>
        <vt:lpwstr/>
      </vt:variant>
      <vt:variant>
        <vt:i4>3801204</vt:i4>
      </vt:variant>
      <vt:variant>
        <vt:i4>45</vt:i4>
      </vt:variant>
      <vt:variant>
        <vt:i4>0</vt:i4>
      </vt:variant>
      <vt:variant>
        <vt:i4>5</vt:i4>
      </vt:variant>
      <vt:variant>
        <vt:lpwstr>http://www.nevo.co.il/case/20061696</vt:lpwstr>
      </vt:variant>
      <vt:variant>
        <vt:lpwstr/>
      </vt:variant>
      <vt:variant>
        <vt:i4>3473526</vt:i4>
      </vt:variant>
      <vt:variant>
        <vt:i4>42</vt:i4>
      </vt:variant>
      <vt:variant>
        <vt:i4>0</vt:i4>
      </vt:variant>
      <vt:variant>
        <vt:i4>5</vt:i4>
      </vt:variant>
      <vt:variant>
        <vt:lpwstr>http://www.nevo.co.il/case/6180833</vt:lpwstr>
      </vt:variant>
      <vt:variant>
        <vt:lpwstr/>
      </vt:variant>
      <vt:variant>
        <vt:i4>3670131</vt:i4>
      </vt:variant>
      <vt:variant>
        <vt:i4>39</vt:i4>
      </vt:variant>
      <vt:variant>
        <vt:i4>0</vt:i4>
      </vt:variant>
      <vt:variant>
        <vt:i4>5</vt:i4>
      </vt:variant>
      <vt:variant>
        <vt:lpwstr>http://www.nevo.co.il/case/5699682</vt:lpwstr>
      </vt:variant>
      <vt:variant>
        <vt:lpwstr/>
      </vt:variant>
      <vt:variant>
        <vt:i4>3473527</vt:i4>
      </vt:variant>
      <vt:variant>
        <vt:i4>36</vt:i4>
      </vt:variant>
      <vt:variant>
        <vt:i4>0</vt:i4>
      </vt:variant>
      <vt:variant>
        <vt:i4>5</vt:i4>
      </vt:variant>
      <vt:variant>
        <vt:lpwstr>http://www.nevo.co.il/case/6062217</vt:lpwstr>
      </vt:variant>
      <vt:variant>
        <vt:lpwstr/>
      </vt:variant>
      <vt:variant>
        <vt:i4>3997817</vt:i4>
      </vt:variant>
      <vt:variant>
        <vt:i4>33</vt:i4>
      </vt:variant>
      <vt:variant>
        <vt:i4>0</vt:i4>
      </vt:variant>
      <vt:variant>
        <vt:i4>5</vt:i4>
      </vt:variant>
      <vt:variant>
        <vt:lpwstr>http://www.nevo.co.il/case/6094597</vt:lpwstr>
      </vt:variant>
      <vt:variant>
        <vt:lpwstr/>
      </vt:variant>
      <vt:variant>
        <vt:i4>3342456</vt:i4>
      </vt:variant>
      <vt:variant>
        <vt:i4>30</vt:i4>
      </vt:variant>
      <vt:variant>
        <vt:i4>0</vt:i4>
      </vt:variant>
      <vt:variant>
        <vt:i4>5</vt:i4>
      </vt:variant>
      <vt:variant>
        <vt:lpwstr>http://www.nevo.co.il/case/5947321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21086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עמית כהן מוזס</vt:lpwstr>
  </property>
  <property fmtid="{D5CDD505-2E9C-101B-9397-08002B2CF9AE}" pid="10" name="LAWYER">
    <vt:lpwstr>דרור שטורק;רועי אטיאס</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20221218</vt:lpwstr>
  </property>
  <property fmtid="{D5CDD505-2E9C-101B-9397-08002B2CF9AE}" pid="14" name="TYPE_N_DATE">
    <vt:lpwstr>39020221218</vt:lpwstr>
  </property>
  <property fmtid="{D5CDD505-2E9C-101B-9397-08002B2CF9AE}" pid="15" name="WORDNUMPAGES">
    <vt:lpwstr>11</vt:lpwstr>
  </property>
  <property fmtid="{D5CDD505-2E9C-101B-9397-08002B2CF9AE}" pid="16" name="TYPE_ABS_DATE">
    <vt:lpwstr>390020221218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5947321;6094597;6062217;5699682;6180833;20061696:2;5931190;5585052;6473037;27168665:2;20412551;12063973;7980156;5831254</vt:lpwstr>
  </property>
  <property fmtid="{D5CDD505-2E9C-101B-9397-08002B2CF9AE}" pid="36" name="LAWLISTTMP1">
    <vt:lpwstr>4216/007.a;007.c</vt:lpwstr>
  </property>
  <property fmtid="{D5CDD505-2E9C-101B-9397-08002B2CF9AE}" pid="37" name="LAWLISTTMP2">
    <vt:lpwstr>70301/275</vt:lpwstr>
  </property>
</Properties>
</file>