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300050" w:rsidRPr="00CA48FB" w14:paraId="51C9DDEE" w14:textId="77777777" w:rsidTr="001326B5">
        <w:trPr>
          <w:gridAfter w:val="1"/>
          <w:wAfter w:w="99" w:type="dxa"/>
          <w:trHeight w:hRule="exact" w:val="418"/>
          <w:jc w:val="center"/>
        </w:trPr>
        <w:tc>
          <w:tcPr>
            <w:tcW w:w="8721" w:type="dxa"/>
            <w:gridSpan w:val="4"/>
          </w:tcPr>
          <w:p w14:paraId="65964B0B" w14:textId="77777777" w:rsidR="00300050" w:rsidRPr="00CA48FB" w:rsidRDefault="00300050" w:rsidP="00D15DF2">
            <w:pPr>
              <w:pStyle w:val="a3"/>
              <w:jc w:val="center"/>
              <w:rPr>
                <w:rFonts w:ascii="Tahoma" w:hAnsi="Tahoma" w:cs="Tahoma"/>
                <w:color w:val="000080"/>
                <w:rtl/>
              </w:rPr>
            </w:pPr>
            <w:bookmarkStart w:id="0" w:name="FirstLawyer"/>
            <w:bookmarkStart w:id="1" w:name="LastJudge"/>
            <w:r w:rsidRPr="00CA48FB">
              <w:rPr>
                <w:rFonts w:ascii="Tahoma" w:hAnsi="Tahoma" w:cs="Tahoma"/>
                <w:b/>
                <w:bCs/>
                <w:color w:val="000080"/>
                <w:rtl/>
              </w:rPr>
              <w:t>בית המשפט המחוזי בבאר שבע</w:t>
            </w:r>
          </w:p>
        </w:tc>
      </w:tr>
      <w:tr w:rsidR="00300050" w:rsidRPr="00CA48FB" w14:paraId="264E578B" w14:textId="77777777" w:rsidTr="001326B5">
        <w:trPr>
          <w:gridAfter w:val="1"/>
          <w:wAfter w:w="99" w:type="dxa"/>
          <w:trHeight w:val="337"/>
          <w:jc w:val="center"/>
        </w:trPr>
        <w:tc>
          <w:tcPr>
            <w:tcW w:w="5060" w:type="dxa"/>
            <w:gridSpan w:val="3"/>
          </w:tcPr>
          <w:p w14:paraId="4853D3BE" w14:textId="77777777" w:rsidR="00300050" w:rsidRPr="00CA48FB" w:rsidRDefault="00300050" w:rsidP="00D15DF2">
            <w:pPr>
              <w:rPr>
                <w:rFonts w:cs="FrankRuehl"/>
                <w:sz w:val="28"/>
                <w:szCs w:val="28"/>
                <w:rtl/>
              </w:rPr>
            </w:pPr>
            <w:r w:rsidRPr="00CA48FB">
              <w:rPr>
                <w:rFonts w:cs="FrankRuehl"/>
                <w:sz w:val="28"/>
                <w:szCs w:val="28"/>
                <w:rtl/>
              </w:rPr>
              <w:t>ת"פ</w:t>
            </w:r>
            <w:r w:rsidRPr="00CA48FB">
              <w:rPr>
                <w:rFonts w:cs="FrankRuehl" w:hint="cs"/>
                <w:sz w:val="28"/>
                <w:szCs w:val="28"/>
                <w:rtl/>
              </w:rPr>
              <w:t xml:space="preserve"> </w:t>
            </w:r>
            <w:r w:rsidRPr="00CA48FB">
              <w:rPr>
                <w:rFonts w:cs="FrankRuehl"/>
                <w:sz w:val="28"/>
                <w:szCs w:val="28"/>
                <w:rtl/>
              </w:rPr>
              <w:t>34197-11-21</w:t>
            </w:r>
            <w:r w:rsidRPr="00CA48FB">
              <w:rPr>
                <w:rFonts w:cs="FrankRuehl" w:hint="cs"/>
                <w:sz w:val="28"/>
                <w:szCs w:val="28"/>
                <w:rtl/>
              </w:rPr>
              <w:t xml:space="preserve"> </w:t>
            </w:r>
            <w:r w:rsidRPr="00CA48FB">
              <w:rPr>
                <w:rFonts w:cs="FrankRuehl"/>
                <w:sz w:val="28"/>
                <w:szCs w:val="28"/>
                <w:rtl/>
              </w:rPr>
              <w:t>מדינת ישראל נ' קופיטמן(עציר)</w:t>
            </w:r>
          </w:p>
          <w:p w14:paraId="52EF0986" w14:textId="77777777" w:rsidR="00300050" w:rsidRPr="00CA48FB" w:rsidRDefault="00300050" w:rsidP="00D15DF2">
            <w:pPr>
              <w:pStyle w:val="a3"/>
              <w:rPr>
                <w:rFonts w:cs="FrankRuehl"/>
                <w:sz w:val="28"/>
                <w:szCs w:val="28"/>
                <w:rtl/>
              </w:rPr>
            </w:pPr>
          </w:p>
        </w:tc>
        <w:tc>
          <w:tcPr>
            <w:tcW w:w="3661" w:type="dxa"/>
          </w:tcPr>
          <w:p w14:paraId="374D29EE" w14:textId="77777777" w:rsidR="00300050" w:rsidRPr="00CA48FB" w:rsidRDefault="00300050" w:rsidP="00D15DF2">
            <w:pPr>
              <w:pStyle w:val="a3"/>
              <w:jc w:val="right"/>
              <w:rPr>
                <w:rFonts w:cs="FrankRuehl"/>
                <w:sz w:val="28"/>
                <w:szCs w:val="28"/>
                <w:rtl/>
              </w:rPr>
            </w:pPr>
          </w:p>
        </w:tc>
      </w:tr>
      <w:tr w:rsidR="00300050" w:rsidRPr="00CA48FB" w14:paraId="01F20C78" w14:textId="77777777" w:rsidTr="001326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6813F4C" w14:textId="77777777" w:rsidR="00300050" w:rsidRPr="00CA48FB" w:rsidRDefault="00300050" w:rsidP="00300050">
            <w:pPr>
              <w:jc w:val="both"/>
              <w:rPr>
                <w:rFonts w:ascii="David" w:hAnsi="David"/>
                <w:sz w:val="26"/>
                <w:szCs w:val="26"/>
              </w:rPr>
            </w:pPr>
            <w:r w:rsidRPr="00CA48FB">
              <w:rPr>
                <w:rFonts w:hint="cs"/>
                <w:rtl/>
              </w:rPr>
              <w:t xml:space="preserve"> </w:t>
            </w:r>
            <w:r w:rsidRPr="00CA48F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7660B3E" w14:textId="77777777" w:rsidR="00300050" w:rsidRPr="00CA48FB" w:rsidRDefault="00300050" w:rsidP="00D15DF2">
            <w:pPr>
              <w:rPr>
                <w:rFonts w:ascii="David" w:hAnsi="David"/>
                <w:b/>
                <w:bCs/>
                <w:sz w:val="26"/>
                <w:szCs w:val="26"/>
                <w:rtl/>
              </w:rPr>
            </w:pPr>
            <w:r w:rsidRPr="00CA48FB">
              <w:rPr>
                <w:rFonts w:ascii="David" w:hAnsi="David"/>
                <w:b/>
                <w:bCs/>
                <w:sz w:val="26"/>
                <w:szCs w:val="26"/>
                <w:rtl/>
              </w:rPr>
              <w:t>כבוד השופטת  טל לחיאני שהם</w:t>
            </w:r>
          </w:p>
          <w:p w14:paraId="30CA320D" w14:textId="77777777" w:rsidR="00300050" w:rsidRPr="00CA48FB" w:rsidRDefault="00300050" w:rsidP="00D15DF2">
            <w:pPr>
              <w:rPr>
                <w:rFonts w:ascii="David" w:hAnsi="David"/>
                <w:sz w:val="26"/>
                <w:szCs w:val="26"/>
                <w:rtl/>
              </w:rPr>
            </w:pPr>
          </w:p>
          <w:p w14:paraId="57EEDF1C" w14:textId="77777777" w:rsidR="00300050" w:rsidRPr="00CA48FB" w:rsidRDefault="00300050" w:rsidP="00300050">
            <w:pPr>
              <w:jc w:val="both"/>
              <w:rPr>
                <w:rFonts w:ascii="David" w:hAnsi="David"/>
                <w:sz w:val="26"/>
                <w:szCs w:val="26"/>
              </w:rPr>
            </w:pPr>
          </w:p>
        </w:tc>
      </w:tr>
      <w:tr w:rsidR="00300050" w:rsidRPr="00CA48FB" w14:paraId="54FA9889" w14:textId="77777777" w:rsidTr="001326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D4FC29" w14:textId="77777777" w:rsidR="00300050" w:rsidRPr="00CA48FB" w:rsidRDefault="00300050" w:rsidP="00300050">
            <w:pPr>
              <w:jc w:val="both"/>
              <w:rPr>
                <w:rFonts w:ascii="David" w:hAnsi="David"/>
                <w:sz w:val="26"/>
                <w:szCs w:val="26"/>
              </w:rPr>
            </w:pPr>
            <w:bookmarkStart w:id="2" w:name="FirstAppellant"/>
            <w:r w:rsidRPr="00CA48FB">
              <w:rPr>
                <w:rFonts w:ascii="David" w:hAnsi="David"/>
                <w:sz w:val="26"/>
                <w:szCs w:val="26"/>
                <w:rtl/>
              </w:rPr>
              <w:t>בעניין:</w:t>
            </w:r>
          </w:p>
        </w:tc>
        <w:tc>
          <w:tcPr>
            <w:tcW w:w="3219" w:type="dxa"/>
            <w:tcBorders>
              <w:top w:val="nil"/>
              <w:left w:val="nil"/>
              <w:bottom w:val="nil"/>
              <w:right w:val="nil"/>
            </w:tcBorders>
            <w:shd w:val="clear" w:color="auto" w:fill="auto"/>
          </w:tcPr>
          <w:p w14:paraId="2EDA7CF3" w14:textId="77777777" w:rsidR="00300050" w:rsidRPr="00CA48FB" w:rsidRDefault="00300050" w:rsidP="00300050">
            <w:pPr>
              <w:suppressLineNumbers/>
            </w:pPr>
            <w:r w:rsidRPr="00CA48FB">
              <w:rPr>
                <w:rFonts w:ascii="Arial" w:hAnsi="Arial" w:hint="cs"/>
                <w:b/>
                <w:bCs/>
                <w:sz w:val="26"/>
                <w:szCs w:val="26"/>
                <w:rtl/>
              </w:rPr>
              <w:t>ה</w:t>
            </w:r>
            <w:r w:rsidRPr="00CA48FB">
              <w:rPr>
                <w:rFonts w:ascii="Arial" w:hAnsi="Arial"/>
                <w:b/>
                <w:bCs/>
                <w:sz w:val="26"/>
                <w:szCs w:val="26"/>
                <w:rtl/>
              </w:rPr>
              <w:t>מאשימה</w:t>
            </w:r>
          </w:p>
          <w:p w14:paraId="0EF84EC5" w14:textId="77777777" w:rsidR="00300050" w:rsidRPr="00CA48FB" w:rsidRDefault="00300050" w:rsidP="00D15DF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6F2A2E5" w14:textId="77777777" w:rsidR="00300050" w:rsidRPr="00CA48FB" w:rsidRDefault="00300050" w:rsidP="00300050">
            <w:pPr>
              <w:suppressLineNumbers/>
            </w:pPr>
            <w:r w:rsidRPr="00CA48FB">
              <w:rPr>
                <w:rFonts w:ascii="Arial" w:hAnsi="Arial"/>
                <w:b/>
                <w:bCs/>
                <w:sz w:val="26"/>
                <w:szCs w:val="26"/>
                <w:rtl/>
              </w:rPr>
              <w:t>מדינת ישראל</w:t>
            </w:r>
            <w:r w:rsidRPr="00CA48FB">
              <w:rPr>
                <w:rFonts w:ascii="Arial" w:hAnsi="Arial"/>
                <w:b/>
                <w:bCs/>
                <w:sz w:val="26"/>
                <w:szCs w:val="26"/>
                <w:rtl/>
              </w:rPr>
              <w:br/>
            </w:r>
            <w:r w:rsidRPr="00CA48FB">
              <w:rPr>
                <w:rFonts w:ascii="Arial" w:hAnsi="Arial" w:hint="cs"/>
                <w:b/>
                <w:bCs/>
                <w:sz w:val="26"/>
                <w:szCs w:val="26"/>
                <w:rtl/>
              </w:rPr>
              <w:t>ע"י ב"כ עו"ד</w:t>
            </w:r>
          </w:p>
          <w:p w14:paraId="05602867" w14:textId="77777777" w:rsidR="00300050" w:rsidRPr="00CA48FB" w:rsidRDefault="00300050" w:rsidP="00D15DF2">
            <w:pPr>
              <w:rPr>
                <w:rFonts w:ascii="David" w:hAnsi="David"/>
                <w:sz w:val="26"/>
                <w:szCs w:val="26"/>
              </w:rPr>
            </w:pPr>
          </w:p>
        </w:tc>
      </w:tr>
      <w:bookmarkEnd w:id="2"/>
      <w:tr w:rsidR="00300050" w:rsidRPr="00CA48FB" w14:paraId="21B44EEF" w14:textId="77777777" w:rsidTr="001326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BAA48D" w14:textId="77777777" w:rsidR="00300050" w:rsidRPr="00CA48FB" w:rsidRDefault="00300050" w:rsidP="0030005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F477477" w14:textId="77777777" w:rsidR="00300050" w:rsidRPr="00CA48FB" w:rsidRDefault="00300050" w:rsidP="00300050">
            <w:pPr>
              <w:jc w:val="center"/>
              <w:rPr>
                <w:rFonts w:ascii="David" w:hAnsi="David"/>
                <w:b/>
                <w:bCs/>
                <w:sz w:val="26"/>
                <w:szCs w:val="26"/>
                <w:rtl/>
              </w:rPr>
            </w:pPr>
          </w:p>
          <w:p w14:paraId="434BB865" w14:textId="77777777" w:rsidR="00300050" w:rsidRPr="00CA48FB" w:rsidRDefault="00300050" w:rsidP="00300050">
            <w:pPr>
              <w:jc w:val="center"/>
              <w:rPr>
                <w:rFonts w:ascii="David" w:hAnsi="David"/>
                <w:b/>
                <w:bCs/>
                <w:sz w:val="26"/>
                <w:szCs w:val="26"/>
                <w:rtl/>
              </w:rPr>
            </w:pPr>
            <w:r w:rsidRPr="00CA48FB">
              <w:rPr>
                <w:rFonts w:ascii="David" w:hAnsi="David"/>
                <w:b/>
                <w:bCs/>
                <w:sz w:val="26"/>
                <w:szCs w:val="26"/>
                <w:rtl/>
              </w:rPr>
              <w:t>נגד</w:t>
            </w:r>
          </w:p>
          <w:p w14:paraId="4AEDD940" w14:textId="77777777" w:rsidR="00300050" w:rsidRPr="00CA48FB" w:rsidRDefault="00300050" w:rsidP="00300050">
            <w:pPr>
              <w:jc w:val="both"/>
              <w:rPr>
                <w:rFonts w:ascii="David" w:hAnsi="David"/>
                <w:sz w:val="26"/>
                <w:szCs w:val="26"/>
              </w:rPr>
            </w:pPr>
          </w:p>
        </w:tc>
      </w:tr>
      <w:tr w:rsidR="00300050" w:rsidRPr="00CA48FB" w14:paraId="4E845300" w14:textId="77777777" w:rsidTr="001326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44E2C5" w14:textId="77777777" w:rsidR="00300050" w:rsidRPr="00CA48FB" w:rsidRDefault="00300050" w:rsidP="00D15DF2">
            <w:pPr>
              <w:rPr>
                <w:rFonts w:ascii="David" w:hAnsi="David"/>
                <w:sz w:val="26"/>
                <w:szCs w:val="26"/>
                <w:rtl/>
              </w:rPr>
            </w:pPr>
          </w:p>
        </w:tc>
        <w:tc>
          <w:tcPr>
            <w:tcW w:w="3219" w:type="dxa"/>
            <w:tcBorders>
              <w:top w:val="nil"/>
              <w:left w:val="nil"/>
              <w:bottom w:val="nil"/>
              <w:right w:val="nil"/>
            </w:tcBorders>
            <w:shd w:val="clear" w:color="auto" w:fill="auto"/>
          </w:tcPr>
          <w:p w14:paraId="76BC5F07" w14:textId="77777777" w:rsidR="00300050" w:rsidRPr="00CA48FB" w:rsidRDefault="00300050" w:rsidP="00D15DF2">
            <w:pPr>
              <w:rPr>
                <w:rFonts w:ascii="Arial" w:hAnsi="Arial"/>
                <w:b/>
                <w:bCs/>
                <w:sz w:val="26"/>
                <w:szCs w:val="26"/>
                <w:rtl/>
              </w:rPr>
            </w:pPr>
            <w:r w:rsidRPr="00CA48F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39689FA" w14:textId="77777777" w:rsidR="00300050" w:rsidRPr="00CA48FB" w:rsidRDefault="00300050" w:rsidP="00300050">
            <w:pPr>
              <w:suppressLineNumbers/>
            </w:pPr>
            <w:r w:rsidRPr="00CA48FB">
              <w:rPr>
                <w:rFonts w:ascii="Arial" w:hAnsi="Arial"/>
                <w:b/>
                <w:bCs/>
                <w:sz w:val="26"/>
                <w:szCs w:val="26"/>
                <w:rtl/>
              </w:rPr>
              <w:t>אלכסנדר קופיטמן (עציר)</w:t>
            </w:r>
            <w:r w:rsidRPr="00CA48FB">
              <w:rPr>
                <w:rFonts w:ascii="Arial" w:hAnsi="Arial"/>
                <w:b/>
                <w:bCs/>
                <w:sz w:val="26"/>
                <w:szCs w:val="26"/>
                <w:rtl/>
              </w:rPr>
              <w:br/>
              <w:t>על ידי בא כוחו – עו"</w:t>
            </w:r>
            <w:r w:rsidRPr="00CA48FB">
              <w:rPr>
                <w:rFonts w:ascii="Arial" w:hAnsi="Arial" w:hint="cs"/>
                <w:b/>
                <w:bCs/>
                <w:sz w:val="26"/>
                <w:szCs w:val="26"/>
                <w:rtl/>
              </w:rPr>
              <w:t>ד קריטי</w:t>
            </w:r>
          </w:p>
          <w:p w14:paraId="31380E2B" w14:textId="77777777" w:rsidR="00300050" w:rsidRPr="00CA48FB" w:rsidRDefault="00300050" w:rsidP="00D15DF2">
            <w:pPr>
              <w:rPr>
                <w:rFonts w:ascii="David" w:hAnsi="David"/>
                <w:sz w:val="26"/>
                <w:szCs w:val="26"/>
              </w:rPr>
            </w:pPr>
          </w:p>
        </w:tc>
      </w:tr>
    </w:tbl>
    <w:p w14:paraId="4570F680" w14:textId="77777777" w:rsidR="001326B5" w:rsidRDefault="001326B5" w:rsidP="00CA48FB">
      <w:pPr>
        <w:rPr>
          <w:sz w:val="26"/>
          <w:szCs w:val="26"/>
          <w:rtl/>
        </w:rPr>
      </w:pPr>
    </w:p>
    <w:p w14:paraId="19AD5BA0" w14:textId="77777777" w:rsidR="001326B5" w:rsidRPr="001326B5" w:rsidRDefault="001326B5" w:rsidP="001326B5">
      <w:pPr>
        <w:spacing w:after="120" w:line="240" w:lineRule="exact"/>
        <w:ind w:left="283" w:hanging="283"/>
        <w:jc w:val="both"/>
        <w:rPr>
          <w:rFonts w:ascii="FrankRuehl" w:hAnsi="FrankRuehl" w:cs="FrankRuehl"/>
          <w:rtl/>
        </w:rPr>
      </w:pPr>
    </w:p>
    <w:p w14:paraId="2AA0DBC6" w14:textId="77777777" w:rsidR="008C30A9" w:rsidRPr="008C30A9" w:rsidRDefault="008C30A9" w:rsidP="008C30A9">
      <w:pPr>
        <w:spacing w:before="120" w:after="120" w:line="240" w:lineRule="exact"/>
        <w:ind w:left="283" w:hanging="283"/>
        <w:jc w:val="both"/>
        <w:rPr>
          <w:rFonts w:ascii="FrankRuehl" w:hAnsi="FrankRuehl" w:cs="FrankRuehl"/>
          <w:rtl/>
        </w:rPr>
      </w:pPr>
    </w:p>
    <w:p w14:paraId="781BFBD1" w14:textId="77777777" w:rsidR="008D0EA7" w:rsidRDefault="008D0EA7" w:rsidP="008D0EA7">
      <w:pPr>
        <w:rPr>
          <w:sz w:val="26"/>
          <w:szCs w:val="26"/>
          <w:rtl/>
        </w:rPr>
      </w:pPr>
      <w:bookmarkStart w:id="3" w:name="LawTable"/>
      <w:bookmarkEnd w:id="3"/>
    </w:p>
    <w:p w14:paraId="6498664D" w14:textId="77777777" w:rsidR="008D0EA7" w:rsidRPr="008D0EA7" w:rsidRDefault="008D0EA7" w:rsidP="008D0EA7">
      <w:pPr>
        <w:spacing w:before="120" w:after="120" w:line="240" w:lineRule="exact"/>
        <w:ind w:left="283" w:hanging="283"/>
        <w:jc w:val="both"/>
        <w:rPr>
          <w:rFonts w:ascii="FrankRuehl" w:hAnsi="FrankRuehl" w:cs="FrankRuehl"/>
          <w:rtl/>
        </w:rPr>
      </w:pPr>
    </w:p>
    <w:p w14:paraId="45998F09" w14:textId="77777777" w:rsidR="008D0EA7" w:rsidRPr="008D0EA7" w:rsidRDefault="008D0EA7" w:rsidP="008D0EA7">
      <w:pPr>
        <w:spacing w:before="120" w:after="120" w:line="240" w:lineRule="exact"/>
        <w:ind w:left="283" w:hanging="283"/>
        <w:jc w:val="both"/>
        <w:rPr>
          <w:rFonts w:ascii="FrankRuehl" w:hAnsi="FrankRuehl" w:cs="FrankRuehl"/>
          <w:rtl/>
        </w:rPr>
      </w:pPr>
    </w:p>
    <w:p w14:paraId="2F1117CC" w14:textId="77777777" w:rsidR="008D0EA7" w:rsidRPr="008D0EA7" w:rsidRDefault="008D0EA7" w:rsidP="008D0EA7">
      <w:pPr>
        <w:spacing w:before="120" w:after="120" w:line="240" w:lineRule="exact"/>
        <w:ind w:left="283" w:hanging="283"/>
        <w:jc w:val="both"/>
        <w:rPr>
          <w:rFonts w:ascii="FrankRuehl" w:hAnsi="FrankRuehl" w:cs="FrankRuehl"/>
          <w:rtl/>
        </w:rPr>
      </w:pPr>
      <w:r w:rsidRPr="008D0EA7">
        <w:rPr>
          <w:rFonts w:ascii="FrankRuehl" w:hAnsi="FrankRuehl" w:cs="FrankRuehl"/>
          <w:rtl/>
        </w:rPr>
        <w:t xml:space="preserve">חקיקה שאוזכרה: </w:t>
      </w:r>
    </w:p>
    <w:p w14:paraId="3DCACA8C" w14:textId="77777777" w:rsidR="008D0EA7" w:rsidRPr="008D0EA7" w:rsidRDefault="008D0EA7" w:rsidP="008D0EA7">
      <w:pPr>
        <w:spacing w:before="120" w:after="120" w:line="240" w:lineRule="exact"/>
        <w:ind w:left="283" w:hanging="283"/>
        <w:jc w:val="both"/>
        <w:rPr>
          <w:rFonts w:ascii="FrankRuehl" w:hAnsi="FrankRuehl" w:cs="FrankRuehl"/>
          <w:rtl/>
        </w:rPr>
      </w:pPr>
      <w:hyperlink r:id="rId6" w:history="1">
        <w:r w:rsidRPr="008D0EA7">
          <w:rPr>
            <w:rFonts w:ascii="FrankRuehl" w:hAnsi="FrankRuehl" w:cs="FrankRuehl"/>
            <w:color w:val="0000FF"/>
            <w:rtl/>
          </w:rPr>
          <w:t>פקודת הסמים המסוכנים [נוסח חדש], תשל"ג-1973</w:t>
        </w:r>
      </w:hyperlink>
      <w:r w:rsidRPr="008D0EA7">
        <w:rPr>
          <w:rFonts w:ascii="FrankRuehl" w:hAnsi="FrankRuehl" w:cs="FrankRuehl"/>
          <w:rtl/>
        </w:rPr>
        <w:t xml:space="preserve">: סע'  </w:t>
      </w:r>
      <w:hyperlink r:id="rId7" w:history="1">
        <w:r w:rsidRPr="008D0EA7">
          <w:rPr>
            <w:rFonts w:ascii="FrankRuehl" w:hAnsi="FrankRuehl" w:cs="FrankRuehl"/>
            <w:color w:val="0000FF"/>
            <w:rtl/>
          </w:rPr>
          <w:t>6</w:t>
        </w:r>
      </w:hyperlink>
    </w:p>
    <w:p w14:paraId="27C923BE" w14:textId="77777777" w:rsidR="008D0EA7" w:rsidRPr="008D0EA7" w:rsidRDefault="008D0EA7" w:rsidP="008D0EA7">
      <w:pPr>
        <w:spacing w:before="120" w:after="120" w:line="240" w:lineRule="exact"/>
        <w:ind w:left="283" w:hanging="283"/>
        <w:jc w:val="both"/>
        <w:rPr>
          <w:rFonts w:ascii="FrankRuehl" w:hAnsi="FrankRuehl" w:cs="FrankRuehl"/>
          <w:rtl/>
        </w:rPr>
      </w:pPr>
      <w:hyperlink r:id="rId8" w:history="1">
        <w:r w:rsidRPr="008D0EA7">
          <w:rPr>
            <w:rFonts w:ascii="FrankRuehl" w:hAnsi="FrankRuehl" w:cs="FrankRuehl"/>
            <w:color w:val="0000FF"/>
            <w:rtl/>
          </w:rPr>
          <w:t>חוק העונשין, תשל"ז-1977</w:t>
        </w:r>
      </w:hyperlink>
      <w:r w:rsidRPr="008D0EA7">
        <w:rPr>
          <w:rFonts w:ascii="FrankRuehl" w:hAnsi="FrankRuehl" w:cs="FrankRuehl"/>
          <w:rtl/>
        </w:rPr>
        <w:t xml:space="preserve">: סע'  </w:t>
      </w:r>
      <w:hyperlink r:id="rId9" w:history="1">
        <w:r w:rsidRPr="008D0EA7">
          <w:rPr>
            <w:rFonts w:ascii="FrankRuehl" w:hAnsi="FrankRuehl" w:cs="FrankRuehl"/>
            <w:color w:val="0000FF"/>
            <w:rtl/>
          </w:rPr>
          <w:t>40ג(א)</w:t>
        </w:r>
      </w:hyperlink>
      <w:r w:rsidRPr="008D0EA7">
        <w:rPr>
          <w:rFonts w:ascii="FrankRuehl" w:hAnsi="FrankRuehl" w:cs="FrankRuehl"/>
          <w:rtl/>
        </w:rPr>
        <w:t xml:space="preserve">, </w:t>
      </w:r>
      <w:hyperlink r:id="rId10" w:history="1">
        <w:r w:rsidRPr="008D0EA7">
          <w:rPr>
            <w:rFonts w:ascii="FrankRuehl" w:hAnsi="FrankRuehl" w:cs="FrankRuehl"/>
            <w:color w:val="0000FF"/>
            <w:rtl/>
          </w:rPr>
          <w:t>400</w:t>
        </w:r>
      </w:hyperlink>
    </w:p>
    <w:p w14:paraId="6A6D036B" w14:textId="77777777" w:rsidR="008D0EA7" w:rsidRPr="008D0EA7" w:rsidRDefault="008D0EA7" w:rsidP="008D0EA7">
      <w:pPr>
        <w:rPr>
          <w:sz w:val="26"/>
          <w:szCs w:val="26"/>
          <w:rtl/>
        </w:rPr>
      </w:pPr>
      <w:bookmarkStart w:id="4" w:name="LawTable_End"/>
      <w:bookmarkEnd w:id="4"/>
    </w:p>
    <w:p w14:paraId="73290014" w14:textId="77777777" w:rsidR="00300050" w:rsidRPr="008C30A9" w:rsidRDefault="00300050" w:rsidP="008C30A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0050" w14:paraId="0A6BCD44" w14:textId="77777777" w:rsidTr="00300050">
        <w:trPr>
          <w:trHeight w:val="355"/>
          <w:jc w:val="center"/>
        </w:trPr>
        <w:tc>
          <w:tcPr>
            <w:tcW w:w="8820" w:type="dxa"/>
            <w:tcBorders>
              <w:top w:val="nil"/>
              <w:left w:val="nil"/>
              <w:bottom w:val="nil"/>
              <w:right w:val="nil"/>
            </w:tcBorders>
            <w:shd w:val="clear" w:color="auto" w:fill="auto"/>
          </w:tcPr>
          <w:p w14:paraId="06F4E1CD" w14:textId="77777777" w:rsidR="00CA48FB" w:rsidRPr="00CA48FB" w:rsidRDefault="00CA48FB" w:rsidP="00CA48FB">
            <w:pPr>
              <w:jc w:val="center"/>
              <w:rPr>
                <w:rFonts w:ascii="David" w:hAnsi="David"/>
                <w:b/>
                <w:bCs/>
                <w:sz w:val="32"/>
                <w:szCs w:val="32"/>
                <w:u w:val="single"/>
                <w:rtl/>
              </w:rPr>
            </w:pPr>
            <w:bookmarkStart w:id="5" w:name="PsakDin" w:colFirst="0" w:colLast="0"/>
            <w:bookmarkEnd w:id="0"/>
            <w:bookmarkEnd w:id="1"/>
            <w:r w:rsidRPr="00CA48FB">
              <w:rPr>
                <w:rFonts w:ascii="David" w:hAnsi="David"/>
                <w:b/>
                <w:bCs/>
                <w:sz w:val="32"/>
                <w:szCs w:val="32"/>
                <w:u w:val="single"/>
                <w:rtl/>
              </w:rPr>
              <w:t>גזר דין</w:t>
            </w:r>
          </w:p>
          <w:p w14:paraId="7B87238D" w14:textId="77777777" w:rsidR="00300050" w:rsidRPr="00CA48FB" w:rsidRDefault="00300050" w:rsidP="00CA48FB">
            <w:pPr>
              <w:jc w:val="center"/>
              <w:rPr>
                <w:rFonts w:ascii="David" w:hAnsi="David"/>
                <w:bCs/>
                <w:sz w:val="32"/>
                <w:szCs w:val="32"/>
                <w:u w:val="single"/>
                <w:rtl/>
              </w:rPr>
            </w:pPr>
          </w:p>
        </w:tc>
      </w:tr>
      <w:bookmarkEnd w:id="5"/>
    </w:tbl>
    <w:p w14:paraId="64AE52B0" w14:textId="77777777" w:rsidR="00300050" w:rsidRPr="000F2247" w:rsidRDefault="00300050" w:rsidP="00300050">
      <w:pPr>
        <w:rPr>
          <w:rFonts w:ascii="Arial" w:hAnsi="Arial"/>
          <w:b/>
          <w:bCs/>
          <w:sz w:val="26"/>
          <w:szCs w:val="26"/>
          <w:rtl/>
        </w:rPr>
      </w:pPr>
    </w:p>
    <w:p w14:paraId="0EA7117E" w14:textId="77777777" w:rsidR="00300050" w:rsidRPr="00015D26" w:rsidRDefault="00300050" w:rsidP="00300050">
      <w:pPr>
        <w:spacing w:line="360" w:lineRule="auto"/>
        <w:jc w:val="both"/>
        <w:rPr>
          <w:rFonts w:ascii="David" w:hAnsi="David"/>
          <w:b/>
          <w:bCs/>
          <w:u w:val="single"/>
          <w:rtl/>
        </w:rPr>
      </w:pPr>
      <w:r w:rsidRPr="00015D26">
        <w:rPr>
          <w:rFonts w:ascii="David" w:hAnsi="David"/>
          <w:b/>
          <w:bCs/>
          <w:u w:val="single"/>
          <w:rtl/>
        </w:rPr>
        <w:t>כתב האישום</w:t>
      </w:r>
    </w:p>
    <w:p w14:paraId="3A56C34D" w14:textId="77777777" w:rsidR="00300050" w:rsidRPr="00015D26" w:rsidRDefault="00300050" w:rsidP="00300050">
      <w:pPr>
        <w:spacing w:line="360" w:lineRule="auto"/>
        <w:jc w:val="both"/>
        <w:rPr>
          <w:rFonts w:ascii="Arial" w:hAnsi="Arial"/>
          <w:b/>
          <w:bCs/>
          <w:rtl/>
        </w:rPr>
      </w:pPr>
      <w:r w:rsidRPr="00015D26">
        <w:rPr>
          <w:rFonts w:ascii="David" w:hAnsi="David"/>
          <w:b/>
          <w:bCs/>
          <w:rtl/>
        </w:rPr>
        <w:t xml:space="preserve">1. </w:t>
      </w:r>
      <w:bookmarkStart w:id="6" w:name="ABSTRACT_START"/>
      <w:bookmarkEnd w:id="6"/>
      <w:r w:rsidRPr="00015D26">
        <w:rPr>
          <w:rFonts w:ascii="David" w:hAnsi="David"/>
          <w:rtl/>
        </w:rPr>
        <w:t>הנאשם הורשע בהתאם להודאתו</w:t>
      </w:r>
      <w:r w:rsidRPr="00015D26">
        <w:rPr>
          <w:rFonts w:ascii="Arial" w:hAnsi="Arial"/>
          <w:rtl/>
        </w:rPr>
        <w:t xml:space="preserve"> בעובדות כתב האישום המתוקן, בביצוע עבירת הכנה, ייצור והפקה, עבירה לפי </w:t>
      </w:r>
      <w:hyperlink r:id="rId11" w:history="1">
        <w:r w:rsidR="001326B5" w:rsidRPr="001326B5">
          <w:rPr>
            <w:rStyle w:val="Hyperlink"/>
            <w:rFonts w:ascii="Arial" w:hAnsi="Arial"/>
            <w:b/>
            <w:bCs/>
            <w:rtl/>
          </w:rPr>
          <w:t>סעיף 6</w:t>
        </w:r>
      </w:hyperlink>
      <w:r w:rsidRPr="00015D26">
        <w:rPr>
          <w:rFonts w:ascii="Arial" w:hAnsi="Arial"/>
          <w:b/>
          <w:bCs/>
          <w:rtl/>
        </w:rPr>
        <w:t xml:space="preserve"> ל</w:t>
      </w:r>
      <w:hyperlink r:id="rId12" w:history="1">
        <w:r w:rsidR="00CA48FB" w:rsidRPr="00CA48FB">
          <w:rPr>
            <w:rFonts w:ascii="Arial" w:hAnsi="Arial"/>
            <w:b/>
            <w:bCs/>
            <w:color w:val="0000FF"/>
            <w:u w:val="single"/>
            <w:rtl/>
          </w:rPr>
          <w:t>פקודת הסמים המסוכנים</w:t>
        </w:r>
      </w:hyperlink>
      <w:r w:rsidRPr="00015D26">
        <w:rPr>
          <w:rFonts w:ascii="Arial" w:hAnsi="Arial"/>
          <w:b/>
          <w:bCs/>
          <w:rtl/>
        </w:rPr>
        <w:t xml:space="preserve"> [נוסח חדש], תשל"ג-1973</w:t>
      </w:r>
      <w:r w:rsidRPr="00015D26">
        <w:rPr>
          <w:rFonts w:ascii="Arial" w:hAnsi="Arial"/>
          <w:rtl/>
        </w:rPr>
        <w:t xml:space="preserve"> (להלן:</w:t>
      </w:r>
      <w:r w:rsidRPr="00015D26">
        <w:rPr>
          <w:rFonts w:ascii="Arial" w:hAnsi="Arial"/>
          <w:b/>
          <w:bCs/>
          <w:rtl/>
        </w:rPr>
        <w:t xml:space="preserve"> "פקודת הסמים"</w:t>
      </w:r>
      <w:r w:rsidRPr="00015D26">
        <w:rPr>
          <w:rFonts w:ascii="Arial" w:hAnsi="Arial"/>
          <w:rtl/>
        </w:rPr>
        <w:t>),</w:t>
      </w:r>
      <w:r w:rsidRPr="00015D26">
        <w:rPr>
          <w:rFonts w:ascii="Arial" w:hAnsi="Arial"/>
          <w:b/>
          <w:bCs/>
          <w:rtl/>
        </w:rPr>
        <w:t xml:space="preserve"> </w:t>
      </w:r>
      <w:r w:rsidRPr="00015D26">
        <w:rPr>
          <w:rFonts w:ascii="Arial" w:hAnsi="Arial"/>
          <w:rtl/>
        </w:rPr>
        <w:t>ועבירת נטילת חשמל, עבירה לפי</w:t>
      </w:r>
      <w:r w:rsidRPr="00015D26">
        <w:rPr>
          <w:rFonts w:ascii="Arial" w:hAnsi="Arial"/>
          <w:b/>
          <w:bCs/>
          <w:rtl/>
        </w:rPr>
        <w:t xml:space="preserve"> </w:t>
      </w:r>
      <w:hyperlink r:id="rId13" w:history="1">
        <w:r w:rsidR="001326B5" w:rsidRPr="001326B5">
          <w:rPr>
            <w:rStyle w:val="Hyperlink"/>
            <w:rFonts w:ascii="Arial" w:hAnsi="Arial"/>
            <w:b/>
            <w:bCs/>
            <w:rtl/>
          </w:rPr>
          <w:t>סעיף 400</w:t>
        </w:r>
      </w:hyperlink>
      <w:r w:rsidRPr="00015D26">
        <w:rPr>
          <w:rFonts w:ascii="Arial" w:hAnsi="Arial"/>
          <w:b/>
          <w:bCs/>
          <w:rtl/>
        </w:rPr>
        <w:t xml:space="preserve"> ל</w:t>
      </w:r>
      <w:hyperlink r:id="rId14" w:history="1">
        <w:r w:rsidR="00CA48FB" w:rsidRPr="00CA48FB">
          <w:rPr>
            <w:rFonts w:ascii="Arial" w:hAnsi="Arial"/>
            <w:b/>
            <w:bCs/>
            <w:color w:val="0000FF"/>
            <w:u w:val="single"/>
            <w:rtl/>
          </w:rPr>
          <w:t>חוק העונשין</w:t>
        </w:r>
      </w:hyperlink>
      <w:r w:rsidRPr="00015D26">
        <w:rPr>
          <w:rFonts w:ascii="Arial" w:hAnsi="Arial"/>
          <w:b/>
          <w:bCs/>
          <w:rtl/>
        </w:rPr>
        <w:t xml:space="preserve">, תשל"ז-1977 </w:t>
      </w:r>
      <w:r w:rsidRPr="00015D26">
        <w:rPr>
          <w:rFonts w:ascii="Arial" w:hAnsi="Arial"/>
          <w:rtl/>
        </w:rPr>
        <w:t>(להלן:</w:t>
      </w:r>
      <w:r w:rsidRPr="00015D26">
        <w:rPr>
          <w:rFonts w:ascii="Arial" w:hAnsi="Arial"/>
          <w:b/>
          <w:bCs/>
          <w:rtl/>
        </w:rPr>
        <w:t xml:space="preserve"> "חוק העונשין"</w:t>
      </w:r>
      <w:r w:rsidRPr="00015D26">
        <w:rPr>
          <w:rFonts w:ascii="Arial" w:hAnsi="Arial"/>
          <w:rtl/>
        </w:rPr>
        <w:t>).</w:t>
      </w:r>
    </w:p>
    <w:p w14:paraId="2D8F211D" w14:textId="77777777" w:rsidR="00300050" w:rsidRPr="00015D26" w:rsidRDefault="00300050" w:rsidP="00300050">
      <w:pPr>
        <w:spacing w:line="360" w:lineRule="auto"/>
        <w:jc w:val="both"/>
        <w:rPr>
          <w:rFonts w:ascii="Arial" w:hAnsi="Arial"/>
        </w:rPr>
      </w:pPr>
      <w:bookmarkStart w:id="7" w:name="ABSTRACT_END"/>
      <w:bookmarkEnd w:id="7"/>
    </w:p>
    <w:p w14:paraId="66F61B97" w14:textId="77777777" w:rsidR="00300050" w:rsidRPr="00015D26" w:rsidRDefault="00300050" w:rsidP="00300050">
      <w:pPr>
        <w:spacing w:line="360" w:lineRule="auto"/>
        <w:jc w:val="both"/>
        <w:rPr>
          <w:rFonts w:ascii="Arial" w:hAnsi="Arial"/>
          <w:rtl/>
        </w:rPr>
      </w:pPr>
      <w:r w:rsidRPr="00015D26">
        <w:rPr>
          <w:rFonts w:ascii="Arial" w:hAnsi="Arial"/>
          <w:rtl/>
        </w:rPr>
        <w:t xml:space="preserve">מעובדות כתב האישום המתוקן עולה כי במועד שאינו ידוע במדויק, </w:t>
      </w:r>
      <w:r>
        <w:rPr>
          <w:rFonts w:ascii="Arial" w:hAnsi="Arial" w:hint="cs"/>
          <w:rtl/>
        </w:rPr>
        <w:t>החליט</w:t>
      </w:r>
      <w:r w:rsidRPr="00015D26">
        <w:rPr>
          <w:rFonts w:ascii="Arial" w:hAnsi="Arial"/>
          <w:rtl/>
        </w:rPr>
        <w:t xml:space="preserve"> הנאשם להקים מקום לגידול סם מסוכן מסוג קנבוס ולגדל הסם בכמות מסחרית ושלא לצריכתו העצמית. לשם כך, במשך מספר חודשים ועד ליום 04/11/21, גידל הנאשם שתילים רבים של סם בבית ברחוב דוד המלך 10 בקרית גת (להלן: "</w:t>
      </w:r>
      <w:r w:rsidRPr="00015D26">
        <w:rPr>
          <w:rFonts w:ascii="Arial" w:hAnsi="Arial"/>
          <w:b/>
          <w:bCs/>
          <w:rtl/>
        </w:rPr>
        <w:t>הבית</w:t>
      </w:r>
      <w:r w:rsidRPr="00015D26">
        <w:rPr>
          <w:rFonts w:ascii="Arial" w:hAnsi="Arial"/>
          <w:rtl/>
        </w:rPr>
        <w:t>")</w:t>
      </w:r>
      <w:r>
        <w:rPr>
          <w:rFonts w:ascii="Arial" w:hAnsi="Arial" w:hint="cs"/>
          <w:rtl/>
        </w:rPr>
        <w:t>, ששכר ולאחר שביצע פעולות כדי להכשירה לגידול הסם</w:t>
      </w:r>
      <w:r w:rsidRPr="00015D26">
        <w:rPr>
          <w:rFonts w:ascii="Arial" w:hAnsi="Arial"/>
          <w:rtl/>
        </w:rPr>
        <w:t>.</w:t>
      </w:r>
    </w:p>
    <w:p w14:paraId="0A8D69B1" w14:textId="77777777" w:rsidR="00300050" w:rsidRPr="00015D26" w:rsidRDefault="00300050" w:rsidP="00300050">
      <w:pPr>
        <w:spacing w:line="360" w:lineRule="auto"/>
        <w:jc w:val="both"/>
        <w:rPr>
          <w:rFonts w:ascii="Arial" w:hAnsi="Arial"/>
          <w:rtl/>
        </w:rPr>
      </w:pPr>
      <w:r w:rsidRPr="00015D26">
        <w:rPr>
          <w:rFonts w:ascii="Arial" w:hAnsi="Arial"/>
          <w:rtl/>
        </w:rPr>
        <w:lastRenderedPageBreak/>
        <w:t xml:space="preserve">לצורך תפעול מקום גידול הסם והפעלת מכשירי החשמל בהם השתמש לצורך הגידול – יצר הנאשם או מי מטעמו חיבור פיראטי של חשמל בדירה. </w:t>
      </w:r>
    </w:p>
    <w:p w14:paraId="6E1C6C1C" w14:textId="77777777" w:rsidR="00300050" w:rsidRPr="00015D26" w:rsidRDefault="00300050" w:rsidP="00300050">
      <w:pPr>
        <w:spacing w:line="360" w:lineRule="auto"/>
        <w:jc w:val="both"/>
        <w:rPr>
          <w:rFonts w:ascii="Arial" w:hAnsi="Arial"/>
          <w:rtl/>
        </w:rPr>
      </w:pPr>
      <w:r w:rsidRPr="00015D26">
        <w:rPr>
          <w:rFonts w:ascii="Arial" w:hAnsi="Arial"/>
          <w:rtl/>
        </w:rPr>
        <w:t>בהמשך למתואר, ביום 04/11/21, במסגרת פעילות יזומה של המשטרה, הגיעו שוטרים לבית וביצעו בו חיפוש. במהלך החיפוש מצאו השוטרים בחמישה חדרים בבית 371 שתילי סם בשלבי גידול מתקדמים במשקל כולל של 139 ק"ג נטו. כמו כן, נתפס בדירה ציוד רב ששימש לגידול הסם וייבושו.</w:t>
      </w:r>
    </w:p>
    <w:p w14:paraId="536C72F2" w14:textId="77777777" w:rsidR="00300050" w:rsidRPr="00015D26" w:rsidRDefault="00300050" w:rsidP="00300050">
      <w:pPr>
        <w:spacing w:line="360" w:lineRule="auto"/>
        <w:jc w:val="both"/>
        <w:rPr>
          <w:rFonts w:ascii="Arial" w:hAnsi="Arial"/>
          <w:rtl/>
        </w:rPr>
      </w:pPr>
      <w:r w:rsidRPr="00015D26">
        <w:rPr>
          <w:rFonts w:ascii="Arial" w:hAnsi="Arial"/>
          <w:rtl/>
        </w:rPr>
        <w:t xml:space="preserve">הנזק אשר נגרם לחברת החשמל כתוצאה ממעשיו של הנאשם נאמד בסך כולל של כ-260,825 ₪.  </w:t>
      </w:r>
    </w:p>
    <w:p w14:paraId="028282A9" w14:textId="77777777" w:rsidR="00300050" w:rsidRPr="00015D26" w:rsidRDefault="00300050" w:rsidP="00300050">
      <w:pPr>
        <w:spacing w:line="360" w:lineRule="auto"/>
        <w:jc w:val="both"/>
        <w:rPr>
          <w:rFonts w:ascii="Arial" w:hAnsi="Arial"/>
          <w:b/>
          <w:bCs/>
          <w:u w:val="single"/>
          <w:rtl/>
        </w:rPr>
      </w:pPr>
    </w:p>
    <w:p w14:paraId="63DB5194" w14:textId="77777777" w:rsidR="00300050" w:rsidRPr="00015D26" w:rsidRDefault="00300050" w:rsidP="00300050">
      <w:pPr>
        <w:spacing w:line="360" w:lineRule="auto"/>
        <w:jc w:val="both"/>
        <w:rPr>
          <w:rFonts w:ascii="Arial" w:hAnsi="Arial"/>
          <w:b/>
          <w:bCs/>
          <w:u w:val="single"/>
          <w:rtl/>
        </w:rPr>
      </w:pPr>
      <w:r w:rsidRPr="00015D26">
        <w:rPr>
          <w:rFonts w:ascii="Arial" w:hAnsi="Arial"/>
          <w:b/>
          <w:bCs/>
          <w:u w:val="single"/>
          <w:rtl/>
        </w:rPr>
        <w:t xml:space="preserve">הסדר הטיעון </w:t>
      </w:r>
    </w:p>
    <w:p w14:paraId="6FD57FD8" w14:textId="77777777" w:rsidR="00300050" w:rsidRPr="00015D26" w:rsidRDefault="00300050" w:rsidP="00300050">
      <w:pPr>
        <w:spacing w:line="360" w:lineRule="auto"/>
        <w:jc w:val="both"/>
        <w:rPr>
          <w:rFonts w:ascii="Arial" w:hAnsi="Arial"/>
          <w:b/>
          <w:bCs/>
          <w:rtl/>
        </w:rPr>
      </w:pPr>
      <w:r w:rsidRPr="00015D26">
        <w:rPr>
          <w:rFonts w:ascii="Arial" w:hAnsi="Arial"/>
          <w:b/>
          <w:bCs/>
          <w:rtl/>
        </w:rPr>
        <w:t>2.</w:t>
      </w:r>
      <w:r w:rsidRPr="00015D26">
        <w:rPr>
          <w:rFonts w:ascii="Arial" w:hAnsi="Arial"/>
          <w:rtl/>
        </w:rPr>
        <w:t xml:space="preserve"> </w:t>
      </w:r>
      <w:r w:rsidRPr="00015D26">
        <w:rPr>
          <w:rFonts w:ascii="David" w:hAnsi="David"/>
          <w:rtl/>
        </w:rPr>
        <w:t xml:space="preserve">ביום 13/03/22 הוצג הסדר במסגרתו, כאמור, הודה הנאשם בכתב האישום המתוקן. </w:t>
      </w:r>
    </w:p>
    <w:p w14:paraId="6C967395" w14:textId="77777777" w:rsidR="00300050" w:rsidRPr="00015D26" w:rsidRDefault="00300050" w:rsidP="00300050">
      <w:pPr>
        <w:spacing w:line="360" w:lineRule="auto"/>
        <w:jc w:val="both"/>
        <w:rPr>
          <w:rFonts w:ascii="David" w:hAnsi="David"/>
          <w:rtl/>
        </w:rPr>
      </w:pPr>
      <w:r w:rsidRPr="00015D26">
        <w:rPr>
          <w:rFonts w:ascii="David" w:hAnsi="David"/>
          <w:rtl/>
        </w:rPr>
        <w:t>הצדדים הסכימו כי הנאשם יורשע וכי כל צד יהיה חופשי בטיעוניו לעונש. כמו כן, הסכימו כי על אף שבעובדות כתב האישום המתוקן מצוין כי הנזק אשר נגרם לחברת החשמל הוא כ-260,000 ₪, הנאשם מודה ב</w:t>
      </w:r>
      <w:r>
        <w:rPr>
          <w:rFonts w:ascii="David" w:hAnsi="David" w:hint="cs"/>
          <w:rtl/>
        </w:rPr>
        <w:t>גרמית נזק ב</w:t>
      </w:r>
      <w:r w:rsidRPr="00015D26">
        <w:rPr>
          <w:rFonts w:ascii="David" w:hAnsi="David"/>
          <w:rtl/>
        </w:rPr>
        <w:t xml:space="preserve">שווי של כ-100,000 ₪.  </w:t>
      </w:r>
    </w:p>
    <w:p w14:paraId="62DD0D8B" w14:textId="77777777" w:rsidR="00300050" w:rsidRPr="00015D26" w:rsidRDefault="00300050" w:rsidP="00300050">
      <w:pPr>
        <w:spacing w:line="360" w:lineRule="auto"/>
        <w:jc w:val="both"/>
        <w:rPr>
          <w:rFonts w:ascii="David" w:hAnsi="David"/>
          <w:rtl/>
        </w:rPr>
      </w:pPr>
      <w:r w:rsidRPr="00015D26">
        <w:rPr>
          <w:rFonts w:ascii="David" w:hAnsi="David"/>
          <w:rtl/>
        </w:rPr>
        <w:t>בהיעדר התנגדות מטעם ב"כ המאשימה – הופנה הנאשם, לבקשת בא כוחו, לקבלת תסקיר מטעם שירות המבחן.</w:t>
      </w:r>
    </w:p>
    <w:p w14:paraId="555D756C" w14:textId="77777777" w:rsidR="00300050" w:rsidRPr="00015D26" w:rsidRDefault="00300050" w:rsidP="00300050">
      <w:pPr>
        <w:spacing w:line="360" w:lineRule="auto"/>
        <w:jc w:val="both"/>
        <w:rPr>
          <w:rFonts w:ascii="Arial" w:hAnsi="Arial"/>
          <w:b/>
          <w:bCs/>
          <w:rtl/>
        </w:rPr>
      </w:pPr>
    </w:p>
    <w:p w14:paraId="7D6E8799" w14:textId="77777777" w:rsidR="00300050" w:rsidRPr="00015D26" w:rsidRDefault="00300050" w:rsidP="00300050">
      <w:pPr>
        <w:spacing w:line="360" w:lineRule="auto"/>
        <w:jc w:val="both"/>
        <w:rPr>
          <w:rFonts w:ascii="Arial" w:hAnsi="Arial"/>
          <w:b/>
          <w:bCs/>
          <w:u w:val="single"/>
          <w:rtl/>
        </w:rPr>
      </w:pPr>
      <w:r w:rsidRPr="00015D26">
        <w:rPr>
          <w:rFonts w:ascii="Arial" w:hAnsi="Arial"/>
          <w:b/>
          <w:bCs/>
          <w:u w:val="single"/>
          <w:rtl/>
        </w:rPr>
        <w:t xml:space="preserve">תסקיר שירות המבחן </w:t>
      </w:r>
    </w:p>
    <w:p w14:paraId="1454F0D8" w14:textId="77777777" w:rsidR="00300050" w:rsidRPr="00015D26" w:rsidRDefault="00300050" w:rsidP="00300050">
      <w:pPr>
        <w:spacing w:line="360" w:lineRule="auto"/>
        <w:jc w:val="both"/>
        <w:rPr>
          <w:rFonts w:ascii="David" w:hAnsi="David"/>
        </w:rPr>
      </w:pPr>
      <w:r w:rsidRPr="00015D26">
        <w:rPr>
          <w:rFonts w:ascii="Arial" w:hAnsi="Arial"/>
          <w:b/>
          <w:bCs/>
          <w:rtl/>
        </w:rPr>
        <w:t>3.</w:t>
      </w:r>
      <w:r w:rsidRPr="00015D26">
        <w:rPr>
          <w:rFonts w:ascii="Arial" w:hAnsi="Arial"/>
          <w:rtl/>
        </w:rPr>
        <w:t xml:space="preserve"> </w:t>
      </w:r>
      <w:r w:rsidRPr="00015D26">
        <w:rPr>
          <w:rFonts w:ascii="David" w:hAnsi="David"/>
          <w:rtl/>
        </w:rPr>
        <w:t xml:space="preserve">מתסקיר שירות המבחן עולה כי הנאשם בן 32, מצוי בזוגיות ארוכה ואב ל-2 ילדים מזוגיות זו. הנאשם יליד רוסיה, </w:t>
      </w:r>
      <w:r>
        <w:rPr>
          <w:rFonts w:ascii="David" w:hAnsi="David" w:hint="cs"/>
          <w:rtl/>
        </w:rPr>
        <w:t>עלה</w:t>
      </w:r>
      <w:r w:rsidRPr="00015D26">
        <w:rPr>
          <w:rFonts w:ascii="David" w:hAnsi="David"/>
          <w:rtl/>
        </w:rPr>
        <w:t xml:space="preserve"> לארץ לאחריו גירושי הוריו בגיל 9. הנאשם סיים 12 שנות לימוד עם תעודת בגרות מלאה</w:t>
      </w:r>
      <w:r>
        <w:rPr>
          <w:rFonts w:ascii="David" w:hAnsi="David"/>
          <w:rtl/>
        </w:rPr>
        <w:t>, התגייס לצה"ל ושירת שירות חלקי</w:t>
      </w:r>
      <w:r w:rsidRPr="00015D26">
        <w:rPr>
          <w:rFonts w:ascii="David" w:hAnsi="David"/>
          <w:rtl/>
        </w:rPr>
        <w:t xml:space="preserve">. הנאשם תאר כי עבד בעבודות מזדמנות מגיל 14, וכי לאחר שבשנת 2019 פתח עסק לעבודות גמר כקבלן משנה – בעקבות בריחת הקבלן האחראי לחו"ל – נותר עם חוב משמעותי אשר הצטרף לחובות נוספים שצבר בעבר. מהתסקיר אף עלה רקע משפחתי ואישי מורכב, והנאשם טען כי הוא המפרנס היחיד בבית. </w:t>
      </w:r>
    </w:p>
    <w:p w14:paraId="19A8567A" w14:textId="77777777" w:rsidR="00300050" w:rsidRPr="00015D26" w:rsidRDefault="00300050" w:rsidP="00300050">
      <w:pPr>
        <w:spacing w:line="360" w:lineRule="auto"/>
        <w:jc w:val="both"/>
        <w:rPr>
          <w:rFonts w:ascii="David" w:hAnsi="David"/>
          <w:rtl/>
        </w:rPr>
      </w:pPr>
    </w:p>
    <w:p w14:paraId="6A0A4F26" w14:textId="77777777" w:rsidR="00300050" w:rsidRPr="00015D26" w:rsidRDefault="00300050" w:rsidP="00300050">
      <w:pPr>
        <w:spacing w:line="360" w:lineRule="auto"/>
        <w:jc w:val="both"/>
        <w:rPr>
          <w:rFonts w:ascii="David" w:hAnsi="David"/>
          <w:rtl/>
        </w:rPr>
      </w:pPr>
      <w:r w:rsidRPr="00015D26">
        <w:rPr>
          <w:rFonts w:ascii="David" w:hAnsi="David"/>
          <w:rtl/>
        </w:rPr>
        <w:t xml:space="preserve">הנאשם שיתף בשימוש בסם מסוכן מסוג קנאביס בעבר, אולם טען כי מאז החל את הזוגיות הנוכחית, לפני כ-8 שנים, לא עשה שימוש בסמים ושלל צורך טיפולי בתחום זה. הנאשם אף שיתף כי מהמר מזה כ-5 שנים, אולם שלל התמכרות. </w:t>
      </w:r>
    </w:p>
    <w:p w14:paraId="288B53ED" w14:textId="77777777" w:rsidR="00300050" w:rsidRPr="00015D26" w:rsidRDefault="00300050" w:rsidP="00300050">
      <w:pPr>
        <w:spacing w:line="360" w:lineRule="auto"/>
        <w:jc w:val="both"/>
        <w:rPr>
          <w:rFonts w:ascii="David" w:hAnsi="David"/>
          <w:rtl/>
        </w:rPr>
      </w:pPr>
    </w:p>
    <w:p w14:paraId="041F6CE4" w14:textId="77777777" w:rsidR="00300050" w:rsidRPr="00015D26" w:rsidRDefault="00300050" w:rsidP="00300050">
      <w:pPr>
        <w:spacing w:line="360" w:lineRule="auto"/>
        <w:jc w:val="both"/>
        <w:rPr>
          <w:rFonts w:ascii="David" w:hAnsi="David"/>
          <w:rtl/>
        </w:rPr>
      </w:pPr>
      <w:r w:rsidRPr="00015D26">
        <w:rPr>
          <w:rFonts w:ascii="David" w:hAnsi="David"/>
          <w:rtl/>
        </w:rPr>
        <w:t xml:space="preserve">באשר למעשי העבירות עליהן נותן את הדין - הנאשם הודה ולקח אחריות מלאה בפני שירות המבחן, וטען כי ביצע אותן על רקע מצבו הכלכלי והקושי לשלם חובותיו, וכי לא חשב על השלכות מעשיו ולא שיתף אף אחד, לרבות בת זוגו, בקשייו. </w:t>
      </w:r>
    </w:p>
    <w:p w14:paraId="44A1065F" w14:textId="77777777" w:rsidR="00300050" w:rsidRPr="00015D26" w:rsidRDefault="00300050" w:rsidP="00300050">
      <w:pPr>
        <w:spacing w:line="360" w:lineRule="auto"/>
        <w:jc w:val="both"/>
        <w:rPr>
          <w:rFonts w:ascii="David" w:hAnsi="David"/>
          <w:rtl/>
        </w:rPr>
      </w:pPr>
      <w:r w:rsidRPr="00015D26">
        <w:rPr>
          <w:rFonts w:ascii="David" w:hAnsi="David"/>
          <w:rtl/>
        </w:rPr>
        <w:t xml:space="preserve"> </w:t>
      </w:r>
    </w:p>
    <w:p w14:paraId="707E5668" w14:textId="77777777" w:rsidR="00300050" w:rsidRPr="00015D26" w:rsidRDefault="00300050" w:rsidP="00300050">
      <w:pPr>
        <w:spacing w:line="360" w:lineRule="auto"/>
        <w:jc w:val="both"/>
        <w:rPr>
          <w:rFonts w:ascii="David" w:hAnsi="David"/>
          <w:rtl/>
        </w:rPr>
      </w:pPr>
      <w:r w:rsidRPr="00015D26">
        <w:rPr>
          <w:rFonts w:ascii="David" w:hAnsi="David"/>
          <w:rtl/>
        </w:rPr>
        <w:t xml:space="preserve">שירות המבחן התרשם כי הנאשם עושה ככל שביכולתו לסייע לבני משפחתו, אך גם מקושי בהצבת גבול פנימי ובוויסות דחפיו במצבי דחק, לצד רקע בשימוש בחומרים ממכרים והימורים. כמו כן, </w:t>
      </w:r>
      <w:r w:rsidRPr="00015D26">
        <w:rPr>
          <w:rFonts w:ascii="David" w:hAnsi="David"/>
          <w:rtl/>
        </w:rPr>
        <w:lastRenderedPageBreak/>
        <w:t xml:space="preserve">עלה רושם של קושי להסתייע באחרים ובפרט בגורמי טיפול, ומנטייה להסתרת מידע. לאור המפורט נמנע שירות המבחן ממתן המלצה טיפולית בעניינו. </w:t>
      </w:r>
    </w:p>
    <w:p w14:paraId="39C5C333" w14:textId="77777777" w:rsidR="00300050" w:rsidRPr="00015D26" w:rsidRDefault="00300050" w:rsidP="00300050">
      <w:pPr>
        <w:spacing w:line="360" w:lineRule="auto"/>
        <w:jc w:val="both"/>
        <w:rPr>
          <w:rFonts w:ascii="David" w:hAnsi="David"/>
          <w:rtl/>
        </w:rPr>
      </w:pPr>
    </w:p>
    <w:p w14:paraId="72DE5943" w14:textId="77777777" w:rsidR="00300050" w:rsidRDefault="00300050" w:rsidP="00300050">
      <w:pPr>
        <w:spacing w:line="360" w:lineRule="auto"/>
        <w:jc w:val="both"/>
        <w:rPr>
          <w:rFonts w:ascii="David" w:hAnsi="David"/>
          <w:rtl/>
        </w:rPr>
      </w:pPr>
      <w:r w:rsidRPr="00015D26">
        <w:rPr>
          <w:rFonts w:ascii="David" w:hAnsi="David"/>
          <w:rtl/>
        </w:rPr>
        <w:t xml:space="preserve">בשים לב למפורט, המליץ שירות המבחן על הטלת עונש מוחשי בדמות מאסר בפועל, אשר יהווה מחיר משמעותי למעשיו, לצד הטלת מאסר מותנה אשר יהווה גבול חיצוני וירתיעו מביצוע עבירה חוזרת בעתיד. </w:t>
      </w:r>
    </w:p>
    <w:p w14:paraId="57134218" w14:textId="77777777" w:rsidR="00300050" w:rsidRPr="00015D26" w:rsidRDefault="00300050" w:rsidP="00300050">
      <w:pPr>
        <w:spacing w:line="360" w:lineRule="auto"/>
        <w:jc w:val="both"/>
        <w:rPr>
          <w:rFonts w:ascii="David" w:hAnsi="David"/>
          <w:rtl/>
        </w:rPr>
      </w:pPr>
    </w:p>
    <w:p w14:paraId="18DB7C25" w14:textId="77777777" w:rsidR="00300050" w:rsidRPr="00015D26" w:rsidRDefault="00300050" w:rsidP="00300050">
      <w:pPr>
        <w:spacing w:line="360" w:lineRule="auto"/>
        <w:jc w:val="both"/>
        <w:rPr>
          <w:rFonts w:ascii="Arial" w:hAnsi="Arial"/>
          <w:b/>
          <w:bCs/>
          <w:u w:val="single"/>
          <w:rtl/>
        </w:rPr>
      </w:pPr>
      <w:r w:rsidRPr="00015D26">
        <w:rPr>
          <w:rFonts w:ascii="Arial" w:hAnsi="Arial"/>
          <w:b/>
          <w:bCs/>
          <w:u w:val="single"/>
          <w:rtl/>
        </w:rPr>
        <w:t xml:space="preserve">טיעוני הצדדים </w:t>
      </w:r>
    </w:p>
    <w:p w14:paraId="373660B9" w14:textId="77777777" w:rsidR="00300050" w:rsidRPr="00015D26" w:rsidRDefault="00300050" w:rsidP="00300050">
      <w:pPr>
        <w:spacing w:line="360" w:lineRule="auto"/>
        <w:jc w:val="both"/>
        <w:rPr>
          <w:rtl/>
        </w:rPr>
      </w:pPr>
      <w:r w:rsidRPr="00015D26">
        <w:rPr>
          <w:rFonts w:ascii="Arial" w:hAnsi="Arial"/>
          <w:b/>
          <w:bCs/>
          <w:rtl/>
        </w:rPr>
        <w:t>4.</w:t>
      </w:r>
      <w:r w:rsidRPr="00015D26">
        <w:rPr>
          <w:rFonts w:ascii="Arial" w:hAnsi="Arial"/>
          <w:rtl/>
        </w:rPr>
        <w:t xml:space="preserve"> </w:t>
      </w:r>
      <w:r w:rsidRPr="00015D26">
        <w:rPr>
          <w:rFonts w:ascii="Arial" w:hAnsi="Arial"/>
          <w:b/>
          <w:bCs/>
          <w:rtl/>
        </w:rPr>
        <w:t xml:space="preserve">באת כוח המאשימה </w:t>
      </w:r>
      <w:r w:rsidRPr="00015D26">
        <w:rPr>
          <w:rFonts w:ascii="Arial" w:hAnsi="Arial"/>
          <w:rtl/>
        </w:rPr>
        <w:t>במסגרת טיעוניה הכתובים לעונש הפנתה לערכים החברתיים המוגנים בהם פגע הנאשם במעשיו</w:t>
      </w:r>
      <w:r w:rsidRPr="00015D26">
        <w:rPr>
          <w:rtl/>
        </w:rPr>
        <w:t xml:space="preserve"> – שמירה על הסדר החברתי, שלטון החוק, שלום הציבור ובריאותו, וזאת לצד הפגיעה בקניין. כמו כן, הפנתה לנזקים הקשים וארוכי הטווח אשר נגרמים בעקיפין לצרכני הסמים כתוצאה מביצוע עבירת הגידול, אשר מצדיקים ענישה השמה דגש על שיקולי הרתעה, גמול ומניעה על פני נסיבות אישיות.</w:t>
      </w:r>
    </w:p>
    <w:p w14:paraId="3C296569" w14:textId="77777777" w:rsidR="00300050" w:rsidRPr="00015D26" w:rsidRDefault="00300050" w:rsidP="00300050">
      <w:pPr>
        <w:spacing w:line="360" w:lineRule="auto"/>
        <w:jc w:val="both"/>
        <w:rPr>
          <w:rtl/>
        </w:rPr>
      </w:pPr>
      <w:r w:rsidRPr="00015D26">
        <w:rPr>
          <w:rtl/>
        </w:rPr>
        <w:t xml:space="preserve">נוכח הכמות הגבוהה של הסמים שנתפסו – טענה באת כוח המאשימה כי הפגיעה בערכים המוגנים גבוהה. כמו כן, הפנתה לכך שכבר נפסק כי גידול סם במעבדות ביתיות הפך ל"מכת מדינה", בן היתר לאור הקלות שבביצוען, אשר מחייבת ענישה מחמירה. </w:t>
      </w:r>
    </w:p>
    <w:p w14:paraId="1B243C92" w14:textId="77777777" w:rsidR="00300050" w:rsidRPr="00015D26" w:rsidRDefault="00300050" w:rsidP="00300050">
      <w:pPr>
        <w:tabs>
          <w:tab w:val="center" w:pos="4153"/>
          <w:tab w:val="right" w:pos="8306"/>
        </w:tabs>
        <w:spacing w:line="360" w:lineRule="auto"/>
        <w:jc w:val="both"/>
        <w:rPr>
          <w:rtl/>
        </w:rPr>
      </w:pPr>
    </w:p>
    <w:p w14:paraId="58347532" w14:textId="77777777" w:rsidR="00300050" w:rsidRPr="00015D26" w:rsidRDefault="00300050" w:rsidP="00300050">
      <w:pPr>
        <w:tabs>
          <w:tab w:val="center" w:pos="4153"/>
          <w:tab w:val="right" w:pos="8306"/>
        </w:tabs>
        <w:spacing w:line="360" w:lineRule="auto"/>
        <w:jc w:val="both"/>
        <w:rPr>
          <w:rtl/>
        </w:rPr>
      </w:pPr>
      <w:r w:rsidRPr="00015D26">
        <w:rPr>
          <w:rtl/>
        </w:rPr>
        <w:t xml:space="preserve">באשר לנסיבות ביצוע העבירה הדגישה באת כוח המאשימה את התכנון הרב אשר הצריכה - השכרת הדירה, הכשרת הדירה למעבדה, השגת ציוד רב ויקר, והגידול עצמו במשך מספר חודשים. עוד הפנתה לנזק המשמעותי אשר היה עלול להיגרם כתוצאה מהפצת הסמים אשר גידל הנאשם, הן למשתמשים והן לציבור כולו. בנוסף, הפנתה להיות הנאשם מבצע יחיד ולמניע הכלכלי אשר עמד בבסיס ביצוע העבירה. </w:t>
      </w:r>
    </w:p>
    <w:p w14:paraId="6F80D5EE" w14:textId="77777777" w:rsidR="00300050" w:rsidRPr="00015D26" w:rsidRDefault="00300050" w:rsidP="00300050">
      <w:pPr>
        <w:tabs>
          <w:tab w:val="center" w:pos="4153"/>
          <w:tab w:val="right" w:pos="8306"/>
        </w:tabs>
        <w:spacing w:line="360" w:lineRule="auto"/>
        <w:jc w:val="both"/>
        <w:rPr>
          <w:b/>
          <w:rtl/>
        </w:rPr>
      </w:pPr>
    </w:p>
    <w:p w14:paraId="3C9BF257" w14:textId="77777777" w:rsidR="00300050" w:rsidRPr="00015D26" w:rsidRDefault="00300050" w:rsidP="00300050">
      <w:pPr>
        <w:tabs>
          <w:tab w:val="center" w:pos="4153"/>
          <w:tab w:val="right" w:pos="8306"/>
        </w:tabs>
        <w:spacing w:line="360" w:lineRule="auto"/>
        <w:jc w:val="both"/>
        <w:rPr>
          <w:b/>
          <w:rtl/>
        </w:rPr>
      </w:pPr>
      <w:r w:rsidRPr="00015D26">
        <w:rPr>
          <w:b/>
          <w:rtl/>
        </w:rPr>
        <w:t>לאור המפורט, ובשים לב לפסיקה שהוצגה מטעמה באשר למדיניות הענישה הנוהגת, וכן לעובדה כי לוותה לגידול גם גניבת חשמל בסכום גבוה - עתרה המאשימה לקביעת מתחם עונש הולם הנע בין</w:t>
      </w:r>
      <w:r w:rsidRPr="00015D26">
        <w:rPr>
          <w:bCs/>
          <w:rtl/>
        </w:rPr>
        <w:t xml:space="preserve"> 3 וחצי ל-5 וחצי שנות מאסר</w:t>
      </w:r>
      <w:r w:rsidRPr="00015D26">
        <w:rPr>
          <w:b/>
          <w:rtl/>
        </w:rPr>
        <w:t xml:space="preserve"> </w:t>
      </w:r>
      <w:r w:rsidRPr="00015D26">
        <w:rPr>
          <w:bCs/>
          <w:rtl/>
        </w:rPr>
        <w:t>בפועל</w:t>
      </w:r>
      <w:r w:rsidRPr="00015D26">
        <w:rPr>
          <w:b/>
          <w:rtl/>
        </w:rPr>
        <w:t>.</w:t>
      </w:r>
    </w:p>
    <w:p w14:paraId="45ACB637" w14:textId="77777777" w:rsidR="00300050" w:rsidRPr="00015D26" w:rsidRDefault="00300050" w:rsidP="00300050">
      <w:pPr>
        <w:tabs>
          <w:tab w:val="center" w:pos="4153"/>
          <w:tab w:val="right" w:pos="8306"/>
        </w:tabs>
        <w:spacing w:line="360" w:lineRule="auto"/>
        <w:jc w:val="both"/>
        <w:rPr>
          <w:b/>
          <w:rtl/>
        </w:rPr>
      </w:pPr>
    </w:p>
    <w:p w14:paraId="0DD7482E" w14:textId="77777777" w:rsidR="00300050" w:rsidRPr="00015D26" w:rsidRDefault="00300050" w:rsidP="00300050">
      <w:pPr>
        <w:spacing w:line="360" w:lineRule="auto"/>
        <w:jc w:val="both"/>
        <w:rPr>
          <w:b/>
          <w:rtl/>
        </w:rPr>
      </w:pPr>
      <w:r w:rsidRPr="00015D26">
        <w:rPr>
          <w:b/>
          <w:rtl/>
        </w:rPr>
        <w:t xml:space="preserve">אשר לקביעת עונשו של הנאשם בגדרי המתחם הפנתה באת כוח המאשימה להיעדר עבר פלילי, ללקיחת האחריות המלאה והחיסכון בזמן שיפוטי יקר, וכן לנסיבותיו האישיות של הנאשם. מנגד, הפנתה </w:t>
      </w:r>
      <w:r>
        <w:rPr>
          <w:rFonts w:hint="cs"/>
          <w:b/>
          <w:rtl/>
        </w:rPr>
        <w:t>ב</w:t>
      </w:r>
      <w:r w:rsidRPr="00015D26">
        <w:rPr>
          <w:b/>
          <w:rtl/>
        </w:rPr>
        <w:t>את כוח המאשימה למאפייני הנאשם, כפי שאלה עולים מתסקיר שירות המבחן, כמפורט לעיל, להיעדר המלצה טיפולית בעניינו, ולשיקולי הרתעת היחיד והרבים אשר יש לשקול לאור חומרת עבירות הסמים.</w:t>
      </w:r>
    </w:p>
    <w:p w14:paraId="16F8CB47" w14:textId="77777777" w:rsidR="00300050" w:rsidRPr="00015D26" w:rsidRDefault="00300050" w:rsidP="00300050">
      <w:pPr>
        <w:spacing w:line="360" w:lineRule="auto"/>
        <w:jc w:val="both"/>
        <w:rPr>
          <w:b/>
          <w:rtl/>
        </w:rPr>
      </w:pPr>
      <w:r w:rsidRPr="00015D26">
        <w:rPr>
          <w:b/>
          <w:rtl/>
        </w:rPr>
        <w:t xml:space="preserve">לאור הנטען, עתרה </w:t>
      </w:r>
      <w:r>
        <w:rPr>
          <w:rFonts w:hint="cs"/>
          <w:b/>
          <w:rtl/>
        </w:rPr>
        <w:t>ב</w:t>
      </w:r>
      <w:r w:rsidRPr="00015D26">
        <w:rPr>
          <w:b/>
          <w:rtl/>
        </w:rPr>
        <w:t xml:space="preserve">את כוח המאשימה להטלת עונש בחלקו התחתון של המתחם, לצד הטלת מאסרים מותנים ממושכים ומרתיעים, פסילה, פסילה מותנית, פיצוי לחברת החשמל וקנס משמעותי הנע בין 40,000-80,000 ₪. </w:t>
      </w:r>
    </w:p>
    <w:p w14:paraId="619B2FF8" w14:textId="77777777" w:rsidR="00300050" w:rsidRPr="00015D26" w:rsidRDefault="00300050" w:rsidP="00300050">
      <w:pPr>
        <w:spacing w:line="360" w:lineRule="auto"/>
        <w:jc w:val="both"/>
        <w:rPr>
          <w:b/>
          <w:rtl/>
        </w:rPr>
      </w:pPr>
      <w:r w:rsidRPr="00015D26">
        <w:rPr>
          <w:b/>
          <w:rtl/>
        </w:rPr>
        <w:t xml:space="preserve">  </w:t>
      </w:r>
    </w:p>
    <w:p w14:paraId="198C1A62" w14:textId="77777777" w:rsidR="00300050" w:rsidRPr="00015D26" w:rsidRDefault="00300050" w:rsidP="00300050">
      <w:pPr>
        <w:spacing w:line="360" w:lineRule="auto"/>
        <w:jc w:val="both"/>
        <w:rPr>
          <w:b/>
          <w:rtl/>
        </w:rPr>
      </w:pPr>
      <w:r w:rsidRPr="00015D26">
        <w:rPr>
          <w:b/>
          <w:rtl/>
        </w:rPr>
        <w:t xml:space="preserve">באת כוח המאשימה אף עתרה להכריז על הנאשם כסוחר סמים ולהורות על חילוט ציוד המעבדה אשר נתפס. </w:t>
      </w:r>
    </w:p>
    <w:p w14:paraId="2EDCDA8C" w14:textId="77777777" w:rsidR="00300050" w:rsidRPr="00015D26" w:rsidRDefault="00300050" w:rsidP="00300050">
      <w:pPr>
        <w:spacing w:line="360" w:lineRule="auto"/>
        <w:jc w:val="both"/>
        <w:rPr>
          <w:b/>
          <w:rtl/>
        </w:rPr>
      </w:pPr>
      <w:r>
        <w:rPr>
          <w:rFonts w:hint="cs"/>
          <w:b/>
          <w:rtl/>
        </w:rPr>
        <w:t xml:space="preserve">במסגרת טיעוניה הגישה המאשימה תמונות המתעדות את המעבדה, הציוד שנתפס בה ושתילי הסם </w:t>
      </w:r>
      <w:r w:rsidRPr="00E76308">
        <w:rPr>
          <w:rFonts w:hint="cs"/>
          <w:bCs/>
          <w:rtl/>
        </w:rPr>
        <w:t>(ת/1)</w:t>
      </w:r>
      <w:r>
        <w:rPr>
          <w:rFonts w:hint="cs"/>
          <w:bCs/>
          <w:rtl/>
        </w:rPr>
        <w:t>.</w:t>
      </w:r>
    </w:p>
    <w:p w14:paraId="69B9087F" w14:textId="77777777" w:rsidR="00300050" w:rsidRPr="00015D26" w:rsidRDefault="00300050" w:rsidP="00300050">
      <w:pPr>
        <w:tabs>
          <w:tab w:val="center" w:pos="4153"/>
          <w:tab w:val="right" w:pos="8306"/>
        </w:tabs>
        <w:spacing w:line="360" w:lineRule="auto"/>
        <w:jc w:val="both"/>
        <w:rPr>
          <w:rFonts w:ascii="David" w:hAnsi="David"/>
          <w:rtl/>
        </w:rPr>
      </w:pPr>
      <w:r w:rsidRPr="00015D26">
        <w:rPr>
          <w:rFonts w:ascii="Arial" w:hAnsi="Arial"/>
          <w:b/>
          <w:bCs/>
          <w:rtl/>
        </w:rPr>
        <w:t>5</w:t>
      </w:r>
      <w:r w:rsidRPr="00015D26">
        <w:rPr>
          <w:rFonts w:ascii="Arial" w:hAnsi="Arial"/>
          <w:rtl/>
        </w:rPr>
        <w:t xml:space="preserve">. </w:t>
      </w:r>
      <w:r w:rsidRPr="00015D26">
        <w:rPr>
          <w:b/>
          <w:bCs/>
          <w:rtl/>
        </w:rPr>
        <w:t>בא כוח הנאשם</w:t>
      </w:r>
      <w:r w:rsidRPr="00015D26">
        <w:rPr>
          <w:rtl/>
        </w:rPr>
        <w:t xml:space="preserve"> טען כי </w:t>
      </w:r>
      <w:r w:rsidRPr="00015D26">
        <w:rPr>
          <w:rFonts w:ascii="David" w:hAnsi="David"/>
          <w:rtl/>
        </w:rPr>
        <w:t>אין להסיק מהפסיקה אשר הוצגה על ידי באת כוח המאשימה למקרה זה, שכן פסיקה זו עוסקת בגידול סם בכמות גדולה יותר, וטען כי</w:t>
      </w:r>
      <w:r>
        <w:rPr>
          <w:rFonts w:ascii="David" w:hAnsi="David"/>
          <w:rtl/>
        </w:rPr>
        <w:t xml:space="preserve"> מתחם הענישה במקרה זה נע בין 18</w:t>
      </w:r>
      <w:r>
        <w:rPr>
          <w:rFonts w:ascii="David" w:hAnsi="David" w:hint="cs"/>
          <w:rtl/>
        </w:rPr>
        <w:t xml:space="preserve"> ל- 36-42</w:t>
      </w:r>
      <w:r w:rsidRPr="00015D26">
        <w:rPr>
          <w:rFonts w:ascii="David" w:hAnsi="David"/>
          <w:rtl/>
        </w:rPr>
        <w:t xml:space="preserve"> חודשי מאסר בפועל. </w:t>
      </w:r>
    </w:p>
    <w:p w14:paraId="7A87CF98" w14:textId="77777777" w:rsidR="00300050" w:rsidRPr="00015D26" w:rsidRDefault="00300050" w:rsidP="00300050">
      <w:pPr>
        <w:tabs>
          <w:tab w:val="center" w:pos="4153"/>
          <w:tab w:val="right" w:pos="8306"/>
        </w:tabs>
        <w:spacing w:line="360" w:lineRule="auto"/>
        <w:jc w:val="both"/>
        <w:rPr>
          <w:rFonts w:ascii="David" w:hAnsi="David"/>
          <w:rtl/>
        </w:rPr>
      </w:pPr>
    </w:p>
    <w:p w14:paraId="4733E3CB" w14:textId="77777777" w:rsidR="00300050" w:rsidRPr="00015D26" w:rsidRDefault="00300050" w:rsidP="00300050">
      <w:pPr>
        <w:tabs>
          <w:tab w:val="center" w:pos="4153"/>
          <w:tab w:val="right" w:pos="8306"/>
        </w:tabs>
        <w:spacing w:line="360" w:lineRule="auto"/>
        <w:jc w:val="both"/>
        <w:rPr>
          <w:rFonts w:ascii="David" w:hAnsi="David"/>
          <w:rtl/>
        </w:rPr>
      </w:pPr>
      <w:r w:rsidRPr="00015D26">
        <w:rPr>
          <w:rFonts w:ascii="David" w:hAnsi="David"/>
          <w:rtl/>
        </w:rPr>
        <w:t xml:space="preserve">בא כוח הנאשם עתר למקם עונשו של הנאשם בתחתית המתחם, כך שיוטל עליו מאסר בפועל למשך 18-20 חודשים לצד מאסר מותנה, וזאת בשים לב לחסכון בזמן שיפוטי יקר, ללקיחת האחריות המלאה בהזדמנות הראשונה, ולנסיבותיו האישיות של הנאשם, כמפורט בהרחבה בתסקיר שירות המבחן. </w:t>
      </w:r>
    </w:p>
    <w:p w14:paraId="2CB6BA0A" w14:textId="77777777" w:rsidR="00300050" w:rsidRPr="00015D26" w:rsidRDefault="00300050" w:rsidP="00300050">
      <w:pPr>
        <w:tabs>
          <w:tab w:val="center" w:pos="4153"/>
          <w:tab w:val="right" w:pos="8306"/>
        </w:tabs>
        <w:spacing w:line="360" w:lineRule="auto"/>
        <w:jc w:val="both"/>
        <w:rPr>
          <w:rFonts w:ascii="David" w:hAnsi="David"/>
          <w:rtl/>
        </w:rPr>
      </w:pPr>
    </w:p>
    <w:p w14:paraId="790BDC8F" w14:textId="77777777" w:rsidR="00300050" w:rsidRPr="00015D26" w:rsidRDefault="00300050" w:rsidP="00300050">
      <w:pPr>
        <w:tabs>
          <w:tab w:val="center" w:pos="4153"/>
          <w:tab w:val="right" w:pos="8306"/>
        </w:tabs>
        <w:spacing w:line="360" w:lineRule="auto"/>
        <w:jc w:val="both"/>
        <w:rPr>
          <w:rFonts w:ascii="David" w:hAnsi="David"/>
          <w:rtl/>
        </w:rPr>
      </w:pPr>
      <w:r w:rsidRPr="00015D26">
        <w:rPr>
          <w:rFonts w:ascii="David" w:hAnsi="David"/>
          <w:rtl/>
        </w:rPr>
        <w:t xml:space="preserve">באשר לגובה הקנס עתר בא כוח הנאשם להטלת קנס מידתי יותר מזה שטענה לו המאשימה, וכזה אשר יהיה ניתן ליישום, וזאת בשים לב למצבו הכלכלי המורכב של הנאשם ובאם בית המשפט יקבע כי לא ניתן להסתפק במקרה זה בהתחייבות. כמו כן, עתר כי הקנס אשר יוטל על הנאשם יהיה לשיעורין וישולם לאחר שחרורו ממאסר. </w:t>
      </w:r>
    </w:p>
    <w:p w14:paraId="57194C5D" w14:textId="77777777" w:rsidR="00300050" w:rsidRPr="00015D26" w:rsidRDefault="00300050" w:rsidP="00300050">
      <w:pPr>
        <w:tabs>
          <w:tab w:val="center" w:pos="4153"/>
          <w:tab w:val="right" w:pos="8306"/>
        </w:tabs>
        <w:spacing w:line="360" w:lineRule="auto"/>
        <w:jc w:val="both"/>
        <w:rPr>
          <w:rFonts w:ascii="David" w:hAnsi="David"/>
          <w:rtl/>
        </w:rPr>
      </w:pPr>
    </w:p>
    <w:p w14:paraId="009373B7" w14:textId="77777777" w:rsidR="00300050" w:rsidRPr="00015D26" w:rsidRDefault="00300050" w:rsidP="00300050">
      <w:pPr>
        <w:tabs>
          <w:tab w:val="center" w:pos="4153"/>
          <w:tab w:val="right" w:pos="8306"/>
        </w:tabs>
        <w:spacing w:line="360" w:lineRule="auto"/>
        <w:jc w:val="both"/>
        <w:rPr>
          <w:rFonts w:ascii="David" w:hAnsi="David"/>
          <w:rtl/>
        </w:rPr>
      </w:pPr>
      <w:r w:rsidRPr="00015D26">
        <w:rPr>
          <w:rFonts w:ascii="David" w:hAnsi="David"/>
          <w:rtl/>
        </w:rPr>
        <w:t xml:space="preserve">בא כוח הנאשם לא התנגד לבקשת החילוט. </w:t>
      </w:r>
    </w:p>
    <w:p w14:paraId="33CAE47C" w14:textId="77777777" w:rsidR="00300050" w:rsidRPr="00015D26" w:rsidRDefault="00300050" w:rsidP="00300050">
      <w:pPr>
        <w:spacing w:line="360" w:lineRule="auto"/>
        <w:jc w:val="both"/>
        <w:rPr>
          <w:rFonts w:ascii="David" w:hAnsi="David"/>
          <w:rtl/>
        </w:rPr>
      </w:pPr>
    </w:p>
    <w:p w14:paraId="09AC3AF3" w14:textId="77777777" w:rsidR="00300050" w:rsidRPr="00015D26" w:rsidRDefault="00300050" w:rsidP="00300050">
      <w:pPr>
        <w:spacing w:line="360" w:lineRule="auto"/>
        <w:jc w:val="both"/>
        <w:rPr>
          <w:rFonts w:ascii="David" w:hAnsi="David"/>
          <w:rtl/>
        </w:rPr>
      </w:pPr>
      <w:r w:rsidRPr="00015D26">
        <w:rPr>
          <w:rFonts w:ascii="David" w:hAnsi="David"/>
          <w:rtl/>
        </w:rPr>
        <w:t xml:space="preserve">במועד הטיעונים לעונש לקח </w:t>
      </w:r>
      <w:r w:rsidRPr="00015D26">
        <w:rPr>
          <w:rFonts w:ascii="David" w:hAnsi="David"/>
          <w:b/>
          <w:bCs/>
          <w:rtl/>
        </w:rPr>
        <w:t>הנאשם</w:t>
      </w:r>
      <w:r w:rsidRPr="00015D26">
        <w:rPr>
          <w:rFonts w:ascii="David" w:hAnsi="David"/>
          <w:rtl/>
        </w:rPr>
        <w:t xml:space="preserve"> אחריות מלאה על מעשיו וטען כי לא יחזור על מעשיו.</w:t>
      </w:r>
    </w:p>
    <w:p w14:paraId="2F5E2959" w14:textId="77777777" w:rsidR="00300050" w:rsidRPr="00015D26" w:rsidRDefault="00300050" w:rsidP="00300050">
      <w:pPr>
        <w:spacing w:line="360" w:lineRule="auto"/>
        <w:jc w:val="both"/>
        <w:rPr>
          <w:rFonts w:ascii="Arial" w:hAnsi="Arial"/>
          <w:b/>
          <w:bCs/>
          <w:u w:val="single"/>
          <w:rtl/>
        </w:rPr>
      </w:pPr>
    </w:p>
    <w:p w14:paraId="4A650BD8" w14:textId="77777777" w:rsidR="00300050" w:rsidRPr="00015D26" w:rsidRDefault="00300050" w:rsidP="00300050">
      <w:pPr>
        <w:spacing w:line="360" w:lineRule="auto"/>
        <w:jc w:val="both"/>
        <w:rPr>
          <w:rFonts w:ascii="Arial" w:hAnsi="Arial"/>
          <w:b/>
          <w:bCs/>
          <w:u w:val="single"/>
          <w:rtl/>
        </w:rPr>
      </w:pPr>
      <w:r w:rsidRPr="00015D26">
        <w:rPr>
          <w:rFonts w:ascii="Arial" w:hAnsi="Arial"/>
          <w:b/>
          <w:bCs/>
          <w:u w:val="single"/>
          <w:rtl/>
        </w:rPr>
        <w:t>קביעת מתחם העונש ההולם</w:t>
      </w:r>
    </w:p>
    <w:p w14:paraId="21842AC2" w14:textId="77777777" w:rsidR="00300050" w:rsidRPr="00015D26" w:rsidRDefault="00300050" w:rsidP="00300050">
      <w:pPr>
        <w:spacing w:line="360" w:lineRule="auto"/>
        <w:jc w:val="both"/>
        <w:rPr>
          <w:rFonts w:ascii="Arial" w:hAnsi="Arial"/>
        </w:rPr>
      </w:pPr>
      <w:r w:rsidRPr="00015D26">
        <w:rPr>
          <w:rFonts w:ascii="David" w:hAnsi="David"/>
          <w:b/>
          <w:bCs/>
          <w:rtl/>
        </w:rPr>
        <w:t xml:space="preserve">6. </w:t>
      </w:r>
      <w:r w:rsidRPr="00015D26">
        <w:rPr>
          <w:rFonts w:ascii="Arial" w:hAnsi="Arial"/>
          <w:rtl/>
        </w:rPr>
        <w:t>על פי</w:t>
      </w:r>
      <w:r w:rsidRPr="00015D26">
        <w:rPr>
          <w:rFonts w:ascii="Arial" w:hAnsi="Arial"/>
          <w:b/>
          <w:bCs/>
          <w:rtl/>
        </w:rPr>
        <w:t xml:space="preserve"> </w:t>
      </w:r>
      <w:hyperlink r:id="rId15" w:history="1">
        <w:r w:rsidR="001326B5" w:rsidRPr="001326B5">
          <w:rPr>
            <w:rStyle w:val="Hyperlink"/>
            <w:rFonts w:ascii="Arial" w:hAnsi="Arial"/>
            <w:b/>
            <w:bCs/>
            <w:rtl/>
          </w:rPr>
          <w:t>סעיף 40ג(א)</w:t>
        </w:r>
      </w:hyperlink>
      <w:r w:rsidRPr="00015D26">
        <w:rPr>
          <w:rFonts w:ascii="Arial" w:hAnsi="Arial"/>
          <w:b/>
          <w:bCs/>
          <w:rtl/>
        </w:rPr>
        <w:t xml:space="preserve"> ל</w:t>
      </w:r>
      <w:hyperlink r:id="rId16" w:history="1">
        <w:r w:rsidR="00CA48FB" w:rsidRPr="00CA48FB">
          <w:rPr>
            <w:rFonts w:ascii="Arial" w:hAnsi="Arial"/>
            <w:b/>
            <w:bCs/>
            <w:color w:val="0000FF"/>
            <w:u w:val="single"/>
            <w:rtl/>
          </w:rPr>
          <w:t>חוק העונשין</w:t>
        </w:r>
      </w:hyperlink>
      <w:r w:rsidRPr="00015D26">
        <w:rPr>
          <w:rFonts w:ascii="Arial" w:hAnsi="Arial"/>
          <w:rtl/>
        </w:rPr>
        <w:t>, בקביעת מתחם העונש בהתאם לעקרון ההלימה, על בית המשפט להתחשב: "</w:t>
      </w:r>
      <w:r w:rsidRPr="00015D26">
        <w:rPr>
          <w:rFonts w:ascii="Arial" w:hAnsi="Arial"/>
          <w:b/>
          <w:bCs/>
          <w:rtl/>
        </w:rPr>
        <w:t>בערך החברתי שנפגע מביצוע העבירה, במידת הפגיעה בו, במדיניות הענישה הנהוגה ובנסיבות הקשורות בביצוע העבירה</w:t>
      </w:r>
      <w:r w:rsidRPr="00015D26">
        <w:rPr>
          <w:rFonts w:ascii="Arial" w:hAnsi="Arial"/>
          <w:rtl/>
        </w:rPr>
        <w:t>".</w:t>
      </w:r>
    </w:p>
    <w:p w14:paraId="666928FE" w14:textId="77777777" w:rsidR="00300050" w:rsidRPr="00015D26" w:rsidRDefault="00300050" w:rsidP="00300050">
      <w:pPr>
        <w:spacing w:line="360" w:lineRule="auto"/>
        <w:jc w:val="both"/>
        <w:rPr>
          <w:rFonts w:ascii="Arial" w:hAnsi="Arial"/>
          <w:rtl/>
        </w:rPr>
      </w:pPr>
    </w:p>
    <w:p w14:paraId="6B569447" w14:textId="77777777" w:rsidR="00300050" w:rsidRPr="00015D26" w:rsidRDefault="00300050" w:rsidP="00300050">
      <w:pPr>
        <w:spacing w:line="360" w:lineRule="auto"/>
        <w:jc w:val="both"/>
        <w:rPr>
          <w:rFonts w:ascii="Arial" w:hAnsi="Arial"/>
          <w:rtl/>
        </w:rPr>
      </w:pPr>
      <w:r w:rsidRPr="00015D26">
        <w:rPr>
          <w:rFonts w:ascii="Arial" w:hAnsi="Arial"/>
          <w:rtl/>
        </w:rPr>
        <w:t xml:space="preserve">אין מחלוקת בין הצדדים כי כתב האישום מתאר </w:t>
      </w:r>
      <w:r w:rsidRPr="00015D26">
        <w:rPr>
          <w:rFonts w:ascii="Arial" w:hAnsi="Arial"/>
          <w:b/>
          <w:bCs/>
          <w:rtl/>
        </w:rPr>
        <w:t>אירוע אחד</w:t>
      </w:r>
      <w:r w:rsidRPr="00015D26">
        <w:rPr>
          <w:rFonts w:ascii="Arial" w:hAnsi="Arial"/>
          <w:rtl/>
        </w:rPr>
        <w:t xml:space="preserve"> שבגינו יש לקבוע מתחם עונש הולם אחד.</w:t>
      </w:r>
    </w:p>
    <w:p w14:paraId="7383593B" w14:textId="77777777" w:rsidR="00300050" w:rsidRPr="00015D26" w:rsidRDefault="00300050" w:rsidP="00300050">
      <w:pPr>
        <w:spacing w:line="360" w:lineRule="auto"/>
        <w:jc w:val="both"/>
        <w:rPr>
          <w:rFonts w:ascii="Arial" w:hAnsi="Arial"/>
          <w:rtl/>
        </w:rPr>
      </w:pPr>
    </w:p>
    <w:p w14:paraId="11032CF0" w14:textId="77777777" w:rsidR="00300050" w:rsidRPr="00015D26" w:rsidRDefault="00300050" w:rsidP="00300050">
      <w:pPr>
        <w:spacing w:line="360" w:lineRule="auto"/>
        <w:jc w:val="both"/>
        <w:rPr>
          <w:rtl/>
        </w:rPr>
      </w:pPr>
      <w:r w:rsidRPr="00015D26">
        <w:rPr>
          <w:b/>
          <w:bCs/>
          <w:rtl/>
        </w:rPr>
        <w:t>הערכים החברתיים המוגנים</w:t>
      </w:r>
      <w:r w:rsidRPr="00015D26">
        <w:rPr>
          <w:rtl/>
        </w:rPr>
        <w:t xml:space="preserve"> אשר נפגעו כתוצאה ממעשיו של הנאשם כוללים בתוכם את ההגנה על שלום הציבור, בריאותו ובטחונו מפני הנזקים הישירים והעקיפים הנגרמים כתוצאה מגידול, הפצה ושימוש בסמים, לצד הפגיעה בקניין. </w:t>
      </w:r>
    </w:p>
    <w:p w14:paraId="41DFBA72" w14:textId="77777777" w:rsidR="00300050" w:rsidRPr="00015D26" w:rsidRDefault="00300050" w:rsidP="00300050">
      <w:pPr>
        <w:spacing w:line="360" w:lineRule="auto"/>
        <w:jc w:val="both"/>
        <w:rPr>
          <w:rtl/>
        </w:rPr>
      </w:pPr>
    </w:p>
    <w:p w14:paraId="3F00774A" w14:textId="77777777" w:rsidR="00300050" w:rsidRPr="00015D26" w:rsidRDefault="00300050" w:rsidP="00300050">
      <w:pPr>
        <w:spacing w:line="360" w:lineRule="auto"/>
        <w:jc w:val="both"/>
        <w:rPr>
          <w:rtl/>
        </w:rPr>
      </w:pPr>
      <w:r w:rsidRPr="00015D26">
        <w:rPr>
          <w:rtl/>
        </w:rPr>
        <w:t xml:space="preserve">בתי המשפט הבהירו לא אחת עמדתם באשר לחומרת עבירות הסמים, וכן את הצורך לנקוט יד קשה כנגד מבצעי עבירות ייצור והפקת סם מסוכן. </w:t>
      </w:r>
    </w:p>
    <w:p w14:paraId="0FED1D7D" w14:textId="77777777" w:rsidR="00300050" w:rsidRPr="00015D26" w:rsidRDefault="00300050" w:rsidP="00300050">
      <w:pPr>
        <w:spacing w:line="360" w:lineRule="auto"/>
        <w:jc w:val="both"/>
        <w:rPr>
          <w:rtl/>
        </w:rPr>
      </w:pPr>
    </w:p>
    <w:p w14:paraId="16910274" w14:textId="77777777" w:rsidR="00300050" w:rsidRPr="00015D26" w:rsidRDefault="00300050" w:rsidP="00300050">
      <w:pPr>
        <w:spacing w:line="360" w:lineRule="auto"/>
        <w:jc w:val="both"/>
        <w:rPr>
          <w:b/>
          <w:bCs/>
          <w:rtl/>
        </w:rPr>
      </w:pPr>
      <w:r w:rsidRPr="00015D26">
        <w:rPr>
          <w:rtl/>
        </w:rPr>
        <w:t>כך למשל ב</w:t>
      </w:r>
      <w:hyperlink r:id="rId17" w:history="1">
        <w:r w:rsidR="00CA48FB" w:rsidRPr="00CA48FB">
          <w:rPr>
            <w:b/>
            <w:bCs/>
            <w:color w:val="0000FF"/>
            <w:u w:val="single"/>
            <w:rtl/>
          </w:rPr>
          <w:t>ע"פ 6165/16</w:t>
        </w:r>
      </w:hyperlink>
      <w:r w:rsidRPr="00015D26">
        <w:rPr>
          <w:b/>
          <w:bCs/>
          <w:rtl/>
        </w:rPr>
        <w:t xml:space="preserve"> כהן נגד מדינת ישראל (19/07/17)</w:t>
      </w:r>
      <w:r w:rsidRPr="00015D26">
        <w:rPr>
          <w:rtl/>
        </w:rPr>
        <w:t xml:space="preserve"> נקבע כי:</w:t>
      </w:r>
      <w:r w:rsidRPr="00015D26">
        <w:rPr>
          <w:b/>
          <w:bCs/>
          <w:rtl/>
        </w:rPr>
        <w:t xml:space="preserve"> "בית משפט זה קבע, ושב וקבע, כי 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 " </w:t>
      </w:r>
    </w:p>
    <w:p w14:paraId="5417DEE7" w14:textId="77777777" w:rsidR="00300050" w:rsidRPr="00015D26" w:rsidRDefault="00300050" w:rsidP="00300050">
      <w:pPr>
        <w:spacing w:line="360" w:lineRule="auto"/>
        <w:jc w:val="both"/>
        <w:rPr>
          <w:rtl/>
        </w:rPr>
      </w:pPr>
    </w:p>
    <w:p w14:paraId="32CF17B0" w14:textId="77777777" w:rsidR="00300050" w:rsidRPr="00015D26" w:rsidRDefault="00300050" w:rsidP="00300050">
      <w:pPr>
        <w:spacing w:line="360" w:lineRule="auto"/>
        <w:jc w:val="both"/>
        <w:rPr>
          <w:rtl/>
        </w:rPr>
      </w:pPr>
      <w:r w:rsidRPr="00015D26">
        <w:rPr>
          <w:rtl/>
        </w:rPr>
        <w:t>כמו כן, אך לאחרונה קבע בית המשפט ב</w:t>
      </w:r>
      <w:hyperlink r:id="rId18" w:history="1">
        <w:r w:rsidR="00CA48FB" w:rsidRPr="00CA48FB">
          <w:rPr>
            <w:b/>
            <w:bCs/>
            <w:color w:val="0000FF"/>
            <w:u w:val="single"/>
            <w:rtl/>
          </w:rPr>
          <w:t>ע"פ 126/22</w:t>
        </w:r>
      </w:hyperlink>
      <w:r w:rsidRPr="00015D26">
        <w:rPr>
          <w:b/>
          <w:bCs/>
          <w:rtl/>
        </w:rPr>
        <w:t xml:space="preserve"> מדינת ישראל נגד פלוני (27/04/22)</w:t>
      </w:r>
      <w:r w:rsidRPr="00015D26">
        <w:rPr>
          <w:rtl/>
        </w:rPr>
        <w:t xml:space="preserve"> (להלן: "</w:t>
      </w:r>
      <w:r w:rsidRPr="00015D26">
        <w:rPr>
          <w:b/>
          <w:bCs/>
          <w:rtl/>
        </w:rPr>
        <w:t>פס"ד פלוני</w:t>
      </w:r>
      <w:r w:rsidRPr="00015D26">
        <w:rPr>
          <w:rtl/>
        </w:rPr>
        <w:t>")</w:t>
      </w:r>
      <w:r w:rsidRPr="00015D26">
        <w:rPr>
          <w:b/>
          <w:bCs/>
          <w:rtl/>
        </w:rPr>
        <w:t xml:space="preserve"> </w:t>
      </w:r>
      <w:r w:rsidRPr="00015D26">
        <w:rPr>
          <w:rtl/>
        </w:rPr>
        <w:t>כך:</w:t>
      </w:r>
    </w:p>
    <w:p w14:paraId="4DCC97A0" w14:textId="77777777" w:rsidR="00300050" w:rsidRPr="00015D26" w:rsidRDefault="00300050" w:rsidP="00300050">
      <w:pPr>
        <w:spacing w:line="360" w:lineRule="auto"/>
        <w:ind w:left="360"/>
        <w:jc w:val="both"/>
        <w:rPr>
          <w:b/>
          <w:bCs/>
          <w:rtl/>
        </w:rPr>
      </w:pPr>
      <w:r w:rsidRPr="00015D26">
        <w:rPr>
          <w:b/>
          <w:bCs/>
          <w:rtl/>
        </w:rPr>
        <w:t xml:space="preserve">"הלכה מושרשת היא שבעבירות של ייצור והפקת סם מסוכן בכמות משמעותית, על הענישה להיות מחמירה ומרתיעה </w:t>
      </w:r>
      <w:r w:rsidRPr="00502520">
        <w:rPr>
          <w:rtl/>
        </w:rPr>
        <w:t>(</w:t>
      </w:r>
      <w:hyperlink r:id="rId19" w:history="1">
        <w:r w:rsidR="00CA48FB" w:rsidRPr="00CA48FB">
          <w:rPr>
            <w:b/>
            <w:bCs/>
            <w:color w:val="0000FF"/>
            <w:u w:val="single"/>
            <w:rtl/>
          </w:rPr>
          <w:t>ע"פ 2596/18</w:t>
        </w:r>
      </w:hyperlink>
      <w:r w:rsidRPr="00015D26">
        <w:rPr>
          <w:b/>
          <w:bCs/>
          <w:rtl/>
        </w:rPr>
        <w:t xml:space="preserve"> זנזורי נ' מדינת ישראל</w:t>
      </w:r>
      <w:r>
        <w:rPr>
          <w:rFonts w:hint="cs"/>
          <w:b/>
          <w:bCs/>
          <w:rtl/>
        </w:rPr>
        <w:t xml:space="preserve">, </w:t>
      </w:r>
      <w:r w:rsidRPr="00502520">
        <w:rPr>
          <w:rFonts w:hint="cs"/>
          <w:rtl/>
        </w:rPr>
        <w:t>פס' 8</w:t>
      </w:r>
      <w:r>
        <w:rPr>
          <w:rFonts w:hint="cs"/>
          <w:b/>
          <w:bCs/>
          <w:rtl/>
        </w:rPr>
        <w:t xml:space="preserve"> </w:t>
      </w:r>
      <w:r w:rsidRPr="00502520">
        <w:rPr>
          <w:rFonts w:hint="cs"/>
          <w:rtl/>
        </w:rPr>
        <w:t>[פורסם בנבו]</w:t>
      </w:r>
      <w:r>
        <w:rPr>
          <w:rFonts w:hint="cs"/>
          <w:b/>
          <w:bCs/>
          <w:rtl/>
        </w:rPr>
        <w:t xml:space="preserve"> </w:t>
      </w:r>
      <w:r w:rsidRPr="00502520">
        <w:rPr>
          <w:rFonts w:hint="cs"/>
          <w:rtl/>
        </w:rPr>
        <w:t>(12.8.2018)</w:t>
      </w:r>
      <w:r w:rsidRPr="00502520">
        <w:rPr>
          <w:rtl/>
        </w:rPr>
        <w:t>)</w:t>
      </w:r>
      <w:r w:rsidRPr="00015D26">
        <w:rPr>
          <w:b/>
          <w:bCs/>
          <w:rtl/>
        </w:rPr>
        <w:t xml:space="preserve">.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r w:rsidRPr="00502520">
        <w:rPr>
          <w:rtl/>
        </w:rPr>
        <w:t>(</w:t>
      </w:r>
      <w:hyperlink r:id="rId20" w:history="1">
        <w:r w:rsidR="00CA48FB" w:rsidRPr="00CA48FB">
          <w:rPr>
            <w:b/>
            <w:bCs/>
            <w:color w:val="0000FF"/>
            <w:u w:val="single"/>
            <w:rtl/>
          </w:rPr>
          <w:t>ע"פ 4387/20</w:t>
        </w:r>
      </w:hyperlink>
      <w:r w:rsidRPr="00015D26">
        <w:rPr>
          <w:b/>
          <w:bCs/>
          <w:rtl/>
        </w:rPr>
        <w:t xml:space="preserve"> מדינת ישראל נ' דרור</w:t>
      </w:r>
      <w:r>
        <w:rPr>
          <w:rFonts w:hint="cs"/>
          <w:b/>
          <w:bCs/>
          <w:rtl/>
        </w:rPr>
        <w:t xml:space="preserve">, </w:t>
      </w:r>
      <w:r>
        <w:rPr>
          <w:rFonts w:hint="cs"/>
          <w:rtl/>
        </w:rPr>
        <w:t>פס' 13 [פורסם בנבו] (8.2.2021)</w:t>
      </w:r>
      <w:r w:rsidRPr="00502520">
        <w:rPr>
          <w:rtl/>
        </w:rPr>
        <w:t>)</w:t>
      </w:r>
      <w:r w:rsidRPr="00015D26">
        <w:rPr>
          <w:b/>
          <w:bCs/>
          <w:rtl/>
        </w:rPr>
        <w:t>. 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 זנזורי</w:t>
      </w:r>
      <w:r>
        <w:rPr>
          <w:rFonts w:hint="cs"/>
          <w:b/>
          <w:bCs/>
          <w:rtl/>
        </w:rPr>
        <w:t>,</w:t>
      </w:r>
      <w:r w:rsidRPr="00015D26">
        <w:rPr>
          <w:b/>
          <w:bCs/>
          <w:rtl/>
        </w:rPr>
        <w:t xml:space="preserve"> </w:t>
      </w:r>
      <w:r w:rsidRPr="00502520">
        <w:rPr>
          <w:rFonts w:hint="cs"/>
          <w:rtl/>
        </w:rPr>
        <w:t>פס' 8</w:t>
      </w:r>
      <w:r w:rsidRPr="00502520">
        <w:t>;</w:t>
      </w:r>
      <w:r w:rsidRPr="00015D26">
        <w:rPr>
          <w:b/>
          <w:bCs/>
          <w:rtl/>
        </w:rPr>
        <w:t xml:space="preserve"> </w:t>
      </w:r>
      <w:r w:rsidRPr="00502520">
        <w:rPr>
          <w:rtl/>
        </w:rPr>
        <w:t xml:space="preserve">ראו גם: </w:t>
      </w:r>
      <w:hyperlink r:id="rId21" w:history="1">
        <w:r w:rsidR="00CA48FB" w:rsidRPr="00CA48FB">
          <w:rPr>
            <w:b/>
            <w:bCs/>
            <w:color w:val="0000FF"/>
            <w:u w:val="single"/>
            <w:rtl/>
          </w:rPr>
          <w:t>ע"פ 6299/20</w:t>
        </w:r>
      </w:hyperlink>
      <w:r w:rsidRPr="00015D26">
        <w:rPr>
          <w:b/>
          <w:bCs/>
          <w:rtl/>
        </w:rPr>
        <w:t xml:space="preserve"> חן נ' מדינת ישראל </w:t>
      </w:r>
      <w:r>
        <w:rPr>
          <w:rFonts w:hint="cs"/>
          <w:rtl/>
        </w:rPr>
        <w:t>[פורסם בנבו] (4.2.2021</w:t>
      </w:r>
      <w:r w:rsidRPr="00502520">
        <w:rPr>
          <w:rtl/>
        </w:rPr>
        <w:t>)</w:t>
      </w:r>
      <w:r>
        <w:rPr>
          <w:rFonts w:hint="cs"/>
          <w:rtl/>
        </w:rPr>
        <w:t>)</w:t>
      </w:r>
      <w:r w:rsidRPr="00015D26">
        <w:rPr>
          <w:b/>
          <w:bCs/>
          <w:rtl/>
        </w:rPr>
        <w:t>.</w:t>
      </w:r>
    </w:p>
    <w:p w14:paraId="3CE1A30D" w14:textId="77777777" w:rsidR="00300050" w:rsidRPr="00015D26" w:rsidRDefault="00300050" w:rsidP="00300050">
      <w:pPr>
        <w:spacing w:line="360" w:lineRule="auto"/>
        <w:jc w:val="both"/>
        <w:rPr>
          <w:b/>
          <w:bCs/>
          <w:rtl/>
        </w:rPr>
      </w:pPr>
    </w:p>
    <w:p w14:paraId="3738FFF7" w14:textId="77777777" w:rsidR="00300050" w:rsidRPr="00015D26" w:rsidRDefault="00300050" w:rsidP="00300050">
      <w:pPr>
        <w:spacing w:line="360" w:lineRule="auto"/>
        <w:ind w:left="360"/>
        <w:jc w:val="both"/>
        <w:rPr>
          <w:rtl/>
        </w:rPr>
      </w:pPr>
      <w:r w:rsidRPr="00015D26">
        <w:rPr>
          <w:b/>
          <w:bCs/>
          <w:rtl/>
        </w:rPr>
        <w:t xml:space="preserve">באופן פרטני יותר, ביחס לעבירות של גידול 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 </w:t>
      </w:r>
      <w:r w:rsidRPr="00782A5D">
        <w:rPr>
          <w:rtl/>
        </w:rPr>
        <w:t>(</w:t>
      </w:r>
      <w:r w:rsidRPr="00015D26">
        <w:rPr>
          <w:b/>
          <w:bCs/>
          <w:rtl/>
        </w:rPr>
        <w:t xml:space="preserve">ראו, למשל: </w:t>
      </w:r>
      <w:hyperlink r:id="rId22" w:history="1">
        <w:r w:rsidR="00CA48FB" w:rsidRPr="00CA48FB">
          <w:rPr>
            <w:b/>
            <w:bCs/>
            <w:color w:val="0000FF"/>
            <w:u w:val="single"/>
            <w:rtl/>
          </w:rPr>
          <w:t>ע"פ 8988/16</w:t>
        </w:r>
      </w:hyperlink>
      <w:r w:rsidRPr="00015D26">
        <w:rPr>
          <w:b/>
          <w:bCs/>
          <w:rtl/>
        </w:rPr>
        <w:t xml:space="preserve"> בן סימון נ' מדינת ישראל</w:t>
      </w:r>
      <w:r>
        <w:rPr>
          <w:rFonts w:hint="cs"/>
          <w:b/>
          <w:bCs/>
          <w:rtl/>
        </w:rPr>
        <w:t xml:space="preserve">, </w:t>
      </w:r>
      <w:r w:rsidRPr="00782A5D">
        <w:rPr>
          <w:rFonts w:hint="cs"/>
          <w:rtl/>
        </w:rPr>
        <w:t>פס' 3 [פורסם בנבו] (8.3.2017)</w:t>
      </w:r>
      <w:r w:rsidRPr="00782A5D">
        <w:t>;</w:t>
      </w:r>
      <w:r w:rsidRPr="00015D26">
        <w:rPr>
          <w:b/>
          <w:bCs/>
          <w:rtl/>
        </w:rPr>
        <w:t xml:space="preserve"> </w:t>
      </w:r>
      <w:hyperlink r:id="rId23" w:history="1">
        <w:r w:rsidR="00CA48FB" w:rsidRPr="00CA48FB">
          <w:rPr>
            <w:b/>
            <w:bCs/>
            <w:color w:val="0000FF"/>
            <w:u w:val="single"/>
            <w:rtl/>
          </w:rPr>
          <w:t>עפ"ג (ב"ש) 66895-12-20</w:t>
        </w:r>
      </w:hyperlink>
      <w:r w:rsidRPr="00015D26">
        <w:rPr>
          <w:b/>
          <w:bCs/>
          <w:rtl/>
        </w:rPr>
        <w:t xml:space="preserve"> מדינת ישראל נ' עתמין</w:t>
      </w:r>
      <w:r>
        <w:rPr>
          <w:rFonts w:hint="cs"/>
          <w:b/>
          <w:bCs/>
          <w:rtl/>
        </w:rPr>
        <w:t xml:space="preserve"> </w:t>
      </w:r>
      <w:r>
        <w:rPr>
          <w:rFonts w:hint="cs"/>
          <w:rtl/>
        </w:rPr>
        <w:t>[פורסם בנבו] (17.8.2021)</w:t>
      </w:r>
      <w:r w:rsidRPr="00782A5D">
        <w:rPr>
          <w:rtl/>
        </w:rPr>
        <w:t>)</w:t>
      </w:r>
      <w:r w:rsidRPr="00015D26">
        <w:rPr>
          <w:b/>
          <w:bCs/>
          <w:rtl/>
        </w:rPr>
        <w:t>".</w:t>
      </w:r>
      <w:r w:rsidRPr="00015D26">
        <w:rPr>
          <w:b/>
          <w:rtl/>
        </w:rPr>
        <w:t xml:space="preserve"> </w:t>
      </w:r>
    </w:p>
    <w:p w14:paraId="20C08332" w14:textId="77777777" w:rsidR="00300050" w:rsidRPr="00015D26" w:rsidRDefault="00300050" w:rsidP="00300050">
      <w:pPr>
        <w:spacing w:line="360" w:lineRule="auto"/>
        <w:jc w:val="both"/>
        <w:rPr>
          <w:b/>
          <w:bCs/>
          <w:rtl/>
        </w:rPr>
      </w:pPr>
    </w:p>
    <w:p w14:paraId="1475CE30" w14:textId="77777777" w:rsidR="00300050" w:rsidRPr="00015D26" w:rsidRDefault="00300050" w:rsidP="00300050">
      <w:pPr>
        <w:spacing w:line="360" w:lineRule="auto"/>
        <w:jc w:val="both"/>
        <w:rPr>
          <w:rtl/>
        </w:rPr>
      </w:pPr>
      <w:r w:rsidRPr="00015D26">
        <w:rPr>
          <w:rtl/>
        </w:rPr>
        <w:t>במקרה זה,</w:t>
      </w:r>
      <w:r w:rsidRPr="00015D26">
        <w:rPr>
          <w:b/>
          <w:bCs/>
          <w:rtl/>
        </w:rPr>
        <w:t xml:space="preserve"> מידת הפגיעה בערכים המוגנים </w:t>
      </w:r>
      <w:r w:rsidRPr="00015D26">
        <w:rPr>
          <w:rtl/>
        </w:rPr>
        <w:t xml:space="preserve">היא ברף הבינוני-גבוה, וזאת בשים לב להיקף הגידול הרחב, לכמות השתילם הרבה, למשקל הסמים, וכן לתכנון הרב אשר קדם לביצוע העבירה, לרבות גניבת החשמל אשר התלוותה לביצוע העבירה, ולכלים והמשאבים שהושקעו בגידול, כפי שמפורט בעובדות כתב האישום המתוקן, </w:t>
      </w:r>
      <w:r>
        <w:rPr>
          <w:rFonts w:hint="cs"/>
          <w:rtl/>
        </w:rPr>
        <w:t xml:space="preserve">ובבקשה לחילוט רכוש. </w:t>
      </w:r>
    </w:p>
    <w:p w14:paraId="0673C3AF" w14:textId="77777777" w:rsidR="00300050" w:rsidRPr="00015D26" w:rsidRDefault="00300050" w:rsidP="00300050">
      <w:pPr>
        <w:spacing w:line="360" w:lineRule="auto"/>
        <w:jc w:val="both"/>
        <w:rPr>
          <w:rFonts w:ascii="Arial" w:hAnsi="Arial"/>
          <w:rtl/>
        </w:rPr>
      </w:pPr>
    </w:p>
    <w:p w14:paraId="2226C58D" w14:textId="77777777" w:rsidR="00300050" w:rsidRPr="00015D26" w:rsidRDefault="00300050" w:rsidP="00300050">
      <w:pPr>
        <w:spacing w:line="360" w:lineRule="auto"/>
        <w:jc w:val="both"/>
        <w:rPr>
          <w:rFonts w:ascii="David" w:hAnsi="David"/>
          <w:b/>
          <w:bCs/>
          <w:rtl/>
        </w:rPr>
      </w:pPr>
      <w:r w:rsidRPr="00015D26">
        <w:rPr>
          <w:rFonts w:ascii="David" w:hAnsi="David"/>
          <w:b/>
          <w:bCs/>
          <w:rtl/>
        </w:rPr>
        <w:t xml:space="preserve">מדיניות הענישה הנוהגת  </w:t>
      </w:r>
    </w:p>
    <w:p w14:paraId="447575CF" w14:textId="77777777" w:rsidR="00300050" w:rsidRPr="00015D26" w:rsidRDefault="00300050" w:rsidP="00300050">
      <w:pPr>
        <w:spacing w:line="360" w:lineRule="auto"/>
        <w:jc w:val="both"/>
        <w:rPr>
          <w:rtl/>
        </w:rPr>
      </w:pPr>
      <w:r w:rsidRPr="00015D26">
        <w:rPr>
          <w:b/>
          <w:bCs/>
          <w:rtl/>
        </w:rPr>
        <w:t>7.</w:t>
      </w:r>
      <w:r w:rsidRPr="00015D26">
        <w:rPr>
          <w:rtl/>
        </w:rPr>
        <w:t xml:space="preserve"> בטרם הפנייה לפסיקה נוהגת אציין את הידוע לכל ולפיו הפסיקה הנוהגת מהווה פרמטר אחד מתוך מספר פרמטרים שהתווה המחוקק לבתי המשפט בקובעם את מתחם העונש ההולם וכי </w:t>
      </w:r>
      <w:r w:rsidRPr="00015D26">
        <w:rPr>
          <w:b/>
          <w:bCs/>
          <w:rtl/>
        </w:rPr>
        <w:t>"מלאכת הענישה לעולם אינה מתמטית, ועליה להיגזר מנסיבותיו הקונקרטיות של כל מקרה לגופו"</w:t>
      </w:r>
      <w:r w:rsidRPr="00015D26">
        <w:rPr>
          <w:rtl/>
        </w:rPr>
        <w:t>.</w:t>
      </w:r>
    </w:p>
    <w:p w14:paraId="693559E4" w14:textId="77777777" w:rsidR="00300050" w:rsidRPr="00015D26" w:rsidRDefault="00300050" w:rsidP="00300050">
      <w:pPr>
        <w:spacing w:line="360" w:lineRule="auto"/>
        <w:jc w:val="both"/>
        <w:rPr>
          <w:rFonts w:ascii="David" w:hAnsi="David"/>
          <w:b/>
          <w:bCs/>
          <w:rtl/>
        </w:rPr>
      </w:pPr>
      <w:r w:rsidRPr="00015D26">
        <w:rPr>
          <w:rtl/>
        </w:rPr>
        <w:t>[ראו:</w:t>
      </w:r>
      <w:r w:rsidRPr="00015D26">
        <w:rPr>
          <w:b/>
          <w:bCs/>
          <w:rtl/>
        </w:rPr>
        <w:t xml:space="preserve"> </w:t>
      </w:r>
      <w:hyperlink r:id="rId24" w:history="1">
        <w:r w:rsidR="00CA48FB" w:rsidRPr="00CA48FB">
          <w:rPr>
            <w:b/>
            <w:bCs/>
            <w:color w:val="0000FF"/>
            <w:u w:val="single"/>
            <w:rtl/>
          </w:rPr>
          <w:t>ע"פ 4232/20</w:t>
        </w:r>
      </w:hyperlink>
      <w:r w:rsidRPr="00015D26">
        <w:rPr>
          <w:b/>
          <w:bCs/>
          <w:rtl/>
        </w:rPr>
        <w:t xml:space="preserve"> פלוני נגד מדינת ישראל </w:t>
      </w:r>
      <w:r w:rsidRPr="00015D26">
        <w:rPr>
          <w:rtl/>
        </w:rPr>
        <w:t xml:space="preserve">(12/11/20) (פסקה 9)]. </w:t>
      </w:r>
    </w:p>
    <w:p w14:paraId="3EC67BE9" w14:textId="77777777" w:rsidR="00300050" w:rsidRPr="00015D26" w:rsidRDefault="00300050" w:rsidP="00300050">
      <w:pPr>
        <w:tabs>
          <w:tab w:val="center" w:pos="4153"/>
          <w:tab w:val="right" w:pos="8306"/>
        </w:tabs>
        <w:spacing w:line="360" w:lineRule="auto"/>
        <w:jc w:val="both"/>
        <w:rPr>
          <w:rtl/>
        </w:rPr>
      </w:pPr>
    </w:p>
    <w:p w14:paraId="5F8C6BB0" w14:textId="77777777" w:rsidR="00300050" w:rsidRPr="00015D26" w:rsidRDefault="00300050" w:rsidP="00300050">
      <w:pPr>
        <w:tabs>
          <w:tab w:val="center" w:pos="4153"/>
          <w:tab w:val="right" w:pos="8306"/>
        </w:tabs>
        <w:spacing w:line="360" w:lineRule="auto"/>
        <w:jc w:val="both"/>
        <w:rPr>
          <w:rtl/>
        </w:rPr>
      </w:pPr>
      <w:r>
        <w:rPr>
          <w:rtl/>
        </w:rPr>
        <w:t>בחינת מדיניות הענישה הנה</w:t>
      </w:r>
      <w:r>
        <w:rPr>
          <w:rFonts w:hint="cs"/>
          <w:rtl/>
        </w:rPr>
        <w:t>ו</w:t>
      </w:r>
      <w:r>
        <w:rPr>
          <w:rtl/>
        </w:rPr>
        <w:t>ג</w:t>
      </w:r>
      <w:r>
        <w:rPr>
          <w:rFonts w:hint="cs"/>
          <w:rtl/>
        </w:rPr>
        <w:t>ה</w:t>
      </w:r>
      <w:r w:rsidRPr="00015D26">
        <w:rPr>
          <w:rtl/>
        </w:rPr>
        <w:t xml:space="preserve"> מעלה כי הגם שקיים מנעד ענישה רחב, תוך שבתי המשפט שוקלים פרמטרים שונים - הרי שככלל, בעבירות מהסוג עליהם נותן הנאשם את הדין נוהגים בתי המשפט להחמיר בענישה. </w:t>
      </w:r>
    </w:p>
    <w:p w14:paraId="290C3B2C" w14:textId="77777777" w:rsidR="00300050" w:rsidRPr="00015D26" w:rsidRDefault="00300050" w:rsidP="00300050">
      <w:pPr>
        <w:spacing w:line="360" w:lineRule="auto"/>
        <w:jc w:val="both"/>
        <w:rPr>
          <w:rtl/>
        </w:rPr>
      </w:pPr>
    </w:p>
    <w:p w14:paraId="5546C09A" w14:textId="77777777" w:rsidR="00300050" w:rsidRPr="00015D26" w:rsidRDefault="00300050" w:rsidP="00300050">
      <w:pPr>
        <w:spacing w:line="360" w:lineRule="auto"/>
        <w:jc w:val="both"/>
        <w:rPr>
          <w:rtl/>
        </w:rPr>
      </w:pPr>
      <w:r w:rsidRPr="00015D26">
        <w:rPr>
          <w:rtl/>
        </w:rPr>
        <w:t>ומכאן לפסיקה הנוהגת:</w:t>
      </w:r>
    </w:p>
    <w:p w14:paraId="1657C7F0" w14:textId="77777777" w:rsidR="00300050" w:rsidRPr="00015D26" w:rsidRDefault="00300050" w:rsidP="00300050">
      <w:pPr>
        <w:spacing w:line="360" w:lineRule="auto"/>
        <w:jc w:val="both"/>
        <w:rPr>
          <w:rtl/>
        </w:rPr>
      </w:pPr>
      <w:r w:rsidRPr="00015D26">
        <w:rPr>
          <w:rtl/>
        </w:rPr>
        <w:t>ב</w:t>
      </w:r>
      <w:r w:rsidRPr="00015D26">
        <w:rPr>
          <w:b/>
          <w:bCs/>
          <w:rtl/>
        </w:rPr>
        <w:t xml:space="preserve">פס"ד פלוני </w:t>
      </w:r>
      <w:r w:rsidRPr="00015D26">
        <w:rPr>
          <w:rtl/>
        </w:rPr>
        <w:t>נדון ערעורו של מי שהורשע, בהתאם להודאתו, בביצוע עבירת ייצור, הכנה והפקה של סם מסוכן, החזקת סמים שלא לצריכה עצמית, החזקת כלים להכנת סם מסוכן וגניבת חשמל. הנאשם שכר דירה, צייד אותה בכלים שונים לצורך גידול קנבוס, חיבר את הדירה באופן לא חוקי לחשמל וצרך חשמל במרמה בשווי של למעלה מ-70,000 ₪, וביום מעצרו נמצאו בדירה 286 שתילים של הסם במשקל של כ-63 קילוגרם נטו. בית המשפט המחוזי קבע מתחם הנע בין 18-48 חודשי מאסר בפועל, ובשים לב להליך טיפולי בו שולב הנאשם והעובדה כי פרע את חובו לחברת החשמל – חרג ממתחם הענישה והסתפק בהטלת 9 חודשי מאסר בפועל לריצוי בעבודות שירות לצד ענישה נלווית. בית המשפט העליון קבע כי</w:t>
      </w:r>
      <w:r>
        <w:rPr>
          <w:rtl/>
        </w:rPr>
        <w:t xml:space="preserve"> מתחם הענישה אשר נקבע חורג לקול</w:t>
      </w:r>
      <w:r>
        <w:rPr>
          <w:rFonts w:hint="cs"/>
          <w:rtl/>
        </w:rPr>
        <w:t>ה</w:t>
      </w:r>
      <w:r w:rsidRPr="00015D26">
        <w:rPr>
          <w:rtl/>
        </w:rPr>
        <w:t xml:space="preserve"> ממתחמי הענישה הנוהגים, וכי על אף ההליך הטיפולי בו שולב הנאשם – אף המאסר אשר הוטל עליו מקל עמו באופן חריג ביחס למכלול נסיבות ביצוע העבירות. כמו כן, לאחר שהובהר כי איננו ממצ</w:t>
      </w:r>
      <w:r>
        <w:rPr>
          <w:rFonts w:hint="cs"/>
          <w:rtl/>
        </w:rPr>
        <w:t>ה</w:t>
      </w:r>
      <w:r w:rsidRPr="00015D26">
        <w:rPr>
          <w:rtl/>
        </w:rPr>
        <w:t xml:space="preserve"> עם הנאשם את הדין – גזר בית המשפט העליון על הנאשם 18 חודשי מאסר בפועל, תוך הותרת יתר רכיבי העונש אשר הוטלו על הנאשם בבית המשפט המחוזי על כנם, ובהם מאסרים מותנים, צו מבחן וקנס</w:t>
      </w:r>
      <w:r>
        <w:rPr>
          <w:rFonts w:hint="cs"/>
          <w:rtl/>
        </w:rPr>
        <w:t xml:space="preserve"> על סך 10,000 ש"ח</w:t>
      </w:r>
      <w:r w:rsidRPr="00015D26">
        <w:rPr>
          <w:rtl/>
        </w:rPr>
        <w:t xml:space="preserve">. </w:t>
      </w:r>
    </w:p>
    <w:p w14:paraId="409DFC8F" w14:textId="77777777" w:rsidR="00300050" w:rsidRPr="00015D26" w:rsidRDefault="00300050" w:rsidP="00300050">
      <w:pPr>
        <w:spacing w:line="360" w:lineRule="auto"/>
        <w:jc w:val="both"/>
        <w:rPr>
          <w:rFonts w:ascii="David" w:hAnsi="David"/>
          <w:rtl/>
        </w:rPr>
      </w:pPr>
    </w:p>
    <w:p w14:paraId="07EEC089" w14:textId="77777777" w:rsidR="00300050" w:rsidRPr="00015D26" w:rsidRDefault="00300050" w:rsidP="00300050">
      <w:pPr>
        <w:spacing w:line="360" w:lineRule="auto"/>
        <w:jc w:val="both"/>
        <w:rPr>
          <w:rtl/>
        </w:rPr>
      </w:pPr>
      <w:r w:rsidRPr="00015D26">
        <w:rPr>
          <w:rtl/>
        </w:rPr>
        <w:t>ב</w:t>
      </w:r>
      <w:hyperlink r:id="rId25" w:history="1">
        <w:r w:rsidR="00CA48FB" w:rsidRPr="00CA48FB">
          <w:rPr>
            <w:b/>
            <w:bCs/>
            <w:color w:val="0000FF"/>
            <w:u w:val="single"/>
            <w:rtl/>
          </w:rPr>
          <w:t>ע"פ 871/20</w:t>
        </w:r>
      </w:hyperlink>
      <w:r w:rsidRPr="00015D26">
        <w:rPr>
          <w:b/>
          <w:bCs/>
          <w:rtl/>
        </w:rPr>
        <w:t xml:space="preserve"> אברג'יל נגד מדינת ישראל (30/03/20) </w:t>
      </w:r>
      <w:r w:rsidRPr="00015D26">
        <w:rPr>
          <w:rtl/>
        </w:rPr>
        <w:t>נדון ערעורו של מי שהורשע, בהתאם להודאתו, בביצוע עבירת ייצור, הכנה והפקה של סם מסוכן, והחזקת סמים שלא לצריכה עצמית. הנאשם הקים בדירה מעבדה לגידול סם מסוג קנבוס, אותה צייד במכשירים שונים לצורך גידול הסם, וגידל בהם מאות שתילים שהגיעו למשקל של כ-80 קילוגרם. בית המשפט המחוזי קבע מתחם הנע בין 22-46 חודשי מאסר בפועל, והטיל על הנאשם 26 חודשי מאסר בפועל לצד מאסר מותנה, קנס בסך 20,000 ₪, וחילוט</w:t>
      </w:r>
      <w:r>
        <w:rPr>
          <w:rFonts w:hint="cs"/>
          <w:rtl/>
        </w:rPr>
        <w:t>, זאת על אף המלצת שירות המבחן לנקוט בעניינו באפיק טיפולי.</w:t>
      </w:r>
      <w:r w:rsidRPr="00015D26">
        <w:rPr>
          <w:rtl/>
        </w:rPr>
        <w:t xml:space="preserve"> </w:t>
      </w:r>
      <w:r>
        <w:rPr>
          <w:rFonts w:hint="cs"/>
          <w:rtl/>
        </w:rPr>
        <w:t>ערעור על חומרת העונש נדחה.</w:t>
      </w:r>
    </w:p>
    <w:p w14:paraId="6D5CFF4A" w14:textId="77777777" w:rsidR="00300050" w:rsidRPr="00015D26" w:rsidRDefault="00300050" w:rsidP="00300050">
      <w:pPr>
        <w:spacing w:line="360" w:lineRule="auto"/>
        <w:jc w:val="both"/>
        <w:rPr>
          <w:rFonts w:ascii="David" w:hAnsi="David"/>
          <w:rtl/>
        </w:rPr>
      </w:pPr>
    </w:p>
    <w:p w14:paraId="23BAAA94" w14:textId="77777777" w:rsidR="00300050" w:rsidRPr="00015D26" w:rsidRDefault="00300050" w:rsidP="00300050">
      <w:pPr>
        <w:spacing w:line="360" w:lineRule="auto"/>
        <w:jc w:val="both"/>
        <w:rPr>
          <w:rtl/>
        </w:rPr>
      </w:pPr>
      <w:r w:rsidRPr="00015D26">
        <w:rPr>
          <w:rFonts w:ascii="David" w:hAnsi="David"/>
          <w:rtl/>
        </w:rPr>
        <w:t>ב</w:t>
      </w:r>
      <w:hyperlink r:id="rId26" w:history="1">
        <w:r w:rsidR="00CA48FB" w:rsidRPr="00CA48FB">
          <w:rPr>
            <w:rFonts w:ascii="David" w:hAnsi="David"/>
            <w:b/>
            <w:bCs/>
            <w:color w:val="0000FF"/>
            <w:u w:val="single"/>
            <w:rtl/>
          </w:rPr>
          <w:t>רע"פ 6041/18</w:t>
        </w:r>
      </w:hyperlink>
      <w:r w:rsidRPr="00015D26">
        <w:rPr>
          <w:rFonts w:ascii="David" w:hAnsi="David"/>
          <w:b/>
          <w:bCs/>
          <w:rtl/>
        </w:rPr>
        <w:t xml:space="preserve"> כהן נגד מדינת ישראל (22/10/18)</w:t>
      </w:r>
      <w:r w:rsidRPr="00015D26">
        <w:rPr>
          <w:rFonts w:ascii="David" w:hAnsi="David"/>
          <w:rtl/>
        </w:rPr>
        <w:t>, אליו הפנת</w:t>
      </w:r>
      <w:r>
        <w:rPr>
          <w:rFonts w:ascii="David" w:hAnsi="David"/>
          <w:rtl/>
        </w:rPr>
        <w:t xml:space="preserve">ה ב"כ המאשימה, נדונה בקשת רשות </w:t>
      </w:r>
      <w:r w:rsidRPr="00015D26">
        <w:rPr>
          <w:rFonts w:ascii="David" w:hAnsi="David"/>
          <w:rtl/>
        </w:rPr>
        <w:t xml:space="preserve">ערעור של נאשם אשר הורשע, </w:t>
      </w:r>
      <w:r w:rsidRPr="00015D26">
        <w:rPr>
          <w:rtl/>
        </w:rPr>
        <w:t>בהתאם להודאתו, בביצוע עבירת ייצור, הכנה והפקה של סם מסוכן ונטילת חשמל. הנאשם שכר דירה, צייד אותה במכשירים שונים בשווי של כ-40,000 ₪ לצורך גידול קנבוס, חיבר את הדירה באופן לא חוקי לחשמל וצרך חשמל במרמה בשווי של כ-40,000 ₪, בדירה נמצא סם במשקל של כ-39.5 קילוגרם נטו. בית משפט השלום קבע מתחם הנע בין 18-36 חודשי מאסר בפועל, והטיל על הנאשם 20 חודשי מאסר בפועל, לצד מאסרים מותנים, קנס בסך 8,000 ₪, פסילה וחילוט. בית המשפט המחוזי דחה את ערעורו של הנאשם. בית המשפט העליון קבע כי העונש שהוטל על הנאשם איננו חורג ממדיניות הענישה המקובלת.</w:t>
      </w:r>
    </w:p>
    <w:p w14:paraId="4B2EAA6F" w14:textId="77777777" w:rsidR="00300050" w:rsidRPr="00015D26" w:rsidRDefault="00300050" w:rsidP="00300050">
      <w:pPr>
        <w:spacing w:line="360" w:lineRule="auto"/>
        <w:jc w:val="both"/>
        <w:rPr>
          <w:rFonts w:ascii="David" w:hAnsi="David"/>
          <w:rtl/>
        </w:rPr>
      </w:pPr>
    </w:p>
    <w:p w14:paraId="584D46C7" w14:textId="77777777" w:rsidR="00300050" w:rsidRDefault="00300050" w:rsidP="00300050">
      <w:pPr>
        <w:spacing w:line="360" w:lineRule="auto"/>
        <w:jc w:val="both"/>
        <w:rPr>
          <w:rtl/>
        </w:rPr>
      </w:pPr>
      <w:r w:rsidRPr="00015D26">
        <w:rPr>
          <w:rtl/>
        </w:rPr>
        <w:t>ב</w:t>
      </w:r>
      <w:hyperlink r:id="rId27" w:history="1">
        <w:r w:rsidR="00CA48FB" w:rsidRPr="00CA48FB">
          <w:rPr>
            <w:b/>
            <w:bCs/>
            <w:color w:val="0000FF"/>
            <w:u w:val="single"/>
            <w:rtl/>
          </w:rPr>
          <w:t>ע"פ 2596/18</w:t>
        </w:r>
      </w:hyperlink>
      <w:r w:rsidRPr="00015D26">
        <w:rPr>
          <w:b/>
          <w:bCs/>
          <w:rtl/>
        </w:rPr>
        <w:t xml:space="preserve"> זנזורי נגד מדינת ישראל (12/08/18) </w:t>
      </w:r>
      <w:r w:rsidRPr="00015D26">
        <w:rPr>
          <w:rtl/>
        </w:rPr>
        <w:t>נדונו ערעורו של מי שהורשע, בהתאם להודאתו, בביצוע עבירת קשירת קשר לביצוע פשע, שיבוש מהלכי משפט, וייצור, הכנה והפקה של סם מסוכן, וכן ערעור המדינה בעניינו מנגד. הנאשם הקים, בסיועו של אחר, מעבדה לגידול סם מסוג קנבוס בשיטת ההידרו בגג דירה שכורה, אותם צייד בציוד לצורך גידול הסם. כאשר הגיעו שוטרים למקום – הנאשם לא פתח את הדלת ושלח הודעה למסייע ש'יעלם למספר ימים'. במעבדה נתפס סם מסוכן מסוג קנבוס במשקל של 137 קילוגרם נטו. בית המשפט המחוזי קבע מתחם הנע בין 36-56 חודשי מאסר בפועל, ולאחר שזה שולב בהליך טיפולי ועל אף שלא השלימו – חרג בית המשפט מהמ</w:t>
      </w:r>
      <w:r>
        <w:rPr>
          <w:rFonts w:hint="cs"/>
          <w:rtl/>
        </w:rPr>
        <w:t>ת</w:t>
      </w:r>
      <w:r w:rsidRPr="00015D26">
        <w:rPr>
          <w:rtl/>
        </w:rPr>
        <w:t xml:space="preserve">חם והטיל על הנאשם 26 חודשי מאסר בפועל לצד מאסר מותנה וקנס בסך 7,000 ₪. בית המשפט העליון ציין כי אכן הקנס שהוטל על הנאשם נמוך עד מאוד, אולם לאור השיקולים שניתנו בגזר הדין – סבר כי אין מקום להתערב במשך המאסר שהוטל על הנאשם או בגובה הקנס. </w:t>
      </w:r>
    </w:p>
    <w:p w14:paraId="27A1340F" w14:textId="77777777" w:rsidR="00300050" w:rsidRPr="00015D26" w:rsidRDefault="00300050" w:rsidP="00300050">
      <w:pPr>
        <w:spacing w:line="360" w:lineRule="auto"/>
        <w:jc w:val="both"/>
        <w:rPr>
          <w:rFonts w:ascii="David" w:hAnsi="David"/>
          <w:rtl/>
        </w:rPr>
      </w:pPr>
      <w:r>
        <w:rPr>
          <w:rtl/>
        </w:rPr>
        <w:t xml:space="preserve">יש לציין כי במסגרת </w:t>
      </w:r>
      <w:r w:rsidRPr="00015D26">
        <w:rPr>
          <w:b/>
          <w:bCs/>
          <w:rtl/>
        </w:rPr>
        <w:t>ת"פ, 52569-05-16</w:t>
      </w:r>
      <w:r w:rsidRPr="00015D26">
        <w:rPr>
          <w:rtl/>
        </w:rPr>
        <w:t xml:space="preserve">, אליו הפנה ב"כ הנאשם, נקבע מתחם הנע בין 12-24 חודשי מאסר בעניינו של </w:t>
      </w:r>
      <w:r w:rsidRPr="003B2819">
        <w:rPr>
          <w:b/>
          <w:bCs/>
          <w:rtl/>
        </w:rPr>
        <w:t>המסייע</w:t>
      </w:r>
      <w:r w:rsidRPr="00015D26">
        <w:rPr>
          <w:rtl/>
        </w:rPr>
        <w:t xml:space="preserve">, והוטלו עליו, בין היתר 12 חודשי מאסר בפועל. </w:t>
      </w:r>
    </w:p>
    <w:p w14:paraId="6E56EF46" w14:textId="77777777" w:rsidR="00300050" w:rsidRPr="00015D26" w:rsidRDefault="00300050" w:rsidP="00300050">
      <w:pPr>
        <w:spacing w:line="360" w:lineRule="auto"/>
        <w:jc w:val="both"/>
        <w:rPr>
          <w:rFonts w:ascii="David" w:hAnsi="David"/>
          <w:rtl/>
        </w:rPr>
      </w:pPr>
    </w:p>
    <w:p w14:paraId="182649BE" w14:textId="77777777" w:rsidR="00300050" w:rsidRPr="00015D26" w:rsidRDefault="00300050" w:rsidP="00300050">
      <w:pPr>
        <w:spacing w:line="360" w:lineRule="auto"/>
        <w:jc w:val="both"/>
        <w:rPr>
          <w:rtl/>
        </w:rPr>
      </w:pPr>
      <w:r w:rsidRPr="00015D26">
        <w:rPr>
          <w:rtl/>
        </w:rPr>
        <w:t>ב</w:t>
      </w:r>
      <w:hyperlink r:id="rId28" w:history="1">
        <w:r w:rsidR="00CA48FB" w:rsidRPr="00CA48FB">
          <w:rPr>
            <w:b/>
            <w:bCs/>
            <w:color w:val="0000FF"/>
            <w:u w:val="single"/>
            <w:rtl/>
          </w:rPr>
          <w:t>ע"פ 8988/16</w:t>
        </w:r>
      </w:hyperlink>
      <w:r w:rsidRPr="00015D26">
        <w:rPr>
          <w:b/>
          <w:bCs/>
          <w:rtl/>
        </w:rPr>
        <w:t xml:space="preserve"> בן סימון נגד מדינת ישראל (08/03/17) </w:t>
      </w:r>
      <w:r w:rsidRPr="00015D26">
        <w:rPr>
          <w:rtl/>
        </w:rPr>
        <w:t xml:space="preserve">נדון ערעורו של מי שהורשע, בהתאם להודאתו, בביצוע עבירת ייצור, הכנה והפקה של סם מסוכן, סחר בסם מסוכן, ונטילת חשמל במרמה. הנאשם הקים מעבדה לגידול סם מסוג קנבוס במספר חדרים בביתו, אותם צייד במכשירים שונים לצורך גידול הסם, וגידל בהם 282 שתילים של הסם במשקל של כ-87 קילוגרם נטו. כמו כן, הנאשם חיבר את הדירה באופן לא חוקי לחשמל וצרך חשמל במרמה בשווי של עשרות אלפי שקלים, וכן </w:t>
      </w:r>
      <w:r>
        <w:rPr>
          <w:rFonts w:hint="cs"/>
          <w:rtl/>
        </w:rPr>
        <w:t>סיפק</w:t>
      </w:r>
      <w:r w:rsidRPr="00015D26">
        <w:rPr>
          <w:rtl/>
        </w:rPr>
        <w:t xml:space="preserve"> לאחר סם מסוג קנבוס במשקל של כ-5 גרם נטו. בית המשפט המחוזי קבע מתחם הנע בין 28-48 חודשי מאסר בפועל, והטיל על הנאשם 36 חודשי מאסר בפועל לצד מאסר מותנה, קנס בסך 40,000 ₪, וחילוט הרכוש שנתפס. בית המשפט העליון קבע כי מקרה זה איננו נמנה על אותם מקרים המצדיקים התערבות, וכן קבע כי על אף מצבו הכלכלי המורכב של הנאשם – ובשים לב לעבירת נטילת החשמל בשווי רב - אין מקום להקל בגזר דינו גם לעניין זה.  </w:t>
      </w:r>
    </w:p>
    <w:p w14:paraId="0FE7B480" w14:textId="77777777" w:rsidR="00300050" w:rsidRPr="00015D26" w:rsidRDefault="00300050" w:rsidP="00300050">
      <w:pPr>
        <w:spacing w:line="360" w:lineRule="auto"/>
        <w:jc w:val="both"/>
        <w:rPr>
          <w:rFonts w:ascii="David" w:hAnsi="David"/>
          <w:rtl/>
        </w:rPr>
      </w:pPr>
    </w:p>
    <w:p w14:paraId="47044800" w14:textId="77777777" w:rsidR="00300050" w:rsidRPr="00015D26" w:rsidRDefault="00300050" w:rsidP="00300050">
      <w:pPr>
        <w:spacing w:line="360" w:lineRule="auto"/>
        <w:jc w:val="both"/>
        <w:rPr>
          <w:rtl/>
        </w:rPr>
      </w:pPr>
      <w:r w:rsidRPr="00015D26">
        <w:rPr>
          <w:rFonts w:ascii="David" w:hAnsi="David"/>
          <w:rtl/>
        </w:rPr>
        <w:t>ב</w:t>
      </w:r>
      <w:hyperlink r:id="rId29" w:history="1">
        <w:r w:rsidR="00CA48FB" w:rsidRPr="00CA48FB">
          <w:rPr>
            <w:rFonts w:ascii="David" w:hAnsi="David"/>
            <w:b/>
            <w:bCs/>
            <w:color w:val="0000FF"/>
            <w:u w:val="single"/>
            <w:rtl/>
          </w:rPr>
          <w:t>ת"פ (מחוזי ב"ש) 52504-10-20</w:t>
        </w:r>
      </w:hyperlink>
      <w:r w:rsidRPr="00015D26">
        <w:rPr>
          <w:rFonts w:ascii="David" w:hAnsi="David"/>
          <w:b/>
          <w:bCs/>
          <w:rtl/>
        </w:rPr>
        <w:t xml:space="preserve"> מדינת ישראל נגד אבו קרינאת (18/01/22)</w:t>
      </w:r>
      <w:r w:rsidRPr="00015D26">
        <w:rPr>
          <w:rFonts w:ascii="David" w:hAnsi="David"/>
          <w:rtl/>
        </w:rPr>
        <w:t xml:space="preserve">, אליו הפנתה ב"כ המאשימה, הורשע נאשם, </w:t>
      </w:r>
      <w:r w:rsidRPr="00015D26">
        <w:rPr>
          <w:rtl/>
        </w:rPr>
        <w:t>בהתאם להודאתו, בביצוע עבירת ייצור, הכנה והפקה של סם מסוכן, והחזקת סמים שלא לצריכה עצמית. הנאשם צייד 2 חממות שהיו בשטח בו התגורר במכשור הנצרך לגידול סמים וטיפל בכ-1,500 שתילים של סם מסוג קנבוס, במשקל כולל של 135 ק"ג</w:t>
      </w:r>
      <w:r>
        <w:rPr>
          <w:rFonts w:hint="cs"/>
          <w:rtl/>
        </w:rPr>
        <w:t xml:space="preserve"> וכן החזיק 2.8 ק"ג סם מסוכן במחסן</w:t>
      </w:r>
      <w:r w:rsidRPr="00015D26">
        <w:rPr>
          <w:rtl/>
        </w:rPr>
        <w:t xml:space="preserve">. בית המשפט קבע מתחם ענישה הנע בין 40-60 חודשי מאסר בפועל וכן מתחם לעניין הקנס הנע בין 20,000-80,000 ₪. על אף הבעת הנכונות מצד הנאשם להשתלב בטיפול ובשים לב לכך שבפועל טרם שולב בטיפול – הטיל בית המשפט על הנאשם 42 חודשי מאסר בפועל לצד מאסר מותנה וקנס בסך 30,000 ₪. </w:t>
      </w:r>
    </w:p>
    <w:p w14:paraId="0A4AF601" w14:textId="77777777" w:rsidR="00300050" w:rsidRPr="00015D26" w:rsidRDefault="00300050" w:rsidP="00300050">
      <w:pPr>
        <w:spacing w:line="360" w:lineRule="auto"/>
        <w:jc w:val="both"/>
        <w:rPr>
          <w:rFonts w:ascii="David" w:hAnsi="David"/>
        </w:rPr>
      </w:pPr>
    </w:p>
    <w:p w14:paraId="78CC3B35" w14:textId="77777777" w:rsidR="00300050" w:rsidRPr="00015D26" w:rsidRDefault="00300050" w:rsidP="00300050">
      <w:pPr>
        <w:spacing w:line="360" w:lineRule="auto"/>
        <w:jc w:val="both"/>
        <w:rPr>
          <w:rtl/>
        </w:rPr>
      </w:pPr>
      <w:r w:rsidRPr="00015D26">
        <w:rPr>
          <w:rFonts w:ascii="David" w:hAnsi="David"/>
          <w:rtl/>
        </w:rPr>
        <w:t>ב</w:t>
      </w:r>
      <w:hyperlink r:id="rId30" w:history="1">
        <w:r w:rsidR="00CA48FB" w:rsidRPr="00CA48FB">
          <w:rPr>
            <w:rFonts w:ascii="David" w:hAnsi="David"/>
            <w:b/>
            <w:bCs/>
            <w:color w:val="0000FF"/>
            <w:u w:val="single"/>
            <w:rtl/>
          </w:rPr>
          <w:t>ת"פ (מחוזי ב"ש) 19005-11-20</w:t>
        </w:r>
      </w:hyperlink>
      <w:r w:rsidRPr="00015D26">
        <w:rPr>
          <w:rFonts w:ascii="David" w:hAnsi="David"/>
          <w:b/>
          <w:bCs/>
          <w:rtl/>
        </w:rPr>
        <w:t xml:space="preserve"> מדינת ישראל נגד אזיזוב (08/08/21)</w:t>
      </w:r>
      <w:r w:rsidRPr="00015D26">
        <w:rPr>
          <w:rFonts w:ascii="David" w:hAnsi="David"/>
          <w:rtl/>
        </w:rPr>
        <w:t xml:space="preserve">, אליו הפנתה ב"כ המאשימה, הורשע נאשם, </w:t>
      </w:r>
      <w:r w:rsidRPr="00015D26">
        <w:rPr>
          <w:rtl/>
        </w:rPr>
        <w:t>בהתאם להודאתו, בביצוע עבירת ייצור, הכנה והפקה של סם מסוכן, החזקת סמים שלא לצריכה עצמית, וגניבת חשמל. הנאשם שכר בית, צייד אותו במכשור לצורך גידול קנבוס, חיבר אותו באופן לא חוקי לחשמל וצרך חשמל במרמה. בדירה נמצאו 255 שתילים של סם במשקל של כ-70 קילוגרם. בית המשפט קבע מתחם הנע בין 25-50 חודשי מאסר בפועל, ועל אף המלצת שירות המבחן להסתפק בהטלת מאסר בדרך של עבו</w:t>
      </w:r>
      <w:r>
        <w:rPr>
          <w:rtl/>
        </w:rPr>
        <w:t>דות שירות לצד צו מבחן שיכלול ה</w:t>
      </w:r>
      <w:r>
        <w:rPr>
          <w:rFonts w:hint="cs"/>
          <w:rtl/>
        </w:rPr>
        <w:t>שת</w:t>
      </w:r>
      <w:r w:rsidRPr="00015D26">
        <w:rPr>
          <w:rtl/>
        </w:rPr>
        <w:t>לבות בקבוצה טיפולית – הטיל בית המשפט על הנאשם 28 חודשי מאסר לצד מאסר מותנה וקנס</w:t>
      </w:r>
      <w:r>
        <w:rPr>
          <w:rFonts w:hint="cs"/>
          <w:rtl/>
        </w:rPr>
        <w:t xml:space="preserve"> על סך 5000 ש"ח</w:t>
      </w:r>
      <w:r w:rsidRPr="00015D26">
        <w:rPr>
          <w:rtl/>
        </w:rPr>
        <w:t>. בית המשפט העליון, ב</w:t>
      </w:r>
      <w:r w:rsidRPr="00015D26">
        <w:rPr>
          <w:b/>
          <w:bCs/>
          <w:rtl/>
        </w:rPr>
        <w:t>ע"פ 6162/12</w:t>
      </w:r>
      <w:r w:rsidRPr="00015D26">
        <w:rPr>
          <w:rtl/>
        </w:rPr>
        <w:t xml:space="preserve">, קבע כי העונש שהוטל על </w:t>
      </w:r>
      <w:r>
        <w:rPr>
          <w:rFonts w:hint="cs"/>
          <w:rtl/>
        </w:rPr>
        <w:t xml:space="preserve">הנאשם, במצב דברים רגיל, </w:t>
      </w:r>
      <w:r w:rsidRPr="00015D26">
        <w:rPr>
          <w:rtl/>
        </w:rPr>
        <w:t xml:space="preserve">איננו מצדיק התערבות של ערכאת ערעור. עם זאת, לאור נסיבותיו האישיות והמשפחתיות החריגות ביותר, אב יחידני ל-3 ילדים מזה 10 שנים – והשלכות הטלת מאסר מאחורי סורג ובריח עליהם – למען ילדיו, קבע בית המשפט כי יש לסטות באופן משמעותי מרף הענישה הנוהג והמיר את עונש המאסר ל-9 חודשי מאסר לריצוי בעבודות שירות. </w:t>
      </w:r>
    </w:p>
    <w:p w14:paraId="4E085EF5" w14:textId="77777777" w:rsidR="00300050" w:rsidRPr="00015D26" w:rsidRDefault="00300050" w:rsidP="00300050">
      <w:pPr>
        <w:spacing w:line="360" w:lineRule="auto"/>
        <w:jc w:val="both"/>
        <w:rPr>
          <w:rFonts w:ascii="David" w:hAnsi="David"/>
          <w:rtl/>
        </w:rPr>
      </w:pPr>
    </w:p>
    <w:p w14:paraId="322FBCD7" w14:textId="77777777" w:rsidR="00300050" w:rsidRPr="00015D26" w:rsidRDefault="00300050" w:rsidP="00300050">
      <w:pPr>
        <w:spacing w:line="360" w:lineRule="auto"/>
        <w:jc w:val="both"/>
        <w:rPr>
          <w:rtl/>
        </w:rPr>
      </w:pPr>
      <w:r w:rsidRPr="00015D26">
        <w:rPr>
          <w:rFonts w:ascii="David" w:hAnsi="David"/>
          <w:rtl/>
        </w:rPr>
        <w:t>ב</w:t>
      </w:r>
      <w:hyperlink r:id="rId31" w:history="1">
        <w:r w:rsidR="00CA48FB" w:rsidRPr="00CA48FB">
          <w:rPr>
            <w:rFonts w:ascii="David" w:hAnsi="David"/>
            <w:b/>
            <w:bCs/>
            <w:color w:val="0000FF"/>
            <w:u w:val="single"/>
            <w:rtl/>
          </w:rPr>
          <w:t>ת"פ (מחוזי ב"ש) 9532-10-18</w:t>
        </w:r>
      </w:hyperlink>
      <w:r w:rsidRPr="00015D26">
        <w:rPr>
          <w:rFonts w:ascii="David" w:hAnsi="David"/>
          <w:b/>
          <w:bCs/>
          <w:rtl/>
        </w:rPr>
        <w:t xml:space="preserve"> מדינת ישראל נגד אבו עסא (08/07/19)</w:t>
      </w:r>
      <w:r w:rsidRPr="00015D26">
        <w:rPr>
          <w:rFonts w:ascii="David" w:hAnsi="David"/>
          <w:rtl/>
        </w:rPr>
        <w:t xml:space="preserve">, אליו הפנה ב"כ הנאשם, הורשע נאשם, </w:t>
      </w:r>
      <w:r w:rsidRPr="00015D26">
        <w:rPr>
          <w:rtl/>
        </w:rPr>
        <w:t>בהתאם להודאתו, בביצוע עבירת ייצור, הכנה והפקה של סם מסוכן. הנאשם אבזר סככה הסמוכה לבית אביו בציוד הנדרש לגידול סמים בכמות מסחרית, וגידל, עבור אחרים, כ-280 שתילים של סם מסוג קנבוס, במשקל כולל של 141 ק"ג. בית המשפט קבע מתחם ענישה הנע בין 30-60 חודשי מאסר בפועל, ועל אף שהנאשם השתלב בהליך טיפולי</w:t>
      </w:r>
      <w:r>
        <w:rPr>
          <w:rFonts w:hint="cs"/>
          <w:rtl/>
        </w:rPr>
        <w:t>, אך לא השלימו</w:t>
      </w:r>
      <w:r w:rsidRPr="00015D26">
        <w:rPr>
          <w:rtl/>
        </w:rPr>
        <w:t xml:space="preserve"> – הטיל עליו בית המשפט 30 חודשי מאסר בפועל לצד מאסר מותנה וקנס בסך 9,000 ₪. </w:t>
      </w:r>
    </w:p>
    <w:p w14:paraId="6C6C43CB" w14:textId="77777777" w:rsidR="00300050" w:rsidRPr="00015D26" w:rsidRDefault="00300050" w:rsidP="00300050">
      <w:pPr>
        <w:spacing w:line="360" w:lineRule="auto"/>
        <w:jc w:val="both"/>
        <w:rPr>
          <w:rFonts w:ascii="David" w:hAnsi="David"/>
          <w:rtl/>
        </w:rPr>
      </w:pPr>
    </w:p>
    <w:p w14:paraId="1071ABB9" w14:textId="77777777" w:rsidR="00300050" w:rsidRPr="00015D26" w:rsidRDefault="00300050" w:rsidP="00300050">
      <w:pPr>
        <w:spacing w:line="360" w:lineRule="auto"/>
        <w:jc w:val="both"/>
        <w:rPr>
          <w:rtl/>
        </w:rPr>
      </w:pPr>
      <w:r w:rsidRPr="00015D26">
        <w:rPr>
          <w:rFonts w:ascii="David" w:hAnsi="David"/>
          <w:rtl/>
        </w:rPr>
        <w:t>ב</w:t>
      </w:r>
      <w:hyperlink r:id="rId32" w:history="1">
        <w:r w:rsidR="00CA48FB" w:rsidRPr="00CA48FB">
          <w:rPr>
            <w:rFonts w:ascii="David" w:hAnsi="David"/>
            <w:b/>
            <w:bCs/>
            <w:color w:val="0000FF"/>
            <w:u w:val="single"/>
            <w:rtl/>
          </w:rPr>
          <w:t>ת"פ (מחוזי מרכז-לוד) 30876-03-17</w:t>
        </w:r>
      </w:hyperlink>
      <w:r w:rsidRPr="00015D26">
        <w:rPr>
          <w:rFonts w:ascii="David" w:hAnsi="David"/>
          <w:b/>
          <w:bCs/>
          <w:rtl/>
        </w:rPr>
        <w:t xml:space="preserve"> מדינת ישראל נגד בן אדיבה (20/09/18)</w:t>
      </w:r>
      <w:r w:rsidRPr="00015D26">
        <w:rPr>
          <w:rFonts w:ascii="David" w:hAnsi="David"/>
          <w:rtl/>
        </w:rPr>
        <w:t xml:space="preserve">, אליו הפנה ב"כ הנאשם, הורשע נאשם, </w:t>
      </w:r>
      <w:r w:rsidRPr="00015D26">
        <w:rPr>
          <w:rtl/>
        </w:rPr>
        <w:t xml:space="preserve">בהתאם להודאתו, בביצוע עבירת ייצור, הכנה והפקה של סם מסוכן, קשירת קשר לביצוע פשע, החזקת סם שלא לצריכה עצמית, גניבה בנסיבות מיוחדות והחזקת חצרים להכנת סמים. הנאשם הקים, יחד עם אחרים, מעבדה לגידול קנאביס בתוך מתחם בו 7 חדרים, ציידו אותם במכשור והציוד הנדרש בשווי עשרות אלפי שקלים, וחיברו אותם לחשמל באמצעות כבל לא מוסדר ומבלי לשלם עבור החשמל – בשווי של 42,578 ₪. במעבדה גידלו הנאשם ואחרים 1,246 שתילים של סם מסוג קנבוס, והפיקו מהם סם מסוכן מסוג קנאביס בשווי של כ-70,000 ₪ לקילו. במקום נתפסו 140 קילוגרמים נטו של סם מסוכן מסוג קנאביס. בית המשפט קבע מתחם ענישה הנע בין 27-50 חודשי מאסר בפועל לצד קנס משמעותי בהיקף של עשרות אלפי שקלים, ובהתחשב בכך שהנאשם שולב בהליך טיפולי במסגרת הליך המעצר ובכך שהשיב את שווי הגניבה לחברת החשמל – הטיל עליו בית המשפט 30 חודשי מאסר בפועל לצד מאסרים מותנים וקנס בסך 50,000 ₪. </w:t>
      </w:r>
    </w:p>
    <w:p w14:paraId="73D59E1D" w14:textId="77777777" w:rsidR="00300050" w:rsidRPr="00015D26" w:rsidRDefault="00300050" w:rsidP="00300050">
      <w:pPr>
        <w:spacing w:line="360" w:lineRule="auto"/>
        <w:jc w:val="both"/>
        <w:rPr>
          <w:rFonts w:ascii="David" w:hAnsi="David"/>
          <w:b/>
          <w:bCs/>
          <w:rtl/>
        </w:rPr>
      </w:pPr>
      <w:r w:rsidRPr="00015D26">
        <w:rPr>
          <w:rFonts w:ascii="David" w:hAnsi="David"/>
          <w:b/>
          <w:bCs/>
          <w:rtl/>
        </w:rPr>
        <w:t xml:space="preserve">נסיבות ביצוע העבירה </w:t>
      </w:r>
    </w:p>
    <w:p w14:paraId="651FAA6E" w14:textId="77777777" w:rsidR="00300050" w:rsidRPr="00015D26" w:rsidRDefault="00300050" w:rsidP="00300050">
      <w:pPr>
        <w:spacing w:line="360" w:lineRule="auto"/>
        <w:jc w:val="both"/>
        <w:rPr>
          <w:rFonts w:ascii="David" w:hAnsi="David"/>
          <w:rtl/>
        </w:rPr>
      </w:pPr>
      <w:r w:rsidRPr="00015D26">
        <w:rPr>
          <w:rFonts w:ascii="David" w:hAnsi="David"/>
          <w:b/>
          <w:bCs/>
          <w:rtl/>
        </w:rPr>
        <w:t xml:space="preserve">8. </w:t>
      </w:r>
      <w:r w:rsidRPr="00015D26">
        <w:rPr>
          <w:rFonts w:ascii="David" w:hAnsi="David"/>
          <w:rtl/>
        </w:rPr>
        <w:t>במסגרת</w:t>
      </w:r>
      <w:r w:rsidRPr="00015D26">
        <w:rPr>
          <w:rFonts w:ascii="David" w:hAnsi="David"/>
          <w:b/>
          <w:bCs/>
          <w:rtl/>
        </w:rPr>
        <w:t xml:space="preserve"> נסיבות ביצוע העבירה </w:t>
      </w:r>
      <w:r w:rsidRPr="00015D26">
        <w:rPr>
          <w:rFonts w:ascii="David" w:hAnsi="David"/>
          <w:rtl/>
        </w:rPr>
        <w:t>יש לתת את הדעת לתכנון שקדם לביצוע העבירות הכולל הן את</w:t>
      </w:r>
      <w:r>
        <w:rPr>
          <w:rFonts w:ascii="David" w:hAnsi="David" w:hint="cs"/>
          <w:rtl/>
        </w:rPr>
        <w:t xml:space="preserve"> שכירת הבית,</w:t>
      </w:r>
      <w:r w:rsidRPr="00015D26">
        <w:rPr>
          <w:rFonts w:ascii="David" w:hAnsi="David"/>
          <w:rtl/>
        </w:rPr>
        <w:t xml:space="preserve"> רכישת הידע הרלוונטי והן את רכישת הציוד הנדרש, </w:t>
      </w:r>
      <w:r>
        <w:rPr>
          <w:rFonts w:ascii="David" w:hAnsi="David" w:hint="cs"/>
          <w:rtl/>
        </w:rPr>
        <w:t xml:space="preserve">כמתואר בעבודות כתב האישום המתוקן וכעולה מתמונות המקום </w:t>
      </w:r>
      <w:r w:rsidRPr="009C42ED">
        <w:rPr>
          <w:rFonts w:ascii="David" w:hAnsi="David" w:hint="cs"/>
          <w:b/>
          <w:bCs/>
          <w:rtl/>
        </w:rPr>
        <w:t>(ת/1)</w:t>
      </w:r>
      <w:r w:rsidRPr="00015D26">
        <w:rPr>
          <w:rFonts w:ascii="David" w:hAnsi="David"/>
          <w:rtl/>
        </w:rPr>
        <w:t>, כמו גם החיבור הפיראטי לחשמל, וכן את הטיפול השוטף שהצריך הגידול במשך מספר חודשים. כמו כן יש ליתן משקל לכך שלעבירת ייצור והפקת הסמים לוותה עבירת גניבת חשמל בהיקף משמעותי ביותר.</w:t>
      </w:r>
      <w:r w:rsidRPr="003B2819">
        <w:rPr>
          <w:rFonts w:ascii="David" w:hAnsi="David" w:hint="cs"/>
          <w:rtl/>
        </w:rPr>
        <w:t xml:space="preserve"> </w:t>
      </w:r>
      <w:r>
        <w:rPr>
          <w:rFonts w:ascii="David" w:hAnsi="David" w:hint="cs"/>
          <w:rtl/>
        </w:rPr>
        <w:t xml:space="preserve">עוד יש ליתן את הדעת לכמות השתילים הרבה כמו גם למשקל המשמעותי של הסם. </w:t>
      </w:r>
    </w:p>
    <w:p w14:paraId="0ADA2D62" w14:textId="77777777" w:rsidR="00300050" w:rsidRPr="00015D26" w:rsidRDefault="00300050" w:rsidP="00300050">
      <w:pPr>
        <w:spacing w:line="360" w:lineRule="auto"/>
        <w:jc w:val="both"/>
        <w:rPr>
          <w:rFonts w:ascii="David" w:hAnsi="David"/>
          <w:rtl/>
        </w:rPr>
      </w:pPr>
    </w:p>
    <w:p w14:paraId="6F0BBFE5" w14:textId="77777777" w:rsidR="00300050" w:rsidRDefault="00300050" w:rsidP="00300050">
      <w:pPr>
        <w:spacing w:line="360" w:lineRule="auto"/>
        <w:jc w:val="both"/>
        <w:rPr>
          <w:rFonts w:ascii="David" w:hAnsi="David"/>
          <w:rtl/>
        </w:rPr>
      </w:pPr>
      <w:r>
        <w:rPr>
          <w:rFonts w:ascii="David" w:hAnsi="David" w:hint="cs"/>
          <w:rtl/>
        </w:rPr>
        <w:t>בנוסף, יינתן</w:t>
      </w:r>
      <w:r w:rsidRPr="00015D26">
        <w:rPr>
          <w:rFonts w:ascii="David" w:hAnsi="David"/>
          <w:rtl/>
        </w:rPr>
        <w:t xml:space="preserve"> משקל ל</w:t>
      </w:r>
      <w:r>
        <w:rPr>
          <w:rFonts w:ascii="David" w:hAnsi="David" w:hint="cs"/>
          <w:rtl/>
        </w:rPr>
        <w:t xml:space="preserve">היות </w:t>
      </w:r>
      <w:r w:rsidRPr="00015D26">
        <w:rPr>
          <w:rFonts w:ascii="David" w:hAnsi="David"/>
          <w:rtl/>
        </w:rPr>
        <w:t xml:space="preserve">הנאשם מבצע </w:t>
      </w:r>
      <w:r>
        <w:rPr>
          <w:rFonts w:ascii="David" w:hAnsi="David" w:hint="cs"/>
          <w:rtl/>
        </w:rPr>
        <w:t>עיקרי ו</w:t>
      </w:r>
      <w:r w:rsidRPr="00015D26">
        <w:rPr>
          <w:rFonts w:ascii="David" w:hAnsi="David"/>
          <w:rtl/>
        </w:rPr>
        <w:t>יחיד, וכן לנזק שעלול להיגרם מגידול ושימוש בסמים מסוכנים, לצרכני הסמים ולחברה ככלל, כמפורט לעיל.</w:t>
      </w:r>
    </w:p>
    <w:p w14:paraId="30CDB658" w14:textId="77777777" w:rsidR="00300050" w:rsidRDefault="00300050" w:rsidP="00300050">
      <w:pPr>
        <w:spacing w:line="360" w:lineRule="auto"/>
        <w:jc w:val="both"/>
        <w:rPr>
          <w:rFonts w:ascii="David" w:hAnsi="David"/>
          <w:rtl/>
        </w:rPr>
      </w:pPr>
    </w:p>
    <w:p w14:paraId="5ED91513" w14:textId="77777777" w:rsidR="00300050" w:rsidRPr="00015D26" w:rsidRDefault="00300050" w:rsidP="00300050">
      <w:pPr>
        <w:spacing w:line="360" w:lineRule="auto"/>
        <w:jc w:val="both"/>
      </w:pPr>
      <w:r w:rsidRPr="00015D26">
        <w:rPr>
          <w:b/>
          <w:bCs/>
          <w:rtl/>
        </w:rPr>
        <w:t>9. לאור האמור אני קובעת כי מתחם העונש ההולם בגין מכלול מעשיו של הנאשם נע בין 30-</w:t>
      </w:r>
      <w:r>
        <w:rPr>
          <w:rFonts w:hint="cs"/>
          <w:b/>
          <w:bCs/>
          <w:rtl/>
        </w:rPr>
        <w:t>48</w:t>
      </w:r>
      <w:r w:rsidRPr="00015D26">
        <w:rPr>
          <w:b/>
          <w:bCs/>
          <w:rtl/>
        </w:rPr>
        <w:t xml:space="preserve"> חודשי מאסר בפועל, לצד קנס בהיקף של עשרות אלפי שקלים</w:t>
      </w:r>
      <w:r w:rsidRPr="00015D26">
        <w:rPr>
          <w:rtl/>
        </w:rPr>
        <w:t>.</w:t>
      </w:r>
    </w:p>
    <w:p w14:paraId="490A6234" w14:textId="77777777" w:rsidR="00300050" w:rsidRPr="0050487D" w:rsidRDefault="00300050" w:rsidP="00300050">
      <w:pPr>
        <w:spacing w:line="360" w:lineRule="auto"/>
        <w:jc w:val="both"/>
        <w:rPr>
          <w:rFonts w:ascii="David" w:hAnsi="David"/>
          <w:b/>
          <w:bCs/>
          <w:u w:val="single"/>
          <w:rtl/>
        </w:rPr>
      </w:pPr>
    </w:p>
    <w:p w14:paraId="2E6638BD" w14:textId="77777777" w:rsidR="00300050" w:rsidRPr="00015D26" w:rsidRDefault="00300050" w:rsidP="00300050">
      <w:pPr>
        <w:spacing w:line="360" w:lineRule="auto"/>
        <w:jc w:val="both"/>
        <w:rPr>
          <w:rFonts w:ascii="David" w:hAnsi="David"/>
          <w:b/>
          <w:bCs/>
          <w:u w:val="single"/>
          <w:rtl/>
        </w:rPr>
      </w:pPr>
      <w:r w:rsidRPr="00015D26">
        <w:rPr>
          <w:rFonts w:ascii="David" w:hAnsi="David"/>
          <w:b/>
          <w:bCs/>
          <w:u w:val="single"/>
          <w:rtl/>
        </w:rPr>
        <w:t>קביעת עונשו של הנאשם</w:t>
      </w:r>
    </w:p>
    <w:p w14:paraId="229B67F4" w14:textId="77777777" w:rsidR="00300050" w:rsidRPr="00015D26" w:rsidRDefault="00300050" w:rsidP="00300050">
      <w:pPr>
        <w:spacing w:line="360" w:lineRule="auto"/>
        <w:jc w:val="both"/>
        <w:rPr>
          <w:rtl/>
        </w:rPr>
      </w:pPr>
      <w:r w:rsidRPr="00015D26">
        <w:rPr>
          <w:b/>
          <w:bCs/>
          <w:rtl/>
        </w:rPr>
        <w:t>10. נסיבות שאינן קשורות בביצוע העבירה</w:t>
      </w:r>
      <w:r w:rsidRPr="00015D26">
        <w:rPr>
          <w:rtl/>
        </w:rPr>
        <w:t xml:space="preserve"> -</w:t>
      </w:r>
    </w:p>
    <w:p w14:paraId="3EEFC572" w14:textId="77777777" w:rsidR="00300050" w:rsidRPr="00015D26" w:rsidRDefault="00300050" w:rsidP="00300050">
      <w:pPr>
        <w:tabs>
          <w:tab w:val="center" w:pos="4153"/>
          <w:tab w:val="right" w:pos="8306"/>
        </w:tabs>
        <w:spacing w:line="360" w:lineRule="auto"/>
        <w:jc w:val="both"/>
        <w:rPr>
          <w:rFonts w:ascii="Arial" w:hAnsi="Arial"/>
          <w:rtl/>
        </w:rPr>
      </w:pPr>
      <w:r w:rsidRPr="00015D26">
        <w:rPr>
          <w:rFonts w:ascii="Arial" w:hAnsi="Arial"/>
          <w:rtl/>
        </w:rPr>
        <w:t>אשר לנסיבות שאינן קשורות בביצוע העבירות יש ליתן משקל ל</w:t>
      </w:r>
      <w:r>
        <w:rPr>
          <w:rFonts w:ascii="Arial" w:hAnsi="Arial" w:hint="cs"/>
          <w:rtl/>
        </w:rPr>
        <w:t>היות הנאשם נעדר הרשעות קודמות ול</w:t>
      </w:r>
      <w:r w:rsidRPr="00015D26">
        <w:rPr>
          <w:rFonts w:ascii="Arial" w:hAnsi="Arial"/>
          <w:rtl/>
        </w:rPr>
        <w:t xml:space="preserve">פגיעה של העונש בנאשם ובמשפחתו. </w:t>
      </w:r>
    </w:p>
    <w:p w14:paraId="0F767D09" w14:textId="77777777" w:rsidR="00300050" w:rsidRPr="00015D26" w:rsidRDefault="00300050" w:rsidP="00300050">
      <w:pPr>
        <w:tabs>
          <w:tab w:val="center" w:pos="4153"/>
          <w:tab w:val="right" w:pos="8306"/>
        </w:tabs>
        <w:spacing w:line="360" w:lineRule="auto"/>
        <w:jc w:val="both"/>
        <w:rPr>
          <w:rFonts w:ascii="Arial" w:hAnsi="Arial"/>
          <w:rtl/>
        </w:rPr>
      </w:pPr>
      <w:r w:rsidRPr="00015D26">
        <w:rPr>
          <w:rFonts w:ascii="Arial" w:hAnsi="Arial"/>
          <w:rtl/>
        </w:rPr>
        <w:t xml:space="preserve">ברי כי לכל נאשם אשר נשלח לריצוי מאסר מאחורי סורג ובריח נגרם נזק, הן בשל הגבלת החירות והיעדר היכולת להתפרנס, והן מהפן הנפשי וההשפעות הסביבתיות הנלוות למאסר, ובוודאי כאשר מדובר בהורה ומפרנס. </w:t>
      </w:r>
    </w:p>
    <w:p w14:paraId="4FA774D8" w14:textId="77777777" w:rsidR="00300050" w:rsidRPr="00015D26" w:rsidRDefault="00300050" w:rsidP="00300050">
      <w:pPr>
        <w:tabs>
          <w:tab w:val="center" w:pos="4153"/>
          <w:tab w:val="right" w:pos="8306"/>
        </w:tabs>
        <w:spacing w:line="360" w:lineRule="auto"/>
        <w:jc w:val="both"/>
        <w:rPr>
          <w:rtl/>
        </w:rPr>
      </w:pPr>
    </w:p>
    <w:p w14:paraId="663A739C" w14:textId="77777777" w:rsidR="00300050" w:rsidRPr="00015D26" w:rsidRDefault="00300050" w:rsidP="00300050">
      <w:pPr>
        <w:spacing w:line="360" w:lineRule="auto"/>
        <w:jc w:val="both"/>
        <w:rPr>
          <w:rFonts w:ascii="David" w:hAnsi="David"/>
          <w:rtl/>
        </w:rPr>
      </w:pPr>
      <w:r w:rsidRPr="00015D26">
        <w:rPr>
          <w:rtl/>
        </w:rPr>
        <w:t xml:space="preserve">עוד יש ליתן </w:t>
      </w:r>
      <w:r w:rsidRPr="00015D26">
        <w:rPr>
          <w:rFonts w:ascii="David" w:hAnsi="David"/>
          <w:rtl/>
        </w:rPr>
        <w:t>משקל להודאתו של הנאשם בכתב האישום המתוקן ולקיחת האחריות המלאה על מעשיו,</w:t>
      </w:r>
      <w:r w:rsidRPr="00015D26">
        <w:rPr>
          <w:rFonts w:ascii="Calibri" w:hAnsi="Calibri" w:cs="Arial"/>
          <w:sz w:val="22"/>
          <w:szCs w:val="22"/>
          <w:rtl/>
        </w:rPr>
        <w:t xml:space="preserve"> </w:t>
      </w:r>
      <w:r w:rsidRPr="00015D26">
        <w:rPr>
          <w:rFonts w:ascii="David" w:hAnsi="David"/>
          <w:rtl/>
        </w:rPr>
        <w:t xml:space="preserve">וכן לנסיבותיו האישיות, המשפחתיות והכלכליות של הנאשם - כמפורט לעיל. עם זאת, יש ליתן משקל אף לעובדה כי הנאשם שלל צורך טיפולי, הן בתחום הסמים והן בתחום ההתמכרויות, וזאת על אף ששיתף בשימוש בסמים והימורים במהלך מספר שנים. בהיעדר טיפול, ובשים לב להתרשמות שירות המבחן לפיה לנאשם קיים קושי בהצבת גבול פנימי, בוויסות דחפיו במצבי דחק, קושי להסתייע באחרים ובפרט בגורמי טיפול, ונטייתו להסתרת מידע - נמנע כאמור שירות המבחן ממתן המלצה טיפולית בעניינו. </w:t>
      </w:r>
    </w:p>
    <w:p w14:paraId="6B720C26" w14:textId="77777777" w:rsidR="00300050" w:rsidRDefault="00300050" w:rsidP="00300050">
      <w:pPr>
        <w:tabs>
          <w:tab w:val="center" w:pos="4153"/>
          <w:tab w:val="right" w:pos="8306"/>
        </w:tabs>
        <w:spacing w:line="360" w:lineRule="auto"/>
        <w:rPr>
          <w:rtl/>
        </w:rPr>
      </w:pPr>
    </w:p>
    <w:p w14:paraId="1148FDE7" w14:textId="77777777" w:rsidR="00300050" w:rsidRDefault="00300050" w:rsidP="00300050">
      <w:pPr>
        <w:tabs>
          <w:tab w:val="center" w:pos="4153"/>
          <w:tab w:val="right" w:pos="8306"/>
        </w:tabs>
        <w:spacing w:line="360" w:lineRule="auto"/>
        <w:rPr>
          <w:rtl/>
        </w:rPr>
      </w:pPr>
      <w:r>
        <w:rPr>
          <w:rFonts w:hint="cs"/>
          <w:rtl/>
        </w:rPr>
        <w:t xml:space="preserve">עוד יינתן משקל לשיקול הרתעת היחיד והרבים כפי שפורט בפסיקה דלעיל. </w:t>
      </w:r>
    </w:p>
    <w:p w14:paraId="38413034" w14:textId="77777777" w:rsidR="00300050" w:rsidRPr="00015D26" w:rsidRDefault="00300050" w:rsidP="00300050">
      <w:pPr>
        <w:tabs>
          <w:tab w:val="center" w:pos="4153"/>
          <w:tab w:val="right" w:pos="8306"/>
        </w:tabs>
        <w:spacing w:line="360" w:lineRule="auto"/>
        <w:rPr>
          <w:rtl/>
        </w:rPr>
      </w:pPr>
    </w:p>
    <w:p w14:paraId="37E317F4" w14:textId="77777777" w:rsidR="00300050" w:rsidRPr="00015D26" w:rsidRDefault="00300050" w:rsidP="00300050">
      <w:pPr>
        <w:spacing w:line="360" w:lineRule="auto"/>
        <w:jc w:val="both"/>
        <w:rPr>
          <w:rtl/>
        </w:rPr>
      </w:pPr>
      <w:r w:rsidRPr="00015D26">
        <w:rPr>
          <w:b/>
          <w:bCs/>
          <w:rtl/>
        </w:rPr>
        <w:t>11.</w:t>
      </w:r>
      <w:r w:rsidRPr="00015D26">
        <w:rPr>
          <w:rtl/>
        </w:rPr>
        <w:t xml:space="preserve"> סוף דבר, לאחר ששקלתי את הנסיבות לקולה ולחומרה במקרה דנן, כמפורט לעיל, באתי לכלל מסקנה כי יש להטיל על הנאשם ענישה בחלקו הנמוך של מתחם העונש, אולם לא בתחתיתו, לצד ענישה נלווית</w:t>
      </w:r>
      <w:r>
        <w:rPr>
          <w:rFonts w:hint="cs"/>
          <w:rtl/>
        </w:rPr>
        <w:t xml:space="preserve"> הכוללת ענישה צופה פני עתיד לצד רכיבי ענישה כלכליים משמעותיים</w:t>
      </w:r>
      <w:r w:rsidRPr="00015D26">
        <w:rPr>
          <w:rtl/>
        </w:rPr>
        <w:t xml:space="preserve">. </w:t>
      </w:r>
    </w:p>
    <w:p w14:paraId="1E1AB60C" w14:textId="77777777" w:rsidR="00300050" w:rsidRPr="00015D26" w:rsidRDefault="00300050" w:rsidP="00300050">
      <w:pPr>
        <w:spacing w:line="360" w:lineRule="auto"/>
        <w:jc w:val="both"/>
        <w:rPr>
          <w:rtl/>
        </w:rPr>
      </w:pPr>
    </w:p>
    <w:p w14:paraId="01C6AC00" w14:textId="77777777" w:rsidR="00300050" w:rsidRPr="00015D26" w:rsidRDefault="00300050" w:rsidP="00300050">
      <w:pPr>
        <w:tabs>
          <w:tab w:val="center" w:pos="4153"/>
          <w:tab w:val="right" w:pos="8306"/>
        </w:tabs>
        <w:spacing w:line="360" w:lineRule="auto"/>
        <w:jc w:val="both"/>
        <w:rPr>
          <w:rFonts w:ascii="David" w:hAnsi="David"/>
          <w:rtl/>
        </w:rPr>
      </w:pPr>
      <w:r w:rsidRPr="00015D26">
        <w:rPr>
          <w:rFonts w:ascii="David" w:hAnsi="David"/>
          <w:b/>
          <w:bCs/>
          <w:rtl/>
        </w:rPr>
        <w:t>12.</w:t>
      </w:r>
      <w:r w:rsidRPr="00015D26">
        <w:rPr>
          <w:rFonts w:ascii="David" w:hAnsi="David"/>
          <w:rtl/>
        </w:rPr>
        <w:t xml:space="preserve"> בשים לב לשיקול הכלכלי העומד בבסיס ביצוע עבירה זו, לא שוכנעתי כי ניתן להימנע מהטלת קנס, ומשכך אני דוחה עתירת ב"כ הנאשם לעניין זה. </w:t>
      </w:r>
    </w:p>
    <w:p w14:paraId="3DC133F9" w14:textId="77777777" w:rsidR="00300050" w:rsidRPr="00015D26" w:rsidRDefault="00300050" w:rsidP="00300050">
      <w:pPr>
        <w:tabs>
          <w:tab w:val="center" w:pos="4153"/>
          <w:tab w:val="right" w:pos="8306"/>
        </w:tabs>
        <w:spacing w:line="360" w:lineRule="auto"/>
        <w:jc w:val="both"/>
        <w:rPr>
          <w:rFonts w:ascii="David" w:hAnsi="David"/>
          <w:b/>
          <w:bCs/>
          <w:rtl/>
        </w:rPr>
      </w:pPr>
    </w:p>
    <w:p w14:paraId="37F3A53C" w14:textId="77777777" w:rsidR="00300050" w:rsidRPr="00015D26" w:rsidRDefault="00300050" w:rsidP="00300050">
      <w:pPr>
        <w:tabs>
          <w:tab w:val="center" w:pos="4153"/>
          <w:tab w:val="right" w:pos="8306"/>
        </w:tabs>
        <w:spacing w:line="360" w:lineRule="auto"/>
        <w:jc w:val="both"/>
        <w:rPr>
          <w:rFonts w:ascii="David" w:hAnsi="David"/>
          <w:rtl/>
        </w:rPr>
      </w:pPr>
      <w:r w:rsidRPr="00015D26">
        <w:rPr>
          <w:rFonts w:ascii="David" w:hAnsi="David"/>
          <w:rtl/>
        </w:rPr>
        <w:t>באשר לגובה הקנס, כבר נקבע בפסיקה כי בקביעתו יש להתחשב במצבו הכלכלי של הנאשם, וזאת מאחר שנאשם אשר אין ביכולתו לשלם את הקנס עלול לשאת בעונש מאסר בפועל חלף הקנס, באופן המעורר חשש כי מצבו הכלכלי הוא שיכתיב את תקופת המאסר בפועל שבה יישא בגין העבירות בהן הורשע. עם זאת, נקבע אף כי לא ניתן להעלים עין מהיקף גידול הסמים והרווח הפוטנציאלי שהיה צפוי מהפקתם.</w:t>
      </w:r>
    </w:p>
    <w:p w14:paraId="1916CE1C" w14:textId="77777777" w:rsidR="00300050" w:rsidRPr="00015D26" w:rsidRDefault="00300050" w:rsidP="00300050">
      <w:pPr>
        <w:tabs>
          <w:tab w:val="center" w:pos="4153"/>
          <w:tab w:val="right" w:pos="8306"/>
        </w:tabs>
        <w:spacing w:line="360" w:lineRule="auto"/>
        <w:jc w:val="both"/>
        <w:rPr>
          <w:rFonts w:ascii="Calibri" w:hAnsi="Calibri"/>
          <w:b/>
          <w:bCs/>
          <w:rtl/>
        </w:rPr>
      </w:pPr>
      <w:r w:rsidRPr="00015D26">
        <w:rPr>
          <w:rFonts w:ascii="David" w:hAnsi="David"/>
          <w:rtl/>
        </w:rPr>
        <w:t>[ראו</w:t>
      </w:r>
      <w:r>
        <w:rPr>
          <w:rFonts w:ascii="David" w:hAnsi="David" w:hint="cs"/>
          <w:rtl/>
        </w:rPr>
        <w:t>:</w:t>
      </w:r>
      <w:r w:rsidRPr="00015D26">
        <w:rPr>
          <w:rFonts w:ascii="David" w:hAnsi="David"/>
          <w:rtl/>
        </w:rPr>
        <w:t xml:space="preserve"> </w:t>
      </w:r>
      <w:hyperlink r:id="rId33" w:history="1">
        <w:r w:rsidR="00CA48FB" w:rsidRPr="00CA48FB">
          <w:rPr>
            <w:rFonts w:ascii="David" w:hAnsi="David"/>
            <w:b/>
            <w:bCs/>
            <w:color w:val="0000FF"/>
            <w:u w:val="single"/>
            <w:rtl/>
          </w:rPr>
          <w:t>ע"פ 4387/20</w:t>
        </w:r>
      </w:hyperlink>
      <w:r w:rsidRPr="00015D26">
        <w:rPr>
          <w:rFonts w:ascii="David" w:hAnsi="David"/>
          <w:b/>
          <w:bCs/>
          <w:rtl/>
        </w:rPr>
        <w:t xml:space="preserve"> מדינת ישראל נגד טל דרור </w:t>
      </w:r>
      <w:r w:rsidRPr="0050487D">
        <w:rPr>
          <w:rFonts w:ascii="David" w:hAnsi="David"/>
          <w:rtl/>
        </w:rPr>
        <w:t>(08/02/21)</w:t>
      </w:r>
      <w:r w:rsidRPr="00015D26">
        <w:rPr>
          <w:rFonts w:ascii="David" w:hAnsi="David"/>
          <w:rtl/>
        </w:rPr>
        <w:t>]</w:t>
      </w:r>
      <w:r w:rsidRPr="00015D26">
        <w:rPr>
          <w:rFonts w:ascii="David" w:hAnsi="David"/>
          <w:b/>
          <w:bCs/>
          <w:rtl/>
        </w:rPr>
        <w:t xml:space="preserve"> </w:t>
      </w:r>
    </w:p>
    <w:p w14:paraId="1AEDBD73" w14:textId="77777777" w:rsidR="00300050" w:rsidRPr="00015D26" w:rsidRDefault="00300050" w:rsidP="00300050">
      <w:pPr>
        <w:tabs>
          <w:tab w:val="center" w:pos="4153"/>
          <w:tab w:val="right" w:pos="8306"/>
        </w:tabs>
        <w:spacing w:line="360" w:lineRule="auto"/>
        <w:jc w:val="both"/>
        <w:rPr>
          <w:rFonts w:ascii="Calibri" w:hAnsi="Calibri"/>
          <w:rtl/>
        </w:rPr>
      </w:pPr>
    </w:p>
    <w:p w14:paraId="2D899DE0" w14:textId="77777777" w:rsidR="00300050" w:rsidRPr="00015D26" w:rsidRDefault="00300050" w:rsidP="00300050">
      <w:pPr>
        <w:tabs>
          <w:tab w:val="center" w:pos="4153"/>
          <w:tab w:val="right" w:pos="8306"/>
        </w:tabs>
        <w:spacing w:line="360" w:lineRule="auto"/>
        <w:jc w:val="both"/>
        <w:rPr>
          <w:rFonts w:ascii="Calibri" w:hAnsi="Calibri"/>
          <w:rtl/>
        </w:rPr>
      </w:pPr>
      <w:r w:rsidRPr="00015D26">
        <w:rPr>
          <w:rFonts w:ascii="Calibri" w:hAnsi="Calibri" w:hint="eastAsia"/>
          <w:rtl/>
        </w:rPr>
        <w:t>לאור</w:t>
      </w:r>
      <w:r w:rsidRPr="00015D26">
        <w:rPr>
          <w:rFonts w:ascii="Calibri" w:hAnsi="Calibri"/>
          <w:rtl/>
        </w:rPr>
        <w:t xml:space="preserve"> </w:t>
      </w:r>
      <w:r w:rsidRPr="00015D26">
        <w:rPr>
          <w:rFonts w:ascii="Calibri" w:hAnsi="Calibri" w:hint="eastAsia"/>
          <w:rtl/>
        </w:rPr>
        <w:t>האמור</w:t>
      </w:r>
      <w:r w:rsidRPr="00015D26">
        <w:rPr>
          <w:rFonts w:ascii="Calibri" w:hAnsi="Calibri"/>
          <w:rtl/>
        </w:rPr>
        <w:t xml:space="preserve">, </w:t>
      </w:r>
      <w:r w:rsidRPr="00015D26">
        <w:rPr>
          <w:rFonts w:ascii="Calibri" w:hAnsi="Calibri" w:hint="eastAsia"/>
          <w:rtl/>
        </w:rPr>
        <w:t>בשים</w:t>
      </w:r>
      <w:r w:rsidRPr="00015D26">
        <w:rPr>
          <w:rFonts w:ascii="Calibri" w:hAnsi="Calibri"/>
          <w:rtl/>
        </w:rPr>
        <w:t xml:space="preserve"> </w:t>
      </w:r>
      <w:r w:rsidRPr="00015D26">
        <w:rPr>
          <w:rFonts w:ascii="Calibri" w:hAnsi="Calibri" w:hint="eastAsia"/>
          <w:rtl/>
        </w:rPr>
        <w:t>לב</w:t>
      </w:r>
      <w:r w:rsidRPr="00015D26">
        <w:rPr>
          <w:rFonts w:ascii="Calibri" w:hAnsi="Calibri"/>
          <w:rtl/>
        </w:rPr>
        <w:t xml:space="preserve"> </w:t>
      </w:r>
      <w:r w:rsidRPr="00015D26">
        <w:rPr>
          <w:rFonts w:ascii="Calibri" w:hAnsi="Calibri" w:hint="eastAsia"/>
          <w:rtl/>
        </w:rPr>
        <w:t>להיקף</w:t>
      </w:r>
      <w:r w:rsidRPr="00015D26">
        <w:rPr>
          <w:rFonts w:ascii="Calibri" w:hAnsi="Calibri"/>
          <w:rtl/>
        </w:rPr>
        <w:t xml:space="preserve"> </w:t>
      </w:r>
      <w:r w:rsidRPr="00015D26">
        <w:rPr>
          <w:rFonts w:ascii="Calibri" w:hAnsi="Calibri" w:hint="eastAsia"/>
          <w:rtl/>
        </w:rPr>
        <w:t>גידול</w:t>
      </w:r>
      <w:r w:rsidRPr="00015D26">
        <w:rPr>
          <w:rFonts w:ascii="Calibri" w:hAnsi="Calibri"/>
          <w:rtl/>
        </w:rPr>
        <w:t xml:space="preserve"> </w:t>
      </w:r>
      <w:r w:rsidRPr="00015D26">
        <w:rPr>
          <w:rFonts w:ascii="Calibri" w:hAnsi="Calibri" w:hint="eastAsia"/>
          <w:rtl/>
        </w:rPr>
        <w:t>הסמים</w:t>
      </w:r>
      <w:r w:rsidRPr="00015D26">
        <w:rPr>
          <w:rFonts w:ascii="Calibri" w:hAnsi="Calibri"/>
          <w:rtl/>
        </w:rPr>
        <w:t xml:space="preserve"> </w:t>
      </w:r>
      <w:r w:rsidRPr="00015D26">
        <w:rPr>
          <w:rFonts w:ascii="Calibri" w:hAnsi="Calibri" w:hint="eastAsia"/>
          <w:rtl/>
        </w:rPr>
        <w:t>והרווח</w:t>
      </w:r>
      <w:r w:rsidRPr="00015D26">
        <w:rPr>
          <w:rFonts w:ascii="Calibri" w:hAnsi="Calibri"/>
          <w:rtl/>
        </w:rPr>
        <w:t xml:space="preserve"> </w:t>
      </w:r>
      <w:r w:rsidRPr="00015D26">
        <w:rPr>
          <w:rFonts w:ascii="Calibri" w:hAnsi="Calibri" w:hint="eastAsia"/>
          <w:rtl/>
        </w:rPr>
        <w:t>הפוטנציאלי</w:t>
      </w:r>
      <w:r w:rsidRPr="00015D26">
        <w:rPr>
          <w:rFonts w:ascii="Calibri" w:hAnsi="Calibri"/>
          <w:rtl/>
        </w:rPr>
        <w:t xml:space="preserve"> </w:t>
      </w:r>
      <w:r w:rsidRPr="00015D26">
        <w:rPr>
          <w:rFonts w:ascii="Calibri" w:hAnsi="Calibri" w:hint="eastAsia"/>
          <w:rtl/>
        </w:rPr>
        <w:t>הצפוי</w:t>
      </w:r>
      <w:r w:rsidRPr="00015D26">
        <w:rPr>
          <w:rFonts w:ascii="Calibri" w:hAnsi="Calibri"/>
          <w:rtl/>
        </w:rPr>
        <w:t xml:space="preserve"> </w:t>
      </w:r>
      <w:r w:rsidRPr="00015D26">
        <w:rPr>
          <w:rFonts w:ascii="Calibri" w:hAnsi="Calibri" w:hint="eastAsia"/>
          <w:rtl/>
        </w:rPr>
        <w:t>מהפקתם</w:t>
      </w:r>
      <w:r w:rsidRPr="00015D26">
        <w:rPr>
          <w:rFonts w:ascii="Calibri" w:hAnsi="Calibri"/>
          <w:rtl/>
        </w:rPr>
        <w:t xml:space="preserve">, </w:t>
      </w:r>
      <w:r w:rsidRPr="00015D26">
        <w:rPr>
          <w:rFonts w:ascii="Calibri" w:hAnsi="Calibri" w:hint="eastAsia"/>
          <w:rtl/>
        </w:rPr>
        <w:t>אך</w:t>
      </w:r>
      <w:r w:rsidRPr="00015D26">
        <w:rPr>
          <w:rFonts w:ascii="Calibri" w:hAnsi="Calibri"/>
          <w:rtl/>
        </w:rPr>
        <w:t xml:space="preserve"> </w:t>
      </w:r>
      <w:r w:rsidRPr="00015D26">
        <w:rPr>
          <w:rFonts w:ascii="Calibri" w:hAnsi="Calibri" w:hint="eastAsia"/>
          <w:rtl/>
        </w:rPr>
        <w:t>גם</w:t>
      </w:r>
      <w:r w:rsidRPr="00015D26">
        <w:rPr>
          <w:rFonts w:ascii="Calibri" w:hAnsi="Calibri"/>
          <w:rtl/>
        </w:rPr>
        <w:t xml:space="preserve"> </w:t>
      </w:r>
      <w:r w:rsidRPr="00015D26">
        <w:rPr>
          <w:rFonts w:ascii="Calibri" w:hAnsi="Calibri" w:hint="eastAsia"/>
          <w:rtl/>
        </w:rPr>
        <w:t>בשים</w:t>
      </w:r>
      <w:r w:rsidRPr="00015D26">
        <w:rPr>
          <w:rFonts w:ascii="Calibri" w:hAnsi="Calibri"/>
          <w:rtl/>
        </w:rPr>
        <w:t xml:space="preserve"> </w:t>
      </w:r>
      <w:r w:rsidRPr="00015D26">
        <w:rPr>
          <w:rFonts w:ascii="Calibri" w:hAnsi="Calibri" w:hint="eastAsia"/>
          <w:rtl/>
        </w:rPr>
        <w:t>לב</w:t>
      </w:r>
      <w:r w:rsidRPr="00015D26">
        <w:rPr>
          <w:rFonts w:ascii="Calibri" w:hAnsi="Calibri"/>
          <w:rtl/>
        </w:rPr>
        <w:t xml:space="preserve"> </w:t>
      </w:r>
      <w:r w:rsidRPr="00015D26">
        <w:rPr>
          <w:rFonts w:ascii="Calibri" w:hAnsi="Calibri" w:hint="eastAsia"/>
          <w:rtl/>
        </w:rPr>
        <w:t>למצבו</w:t>
      </w:r>
      <w:r w:rsidRPr="00015D26">
        <w:rPr>
          <w:rFonts w:ascii="Calibri" w:hAnsi="Calibri"/>
          <w:rtl/>
        </w:rPr>
        <w:t xml:space="preserve"> </w:t>
      </w:r>
      <w:r w:rsidRPr="00015D26">
        <w:rPr>
          <w:rFonts w:ascii="Calibri" w:hAnsi="Calibri" w:hint="eastAsia"/>
          <w:rtl/>
        </w:rPr>
        <w:t>הכלכלי</w:t>
      </w:r>
      <w:r w:rsidRPr="00015D26">
        <w:rPr>
          <w:rFonts w:ascii="Calibri" w:hAnsi="Calibri"/>
          <w:rtl/>
        </w:rPr>
        <w:t xml:space="preserve"> </w:t>
      </w:r>
      <w:r w:rsidRPr="00015D26">
        <w:rPr>
          <w:rFonts w:ascii="Calibri" w:hAnsi="Calibri" w:hint="eastAsia"/>
          <w:rtl/>
        </w:rPr>
        <w:t>הנטען</w:t>
      </w:r>
      <w:r w:rsidRPr="00015D26">
        <w:rPr>
          <w:rFonts w:ascii="Calibri" w:hAnsi="Calibri"/>
          <w:rtl/>
        </w:rPr>
        <w:t xml:space="preserve"> </w:t>
      </w:r>
      <w:r w:rsidRPr="00015D26">
        <w:rPr>
          <w:rFonts w:ascii="Calibri" w:hAnsi="Calibri" w:hint="eastAsia"/>
          <w:rtl/>
        </w:rPr>
        <w:t>של</w:t>
      </w:r>
      <w:r w:rsidRPr="00015D26">
        <w:rPr>
          <w:rFonts w:ascii="Calibri" w:hAnsi="Calibri"/>
          <w:rtl/>
        </w:rPr>
        <w:t xml:space="preserve"> </w:t>
      </w:r>
      <w:r w:rsidRPr="00015D26">
        <w:rPr>
          <w:rFonts w:ascii="Calibri" w:hAnsi="Calibri" w:hint="eastAsia"/>
          <w:rtl/>
        </w:rPr>
        <w:t>הנאשם</w:t>
      </w:r>
      <w:r w:rsidRPr="00015D26">
        <w:rPr>
          <w:rFonts w:ascii="Calibri" w:hAnsi="Calibri"/>
          <w:rtl/>
        </w:rPr>
        <w:t xml:space="preserve"> – </w:t>
      </w:r>
      <w:r w:rsidRPr="00015D26">
        <w:rPr>
          <w:rFonts w:ascii="Calibri" w:hAnsi="Calibri" w:hint="eastAsia"/>
          <w:rtl/>
        </w:rPr>
        <w:t>שוכנעתי</w:t>
      </w:r>
      <w:r w:rsidRPr="00015D26">
        <w:rPr>
          <w:rFonts w:ascii="Calibri" w:hAnsi="Calibri"/>
          <w:rtl/>
        </w:rPr>
        <w:t xml:space="preserve"> </w:t>
      </w:r>
      <w:r w:rsidRPr="00015D26">
        <w:rPr>
          <w:rFonts w:ascii="Calibri" w:hAnsi="Calibri" w:hint="eastAsia"/>
          <w:rtl/>
        </w:rPr>
        <w:t>להטיל</w:t>
      </w:r>
      <w:r w:rsidRPr="00015D26">
        <w:rPr>
          <w:rFonts w:ascii="Calibri" w:hAnsi="Calibri"/>
          <w:rtl/>
        </w:rPr>
        <w:t xml:space="preserve"> </w:t>
      </w:r>
      <w:r w:rsidRPr="00015D26">
        <w:rPr>
          <w:rFonts w:ascii="Calibri" w:hAnsi="Calibri" w:hint="eastAsia"/>
          <w:rtl/>
        </w:rPr>
        <w:t>עליו</w:t>
      </w:r>
      <w:r w:rsidRPr="00015D26">
        <w:rPr>
          <w:rFonts w:ascii="Calibri" w:hAnsi="Calibri"/>
          <w:rtl/>
        </w:rPr>
        <w:t xml:space="preserve"> </w:t>
      </w:r>
      <w:r w:rsidRPr="00015D26">
        <w:rPr>
          <w:rFonts w:ascii="Calibri" w:hAnsi="Calibri" w:hint="eastAsia"/>
          <w:rtl/>
        </w:rPr>
        <w:t>קנס</w:t>
      </w:r>
      <w:r w:rsidRPr="00015D26">
        <w:rPr>
          <w:rFonts w:ascii="Calibri" w:hAnsi="Calibri"/>
          <w:rtl/>
        </w:rPr>
        <w:t xml:space="preserve"> </w:t>
      </w:r>
      <w:r>
        <w:rPr>
          <w:rFonts w:ascii="Calibri" w:hAnsi="Calibri" w:hint="cs"/>
          <w:rtl/>
        </w:rPr>
        <w:t>משמעותי אך לא כזה שימצה עימו מלוא חומרת הדין</w:t>
      </w:r>
      <w:r w:rsidRPr="00015D26">
        <w:rPr>
          <w:rFonts w:ascii="Calibri" w:hAnsi="Calibri"/>
          <w:rtl/>
        </w:rPr>
        <w:t xml:space="preserve">. </w:t>
      </w:r>
    </w:p>
    <w:p w14:paraId="137A5D97" w14:textId="77777777" w:rsidR="00300050" w:rsidRDefault="00300050" w:rsidP="00300050">
      <w:pPr>
        <w:tabs>
          <w:tab w:val="center" w:pos="4153"/>
          <w:tab w:val="right" w:pos="8306"/>
        </w:tabs>
        <w:spacing w:line="360" w:lineRule="auto"/>
        <w:jc w:val="both"/>
        <w:rPr>
          <w:rFonts w:ascii="Calibri" w:hAnsi="Calibri"/>
          <w:rtl/>
        </w:rPr>
      </w:pPr>
    </w:p>
    <w:p w14:paraId="58651AB5" w14:textId="77777777" w:rsidR="00300050" w:rsidRPr="00015D26" w:rsidRDefault="00300050" w:rsidP="00300050">
      <w:pPr>
        <w:tabs>
          <w:tab w:val="center" w:pos="4153"/>
          <w:tab w:val="right" w:pos="8306"/>
        </w:tabs>
        <w:spacing w:line="360" w:lineRule="auto"/>
        <w:jc w:val="both"/>
        <w:rPr>
          <w:rFonts w:ascii="Calibri" w:hAnsi="Calibri"/>
          <w:rtl/>
        </w:rPr>
      </w:pPr>
      <w:r>
        <w:rPr>
          <w:rFonts w:ascii="Calibri" w:hAnsi="Calibri" w:hint="cs"/>
          <w:rtl/>
        </w:rPr>
        <w:t xml:space="preserve">לצד עונש הקנס, בשים לב לנזק המשמעותי שנגרם על ידי הנאשם לחברת החשמל שנאמד ב-100,000 ₪, שוכנעתי שיש להטיל אף פיצוי משמעותי. </w:t>
      </w:r>
    </w:p>
    <w:p w14:paraId="39BE7C14" w14:textId="77777777" w:rsidR="00300050" w:rsidRPr="00015D26" w:rsidRDefault="00300050" w:rsidP="00300050">
      <w:pPr>
        <w:tabs>
          <w:tab w:val="center" w:pos="4153"/>
          <w:tab w:val="right" w:pos="8306"/>
        </w:tabs>
        <w:spacing w:line="360" w:lineRule="auto"/>
        <w:jc w:val="both"/>
        <w:rPr>
          <w:rFonts w:ascii="Calibri" w:hAnsi="Calibri"/>
          <w:rtl/>
        </w:rPr>
      </w:pPr>
    </w:p>
    <w:p w14:paraId="5BAADB70" w14:textId="77777777" w:rsidR="00300050" w:rsidRPr="00015D26" w:rsidRDefault="00300050" w:rsidP="00300050">
      <w:pPr>
        <w:tabs>
          <w:tab w:val="center" w:pos="4153"/>
          <w:tab w:val="right" w:pos="8306"/>
        </w:tabs>
        <w:spacing w:line="360" w:lineRule="auto"/>
        <w:jc w:val="both"/>
        <w:rPr>
          <w:rFonts w:ascii="David" w:hAnsi="David"/>
          <w:b/>
          <w:bCs/>
          <w:u w:val="single"/>
          <w:rtl/>
        </w:rPr>
      </w:pPr>
      <w:r w:rsidRPr="00015D26">
        <w:rPr>
          <w:rFonts w:ascii="David" w:hAnsi="David"/>
          <w:b/>
          <w:bCs/>
          <w:rtl/>
        </w:rPr>
        <w:t>13.</w:t>
      </w:r>
      <w:r w:rsidRPr="00015D26">
        <w:rPr>
          <w:rFonts w:ascii="David" w:hAnsi="David"/>
          <w:b/>
          <w:bCs/>
          <w:u w:val="single"/>
          <w:rtl/>
        </w:rPr>
        <w:t xml:space="preserve"> סוף דבר, אני גוזרת על הנאשם את העונשים הבאים:</w:t>
      </w:r>
    </w:p>
    <w:p w14:paraId="44B13F2A" w14:textId="77777777" w:rsidR="00300050" w:rsidRPr="00015D26" w:rsidRDefault="00300050" w:rsidP="00300050">
      <w:pPr>
        <w:tabs>
          <w:tab w:val="center" w:pos="4153"/>
          <w:tab w:val="right" w:pos="8306"/>
        </w:tabs>
        <w:spacing w:line="360" w:lineRule="auto"/>
        <w:ind w:left="425"/>
        <w:jc w:val="both"/>
        <w:rPr>
          <w:rFonts w:ascii="David" w:hAnsi="David"/>
          <w:b/>
          <w:bCs/>
          <w:rtl/>
        </w:rPr>
      </w:pPr>
      <w:r w:rsidRPr="00015D26">
        <w:rPr>
          <w:rFonts w:ascii="David" w:hAnsi="David"/>
          <w:b/>
          <w:bCs/>
          <w:rtl/>
        </w:rPr>
        <w:t>א.  3</w:t>
      </w:r>
      <w:r>
        <w:rPr>
          <w:rFonts w:ascii="David" w:hAnsi="David" w:hint="cs"/>
          <w:b/>
          <w:bCs/>
          <w:rtl/>
        </w:rPr>
        <w:t>4</w:t>
      </w:r>
      <w:r w:rsidRPr="00015D26">
        <w:rPr>
          <w:rFonts w:ascii="David" w:hAnsi="David"/>
          <w:b/>
          <w:bCs/>
          <w:rtl/>
        </w:rPr>
        <w:t xml:space="preserve"> חודשי מאסר בפועל בניכוי ימי מעצרו. </w:t>
      </w:r>
    </w:p>
    <w:p w14:paraId="5ED1022D" w14:textId="77777777" w:rsidR="00300050" w:rsidRPr="00015D26" w:rsidRDefault="00300050" w:rsidP="00300050">
      <w:pPr>
        <w:tabs>
          <w:tab w:val="center" w:pos="4153"/>
          <w:tab w:val="right" w:pos="8306"/>
        </w:tabs>
        <w:spacing w:line="360" w:lineRule="auto"/>
        <w:ind w:left="425"/>
        <w:jc w:val="both"/>
        <w:rPr>
          <w:rFonts w:ascii="David" w:hAnsi="David"/>
          <w:b/>
          <w:bCs/>
          <w:rtl/>
        </w:rPr>
      </w:pPr>
      <w:r w:rsidRPr="00015D26">
        <w:rPr>
          <w:rFonts w:ascii="David" w:hAnsi="David"/>
          <w:b/>
          <w:bCs/>
          <w:rtl/>
        </w:rPr>
        <w:t>ב.  8 חודשי מאסר על תנאי למשך 3 שנים מיום שחרורו שלא יעבור</w:t>
      </w:r>
      <w:r w:rsidRPr="00015D26">
        <w:rPr>
          <w:rFonts w:ascii="Calibri" w:hAnsi="Calibri" w:cs="Arial"/>
          <w:b/>
          <w:bCs/>
          <w:sz w:val="22"/>
          <w:szCs w:val="22"/>
          <w:rtl/>
        </w:rPr>
        <w:t xml:space="preserve"> </w:t>
      </w:r>
      <w:r w:rsidRPr="00015D26">
        <w:rPr>
          <w:rFonts w:ascii="David" w:hAnsi="David"/>
          <w:b/>
          <w:bCs/>
          <w:rtl/>
        </w:rPr>
        <w:t xml:space="preserve">עבירה מסוג פשע לפי </w:t>
      </w:r>
      <w:hyperlink r:id="rId34" w:history="1">
        <w:r w:rsidR="00CA48FB" w:rsidRPr="00CA48FB">
          <w:rPr>
            <w:rFonts w:ascii="David" w:hAnsi="David"/>
            <w:b/>
            <w:bCs/>
            <w:color w:val="0000FF"/>
            <w:u w:val="single"/>
            <w:rtl/>
          </w:rPr>
          <w:t>פקודת הסמים המסוכנים</w:t>
        </w:r>
      </w:hyperlink>
      <w:r>
        <w:rPr>
          <w:rFonts w:ascii="David" w:hAnsi="David" w:hint="cs"/>
          <w:b/>
          <w:bCs/>
          <w:rtl/>
        </w:rPr>
        <w:t xml:space="preserve"> ו/או עבירה לפי </w:t>
      </w:r>
      <w:hyperlink r:id="rId35" w:history="1">
        <w:r w:rsidR="001326B5" w:rsidRPr="001326B5">
          <w:rPr>
            <w:rStyle w:val="Hyperlink"/>
            <w:rFonts w:ascii="David" w:hAnsi="David" w:hint="eastAsia"/>
            <w:b/>
            <w:bCs/>
            <w:rtl/>
          </w:rPr>
          <w:t>סעיף</w:t>
        </w:r>
        <w:r w:rsidR="001326B5" w:rsidRPr="001326B5">
          <w:rPr>
            <w:rStyle w:val="Hyperlink"/>
            <w:rFonts w:ascii="David" w:hAnsi="David"/>
            <w:b/>
            <w:bCs/>
            <w:rtl/>
          </w:rPr>
          <w:t xml:space="preserve"> 400</w:t>
        </w:r>
      </w:hyperlink>
      <w:r>
        <w:rPr>
          <w:rFonts w:ascii="David" w:hAnsi="David" w:hint="cs"/>
          <w:b/>
          <w:bCs/>
          <w:rtl/>
        </w:rPr>
        <w:t xml:space="preserve"> ל</w:t>
      </w:r>
      <w:hyperlink r:id="rId36" w:history="1">
        <w:r w:rsidR="00CA48FB" w:rsidRPr="00CA48FB">
          <w:rPr>
            <w:rFonts w:ascii="David" w:hAnsi="David"/>
            <w:b/>
            <w:bCs/>
            <w:color w:val="0000FF"/>
            <w:u w:val="single"/>
            <w:rtl/>
          </w:rPr>
          <w:t>חוק העונשין</w:t>
        </w:r>
      </w:hyperlink>
      <w:r w:rsidRPr="00015D26">
        <w:rPr>
          <w:rFonts w:ascii="David" w:hAnsi="David"/>
          <w:b/>
          <w:bCs/>
          <w:rtl/>
        </w:rPr>
        <w:t>.</w:t>
      </w:r>
    </w:p>
    <w:p w14:paraId="134D62F9" w14:textId="77777777" w:rsidR="00300050" w:rsidRDefault="00300050" w:rsidP="00300050">
      <w:pPr>
        <w:tabs>
          <w:tab w:val="center" w:pos="4153"/>
          <w:tab w:val="right" w:pos="8306"/>
        </w:tabs>
        <w:spacing w:line="360" w:lineRule="auto"/>
        <w:ind w:left="425"/>
        <w:jc w:val="both"/>
        <w:rPr>
          <w:rFonts w:ascii="David" w:hAnsi="David"/>
          <w:b/>
          <w:bCs/>
          <w:rtl/>
        </w:rPr>
      </w:pPr>
      <w:r w:rsidRPr="00132716">
        <w:rPr>
          <w:rFonts w:ascii="David" w:hAnsi="David" w:hint="cs"/>
          <w:b/>
          <w:bCs/>
          <w:rtl/>
        </w:rPr>
        <w:t>ג</w:t>
      </w:r>
      <w:r w:rsidRPr="00132716">
        <w:rPr>
          <w:rFonts w:ascii="David" w:hAnsi="David"/>
          <w:b/>
          <w:bCs/>
          <w:rtl/>
        </w:rPr>
        <w:t xml:space="preserve">.  </w:t>
      </w:r>
      <w:r w:rsidRPr="00132716">
        <w:rPr>
          <w:rFonts w:ascii="David" w:hAnsi="David" w:hint="cs"/>
          <w:b/>
          <w:bCs/>
          <w:rtl/>
        </w:rPr>
        <w:t>25,000</w:t>
      </w:r>
      <w:r w:rsidRPr="00132716">
        <w:rPr>
          <w:rFonts w:ascii="David" w:hAnsi="David"/>
          <w:b/>
          <w:bCs/>
          <w:rtl/>
        </w:rPr>
        <w:t xml:space="preserve"> ₪ פיצוי לחברת החשמל</w:t>
      </w:r>
      <w:r w:rsidRPr="00132716">
        <w:rPr>
          <w:rFonts w:ascii="David" w:hAnsi="David" w:hint="cs"/>
          <w:b/>
          <w:bCs/>
          <w:rtl/>
        </w:rPr>
        <w:t>.</w:t>
      </w:r>
      <w:r w:rsidRPr="00015D26">
        <w:rPr>
          <w:rFonts w:ascii="David" w:hAnsi="David"/>
          <w:b/>
          <w:bCs/>
          <w:rtl/>
        </w:rPr>
        <w:t xml:space="preserve"> </w:t>
      </w:r>
    </w:p>
    <w:p w14:paraId="1ADAB025" w14:textId="77777777" w:rsidR="00300050" w:rsidRPr="00310A1E" w:rsidRDefault="00300050" w:rsidP="00300050">
      <w:pPr>
        <w:tabs>
          <w:tab w:val="center" w:pos="4153"/>
          <w:tab w:val="right" w:pos="8306"/>
        </w:tabs>
        <w:spacing w:line="360" w:lineRule="auto"/>
        <w:ind w:left="425"/>
        <w:jc w:val="both"/>
        <w:rPr>
          <w:rFonts w:ascii="David" w:hAnsi="David"/>
          <w:rtl/>
        </w:rPr>
      </w:pPr>
      <w:r w:rsidRPr="00310A1E">
        <w:rPr>
          <w:rFonts w:ascii="David" w:hAnsi="David" w:hint="cs"/>
          <w:rtl/>
        </w:rPr>
        <w:t xml:space="preserve">המאשימה תגיש טופס פרטי ניזוק תוך 14 יום. </w:t>
      </w:r>
    </w:p>
    <w:p w14:paraId="52A42C12" w14:textId="77777777" w:rsidR="00300050" w:rsidRPr="00310A1E" w:rsidRDefault="00300050" w:rsidP="00300050">
      <w:pPr>
        <w:tabs>
          <w:tab w:val="center" w:pos="4153"/>
          <w:tab w:val="right" w:pos="8306"/>
        </w:tabs>
        <w:spacing w:line="360" w:lineRule="auto"/>
        <w:ind w:left="425"/>
        <w:jc w:val="both"/>
        <w:rPr>
          <w:rFonts w:ascii="David" w:hAnsi="David"/>
        </w:rPr>
      </w:pPr>
      <w:r w:rsidRPr="00310A1E">
        <w:rPr>
          <w:rFonts w:ascii="David" w:hAnsi="David"/>
          <w:rtl/>
        </w:rPr>
        <w:t>הפיצוי ישולם ב</w:t>
      </w:r>
      <w:r w:rsidRPr="00310A1E">
        <w:rPr>
          <w:rFonts w:ascii="David" w:hAnsi="David" w:hint="cs"/>
          <w:rtl/>
        </w:rPr>
        <w:t>- 5</w:t>
      </w:r>
      <w:r w:rsidRPr="00310A1E">
        <w:rPr>
          <w:rFonts w:ascii="David" w:hAnsi="David"/>
          <w:rtl/>
        </w:rPr>
        <w:t xml:space="preserve"> תשלומים חודשיים שווים ורצופים החל מיום</w:t>
      </w:r>
      <w:r w:rsidRPr="00310A1E">
        <w:rPr>
          <w:rFonts w:ascii="David" w:hAnsi="David" w:hint="cs"/>
          <w:rtl/>
        </w:rPr>
        <w:t xml:space="preserve"> 01/01/23. </w:t>
      </w:r>
    </w:p>
    <w:p w14:paraId="7F3B83F4" w14:textId="77777777" w:rsidR="00300050" w:rsidRPr="00015D26" w:rsidRDefault="00300050" w:rsidP="00300050">
      <w:pPr>
        <w:tabs>
          <w:tab w:val="center" w:pos="4153"/>
          <w:tab w:val="right" w:pos="8306"/>
        </w:tabs>
        <w:spacing w:line="360" w:lineRule="auto"/>
        <w:ind w:left="425"/>
        <w:jc w:val="both"/>
        <w:rPr>
          <w:rFonts w:ascii="David" w:hAnsi="David"/>
          <w:b/>
          <w:bCs/>
          <w:rtl/>
        </w:rPr>
      </w:pPr>
      <w:r>
        <w:rPr>
          <w:rFonts w:ascii="David" w:hAnsi="David" w:hint="cs"/>
          <w:b/>
          <w:bCs/>
          <w:rtl/>
        </w:rPr>
        <w:t>ד</w:t>
      </w:r>
      <w:r w:rsidRPr="00015D26">
        <w:rPr>
          <w:rFonts w:ascii="David" w:hAnsi="David"/>
          <w:b/>
          <w:bCs/>
          <w:rtl/>
        </w:rPr>
        <w:t xml:space="preserve">. קנס בסך </w:t>
      </w:r>
      <w:r>
        <w:rPr>
          <w:rFonts w:ascii="David" w:hAnsi="David" w:hint="cs"/>
          <w:b/>
          <w:bCs/>
          <w:rtl/>
        </w:rPr>
        <w:t>20,000</w:t>
      </w:r>
      <w:r w:rsidRPr="00015D26">
        <w:rPr>
          <w:rFonts w:ascii="David" w:hAnsi="David"/>
          <w:b/>
          <w:bCs/>
          <w:rtl/>
        </w:rPr>
        <w:t xml:space="preserve"> ₪ או </w:t>
      </w:r>
      <w:r>
        <w:rPr>
          <w:rFonts w:ascii="David" w:hAnsi="David" w:hint="cs"/>
          <w:b/>
          <w:bCs/>
          <w:rtl/>
        </w:rPr>
        <w:t>60</w:t>
      </w:r>
      <w:r w:rsidRPr="00015D26">
        <w:rPr>
          <w:rFonts w:ascii="David" w:hAnsi="David"/>
          <w:b/>
          <w:bCs/>
          <w:rtl/>
        </w:rPr>
        <w:t xml:space="preserve"> ימי מאסר תמורת הקנס. </w:t>
      </w:r>
    </w:p>
    <w:p w14:paraId="29422A8B" w14:textId="77777777" w:rsidR="00300050" w:rsidRPr="00310A1E" w:rsidRDefault="00300050" w:rsidP="00300050">
      <w:pPr>
        <w:tabs>
          <w:tab w:val="center" w:pos="4153"/>
          <w:tab w:val="right" w:pos="8306"/>
        </w:tabs>
        <w:spacing w:line="360" w:lineRule="auto"/>
        <w:ind w:left="425"/>
        <w:jc w:val="both"/>
        <w:rPr>
          <w:rFonts w:ascii="David" w:hAnsi="David"/>
          <w:rtl/>
        </w:rPr>
      </w:pPr>
      <w:r w:rsidRPr="00310A1E">
        <w:rPr>
          <w:rFonts w:ascii="David" w:hAnsi="David"/>
          <w:rtl/>
        </w:rPr>
        <w:t xml:space="preserve">הקנס ישולם </w:t>
      </w:r>
      <w:r w:rsidRPr="00310A1E">
        <w:rPr>
          <w:rFonts w:ascii="David" w:hAnsi="David" w:hint="cs"/>
          <w:rtl/>
        </w:rPr>
        <w:t xml:space="preserve">ב- 4 תשלומים חודשיים שווים ורצופים. תשלום ראשון מיום 01/06/23. </w:t>
      </w:r>
    </w:p>
    <w:p w14:paraId="6A66D68F" w14:textId="77777777" w:rsidR="00300050" w:rsidRPr="00015D26" w:rsidRDefault="00300050" w:rsidP="00300050">
      <w:pPr>
        <w:spacing w:line="360" w:lineRule="auto"/>
        <w:ind w:left="425"/>
        <w:jc w:val="both"/>
        <w:rPr>
          <w:rFonts w:ascii="David" w:hAnsi="David"/>
          <w:b/>
          <w:bCs/>
        </w:rPr>
      </w:pPr>
      <w:r>
        <w:rPr>
          <w:rFonts w:ascii="David" w:hAnsi="David" w:hint="cs"/>
          <w:b/>
          <w:bCs/>
          <w:rtl/>
        </w:rPr>
        <w:t>ה</w:t>
      </w:r>
      <w:r w:rsidRPr="00015D26">
        <w:rPr>
          <w:rFonts w:ascii="David" w:hAnsi="David"/>
          <w:b/>
          <w:bCs/>
          <w:rtl/>
        </w:rPr>
        <w:t xml:space="preserve">. 6 חודשי פסילה על תנאי למשך 3 שנים מיום שחרורו שלא יעבור שוב עבירה לפי </w:t>
      </w:r>
      <w:hyperlink r:id="rId37" w:history="1">
        <w:r w:rsidR="00CA48FB" w:rsidRPr="00CA48FB">
          <w:rPr>
            <w:rFonts w:ascii="David" w:hAnsi="David"/>
            <w:b/>
            <w:bCs/>
            <w:color w:val="0000FF"/>
            <w:u w:val="single"/>
            <w:rtl/>
          </w:rPr>
          <w:t>פקודת הסמים המסוכנים</w:t>
        </w:r>
      </w:hyperlink>
      <w:r w:rsidRPr="00015D26">
        <w:rPr>
          <w:rFonts w:ascii="David" w:hAnsi="David"/>
          <w:b/>
          <w:bCs/>
          <w:rtl/>
        </w:rPr>
        <w:t>.</w:t>
      </w:r>
    </w:p>
    <w:p w14:paraId="06421168" w14:textId="77777777" w:rsidR="00300050" w:rsidRDefault="00300050" w:rsidP="00300050">
      <w:pPr>
        <w:tabs>
          <w:tab w:val="center" w:pos="4153"/>
          <w:tab w:val="right" w:pos="8306"/>
        </w:tabs>
        <w:spacing w:line="360" w:lineRule="auto"/>
        <w:jc w:val="both"/>
        <w:rPr>
          <w:rFonts w:ascii="David" w:hAnsi="David"/>
          <w:b/>
          <w:bCs/>
          <w:rtl/>
        </w:rPr>
      </w:pPr>
    </w:p>
    <w:p w14:paraId="2FA27403" w14:textId="77777777" w:rsidR="00300050" w:rsidRPr="00015D26" w:rsidRDefault="00300050" w:rsidP="00300050">
      <w:pPr>
        <w:tabs>
          <w:tab w:val="center" w:pos="4153"/>
          <w:tab w:val="right" w:pos="8306"/>
        </w:tabs>
        <w:spacing w:line="360" w:lineRule="auto"/>
        <w:jc w:val="both"/>
        <w:rPr>
          <w:rFonts w:ascii="David" w:hAnsi="David"/>
          <w:b/>
          <w:bCs/>
          <w:rtl/>
        </w:rPr>
      </w:pPr>
      <w:r>
        <w:rPr>
          <w:rFonts w:ascii="David" w:hAnsi="David" w:hint="cs"/>
          <w:b/>
          <w:bCs/>
          <w:rtl/>
        </w:rPr>
        <w:t xml:space="preserve">לאור עתירת המאשימה, בהעדר התנגדות מטעם ההגנה, אני מכריזה על הנאשם כ"סוחר סמים" ומורה על חילוט הרכוש המפורט בסיפא לכתב האישום. </w:t>
      </w:r>
    </w:p>
    <w:p w14:paraId="06495788" w14:textId="77777777" w:rsidR="00300050" w:rsidRDefault="00300050" w:rsidP="00300050">
      <w:pPr>
        <w:spacing w:line="360" w:lineRule="auto"/>
        <w:jc w:val="both"/>
        <w:rPr>
          <w:rFonts w:ascii="David" w:hAnsi="David"/>
          <w:rtl/>
        </w:rPr>
      </w:pPr>
    </w:p>
    <w:p w14:paraId="46AFB7F9" w14:textId="77777777" w:rsidR="00300050" w:rsidRPr="00310A1E" w:rsidRDefault="00CA48FB" w:rsidP="00300050">
      <w:pPr>
        <w:spacing w:line="360" w:lineRule="auto"/>
        <w:jc w:val="both"/>
        <w:rPr>
          <w:rFonts w:ascii="David" w:hAnsi="David"/>
          <w:rtl/>
        </w:rPr>
      </w:pPr>
      <w:r w:rsidRPr="00CA48FB">
        <w:rPr>
          <w:rFonts w:ascii="David" w:hAnsi="David"/>
          <w:color w:val="FFFFFF"/>
          <w:sz w:val="2"/>
          <w:szCs w:val="2"/>
          <w:rtl/>
        </w:rPr>
        <w:t>5129371</w:t>
      </w:r>
      <w:r w:rsidR="00300050" w:rsidRPr="00310A1E">
        <w:rPr>
          <w:rFonts w:ascii="David" w:hAnsi="David"/>
          <w:rtl/>
        </w:rPr>
        <w:t xml:space="preserve">הסם יושמד. </w:t>
      </w:r>
    </w:p>
    <w:p w14:paraId="5E31B4CE" w14:textId="77777777" w:rsidR="00300050" w:rsidRPr="00015D26" w:rsidRDefault="00CA48FB" w:rsidP="00300050">
      <w:pPr>
        <w:tabs>
          <w:tab w:val="center" w:pos="4153"/>
          <w:tab w:val="right" w:pos="8306"/>
        </w:tabs>
        <w:spacing w:line="360" w:lineRule="auto"/>
        <w:jc w:val="both"/>
        <w:rPr>
          <w:rFonts w:ascii="David" w:hAnsi="David"/>
          <w:b/>
          <w:bCs/>
          <w:rtl/>
        </w:rPr>
      </w:pPr>
      <w:r w:rsidRPr="00CA48FB">
        <w:rPr>
          <w:rFonts w:ascii="David" w:hAnsi="David"/>
          <w:b/>
          <w:bCs/>
          <w:color w:val="FFFFFF"/>
          <w:sz w:val="2"/>
          <w:szCs w:val="2"/>
          <w:rtl/>
        </w:rPr>
        <w:t>54678313</w:t>
      </w:r>
      <w:r w:rsidR="00300050" w:rsidRPr="00015D26">
        <w:rPr>
          <w:rFonts w:ascii="David" w:hAnsi="David"/>
          <w:b/>
          <w:bCs/>
          <w:rtl/>
        </w:rPr>
        <w:t>זכות ערעור תוך 45 יום לבית המשפט העליון.</w:t>
      </w:r>
    </w:p>
    <w:p w14:paraId="33F22B83" w14:textId="77777777" w:rsidR="00300050" w:rsidRPr="000F2247" w:rsidRDefault="00300050" w:rsidP="00300050">
      <w:pPr>
        <w:rPr>
          <w:rFonts w:ascii="Arial" w:hAnsi="Arial"/>
          <w:b/>
          <w:bCs/>
          <w:sz w:val="26"/>
          <w:szCs w:val="26"/>
          <w:rtl/>
        </w:rPr>
      </w:pPr>
    </w:p>
    <w:p w14:paraId="6C7C10E9" w14:textId="77777777" w:rsidR="00300050" w:rsidRPr="000F2247" w:rsidRDefault="00CA48FB" w:rsidP="00300050">
      <w:pPr>
        <w:rPr>
          <w:rFonts w:ascii="Arial" w:hAnsi="Arial"/>
          <w:b/>
          <w:bCs/>
          <w:sz w:val="26"/>
          <w:szCs w:val="26"/>
          <w:rtl/>
        </w:rPr>
      </w:pPr>
      <w:bookmarkStart w:id="8" w:name="Nitan"/>
      <w:r>
        <w:rPr>
          <w:rFonts w:ascii="Arial" w:hAnsi="Arial"/>
          <w:b/>
          <w:bCs/>
          <w:sz w:val="26"/>
          <w:szCs w:val="26"/>
          <w:rtl/>
        </w:rPr>
        <w:t xml:space="preserve">ניתן היום,  כ"ז סיוון תשפ"ב, 26 יוני 2022, בהעדר הצדדים. </w:t>
      </w:r>
      <w:bookmarkEnd w:id="8"/>
    </w:p>
    <w:p w14:paraId="6EA1B00E" w14:textId="77777777" w:rsidR="00300050" w:rsidRPr="000F2247" w:rsidRDefault="00300050" w:rsidP="00CA48F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BEBFB34" w14:textId="77777777" w:rsidR="00300050" w:rsidRPr="001326B5" w:rsidRDefault="001326B5" w:rsidP="00300050">
      <w:pPr>
        <w:jc w:val="center"/>
        <w:rPr>
          <w:rFonts w:ascii="Arial" w:hAnsi="Arial"/>
          <w:b/>
          <w:bCs/>
          <w:color w:val="FFFFFF"/>
          <w:sz w:val="2"/>
          <w:szCs w:val="2"/>
          <w:rtl/>
        </w:rPr>
      </w:pPr>
      <w:r w:rsidRPr="001326B5">
        <w:rPr>
          <w:rFonts w:ascii="Arial" w:hAnsi="Arial"/>
          <w:b/>
          <w:bCs/>
          <w:color w:val="FFFFFF"/>
          <w:sz w:val="2"/>
          <w:szCs w:val="2"/>
          <w:rtl/>
        </w:rPr>
        <w:t>5129371</w:t>
      </w:r>
    </w:p>
    <w:p w14:paraId="3710C5F2" w14:textId="77777777" w:rsidR="00FD3706" w:rsidRPr="001326B5" w:rsidRDefault="001326B5" w:rsidP="00CA48FB">
      <w:pPr>
        <w:keepNext/>
        <w:rPr>
          <w:rFonts w:ascii="David" w:hAnsi="David"/>
          <w:color w:val="FFFFFF"/>
          <w:sz w:val="2"/>
          <w:szCs w:val="2"/>
          <w:rtl/>
        </w:rPr>
      </w:pPr>
      <w:r w:rsidRPr="001326B5">
        <w:rPr>
          <w:rFonts w:ascii="David" w:hAnsi="David"/>
          <w:color w:val="FFFFFF"/>
          <w:sz w:val="2"/>
          <w:szCs w:val="2"/>
          <w:rtl/>
        </w:rPr>
        <w:t>54678313</w:t>
      </w:r>
    </w:p>
    <w:p w14:paraId="19869667" w14:textId="77777777" w:rsidR="00CA48FB" w:rsidRDefault="00CA48FB" w:rsidP="00CA48FB">
      <w:pPr>
        <w:rPr>
          <w:rtl/>
        </w:rPr>
      </w:pPr>
    </w:p>
    <w:p w14:paraId="5B44BDD1" w14:textId="77777777" w:rsidR="00CA48FB" w:rsidRDefault="00CA48FB" w:rsidP="00CA48F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732D0F1" w14:textId="77777777" w:rsidR="001326B5" w:rsidRPr="001326B5" w:rsidRDefault="001326B5" w:rsidP="001326B5">
      <w:pPr>
        <w:keepNext/>
        <w:rPr>
          <w:rFonts w:ascii="David" w:hAnsi="David"/>
          <w:color w:val="000000"/>
          <w:sz w:val="22"/>
          <w:szCs w:val="22"/>
          <w:rtl/>
        </w:rPr>
      </w:pPr>
    </w:p>
    <w:p w14:paraId="73869B78" w14:textId="77777777" w:rsidR="001326B5" w:rsidRPr="001326B5" w:rsidRDefault="001326B5" w:rsidP="001326B5">
      <w:pPr>
        <w:keepNext/>
        <w:rPr>
          <w:rFonts w:ascii="David" w:hAnsi="David"/>
          <w:color w:val="000000"/>
          <w:sz w:val="22"/>
          <w:szCs w:val="22"/>
          <w:rtl/>
        </w:rPr>
      </w:pPr>
      <w:r w:rsidRPr="001326B5">
        <w:rPr>
          <w:rFonts w:ascii="David" w:hAnsi="David"/>
          <w:color w:val="000000"/>
          <w:sz w:val="22"/>
          <w:szCs w:val="22"/>
          <w:rtl/>
        </w:rPr>
        <w:t>טל לחיאני שהם 54678313-/</w:t>
      </w:r>
    </w:p>
    <w:p w14:paraId="0E07366B" w14:textId="77777777" w:rsidR="00CA48FB" w:rsidRPr="00CA48FB" w:rsidRDefault="001326B5" w:rsidP="001326B5">
      <w:pPr>
        <w:rPr>
          <w:color w:val="0000FF"/>
          <w:u w:val="single"/>
        </w:rPr>
      </w:pPr>
      <w:r w:rsidRPr="001326B5">
        <w:rPr>
          <w:color w:val="000000"/>
          <w:u w:val="single"/>
          <w:rtl/>
        </w:rPr>
        <w:t>נוסח מסמך זה כפוף לשינויי ניסוח ועריכה</w:t>
      </w:r>
    </w:p>
    <w:sectPr w:rsidR="00CA48FB" w:rsidRPr="00CA48FB" w:rsidSect="001326B5">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52F0F" w14:textId="77777777" w:rsidR="00F3653C" w:rsidRDefault="00F3653C" w:rsidP="008D09C9">
      <w:r>
        <w:separator/>
      </w:r>
    </w:p>
  </w:endnote>
  <w:endnote w:type="continuationSeparator" w:id="0">
    <w:p w14:paraId="050A3261" w14:textId="77777777" w:rsidR="00F3653C" w:rsidRDefault="00F3653C" w:rsidP="008D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D7B62" w14:textId="77777777" w:rsidR="001326B5" w:rsidRDefault="001326B5" w:rsidP="001326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832C4E" w14:textId="77777777" w:rsidR="00D15DF2" w:rsidRPr="001326B5" w:rsidRDefault="001326B5" w:rsidP="001326B5">
    <w:pPr>
      <w:pStyle w:val="a5"/>
      <w:pBdr>
        <w:top w:val="single" w:sz="4" w:space="1" w:color="auto"/>
        <w:between w:val="single" w:sz="4" w:space="0" w:color="auto"/>
      </w:pBdr>
      <w:spacing w:after="60"/>
      <w:jc w:val="center"/>
      <w:rPr>
        <w:rFonts w:ascii="FrankRuehl" w:hAnsi="FrankRuehl" w:cs="FrankRuehl"/>
        <w:color w:val="000000"/>
      </w:rPr>
    </w:pPr>
    <w:r w:rsidRPr="001326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7484E" w14:textId="77777777" w:rsidR="001326B5" w:rsidRDefault="001326B5" w:rsidP="001326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737D">
      <w:rPr>
        <w:rFonts w:ascii="FrankRuehl" w:hAnsi="FrankRuehl" w:cs="FrankRuehl"/>
        <w:noProof/>
        <w:rtl/>
      </w:rPr>
      <w:t>1</w:t>
    </w:r>
    <w:r>
      <w:rPr>
        <w:rFonts w:ascii="FrankRuehl" w:hAnsi="FrankRuehl" w:cs="FrankRuehl"/>
        <w:rtl/>
      </w:rPr>
      <w:fldChar w:fldCharType="end"/>
    </w:r>
  </w:p>
  <w:p w14:paraId="1BADDCF6" w14:textId="77777777" w:rsidR="00D15DF2" w:rsidRPr="001326B5" w:rsidRDefault="001326B5" w:rsidP="001326B5">
    <w:pPr>
      <w:pStyle w:val="a5"/>
      <w:pBdr>
        <w:top w:val="single" w:sz="4" w:space="1" w:color="auto"/>
        <w:between w:val="single" w:sz="4" w:space="0" w:color="auto"/>
      </w:pBdr>
      <w:spacing w:after="60"/>
      <w:jc w:val="center"/>
      <w:rPr>
        <w:rFonts w:ascii="FrankRuehl" w:hAnsi="FrankRuehl" w:cs="FrankRuehl"/>
        <w:color w:val="000000"/>
      </w:rPr>
    </w:pPr>
    <w:r w:rsidRPr="001326B5">
      <w:rPr>
        <w:rFonts w:ascii="FrankRuehl" w:hAnsi="FrankRuehl" w:cs="FrankRuehl"/>
        <w:color w:val="000000"/>
      </w:rPr>
      <w:pict w14:anchorId="429F9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D40A8" w14:textId="77777777" w:rsidR="00F3653C" w:rsidRDefault="00F3653C" w:rsidP="008D09C9">
      <w:r>
        <w:separator/>
      </w:r>
    </w:p>
  </w:footnote>
  <w:footnote w:type="continuationSeparator" w:id="0">
    <w:p w14:paraId="5B47EF14" w14:textId="77777777" w:rsidR="00F3653C" w:rsidRDefault="00F3653C" w:rsidP="008D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677B8" w14:textId="77777777" w:rsidR="00CA48FB" w:rsidRPr="001326B5" w:rsidRDefault="001326B5" w:rsidP="001326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34197-11-21</w:t>
    </w:r>
    <w:r>
      <w:rPr>
        <w:rFonts w:ascii="David" w:hAnsi="David"/>
        <w:color w:val="000000"/>
        <w:sz w:val="22"/>
        <w:szCs w:val="22"/>
        <w:rtl/>
      </w:rPr>
      <w:tab/>
      <w:t xml:space="preserve"> מדינת ישראל נ' אלכסנדר קופיטמן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3B536" w14:textId="77777777" w:rsidR="00CA48FB" w:rsidRPr="001326B5" w:rsidRDefault="001326B5" w:rsidP="001326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34197-11-21</w:t>
    </w:r>
    <w:r>
      <w:rPr>
        <w:rFonts w:ascii="David" w:hAnsi="David"/>
        <w:color w:val="000000"/>
        <w:sz w:val="22"/>
        <w:szCs w:val="22"/>
        <w:rtl/>
      </w:rPr>
      <w:tab/>
      <w:t xml:space="preserve"> מדינת ישראל נ' אלכסנדר קופיטמן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0050"/>
    <w:rsid w:val="001326B5"/>
    <w:rsid w:val="001B5A3B"/>
    <w:rsid w:val="002875BE"/>
    <w:rsid w:val="00300050"/>
    <w:rsid w:val="00597740"/>
    <w:rsid w:val="008C30A9"/>
    <w:rsid w:val="008D09C9"/>
    <w:rsid w:val="008D0EA7"/>
    <w:rsid w:val="009726F0"/>
    <w:rsid w:val="00CA48FB"/>
    <w:rsid w:val="00D15DF2"/>
    <w:rsid w:val="00D27B37"/>
    <w:rsid w:val="00DA737D"/>
    <w:rsid w:val="00F3653C"/>
    <w:rsid w:val="00F540CF"/>
    <w:rsid w:val="00FD37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7EB2C2"/>
  <w15:chartTrackingRefBased/>
  <w15:docId w15:val="{2E224738-874A-4FB0-BE23-3C0DD279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005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0050"/>
    <w:pPr>
      <w:tabs>
        <w:tab w:val="center" w:pos="4153"/>
        <w:tab w:val="right" w:pos="8306"/>
      </w:tabs>
    </w:pPr>
  </w:style>
  <w:style w:type="character" w:customStyle="1" w:styleId="a4">
    <w:name w:val="כותרת עליונה תו"/>
    <w:link w:val="a3"/>
    <w:rsid w:val="00300050"/>
    <w:rPr>
      <w:rFonts w:ascii="Times New Roman" w:eastAsia="Times New Roman" w:hAnsi="Times New Roman" w:cs="David"/>
      <w:sz w:val="24"/>
      <w:szCs w:val="24"/>
    </w:rPr>
  </w:style>
  <w:style w:type="paragraph" w:styleId="a5">
    <w:name w:val="footer"/>
    <w:basedOn w:val="a"/>
    <w:link w:val="a6"/>
    <w:rsid w:val="00300050"/>
    <w:pPr>
      <w:tabs>
        <w:tab w:val="center" w:pos="4153"/>
        <w:tab w:val="right" w:pos="8306"/>
      </w:tabs>
    </w:pPr>
  </w:style>
  <w:style w:type="character" w:customStyle="1" w:styleId="a6">
    <w:name w:val="כותרת תחתונה תו"/>
    <w:link w:val="a5"/>
    <w:rsid w:val="00300050"/>
    <w:rPr>
      <w:rFonts w:ascii="Times New Roman" w:eastAsia="Times New Roman" w:hAnsi="Times New Roman" w:cs="David"/>
      <w:sz w:val="24"/>
      <w:szCs w:val="24"/>
    </w:rPr>
  </w:style>
  <w:style w:type="table" w:styleId="a7">
    <w:name w:val="Table Grid"/>
    <w:basedOn w:val="a1"/>
    <w:rsid w:val="0030005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0050"/>
  </w:style>
  <w:style w:type="character" w:styleId="Hyperlink">
    <w:name w:val="Hyperlink"/>
    <w:rsid w:val="00CA4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8226828" TargetMode="External"/><Relationship Id="rId26" Type="http://schemas.openxmlformats.org/officeDocument/2006/relationships/hyperlink" Target="http://www.nevo.co.il/case/24929127" TargetMode="External"/><Relationship Id="rId39" Type="http://schemas.openxmlformats.org/officeDocument/2006/relationships/header" Target="header1.xml"/><Relationship Id="rId21" Type="http://schemas.openxmlformats.org/officeDocument/2006/relationships/hyperlink" Target="http://www.nevo.co.il/case/26991436" TargetMode="External"/><Relationship Id="rId34" Type="http://schemas.openxmlformats.org/officeDocument/2006/relationships/hyperlink" Target="http://www.nevo.co.il/law/4216" TargetMode="External"/><Relationship Id="rId42" Type="http://schemas.openxmlformats.org/officeDocument/2006/relationships/footer" Target="footer2.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6797877" TargetMode="External"/><Relationship Id="rId29" Type="http://schemas.openxmlformats.org/officeDocument/2006/relationships/hyperlink" Target="http://www.nevo.co.il/case/27101745"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case/26789718" TargetMode="External"/><Relationship Id="rId32" Type="http://schemas.openxmlformats.org/officeDocument/2006/relationships/hyperlink" Target="http://www.nevo.co.il/case/22326873"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case/27279049" TargetMode="External"/><Relationship Id="rId28" Type="http://schemas.openxmlformats.org/officeDocument/2006/relationships/hyperlink" Target="http://www.nevo.co.il/case/2164413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0"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5022712"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c.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27139044" TargetMode="External"/><Relationship Id="rId35" Type="http://schemas.openxmlformats.org/officeDocument/2006/relationships/hyperlink" Target="http://www.nevo.co.il/law/70301/400"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case/21477662" TargetMode="External"/><Relationship Id="rId25" Type="http://schemas.openxmlformats.org/officeDocument/2006/relationships/hyperlink" Target="http://www.nevo.co.il/case/26418332" TargetMode="External"/><Relationship Id="rId33" Type="http://schemas.openxmlformats.org/officeDocument/2006/relationships/hyperlink" Target="http://www.nevo.co.il/case/26797877"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3578</Words>
  <Characters>17892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21428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http://www.nevo.co.il/law/70301/400</vt:lpwstr>
      </vt:variant>
      <vt:variant>
        <vt:lpwstr/>
      </vt:variant>
      <vt:variant>
        <vt:i4>8257637</vt:i4>
      </vt:variant>
      <vt:variant>
        <vt:i4>84</vt:i4>
      </vt:variant>
      <vt:variant>
        <vt:i4>0</vt:i4>
      </vt:variant>
      <vt:variant>
        <vt:i4>5</vt:i4>
      </vt:variant>
      <vt:variant>
        <vt:lpwstr>http://www.nevo.co.il/law/4216</vt:lpwstr>
      </vt:variant>
      <vt:variant>
        <vt:lpwstr/>
      </vt:variant>
      <vt:variant>
        <vt:i4>3473523</vt:i4>
      </vt:variant>
      <vt:variant>
        <vt:i4>81</vt:i4>
      </vt:variant>
      <vt:variant>
        <vt:i4>0</vt:i4>
      </vt:variant>
      <vt:variant>
        <vt:i4>5</vt:i4>
      </vt:variant>
      <vt:variant>
        <vt:lpwstr>http://www.nevo.co.il/case/26797877</vt:lpwstr>
      </vt:variant>
      <vt:variant>
        <vt:lpwstr/>
      </vt:variant>
      <vt:variant>
        <vt:i4>3145852</vt:i4>
      </vt:variant>
      <vt:variant>
        <vt:i4>78</vt:i4>
      </vt:variant>
      <vt:variant>
        <vt:i4>0</vt:i4>
      </vt:variant>
      <vt:variant>
        <vt:i4>5</vt:i4>
      </vt:variant>
      <vt:variant>
        <vt:lpwstr>http://www.nevo.co.il/case/22326873</vt:lpwstr>
      </vt:variant>
      <vt:variant>
        <vt:lpwstr/>
      </vt:variant>
      <vt:variant>
        <vt:i4>3211380</vt:i4>
      </vt:variant>
      <vt:variant>
        <vt:i4>75</vt:i4>
      </vt:variant>
      <vt:variant>
        <vt:i4>0</vt:i4>
      </vt:variant>
      <vt:variant>
        <vt:i4>5</vt:i4>
      </vt:variant>
      <vt:variant>
        <vt:lpwstr>http://www.nevo.co.il/case/25022712</vt:lpwstr>
      </vt:variant>
      <vt:variant>
        <vt:lpwstr/>
      </vt:variant>
      <vt:variant>
        <vt:i4>4063344</vt:i4>
      </vt:variant>
      <vt:variant>
        <vt:i4>72</vt:i4>
      </vt:variant>
      <vt:variant>
        <vt:i4>0</vt:i4>
      </vt:variant>
      <vt:variant>
        <vt:i4>5</vt:i4>
      </vt:variant>
      <vt:variant>
        <vt:lpwstr>http://www.nevo.co.il/case/27139044</vt:lpwstr>
      </vt:variant>
      <vt:variant>
        <vt:lpwstr/>
      </vt:variant>
      <vt:variant>
        <vt:i4>3539060</vt:i4>
      </vt:variant>
      <vt:variant>
        <vt:i4>69</vt:i4>
      </vt:variant>
      <vt:variant>
        <vt:i4>0</vt:i4>
      </vt:variant>
      <vt:variant>
        <vt:i4>5</vt:i4>
      </vt:variant>
      <vt:variant>
        <vt:lpwstr>http://www.nevo.co.il/case/27101745</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3997811</vt:i4>
      </vt:variant>
      <vt:variant>
        <vt:i4>63</vt:i4>
      </vt:variant>
      <vt:variant>
        <vt:i4>0</vt:i4>
      </vt:variant>
      <vt:variant>
        <vt:i4>5</vt:i4>
      </vt:variant>
      <vt:variant>
        <vt:lpwstr>http://www.nevo.co.il/case/23827604</vt:lpwstr>
      </vt:variant>
      <vt:variant>
        <vt:lpwstr/>
      </vt:variant>
      <vt:variant>
        <vt:i4>3145843</vt:i4>
      </vt:variant>
      <vt:variant>
        <vt:i4>60</vt:i4>
      </vt:variant>
      <vt:variant>
        <vt:i4>0</vt:i4>
      </vt:variant>
      <vt:variant>
        <vt:i4>5</vt:i4>
      </vt:variant>
      <vt:variant>
        <vt:lpwstr>http://www.nevo.co.il/case/24929127</vt:lpwstr>
      </vt:variant>
      <vt:variant>
        <vt:lpwstr/>
      </vt:variant>
      <vt:variant>
        <vt:i4>3997808</vt:i4>
      </vt:variant>
      <vt:variant>
        <vt:i4>57</vt:i4>
      </vt:variant>
      <vt:variant>
        <vt:i4>0</vt:i4>
      </vt:variant>
      <vt:variant>
        <vt:i4>5</vt:i4>
      </vt:variant>
      <vt:variant>
        <vt:lpwstr>http://www.nevo.co.il/case/26418332</vt:lpwstr>
      </vt:variant>
      <vt:variant>
        <vt:lpwstr/>
      </vt:variant>
      <vt:variant>
        <vt:i4>3997821</vt:i4>
      </vt:variant>
      <vt:variant>
        <vt:i4>54</vt:i4>
      </vt:variant>
      <vt:variant>
        <vt:i4>0</vt:i4>
      </vt:variant>
      <vt:variant>
        <vt:i4>5</vt:i4>
      </vt:variant>
      <vt:variant>
        <vt:lpwstr>http://www.nevo.co.il/case/26789718</vt:lpwstr>
      </vt:variant>
      <vt:variant>
        <vt:lpwstr/>
      </vt:variant>
      <vt:variant>
        <vt:i4>3997812</vt:i4>
      </vt:variant>
      <vt:variant>
        <vt:i4>51</vt:i4>
      </vt:variant>
      <vt:variant>
        <vt:i4>0</vt:i4>
      </vt:variant>
      <vt:variant>
        <vt:i4>5</vt:i4>
      </vt:variant>
      <vt:variant>
        <vt:lpwstr>http://www.nevo.co.il/case/27279049</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3735679</vt:i4>
      </vt:variant>
      <vt:variant>
        <vt:i4>45</vt:i4>
      </vt:variant>
      <vt:variant>
        <vt:i4>0</vt:i4>
      </vt:variant>
      <vt:variant>
        <vt:i4>5</vt:i4>
      </vt:variant>
      <vt:variant>
        <vt:lpwstr>http://www.nevo.co.il/case/26991436</vt:lpwstr>
      </vt:variant>
      <vt:variant>
        <vt:lpwstr/>
      </vt:variant>
      <vt:variant>
        <vt:i4>3473523</vt:i4>
      </vt:variant>
      <vt:variant>
        <vt:i4>42</vt:i4>
      </vt:variant>
      <vt:variant>
        <vt:i4>0</vt:i4>
      </vt:variant>
      <vt:variant>
        <vt:i4>5</vt:i4>
      </vt:variant>
      <vt:variant>
        <vt:lpwstr>http://www.nevo.co.il/case/26797877</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3407990</vt:i4>
      </vt:variant>
      <vt:variant>
        <vt:i4>36</vt:i4>
      </vt:variant>
      <vt:variant>
        <vt:i4>0</vt:i4>
      </vt:variant>
      <vt:variant>
        <vt:i4>5</vt:i4>
      </vt:variant>
      <vt:variant>
        <vt:lpwstr>http://www.nevo.co.il/case/28226828</vt:lpwstr>
      </vt:variant>
      <vt:variant>
        <vt:lpwstr/>
      </vt:variant>
      <vt:variant>
        <vt:i4>3604596</vt:i4>
      </vt:variant>
      <vt:variant>
        <vt:i4>33</vt:i4>
      </vt:variant>
      <vt:variant>
        <vt:i4>0</vt:i4>
      </vt:variant>
      <vt:variant>
        <vt:i4>5</vt:i4>
      </vt:variant>
      <vt:variant>
        <vt:lpwstr>http://www.nevo.co.il/case/21477662</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2025-04-22T21:16:00Z</dcterms:created>
  <dcterms:modified xsi:type="dcterms:W3CDTF">2025-04-22T21:16:00Z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34197</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אלכסנדר קופיטמן  </vt:lpwstr>
  </property>
  <property fmtid="{D5CDD505-2E9C-101B-9397-08002B2CF9AE}" pid="10" name="LAWYER">
    <vt:lpwstr>קריטי</vt:lpwstr>
  </property>
  <property fmtid="{D5CDD505-2E9C-101B-9397-08002B2CF9AE}" pid="11" name="JUDGE">
    <vt:lpwstr>טל לחיאני שהם</vt:lpwstr>
  </property>
  <property fmtid="{D5CDD505-2E9C-101B-9397-08002B2CF9AE}" pid="12" name="CITY">
    <vt:lpwstr>ב"ש</vt:lpwstr>
  </property>
  <property fmtid="{D5CDD505-2E9C-101B-9397-08002B2CF9AE}" pid="13" name="DATE">
    <vt:lpwstr>20220626</vt:lpwstr>
  </property>
  <property fmtid="{D5CDD505-2E9C-101B-9397-08002B2CF9AE}" pid="14" name="TYPE_N_DATE">
    <vt:lpwstr>39020220626</vt:lpwstr>
  </property>
  <property fmtid="{D5CDD505-2E9C-101B-9397-08002B2CF9AE}" pid="15" name="WORDNUMPAGES">
    <vt:lpwstr>11</vt:lpwstr>
  </property>
  <property fmtid="{D5CDD505-2E9C-101B-9397-08002B2CF9AE}" pid="16" name="TYPE_ABS_DATE">
    <vt:lpwstr>390020220626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21477662;28226828;23827604:2;26797877:2;26991436;21644133:2;27279049;26789718;26418332;24929127;27101745;27139044;25022712;22326873</vt:lpwstr>
  </property>
  <property fmtid="{D5CDD505-2E9C-101B-9397-08002B2CF9AE}" pid="36" name="LAWLISTTMP1">
    <vt:lpwstr>4216/006</vt:lpwstr>
  </property>
  <property fmtid="{D5CDD505-2E9C-101B-9397-08002B2CF9AE}" pid="37" name="LAWLISTTMP2">
    <vt:lpwstr>70301/400:2;040c.a</vt:lpwstr>
  </property>
</Properties>
</file>