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3249"/>
        <w:gridCol w:w="1550"/>
        <w:gridCol w:w="3508"/>
        <w:gridCol w:w="513"/>
      </w:tblGrid>
      <w:tr w:rsidR="00416729" w:rsidRPr="00DA60EE" w14:paraId="19A090BC" w14:textId="77777777" w:rsidTr="00BB7EF1">
        <w:trPr>
          <w:gridAfter w:val="1"/>
          <w:wAfter w:w="513" w:type="dxa"/>
          <w:trHeight w:hRule="exact" w:val="704"/>
          <w:jc w:val="center"/>
        </w:trPr>
        <w:tc>
          <w:tcPr>
            <w:tcW w:w="8307" w:type="dxa"/>
            <w:gridSpan w:val="3"/>
          </w:tcPr>
          <w:p w14:paraId="5C21D977" w14:textId="77777777" w:rsidR="00416729" w:rsidRPr="00DA60EE" w:rsidRDefault="00416729" w:rsidP="007B7239">
            <w:pPr>
              <w:pStyle w:val="a3"/>
              <w:jc w:val="center"/>
              <w:rPr>
                <w:rFonts w:ascii="Tahoma" w:hAnsi="Tahoma"/>
                <w:noProof w:val="0"/>
                <w:color w:val="000080"/>
                <w:sz w:val="32"/>
                <w:szCs w:val="32"/>
                <w:rtl/>
              </w:rPr>
            </w:pPr>
            <w:bookmarkStart w:id="0" w:name="LastJudge"/>
            <w:r w:rsidRPr="00DA60EE">
              <w:rPr>
                <w:rFonts w:ascii="Tahoma" w:hAnsi="Tahoma"/>
                <w:color w:val="000080"/>
                <w:sz w:val="32"/>
                <w:szCs w:val="32"/>
                <w:rtl/>
              </w:rPr>
              <w:t>בית המשפט המחוזי בבאר שבע</w:t>
            </w:r>
          </w:p>
        </w:tc>
      </w:tr>
      <w:tr w:rsidR="00416729" w:rsidRPr="00DA60EE" w14:paraId="1DB4D239" w14:textId="77777777" w:rsidTr="00BB7EF1">
        <w:trPr>
          <w:gridAfter w:val="1"/>
          <w:wAfter w:w="513" w:type="dxa"/>
          <w:trHeight w:val="337"/>
          <w:jc w:val="center"/>
        </w:trPr>
        <w:tc>
          <w:tcPr>
            <w:tcW w:w="4799" w:type="dxa"/>
            <w:gridSpan w:val="2"/>
          </w:tcPr>
          <w:p w14:paraId="3FDD425B" w14:textId="77777777" w:rsidR="00416729" w:rsidRPr="00DA60EE" w:rsidRDefault="00416729" w:rsidP="007B7239">
            <w:pPr>
              <w:rPr>
                <w:b/>
                <w:bCs/>
                <w:noProof w:val="0"/>
                <w:sz w:val="26"/>
                <w:szCs w:val="26"/>
                <w:rtl/>
              </w:rPr>
            </w:pPr>
            <w:r w:rsidRPr="00DA60EE">
              <w:rPr>
                <w:rFonts w:hint="cs"/>
                <w:b/>
                <w:bCs/>
                <w:noProof w:val="0"/>
                <w:sz w:val="26"/>
                <w:szCs w:val="26"/>
                <w:rtl/>
              </w:rPr>
              <w:t>לפני כב' השופט יובל ליבדרו</w:t>
            </w:r>
          </w:p>
        </w:tc>
        <w:tc>
          <w:tcPr>
            <w:tcW w:w="3508" w:type="dxa"/>
          </w:tcPr>
          <w:p w14:paraId="26477088" w14:textId="77777777" w:rsidR="00416729" w:rsidRPr="00DA60EE" w:rsidRDefault="00416729" w:rsidP="007B7239">
            <w:pPr>
              <w:pStyle w:val="a3"/>
              <w:jc w:val="right"/>
              <w:rPr>
                <w:b/>
                <w:bCs/>
                <w:noProof w:val="0"/>
                <w:sz w:val="26"/>
                <w:szCs w:val="26"/>
                <w:rtl/>
              </w:rPr>
            </w:pPr>
            <w:r w:rsidRPr="00DA60EE">
              <w:rPr>
                <w:b/>
                <w:bCs/>
                <w:noProof w:val="0"/>
                <w:sz w:val="26"/>
                <w:szCs w:val="26"/>
                <w:rtl/>
              </w:rPr>
              <w:t>ת"פ 50970-11-21</w:t>
            </w:r>
          </w:p>
        </w:tc>
      </w:tr>
      <w:tr w:rsidR="00416729" w:rsidRPr="00DA60EE" w14:paraId="68497DCF" w14:textId="77777777" w:rsidTr="00BB7EF1">
        <w:tblPrEx>
          <w:tblLook w:val="01E0" w:firstRow="1" w:lastRow="1" w:firstColumn="1" w:lastColumn="1" w:noHBand="0" w:noVBand="0"/>
        </w:tblPrEx>
        <w:trPr>
          <w:jc w:val="center"/>
        </w:trPr>
        <w:tc>
          <w:tcPr>
            <w:tcW w:w="3249" w:type="dxa"/>
            <w:shd w:val="clear" w:color="auto" w:fill="auto"/>
          </w:tcPr>
          <w:p w14:paraId="3CF18CC1" w14:textId="77777777" w:rsidR="00416729" w:rsidRPr="00DA60EE" w:rsidRDefault="00416729" w:rsidP="00416729">
            <w:pPr>
              <w:suppressLineNumbers/>
              <w:spacing w:line="360" w:lineRule="auto"/>
              <w:rPr>
                <w:rFonts w:ascii="Arial" w:hAnsi="Arial"/>
                <w:b/>
                <w:bCs/>
                <w:noProof w:val="0"/>
                <w:sz w:val="26"/>
                <w:szCs w:val="26"/>
              </w:rPr>
            </w:pPr>
            <w:r w:rsidRPr="00DA60EE">
              <w:rPr>
                <w:rtl/>
              </w:rPr>
              <w:t xml:space="preserve"> </w:t>
            </w:r>
            <w:bookmarkStart w:id="1" w:name="FirstAppellant"/>
            <w:bookmarkStart w:id="2" w:name="FirstLawyer"/>
          </w:p>
          <w:p w14:paraId="19B19CDC" w14:textId="77777777" w:rsidR="00416729" w:rsidRPr="00DA60EE" w:rsidRDefault="00416729" w:rsidP="00416729">
            <w:pPr>
              <w:suppressLineNumbers/>
              <w:spacing w:line="360" w:lineRule="auto"/>
              <w:rPr>
                <w:rFonts w:ascii="Arial" w:hAnsi="Arial"/>
                <w:b/>
                <w:bCs/>
                <w:noProof w:val="0"/>
                <w:sz w:val="26"/>
                <w:szCs w:val="26"/>
                <w:rtl/>
              </w:rPr>
            </w:pPr>
            <w:r w:rsidRPr="00DA60EE">
              <w:rPr>
                <w:rFonts w:ascii="Arial" w:hAnsi="Arial" w:hint="cs"/>
                <w:b/>
                <w:bCs/>
                <w:noProof w:val="0"/>
                <w:sz w:val="26"/>
                <w:szCs w:val="26"/>
                <w:rtl/>
              </w:rPr>
              <w:t>ה</w:t>
            </w:r>
            <w:r w:rsidRPr="00DA60EE">
              <w:rPr>
                <w:rFonts w:ascii="Arial" w:hAnsi="Arial"/>
                <w:b/>
                <w:bCs/>
                <w:noProof w:val="0"/>
                <w:sz w:val="26"/>
                <w:szCs w:val="26"/>
                <w:rtl/>
              </w:rPr>
              <w:t>מאשימה</w:t>
            </w:r>
            <w:r w:rsidRPr="00DA60EE">
              <w:rPr>
                <w:rFonts w:ascii="Arial" w:hAnsi="Arial" w:hint="cs"/>
                <w:b/>
                <w:bCs/>
                <w:noProof w:val="0"/>
                <w:sz w:val="26"/>
                <w:szCs w:val="26"/>
                <w:rtl/>
              </w:rPr>
              <w:t>:</w:t>
            </w:r>
          </w:p>
        </w:tc>
        <w:tc>
          <w:tcPr>
            <w:tcW w:w="5571" w:type="dxa"/>
            <w:gridSpan w:val="3"/>
            <w:shd w:val="clear" w:color="auto" w:fill="auto"/>
          </w:tcPr>
          <w:p w14:paraId="4DDB681B" w14:textId="77777777" w:rsidR="00416729" w:rsidRPr="00DA60EE" w:rsidRDefault="00416729" w:rsidP="00416729">
            <w:pPr>
              <w:suppressLineNumbers/>
              <w:spacing w:line="360" w:lineRule="auto"/>
              <w:rPr>
                <w:rFonts w:ascii="Arial" w:hAnsi="Arial"/>
                <w:b/>
                <w:bCs/>
                <w:noProof w:val="0"/>
                <w:sz w:val="26"/>
                <w:szCs w:val="26"/>
                <w:rtl/>
              </w:rPr>
            </w:pPr>
          </w:p>
          <w:p w14:paraId="7535B8E2" w14:textId="77777777" w:rsidR="00416729" w:rsidRPr="00DA60EE" w:rsidRDefault="00416729" w:rsidP="00416729">
            <w:pPr>
              <w:suppressLineNumbers/>
              <w:spacing w:line="360" w:lineRule="auto"/>
              <w:rPr>
                <w:b/>
                <w:bCs/>
                <w:noProof w:val="0"/>
                <w:sz w:val="26"/>
                <w:szCs w:val="26"/>
                <w:rtl/>
              </w:rPr>
            </w:pPr>
            <w:r w:rsidRPr="00DA60EE">
              <w:rPr>
                <w:rFonts w:ascii="Arial" w:hAnsi="Arial"/>
                <w:b/>
                <w:bCs/>
                <w:noProof w:val="0"/>
                <w:sz w:val="26"/>
                <w:szCs w:val="26"/>
                <w:rtl/>
              </w:rPr>
              <w:t>מדינת ישראל</w:t>
            </w:r>
            <w:r w:rsidRPr="00DA60EE">
              <w:rPr>
                <w:rFonts w:hint="cs"/>
                <w:b/>
                <w:bCs/>
                <w:noProof w:val="0"/>
                <w:sz w:val="26"/>
                <w:szCs w:val="26"/>
                <w:rtl/>
              </w:rPr>
              <w:t xml:space="preserve"> </w:t>
            </w:r>
            <w:r w:rsidRPr="00DA60EE">
              <w:rPr>
                <w:b/>
                <w:bCs/>
                <w:noProof w:val="0"/>
                <w:sz w:val="26"/>
                <w:szCs w:val="26"/>
                <w:rtl/>
              </w:rPr>
              <w:t>–</w:t>
            </w:r>
            <w:r w:rsidRPr="00DA60EE">
              <w:rPr>
                <w:rFonts w:hint="cs"/>
                <w:b/>
                <w:bCs/>
                <w:noProof w:val="0"/>
                <w:sz w:val="26"/>
                <w:szCs w:val="26"/>
                <w:rtl/>
              </w:rPr>
              <w:t>פמ"ד</w:t>
            </w:r>
          </w:p>
          <w:p w14:paraId="2902B794" w14:textId="77777777" w:rsidR="00416729" w:rsidRPr="00DA60EE" w:rsidRDefault="00416729" w:rsidP="00416729">
            <w:pPr>
              <w:suppressLineNumbers/>
              <w:spacing w:line="360" w:lineRule="auto"/>
              <w:rPr>
                <w:b/>
                <w:bCs/>
                <w:noProof w:val="0"/>
                <w:sz w:val="26"/>
                <w:szCs w:val="26"/>
                <w:rtl/>
              </w:rPr>
            </w:pPr>
            <w:r w:rsidRPr="00DA60EE">
              <w:rPr>
                <w:rFonts w:hint="cs"/>
                <w:b/>
                <w:bCs/>
                <w:noProof w:val="0"/>
                <w:sz w:val="26"/>
                <w:szCs w:val="26"/>
                <w:rtl/>
              </w:rPr>
              <w:t>ע"י ב"כ עו"ד לימור הלל</w:t>
            </w:r>
          </w:p>
        </w:tc>
      </w:tr>
      <w:bookmarkEnd w:id="1"/>
      <w:bookmarkEnd w:id="2"/>
      <w:tr w:rsidR="00416729" w:rsidRPr="00DA60EE" w14:paraId="588E74A0" w14:textId="77777777" w:rsidTr="00BB7EF1">
        <w:tblPrEx>
          <w:tblLook w:val="01E0" w:firstRow="1" w:lastRow="1" w:firstColumn="1" w:lastColumn="1" w:noHBand="0" w:noVBand="0"/>
        </w:tblPrEx>
        <w:trPr>
          <w:jc w:val="center"/>
        </w:trPr>
        <w:tc>
          <w:tcPr>
            <w:tcW w:w="8820" w:type="dxa"/>
            <w:gridSpan w:val="4"/>
            <w:shd w:val="clear" w:color="auto" w:fill="auto"/>
          </w:tcPr>
          <w:p w14:paraId="666C4E41" w14:textId="77777777" w:rsidR="00416729" w:rsidRPr="00DA60EE" w:rsidRDefault="00416729" w:rsidP="00416729">
            <w:pPr>
              <w:suppressLineNumbers/>
              <w:spacing w:line="360" w:lineRule="auto"/>
              <w:rPr>
                <w:rFonts w:ascii="Arial" w:hAnsi="Arial"/>
                <w:b/>
                <w:bCs/>
                <w:noProof w:val="0"/>
                <w:sz w:val="26"/>
                <w:szCs w:val="26"/>
                <w:rtl/>
              </w:rPr>
            </w:pPr>
          </w:p>
          <w:p w14:paraId="64030E92" w14:textId="77777777" w:rsidR="00416729" w:rsidRPr="00DA60EE" w:rsidRDefault="00416729" w:rsidP="00416729">
            <w:pPr>
              <w:suppressLineNumbers/>
              <w:spacing w:line="360" w:lineRule="auto"/>
              <w:jc w:val="center"/>
              <w:rPr>
                <w:rFonts w:ascii="Arial" w:hAnsi="Arial"/>
                <w:b/>
                <w:bCs/>
                <w:noProof w:val="0"/>
                <w:sz w:val="26"/>
                <w:szCs w:val="26"/>
                <w:rtl/>
              </w:rPr>
            </w:pPr>
            <w:r w:rsidRPr="00DA60EE">
              <w:rPr>
                <w:rFonts w:ascii="Arial" w:hAnsi="Arial"/>
                <w:b/>
                <w:bCs/>
                <w:noProof w:val="0"/>
                <w:sz w:val="26"/>
                <w:szCs w:val="26"/>
                <w:rtl/>
              </w:rPr>
              <w:t>נגד</w:t>
            </w:r>
          </w:p>
          <w:p w14:paraId="6452D3A6" w14:textId="77777777" w:rsidR="00416729" w:rsidRPr="00DA60EE" w:rsidRDefault="00416729" w:rsidP="00416729">
            <w:pPr>
              <w:suppressLineNumbers/>
              <w:spacing w:line="360" w:lineRule="auto"/>
              <w:rPr>
                <w:rFonts w:ascii="Arial" w:hAnsi="Arial"/>
                <w:b/>
                <w:bCs/>
                <w:noProof w:val="0"/>
                <w:sz w:val="26"/>
                <w:szCs w:val="26"/>
              </w:rPr>
            </w:pPr>
          </w:p>
        </w:tc>
      </w:tr>
      <w:tr w:rsidR="00416729" w:rsidRPr="00DA60EE" w14:paraId="73DA7E1D" w14:textId="77777777" w:rsidTr="00BB7EF1">
        <w:tblPrEx>
          <w:tblLook w:val="01E0" w:firstRow="1" w:lastRow="1" w:firstColumn="1" w:lastColumn="1" w:noHBand="0" w:noVBand="0"/>
        </w:tblPrEx>
        <w:trPr>
          <w:jc w:val="center"/>
        </w:trPr>
        <w:tc>
          <w:tcPr>
            <w:tcW w:w="3249" w:type="dxa"/>
            <w:shd w:val="clear" w:color="auto" w:fill="auto"/>
          </w:tcPr>
          <w:p w14:paraId="6C1CF87C" w14:textId="77777777" w:rsidR="00416729" w:rsidRPr="00DA60EE" w:rsidRDefault="00416729" w:rsidP="00416729">
            <w:pPr>
              <w:suppressLineNumbers/>
              <w:spacing w:line="360" w:lineRule="auto"/>
              <w:rPr>
                <w:rFonts w:ascii="Arial" w:hAnsi="Arial"/>
                <w:b/>
                <w:bCs/>
                <w:noProof w:val="0"/>
                <w:sz w:val="26"/>
                <w:szCs w:val="26"/>
              </w:rPr>
            </w:pPr>
            <w:r w:rsidRPr="00DA60EE">
              <w:rPr>
                <w:rFonts w:ascii="Arial" w:hAnsi="Arial" w:hint="cs"/>
                <w:b/>
                <w:bCs/>
                <w:noProof w:val="0"/>
                <w:sz w:val="26"/>
                <w:szCs w:val="26"/>
                <w:rtl/>
              </w:rPr>
              <w:t>ה</w:t>
            </w:r>
            <w:r w:rsidRPr="00DA60EE">
              <w:rPr>
                <w:rFonts w:ascii="Arial" w:hAnsi="Arial"/>
                <w:b/>
                <w:bCs/>
                <w:noProof w:val="0"/>
                <w:sz w:val="26"/>
                <w:szCs w:val="26"/>
                <w:rtl/>
              </w:rPr>
              <w:t>נאש</w:t>
            </w:r>
            <w:r w:rsidRPr="00DA60EE">
              <w:rPr>
                <w:rFonts w:ascii="Arial" w:hAnsi="Arial" w:hint="cs"/>
                <w:b/>
                <w:bCs/>
                <w:noProof w:val="0"/>
                <w:sz w:val="26"/>
                <w:szCs w:val="26"/>
                <w:rtl/>
              </w:rPr>
              <w:t>ם:</w:t>
            </w:r>
          </w:p>
        </w:tc>
        <w:tc>
          <w:tcPr>
            <w:tcW w:w="5571" w:type="dxa"/>
            <w:gridSpan w:val="3"/>
            <w:shd w:val="clear" w:color="auto" w:fill="auto"/>
          </w:tcPr>
          <w:p w14:paraId="2E75AF80" w14:textId="77777777" w:rsidR="00416729" w:rsidRPr="00DA60EE" w:rsidRDefault="00416729" w:rsidP="00416729">
            <w:pPr>
              <w:suppressLineNumbers/>
              <w:spacing w:line="360" w:lineRule="auto"/>
              <w:rPr>
                <w:rtl/>
              </w:rPr>
            </w:pPr>
            <w:r w:rsidRPr="00DA60EE">
              <w:rPr>
                <w:rFonts w:ascii="Arial" w:hAnsi="Arial"/>
                <w:b/>
                <w:bCs/>
                <w:noProof w:val="0"/>
                <w:sz w:val="26"/>
                <w:szCs w:val="26"/>
                <w:rtl/>
              </w:rPr>
              <w:t xml:space="preserve">מוחמד עמור </w:t>
            </w:r>
            <w:r w:rsidRPr="00DA60EE">
              <w:rPr>
                <w:rFonts w:ascii="Arial" w:hAnsi="Arial" w:hint="cs"/>
                <w:b/>
                <w:bCs/>
                <w:noProof w:val="0"/>
                <w:sz w:val="26"/>
                <w:szCs w:val="26"/>
                <w:rtl/>
              </w:rPr>
              <w:t>-בעצמו</w:t>
            </w:r>
            <w:r w:rsidRPr="00DA60EE">
              <w:rPr>
                <w:rFonts w:ascii="Arial" w:hAnsi="Arial"/>
                <w:b/>
                <w:bCs/>
                <w:noProof w:val="0"/>
                <w:sz w:val="26"/>
                <w:szCs w:val="26"/>
                <w:rtl/>
              </w:rPr>
              <w:br/>
            </w:r>
            <w:r w:rsidRPr="00DA60EE">
              <w:rPr>
                <w:rFonts w:ascii="Arial" w:hAnsi="Arial" w:hint="cs"/>
                <w:b/>
                <w:bCs/>
                <w:noProof w:val="0"/>
                <w:sz w:val="26"/>
                <w:szCs w:val="26"/>
                <w:rtl/>
              </w:rPr>
              <w:t>ע"י ב"כ עו"ד רמי שלבי</w:t>
            </w:r>
          </w:p>
        </w:tc>
      </w:tr>
    </w:tbl>
    <w:p w14:paraId="20251CB7" w14:textId="77777777" w:rsidR="00BB7EF1" w:rsidRDefault="00BB7EF1" w:rsidP="00416729">
      <w:pPr>
        <w:spacing w:line="360" w:lineRule="auto"/>
        <w:ind w:left="85" w:hanging="709"/>
        <w:jc w:val="both"/>
        <w:rPr>
          <w:rFonts w:ascii="Arial" w:hAnsi="Arial"/>
          <w:noProof w:val="0"/>
          <w:rtl/>
        </w:rPr>
      </w:pPr>
    </w:p>
    <w:p w14:paraId="4ACB6DD3" w14:textId="77777777" w:rsidR="00BB7EF1" w:rsidRPr="00BB7EF1" w:rsidRDefault="00BB7EF1" w:rsidP="00BB7EF1">
      <w:pPr>
        <w:spacing w:after="120" w:line="240" w:lineRule="exact"/>
        <w:ind w:left="283" w:hanging="283"/>
        <w:jc w:val="both"/>
        <w:rPr>
          <w:rFonts w:ascii="FrankRuehl" w:hAnsi="FrankRuehl" w:cs="FrankRuehl"/>
          <w:noProof w:val="0"/>
          <w:rtl/>
        </w:rPr>
      </w:pPr>
    </w:p>
    <w:p w14:paraId="79410D38" w14:textId="77777777" w:rsidR="00392763" w:rsidRPr="00392763" w:rsidRDefault="00392763" w:rsidP="00392763">
      <w:pPr>
        <w:spacing w:before="120" w:after="120" w:line="240" w:lineRule="exact"/>
        <w:ind w:left="283" w:hanging="283"/>
        <w:jc w:val="both"/>
        <w:rPr>
          <w:rFonts w:ascii="FrankRuehl" w:hAnsi="FrankRuehl" w:cs="FrankRuehl"/>
          <w:noProof w:val="0"/>
          <w:rtl/>
        </w:rPr>
      </w:pPr>
    </w:p>
    <w:p w14:paraId="4FA507D1" w14:textId="77777777" w:rsidR="00316777" w:rsidRDefault="00316777" w:rsidP="00316777">
      <w:pPr>
        <w:spacing w:line="360" w:lineRule="auto"/>
        <w:ind w:left="3685" w:hanging="85"/>
        <w:jc w:val="both"/>
        <w:rPr>
          <w:rFonts w:ascii="Arial" w:hAnsi="Arial"/>
          <w:noProof w:val="0"/>
          <w:sz w:val="28"/>
          <w:szCs w:val="28"/>
          <w:rtl/>
        </w:rPr>
      </w:pPr>
      <w:bookmarkStart w:id="3" w:name="LawTable"/>
      <w:bookmarkEnd w:id="3"/>
    </w:p>
    <w:p w14:paraId="0929BB1D" w14:textId="77777777" w:rsidR="00316777" w:rsidRPr="00316777" w:rsidRDefault="00316777" w:rsidP="00316777">
      <w:pPr>
        <w:spacing w:before="120" w:after="120" w:line="240" w:lineRule="exact"/>
        <w:ind w:left="283" w:hanging="283"/>
        <w:jc w:val="both"/>
        <w:rPr>
          <w:rFonts w:ascii="FrankRuehl" w:hAnsi="FrankRuehl" w:cs="FrankRuehl"/>
          <w:noProof w:val="0"/>
          <w:rtl/>
        </w:rPr>
      </w:pPr>
    </w:p>
    <w:p w14:paraId="20FC0760" w14:textId="77777777" w:rsidR="00316777" w:rsidRPr="00316777" w:rsidRDefault="00316777" w:rsidP="00316777">
      <w:pPr>
        <w:spacing w:before="120" w:after="120" w:line="240" w:lineRule="exact"/>
        <w:ind w:left="283" w:hanging="283"/>
        <w:jc w:val="both"/>
        <w:rPr>
          <w:rFonts w:ascii="FrankRuehl" w:hAnsi="FrankRuehl" w:cs="FrankRuehl"/>
          <w:noProof w:val="0"/>
          <w:rtl/>
        </w:rPr>
      </w:pPr>
    </w:p>
    <w:p w14:paraId="7FB3BE6B" w14:textId="77777777" w:rsidR="00316777" w:rsidRPr="00316777" w:rsidRDefault="00316777" w:rsidP="00316777">
      <w:pPr>
        <w:spacing w:before="120" w:after="120" w:line="240" w:lineRule="exact"/>
        <w:ind w:left="283" w:hanging="283"/>
        <w:jc w:val="both"/>
        <w:rPr>
          <w:rFonts w:ascii="FrankRuehl" w:hAnsi="FrankRuehl" w:cs="FrankRuehl"/>
          <w:noProof w:val="0"/>
          <w:rtl/>
        </w:rPr>
      </w:pPr>
      <w:r w:rsidRPr="00316777">
        <w:rPr>
          <w:rFonts w:ascii="FrankRuehl" w:hAnsi="FrankRuehl" w:cs="FrankRuehl"/>
          <w:noProof w:val="0"/>
          <w:rtl/>
        </w:rPr>
        <w:t xml:space="preserve">חקיקה שאוזכרה: </w:t>
      </w:r>
    </w:p>
    <w:p w14:paraId="2D9D1931" w14:textId="77777777" w:rsidR="00316777" w:rsidRPr="00316777" w:rsidRDefault="00316777" w:rsidP="00316777">
      <w:pPr>
        <w:spacing w:before="120" w:after="120" w:line="240" w:lineRule="exact"/>
        <w:ind w:left="283" w:hanging="283"/>
        <w:jc w:val="both"/>
        <w:rPr>
          <w:rFonts w:ascii="FrankRuehl" w:hAnsi="FrankRuehl" w:cs="FrankRuehl"/>
          <w:noProof w:val="0"/>
          <w:rtl/>
        </w:rPr>
      </w:pPr>
      <w:hyperlink r:id="rId7" w:history="1">
        <w:r w:rsidRPr="00316777">
          <w:rPr>
            <w:rFonts w:ascii="FrankRuehl" w:hAnsi="FrankRuehl" w:cs="FrankRuehl"/>
            <w:noProof w:val="0"/>
            <w:color w:val="0000FF"/>
            <w:rtl/>
          </w:rPr>
          <w:t>פקודת הסמים המסוכנים [נוסח חדש], תשל"ג-1973</w:t>
        </w:r>
      </w:hyperlink>
      <w:r w:rsidRPr="00316777">
        <w:rPr>
          <w:rFonts w:ascii="FrankRuehl" w:hAnsi="FrankRuehl" w:cs="FrankRuehl"/>
          <w:noProof w:val="0"/>
          <w:rtl/>
        </w:rPr>
        <w:t xml:space="preserve">: סע'  </w:t>
      </w:r>
      <w:hyperlink r:id="rId8" w:history="1">
        <w:r w:rsidRPr="00316777">
          <w:rPr>
            <w:rFonts w:ascii="FrankRuehl" w:hAnsi="FrankRuehl" w:cs="FrankRuehl"/>
            <w:noProof w:val="0"/>
            <w:color w:val="0000FF"/>
            <w:rtl/>
          </w:rPr>
          <w:t>7(א)</w:t>
        </w:r>
      </w:hyperlink>
      <w:r w:rsidRPr="00316777">
        <w:rPr>
          <w:rFonts w:ascii="FrankRuehl" w:hAnsi="FrankRuehl" w:cs="FrankRuehl"/>
          <w:noProof w:val="0"/>
          <w:rtl/>
        </w:rPr>
        <w:t xml:space="preserve">, </w:t>
      </w:r>
      <w:hyperlink r:id="rId9" w:history="1">
        <w:r w:rsidRPr="00316777">
          <w:rPr>
            <w:rFonts w:ascii="FrankRuehl" w:hAnsi="FrankRuehl" w:cs="FrankRuehl"/>
            <w:noProof w:val="0"/>
            <w:color w:val="0000FF"/>
            <w:rtl/>
          </w:rPr>
          <w:t>ג</w:t>
        </w:r>
      </w:hyperlink>
    </w:p>
    <w:p w14:paraId="7EDC2C43" w14:textId="77777777" w:rsidR="00316777" w:rsidRPr="00316777" w:rsidRDefault="00316777" w:rsidP="00316777">
      <w:pPr>
        <w:spacing w:line="360" w:lineRule="auto"/>
        <w:ind w:left="3685" w:hanging="85"/>
        <w:jc w:val="both"/>
        <w:rPr>
          <w:rFonts w:ascii="Arial" w:hAnsi="Arial"/>
          <w:noProof w:val="0"/>
          <w:sz w:val="28"/>
          <w:szCs w:val="28"/>
          <w:rtl/>
        </w:rPr>
      </w:pPr>
      <w:bookmarkStart w:id="4" w:name="LawTable_End"/>
      <w:bookmarkEnd w:id="4"/>
    </w:p>
    <w:p w14:paraId="5F9B00C5" w14:textId="77777777" w:rsidR="00DA60EE" w:rsidRPr="00392763" w:rsidRDefault="00DA60EE" w:rsidP="00392763">
      <w:pPr>
        <w:spacing w:line="360" w:lineRule="auto"/>
        <w:ind w:left="3685" w:hanging="85"/>
        <w:jc w:val="both"/>
        <w:rPr>
          <w:rFonts w:ascii="Arial" w:hAnsi="Arial"/>
          <w:noProof w:val="0"/>
          <w:sz w:val="28"/>
          <w:szCs w:val="28"/>
          <w:rtl/>
        </w:rPr>
      </w:pPr>
    </w:p>
    <w:p w14:paraId="58797E46" w14:textId="77777777" w:rsidR="00DA60EE" w:rsidRPr="00DA60EE" w:rsidRDefault="00DA60EE" w:rsidP="00DA60EE">
      <w:pPr>
        <w:spacing w:line="360" w:lineRule="auto"/>
        <w:ind w:left="85"/>
        <w:jc w:val="center"/>
        <w:rPr>
          <w:rFonts w:ascii="Arial" w:hAnsi="Arial"/>
          <w:b/>
          <w:bCs/>
          <w:noProof w:val="0"/>
          <w:sz w:val="28"/>
          <w:szCs w:val="28"/>
          <w:u w:val="single"/>
          <w:rtl/>
        </w:rPr>
      </w:pPr>
      <w:bookmarkStart w:id="5" w:name="PsakDin"/>
      <w:bookmarkEnd w:id="0"/>
      <w:r w:rsidRPr="00DA60EE">
        <w:rPr>
          <w:rFonts w:ascii="Arial" w:hAnsi="Arial"/>
          <w:b/>
          <w:bCs/>
          <w:noProof w:val="0"/>
          <w:sz w:val="28"/>
          <w:szCs w:val="28"/>
          <w:u w:val="single"/>
          <w:rtl/>
        </w:rPr>
        <w:t>גזר דין</w:t>
      </w:r>
    </w:p>
    <w:bookmarkEnd w:id="5"/>
    <w:p w14:paraId="47EE352C" w14:textId="77777777" w:rsidR="00416729" w:rsidRDefault="00416729" w:rsidP="00416729">
      <w:pPr>
        <w:spacing w:line="360" w:lineRule="auto"/>
        <w:ind w:left="85"/>
        <w:jc w:val="both"/>
        <w:rPr>
          <w:rFonts w:ascii="Arial" w:hAnsi="Arial"/>
          <w:b/>
          <w:bCs/>
          <w:noProof w:val="0"/>
          <w:u w:val="single"/>
        </w:rPr>
      </w:pPr>
      <w:r>
        <w:rPr>
          <w:rFonts w:ascii="Arial" w:hAnsi="Arial"/>
          <w:b/>
          <w:bCs/>
          <w:noProof w:val="0"/>
          <w:u w:val="single"/>
          <w:rtl/>
        </w:rPr>
        <w:t>מבוא</w:t>
      </w:r>
    </w:p>
    <w:p w14:paraId="187AA87C" w14:textId="77777777" w:rsidR="00416729" w:rsidRDefault="00416729" w:rsidP="00416729">
      <w:pPr>
        <w:pStyle w:val="a9"/>
        <w:numPr>
          <w:ilvl w:val="0"/>
          <w:numId w:val="1"/>
        </w:numPr>
        <w:spacing w:line="360" w:lineRule="auto"/>
        <w:jc w:val="both"/>
        <w:rPr>
          <w:rFonts w:ascii="Arial" w:hAnsi="Arial"/>
          <w:noProof w:val="0"/>
          <w:rtl/>
        </w:rPr>
      </w:pPr>
      <w:bookmarkStart w:id="6" w:name="ABSTRACT_START"/>
      <w:bookmarkEnd w:id="6"/>
      <w:r>
        <w:rPr>
          <w:rFonts w:ascii="Arial" w:hAnsi="Arial"/>
          <w:noProof w:val="0"/>
          <w:rtl/>
        </w:rPr>
        <w:t xml:space="preserve">הנאשם הורשע על-פי הודאתו, במסגרת הסדר טיעון, בכתב אישום מתוקן </w:t>
      </w:r>
      <w:r>
        <w:rPr>
          <w:rFonts w:ascii="Arial" w:hAnsi="Arial" w:hint="cs"/>
          <w:noProof w:val="0"/>
          <w:rtl/>
        </w:rPr>
        <w:t xml:space="preserve">(להלן: "כתב האישום") </w:t>
      </w:r>
      <w:r>
        <w:rPr>
          <w:rFonts w:ascii="Arial" w:hAnsi="Arial"/>
          <w:noProof w:val="0"/>
          <w:rtl/>
        </w:rPr>
        <w:t xml:space="preserve">בעבירה של החזקת סם מסוכן שלא לצריכה עצמית, עבירה לפי </w:t>
      </w:r>
      <w:hyperlink r:id="rId10" w:history="1">
        <w:r w:rsidR="00BB7EF1" w:rsidRPr="00BB7EF1">
          <w:rPr>
            <w:rStyle w:val="Hyperlink"/>
            <w:rFonts w:ascii="Arial" w:hAnsi="Arial"/>
            <w:noProof w:val="0"/>
            <w:rtl/>
          </w:rPr>
          <w:t>סעיף 7(א)</w:t>
        </w:r>
      </w:hyperlink>
      <w:r>
        <w:rPr>
          <w:rFonts w:ascii="Arial" w:hAnsi="Arial"/>
          <w:noProof w:val="0"/>
          <w:rtl/>
        </w:rPr>
        <w:t xml:space="preserve"> + (</w:t>
      </w:r>
      <w:hyperlink r:id="rId11" w:history="1">
        <w:r w:rsidR="00BB7EF1" w:rsidRPr="00BB7EF1">
          <w:rPr>
            <w:rStyle w:val="Hyperlink"/>
            <w:rFonts w:ascii="Arial" w:hAnsi="Arial"/>
            <w:noProof w:val="0"/>
            <w:rtl/>
          </w:rPr>
          <w:t>ג</w:t>
        </w:r>
      </w:hyperlink>
      <w:r>
        <w:rPr>
          <w:rFonts w:ascii="Arial" w:hAnsi="Arial"/>
          <w:noProof w:val="0"/>
          <w:rtl/>
        </w:rPr>
        <w:t>) רישא ל</w:t>
      </w:r>
      <w:hyperlink r:id="rId12" w:history="1">
        <w:r w:rsidR="00DA60EE" w:rsidRPr="00DA60EE">
          <w:rPr>
            <w:rFonts w:ascii="Arial" w:hAnsi="Arial"/>
            <w:noProof w:val="0"/>
            <w:color w:val="0000FF"/>
            <w:u w:val="single"/>
            <w:rtl/>
          </w:rPr>
          <w:t>פקודת הסמים המסוכנים</w:t>
        </w:r>
      </w:hyperlink>
      <w:r>
        <w:rPr>
          <w:rFonts w:ascii="Arial" w:hAnsi="Arial"/>
          <w:noProof w:val="0"/>
          <w:rtl/>
        </w:rPr>
        <w:t xml:space="preserve"> [נוסח חדש], התשל''ג – 1973 (להלן: "הפקודה").</w:t>
      </w:r>
    </w:p>
    <w:p w14:paraId="349E6C2C" w14:textId="77777777" w:rsidR="00416729" w:rsidRDefault="00416729" w:rsidP="00416729">
      <w:pPr>
        <w:pStyle w:val="a9"/>
        <w:spacing w:line="360" w:lineRule="auto"/>
        <w:ind w:left="86"/>
        <w:jc w:val="both"/>
        <w:rPr>
          <w:rFonts w:ascii="Arial" w:hAnsi="Arial"/>
          <w:noProof w:val="0"/>
        </w:rPr>
      </w:pPr>
    </w:p>
    <w:p w14:paraId="3CA8A6A1" w14:textId="77777777" w:rsidR="00416729" w:rsidRDefault="00416729" w:rsidP="00416729">
      <w:pPr>
        <w:pStyle w:val="a9"/>
        <w:numPr>
          <w:ilvl w:val="0"/>
          <w:numId w:val="1"/>
        </w:numPr>
        <w:spacing w:line="360" w:lineRule="auto"/>
        <w:jc w:val="both"/>
        <w:rPr>
          <w:rFonts w:ascii="Arial" w:hAnsi="Arial"/>
          <w:noProof w:val="0"/>
          <w:rtl/>
        </w:rPr>
      </w:pPr>
      <w:bookmarkStart w:id="7" w:name="ABSTRACT_END"/>
      <w:bookmarkEnd w:id="7"/>
      <w:r>
        <w:rPr>
          <w:rFonts w:ascii="Arial" w:hAnsi="Arial"/>
          <w:noProof w:val="0"/>
          <w:rtl/>
        </w:rPr>
        <w:t xml:space="preserve">במסגרת הסדר </w:t>
      </w:r>
      <w:r>
        <w:rPr>
          <w:rFonts w:ascii="Arial" w:hAnsi="Arial" w:hint="cs"/>
          <w:noProof w:val="0"/>
          <w:rtl/>
        </w:rPr>
        <w:t xml:space="preserve">הטיעון </w:t>
      </w:r>
      <w:r>
        <w:rPr>
          <w:rFonts w:ascii="Arial" w:hAnsi="Arial"/>
          <w:noProof w:val="0"/>
          <w:rtl/>
        </w:rPr>
        <w:t xml:space="preserve">הצדדים לא הגיעו להסכמה עונשית, וכל צד טען לעונש באופן </w:t>
      </w:r>
      <w:r>
        <w:rPr>
          <w:rFonts w:ascii="Arial" w:hAnsi="Arial" w:hint="cs"/>
          <w:noProof w:val="0"/>
          <w:rtl/>
        </w:rPr>
        <w:t>"</w:t>
      </w:r>
      <w:r>
        <w:rPr>
          <w:rFonts w:ascii="Arial" w:hAnsi="Arial"/>
          <w:noProof w:val="0"/>
          <w:rtl/>
        </w:rPr>
        <w:t>חופשי</w:t>
      </w:r>
      <w:r>
        <w:rPr>
          <w:rFonts w:ascii="Arial" w:hAnsi="Arial" w:hint="cs"/>
          <w:noProof w:val="0"/>
          <w:rtl/>
        </w:rPr>
        <w:t>"</w:t>
      </w:r>
      <w:r>
        <w:rPr>
          <w:rFonts w:ascii="Arial" w:hAnsi="Arial"/>
          <w:noProof w:val="0"/>
          <w:rtl/>
        </w:rPr>
        <w:t>.</w:t>
      </w:r>
    </w:p>
    <w:p w14:paraId="2D0D55BE" w14:textId="77777777" w:rsidR="00416729" w:rsidRDefault="00416729" w:rsidP="00416729">
      <w:pPr>
        <w:spacing w:line="360" w:lineRule="auto"/>
        <w:ind w:left="85" w:hanging="709"/>
        <w:jc w:val="both"/>
        <w:rPr>
          <w:rFonts w:ascii="Arial" w:hAnsi="Arial"/>
          <w:noProof w:val="0"/>
          <w:rtl/>
        </w:rPr>
      </w:pPr>
      <w:r>
        <w:rPr>
          <w:rFonts w:ascii="Arial" w:hAnsi="Arial"/>
          <w:b/>
          <w:bCs/>
          <w:noProof w:val="0"/>
          <w:rtl/>
        </w:rPr>
        <w:tab/>
      </w:r>
    </w:p>
    <w:p w14:paraId="739F1909"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b/>
          <w:bCs/>
          <w:noProof w:val="0"/>
          <w:u w:val="single"/>
          <w:rtl/>
        </w:rPr>
        <w:t>כת</w:t>
      </w:r>
      <w:r>
        <w:rPr>
          <w:rFonts w:ascii="Arial" w:hAnsi="Arial" w:hint="cs"/>
          <w:b/>
          <w:bCs/>
          <w:noProof w:val="0"/>
          <w:u w:val="single"/>
          <w:rtl/>
        </w:rPr>
        <w:t>ב</w:t>
      </w:r>
      <w:r>
        <w:rPr>
          <w:rFonts w:ascii="Arial" w:hAnsi="Arial"/>
          <w:b/>
          <w:bCs/>
          <w:noProof w:val="0"/>
          <w:u w:val="single"/>
          <w:rtl/>
        </w:rPr>
        <w:t xml:space="preserve"> </w:t>
      </w:r>
      <w:r>
        <w:rPr>
          <w:rFonts w:ascii="Arial" w:hAnsi="Arial" w:hint="cs"/>
          <w:b/>
          <w:bCs/>
          <w:noProof w:val="0"/>
          <w:u w:val="single"/>
          <w:rtl/>
        </w:rPr>
        <w:t>ה</w:t>
      </w:r>
      <w:r>
        <w:rPr>
          <w:rFonts w:ascii="Arial" w:hAnsi="Arial"/>
          <w:b/>
          <w:bCs/>
          <w:noProof w:val="0"/>
          <w:u w:val="single"/>
          <w:rtl/>
        </w:rPr>
        <w:t>אישום</w:t>
      </w:r>
    </w:p>
    <w:p w14:paraId="39906542"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3.</w:t>
      </w:r>
      <w:r>
        <w:rPr>
          <w:rFonts w:ascii="Arial" w:hAnsi="Arial" w:hint="cs"/>
          <w:noProof w:val="0"/>
          <w:rtl/>
        </w:rPr>
        <w:tab/>
      </w:r>
      <w:r w:rsidRPr="004C139B">
        <w:rPr>
          <w:rFonts w:ascii="Arial" w:hAnsi="Arial" w:hint="cs"/>
          <w:noProof w:val="0"/>
          <w:rtl/>
        </w:rPr>
        <w:t>מכתב האישום עולה שביום 10.11.2021, בסמוך לשעה 20:30, נהג הנאשם ברכבו על כביש 90 לכיוון דרום כשבמושב הנוסע שלצדו ישב אחר. הנאשם החזיק ברכבו, בתא שבמשענת היד שבין המושבים הקדמיים, גרב לבנה ובה סם מסוכן מסוג קוקאין במשקל כולל של כ-303 גרם נטו כשהוא עטוף בניילון נצמד וזאת שלא לצריכה עצמית עבור</w:t>
      </w:r>
      <w:r>
        <w:rPr>
          <w:rFonts w:ascii="Arial" w:hAnsi="Arial" w:hint="cs"/>
          <w:noProof w:val="0"/>
          <w:rtl/>
        </w:rPr>
        <w:t xml:space="preserve"> אחר שזהותו אינה ידועה למאשימה.</w:t>
      </w:r>
    </w:p>
    <w:p w14:paraId="73895988"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בנוסף, במעמד הנ"ל, החזיק הנאשם מתחת למושב האחורי ברכבו, בגרב שחורה ובתוכה סם מסוג קוקאין במשקל של כ-303 גרם כשהוא עטוף בניילון נצמד וזאת שלא לצריכתו העצמית </w:t>
      </w:r>
      <w:r>
        <w:rPr>
          <w:rFonts w:ascii="Arial" w:hAnsi="Arial" w:hint="cs"/>
          <w:noProof w:val="0"/>
          <w:rtl/>
        </w:rPr>
        <w:lastRenderedPageBreak/>
        <w:t xml:space="preserve">אלא עבור אחר שזהותו אינה ידועה למאשימה. </w:t>
      </w:r>
      <w:r w:rsidRPr="00830875">
        <w:rPr>
          <w:rFonts w:ascii="Arial" w:hAnsi="Arial" w:hint="cs"/>
          <w:noProof w:val="0"/>
          <w:rtl/>
        </w:rPr>
        <w:t>הנאשם נעצר על-ידי המשטרה בקילומטר ה-19 לפני העיר אילת והסמים נתפסו.</w:t>
      </w:r>
      <w:r>
        <w:rPr>
          <w:rFonts w:ascii="Arial" w:hAnsi="Arial" w:hint="cs"/>
          <w:noProof w:val="0"/>
          <w:rtl/>
        </w:rPr>
        <w:t xml:space="preserve"> </w:t>
      </w:r>
    </w:p>
    <w:p w14:paraId="773CBE53" w14:textId="77777777" w:rsidR="00416729" w:rsidRDefault="00416729" w:rsidP="00416729">
      <w:pPr>
        <w:spacing w:line="360" w:lineRule="auto"/>
        <w:ind w:left="85"/>
        <w:jc w:val="both"/>
        <w:rPr>
          <w:rFonts w:ascii="Arial" w:hAnsi="Arial"/>
          <w:noProof w:val="0"/>
          <w:rtl/>
        </w:rPr>
      </w:pPr>
      <w:r>
        <w:rPr>
          <w:rFonts w:ascii="Arial" w:hAnsi="Arial" w:hint="cs"/>
          <w:noProof w:val="0"/>
          <w:rtl/>
        </w:rPr>
        <w:t xml:space="preserve">נטען שהנאשם החזיק יחד עם האחר שזהותו אינה ידועה, בסם מסוכן מסוג קוקאין במשקל של כ-606 גרם. </w:t>
      </w:r>
    </w:p>
    <w:p w14:paraId="705E632C" w14:textId="77777777" w:rsidR="00416729" w:rsidRDefault="00416729" w:rsidP="00416729">
      <w:pPr>
        <w:spacing w:line="360" w:lineRule="auto"/>
        <w:ind w:left="85"/>
        <w:jc w:val="both"/>
        <w:rPr>
          <w:rFonts w:ascii="Arial" w:hAnsi="Arial"/>
          <w:noProof w:val="0"/>
          <w:rtl/>
        </w:rPr>
      </w:pPr>
    </w:p>
    <w:p w14:paraId="700F73E9" w14:textId="77777777" w:rsidR="00416729" w:rsidRDefault="00416729" w:rsidP="00416729">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תסקיר</w:t>
      </w:r>
    </w:p>
    <w:p w14:paraId="1BDEA543"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4</w:t>
      </w:r>
      <w:r>
        <w:rPr>
          <w:rFonts w:ascii="Arial" w:hAnsi="Arial"/>
          <w:noProof w:val="0"/>
          <w:rtl/>
        </w:rPr>
        <w:t>.</w:t>
      </w:r>
      <w:r>
        <w:rPr>
          <w:rFonts w:ascii="Arial" w:hAnsi="Arial"/>
          <w:noProof w:val="0"/>
          <w:rtl/>
        </w:rPr>
        <w:tab/>
        <w:t xml:space="preserve">בעניינו של הנאשם התקבל תסקיר של שירות המבחן ממנו עולה כי הנאשם כבן </w:t>
      </w:r>
      <w:r>
        <w:rPr>
          <w:rFonts w:ascii="Arial" w:hAnsi="Arial" w:hint="cs"/>
          <w:noProof w:val="0"/>
          <w:rtl/>
        </w:rPr>
        <w:t>20</w:t>
      </w:r>
      <w:r>
        <w:rPr>
          <w:rFonts w:ascii="Arial" w:hAnsi="Arial"/>
          <w:noProof w:val="0"/>
          <w:rtl/>
        </w:rPr>
        <w:t xml:space="preserve">, רווק, סיים </w:t>
      </w:r>
      <w:r>
        <w:rPr>
          <w:rFonts w:ascii="Arial" w:hAnsi="Arial" w:hint="cs"/>
          <w:noProof w:val="0"/>
          <w:rtl/>
        </w:rPr>
        <w:t>12</w:t>
      </w:r>
      <w:r>
        <w:rPr>
          <w:rFonts w:ascii="Arial" w:hAnsi="Arial"/>
          <w:noProof w:val="0"/>
          <w:rtl/>
        </w:rPr>
        <w:t xml:space="preserve"> שנות לימוד, </w:t>
      </w:r>
      <w:r>
        <w:rPr>
          <w:rFonts w:ascii="Arial" w:hAnsi="Arial" w:hint="cs"/>
          <w:noProof w:val="0"/>
          <w:rtl/>
        </w:rPr>
        <w:t>בן לזוג הורים שלהם 11 ילדים (האב נשוי לאישה נוספת), כאשר האב עובד במכירת ירקות והאם עקרת בית. הנאשם תיאר מצב סוציו- אקונומי נמוך, כאשר עד למעצרו הוא ואביו דאגו לפרנסת המשפחה.</w:t>
      </w:r>
    </w:p>
    <w:p w14:paraId="4776B94E"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נמסר שלנאשם אין עבר פלילי וכן שזה אינו צורך חומרים משני תודעה.</w:t>
      </w:r>
    </w:p>
    <w:p w14:paraId="30AFC77E"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ביחס לעבירה ציין השירות כי הנאשם לוקח אחריות ומודה בביצוע העבירה באופן חלקי. לדבריו, בעת שצפה בתחרות אופנועים, פנה אליו אלמוני אשר אין ביניהם היכרות מוקדמת והציע לו להעביר חבילה לאילת בתמורה לסכום כסף והוא הסכים לכך מבלי לבדוק לעומק את תוכן החבילה. שירות המבחן ציין כי הנאשם מביע חרטה על מעשיו והוסיף שהוא ביצע את המעשה לצורך רווחים כלכליים בלבד. כן הוסיף, כי אם היה מודע לתוכן החבילה הוא לא היה מסכן את עצמו. שירות המבחן התרשם שהנאשם מתחרט על ביצוע העבירה ומבין את חומרת מעשיו, אך זה עסוק במחירים אישים ומשפחתיים שהוא משלם. כן קיימת התרשמות מהצגת תמונה חלקית של מעורבת מצומצמת, לרבות ביחס לקשר עם הגורמים עמם פעל.</w:t>
      </w:r>
    </w:p>
    <w:p w14:paraId="628504AA"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הנאשם מסר שזה לו מעצרו הראשון וכי ביקש להשתלב באגף חינוך אך טרם נענה. הנאשם מסר שהוא מתקשה להסתגל למעצר ומתקשה עם הריחוק מבני משפחתו ותחושת האכזבה שלהם ממנו. יחד עם זאת, הוסיף שהוא שומר על קשר רציף עם משפחתו וזוכה לביקורים והפקדת כספים ל"קנטינה". שירות המבחן הוסיף כי מבדיקתו עולה שלנאשם מספר עבירות משמעת במעצר, אך זה הביע נכונות להשתלב בטיפול במעצר, אף שהתברר שלא קיימות קבוצות טיפול באגף אליו הנאשם שייך.</w:t>
      </w:r>
    </w:p>
    <w:p w14:paraId="2410CA12"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שירות המבחן התרשם שלאורך חייו שמר הנאשם על יציבות תעסוקתית ושהוא בעל אחריות במסגרות חייו השונות ובעיקר כלפי בני משפחתו. כן התרשם משאיפותיו הנורמטיביות של הנאשם ואף העריך שההליך המשפטי, לרבות המעצר, מהווים אלמנטים משמעותיים ומציבי גבול עבורו.</w:t>
      </w:r>
    </w:p>
    <w:p w14:paraId="3324E5FD"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לצד זאת, התרשם השירות מהפער שעלה בין דיווחי הנאשם על אודות עצמו לבין התנהלותו באירוע מושא כתב האישום בשים לב לחומרת העבירה.</w:t>
      </w:r>
    </w:p>
    <w:p w14:paraId="2997DF65"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שירות המבחן העריך שקיים קשר בין ביצוע העבירה לאחריות שחש הנאשם לפרנסת משפחתו. שירות המבחן סבור שרצון הנאשם להיטיב את מצבה הכלכלי של משפחתו בדרכים מידיות, מעיד על נטייה להתנהגות קלת דעת במצבי דחק ולחץ.</w:t>
      </w:r>
    </w:p>
    <w:p w14:paraId="42620048"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שירות המבחן הוסיף שהנאשם לא הביע נזקקות טיפולית ולא הצביע על קשיים מיוחדים שמצריכים התערבות טיפולית, והעריך כי קיים סיכון להישנות התנהגות עוברת חוק בתחום הסמים.</w:t>
      </w:r>
    </w:p>
    <w:p w14:paraId="44B194C9" w14:textId="77777777" w:rsidR="00416729" w:rsidRDefault="00416729" w:rsidP="00416729">
      <w:pPr>
        <w:spacing w:line="360" w:lineRule="auto"/>
        <w:ind w:left="85" w:hanging="709"/>
        <w:jc w:val="both"/>
        <w:rPr>
          <w:rFonts w:ascii="Arial" w:hAnsi="Arial"/>
          <w:noProof w:val="0"/>
          <w:rtl/>
        </w:rPr>
      </w:pPr>
      <w:r>
        <w:rPr>
          <w:rFonts w:ascii="Arial" w:hAnsi="Arial"/>
          <w:noProof w:val="0"/>
          <w:rtl/>
        </w:rPr>
        <w:lastRenderedPageBreak/>
        <w:tab/>
      </w:r>
      <w:r>
        <w:rPr>
          <w:rFonts w:ascii="Arial" w:hAnsi="Arial" w:hint="cs"/>
          <w:noProof w:val="0"/>
          <w:rtl/>
        </w:rPr>
        <w:t>על רקע חומרת העבירה, לקיחת האחריות המצומצמת על ביצועה, הערכת הסיכון האמורה והעדר נזקקות טיפולית, נמנע שירות המבחן מלבוא בהמלצה שיקומית או טיפולית בעניינו של הנאשם.</w:t>
      </w:r>
    </w:p>
    <w:p w14:paraId="6BA5B98F" w14:textId="77777777" w:rsidR="00416729" w:rsidRDefault="00416729" w:rsidP="00416729">
      <w:pPr>
        <w:spacing w:line="360" w:lineRule="auto"/>
        <w:jc w:val="both"/>
        <w:rPr>
          <w:rFonts w:ascii="Arial" w:hAnsi="Arial"/>
          <w:noProof w:val="0"/>
          <w:rtl/>
        </w:rPr>
      </w:pPr>
    </w:p>
    <w:p w14:paraId="4FCC9B49" w14:textId="77777777" w:rsidR="00416729" w:rsidRDefault="00416729" w:rsidP="00416729">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טיעוני הצדדים</w:t>
      </w:r>
    </w:p>
    <w:p w14:paraId="776E0E91" w14:textId="77777777" w:rsidR="00416729" w:rsidRDefault="00416729" w:rsidP="00416729">
      <w:pPr>
        <w:spacing w:line="360" w:lineRule="auto"/>
        <w:ind w:left="85" w:hanging="709"/>
        <w:jc w:val="both"/>
        <w:rPr>
          <w:rFonts w:ascii="Arial" w:hAnsi="Arial"/>
          <w:noProof w:val="0"/>
          <w:rtl/>
        </w:rPr>
      </w:pPr>
      <w:r w:rsidRPr="004C139B">
        <w:rPr>
          <w:rFonts w:ascii="Arial" w:hAnsi="Arial" w:hint="cs"/>
          <w:noProof w:val="0"/>
          <w:rtl/>
        </w:rPr>
        <w:t>5.</w:t>
      </w:r>
      <w:r w:rsidRPr="004C139B">
        <w:rPr>
          <w:rFonts w:ascii="Arial" w:hAnsi="Arial" w:hint="cs"/>
          <w:noProof w:val="0"/>
          <w:rtl/>
        </w:rPr>
        <w:tab/>
      </w:r>
      <w:r w:rsidRPr="004C139B">
        <w:rPr>
          <w:rFonts w:ascii="Arial" w:hAnsi="Arial"/>
          <w:b/>
          <w:bCs/>
          <w:noProof w:val="0"/>
          <w:rtl/>
        </w:rPr>
        <w:t>המאשימה טענה</w:t>
      </w:r>
      <w:r w:rsidRPr="004C139B">
        <w:rPr>
          <w:rFonts w:ascii="Arial" w:hAnsi="Arial"/>
          <w:noProof w:val="0"/>
          <w:rtl/>
        </w:rPr>
        <w:t xml:space="preserve"> בכתב והשלימה טיעוניה על-פה. המאשימה טענה כי מתחם העונש ההולם נע בין </w:t>
      </w:r>
      <w:r w:rsidRPr="004C139B">
        <w:rPr>
          <w:rFonts w:ascii="Arial" w:hAnsi="Arial" w:hint="cs"/>
          <w:noProof w:val="0"/>
          <w:rtl/>
        </w:rPr>
        <w:t xml:space="preserve">6 ל-8 שנות מאסר. </w:t>
      </w:r>
      <w:r w:rsidRPr="004C139B">
        <w:rPr>
          <w:rFonts w:ascii="Arial" w:hAnsi="Arial"/>
          <w:noProof w:val="0"/>
          <w:rtl/>
        </w:rPr>
        <w:t>המאשימה עתרה להשית על הנאשם עונש של 6.5 שנות מאסר, מאסר על תנאי, קנס מכביד ופסי</w:t>
      </w:r>
      <w:r>
        <w:rPr>
          <w:rFonts w:ascii="Arial" w:hAnsi="Arial"/>
          <w:noProof w:val="0"/>
          <w:rtl/>
        </w:rPr>
        <w:t>לת רישיון נהיגה בפועל ועל תנאי.</w:t>
      </w:r>
    </w:p>
    <w:p w14:paraId="5431C2B7"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המאשימה עמדה בטיעוניה על הערך המוגן שנפגע, על מידת הפגיעה הגבוהה מאוד בערך זה, על </w:t>
      </w:r>
      <w:r w:rsidRPr="00A60844">
        <w:rPr>
          <w:rFonts w:ascii="Arial" w:hAnsi="Arial"/>
          <w:noProof w:val="0"/>
          <w:rtl/>
        </w:rPr>
        <w:t xml:space="preserve">נסיבות ביצוע העבירה לרבות לכמות הסם המסוכן שהחזיק הנאשם שהייתה מספיקה למאות ואף לאלפי מנות סם, לפוטנציאל הסיכון ולנזק שהיה נגרם לו היה הסם מוצא את דרכו אל צרכני הסם, לתכנון ולשיתוף הפעולה של הנאשם עם אחרים, לחלקו המשמעותי של הנאשם בשרשרת הפצת הסם, לסוג הסם הנמנה על הסמים הקטלניים, לנזק הבריאותי הנשקף ממנו, לפוטנציאל ההתמכרות הגבוה בסם זה המגביר את הסיכון הנשקף ממנו ואת הסיכון הנשקף מהאנשים שצורכים אותו ואין ידם משגת לרכוש אותו העלולים לבחור בדרך של פשע על מנת להשיגו ולסיבה שהביאה את הנאשם לבצע את העבירה (השגת רווח כספי מהיר). המאשימה הפנתה לעונש המירבי של 20 שנות מאסר שלצד עבירה זו עובדה המלמדת על החומרה הרבה שרואה המחוקק בעבירות הסמים. המאשימה עמדה על האינטרס הציבורי במיגור התופעה ועל נסיגת השיקולים האישיים בעבירות אלו אל מול האינטרס הציבורי בהרתעה כמו גם על הצורך להחמיר בענישה כלפי כל המעורבים בשרשרת הסם על </w:t>
      </w:r>
      <w:r>
        <w:rPr>
          <w:rFonts w:ascii="Arial" w:hAnsi="Arial"/>
          <w:noProof w:val="0"/>
          <w:rtl/>
        </w:rPr>
        <w:t>מנת לייצר מנגנון הרתעה אפקטיבי.</w:t>
      </w:r>
    </w:p>
    <w:p w14:paraId="1407D201" w14:textId="77777777" w:rsidR="00416729" w:rsidRPr="003626E1" w:rsidRDefault="00416729" w:rsidP="00416729">
      <w:pPr>
        <w:spacing w:line="360" w:lineRule="auto"/>
        <w:ind w:left="85" w:hanging="709"/>
        <w:jc w:val="both"/>
        <w:rPr>
          <w:rFonts w:ascii="Arial" w:hAnsi="Arial"/>
          <w:b/>
          <w:bCs/>
          <w:noProof w:val="0"/>
          <w:u w:val="single"/>
          <w:rtl/>
        </w:rPr>
      </w:pPr>
      <w:r>
        <w:rPr>
          <w:rFonts w:ascii="Arial" w:hAnsi="Arial"/>
          <w:noProof w:val="0"/>
          <w:rtl/>
        </w:rPr>
        <w:tab/>
      </w:r>
      <w:r>
        <w:rPr>
          <w:rFonts w:ascii="Arial" w:hAnsi="Arial" w:hint="cs"/>
          <w:noProof w:val="0"/>
          <w:rtl/>
        </w:rPr>
        <w:t>המאשימה טענה כי אין מקום לתת משקל לכך שהנאשם החזיק הסם עבור אחר, שכן עצם החזקת הסם היא שעומדת בבסיס האיסור.</w:t>
      </w:r>
    </w:p>
    <w:p w14:paraId="0B103CF2"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המאשימה טענה כי חרף כך שמדובר בנאשם צעיר ונעדר עבר פלילי שהודה במיוחס לו, אין מקום למקם את עונשו ברף התחתון של מתחם העונש ההולם, וזאת בשל כך שזה לא עבר הליך שיקומי, בשל חומרת העבירה שזה עבר, בשל לקיחת האחריות המצומצמת והעדר נזקקות טיפולית כמשתקף בתסקיר שירות המבחן ובשל שיקולי ההרתעה הנדרשים במקרה זה.</w:t>
      </w:r>
    </w:p>
    <w:p w14:paraId="08FEB575"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t>המאשימה צרפה פסיקה לתמיכה בעמדתה העונשית.</w:t>
      </w:r>
    </w:p>
    <w:p w14:paraId="2E83FD0E" w14:textId="77777777" w:rsidR="00416729" w:rsidRDefault="00416729" w:rsidP="00416729">
      <w:pPr>
        <w:spacing w:line="360" w:lineRule="auto"/>
        <w:jc w:val="both"/>
        <w:rPr>
          <w:rFonts w:ascii="Arial" w:hAnsi="Arial"/>
          <w:noProof w:val="0"/>
          <w:rtl/>
        </w:rPr>
      </w:pPr>
    </w:p>
    <w:p w14:paraId="188FDABB"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6.</w:t>
      </w:r>
      <w:r>
        <w:rPr>
          <w:rFonts w:ascii="Arial" w:hAnsi="Arial" w:hint="cs"/>
          <w:noProof w:val="0"/>
          <w:rtl/>
        </w:rPr>
        <w:tab/>
      </w:r>
      <w:r>
        <w:rPr>
          <w:rFonts w:ascii="Arial" w:hAnsi="Arial"/>
          <w:b/>
          <w:bCs/>
          <w:noProof w:val="0"/>
          <w:rtl/>
        </w:rPr>
        <w:t>ב"כ הנאשם טען</w:t>
      </w:r>
      <w:r>
        <w:rPr>
          <w:rFonts w:ascii="Arial" w:hAnsi="Arial"/>
          <w:noProof w:val="0"/>
          <w:rtl/>
        </w:rPr>
        <w:t xml:space="preserve"> כי מתחם העונש ההולם נע בין </w:t>
      </w:r>
      <w:r>
        <w:rPr>
          <w:rFonts w:ascii="Arial" w:hAnsi="Arial" w:hint="cs"/>
          <w:noProof w:val="0"/>
          <w:rtl/>
        </w:rPr>
        <w:t>15 ל-36</w:t>
      </w:r>
      <w:r>
        <w:rPr>
          <w:rFonts w:ascii="Arial" w:hAnsi="Arial"/>
          <w:noProof w:val="0"/>
          <w:rtl/>
        </w:rPr>
        <w:t xml:space="preserve"> חודשי מאסר. ב"כ הנאשם עתר להטיל על הנאשם עונש </w:t>
      </w:r>
      <w:r>
        <w:rPr>
          <w:rFonts w:ascii="Arial" w:hAnsi="Arial" w:hint="cs"/>
          <w:noProof w:val="0"/>
          <w:rtl/>
        </w:rPr>
        <w:t>של 15 חודשי מאסר, קנס מתון ופסילת רישיון נהיגה על תנאי.</w:t>
      </w:r>
    </w:p>
    <w:p w14:paraId="61C6E6D6"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sidRPr="00047BA8">
        <w:rPr>
          <w:rFonts w:ascii="Arial" w:hAnsi="Arial" w:hint="cs"/>
          <w:noProof w:val="0"/>
          <w:rtl/>
        </w:rPr>
        <w:t>ב"כ הנאשם</w:t>
      </w:r>
      <w:r>
        <w:rPr>
          <w:rFonts w:ascii="Arial" w:hAnsi="Arial" w:hint="cs"/>
          <w:noProof w:val="0"/>
          <w:rtl/>
        </w:rPr>
        <w:t xml:space="preserve"> טעם כי מתחם העונש ההולם לו טענה המאשימה אינו לוקח בחשבון את נסיבות ביצוע העבירה דנן, שאינן מחמירות לטעמו, לרבות העובדה שהסמים נתפסו בתוך הרכב, העובדה שלעבירת ההחזקה לא נלוותה עבירה נוספת או התנגדות מצדו של הנאשם והעובדה שהסמים הוחזקו עבור אחר. בהקשר זה טען שיש לתת משקל לחלקו באירוע ולכך שלא מוצה הדין עם האחר שבעבורו החזיק את הסם. באשר למיקומו של הנאשם בתוך מתחם העונש ההולם טען ב"כ הנאשם שיש מקום לתת משקל לכך שמדובר בנאשם צעיר, נעדר עבר פלילי, שהתנהל באופן נורמטיבי חרף נסיבות אישיות-משפחתיות מורכבות, לרבות בהקשר הסוציו-אקונומי. ב"כ הנאשם ביקש לדחות טענת המאשימה בדבר כך שאין מקום למקם את עונשו של הנאשם בתחתית מתחם העונש ההולם שייקבע משום שזה לא השתלב בהליך טיפולי. זאת, הן במישור העקרוני והן במישור הקונקרטי בשים לב לנסיבותיו הנ"ל של הנאשם ובשים לב לכך שפניו של הנאשם לשיקום.</w:t>
      </w:r>
      <w:r>
        <w:rPr>
          <w:rFonts w:ascii="Arial" w:hAnsi="Arial"/>
          <w:noProof w:val="0"/>
          <w:rtl/>
        </w:rPr>
        <w:t xml:space="preserve"> </w:t>
      </w:r>
    </w:p>
    <w:p w14:paraId="269294B5"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t xml:space="preserve">ב"כ הנאשם צרף פסיקה לתמיכה בעמדתו העונשית. </w:t>
      </w:r>
    </w:p>
    <w:p w14:paraId="605FABFC" w14:textId="77777777" w:rsidR="00416729" w:rsidRDefault="00416729" w:rsidP="00416729">
      <w:pPr>
        <w:spacing w:line="360" w:lineRule="auto"/>
        <w:ind w:left="85" w:hanging="709"/>
        <w:jc w:val="both"/>
        <w:rPr>
          <w:rFonts w:ascii="Arial" w:hAnsi="Arial"/>
          <w:noProof w:val="0"/>
          <w:rtl/>
        </w:rPr>
      </w:pPr>
    </w:p>
    <w:p w14:paraId="5155C048"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7.</w:t>
      </w:r>
      <w:r>
        <w:rPr>
          <w:rFonts w:ascii="Arial" w:hAnsi="Arial"/>
          <w:noProof w:val="0"/>
          <w:rtl/>
        </w:rPr>
        <w:tab/>
      </w:r>
      <w:r>
        <w:rPr>
          <w:rFonts w:ascii="Arial" w:hAnsi="Arial"/>
          <w:b/>
          <w:bCs/>
          <w:noProof w:val="0"/>
          <w:rtl/>
        </w:rPr>
        <w:t>הנאשם אמר את דברו.</w:t>
      </w:r>
      <w:r>
        <w:rPr>
          <w:rFonts w:ascii="Arial" w:hAnsi="Arial"/>
          <w:noProof w:val="0"/>
          <w:rtl/>
        </w:rPr>
        <w:t xml:space="preserve"> הנאשם מסר</w:t>
      </w:r>
      <w:r>
        <w:rPr>
          <w:rFonts w:ascii="Arial" w:hAnsi="Arial" w:hint="cs"/>
          <w:noProof w:val="0"/>
          <w:rtl/>
        </w:rPr>
        <w:t xml:space="preserve"> שהוא מצטער, שהוא פגע בעצמו ובמשפחתו ואף היה יכול לפגוע באנשים אחרים. הנאשם הוסיף שהוא עשה טעות ושהוא מצטער עליה.</w:t>
      </w:r>
      <w:r>
        <w:rPr>
          <w:rFonts w:ascii="Arial" w:hAnsi="Arial"/>
          <w:noProof w:val="0"/>
          <w:rtl/>
        </w:rPr>
        <w:t xml:space="preserve"> </w:t>
      </w:r>
    </w:p>
    <w:p w14:paraId="61BE6CE9" w14:textId="77777777" w:rsidR="00416729" w:rsidRDefault="00416729" w:rsidP="00416729">
      <w:pPr>
        <w:spacing w:line="360" w:lineRule="auto"/>
        <w:ind w:left="85" w:hanging="709"/>
        <w:jc w:val="both"/>
        <w:rPr>
          <w:rFonts w:ascii="Arial" w:hAnsi="Arial"/>
          <w:noProof w:val="0"/>
          <w:rtl/>
        </w:rPr>
      </w:pPr>
    </w:p>
    <w:p w14:paraId="61650FEB" w14:textId="77777777" w:rsidR="00416729" w:rsidRDefault="00416729" w:rsidP="00416729">
      <w:pPr>
        <w:spacing w:line="360" w:lineRule="auto"/>
        <w:ind w:left="85" w:hanging="709"/>
        <w:jc w:val="both"/>
        <w:rPr>
          <w:rFonts w:ascii="Arial" w:hAnsi="Arial"/>
          <w:noProof w:val="0"/>
          <w:rtl/>
        </w:rPr>
      </w:pPr>
    </w:p>
    <w:p w14:paraId="7D208C13" w14:textId="77777777" w:rsidR="00416729" w:rsidRDefault="00416729" w:rsidP="00416729">
      <w:pPr>
        <w:spacing w:line="360" w:lineRule="auto"/>
        <w:ind w:left="85" w:hanging="709"/>
        <w:jc w:val="both"/>
        <w:rPr>
          <w:rFonts w:ascii="Arial" w:hAnsi="Arial"/>
          <w:noProof w:val="0"/>
          <w:rtl/>
        </w:rPr>
      </w:pPr>
    </w:p>
    <w:p w14:paraId="64AAAFB5" w14:textId="77777777" w:rsidR="00416729" w:rsidRDefault="00416729" w:rsidP="00416729">
      <w:pPr>
        <w:spacing w:line="360" w:lineRule="auto"/>
        <w:jc w:val="both"/>
        <w:rPr>
          <w:rFonts w:ascii="Arial" w:hAnsi="Arial"/>
          <w:noProof w:val="0"/>
          <w:rtl/>
        </w:rPr>
      </w:pPr>
    </w:p>
    <w:p w14:paraId="0323A7DF" w14:textId="77777777" w:rsidR="00416729" w:rsidRDefault="00416729" w:rsidP="00416729">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דיון והכרעה</w:t>
      </w:r>
    </w:p>
    <w:p w14:paraId="09EBC5D2"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8</w:t>
      </w:r>
      <w:r>
        <w:rPr>
          <w:rFonts w:ascii="Arial" w:hAnsi="Arial"/>
          <w:noProof w:val="0"/>
          <w:rtl/>
        </w:rPr>
        <w:t>.</w:t>
      </w:r>
      <w:r>
        <w:rPr>
          <w:rFonts w:ascii="Arial" w:hAnsi="Arial"/>
          <w:noProof w:val="0"/>
          <w:rtl/>
        </w:rPr>
        <w:tab/>
        <w:t xml:space="preserve">מתחם העונש ההולם </w:t>
      </w:r>
      <w:r>
        <w:rPr>
          <w:rFonts w:ascii="Arial" w:hAnsi="Arial"/>
          <w:rtl/>
        </w:rPr>
        <w:t xml:space="preserve">בענייננו נע בין </w:t>
      </w:r>
      <w:r>
        <w:rPr>
          <w:rFonts w:ascii="Arial" w:hAnsi="Arial" w:hint="cs"/>
          <w:rtl/>
        </w:rPr>
        <w:t xml:space="preserve">3.5 ל-6 שנות </w:t>
      </w:r>
      <w:r>
        <w:rPr>
          <w:rFonts w:ascii="Arial" w:hAnsi="Arial"/>
          <w:rtl/>
        </w:rPr>
        <w:t>מאסר ועונשים נלווים. בקביעת מתחם זה התחשבתי בערכים המוגנים, במידת הפגיעה בהם, בנסיבות ביצוע העבירות ובפסיקה הנוהגת, והכל כמפורט להלן.</w:t>
      </w:r>
    </w:p>
    <w:p w14:paraId="3510B86C" w14:textId="77777777" w:rsidR="00416729" w:rsidRDefault="00416729" w:rsidP="00416729">
      <w:pPr>
        <w:spacing w:line="360" w:lineRule="auto"/>
        <w:ind w:left="85" w:hanging="709"/>
        <w:jc w:val="both"/>
        <w:rPr>
          <w:rFonts w:ascii="Arial" w:hAnsi="Arial"/>
        </w:rPr>
      </w:pPr>
    </w:p>
    <w:p w14:paraId="5D7FDB5E" w14:textId="77777777" w:rsidR="00416729" w:rsidRDefault="00416729" w:rsidP="00416729">
      <w:pPr>
        <w:spacing w:line="360" w:lineRule="auto"/>
        <w:ind w:left="85" w:hanging="709"/>
        <w:jc w:val="both"/>
        <w:rPr>
          <w:rFonts w:ascii="Arial" w:hAnsi="Arial"/>
          <w:rtl/>
        </w:rPr>
      </w:pPr>
      <w:r>
        <w:rPr>
          <w:rFonts w:ascii="Arial" w:hAnsi="Arial" w:hint="cs"/>
          <w:rtl/>
        </w:rPr>
        <w:t>9</w:t>
      </w:r>
      <w:r>
        <w:rPr>
          <w:rFonts w:ascii="Arial" w:hAnsi="Arial"/>
          <w:rtl/>
        </w:rPr>
        <w:t>.</w:t>
      </w:r>
      <w:r>
        <w:rPr>
          <w:rFonts w:ascii="Arial" w:hAnsi="Arial"/>
          <w:rtl/>
        </w:rPr>
        <w:tab/>
        <w:t xml:space="preserve">הערכים המוגנים בעבירה בה הורשע הנאשם הם שמירה על בטחון הציבור ובריאותו. </w:t>
      </w:r>
    </w:p>
    <w:p w14:paraId="0D0F956F" w14:textId="77777777" w:rsidR="00416729" w:rsidRDefault="00416729" w:rsidP="00416729">
      <w:pPr>
        <w:spacing w:line="360" w:lineRule="auto"/>
        <w:jc w:val="both"/>
        <w:rPr>
          <w:rFonts w:ascii="Arial" w:hAnsi="Arial"/>
          <w:rtl/>
        </w:rPr>
      </w:pPr>
    </w:p>
    <w:p w14:paraId="29E46AE3" w14:textId="77777777" w:rsidR="00416729" w:rsidRPr="00941BE3" w:rsidRDefault="00416729" w:rsidP="00416729">
      <w:pPr>
        <w:spacing w:line="360" w:lineRule="auto"/>
        <w:ind w:left="85" w:hanging="709"/>
        <w:jc w:val="both"/>
        <w:rPr>
          <w:rFonts w:ascii="Arial" w:hAnsi="Arial"/>
          <w:rtl/>
        </w:rPr>
      </w:pPr>
      <w:r>
        <w:rPr>
          <w:rFonts w:ascii="Arial" w:hAnsi="Arial" w:hint="cs"/>
          <w:rtl/>
        </w:rPr>
        <w:t>10</w:t>
      </w:r>
      <w:r>
        <w:rPr>
          <w:rFonts w:ascii="Arial" w:hAnsi="Arial"/>
          <w:rtl/>
        </w:rPr>
        <w:t>.</w:t>
      </w:r>
      <w:r>
        <w:rPr>
          <w:rFonts w:ascii="Arial" w:hAnsi="Arial"/>
          <w:rtl/>
        </w:rPr>
        <w:tab/>
        <w:t xml:space="preserve">העבירה בה הורשע הנאשם היא חמורה. אין צורך להכביר במילים על אודות הסכנות הטמונות בסמים הן לצרכני הסמים והן לחברה, ועל אודות הצורך להילחם ממש כנגד אלה המפיצים את הסם וכנגד אלו המסייעים בידם. לעניין זה ראו </w:t>
      </w:r>
      <w:hyperlink r:id="rId13" w:history="1">
        <w:r w:rsidR="00DA60EE" w:rsidRPr="00DA60EE">
          <w:rPr>
            <w:rFonts w:ascii="Arial" w:hAnsi="Arial"/>
            <w:color w:val="0000FF"/>
            <w:u w:val="single"/>
            <w:rtl/>
          </w:rPr>
          <w:t>ע"פ 211/09</w:t>
        </w:r>
      </w:hyperlink>
      <w:r>
        <w:rPr>
          <w:rFonts w:ascii="Arial" w:hAnsi="Arial"/>
          <w:rtl/>
        </w:rPr>
        <w:t xml:space="preserve"> </w:t>
      </w:r>
      <w:r>
        <w:rPr>
          <w:rFonts w:ascii="Arial" w:hAnsi="Arial"/>
          <w:b/>
          <w:bCs/>
          <w:rtl/>
        </w:rPr>
        <w:t>אזולאי  נ' מדינת ישראל</w:t>
      </w:r>
      <w:r>
        <w:rPr>
          <w:rFonts w:ascii="Arial" w:hAnsi="Arial"/>
          <w:rtl/>
        </w:rPr>
        <w:t xml:space="preserve"> (פורסם בנבו, 22.6.2010), (להלן: "עניין אזולאי"), פסקה 10</w:t>
      </w:r>
      <w:r>
        <w:rPr>
          <w:rFonts w:ascii="Arial" w:hAnsi="Arial"/>
          <w:b/>
          <w:bCs/>
          <w:rtl/>
        </w:rPr>
        <w:t xml:space="preserve">: </w:t>
      </w:r>
    </w:p>
    <w:p w14:paraId="3AE55CB5" w14:textId="77777777" w:rsidR="00416729" w:rsidRDefault="00416729" w:rsidP="00416729">
      <w:pPr>
        <w:tabs>
          <w:tab w:val="left" w:pos="7654"/>
        </w:tabs>
        <w:spacing w:line="360" w:lineRule="auto"/>
        <w:ind w:left="1361" w:right="709"/>
        <w:jc w:val="both"/>
        <w:rPr>
          <w:rFonts w:ascii="Arial" w:hAnsi="Arial"/>
          <w:b/>
          <w:bCs/>
          <w:rtl/>
        </w:rPr>
      </w:pPr>
      <w:r>
        <w:rPr>
          <w:rFonts w:ascii="Arial" w:hAnsi="Arial"/>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נגע הסמים הוא נגע קשה, שיש למגרו. התוצאות של הפצת סם הן תוצאות קשות של פגיעה בשלום הציבור לרבות פגיעה ברכושו ובקניינו של הציבור בעקיפין, וכמובן בבריאותם של צרכני הסם"</w:t>
      </w:r>
      <w:r w:rsidRPr="00941BE3">
        <w:rPr>
          <w:rFonts w:ascii="Arial" w:hAnsi="Arial"/>
          <w:rtl/>
        </w:rPr>
        <w:t>.</w:t>
      </w:r>
      <w:r w:rsidRPr="00941BE3">
        <w:rPr>
          <w:color w:val="000000"/>
          <w:rtl/>
        </w:rPr>
        <w:t xml:space="preserve"> </w:t>
      </w:r>
    </w:p>
    <w:p w14:paraId="0C226838" w14:textId="77777777" w:rsidR="00416729" w:rsidRDefault="00416729" w:rsidP="00416729">
      <w:pPr>
        <w:spacing w:line="360" w:lineRule="auto"/>
        <w:ind w:left="2160" w:right="851"/>
        <w:jc w:val="both"/>
        <w:rPr>
          <w:b/>
          <w:bCs/>
          <w:color w:val="000000"/>
        </w:rPr>
      </w:pPr>
    </w:p>
    <w:p w14:paraId="1F04E55E" w14:textId="77777777" w:rsidR="00416729" w:rsidRDefault="00416729" w:rsidP="00416729">
      <w:pPr>
        <w:spacing w:line="360" w:lineRule="auto"/>
        <w:ind w:left="85" w:hanging="709"/>
        <w:jc w:val="both"/>
        <w:rPr>
          <w:color w:val="000000"/>
          <w:rtl/>
        </w:rPr>
      </w:pPr>
      <w:r>
        <w:rPr>
          <w:rFonts w:hint="cs"/>
          <w:color w:val="000000"/>
          <w:rtl/>
        </w:rPr>
        <w:t>11</w:t>
      </w:r>
      <w:r>
        <w:rPr>
          <w:color w:val="000000"/>
          <w:rtl/>
        </w:rPr>
        <w:t>.</w:t>
      </w:r>
      <w:r>
        <w:rPr>
          <w:color w:val="000000"/>
          <w:rtl/>
        </w:rPr>
        <w:tab/>
        <w:t xml:space="preserve">מידת הפגיעה בערכים המוגנים נלמדת, בין היתר, מנסיבות ביצוע העבירה. בענייננו מדובר בהחזקת סם קשה מסוג </w:t>
      </w:r>
      <w:r>
        <w:rPr>
          <w:rFonts w:hint="cs"/>
          <w:color w:val="000000"/>
          <w:rtl/>
        </w:rPr>
        <w:t>קוקאין.</w:t>
      </w:r>
    </w:p>
    <w:p w14:paraId="19E00365" w14:textId="77777777" w:rsidR="00416729" w:rsidRPr="00DA5D42" w:rsidRDefault="00416729" w:rsidP="00416729">
      <w:pPr>
        <w:spacing w:line="360" w:lineRule="auto"/>
        <w:ind w:left="85" w:hanging="709"/>
        <w:jc w:val="both"/>
        <w:rPr>
          <w:color w:val="000000"/>
        </w:rPr>
      </w:pPr>
      <w:r>
        <w:rPr>
          <w:color w:val="000000"/>
          <w:rtl/>
        </w:rPr>
        <w:tab/>
        <w:t xml:space="preserve">באשר לסכנה הנשקפת מסם מסוג </w:t>
      </w:r>
      <w:r>
        <w:rPr>
          <w:rFonts w:hint="cs"/>
          <w:color w:val="000000"/>
          <w:rtl/>
        </w:rPr>
        <w:t xml:space="preserve">קוקאין ראו </w:t>
      </w:r>
      <w:hyperlink r:id="rId14" w:history="1">
        <w:r w:rsidR="00DA60EE" w:rsidRPr="00DA60EE">
          <w:rPr>
            <w:color w:val="0000FF"/>
            <w:u w:val="single"/>
            <w:rtl/>
          </w:rPr>
          <w:t>ע"פ 972/11</w:t>
        </w:r>
      </w:hyperlink>
      <w:r>
        <w:rPr>
          <w:rtl/>
        </w:rPr>
        <w:t xml:space="preserve"> </w:t>
      </w:r>
      <w:r w:rsidRPr="00461D8E">
        <w:rPr>
          <w:b/>
          <w:bCs/>
          <w:rtl/>
        </w:rPr>
        <w:t>מדינת ישראל נ' יונה</w:t>
      </w:r>
      <w:r>
        <w:rPr>
          <w:rtl/>
        </w:rPr>
        <w:t xml:space="preserve"> (פורסם בנבו, 4.7.2012)</w:t>
      </w:r>
      <w:r>
        <w:rPr>
          <w:rFonts w:hint="cs"/>
          <w:rtl/>
        </w:rPr>
        <w:t>, פסקה 4:</w:t>
      </w:r>
    </w:p>
    <w:p w14:paraId="41EEEEAA" w14:textId="77777777" w:rsidR="00416729" w:rsidRDefault="00416729" w:rsidP="00416729">
      <w:pPr>
        <w:tabs>
          <w:tab w:val="left" w:pos="7654"/>
        </w:tabs>
        <w:spacing w:line="360" w:lineRule="auto"/>
        <w:ind w:left="794" w:right="709"/>
        <w:jc w:val="both"/>
        <w:rPr>
          <w:rFonts w:ascii="Arial" w:hAnsi="Arial"/>
          <w:b/>
          <w:bCs/>
          <w:rtl/>
        </w:rPr>
      </w:pPr>
      <w:r>
        <w:rPr>
          <w:rFonts w:ascii="Arial" w:hAnsi="Arial" w:hint="cs"/>
          <w:b/>
          <w:bCs/>
          <w:rtl/>
        </w:rPr>
        <w:t>"</w:t>
      </w:r>
      <w:r w:rsidRPr="00461D8E">
        <w:rPr>
          <w:rFonts w:ascii="Arial" w:hAnsi="Arial"/>
          <w:b/>
          <w:bCs/>
          <w:rtl/>
        </w:rPr>
        <w:t>הקוקאין נחשב, ולא בכדי, לסם קשה. זאת הן בשל השפעותיו על גוף האדם, והן בשל פוטנציאל ההתמכרות הגבוה שטמון בו. על פי רוב, לאחר נטילת הסם חוו</w:t>
      </w:r>
      <w:r>
        <w:rPr>
          <w:rFonts w:ascii="Arial" w:hAnsi="Arial"/>
          <w:b/>
          <w:bCs/>
          <w:rtl/>
        </w:rPr>
        <w:t>ה המשתמש תחושה חזקה של אופוריה.</w:t>
      </w:r>
      <w:r>
        <w:rPr>
          <w:rFonts w:ascii="Arial" w:hAnsi="Arial" w:hint="cs"/>
          <w:b/>
          <w:bCs/>
          <w:rtl/>
        </w:rPr>
        <w:t xml:space="preserve"> </w:t>
      </w:r>
      <w:r>
        <w:rPr>
          <w:rFonts w:ascii="Arial" w:hAnsi="Arial"/>
          <w:b/>
          <w:bCs/>
          <w:rtl/>
        </w:rPr>
        <w:t>לאחר האופוריה מגיעה</w:t>
      </w:r>
      <w:r>
        <w:rPr>
          <w:rFonts w:ascii="Arial" w:hAnsi="Arial" w:hint="cs"/>
          <w:b/>
          <w:bCs/>
          <w:rtl/>
        </w:rPr>
        <w:t xml:space="preserve"> </w:t>
      </w:r>
      <w:r w:rsidRPr="00461D8E">
        <w:rPr>
          <w:rFonts w:ascii="Arial" w:hAnsi="Arial"/>
          <w:b/>
          <w:bCs/>
          <w:rtl/>
        </w:rPr>
        <w:t>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w:t>
      </w:r>
      <w:r>
        <w:rPr>
          <w:rFonts w:ascii="Arial" w:hAnsi="Arial"/>
          <w:b/>
          <w:bCs/>
          <w:rtl/>
        </w:rPr>
        <w:t>ל השפעות</w:t>
      </w:r>
    </w:p>
    <w:p w14:paraId="0646D9B6" w14:textId="77777777" w:rsidR="00416729" w:rsidRPr="00EB7AE8" w:rsidRDefault="00416729" w:rsidP="00416729">
      <w:pPr>
        <w:tabs>
          <w:tab w:val="left" w:pos="7654"/>
        </w:tabs>
        <w:spacing w:line="360" w:lineRule="auto"/>
        <w:ind w:left="794" w:right="709"/>
        <w:rPr>
          <w:rFonts w:ascii="David" w:hAnsi="David"/>
          <w:b/>
          <w:bCs/>
          <w:rtl/>
        </w:rPr>
      </w:pPr>
      <w:r>
        <w:rPr>
          <w:rFonts w:ascii="Arial" w:hAnsi="Arial"/>
          <w:b/>
          <w:bCs/>
          <w:rtl/>
        </w:rPr>
        <w:t>הקוקאין ראו באתר הרשות</w:t>
      </w:r>
      <w:r>
        <w:rPr>
          <w:rFonts w:ascii="Arial" w:hAnsi="Arial" w:hint="cs"/>
          <w:b/>
          <w:bCs/>
          <w:rtl/>
        </w:rPr>
        <w:t xml:space="preserve"> </w:t>
      </w:r>
      <w:r w:rsidRPr="00461D8E">
        <w:rPr>
          <w:rFonts w:ascii="Arial" w:hAnsi="Arial"/>
          <w:b/>
          <w:bCs/>
          <w:rtl/>
        </w:rPr>
        <w:t xml:space="preserve">למאבק בסמים, בכתובת: </w:t>
      </w:r>
      <w:hyperlink r:id="rId15" w:history="1">
        <w:r w:rsidRPr="00EB7AE8">
          <w:rPr>
            <w:rStyle w:val="Hyperlink"/>
            <w:rFonts w:ascii="David" w:hAnsi="David"/>
            <w:b/>
            <w:bCs/>
          </w:rPr>
          <w:t>http://www.antidrugs.org.il/pages/924.aspx</w:t>
        </w:r>
      </w:hyperlink>
      <w:r w:rsidRPr="00EB7AE8">
        <w:rPr>
          <w:rFonts w:ascii="David" w:hAnsi="David"/>
          <w:b/>
          <w:bCs/>
          <w:rtl/>
        </w:rPr>
        <w:t>).</w:t>
      </w:r>
    </w:p>
    <w:p w14:paraId="671AC872" w14:textId="77777777" w:rsidR="00416729" w:rsidRDefault="00416729" w:rsidP="00416729">
      <w:pPr>
        <w:tabs>
          <w:tab w:val="left" w:pos="7654"/>
        </w:tabs>
        <w:spacing w:line="360" w:lineRule="auto"/>
        <w:ind w:left="794" w:right="709"/>
        <w:jc w:val="both"/>
        <w:rPr>
          <w:rFonts w:ascii="Arial" w:hAnsi="Arial"/>
          <w:b/>
          <w:bCs/>
          <w:rtl/>
        </w:rPr>
      </w:pPr>
      <w:r w:rsidRPr="00461D8E">
        <w:rPr>
          <w:rFonts w:ascii="Arial" w:hAnsi="Arial"/>
          <w:b/>
          <w:bCs/>
          <w:rtl/>
        </w:rPr>
        <w:t>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r>
        <w:rPr>
          <w:rFonts w:ascii="Arial" w:hAnsi="Arial" w:hint="cs"/>
          <w:b/>
          <w:bCs/>
          <w:rtl/>
        </w:rPr>
        <w:t>"</w:t>
      </w:r>
      <w:r w:rsidRPr="00941BE3">
        <w:rPr>
          <w:rFonts w:ascii="Arial" w:hAnsi="Arial" w:hint="cs"/>
          <w:rtl/>
        </w:rPr>
        <w:t>.</w:t>
      </w:r>
    </w:p>
    <w:p w14:paraId="0988B980" w14:textId="77777777" w:rsidR="00416729" w:rsidRPr="00461D8E" w:rsidRDefault="00416729" w:rsidP="00416729">
      <w:pPr>
        <w:tabs>
          <w:tab w:val="left" w:pos="7654"/>
        </w:tabs>
        <w:spacing w:line="360" w:lineRule="auto"/>
        <w:ind w:left="1361" w:right="709"/>
        <w:jc w:val="both"/>
        <w:rPr>
          <w:rFonts w:ascii="Arial" w:hAnsi="Arial"/>
          <w:b/>
          <w:bCs/>
          <w:rtl/>
        </w:rPr>
      </w:pPr>
    </w:p>
    <w:p w14:paraId="5D410F2F" w14:textId="77777777" w:rsidR="00416729" w:rsidRDefault="00416729" w:rsidP="00416729">
      <w:pPr>
        <w:spacing w:line="360" w:lineRule="auto"/>
        <w:ind w:left="85" w:hanging="709"/>
        <w:jc w:val="both"/>
        <w:rPr>
          <w:rFonts w:ascii="David" w:hAnsi="David"/>
          <w:b/>
          <w:bCs/>
          <w:color w:val="000000"/>
          <w:rtl/>
        </w:rPr>
      </w:pPr>
      <w:r>
        <w:rPr>
          <w:color w:val="000000"/>
          <w:rtl/>
        </w:rPr>
        <w:tab/>
        <w:t>לא זו אף זו, הנאשם החזיק בכמות גדולה מאוד של הסם הזה (</w:t>
      </w:r>
      <w:r>
        <w:rPr>
          <w:rFonts w:hint="cs"/>
          <w:color w:val="000000"/>
          <w:rtl/>
        </w:rPr>
        <w:t xml:space="preserve">606 </w:t>
      </w:r>
      <w:r>
        <w:rPr>
          <w:color w:val="000000"/>
          <w:rtl/>
        </w:rPr>
        <w:t xml:space="preserve">גרם), שלא לצריכה עצמית, ומכאן שמידת הפגיעה בערכים בענייננו היא גבוהה. </w:t>
      </w:r>
    </w:p>
    <w:p w14:paraId="23F053F2" w14:textId="77777777" w:rsidR="00416729" w:rsidRPr="00B25D50" w:rsidRDefault="00416729" w:rsidP="00416729">
      <w:pPr>
        <w:spacing w:line="360" w:lineRule="auto"/>
        <w:ind w:left="85" w:hanging="709"/>
        <w:jc w:val="both"/>
        <w:rPr>
          <w:rFonts w:ascii="David" w:hAnsi="David"/>
          <w:b/>
          <w:bCs/>
          <w:color w:val="000000"/>
          <w:rtl/>
        </w:rPr>
      </w:pPr>
    </w:p>
    <w:p w14:paraId="55D12488" w14:textId="77777777" w:rsidR="00416729" w:rsidRDefault="00416729" w:rsidP="00416729">
      <w:pPr>
        <w:spacing w:line="360" w:lineRule="auto"/>
        <w:ind w:left="85" w:hanging="709"/>
        <w:jc w:val="both"/>
        <w:rPr>
          <w:rFonts w:ascii="David" w:hAnsi="David"/>
          <w:color w:val="000000"/>
          <w:rtl/>
        </w:rPr>
      </w:pPr>
      <w:r>
        <w:rPr>
          <w:rFonts w:ascii="David" w:hAnsi="David" w:hint="cs"/>
          <w:color w:val="000000"/>
          <w:rtl/>
        </w:rPr>
        <w:t>12</w:t>
      </w:r>
      <w:r>
        <w:rPr>
          <w:rFonts w:ascii="David" w:hAnsi="David"/>
          <w:color w:val="000000"/>
          <w:rtl/>
        </w:rPr>
        <w:t>.</w:t>
      </w:r>
      <w:r>
        <w:rPr>
          <w:rFonts w:ascii="David" w:hAnsi="David"/>
          <w:color w:val="000000"/>
          <w:rtl/>
        </w:rPr>
        <w:tab/>
        <w:t xml:space="preserve">באשר לנסיבות ביצוע העבירה נתתי משקל לכך שהנאשם החזיק בסם </w:t>
      </w:r>
      <w:r>
        <w:rPr>
          <w:rFonts w:ascii="David" w:hAnsi="David" w:hint="cs"/>
          <w:color w:val="000000"/>
          <w:rtl/>
        </w:rPr>
        <w:t>"</w:t>
      </w:r>
      <w:r>
        <w:rPr>
          <w:rFonts w:ascii="David" w:hAnsi="David"/>
          <w:color w:val="000000"/>
          <w:rtl/>
        </w:rPr>
        <w:t>קשה</w:t>
      </w:r>
      <w:r>
        <w:rPr>
          <w:rFonts w:ascii="David" w:hAnsi="David" w:hint="cs"/>
          <w:color w:val="000000"/>
          <w:rtl/>
        </w:rPr>
        <w:t>"</w:t>
      </w:r>
      <w:r>
        <w:rPr>
          <w:rFonts w:ascii="David" w:hAnsi="David"/>
          <w:color w:val="000000"/>
          <w:rtl/>
        </w:rPr>
        <w:t xml:space="preserve"> (</w:t>
      </w:r>
      <w:r>
        <w:rPr>
          <w:rFonts w:ascii="David" w:hAnsi="David" w:hint="cs"/>
          <w:color w:val="000000"/>
          <w:rtl/>
        </w:rPr>
        <w:t>קוק</w:t>
      </w:r>
      <w:r>
        <w:rPr>
          <w:rFonts w:ascii="David" w:hAnsi="David"/>
          <w:color w:val="000000"/>
          <w:rtl/>
        </w:rPr>
        <w:t>אין)</w:t>
      </w:r>
      <w:r>
        <w:rPr>
          <w:rFonts w:ascii="David" w:hAnsi="David" w:hint="cs"/>
          <w:color w:val="000000"/>
          <w:rtl/>
        </w:rPr>
        <w:t xml:space="preserve">, </w:t>
      </w:r>
      <w:r>
        <w:rPr>
          <w:rFonts w:ascii="David" w:hAnsi="David"/>
          <w:color w:val="000000"/>
          <w:rtl/>
        </w:rPr>
        <w:t>למשקלו הגבוה של הסם אותו הוא החזיק, לנזק שעלול היה להיגרם לו היה הסם מגיע לצרכני הסם, למניע שהניע את הנאשם לבצע את העבירה (בצע כסף), לתכנון שקדם לביצוע העבירה ולשיתוף הפעולה עם אחר לצורך ביצועה.</w:t>
      </w:r>
    </w:p>
    <w:p w14:paraId="53736965" w14:textId="77777777" w:rsidR="00416729" w:rsidRDefault="00416729" w:rsidP="00416729">
      <w:pPr>
        <w:spacing w:line="360" w:lineRule="auto"/>
        <w:ind w:left="85" w:hanging="709"/>
        <w:jc w:val="both"/>
        <w:rPr>
          <w:rFonts w:ascii="David" w:hAnsi="David"/>
          <w:color w:val="000000"/>
          <w:rtl/>
        </w:rPr>
      </w:pPr>
      <w:r>
        <w:rPr>
          <w:rFonts w:ascii="David" w:hAnsi="David"/>
          <w:color w:val="000000"/>
          <w:rtl/>
        </w:rPr>
        <w:tab/>
        <w:t xml:space="preserve">מן הצד השני נתתי משקל שבסופו של יום הסם נתפס ולא הגיע לצרכני הסם. </w:t>
      </w:r>
    </w:p>
    <w:p w14:paraId="0D9F286D" w14:textId="77777777" w:rsidR="00416729" w:rsidRDefault="00416729" w:rsidP="00416729">
      <w:pPr>
        <w:spacing w:line="360" w:lineRule="auto"/>
        <w:ind w:left="85" w:hanging="709"/>
        <w:jc w:val="both"/>
        <w:rPr>
          <w:rFonts w:ascii="David" w:hAnsi="David"/>
          <w:color w:val="000000"/>
          <w:rtl/>
        </w:rPr>
      </w:pPr>
      <w:r>
        <w:rPr>
          <w:rFonts w:ascii="David" w:hAnsi="David"/>
          <w:color w:val="000000"/>
          <w:rtl/>
        </w:rPr>
        <w:tab/>
        <w:t xml:space="preserve">נתתי משקל גם לחלקו של הנאשם בביצוע העבירה, היינו לכך </w:t>
      </w:r>
      <w:r>
        <w:rPr>
          <w:rFonts w:ascii="David" w:hAnsi="David" w:hint="cs"/>
          <w:color w:val="000000"/>
          <w:rtl/>
        </w:rPr>
        <w:t>שהחזיק בסם עבור אחר</w:t>
      </w:r>
      <w:r>
        <w:rPr>
          <w:rFonts w:ascii="David" w:hAnsi="David"/>
          <w:color w:val="000000"/>
          <w:rtl/>
        </w:rPr>
        <w:t xml:space="preserve">. </w:t>
      </w:r>
      <w:r>
        <w:rPr>
          <w:rFonts w:ascii="David" w:hAnsi="David" w:hint="cs"/>
          <w:color w:val="000000"/>
          <w:rtl/>
        </w:rPr>
        <w:t xml:space="preserve">נסיבה זו מצדיקה התחשבות </w:t>
      </w:r>
      <w:r w:rsidRPr="004B5036">
        <w:rPr>
          <w:rFonts w:ascii="David" w:hAnsi="David" w:hint="cs"/>
          <w:b/>
          <w:bCs/>
          <w:color w:val="000000"/>
          <w:rtl/>
        </w:rPr>
        <w:t>מסוימת</w:t>
      </w:r>
      <w:r>
        <w:rPr>
          <w:rFonts w:ascii="David" w:hAnsi="David" w:hint="cs"/>
          <w:color w:val="000000"/>
          <w:rtl/>
        </w:rPr>
        <w:t xml:space="preserve">  בנאשם. יחד עם זאת, ו</w:t>
      </w:r>
      <w:r>
        <w:rPr>
          <w:rFonts w:ascii="David" w:hAnsi="David"/>
          <w:color w:val="000000"/>
          <w:rtl/>
        </w:rPr>
        <w:t xml:space="preserve">הגם שנתתי דעתי לכך שהנאשם לא היה מחולל העבירה, לא ניתן להקל ראש במעשיו, זאת אף אם </w:t>
      </w:r>
      <w:r>
        <w:rPr>
          <w:rFonts w:ascii="David" w:hAnsi="David" w:hint="cs"/>
          <w:color w:val="000000"/>
          <w:rtl/>
        </w:rPr>
        <w:t>נתייחס אליו כמעין</w:t>
      </w:r>
      <w:r>
        <w:rPr>
          <w:rFonts w:ascii="David" w:hAnsi="David"/>
          <w:color w:val="000000"/>
          <w:rtl/>
        </w:rPr>
        <w:t xml:space="preserve"> שליח ("בלדר") בלבד. באשר לחלקם של הבלדרים </w:t>
      </w:r>
      <w:r>
        <w:rPr>
          <w:rFonts w:ascii="David" w:hAnsi="David" w:hint="cs"/>
          <w:color w:val="000000"/>
          <w:rtl/>
        </w:rPr>
        <w:t xml:space="preserve">או השליחים </w:t>
      </w:r>
      <w:r>
        <w:rPr>
          <w:rFonts w:ascii="David" w:hAnsi="David"/>
          <w:color w:val="000000"/>
          <w:rtl/>
        </w:rPr>
        <w:t xml:space="preserve">בשרשרת הפצת הסם ראו </w:t>
      </w:r>
      <w:hyperlink r:id="rId16" w:history="1">
        <w:r w:rsidR="00DA60EE" w:rsidRPr="00DA60EE">
          <w:rPr>
            <w:rFonts w:ascii="David" w:hAnsi="David"/>
            <w:color w:val="0000FF"/>
            <w:u w:val="single"/>
            <w:rtl/>
          </w:rPr>
          <w:t>ע"פ 3820/09</w:t>
        </w:r>
      </w:hyperlink>
      <w:r>
        <w:rPr>
          <w:rFonts w:ascii="David" w:hAnsi="David"/>
          <w:color w:val="000000"/>
          <w:rtl/>
        </w:rPr>
        <w:t xml:space="preserve"> </w:t>
      </w:r>
      <w:r>
        <w:rPr>
          <w:rFonts w:ascii="David" w:hAnsi="David"/>
          <w:b/>
          <w:bCs/>
          <w:color w:val="000000"/>
          <w:rtl/>
        </w:rPr>
        <w:t>מדינת ישראל נ' אוחיון</w:t>
      </w:r>
      <w:r>
        <w:rPr>
          <w:rFonts w:ascii="David" w:hAnsi="David"/>
          <w:color w:val="000000"/>
          <w:rtl/>
        </w:rPr>
        <w:t xml:space="preserve"> (פורסם בנבו, 6.9.2009), פסקה 16: </w:t>
      </w:r>
    </w:p>
    <w:p w14:paraId="2DDEA42E" w14:textId="77777777" w:rsidR="00416729" w:rsidRDefault="00416729" w:rsidP="00416729">
      <w:pPr>
        <w:spacing w:line="360" w:lineRule="auto"/>
        <w:ind w:left="794" w:right="709"/>
        <w:jc w:val="both"/>
        <w:rPr>
          <w:rFonts w:ascii="David" w:hAnsi="David"/>
          <w:color w:val="000000"/>
          <w:rtl/>
        </w:rPr>
      </w:pPr>
      <w:r>
        <w:rPr>
          <w:rFonts w:ascii="David" w:hAnsi="David"/>
          <w:b/>
          <w:bCs/>
          <w:color w:val="000000"/>
          <w:rtl/>
        </w:rPr>
        <w:t xml:space="preserve">"אמנם המשיב לא היווה את החוליה המרכזית בשרשרת הפצת הסם, אך תפקידו במסגרתה היה חיוני, והוא "השיא תרומתו" בהסבת נזק חמור לחברה. מן המפורסמות הוא שמערכת הפצת הסמים נסמכת ונשענת על שירותיהם של אנשים רבים הממלאים לפעמים תפקידים של שליח או של בלדר. ברור שללא עזרתם של אלה לא הייתה המערכת הזאת מסוגלת לגרום את הנזק שהיא גורמת... נקבע כי בסוג זה של עבירות יש להעניש בצורה ראויה גם שליחים ובלדרים שכן מערכת הפצת הסמים נסמכת ונשענת במידה רבה על שירותיהם של בעלי תפקידים קטנים כאלה. </w:t>
      </w:r>
    </w:p>
    <w:p w14:paraId="514D5698" w14:textId="77777777" w:rsidR="00416729" w:rsidRDefault="00416729" w:rsidP="00416729">
      <w:pPr>
        <w:spacing w:line="360" w:lineRule="auto"/>
        <w:ind w:left="1361" w:right="1276"/>
        <w:jc w:val="both"/>
        <w:rPr>
          <w:rFonts w:ascii="David" w:hAnsi="David"/>
          <w:color w:val="000000"/>
          <w:rtl/>
        </w:rPr>
      </w:pPr>
    </w:p>
    <w:p w14:paraId="1EFFF5EA" w14:textId="77777777" w:rsidR="00416729" w:rsidRDefault="00416729" w:rsidP="00416729">
      <w:pPr>
        <w:spacing w:line="360" w:lineRule="auto"/>
        <w:ind w:left="85" w:hanging="709"/>
        <w:jc w:val="both"/>
        <w:rPr>
          <w:rFonts w:ascii="David" w:hAnsi="David"/>
          <w:noProof w:val="0"/>
          <w:spacing w:val="10"/>
          <w:rtl/>
        </w:rPr>
      </w:pPr>
      <w:r>
        <w:rPr>
          <w:rFonts w:ascii="David" w:hAnsi="David"/>
          <w:noProof w:val="0"/>
          <w:color w:val="000000"/>
          <w:rtl/>
        </w:rPr>
        <w:tab/>
        <w:t xml:space="preserve">כן ראו </w:t>
      </w:r>
      <w:hyperlink r:id="rId17" w:history="1">
        <w:r w:rsidR="00DA60EE" w:rsidRPr="00DA60EE">
          <w:rPr>
            <w:rFonts w:ascii="David" w:hAnsi="David"/>
            <w:noProof w:val="0"/>
            <w:color w:val="0000FF"/>
            <w:u w:val="single"/>
            <w:rtl/>
          </w:rPr>
          <w:t>ע"פ 8915/18</w:t>
        </w:r>
      </w:hyperlink>
      <w:r>
        <w:rPr>
          <w:rFonts w:ascii="David" w:hAnsi="David"/>
          <w:noProof w:val="0"/>
          <w:color w:val="000000"/>
          <w:rtl/>
        </w:rPr>
        <w:t xml:space="preserve">  </w:t>
      </w:r>
      <w:r>
        <w:rPr>
          <w:rFonts w:ascii="David" w:hAnsi="David"/>
          <w:b/>
          <w:bCs/>
          <w:noProof w:val="0"/>
          <w:color w:val="000000"/>
          <w:rtl/>
        </w:rPr>
        <w:t>מועזיז נ' מדינת ישראל</w:t>
      </w:r>
      <w:r>
        <w:rPr>
          <w:rFonts w:ascii="David" w:hAnsi="David"/>
          <w:noProof w:val="0"/>
          <w:spacing w:val="10"/>
          <w:rtl/>
        </w:rPr>
        <w:t xml:space="preserve"> (פורסם בנבו, 24.9.2019) (להלן: "ענין מועזיז"), פסקה 12:</w:t>
      </w:r>
    </w:p>
    <w:p w14:paraId="5C89CCAD" w14:textId="77777777" w:rsidR="00416729" w:rsidRDefault="00416729" w:rsidP="00416729">
      <w:pPr>
        <w:spacing w:line="360" w:lineRule="auto"/>
        <w:ind w:left="794" w:right="709"/>
        <w:jc w:val="both"/>
        <w:rPr>
          <w:rFonts w:ascii="David" w:hAnsi="David"/>
          <w:b/>
          <w:bCs/>
          <w:color w:val="000000"/>
          <w:rtl/>
        </w:rPr>
      </w:pPr>
      <w:r>
        <w:rPr>
          <w:rFonts w:ascii="David" w:hAnsi="David"/>
          <w:b/>
          <w:bCs/>
          <w:color w:val="000000"/>
          <w:rtl/>
        </w:rPr>
        <w:t>"...ברי כי מערכת הפצת הסמים לא יכולה לתפקד ללא שירותיהם של בעלי תפקידים 'קטנים' כמותו המשמשים חוליה בשרשרת, ואשר בלעדיהם לא יכון המעשה...אמנם, ככלל, ענישתם של הוגי התוכנית, אלה העומדים בראש הפירמידה, תהא חמורה יותר. אולם אין בכך כדי לפתור את הבלדרים ומובילי הסם מענישה נוקשה המשקפת את חומרת מעשיהם – על כל נזקיהם הפוטנציאליים"</w:t>
      </w:r>
      <w:r w:rsidRPr="00AC28D6">
        <w:rPr>
          <w:rFonts w:ascii="David" w:hAnsi="David" w:hint="cs"/>
          <w:color w:val="000000"/>
          <w:rtl/>
        </w:rPr>
        <w:t>.</w:t>
      </w:r>
    </w:p>
    <w:p w14:paraId="2D7DEB4E" w14:textId="77777777" w:rsidR="00416729" w:rsidRPr="00AC28D6" w:rsidRDefault="00416729" w:rsidP="00416729">
      <w:pPr>
        <w:spacing w:line="360" w:lineRule="auto"/>
        <w:ind w:left="794" w:right="709"/>
        <w:jc w:val="both"/>
        <w:rPr>
          <w:rFonts w:ascii="David" w:hAnsi="David"/>
          <w:b/>
          <w:bCs/>
          <w:color w:val="000000"/>
          <w:rtl/>
        </w:rPr>
      </w:pPr>
    </w:p>
    <w:p w14:paraId="52B8DCBC"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13</w:t>
      </w:r>
      <w:r>
        <w:rPr>
          <w:rFonts w:ascii="Arial" w:hAnsi="Arial"/>
          <w:noProof w:val="0"/>
          <w:rtl/>
        </w:rPr>
        <w:t>.</w:t>
      </w:r>
      <w:r>
        <w:rPr>
          <w:rFonts w:ascii="Arial" w:hAnsi="Arial"/>
          <w:noProof w:val="0"/>
          <w:rtl/>
        </w:rPr>
        <w:tab/>
        <w:t>ביחס לענישה הנוהגת הרי שזו מגוונת ותלויה בנסיבות העושה, לרבות גילו, עברו הפלילי ושאלת השתלבותו בהליך שיקומי ובעיקר בנסיבות ה"מעשה" לרבות סוג הסם, משקלו, התכנון והתחכום בביצוע העבירה</w:t>
      </w:r>
      <w:r>
        <w:rPr>
          <w:rFonts w:ascii="Arial" w:hAnsi="Arial" w:hint="cs"/>
          <w:noProof w:val="0"/>
          <w:rtl/>
        </w:rPr>
        <w:t>, שיתוף פעולה עם אחרים</w:t>
      </w:r>
      <w:r>
        <w:rPr>
          <w:rFonts w:ascii="Arial" w:hAnsi="Arial"/>
          <w:noProof w:val="0"/>
          <w:rtl/>
        </w:rPr>
        <w:t xml:space="preserve"> וכיוצ"ב נסיבות המשפיעות על הענישה.</w:t>
      </w:r>
    </w:p>
    <w:p w14:paraId="18F90A7E"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t>מסקירת הפסיקה הנוהגת בנושא עולה, כי אף שקיים גיוון רב בענישה, רמת הענישה המקובלת במקרים העוסקים בהחזקת סם מסוכן מסוג הרואין או קוקאין שלא לצריכה עצמית, בכמות של עשרות גרמים</w:t>
      </w:r>
      <w:r>
        <w:rPr>
          <w:rFonts w:ascii="Arial" w:hAnsi="Arial" w:hint="cs"/>
          <w:noProof w:val="0"/>
          <w:rtl/>
        </w:rPr>
        <w:t xml:space="preserve"> ומעלה היא של שנות מאסר. בעניין זה ראו למשל, </w:t>
      </w:r>
      <w:hyperlink r:id="rId18" w:history="1">
        <w:r w:rsidR="00DA60EE" w:rsidRPr="00DA60EE">
          <w:rPr>
            <w:rFonts w:ascii="Arial" w:hAnsi="Arial"/>
            <w:noProof w:val="0"/>
            <w:color w:val="0000FF"/>
            <w:u w:val="single"/>
            <w:rtl/>
          </w:rPr>
          <w:t>ע"פ 8820/14</w:t>
        </w:r>
      </w:hyperlink>
      <w:r>
        <w:rPr>
          <w:rFonts w:ascii="Arial" w:hAnsi="Arial"/>
          <w:noProof w:val="0"/>
          <w:rtl/>
        </w:rPr>
        <w:t xml:space="preserve"> </w:t>
      </w:r>
      <w:r>
        <w:rPr>
          <w:rFonts w:ascii="Arial" w:hAnsi="Arial"/>
          <w:bCs/>
          <w:noProof w:val="0"/>
          <w:rtl/>
        </w:rPr>
        <w:t xml:space="preserve">שחר נ' מדינת ישראל </w:t>
      </w:r>
      <w:r>
        <w:rPr>
          <w:rFonts w:ascii="Arial" w:hAnsi="Arial"/>
          <w:noProof w:val="0"/>
          <w:rtl/>
        </w:rPr>
        <w:t>(פורסם בנבו, 17.5.2015), פסקה 12</w:t>
      </w:r>
      <w:r>
        <w:rPr>
          <w:rFonts w:ascii="Arial" w:hAnsi="Arial" w:hint="cs"/>
          <w:noProof w:val="0"/>
          <w:rtl/>
        </w:rPr>
        <w:t xml:space="preserve"> (להלן: "עניין שחר").</w:t>
      </w:r>
    </w:p>
    <w:p w14:paraId="2514305C" w14:textId="77777777" w:rsidR="00416729" w:rsidRDefault="00416729" w:rsidP="00416729">
      <w:pPr>
        <w:spacing w:line="360" w:lineRule="auto"/>
        <w:ind w:left="85"/>
        <w:jc w:val="both"/>
        <w:rPr>
          <w:rFonts w:ascii="Arial" w:hAnsi="Arial"/>
          <w:noProof w:val="0"/>
          <w:rtl/>
        </w:rPr>
      </w:pPr>
    </w:p>
    <w:p w14:paraId="128FEFD3" w14:textId="77777777" w:rsidR="00416729" w:rsidRDefault="00416729" w:rsidP="00416729">
      <w:pPr>
        <w:spacing w:line="360" w:lineRule="auto"/>
        <w:ind w:left="85"/>
        <w:jc w:val="both"/>
        <w:rPr>
          <w:rFonts w:ascii="Arial" w:hAnsi="Arial"/>
          <w:noProof w:val="0"/>
          <w:rtl/>
        </w:rPr>
      </w:pPr>
      <w:r>
        <w:rPr>
          <w:rFonts w:ascii="Arial" w:hAnsi="Arial"/>
          <w:noProof w:val="0"/>
          <w:rtl/>
        </w:rPr>
        <w:t xml:space="preserve">להלן תוצג פסיקה במקרים דומים של החזקת הירואין </w:t>
      </w:r>
      <w:r w:rsidRPr="00EB7AE8">
        <w:rPr>
          <w:rFonts w:ascii="Arial" w:hAnsi="Arial" w:hint="cs"/>
          <w:noProof w:val="0"/>
          <w:rtl/>
        </w:rPr>
        <w:t>וקוקאין</w:t>
      </w:r>
      <w:r>
        <w:rPr>
          <w:rFonts w:ascii="Arial" w:hAnsi="Arial" w:hint="cs"/>
          <w:noProof w:val="0"/>
          <w:rtl/>
        </w:rPr>
        <w:t xml:space="preserve"> </w:t>
      </w:r>
      <w:r>
        <w:rPr>
          <w:rFonts w:ascii="Arial" w:hAnsi="Arial"/>
          <w:noProof w:val="0"/>
          <w:rtl/>
        </w:rPr>
        <w:t>שלא לצריכה עצמית בכמויות גדולות.</w:t>
      </w:r>
    </w:p>
    <w:p w14:paraId="36F0202F" w14:textId="77777777" w:rsidR="00416729" w:rsidRDefault="00416729" w:rsidP="00416729">
      <w:pPr>
        <w:spacing w:line="360" w:lineRule="auto"/>
        <w:ind w:left="85"/>
        <w:jc w:val="both"/>
        <w:rPr>
          <w:rFonts w:ascii="Arial" w:hAnsi="Arial"/>
          <w:noProof w:val="0"/>
          <w:rtl/>
        </w:rPr>
      </w:pPr>
    </w:p>
    <w:p w14:paraId="350F7D32" w14:textId="77777777" w:rsidR="00416729" w:rsidRDefault="00416729" w:rsidP="00416729">
      <w:pPr>
        <w:spacing w:line="360" w:lineRule="auto"/>
        <w:ind w:left="85"/>
        <w:jc w:val="both"/>
        <w:rPr>
          <w:rFonts w:ascii="Arial" w:hAnsi="Arial"/>
          <w:noProof w:val="0"/>
          <w:rtl/>
        </w:rPr>
      </w:pPr>
      <w:r>
        <w:rPr>
          <w:rFonts w:ascii="Arial" w:hAnsi="Arial"/>
          <w:noProof w:val="0"/>
          <w:rtl/>
        </w:rPr>
        <w:t>ב</w:t>
      </w:r>
      <w:hyperlink r:id="rId19" w:history="1">
        <w:r w:rsidR="00DA60EE" w:rsidRPr="00DA60EE">
          <w:rPr>
            <w:rFonts w:ascii="Arial" w:hAnsi="Arial"/>
            <w:noProof w:val="0"/>
            <w:color w:val="0000FF"/>
            <w:u w:val="single"/>
            <w:rtl/>
          </w:rPr>
          <w:t>ע"פ 1945/13</w:t>
        </w:r>
      </w:hyperlink>
      <w:r>
        <w:rPr>
          <w:rFonts w:ascii="Arial" w:hAnsi="Arial"/>
          <w:noProof w:val="0"/>
          <w:rtl/>
        </w:rPr>
        <w:t xml:space="preserve"> </w:t>
      </w:r>
      <w:r>
        <w:rPr>
          <w:rFonts w:ascii="Arial" w:hAnsi="Arial"/>
          <w:b/>
          <w:bCs/>
          <w:noProof w:val="0"/>
          <w:rtl/>
        </w:rPr>
        <w:t>אחמד נ' מדינת ישראל</w:t>
      </w:r>
      <w:r>
        <w:rPr>
          <w:rFonts w:ascii="Arial" w:hAnsi="Arial"/>
          <w:noProof w:val="0"/>
          <w:rtl/>
        </w:rPr>
        <w:t xml:space="preserve"> (פורסם בנבו, 5.10.2014) דחה בית המשפט העליון את ערעורו של נאשם בעל עבר פלילי שהורשע בעבירות של החזקת סם מסוכן מסוג הרואין במשקל של 3.5 ק"ג שלא לצריכה עצמית אותם אסף סמוך לגדר הגבול עם לבנון ועבירות נלוות והותיר על כנו עונש של 6 שנות מאסר וקנס על סך 10,000 ₪. במקרה זה דובר בכמות גדולה יותר של סמים שהוחזקה, בעבירות נוספות בהן הורשע, בנסיבות מחמירות יותר של עבירה (איסוף ליד גדר הגבול) ובנאשם בעל עבר פלילי מכביד, לרבות בעבירות סם</w:t>
      </w:r>
      <w:r>
        <w:rPr>
          <w:rFonts w:ascii="Arial" w:hAnsi="Arial" w:hint="cs"/>
          <w:noProof w:val="0"/>
          <w:rtl/>
        </w:rPr>
        <w:t>;</w:t>
      </w:r>
    </w:p>
    <w:p w14:paraId="2E42C400" w14:textId="77777777" w:rsidR="00416729" w:rsidRDefault="00416729" w:rsidP="00416729">
      <w:pPr>
        <w:spacing w:line="360" w:lineRule="auto"/>
        <w:ind w:left="85"/>
        <w:jc w:val="both"/>
        <w:rPr>
          <w:rFonts w:ascii="Arial" w:hAnsi="Arial"/>
          <w:noProof w:val="0"/>
          <w:rtl/>
        </w:rPr>
      </w:pPr>
    </w:p>
    <w:p w14:paraId="52660FDC" w14:textId="77777777" w:rsidR="00416729" w:rsidRDefault="00416729" w:rsidP="00416729">
      <w:pPr>
        <w:spacing w:line="360" w:lineRule="auto"/>
        <w:ind w:left="85"/>
        <w:jc w:val="both"/>
        <w:rPr>
          <w:rFonts w:ascii="Arial" w:hAnsi="Arial"/>
          <w:noProof w:val="0"/>
          <w:rtl/>
        </w:rPr>
      </w:pPr>
      <w:r>
        <w:rPr>
          <w:rFonts w:ascii="Arial" w:hAnsi="Arial"/>
          <w:noProof w:val="0"/>
          <w:rtl/>
        </w:rPr>
        <w:t>ב</w:t>
      </w:r>
      <w:hyperlink r:id="rId20" w:history="1">
        <w:r w:rsidR="00DA60EE" w:rsidRPr="00DA60EE">
          <w:rPr>
            <w:rFonts w:ascii="Arial" w:hAnsi="Arial"/>
            <w:noProof w:val="0"/>
            <w:color w:val="0000FF"/>
            <w:u w:val="single"/>
            <w:rtl/>
          </w:rPr>
          <w:t>ע"פ 2646/15</w:t>
        </w:r>
      </w:hyperlink>
      <w:r>
        <w:rPr>
          <w:rFonts w:ascii="Arial" w:hAnsi="Arial"/>
          <w:noProof w:val="0"/>
          <w:rtl/>
        </w:rPr>
        <w:t xml:space="preserve"> </w:t>
      </w:r>
      <w:r>
        <w:rPr>
          <w:rFonts w:ascii="Arial" w:hAnsi="Arial"/>
          <w:b/>
          <w:bCs/>
          <w:noProof w:val="0"/>
          <w:rtl/>
        </w:rPr>
        <w:t>מדינת ישראל נ' אבו בכר</w:t>
      </w:r>
      <w:r>
        <w:rPr>
          <w:rFonts w:ascii="Arial" w:hAnsi="Arial"/>
          <w:noProof w:val="0"/>
          <w:rtl/>
        </w:rPr>
        <w:t xml:space="preserve"> (פורסם בנבו,16.7.2015) דחה בית המשפט העליון, ברוב דעות, את ערעורה של המאשימה על קולת העונש שהושת על נאשם בעל עבר פלילי שהורשע בהחזקה עצמית של סם מסוכן מסוג הרואין במשקל של 990.39 גרם שלא לצריכה עצמית ובעבירה של הסתייעות ברכב והותיר על כנו עונש של 34 חודשי מאסר וקנס בסך 10,000 ₪. בית המשפט ציין כי : </w:t>
      </w:r>
      <w:r>
        <w:rPr>
          <w:rFonts w:ascii="Arial" w:hAnsi="Arial"/>
          <w:b/>
          <w:bCs/>
          <w:noProof w:val="0"/>
          <w:rtl/>
        </w:rPr>
        <w:t>"...ככלל נטיית בית המשפט היא להשית עונשים משמעותיים על מבצעי עבירות הסמים, לרבות בלדרים המאפשרים את העברתו של הסם מבעליו לציבור...שיקול מרכזי נוסף בדין הפלילי בהטלת ענישה על מבצעי עבירה היא עקרון הענישה האינדיווידואלית, ולאורו פסק זה מכבר בית משפט זה, כי תקופות המאסר המושתות על בלדרי הסמים משתנות ממקרה למקרה ותלויות בנסיבותיו הקונקרטיות של כל מקרה</w:t>
      </w:r>
      <w:r>
        <w:rPr>
          <w:rFonts w:ascii="Arial" w:hAnsi="Arial"/>
          <w:noProof w:val="0"/>
          <w:rtl/>
        </w:rPr>
        <w:t>" . בית המשפט העליון קבע כי נוכח נסיבות המקרה ניתן היה להשית על הנאשם עונש חמור יותר אך נוכח עקרון אחידות הענישה והעונש שהוטל על נאשם אחר שהיה עמו ועל מנת לא ליצור פער מהותי בין העונשים הוא דוחה את הערעור</w:t>
      </w:r>
      <w:r>
        <w:rPr>
          <w:rFonts w:ascii="Arial" w:hAnsi="Arial" w:hint="cs"/>
          <w:noProof w:val="0"/>
          <w:rtl/>
        </w:rPr>
        <w:t>;</w:t>
      </w:r>
    </w:p>
    <w:p w14:paraId="307B5F49" w14:textId="77777777" w:rsidR="00416729" w:rsidRDefault="00416729" w:rsidP="00416729">
      <w:pPr>
        <w:spacing w:line="360" w:lineRule="auto"/>
        <w:ind w:left="85" w:hanging="709"/>
        <w:jc w:val="both"/>
        <w:rPr>
          <w:rFonts w:ascii="Arial" w:hAnsi="Arial"/>
          <w:noProof w:val="0"/>
          <w:rtl/>
        </w:rPr>
      </w:pPr>
    </w:p>
    <w:p w14:paraId="080350BC" w14:textId="77777777" w:rsidR="00416729" w:rsidRDefault="00416729" w:rsidP="00416729">
      <w:pPr>
        <w:spacing w:line="360" w:lineRule="auto"/>
        <w:ind w:left="85"/>
        <w:jc w:val="both"/>
        <w:rPr>
          <w:rFonts w:ascii="Arial" w:hAnsi="Arial"/>
          <w:noProof w:val="0"/>
          <w:rtl/>
        </w:rPr>
      </w:pPr>
    </w:p>
    <w:p w14:paraId="023CEE47" w14:textId="77777777" w:rsidR="00416729" w:rsidRDefault="00416729" w:rsidP="00416729">
      <w:pPr>
        <w:spacing w:line="360" w:lineRule="auto"/>
        <w:ind w:left="85"/>
        <w:jc w:val="both"/>
        <w:rPr>
          <w:rFonts w:ascii="Arial" w:hAnsi="Arial"/>
          <w:noProof w:val="0"/>
          <w:rtl/>
        </w:rPr>
      </w:pPr>
    </w:p>
    <w:p w14:paraId="768DD32F" w14:textId="77777777" w:rsidR="00416729" w:rsidRDefault="00416729" w:rsidP="00416729">
      <w:pPr>
        <w:spacing w:line="360" w:lineRule="auto"/>
        <w:ind w:left="85"/>
        <w:jc w:val="both"/>
        <w:rPr>
          <w:rFonts w:ascii="Arial" w:hAnsi="Arial"/>
          <w:noProof w:val="0"/>
          <w:rtl/>
        </w:rPr>
      </w:pPr>
      <w:r>
        <w:rPr>
          <w:rFonts w:ascii="Arial" w:hAnsi="Arial"/>
          <w:noProof w:val="0"/>
          <w:rtl/>
        </w:rPr>
        <w:t>ב</w:t>
      </w:r>
      <w:hyperlink r:id="rId21" w:history="1">
        <w:r w:rsidR="00DA60EE" w:rsidRPr="00DA60EE">
          <w:rPr>
            <w:rFonts w:ascii="Arial" w:hAnsi="Arial"/>
            <w:noProof w:val="0"/>
            <w:color w:val="0000FF"/>
            <w:u w:val="single"/>
            <w:rtl/>
          </w:rPr>
          <w:t>ע"פ 5065/15</w:t>
        </w:r>
      </w:hyperlink>
      <w:r>
        <w:rPr>
          <w:rFonts w:ascii="Arial" w:hAnsi="Arial"/>
          <w:noProof w:val="0"/>
          <w:rtl/>
        </w:rPr>
        <w:t xml:space="preserve"> </w:t>
      </w:r>
      <w:r>
        <w:rPr>
          <w:rFonts w:ascii="Arial" w:hAnsi="Arial"/>
          <w:b/>
          <w:bCs/>
          <w:noProof w:val="0"/>
          <w:rtl/>
        </w:rPr>
        <w:t>עבד אל קאדר נ' מדינת ישראל</w:t>
      </w:r>
      <w:r>
        <w:rPr>
          <w:rFonts w:ascii="Arial" w:hAnsi="Arial"/>
          <w:noProof w:val="0"/>
          <w:rtl/>
        </w:rPr>
        <w:t xml:space="preserve"> (פורסם בנבו, 20.4.2016) דחה בית המשפט העליון את ערעורו של נאשם ללא עבר פלילי שהורשע בהחזקת סם מסוכן מסוג הרואין במשקל של  955 גרם והותיר על כנו עונש של 50 חודשי מאסר וקנס בסך של 25,000 ₪</w:t>
      </w:r>
      <w:r>
        <w:rPr>
          <w:rFonts w:ascii="Arial" w:hAnsi="Arial" w:hint="cs"/>
          <w:noProof w:val="0"/>
          <w:rtl/>
        </w:rPr>
        <w:t>;</w:t>
      </w:r>
    </w:p>
    <w:p w14:paraId="39EBB786" w14:textId="77777777" w:rsidR="00416729" w:rsidRDefault="00416729" w:rsidP="00416729">
      <w:pPr>
        <w:spacing w:line="360" w:lineRule="auto"/>
        <w:jc w:val="both"/>
        <w:rPr>
          <w:rFonts w:ascii="Arial" w:hAnsi="Arial"/>
          <w:noProof w:val="0"/>
          <w:rtl/>
        </w:rPr>
      </w:pPr>
    </w:p>
    <w:p w14:paraId="22EC6D6B" w14:textId="77777777" w:rsidR="00416729" w:rsidRDefault="00416729" w:rsidP="00416729">
      <w:pPr>
        <w:spacing w:line="360" w:lineRule="auto"/>
        <w:ind w:left="85"/>
        <w:jc w:val="both"/>
        <w:rPr>
          <w:rFonts w:ascii="Arial" w:hAnsi="Arial"/>
          <w:noProof w:val="0"/>
          <w:rtl/>
        </w:rPr>
      </w:pPr>
      <w:r>
        <w:rPr>
          <w:rFonts w:ascii="Arial" w:hAnsi="Arial"/>
          <w:b/>
          <w:bCs/>
          <w:noProof w:val="0"/>
          <w:rtl/>
        </w:rPr>
        <w:t>בעניין סואעד</w:t>
      </w:r>
      <w:r>
        <w:rPr>
          <w:rFonts w:ascii="Arial" w:hAnsi="Arial"/>
          <w:noProof w:val="0"/>
          <w:rtl/>
        </w:rPr>
        <w:t xml:space="preserve"> הנ"ל דחה בית המשפט העליון את ערעורו של נאשם שהורשע בעבירה של החזקת סם מסוכן מסוג הרואין במשקל של 500 גרם שלא לצריכה עצמית וניסיון להחזקת סם מסוכן מסוג הרואין שלא לצריכה עצמית והותיר על כנו עונש של 54 חודשי מאסר. גם כאן הורשע הנאשם בעבירת ניסיון נוספת ובנסיבות מחמירות של איסוף ליד גדר הגבול</w:t>
      </w:r>
      <w:r>
        <w:rPr>
          <w:rFonts w:ascii="Arial" w:hAnsi="Arial" w:hint="cs"/>
          <w:noProof w:val="0"/>
          <w:rtl/>
        </w:rPr>
        <w:t>;</w:t>
      </w:r>
    </w:p>
    <w:p w14:paraId="632E5E43" w14:textId="77777777" w:rsidR="00416729" w:rsidRDefault="00416729" w:rsidP="00416729">
      <w:pPr>
        <w:spacing w:line="360" w:lineRule="auto"/>
        <w:jc w:val="both"/>
        <w:rPr>
          <w:rFonts w:ascii="Arial" w:hAnsi="Arial"/>
          <w:noProof w:val="0"/>
          <w:rtl/>
        </w:rPr>
      </w:pPr>
    </w:p>
    <w:p w14:paraId="04E3199E" w14:textId="77777777" w:rsidR="00416729" w:rsidRDefault="00416729" w:rsidP="00416729">
      <w:pPr>
        <w:spacing w:line="360" w:lineRule="auto"/>
        <w:ind w:left="85"/>
        <w:jc w:val="both"/>
        <w:rPr>
          <w:rFonts w:ascii="Arial" w:hAnsi="Arial"/>
          <w:noProof w:val="0"/>
          <w:rtl/>
        </w:rPr>
      </w:pPr>
      <w:r>
        <w:rPr>
          <w:rFonts w:ascii="Arial" w:hAnsi="Arial" w:hint="cs"/>
          <w:noProof w:val="0"/>
          <w:rtl/>
        </w:rPr>
        <w:t>ב</w:t>
      </w:r>
      <w:hyperlink r:id="rId22" w:history="1">
        <w:r w:rsidR="00DA60EE" w:rsidRPr="00DA60EE">
          <w:rPr>
            <w:rFonts w:ascii="Arial" w:hAnsi="Arial"/>
            <w:noProof w:val="0"/>
            <w:color w:val="0000FF"/>
            <w:u w:val="single"/>
            <w:rtl/>
          </w:rPr>
          <w:t>ע"פ 4592/15</w:t>
        </w:r>
      </w:hyperlink>
      <w:r>
        <w:rPr>
          <w:rFonts w:ascii="Arial" w:hAnsi="Arial" w:hint="cs"/>
          <w:noProof w:val="0"/>
          <w:rtl/>
        </w:rPr>
        <w:t xml:space="preserve"> </w:t>
      </w:r>
      <w:r w:rsidRPr="00C95038">
        <w:rPr>
          <w:rFonts w:ascii="Arial" w:hAnsi="Arial" w:hint="cs"/>
          <w:b/>
          <w:bCs/>
          <w:noProof w:val="0"/>
          <w:rtl/>
        </w:rPr>
        <w:t>פדידה נ' מדינת ישראל</w:t>
      </w:r>
      <w:r>
        <w:rPr>
          <w:rFonts w:ascii="Arial" w:hAnsi="Arial" w:hint="cs"/>
          <w:noProof w:val="0"/>
          <w:rtl/>
        </w:rPr>
        <w:t xml:space="preserve"> (פורסם בנבו, 8.2.2016) דחה בית המשפט העליון את ערעורם של הנאשמים שהורשעו בעבירות של קשירת קשר לביצוע פשע, והחזקת סם מסוכן שלא לצריכה עצמית מסוג קוקאין במשקל של 481.6 גרם כשנאשם 2 הורשע בסיוע לעבירה זו והותיר על כנו עונש של 30 חודשי מאסר שהוטלו עליהם בבית המשפט המחוזי.</w:t>
      </w:r>
    </w:p>
    <w:p w14:paraId="175A7DBF" w14:textId="77777777" w:rsidR="00416729" w:rsidRDefault="00416729" w:rsidP="00416729">
      <w:pPr>
        <w:spacing w:line="360" w:lineRule="auto"/>
        <w:ind w:left="85"/>
        <w:jc w:val="both"/>
        <w:rPr>
          <w:rFonts w:ascii="Arial" w:hAnsi="Arial"/>
          <w:noProof w:val="0"/>
          <w:rtl/>
        </w:rPr>
      </w:pPr>
    </w:p>
    <w:p w14:paraId="0596B679" w14:textId="77777777" w:rsidR="00416729" w:rsidRDefault="00416729" w:rsidP="00416729">
      <w:pPr>
        <w:spacing w:line="360" w:lineRule="auto"/>
        <w:ind w:left="85"/>
        <w:jc w:val="both"/>
        <w:rPr>
          <w:rFonts w:ascii="Arial" w:hAnsi="Arial"/>
          <w:noProof w:val="0"/>
          <w:rtl/>
        </w:rPr>
      </w:pPr>
      <w:r>
        <w:rPr>
          <w:rFonts w:ascii="Arial" w:hAnsi="Arial"/>
          <w:b/>
          <w:bCs/>
          <w:noProof w:val="0"/>
          <w:rtl/>
        </w:rPr>
        <w:t>בעניין אזולאי</w:t>
      </w:r>
      <w:r>
        <w:rPr>
          <w:rFonts w:ascii="Arial" w:hAnsi="Arial"/>
          <w:noProof w:val="0"/>
          <w:rtl/>
        </w:rPr>
        <w:t xml:space="preserve"> הנ"ל אותו אף צרפה המאשימה דחה בית המשפט העליון את ערעורו של נאשם בעל עבר פלילי מכביד שהורשע בהחזקת סם מסוכן מסוג הרואין במשקל של 176.67 גרם שלא לצריכה עצמית ואשר נתפסה במהלך חיפוש על גופו של הנאשם והותיר על כנו עונש של 5 שנות מאסר בפועל. בית המשפט העליון קבע כי: "</w:t>
      </w:r>
      <w:r>
        <w:rPr>
          <w:rFonts w:ascii="Arial" w:hAnsi="Arial"/>
          <w:b/>
          <w:bCs/>
          <w:noProof w:val="0"/>
          <w:rtl/>
        </w:rPr>
        <w:t>הענישה מסוג זה נועדה, קודם לכל, לשרת את מטרת הגמול לעבריין על עיסוק בסם העלול לסכן חיי אדם ולפגוע בבריאות המשתמשים בו...להעביר מסר חד משמעי של הרתעה ביחס לעבריינים פוטנציאלים ולשמש אות אזהרה אפקטיבי לכל מי שמתכוון לקחת חלק במערכת ההעברות והסחר בסמים</w:t>
      </w:r>
      <w:r>
        <w:rPr>
          <w:rFonts w:ascii="Arial" w:hAnsi="Arial"/>
          <w:noProof w:val="0"/>
          <w:rtl/>
        </w:rPr>
        <w:t>" (פסקה 10). יחד עם זאת, באותו מקרה דובר בנאשם רצידיוויסט, בעל עבר פלילי מכביד לרבות בעבירות סמים שלא לקח אחריות על מעשיו והורשע לאחר ניהול הליך הוכחות</w:t>
      </w:r>
      <w:r>
        <w:rPr>
          <w:rFonts w:ascii="Arial" w:hAnsi="Arial" w:hint="cs"/>
          <w:noProof w:val="0"/>
          <w:rtl/>
        </w:rPr>
        <w:t>;</w:t>
      </w:r>
    </w:p>
    <w:p w14:paraId="01E2E846" w14:textId="77777777" w:rsidR="00416729" w:rsidRDefault="00416729" w:rsidP="00416729">
      <w:pPr>
        <w:spacing w:line="360" w:lineRule="auto"/>
        <w:jc w:val="both"/>
        <w:rPr>
          <w:rFonts w:ascii="Arial" w:hAnsi="Arial"/>
          <w:noProof w:val="0"/>
          <w:rtl/>
        </w:rPr>
      </w:pPr>
    </w:p>
    <w:p w14:paraId="78F56E43" w14:textId="77777777" w:rsidR="00416729" w:rsidRDefault="00416729" w:rsidP="00416729">
      <w:pPr>
        <w:spacing w:line="360" w:lineRule="auto"/>
        <w:ind w:left="85"/>
        <w:jc w:val="both"/>
        <w:rPr>
          <w:rFonts w:ascii="Arial" w:hAnsi="Arial"/>
          <w:noProof w:val="0"/>
          <w:rtl/>
        </w:rPr>
      </w:pPr>
      <w:r w:rsidRPr="007D54CC">
        <w:rPr>
          <w:rFonts w:ascii="Arial" w:hAnsi="Arial" w:hint="cs"/>
          <w:b/>
          <w:bCs/>
          <w:noProof w:val="0"/>
          <w:rtl/>
        </w:rPr>
        <w:t>בעניין שחר</w:t>
      </w:r>
      <w:r>
        <w:rPr>
          <w:rFonts w:ascii="Arial" w:hAnsi="Arial" w:hint="cs"/>
          <w:noProof w:val="0"/>
          <w:rtl/>
        </w:rPr>
        <w:t xml:space="preserve"> נדחה ערעור נאשם שהודה במסגרת הסדר טווח (המדינה הגבילה עצמה לעונש של 36 חודשים והנאשם טען באופן חופשי) בביצוע עבירות של החזקת סם שלא לצריכה עצמית ולצריכה עצמית מסוג קוקאין במשקל 112.3416 גרם ואשר נדון ל-36 חודשי מאסר; </w:t>
      </w:r>
      <w:r>
        <w:rPr>
          <w:rFonts w:ascii="Arial" w:hAnsi="Arial"/>
          <w:noProof w:val="0"/>
          <w:rtl/>
        </w:rPr>
        <w:tab/>
      </w:r>
    </w:p>
    <w:p w14:paraId="7A940051" w14:textId="77777777" w:rsidR="00416729" w:rsidRDefault="00416729" w:rsidP="00416729">
      <w:pPr>
        <w:spacing w:line="360" w:lineRule="auto"/>
        <w:jc w:val="both"/>
        <w:rPr>
          <w:rFonts w:ascii="Arial" w:hAnsi="Arial"/>
          <w:noProof w:val="0"/>
          <w:rtl/>
        </w:rPr>
      </w:pPr>
    </w:p>
    <w:p w14:paraId="1ADD1DA3" w14:textId="77777777" w:rsidR="00416729" w:rsidRDefault="00416729" w:rsidP="00416729">
      <w:pPr>
        <w:spacing w:line="360" w:lineRule="auto"/>
        <w:ind w:left="85"/>
        <w:jc w:val="both"/>
        <w:rPr>
          <w:rFonts w:ascii="Arial" w:hAnsi="Arial"/>
          <w:noProof w:val="0"/>
          <w:rtl/>
        </w:rPr>
      </w:pPr>
      <w:r>
        <w:rPr>
          <w:rFonts w:ascii="Arial" w:hAnsi="Arial" w:hint="cs"/>
          <w:noProof w:val="0"/>
          <w:rtl/>
        </w:rPr>
        <w:t>ב</w:t>
      </w:r>
      <w:hyperlink r:id="rId23" w:history="1">
        <w:r w:rsidR="00DA60EE" w:rsidRPr="00DA60EE">
          <w:rPr>
            <w:rFonts w:ascii="Arial" w:hAnsi="Arial"/>
            <w:noProof w:val="0"/>
            <w:color w:val="0000FF"/>
            <w:u w:val="single"/>
            <w:rtl/>
          </w:rPr>
          <w:t>ע"פ 5374/12</w:t>
        </w:r>
      </w:hyperlink>
      <w:r>
        <w:rPr>
          <w:rFonts w:ascii="Arial" w:hAnsi="Arial" w:hint="cs"/>
          <w:noProof w:val="0"/>
          <w:rtl/>
        </w:rPr>
        <w:t xml:space="preserve"> </w:t>
      </w:r>
      <w:r w:rsidRPr="00643C7B">
        <w:rPr>
          <w:rFonts w:ascii="Arial" w:hAnsi="Arial" w:hint="cs"/>
          <w:b/>
          <w:bCs/>
          <w:noProof w:val="0"/>
          <w:rtl/>
        </w:rPr>
        <w:t>אברג'יל נ' מדינת ישראל</w:t>
      </w:r>
      <w:r>
        <w:rPr>
          <w:rFonts w:ascii="Arial" w:hAnsi="Arial" w:hint="cs"/>
          <w:noProof w:val="0"/>
          <w:rtl/>
        </w:rPr>
        <w:t xml:space="preserve"> (פורסם בנבו, 9.11.2013) דחה בית המשפט העליון את ערעורו של נאשם שהורשע בעבירה של החזקת סם שלא לצריכה עצמית מסוג הרואין במשקל של 59.1624 גרם שהוחזק על גופו והותיר על כנו עונש של 36 חודשי מאסר.</w:t>
      </w:r>
    </w:p>
    <w:p w14:paraId="2FC6B395" w14:textId="77777777" w:rsidR="00416729" w:rsidRDefault="00416729" w:rsidP="00416729">
      <w:pPr>
        <w:spacing w:line="360" w:lineRule="auto"/>
        <w:jc w:val="both"/>
        <w:rPr>
          <w:rFonts w:ascii="Arial" w:hAnsi="Arial"/>
          <w:noProof w:val="0"/>
          <w:rtl/>
        </w:rPr>
      </w:pPr>
    </w:p>
    <w:p w14:paraId="74E42BE6" w14:textId="77777777" w:rsidR="00416729" w:rsidRDefault="00416729" w:rsidP="00416729">
      <w:pPr>
        <w:spacing w:line="360" w:lineRule="auto"/>
        <w:ind w:left="85"/>
        <w:jc w:val="both"/>
        <w:rPr>
          <w:rFonts w:ascii="Arial" w:hAnsi="Arial"/>
          <w:noProof w:val="0"/>
          <w:rtl/>
        </w:rPr>
      </w:pPr>
    </w:p>
    <w:p w14:paraId="70750F69" w14:textId="77777777" w:rsidR="00416729" w:rsidRDefault="00416729" w:rsidP="00416729">
      <w:pPr>
        <w:spacing w:line="360" w:lineRule="auto"/>
        <w:ind w:left="85" w:hanging="709"/>
        <w:jc w:val="both"/>
        <w:rPr>
          <w:rFonts w:ascii="Arial" w:hAnsi="Arial"/>
          <w:noProof w:val="0"/>
          <w:rtl/>
        </w:rPr>
      </w:pPr>
    </w:p>
    <w:p w14:paraId="55DD2EE5"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p>
    <w:p w14:paraId="215CFBDB" w14:textId="77777777" w:rsidR="00416729" w:rsidRDefault="00416729" w:rsidP="00416729">
      <w:pPr>
        <w:spacing w:line="360" w:lineRule="auto"/>
        <w:jc w:val="both"/>
        <w:rPr>
          <w:rFonts w:ascii="Arial" w:hAnsi="Arial"/>
          <w:noProof w:val="0"/>
          <w:rtl/>
        </w:rPr>
      </w:pPr>
    </w:p>
    <w:p w14:paraId="0736D349"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t xml:space="preserve">עיינתי בפסיקה שצרפו הצדדים. מטבע הדברים צרף כל צד פסיקה התומכת בעמדתו העונשית שאל חלקה אתייחס להלן. </w:t>
      </w:r>
    </w:p>
    <w:p w14:paraId="5D543903"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t xml:space="preserve">המאשימה צרפה למשל את </w:t>
      </w:r>
      <w:hyperlink r:id="rId24" w:history="1">
        <w:r w:rsidR="00DA60EE" w:rsidRPr="00DA60EE">
          <w:rPr>
            <w:rFonts w:ascii="Arial" w:hAnsi="Arial"/>
            <w:noProof w:val="0"/>
            <w:color w:val="0000FF"/>
            <w:u w:val="single"/>
            <w:rtl/>
          </w:rPr>
          <w:t>ע"פ 6277/14</w:t>
        </w:r>
      </w:hyperlink>
      <w:r>
        <w:rPr>
          <w:rFonts w:ascii="Arial" w:hAnsi="Arial" w:hint="cs"/>
          <w:noProof w:val="0"/>
          <w:rtl/>
        </w:rPr>
        <w:t xml:space="preserve"> </w:t>
      </w:r>
      <w:r>
        <w:rPr>
          <w:rFonts w:ascii="Arial" w:hAnsi="Arial" w:hint="cs"/>
          <w:b/>
          <w:bCs/>
          <w:noProof w:val="0"/>
          <w:rtl/>
        </w:rPr>
        <w:t xml:space="preserve">משלטי נ' מדינת </w:t>
      </w:r>
      <w:r w:rsidRPr="000E46F0">
        <w:rPr>
          <w:rFonts w:ascii="Arial" w:hAnsi="Arial" w:hint="cs"/>
          <w:noProof w:val="0"/>
          <w:rtl/>
        </w:rPr>
        <w:t>ישראל</w:t>
      </w:r>
      <w:r>
        <w:rPr>
          <w:rFonts w:ascii="Arial" w:hAnsi="Arial" w:hint="cs"/>
          <w:noProof w:val="0"/>
          <w:rtl/>
        </w:rPr>
        <w:t xml:space="preserve"> (פורסם בנבו, 2.2.2015) בו דחה בית המשפט העליון את ערעורו של נאשם שהורשע בעבירות של החזקת סם (קוקאין במשקל 51.36 גר' וחומר מסוג </w:t>
      </w:r>
      <w:r>
        <w:rPr>
          <w:rFonts w:ascii="David" w:hAnsi="David" w:hint="cs"/>
          <w:noProof w:val="0"/>
        </w:rPr>
        <w:t xml:space="preserve"> LIDOCAINE</w:t>
      </w:r>
      <w:r>
        <w:rPr>
          <w:rFonts w:ascii="Arial" w:hAnsi="Arial" w:hint="cs"/>
          <w:noProof w:val="0"/>
          <w:rtl/>
        </w:rPr>
        <w:t xml:space="preserve">במשקל 10.11 גרם) שלא לצריכה עצמית וכלים, ואשר נדון ל-5 שנות מאסר כולל הפעלה במצטבר של שנה מתוך שלוש שנות מאסר מותנה; את </w:t>
      </w:r>
      <w:hyperlink r:id="rId25" w:history="1">
        <w:r w:rsidR="00DA60EE" w:rsidRPr="00DA60EE">
          <w:rPr>
            <w:rFonts w:ascii="Arial" w:hAnsi="Arial"/>
            <w:noProof w:val="0"/>
            <w:color w:val="0000FF"/>
            <w:u w:val="single"/>
            <w:rtl/>
          </w:rPr>
          <w:t>ע"פ 810/11</w:t>
        </w:r>
      </w:hyperlink>
      <w:r>
        <w:rPr>
          <w:rFonts w:ascii="Arial" w:hAnsi="Arial"/>
          <w:noProof w:val="0"/>
          <w:rtl/>
        </w:rPr>
        <w:t xml:space="preserve"> </w:t>
      </w:r>
      <w:r>
        <w:rPr>
          <w:rFonts w:ascii="Arial" w:hAnsi="Arial"/>
          <w:b/>
          <w:bCs/>
          <w:noProof w:val="0"/>
          <w:rtl/>
        </w:rPr>
        <w:t>בורגרקר נ' מדינת ישראל</w:t>
      </w:r>
      <w:r>
        <w:rPr>
          <w:rFonts w:ascii="Arial" w:hAnsi="Arial"/>
          <w:noProof w:val="0"/>
          <w:rtl/>
        </w:rPr>
        <w:t xml:space="preserve"> (פורסם בנבו, 30.5.2011) בו דחה בית המשפט העליון את ערעורו של נאשם שהורשע בעבירה של החזקת סם מסוכן מסוג הרואין במשקל של 59.1624 גרם שלא לצריכה עצמית במהלך חיפוש על גופו והותיר על כנו עונש של 36 חודשי מאסר; ואת </w:t>
      </w:r>
      <w:hyperlink r:id="rId26" w:history="1">
        <w:r w:rsidR="00DA60EE" w:rsidRPr="00DA60EE">
          <w:rPr>
            <w:rFonts w:ascii="Arial" w:hAnsi="Arial"/>
            <w:noProof w:val="0"/>
            <w:color w:val="0000FF"/>
            <w:u w:val="single"/>
            <w:rtl/>
          </w:rPr>
          <w:t>ע"פ 4381/05</w:t>
        </w:r>
      </w:hyperlink>
      <w:r>
        <w:rPr>
          <w:rFonts w:ascii="Arial" w:hAnsi="Arial"/>
          <w:noProof w:val="0"/>
          <w:rtl/>
        </w:rPr>
        <w:t xml:space="preserve"> </w:t>
      </w:r>
      <w:r>
        <w:rPr>
          <w:rFonts w:ascii="Arial" w:hAnsi="Arial"/>
          <w:b/>
          <w:bCs/>
          <w:noProof w:val="0"/>
          <w:rtl/>
        </w:rPr>
        <w:t>אבו זקיקה נ' מדינת ישראל</w:t>
      </w:r>
      <w:r>
        <w:rPr>
          <w:rFonts w:ascii="Arial" w:hAnsi="Arial"/>
          <w:noProof w:val="0"/>
          <w:rtl/>
        </w:rPr>
        <w:t xml:space="preserve"> (פורסם בנבו, 12.7.2006) בו דחה בית המשפט את ערעורו של נאשם ללא עבר פלילי שהורשע בעבירה של החזקת סם מסוכן מסוג הרואין במשקל של 100.92 גרם שלא לצריכה עצמית והותיר על כנו עונש של 48 חודשי מאסר.</w:t>
      </w:r>
    </w:p>
    <w:p w14:paraId="031C095A"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t>אציין כי עיינתי בפסיקה הנוספת אליה הפנתה המאשימה וזו ברובה התייחסה למקרים של החזקת עשרות גרמים של הרואין שלא לצריכה עצמית בגינם נדונו הנאשמים לתקופות מאסר של מספר שנים.</w:t>
      </w:r>
      <w:r>
        <w:rPr>
          <w:rFonts w:ascii="Arial" w:hAnsi="Arial" w:hint="cs"/>
          <w:noProof w:val="0"/>
          <w:rtl/>
        </w:rPr>
        <w:t xml:space="preserve"> עוד אציין כי במרבית הפסיקה של המאשימה אין התייחסות לנסיבות בהן ההחזקה הייתה בעבור אחר.</w:t>
      </w:r>
    </w:p>
    <w:p w14:paraId="659F6C54" w14:textId="77777777" w:rsidR="00416729" w:rsidRDefault="00416729" w:rsidP="00416729">
      <w:pPr>
        <w:spacing w:line="360" w:lineRule="auto"/>
        <w:ind w:left="85" w:hanging="709"/>
        <w:jc w:val="both"/>
        <w:rPr>
          <w:rFonts w:ascii="Arial" w:hAnsi="Arial"/>
          <w:noProof w:val="0"/>
          <w:rtl/>
        </w:rPr>
      </w:pPr>
    </w:p>
    <w:p w14:paraId="300BB9EC"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sidRPr="006120CE">
        <w:rPr>
          <w:rFonts w:ascii="Arial" w:hAnsi="Arial"/>
          <w:b/>
          <w:bCs/>
          <w:noProof w:val="0"/>
          <w:rtl/>
        </w:rPr>
        <w:t>ב"כ הנאשם</w:t>
      </w:r>
      <w:r>
        <w:rPr>
          <w:rFonts w:ascii="Arial" w:hAnsi="Arial"/>
          <w:noProof w:val="0"/>
          <w:rtl/>
        </w:rPr>
        <w:t xml:space="preserve"> </w:t>
      </w:r>
      <w:r>
        <w:rPr>
          <w:rFonts w:ascii="Arial" w:hAnsi="Arial" w:hint="cs"/>
          <w:noProof w:val="0"/>
          <w:rtl/>
        </w:rPr>
        <w:t xml:space="preserve">הפנה לת"פ 52589-10-20 </w:t>
      </w:r>
      <w:r>
        <w:rPr>
          <w:rFonts w:ascii="Arial" w:hAnsi="Arial" w:hint="cs"/>
          <w:b/>
          <w:bCs/>
          <w:noProof w:val="0"/>
          <w:rtl/>
        </w:rPr>
        <w:t xml:space="preserve">מדינת ישראל נ' אלטורי </w:t>
      </w:r>
      <w:r>
        <w:rPr>
          <w:rFonts w:ascii="Arial" w:hAnsi="Arial" w:hint="cs"/>
          <w:noProof w:val="0"/>
          <w:rtl/>
        </w:rPr>
        <w:t xml:space="preserve">(פורסם בנבו, 14.12.2021) שניתן על-ידי מותב זה. במקרה זה הנאשם הורשע בעבירה של החזקת סם שלא לצריכה עצמית </w:t>
      </w:r>
      <w:r>
        <w:rPr>
          <w:rFonts w:ascii="Arial" w:hAnsi="Arial"/>
          <w:noProof w:val="0"/>
          <w:rtl/>
        </w:rPr>
        <w:t>–</w:t>
      </w:r>
      <w:r>
        <w:rPr>
          <w:rFonts w:ascii="Arial" w:hAnsi="Arial" w:hint="cs"/>
          <w:noProof w:val="0"/>
          <w:rtl/>
        </w:rPr>
        <w:t xml:space="preserve"> הרואין במשקל של כ-985 גרם </w:t>
      </w:r>
      <w:r>
        <w:rPr>
          <w:rFonts w:ascii="Arial" w:hAnsi="Arial"/>
          <w:noProof w:val="0"/>
          <w:rtl/>
        </w:rPr>
        <w:t>–</w:t>
      </w:r>
      <w:r>
        <w:rPr>
          <w:rFonts w:ascii="Arial" w:hAnsi="Arial" w:hint="cs"/>
          <w:noProof w:val="0"/>
          <w:rtl/>
        </w:rPr>
        <w:t xml:space="preserve"> ונדון לשלוש שנות מאסר וחצי. אמנם הנאשם באותו מקרה החזיק בכמות גדולה יותר של סם מאשר הכמות שהחזיק הנאשם בענייננו, ולאותו נאשם גם היה עבר פלילי, ואולם באותו מקרה הייתה</w:t>
      </w:r>
      <w:r>
        <w:rPr>
          <w:rFonts w:ascii="Arial" w:hAnsi="Arial"/>
          <w:noProof w:val="0"/>
          <w:rtl/>
        </w:rPr>
        <w:t xml:space="preserve"> הסכמה עובדתית לפיה הנאשם לא היה מודע</w:t>
      </w:r>
      <w:r>
        <w:rPr>
          <w:rFonts w:ascii="Arial" w:hAnsi="Arial" w:hint="cs"/>
          <w:noProof w:val="0"/>
          <w:rtl/>
        </w:rPr>
        <w:t xml:space="preserve"> </w:t>
      </w:r>
      <w:r w:rsidRPr="006120CE">
        <w:rPr>
          <w:rFonts w:ascii="Arial" w:hAnsi="Arial"/>
          <w:noProof w:val="0"/>
          <w:rtl/>
        </w:rPr>
        <w:t xml:space="preserve">לסוג הסם ולכמותו, אם כי היה מודע לכך שהוא נשלח להביא סם מסוכן והיה מודע לכך שהוא החזיק בסם מסוכן שלא לצריכה עצמית. </w:t>
      </w:r>
      <w:r>
        <w:rPr>
          <w:rFonts w:ascii="Arial" w:hAnsi="Arial" w:hint="cs"/>
          <w:noProof w:val="0"/>
          <w:rtl/>
        </w:rPr>
        <w:t xml:space="preserve">בנוסף, הייתה הסכמה עובדתית לפיה </w:t>
      </w:r>
      <w:r w:rsidRPr="006120CE">
        <w:rPr>
          <w:rFonts w:ascii="Arial" w:hAnsi="Arial"/>
          <w:noProof w:val="0"/>
          <w:rtl/>
        </w:rPr>
        <w:t>הנאשם החזיק בסם מספר דקות עד אשר נתפס על-ידי המשטרה.</w:t>
      </w:r>
      <w:r>
        <w:rPr>
          <w:rFonts w:ascii="Arial" w:hAnsi="Arial" w:hint="cs"/>
          <w:noProof w:val="0"/>
          <w:rtl/>
        </w:rPr>
        <w:t xml:space="preserve"> נסיבות מקלות אלו לא מתקיימות בענייננו. </w:t>
      </w:r>
    </w:p>
    <w:p w14:paraId="4CE85053" w14:textId="77777777" w:rsidR="00416729" w:rsidRDefault="00416729" w:rsidP="00416729">
      <w:pPr>
        <w:spacing w:line="360" w:lineRule="auto"/>
        <w:ind w:left="85" w:hanging="709"/>
        <w:jc w:val="both"/>
        <w:rPr>
          <w:rFonts w:ascii="Arial" w:hAnsi="Arial"/>
          <w:noProof w:val="0"/>
          <w:rtl/>
        </w:rPr>
      </w:pPr>
    </w:p>
    <w:p w14:paraId="075E65D5"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14</w:t>
      </w:r>
      <w:r>
        <w:rPr>
          <w:rFonts w:ascii="Arial" w:hAnsi="Arial"/>
          <w:noProof w:val="0"/>
          <w:rtl/>
        </w:rPr>
        <w:t>.</w:t>
      </w:r>
      <w:r>
        <w:rPr>
          <w:rFonts w:ascii="Arial" w:hAnsi="Arial"/>
          <w:noProof w:val="0"/>
          <w:rtl/>
        </w:rPr>
        <w:tab/>
        <w:t xml:space="preserve">לא מצאתי לחרוג ממתחם העונש ההולם אותו קבעתי ובתוך מתחם העונש ההולם נתתי משקל להודאת הנאשם וללקיחת האחריות על-ידו ולחיסכון בזמן שיפוטי הנגזר מכך, לנסיבותיו האישיות- משפחתיות המורכבות, </w:t>
      </w:r>
      <w:r>
        <w:rPr>
          <w:rFonts w:ascii="Arial" w:hAnsi="Arial" w:hint="cs"/>
          <w:noProof w:val="0"/>
          <w:rtl/>
        </w:rPr>
        <w:t xml:space="preserve">לגילו הצעיר ("בגיר צעיר"), לכך שהוא נעדר עבר פלילי </w:t>
      </w:r>
      <w:r>
        <w:rPr>
          <w:rFonts w:ascii="Arial" w:hAnsi="Arial"/>
          <w:noProof w:val="0"/>
          <w:rtl/>
        </w:rPr>
        <w:t xml:space="preserve">ולנזק שיגרם לו ולמשפחתו מעונש המאסר. כן מצאתי לתת משקל מסוים לכך שהנאשם הוא היחיד שנותן את הדין </w:t>
      </w:r>
      <w:r>
        <w:rPr>
          <w:rFonts w:ascii="Arial" w:hAnsi="Arial" w:hint="cs"/>
          <w:noProof w:val="0"/>
          <w:rtl/>
        </w:rPr>
        <w:t>להבדיל מהאחר שעבורו החזיק את הסם.</w:t>
      </w:r>
    </w:p>
    <w:p w14:paraId="4B756283" w14:textId="77777777" w:rsidR="00416729" w:rsidRDefault="00416729" w:rsidP="00416729">
      <w:pPr>
        <w:spacing w:line="360" w:lineRule="auto"/>
        <w:ind w:left="85"/>
        <w:jc w:val="both"/>
        <w:rPr>
          <w:rFonts w:ascii="Arial" w:hAnsi="Arial"/>
          <w:noProof w:val="0"/>
          <w:rtl/>
        </w:rPr>
      </w:pPr>
      <w:r>
        <w:rPr>
          <w:rFonts w:ascii="Arial" w:hAnsi="Arial"/>
          <w:noProof w:val="0"/>
          <w:rtl/>
        </w:rPr>
        <w:t xml:space="preserve">כזכור, שירות המבחן ציין כי הנאשם </w:t>
      </w:r>
      <w:r>
        <w:rPr>
          <w:rFonts w:ascii="Arial" w:hAnsi="Arial" w:hint="cs"/>
          <w:noProof w:val="0"/>
          <w:rtl/>
        </w:rPr>
        <w:t>לא הביע נזקקות טיפולית</w:t>
      </w:r>
      <w:r>
        <w:rPr>
          <w:rFonts w:ascii="Arial" w:hAnsi="Arial"/>
          <w:noProof w:val="0"/>
          <w:rtl/>
        </w:rPr>
        <w:t xml:space="preserve"> והשירות נמנע מכל המלצה טיפולית. </w:t>
      </w:r>
      <w:r>
        <w:rPr>
          <w:rFonts w:ascii="Arial" w:hAnsi="Arial" w:hint="cs"/>
          <w:noProof w:val="0"/>
          <w:rtl/>
        </w:rPr>
        <w:t xml:space="preserve">נתון זה כשלעצמו לא שולל לטעמי האפשרות העקרונית למקם עונשו של הנאשם בתחתית מתחם העונש ההולם כפי שטענה המאשימה. יחד עם זאת, צירוף נתון זה </w:t>
      </w:r>
      <w:r>
        <w:rPr>
          <w:rFonts w:ascii="Arial" w:hAnsi="Arial"/>
          <w:noProof w:val="0"/>
          <w:rtl/>
        </w:rPr>
        <w:t xml:space="preserve">לאופי העבירה </w:t>
      </w:r>
      <w:r>
        <w:rPr>
          <w:rFonts w:ascii="Arial" w:hAnsi="Arial" w:hint="cs"/>
          <w:noProof w:val="0"/>
          <w:rtl/>
        </w:rPr>
        <w:t xml:space="preserve">שבה הורשע הנאשם, בנסיבותיה, יחד עם נתונים נוספים שעלו </w:t>
      </w:r>
      <w:r>
        <w:rPr>
          <w:rFonts w:ascii="Arial" w:hAnsi="Arial"/>
          <w:noProof w:val="0"/>
          <w:rtl/>
        </w:rPr>
        <w:t>בתסקיר שירות המבחן</w:t>
      </w:r>
      <w:r>
        <w:rPr>
          <w:rFonts w:ascii="Arial" w:hAnsi="Arial" w:hint="cs"/>
          <w:noProof w:val="0"/>
          <w:rtl/>
        </w:rPr>
        <w:t xml:space="preserve"> בעניינו של הנאשם, מלמד</w:t>
      </w:r>
      <w:r>
        <w:rPr>
          <w:rFonts w:ascii="Arial" w:hAnsi="Arial"/>
          <w:noProof w:val="0"/>
          <w:rtl/>
        </w:rPr>
        <w:t xml:space="preserve"> </w:t>
      </w:r>
      <w:r>
        <w:rPr>
          <w:rFonts w:ascii="Arial" w:hAnsi="Arial" w:hint="cs"/>
          <w:noProof w:val="0"/>
          <w:rtl/>
        </w:rPr>
        <w:t>ש</w:t>
      </w:r>
      <w:r>
        <w:rPr>
          <w:rFonts w:ascii="Arial" w:hAnsi="Arial"/>
          <w:noProof w:val="0"/>
          <w:rtl/>
        </w:rPr>
        <w:t xml:space="preserve">יש מקום לתת ביטוי </w:t>
      </w:r>
      <w:r>
        <w:rPr>
          <w:rFonts w:ascii="Arial" w:hAnsi="Arial" w:hint="cs"/>
          <w:noProof w:val="0"/>
          <w:rtl/>
        </w:rPr>
        <w:t xml:space="preserve">בענישה גם </w:t>
      </w:r>
      <w:r>
        <w:rPr>
          <w:rFonts w:ascii="Arial" w:hAnsi="Arial"/>
          <w:noProof w:val="0"/>
          <w:rtl/>
        </w:rPr>
        <w:t xml:space="preserve">לשיקולי ההרתעה – של הנאשם עצמו ושל הרבים. </w:t>
      </w:r>
    </w:p>
    <w:p w14:paraId="71511607" w14:textId="77777777" w:rsidR="00416729" w:rsidRDefault="00416729" w:rsidP="00416729">
      <w:pPr>
        <w:spacing w:line="360" w:lineRule="auto"/>
        <w:ind w:left="85"/>
        <w:jc w:val="both"/>
        <w:rPr>
          <w:rFonts w:ascii="Arial" w:hAnsi="Arial"/>
          <w:noProof w:val="0"/>
          <w:rtl/>
        </w:rPr>
      </w:pPr>
    </w:p>
    <w:p w14:paraId="4EC6ED99"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15</w:t>
      </w:r>
      <w:r>
        <w:rPr>
          <w:rFonts w:ascii="Arial" w:hAnsi="Arial"/>
          <w:noProof w:val="0"/>
          <w:rtl/>
        </w:rPr>
        <w:t>.</w:t>
      </w:r>
      <w:r>
        <w:rPr>
          <w:rFonts w:ascii="Arial" w:hAnsi="Arial"/>
          <w:noProof w:val="0"/>
          <w:rtl/>
        </w:rPr>
        <w:tab/>
        <w:t>באשר לרכיב הקנס אציין כי על זה להיות משמעותי בהינתן המניע הכספי שע</w:t>
      </w:r>
      <w:r>
        <w:rPr>
          <w:rFonts w:ascii="Arial" w:hAnsi="Arial" w:hint="cs"/>
          <w:noProof w:val="0"/>
          <w:rtl/>
        </w:rPr>
        <w:t>ו</w:t>
      </w:r>
      <w:r>
        <w:rPr>
          <w:rFonts w:ascii="Arial" w:hAnsi="Arial"/>
          <w:noProof w:val="0"/>
          <w:rtl/>
        </w:rPr>
        <w:t>מד בבסיס עבירה</w:t>
      </w:r>
      <w:r>
        <w:rPr>
          <w:rFonts w:ascii="Arial" w:hAnsi="Arial" w:hint="cs"/>
          <w:noProof w:val="0"/>
          <w:rtl/>
        </w:rPr>
        <w:t xml:space="preserve"> זו,</w:t>
      </w:r>
      <w:r>
        <w:rPr>
          <w:rFonts w:ascii="Arial" w:hAnsi="Arial"/>
          <w:noProof w:val="0"/>
          <w:rtl/>
        </w:rPr>
        <w:t xml:space="preserve"> ולנוכח ההשלכות הכספיות שיכלו לנבוע מביצוע העבירה (אף אם לא במישרין לנאשם עצמו). מן הצד השני יש לתת, כמצוות החוק, משקל גם למצבו הכלכלי והאישי של הנאשם.</w:t>
      </w:r>
    </w:p>
    <w:p w14:paraId="4095E584" w14:textId="77777777" w:rsidR="00416729" w:rsidRDefault="00416729" w:rsidP="00416729">
      <w:pPr>
        <w:spacing w:line="360" w:lineRule="auto"/>
        <w:ind w:left="85" w:hanging="709"/>
        <w:jc w:val="both"/>
        <w:rPr>
          <w:rFonts w:ascii="Arial" w:hAnsi="Arial"/>
          <w:noProof w:val="0"/>
          <w:rtl/>
        </w:rPr>
      </w:pPr>
    </w:p>
    <w:p w14:paraId="5192D81C"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16.</w:t>
      </w:r>
      <w:r>
        <w:rPr>
          <w:rFonts w:ascii="Arial" w:hAnsi="Arial" w:hint="cs"/>
          <w:noProof w:val="0"/>
          <w:rtl/>
        </w:rPr>
        <w:tab/>
      </w:r>
      <w:r>
        <w:rPr>
          <w:rFonts w:ascii="Arial" w:hAnsi="Arial"/>
          <w:noProof w:val="0"/>
          <w:rtl/>
        </w:rPr>
        <w:t>באשר לרכיב פסילת רישיון הנהיגה אציין כי מצאתי לבכר את עמדת המאשימה בנדון. מי אשר משתמש ברישיון שניתן לו על-ידי המדינה לנהוג ברכב ומנצל הרישיון כדי לפגוע בערכים מוגנים – נוהג ברכב על מנת להביא לאחר סמים מסוכנים העלולים לפגוע קשות בציבור, קונה לעצמו סיכון שרישיונו יישלל בשל כך. יחד עם זאת, בשים לב למכלול רכיבי הענישה, לא מצאתי להכביד את היד עם הנאשם גם ביחס לרכיב זה.</w:t>
      </w:r>
    </w:p>
    <w:p w14:paraId="09799E3D" w14:textId="77777777" w:rsidR="00416729" w:rsidRDefault="00416729" w:rsidP="00416729">
      <w:pPr>
        <w:spacing w:line="360" w:lineRule="auto"/>
        <w:jc w:val="both"/>
        <w:rPr>
          <w:rFonts w:ascii="Arial" w:hAnsi="Arial"/>
          <w:noProof w:val="0"/>
          <w:rtl/>
        </w:rPr>
      </w:pPr>
    </w:p>
    <w:p w14:paraId="19B84B80" w14:textId="77777777" w:rsidR="00416729" w:rsidRDefault="00416729" w:rsidP="00416729">
      <w:pPr>
        <w:spacing w:line="360" w:lineRule="auto"/>
        <w:ind w:left="85" w:hanging="709"/>
        <w:jc w:val="both"/>
        <w:rPr>
          <w:rFonts w:ascii="Arial" w:hAnsi="Arial"/>
          <w:noProof w:val="0"/>
          <w:rtl/>
        </w:rPr>
      </w:pPr>
      <w:r>
        <w:rPr>
          <w:rFonts w:ascii="Arial" w:hAnsi="Arial" w:hint="cs"/>
          <w:noProof w:val="0"/>
          <w:rtl/>
        </w:rPr>
        <w:t>17</w:t>
      </w:r>
      <w:r>
        <w:rPr>
          <w:rFonts w:ascii="Arial" w:hAnsi="Arial"/>
          <w:noProof w:val="0"/>
          <w:rtl/>
        </w:rPr>
        <w:t>.</w:t>
      </w:r>
      <w:r>
        <w:rPr>
          <w:rFonts w:ascii="Arial" w:hAnsi="Arial"/>
          <w:noProof w:val="0"/>
          <w:rtl/>
        </w:rPr>
        <w:tab/>
        <w:t>לאור כל האמור לעיל אני גוזר על הנאשם את העונשים הבאים:</w:t>
      </w:r>
    </w:p>
    <w:p w14:paraId="4E352FF6" w14:textId="77777777" w:rsidR="00416729" w:rsidRDefault="00416729" w:rsidP="00416729">
      <w:pPr>
        <w:spacing w:line="360" w:lineRule="auto"/>
        <w:ind w:left="85" w:hanging="709"/>
        <w:jc w:val="both"/>
        <w:rPr>
          <w:rFonts w:ascii="Arial" w:hAnsi="Arial"/>
          <w:noProof w:val="0"/>
          <w:rtl/>
        </w:rPr>
      </w:pPr>
    </w:p>
    <w:p w14:paraId="697DCEA0" w14:textId="77777777" w:rsidR="00416729" w:rsidRDefault="00416729" w:rsidP="00416729">
      <w:pPr>
        <w:spacing w:line="360" w:lineRule="auto"/>
        <w:ind w:left="85" w:hanging="709"/>
        <w:jc w:val="both"/>
        <w:rPr>
          <w:rFonts w:ascii="Arial" w:hAnsi="Arial"/>
          <w:noProof w:val="0"/>
          <w:rtl/>
        </w:rPr>
      </w:pPr>
      <w:r>
        <w:rPr>
          <w:rFonts w:ascii="Arial" w:hAnsi="Arial"/>
          <w:noProof w:val="0"/>
          <w:rtl/>
        </w:rPr>
        <w:tab/>
      </w:r>
      <w:r>
        <w:rPr>
          <w:rFonts w:ascii="Arial" w:hAnsi="Arial"/>
          <w:noProof w:val="0"/>
          <w:rtl/>
        </w:rPr>
        <w:tab/>
        <w:t>א.</w:t>
      </w:r>
      <w:r>
        <w:rPr>
          <w:rFonts w:ascii="Arial" w:hAnsi="Arial"/>
          <w:noProof w:val="0"/>
          <w:rtl/>
        </w:rPr>
        <w:tab/>
      </w:r>
      <w:r>
        <w:rPr>
          <w:rFonts w:ascii="Arial" w:hAnsi="Arial" w:hint="cs"/>
          <w:noProof w:val="0"/>
          <w:rtl/>
        </w:rPr>
        <w:t>4 שנות</w:t>
      </w:r>
      <w:r>
        <w:rPr>
          <w:rFonts w:ascii="Arial" w:hAnsi="Arial"/>
          <w:noProof w:val="0"/>
          <w:rtl/>
        </w:rPr>
        <w:t xml:space="preserve"> מאסר בניכוי ימי מעצרו.</w:t>
      </w:r>
    </w:p>
    <w:p w14:paraId="1A6CBD4C" w14:textId="77777777" w:rsidR="00416729" w:rsidRDefault="00416729" w:rsidP="00416729">
      <w:pPr>
        <w:spacing w:line="360" w:lineRule="auto"/>
        <w:ind w:left="85" w:hanging="709"/>
        <w:jc w:val="both"/>
        <w:rPr>
          <w:rFonts w:ascii="Arial" w:hAnsi="Arial"/>
          <w:noProof w:val="0"/>
          <w:rtl/>
        </w:rPr>
      </w:pPr>
    </w:p>
    <w:p w14:paraId="58A6D909" w14:textId="77777777" w:rsidR="00416729" w:rsidRDefault="00416729" w:rsidP="00416729">
      <w:pPr>
        <w:spacing w:line="360" w:lineRule="auto"/>
        <w:ind w:left="1440" w:hanging="720"/>
        <w:jc w:val="both"/>
        <w:rPr>
          <w:rFonts w:ascii="Arial" w:hAnsi="Arial"/>
          <w:noProof w:val="0"/>
          <w:rtl/>
        </w:rPr>
      </w:pPr>
      <w:r>
        <w:rPr>
          <w:rFonts w:ascii="Arial" w:hAnsi="Arial"/>
          <w:rtl/>
        </w:rPr>
        <w:t>ב.</w:t>
      </w:r>
      <w:r>
        <w:rPr>
          <w:rFonts w:ascii="Arial" w:hAnsi="Arial"/>
          <w:rtl/>
        </w:rPr>
        <w:tab/>
        <w:t xml:space="preserve">12 חודשי מאסר על תנאי, למשך 3 שנים מיום שחרורו מן המאסר, שלא יעבור עבירת סמים מסוג פשע. </w:t>
      </w:r>
    </w:p>
    <w:p w14:paraId="13E1129A" w14:textId="77777777" w:rsidR="00416729" w:rsidRDefault="00416729" w:rsidP="00416729">
      <w:pPr>
        <w:spacing w:line="360" w:lineRule="auto"/>
        <w:ind w:left="1440"/>
        <w:jc w:val="both"/>
        <w:rPr>
          <w:rFonts w:ascii="Arial" w:hAnsi="Arial"/>
          <w:rtl/>
        </w:rPr>
      </w:pPr>
      <w:r>
        <w:rPr>
          <w:rFonts w:ascii="Arial" w:hAnsi="Arial"/>
          <w:rtl/>
        </w:rPr>
        <w:t>6 חודשי מאסר על תנאי, למשך 3 שנים מיום שחרורו מן המאסר, שלא יעבור עבירת סמים מסוג עוון.</w:t>
      </w:r>
    </w:p>
    <w:p w14:paraId="3C9359BD" w14:textId="77777777" w:rsidR="00416729" w:rsidRDefault="00416729" w:rsidP="00416729">
      <w:pPr>
        <w:spacing w:line="360" w:lineRule="auto"/>
        <w:ind w:left="1440"/>
        <w:jc w:val="both"/>
        <w:rPr>
          <w:rFonts w:ascii="Arial" w:hAnsi="Arial"/>
          <w:rtl/>
        </w:rPr>
      </w:pPr>
    </w:p>
    <w:p w14:paraId="7BE67F8C" w14:textId="77777777" w:rsidR="00416729" w:rsidRDefault="00416729" w:rsidP="00416729">
      <w:pPr>
        <w:spacing w:line="360" w:lineRule="auto"/>
        <w:jc w:val="both"/>
        <w:rPr>
          <w:rFonts w:ascii="Arial" w:hAnsi="Arial"/>
          <w:rtl/>
        </w:rPr>
      </w:pPr>
      <w:r>
        <w:rPr>
          <w:rFonts w:ascii="Arial" w:hAnsi="Arial"/>
          <w:rtl/>
        </w:rPr>
        <w:tab/>
        <w:t>ג.</w:t>
      </w:r>
      <w:r>
        <w:rPr>
          <w:rFonts w:ascii="Arial" w:hAnsi="Arial"/>
          <w:rtl/>
        </w:rPr>
        <w:tab/>
        <w:t>קנס בסך 15,000 ₪ או 60 ימי מאסר תמורתו. הקנס ישולם בתוך שנה מהיום.</w:t>
      </w:r>
    </w:p>
    <w:p w14:paraId="54B82089" w14:textId="77777777" w:rsidR="00416729" w:rsidRDefault="00416729" w:rsidP="00416729">
      <w:pPr>
        <w:spacing w:line="360" w:lineRule="auto"/>
        <w:jc w:val="both"/>
        <w:rPr>
          <w:rFonts w:ascii="Arial" w:hAnsi="Arial"/>
          <w:rtl/>
        </w:rPr>
      </w:pPr>
    </w:p>
    <w:p w14:paraId="36C4F938" w14:textId="77777777" w:rsidR="00416729" w:rsidRDefault="00DA60EE" w:rsidP="00416729">
      <w:pPr>
        <w:spacing w:line="360" w:lineRule="auto"/>
        <w:ind w:left="1440" w:hanging="720"/>
        <w:jc w:val="both"/>
        <w:rPr>
          <w:rFonts w:ascii="Arial" w:hAnsi="Arial"/>
          <w:rtl/>
        </w:rPr>
      </w:pPr>
      <w:r w:rsidRPr="00DA60EE">
        <w:rPr>
          <w:rFonts w:ascii="Arial" w:hAnsi="Arial"/>
          <w:color w:val="FFFFFF"/>
          <w:sz w:val="2"/>
          <w:szCs w:val="2"/>
          <w:rtl/>
        </w:rPr>
        <w:t>5129371</w:t>
      </w:r>
      <w:r w:rsidR="00416729">
        <w:rPr>
          <w:rFonts w:ascii="Arial" w:hAnsi="Arial"/>
          <w:rtl/>
        </w:rPr>
        <w:t>ד.</w:t>
      </w:r>
      <w:r w:rsidR="00416729">
        <w:rPr>
          <w:rFonts w:ascii="Arial" w:hAnsi="Arial"/>
          <w:rtl/>
        </w:rPr>
        <w:tab/>
        <w:t>אני פוסל את הנאשם מלקבל או להחזיק רישיון נהיגה למשך 12 חודשים החל מיום שחרורו מן המאסר.על הנאשם להפקיד את רישיונו במזכירות בית המשפט ולחלופין למלא תצהיר מתאים לצורך תחילת מנין תקופת הפסילה. הפסילה תהיה במצטבר לכל פסילה אחרת, אם קיימת.</w:t>
      </w:r>
    </w:p>
    <w:p w14:paraId="3D999DD4" w14:textId="77777777" w:rsidR="00416729" w:rsidRPr="00DA60EE" w:rsidRDefault="00DA60EE" w:rsidP="00416729">
      <w:pPr>
        <w:spacing w:line="360" w:lineRule="auto"/>
        <w:ind w:left="85" w:hanging="709"/>
        <w:jc w:val="both"/>
        <w:rPr>
          <w:rFonts w:ascii="Arial" w:hAnsi="Arial"/>
          <w:noProof w:val="0"/>
          <w:color w:val="FFFFFF"/>
          <w:sz w:val="2"/>
          <w:szCs w:val="2"/>
          <w:rtl/>
        </w:rPr>
      </w:pPr>
      <w:r w:rsidRPr="00DA60EE">
        <w:rPr>
          <w:rFonts w:ascii="Arial" w:hAnsi="Arial"/>
          <w:noProof w:val="0"/>
          <w:color w:val="FFFFFF"/>
          <w:sz w:val="2"/>
          <w:szCs w:val="2"/>
          <w:rtl/>
        </w:rPr>
        <w:t>54678313</w:t>
      </w:r>
      <w:r w:rsidR="00416729" w:rsidRPr="00DA60EE">
        <w:rPr>
          <w:rFonts w:ascii="Arial" w:hAnsi="Arial"/>
          <w:noProof w:val="0"/>
          <w:color w:val="FFFFFF"/>
          <w:sz w:val="2"/>
          <w:szCs w:val="2"/>
          <w:rtl/>
        </w:rPr>
        <w:tab/>
      </w:r>
    </w:p>
    <w:p w14:paraId="4948A89B" w14:textId="77777777" w:rsidR="00416729" w:rsidRPr="00DE1E7D" w:rsidRDefault="00416729" w:rsidP="00416729">
      <w:pPr>
        <w:spacing w:line="360" w:lineRule="auto"/>
        <w:jc w:val="both"/>
        <w:rPr>
          <w:rFonts w:ascii="Arial" w:hAnsi="Arial"/>
          <w:noProof w:val="0"/>
          <w:rtl/>
        </w:rPr>
      </w:pPr>
      <w:r>
        <w:rPr>
          <w:rFonts w:ascii="Arial" w:hAnsi="Arial"/>
          <w:noProof w:val="0"/>
          <w:rtl/>
        </w:rPr>
        <w:t>זכות ערעור בתוך 45 יום לבית המשפט העליון.</w:t>
      </w:r>
    </w:p>
    <w:p w14:paraId="03790CF1" w14:textId="77777777" w:rsidR="00416729" w:rsidRDefault="00DA60EE" w:rsidP="00DA60EE">
      <w:pPr>
        <w:tabs>
          <w:tab w:val="left" w:pos="2553"/>
        </w:tabs>
        <w:spacing w:line="360" w:lineRule="auto"/>
      </w:pPr>
      <w:bookmarkStart w:id="8" w:name="Nitan"/>
      <w:r>
        <w:rPr>
          <w:rFonts w:ascii="Arial" w:hAnsi="Arial"/>
          <w:noProof w:val="0"/>
          <w:rtl/>
        </w:rPr>
        <w:t xml:space="preserve">ניתן היום, י' כסלו תשפ"ג, 04 דצמבר 2022, במעמד הצדדים. </w:t>
      </w:r>
      <w:bookmarkEnd w:id="8"/>
      <w:r w:rsidR="00416729">
        <w:rPr>
          <w:rFonts w:hint="cs"/>
          <w:rtl/>
        </w:rPr>
        <w:tab/>
      </w:r>
      <w:r w:rsidR="00416729">
        <w:rPr>
          <w:rFonts w:hint="cs"/>
          <w:rtl/>
        </w:rPr>
        <w:tab/>
      </w:r>
      <w:r w:rsidR="00416729">
        <w:rPr>
          <w:rFonts w:hint="cs"/>
          <w:rtl/>
        </w:rPr>
        <w:tab/>
      </w:r>
      <w:r w:rsidR="00416729">
        <w:rPr>
          <w:rFonts w:hint="cs"/>
          <w:rtl/>
        </w:rPr>
        <w:tab/>
        <w:t xml:space="preserve">        </w:t>
      </w:r>
    </w:p>
    <w:p w14:paraId="55F229BB" w14:textId="77777777" w:rsidR="00416729" w:rsidRDefault="00416729" w:rsidP="00416729">
      <w:pPr>
        <w:tabs>
          <w:tab w:val="left" w:pos="2553"/>
        </w:tabs>
        <w:spacing w:line="360" w:lineRule="auto"/>
        <w:rPr>
          <w:rFonts w:ascii="Arial" w:hAnsi="Arial"/>
          <w:noProof w:val="0"/>
          <w:rtl/>
        </w:rPr>
      </w:pPr>
    </w:p>
    <w:p w14:paraId="4637BCE8" w14:textId="77777777" w:rsidR="00416729" w:rsidRPr="00BB7EF1" w:rsidRDefault="00BB7EF1" w:rsidP="00416729">
      <w:pPr>
        <w:tabs>
          <w:tab w:val="left" w:pos="2553"/>
        </w:tabs>
        <w:spacing w:line="360" w:lineRule="auto"/>
        <w:rPr>
          <w:rFonts w:ascii="Arial" w:hAnsi="Arial"/>
          <w:noProof w:val="0"/>
          <w:color w:val="FFFFFF"/>
          <w:sz w:val="2"/>
          <w:szCs w:val="2"/>
        </w:rPr>
      </w:pPr>
      <w:r w:rsidRPr="00BB7EF1">
        <w:rPr>
          <w:rFonts w:ascii="Arial" w:hAnsi="Arial"/>
          <w:noProof w:val="0"/>
          <w:color w:val="FFFFFF"/>
          <w:sz w:val="2"/>
          <w:szCs w:val="2"/>
          <w:rtl/>
        </w:rPr>
        <w:t>5129371</w:t>
      </w:r>
    </w:p>
    <w:p w14:paraId="6356DF2E" w14:textId="77777777" w:rsidR="003C36AD" w:rsidRPr="00BB7EF1" w:rsidRDefault="00BB7EF1" w:rsidP="00DA60EE">
      <w:pPr>
        <w:keepNext/>
        <w:rPr>
          <w:rFonts w:ascii="David" w:hAnsi="David"/>
          <w:color w:val="FFFFFF"/>
          <w:sz w:val="2"/>
          <w:szCs w:val="2"/>
          <w:rtl/>
        </w:rPr>
      </w:pPr>
      <w:r w:rsidRPr="00BB7EF1">
        <w:rPr>
          <w:rFonts w:ascii="David" w:hAnsi="David"/>
          <w:color w:val="FFFFFF"/>
          <w:sz w:val="2"/>
          <w:szCs w:val="2"/>
          <w:rtl/>
        </w:rPr>
        <w:t>54678313</w:t>
      </w:r>
    </w:p>
    <w:p w14:paraId="16BCCBD1" w14:textId="77777777" w:rsidR="00DA60EE" w:rsidRDefault="00DA60EE" w:rsidP="00DA60EE">
      <w:pPr>
        <w:rPr>
          <w:rtl/>
        </w:rPr>
      </w:pPr>
    </w:p>
    <w:p w14:paraId="63E3DE2D" w14:textId="77777777" w:rsidR="00DA60EE" w:rsidRDefault="00DA60EE" w:rsidP="00DA60EE">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37CF489A" w14:textId="77777777" w:rsidR="00BB7EF1" w:rsidRPr="00BB7EF1" w:rsidRDefault="00BB7EF1" w:rsidP="00BB7EF1">
      <w:pPr>
        <w:keepNext/>
        <w:rPr>
          <w:rFonts w:ascii="David" w:hAnsi="David"/>
          <w:color w:val="000000"/>
          <w:sz w:val="22"/>
          <w:szCs w:val="22"/>
          <w:rtl/>
        </w:rPr>
      </w:pPr>
    </w:p>
    <w:p w14:paraId="26211723" w14:textId="77777777" w:rsidR="00BB7EF1" w:rsidRPr="00BB7EF1" w:rsidRDefault="00BB7EF1" w:rsidP="00BB7EF1">
      <w:pPr>
        <w:keepNext/>
        <w:rPr>
          <w:rFonts w:ascii="David" w:hAnsi="David"/>
          <w:color w:val="000000"/>
          <w:sz w:val="22"/>
          <w:szCs w:val="22"/>
          <w:rtl/>
        </w:rPr>
      </w:pPr>
      <w:r w:rsidRPr="00BB7EF1">
        <w:rPr>
          <w:rFonts w:ascii="David" w:hAnsi="David"/>
          <w:color w:val="000000"/>
          <w:sz w:val="22"/>
          <w:szCs w:val="22"/>
          <w:rtl/>
        </w:rPr>
        <w:t>יובל ליבדרו 54678313-/</w:t>
      </w:r>
    </w:p>
    <w:p w14:paraId="5E814F5D" w14:textId="77777777" w:rsidR="00DA60EE" w:rsidRPr="00DA60EE" w:rsidRDefault="00BB7EF1" w:rsidP="00BB7EF1">
      <w:pPr>
        <w:rPr>
          <w:color w:val="0000FF"/>
          <w:u w:val="single"/>
        </w:rPr>
      </w:pPr>
      <w:r w:rsidRPr="00BB7EF1">
        <w:rPr>
          <w:color w:val="000000"/>
          <w:u w:val="single"/>
          <w:rtl/>
        </w:rPr>
        <w:t>נוסח מסמך זה כפוף לשינויי ניסוח ועריכה</w:t>
      </w:r>
    </w:p>
    <w:sectPr w:rsidR="00DA60EE" w:rsidRPr="00DA60EE" w:rsidSect="00BB7EF1">
      <w:headerReference w:type="even" r:id="rId28"/>
      <w:headerReference w:type="default" r:id="rId29"/>
      <w:footerReference w:type="even" r:id="rId30"/>
      <w:footerReference w:type="default" r:id="rId3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A2683" w14:textId="77777777" w:rsidR="007F373B" w:rsidRDefault="007F373B" w:rsidP="00780BB7">
      <w:r>
        <w:separator/>
      </w:r>
    </w:p>
  </w:endnote>
  <w:endnote w:type="continuationSeparator" w:id="0">
    <w:p w14:paraId="7E12701E" w14:textId="77777777" w:rsidR="007F373B" w:rsidRDefault="007F373B" w:rsidP="00780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A8025" w14:textId="77777777" w:rsidR="00BB7EF1" w:rsidRDefault="00BB7EF1" w:rsidP="00BB7E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B62DBEA" w14:textId="77777777" w:rsidR="00DA60EE" w:rsidRPr="00BB7EF1" w:rsidRDefault="00BB7EF1" w:rsidP="00BB7EF1">
    <w:pPr>
      <w:pStyle w:val="a5"/>
      <w:pBdr>
        <w:top w:val="single" w:sz="4" w:space="1" w:color="auto"/>
        <w:between w:val="single" w:sz="4" w:space="0" w:color="auto"/>
      </w:pBdr>
      <w:spacing w:after="60"/>
      <w:jc w:val="center"/>
      <w:rPr>
        <w:rFonts w:ascii="FrankRuehl" w:hAnsi="FrankRuehl" w:cs="FrankRuehl"/>
        <w:color w:val="000000"/>
      </w:rPr>
    </w:pPr>
    <w:r w:rsidRPr="00BB7EF1">
      <w:rPr>
        <w:rFonts w:ascii="FrankRuehl" w:hAnsi="FrankRuehl" w:cs="FrankRuehl"/>
        <w:color w:val="000000"/>
      </w:rPr>
      <w:pict w14:anchorId="280C1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70613" w14:textId="77777777" w:rsidR="00BB7EF1" w:rsidRDefault="00BB7EF1" w:rsidP="00BB7EF1">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63340">
      <w:rPr>
        <w:rStyle w:val="a8"/>
        <w:rFonts w:ascii="FrankRuehl" w:hAnsi="FrankRuehl" w:cs="FrankRuehl"/>
        <w:rtl/>
      </w:rPr>
      <w:t>1</w:t>
    </w:r>
    <w:r>
      <w:rPr>
        <w:rStyle w:val="a8"/>
        <w:rFonts w:ascii="FrankRuehl" w:hAnsi="FrankRuehl" w:cs="FrankRuehl"/>
        <w:rtl/>
      </w:rPr>
      <w:fldChar w:fldCharType="end"/>
    </w:r>
  </w:p>
  <w:p w14:paraId="3050CCA9" w14:textId="77777777" w:rsidR="007B7239" w:rsidRPr="00BB7EF1" w:rsidRDefault="00BB7EF1" w:rsidP="00BB7EF1">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B7EF1">
      <w:rPr>
        <w:rStyle w:val="a8"/>
        <w:rFonts w:ascii="FrankRuehl" w:hAnsi="FrankRuehl" w:cs="FrankRuehl" w:hint="cs"/>
        <w:color w:val="000000"/>
      </w:rPr>
      <w:pict w14:anchorId="7326C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0542E" w14:textId="77777777" w:rsidR="007F373B" w:rsidRDefault="007F373B" w:rsidP="00780BB7">
      <w:r>
        <w:separator/>
      </w:r>
    </w:p>
  </w:footnote>
  <w:footnote w:type="continuationSeparator" w:id="0">
    <w:p w14:paraId="64CB7067" w14:textId="77777777" w:rsidR="007F373B" w:rsidRDefault="007F373B" w:rsidP="00780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8EC56" w14:textId="77777777" w:rsidR="00DA60EE" w:rsidRPr="00BB7EF1" w:rsidRDefault="00BB7EF1" w:rsidP="00BB7E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50970-11-21</w:t>
    </w:r>
    <w:r>
      <w:rPr>
        <w:rFonts w:ascii="David" w:hAnsi="David"/>
        <w:color w:val="000000"/>
        <w:sz w:val="22"/>
        <w:szCs w:val="22"/>
        <w:rtl/>
      </w:rPr>
      <w:tab/>
      <w:t xml:space="preserve"> מדינת ישראל נ' מוחמד עמור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2B77" w14:textId="77777777" w:rsidR="00DA60EE" w:rsidRPr="00BB7EF1" w:rsidRDefault="00BB7EF1" w:rsidP="00BB7E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50970-11-21</w:t>
    </w:r>
    <w:r>
      <w:rPr>
        <w:rFonts w:ascii="David" w:hAnsi="David"/>
        <w:color w:val="000000"/>
        <w:sz w:val="22"/>
        <w:szCs w:val="22"/>
        <w:rtl/>
      </w:rPr>
      <w:tab/>
      <w:t xml:space="preserve"> מדינת ישראל נ' מוחמד עמור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86F01"/>
    <w:multiLevelType w:val="hybridMultilevel"/>
    <w:tmpl w:val="5C324C30"/>
    <w:lvl w:ilvl="0" w:tplc="4D504910">
      <w:start w:val="1"/>
      <w:numFmt w:val="decimal"/>
      <w:lvlText w:val="%1."/>
      <w:lvlJc w:val="left"/>
      <w:pPr>
        <w:ind w:left="86" w:hanging="710"/>
      </w:pPr>
    </w:lvl>
    <w:lvl w:ilvl="1" w:tplc="04090019">
      <w:start w:val="1"/>
      <w:numFmt w:val="lowerLetter"/>
      <w:lvlText w:val="%2."/>
      <w:lvlJc w:val="left"/>
      <w:pPr>
        <w:ind w:left="456" w:hanging="360"/>
      </w:pPr>
    </w:lvl>
    <w:lvl w:ilvl="2" w:tplc="0409001B">
      <w:start w:val="1"/>
      <w:numFmt w:val="lowerRoman"/>
      <w:lvlText w:val="%3."/>
      <w:lvlJc w:val="right"/>
      <w:pPr>
        <w:ind w:left="1176" w:hanging="180"/>
      </w:pPr>
    </w:lvl>
    <w:lvl w:ilvl="3" w:tplc="0409000F">
      <w:start w:val="1"/>
      <w:numFmt w:val="decimal"/>
      <w:lvlText w:val="%4."/>
      <w:lvlJc w:val="left"/>
      <w:pPr>
        <w:ind w:left="1896" w:hanging="360"/>
      </w:pPr>
    </w:lvl>
    <w:lvl w:ilvl="4" w:tplc="04090019">
      <w:start w:val="1"/>
      <w:numFmt w:val="lowerLetter"/>
      <w:lvlText w:val="%5."/>
      <w:lvlJc w:val="left"/>
      <w:pPr>
        <w:ind w:left="2616" w:hanging="360"/>
      </w:pPr>
    </w:lvl>
    <w:lvl w:ilvl="5" w:tplc="0409001B">
      <w:start w:val="1"/>
      <w:numFmt w:val="lowerRoman"/>
      <w:lvlText w:val="%6."/>
      <w:lvlJc w:val="right"/>
      <w:pPr>
        <w:ind w:left="3336" w:hanging="180"/>
      </w:pPr>
    </w:lvl>
    <w:lvl w:ilvl="6" w:tplc="0409000F">
      <w:start w:val="1"/>
      <w:numFmt w:val="decimal"/>
      <w:lvlText w:val="%7."/>
      <w:lvlJc w:val="left"/>
      <w:pPr>
        <w:ind w:left="4056" w:hanging="360"/>
      </w:pPr>
    </w:lvl>
    <w:lvl w:ilvl="7" w:tplc="04090019">
      <w:start w:val="1"/>
      <w:numFmt w:val="lowerLetter"/>
      <w:lvlText w:val="%8."/>
      <w:lvlJc w:val="left"/>
      <w:pPr>
        <w:ind w:left="4776" w:hanging="360"/>
      </w:pPr>
    </w:lvl>
    <w:lvl w:ilvl="8" w:tplc="0409001B">
      <w:start w:val="1"/>
      <w:numFmt w:val="lowerRoman"/>
      <w:lvlText w:val="%9."/>
      <w:lvlJc w:val="right"/>
      <w:pPr>
        <w:ind w:left="5496" w:hanging="180"/>
      </w:pPr>
    </w:lvl>
  </w:abstractNum>
  <w:num w:numId="1" w16cid:durableId="7160077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6729"/>
    <w:rsid w:val="001B5A3B"/>
    <w:rsid w:val="00316777"/>
    <w:rsid w:val="00392763"/>
    <w:rsid w:val="003B70A4"/>
    <w:rsid w:val="003C36AD"/>
    <w:rsid w:val="00416729"/>
    <w:rsid w:val="005E5598"/>
    <w:rsid w:val="00780BB7"/>
    <w:rsid w:val="007B7239"/>
    <w:rsid w:val="007F373B"/>
    <w:rsid w:val="00863340"/>
    <w:rsid w:val="00A84851"/>
    <w:rsid w:val="00A95EEA"/>
    <w:rsid w:val="00BB7EF1"/>
    <w:rsid w:val="00DA60EE"/>
    <w:rsid w:val="00F043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50318E"/>
  <w15:chartTrackingRefBased/>
  <w15:docId w15:val="{29249378-EB15-4184-93C6-21AB3E68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6729"/>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6729"/>
    <w:pPr>
      <w:tabs>
        <w:tab w:val="center" w:pos="4153"/>
        <w:tab w:val="right" w:pos="8306"/>
      </w:tabs>
    </w:pPr>
  </w:style>
  <w:style w:type="character" w:customStyle="1" w:styleId="a4">
    <w:name w:val="כותרת עליונה תו"/>
    <w:link w:val="a3"/>
    <w:rsid w:val="00416729"/>
    <w:rPr>
      <w:rFonts w:ascii="Times New Roman" w:eastAsia="Times New Roman" w:hAnsi="Times New Roman" w:cs="David"/>
      <w:noProof/>
      <w:sz w:val="24"/>
      <w:szCs w:val="24"/>
    </w:rPr>
  </w:style>
  <w:style w:type="paragraph" w:styleId="a5">
    <w:name w:val="footer"/>
    <w:basedOn w:val="a"/>
    <w:link w:val="a6"/>
    <w:rsid w:val="00416729"/>
    <w:pPr>
      <w:tabs>
        <w:tab w:val="center" w:pos="4153"/>
        <w:tab w:val="right" w:pos="8306"/>
      </w:tabs>
    </w:pPr>
  </w:style>
  <w:style w:type="character" w:customStyle="1" w:styleId="a6">
    <w:name w:val="כותרת תחתונה תו"/>
    <w:link w:val="a5"/>
    <w:rsid w:val="00416729"/>
    <w:rPr>
      <w:rFonts w:ascii="Times New Roman" w:eastAsia="Times New Roman" w:hAnsi="Times New Roman" w:cs="David"/>
      <w:noProof/>
      <w:sz w:val="24"/>
      <w:szCs w:val="24"/>
    </w:rPr>
  </w:style>
  <w:style w:type="table" w:styleId="a7">
    <w:name w:val="Table Grid"/>
    <w:basedOn w:val="a1"/>
    <w:rsid w:val="0041672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16729"/>
  </w:style>
  <w:style w:type="paragraph" w:styleId="a9">
    <w:name w:val="List Paragraph"/>
    <w:basedOn w:val="a"/>
    <w:qFormat/>
    <w:rsid w:val="00416729"/>
    <w:pPr>
      <w:ind w:left="720"/>
      <w:contextualSpacing/>
    </w:pPr>
  </w:style>
  <w:style w:type="character" w:styleId="Hyperlink">
    <w:name w:val="Hyperlink"/>
    <w:rsid w:val="00416729"/>
    <w:rPr>
      <w:color w:val="0000FF"/>
      <w:u w:val="single"/>
    </w:rPr>
  </w:style>
  <w:style w:type="character" w:styleId="aa">
    <w:name w:val="line number"/>
    <w:rsid w:val="00416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698919" TargetMode="External"/><Relationship Id="rId18" Type="http://schemas.openxmlformats.org/officeDocument/2006/relationships/hyperlink" Target="http://www.nevo.co.il/case/18753213" TargetMode="External"/><Relationship Id="rId26" Type="http://schemas.openxmlformats.org/officeDocument/2006/relationships/hyperlink" Target="http://www.nevo.co.il/case/5953822" TargetMode="External"/><Relationship Id="rId3" Type="http://schemas.openxmlformats.org/officeDocument/2006/relationships/settings" Target="settings.xml"/><Relationship Id="rId21" Type="http://schemas.openxmlformats.org/officeDocument/2006/relationships/hyperlink" Target="http://www.nevo.co.il/case/20455788"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241468" TargetMode="External"/><Relationship Id="rId25" Type="http://schemas.openxmlformats.org/officeDocument/2006/relationships/hyperlink" Target="http://www.nevo.co.il/case/572729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917767" TargetMode="External"/><Relationship Id="rId20" Type="http://schemas.openxmlformats.org/officeDocument/2006/relationships/hyperlink" Target="http://www.nevo.co.il/case/2045015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1794758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ntidrugs.org.il/pages/924.aspx" TargetMode="External"/><Relationship Id="rId23" Type="http://schemas.openxmlformats.org/officeDocument/2006/relationships/hyperlink" Target="http://www.nevo.co.il/case/5590128" TargetMode="External"/><Relationship Id="rId28"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www.nevo.co.il/case/6834904"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2041255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3240</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19407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3801212</vt:i4>
      </vt:variant>
      <vt:variant>
        <vt:i4>57</vt:i4>
      </vt:variant>
      <vt:variant>
        <vt:i4>0</vt:i4>
      </vt:variant>
      <vt:variant>
        <vt:i4>5</vt:i4>
      </vt:variant>
      <vt:variant>
        <vt:lpwstr>http://www.nevo.co.il/case/5953822</vt:lpwstr>
      </vt:variant>
      <vt:variant>
        <vt:lpwstr/>
      </vt:variant>
      <vt:variant>
        <vt:i4>3145853</vt:i4>
      </vt:variant>
      <vt:variant>
        <vt:i4>54</vt:i4>
      </vt:variant>
      <vt:variant>
        <vt:i4>0</vt:i4>
      </vt:variant>
      <vt:variant>
        <vt:i4>5</vt:i4>
      </vt:variant>
      <vt:variant>
        <vt:lpwstr>http://www.nevo.co.il/case/5727295</vt:lpwstr>
      </vt:variant>
      <vt:variant>
        <vt:lpwstr/>
      </vt:variant>
      <vt:variant>
        <vt:i4>3604594</vt:i4>
      </vt:variant>
      <vt:variant>
        <vt:i4>51</vt:i4>
      </vt:variant>
      <vt:variant>
        <vt:i4>0</vt:i4>
      </vt:variant>
      <vt:variant>
        <vt:i4>5</vt:i4>
      </vt:variant>
      <vt:variant>
        <vt:lpwstr>http://www.nevo.co.il/case/17947582</vt:lpwstr>
      </vt:variant>
      <vt:variant>
        <vt:lpwstr/>
      </vt:variant>
      <vt:variant>
        <vt:i4>3473523</vt:i4>
      </vt:variant>
      <vt:variant>
        <vt:i4>48</vt:i4>
      </vt:variant>
      <vt:variant>
        <vt:i4>0</vt:i4>
      </vt:variant>
      <vt:variant>
        <vt:i4>5</vt:i4>
      </vt:variant>
      <vt:variant>
        <vt:lpwstr>http://www.nevo.co.il/case/5590128</vt:lpwstr>
      </vt:variant>
      <vt:variant>
        <vt:lpwstr/>
      </vt:variant>
      <vt:variant>
        <vt:i4>3211376</vt:i4>
      </vt:variant>
      <vt:variant>
        <vt:i4>45</vt:i4>
      </vt:variant>
      <vt:variant>
        <vt:i4>0</vt:i4>
      </vt:variant>
      <vt:variant>
        <vt:i4>5</vt:i4>
      </vt:variant>
      <vt:variant>
        <vt:lpwstr>http://www.nevo.co.il/case/20412551</vt:lpwstr>
      </vt:variant>
      <vt:variant>
        <vt:lpwstr/>
      </vt:variant>
      <vt:variant>
        <vt:i4>3866742</vt:i4>
      </vt:variant>
      <vt:variant>
        <vt:i4>42</vt:i4>
      </vt:variant>
      <vt:variant>
        <vt:i4>0</vt:i4>
      </vt:variant>
      <vt:variant>
        <vt:i4>5</vt:i4>
      </vt:variant>
      <vt:variant>
        <vt:lpwstr>http://www.nevo.co.il/case/20455788</vt:lpwstr>
      </vt:variant>
      <vt:variant>
        <vt:lpwstr/>
      </vt:variant>
      <vt:variant>
        <vt:i4>3342448</vt:i4>
      </vt:variant>
      <vt:variant>
        <vt:i4>39</vt:i4>
      </vt:variant>
      <vt:variant>
        <vt:i4>0</vt:i4>
      </vt:variant>
      <vt:variant>
        <vt:i4>5</vt:i4>
      </vt:variant>
      <vt:variant>
        <vt:lpwstr>http://www.nevo.co.il/case/20450155</vt:lpwstr>
      </vt:variant>
      <vt:variant>
        <vt:lpwstr/>
      </vt:variant>
      <vt:variant>
        <vt:i4>3670136</vt:i4>
      </vt:variant>
      <vt:variant>
        <vt:i4>36</vt:i4>
      </vt:variant>
      <vt:variant>
        <vt:i4>0</vt:i4>
      </vt:variant>
      <vt:variant>
        <vt:i4>5</vt:i4>
      </vt:variant>
      <vt:variant>
        <vt:lpwstr>http://www.nevo.co.il/case/6834904</vt:lpwstr>
      </vt:variant>
      <vt:variant>
        <vt:lpwstr/>
      </vt:variant>
      <vt:variant>
        <vt:i4>3407995</vt:i4>
      </vt:variant>
      <vt:variant>
        <vt:i4>33</vt:i4>
      </vt:variant>
      <vt:variant>
        <vt:i4>0</vt:i4>
      </vt:variant>
      <vt:variant>
        <vt:i4>5</vt:i4>
      </vt:variant>
      <vt:variant>
        <vt:lpwstr>http://www.nevo.co.il/case/18753213</vt:lpwstr>
      </vt:variant>
      <vt:variant>
        <vt:lpwstr/>
      </vt:variant>
      <vt:variant>
        <vt:i4>3604593</vt:i4>
      </vt:variant>
      <vt:variant>
        <vt:i4>30</vt:i4>
      </vt:variant>
      <vt:variant>
        <vt:i4>0</vt:i4>
      </vt:variant>
      <vt:variant>
        <vt:i4>5</vt:i4>
      </vt:variant>
      <vt:variant>
        <vt:lpwstr>http://www.nevo.co.il/case/25241468</vt:lpwstr>
      </vt:variant>
      <vt:variant>
        <vt:lpwstr/>
      </vt:variant>
      <vt:variant>
        <vt:i4>3407996</vt:i4>
      </vt:variant>
      <vt:variant>
        <vt:i4>27</vt:i4>
      </vt:variant>
      <vt:variant>
        <vt:i4>0</vt:i4>
      </vt:variant>
      <vt:variant>
        <vt:i4>5</vt:i4>
      </vt:variant>
      <vt:variant>
        <vt:lpwstr>http://www.nevo.co.il/case/5917767</vt:lpwstr>
      </vt:variant>
      <vt:variant>
        <vt:lpwstr/>
      </vt:variant>
      <vt:variant>
        <vt:i4>3014692</vt:i4>
      </vt:variant>
      <vt:variant>
        <vt:i4>24</vt:i4>
      </vt:variant>
      <vt:variant>
        <vt:i4>0</vt:i4>
      </vt:variant>
      <vt:variant>
        <vt:i4>5</vt:i4>
      </vt:variant>
      <vt:variant>
        <vt:lpwstr>http://www.antidrugs.org.il/pages/924.aspx</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3932283</vt:i4>
      </vt:variant>
      <vt:variant>
        <vt:i4>18</vt:i4>
      </vt:variant>
      <vt:variant>
        <vt:i4>0</vt:i4>
      </vt:variant>
      <vt:variant>
        <vt:i4>5</vt:i4>
      </vt:variant>
      <vt:variant>
        <vt:lpwstr>http://www.nevo.co.il/case/5698919</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2025-04-22T21:16:00Z</dcterms:created>
  <dcterms:modified xsi:type="dcterms:W3CDTF">2025-04-22T21:16:00Z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50970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עמור</vt:lpwstr>
  </property>
  <property fmtid="{D5CDD505-2E9C-101B-9397-08002B2CF9AE}" pid="10" name="LAWYER">
    <vt:lpwstr>לימור הלל;רמי שלבי</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20221204</vt:lpwstr>
  </property>
  <property fmtid="{D5CDD505-2E9C-101B-9397-08002B2CF9AE}" pid="14" name="TYPE_N_DATE">
    <vt:lpwstr>39020221204</vt:lpwstr>
  </property>
  <property fmtid="{D5CDD505-2E9C-101B-9397-08002B2CF9AE}" pid="15" name="WORDNUMPAGES">
    <vt:lpwstr>9</vt:lpwstr>
  </property>
  <property fmtid="{D5CDD505-2E9C-101B-9397-08002B2CF9AE}" pid="16" name="TYPE_ABS_DATE">
    <vt:lpwstr>390020221204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5698919;5738608;5917767;25241468;18753213;6834904;20450155;20455788;20412551;5590128;17947582;5727295;5953822</vt:lpwstr>
  </property>
  <property fmtid="{D5CDD505-2E9C-101B-9397-08002B2CF9AE}" pid="36" name="LAWLISTTMP1">
    <vt:lpwstr>4216/007.a;007.c</vt:lpwstr>
  </property>
</Properties>
</file>