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C32302" w:rsidRPr="00937A5F" w14:paraId="55581E5F" w14:textId="77777777" w:rsidTr="007760B2">
        <w:trPr>
          <w:trHeight w:hRule="exact" w:val="418"/>
          <w:jc w:val="center"/>
        </w:trPr>
        <w:tc>
          <w:tcPr>
            <w:tcW w:w="8721" w:type="dxa"/>
            <w:gridSpan w:val="2"/>
          </w:tcPr>
          <w:p w14:paraId="131CDD07" w14:textId="77777777" w:rsidR="00C32302" w:rsidRPr="00937A5F" w:rsidRDefault="00C32302" w:rsidP="00D052E2">
            <w:pPr>
              <w:pStyle w:val="a3"/>
              <w:jc w:val="center"/>
              <w:rPr>
                <w:rFonts w:ascii="David" w:hAnsi="David"/>
                <w:b/>
                <w:bCs/>
                <w:color w:val="000080"/>
                <w:rtl/>
              </w:rPr>
            </w:pPr>
            <w:bookmarkStart w:id="0" w:name="LastJudge"/>
            <w:r w:rsidRPr="00937A5F">
              <w:rPr>
                <w:rFonts w:ascii="David" w:hAnsi="David"/>
                <w:b/>
                <w:bCs/>
                <w:color w:val="000080"/>
                <w:rtl/>
              </w:rPr>
              <w:t>בית המשפט המחוזי בבאר שבע</w:t>
            </w:r>
          </w:p>
        </w:tc>
      </w:tr>
      <w:tr w:rsidR="00C32302" w:rsidRPr="00937A5F" w14:paraId="35047305" w14:textId="77777777" w:rsidTr="007760B2">
        <w:trPr>
          <w:trHeight w:val="337"/>
          <w:jc w:val="center"/>
        </w:trPr>
        <w:tc>
          <w:tcPr>
            <w:tcW w:w="5060" w:type="dxa"/>
          </w:tcPr>
          <w:p w14:paraId="309211A2" w14:textId="77777777" w:rsidR="00C32302" w:rsidRPr="00937A5F" w:rsidRDefault="00C32302" w:rsidP="00D052E2">
            <w:pPr>
              <w:rPr>
                <w:rFonts w:ascii="David" w:hAnsi="David"/>
                <w:b/>
                <w:bCs/>
                <w:rtl/>
              </w:rPr>
            </w:pPr>
            <w:r w:rsidRPr="00937A5F">
              <w:rPr>
                <w:rFonts w:ascii="David" w:hAnsi="David"/>
                <w:b/>
                <w:bCs/>
                <w:rtl/>
              </w:rPr>
              <w:t>ת"פ 7874-11-21 מדינת ישראל נ' דומבייב(עציר)</w:t>
            </w:r>
          </w:p>
          <w:p w14:paraId="6EBB35A3" w14:textId="77777777" w:rsidR="00C32302" w:rsidRPr="00937A5F" w:rsidRDefault="00C32302" w:rsidP="00D052E2">
            <w:pPr>
              <w:pStyle w:val="a3"/>
              <w:rPr>
                <w:rFonts w:ascii="David" w:hAnsi="David"/>
                <w:b/>
                <w:bCs/>
                <w:rtl/>
              </w:rPr>
            </w:pPr>
          </w:p>
        </w:tc>
        <w:tc>
          <w:tcPr>
            <w:tcW w:w="3661" w:type="dxa"/>
          </w:tcPr>
          <w:p w14:paraId="1F059A7D" w14:textId="77777777" w:rsidR="00C32302" w:rsidRPr="00937A5F" w:rsidRDefault="00C32302" w:rsidP="00D052E2">
            <w:pPr>
              <w:pStyle w:val="a3"/>
              <w:jc w:val="right"/>
              <w:rPr>
                <w:rFonts w:ascii="David" w:hAnsi="David"/>
                <w:b/>
                <w:bCs/>
                <w:rtl/>
              </w:rPr>
            </w:pPr>
          </w:p>
        </w:tc>
      </w:tr>
    </w:tbl>
    <w:p w14:paraId="06BD56D8" w14:textId="77777777" w:rsidR="00C32302" w:rsidRPr="00937A5F" w:rsidRDefault="00C32302" w:rsidP="00C32302">
      <w:pPr>
        <w:pStyle w:val="a3"/>
        <w:rPr>
          <w:rtl/>
        </w:rPr>
      </w:pPr>
      <w:r w:rsidRPr="00937A5F">
        <w:rPr>
          <w:rFonts w:hint="cs"/>
          <w:rtl/>
        </w:rPr>
        <w:t xml:space="preserve"> </w:t>
      </w:r>
    </w:p>
    <w:p w14:paraId="28B94FA6" w14:textId="77777777" w:rsidR="00C32302" w:rsidRPr="00937A5F" w:rsidRDefault="00C32302" w:rsidP="00C32302">
      <w:pPr>
        <w:rPr>
          <w:rtl/>
        </w:rPr>
      </w:pPr>
    </w:p>
    <w:p w14:paraId="6831491A" w14:textId="77777777" w:rsidR="00C32302" w:rsidRPr="00937A5F" w:rsidRDefault="00C32302" w:rsidP="00C32302">
      <w:pPr>
        <w:rPr>
          <w:rtl/>
        </w:rPr>
      </w:pPr>
    </w:p>
    <w:tbl>
      <w:tblPr>
        <w:bidiVisual/>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3219"/>
        <w:gridCol w:w="4678"/>
      </w:tblGrid>
      <w:tr w:rsidR="00C32302" w:rsidRPr="00937A5F" w14:paraId="2B477669" w14:textId="77777777" w:rsidTr="00C32302">
        <w:trPr>
          <w:trHeight w:val="295"/>
          <w:jc w:val="center"/>
        </w:trPr>
        <w:tc>
          <w:tcPr>
            <w:tcW w:w="1178" w:type="dxa"/>
            <w:tcBorders>
              <w:top w:val="nil"/>
              <w:left w:val="nil"/>
              <w:bottom w:val="nil"/>
              <w:right w:val="nil"/>
            </w:tcBorders>
            <w:shd w:val="clear" w:color="auto" w:fill="auto"/>
          </w:tcPr>
          <w:p w14:paraId="45CE5452" w14:textId="77777777" w:rsidR="00C32302" w:rsidRPr="00937A5F" w:rsidRDefault="00C32302" w:rsidP="00C32302">
            <w:pPr>
              <w:jc w:val="both"/>
              <w:rPr>
                <w:rFonts w:ascii="David" w:hAnsi="David"/>
                <w:b/>
                <w:bCs/>
                <w:sz w:val="26"/>
                <w:szCs w:val="26"/>
              </w:rPr>
            </w:pPr>
            <w:r w:rsidRPr="00937A5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7859A85" w14:textId="77777777" w:rsidR="00C32302" w:rsidRPr="00937A5F" w:rsidRDefault="00C32302" w:rsidP="00D052E2">
            <w:pPr>
              <w:rPr>
                <w:rFonts w:ascii="David" w:hAnsi="David"/>
                <w:b/>
                <w:bCs/>
                <w:sz w:val="26"/>
                <w:szCs w:val="26"/>
                <w:rtl/>
              </w:rPr>
            </w:pPr>
            <w:r w:rsidRPr="00937A5F">
              <w:rPr>
                <w:rFonts w:ascii="David" w:hAnsi="David"/>
                <w:b/>
                <w:bCs/>
                <w:sz w:val="26"/>
                <w:szCs w:val="26"/>
                <w:rtl/>
              </w:rPr>
              <w:t>כבוד השופט  יואל עדן</w:t>
            </w:r>
          </w:p>
          <w:p w14:paraId="7B8593CA" w14:textId="77777777" w:rsidR="00C32302" w:rsidRPr="00937A5F" w:rsidRDefault="00C32302" w:rsidP="00D052E2">
            <w:pPr>
              <w:rPr>
                <w:rFonts w:ascii="David" w:hAnsi="David"/>
                <w:sz w:val="26"/>
                <w:szCs w:val="26"/>
                <w:rtl/>
              </w:rPr>
            </w:pPr>
          </w:p>
          <w:p w14:paraId="4E83A46B" w14:textId="77777777" w:rsidR="00C32302" w:rsidRPr="00937A5F" w:rsidRDefault="00C32302" w:rsidP="00C32302">
            <w:pPr>
              <w:jc w:val="both"/>
              <w:rPr>
                <w:rFonts w:ascii="David" w:hAnsi="David"/>
                <w:sz w:val="26"/>
                <w:szCs w:val="26"/>
              </w:rPr>
            </w:pPr>
          </w:p>
        </w:tc>
      </w:tr>
      <w:tr w:rsidR="00C32302" w:rsidRPr="00937A5F" w14:paraId="2EFF7FF9" w14:textId="77777777" w:rsidTr="00C32302">
        <w:trPr>
          <w:trHeight w:val="355"/>
          <w:jc w:val="center"/>
        </w:trPr>
        <w:tc>
          <w:tcPr>
            <w:tcW w:w="1178" w:type="dxa"/>
            <w:tcBorders>
              <w:top w:val="nil"/>
              <w:left w:val="nil"/>
              <w:bottom w:val="nil"/>
              <w:right w:val="nil"/>
            </w:tcBorders>
            <w:shd w:val="clear" w:color="auto" w:fill="auto"/>
          </w:tcPr>
          <w:p w14:paraId="6F96764E" w14:textId="77777777" w:rsidR="00C32302" w:rsidRPr="00937A5F" w:rsidRDefault="00C32302" w:rsidP="00C32302">
            <w:pPr>
              <w:jc w:val="both"/>
              <w:rPr>
                <w:rFonts w:ascii="David" w:hAnsi="David"/>
                <w:b/>
                <w:bCs/>
                <w:sz w:val="26"/>
                <w:szCs w:val="26"/>
              </w:rPr>
            </w:pPr>
            <w:bookmarkStart w:id="1" w:name="FirstAppellant"/>
            <w:bookmarkStart w:id="2" w:name="FirstLawyer"/>
            <w:r w:rsidRPr="00937A5F">
              <w:rPr>
                <w:rFonts w:ascii="David" w:hAnsi="David"/>
                <w:b/>
                <w:bCs/>
                <w:sz w:val="26"/>
                <w:szCs w:val="26"/>
                <w:rtl/>
              </w:rPr>
              <w:t>בעניין:</w:t>
            </w:r>
          </w:p>
        </w:tc>
        <w:tc>
          <w:tcPr>
            <w:tcW w:w="3219" w:type="dxa"/>
            <w:tcBorders>
              <w:top w:val="nil"/>
              <w:left w:val="nil"/>
              <w:bottom w:val="nil"/>
              <w:right w:val="nil"/>
            </w:tcBorders>
            <w:shd w:val="clear" w:color="auto" w:fill="auto"/>
          </w:tcPr>
          <w:p w14:paraId="7A457835" w14:textId="77777777" w:rsidR="00C32302" w:rsidRPr="00937A5F" w:rsidRDefault="00C32302" w:rsidP="00C32302">
            <w:pPr>
              <w:suppressLineNumbers/>
            </w:pPr>
            <w:r w:rsidRPr="00937A5F">
              <w:rPr>
                <w:rFonts w:ascii="Arial" w:hAnsi="Arial" w:hint="cs"/>
                <w:b/>
                <w:bCs/>
                <w:sz w:val="26"/>
                <w:szCs w:val="26"/>
                <w:rtl/>
              </w:rPr>
              <w:t>ה</w:t>
            </w:r>
            <w:r w:rsidRPr="00937A5F">
              <w:rPr>
                <w:rFonts w:ascii="Arial" w:hAnsi="Arial"/>
                <w:b/>
                <w:bCs/>
                <w:sz w:val="26"/>
                <w:szCs w:val="26"/>
                <w:rtl/>
              </w:rPr>
              <w:t>מאשימה</w:t>
            </w:r>
            <w:r w:rsidRPr="00937A5F">
              <w:rPr>
                <w:rFonts w:hint="cs"/>
                <w:rtl/>
              </w:rPr>
              <w:t>:</w:t>
            </w:r>
          </w:p>
          <w:p w14:paraId="56217C6B" w14:textId="77777777" w:rsidR="00C32302" w:rsidRPr="00937A5F" w:rsidRDefault="00C32302" w:rsidP="00D052E2">
            <w:pPr>
              <w:rPr>
                <w:rFonts w:ascii="David" w:hAnsi="David"/>
                <w:sz w:val="26"/>
                <w:szCs w:val="26"/>
              </w:rPr>
            </w:pPr>
          </w:p>
        </w:tc>
        <w:tc>
          <w:tcPr>
            <w:tcW w:w="4678" w:type="dxa"/>
            <w:tcBorders>
              <w:top w:val="nil"/>
              <w:left w:val="nil"/>
              <w:bottom w:val="nil"/>
              <w:right w:val="nil"/>
            </w:tcBorders>
            <w:shd w:val="clear" w:color="auto" w:fill="auto"/>
            <w:vAlign w:val="center"/>
          </w:tcPr>
          <w:p w14:paraId="5DAEF5C0" w14:textId="77777777" w:rsidR="00C32302" w:rsidRPr="00937A5F" w:rsidRDefault="00C32302" w:rsidP="00C32302">
            <w:pPr>
              <w:suppressLineNumbers/>
              <w:rPr>
                <w:rFonts w:ascii="Arial" w:hAnsi="Arial"/>
                <w:b/>
                <w:bCs/>
                <w:sz w:val="26"/>
                <w:szCs w:val="26"/>
                <w:rtl/>
              </w:rPr>
            </w:pPr>
            <w:r w:rsidRPr="00937A5F">
              <w:rPr>
                <w:rFonts w:ascii="Arial" w:hAnsi="Arial"/>
                <w:b/>
                <w:bCs/>
                <w:sz w:val="26"/>
                <w:szCs w:val="26"/>
                <w:rtl/>
              </w:rPr>
              <w:t>מדינת ישראל</w:t>
            </w:r>
            <w:r w:rsidRPr="00937A5F">
              <w:rPr>
                <w:rFonts w:ascii="Arial" w:hAnsi="Arial" w:hint="cs"/>
                <w:b/>
                <w:bCs/>
                <w:sz w:val="26"/>
                <w:szCs w:val="26"/>
                <w:rtl/>
              </w:rPr>
              <w:t xml:space="preserve"> </w:t>
            </w:r>
          </w:p>
          <w:p w14:paraId="1C16C1A3" w14:textId="77777777" w:rsidR="00C32302" w:rsidRPr="00937A5F" w:rsidRDefault="00C32302" w:rsidP="00C32302">
            <w:pPr>
              <w:suppressLineNumbers/>
              <w:rPr>
                <w:rFonts w:ascii="Arial" w:hAnsi="Arial"/>
                <w:b/>
                <w:bCs/>
                <w:sz w:val="26"/>
                <w:szCs w:val="26"/>
                <w:rtl/>
              </w:rPr>
            </w:pPr>
          </w:p>
          <w:p w14:paraId="300F397F" w14:textId="77777777" w:rsidR="00C32302" w:rsidRPr="00937A5F" w:rsidRDefault="00C32302" w:rsidP="00C32302">
            <w:pPr>
              <w:suppressLineNumbers/>
            </w:pPr>
            <w:r w:rsidRPr="00937A5F">
              <w:rPr>
                <w:rFonts w:ascii="Arial" w:hAnsi="Arial"/>
                <w:sz w:val="26"/>
                <w:szCs w:val="26"/>
                <w:rtl/>
              </w:rPr>
              <w:t>ע"י ב"כ עו"ד</w:t>
            </w:r>
            <w:r w:rsidRPr="00937A5F">
              <w:rPr>
                <w:rFonts w:ascii="Arial" w:hAnsi="Arial" w:hint="cs"/>
                <w:sz w:val="26"/>
                <w:szCs w:val="26"/>
                <w:rtl/>
              </w:rPr>
              <w:t xml:space="preserve"> ערן צרויה </w:t>
            </w:r>
            <w:r w:rsidRPr="00937A5F">
              <w:rPr>
                <w:rFonts w:ascii="Arial" w:hAnsi="Arial"/>
                <w:sz w:val="26"/>
                <w:szCs w:val="26"/>
                <w:rtl/>
              </w:rPr>
              <w:t>–</w:t>
            </w:r>
            <w:r w:rsidRPr="00937A5F">
              <w:rPr>
                <w:rFonts w:ascii="Arial" w:hAnsi="Arial" w:hint="cs"/>
                <w:sz w:val="26"/>
                <w:szCs w:val="26"/>
                <w:rtl/>
              </w:rPr>
              <w:t xml:space="preserve"> פמ"ד</w:t>
            </w:r>
          </w:p>
          <w:p w14:paraId="531D8837" w14:textId="77777777" w:rsidR="00C32302" w:rsidRPr="00937A5F" w:rsidRDefault="00C32302" w:rsidP="00D052E2">
            <w:pPr>
              <w:rPr>
                <w:rFonts w:ascii="David" w:hAnsi="David"/>
                <w:sz w:val="26"/>
                <w:szCs w:val="26"/>
              </w:rPr>
            </w:pPr>
          </w:p>
        </w:tc>
      </w:tr>
      <w:bookmarkEnd w:id="1"/>
      <w:bookmarkEnd w:id="2"/>
      <w:tr w:rsidR="00C32302" w:rsidRPr="00937A5F" w14:paraId="454C083B" w14:textId="77777777" w:rsidTr="00C32302">
        <w:trPr>
          <w:trHeight w:val="355"/>
          <w:jc w:val="center"/>
        </w:trPr>
        <w:tc>
          <w:tcPr>
            <w:tcW w:w="1178" w:type="dxa"/>
            <w:tcBorders>
              <w:top w:val="nil"/>
              <w:left w:val="nil"/>
              <w:bottom w:val="nil"/>
              <w:right w:val="nil"/>
            </w:tcBorders>
            <w:shd w:val="clear" w:color="auto" w:fill="auto"/>
          </w:tcPr>
          <w:p w14:paraId="1ADD2CB4" w14:textId="77777777" w:rsidR="00C32302" w:rsidRPr="00937A5F" w:rsidRDefault="00C32302" w:rsidP="00C3230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208C68A" w14:textId="77777777" w:rsidR="00C32302" w:rsidRPr="00937A5F" w:rsidRDefault="00C32302" w:rsidP="00C32302">
            <w:pPr>
              <w:jc w:val="center"/>
              <w:rPr>
                <w:rFonts w:ascii="David" w:hAnsi="David"/>
                <w:b/>
                <w:bCs/>
                <w:sz w:val="26"/>
                <w:szCs w:val="26"/>
                <w:rtl/>
              </w:rPr>
            </w:pPr>
          </w:p>
          <w:p w14:paraId="15B56B1C" w14:textId="77777777" w:rsidR="00C32302" w:rsidRPr="00937A5F" w:rsidRDefault="00C32302" w:rsidP="00C32302">
            <w:pPr>
              <w:jc w:val="center"/>
              <w:rPr>
                <w:rFonts w:ascii="David" w:hAnsi="David"/>
                <w:b/>
                <w:bCs/>
                <w:sz w:val="26"/>
                <w:szCs w:val="26"/>
                <w:rtl/>
              </w:rPr>
            </w:pPr>
            <w:r w:rsidRPr="00937A5F">
              <w:rPr>
                <w:rFonts w:ascii="David" w:hAnsi="David"/>
                <w:b/>
                <w:bCs/>
                <w:sz w:val="26"/>
                <w:szCs w:val="26"/>
                <w:rtl/>
              </w:rPr>
              <w:t>נגד</w:t>
            </w:r>
          </w:p>
          <w:p w14:paraId="6BDAD5E1" w14:textId="77777777" w:rsidR="00C32302" w:rsidRPr="00937A5F" w:rsidRDefault="00C32302" w:rsidP="00C32302">
            <w:pPr>
              <w:jc w:val="both"/>
              <w:rPr>
                <w:rFonts w:ascii="David" w:hAnsi="David"/>
                <w:sz w:val="26"/>
                <w:szCs w:val="26"/>
              </w:rPr>
            </w:pPr>
          </w:p>
        </w:tc>
      </w:tr>
      <w:tr w:rsidR="00C32302" w:rsidRPr="00937A5F" w14:paraId="33B8F679" w14:textId="77777777" w:rsidTr="00C32302">
        <w:trPr>
          <w:trHeight w:val="355"/>
          <w:jc w:val="center"/>
        </w:trPr>
        <w:tc>
          <w:tcPr>
            <w:tcW w:w="1178" w:type="dxa"/>
            <w:tcBorders>
              <w:top w:val="nil"/>
              <w:left w:val="nil"/>
              <w:bottom w:val="nil"/>
              <w:right w:val="nil"/>
            </w:tcBorders>
            <w:shd w:val="clear" w:color="auto" w:fill="auto"/>
          </w:tcPr>
          <w:p w14:paraId="10E4A411" w14:textId="77777777" w:rsidR="00C32302" w:rsidRPr="00937A5F" w:rsidRDefault="00C32302" w:rsidP="00D052E2">
            <w:pPr>
              <w:rPr>
                <w:rFonts w:ascii="David" w:hAnsi="David"/>
                <w:sz w:val="26"/>
                <w:szCs w:val="26"/>
                <w:rtl/>
              </w:rPr>
            </w:pPr>
          </w:p>
        </w:tc>
        <w:tc>
          <w:tcPr>
            <w:tcW w:w="3219" w:type="dxa"/>
            <w:tcBorders>
              <w:top w:val="nil"/>
              <w:left w:val="nil"/>
              <w:bottom w:val="nil"/>
              <w:right w:val="nil"/>
            </w:tcBorders>
            <w:shd w:val="clear" w:color="auto" w:fill="auto"/>
          </w:tcPr>
          <w:p w14:paraId="2E76D17B" w14:textId="77777777" w:rsidR="00C32302" w:rsidRPr="00937A5F" w:rsidRDefault="00C32302" w:rsidP="00D052E2">
            <w:pPr>
              <w:rPr>
                <w:rFonts w:ascii="Arial" w:hAnsi="Arial"/>
                <w:b/>
                <w:bCs/>
                <w:sz w:val="26"/>
                <w:szCs w:val="26"/>
                <w:rtl/>
              </w:rPr>
            </w:pPr>
            <w:r w:rsidRPr="00937A5F">
              <w:rPr>
                <w:rFonts w:ascii="Arial" w:hAnsi="Arial"/>
                <w:b/>
                <w:bCs/>
                <w:sz w:val="26"/>
                <w:szCs w:val="26"/>
                <w:rtl/>
              </w:rPr>
              <w:t>הנאשם</w:t>
            </w:r>
            <w:r w:rsidRPr="00937A5F">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1F4F2318" w14:textId="77777777" w:rsidR="00C32302" w:rsidRPr="00937A5F" w:rsidRDefault="00C32302" w:rsidP="00C32302">
            <w:pPr>
              <w:suppressLineNumbers/>
              <w:rPr>
                <w:rFonts w:ascii="Arial" w:hAnsi="Arial"/>
                <w:b/>
                <w:bCs/>
                <w:sz w:val="26"/>
                <w:szCs w:val="26"/>
                <w:rtl/>
              </w:rPr>
            </w:pPr>
            <w:r w:rsidRPr="00937A5F">
              <w:rPr>
                <w:rFonts w:ascii="Arial" w:hAnsi="Arial"/>
                <w:b/>
                <w:bCs/>
                <w:sz w:val="26"/>
                <w:szCs w:val="26"/>
                <w:rtl/>
              </w:rPr>
              <w:t>רפאל דומבייב (עציר)</w:t>
            </w:r>
            <w:r w:rsidRPr="00937A5F">
              <w:rPr>
                <w:rFonts w:ascii="Arial" w:hAnsi="Arial" w:hint="cs"/>
                <w:b/>
                <w:bCs/>
                <w:sz w:val="26"/>
                <w:szCs w:val="26"/>
                <w:rtl/>
              </w:rPr>
              <w:t xml:space="preserve"> </w:t>
            </w:r>
          </w:p>
          <w:p w14:paraId="3A02072B" w14:textId="77777777" w:rsidR="00C32302" w:rsidRPr="00937A5F" w:rsidRDefault="00C32302" w:rsidP="00C32302">
            <w:pPr>
              <w:suppressLineNumbers/>
              <w:rPr>
                <w:rFonts w:ascii="Arial" w:hAnsi="Arial"/>
                <w:b/>
                <w:bCs/>
                <w:sz w:val="26"/>
                <w:szCs w:val="26"/>
                <w:rtl/>
              </w:rPr>
            </w:pPr>
          </w:p>
          <w:p w14:paraId="7AD9BFFA" w14:textId="77777777" w:rsidR="00C32302" w:rsidRPr="00937A5F" w:rsidRDefault="00C32302" w:rsidP="00C32302">
            <w:pPr>
              <w:suppressLineNumbers/>
            </w:pPr>
            <w:r w:rsidRPr="00937A5F">
              <w:rPr>
                <w:rFonts w:ascii="Arial" w:hAnsi="Arial"/>
                <w:sz w:val="26"/>
                <w:szCs w:val="26"/>
                <w:rtl/>
              </w:rPr>
              <w:t>ע"י ב"כ עו"ד</w:t>
            </w:r>
            <w:r w:rsidRPr="00937A5F">
              <w:rPr>
                <w:rFonts w:hint="cs"/>
                <w:rtl/>
              </w:rPr>
              <w:t xml:space="preserve"> מריה מזאוי-מרשי</w:t>
            </w:r>
          </w:p>
          <w:p w14:paraId="0EA6E557" w14:textId="77777777" w:rsidR="00C32302" w:rsidRPr="00937A5F" w:rsidRDefault="00C32302" w:rsidP="00D052E2">
            <w:pPr>
              <w:rPr>
                <w:rFonts w:ascii="David" w:hAnsi="David"/>
                <w:sz w:val="26"/>
                <w:szCs w:val="26"/>
              </w:rPr>
            </w:pPr>
          </w:p>
        </w:tc>
      </w:tr>
      <w:tr w:rsidR="00C32302" w:rsidRPr="00937A5F" w14:paraId="6D975A2B" w14:textId="77777777" w:rsidTr="00C32302">
        <w:trPr>
          <w:trHeight w:val="355"/>
          <w:jc w:val="center"/>
        </w:trPr>
        <w:tc>
          <w:tcPr>
            <w:tcW w:w="1178" w:type="dxa"/>
            <w:tcBorders>
              <w:top w:val="nil"/>
              <w:left w:val="nil"/>
              <w:bottom w:val="nil"/>
              <w:right w:val="nil"/>
            </w:tcBorders>
            <w:shd w:val="clear" w:color="auto" w:fill="auto"/>
          </w:tcPr>
          <w:p w14:paraId="59D45ED1" w14:textId="77777777" w:rsidR="00C32302" w:rsidRPr="00937A5F" w:rsidRDefault="00C32302" w:rsidP="00C32302">
            <w:pPr>
              <w:jc w:val="both"/>
              <w:rPr>
                <w:rFonts w:ascii="David" w:hAnsi="David"/>
                <w:sz w:val="26"/>
                <w:szCs w:val="26"/>
                <w:rtl/>
              </w:rPr>
            </w:pPr>
          </w:p>
        </w:tc>
        <w:tc>
          <w:tcPr>
            <w:tcW w:w="3219" w:type="dxa"/>
            <w:tcBorders>
              <w:top w:val="nil"/>
              <w:left w:val="nil"/>
              <w:bottom w:val="nil"/>
              <w:right w:val="nil"/>
            </w:tcBorders>
            <w:shd w:val="clear" w:color="auto" w:fill="auto"/>
          </w:tcPr>
          <w:p w14:paraId="4346501E" w14:textId="77777777" w:rsidR="00C32302" w:rsidRPr="00937A5F" w:rsidRDefault="00C32302" w:rsidP="00C32302">
            <w:pPr>
              <w:jc w:val="both"/>
              <w:rPr>
                <w:rFonts w:ascii="David" w:hAnsi="David"/>
                <w:sz w:val="26"/>
                <w:szCs w:val="26"/>
                <w:rtl/>
              </w:rPr>
            </w:pPr>
          </w:p>
        </w:tc>
        <w:tc>
          <w:tcPr>
            <w:tcW w:w="4678" w:type="dxa"/>
            <w:tcBorders>
              <w:top w:val="nil"/>
              <w:left w:val="nil"/>
              <w:bottom w:val="nil"/>
              <w:right w:val="nil"/>
            </w:tcBorders>
            <w:shd w:val="clear" w:color="auto" w:fill="auto"/>
          </w:tcPr>
          <w:p w14:paraId="7B7C60B8" w14:textId="77777777" w:rsidR="00C32302" w:rsidRPr="00937A5F" w:rsidRDefault="00C32302" w:rsidP="00C32302">
            <w:pPr>
              <w:jc w:val="right"/>
              <w:rPr>
                <w:rFonts w:ascii="David" w:hAnsi="David"/>
                <w:sz w:val="26"/>
                <w:szCs w:val="26"/>
              </w:rPr>
            </w:pPr>
          </w:p>
        </w:tc>
      </w:tr>
    </w:tbl>
    <w:p w14:paraId="626B100A" w14:textId="77777777" w:rsidR="00937A5F" w:rsidRPr="00937A5F" w:rsidRDefault="00937A5F" w:rsidP="00937A5F">
      <w:pPr>
        <w:spacing w:before="120" w:after="120" w:line="240" w:lineRule="exact"/>
        <w:ind w:left="283" w:hanging="283"/>
        <w:jc w:val="both"/>
        <w:rPr>
          <w:rFonts w:ascii="FrankRuehl" w:hAnsi="FrankRuehl" w:cs="FrankRuehl"/>
          <w:rtl/>
        </w:rPr>
      </w:pPr>
    </w:p>
    <w:p w14:paraId="4053498B" w14:textId="77777777" w:rsidR="00937A5F" w:rsidRPr="00937A5F" w:rsidRDefault="00937A5F" w:rsidP="00937A5F">
      <w:pPr>
        <w:rPr>
          <w:sz w:val="26"/>
          <w:szCs w:val="26"/>
          <w:rtl/>
        </w:rPr>
      </w:pPr>
    </w:p>
    <w:p w14:paraId="56392147" w14:textId="77777777" w:rsidR="007760B2" w:rsidRPr="007760B2" w:rsidRDefault="007760B2" w:rsidP="007760B2">
      <w:pPr>
        <w:spacing w:before="120" w:after="120" w:line="240" w:lineRule="exact"/>
        <w:ind w:left="283" w:hanging="283"/>
        <w:jc w:val="both"/>
        <w:rPr>
          <w:rFonts w:ascii="FrankRuehl" w:hAnsi="FrankRuehl" w:cs="FrankRuehl"/>
          <w:rtl/>
        </w:rPr>
      </w:pPr>
    </w:p>
    <w:p w14:paraId="68BE7B14" w14:textId="77777777" w:rsidR="00EC3851" w:rsidRPr="00EC3851" w:rsidRDefault="00EC3851" w:rsidP="00EC3851">
      <w:pPr>
        <w:spacing w:before="120" w:after="120" w:line="240" w:lineRule="exact"/>
        <w:ind w:left="283" w:hanging="283"/>
        <w:jc w:val="both"/>
        <w:rPr>
          <w:rFonts w:ascii="FrankRuehl" w:hAnsi="FrankRuehl" w:cs="FrankRuehl"/>
          <w:rtl/>
        </w:rPr>
      </w:pPr>
    </w:p>
    <w:p w14:paraId="6E84A9BF" w14:textId="77777777" w:rsidR="00D2737F" w:rsidRDefault="00D2737F" w:rsidP="00D2737F">
      <w:pPr>
        <w:rPr>
          <w:sz w:val="26"/>
          <w:szCs w:val="26"/>
          <w:rtl/>
        </w:rPr>
      </w:pPr>
      <w:bookmarkStart w:id="3" w:name="LawTable"/>
      <w:bookmarkEnd w:id="3"/>
    </w:p>
    <w:p w14:paraId="7270EB69" w14:textId="77777777" w:rsidR="00D2737F" w:rsidRPr="00D2737F" w:rsidRDefault="00D2737F" w:rsidP="00D2737F">
      <w:pPr>
        <w:spacing w:before="120" w:after="120" w:line="240" w:lineRule="exact"/>
        <w:ind w:left="283" w:hanging="283"/>
        <w:jc w:val="both"/>
        <w:rPr>
          <w:rFonts w:ascii="FrankRuehl" w:hAnsi="FrankRuehl" w:cs="FrankRuehl"/>
          <w:rtl/>
        </w:rPr>
      </w:pPr>
    </w:p>
    <w:p w14:paraId="7104120E" w14:textId="77777777" w:rsidR="00D2737F" w:rsidRPr="00D2737F" w:rsidRDefault="00D2737F" w:rsidP="00D2737F">
      <w:pPr>
        <w:spacing w:before="120" w:after="120" w:line="240" w:lineRule="exact"/>
        <w:ind w:left="283" w:hanging="283"/>
        <w:jc w:val="both"/>
        <w:rPr>
          <w:rFonts w:ascii="FrankRuehl" w:hAnsi="FrankRuehl" w:cs="FrankRuehl"/>
          <w:rtl/>
        </w:rPr>
      </w:pPr>
    </w:p>
    <w:p w14:paraId="4435871E" w14:textId="77777777" w:rsidR="00D2737F" w:rsidRPr="00D2737F" w:rsidRDefault="00D2737F" w:rsidP="00D2737F">
      <w:pPr>
        <w:spacing w:before="120" w:after="120" w:line="240" w:lineRule="exact"/>
        <w:ind w:left="283" w:hanging="283"/>
        <w:jc w:val="both"/>
        <w:rPr>
          <w:rFonts w:ascii="FrankRuehl" w:hAnsi="FrankRuehl" w:cs="FrankRuehl"/>
          <w:rtl/>
        </w:rPr>
      </w:pPr>
      <w:r w:rsidRPr="00D2737F">
        <w:rPr>
          <w:rFonts w:ascii="FrankRuehl" w:hAnsi="FrankRuehl" w:cs="FrankRuehl"/>
          <w:rtl/>
        </w:rPr>
        <w:t xml:space="preserve">חקיקה שאוזכרה: </w:t>
      </w:r>
    </w:p>
    <w:p w14:paraId="548D5041" w14:textId="77777777" w:rsidR="00D2737F" w:rsidRPr="00D2737F" w:rsidRDefault="00D2737F" w:rsidP="00D2737F">
      <w:pPr>
        <w:spacing w:before="120" w:after="120" w:line="240" w:lineRule="exact"/>
        <w:ind w:left="283" w:hanging="283"/>
        <w:jc w:val="both"/>
        <w:rPr>
          <w:rFonts w:ascii="FrankRuehl" w:hAnsi="FrankRuehl" w:cs="FrankRuehl"/>
          <w:rtl/>
        </w:rPr>
      </w:pPr>
      <w:hyperlink r:id="rId6" w:history="1">
        <w:r w:rsidRPr="00D2737F">
          <w:rPr>
            <w:rFonts w:ascii="FrankRuehl" w:hAnsi="FrankRuehl" w:cs="FrankRuehl"/>
            <w:color w:val="0000FF"/>
            <w:rtl/>
          </w:rPr>
          <w:t>חוק העונשין, תשל"ז-1977</w:t>
        </w:r>
      </w:hyperlink>
      <w:r w:rsidRPr="00D2737F">
        <w:rPr>
          <w:rFonts w:ascii="FrankRuehl" w:hAnsi="FrankRuehl" w:cs="FrankRuehl"/>
          <w:rtl/>
        </w:rPr>
        <w:t xml:space="preserve">: סע'  </w:t>
      </w:r>
      <w:hyperlink r:id="rId7" w:history="1">
        <w:r w:rsidRPr="00D2737F">
          <w:rPr>
            <w:rFonts w:ascii="FrankRuehl" w:hAnsi="FrankRuehl" w:cs="FrankRuehl"/>
            <w:color w:val="0000FF"/>
            <w:rtl/>
          </w:rPr>
          <w:t>448(א)</w:t>
        </w:r>
      </w:hyperlink>
    </w:p>
    <w:p w14:paraId="4C4CBCF5" w14:textId="77777777" w:rsidR="00D2737F" w:rsidRPr="00D2737F" w:rsidRDefault="00D2737F" w:rsidP="00D2737F">
      <w:pPr>
        <w:spacing w:before="120" w:after="120" w:line="240" w:lineRule="exact"/>
        <w:ind w:left="283" w:hanging="283"/>
        <w:jc w:val="both"/>
        <w:rPr>
          <w:rFonts w:ascii="FrankRuehl" w:hAnsi="FrankRuehl" w:cs="FrankRuehl"/>
          <w:rtl/>
        </w:rPr>
      </w:pPr>
      <w:hyperlink r:id="rId8" w:history="1">
        <w:r w:rsidRPr="00D2737F">
          <w:rPr>
            <w:rFonts w:ascii="FrankRuehl" w:hAnsi="FrankRuehl" w:cs="FrankRuehl"/>
            <w:color w:val="0000FF"/>
            <w:rtl/>
          </w:rPr>
          <w:t>פקודת הסמים המסוכנים [נוסח חדש], תשל"ג-1973</w:t>
        </w:r>
      </w:hyperlink>
      <w:r w:rsidRPr="00D2737F">
        <w:rPr>
          <w:rFonts w:ascii="FrankRuehl" w:hAnsi="FrankRuehl" w:cs="FrankRuehl"/>
          <w:rtl/>
        </w:rPr>
        <w:t xml:space="preserve">: סע'  </w:t>
      </w:r>
      <w:hyperlink r:id="rId9" w:history="1">
        <w:r w:rsidRPr="00D2737F">
          <w:rPr>
            <w:rFonts w:ascii="FrankRuehl" w:hAnsi="FrankRuehl" w:cs="FrankRuehl"/>
            <w:color w:val="0000FF"/>
            <w:rtl/>
          </w:rPr>
          <w:t>7.א.</w:t>
        </w:r>
      </w:hyperlink>
      <w:r w:rsidRPr="00D2737F">
        <w:rPr>
          <w:rFonts w:ascii="FrankRuehl" w:hAnsi="FrankRuehl" w:cs="FrankRuehl"/>
          <w:rtl/>
        </w:rPr>
        <w:t xml:space="preserve">, </w:t>
      </w:r>
      <w:hyperlink r:id="rId10" w:history="1">
        <w:r w:rsidRPr="00D2737F">
          <w:rPr>
            <w:rFonts w:ascii="FrankRuehl" w:hAnsi="FrankRuehl" w:cs="FrankRuehl"/>
            <w:color w:val="0000FF"/>
            <w:rtl/>
          </w:rPr>
          <w:t>7.ג</w:t>
        </w:r>
      </w:hyperlink>
    </w:p>
    <w:p w14:paraId="36F9D9B2" w14:textId="77777777" w:rsidR="00D2737F" w:rsidRPr="00D2737F" w:rsidRDefault="00D2737F" w:rsidP="00D2737F">
      <w:pPr>
        <w:rPr>
          <w:sz w:val="26"/>
          <w:szCs w:val="26"/>
          <w:rtl/>
        </w:rPr>
      </w:pPr>
      <w:bookmarkStart w:id="4" w:name="LawTable_End"/>
      <w:bookmarkEnd w:id="4"/>
    </w:p>
    <w:p w14:paraId="2A216193" w14:textId="77777777" w:rsidR="00C32302" w:rsidRPr="00EC3851" w:rsidRDefault="00C32302" w:rsidP="00EC385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2302" w14:paraId="3AC92D8B" w14:textId="77777777" w:rsidTr="00C32302">
        <w:trPr>
          <w:trHeight w:val="355"/>
          <w:jc w:val="center"/>
        </w:trPr>
        <w:tc>
          <w:tcPr>
            <w:tcW w:w="8820" w:type="dxa"/>
            <w:tcBorders>
              <w:top w:val="nil"/>
              <w:left w:val="nil"/>
              <w:bottom w:val="nil"/>
              <w:right w:val="nil"/>
            </w:tcBorders>
            <w:shd w:val="clear" w:color="auto" w:fill="auto"/>
          </w:tcPr>
          <w:p w14:paraId="5DA90B0F" w14:textId="77777777" w:rsidR="00937A5F" w:rsidRPr="00937A5F" w:rsidRDefault="00937A5F" w:rsidP="00937A5F">
            <w:pPr>
              <w:jc w:val="center"/>
              <w:rPr>
                <w:rFonts w:ascii="David" w:hAnsi="David"/>
                <w:b/>
                <w:bCs/>
                <w:sz w:val="32"/>
                <w:szCs w:val="32"/>
                <w:u w:val="single"/>
                <w:rtl/>
              </w:rPr>
            </w:pPr>
            <w:bookmarkStart w:id="5" w:name="PsakDin" w:colFirst="0" w:colLast="0"/>
            <w:bookmarkEnd w:id="0"/>
            <w:r w:rsidRPr="00937A5F">
              <w:rPr>
                <w:rFonts w:ascii="David" w:hAnsi="David"/>
                <w:b/>
                <w:bCs/>
                <w:sz w:val="32"/>
                <w:szCs w:val="32"/>
                <w:u w:val="single"/>
                <w:rtl/>
              </w:rPr>
              <w:t>גזר דין</w:t>
            </w:r>
          </w:p>
          <w:p w14:paraId="391A234E" w14:textId="77777777" w:rsidR="00C32302" w:rsidRPr="00937A5F" w:rsidRDefault="00C32302" w:rsidP="00937A5F">
            <w:pPr>
              <w:jc w:val="center"/>
              <w:rPr>
                <w:rFonts w:ascii="David" w:hAnsi="David"/>
                <w:bCs/>
                <w:sz w:val="32"/>
                <w:szCs w:val="32"/>
                <w:u w:val="single"/>
                <w:rtl/>
              </w:rPr>
            </w:pPr>
          </w:p>
        </w:tc>
      </w:tr>
    </w:tbl>
    <w:bookmarkEnd w:id="5"/>
    <w:p w14:paraId="52E50EE7" w14:textId="77777777" w:rsidR="00C32302" w:rsidRDefault="00C32302" w:rsidP="00C32302">
      <w:pPr>
        <w:spacing w:line="360" w:lineRule="auto"/>
        <w:jc w:val="both"/>
        <w:rPr>
          <w:b/>
          <w:bCs/>
          <w:u w:val="single"/>
          <w:rtl/>
          <w:lang w:eastAsia="he-IL"/>
        </w:rPr>
      </w:pPr>
      <w:r>
        <w:rPr>
          <w:b/>
          <w:bCs/>
          <w:u w:val="single"/>
          <w:rtl/>
          <w:lang w:eastAsia="he-IL"/>
        </w:rPr>
        <w:t>האישום וההסדר</w:t>
      </w:r>
    </w:p>
    <w:p w14:paraId="387992DA" w14:textId="77777777" w:rsidR="00C32302" w:rsidRDefault="00C32302" w:rsidP="00C32302">
      <w:pPr>
        <w:spacing w:line="360" w:lineRule="auto"/>
        <w:jc w:val="both"/>
        <w:rPr>
          <w:b/>
          <w:bCs/>
          <w:u w:val="single"/>
          <w:rtl/>
          <w:lang w:eastAsia="he-IL"/>
        </w:rPr>
      </w:pPr>
    </w:p>
    <w:p w14:paraId="2B03945B" w14:textId="77777777" w:rsidR="00C32302" w:rsidRDefault="00C32302" w:rsidP="00C32302">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בכתב </w:t>
      </w:r>
      <w:r>
        <w:rPr>
          <w:rFonts w:ascii="David" w:eastAsia="David" w:hAnsi="David"/>
          <w:rtl/>
        </w:rPr>
        <w:t xml:space="preserve">אישום מתוקן בעבירה של הצתה, לפי </w:t>
      </w:r>
      <w:hyperlink r:id="rId11" w:history="1">
        <w:r w:rsidR="007760B2" w:rsidRPr="007760B2">
          <w:rPr>
            <w:rStyle w:val="Hyperlink"/>
            <w:rFonts w:ascii="David" w:eastAsia="David" w:hAnsi="David"/>
            <w:rtl/>
          </w:rPr>
          <w:t>סעיף 448(א)</w:t>
        </w:r>
      </w:hyperlink>
      <w:r>
        <w:rPr>
          <w:rFonts w:ascii="David" w:eastAsia="David" w:hAnsi="David"/>
          <w:rtl/>
        </w:rPr>
        <w:t xml:space="preserve"> </w:t>
      </w:r>
      <w:r>
        <w:rPr>
          <w:rFonts w:ascii="David" w:hAnsi="David"/>
          <w:rtl/>
        </w:rPr>
        <w:t>רישא ל</w:t>
      </w:r>
      <w:hyperlink r:id="rId12" w:history="1">
        <w:r w:rsidR="00937A5F" w:rsidRPr="00937A5F">
          <w:rPr>
            <w:rFonts w:ascii="David" w:hAnsi="David"/>
            <w:color w:val="0000FF"/>
            <w:u w:val="single"/>
            <w:rtl/>
          </w:rPr>
          <w:t>חוק העונשין</w:t>
        </w:r>
      </w:hyperlink>
      <w:r>
        <w:rPr>
          <w:rFonts w:ascii="David" w:hAnsi="David"/>
          <w:rtl/>
        </w:rPr>
        <w:t>.</w:t>
      </w:r>
    </w:p>
    <w:p w14:paraId="435F34C2" w14:textId="77777777" w:rsidR="00C32302" w:rsidRDefault="00C32302" w:rsidP="00C32302">
      <w:pPr>
        <w:spacing w:line="360" w:lineRule="auto"/>
        <w:jc w:val="both"/>
        <w:rPr>
          <w:rFonts w:ascii="David" w:hAnsi="David"/>
          <w:rtl/>
        </w:rPr>
      </w:pPr>
    </w:p>
    <w:p w14:paraId="3677DE2E" w14:textId="77777777" w:rsidR="00C32302" w:rsidRDefault="00C32302" w:rsidP="00C32302">
      <w:pPr>
        <w:spacing w:line="360" w:lineRule="auto"/>
        <w:jc w:val="both"/>
        <w:rPr>
          <w:rFonts w:ascii="David" w:hAnsi="David"/>
          <w:rtl/>
        </w:rPr>
      </w:pPr>
      <w:r>
        <w:rPr>
          <w:rFonts w:ascii="David" w:hAnsi="David"/>
          <w:rtl/>
        </w:rPr>
        <w:lastRenderedPageBreak/>
        <w:t>על פי כתב האישום המתוקן (כא/2), ג. הוא בעליה של תחנת מוניות הממוקמת בקומת הקרקע בבניין שבו גם חניון מקורה ושלוש קומות מגורים מעל.</w:t>
      </w:r>
    </w:p>
    <w:p w14:paraId="2F934D2C" w14:textId="77777777" w:rsidR="00C32302" w:rsidRDefault="00C32302" w:rsidP="00C32302">
      <w:pPr>
        <w:spacing w:line="360" w:lineRule="auto"/>
        <w:jc w:val="both"/>
        <w:rPr>
          <w:rFonts w:ascii="David" w:hAnsi="David"/>
        </w:rPr>
      </w:pPr>
      <w:bookmarkStart w:id="7" w:name="ABSTRACT_END"/>
      <w:bookmarkEnd w:id="7"/>
    </w:p>
    <w:p w14:paraId="41046F3F" w14:textId="77777777" w:rsidR="00C32302" w:rsidRDefault="00C32302" w:rsidP="00C32302">
      <w:pPr>
        <w:spacing w:line="360" w:lineRule="auto"/>
        <w:jc w:val="both"/>
        <w:rPr>
          <w:rFonts w:ascii="David" w:hAnsi="David"/>
          <w:rtl/>
        </w:rPr>
      </w:pPr>
      <w:r>
        <w:rPr>
          <w:rFonts w:ascii="David" w:hAnsi="David"/>
          <w:rtl/>
        </w:rPr>
        <w:t>עובר ליום 15.9.21 בנסיבות שאינן ידועות במדויק למאשימה, החליט הנאשם להצית את משרד תחנת המוניות, על רקע חובות כלכליים.</w:t>
      </w:r>
    </w:p>
    <w:p w14:paraId="622C8AB1" w14:textId="77777777" w:rsidR="00C32302" w:rsidRDefault="00C32302" w:rsidP="00C32302">
      <w:pPr>
        <w:spacing w:line="360" w:lineRule="auto"/>
        <w:jc w:val="both"/>
        <w:rPr>
          <w:rFonts w:ascii="David" w:hAnsi="David"/>
          <w:rtl/>
        </w:rPr>
      </w:pPr>
    </w:p>
    <w:p w14:paraId="61D19B17" w14:textId="77777777" w:rsidR="00C32302" w:rsidRDefault="00C32302" w:rsidP="00C32302">
      <w:pPr>
        <w:spacing w:line="360" w:lineRule="auto"/>
        <w:jc w:val="both"/>
        <w:rPr>
          <w:rFonts w:ascii="David" w:eastAsia="David" w:hAnsi="David"/>
          <w:rtl/>
        </w:rPr>
      </w:pPr>
      <w:r>
        <w:rPr>
          <w:rFonts w:ascii="David" w:eastAsia="David" w:hAnsi="David"/>
          <w:rtl/>
        </w:rPr>
        <w:t xml:space="preserve">על כן, הצטייד הנאשם בשלושה בקבוקים גדולים ובהם חומר דליק מסוג בנזין, והסווה את זהותו בכך שכיסה את פניו בחולצה. </w:t>
      </w:r>
    </w:p>
    <w:p w14:paraId="4137A5AF" w14:textId="77777777" w:rsidR="00C32302" w:rsidRDefault="00C32302" w:rsidP="00C32302">
      <w:pPr>
        <w:spacing w:line="360" w:lineRule="auto"/>
        <w:jc w:val="both"/>
        <w:rPr>
          <w:rFonts w:ascii="David" w:eastAsia="David" w:hAnsi="David"/>
          <w:rtl/>
        </w:rPr>
      </w:pPr>
    </w:p>
    <w:p w14:paraId="0EDC0CBC" w14:textId="77777777" w:rsidR="00C32302" w:rsidRDefault="00C32302" w:rsidP="00C32302">
      <w:pPr>
        <w:spacing w:line="360" w:lineRule="auto"/>
        <w:jc w:val="both"/>
        <w:rPr>
          <w:rFonts w:ascii="David" w:eastAsia="David" w:hAnsi="David"/>
          <w:rtl/>
        </w:rPr>
      </w:pPr>
      <w:r>
        <w:rPr>
          <w:rFonts w:ascii="David" w:eastAsia="David" w:hAnsi="David"/>
          <w:rtl/>
        </w:rPr>
        <w:t>בתאריך 15.9.21, סמוך לפני השעה 04:00, הנאשם הגיע עם הבקבוקים, התקרב לתחנת המוניות, שפך את הדלק ליד דלת הכניסה למשרד תחנת המוניות, והצית את הדלק שהתלקח במהירות. לאחר מכן נמלט הנאשם מהמקום בין הבניינים.</w:t>
      </w:r>
    </w:p>
    <w:p w14:paraId="2AE139D3" w14:textId="77777777" w:rsidR="00C32302" w:rsidRDefault="00C32302" w:rsidP="00C32302">
      <w:pPr>
        <w:spacing w:line="360" w:lineRule="auto"/>
        <w:jc w:val="both"/>
        <w:rPr>
          <w:rFonts w:ascii="David" w:eastAsia="David" w:hAnsi="David"/>
          <w:rtl/>
        </w:rPr>
      </w:pPr>
    </w:p>
    <w:p w14:paraId="1D742FF7" w14:textId="77777777" w:rsidR="00C32302" w:rsidRDefault="00C32302" w:rsidP="00C32302">
      <w:pPr>
        <w:spacing w:line="360" w:lineRule="auto"/>
        <w:jc w:val="both"/>
        <w:rPr>
          <w:rFonts w:ascii="David" w:eastAsia="David" w:hAnsi="David"/>
          <w:rtl/>
        </w:rPr>
      </w:pPr>
      <w:r>
        <w:rPr>
          <w:rFonts w:ascii="David" w:eastAsia="David" w:hAnsi="David"/>
          <w:rtl/>
        </w:rPr>
        <w:t xml:space="preserve">הדלק התלקח ועלה באש, אשר הבעירה את משרד תחנת המוניות מבחוץ, והאש גם פרצה פנימה. </w:t>
      </w:r>
    </w:p>
    <w:p w14:paraId="0D60E82E" w14:textId="77777777" w:rsidR="00C32302" w:rsidRDefault="00C32302" w:rsidP="00C32302">
      <w:pPr>
        <w:spacing w:line="360" w:lineRule="auto"/>
        <w:jc w:val="both"/>
        <w:rPr>
          <w:rFonts w:ascii="David" w:eastAsia="David" w:hAnsi="David"/>
          <w:rtl/>
        </w:rPr>
      </w:pPr>
      <w:r>
        <w:rPr>
          <w:rFonts w:ascii="David" w:eastAsia="David" w:hAnsi="David"/>
          <w:rtl/>
        </w:rPr>
        <w:t>למקום הובהלו ארבעה צוותי כיבוי, אשר כיבוי את האש.</w:t>
      </w:r>
    </w:p>
    <w:p w14:paraId="59B7F132" w14:textId="77777777" w:rsidR="00C32302" w:rsidRDefault="00C32302" w:rsidP="00C32302">
      <w:pPr>
        <w:spacing w:line="360" w:lineRule="auto"/>
        <w:jc w:val="both"/>
        <w:rPr>
          <w:rFonts w:ascii="David" w:eastAsia="David" w:hAnsi="David"/>
          <w:rtl/>
        </w:rPr>
      </w:pPr>
    </w:p>
    <w:p w14:paraId="00ACE5C2" w14:textId="77777777" w:rsidR="00C32302" w:rsidRDefault="00C32302" w:rsidP="00C32302">
      <w:pPr>
        <w:spacing w:line="360" w:lineRule="auto"/>
        <w:jc w:val="both"/>
        <w:rPr>
          <w:rFonts w:ascii="David" w:eastAsia="David" w:hAnsi="David"/>
          <w:rtl/>
        </w:rPr>
      </w:pPr>
      <w:r>
        <w:rPr>
          <w:rFonts w:ascii="David" w:eastAsia="David" w:hAnsi="David"/>
          <w:rtl/>
        </w:rPr>
        <w:t xml:space="preserve">בשל ההצתה, נגרם נזק רב מאוד למשרד תחנת המוניות העשוי בנייה קלה, וכן נגרם נזק לתשתית התאורה והאינסטלציה בחניון המקורה, כמו גם לתשתיות ריצוף בסביבת תחנת המוניות. </w:t>
      </w:r>
    </w:p>
    <w:p w14:paraId="03F6E7BF" w14:textId="77777777" w:rsidR="00C32302" w:rsidRDefault="00C32302" w:rsidP="00C32302">
      <w:pPr>
        <w:spacing w:line="360" w:lineRule="auto"/>
        <w:jc w:val="both"/>
        <w:rPr>
          <w:rFonts w:ascii="David" w:eastAsia="David" w:hAnsi="David"/>
          <w:rtl/>
        </w:rPr>
      </w:pPr>
    </w:p>
    <w:p w14:paraId="32253A91" w14:textId="77777777" w:rsidR="00C32302" w:rsidRDefault="00C32302" w:rsidP="00C32302">
      <w:pPr>
        <w:spacing w:line="360" w:lineRule="auto"/>
        <w:jc w:val="both"/>
        <w:rPr>
          <w:rFonts w:ascii="David" w:eastAsia="David" w:hAnsi="David"/>
          <w:rtl/>
        </w:rPr>
      </w:pPr>
      <w:r>
        <w:rPr>
          <w:rFonts w:ascii="David" w:eastAsia="David" w:hAnsi="David"/>
          <w:rtl/>
        </w:rPr>
        <w:t xml:space="preserve">הנאשם במעשיו הנ"ל, שילח אש במזיד, בדבר לא לו. </w:t>
      </w:r>
    </w:p>
    <w:p w14:paraId="5944AA25" w14:textId="77777777" w:rsidR="00C32302" w:rsidRDefault="00C32302" w:rsidP="00C32302">
      <w:pPr>
        <w:spacing w:line="360" w:lineRule="auto"/>
        <w:jc w:val="both"/>
        <w:rPr>
          <w:rFonts w:ascii="David" w:eastAsia="David" w:hAnsi="David"/>
          <w:rtl/>
        </w:rPr>
      </w:pPr>
    </w:p>
    <w:p w14:paraId="3A402359" w14:textId="77777777" w:rsidR="00C32302" w:rsidRDefault="00C32302" w:rsidP="00C32302">
      <w:pPr>
        <w:spacing w:line="360" w:lineRule="auto"/>
        <w:jc w:val="both"/>
        <w:rPr>
          <w:rFonts w:ascii="David" w:eastAsia="David" w:hAnsi="David"/>
          <w:rtl/>
        </w:rPr>
      </w:pPr>
      <w:r>
        <w:rPr>
          <w:rFonts w:ascii="David" w:eastAsia="David" w:hAnsi="David"/>
          <w:rtl/>
        </w:rPr>
        <w:t xml:space="preserve">ביום 11.7.23, צירף הנאשם כתב אישום מתוקן, ועל פי הודאתו </w:t>
      </w:r>
      <w:r>
        <w:rPr>
          <w:rFonts w:ascii="David" w:hAnsi="David"/>
          <w:rtl/>
        </w:rPr>
        <w:t xml:space="preserve">בכתב </w:t>
      </w:r>
      <w:r>
        <w:rPr>
          <w:rFonts w:ascii="David" w:eastAsia="David" w:hAnsi="David"/>
          <w:rtl/>
        </w:rPr>
        <w:t xml:space="preserve">אישום המתוקן כא/3 הורשע גם בעבירה של החזקת סמים מסוכנים שלא לצריכה עצמית, לפי </w:t>
      </w:r>
      <w:hyperlink r:id="rId13" w:history="1">
        <w:r w:rsidR="007760B2" w:rsidRPr="007760B2">
          <w:rPr>
            <w:rStyle w:val="Hyperlink"/>
            <w:rFonts w:ascii="David" w:eastAsia="David" w:hAnsi="David"/>
            <w:rtl/>
          </w:rPr>
          <w:t>סעיף 7(א)+(ג)</w:t>
        </w:r>
      </w:hyperlink>
      <w:r>
        <w:rPr>
          <w:rFonts w:ascii="David" w:eastAsia="David" w:hAnsi="David"/>
          <w:rtl/>
        </w:rPr>
        <w:t xml:space="preserve"> רישא ל</w:t>
      </w:r>
      <w:hyperlink r:id="rId14" w:history="1">
        <w:r w:rsidR="00937A5F" w:rsidRPr="00937A5F">
          <w:rPr>
            <w:rFonts w:ascii="David" w:eastAsia="David" w:hAnsi="David"/>
            <w:color w:val="0000FF"/>
            <w:u w:val="single"/>
            <w:rtl/>
          </w:rPr>
          <w:t>פקודת הסמים המסוכנים</w:t>
        </w:r>
      </w:hyperlink>
      <w:r>
        <w:rPr>
          <w:rFonts w:ascii="David" w:eastAsia="David" w:hAnsi="David"/>
          <w:rtl/>
        </w:rPr>
        <w:t xml:space="preserve"> (נוסח חדש).</w:t>
      </w:r>
    </w:p>
    <w:p w14:paraId="4998DDA8" w14:textId="77777777" w:rsidR="00C32302" w:rsidRDefault="00C32302" w:rsidP="00C32302">
      <w:pPr>
        <w:spacing w:line="360" w:lineRule="auto"/>
        <w:jc w:val="both"/>
        <w:rPr>
          <w:rFonts w:ascii="David" w:eastAsia="David" w:hAnsi="David"/>
          <w:rtl/>
        </w:rPr>
      </w:pPr>
    </w:p>
    <w:p w14:paraId="087C4516" w14:textId="77777777" w:rsidR="00C32302" w:rsidRDefault="00C32302" w:rsidP="00C32302">
      <w:pPr>
        <w:spacing w:line="360" w:lineRule="auto"/>
        <w:jc w:val="both"/>
        <w:rPr>
          <w:rFonts w:ascii="David" w:eastAsia="David" w:hAnsi="David"/>
          <w:rtl/>
        </w:rPr>
      </w:pPr>
      <w:r>
        <w:rPr>
          <w:rFonts w:ascii="David" w:eastAsia="David" w:hAnsi="David"/>
          <w:b/>
          <w:bCs/>
          <w:rtl/>
        </w:rPr>
        <w:t xml:space="preserve">על פי כתב האישום המצורף כא/3, </w:t>
      </w:r>
      <w:r>
        <w:rPr>
          <w:rFonts w:ascii="David" w:eastAsia="David" w:hAnsi="David"/>
          <w:rtl/>
        </w:rPr>
        <w:t>בתאריך 22.8.21 בסמוך לשעה 14:30, החזיק הנאשם בסם מסוכן מסוג קנבוס במשקל נטו של 31.19 גרם וכן בסם מסוכן מסוג חשיש במשקל נטו של 10.09, מחולק ל-5 יחידות, שלא לצריכתו העצמית. במועד ובמעמד האמור, החזיק הנאשם כ-2 משקלים דיגיטליים המשמשים להכנתו של הסם המסוכן.</w:t>
      </w:r>
    </w:p>
    <w:p w14:paraId="2273024F" w14:textId="77777777" w:rsidR="00C32302" w:rsidRDefault="00C32302" w:rsidP="00C32302">
      <w:pPr>
        <w:spacing w:line="360" w:lineRule="auto"/>
        <w:jc w:val="both"/>
        <w:rPr>
          <w:rFonts w:ascii="David" w:eastAsia="David" w:hAnsi="David"/>
        </w:rPr>
      </w:pPr>
    </w:p>
    <w:p w14:paraId="312C55B6" w14:textId="77777777" w:rsidR="00C32302" w:rsidRDefault="00C32302" w:rsidP="00C32302">
      <w:pPr>
        <w:spacing w:line="360" w:lineRule="auto"/>
        <w:jc w:val="both"/>
        <w:rPr>
          <w:rFonts w:ascii="David" w:eastAsia="David" w:hAnsi="David"/>
          <w:rtl/>
        </w:rPr>
      </w:pPr>
      <w:r>
        <w:rPr>
          <w:rFonts w:ascii="David" w:eastAsia="David" w:hAnsi="David"/>
          <w:rtl/>
        </w:rPr>
        <w:t>בתיק העיקרי, בטרם צירוף התיק הנוסף, הגיעו הצדדים להסדר טיעון הכולל הסכמה עונשית חלקית לפיה, המאשימה תבקש להטיל 24 חודשי מאסר בפועל, בניכוי ימי המעצר, מאסר מותנה, קנס ופיצוי למתלונן, וההגנה חופשית בטיעוניה לעונש.</w:t>
      </w:r>
    </w:p>
    <w:p w14:paraId="0CE0E5C3" w14:textId="77777777" w:rsidR="00C32302" w:rsidRDefault="00C32302" w:rsidP="00C32302">
      <w:pPr>
        <w:spacing w:line="360" w:lineRule="auto"/>
        <w:jc w:val="both"/>
        <w:rPr>
          <w:rFonts w:ascii="David" w:eastAsia="David" w:hAnsi="David"/>
          <w:rtl/>
        </w:rPr>
      </w:pPr>
    </w:p>
    <w:p w14:paraId="2ADB179F" w14:textId="77777777" w:rsidR="00C32302" w:rsidRDefault="00C32302" w:rsidP="00C32302">
      <w:pPr>
        <w:spacing w:line="360" w:lineRule="auto"/>
        <w:jc w:val="both"/>
        <w:rPr>
          <w:rFonts w:ascii="David" w:eastAsia="David" w:hAnsi="David"/>
          <w:rtl/>
        </w:rPr>
      </w:pPr>
      <w:r>
        <w:rPr>
          <w:rFonts w:ascii="David" w:eastAsia="David" w:hAnsi="David"/>
          <w:rtl/>
        </w:rPr>
        <w:t>בתיק המצורף אין הסכמות עונשיות.</w:t>
      </w:r>
    </w:p>
    <w:p w14:paraId="322607ED" w14:textId="77777777" w:rsidR="00C32302" w:rsidRDefault="00C32302" w:rsidP="00C32302">
      <w:pPr>
        <w:spacing w:line="360" w:lineRule="auto"/>
        <w:jc w:val="both"/>
        <w:rPr>
          <w:rFonts w:ascii="David" w:eastAsia="David" w:hAnsi="David"/>
          <w:rtl/>
        </w:rPr>
      </w:pPr>
    </w:p>
    <w:p w14:paraId="780AEEC7" w14:textId="77777777" w:rsidR="00C32302" w:rsidRPr="00C32302" w:rsidRDefault="00C32302" w:rsidP="00C32302">
      <w:pPr>
        <w:spacing w:line="360" w:lineRule="auto"/>
        <w:rPr>
          <w:rFonts w:ascii="David" w:eastAsia="Calibri" w:hAnsi="David"/>
          <w:b/>
          <w:bCs/>
          <w:u w:val="single"/>
          <w:rtl/>
        </w:rPr>
      </w:pPr>
      <w:r>
        <w:rPr>
          <w:rFonts w:ascii="David" w:hAnsi="David"/>
          <w:b/>
          <w:bCs/>
          <w:u w:val="single"/>
          <w:rtl/>
        </w:rPr>
        <w:t>הראיות לעונש</w:t>
      </w:r>
    </w:p>
    <w:p w14:paraId="567746C5" w14:textId="77777777" w:rsidR="00C32302" w:rsidRPr="00C32302" w:rsidRDefault="00C32302" w:rsidP="00C32302">
      <w:pPr>
        <w:spacing w:line="360" w:lineRule="auto"/>
        <w:rPr>
          <w:rFonts w:ascii="David" w:eastAsia="Calibri" w:hAnsi="David"/>
          <w:b/>
          <w:bCs/>
          <w:u w:val="single"/>
          <w:rtl/>
        </w:rPr>
      </w:pPr>
    </w:p>
    <w:p w14:paraId="38E2E4C9" w14:textId="77777777" w:rsidR="00C32302" w:rsidRDefault="00C32302" w:rsidP="00C32302">
      <w:pPr>
        <w:spacing w:line="360" w:lineRule="auto"/>
        <w:jc w:val="both"/>
        <w:rPr>
          <w:rFonts w:ascii="David" w:eastAsia="David" w:hAnsi="David"/>
          <w:rtl/>
        </w:rPr>
      </w:pPr>
      <w:r>
        <w:rPr>
          <w:rFonts w:ascii="David" w:hAnsi="David" w:hint="cs"/>
          <w:rtl/>
        </w:rPr>
        <w:t>2</w:t>
      </w:r>
      <w:r>
        <w:rPr>
          <w:rFonts w:ascii="David" w:hAnsi="David"/>
          <w:rtl/>
        </w:rPr>
        <w:t>.</w:t>
      </w:r>
      <w:r>
        <w:rPr>
          <w:rFonts w:ascii="David" w:hAnsi="David"/>
          <w:rtl/>
        </w:rPr>
        <w:tab/>
        <w:t xml:space="preserve">מטעם המאשימה הוגשו כראיות לעונש </w:t>
      </w:r>
      <w:r>
        <w:rPr>
          <w:rFonts w:ascii="David" w:eastAsia="David" w:hAnsi="David"/>
          <w:rtl/>
        </w:rPr>
        <w:t>רישום פלילי של הנאשם (ת/1), לפיו לנאשם עבר הכולל עבירות סמים לרבות החזקה שלא לצריכה עצמית והפרעה לשוטר במילוי תפקידו מהשנים 2018-2020, בגינן נדון ל – 8 חדשי מאסר בפועל, החזקת סמים מסוכנים לצריכה עצמית, סיוע לשוד משנת 2015 בגינה נדון ל – 14 חדשי מאסר בפועל, וגניבה מ – 2014.</w:t>
      </w:r>
    </w:p>
    <w:p w14:paraId="736FB81A" w14:textId="77777777" w:rsidR="00C32302" w:rsidRDefault="00C32302" w:rsidP="00C32302">
      <w:pPr>
        <w:spacing w:line="360" w:lineRule="auto"/>
        <w:jc w:val="both"/>
        <w:rPr>
          <w:rFonts w:ascii="David" w:eastAsia="David" w:hAnsi="David"/>
          <w:rtl/>
        </w:rPr>
      </w:pPr>
    </w:p>
    <w:p w14:paraId="1FF6A96B" w14:textId="77777777" w:rsidR="00C32302" w:rsidRDefault="00C32302" w:rsidP="00C32302">
      <w:pPr>
        <w:spacing w:line="360" w:lineRule="auto"/>
        <w:jc w:val="both"/>
        <w:rPr>
          <w:rFonts w:ascii="David" w:eastAsia="David" w:hAnsi="David"/>
          <w:rtl/>
        </w:rPr>
      </w:pPr>
      <w:r>
        <w:rPr>
          <w:rFonts w:ascii="David" w:eastAsia="David" w:hAnsi="David"/>
          <w:rtl/>
        </w:rPr>
        <w:t>בגין התיק המצורף לחובת הנאשם מאסר מותנה בר הפעלה למשך 8 חודשים בעבירות סמים מסוג פשע, והתחייבות ברת הפעלה בסך 1,500 ₪, גם כן בשל עבירת הסמים.</w:t>
      </w:r>
    </w:p>
    <w:p w14:paraId="54CE3DF8" w14:textId="77777777" w:rsidR="00C32302" w:rsidRDefault="00C32302" w:rsidP="00C32302">
      <w:pPr>
        <w:spacing w:line="360" w:lineRule="auto"/>
        <w:jc w:val="both"/>
        <w:rPr>
          <w:rFonts w:ascii="David" w:eastAsia="David" w:hAnsi="David"/>
          <w:rtl/>
        </w:rPr>
      </w:pPr>
    </w:p>
    <w:p w14:paraId="072C339B" w14:textId="77777777" w:rsidR="00C32302" w:rsidRDefault="00C32302" w:rsidP="00C32302">
      <w:pPr>
        <w:spacing w:line="360" w:lineRule="auto"/>
        <w:rPr>
          <w:rFonts w:ascii="David" w:hAnsi="David"/>
          <w:b/>
          <w:bCs/>
          <w:u w:val="single"/>
          <w:rtl/>
        </w:rPr>
      </w:pPr>
      <w:r>
        <w:rPr>
          <w:rFonts w:ascii="David" w:hAnsi="David"/>
          <w:b/>
          <w:bCs/>
          <w:u w:val="single"/>
          <w:rtl/>
        </w:rPr>
        <w:t>תסקירי שירות המבחן</w:t>
      </w:r>
    </w:p>
    <w:p w14:paraId="45C472FC" w14:textId="77777777" w:rsidR="00C32302" w:rsidRPr="00C32302" w:rsidRDefault="00C32302" w:rsidP="00C32302">
      <w:pPr>
        <w:spacing w:line="360" w:lineRule="auto"/>
        <w:rPr>
          <w:rFonts w:ascii="David" w:eastAsia="Calibri" w:hAnsi="David"/>
          <w:b/>
          <w:bCs/>
          <w:u w:val="single"/>
          <w:rtl/>
        </w:rPr>
      </w:pPr>
    </w:p>
    <w:p w14:paraId="1C7C17CC" w14:textId="77777777" w:rsidR="00C32302" w:rsidRDefault="00C32302" w:rsidP="00C32302">
      <w:pPr>
        <w:spacing w:line="360" w:lineRule="auto"/>
        <w:jc w:val="both"/>
        <w:rPr>
          <w:rFonts w:ascii="David" w:eastAsia="David" w:hAnsi="David"/>
          <w:rtl/>
        </w:rPr>
      </w:pPr>
      <w:r>
        <w:rPr>
          <w:rFonts w:ascii="David" w:hAnsi="David" w:hint="cs"/>
          <w:rtl/>
        </w:rPr>
        <w:t>3</w:t>
      </w:r>
      <w:r>
        <w:rPr>
          <w:rFonts w:ascii="David" w:hAnsi="David"/>
          <w:rtl/>
        </w:rPr>
        <w:t xml:space="preserve">. </w:t>
      </w:r>
      <w:r>
        <w:rPr>
          <w:rFonts w:ascii="David" w:hAnsi="David"/>
          <w:rtl/>
        </w:rPr>
        <w:tab/>
      </w:r>
      <w:r>
        <w:rPr>
          <w:rFonts w:ascii="David" w:eastAsia="David" w:hAnsi="David"/>
          <w:rtl/>
        </w:rPr>
        <w:t>הוגשו כמה תסקירי שירות מבחן ביחס לנאשם, במסגרתם נבחנו אפשרויות טיפוליות, והנאשם בשלב מסויים שולב בקהילה טיפולית, אולם הנ</w:t>
      </w:r>
      <w:r>
        <w:rPr>
          <w:rFonts w:ascii="David" w:eastAsia="David" w:hAnsi="David" w:hint="cs"/>
          <w:rtl/>
        </w:rPr>
        <w:t>י</w:t>
      </w:r>
      <w:r>
        <w:rPr>
          <w:rFonts w:ascii="David" w:eastAsia="David" w:hAnsi="David"/>
          <w:rtl/>
        </w:rPr>
        <w:t>סיון הטיפולי לא צלח.</w:t>
      </w:r>
    </w:p>
    <w:p w14:paraId="5FA9B650" w14:textId="77777777" w:rsidR="00C32302" w:rsidRDefault="00C32302" w:rsidP="00C32302">
      <w:pPr>
        <w:spacing w:line="360" w:lineRule="auto"/>
        <w:jc w:val="both"/>
        <w:rPr>
          <w:rFonts w:ascii="David" w:eastAsia="David" w:hAnsi="David"/>
          <w:rtl/>
        </w:rPr>
      </w:pPr>
    </w:p>
    <w:p w14:paraId="0CC406AA" w14:textId="77777777" w:rsidR="00C32302" w:rsidRDefault="00C32302" w:rsidP="00C32302">
      <w:pPr>
        <w:spacing w:line="360" w:lineRule="auto"/>
        <w:jc w:val="both"/>
        <w:rPr>
          <w:rFonts w:ascii="David" w:eastAsia="David" w:hAnsi="David"/>
          <w:rtl/>
        </w:rPr>
      </w:pPr>
      <w:r>
        <w:rPr>
          <w:rFonts w:ascii="David" w:eastAsia="David" w:hAnsi="David"/>
          <w:b/>
          <w:bCs/>
          <w:rtl/>
        </w:rPr>
        <w:t>על פי התסקיר מיום 14.7.22</w:t>
      </w:r>
      <w:r>
        <w:rPr>
          <w:rFonts w:ascii="David" w:eastAsia="David" w:hAnsi="David"/>
          <w:rtl/>
        </w:rPr>
        <w:t>, הנאשם סיים 12 שנות לימוד ללא תעודת בגרות והתמודד עם קשיים לימודיים. לדבריו, היה אמור להתגייס לצה"ל אך לאור עברו הפלילי הוחלט שלא לגייסו. במקביל ללימודיו עבד בשווקים וכמלצר. הנאשם תיאר קשר קרוב וחיובי עם הוריו. הנאשם שיתף כי אחותו נרצחה לפני כ-15 שנים. הנאשם הביע מוטיבציה להליך טיפולי ארוך טווח, ומסר כי ברקע לביצוע העבירה עומד שימושו באלכוהול וסמים וכן החובות הכבדים שקיימים לו לשוק האפור. לדבריו, חשש לחיי משפחתו נוכח חובותיו. לדבריו, כיום מבין כי פעל תחת לחץ והשפעה של חברה שולית.</w:t>
      </w:r>
    </w:p>
    <w:p w14:paraId="574054F0" w14:textId="77777777" w:rsidR="00C32302" w:rsidRDefault="00C32302" w:rsidP="00C32302">
      <w:pPr>
        <w:spacing w:line="360" w:lineRule="auto"/>
        <w:jc w:val="both"/>
        <w:rPr>
          <w:rFonts w:ascii="David" w:eastAsia="David" w:hAnsi="David"/>
          <w:rtl/>
        </w:rPr>
      </w:pPr>
    </w:p>
    <w:p w14:paraId="5A076955" w14:textId="77777777" w:rsidR="00C32302" w:rsidRDefault="00C32302" w:rsidP="00C32302">
      <w:pPr>
        <w:spacing w:line="360" w:lineRule="auto"/>
        <w:jc w:val="both"/>
        <w:rPr>
          <w:rFonts w:ascii="David" w:eastAsia="David" w:hAnsi="David"/>
          <w:rtl/>
        </w:rPr>
      </w:pPr>
      <w:r>
        <w:rPr>
          <w:rFonts w:ascii="David" w:eastAsia="David" w:hAnsi="David"/>
          <w:rtl/>
        </w:rPr>
        <w:t xml:space="preserve">בבחינת גורמי סיכון, נלקח בחשבון אופי העבירות וכי הנאשם החל לצרוך קנביס מגיל צעיר עד לבגרותו, התמכרות לסמים ואלכוהול והחובות שצבר. </w:t>
      </w:r>
    </w:p>
    <w:p w14:paraId="6960BC2A" w14:textId="77777777" w:rsidR="00C32302" w:rsidRDefault="00C32302" w:rsidP="00C32302">
      <w:pPr>
        <w:spacing w:line="360" w:lineRule="auto"/>
        <w:jc w:val="both"/>
        <w:rPr>
          <w:rFonts w:ascii="David" w:eastAsia="David" w:hAnsi="David"/>
          <w:rtl/>
        </w:rPr>
      </w:pPr>
    </w:p>
    <w:p w14:paraId="3F1F92BD" w14:textId="77777777" w:rsidR="00C32302" w:rsidRDefault="00C32302" w:rsidP="00C32302">
      <w:pPr>
        <w:spacing w:line="360" w:lineRule="auto"/>
        <w:jc w:val="both"/>
        <w:rPr>
          <w:rFonts w:ascii="David" w:eastAsia="David" w:hAnsi="David"/>
          <w:rtl/>
        </w:rPr>
      </w:pPr>
      <w:r>
        <w:rPr>
          <w:rFonts w:ascii="David" w:eastAsia="David" w:hAnsi="David"/>
          <w:rtl/>
        </w:rPr>
        <w:t>צויין כי במסגרת הליך המעצר הנאשם שולב בקהילה טיפולית "רוח במדבר" אך הושעה עקב התנהלות בלתי הולמת, וגורמי הטיפול מסרו כי אם הנאשם יעבור אישפוזית, תישקל מחדש קבלתו לטיפול.</w:t>
      </w:r>
    </w:p>
    <w:p w14:paraId="394D43B0" w14:textId="77777777" w:rsidR="00C32302" w:rsidRDefault="00C32302" w:rsidP="00C32302">
      <w:pPr>
        <w:spacing w:line="360" w:lineRule="auto"/>
        <w:jc w:val="both"/>
        <w:rPr>
          <w:rFonts w:ascii="David" w:eastAsia="David" w:hAnsi="David"/>
          <w:rtl/>
        </w:rPr>
      </w:pPr>
    </w:p>
    <w:p w14:paraId="642A8769" w14:textId="77777777" w:rsidR="00C32302" w:rsidRPr="00C32302" w:rsidRDefault="00C32302" w:rsidP="00C32302">
      <w:pPr>
        <w:spacing w:line="360" w:lineRule="auto"/>
        <w:jc w:val="both"/>
        <w:rPr>
          <w:rFonts w:ascii="David" w:eastAsia="Calibri" w:hAnsi="David"/>
          <w:rtl/>
        </w:rPr>
      </w:pPr>
      <w:r>
        <w:rPr>
          <w:rFonts w:ascii="David" w:eastAsia="David" w:hAnsi="David"/>
          <w:rtl/>
        </w:rPr>
        <w:t>הנאשם היה מעוניין לשוב לטיפול במסגרת הקהילה הטיפולית, נעשה מאמץ לשלבו באישפוזית</w:t>
      </w:r>
      <w:r>
        <w:rPr>
          <w:rFonts w:ascii="David" w:hAnsi="David"/>
          <w:rtl/>
        </w:rPr>
        <w:t xml:space="preserve"> "ויקטוריה", שירות המבחן המתין לתאריך קליטה וציין כי לאחר מכן תיבחן חזרתו לקהילת רוח במדבר.</w:t>
      </w:r>
    </w:p>
    <w:p w14:paraId="4E99A421" w14:textId="77777777" w:rsidR="00C32302" w:rsidRDefault="00C32302" w:rsidP="00C32302">
      <w:pPr>
        <w:spacing w:line="360" w:lineRule="auto"/>
        <w:jc w:val="both"/>
        <w:rPr>
          <w:rFonts w:ascii="David" w:hAnsi="David"/>
          <w:rtl/>
        </w:rPr>
      </w:pPr>
    </w:p>
    <w:p w14:paraId="773A6FC9"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11.9.22, </w:t>
      </w:r>
      <w:r>
        <w:rPr>
          <w:rFonts w:ascii="David" w:hAnsi="David"/>
          <w:rtl/>
        </w:rPr>
        <w:t xml:space="preserve">בתקופת הדחיה הנאשם שולב במסגרת אשפוזית. עו"ס האשפוזית עדכנה כי הנאשם עזב את האשפוזית על דעת עצמו כאשר הטיפול טרם הסתיים. הנאשם מסר כי התקשה להתמודד עם התנאים באשפוזית ולאחר שהרגיש שסיים את הטיפול ונגמל מחומרים ממכרים החליט לעזוב את האשפוזית. הוגש כנגד הנאשם כתב אישום שעניינו החזקת סמים (זהו כתב האישום הנוסף אשר לבסוף צורף). שירות המבחן מעריך כי הנאשם מביע מוטיבציה חיצונית בלבד לטיפול אשר נובעת בעיקר סביב ניהול התיק וחשש מעונש מאסר בפועל, קיים סיכוי גבוה להישנות התנהגות עוברת חוק, קיימת נזקקות טיפולית אך בשלב זה הנאשם מתקשה לגייס כוחותיו להשתלבות בטיפול. שירות המבחן המליץ על הטלת ענישה מוחשית בדמות מאסר בפועל לצד מאסר על תנאי. </w:t>
      </w:r>
    </w:p>
    <w:p w14:paraId="17DF5E25" w14:textId="77777777" w:rsidR="00C32302" w:rsidRDefault="00C32302" w:rsidP="00C32302">
      <w:pPr>
        <w:spacing w:line="360" w:lineRule="auto"/>
        <w:jc w:val="both"/>
        <w:rPr>
          <w:rFonts w:ascii="David" w:hAnsi="David"/>
          <w:rtl/>
        </w:rPr>
      </w:pPr>
    </w:p>
    <w:p w14:paraId="6F2B691C"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21.9.22, </w:t>
      </w:r>
      <w:r>
        <w:rPr>
          <w:rFonts w:ascii="David" w:hAnsi="David"/>
          <w:rtl/>
        </w:rPr>
        <w:t xml:space="preserve">לאחר ששירות המבחן התבקש שוב לבחון שילוב הנאשם בטיפול בתחום ההתמכרות, שירות המבחן העריך כי הנאשם אינו פנוי להליך טיפולי ארוך טווח. אמירותיו מעידות על חוסר הבנה לעומק בעיית התמכרותו ולנזקקותו הטיפולית. בהעדר מוטיבציה ורצון כנה יתקשה לגייס כוחות לאורך זמן לטיפול. שירות המבחן לא בא בהמלצה טיפולית. </w:t>
      </w:r>
    </w:p>
    <w:p w14:paraId="6F6C55CC"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8.11.22, </w:t>
      </w:r>
      <w:r>
        <w:rPr>
          <w:rFonts w:ascii="David" w:hAnsi="David"/>
          <w:rtl/>
        </w:rPr>
        <w:t xml:space="preserve">הנאשם הביע רצון לקטוע את מעגל התמכרותו וביטא תחושות של חוסר אונים. כיום מבין את החשיבות והצורך לעבור הליך משמעותי ארוך טווח. הומלץ לשלבו באשפוזית "מלכישוע". </w:t>
      </w:r>
    </w:p>
    <w:p w14:paraId="2A24726A" w14:textId="77777777" w:rsidR="00C32302" w:rsidRDefault="00C32302" w:rsidP="00C32302">
      <w:pPr>
        <w:spacing w:line="360" w:lineRule="auto"/>
        <w:jc w:val="both"/>
        <w:rPr>
          <w:rFonts w:ascii="David" w:hAnsi="David"/>
          <w:rtl/>
        </w:rPr>
      </w:pPr>
    </w:p>
    <w:p w14:paraId="5346175C"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8.12.22, </w:t>
      </w:r>
      <w:r>
        <w:rPr>
          <w:rFonts w:ascii="David" w:hAnsi="David"/>
          <w:rtl/>
        </w:rPr>
        <w:t>הנאשם סיים את אשפוזית מלכישוע בהצלחה. הטיפול כלל התערבות טיפולית ושיקומית. הומלץ על העברתו של הנאשם לקהילה הטיפולית מלכישוע.</w:t>
      </w:r>
    </w:p>
    <w:p w14:paraId="42FB0FDF" w14:textId="77777777" w:rsidR="00C32302" w:rsidRDefault="00C32302" w:rsidP="00C32302">
      <w:pPr>
        <w:spacing w:line="360" w:lineRule="auto"/>
        <w:jc w:val="both"/>
        <w:rPr>
          <w:rFonts w:ascii="David" w:hAnsi="David"/>
          <w:rtl/>
        </w:rPr>
      </w:pPr>
    </w:p>
    <w:p w14:paraId="349CA39F"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23.2.23, </w:t>
      </w:r>
      <w:r>
        <w:rPr>
          <w:rFonts w:ascii="David" w:hAnsi="David"/>
          <w:rtl/>
        </w:rPr>
        <w:t xml:space="preserve">הנאשם השתלב בקהילת "מלכישוע" ונמצא בשלב א' של הטיפול בקהילה. הנאשם לומד להשתמש בכלים הטיפוליים בקהילה ומתחיל בהדרגה לפתח מודעות לדפוסי החשיבה והתנהגותו במטרה לעבור שינוי. הנאשם חווה קשיים רגשיים משמעותיים וניכר כי מצליח להיעזר בחבריו בכדי להתמודד עם הקשיים שחווה. הומלץ לתת לנאשם לסיים את ההליך הטיפולי. </w:t>
      </w:r>
    </w:p>
    <w:p w14:paraId="783DDAC8" w14:textId="77777777" w:rsidR="00C32302" w:rsidRDefault="00C32302" w:rsidP="00C32302">
      <w:pPr>
        <w:spacing w:line="360" w:lineRule="auto"/>
        <w:jc w:val="both"/>
        <w:rPr>
          <w:rFonts w:ascii="David" w:hAnsi="David"/>
          <w:rtl/>
        </w:rPr>
      </w:pPr>
    </w:p>
    <w:p w14:paraId="77FF2A8E"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29.3.23, </w:t>
      </w:r>
      <w:r>
        <w:rPr>
          <w:rFonts w:ascii="David" w:hAnsi="David"/>
          <w:rtl/>
        </w:rPr>
        <w:t>גורמי הטיפול מהקהילה מסרו כי הנאשם מושעה מהקהילה וזאת על רקע הפרת משמעת כאשר החזיק בידו פלאפון בניגוד לכללי הקהילה הטיפולית. לדברי גורמי הטיפול בקהילה, בטרם יחליטו על חזרתו של הנאשם לקהילה, הם מעוניינים שהנאשם ייפגש עם שירות המבחן, ושירות המבחן מתכוון להיפגש עימו.</w:t>
      </w:r>
    </w:p>
    <w:p w14:paraId="13108C30" w14:textId="77777777" w:rsidR="00C32302" w:rsidRDefault="00C32302" w:rsidP="00C32302">
      <w:pPr>
        <w:spacing w:line="360" w:lineRule="auto"/>
        <w:jc w:val="both"/>
        <w:rPr>
          <w:rFonts w:ascii="David" w:hAnsi="David"/>
          <w:rtl/>
        </w:rPr>
      </w:pPr>
    </w:p>
    <w:p w14:paraId="7CDED7FD" w14:textId="77777777" w:rsidR="00C32302" w:rsidRDefault="00C32302" w:rsidP="00C32302">
      <w:pPr>
        <w:spacing w:line="360" w:lineRule="auto"/>
        <w:jc w:val="both"/>
        <w:rPr>
          <w:rFonts w:ascii="David" w:hAnsi="David"/>
          <w:rtl/>
        </w:rPr>
      </w:pPr>
      <w:r>
        <w:rPr>
          <w:rFonts w:ascii="David" w:hAnsi="David"/>
          <w:b/>
          <w:bCs/>
          <w:rtl/>
        </w:rPr>
        <w:t>על פי התסקיר מיום 21.5.23</w:t>
      </w:r>
      <w:r>
        <w:rPr>
          <w:rFonts w:ascii="David" w:hAnsi="David"/>
          <w:rtl/>
        </w:rPr>
        <w:t>, הנאשם אמר שהוא מצטער על מעשיו והביע רצון לשוב לקהילה, ובהמשך נותק עימו הקשר, ולאור זאת אין שירות המבחן יכול לבוא בהמלצה.</w:t>
      </w:r>
    </w:p>
    <w:p w14:paraId="0C10FADA" w14:textId="77777777" w:rsidR="00C32302" w:rsidRDefault="00C32302" w:rsidP="00C32302">
      <w:pPr>
        <w:spacing w:line="360" w:lineRule="auto"/>
        <w:jc w:val="both"/>
        <w:rPr>
          <w:rFonts w:ascii="David" w:hAnsi="David"/>
          <w:rtl/>
        </w:rPr>
      </w:pPr>
    </w:p>
    <w:p w14:paraId="02742D14" w14:textId="77777777" w:rsidR="00C32302" w:rsidRDefault="00C32302" w:rsidP="00C32302">
      <w:pPr>
        <w:spacing w:line="360" w:lineRule="auto"/>
        <w:jc w:val="both"/>
        <w:rPr>
          <w:rFonts w:ascii="David" w:hAnsi="David"/>
          <w:rtl/>
        </w:rPr>
      </w:pPr>
      <w:r>
        <w:rPr>
          <w:rFonts w:ascii="David" w:hAnsi="David"/>
          <w:b/>
          <w:bCs/>
          <w:rtl/>
        </w:rPr>
        <w:t xml:space="preserve">על פי התסקיר מיום 28.6.23, </w:t>
      </w:r>
      <w:r>
        <w:rPr>
          <w:rFonts w:ascii="David" w:hAnsi="David"/>
          <w:rtl/>
        </w:rPr>
        <w:t>הנאשם ניתק קשר עם שירות המבחן. שירות המבחן סבור כי על אף ההזדמנויות החוזרות שניתנו לו הנאשם חוזר לדפוסיו העבריינים ומתנהל על פיהם, ואינו מצליח לשמור על ניקיון מסמי רחוב. הנאשם הביע רצון להשתלב בהליך טיפולי אך בפועל התקשה לגייס כוחותיו ולערוך ויתורים לשם שילובו בטיפול ועריכת שינוי. שירות המבחן העריך כי רצונו לטיפול והמוטיבציה שמבטא הינה חיצונית שמטרתה להשפיע על תהליכים משפטיים בהם הוא מצוי. שירות המבחן לא בא בהמלצה טיפולית, וצויין כי רק ענישה מוחשית תחדד לנאשם את חומרת מעשיו, תוך שהומלץ כי בית המשפט יורה לגורמי שב"ס לבחון התאמתו לטיפול בתחום ההתמכרויות ולהפנותו למתקן הכליאה חרמון, לבחינת התאמתו לטיפול שם.</w:t>
      </w:r>
    </w:p>
    <w:p w14:paraId="3DF20E5D" w14:textId="77777777" w:rsidR="00C32302" w:rsidRDefault="00C32302" w:rsidP="00C32302">
      <w:pPr>
        <w:spacing w:line="360" w:lineRule="auto"/>
        <w:jc w:val="both"/>
        <w:rPr>
          <w:rFonts w:ascii="David" w:hAnsi="David"/>
          <w:rtl/>
        </w:rPr>
      </w:pPr>
    </w:p>
    <w:p w14:paraId="0A1DE52D" w14:textId="77777777" w:rsidR="00C32302" w:rsidRPr="00C32302" w:rsidRDefault="00C32302" w:rsidP="00C32302">
      <w:pPr>
        <w:spacing w:line="360" w:lineRule="auto"/>
        <w:jc w:val="both"/>
        <w:rPr>
          <w:rFonts w:ascii="Calibri" w:hAnsi="Calibri"/>
          <w:rtl/>
          <w:lang w:eastAsia="he-IL"/>
        </w:rPr>
      </w:pPr>
      <w:r>
        <w:rPr>
          <w:b/>
          <w:bCs/>
          <w:u w:val="single"/>
          <w:rtl/>
          <w:lang w:eastAsia="he-IL"/>
        </w:rPr>
        <w:t>טענות הצדדים:</w:t>
      </w:r>
    </w:p>
    <w:p w14:paraId="37ED9C3B" w14:textId="77777777" w:rsidR="00C32302" w:rsidRPr="00C32302" w:rsidRDefault="00C32302" w:rsidP="00C32302">
      <w:pPr>
        <w:spacing w:line="360" w:lineRule="auto"/>
        <w:jc w:val="both"/>
        <w:rPr>
          <w:rFonts w:ascii="Calibri" w:hAnsi="Calibri"/>
          <w:rtl/>
          <w:lang w:eastAsia="he-IL"/>
        </w:rPr>
      </w:pPr>
    </w:p>
    <w:p w14:paraId="318F55B5" w14:textId="77777777" w:rsidR="00C32302" w:rsidRDefault="00C32302" w:rsidP="00C32302">
      <w:pPr>
        <w:spacing w:line="360" w:lineRule="auto"/>
        <w:jc w:val="both"/>
        <w:rPr>
          <w:rFonts w:ascii="David" w:hAnsi="David"/>
          <w:b/>
          <w:bCs/>
          <w:rtl/>
        </w:rPr>
      </w:pPr>
      <w:r>
        <w:rPr>
          <w:rFonts w:hint="cs"/>
          <w:rtl/>
          <w:lang w:eastAsia="he-IL"/>
        </w:rPr>
        <w:t>4</w:t>
      </w:r>
      <w:r>
        <w:rPr>
          <w:rtl/>
          <w:lang w:eastAsia="he-IL"/>
        </w:rPr>
        <w:t>.</w:t>
      </w:r>
      <w:r>
        <w:rPr>
          <w:rtl/>
          <w:lang w:eastAsia="he-IL"/>
        </w:rPr>
        <w:tab/>
      </w:r>
      <w:r>
        <w:rPr>
          <w:rFonts w:ascii="David" w:hAnsi="David"/>
          <w:b/>
          <w:bCs/>
          <w:rtl/>
        </w:rPr>
        <w:t>לטענת ב"כ המאשימה:</w:t>
      </w:r>
    </w:p>
    <w:p w14:paraId="62D7C529" w14:textId="77777777" w:rsidR="00C32302" w:rsidRDefault="00C32302" w:rsidP="00C32302">
      <w:pPr>
        <w:spacing w:line="360" w:lineRule="auto"/>
        <w:jc w:val="both"/>
        <w:rPr>
          <w:rFonts w:ascii="David" w:eastAsia="David" w:hAnsi="David"/>
          <w:rtl/>
        </w:rPr>
      </w:pPr>
      <w:r>
        <w:rPr>
          <w:rFonts w:ascii="David" w:eastAsia="David" w:hAnsi="David"/>
          <w:rtl/>
        </w:rPr>
        <w:t>שיקולים ראייתיים גרמו למאשימה להחליט למקם את הנאשם בתחתית המתחם אשר לטענתם נע בין 24 ל – 48 חודשי מאסר בפועל, זאת למרות שהעבר הפלילי ופרמטרים אחרים מעלים אותו במעלה המתחם. בנוסף לכך בעת כריתת ההסדר הנאשם שוחרר ממעצר והשתלב בהליך טיפולי עם כוונות לשקם את עצמו, להיגמל ולהעלות את החיים שלו על דרך חדשה. בסופו של יום הניסיון הטיפולי לא צלח, למרות שנתנו לנאשם יותר מהזדמנות אחת, גם כאשר הנאשם הפר את תנאי אותה קהילה, שירות המבחן והקהילה היו מוכנים לתת לו הזדמנות נוספת כאשר המאשימה לא עמדה בדרכו להשתלב באשפוזית על מנת להתנקות ולחזור לקהילה, הנאשם לא לקח את ההזדמנות, ולמעשה המסוכנות והחשש להישנות התנהגות עוברת חוק נותרה גבוהה. שכן בסופו של יום מה שעמד בבסיס ביצוע העבירות, אלו אותם חולאים באותן התמכרויות שדרשו גמילה ולא קיבלו מענה. כל השיקולים לקולא בעניינו נלקחו וניתן להם המשקל הנכון, והעונש המתאים שיש להשית בסופו של יום הוא 24 חודשי מאסר בפועל.</w:t>
      </w:r>
    </w:p>
    <w:p w14:paraId="0AB3AFE2" w14:textId="77777777" w:rsidR="00C32302" w:rsidRDefault="00C32302" w:rsidP="00C32302">
      <w:pPr>
        <w:spacing w:line="360" w:lineRule="auto"/>
        <w:jc w:val="both"/>
        <w:rPr>
          <w:rFonts w:ascii="David" w:eastAsia="David" w:hAnsi="David"/>
          <w:rtl/>
        </w:rPr>
      </w:pPr>
    </w:p>
    <w:p w14:paraId="2A6F197D" w14:textId="77777777" w:rsidR="00C32302" w:rsidRDefault="00C32302" w:rsidP="00C32302">
      <w:pPr>
        <w:spacing w:line="360" w:lineRule="auto"/>
        <w:jc w:val="both"/>
        <w:rPr>
          <w:rFonts w:ascii="David" w:eastAsia="David" w:hAnsi="David"/>
          <w:rtl/>
        </w:rPr>
      </w:pPr>
      <w:r>
        <w:rPr>
          <w:rFonts w:ascii="David" w:eastAsia="David" w:hAnsi="David"/>
          <w:rtl/>
        </w:rPr>
        <w:t>נפגע העבירה לא העיד ולא העביר תצהיר, אך הוא מסר שהוא לא פוצה בגין הנזק שנגרם לו ע"י הביטוח, ניתן להבין מההיגיון שהוא לא יכול היה להמשיך לעבוד במשך ימים רבים, המשרד שלו הושבת כיוון שנשרף כליל, ששיקומו דרש ממנו זמן ומשאבים, אשר יצאו מכיסו, ועל כן יש להשית פיצוי הולם ומשמעותי למתלונן.</w:t>
      </w:r>
    </w:p>
    <w:p w14:paraId="0331A695" w14:textId="77777777" w:rsidR="00C32302" w:rsidRDefault="00C32302" w:rsidP="00C32302">
      <w:pPr>
        <w:spacing w:line="360" w:lineRule="auto"/>
        <w:jc w:val="both"/>
        <w:rPr>
          <w:rFonts w:ascii="David" w:eastAsia="David" w:hAnsi="David"/>
          <w:rtl/>
        </w:rPr>
      </w:pPr>
    </w:p>
    <w:p w14:paraId="22D05143" w14:textId="77777777" w:rsidR="00C32302" w:rsidRDefault="00C32302" w:rsidP="00C32302">
      <w:pPr>
        <w:spacing w:line="360" w:lineRule="auto"/>
        <w:jc w:val="both"/>
        <w:rPr>
          <w:rFonts w:ascii="David" w:eastAsia="David" w:hAnsi="David"/>
          <w:rtl/>
        </w:rPr>
      </w:pPr>
      <w:r>
        <w:rPr>
          <w:rFonts w:ascii="David" w:eastAsia="David" w:hAnsi="David"/>
          <w:rtl/>
        </w:rPr>
        <w:t>ביחס לתיק שצורף, ענייננו בעבירת החזקת סם במשקל של כ-41 גרם, מתוכם 31 גרם סם מסוכן מסוג קנבוס ו-10 גרם מסוג חשיש, שלא לצריכה עצמית, כאשר הסם מחולק לחמש יחידות, וכאשר במועד החזקת הסם החזיק הנאשם גם שני משקלים דיגיטליים. מעבר לחזקה לפיה הנאשם החזיק את הסם לא לצריכה עצמית, הרי שגם אופן החזקת הסם והעובדה שהינו מחולק וכן העובדה שהחזיק שני משקלים דיגיטליים, מלמדים אותנו, שהחזקת הסם היתה לא לצריכה עצמית.</w:t>
      </w:r>
    </w:p>
    <w:p w14:paraId="2CCA347C" w14:textId="77777777" w:rsidR="00C32302" w:rsidRDefault="00C32302" w:rsidP="00C32302">
      <w:pPr>
        <w:spacing w:line="360" w:lineRule="auto"/>
        <w:jc w:val="both"/>
        <w:rPr>
          <w:rFonts w:ascii="David" w:eastAsia="David" w:hAnsi="David"/>
          <w:rtl/>
        </w:rPr>
      </w:pPr>
    </w:p>
    <w:p w14:paraId="644C4BEA" w14:textId="77777777" w:rsidR="00C32302" w:rsidRDefault="00C32302" w:rsidP="00C32302">
      <w:pPr>
        <w:spacing w:line="360" w:lineRule="auto"/>
        <w:jc w:val="both"/>
        <w:rPr>
          <w:rFonts w:ascii="David" w:eastAsia="David" w:hAnsi="David"/>
          <w:rtl/>
        </w:rPr>
      </w:pPr>
      <w:r>
        <w:rPr>
          <w:rFonts w:ascii="David" w:eastAsia="David" w:hAnsi="David"/>
          <w:rtl/>
        </w:rPr>
        <w:t xml:space="preserve">כשנה לפני האירוע נשוא כתב אישום זה, הורשע הנאשם בעבירות סמים ועבירות נוספות, ונגזר עליו עונש מאסר בפועל בן 8 חודשים, וכן בנוסף לעונשים אחרים גם עונש של 8 חודשי מאסר על תנאי לבל יעבור עבירת סמים מסוג פשע, אשר לא היה בו כדי להרתיעו מלשוב ולבצע עבירה דומה. המאסר על תנאי בר הפעלה. </w:t>
      </w:r>
    </w:p>
    <w:p w14:paraId="5E094C2A" w14:textId="77777777" w:rsidR="00C32302" w:rsidRDefault="00C32302" w:rsidP="00C32302">
      <w:pPr>
        <w:spacing w:line="360" w:lineRule="auto"/>
        <w:jc w:val="both"/>
        <w:rPr>
          <w:rFonts w:ascii="David" w:eastAsia="David" w:hAnsi="David"/>
          <w:rtl/>
        </w:rPr>
      </w:pPr>
    </w:p>
    <w:p w14:paraId="25BBC046" w14:textId="77777777" w:rsidR="00C32302" w:rsidRDefault="00C32302" w:rsidP="00C32302">
      <w:pPr>
        <w:spacing w:line="360" w:lineRule="auto"/>
        <w:jc w:val="both"/>
        <w:rPr>
          <w:rFonts w:ascii="David" w:eastAsia="David" w:hAnsi="David"/>
          <w:rtl/>
        </w:rPr>
      </w:pPr>
      <w:r>
        <w:rPr>
          <w:rFonts w:ascii="David" w:eastAsia="David" w:hAnsi="David"/>
          <w:rtl/>
        </w:rPr>
        <w:t>המתחם לו התביעה עותרת בתיקים דומים בנסיבות דומות נע בין 4 חודשי מאסר אשר יכול וירוצו בעבודות שירות לבין 12 חודשי מאסר בפועל, כאשר בשים לב לכמות הסם, עברו של הנאשם והנסיבות הנוספות הבקשה היא לענישה ברף התחתון של המתחם, למקם את עונשו על 4 חודשי מאסר בפועל. ביחס לעובדה שהנאשם הודה בכתב אישום כפי שהוא ולקח אחריות על מעשיו, הרי שיש לקחת נתון זה לזכותו, ולהורות על חפיפה של חודשיים מתוך 8 חודשי מאסר התלויים כנגדו, כאשר שישה חודשים יושתו במצטבר.</w:t>
      </w:r>
    </w:p>
    <w:p w14:paraId="2ECC0F2E" w14:textId="77777777" w:rsidR="00C32302" w:rsidRPr="00C32302" w:rsidRDefault="00C32302" w:rsidP="00C32302">
      <w:pPr>
        <w:spacing w:line="360" w:lineRule="auto"/>
        <w:jc w:val="both"/>
        <w:rPr>
          <w:rFonts w:ascii="David" w:eastAsia="Calibri" w:hAnsi="David"/>
          <w:b/>
          <w:bCs/>
          <w:rtl/>
        </w:rPr>
      </w:pPr>
    </w:p>
    <w:p w14:paraId="656F11B4" w14:textId="77777777" w:rsidR="00C32302" w:rsidRPr="00C32302" w:rsidRDefault="00C32302" w:rsidP="00C32302">
      <w:pPr>
        <w:spacing w:line="360" w:lineRule="auto"/>
        <w:jc w:val="both"/>
        <w:rPr>
          <w:rFonts w:ascii="David" w:eastAsia="Calibri" w:hAnsi="David"/>
          <w:b/>
          <w:bCs/>
          <w:rtl/>
        </w:rPr>
      </w:pPr>
    </w:p>
    <w:p w14:paraId="710716DB" w14:textId="77777777" w:rsidR="00C32302" w:rsidRPr="00C32302" w:rsidRDefault="00C32302" w:rsidP="00C32302">
      <w:pPr>
        <w:spacing w:line="360" w:lineRule="auto"/>
        <w:jc w:val="both"/>
        <w:rPr>
          <w:rFonts w:ascii="David" w:eastAsia="Calibri" w:hAnsi="David"/>
          <w:b/>
          <w:bCs/>
          <w:rtl/>
        </w:rPr>
      </w:pPr>
    </w:p>
    <w:p w14:paraId="3804C20D" w14:textId="77777777" w:rsidR="00C32302" w:rsidRPr="00C32302" w:rsidRDefault="00C32302" w:rsidP="00C32302">
      <w:pPr>
        <w:spacing w:line="360" w:lineRule="auto"/>
        <w:jc w:val="both"/>
        <w:rPr>
          <w:rFonts w:ascii="David" w:eastAsia="Calibri" w:hAnsi="David"/>
          <w:b/>
          <w:bCs/>
          <w:rtl/>
        </w:rPr>
      </w:pPr>
    </w:p>
    <w:p w14:paraId="2995352E" w14:textId="77777777" w:rsidR="00C32302" w:rsidRDefault="00C32302" w:rsidP="00C32302">
      <w:pPr>
        <w:spacing w:line="360" w:lineRule="auto"/>
        <w:jc w:val="both"/>
        <w:rPr>
          <w:rFonts w:ascii="David" w:hAnsi="David"/>
          <w:b/>
          <w:bCs/>
          <w:rtl/>
        </w:rPr>
      </w:pPr>
      <w:r>
        <w:rPr>
          <w:rFonts w:ascii="David" w:hAnsi="David" w:hint="cs"/>
          <w:rtl/>
        </w:rPr>
        <w:t>5</w:t>
      </w:r>
      <w:r>
        <w:rPr>
          <w:rFonts w:ascii="David" w:hAnsi="David"/>
          <w:rtl/>
        </w:rPr>
        <w:t>.</w:t>
      </w:r>
      <w:r>
        <w:rPr>
          <w:rFonts w:ascii="David" w:hAnsi="David"/>
          <w:b/>
          <w:bCs/>
          <w:rtl/>
        </w:rPr>
        <w:tab/>
        <w:t>לטענת ב"כ הנאשם:</w:t>
      </w:r>
    </w:p>
    <w:p w14:paraId="5C25F1FD" w14:textId="77777777" w:rsidR="00C32302" w:rsidRDefault="00C32302" w:rsidP="00C32302">
      <w:pPr>
        <w:spacing w:line="360" w:lineRule="auto"/>
        <w:jc w:val="both"/>
        <w:rPr>
          <w:rFonts w:ascii="David" w:eastAsia="David" w:hAnsi="David"/>
          <w:rtl/>
        </w:rPr>
      </w:pPr>
      <w:r>
        <w:rPr>
          <w:rFonts w:ascii="David" w:eastAsia="David" w:hAnsi="David"/>
          <w:rtl/>
        </w:rPr>
        <w:t xml:space="preserve">התבקש שלא להיעתר לעתירת המאשימה, ולהטיל עונש נמוך מזה לו היא עותרת. בעבירת ההצתה קשת הענישה רחבה מאוד. </w:t>
      </w:r>
    </w:p>
    <w:p w14:paraId="36C14D4E" w14:textId="77777777" w:rsidR="00C32302" w:rsidRDefault="00C32302" w:rsidP="00C32302">
      <w:pPr>
        <w:spacing w:line="360" w:lineRule="auto"/>
        <w:jc w:val="both"/>
        <w:rPr>
          <w:rFonts w:ascii="David" w:eastAsia="David" w:hAnsi="David"/>
        </w:rPr>
      </w:pPr>
    </w:p>
    <w:p w14:paraId="30BF6D5F" w14:textId="77777777" w:rsidR="00C32302" w:rsidRDefault="00C32302" w:rsidP="00C32302">
      <w:pPr>
        <w:spacing w:line="360" w:lineRule="auto"/>
        <w:jc w:val="both"/>
        <w:rPr>
          <w:rFonts w:ascii="David" w:eastAsia="David" w:hAnsi="David"/>
          <w:rtl/>
        </w:rPr>
      </w:pPr>
      <w:r>
        <w:rPr>
          <w:rFonts w:ascii="David" w:eastAsia="David" w:hAnsi="David"/>
          <w:rtl/>
        </w:rPr>
        <w:t>מדובר במי שחוזר ומבקש לעבור הליך שיקומי וטיפולי, ואכן יש קשר בין מעורבותו הפלילית לבין הקשיים הרגשיים איתם מתמודד, ההתמכרות לסם, ההסתבכות עם עולם תחתון וגורמים עבריינים, ולכן סברה ההגנה על פי המלצות שירות המבחן כי הליך גמילה משמעותי ואינטנסיבי עשוי לסייע לנאשם. הוא לא הצליח לעמוד במסלול המורכב, כוחותיו לא עמדו לו, והתבקש לזקוף לזכותו ולא לחובתו, את הרצון את המוטיבציה שהפגין והניסיונות שעשה. הנאשם היה עצור שלושה וחצי חודשים, לאחר מכן הוא היה בקהילה סגורה רוח במדבר, עוד שלושה חודשים, ובהמשך לאור צורך שהתגלה הוא נשלח לאשפוזית לצורך גמילה פיזית ממש, ועזב בטרם זמן. המשפחה עברה שבר גדול, כשהנאשם עצמו היה צעיר, הוא גדל למעשה למשפחה בעקבות אירוע טראומטי התפרקה, ולא תפקדה. לקח על עצמו תפקידים שלא יכול היה לעמוד בהם, והתדרדר לסמים בהמשך.</w:t>
      </w:r>
    </w:p>
    <w:p w14:paraId="3AD3ACA7" w14:textId="77777777" w:rsidR="00C32302" w:rsidRDefault="00C32302" w:rsidP="00C32302">
      <w:pPr>
        <w:spacing w:line="360" w:lineRule="auto"/>
        <w:jc w:val="both"/>
        <w:rPr>
          <w:rFonts w:ascii="David" w:eastAsia="David" w:hAnsi="David"/>
          <w:rtl/>
        </w:rPr>
      </w:pPr>
    </w:p>
    <w:p w14:paraId="65936605" w14:textId="77777777" w:rsidR="00C32302" w:rsidRDefault="00C32302" w:rsidP="00C32302">
      <w:pPr>
        <w:spacing w:line="360" w:lineRule="auto"/>
        <w:jc w:val="both"/>
        <w:rPr>
          <w:rFonts w:ascii="David" w:eastAsia="David" w:hAnsi="David"/>
          <w:rtl/>
        </w:rPr>
      </w:pPr>
      <w:r>
        <w:rPr>
          <w:rFonts w:ascii="David" w:eastAsia="David" w:hAnsi="David"/>
          <w:rtl/>
        </w:rPr>
        <w:t xml:space="preserve">התבקש שלא להחמיר עם הנאשם, לקבוע מתחם נמוך מזה לו עותרת המאשימה, ונטען למתחם בין 10 ל- 22 חודשים, ולמקם את עונשו בשליש התחתון אמצעי. </w:t>
      </w:r>
    </w:p>
    <w:p w14:paraId="62BDC879" w14:textId="77777777" w:rsidR="00C32302" w:rsidRDefault="00C32302" w:rsidP="00C32302">
      <w:pPr>
        <w:spacing w:line="360" w:lineRule="auto"/>
        <w:jc w:val="both"/>
        <w:rPr>
          <w:rFonts w:ascii="David" w:eastAsia="David" w:hAnsi="David"/>
          <w:rtl/>
        </w:rPr>
      </w:pPr>
    </w:p>
    <w:p w14:paraId="25C0B10F" w14:textId="77777777" w:rsidR="00C32302" w:rsidRDefault="00C32302" w:rsidP="00C32302">
      <w:pPr>
        <w:spacing w:line="360" w:lineRule="auto"/>
        <w:jc w:val="both"/>
        <w:rPr>
          <w:rFonts w:ascii="David" w:eastAsia="David" w:hAnsi="David"/>
          <w:rtl/>
        </w:rPr>
      </w:pPr>
      <w:r>
        <w:rPr>
          <w:rFonts w:ascii="David" w:eastAsia="David" w:hAnsi="David"/>
          <w:rtl/>
        </w:rPr>
        <w:t>ביחס לפיצוי או רכיב כלכלי אחר, לנאשם קשיים כלכליים ממשיים גם מבחינת היכולת לשהות באשפוזית. המתלונן עצמו לא הגיע לדיון ולא ביקש להגיש מסמכים או אומדן, התבקש להתייחס לעובדות המצוינות בכתב האישום ולא לנתונים שהביא ב"כ המאשימה משיחה שקיים, אלו לא עובדות שצריכות לבוא לידי ביטוי במסגרת גזר הדין.</w:t>
      </w:r>
    </w:p>
    <w:p w14:paraId="6C5563E3" w14:textId="77777777" w:rsidR="00C32302" w:rsidRDefault="00C32302" w:rsidP="00C32302">
      <w:pPr>
        <w:spacing w:line="360" w:lineRule="auto"/>
        <w:jc w:val="both"/>
        <w:rPr>
          <w:rFonts w:ascii="David" w:eastAsia="David" w:hAnsi="David"/>
          <w:rtl/>
        </w:rPr>
      </w:pPr>
    </w:p>
    <w:p w14:paraId="22E5FAB2" w14:textId="77777777" w:rsidR="00C32302" w:rsidRDefault="00C32302" w:rsidP="00C32302">
      <w:pPr>
        <w:spacing w:line="360" w:lineRule="auto"/>
        <w:jc w:val="both"/>
        <w:rPr>
          <w:rFonts w:ascii="David" w:eastAsia="David" w:hAnsi="David"/>
          <w:rtl/>
        </w:rPr>
      </w:pPr>
      <w:r>
        <w:rPr>
          <w:rFonts w:ascii="David" w:eastAsia="David" w:hAnsi="David"/>
          <w:rtl/>
        </w:rPr>
        <w:t>מאסר ארוך במקרה של הנאשם יכול לחבל בכל הכלים שהוא קיבל מהמסגרת ומקצינת המבחן.</w:t>
      </w:r>
    </w:p>
    <w:p w14:paraId="6BCF429F" w14:textId="77777777" w:rsidR="00C32302" w:rsidRDefault="00C32302" w:rsidP="00C32302">
      <w:pPr>
        <w:spacing w:line="360" w:lineRule="auto"/>
        <w:jc w:val="both"/>
        <w:rPr>
          <w:rFonts w:ascii="David" w:eastAsia="David" w:hAnsi="David"/>
          <w:rtl/>
        </w:rPr>
      </w:pPr>
    </w:p>
    <w:p w14:paraId="093BC44D" w14:textId="77777777" w:rsidR="00C32302" w:rsidRDefault="00C32302" w:rsidP="00C32302">
      <w:pPr>
        <w:spacing w:line="360" w:lineRule="auto"/>
        <w:jc w:val="both"/>
        <w:rPr>
          <w:rFonts w:ascii="David" w:eastAsia="David" w:hAnsi="David"/>
          <w:rtl/>
        </w:rPr>
      </w:pPr>
      <w:r>
        <w:rPr>
          <w:rFonts w:ascii="David" w:eastAsia="David" w:hAnsi="David"/>
          <w:rtl/>
        </w:rPr>
        <w:t>ביחס לצירוף של התיק החדש, התבקש להושיט יד להבדיל מעמדת המאשימה.</w:t>
      </w:r>
    </w:p>
    <w:p w14:paraId="54E67F3C" w14:textId="77777777" w:rsidR="00C32302" w:rsidRDefault="00C32302" w:rsidP="00C32302">
      <w:pPr>
        <w:spacing w:line="360" w:lineRule="auto"/>
        <w:jc w:val="both"/>
        <w:rPr>
          <w:rFonts w:ascii="David" w:eastAsia="David" w:hAnsi="David"/>
          <w:rtl/>
        </w:rPr>
      </w:pPr>
    </w:p>
    <w:p w14:paraId="29AC02A8" w14:textId="77777777" w:rsidR="00C32302" w:rsidRDefault="00C32302" w:rsidP="00C32302">
      <w:pPr>
        <w:spacing w:line="360" w:lineRule="auto"/>
        <w:jc w:val="both"/>
        <w:rPr>
          <w:rFonts w:ascii="David" w:eastAsia="David" w:hAnsi="David"/>
          <w:rtl/>
        </w:rPr>
      </w:pPr>
      <w:r>
        <w:rPr>
          <w:rFonts w:ascii="David" w:eastAsia="David" w:hAnsi="David"/>
          <w:rtl/>
        </w:rPr>
        <w:t xml:space="preserve">התקופה של אותו כתב אישום  הוא היה בעיצומה של ההתמכרות, הוא מודה בעבירה של החזקה שלא לצריכה עצמית, בגלל הכמות, אבל מבחינת נסיבות זה היה על רקע השימוש והוא אמר זאת בחקירה שלו. גם לגבי המשקלים אנו שומעים מהרבה לקוחות שמשתמשים באופן קבוע הם משתמשים כדי לשקול את המנות. </w:t>
      </w:r>
    </w:p>
    <w:p w14:paraId="46EEA30C" w14:textId="77777777" w:rsidR="00C32302" w:rsidRDefault="00C32302" w:rsidP="00C32302">
      <w:pPr>
        <w:spacing w:line="360" w:lineRule="auto"/>
        <w:jc w:val="both"/>
        <w:rPr>
          <w:rFonts w:ascii="David" w:eastAsia="David" w:hAnsi="David"/>
          <w:rtl/>
        </w:rPr>
      </w:pPr>
    </w:p>
    <w:p w14:paraId="4BF1F028" w14:textId="77777777" w:rsidR="00C32302" w:rsidRDefault="00C32302" w:rsidP="00C32302">
      <w:pPr>
        <w:spacing w:line="360" w:lineRule="auto"/>
        <w:jc w:val="both"/>
        <w:rPr>
          <w:rFonts w:ascii="David" w:eastAsia="David" w:hAnsi="David"/>
          <w:rtl/>
        </w:rPr>
      </w:pPr>
      <w:r>
        <w:rPr>
          <w:rFonts w:ascii="David" w:eastAsia="David" w:hAnsi="David"/>
          <w:rtl/>
        </w:rPr>
        <w:t xml:space="preserve">ביחס לתיק המצורף התבקש שהעונש יהיה חודש אחד של מאסר בפועל, ולגבי המאסר על תנאי מוסכם שהוא בר הפעלה, ומושאר לשיקול דעת בית המשפט להפעיל חלק ממנו בחופף וחלק במצטבר, התחשבות בזה שהנאשם רוצה לנקות שולחן, לעבור הליך ולצאת נקי. </w:t>
      </w:r>
    </w:p>
    <w:p w14:paraId="1B96FE7B" w14:textId="77777777" w:rsidR="00C32302" w:rsidRDefault="00C32302" w:rsidP="00C32302">
      <w:pPr>
        <w:spacing w:line="360" w:lineRule="auto"/>
        <w:jc w:val="both"/>
        <w:rPr>
          <w:rFonts w:ascii="David" w:eastAsia="David" w:hAnsi="David"/>
          <w:rtl/>
        </w:rPr>
      </w:pPr>
    </w:p>
    <w:p w14:paraId="0AAD8742" w14:textId="77777777" w:rsidR="00C32302" w:rsidRDefault="00C32302" w:rsidP="00C32302">
      <w:pPr>
        <w:spacing w:line="360" w:lineRule="auto"/>
        <w:jc w:val="both"/>
        <w:rPr>
          <w:rFonts w:ascii="David" w:eastAsia="David" w:hAnsi="David"/>
          <w:rtl/>
        </w:rPr>
      </w:pPr>
      <w:r>
        <w:rPr>
          <w:rFonts w:ascii="David" w:eastAsia="David" w:hAnsi="David"/>
          <w:rtl/>
        </w:rPr>
        <w:t xml:space="preserve">התבקש להטיל עונש אחד כולל לשני התיקים. </w:t>
      </w:r>
    </w:p>
    <w:p w14:paraId="3E2AA8E6" w14:textId="77777777" w:rsidR="00C32302" w:rsidRDefault="00C32302" w:rsidP="00C32302">
      <w:pPr>
        <w:spacing w:line="360" w:lineRule="auto"/>
        <w:jc w:val="both"/>
        <w:rPr>
          <w:rFonts w:ascii="David" w:eastAsia="David" w:hAnsi="David"/>
          <w:rtl/>
        </w:rPr>
      </w:pPr>
    </w:p>
    <w:p w14:paraId="059E42B2" w14:textId="77777777" w:rsidR="00C32302" w:rsidRDefault="00C32302" w:rsidP="00C32302">
      <w:pPr>
        <w:spacing w:line="360" w:lineRule="auto"/>
        <w:jc w:val="both"/>
        <w:rPr>
          <w:rFonts w:ascii="David" w:eastAsia="David" w:hAnsi="David"/>
          <w:rtl/>
        </w:rPr>
      </w:pPr>
      <w:r>
        <w:rPr>
          <w:rFonts w:ascii="David" w:eastAsia="David" w:hAnsi="David"/>
          <w:b/>
          <w:bCs/>
          <w:rtl/>
        </w:rPr>
        <w:t xml:space="preserve">הנאשם אמר </w:t>
      </w:r>
      <w:r>
        <w:rPr>
          <w:rFonts w:ascii="David" w:eastAsia="David" w:hAnsi="David"/>
          <w:rtl/>
        </w:rPr>
        <w:t xml:space="preserve">שכיום מאמין בהליך הטיפולי, אז לא היה יודע להתמודד עם רגשות והיה בורח לסם. אינו רוצה לחזור לחיים הקודמים, הוריו נפלו כלכלית, הוא רוצה להציל את החיים ומבקש הזדמנות ללכת לקהילה. לדבריו הוא לא מתחמק מהאחריות, העבירה מאוד חמורה, הוא נקלע לחובות, בעקבות שימוש, ואין לו אפשרות כלכלית לשלם את הכסף. </w:t>
      </w:r>
    </w:p>
    <w:p w14:paraId="2371508D" w14:textId="77777777" w:rsidR="00C32302" w:rsidRDefault="00C32302" w:rsidP="00C32302">
      <w:pPr>
        <w:spacing w:line="360" w:lineRule="auto"/>
        <w:jc w:val="both"/>
        <w:rPr>
          <w:rFonts w:ascii="David" w:eastAsia="David" w:hAnsi="David"/>
          <w:rtl/>
        </w:rPr>
      </w:pPr>
    </w:p>
    <w:p w14:paraId="4D2BF94E" w14:textId="77777777" w:rsidR="00C32302" w:rsidRPr="00C32302" w:rsidRDefault="00C32302" w:rsidP="00C32302">
      <w:pPr>
        <w:spacing w:line="360" w:lineRule="auto"/>
        <w:jc w:val="both"/>
        <w:rPr>
          <w:rFonts w:ascii="David" w:eastAsia="Calibri" w:hAnsi="David"/>
          <w:rtl/>
        </w:rPr>
      </w:pPr>
      <w:r>
        <w:rPr>
          <w:b/>
          <w:bCs/>
          <w:u w:val="single"/>
          <w:rtl/>
          <w:lang w:eastAsia="he-IL"/>
        </w:rPr>
        <w:t>הערכים המוגנים והענישה</w:t>
      </w:r>
    </w:p>
    <w:p w14:paraId="2B07F523" w14:textId="77777777" w:rsidR="00C32302" w:rsidRPr="00C32302" w:rsidRDefault="00C32302" w:rsidP="00C32302">
      <w:pPr>
        <w:spacing w:line="360" w:lineRule="auto"/>
        <w:jc w:val="both"/>
        <w:rPr>
          <w:rFonts w:ascii="David" w:eastAsia="Calibri" w:hAnsi="David"/>
          <w:rtl/>
        </w:rPr>
      </w:pPr>
    </w:p>
    <w:p w14:paraId="6B540459" w14:textId="77777777" w:rsidR="00C32302" w:rsidRPr="00C32302" w:rsidRDefault="00C32302" w:rsidP="00C32302">
      <w:pPr>
        <w:spacing w:line="360" w:lineRule="auto"/>
        <w:jc w:val="both"/>
        <w:rPr>
          <w:rFonts w:ascii="Calibri" w:hAnsi="Calibri"/>
          <w:rtl/>
          <w:lang w:eastAsia="he-IL"/>
        </w:rPr>
      </w:pPr>
      <w:r>
        <w:rPr>
          <w:rFonts w:ascii="David" w:hAnsi="David" w:hint="cs"/>
          <w:rtl/>
        </w:rPr>
        <w:t>6</w:t>
      </w:r>
      <w:r>
        <w:rPr>
          <w:rFonts w:ascii="David" w:hAnsi="David"/>
          <w:rtl/>
        </w:rPr>
        <w:t xml:space="preserve">.  </w:t>
      </w:r>
      <w:r>
        <w:rPr>
          <w:rtl/>
          <w:lang w:eastAsia="he-IL"/>
        </w:rPr>
        <w:tab/>
        <w:t>כאמור, ביחס לעבירת ההצתה קיימת הסכמה עונשית לפיה המאשימה עותרת ל – 24 חודשי מאסר והנאשם חופשי בטיעוניו.</w:t>
      </w:r>
    </w:p>
    <w:p w14:paraId="1137B2DC" w14:textId="77777777" w:rsidR="00C32302" w:rsidRPr="00C32302" w:rsidRDefault="00C32302" w:rsidP="00C32302">
      <w:pPr>
        <w:spacing w:line="360" w:lineRule="auto"/>
        <w:jc w:val="both"/>
        <w:rPr>
          <w:rFonts w:ascii="Calibri" w:hAnsi="Calibri"/>
          <w:rtl/>
          <w:lang w:eastAsia="he-IL"/>
        </w:rPr>
      </w:pPr>
    </w:p>
    <w:p w14:paraId="20D56463" w14:textId="77777777" w:rsidR="00C32302" w:rsidRDefault="00C32302" w:rsidP="00C32302">
      <w:pPr>
        <w:spacing w:line="360" w:lineRule="auto"/>
        <w:jc w:val="both"/>
        <w:rPr>
          <w:rtl/>
          <w:lang w:eastAsia="he-IL"/>
        </w:rPr>
      </w:pPr>
      <w:r>
        <w:rPr>
          <w:rtl/>
          <w:lang w:eastAsia="he-IL"/>
        </w:rPr>
        <w:t>זהו טווח ענישה מוסכם שהוא תוצאת</w:t>
      </w:r>
      <w:r w:rsidR="00937A5F">
        <w:rPr>
          <w:rtl/>
          <w:lang w:eastAsia="he-IL"/>
        </w:rPr>
        <w:t xml:space="preserve"> </w:t>
      </w:r>
      <w:r>
        <w:rPr>
          <w:b/>
          <w:bCs/>
          <w:rtl/>
          <w:lang w:eastAsia="he-IL"/>
        </w:rPr>
        <w:t>"מיצוי כוח המיקוח של כל אחד מהצדדים להליך, בשים לב לכלל נסיבות התיק..."</w:t>
      </w:r>
      <w:r w:rsidR="00937A5F">
        <w:rPr>
          <w:rtl/>
          <w:lang w:eastAsia="he-IL"/>
        </w:rPr>
        <w:t xml:space="preserve"> </w:t>
      </w:r>
      <w:r>
        <w:rPr>
          <w:rtl/>
          <w:lang w:eastAsia="he-IL"/>
        </w:rPr>
        <w:t xml:space="preserve">ע"פ </w:t>
      </w:r>
      <w:hyperlink r:id="rId15" w:history="1">
        <w:r w:rsidR="00EC3851" w:rsidRPr="00EC3851">
          <w:rPr>
            <w:color w:val="0000FF"/>
            <w:u w:val="single"/>
            <w:rtl/>
            <w:lang w:eastAsia="he-IL"/>
          </w:rPr>
          <w:t xml:space="preserve">512/13 </w:t>
        </w:r>
      </w:hyperlink>
      <w:r w:rsidR="00937A5F">
        <w:rPr>
          <w:rtl/>
          <w:lang w:eastAsia="he-IL"/>
        </w:rPr>
        <w:t xml:space="preserve"> </w:t>
      </w:r>
      <w:r>
        <w:rPr>
          <w:b/>
          <w:bCs/>
          <w:rtl/>
          <w:lang w:eastAsia="he-IL"/>
        </w:rPr>
        <w:t>פלוני נ' מ"י</w:t>
      </w:r>
      <w:r w:rsidR="00937A5F">
        <w:rPr>
          <w:b/>
          <w:bCs/>
          <w:rtl/>
          <w:lang w:eastAsia="he-IL"/>
        </w:rPr>
        <w:t xml:space="preserve"> </w:t>
      </w:r>
      <w:r>
        <w:rPr>
          <w:rtl/>
          <w:lang w:eastAsia="he-IL"/>
        </w:rPr>
        <w:t xml:space="preserve">(4.12.2013). משאין ספק בקיומו של ההסדר, אין מקום לקביעת מתחם עונש הולם. ר' ע"פ </w:t>
      </w:r>
      <w:hyperlink r:id="rId16" w:history="1">
        <w:r w:rsidR="00EC3851" w:rsidRPr="00EC3851">
          <w:rPr>
            <w:color w:val="0000FF"/>
            <w:u w:val="single"/>
            <w:rtl/>
            <w:lang w:eastAsia="he-IL"/>
          </w:rPr>
          <w:t xml:space="preserve">512/13 </w:t>
        </w:r>
      </w:hyperlink>
      <w:r w:rsidR="00937A5F">
        <w:rPr>
          <w:rtl/>
          <w:lang w:eastAsia="he-IL"/>
        </w:rPr>
        <w:t xml:space="preserve"> </w:t>
      </w:r>
      <w:r>
        <w:rPr>
          <w:b/>
          <w:bCs/>
          <w:rtl/>
          <w:lang w:eastAsia="he-IL"/>
        </w:rPr>
        <w:t>פלוני נ' מ"י</w:t>
      </w:r>
      <w:r w:rsidR="00937A5F">
        <w:rPr>
          <w:b/>
          <w:bCs/>
          <w:rtl/>
          <w:lang w:eastAsia="he-IL"/>
        </w:rPr>
        <w:t xml:space="preserve"> </w:t>
      </w:r>
      <w:r>
        <w:rPr>
          <w:rtl/>
          <w:lang w:eastAsia="he-IL"/>
        </w:rPr>
        <w:t>(4.12.2013). לענין זה ר' גם</w:t>
      </w:r>
      <w:r w:rsidR="00937A5F">
        <w:rPr>
          <w:rtl/>
          <w:lang w:eastAsia="he-IL"/>
        </w:rPr>
        <w:t xml:space="preserve"> </w:t>
      </w:r>
      <w:hyperlink r:id="rId17" w:history="1">
        <w:r w:rsidR="00937A5F" w:rsidRPr="00937A5F">
          <w:rPr>
            <w:color w:val="0000FF"/>
            <w:u w:val="single"/>
            <w:rtl/>
            <w:lang w:eastAsia="he-IL"/>
          </w:rPr>
          <w:t>ע"פ 2454/18</w:t>
        </w:r>
      </w:hyperlink>
      <w:r w:rsidR="00937A5F">
        <w:rPr>
          <w:rtl/>
          <w:lang w:eastAsia="he-IL"/>
        </w:rPr>
        <w:t xml:space="preserve"> </w:t>
      </w:r>
      <w:r>
        <w:rPr>
          <w:b/>
          <w:bCs/>
          <w:rtl/>
          <w:lang w:eastAsia="he-IL"/>
        </w:rPr>
        <w:t>שיינברג נ' מ"י</w:t>
      </w:r>
      <w:r w:rsidR="00937A5F">
        <w:rPr>
          <w:rtl/>
          <w:lang w:eastAsia="he-IL"/>
        </w:rPr>
        <w:t xml:space="preserve"> </w:t>
      </w:r>
      <w:r>
        <w:rPr>
          <w:rtl/>
          <w:lang w:eastAsia="he-IL"/>
        </w:rPr>
        <w:t xml:space="preserve">(6.12.2018), בו הובאה כאפשרית הדעה לפיה כאשר הצדדים הסכימו על טווח ענישה שנופל בבירור בתוך מתחם הענישה, אין צורך להרחיב בקביעת המתחם. </w:t>
      </w:r>
    </w:p>
    <w:p w14:paraId="3578E1DD" w14:textId="77777777" w:rsidR="00C32302" w:rsidRDefault="00C32302" w:rsidP="00C32302">
      <w:pPr>
        <w:spacing w:line="360" w:lineRule="auto"/>
        <w:jc w:val="both"/>
        <w:rPr>
          <w:rtl/>
          <w:lang w:eastAsia="he-IL"/>
        </w:rPr>
      </w:pPr>
    </w:p>
    <w:p w14:paraId="797DA217" w14:textId="77777777" w:rsidR="00C32302" w:rsidRDefault="00C32302" w:rsidP="00C32302">
      <w:pPr>
        <w:spacing w:line="360" w:lineRule="auto"/>
        <w:jc w:val="both"/>
        <w:rPr>
          <w:rtl/>
          <w:lang w:eastAsia="he-IL"/>
        </w:rPr>
      </w:pPr>
      <w:r>
        <w:rPr>
          <w:rtl/>
          <w:lang w:eastAsia="he-IL"/>
        </w:rPr>
        <w:t>בעבירת ההצתה, בנסיבות ביצועה, ובשים לב לטענה בדבר קושי ראייתי, אינני מוצא ספק בשאלת כיבוד ההסדר, ואין מקום לקביעת מתחם.</w:t>
      </w:r>
    </w:p>
    <w:p w14:paraId="63C03F25" w14:textId="77777777" w:rsidR="00C32302" w:rsidRDefault="00C32302" w:rsidP="00C32302">
      <w:pPr>
        <w:spacing w:line="360" w:lineRule="auto"/>
        <w:jc w:val="both"/>
        <w:rPr>
          <w:rtl/>
          <w:lang w:eastAsia="he-IL"/>
        </w:rPr>
      </w:pPr>
    </w:p>
    <w:p w14:paraId="614352C5" w14:textId="77777777" w:rsidR="00C32302" w:rsidRDefault="00C32302" w:rsidP="00C32302">
      <w:pPr>
        <w:spacing w:line="360" w:lineRule="auto"/>
        <w:jc w:val="both"/>
        <w:rPr>
          <w:rtl/>
          <w:lang w:eastAsia="he-IL"/>
        </w:rPr>
      </w:pPr>
      <w:r>
        <w:rPr>
          <w:rtl/>
          <w:lang w:eastAsia="he-IL"/>
        </w:rPr>
        <w:t>להלן התייחסות לנסיבות ביצוע העבירות בשני כתבי האישום, ובהמשך הענישה, אשר לאור הצירוף אני מוצא כי צריכה היא להיות ענישה כוללת.</w:t>
      </w:r>
    </w:p>
    <w:p w14:paraId="6ECB31B8" w14:textId="77777777" w:rsidR="00C32302" w:rsidRDefault="00C32302" w:rsidP="00C32302">
      <w:pPr>
        <w:spacing w:line="360" w:lineRule="auto"/>
        <w:jc w:val="both"/>
        <w:rPr>
          <w:rtl/>
          <w:lang w:eastAsia="he-IL"/>
        </w:rPr>
      </w:pPr>
    </w:p>
    <w:p w14:paraId="043F5E1A" w14:textId="77777777" w:rsidR="00C32302" w:rsidRDefault="00C32302" w:rsidP="00C32302">
      <w:pPr>
        <w:spacing w:line="360" w:lineRule="auto"/>
        <w:jc w:val="both"/>
        <w:rPr>
          <w:rFonts w:ascii="David" w:eastAsia="David" w:hAnsi="David"/>
          <w:rtl/>
        </w:rPr>
      </w:pPr>
      <w:r>
        <w:rPr>
          <w:rFonts w:hint="cs"/>
          <w:rtl/>
          <w:lang w:eastAsia="he-IL"/>
        </w:rPr>
        <w:t>7</w:t>
      </w:r>
      <w:r>
        <w:rPr>
          <w:rtl/>
          <w:lang w:eastAsia="he-IL"/>
        </w:rPr>
        <w:t xml:space="preserve">. </w:t>
      </w:r>
      <w:r>
        <w:rPr>
          <w:rtl/>
          <w:lang w:eastAsia="he-IL"/>
        </w:rPr>
        <w:tab/>
        <w:t xml:space="preserve">ביחס לעבירת ההצתה – נסיבות ביצועה על ידי הנאשם חמורות. </w:t>
      </w:r>
      <w:r>
        <w:rPr>
          <w:rFonts w:ascii="David" w:eastAsia="David" w:hAnsi="David"/>
          <w:rtl/>
        </w:rPr>
        <w:t>הנאשם הצטייד בשלושה בקבוקים גדולים ובהם חומר דליק מסוג בנזין, והסווה את זהותו בכך שכיסה את פניו בחולצה, הגיע לתחנת המוניות, שפך את הדלק ליד דלת הכניסה למשרד, הצית את הדלק שהתלקח במהירות, ונמלט.</w:t>
      </w:r>
    </w:p>
    <w:p w14:paraId="0E09C179" w14:textId="77777777" w:rsidR="00C32302" w:rsidRDefault="00C32302" w:rsidP="00C32302">
      <w:pPr>
        <w:spacing w:line="360" w:lineRule="auto"/>
        <w:jc w:val="both"/>
        <w:rPr>
          <w:rFonts w:ascii="David" w:eastAsia="David" w:hAnsi="David"/>
          <w:rtl/>
        </w:rPr>
      </w:pPr>
    </w:p>
    <w:p w14:paraId="274FF103" w14:textId="77777777" w:rsidR="00C32302" w:rsidRDefault="00C32302" w:rsidP="00C32302">
      <w:pPr>
        <w:spacing w:line="360" w:lineRule="auto"/>
        <w:jc w:val="both"/>
        <w:rPr>
          <w:rFonts w:ascii="David" w:eastAsia="David" w:hAnsi="David"/>
          <w:rtl/>
        </w:rPr>
      </w:pPr>
      <w:r>
        <w:rPr>
          <w:rFonts w:ascii="David" w:eastAsia="David" w:hAnsi="David"/>
          <w:rtl/>
        </w:rPr>
        <w:t xml:space="preserve">למקום הובהלו ארבעה צוותי כיבוי, אשר כיבו את האש, ובשל ההצתה, נגרם נזק רב מאוד למשרד תחנת המוניות, לתשתית התאורה והאינסטלציה בחניון, ולתשתיות ריצוף בסביבת תחנת המוניות. </w:t>
      </w:r>
    </w:p>
    <w:p w14:paraId="40DDC074" w14:textId="77777777" w:rsidR="00C32302" w:rsidRDefault="00C32302" w:rsidP="00C32302">
      <w:pPr>
        <w:spacing w:line="360" w:lineRule="auto"/>
        <w:jc w:val="both"/>
        <w:rPr>
          <w:rFonts w:ascii="David" w:eastAsia="David" w:hAnsi="David"/>
          <w:rtl/>
        </w:rPr>
      </w:pPr>
    </w:p>
    <w:p w14:paraId="162CFD1B" w14:textId="77777777" w:rsidR="00C32302" w:rsidRDefault="00C32302" w:rsidP="00C32302">
      <w:pPr>
        <w:spacing w:line="360" w:lineRule="auto"/>
        <w:jc w:val="both"/>
        <w:rPr>
          <w:rFonts w:ascii="David" w:eastAsia="David" w:hAnsi="David"/>
          <w:rtl/>
        </w:rPr>
      </w:pPr>
      <w:r>
        <w:rPr>
          <w:rFonts w:ascii="David" w:eastAsia="David" w:hAnsi="David"/>
          <w:rtl/>
        </w:rPr>
        <w:t xml:space="preserve">הנאשם תכנן מראש את ביצוע העבירה והצטייד בחומר דליק. </w:t>
      </w:r>
    </w:p>
    <w:p w14:paraId="56F6BBEA" w14:textId="77777777" w:rsidR="00C32302" w:rsidRDefault="00C32302" w:rsidP="00C32302">
      <w:pPr>
        <w:spacing w:line="360" w:lineRule="auto"/>
        <w:jc w:val="both"/>
        <w:rPr>
          <w:rFonts w:ascii="David" w:eastAsia="David" w:hAnsi="David"/>
          <w:rtl/>
        </w:rPr>
      </w:pPr>
    </w:p>
    <w:p w14:paraId="5293E84F" w14:textId="77777777" w:rsidR="00C32302" w:rsidRDefault="00C32302" w:rsidP="00C32302">
      <w:pPr>
        <w:spacing w:line="360" w:lineRule="auto"/>
        <w:jc w:val="both"/>
        <w:rPr>
          <w:rFonts w:ascii="David" w:eastAsia="David" w:hAnsi="David"/>
          <w:rtl/>
        </w:rPr>
      </w:pPr>
      <w:r>
        <w:rPr>
          <w:rFonts w:ascii="David" w:eastAsia="David" w:hAnsi="David"/>
          <w:rtl/>
        </w:rPr>
        <w:t xml:space="preserve">בביצוע עבירת ההצתה ובאופן ביצועה פגע הנאשם בערכים המוגנים של שמירה על רכושו של אדם וזכותו להגנה על קניינו, בטחונו ובטחון הפרט ומניעת סיכון ונזק לרכוש ולאדם. </w:t>
      </w:r>
    </w:p>
    <w:p w14:paraId="0F43F28C" w14:textId="77777777" w:rsidR="00C32302" w:rsidRDefault="00C32302" w:rsidP="00C32302">
      <w:pPr>
        <w:spacing w:line="360" w:lineRule="auto"/>
        <w:jc w:val="both"/>
        <w:rPr>
          <w:rFonts w:ascii="David" w:eastAsia="David" w:hAnsi="David"/>
          <w:rtl/>
        </w:rPr>
      </w:pPr>
    </w:p>
    <w:p w14:paraId="3CBCA227" w14:textId="77777777" w:rsidR="00C32302" w:rsidRDefault="00C32302" w:rsidP="00C32302">
      <w:pPr>
        <w:spacing w:line="360" w:lineRule="auto"/>
        <w:jc w:val="both"/>
        <w:rPr>
          <w:rFonts w:ascii="David" w:eastAsia="David" w:hAnsi="David"/>
          <w:rtl/>
        </w:rPr>
      </w:pPr>
      <w:r>
        <w:rPr>
          <w:rFonts w:ascii="David" w:eastAsia="David" w:hAnsi="David"/>
          <w:rtl/>
        </w:rPr>
        <w:t>על חומרת עבירת ההצתה חזרו בתי המשפט בפסקי דין רבים:</w:t>
      </w:r>
    </w:p>
    <w:p w14:paraId="2BA57BF9" w14:textId="77777777" w:rsidR="00C32302" w:rsidRDefault="00C32302" w:rsidP="00C32302">
      <w:pPr>
        <w:spacing w:line="360" w:lineRule="auto"/>
        <w:jc w:val="both"/>
        <w:rPr>
          <w:rFonts w:ascii="David" w:eastAsia="David" w:hAnsi="David"/>
          <w:rtl/>
        </w:rPr>
      </w:pPr>
    </w:p>
    <w:p w14:paraId="0691D614" w14:textId="77777777" w:rsidR="00C32302" w:rsidRDefault="00C32302" w:rsidP="00C32302">
      <w:pPr>
        <w:spacing w:line="360" w:lineRule="auto"/>
        <w:jc w:val="both"/>
        <w:rPr>
          <w:rFonts w:ascii="David" w:eastAsia="David" w:hAnsi="David"/>
          <w:b/>
          <w:bCs/>
          <w:i/>
          <w:iCs/>
          <w:rtl/>
        </w:rPr>
      </w:pPr>
      <w:r>
        <w:rPr>
          <w:rFonts w:ascii="David" w:eastAsia="David" w:hAnsi="David"/>
          <w:rtl/>
        </w:rPr>
        <w:t>ב</w:t>
      </w:r>
      <w:hyperlink r:id="rId18" w:history="1">
        <w:r w:rsidR="00937A5F" w:rsidRPr="00937A5F">
          <w:rPr>
            <w:rFonts w:ascii="David" w:eastAsia="David" w:hAnsi="David"/>
            <w:color w:val="0000FF"/>
            <w:u w:val="single"/>
            <w:rtl/>
          </w:rPr>
          <w:t>בש"פ 6526/02</w:t>
        </w:r>
      </w:hyperlink>
      <w:r>
        <w:rPr>
          <w:rFonts w:ascii="David" w:eastAsia="David" w:hAnsi="David"/>
          <w:rtl/>
        </w:rPr>
        <w:t xml:space="preserve"> </w:t>
      </w:r>
      <w:r>
        <w:rPr>
          <w:rFonts w:ascii="David" w:eastAsia="David" w:hAnsi="David"/>
          <w:b/>
          <w:bCs/>
          <w:rtl/>
        </w:rPr>
        <w:t>מוחמד בן אעיד אלענמי ואח' נ' מדינת ישראל</w:t>
      </w:r>
      <w:r>
        <w:rPr>
          <w:rFonts w:ascii="David" w:eastAsia="David" w:hAnsi="David"/>
          <w:rtl/>
        </w:rPr>
        <w:t xml:space="preserve">  (30.7.2002) בו מדובר היה בהצתה אשר במסגרתה נגרם נזק, ועל עבירת ההצתה נאמר:</w:t>
      </w:r>
      <w:r>
        <w:rPr>
          <w:rFonts w:ascii="David" w:eastAsia="David" w:hAnsi="David"/>
          <w:b/>
          <w:bCs/>
          <w:i/>
          <w:iCs/>
          <w:rtl/>
        </w:rPr>
        <w:t xml:space="preserve">  "שיודע אתה את תחילתה ואין אתה יודע את סופה, ומי שמתיר לעצמו לסכן בדרך זו רכוש וחיים... עשוי להוסיף, לסכן את זולתו גם בנסיבות אחרות...". </w:t>
      </w:r>
    </w:p>
    <w:p w14:paraId="23CE6FD8" w14:textId="77777777" w:rsidR="00C32302" w:rsidRDefault="00C32302" w:rsidP="00C32302">
      <w:pPr>
        <w:spacing w:line="360" w:lineRule="auto"/>
        <w:jc w:val="both"/>
        <w:rPr>
          <w:rFonts w:ascii="David" w:eastAsia="David" w:hAnsi="David"/>
          <w:b/>
          <w:bCs/>
          <w:i/>
          <w:iCs/>
          <w:rtl/>
        </w:rPr>
      </w:pPr>
    </w:p>
    <w:p w14:paraId="41A57C3F" w14:textId="77777777" w:rsidR="00C32302" w:rsidRDefault="00C32302" w:rsidP="00C32302">
      <w:pPr>
        <w:spacing w:line="360" w:lineRule="auto"/>
        <w:jc w:val="both"/>
        <w:rPr>
          <w:rFonts w:ascii="David" w:eastAsia="David" w:hAnsi="David"/>
          <w:b/>
          <w:bCs/>
          <w:i/>
          <w:iCs/>
          <w:rtl/>
        </w:rPr>
      </w:pPr>
      <w:r>
        <w:rPr>
          <w:rFonts w:ascii="David" w:eastAsia="David" w:hAnsi="David"/>
          <w:b/>
          <w:bCs/>
          <w:rtl/>
        </w:rPr>
        <w:t xml:space="preserve">בע"פ </w:t>
      </w:r>
      <w:hyperlink r:id="rId19" w:history="1">
        <w:r w:rsidR="00EC3851" w:rsidRPr="00EC3851">
          <w:rPr>
            <w:rFonts w:ascii="David" w:eastAsia="David" w:hAnsi="David"/>
            <w:b/>
            <w:bCs/>
            <w:color w:val="0000FF"/>
            <w:u w:val="single"/>
            <w:rtl/>
          </w:rPr>
          <w:t xml:space="preserve">2599/07 </w:t>
        </w:r>
      </w:hyperlink>
      <w:r>
        <w:rPr>
          <w:rFonts w:ascii="David" w:eastAsia="David" w:hAnsi="David"/>
          <w:b/>
          <w:bCs/>
          <w:rtl/>
        </w:rPr>
        <w:t xml:space="preserve"> קריין נ' מדינת ישראל </w:t>
      </w:r>
      <w:r>
        <w:rPr>
          <w:rFonts w:ascii="David" w:eastAsia="David" w:hAnsi="David"/>
          <w:rtl/>
        </w:rPr>
        <w:t xml:space="preserve">(30.4.2007): </w:t>
      </w:r>
      <w:r>
        <w:rPr>
          <w:rFonts w:ascii="David" w:eastAsia="David" w:hAnsi="David"/>
          <w:b/>
          <w:bCs/>
          <w:i/>
          <w:iCs/>
          <w:rtl/>
        </w:rPr>
        <w:t xml:space="preserve"> "טבעה של הצתה שראשיתה ידוע, אולם כיצד תתפשט ומה יהיה היקף הנזק הכרוך בה, הוא עניין שלמצית, בדרך כלל, אין שליטה עליו. מכאן חומרתה היתרה של עבירה זו, ועל כן חייב העונש הנגזר בצידה לתת מענה לשיקולי גמול, מחד, והרתעת הרבים, מאידך". </w:t>
      </w:r>
    </w:p>
    <w:p w14:paraId="049C615F" w14:textId="77777777" w:rsidR="00C32302" w:rsidRDefault="00C32302" w:rsidP="00C32302">
      <w:pPr>
        <w:spacing w:line="360" w:lineRule="auto"/>
        <w:jc w:val="both"/>
        <w:rPr>
          <w:rFonts w:ascii="David" w:eastAsia="David" w:hAnsi="David"/>
          <w:b/>
          <w:bCs/>
          <w:i/>
          <w:iCs/>
          <w:rtl/>
        </w:rPr>
      </w:pPr>
    </w:p>
    <w:p w14:paraId="7E501CE0" w14:textId="77777777" w:rsidR="00C32302" w:rsidRDefault="00C32302" w:rsidP="00C32302">
      <w:pPr>
        <w:spacing w:line="360" w:lineRule="auto"/>
        <w:jc w:val="both"/>
        <w:rPr>
          <w:rFonts w:ascii="David" w:eastAsia="David" w:hAnsi="David"/>
          <w:rtl/>
        </w:rPr>
      </w:pPr>
      <w:r>
        <w:rPr>
          <w:rFonts w:ascii="David" w:eastAsia="David" w:hAnsi="David"/>
          <w:rtl/>
        </w:rPr>
        <w:t>מנעד הענישה בעבירות הצתה רחב, וקשור בנסיבות כל מקרה. את הפסיקה להלן יש לאבחן לאור הנסיבות המסוימות בענייננו.</w:t>
      </w:r>
    </w:p>
    <w:p w14:paraId="6270B363" w14:textId="77777777" w:rsidR="00C32302" w:rsidRDefault="00C32302" w:rsidP="00C32302">
      <w:pPr>
        <w:spacing w:line="360" w:lineRule="auto"/>
        <w:jc w:val="both"/>
        <w:rPr>
          <w:rFonts w:ascii="David" w:eastAsia="David" w:hAnsi="David"/>
          <w:rtl/>
        </w:rPr>
      </w:pPr>
    </w:p>
    <w:p w14:paraId="189EBA1A" w14:textId="77777777" w:rsidR="00C32302" w:rsidRDefault="00C32302" w:rsidP="00C32302">
      <w:pPr>
        <w:spacing w:line="360" w:lineRule="auto"/>
        <w:jc w:val="both"/>
        <w:rPr>
          <w:rFonts w:ascii="David" w:eastAsia="David" w:hAnsi="David"/>
          <w:rtl/>
        </w:rPr>
      </w:pPr>
      <w:r>
        <w:rPr>
          <w:rFonts w:ascii="David" w:eastAsia="David" w:hAnsi="David"/>
          <w:rtl/>
        </w:rPr>
        <w:t>ב</w:t>
      </w:r>
      <w:hyperlink r:id="rId20" w:history="1">
        <w:r w:rsidR="00937A5F" w:rsidRPr="00937A5F">
          <w:rPr>
            <w:rFonts w:ascii="David" w:eastAsia="David" w:hAnsi="David"/>
            <w:color w:val="0000FF"/>
            <w:u w:val="single"/>
            <w:rtl/>
          </w:rPr>
          <w:t>ע"פ 7139/13</w:t>
        </w:r>
      </w:hyperlink>
      <w:r>
        <w:rPr>
          <w:rFonts w:ascii="David" w:eastAsia="David" w:hAnsi="David"/>
          <w:rtl/>
        </w:rPr>
        <w:t xml:space="preserve"> </w:t>
      </w:r>
      <w:r>
        <w:rPr>
          <w:rFonts w:ascii="David" w:eastAsia="David" w:hAnsi="David"/>
          <w:b/>
          <w:bCs/>
          <w:rtl/>
        </w:rPr>
        <w:t>טרפה צקול נ' מ"י</w:t>
      </w:r>
      <w:r>
        <w:rPr>
          <w:rFonts w:ascii="David" w:eastAsia="David" w:hAnsi="David"/>
          <w:rtl/>
        </w:rPr>
        <w:t xml:space="preserve"> (23.1.2014) – הורשע המערער במסגרת הסדר טיעון בעבירות הצתה והיזק בזדון, בכך ששכר חדר בבית בו מתגוררים דיירים נוספים, ובצהרי יום  הצית את החדר באמצעות מצת וסדין וברח מן החדר. כתוצאה ממעשיו נשרפו כליל החדר, גג הרעפים וארגז רוח המצוי על גג הבית וכמו כן נגרמו נזקי פיח לבית ונשרפו בגדים וחפצים נוספים השייכים לאחד הדיירים. במקרה זה היה המערער במצב נפשי קשה. בערעור נקבע כי המתחם הראוי הינו בין שנה לשלוש שנות מאסר, והענישה הופחתה ל – 18 חודשים, בתוספת הפעלת המאסר המותנה, כך שהוטלו 21 חדשי מאסר, תוך  שצויין כי רף הענישה בעבירות הצתה אינו אחיד, ונסקרה הענישה המוטלת. </w:t>
      </w:r>
    </w:p>
    <w:p w14:paraId="1C5648D2" w14:textId="77777777" w:rsidR="00C32302" w:rsidRDefault="00C32302" w:rsidP="00C32302">
      <w:pPr>
        <w:spacing w:line="360" w:lineRule="auto"/>
        <w:jc w:val="both"/>
        <w:rPr>
          <w:rFonts w:ascii="David" w:eastAsia="David" w:hAnsi="David"/>
          <w:rtl/>
        </w:rPr>
      </w:pPr>
    </w:p>
    <w:p w14:paraId="35345DCE" w14:textId="77777777" w:rsidR="00C32302" w:rsidRDefault="00C32302" w:rsidP="00C32302">
      <w:pPr>
        <w:spacing w:line="360" w:lineRule="auto"/>
        <w:jc w:val="both"/>
        <w:rPr>
          <w:rFonts w:ascii="David" w:eastAsia="David" w:hAnsi="David"/>
          <w:rtl/>
        </w:rPr>
      </w:pPr>
      <w:r>
        <w:rPr>
          <w:rFonts w:ascii="David" w:eastAsia="David" w:hAnsi="David"/>
          <w:rtl/>
        </w:rPr>
        <w:t>ב</w:t>
      </w:r>
      <w:hyperlink r:id="rId21" w:history="1">
        <w:r w:rsidR="00937A5F" w:rsidRPr="00937A5F">
          <w:rPr>
            <w:rFonts w:ascii="David" w:eastAsia="David" w:hAnsi="David"/>
            <w:color w:val="0000FF"/>
            <w:u w:val="single"/>
            <w:rtl/>
          </w:rPr>
          <w:t>ע"פ 1414/15</w:t>
        </w:r>
      </w:hyperlink>
      <w:r>
        <w:rPr>
          <w:rFonts w:ascii="David" w:eastAsia="David" w:hAnsi="David"/>
          <w:rtl/>
        </w:rPr>
        <w:t xml:space="preserve"> </w:t>
      </w:r>
      <w:r>
        <w:rPr>
          <w:rFonts w:ascii="David" w:eastAsia="David" w:hAnsi="David"/>
          <w:b/>
          <w:bCs/>
          <w:rtl/>
        </w:rPr>
        <w:t>מ"י נ' אלון פדר</w:t>
      </w:r>
      <w:r>
        <w:rPr>
          <w:rFonts w:ascii="David" w:eastAsia="David" w:hAnsi="David"/>
          <w:rtl/>
        </w:rPr>
        <w:t xml:space="preserve"> (15.4.2015) (ערעור על גז"ד שניתן ע"י מותב זה) – המשיב הורשע, בעבירת הצתה, בכך שהצית חנות והיא נשרפה כליל. הוטלו 12 חודשי מאסר בפועל. ביהמ"ש העליון קיבל את ערעור המדינה על קולת העונש, החמיר את עונשו של המשיב ל-18 חודשי מאסר בפועל. </w:t>
      </w:r>
    </w:p>
    <w:p w14:paraId="34FF868C" w14:textId="77777777" w:rsidR="00C32302" w:rsidRDefault="00C32302" w:rsidP="00C32302">
      <w:pPr>
        <w:spacing w:line="360" w:lineRule="auto"/>
        <w:jc w:val="both"/>
        <w:rPr>
          <w:rFonts w:ascii="David" w:eastAsia="David" w:hAnsi="David"/>
          <w:rtl/>
        </w:rPr>
      </w:pPr>
    </w:p>
    <w:p w14:paraId="49D9731D" w14:textId="77777777" w:rsidR="00C32302" w:rsidRDefault="00C32302" w:rsidP="00C32302">
      <w:pPr>
        <w:spacing w:line="360" w:lineRule="auto"/>
        <w:jc w:val="both"/>
        <w:rPr>
          <w:rFonts w:ascii="David" w:eastAsia="David" w:hAnsi="David"/>
          <w:rtl/>
        </w:rPr>
      </w:pPr>
      <w:r>
        <w:rPr>
          <w:rFonts w:ascii="David" w:eastAsia="David" w:hAnsi="David"/>
          <w:rtl/>
        </w:rPr>
        <w:t>ב</w:t>
      </w:r>
      <w:hyperlink r:id="rId22" w:history="1">
        <w:r w:rsidR="00937A5F" w:rsidRPr="00937A5F">
          <w:rPr>
            <w:rFonts w:ascii="David" w:eastAsia="David" w:hAnsi="David"/>
            <w:color w:val="0000FF"/>
            <w:u w:val="single"/>
            <w:rtl/>
          </w:rPr>
          <w:t>ע"פ 98/20</w:t>
        </w:r>
      </w:hyperlink>
      <w:r>
        <w:rPr>
          <w:rFonts w:ascii="David" w:eastAsia="David" w:hAnsi="David"/>
          <w:rtl/>
        </w:rPr>
        <w:t xml:space="preserve"> </w:t>
      </w:r>
      <w:r>
        <w:rPr>
          <w:rFonts w:ascii="David" w:eastAsia="David" w:hAnsi="David"/>
          <w:b/>
          <w:bCs/>
          <w:rtl/>
        </w:rPr>
        <w:t xml:space="preserve">פרוספר כהן נ' מ"י </w:t>
      </w:r>
      <w:r>
        <w:rPr>
          <w:rFonts w:ascii="David" w:eastAsia="David" w:hAnsi="David"/>
          <w:rtl/>
        </w:rPr>
        <w:t xml:space="preserve">(11.6.2020), הורשע המערער בביצוע עבירות הצתה לפי </w:t>
      </w:r>
      <w:hyperlink r:id="rId23" w:history="1">
        <w:r w:rsidR="007760B2" w:rsidRPr="007760B2">
          <w:rPr>
            <w:rStyle w:val="Hyperlink"/>
            <w:rFonts w:ascii="David" w:eastAsia="David" w:hAnsi="David"/>
            <w:rtl/>
          </w:rPr>
          <w:t>סעיף 448(א)</w:t>
        </w:r>
      </w:hyperlink>
      <w:r>
        <w:rPr>
          <w:rFonts w:ascii="David" w:eastAsia="David" w:hAnsi="David"/>
          <w:rtl/>
        </w:rPr>
        <w:t xml:space="preserve"> סיפא ל</w:t>
      </w:r>
      <w:hyperlink r:id="rId24" w:history="1">
        <w:r w:rsidR="00937A5F" w:rsidRPr="00937A5F">
          <w:rPr>
            <w:rFonts w:ascii="David" w:eastAsia="David" w:hAnsi="David"/>
            <w:color w:val="0000FF"/>
            <w:u w:val="single"/>
            <w:rtl/>
          </w:rPr>
          <w:t>חוק העונשין</w:t>
        </w:r>
      </w:hyperlink>
      <w:r>
        <w:rPr>
          <w:rFonts w:ascii="David" w:eastAsia="David" w:hAnsi="David"/>
          <w:rtl/>
        </w:rPr>
        <w:t xml:space="preserve">, איומים והיזק לרכוש. נקבע מתחם עונש הולם הנע בין 24 ל-48 חודשי מאסר, והוטל על המערער אשר לחובתו עבר פלילי מכביד, עונש של 30 חודשי מאסר בפועל, וענישה נלווית. הערעור נדחה תוך שצוין כי מדובר בהרשעה בחלופה המחמירה של עבירת ההצתה לפי </w:t>
      </w:r>
      <w:hyperlink r:id="rId25" w:history="1">
        <w:r w:rsidR="007760B2" w:rsidRPr="007760B2">
          <w:rPr>
            <w:rStyle w:val="Hyperlink"/>
            <w:rFonts w:ascii="David" w:eastAsia="David" w:hAnsi="David"/>
            <w:rtl/>
          </w:rPr>
          <w:t>סעיף 448(א)</w:t>
        </w:r>
      </w:hyperlink>
      <w:r>
        <w:rPr>
          <w:rFonts w:ascii="David" w:eastAsia="David" w:hAnsi="David"/>
          <w:rtl/>
        </w:rPr>
        <w:t xml:space="preserve"> סיפא, ולאור זאת מתחם העונש ההולם היה הצד המקל, שכן בבחינת מדיניות הענישה הנוהגת היתה התייחסות בעיקר לעבירות הצתה בצורתן המופחתת. הנאשם כאן הורשע בביצוע עבירה ברף המחמיר פחות, לפי </w:t>
      </w:r>
      <w:hyperlink r:id="rId26" w:history="1">
        <w:r w:rsidR="007760B2" w:rsidRPr="007760B2">
          <w:rPr>
            <w:rStyle w:val="Hyperlink"/>
            <w:rFonts w:ascii="David" w:eastAsia="David" w:hAnsi="David"/>
            <w:rtl/>
          </w:rPr>
          <w:t>סעיף 448(א)</w:t>
        </w:r>
      </w:hyperlink>
      <w:r>
        <w:rPr>
          <w:rFonts w:ascii="David" w:eastAsia="David" w:hAnsi="David"/>
          <w:rtl/>
        </w:rPr>
        <w:t xml:space="preserve"> רישא.</w:t>
      </w:r>
    </w:p>
    <w:p w14:paraId="3621F99A" w14:textId="77777777" w:rsidR="00C32302" w:rsidRDefault="00C32302" w:rsidP="00C32302">
      <w:pPr>
        <w:spacing w:line="360" w:lineRule="auto"/>
        <w:jc w:val="both"/>
        <w:rPr>
          <w:rFonts w:ascii="David" w:eastAsia="David" w:hAnsi="David"/>
          <w:rtl/>
        </w:rPr>
      </w:pPr>
    </w:p>
    <w:p w14:paraId="50714928" w14:textId="77777777" w:rsidR="00C32302" w:rsidRDefault="00937A5F" w:rsidP="00C32302">
      <w:pPr>
        <w:spacing w:line="360" w:lineRule="auto"/>
        <w:jc w:val="both"/>
        <w:rPr>
          <w:rFonts w:ascii="David" w:eastAsia="David" w:hAnsi="David"/>
          <w:rtl/>
        </w:rPr>
      </w:pPr>
      <w:hyperlink r:id="rId27" w:history="1">
        <w:r w:rsidRPr="00937A5F">
          <w:rPr>
            <w:rFonts w:ascii="David" w:eastAsia="David" w:hAnsi="David"/>
            <w:color w:val="0000FF"/>
            <w:u w:val="single"/>
            <w:rtl/>
          </w:rPr>
          <w:t>ע"פ 3116/13</w:t>
        </w:r>
      </w:hyperlink>
      <w:r w:rsidR="00C32302">
        <w:rPr>
          <w:rFonts w:ascii="David" w:eastAsia="David" w:hAnsi="David"/>
          <w:rtl/>
        </w:rPr>
        <w:t xml:space="preserve">, 3796/13 </w:t>
      </w:r>
      <w:r w:rsidR="00C32302">
        <w:rPr>
          <w:rFonts w:ascii="David" w:eastAsia="David" w:hAnsi="David"/>
          <w:b/>
          <w:bCs/>
          <w:rtl/>
        </w:rPr>
        <w:t>ויאם קבלאן ואח' נ' מדינת ישראל</w:t>
      </w:r>
      <w:r w:rsidR="00C32302">
        <w:rPr>
          <w:rFonts w:ascii="David" w:eastAsia="David" w:hAnsi="David"/>
          <w:rtl/>
        </w:rPr>
        <w:t xml:space="preserve"> (15.10.2013) – המערערים הורשעו בעבירת הצתה וקשירת קשר לביצוע פשע, כאשר קשרו קשר והציתו אוטובוס, והוטל עליהם עונש של 24 חודשי מאסר. ביהמ"ש העליון דחה את הערעור, וקבע כי קיים טווח ענישה רחב ו</w:t>
      </w:r>
      <w:r w:rsidR="00C32302">
        <w:rPr>
          <w:rFonts w:ascii="David" w:eastAsia="David" w:hAnsi="David"/>
          <w:b/>
          <w:bCs/>
          <w:i/>
          <w:iCs/>
          <w:rtl/>
        </w:rPr>
        <w:t>"עבירת ההצתה מחייבת בדרך כלל השתת עונש מאסר בפועל ובהתאם קבע המחוקק לצידה עונש חמור"</w:t>
      </w:r>
      <w:r w:rsidR="00C32302">
        <w:rPr>
          <w:rFonts w:ascii="David" w:eastAsia="David" w:hAnsi="David"/>
          <w:rtl/>
        </w:rPr>
        <w:t xml:space="preserve">. נפסק שמתחם העונש שנקבע  (30-12 חודשי מאסר) אינו חורג באופן קיצוני מהמקובל במקרים דומים. </w:t>
      </w:r>
    </w:p>
    <w:p w14:paraId="251076EC" w14:textId="77777777" w:rsidR="00C32302" w:rsidRDefault="00C32302" w:rsidP="00C32302">
      <w:pPr>
        <w:spacing w:line="360" w:lineRule="auto"/>
        <w:jc w:val="both"/>
        <w:rPr>
          <w:rFonts w:ascii="David" w:eastAsia="David" w:hAnsi="David"/>
          <w:rtl/>
        </w:rPr>
      </w:pPr>
    </w:p>
    <w:p w14:paraId="03AF0B16" w14:textId="77777777" w:rsidR="00C32302" w:rsidRPr="00C32302" w:rsidRDefault="00C32302" w:rsidP="00C32302">
      <w:pPr>
        <w:spacing w:line="360" w:lineRule="auto"/>
        <w:jc w:val="both"/>
        <w:rPr>
          <w:rFonts w:ascii="Calibri" w:eastAsia="Calibri" w:hAnsi="Calibri"/>
          <w:rtl/>
          <w:lang w:eastAsia="he-IL"/>
        </w:rPr>
      </w:pPr>
      <w:r>
        <w:rPr>
          <w:rFonts w:hint="cs"/>
          <w:rtl/>
          <w:lang w:eastAsia="he-IL"/>
        </w:rPr>
        <w:t>8</w:t>
      </w:r>
      <w:r>
        <w:rPr>
          <w:rtl/>
          <w:lang w:eastAsia="he-IL"/>
        </w:rPr>
        <w:t xml:space="preserve">. </w:t>
      </w:r>
      <w:r>
        <w:rPr>
          <w:rtl/>
          <w:lang w:eastAsia="he-IL"/>
        </w:rPr>
        <w:tab/>
        <w:t>בתיק המצורף, בעבירת הסמים אשר ביצע הנאשם, פגע הוא</w:t>
      </w:r>
      <w:r w:rsidR="00937A5F">
        <w:rPr>
          <w:rtl/>
          <w:lang w:eastAsia="he-IL"/>
        </w:rPr>
        <w:t xml:space="preserve"> </w:t>
      </w:r>
      <w:r>
        <w:rPr>
          <w:rtl/>
          <w:lang w:eastAsia="he-IL"/>
        </w:rPr>
        <w:t>בערכים המוגנים ביסודה שהם השמירה על הסדר החברתי, שלטון החוק, שלום הציבור, בריאות הציבור, והצורך למנוע השלכות פליליות וחברתיות.</w:t>
      </w:r>
    </w:p>
    <w:p w14:paraId="6D490C2D" w14:textId="77777777" w:rsidR="00C32302" w:rsidRPr="00C32302" w:rsidRDefault="00C32302" w:rsidP="00C32302">
      <w:pPr>
        <w:spacing w:line="360" w:lineRule="auto"/>
        <w:jc w:val="both"/>
        <w:rPr>
          <w:rFonts w:ascii="Calibri" w:eastAsia="Calibri" w:hAnsi="Calibri"/>
          <w:lang w:eastAsia="he-IL"/>
        </w:rPr>
      </w:pPr>
    </w:p>
    <w:p w14:paraId="26651B9A" w14:textId="77777777" w:rsidR="00C32302" w:rsidRDefault="00C32302" w:rsidP="00C32302">
      <w:pPr>
        <w:spacing w:line="360" w:lineRule="auto"/>
        <w:jc w:val="both"/>
        <w:rPr>
          <w:rtl/>
          <w:lang w:eastAsia="he-IL"/>
        </w:rPr>
      </w:pPr>
      <w:r>
        <w:rPr>
          <w:rtl/>
          <w:lang w:eastAsia="he-IL"/>
        </w:rPr>
        <w:t>המאשימה עותרת לקביעת מתחם עונש הולם בגין התיק המצורף הנע בין 4 חדשי מאסר שיכול וירוצו בעבודות שירות לבין 12 חדשי מאסר.</w:t>
      </w:r>
    </w:p>
    <w:p w14:paraId="0FE0A32A" w14:textId="77777777" w:rsidR="00C32302" w:rsidRDefault="00C32302" w:rsidP="00C32302">
      <w:pPr>
        <w:spacing w:line="360" w:lineRule="auto"/>
        <w:jc w:val="both"/>
        <w:rPr>
          <w:lang w:eastAsia="he-IL"/>
        </w:rPr>
      </w:pPr>
    </w:p>
    <w:p w14:paraId="37E028EC" w14:textId="77777777" w:rsidR="00C32302" w:rsidRDefault="00C32302" w:rsidP="00C32302">
      <w:pPr>
        <w:spacing w:line="360" w:lineRule="auto"/>
        <w:jc w:val="both"/>
        <w:rPr>
          <w:rtl/>
          <w:lang w:eastAsia="he-IL"/>
        </w:rPr>
      </w:pPr>
      <w:r>
        <w:rPr>
          <w:rtl/>
          <w:lang w:eastAsia="he-IL"/>
        </w:rPr>
        <w:t>הכמות הכוללת של הסמים המסוכנים אשר החזיק הנאשם, מסוג קנבוס ומסוג חשיש, הינה כ – 41 גרם. הסמים המסוכנים הללו הוחזקו על ידי הנאשם שלא לצריכה עצמית. זאת הן לאור החזקה הקבועה בחוק, הן לאור הודאת הנאשם, והן מנסיבות תפיסת הסמים.</w:t>
      </w:r>
    </w:p>
    <w:p w14:paraId="2D8EB516" w14:textId="77777777" w:rsidR="00C32302" w:rsidRDefault="00C32302" w:rsidP="00C32302">
      <w:pPr>
        <w:spacing w:line="360" w:lineRule="auto"/>
        <w:jc w:val="both"/>
        <w:rPr>
          <w:rtl/>
          <w:lang w:eastAsia="he-IL"/>
        </w:rPr>
      </w:pPr>
    </w:p>
    <w:p w14:paraId="56C5CE2E" w14:textId="77777777" w:rsidR="00C32302" w:rsidRDefault="00C32302" w:rsidP="00C32302">
      <w:pPr>
        <w:spacing w:line="360" w:lineRule="auto"/>
        <w:jc w:val="both"/>
        <w:rPr>
          <w:rtl/>
          <w:lang w:eastAsia="he-IL"/>
        </w:rPr>
      </w:pPr>
      <w:r>
        <w:rPr>
          <w:rtl/>
          <w:lang w:eastAsia="he-IL"/>
        </w:rPr>
        <w:t xml:space="preserve">אשר לסוגי הסמים המסוכנים – המאבק בנגע הסמים מתייחס לכל סוגי הסמים המסוכנים, ולא אחת נקבע כי הצורך בענישה מחמירה ומרתיעה הינה לכל הסוגים, תוך הדגשה כי התייחסות לסמים מסוג זה כסמים קלים הינה </w:t>
      </w:r>
      <w:r>
        <w:rPr>
          <w:b/>
          <w:bCs/>
          <w:rtl/>
          <w:lang w:eastAsia="he-IL"/>
        </w:rPr>
        <w:t>"תפיסה שגויה"</w:t>
      </w:r>
      <w:r>
        <w:rPr>
          <w:rtl/>
          <w:lang w:eastAsia="he-IL"/>
        </w:rPr>
        <w:t xml:space="preserve">. ר' לעניין זה </w:t>
      </w:r>
      <w:hyperlink r:id="rId28" w:history="1">
        <w:r w:rsidR="00937A5F" w:rsidRPr="00937A5F">
          <w:rPr>
            <w:color w:val="0000FF"/>
            <w:u w:val="single"/>
            <w:rtl/>
            <w:lang w:eastAsia="he-IL"/>
          </w:rPr>
          <w:t>ע"פ 2596/18</w:t>
        </w:r>
      </w:hyperlink>
      <w:r>
        <w:rPr>
          <w:rtl/>
          <w:lang w:eastAsia="he-IL"/>
        </w:rPr>
        <w:t xml:space="preserve"> 2656/18 </w:t>
      </w:r>
      <w:r>
        <w:rPr>
          <w:b/>
          <w:bCs/>
          <w:rtl/>
          <w:lang w:eastAsia="he-IL"/>
        </w:rPr>
        <w:t xml:space="preserve">זנזורי נ' מ"י </w:t>
      </w:r>
      <w:r>
        <w:rPr>
          <w:rtl/>
          <w:lang w:eastAsia="he-IL"/>
        </w:rPr>
        <w:t xml:space="preserve">(12.8.2018). עוד ר' ע"פ </w:t>
      </w:r>
      <w:hyperlink r:id="rId29" w:history="1">
        <w:r w:rsidR="00EC3851" w:rsidRPr="00EC3851">
          <w:rPr>
            <w:color w:val="0000FF"/>
            <w:u w:val="single"/>
            <w:rtl/>
            <w:lang w:eastAsia="he-IL"/>
          </w:rPr>
          <w:t xml:space="preserve">407/97 </w:t>
        </w:r>
      </w:hyperlink>
      <w:r>
        <w:rPr>
          <w:rtl/>
          <w:lang w:eastAsia="he-IL"/>
        </w:rPr>
        <w:t xml:space="preserve"> </w:t>
      </w:r>
      <w:r>
        <w:rPr>
          <w:b/>
          <w:bCs/>
          <w:rtl/>
          <w:lang w:eastAsia="he-IL"/>
        </w:rPr>
        <w:t xml:space="preserve">יניב נ' מ"י </w:t>
      </w:r>
      <w:r>
        <w:rPr>
          <w:rtl/>
          <w:lang w:eastAsia="he-IL"/>
        </w:rPr>
        <w:t xml:space="preserve">(15.4.1997) המתייחס למעבר מסוג אחד של סמים לסוג אחר, וכן </w:t>
      </w:r>
      <w:hyperlink r:id="rId30" w:history="1">
        <w:r w:rsidR="00937A5F" w:rsidRPr="00937A5F">
          <w:rPr>
            <w:color w:val="0000FF"/>
            <w:u w:val="single"/>
            <w:rtl/>
            <w:lang w:eastAsia="he-IL"/>
          </w:rPr>
          <w:t>ע"פ 6299/20</w:t>
        </w:r>
      </w:hyperlink>
      <w:r>
        <w:rPr>
          <w:rtl/>
          <w:lang w:eastAsia="he-IL"/>
        </w:rPr>
        <w:t xml:space="preserve"> </w:t>
      </w:r>
      <w:r>
        <w:rPr>
          <w:b/>
          <w:bCs/>
          <w:rtl/>
          <w:lang w:eastAsia="he-IL"/>
        </w:rPr>
        <w:t xml:space="preserve">שחר חן נ' מ"י </w:t>
      </w:r>
      <w:r>
        <w:rPr>
          <w:rtl/>
          <w:lang w:eastAsia="he-IL"/>
        </w:rPr>
        <w:t>(4.2.2021) בו מפנה בית המשפט העליון לכך ש</w:t>
      </w:r>
      <w:hyperlink r:id="rId31" w:history="1">
        <w:r w:rsidR="00937A5F" w:rsidRPr="00937A5F">
          <w:rPr>
            <w:color w:val="0000FF"/>
            <w:u w:val="single"/>
            <w:rtl/>
            <w:lang w:eastAsia="he-IL"/>
          </w:rPr>
          <w:t>פקודת הסמים המסוכנים</w:t>
        </w:r>
      </w:hyperlink>
      <w:r>
        <w:rPr>
          <w:rtl/>
          <w:lang w:eastAsia="he-IL"/>
        </w:rPr>
        <w:t xml:space="preserve"> (נוסח חדש), קובעת כי זהו סם מסוכן, זה הדין הנוהג והמחייב. </w:t>
      </w:r>
    </w:p>
    <w:p w14:paraId="7D839598" w14:textId="77777777" w:rsidR="00C32302" w:rsidRDefault="00C32302" w:rsidP="00C32302">
      <w:pPr>
        <w:spacing w:line="360" w:lineRule="auto"/>
        <w:jc w:val="both"/>
        <w:rPr>
          <w:rtl/>
          <w:lang w:eastAsia="he-IL"/>
        </w:rPr>
      </w:pPr>
    </w:p>
    <w:p w14:paraId="3C0EF516" w14:textId="77777777" w:rsidR="00C32302" w:rsidRDefault="00C32302" w:rsidP="00C32302">
      <w:pPr>
        <w:spacing w:line="360" w:lineRule="auto"/>
        <w:jc w:val="both"/>
        <w:rPr>
          <w:rtl/>
          <w:lang w:eastAsia="he-IL"/>
        </w:rPr>
      </w:pPr>
      <w:r>
        <w:rPr>
          <w:rtl/>
          <w:lang w:eastAsia="he-IL"/>
        </w:rPr>
        <w:t>לאור הכמות ולצד זאת ההחזקה שלא לצריכה עצמית יחד עם החזקת שני משקלים דיגיטליים, אני מוצא כי עתירת המאשימה למתחם ראויה.</w:t>
      </w:r>
    </w:p>
    <w:p w14:paraId="24DD130D" w14:textId="77777777" w:rsidR="00C32302" w:rsidRDefault="00C32302" w:rsidP="00C32302">
      <w:pPr>
        <w:spacing w:line="360" w:lineRule="auto"/>
        <w:jc w:val="both"/>
        <w:rPr>
          <w:rtl/>
          <w:lang w:eastAsia="he-IL"/>
        </w:rPr>
      </w:pPr>
    </w:p>
    <w:p w14:paraId="5030AD31" w14:textId="77777777" w:rsidR="00C32302" w:rsidRDefault="00C32302" w:rsidP="00C32302">
      <w:pPr>
        <w:spacing w:line="360" w:lineRule="auto"/>
        <w:jc w:val="both"/>
        <w:rPr>
          <w:rtl/>
          <w:lang w:eastAsia="he-IL"/>
        </w:rPr>
      </w:pPr>
      <w:r>
        <w:rPr>
          <w:rtl/>
          <w:lang w:eastAsia="he-IL"/>
        </w:rPr>
        <w:t>לפיכך, מתחם העונש ההולם לעבירת החזקת הסם המסוכן שלא לצריכה עצמית אשר בוצעה ע"י הנאשם, בנסיבות ביצועה כולל מאסר שתחילתו בארבעה חודשים אשר יכול וירוצו בעבודות שירות עד 12 חודשים.</w:t>
      </w:r>
    </w:p>
    <w:p w14:paraId="767117F9" w14:textId="77777777" w:rsidR="00C32302" w:rsidRDefault="00C32302" w:rsidP="00C32302">
      <w:pPr>
        <w:spacing w:line="360" w:lineRule="auto"/>
        <w:jc w:val="both"/>
        <w:rPr>
          <w:rtl/>
          <w:lang w:eastAsia="he-IL"/>
        </w:rPr>
      </w:pPr>
    </w:p>
    <w:p w14:paraId="6BB1B03A" w14:textId="77777777" w:rsidR="00C32302" w:rsidRDefault="00C32302" w:rsidP="00C32302">
      <w:pPr>
        <w:spacing w:line="360" w:lineRule="auto"/>
        <w:jc w:val="both"/>
        <w:rPr>
          <w:b/>
          <w:bCs/>
          <w:u w:val="single"/>
          <w:rtl/>
          <w:lang w:eastAsia="he-IL"/>
        </w:rPr>
      </w:pPr>
      <w:r>
        <w:rPr>
          <w:b/>
          <w:bCs/>
          <w:u w:val="single"/>
          <w:rtl/>
          <w:lang w:eastAsia="he-IL"/>
        </w:rPr>
        <w:t>הענישה</w:t>
      </w:r>
    </w:p>
    <w:p w14:paraId="1AC29C2E" w14:textId="77777777" w:rsidR="00C32302" w:rsidRDefault="00C32302" w:rsidP="00C32302">
      <w:pPr>
        <w:spacing w:line="360" w:lineRule="auto"/>
        <w:jc w:val="both"/>
        <w:rPr>
          <w:b/>
          <w:bCs/>
          <w:u w:val="single"/>
          <w:rtl/>
          <w:lang w:eastAsia="he-IL"/>
        </w:rPr>
      </w:pPr>
    </w:p>
    <w:p w14:paraId="36EE54F9" w14:textId="77777777" w:rsidR="00C32302" w:rsidRDefault="00C32302" w:rsidP="00C32302">
      <w:pPr>
        <w:spacing w:line="360" w:lineRule="auto"/>
        <w:jc w:val="both"/>
        <w:rPr>
          <w:rFonts w:ascii="David" w:eastAsia="David" w:hAnsi="David"/>
          <w:rtl/>
        </w:rPr>
      </w:pPr>
      <w:r>
        <w:rPr>
          <w:rFonts w:hint="cs"/>
          <w:rtl/>
          <w:lang w:eastAsia="he-IL"/>
        </w:rPr>
        <w:t>9</w:t>
      </w:r>
      <w:r>
        <w:rPr>
          <w:rtl/>
          <w:lang w:eastAsia="he-IL"/>
        </w:rPr>
        <w:t xml:space="preserve">. </w:t>
      </w:r>
      <w:r>
        <w:rPr>
          <w:rtl/>
          <w:lang w:eastAsia="he-IL"/>
        </w:rPr>
        <w:tab/>
        <w:t xml:space="preserve">הנאשם יליד 1997 ולחובתו עבר </w:t>
      </w:r>
      <w:r>
        <w:rPr>
          <w:rFonts w:ascii="David" w:eastAsia="David" w:hAnsi="David"/>
          <w:rtl/>
        </w:rPr>
        <w:t>פלילי בעבירות סמים לרבות עבירות החזקה שלא לצריכה עצמית והפרעה לשוטר במילוי תפקידו, גניבה וסיוע לשוד.</w:t>
      </w:r>
    </w:p>
    <w:p w14:paraId="703E9A23" w14:textId="77777777" w:rsidR="00C32302" w:rsidRDefault="00C32302" w:rsidP="00C32302">
      <w:pPr>
        <w:spacing w:line="360" w:lineRule="auto"/>
        <w:jc w:val="both"/>
        <w:rPr>
          <w:rFonts w:ascii="David" w:eastAsia="David" w:hAnsi="David"/>
          <w:rtl/>
        </w:rPr>
      </w:pPr>
    </w:p>
    <w:p w14:paraId="2CAC2E12" w14:textId="77777777" w:rsidR="00C32302" w:rsidRDefault="00C32302" w:rsidP="00C32302">
      <w:pPr>
        <w:spacing w:line="360" w:lineRule="auto"/>
        <w:jc w:val="both"/>
        <w:rPr>
          <w:rFonts w:ascii="David" w:eastAsia="David" w:hAnsi="David"/>
          <w:rtl/>
        </w:rPr>
      </w:pPr>
      <w:r>
        <w:rPr>
          <w:rFonts w:ascii="David" w:eastAsia="David" w:hAnsi="David"/>
          <w:rtl/>
        </w:rPr>
        <w:t>לחובת הנאשם מאסר מותנה בר הפעלה למשך 8 חודשים בעבירות סמים מסוג פשע, והתחייבות ברת הפעלה בסך 1,500 ₪, גם כן בשל עבירת הסמים.</w:t>
      </w:r>
    </w:p>
    <w:p w14:paraId="64703E08" w14:textId="77777777" w:rsidR="00C32302" w:rsidRDefault="00C32302" w:rsidP="00C32302">
      <w:pPr>
        <w:spacing w:line="360" w:lineRule="auto"/>
        <w:jc w:val="both"/>
        <w:rPr>
          <w:rFonts w:ascii="David" w:eastAsia="David" w:hAnsi="David"/>
          <w:rtl/>
        </w:rPr>
      </w:pPr>
    </w:p>
    <w:p w14:paraId="41089C69" w14:textId="77777777" w:rsidR="00C32302" w:rsidRPr="00C32302" w:rsidRDefault="00C32302" w:rsidP="00C32302">
      <w:pPr>
        <w:spacing w:line="360" w:lineRule="auto"/>
        <w:jc w:val="both"/>
        <w:rPr>
          <w:rFonts w:ascii="Calibri" w:eastAsia="Calibri" w:hAnsi="Calibri"/>
          <w:rtl/>
          <w:lang w:eastAsia="he-IL"/>
        </w:rPr>
      </w:pPr>
      <w:r>
        <w:rPr>
          <w:rtl/>
          <w:lang w:eastAsia="he-IL"/>
        </w:rPr>
        <w:t>נסיבותיו האישיות של הנאשם מפורטות בתסקירים והובאו בתמצית דלעיל.</w:t>
      </w:r>
    </w:p>
    <w:p w14:paraId="02654A61" w14:textId="77777777" w:rsidR="00C32302" w:rsidRPr="00C32302" w:rsidRDefault="00C32302" w:rsidP="00C32302">
      <w:pPr>
        <w:spacing w:line="360" w:lineRule="auto"/>
        <w:jc w:val="both"/>
        <w:rPr>
          <w:rFonts w:ascii="Calibri" w:eastAsia="Calibri" w:hAnsi="Calibri"/>
          <w:rtl/>
          <w:lang w:eastAsia="he-IL"/>
        </w:rPr>
      </w:pPr>
    </w:p>
    <w:p w14:paraId="02E323BD" w14:textId="77777777" w:rsidR="00C32302" w:rsidRDefault="00C32302" w:rsidP="00C32302">
      <w:pPr>
        <w:spacing w:line="360" w:lineRule="auto"/>
        <w:jc w:val="both"/>
        <w:rPr>
          <w:rtl/>
          <w:lang w:eastAsia="he-IL"/>
        </w:rPr>
      </w:pPr>
      <w:r>
        <w:rPr>
          <w:rtl/>
          <w:lang w:eastAsia="he-IL"/>
        </w:rPr>
        <w:t>מהתסקירים עולה כי לנאשם צורך בטיפול בבעיית הסמים, ונעשו כמה נ</w:t>
      </w:r>
      <w:r>
        <w:rPr>
          <w:rFonts w:hint="cs"/>
          <w:rtl/>
          <w:lang w:eastAsia="he-IL"/>
        </w:rPr>
        <w:t>י</w:t>
      </w:r>
      <w:r>
        <w:rPr>
          <w:rtl/>
          <w:lang w:eastAsia="he-IL"/>
        </w:rPr>
        <w:t>סיונות לשלבו בהליכים טיפוליים.</w:t>
      </w:r>
    </w:p>
    <w:p w14:paraId="5EDEBB7D" w14:textId="77777777" w:rsidR="00C32302" w:rsidRDefault="00C32302" w:rsidP="00C32302">
      <w:pPr>
        <w:spacing w:line="360" w:lineRule="auto"/>
        <w:jc w:val="both"/>
        <w:rPr>
          <w:rtl/>
          <w:lang w:eastAsia="he-IL"/>
        </w:rPr>
      </w:pPr>
    </w:p>
    <w:p w14:paraId="21CB933B" w14:textId="77777777" w:rsidR="00C32302" w:rsidRDefault="00C32302" w:rsidP="00C32302">
      <w:pPr>
        <w:spacing w:line="360" w:lineRule="auto"/>
        <w:jc w:val="both"/>
        <w:rPr>
          <w:rtl/>
          <w:lang w:eastAsia="he-IL"/>
        </w:rPr>
      </w:pPr>
      <w:r>
        <w:rPr>
          <w:rtl/>
          <w:lang w:eastAsia="he-IL"/>
        </w:rPr>
        <w:t>למרות שורת הזדמנויות שניתנו לנאשם הוא לא עמד בהן, ולא הצליח להשלים את הטיפולים בקהילות בהן היה.</w:t>
      </w:r>
    </w:p>
    <w:p w14:paraId="19DC150E" w14:textId="77777777" w:rsidR="00C32302" w:rsidRDefault="00C32302" w:rsidP="00C32302">
      <w:pPr>
        <w:spacing w:line="360" w:lineRule="auto"/>
        <w:jc w:val="both"/>
        <w:rPr>
          <w:rtl/>
          <w:lang w:eastAsia="he-IL"/>
        </w:rPr>
      </w:pPr>
    </w:p>
    <w:p w14:paraId="2B206CAA" w14:textId="77777777" w:rsidR="00C32302" w:rsidRDefault="00C32302" w:rsidP="00C32302">
      <w:pPr>
        <w:spacing w:line="360" w:lineRule="auto"/>
        <w:jc w:val="both"/>
        <w:rPr>
          <w:rtl/>
          <w:lang w:eastAsia="he-IL"/>
        </w:rPr>
      </w:pPr>
      <w:r>
        <w:rPr>
          <w:rtl/>
          <w:lang w:eastAsia="he-IL"/>
        </w:rPr>
        <w:t>מאמצים רבים נערכו על ידי שירות המבחן לשלבו בהליכים טיפוליים, ובשלבים מסויימים נראה היה שיש התקדמות, אולם לבסוף הטיפולים לא צלחו.</w:t>
      </w:r>
    </w:p>
    <w:p w14:paraId="15F5808A" w14:textId="77777777" w:rsidR="00C32302" w:rsidRDefault="00C32302" w:rsidP="00C32302">
      <w:pPr>
        <w:spacing w:line="360" w:lineRule="auto"/>
        <w:jc w:val="both"/>
        <w:rPr>
          <w:rtl/>
          <w:lang w:eastAsia="he-IL"/>
        </w:rPr>
      </w:pPr>
    </w:p>
    <w:p w14:paraId="0650EC41" w14:textId="77777777" w:rsidR="00C32302" w:rsidRDefault="00C32302" w:rsidP="00C32302">
      <w:pPr>
        <w:spacing w:line="360" w:lineRule="auto"/>
        <w:jc w:val="both"/>
        <w:rPr>
          <w:rtl/>
          <w:lang w:eastAsia="he-IL"/>
        </w:rPr>
      </w:pPr>
      <w:r>
        <w:rPr>
          <w:rtl/>
          <w:lang w:eastAsia="he-IL"/>
        </w:rPr>
        <w:t>מחד אין מקום למתן משקל לשיקולי השיקום, לאור האמור ולאור העולה מהתסקירים, אך סבורני כי יש להביא במסגרת השיקולים לקולא את הניסיונות, ואת החודשים בהם היה הנאשם במסגרות השונות, שתי אישפוזיות, אשר את השנייה מביניהן הוא סיים בהצלחה, ושתי קהילות, אשר בשתיהן הוא לא צלח את ההליך הטיפולי.</w:t>
      </w:r>
    </w:p>
    <w:p w14:paraId="69841CFA" w14:textId="77777777" w:rsidR="00C32302" w:rsidRDefault="00C32302" w:rsidP="00C32302">
      <w:pPr>
        <w:spacing w:line="360" w:lineRule="auto"/>
        <w:jc w:val="both"/>
        <w:rPr>
          <w:rtl/>
          <w:lang w:eastAsia="he-IL"/>
        </w:rPr>
      </w:pPr>
    </w:p>
    <w:p w14:paraId="0C5898D6" w14:textId="77777777" w:rsidR="00C32302" w:rsidRDefault="00C32302" w:rsidP="00C32302">
      <w:pPr>
        <w:spacing w:line="360" w:lineRule="auto"/>
        <w:jc w:val="both"/>
        <w:rPr>
          <w:rtl/>
          <w:lang w:eastAsia="he-IL"/>
        </w:rPr>
      </w:pPr>
      <w:r>
        <w:rPr>
          <w:rtl/>
          <w:lang w:eastAsia="he-IL"/>
        </w:rPr>
        <w:t xml:space="preserve">אני מוצא כי בשל הקשיים הראייתיים, ומכלול הנסיבות של הנאשם, על הענישה בעבירת ההצתה להיות מעט מתחת לענישה לה עותרת המאשימה. כאמור הצדדים הגיעו להסדר בו המאשימה תטען לענישה של 24 חודשים והנאשם חופשי בטיעוניו. </w:t>
      </w:r>
    </w:p>
    <w:p w14:paraId="3DEC0071" w14:textId="77777777" w:rsidR="00C32302" w:rsidRDefault="00C32302" w:rsidP="00C32302">
      <w:pPr>
        <w:spacing w:line="360" w:lineRule="auto"/>
        <w:jc w:val="both"/>
        <w:rPr>
          <w:rtl/>
          <w:lang w:eastAsia="he-IL"/>
        </w:rPr>
      </w:pPr>
      <w:r>
        <w:rPr>
          <w:rtl/>
          <w:lang w:eastAsia="he-IL"/>
        </w:rPr>
        <w:t>ביחס לענישה בתיק הסמים המצורף, לאור מצבו ונסיבותיו של הנאשם בעת שבצע את העבירה, ולאור קבלת האחריות והניסיונות לבצע הליך טיפולי, על הענישה להיות ברף התחתון של המתחם שנקבע.</w:t>
      </w:r>
    </w:p>
    <w:p w14:paraId="21D9B975" w14:textId="77777777" w:rsidR="00C32302" w:rsidRDefault="00C32302" w:rsidP="00C32302">
      <w:pPr>
        <w:spacing w:line="360" w:lineRule="auto"/>
        <w:jc w:val="both"/>
        <w:rPr>
          <w:rtl/>
          <w:lang w:eastAsia="he-IL"/>
        </w:rPr>
      </w:pPr>
    </w:p>
    <w:p w14:paraId="38AC7F24" w14:textId="77777777" w:rsidR="00C32302" w:rsidRDefault="00C32302" w:rsidP="00C32302">
      <w:pPr>
        <w:spacing w:line="360" w:lineRule="auto"/>
        <w:jc w:val="both"/>
        <w:rPr>
          <w:rtl/>
          <w:lang w:eastAsia="he-IL"/>
        </w:rPr>
      </w:pPr>
      <w:r>
        <w:rPr>
          <w:rtl/>
          <w:lang w:eastAsia="he-IL"/>
        </w:rPr>
        <w:t>על הענישה המוטלת על הנאשם להיות ענישה אחת כוללת. הנאשם צירף את תיק הסמים, ויש להטיל ענישה אשר תכלול את כלל העבירות, גם לאור רצון הנאשם לפתוח דף חדש ולסיים את ההליכים אשר נגדו. הענישה הכוללת לא תהא תוצאת הצטברות העונשים אלא תכלול חפיפה חלקית.</w:t>
      </w:r>
    </w:p>
    <w:p w14:paraId="4C96666A" w14:textId="77777777" w:rsidR="00C32302" w:rsidRDefault="00C32302" w:rsidP="00C32302">
      <w:pPr>
        <w:spacing w:line="360" w:lineRule="auto"/>
        <w:jc w:val="both"/>
        <w:rPr>
          <w:rtl/>
          <w:lang w:eastAsia="he-IL"/>
        </w:rPr>
      </w:pPr>
    </w:p>
    <w:p w14:paraId="40E3BE49" w14:textId="77777777" w:rsidR="00C32302" w:rsidRDefault="00C32302" w:rsidP="00C32302">
      <w:pPr>
        <w:spacing w:line="360" w:lineRule="auto"/>
        <w:jc w:val="both"/>
        <w:rPr>
          <w:rtl/>
          <w:lang w:eastAsia="he-IL"/>
        </w:rPr>
      </w:pPr>
      <w:r>
        <w:rPr>
          <w:rtl/>
          <w:lang w:eastAsia="he-IL"/>
        </w:rPr>
        <w:t>הגם שההליך השיקומי לא צלח, אין למצות את הדין עם הנאשם, ויש ליתן משקל לגילו הצעיר ולנסיונות החוזרים ונשנים שלו לצאת מהמעגל אליו נכנס, ולאפשר לו התחלה חדשה לאחר מאסרו.</w:t>
      </w:r>
    </w:p>
    <w:p w14:paraId="7C07BED2" w14:textId="77777777" w:rsidR="00C32302" w:rsidRDefault="00C32302" w:rsidP="00C32302">
      <w:pPr>
        <w:spacing w:line="360" w:lineRule="auto"/>
        <w:jc w:val="both"/>
        <w:rPr>
          <w:rtl/>
          <w:lang w:eastAsia="he-IL"/>
        </w:rPr>
      </w:pPr>
      <w:r>
        <w:rPr>
          <w:rtl/>
          <w:lang w:eastAsia="he-IL"/>
        </w:rPr>
        <w:t xml:space="preserve"> </w:t>
      </w:r>
    </w:p>
    <w:p w14:paraId="5030895B" w14:textId="77777777" w:rsidR="00C32302" w:rsidRDefault="00C32302" w:rsidP="00C32302">
      <w:pPr>
        <w:spacing w:line="360" w:lineRule="auto"/>
        <w:jc w:val="both"/>
        <w:rPr>
          <w:rtl/>
          <w:lang w:eastAsia="he-IL"/>
        </w:rPr>
      </w:pPr>
      <w:r>
        <w:rPr>
          <w:rtl/>
          <w:lang w:eastAsia="he-IL"/>
        </w:rPr>
        <w:t>ביחס למאסר המותנה, לאור קבלת האחריות, ומכלול הנסיבות והשיקולים דלעיל, הוא יופעל כך שמחציתו במצטבר ומחציתו בחופף למאסר אשר יוטל.</w:t>
      </w:r>
    </w:p>
    <w:p w14:paraId="711246B1" w14:textId="77777777" w:rsidR="00C32302" w:rsidRDefault="00C32302" w:rsidP="00C32302">
      <w:pPr>
        <w:spacing w:line="360" w:lineRule="auto"/>
        <w:jc w:val="both"/>
        <w:rPr>
          <w:rtl/>
          <w:lang w:eastAsia="he-IL"/>
        </w:rPr>
      </w:pPr>
    </w:p>
    <w:p w14:paraId="652EDDF3" w14:textId="77777777" w:rsidR="00C32302" w:rsidRDefault="00C32302" w:rsidP="00C32302">
      <w:pPr>
        <w:spacing w:line="360" w:lineRule="auto"/>
        <w:jc w:val="both"/>
        <w:rPr>
          <w:rtl/>
          <w:lang w:eastAsia="he-IL"/>
        </w:rPr>
      </w:pPr>
      <w:r>
        <w:rPr>
          <w:rtl/>
          <w:lang w:eastAsia="he-IL"/>
        </w:rPr>
        <w:t>ביחס לפיצוי, לא הוגשה כל ראיה ממנה ניתן ללמוד במדוייק על גובה הנזקים שנגרמו. ואולם מדובר בשריפה בה הוצת משרד תחנת מוניות ויש להניח כי הנזק היה משמעותי.</w:t>
      </w:r>
    </w:p>
    <w:p w14:paraId="5205919C" w14:textId="77777777" w:rsidR="00C32302" w:rsidRDefault="00C32302" w:rsidP="00C32302">
      <w:pPr>
        <w:spacing w:line="360" w:lineRule="auto"/>
        <w:jc w:val="both"/>
        <w:rPr>
          <w:rtl/>
          <w:lang w:eastAsia="he-IL"/>
        </w:rPr>
      </w:pPr>
    </w:p>
    <w:p w14:paraId="3AB001D0" w14:textId="77777777" w:rsidR="00C32302" w:rsidRDefault="00C32302" w:rsidP="00C32302">
      <w:pPr>
        <w:spacing w:line="360" w:lineRule="auto"/>
        <w:jc w:val="both"/>
        <w:rPr>
          <w:rtl/>
          <w:lang w:eastAsia="he-IL"/>
        </w:rPr>
      </w:pPr>
      <w:r>
        <w:rPr>
          <w:rtl/>
          <w:lang w:eastAsia="he-IL"/>
        </w:rPr>
        <w:t>1</w:t>
      </w:r>
      <w:r>
        <w:rPr>
          <w:rFonts w:hint="cs"/>
          <w:rtl/>
          <w:lang w:eastAsia="he-IL"/>
        </w:rPr>
        <w:t>0</w:t>
      </w:r>
      <w:r>
        <w:rPr>
          <w:rtl/>
          <w:lang w:eastAsia="he-IL"/>
        </w:rPr>
        <w:t xml:space="preserve">.       </w:t>
      </w:r>
      <w:r>
        <w:rPr>
          <w:b/>
          <w:bCs/>
          <w:rtl/>
          <w:lang w:eastAsia="he-IL"/>
        </w:rPr>
        <w:t xml:space="preserve">לאור כל האמור, אני גוזר על הנאשם את העונשים הבאים: </w:t>
      </w:r>
      <w:r>
        <w:rPr>
          <w:rtl/>
          <w:lang w:eastAsia="he-IL"/>
        </w:rPr>
        <w:t xml:space="preserve"> </w:t>
      </w:r>
    </w:p>
    <w:p w14:paraId="0D4250DF" w14:textId="77777777" w:rsidR="00C32302" w:rsidRDefault="00C32302" w:rsidP="00C32302">
      <w:pPr>
        <w:spacing w:line="360" w:lineRule="auto"/>
        <w:jc w:val="both"/>
        <w:rPr>
          <w:rtl/>
          <w:lang w:eastAsia="he-IL"/>
        </w:rPr>
      </w:pPr>
    </w:p>
    <w:p w14:paraId="4425395A" w14:textId="77777777" w:rsidR="00C32302" w:rsidRDefault="00C32302" w:rsidP="00C32302">
      <w:pPr>
        <w:spacing w:line="360" w:lineRule="auto"/>
        <w:jc w:val="both"/>
        <w:rPr>
          <w:rFonts w:ascii="David" w:eastAsia="David" w:hAnsi="David"/>
          <w:b/>
          <w:bCs/>
          <w:rtl/>
        </w:rPr>
      </w:pPr>
      <w:r>
        <w:rPr>
          <w:rFonts w:ascii="David" w:eastAsia="David" w:hAnsi="David"/>
          <w:b/>
          <w:bCs/>
          <w:rtl/>
        </w:rPr>
        <w:t xml:space="preserve">מאסר - </w:t>
      </w:r>
      <w:r>
        <w:rPr>
          <w:rFonts w:ascii="David" w:eastAsia="David" w:hAnsi="David"/>
          <w:rtl/>
        </w:rPr>
        <w:t>מאסר בפועל לתקופה של 20 חודשים. מתקופת מאסרו ינוכו ימי מעצרו בשני התיקים לפי רישומי שב"ס.</w:t>
      </w:r>
    </w:p>
    <w:p w14:paraId="63161054" w14:textId="77777777" w:rsidR="00C32302" w:rsidRDefault="00C32302" w:rsidP="00C32302">
      <w:pPr>
        <w:spacing w:line="360" w:lineRule="auto"/>
        <w:jc w:val="both"/>
        <w:rPr>
          <w:rFonts w:ascii="David" w:eastAsia="David" w:hAnsi="David"/>
          <w:b/>
          <w:bCs/>
          <w:rtl/>
        </w:rPr>
      </w:pPr>
    </w:p>
    <w:p w14:paraId="607D502A" w14:textId="77777777" w:rsidR="00C32302" w:rsidRDefault="00C32302" w:rsidP="00C32302">
      <w:pPr>
        <w:spacing w:line="360" w:lineRule="auto"/>
        <w:jc w:val="both"/>
        <w:rPr>
          <w:rFonts w:ascii="David" w:eastAsia="David" w:hAnsi="David"/>
          <w:rtl/>
        </w:rPr>
      </w:pPr>
      <w:r>
        <w:rPr>
          <w:rFonts w:ascii="David" w:eastAsia="David" w:hAnsi="David"/>
          <w:b/>
          <w:bCs/>
          <w:u w:val="single"/>
          <w:rtl/>
        </w:rPr>
        <w:t>הפעלת מאסר על תנאי</w:t>
      </w:r>
      <w:r>
        <w:rPr>
          <w:rFonts w:ascii="David" w:eastAsia="David" w:hAnsi="David"/>
          <w:b/>
          <w:bCs/>
          <w:rtl/>
        </w:rPr>
        <w:t xml:space="preserve"> – </w:t>
      </w:r>
      <w:r>
        <w:rPr>
          <w:rFonts w:ascii="David" w:eastAsia="David" w:hAnsi="David"/>
          <w:rtl/>
        </w:rPr>
        <w:t>מפעיל בזאת מאסר על תנאי שהוטל על הנאשם ביום 29.9.2020 ב</w:t>
      </w:r>
      <w:hyperlink r:id="rId32" w:history="1">
        <w:r w:rsidR="00937A5F" w:rsidRPr="00937A5F">
          <w:rPr>
            <w:rFonts w:ascii="David" w:eastAsia="David" w:hAnsi="David"/>
            <w:color w:val="0000FF"/>
            <w:u w:val="single"/>
            <w:rtl/>
          </w:rPr>
          <w:t>ת.פ. 32803-06-20</w:t>
        </w:r>
      </w:hyperlink>
      <w:r>
        <w:rPr>
          <w:rFonts w:ascii="David" w:eastAsia="David" w:hAnsi="David"/>
          <w:rtl/>
        </w:rPr>
        <w:t>, 11607-12-19, 33380-01-20 ביהמ"ש השלום באשקלון, בן 8 חודשים, כך שמחציתו בחופף ומחציתו במצטבר למאסר בפועל דלעיל.</w:t>
      </w:r>
    </w:p>
    <w:p w14:paraId="42793971" w14:textId="77777777" w:rsidR="00C32302" w:rsidRDefault="00C32302" w:rsidP="00C32302">
      <w:pPr>
        <w:spacing w:line="360" w:lineRule="auto"/>
        <w:jc w:val="both"/>
        <w:rPr>
          <w:rFonts w:ascii="David" w:eastAsia="David" w:hAnsi="David"/>
          <w:rtl/>
        </w:rPr>
      </w:pPr>
    </w:p>
    <w:p w14:paraId="3F9D8A41" w14:textId="77777777" w:rsidR="00C32302" w:rsidRDefault="00C32302" w:rsidP="00C32302">
      <w:pPr>
        <w:spacing w:line="360" w:lineRule="auto"/>
        <w:jc w:val="both"/>
        <w:rPr>
          <w:rFonts w:ascii="David" w:eastAsia="David" w:hAnsi="David"/>
          <w:b/>
          <w:bCs/>
          <w:u w:val="single"/>
          <w:rtl/>
        </w:rPr>
      </w:pPr>
      <w:r>
        <w:rPr>
          <w:rFonts w:ascii="David" w:eastAsia="David" w:hAnsi="David"/>
          <w:b/>
          <w:bCs/>
          <w:u w:val="single"/>
          <w:rtl/>
        </w:rPr>
        <w:t>סה"כ ירצה הנאשם מאסר בפועל למשך 24 חודשים, בניכוי ימי מעצרו.</w:t>
      </w:r>
    </w:p>
    <w:p w14:paraId="19CDB02A" w14:textId="77777777" w:rsidR="00C32302" w:rsidRDefault="00C32302" w:rsidP="00C32302">
      <w:pPr>
        <w:spacing w:line="360" w:lineRule="auto"/>
        <w:jc w:val="both"/>
        <w:rPr>
          <w:rFonts w:ascii="David" w:eastAsia="David" w:hAnsi="David"/>
          <w:b/>
          <w:bCs/>
          <w:u w:val="single"/>
          <w:rtl/>
        </w:rPr>
      </w:pPr>
    </w:p>
    <w:p w14:paraId="02EBF8DA" w14:textId="77777777" w:rsidR="00C32302" w:rsidRDefault="00C32302" w:rsidP="00C32302">
      <w:pPr>
        <w:spacing w:line="360" w:lineRule="auto"/>
        <w:jc w:val="both"/>
        <w:rPr>
          <w:rFonts w:ascii="David" w:eastAsia="David" w:hAnsi="David"/>
          <w:rtl/>
        </w:rPr>
      </w:pPr>
      <w:r>
        <w:rPr>
          <w:rFonts w:ascii="David" w:eastAsia="David" w:hAnsi="David"/>
          <w:b/>
          <w:bCs/>
          <w:u w:val="single"/>
          <w:rtl/>
        </w:rPr>
        <w:t xml:space="preserve">הפעלת התחייבות </w:t>
      </w:r>
      <w:r>
        <w:rPr>
          <w:rFonts w:ascii="David" w:eastAsia="David" w:hAnsi="David"/>
          <w:b/>
          <w:bCs/>
          <w:rtl/>
        </w:rPr>
        <w:t xml:space="preserve"> – </w:t>
      </w:r>
      <w:r>
        <w:rPr>
          <w:rFonts w:ascii="David" w:eastAsia="David" w:hAnsi="David"/>
          <w:rtl/>
        </w:rPr>
        <w:t>מפעיל בזאת התחייבות שניתנה על ידי הנאשם ביום 29.9.2020 ב</w:t>
      </w:r>
      <w:hyperlink r:id="rId33" w:history="1">
        <w:r w:rsidR="00937A5F" w:rsidRPr="00937A5F">
          <w:rPr>
            <w:rFonts w:ascii="David" w:eastAsia="David" w:hAnsi="David"/>
            <w:color w:val="0000FF"/>
            <w:u w:val="single"/>
            <w:rtl/>
          </w:rPr>
          <w:t>ת.פ. 32803-06-20</w:t>
        </w:r>
      </w:hyperlink>
      <w:r>
        <w:rPr>
          <w:rFonts w:ascii="David" w:eastAsia="David" w:hAnsi="David"/>
          <w:rtl/>
        </w:rPr>
        <w:t>, 11607-12-19, 33380-01-20 ביהמ"ש השלום באשקלון, בסך 1,500 ₪. סכום ההתחייבות ישולם בעשרה תשלומים חדשיים שווים ורצופים, הראשון בתוך 60 יום מהיום.</w:t>
      </w:r>
    </w:p>
    <w:p w14:paraId="31B68283" w14:textId="77777777" w:rsidR="00C32302" w:rsidRDefault="00C32302" w:rsidP="00C32302">
      <w:pPr>
        <w:spacing w:line="360" w:lineRule="auto"/>
        <w:jc w:val="both"/>
        <w:rPr>
          <w:rFonts w:ascii="David" w:eastAsia="David" w:hAnsi="David"/>
          <w:rtl/>
        </w:rPr>
      </w:pPr>
    </w:p>
    <w:p w14:paraId="41B9A1BA" w14:textId="77777777" w:rsidR="00C32302" w:rsidRDefault="00C32302" w:rsidP="00C32302">
      <w:pPr>
        <w:spacing w:line="360" w:lineRule="auto"/>
        <w:jc w:val="both"/>
        <w:rPr>
          <w:rFonts w:ascii="David" w:eastAsia="David" w:hAnsi="David"/>
          <w:rtl/>
        </w:rPr>
      </w:pPr>
      <w:r>
        <w:rPr>
          <w:rFonts w:ascii="David" w:eastAsia="David" w:hAnsi="David"/>
          <w:b/>
          <w:bCs/>
          <w:rtl/>
        </w:rPr>
        <w:t xml:space="preserve">מאסר על תנאי - </w:t>
      </w:r>
      <w:r>
        <w:rPr>
          <w:rFonts w:ascii="David" w:eastAsia="David" w:hAnsi="David"/>
          <w:rtl/>
        </w:rPr>
        <w:t xml:space="preserve">מאסר על תנאי לתקופה של 9 חודשים. הנאשם ישא בעונש זה אם בתקופה של שלוש שנים מיום שחרורו יעבור על עבירה נוספת לפיה הורשע. </w:t>
      </w:r>
    </w:p>
    <w:p w14:paraId="097E27A7" w14:textId="77777777" w:rsidR="00C32302" w:rsidRDefault="00C32302" w:rsidP="00C32302">
      <w:pPr>
        <w:spacing w:line="360" w:lineRule="auto"/>
        <w:jc w:val="both"/>
        <w:rPr>
          <w:rFonts w:ascii="David" w:eastAsia="David" w:hAnsi="David"/>
          <w:rtl/>
        </w:rPr>
      </w:pPr>
    </w:p>
    <w:p w14:paraId="47C3E54B" w14:textId="77777777" w:rsidR="00C32302" w:rsidRDefault="00C32302" w:rsidP="00C32302">
      <w:pPr>
        <w:spacing w:line="360" w:lineRule="auto"/>
        <w:jc w:val="both"/>
        <w:rPr>
          <w:rFonts w:ascii="David" w:eastAsia="David" w:hAnsi="David"/>
          <w:rtl/>
        </w:rPr>
      </w:pPr>
      <w:r>
        <w:rPr>
          <w:rFonts w:ascii="David" w:eastAsia="David" w:hAnsi="David"/>
          <w:b/>
          <w:bCs/>
          <w:rtl/>
        </w:rPr>
        <w:t xml:space="preserve">פיצוי – </w:t>
      </w:r>
      <w:r>
        <w:rPr>
          <w:rFonts w:ascii="David" w:eastAsia="David" w:hAnsi="David"/>
          <w:rtl/>
        </w:rPr>
        <w:t>הנאשם ישלם למתלונן ע.ת. 16</w:t>
      </w:r>
      <w:r>
        <w:rPr>
          <w:rFonts w:ascii="David" w:eastAsia="David" w:hAnsi="David"/>
        </w:rPr>
        <w:t xml:space="preserve"> </w:t>
      </w:r>
      <w:r>
        <w:rPr>
          <w:rFonts w:ascii="David" w:eastAsia="David" w:hAnsi="David"/>
          <w:rtl/>
        </w:rPr>
        <w:t xml:space="preserve">פיצוי בסך 10,000 ₪, הפיצוי ישולם ב – 10 תשלומים חודשיים שווים ורצופים, התשלום הראשון ישולם בתוך 60 יום מהיום ויתר התשלומים מידי 30 יום לאחר מכן. התשלום יבוצע לקופת בית המשפט ממנה יועבר למתלונן. יש למסור במזכירות את הפרטים להעברת התשלום. </w:t>
      </w:r>
    </w:p>
    <w:p w14:paraId="41404DDB" w14:textId="77777777" w:rsidR="00C32302" w:rsidRDefault="00C32302" w:rsidP="00C32302">
      <w:pPr>
        <w:spacing w:line="360" w:lineRule="auto"/>
        <w:jc w:val="both"/>
        <w:rPr>
          <w:rFonts w:ascii="David" w:eastAsia="David" w:hAnsi="David"/>
          <w:rtl/>
        </w:rPr>
      </w:pPr>
    </w:p>
    <w:p w14:paraId="5AF79BB4" w14:textId="77777777" w:rsidR="00C32302" w:rsidRPr="00C32302" w:rsidRDefault="00C32302" w:rsidP="00C32302">
      <w:pPr>
        <w:spacing w:line="360" w:lineRule="auto"/>
        <w:jc w:val="both"/>
        <w:rPr>
          <w:rFonts w:ascii="David" w:eastAsia="Calibri" w:hAnsi="David"/>
          <w:rtl/>
        </w:rPr>
      </w:pPr>
      <w:r>
        <w:rPr>
          <w:rFonts w:ascii="David" w:hAnsi="David"/>
          <w:b/>
          <w:bCs/>
          <w:rtl/>
        </w:rPr>
        <w:t>המלצת שירות המבחן – לידיעת שב"ס -</w:t>
      </w:r>
      <w:r>
        <w:rPr>
          <w:rFonts w:ascii="David" w:hAnsi="David"/>
          <w:rtl/>
        </w:rPr>
        <w:t xml:space="preserve"> תשומת לב הגורמים הרלוונטיים בשב"ס להמלצת שירות המבחן לפיה מומלץ לבחון התאמתו של הנאשם לטיפול בתחום ההתמכרויות ולבחינת התאמתו לטיפול במתקן הכליאה חרמון.</w:t>
      </w:r>
    </w:p>
    <w:p w14:paraId="681D3DBA" w14:textId="77777777" w:rsidR="00C32302" w:rsidRPr="00C32302" w:rsidRDefault="00C32302" w:rsidP="00C32302">
      <w:pPr>
        <w:spacing w:line="360" w:lineRule="auto"/>
        <w:jc w:val="both"/>
        <w:rPr>
          <w:rFonts w:ascii="David" w:eastAsia="Calibri" w:hAnsi="David"/>
          <w:rtl/>
        </w:rPr>
      </w:pPr>
    </w:p>
    <w:p w14:paraId="44D5F3A5" w14:textId="77777777" w:rsidR="00C32302" w:rsidRPr="00C32302" w:rsidRDefault="00937A5F" w:rsidP="00C32302">
      <w:pPr>
        <w:spacing w:line="360" w:lineRule="auto"/>
        <w:jc w:val="both"/>
        <w:rPr>
          <w:rFonts w:ascii="Calibri" w:hAnsi="Calibri"/>
          <w:b/>
          <w:bCs/>
          <w:rtl/>
          <w:lang w:eastAsia="he-IL"/>
        </w:rPr>
      </w:pPr>
      <w:r w:rsidRPr="00937A5F">
        <w:rPr>
          <w:b/>
          <w:bCs/>
          <w:color w:val="FFFFFF"/>
          <w:sz w:val="2"/>
          <w:szCs w:val="2"/>
          <w:rtl/>
          <w:lang w:eastAsia="he-IL"/>
        </w:rPr>
        <w:t>5129371</w:t>
      </w:r>
      <w:r w:rsidR="00C32302">
        <w:rPr>
          <w:b/>
          <w:bCs/>
          <w:rtl/>
          <w:lang w:eastAsia="he-IL"/>
        </w:rPr>
        <w:t>זכות ערעור בתוך 45 יום מהיום.</w:t>
      </w:r>
    </w:p>
    <w:p w14:paraId="5EF0CA12" w14:textId="77777777" w:rsidR="00C32302" w:rsidRPr="00937A5F" w:rsidRDefault="00937A5F" w:rsidP="00C32302">
      <w:pPr>
        <w:rPr>
          <w:rFonts w:ascii="Arial" w:hAnsi="Arial"/>
          <w:b/>
          <w:bCs/>
          <w:color w:val="FFFFFF"/>
          <w:sz w:val="2"/>
          <w:szCs w:val="2"/>
          <w:rtl/>
        </w:rPr>
      </w:pPr>
      <w:r w:rsidRPr="00937A5F">
        <w:rPr>
          <w:rFonts w:ascii="Arial" w:hAnsi="Arial"/>
          <w:b/>
          <w:bCs/>
          <w:color w:val="FFFFFF"/>
          <w:sz w:val="2"/>
          <w:szCs w:val="2"/>
          <w:rtl/>
        </w:rPr>
        <w:t>54678313</w:t>
      </w:r>
    </w:p>
    <w:p w14:paraId="5684F92B" w14:textId="77777777" w:rsidR="00C32302" w:rsidRPr="000F2247" w:rsidRDefault="00C32302" w:rsidP="00C32302">
      <w:pPr>
        <w:rPr>
          <w:rFonts w:ascii="Arial" w:hAnsi="Arial"/>
          <w:b/>
          <w:bCs/>
          <w:sz w:val="26"/>
          <w:szCs w:val="26"/>
          <w:rtl/>
        </w:rPr>
      </w:pPr>
    </w:p>
    <w:p w14:paraId="4657BE4A" w14:textId="77777777" w:rsidR="00C32302" w:rsidRPr="000F2247" w:rsidRDefault="00937A5F" w:rsidP="00C3230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אב תשפ"ג, 20 יולי 2023, במעמד הצדדים. </w:t>
      </w:r>
      <w:bookmarkEnd w:id="8"/>
      <w:r w:rsidR="00C32302">
        <w:rPr>
          <w:rFonts w:ascii="Arial" w:hAnsi="Arial"/>
          <w:b/>
          <w:bCs/>
          <w:sz w:val="26"/>
          <w:szCs w:val="26"/>
          <w:rtl/>
        </w:rPr>
        <w:tab/>
      </w:r>
      <w:r w:rsidR="00C32302">
        <w:rPr>
          <w:rFonts w:ascii="Arial" w:hAnsi="Arial"/>
          <w:b/>
          <w:bCs/>
          <w:sz w:val="26"/>
          <w:szCs w:val="26"/>
          <w:rtl/>
        </w:rPr>
        <w:tab/>
      </w:r>
      <w:r w:rsidR="00C32302">
        <w:rPr>
          <w:rFonts w:ascii="Arial" w:hAnsi="Arial"/>
          <w:b/>
          <w:bCs/>
          <w:sz w:val="26"/>
          <w:szCs w:val="26"/>
          <w:rtl/>
        </w:rPr>
        <w:tab/>
      </w:r>
      <w:r w:rsidR="00C32302">
        <w:rPr>
          <w:rFonts w:ascii="Arial" w:hAnsi="Arial"/>
          <w:b/>
          <w:bCs/>
          <w:sz w:val="26"/>
          <w:szCs w:val="26"/>
          <w:rtl/>
        </w:rPr>
        <w:tab/>
      </w:r>
      <w:r w:rsidR="00C32302">
        <w:rPr>
          <w:rFonts w:ascii="Arial" w:hAnsi="Arial"/>
          <w:b/>
          <w:bCs/>
          <w:sz w:val="26"/>
          <w:szCs w:val="26"/>
          <w:rtl/>
        </w:rPr>
        <w:tab/>
      </w:r>
      <w:r w:rsidR="00C32302">
        <w:rPr>
          <w:rFonts w:ascii="Arial" w:hAnsi="Arial"/>
          <w:b/>
          <w:bCs/>
          <w:sz w:val="26"/>
          <w:szCs w:val="26"/>
          <w:rtl/>
        </w:rPr>
        <w:tab/>
      </w:r>
      <w:r w:rsidR="00C32302">
        <w:rPr>
          <w:rFonts w:ascii="Arial" w:hAnsi="Arial"/>
          <w:b/>
          <w:bCs/>
          <w:sz w:val="26"/>
          <w:szCs w:val="26"/>
          <w:rtl/>
        </w:rPr>
        <w:tab/>
      </w:r>
      <w:r w:rsidR="00C32302">
        <w:rPr>
          <w:rFonts w:ascii="Arial" w:hAnsi="Arial" w:hint="cs"/>
          <w:b/>
          <w:bCs/>
          <w:sz w:val="26"/>
          <w:szCs w:val="26"/>
          <w:rtl/>
        </w:rPr>
        <w:t xml:space="preserve">         </w:t>
      </w:r>
    </w:p>
    <w:p w14:paraId="2F2BE44A" w14:textId="77777777" w:rsidR="00C32302" w:rsidRPr="000F2247" w:rsidRDefault="00C32302" w:rsidP="00937A5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E1C8B1" w14:textId="77777777" w:rsidR="00C32302" w:rsidRPr="000F2247" w:rsidRDefault="00C32302" w:rsidP="00C32302">
      <w:pPr>
        <w:jc w:val="center"/>
        <w:rPr>
          <w:rFonts w:ascii="Arial" w:hAnsi="Arial"/>
          <w:b/>
          <w:bCs/>
          <w:sz w:val="26"/>
          <w:szCs w:val="26"/>
          <w:rtl/>
        </w:rPr>
      </w:pPr>
    </w:p>
    <w:p w14:paraId="0DDD1807" w14:textId="77777777" w:rsidR="00C44310" w:rsidRPr="00937A5F" w:rsidRDefault="00C44310" w:rsidP="00937A5F">
      <w:pPr>
        <w:keepNext/>
        <w:rPr>
          <w:rFonts w:ascii="David" w:hAnsi="David"/>
          <w:color w:val="000000"/>
          <w:sz w:val="22"/>
          <w:szCs w:val="22"/>
          <w:rtl/>
        </w:rPr>
      </w:pPr>
    </w:p>
    <w:p w14:paraId="75EF8354" w14:textId="77777777" w:rsidR="00937A5F" w:rsidRPr="00937A5F" w:rsidRDefault="00937A5F" w:rsidP="00937A5F">
      <w:pPr>
        <w:keepNext/>
        <w:rPr>
          <w:rFonts w:ascii="David" w:hAnsi="David"/>
          <w:color w:val="000000"/>
          <w:sz w:val="22"/>
          <w:szCs w:val="22"/>
          <w:rtl/>
        </w:rPr>
      </w:pPr>
      <w:r w:rsidRPr="00937A5F">
        <w:rPr>
          <w:rFonts w:ascii="David" w:hAnsi="David"/>
          <w:color w:val="000000"/>
          <w:sz w:val="22"/>
          <w:szCs w:val="22"/>
          <w:rtl/>
        </w:rPr>
        <w:t>יואל עדן 54678313</w:t>
      </w:r>
    </w:p>
    <w:p w14:paraId="008E35F7" w14:textId="77777777" w:rsidR="00937A5F" w:rsidRDefault="00937A5F" w:rsidP="00937A5F">
      <w:r w:rsidRPr="00937A5F">
        <w:rPr>
          <w:color w:val="000000"/>
          <w:rtl/>
        </w:rPr>
        <w:t>נוסח מסמך זה כפוף לשינויי ניסוח ועריכה</w:t>
      </w:r>
    </w:p>
    <w:p w14:paraId="6AB8EF5D" w14:textId="77777777" w:rsidR="00937A5F" w:rsidRDefault="00937A5F" w:rsidP="00937A5F">
      <w:pPr>
        <w:rPr>
          <w:rtl/>
        </w:rPr>
      </w:pPr>
    </w:p>
    <w:p w14:paraId="53C3AA30" w14:textId="77777777" w:rsidR="00937A5F" w:rsidRDefault="00937A5F" w:rsidP="00937A5F">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464CBDB" w14:textId="77777777" w:rsidR="00937A5F" w:rsidRPr="00937A5F" w:rsidRDefault="00937A5F" w:rsidP="00937A5F">
      <w:pPr>
        <w:jc w:val="center"/>
        <w:rPr>
          <w:color w:val="0000FF"/>
          <w:u w:val="single"/>
        </w:rPr>
      </w:pPr>
    </w:p>
    <w:sectPr w:rsidR="00937A5F" w:rsidRPr="00937A5F" w:rsidSect="00937A5F">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621A7" w14:textId="77777777" w:rsidR="007654AF" w:rsidRDefault="007654AF" w:rsidP="00D7290C">
      <w:r>
        <w:separator/>
      </w:r>
    </w:p>
  </w:endnote>
  <w:endnote w:type="continuationSeparator" w:id="0">
    <w:p w14:paraId="073A3DBC" w14:textId="77777777" w:rsidR="007654AF" w:rsidRDefault="007654AF" w:rsidP="00D7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02A92" w14:textId="77777777" w:rsidR="00937A5F" w:rsidRDefault="00937A5F" w:rsidP="00937A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BDFD1A" w14:textId="77777777" w:rsidR="00D052E2" w:rsidRPr="00937A5F" w:rsidRDefault="00937A5F" w:rsidP="00937A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47434" w14:textId="77777777" w:rsidR="00937A5F" w:rsidRDefault="00937A5F" w:rsidP="00937A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087D">
      <w:rPr>
        <w:rFonts w:ascii="FrankRuehl" w:hAnsi="FrankRuehl" w:cs="FrankRuehl"/>
        <w:noProof/>
        <w:rtl/>
      </w:rPr>
      <w:t>1</w:t>
    </w:r>
    <w:r>
      <w:rPr>
        <w:rFonts w:ascii="FrankRuehl" w:hAnsi="FrankRuehl" w:cs="FrankRuehl"/>
        <w:rtl/>
      </w:rPr>
      <w:fldChar w:fldCharType="end"/>
    </w:r>
  </w:p>
  <w:p w14:paraId="1ECAE49B" w14:textId="77777777" w:rsidR="00D052E2" w:rsidRPr="00937A5F" w:rsidRDefault="00937A5F" w:rsidP="00937A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413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648B3" w14:textId="77777777" w:rsidR="007654AF" w:rsidRDefault="007654AF" w:rsidP="00D7290C">
      <w:r>
        <w:separator/>
      </w:r>
    </w:p>
  </w:footnote>
  <w:footnote w:type="continuationSeparator" w:id="0">
    <w:p w14:paraId="4BAD3A65" w14:textId="77777777" w:rsidR="007654AF" w:rsidRDefault="007654AF" w:rsidP="00D72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DA0B0" w14:textId="77777777" w:rsidR="00937A5F" w:rsidRPr="00937A5F" w:rsidRDefault="00937A5F" w:rsidP="00937A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7874-11-21</w:t>
    </w:r>
    <w:r>
      <w:rPr>
        <w:rFonts w:ascii="David" w:hAnsi="David"/>
        <w:color w:val="000000"/>
        <w:sz w:val="22"/>
        <w:szCs w:val="22"/>
        <w:rtl/>
      </w:rPr>
      <w:tab/>
      <w:t xml:space="preserve"> מדינת ישראל נ' רפאל דומבייב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8FF2B" w14:textId="77777777" w:rsidR="00937A5F" w:rsidRPr="00937A5F" w:rsidRDefault="00937A5F" w:rsidP="00937A5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7874-11-21</w:t>
    </w:r>
    <w:r>
      <w:rPr>
        <w:rFonts w:ascii="David" w:hAnsi="David"/>
        <w:color w:val="000000"/>
        <w:sz w:val="22"/>
        <w:szCs w:val="22"/>
        <w:rtl/>
      </w:rPr>
      <w:tab/>
      <w:t xml:space="preserve"> מדינת ישראל נ' רפאל דומבייב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2302"/>
    <w:rsid w:val="00062DFD"/>
    <w:rsid w:val="001B5A3B"/>
    <w:rsid w:val="006029D1"/>
    <w:rsid w:val="0061377E"/>
    <w:rsid w:val="0075087D"/>
    <w:rsid w:val="007654AF"/>
    <w:rsid w:val="007760B2"/>
    <w:rsid w:val="00937A5F"/>
    <w:rsid w:val="00C32302"/>
    <w:rsid w:val="00C44310"/>
    <w:rsid w:val="00D052E2"/>
    <w:rsid w:val="00D10356"/>
    <w:rsid w:val="00D2737F"/>
    <w:rsid w:val="00D7290C"/>
    <w:rsid w:val="00E13A07"/>
    <w:rsid w:val="00E72BA9"/>
    <w:rsid w:val="00EC3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D52EB0"/>
  <w15:chartTrackingRefBased/>
  <w15:docId w15:val="{B6C17C22-16FC-49E9-A0EA-26F31DAC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23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2302"/>
    <w:pPr>
      <w:tabs>
        <w:tab w:val="center" w:pos="4153"/>
        <w:tab w:val="right" w:pos="8306"/>
      </w:tabs>
    </w:pPr>
  </w:style>
  <w:style w:type="character" w:customStyle="1" w:styleId="a4">
    <w:name w:val="כותרת עליונה תו"/>
    <w:link w:val="a3"/>
    <w:rsid w:val="00C32302"/>
    <w:rPr>
      <w:rFonts w:ascii="Times New Roman" w:eastAsia="Times New Roman" w:hAnsi="Times New Roman" w:cs="David"/>
      <w:sz w:val="24"/>
      <w:szCs w:val="24"/>
    </w:rPr>
  </w:style>
  <w:style w:type="paragraph" w:styleId="a5">
    <w:name w:val="footer"/>
    <w:basedOn w:val="a"/>
    <w:link w:val="a6"/>
    <w:rsid w:val="00C32302"/>
    <w:pPr>
      <w:tabs>
        <w:tab w:val="center" w:pos="4153"/>
        <w:tab w:val="right" w:pos="8306"/>
      </w:tabs>
    </w:pPr>
  </w:style>
  <w:style w:type="character" w:customStyle="1" w:styleId="a6">
    <w:name w:val="כותרת תחתונה תו"/>
    <w:link w:val="a5"/>
    <w:rsid w:val="00C32302"/>
    <w:rPr>
      <w:rFonts w:ascii="Times New Roman" w:eastAsia="Times New Roman" w:hAnsi="Times New Roman" w:cs="David"/>
      <w:sz w:val="24"/>
      <w:szCs w:val="24"/>
    </w:rPr>
  </w:style>
  <w:style w:type="table" w:styleId="a7">
    <w:name w:val="Table Grid"/>
    <w:basedOn w:val="a1"/>
    <w:rsid w:val="00C323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2302"/>
  </w:style>
  <w:style w:type="character" w:styleId="Hyperlink">
    <w:name w:val="Hyperlink"/>
    <w:rsid w:val="00937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6070359" TargetMode="External"/><Relationship Id="rId26" Type="http://schemas.openxmlformats.org/officeDocument/2006/relationships/hyperlink" Target="http://www.nevo.co.il/law/70301/448.a" TargetMode="External"/><Relationship Id="rId39" Type="http://schemas.openxmlformats.org/officeDocument/2006/relationships/fontTable" Target="fontTable.xml"/><Relationship Id="rId21" Type="http://schemas.openxmlformats.org/officeDocument/2006/relationships/hyperlink" Target="http://www.nevo.co.il/case/2005083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48.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3825973"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case/267550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569233" TargetMode="External"/><Relationship Id="rId20" Type="http://schemas.openxmlformats.org/officeDocument/2006/relationships/hyperlink" Target="http://www.nevo.co.il/case/8457274" TargetMode="External"/><Relationship Id="rId29" Type="http://schemas.openxmlformats.org/officeDocument/2006/relationships/hyperlink" Target="http://www.nevo.co.il/case/569942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48.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7550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569233" TargetMode="External"/><Relationship Id="rId23" Type="http://schemas.openxmlformats.org/officeDocument/2006/relationships/hyperlink" Target="http://www.nevo.co.il/law/70301/448.a" TargetMode="External"/><Relationship Id="rId28" Type="http://schemas.openxmlformats.org/officeDocument/2006/relationships/hyperlink" Target="http://www.nevo.co.il/case/23827604"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5845414"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333858" TargetMode="External"/><Relationship Id="rId27" Type="http://schemas.openxmlformats.org/officeDocument/2006/relationships/hyperlink" Target="http://www.nevo.co.il/case/6959068" TargetMode="External"/><Relationship Id="rId30" Type="http://schemas.openxmlformats.org/officeDocument/2006/relationships/hyperlink" Target="http://www.nevo.co.il/case/26991436"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3565</Words>
  <Characters>17829</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21352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3145847</vt:i4>
      </vt:variant>
      <vt:variant>
        <vt:i4>81</vt:i4>
      </vt:variant>
      <vt:variant>
        <vt:i4>0</vt:i4>
      </vt:variant>
      <vt:variant>
        <vt:i4>5</vt:i4>
      </vt:variant>
      <vt:variant>
        <vt:lpwstr>http://www.nevo.co.il/case/26755001</vt:lpwstr>
      </vt:variant>
      <vt:variant>
        <vt:lpwstr/>
      </vt:variant>
      <vt:variant>
        <vt:i4>3145847</vt:i4>
      </vt:variant>
      <vt:variant>
        <vt:i4>78</vt:i4>
      </vt:variant>
      <vt:variant>
        <vt:i4>0</vt:i4>
      </vt:variant>
      <vt:variant>
        <vt:i4>5</vt:i4>
      </vt:variant>
      <vt:variant>
        <vt:lpwstr>http://www.nevo.co.il/case/26755001</vt:lpwstr>
      </vt:variant>
      <vt:variant>
        <vt:lpwstr/>
      </vt:variant>
      <vt:variant>
        <vt:i4>8257637</vt:i4>
      </vt:variant>
      <vt:variant>
        <vt:i4>75</vt:i4>
      </vt:variant>
      <vt:variant>
        <vt:i4>0</vt:i4>
      </vt:variant>
      <vt:variant>
        <vt:i4>5</vt:i4>
      </vt:variant>
      <vt:variant>
        <vt:lpwstr>http://www.nevo.co.il/law/4216</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4063353</vt:i4>
      </vt:variant>
      <vt:variant>
        <vt:i4>69</vt:i4>
      </vt:variant>
      <vt:variant>
        <vt:i4>0</vt:i4>
      </vt:variant>
      <vt:variant>
        <vt:i4>5</vt:i4>
      </vt:variant>
      <vt:variant>
        <vt:lpwstr>http://www.nevo.co.il/case/5699426</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3866738</vt:i4>
      </vt:variant>
      <vt:variant>
        <vt:i4>63</vt:i4>
      </vt:variant>
      <vt:variant>
        <vt:i4>0</vt:i4>
      </vt:variant>
      <vt:variant>
        <vt:i4>5</vt:i4>
      </vt:variant>
      <vt:variant>
        <vt:lpwstr>http://www.nevo.co.il/case/6959068</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5177433</vt:i4>
      </vt:variant>
      <vt:variant>
        <vt:i4>57</vt:i4>
      </vt:variant>
      <vt:variant>
        <vt:i4>0</vt:i4>
      </vt:variant>
      <vt:variant>
        <vt:i4>5</vt:i4>
      </vt:variant>
      <vt:variant>
        <vt:lpwstr>http://www.nevo.co.il/law/70301/448.a</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3604601</vt:i4>
      </vt:variant>
      <vt:variant>
        <vt:i4>48</vt:i4>
      </vt:variant>
      <vt:variant>
        <vt:i4>0</vt:i4>
      </vt:variant>
      <vt:variant>
        <vt:i4>5</vt:i4>
      </vt:variant>
      <vt:variant>
        <vt:lpwstr>http://www.nevo.co.il/case/26333858</vt:lpwstr>
      </vt:variant>
      <vt:variant>
        <vt:lpwstr/>
      </vt:variant>
      <vt:variant>
        <vt:i4>3211385</vt:i4>
      </vt:variant>
      <vt:variant>
        <vt:i4>45</vt:i4>
      </vt:variant>
      <vt:variant>
        <vt:i4>0</vt:i4>
      </vt:variant>
      <vt:variant>
        <vt:i4>5</vt:i4>
      </vt:variant>
      <vt:variant>
        <vt:lpwstr>http://www.nevo.co.il/case/20050835</vt:lpwstr>
      </vt:variant>
      <vt:variant>
        <vt:lpwstr/>
      </vt:variant>
      <vt:variant>
        <vt:i4>3866736</vt:i4>
      </vt:variant>
      <vt:variant>
        <vt:i4>42</vt:i4>
      </vt:variant>
      <vt:variant>
        <vt:i4>0</vt:i4>
      </vt:variant>
      <vt:variant>
        <vt:i4>5</vt:i4>
      </vt:variant>
      <vt:variant>
        <vt:lpwstr>http://www.nevo.co.il/case/8457274</vt:lpwstr>
      </vt:variant>
      <vt:variant>
        <vt:lpwstr/>
      </vt:variant>
      <vt:variant>
        <vt:i4>3211384</vt:i4>
      </vt:variant>
      <vt:variant>
        <vt:i4>39</vt:i4>
      </vt:variant>
      <vt:variant>
        <vt:i4>0</vt:i4>
      </vt:variant>
      <vt:variant>
        <vt:i4>5</vt:i4>
      </vt:variant>
      <vt:variant>
        <vt:lpwstr>http://www.nevo.co.il/case/5845414</vt:lpwstr>
      </vt:variant>
      <vt:variant>
        <vt:lpwstr/>
      </vt:variant>
      <vt:variant>
        <vt:i4>3866737</vt:i4>
      </vt:variant>
      <vt:variant>
        <vt:i4>36</vt:i4>
      </vt:variant>
      <vt:variant>
        <vt:i4>0</vt:i4>
      </vt:variant>
      <vt:variant>
        <vt:i4>5</vt:i4>
      </vt:variant>
      <vt:variant>
        <vt:lpwstr>http://www.nevo.co.il/case/6070359</vt:lpwstr>
      </vt:variant>
      <vt:variant>
        <vt:lpwstr/>
      </vt:variant>
      <vt:variant>
        <vt:i4>3670140</vt:i4>
      </vt:variant>
      <vt:variant>
        <vt:i4>33</vt:i4>
      </vt:variant>
      <vt:variant>
        <vt:i4>0</vt:i4>
      </vt:variant>
      <vt:variant>
        <vt:i4>5</vt:i4>
      </vt:variant>
      <vt:variant>
        <vt:lpwstr>http://www.nevo.co.il/case/23825973</vt:lpwstr>
      </vt:variant>
      <vt:variant>
        <vt:lpwstr/>
      </vt:variant>
      <vt:variant>
        <vt:i4>3276923</vt:i4>
      </vt:variant>
      <vt:variant>
        <vt:i4>30</vt:i4>
      </vt:variant>
      <vt:variant>
        <vt:i4>0</vt:i4>
      </vt:variant>
      <vt:variant>
        <vt:i4>5</vt:i4>
      </vt:variant>
      <vt:variant>
        <vt:lpwstr>http://www.nevo.co.il/case/5569233</vt:lpwstr>
      </vt:variant>
      <vt:variant>
        <vt:lpwstr/>
      </vt:variant>
      <vt:variant>
        <vt:i4>3276923</vt:i4>
      </vt:variant>
      <vt:variant>
        <vt:i4>27</vt:i4>
      </vt:variant>
      <vt:variant>
        <vt:i4>0</vt:i4>
      </vt:variant>
      <vt:variant>
        <vt:i4>5</vt:i4>
      </vt:variant>
      <vt:variant>
        <vt:lpwstr>http://www.nevo.co.il/case/5569233</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5177433</vt:i4>
      </vt:variant>
      <vt:variant>
        <vt:i4>15</vt:i4>
      </vt:variant>
      <vt:variant>
        <vt:i4>0</vt:i4>
      </vt:variant>
      <vt:variant>
        <vt:i4>5</vt:i4>
      </vt:variant>
      <vt:variant>
        <vt:lpwstr>http://www.nevo.co.il/law/70301/448.a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5177433</vt:i4>
      </vt:variant>
      <vt:variant>
        <vt:i4>3</vt:i4>
      </vt:variant>
      <vt:variant>
        <vt:i4>0</vt:i4>
      </vt:variant>
      <vt:variant>
        <vt:i4>5</vt:i4>
      </vt:variant>
      <vt:variant>
        <vt:lpwstr>http://www.nevo.co.il/law/70301/448.a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7874</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רפאל דומבייב</vt:lpwstr>
  </property>
  <property fmtid="{D5CDD505-2E9C-101B-9397-08002B2CF9AE}" pid="10" name="LAWYER">
    <vt:lpwstr>ערן צרויה;מריה מזאוי מרשי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20230720</vt:lpwstr>
  </property>
  <property fmtid="{D5CDD505-2E9C-101B-9397-08002B2CF9AE}" pid="14" name="TYPE_N_DATE">
    <vt:lpwstr>39020230720</vt:lpwstr>
  </property>
  <property fmtid="{D5CDD505-2E9C-101B-9397-08002B2CF9AE}" pid="15" name="WORDNUMPAGES">
    <vt:lpwstr>12</vt:lpwstr>
  </property>
  <property fmtid="{D5CDD505-2E9C-101B-9397-08002B2CF9AE}" pid="16" name="TYPE_ABS_DATE">
    <vt:lpwstr>390020230720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5569233:2;23825973;6070359;5845414;8457274;20050835;26333858;6959068;23827604;5699426;26991436;26755001:2</vt:lpwstr>
  </property>
  <property fmtid="{D5CDD505-2E9C-101B-9397-08002B2CF9AE}" pid="36" name="LAWLISTTMP1">
    <vt:lpwstr>70301/448.a:4</vt:lpwstr>
  </property>
  <property fmtid="{D5CDD505-2E9C-101B-9397-08002B2CF9AE}" pid="37" name="LAWLISTTMP2">
    <vt:lpwstr>4216/007.a;007.c</vt:lpwstr>
  </property>
</Properties>
</file>