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0167D" w:rsidRPr="004F7D81" w14:paraId="18CFF8D1" w14:textId="77777777" w:rsidTr="00134E5F">
        <w:trPr>
          <w:trHeight w:hRule="exact" w:val="418"/>
          <w:jc w:val="center"/>
        </w:trPr>
        <w:tc>
          <w:tcPr>
            <w:tcW w:w="8721" w:type="dxa"/>
            <w:gridSpan w:val="2"/>
          </w:tcPr>
          <w:p w14:paraId="1C9EF2A9" w14:textId="77777777" w:rsidR="0020167D" w:rsidRPr="004F7D81" w:rsidRDefault="0020167D" w:rsidP="005D5C19">
            <w:pPr>
              <w:pStyle w:val="a3"/>
              <w:jc w:val="center"/>
              <w:rPr>
                <w:rFonts w:ascii="Tahoma" w:hAnsi="Tahoma" w:cs="Tahoma"/>
                <w:color w:val="000080"/>
                <w:rtl/>
              </w:rPr>
            </w:pPr>
            <w:bookmarkStart w:id="0" w:name="LastJudge"/>
            <w:r w:rsidRPr="004F7D81">
              <w:rPr>
                <w:rFonts w:ascii="Tahoma" w:hAnsi="Tahoma" w:cs="Tahoma"/>
                <w:b/>
                <w:bCs/>
                <w:color w:val="000080"/>
                <w:rtl/>
              </w:rPr>
              <w:t>בית המשפט המחוזי בחיפה</w:t>
            </w:r>
          </w:p>
        </w:tc>
      </w:tr>
      <w:tr w:rsidR="0020167D" w:rsidRPr="004F7D81" w14:paraId="3DFDBABE" w14:textId="77777777" w:rsidTr="00134E5F">
        <w:trPr>
          <w:trHeight w:val="337"/>
          <w:jc w:val="center"/>
        </w:trPr>
        <w:tc>
          <w:tcPr>
            <w:tcW w:w="5059" w:type="dxa"/>
          </w:tcPr>
          <w:p w14:paraId="7D891EF9" w14:textId="77777777" w:rsidR="0020167D" w:rsidRPr="004F7D81" w:rsidRDefault="0020167D" w:rsidP="005D5C19">
            <w:pPr>
              <w:rPr>
                <w:rFonts w:cs="FrankRuehl"/>
                <w:sz w:val="28"/>
                <w:szCs w:val="28"/>
                <w:rtl/>
              </w:rPr>
            </w:pPr>
            <w:r w:rsidRPr="004F7D81">
              <w:rPr>
                <w:rFonts w:cs="FrankRuehl"/>
                <w:sz w:val="28"/>
                <w:szCs w:val="28"/>
                <w:rtl/>
              </w:rPr>
              <w:t>ת"פ</w:t>
            </w:r>
            <w:r w:rsidRPr="004F7D81">
              <w:rPr>
                <w:rFonts w:cs="FrankRuehl" w:hint="cs"/>
                <w:sz w:val="28"/>
                <w:szCs w:val="28"/>
                <w:rtl/>
              </w:rPr>
              <w:t xml:space="preserve"> </w:t>
            </w:r>
            <w:r w:rsidRPr="004F7D81">
              <w:rPr>
                <w:rFonts w:cs="FrankRuehl"/>
                <w:sz w:val="28"/>
                <w:szCs w:val="28"/>
                <w:rtl/>
              </w:rPr>
              <w:t>15965-12-21</w:t>
            </w:r>
            <w:r w:rsidRPr="004F7D81">
              <w:rPr>
                <w:rFonts w:cs="FrankRuehl" w:hint="cs"/>
                <w:sz w:val="28"/>
                <w:szCs w:val="28"/>
                <w:rtl/>
              </w:rPr>
              <w:t xml:space="preserve"> </w:t>
            </w:r>
            <w:r w:rsidRPr="004F7D81">
              <w:rPr>
                <w:rFonts w:cs="FrankRuehl"/>
                <w:sz w:val="28"/>
                <w:szCs w:val="28"/>
                <w:rtl/>
              </w:rPr>
              <w:t>מדינת ישראל נ' דוידוב(עציר)</w:t>
            </w:r>
          </w:p>
          <w:p w14:paraId="10762761" w14:textId="77777777" w:rsidR="0020167D" w:rsidRPr="004F7D81" w:rsidRDefault="0020167D" w:rsidP="005D5C19">
            <w:pPr>
              <w:pStyle w:val="a3"/>
              <w:rPr>
                <w:rFonts w:cs="FrankRuehl"/>
                <w:sz w:val="28"/>
                <w:szCs w:val="28"/>
                <w:rtl/>
              </w:rPr>
            </w:pPr>
          </w:p>
        </w:tc>
        <w:tc>
          <w:tcPr>
            <w:tcW w:w="3662" w:type="dxa"/>
          </w:tcPr>
          <w:p w14:paraId="1FD15D87" w14:textId="77777777" w:rsidR="0020167D" w:rsidRPr="004F7D81" w:rsidRDefault="0020167D" w:rsidP="005D5C19">
            <w:pPr>
              <w:pStyle w:val="a3"/>
              <w:jc w:val="right"/>
              <w:rPr>
                <w:rFonts w:cs="FrankRuehl"/>
                <w:sz w:val="28"/>
                <w:szCs w:val="28"/>
                <w:rtl/>
              </w:rPr>
            </w:pPr>
          </w:p>
        </w:tc>
      </w:tr>
    </w:tbl>
    <w:p w14:paraId="49F1D56D" w14:textId="77777777" w:rsidR="0020167D" w:rsidRPr="004F7D81" w:rsidRDefault="0020167D" w:rsidP="0020167D">
      <w:pPr>
        <w:pStyle w:val="a3"/>
        <w:rPr>
          <w:rtl/>
        </w:rPr>
      </w:pPr>
      <w:r w:rsidRPr="004F7D81">
        <w:rPr>
          <w:rFonts w:hint="cs"/>
          <w:rtl/>
        </w:rPr>
        <w:t xml:space="preserve"> </w:t>
      </w:r>
    </w:p>
    <w:p w14:paraId="5D959E99" w14:textId="77777777" w:rsidR="0020167D" w:rsidRPr="004F7D81" w:rsidRDefault="0020167D" w:rsidP="0020167D">
      <w:pPr>
        <w:rPr>
          <w:rtl/>
        </w:rPr>
      </w:pPr>
    </w:p>
    <w:p w14:paraId="4FF231EB" w14:textId="77777777" w:rsidR="0020167D" w:rsidRPr="004F7D81" w:rsidRDefault="0020167D" w:rsidP="002016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0167D" w:rsidRPr="004F7D81" w14:paraId="7D4B005F" w14:textId="77777777" w:rsidTr="0020167D">
        <w:trPr>
          <w:trHeight w:val="295"/>
          <w:jc w:val="center"/>
        </w:trPr>
        <w:tc>
          <w:tcPr>
            <w:tcW w:w="923" w:type="dxa"/>
            <w:tcBorders>
              <w:top w:val="nil"/>
              <w:left w:val="nil"/>
              <w:bottom w:val="nil"/>
              <w:right w:val="nil"/>
            </w:tcBorders>
            <w:shd w:val="clear" w:color="auto" w:fill="auto"/>
          </w:tcPr>
          <w:p w14:paraId="1971D226" w14:textId="77777777" w:rsidR="0020167D" w:rsidRPr="004F7D81" w:rsidRDefault="0020167D" w:rsidP="0020167D">
            <w:pPr>
              <w:jc w:val="both"/>
              <w:rPr>
                <w:rFonts w:ascii="David" w:hAnsi="David"/>
                <w:sz w:val="26"/>
                <w:szCs w:val="26"/>
              </w:rPr>
            </w:pPr>
            <w:r w:rsidRPr="004F7D8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E97C41C" w14:textId="77777777" w:rsidR="0020167D" w:rsidRPr="004F7D81" w:rsidRDefault="0020167D" w:rsidP="005D5C19">
            <w:pPr>
              <w:rPr>
                <w:rFonts w:ascii="David" w:hAnsi="David"/>
                <w:b/>
                <w:bCs/>
                <w:sz w:val="26"/>
                <w:szCs w:val="26"/>
                <w:rtl/>
              </w:rPr>
            </w:pPr>
            <w:r w:rsidRPr="004F7D81">
              <w:rPr>
                <w:rFonts w:ascii="David" w:hAnsi="David"/>
                <w:b/>
                <w:bCs/>
                <w:sz w:val="26"/>
                <w:szCs w:val="26"/>
                <w:rtl/>
              </w:rPr>
              <w:t>כבוד השופט  סארי ג'יוסי</w:t>
            </w:r>
          </w:p>
          <w:p w14:paraId="5F4B4AE0" w14:textId="77777777" w:rsidR="0020167D" w:rsidRPr="004F7D81" w:rsidRDefault="0020167D" w:rsidP="005D5C19">
            <w:pPr>
              <w:rPr>
                <w:rFonts w:ascii="David" w:hAnsi="David"/>
                <w:sz w:val="26"/>
                <w:szCs w:val="26"/>
                <w:rtl/>
              </w:rPr>
            </w:pPr>
          </w:p>
          <w:p w14:paraId="66845202" w14:textId="77777777" w:rsidR="0020167D" w:rsidRPr="004F7D81" w:rsidRDefault="0020167D" w:rsidP="0020167D">
            <w:pPr>
              <w:jc w:val="both"/>
              <w:rPr>
                <w:rFonts w:ascii="David" w:hAnsi="David"/>
                <w:sz w:val="26"/>
                <w:szCs w:val="26"/>
              </w:rPr>
            </w:pPr>
          </w:p>
        </w:tc>
      </w:tr>
      <w:tr w:rsidR="0020167D" w:rsidRPr="004F7D81" w14:paraId="692471FB" w14:textId="77777777" w:rsidTr="0020167D">
        <w:trPr>
          <w:trHeight w:val="355"/>
          <w:jc w:val="center"/>
        </w:trPr>
        <w:tc>
          <w:tcPr>
            <w:tcW w:w="923" w:type="dxa"/>
            <w:tcBorders>
              <w:top w:val="nil"/>
              <w:left w:val="nil"/>
              <w:bottom w:val="nil"/>
              <w:right w:val="nil"/>
            </w:tcBorders>
            <w:shd w:val="clear" w:color="auto" w:fill="auto"/>
          </w:tcPr>
          <w:p w14:paraId="415A410F" w14:textId="77777777" w:rsidR="0020167D" w:rsidRPr="004F7D81" w:rsidRDefault="0020167D" w:rsidP="0020167D">
            <w:pPr>
              <w:jc w:val="both"/>
              <w:rPr>
                <w:rFonts w:ascii="David" w:hAnsi="David"/>
                <w:sz w:val="26"/>
                <w:szCs w:val="26"/>
              </w:rPr>
            </w:pPr>
            <w:bookmarkStart w:id="1" w:name="FirstAppellant"/>
            <w:r w:rsidRPr="004F7D81">
              <w:rPr>
                <w:rFonts w:ascii="David" w:hAnsi="David"/>
                <w:sz w:val="26"/>
                <w:szCs w:val="26"/>
                <w:rtl/>
              </w:rPr>
              <w:t>בעניין:</w:t>
            </w:r>
          </w:p>
        </w:tc>
        <w:tc>
          <w:tcPr>
            <w:tcW w:w="3219" w:type="dxa"/>
            <w:tcBorders>
              <w:top w:val="nil"/>
              <w:left w:val="nil"/>
              <w:bottom w:val="nil"/>
              <w:right w:val="nil"/>
            </w:tcBorders>
            <w:shd w:val="clear" w:color="auto" w:fill="auto"/>
          </w:tcPr>
          <w:p w14:paraId="3E7EC2BA" w14:textId="77777777" w:rsidR="0020167D" w:rsidRPr="004F7D81" w:rsidRDefault="0020167D" w:rsidP="0020167D">
            <w:pPr>
              <w:suppressLineNumbers/>
            </w:pPr>
            <w:r w:rsidRPr="004F7D81">
              <w:rPr>
                <w:rFonts w:ascii="Arial" w:hAnsi="Arial" w:hint="cs"/>
                <w:b/>
                <w:bCs/>
                <w:rtl/>
              </w:rPr>
              <w:t>ה</w:t>
            </w:r>
            <w:r w:rsidRPr="004F7D81">
              <w:rPr>
                <w:rFonts w:ascii="Arial" w:hAnsi="Arial"/>
                <w:b/>
                <w:bCs/>
                <w:rtl/>
              </w:rPr>
              <w:t>מאשימה</w:t>
            </w:r>
          </w:p>
          <w:p w14:paraId="20013117" w14:textId="77777777" w:rsidR="0020167D" w:rsidRPr="004F7D81" w:rsidRDefault="0020167D" w:rsidP="005D5C19">
            <w:pPr>
              <w:rPr>
                <w:rFonts w:ascii="David" w:hAnsi="David"/>
              </w:rPr>
            </w:pPr>
          </w:p>
        </w:tc>
        <w:tc>
          <w:tcPr>
            <w:tcW w:w="4678" w:type="dxa"/>
            <w:tcBorders>
              <w:top w:val="nil"/>
              <w:left w:val="nil"/>
              <w:bottom w:val="nil"/>
              <w:right w:val="nil"/>
            </w:tcBorders>
            <w:shd w:val="clear" w:color="auto" w:fill="auto"/>
            <w:vAlign w:val="center"/>
          </w:tcPr>
          <w:p w14:paraId="68C4F8D3" w14:textId="77777777" w:rsidR="0020167D" w:rsidRPr="004F7D81" w:rsidRDefault="0020167D" w:rsidP="0020167D">
            <w:pPr>
              <w:suppressLineNumbers/>
              <w:rPr>
                <w:rFonts w:ascii="Arial" w:hAnsi="Arial"/>
                <w:b/>
                <w:bCs/>
                <w:rtl/>
              </w:rPr>
            </w:pPr>
            <w:r w:rsidRPr="004F7D81">
              <w:rPr>
                <w:rFonts w:ascii="Arial" w:hAnsi="Arial"/>
                <w:b/>
                <w:bCs/>
                <w:rtl/>
              </w:rPr>
              <w:t>מדינת ישראל</w:t>
            </w:r>
            <w:r w:rsidRPr="004F7D81">
              <w:rPr>
                <w:rFonts w:ascii="Arial" w:hAnsi="Arial" w:hint="cs"/>
                <w:b/>
                <w:bCs/>
                <w:rtl/>
              </w:rPr>
              <w:t xml:space="preserve"> </w:t>
            </w:r>
          </w:p>
          <w:p w14:paraId="678A9CB4" w14:textId="77777777" w:rsidR="0020167D" w:rsidRPr="004F7D81" w:rsidRDefault="0020167D" w:rsidP="0020167D">
            <w:pPr>
              <w:suppressLineNumbers/>
              <w:rPr>
                <w:b/>
                <w:bCs/>
              </w:rPr>
            </w:pPr>
            <w:r w:rsidRPr="004F7D81">
              <w:rPr>
                <w:rFonts w:hint="cs"/>
                <w:b/>
                <w:bCs/>
                <w:rtl/>
              </w:rPr>
              <w:t>באמצעות פרקליטות מחוז חיפה (פלילי)</w:t>
            </w:r>
          </w:p>
          <w:p w14:paraId="4BAA8E5D" w14:textId="77777777" w:rsidR="0020167D" w:rsidRPr="004F7D81" w:rsidRDefault="0020167D" w:rsidP="005D5C19">
            <w:pPr>
              <w:rPr>
                <w:rFonts w:ascii="David" w:hAnsi="David"/>
              </w:rPr>
            </w:pPr>
          </w:p>
        </w:tc>
      </w:tr>
      <w:bookmarkEnd w:id="1"/>
      <w:tr w:rsidR="0020167D" w:rsidRPr="004F7D81" w14:paraId="52E00435" w14:textId="77777777" w:rsidTr="0020167D">
        <w:trPr>
          <w:trHeight w:val="355"/>
          <w:jc w:val="center"/>
        </w:trPr>
        <w:tc>
          <w:tcPr>
            <w:tcW w:w="923" w:type="dxa"/>
            <w:tcBorders>
              <w:top w:val="nil"/>
              <w:left w:val="nil"/>
              <w:bottom w:val="nil"/>
              <w:right w:val="nil"/>
            </w:tcBorders>
            <w:shd w:val="clear" w:color="auto" w:fill="auto"/>
          </w:tcPr>
          <w:p w14:paraId="36358F1D" w14:textId="77777777" w:rsidR="0020167D" w:rsidRPr="004F7D81" w:rsidRDefault="0020167D" w:rsidP="0020167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FC018B6" w14:textId="77777777" w:rsidR="0020167D" w:rsidRPr="004F7D81" w:rsidRDefault="0020167D" w:rsidP="0020167D">
            <w:pPr>
              <w:jc w:val="center"/>
              <w:rPr>
                <w:rFonts w:ascii="David" w:hAnsi="David"/>
                <w:b/>
                <w:bCs/>
                <w:sz w:val="26"/>
                <w:szCs w:val="26"/>
                <w:rtl/>
              </w:rPr>
            </w:pPr>
          </w:p>
          <w:p w14:paraId="4780DB67" w14:textId="77777777" w:rsidR="0020167D" w:rsidRPr="004F7D81" w:rsidRDefault="0020167D" w:rsidP="0020167D">
            <w:pPr>
              <w:jc w:val="center"/>
              <w:rPr>
                <w:rFonts w:ascii="David" w:hAnsi="David"/>
                <w:b/>
                <w:bCs/>
                <w:sz w:val="26"/>
                <w:szCs w:val="26"/>
                <w:rtl/>
              </w:rPr>
            </w:pPr>
            <w:r w:rsidRPr="004F7D81">
              <w:rPr>
                <w:rFonts w:ascii="David" w:hAnsi="David"/>
                <w:b/>
                <w:bCs/>
                <w:sz w:val="26"/>
                <w:szCs w:val="26"/>
                <w:rtl/>
              </w:rPr>
              <w:t>נגד</w:t>
            </w:r>
          </w:p>
          <w:p w14:paraId="356DDDBA" w14:textId="77777777" w:rsidR="0020167D" w:rsidRPr="004F7D81" w:rsidRDefault="0020167D" w:rsidP="0020167D">
            <w:pPr>
              <w:jc w:val="both"/>
              <w:rPr>
                <w:rFonts w:ascii="David" w:hAnsi="David"/>
                <w:sz w:val="26"/>
                <w:szCs w:val="26"/>
              </w:rPr>
            </w:pPr>
          </w:p>
        </w:tc>
      </w:tr>
      <w:tr w:rsidR="0020167D" w:rsidRPr="004F7D81" w14:paraId="2DBA524D" w14:textId="77777777" w:rsidTr="0020167D">
        <w:trPr>
          <w:trHeight w:val="355"/>
          <w:jc w:val="center"/>
        </w:trPr>
        <w:tc>
          <w:tcPr>
            <w:tcW w:w="923" w:type="dxa"/>
            <w:tcBorders>
              <w:top w:val="nil"/>
              <w:left w:val="nil"/>
              <w:bottom w:val="nil"/>
              <w:right w:val="nil"/>
            </w:tcBorders>
            <w:shd w:val="clear" w:color="auto" w:fill="auto"/>
          </w:tcPr>
          <w:p w14:paraId="770E44B6" w14:textId="77777777" w:rsidR="0020167D" w:rsidRPr="004F7D81" w:rsidRDefault="0020167D" w:rsidP="005D5C19">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96EE3B0" w14:textId="77777777" w:rsidR="0020167D" w:rsidRPr="004F7D81" w:rsidRDefault="0020167D" w:rsidP="005D5C19">
            <w:pPr>
              <w:rPr>
                <w:rFonts w:ascii="Arial" w:hAnsi="Arial"/>
                <w:b/>
                <w:bCs/>
                <w:rtl/>
              </w:rPr>
            </w:pPr>
            <w:r w:rsidRPr="004F7D81">
              <w:rPr>
                <w:rFonts w:ascii="Arial" w:hAnsi="Arial" w:hint="cs"/>
                <w:b/>
                <w:bCs/>
                <w:rtl/>
              </w:rPr>
              <w:t>הנאשם</w:t>
            </w:r>
          </w:p>
        </w:tc>
        <w:tc>
          <w:tcPr>
            <w:tcW w:w="4678" w:type="dxa"/>
            <w:tcBorders>
              <w:top w:val="nil"/>
              <w:left w:val="nil"/>
              <w:bottom w:val="nil"/>
              <w:right w:val="nil"/>
            </w:tcBorders>
            <w:shd w:val="clear" w:color="auto" w:fill="auto"/>
            <w:vAlign w:val="center"/>
          </w:tcPr>
          <w:p w14:paraId="2E21D498" w14:textId="77777777" w:rsidR="0020167D" w:rsidRPr="004F7D81" w:rsidRDefault="0020167D" w:rsidP="0020167D">
            <w:pPr>
              <w:suppressLineNumbers/>
              <w:rPr>
                <w:rFonts w:ascii="Arial" w:hAnsi="Arial"/>
                <w:b/>
                <w:bCs/>
                <w:rtl/>
              </w:rPr>
            </w:pPr>
            <w:r w:rsidRPr="004F7D81">
              <w:rPr>
                <w:rFonts w:ascii="Arial" w:hAnsi="Arial"/>
                <w:b/>
                <w:bCs/>
                <w:rtl/>
              </w:rPr>
              <w:t>אלעד דוידוב (עציר)</w:t>
            </w:r>
            <w:r w:rsidRPr="004F7D81">
              <w:rPr>
                <w:rFonts w:ascii="Arial" w:hAnsi="Arial" w:hint="cs"/>
                <w:b/>
                <w:bCs/>
                <w:rtl/>
              </w:rPr>
              <w:t xml:space="preserve"> </w:t>
            </w:r>
          </w:p>
          <w:p w14:paraId="62E59638" w14:textId="77777777" w:rsidR="0020167D" w:rsidRPr="004F7D81" w:rsidRDefault="0020167D" w:rsidP="0020167D">
            <w:pPr>
              <w:suppressLineNumbers/>
              <w:rPr>
                <w:b/>
                <w:bCs/>
              </w:rPr>
            </w:pPr>
            <w:r w:rsidRPr="004F7D81">
              <w:rPr>
                <w:rFonts w:ascii="Arial" w:hAnsi="Arial"/>
                <w:b/>
                <w:bCs/>
                <w:rtl/>
              </w:rPr>
              <w:t>ע"י ב"כ עוה"ד</w:t>
            </w:r>
            <w:r w:rsidRPr="004F7D81">
              <w:rPr>
                <w:rFonts w:hint="cs"/>
                <w:b/>
                <w:bCs/>
                <w:rtl/>
              </w:rPr>
              <w:t xml:space="preserve"> א. ספיה-קנדלפת</w:t>
            </w:r>
          </w:p>
          <w:p w14:paraId="1CC0DBBB" w14:textId="77777777" w:rsidR="0020167D" w:rsidRPr="004F7D81" w:rsidRDefault="0020167D" w:rsidP="005D5C19">
            <w:pPr>
              <w:rPr>
                <w:rFonts w:ascii="David" w:hAnsi="David"/>
              </w:rPr>
            </w:pPr>
          </w:p>
        </w:tc>
      </w:tr>
      <w:bookmarkEnd w:id="2"/>
    </w:tbl>
    <w:p w14:paraId="5FF424BE" w14:textId="77777777" w:rsidR="000F11D9" w:rsidRPr="000F11D9" w:rsidRDefault="000F11D9" w:rsidP="000F11D9">
      <w:pPr>
        <w:spacing w:before="120" w:after="120" w:line="240" w:lineRule="exact"/>
        <w:ind w:left="283" w:hanging="283"/>
        <w:jc w:val="both"/>
        <w:rPr>
          <w:rFonts w:ascii="FrankRuehl" w:hAnsi="FrankRuehl" w:cs="FrankRuehl"/>
          <w:rtl/>
        </w:rPr>
      </w:pPr>
    </w:p>
    <w:p w14:paraId="343285E2" w14:textId="77777777" w:rsidR="00403078" w:rsidRDefault="00403078" w:rsidP="00403078">
      <w:pPr>
        <w:rPr>
          <w:sz w:val="26"/>
          <w:szCs w:val="26"/>
          <w:rtl/>
        </w:rPr>
      </w:pPr>
      <w:bookmarkStart w:id="3" w:name="LawTable"/>
      <w:bookmarkEnd w:id="3"/>
    </w:p>
    <w:p w14:paraId="1147086B" w14:textId="77777777" w:rsidR="00403078" w:rsidRPr="00403078" w:rsidRDefault="00403078" w:rsidP="00403078">
      <w:pPr>
        <w:spacing w:before="120" w:after="120" w:line="240" w:lineRule="exact"/>
        <w:ind w:left="283" w:hanging="283"/>
        <w:jc w:val="both"/>
        <w:rPr>
          <w:rFonts w:ascii="FrankRuehl" w:hAnsi="FrankRuehl" w:cs="FrankRuehl"/>
          <w:rtl/>
        </w:rPr>
      </w:pPr>
    </w:p>
    <w:p w14:paraId="6D1AB820" w14:textId="77777777" w:rsidR="00403078" w:rsidRPr="00403078" w:rsidRDefault="00403078" w:rsidP="00403078">
      <w:pPr>
        <w:spacing w:before="120" w:after="120" w:line="240" w:lineRule="exact"/>
        <w:ind w:left="283" w:hanging="283"/>
        <w:jc w:val="both"/>
        <w:rPr>
          <w:rFonts w:ascii="FrankRuehl" w:hAnsi="FrankRuehl" w:cs="FrankRuehl"/>
          <w:rtl/>
        </w:rPr>
      </w:pPr>
    </w:p>
    <w:p w14:paraId="351699DD" w14:textId="77777777" w:rsidR="00403078" w:rsidRPr="00403078" w:rsidRDefault="00403078" w:rsidP="00403078">
      <w:pPr>
        <w:spacing w:before="120" w:after="120" w:line="240" w:lineRule="exact"/>
        <w:ind w:left="283" w:hanging="283"/>
        <w:jc w:val="both"/>
        <w:rPr>
          <w:rFonts w:ascii="FrankRuehl" w:hAnsi="FrankRuehl" w:cs="FrankRuehl"/>
          <w:rtl/>
        </w:rPr>
      </w:pPr>
      <w:r w:rsidRPr="00403078">
        <w:rPr>
          <w:rFonts w:ascii="FrankRuehl" w:hAnsi="FrankRuehl" w:cs="FrankRuehl"/>
          <w:rtl/>
        </w:rPr>
        <w:t xml:space="preserve">חקיקה שאוזכרה: </w:t>
      </w:r>
    </w:p>
    <w:p w14:paraId="3F197F0A" w14:textId="77777777" w:rsidR="00403078" w:rsidRPr="00403078" w:rsidRDefault="00403078" w:rsidP="00403078">
      <w:pPr>
        <w:spacing w:before="120" w:after="120" w:line="240" w:lineRule="exact"/>
        <w:ind w:left="283" w:hanging="283"/>
        <w:jc w:val="both"/>
        <w:rPr>
          <w:rFonts w:ascii="FrankRuehl" w:hAnsi="FrankRuehl" w:cs="FrankRuehl"/>
          <w:rtl/>
        </w:rPr>
      </w:pPr>
      <w:hyperlink r:id="rId7" w:history="1">
        <w:r w:rsidRPr="00403078">
          <w:rPr>
            <w:rFonts w:ascii="FrankRuehl" w:hAnsi="FrankRuehl" w:cs="FrankRuehl"/>
            <w:color w:val="0000FF"/>
            <w:rtl/>
          </w:rPr>
          <w:t>חוק העונשין, תשל"ז-1977</w:t>
        </w:r>
      </w:hyperlink>
      <w:r w:rsidRPr="00403078">
        <w:rPr>
          <w:rFonts w:ascii="FrankRuehl" w:hAnsi="FrankRuehl" w:cs="FrankRuehl"/>
          <w:rtl/>
        </w:rPr>
        <w:t xml:space="preserve">: סע'  </w:t>
      </w:r>
      <w:hyperlink r:id="rId8" w:history="1">
        <w:r w:rsidRPr="00403078">
          <w:rPr>
            <w:rFonts w:ascii="FrankRuehl" w:hAnsi="FrankRuehl" w:cs="FrankRuehl"/>
            <w:color w:val="0000FF"/>
            <w:rtl/>
          </w:rPr>
          <w:t>25</w:t>
        </w:r>
      </w:hyperlink>
      <w:r w:rsidRPr="00403078">
        <w:rPr>
          <w:rFonts w:ascii="FrankRuehl" w:hAnsi="FrankRuehl" w:cs="FrankRuehl"/>
          <w:rtl/>
        </w:rPr>
        <w:t xml:space="preserve">, </w:t>
      </w:r>
      <w:hyperlink r:id="rId9" w:history="1">
        <w:r w:rsidRPr="00403078">
          <w:rPr>
            <w:rFonts w:ascii="FrankRuehl" w:hAnsi="FrankRuehl" w:cs="FrankRuehl"/>
            <w:color w:val="0000FF"/>
            <w:rtl/>
          </w:rPr>
          <w:t>52 (א)</w:t>
        </w:r>
      </w:hyperlink>
      <w:r w:rsidRPr="00403078">
        <w:rPr>
          <w:rFonts w:ascii="FrankRuehl" w:hAnsi="FrankRuehl" w:cs="FrankRuehl"/>
          <w:rtl/>
        </w:rPr>
        <w:t xml:space="preserve">, </w:t>
      </w:r>
      <w:hyperlink r:id="rId10" w:history="1">
        <w:r w:rsidRPr="00403078">
          <w:rPr>
            <w:rFonts w:ascii="FrankRuehl" w:hAnsi="FrankRuehl" w:cs="FrankRuehl"/>
            <w:color w:val="0000FF"/>
            <w:rtl/>
          </w:rPr>
          <w:t>58</w:t>
        </w:r>
      </w:hyperlink>
      <w:r w:rsidRPr="00403078">
        <w:rPr>
          <w:rFonts w:ascii="FrankRuehl" w:hAnsi="FrankRuehl" w:cs="FrankRuehl"/>
          <w:rtl/>
        </w:rPr>
        <w:t xml:space="preserve">, </w:t>
      </w:r>
      <w:hyperlink r:id="rId11" w:history="1">
        <w:r w:rsidRPr="00403078">
          <w:rPr>
            <w:rFonts w:ascii="FrankRuehl" w:hAnsi="FrankRuehl" w:cs="FrankRuehl"/>
            <w:color w:val="0000FF"/>
            <w:rtl/>
          </w:rPr>
          <w:t>379</w:t>
        </w:r>
      </w:hyperlink>
      <w:r w:rsidRPr="00403078">
        <w:rPr>
          <w:rFonts w:ascii="FrankRuehl" w:hAnsi="FrankRuehl" w:cs="FrankRuehl"/>
          <w:rtl/>
        </w:rPr>
        <w:t xml:space="preserve">, </w:t>
      </w:r>
      <w:hyperlink r:id="rId12" w:history="1">
        <w:r w:rsidRPr="00403078">
          <w:rPr>
            <w:rFonts w:ascii="FrankRuehl" w:hAnsi="FrankRuehl" w:cs="FrankRuehl"/>
            <w:color w:val="0000FF"/>
            <w:rtl/>
          </w:rPr>
          <w:t>384</w:t>
        </w:r>
      </w:hyperlink>
      <w:r w:rsidRPr="00403078">
        <w:rPr>
          <w:rFonts w:ascii="FrankRuehl" w:hAnsi="FrankRuehl" w:cs="FrankRuehl"/>
          <w:rtl/>
        </w:rPr>
        <w:t xml:space="preserve">, </w:t>
      </w:r>
      <w:hyperlink r:id="rId13" w:history="1">
        <w:r w:rsidRPr="00403078">
          <w:rPr>
            <w:rFonts w:ascii="FrankRuehl" w:hAnsi="FrankRuehl" w:cs="FrankRuehl"/>
            <w:color w:val="0000FF"/>
            <w:rtl/>
          </w:rPr>
          <w:t>402(א)</w:t>
        </w:r>
      </w:hyperlink>
      <w:r w:rsidRPr="00403078">
        <w:rPr>
          <w:rFonts w:ascii="FrankRuehl" w:hAnsi="FrankRuehl" w:cs="FrankRuehl"/>
          <w:rtl/>
        </w:rPr>
        <w:t xml:space="preserve">, </w:t>
      </w:r>
      <w:hyperlink r:id="rId14" w:history="1">
        <w:r w:rsidRPr="00403078">
          <w:rPr>
            <w:rFonts w:ascii="FrankRuehl" w:hAnsi="FrankRuehl" w:cs="FrankRuehl"/>
            <w:color w:val="0000FF"/>
            <w:rtl/>
          </w:rPr>
          <w:t>404</w:t>
        </w:r>
      </w:hyperlink>
      <w:r w:rsidRPr="00403078">
        <w:rPr>
          <w:rFonts w:ascii="FrankRuehl" w:hAnsi="FrankRuehl" w:cs="FrankRuehl"/>
          <w:rtl/>
        </w:rPr>
        <w:t xml:space="preserve">, </w:t>
      </w:r>
      <w:hyperlink r:id="rId15" w:history="1">
        <w:r w:rsidRPr="00403078">
          <w:rPr>
            <w:rFonts w:ascii="FrankRuehl" w:hAnsi="FrankRuehl" w:cs="FrankRuehl"/>
            <w:color w:val="0000FF"/>
            <w:rtl/>
          </w:rPr>
          <w:t>407(א)</w:t>
        </w:r>
      </w:hyperlink>
    </w:p>
    <w:p w14:paraId="502B6E9C" w14:textId="77777777" w:rsidR="00403078" w:rsidRPr="00403078" w:rsidRDefault="00403078" w:rsidP="00403078">
      <w:pPr>
        <w:spacing w:before="120" w:after="120" w:line="240" w:lineRule="exact"/>
        <w:ind w:left="283" w:hanging="283"/>
        <w:jc w:val="both"/>
        <w:rPr>
          <w:rFonts w:ascii="FrankRuehl" w:hAnsi="FrankRuehl" w:cs="FrankRuehl"/>
          <w:rtl/>
        </w:rPr>
      </w:pPr>
      <w:hyperlink r:id="rId16" w:history="1">
        <w:r w:rsidRPr="00403078">
          <w:rPr>
            <w:rFonts w:ascii="FrankRuehl" w:hAnsi="FrankRuehl" w:cs="FrankRuehl"/>
            <w:color w:val="0000FF"/>
            <w:rtl/>
          </w:rPr>
          <w:t>פקודת הסמים המסוכנים [נוסח חדש], תשל"ג-1973</w:t>
        </w:r>
      </w:hyperlink>
      <w:r w:rsidRPr="00403078">
        <w:rPr>
          <w:rFonts w:ascii="FrankRuehl" w:hAnsi="FrankRuehl" w:cs="FrankRuehl"/>
          <w:rtl/>
        </w:rPr>
        <w:t xml:space="preserve">: סע'  </w:t>
      </w:r>
      <w:hyperlink r:id="rId17" w:history="1">
        <w:r w:rsidRPr="00403078">
          <w:rPr>
            <w:rFonts w:ascii="FrankRuehl" w:hAnsi="FrankRuehl" w:cs="FrankRuehl"/>
            <w:color w:val="0000FF"/>
            <w:rtl/>
          </w:rPr>
          <w:t>7.א.</w:t>
        </w:r>
      </w:hyperlink>
      <w:r w:rsidRPr="00403078">
        <w:rPr>
          <w:rFonts w:ascii="FrankRuehl" w:hAnsi="FrankRuehl" w:cs="FrankRuehl"/>
          <w:rtl/>
        </w:rPr>
        <w:t xml:space="preserve">, </w:t>
      </w:r>
      <w:hyperlink r:id="rId18" w:history="1">
        <w:r w:rsidRPr="00403078">
          <w:rPr>
            <w:rFonts w:ascii="FrankRuehl" w:hAnsi="FrankRuehl" w:cs="FrankRuehl"/>
            <w:color w:val="0000FF"/>
            <w:rtl/>
          </w:rPr>
          <w:t>7.ג</w:t>
        </w:r>
      </w:hyperlink>
    </w:p>
    <w:p w14:paraId="2D3F378E" w14:textId="77777777" w:rsidR="00403078" w:rsidRPr="00403078" w:rsidRDefault="00403078" w:rsidP="00403078">
      <w:pPr>
        <w:rPr>
          <w:sz w:val="26"/>
          <w:szCs w:val="26"/>
          <w:rtl/>
        </w:rPr>
      </w:pPr>
      <w:bookmarkStart w:id="4" w:name="LawTable_End"/>
      <w:bookmarkEnd w:id="4"/>
    </w:p>
    <w:p w14:paraId="6D43171A" w14:textId="77777777" w:rsidR="0020167D" w:rsidRPr="000F11D9" w:rsidRDefault="0020167D" w:rsidP="000F11D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167D" w14:paraId="06619335" w14:textId="77777777" w:rsidTr="0020167D">
        <w:trPr>
          <w:trHeight w:val="355"/>
          <w:jc w:val="center"/>
        </w:trPr>
        <w:tc>
          <w:tcPr>
            <w:tcW w:w="8820" w:type="dxa"/>
            <w:tcBorders>
              <w:top w:val="nil"/>
              <w:left w:val="nil"/>
              <w:bottom w:val="nil"/>
              <w:right w:val="nil"/>
            </w:tcBorders>
            <w:shd w:val="clear" w:color="auto" w:fill="auto"/>
          </w:tcPr>
          <w:p w14:paraId="41DA3C74" w14:textId="77777777" w:rsidR="004F7D81" w:rsidRPr="004F7D81" w:rsidRDefault="004F7D81" w:rsidP="004F7D81">
            <w:pPr>
              <w:jc w:val="center"/>
              <w:rPr>
                <w:rFonts w:ascii="David" w:hAnsi="David"/>
                <w:b/>
                <w:bCs/>
                <w:sz w:val="32"/>
                <w:szCs w:val="32"/>
                <w:u w:val="single"/>
                <w:rtl/>
              </w:rPr>
            </w:pPr>
            <w:bookmarkStart w:id="5" w:name="PsakDin" w:colFirst="0" w:colLast="0"/>
            <w:bookmarkEnd w:id="0"/>
            <w:r w:rsidRPr="004F7D81">
              <w:rPr>
                <w:rFonts w:ascii="David" w:hAnsi="David"/>
                <w:b/>
                <w:bCs/>
                <w:sz w:val="32"/>
                <w:szCs w:val="32"/>
                <w:u w:val="single"/>
                <w:rtl/>
              </w:rPr>
              <w:t>גזר-דין</w:t>
            </w:r>
          </w:p>
          <w:p w14:paraId="6C4DF94B" w14:textId="77777777" w:rsidR="0020167D" w:rsidRPr="004F7D81" w:rsidRDefault="0020167D" w:rsidP="004F7D81">
            <w:pPr>
              <w:jc w:val="center"/>
              <w:rPr>
                <w:rFonts w:ascii="David" w:hAnsi="David"/>
                <w:bCs/>
                <w:sz w:val="32"/>
                <w:szCs w:val="32"/>
                <w:u w:val="single"/>
                <w:rtl/>
              </w:rPr>
            </w:pPr>
          </w:p>
        </w:tc>
      </w:tr>
      <w:bookmarkEnd w:id="5"/>
    </w:tbl>
    <w:p w14:paraId="68590D87" w14:textId="77777777" w:rsidR="0020167D" w:rsidRPr="000F2247" w:rsidRDefault="0020167D" w:rsidP="0020167D">
      <w:pPr>
        <w:rPr>
          <w:rFonts w:ascii="Arial" w:hAnsi="Arial"/>
          <w:b/>
          <w:bCs/>
          <w:sz w:val="26"/>
          <w:szCs w:val="26"/>
          <w:rtl/>
        </w:rPr>
      </w:pPr>
    </w:p>
    <w:p w14:paraId="3B68D381" w14:textId="77777777" w:rsidR="0020167D" w:rsidRPr="000F2247" w:rsidRDefault="0020167D" w:rsidP="0020167D">
      <w:pPr>
        <w:rPr>
          <w:rFonts w:ascii="Arial" w:hAnsi="Arial"/>
          <w:b/>
          <w:bCs/>
          <w:sz w:val="26"/>
          <w:szCs w:val="26"/>
          <w:rtl/>
        </w:rPr>
      </w:pPr>
    </w:p>
    <w:p w14:paraId="3F86BF13" w14:textId="77777777" w:rsidR="0020167D" w:rsidRDefault="0020167D" w:rsidP="0020167D">
      <w:pPr>
        <w:rPr>
          <w:rFonts w:ascii="David" w:hAnsi="David"/>
          <w:b/>
          <w:bCs/>
          <w:u w:val="single"/>
          <w:rtl/>
        </w:rPr>
      </w:pPr>
    </w:p>
    <w:p w14:paraId="2F5D131F" w14:textId="77777777" w:rsidR="0020167D" w:rsidRDefault="0020167D" w:rsidP="0020167D">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19.06.1990, הורשע ביום 14.09.2022 בעבירת שוד, לפי </w:t>
      </w:r>
      <w:hyperlink r:id="rId19" w:history="1">
        <w:r w:rsidR="00134E5F" w:rsidRPr="00134E5F">
          <w:rPr>
            <w:rStyle w:val="Hyperlink"/>
            <w:rFonts w:ascii="David" w:hAnsi="David" w:cs="David"/>
            <w:sz w:val="24"/>
            <w:szCs w:val="24"/>
            <w:rtl/>
          </w:rPr>
          <w:t>סעיף 402(א)</w:t>
        </w:r>
      </w:hyperlink>
      <w:r>
        <w:rPr>
          <w:rFonts w:ascii="David" w:hAnsi="David" w:cs="David"/>
          <w:sz w:val="24"/>
          <w:szCs w:val="24"/>
          <w:rtl/>
        </w:rPr>
        <w:t xml:space="preserve"> ל</w:t>
      </w:r>
      <w:hyperlink r:id="rId20" w:history="1">
        <w:r w:rsidR="004F7D81" w:rsidRPr="004F7D81">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bookmarkStart w:id="7" w:name="ABSTRACT_END"/>
      <w:bookmarkEnd w:id="7"/>
      <w:r>
        <w:rPr>
          <w:rFonts w:ascii="David" w:hAnsi="David" w:cs="David"/>
          <w:sz w:val="24"/>
          <w:szCs w:val="24"/>
          <w:rtl/>
        </w:rPr>
        <w:t>(להלן: "</w:t>
      </w:r>
      <w:r>
        <w:rPr>
          <w:rFonts w:ascii="David" w:hAnsi="David" w:cs="David"/>
          <w:b/>
          <w:bCs/>
          <w:sz w:val="24"/>
          <w:szCs w:val="24"/>
          <w:rtl/>
        </w:rPr>
        <w:t>חוק העונשין</w:t>
      </w:r>
      <w:r>
        <w:rPr>
          <w:rFonts w:ascii="David" w:hAnsi="David" w:cs="David"/>
          <w:sz w:val="24"/>
          <w:szCs w:val="24"/>
          <w:rtl/>
        </w:rPr>
        <w:t>").</w:t>
      </w:r>
    </w:p>
    <w:p w14:paraId="20B35039" w14:textId="77777777" w:rsidR="0020167D" w:rsidRDefault="0020167D" w:rsidP="0020167D">
      <w:pPr>
        <w:spacing w:line="360" w:lineRule="auto"/>
        <w:jc w:val="both"/>
        <w:rPr>
          <w:rFonts w:ascii="David" w:hAnsi="David"/>
          <w:b/>
          <w:bCs/>
          <w:u w:val="single"/>
          <w:rtl/>
        </w:rPr>
      </w:pPr>
    </w:p>
    <w:p w14:paraId="1A196AE2" w14:textId="77777777" w:rsidR="0020167D" w:rsidRDefault="0020167D" w:rsidP="0020167D">
      <w:pPr>
        <w:spacing w:line="360" w:lineRule="auto"/>
        <w:jc w:val="both"/>
        <w:rPr>
          <w:rFonts w:ascii="David" w:hAnsi="David"/>
          <w:rtl/>
        </w:rPr>
      </w:pPr>
      <w:r>
        <w:rPr>
          <w:rFonts w:ascii="David" w:hAnsi="David"/>
          <w:b/>
          <w:bCs/>
          <w:u w:val="single"/>
          <w:rtl/>
        </w:rPr>
        <w:t>הנסיבות הצריכות לעניין</w:t>
      </w:r>
    </w:p>
    <w:p w14:paraId="5C262136" w14:textId="77777777" w:rsidR="0020167D" w:rsidRDefault="0020167D" w:rsidP="0020167D">
      <w:pPr>
        <w:spacing w:line="360" w:lineRule="auto"/>
        <w:jc w:val="both"/>
        <w:rPr>
          <w:rFonts w:ascii="David" w:hAnsi="David"/>
          <w:rtl/>
        </w:rPr>
      </w:pPr>
    </w:p>
    <w:p w14:paraId="3DD50EE7"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בצהרי-היום, בתאריך 29.09.2021, ניגש הנאשם אל אשנב סניף הדואר בקיסריה, דרש מן המתלוננת לתת לו כסף, ולאחר שנתנה לו המתלוננת 4,000 ₪, עזב הנאשם את סניף הדואר עם הסכום האמור. הנאשם טען, כי מדובר בגניבה בעוד המאשימה סברה, כי מדובר בשוד, </w:t>
      </w:r>
      <w:r>
        <w:rPr>
          <w:rFonts w:ascii="David" w:hAnsi="David" w:cs="David"/>
          <w:sz w:val="24"/>
          <w:szCs w:val="24"/>
          <w:rtl/>
        </w:rPr>
        <w:lastRenderedPageBreak/>
        <w:t xml:space="preserve">ולפיכך הגישה נגד הנאשם, ביום 08.12.2021, כתב-אישום, אשר מייחס לו עבירות שוד, לפי </w:t>
      </w:r>
      <w:hyperlink r:id="rId21" w:history="1">
        <w:r w:rsidR="00134E5F" w:rsidRPr="00134E5F">
          <w:rPr>
            <w:rStyle w:val="Hyperlink"/>
            <w:rFonts w:ascii="David" w:hAnsi="David" w:cs="David"/>
            <w:sz w:val="24"/>
            <w:szCs w:val="24"/>
            <w:rtl/>
          </w:rPr>
          <w:t>סעיף 402(א)</w:t>
        </w:r>
      </w:hyperlink>
      <w:r>
        <w:rPr>
          <w:rFonts w:ascii="David" w:hAnsi="David" w:cs="David"/>
          <w:sz w:val="24"/>
          <w:szCs w:val="24"/>
          <w:rtl/>
        </w:rPr>
        <w:t xml:space="preserve"> ל</w:t>
      </w:r>
      <w:hyperlink r:id="rId22" w:history="1">
        <w:r w:rsidR="004F7D81" w:rsidRPr="004F7D81">
          <w:rPr>
            <w:rFonts w:ascii="David" w:hAnsi="David" w:cs="David"/>
            <w:color w:val="0000FF"/>
            <w:sz w:val="24"/>
            <w:szCs w:val="24"/>
            <w:u w:val="single"/>
            <w:rtl/>
          </w:rPr>
          <w:t>חוק העונשין</w:t>
        </w:r>
      </w:hyperlink>
      <w:r>
        <w:rPr>
          <w:rFonts w:ascii="David" w:hAnsi="David" w:cs="David"/>
          <w:sz w:val="24"/>
          <w:szCs w:val="24"/>
          <w:rtl/>
        </w:rPr>
        <w:t>.</w:t>
      </w:r>
    </w:p>
    <w:p w14:paraId="31A9782E" w14:textId="77777777" w:rsidR="0020167D" w:rsidRDefault="0020167D" w:rsidP="0020167D">
      <w:pPr>
        <w:pStyle w:val="a9"/>
        <w:spacing w:line="360" w:lineRule="auto"/>
        <w:jc w:val="both"/>
        <w:rPr>
          <w:rFonts w:ascii="David" w:hAnsi="David" w:cs="David"/>
          <w:sz w:val="24"/>
          <w:szCs w:val="24"/>
        </w:rPr>
      </w:pPr>
    </w:p>
    <w:p w14:paraId="4D744265" w14:textId="77777777" w:rsidR="0020167D" w:rsidRDefault="0020167D" w:rsidP="0020167D">
      <w:pPr>
        <w:spacing w:line="360" w:lineRule="auto"/>
        <w:jc w:val="both"/>
        <w:rPr>
          <w:rFonts w:ascii="David" w:hAnsi="David"/>
          <w:b/>
          <w:bCs/>
          <w:u w:val="single"/>
        </w:rPr>
      </w:pPr>
      <w:r>
        <w:rPr>
          <w:rFonts w:ascii="David" w:hAnsi="David"/>
          <w:b/>
          <w:bCs/>
          <w:u w:val="single"/>
          <w:rtl/>
        </w:rPr>
        <w:t>כתב-האישום</w:t>
      </w:r>
    </w:p>
    <w:p w14:paraId="0023F3B0" w14:textId="77777777" w:rsidR="0020167D" w:rsidRPr="0020167D" w:rsidRDefault="0020167D" w:rsidP="0020167D">
      <w:pPr>
        <w:spacing w:line="360" w:lineRule="auto"/>
        <w:jc w:val="both"/>
        <w:rPr>
          <w:rFonts w:ascii="David" w:hAnsi="David" w:cs="Arial"/>
          <w:sz w:val="22"/>
          <w:szCs w:val="22"/>
          <w:rtl/>
        </w:rPr>
      </w:pPr>
    </w:p>
    <w:p w14:paraId="7E4855FD"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עובר לאירוע המתואר בכתב-האישום, ובמועד שאינו ידוע למאשימה במדויק, החליט הנאשם לבצע שוד. לצורך כך, הצטייד הלה במכל שחור בעל ראש אדום, אשר נחזה להיות גז פלפל (להלן: "</w:t>
      </w:r>
      <w:r>
        <w:rPr>
          <w:rFonts w:ascii="David" w:hAnsi="David" w:cs="David"/>
          <w:b/>
          <w:bCs/>
          <w:sz w:val="24"/>
          <w:szCs w:val="24"/>
          <w:rtl/>
        </w:rPr>
        <w:t>המכל</w:t>
      </w:r>
      <w:r>
        <w:rPr>
          <w:rFonts w:ascii="David" w:hAnsi="David" w:cs="David"/>
          <w:sz w:val="24"/>
          <w:szCs w:val="24"/>
          <w:rtl/>
        </w:rPr>
        <w:t xml:space="preserve">"). </w:t>
      </w:r>
    </w:p>
    <w:p w14:paraId="3817CDD0" w14:textId="77777777" w:rsidR="0020167D" w:rsidRDefault="0020167D" w:rsidP="0020167D">
      <w:pPr>
        <w:pStyle w:val="a9"/>
        <w:spacing w:line="360" w:lineRule="auto"/>
        <w:jc w:val="both"/>
        <w:rPr>
          <w:rFonts w:ascii="David" w:hAnsi="David" w:cs="David"/>
          <w:sz w:val="24"/>
          <w:szCs w:val="24"/>
          <w:rtl/>
        </w:rPr>
      </w:pPr>
    </w:p>
    <w:p w14:paraId="043F7304" w14:textId="77777777" w:rsidR="0020167D" w:rsidRDefault="0020167D" w:rsidP="0020167D">
      <w:pPr>
        <w:pStyle w:val="a9"/>
        <w:spacing w:line="360" w:lineRule="auto"/>
        <w:jc w:val="both"/>
        <w:rPr>
          <w:rFonts w:ascii="David" w:hAnsi="David" w:cs="David"/>
          <w:sz w:val="24"/>
          <w:szCs w:val="24"/>
        </w:rPr>
      </w:pPr>
      <w:r>
        <w:rPr>
          <w:rFonts w:ascii="David" w:hAnsi="David" w:cs="David"/>
          <w:sz w:val="24"/>
          <w:szCs w:val="24"/>
          <w:rtl/>
        </w:rPr>
        <w:t>ביום 29.09.2021, סמוך לשעה 11:55, נכנס הנאשם למונית מסוג רנו ל.ז. 81-785-26, אשר הייתה בשימושו של מר יקב שלג מטעם חברת ההסעות "שושנה הסעות" (להלן: "</w:t>
      </w:r>
      <w:r>
        <w:rPr>
          <w:rFonts w:ascii="David" w:hAnsi="David" w:cs="David"/>
          <w:b/>
          <w:bCs/>
          <w:sz w:val="24"/>
          <w:szCs w:val="24"/>
          <w:rtl/>
        </w:rPr>
        <w:t>המונית</w:t>
      </w:r>
      <w:r>
        <w:rPr>
          <w:rFonts w:ascii="David" w:hAnsi="David" w:cs="David"/>
          <w:sz w:val="24"/>
          <w:szCs w:val="24"/>
          <w:rtl/>
        </w:rPr>
        <w:t>"), בשדרות הנשיא, אור-עקיבא, וביקש להסיעו לסניף הדואר בקיסריה.</w:t>
      </w:r>
    </w:p>
    <w:p w14:paraId="112C1AC0" w14:textId="77777777" w:rsidR="0020167D" w:rsidRDefault="0020167D" w:rsidP="0020167D">
      <w:pPr>
        <w:pStyle w:val="a9"/>
        <w:spacing w:line="360" w:lineRule="auto"/>
        <w:jc w:val="both"/>
        <w:rPr>
          <w:rFonts w:ascii="David" w:hAnsi="David" w:cs="David"/>
          <w:sz w:val="24"/>
          <w:szCs w:val="24"/>
          <w:rtl/>
        </w:rPr>
      </w:pPr>
    </w:p>
    <w:p w14:paraId="640AF75D"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בשעה 12:00 לערך, הגיע הנאשם לסניף הדואר, ברחוב רוטשילד, במרכז המסחרי בקיסריה (להלן: "</w:t>
      </w:r>
      <w:r w:rsidRPr="0025578A">
        <w:rPr>
          <w:rFonts w:ascii="David" w:hAnsi="David" w:cs="David"/>
          <w:b/>
          <w:bCs/>
          <w:sz w:val="24"/>
          <w:szCs w:val="24"/>
          <w:rtl/>
        </w:rPr>
        <w:t>סניף הדואר</w:t>
      </w:r>
      <w:r>
        <w:rPr>
          <w:rFonts w:ascii="David" w:hAnsi="David" w:cs="David"/>
          <w:sz w:val="24"/>
          <w:szCs w:val="24"/>
          <w:rtl/>
        </w:rPr>
        <w:t>"), כשהוא לבוש בחולצה לבנה בעלת שרוולים ארוכים של חברת "ריפליי", מכנס כהה, כובע מצחייה כהה, נעליים כהות (להלן: "</w:t>
      </w:r>
      <w:r>
        <w:rPr>
          <w:rFonts w:ascii="David" w:hAnsi="David" w:cs="David"/>
          <w:b/>
          <w:bCs/>
          <w:sz w:val="24"/>
          <w:szCs w:val="24"/>
          <w:rtl/>
        </w:rPr>
        <w:t>הביגוד</w:t>
      </w:r>
      <w:r>
        <w:rPr>
          <w:rFonts w:ascii="David" w:hAnsi="David" w:cs="David"/>
          <w:sz w:val="24"/>
          <w:szCs w:val="24"/>
          <w:rtl/>
        </w:rPr>
        <w:t>"), ועוטה "מסכת קורונה" ורודה. הנאשם התיישב על הספסל בכניסה לסניף הדואר.</w:t>
      </w:r>
    </w:p>
    <w:p w14:paraId="13C08CCB" w14:textId="77777777" w:rsidR="0020167D" w:rsidRDefault="0020167D" w:rsidP="0020167D">
      <w:pPr>
        <w:pStyle w:val="a9"/>
        <w:spacing w:line="360" w:lineRule="auto"/>
        <w:jc w:val="both"/>
        <w:rPr>
          <w:rFonts w:ascii="David" w:hAnsi="David" w:cs="David"/>
          <w:sz w:val="24"/>
          <w:szCs w:val="24"/>
          <w:rtl/>
        </w:rPr>
      </w:pPr>
    </w:p>
    <w:p w14:paraId="5CE611B3"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בתוך סניף הדואר, עבדה אותה עת מנהלת הסניף נופר אלימלך (להלן: "</w:t>
      </w:r>
      <w:r>
        <w:rPr>
          <w:rFonts w:ascii="David" w:hAnsi="David" w:cs="David"/>
          <w:b/>
          <w:bCs/>
          <w:sz w:val="24"/>
          <w:szCs w:val="24"/>
          <w:rtl/>
        </w:rPr>
        <w:t>נופר</w:t>
      </w:r>
      <w:r>
        <w:rPr>
          <w:rFonts w:ascii="David" w:hAnsi="David" w:cs="David"/>
          <w:sz w:val="24"/>
          <w:szCs w:val="24"/>
          <w:rtl/>
        </w:rPr>
        <w:t>" או "</w:t>
      </w:r>
      <w:r>
        <w:rPr>
          <w:rFonts w:ascii="David" w:hAnsi="David" w:cs="David"/>
          <w:b/>
          <w:bCs/>
          <w:sz w:val="24"/>
          <w:szCs w:val="24"/>
          <w:rtl/>
        </w:rPr>
        <w:t>המתלוננת</w:t>
      </w:r>
      <w:r>
        <w:rPr>
          <w:rFonts w:ascii="David" w:hAnsi="David" w:cs="David"/>
          <w:sz w:val="24"/>
          <w:szCs w:val="24"/>
          <w:rtl/>
        </w:rPr>
        <w:t>"). משהבחינה נופר בנאשם, קראה לו לגשת אל אשנב קבלת הקהל, והנאשם ניגש אל האשנב, הכניס את ידו הימנית מתחת לזכוכית הדלפק, אחז במכל ואמר לנופר "</w:t>
      </w:r>
      <w:r>
        <w:rPr>
          <w:rFonts w:ascii="David" w:hAnsi="David" w:cs="David"/>
          <w:b/>
          <w:bCs/>
          <w:sz w:val="24"/>
          <w:szCs w:val="24"/>
          <w:rtl/>
        </w:rPr>
        <w:t>את הכסף</w:t>
      </w:r>
      <w:r>
        <w:rPr>
          <w:rFonts w:ascii="David" w:hAnsi="David" w:cs="David"/>
          <w:sz w:val="24"/>
          <w:szCs w:val="24"/>
          <w:rtl/>
        </w:rPr>
        <w:t>". זאת עשה הנאשם, תוך שהוא מאיים על נופר לבצע בה מעשה אלימות באמצעות המכל ובכוונה ליטול מסניף הדואר כספים ולשלול אותם שלילת קבע מבעליהם, ללא הסכמה.</w:t>
      </w:r>
    </w:p>
    <w:p w14:paraId="0141E496" w14:textId="77777777" w:rsidR="0020167D" w:rsidRDefault="0020167D" w:rsidP="0020167D">
      <w:pPr>
        <w:pStyle w:val="a9"/>
        <w:spacing w:line="360" w:lineRule="auto"/>
        <w:jc w:val="both"/>
        <w:rPr>
          <w:rFonts w:ascii="David" w:hAnsi="David" w:cs="David"/>
          <w:sz w:val="24"/>
          <w:szCs w:val="24"/>
          <w:rtl/>
        </w:rPr>
      </w:pPr>
    </w:p>
    <w:p w14:paraId="57EAF8D3"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בתגובה, ובפחדה מן הנאשם, החלה נופר להוציא שטרות מן המגירה שלימינה בסך כולל של 4,000 ₪ ומסרה אותם לנאשם. בשלב זה, אמר הנאשם לנופר: "</w:t>
      </w:r>
      <w:r>
        <w:rPr>
          <w:rFonts w:ascii="David" w:hAnsi="David" w:cs="David"/>
          <w:b/>
          <w:bCs/>
          <w:sz w:val="24"/>
          <w:szCs w:val="24"/>
          <w:rtl/>
        </w:rPr>
        <w:t>מהר, מהר, מהר</w:t>
      </w:r>
      <w:r>
        <w:rPr>
          <w:rFonts w:ascii="David" w:hAnsi="David" w:cs="David"/>
          <w:sz w:val="24"/>
          <w:szCs w:val="24"/>
          <w:rtl/>
        </w:rPr>
        <w:t>" ו- "</w:t>
      </w:r>
      <w:r>
        <w:rPr>
          <w:rFonts w:ascii="David" w:hAnsi="David" w:cs="David"/>
          <w:b/>
          <w:bCs/>
          <w:sz w:val="24"/>
          <w:szCs w:val="24"/>
          <w:rtl/>
        </w:rPr>
        <w:t>עוד, עוד, עוד</w:t>
      </w:r>
      <w:r>
        <w:rPr>
          <w:rFonts w:ascii="David" w:hAnsi="David" w:cs="David"/>
          <w:sz w:val="24"/>
          <w:szCs w:val="24"/>
          <w:rtl/>
        </w:rPr>
        <w:t xml:space="preserve">". בתגובה לכך, אספה נופר את מטבעות הכסף שהיו במגירה באמצעות ידהּ, אך בטרם הספיקה לתת אותם לנאשם, הוא נמלט מן המקום בריצה אל עבר המונית. </w:t>
      </w:r>
    </w:p>
    <w:p w14:paraId="6C58A88B" w14:textId="77777777" w:rsidR="0020167D" w:rsidRDefault="0020167D" w:rsidP="0020167D">
      <w:pPr>
        <w:pStyle w:val="a9"/>
        <w:spacing w:line="360" w:lineRule="auto"/>
        <w:jc w:val="both"/>
        <w:rPr>
          <w:rFonts w:ascii="David" w:hAnsi="David" w:cs="David"/>
          <w:sz w:val="24"/>
          <w:szCs w:val="24"/>
          <w:rtl/>
        </w:rPr>
      </w:pPr>
    </w:p>
    <w:p w14:paraId="2046C566"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 xml:space="preserve">לפיכך, התבקש להרשיע את הנאשם בעבירת שוד, לפי </w:t>
      </w:r>
      <w:hyperlink r:id="rId23" w:history="1">
        <w:r w:rsidR="00134E5F" w:rsidRPr="00134E5F">
          <w:rPr>
            <w:rStyle w:val="Hyperlink"/>
            <w:rFonts w:ascii="David" w:hAnsi="David" w:cs="David"/>
            <w:sz w:val="24"/>
            <w:szCs w:val="24"/>
            <w:rtl/>
          </w:rPr>
          <w:t>סעיף 402(א)</w:t>
        </w:r>
      </w:hyperlink>
      <w:r>
        <w:rPr>
          <w:rFonts w:ascii="David" w:hAnsi="David" w:cs="David"/>
          <w:sz w:val="24"/>
          <w:szCs w:val="24"/>
          <w:rtl/>
        </w:rPr>
        <w:t xml:space="preserve"> ל</w:t>
      </w:r>
      <w:hyperlink r:id="rId24" w:history="1">
        <w:r w:rsidR="004F7D81" w:rsidRPr="004F7D81">
          <w:rPr>
            <w:rFonts w:ascii="David" w:hAnsi="David" w:cs="David"/>
            <w:color w:val="0000FF"/>
            <w:sz w:val="24"/>
            <w:szCs w:val="24"/>
            <w:u w:val="single"/>
            <w:rtl/>
          </w:rPr>
          <w:t>חוק העונשין</w:t>
        </w:r>
      </w:hyperlink>
      <w:r>
        <w:rPr>
          <w:rFonts w:ascii="David" w:hAnsi="David" w:cs="David"/>
          <w:sz w:val="24"/>
          <w:szCs w:val="24"/>
          <w:rtl/>
        </w:rPr>
        <w:t>.</w:t>
      </w:r>
    </w:p>
    <w:p w14:paraId="560F98EB" w14:textId="77777777" w:rsidR="0020167D" w:rsidRDefault="0020167D" w:rsidP="0020167D">
      <w:pPr>
        <w:pStyle w:val="a9"/>
        <w:spacing w:line="360" w:lineRule="auto"/>
        <w:jc w:val="both"/>
        <w:rPr>
          <w:rFonts w:ascii="David" w:hAnsi="David" w:cs="David"/>
          <w:sz w:val="24"/>
          <w:szCs w:val="24"/>
          <w:rtl/>
        </w:rPr>
      </w:pPr>
    </w:p>
    <w:p w14:paraId="2F6A586C" w14:textId="77777777" w:rsidR="0020167D" w:rsidRDefault="0020167D" w:rsidP="0020167D">
      <w:pPr>
        <w:spacing w:line="360" w:lineRule="auto"/>
        <w:jc w:val="both"/>
        <w:rPr>
          <w:rFonts w:ascii="David" w:hAnsi="David"/>
          <w:b/>
          <w:bCs/>
          <w:u w:val="single"/>
          <w:rtl/>
        </w:rPr>
      </w:pPr>
      <w:r>
        <w:rPr>
          <w:rFonts w:ascii="David" w:hAnsi="David"/>
          <w:b/>
          <w:bCs/>
          <w:u w:val="single"/>
          <w:rtl/>
        </w:rPr>
        <w:t>עיקרי הכרעת-הדין</w:t>
      </w:r>
    </w:p>
    <w:p w14:paraId="1DCEF40A" w14:textId="77777777" w:rsidR="0020167D" w:rsidRDefault="0020167D" w:rsidP="0020167D">
      <w:pPr>
        <w:spacing w:line="360" w:lineRule="auto"/>
        <w:jc w:val="both"/>
        <w:rPr>
          <w:rFonts w:ascii="David" w:hAnsi="David"/>
          <w:b/>
          <w:bCs/>
          <w:u w:val="single"/>
          <w:rtl/>
        </w:rPr>
      </w:pPr>
    </w:p>
    <w:p w14:paraId="2774DE14" w14:textId="77777777" w:rsidR="0020167D" w:rsidRDefault="0020167D" w:rsidP="0020167D">
      <w:pPr>
        <w:pStyle w:val="David"/>
        <w:numPr>
          <w:ilvl w:val="0"/>
          <w:numId w:val="1"/>
        </w:numPr>
        <w:rPr>
          <w:rtl/>
        </w:rPr>
      </w:pPr>
      <w:r>
        <w:rPr>
          <w:rtl/>
        </w:rPr>
        <w:lastRenderedPageBreak/>
        <w:t>במסגרת הכרעת-הדין המרשיעה קבעתי, כי שתי שאלות מרכזיות דורשות הכרעה, וזאת בשים-לב לעובדה, שבענייננו, הודה הנאשם בתשובתו לכתב-האישום, בחלק לא מבוטל מן העובדות המופיעות בו: הנאשם הודה שהיה בתאריך 29.09.2021, בשעה 12:00 בסניף הדואר במרכז המסחרי בקיסריה. בנוסף לאמור, אישר הנאשם, כי אמר למתלוננת "</w:t>
      </w:r>
      <w:r>
        <w:rPr>
          <w:b/>
          <w:bCs/>
          <w:rtl/>
        </w:rPr>
        <w:t>את הכסף</w:t>
      </w:r>
      <w:r>
        <w:rPr>
          <w:rtl/>
        </w:rPr>
        <w:t xml:space="preserve">". מלבד מילים אלו, כך טען הנאשם, לא אמר דבר, והנאשם אף לא הודה, כי החזיק במכל שחור בעל ראש אדום, אשר נחזה להיות מכל גז פלפל. </w:t>
      </w:r>
    </w:p>
    <w:p w14:paraId="497872D1" w14:textId="77777777" w:rsidR="0020167D" w:rsidRDefault="0020167D" w:rsidP="0020167D">
      <w:pPr>
        <w:pStyle w:val="a9"/>
        <w:rPr>
          <w:rtl/>
        </w:rPr>
      </w:pPr>
    </w:p>
    <w:p w14:paraId="2CD995B1" w14:textId="77777777" w:rsidR="0020167D" w:rsidRDefault="0020167D" w:rsidP="0020167D">
      <w:pPr>
        <w:pStyle w:val="David"/>
        <w:ind w:left="720"/>
      </w:pPr>
      <w:r>
        <w:rPr>
          <w:rtl/>
        </w:rPr>
        <w:t>האחת, האם הצליחה המאשימה להוכיח מעל לכל ספק סביר את עובדות כתב-האישום?</w:t>
      </w:r>
    </w:p>
    <w:p w14:paraId="32507201" w14:textId="77777777" w:rsidR="0020167D" w:rsidRDefault="0020167D" w:rsidP="0020167D">
      <w:pPr>
        <w:pStyle w:val="David"/>
        <w:ind w:left="720"/>
        <w:rPr>
          <w:rtl/>
        </w:rPr>
      </w:pPr>
    </w:p>
    <w:p w14:paraId="53326DDF" w14:textId="77777777" w:rsidR="0020167D" w:rsidRDefault="0020167D" w:rsidP="0020167D">
      <w:pPr>
        <w:pStyle w:val="David"/>
        <w:ind w:left="720"/>
        <w:rPr>
          <w:rtl/>
        </w:rPr>
      </w:pPr>
      <w:r>
        <w:rPr>
          <w:rtl/>
        </w:rPr>
        <w:t>השנייה, האם העובדות אותן הצליחה המאשימה להוכיח במידת ההוכחה הנדרשת או לחלופין אם המעשים בהם הודה הנאשם, מובילים לתוצאה לפיה יש להרשיע את הנאשם בעבירת שוד, כטענת המאשימה או שמא בענייננו מדובר בעבירה של גניבה "בלבד", כטענת הנאשם?</w:t>
      </w:r>
    </w:p>
    <w:p w14:paraId="50ADF83A" w14:textId="77777777" w:rsidR="0020167D" w:rsidRDefault="0020167D" w:rsidP="0020167D">
      <w:pPr>
        <w:pStyle w:val="David"/>
        <w:ind w:left="720"/>
        <w:rPr>
          <w:rtl/>
        </w:rPr>
      </w:pPr>
    </w:p>
    <w:p w14:paraId="3D189858" w14:textId="77777777" w:rsidR="0020167D" w:rsidRPr="0025578A" w:rsidRDefault="0020167D" w:rsidP="0020167D">
      <w:pPr>
        <w:pStyle w:val="David"/>
        <w:numPr>
          <w:ilvl w:val="0"/>
          <w:numId w:val="1"/>
        </w:numPr>
        <w:rPr>
          <w:rFonts w:ascii="David" w:hAnsi="David"/>
          <w:rtl/>
        </w:rPr>
      </w:pPr>
      <w:r w:rsidRPr="0025578A">
        <w:rPr>
          <w:rFonts w:ascii="David" w:hAnsi="David"/>
          <w:rtl/>
        </w:rPr>
        <w:t>באשר לסוגיה הראשונה קיבלתי את גרסת המתלוננת לעניין המכל, וקבעתי כקביעה עובדתית, כי המאשימה הצליחה להוכיח מעל לכל ספק סביר, שהנאשם אחז במכל שחור בעל ראש אדום, אשר נחזה להיות מכל גז פלפל, וזאת, בין היתר, הואיל וגרסת המתלוננת עלתה בקנה אחד עם סרטון האירוע, שם נצפה הנאשם (בשעה 12:01:50 לערך) קם, כאשר זרועותיו מכוסות עד לכף -ידו על-ידי שרווליה הארוכים של החולצה הלבנה אותה לבש, וניגש לאשנב עם יד ימין מושטת קדימה בצורה חשודה, ומכף היד המוסתרת תחת השרוול מבצבץ דבר-מה שחור. בנוסף ניתן לראות, כי הנאשם מכניס את היד לשנייה לתוך האשנב, כפי שעולה גם מדברי המתלוננת.</w:t>
      </w:r>
    </w:p>
    <w:p w14:paraId="7399488C" w14:textId="77777777" w:rsidR="0020167D" w:rsidRDefault="0020167D" w:rsidP="0020167D">
      <w:pPr>
        <w:pStyle w:val="a9"/>
        <w:spacing w:line="360" w:lineRule="auto"/>
        <w:jc w:val="both"/>
        <w:rPr>
          <w:rFonts w:ascii="David" w:hAnsi="David"/>
          <w:rtl/>
        </w:rPr>
      </w:pPr>
    </w:p>
    <w:p w14:paraId="5A81283B"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בנוסף הדגשתי, כי הגם שהזווית, ממנה צולם סרטון האבטחה של סניף הדואר, אינו זהה למיקומה של המתלוננת מול הנאשם, ברי, כי צפייה בו מחזקת באופן משמעותי את גרסת המתלוננת, וזאת ביתר-שאת שעה שהנאשם נמנע מליתן את גרסתו בבית המשפט, וכי הימנעותו של הנאשם מלהעיד, ומבלי שעדותו בעניין זה נשמעה, מחזקת את גרסת המתלוננת, וזאת אף בשים-לב לכך שעל אף שברור מן הסרטון, כי הנאשם אחז בכף ידו חפץ שחור, לא ניסה הוא – ולו בדוחק – ליתן גרסה חלופית לעניין זה, והסתפק בהכחשה גורפת של סוגיה זו.</w:t>
      </w:r>
    </w:p>
    <w:p w14:paraId="27F14590" w14:textId="77777777" w:rsidR="0020167D" w:rsidRDefault="0020167D" w:rsidP="0020167D">
      <w:pPr>
        <w:pStyle w:val="a9"/>
        <w:spacing w:line="360" w:lineRule="auto"/>
        <w:jc w:val="both"/>
        <w:rPr>
          <w:rFonts w:ascii="David" w:hAnsi="David" w:cs="David"/>
          <w:sz w:val="24"/>
          <w:szCs w:val="24"/>
          <w:rtl/>
        </w:rPr>
      </w:pPr>
    </w:p>
    <w:p w14:paraId="6E066EE4" w14:textId="77777777" w:rsidR="0020167D" w:rsidRDefault="0020167D" w:rsidP="0020167D">
      <w:pPr>
        <w:pStyle w:val="David"/>
        <w:ind w:left="720"/>
        <w:rPr>
          <w:rFonts w:ascii="David" w:hAnsi="David"/>
          <w:rtl/>
        </w:rPr>
      </w:pPr>
      <w:r>
        <w:rPr>
          <w:rFonts w:ascii="David" w:hAnsi="David"/>
          <w:rtl/>
        </w:rPr>
        <w:t>עוד קבעתי בהכרעת-הדין, בעניין המחלוקת העובדתית הנוספת שהתגלעה בין הצדדים הייתה בדבר האישום לפיו מלבד אמירתו של הנאשם "</w:t>
      </w:r>
      <w:r>
        <w:rPr>
          <w:rFonts w:ascii="David" w:hAnsi="David"/>
          <w:b/>
          <w:bCs/>
          <w:rtl/>
        </w:rPr>
        <w:t>את הכסף</w:t>
      </w:r>
      <w:r>
        <w:rPr>
          <w:rFonts w:ascii="David" w:hAnsi="David"/>
          <w:rtl/>
        </w:rPr>
        <w:t>", הוא הוסיף ואמר למתלוננת: "</w:t>
      </w:r>
      <w:r>
        <w:rPr>
          <w:rFonts w:ascii="David" w:hAnsi="David"/>
          <w:b/>
          <w:bCs/>
          <w:rtl/>
        </w:rPr>
        <w:t>מהר, מהר, מהר</w:t>
      </w:r>
      <w:r>
        <w:rPr>
          <w:rFonts w:ascii="David" w:hAnsi="David"/>
          <w:rtl/>
        </w:rPr>
        <w:t>" ו- "</w:t>
      </w:r>
      <w:r>
        <w:rPr>
          <w:rFonts w:ascii="David" w:hAnsi="David"/>
          <w:b/>
          <w:bCs/>
          <w:rtl/>
        </w:rPr>
        <w:t>עוד, עוד, עוד</w:t>
      </w:r>
      <w:r>
        <w:rPr>
          <w:rFonts w:ascii="David" w:hAnsi="David"/>
          <w:rtl/>
        </w:rPr>
        <w:t xml:space="preserve">", כי </w:t>
      </w:r>
      <w:r>
        <w:rPr>
          <w:rtl/>
        </w:rPr>
        <w:t xml:space="preserve">יש לקבל </w:t>
      </w:r>
      <w:r>
        <w:rPr>
          <w:rFonts w:ascii="David" w:hAnsi="David"/>
          <w:rtl/>
        </w:rPr>
        <w:t>את גרסת המתלוננת במלואה, ולפיכך קבעתי, כי המאשימה הצליחה להוכיח מעל לכל ספק סביר את כלל עובדות כתב-האישום.</w:t>
      </w:r>
    </w:p>
    <w:p w14:paraId="07D908E8" w14:textId="77777777" w:rsidR="0020167D" w:rsidRDefault="0020167D" w:rsidP="0020167D">
      <w:pPr>
        <w:pStyle w:val="David"/>
        <w:ind w:left="720"/>
        <w:rPr>
          <w:rFonts w:ascii="David" w:hAnsi="David"/>
          <w:rtl/>
        </w:rPr>
      </w:pPr>
    </w:p>
    <w:p w14:paraId="2C376B4C"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באשר למחדלי החקירה הנטענים, לרבות בעניין "תרגיל החקירה" שנעשה לנאשם, במסגרתו נערך תשאול מוקלט עם הנאשם מחוץ לחדרי החקירות, נקבע, כי אין באלה כדי לשנות מן התוצאה אליה הגעתי, בין היתר הואיל וגם אם היו כאלו, אין מדובר במחדלים מהותיים היורדים לשורשו של עניין, והגנתו של הנאשם בענייננו לא קופחה בעטיים של אלו באופן שיש בהם כדי להביא לזיכויו.</w:t>
      </w:r>
    </w:p>
    <w:p w14:paraId="651C133B" w14:textId="77777777" w:rsidR="0020167D" w:rsidRDefault="0020167D" w:rsidP="0020167D">
      <w:pPr>
        <w:pStyle w:val="a9"/>
        <w:spacing w:line="360" w:lineRule="auto"/>
        <w:jc w:val="both"/>
        <w:rPr>
          <w:rFonts w:ascii="David" w:hAnsi="David" w:cs="David"/>
          <w:sz w:val="24"/>
          <w:szCs w:val="24"/>
        </w:rPr>
      </w:pPr>
    </w:p>
    <w:p w14:paraId="011AA95C" w14:textId="77777777" w:rsidR="0020167D" w:rsidRDefault="0020167D" w:rsidP="0020167D">
      <w:pPr>
        <w:pStyle w:val="a9"/>
        <w:numPr>
          <w:ilvl w:val="0"/>
          <w:numId w:val="1"/>
        </w:numPr>
        <w:spacing w:line="360" w:lineRule="auto"/>
        <w:jc w:val="both"/>
        <w:rPr>
          <w:rFonts w:ascii="Arial" w:hAnsi="Arial" w:cs="David"/>
          <w:sz w:val="24"/>
          <w:szCs w:val="24"/>
          <w:rtl/>
        </w:rPr>
      </w:pPr>
      <w:r>
        <w:rPr>
          <w:rFonts w:ascii="David" w:hAnsi="David" w:cs="David"/>
          <w:sz w:val="24"/>
          <w:szCs w:val="24"/>
          <w:rtl/>
        </w:rPr>
        <w:t xml:space="preserve">באשר למחלוקת המשפטית שהתגלעה בין הצדדים בדבר השאלה אם עובדות כתב-האישום מבססות הרשעה בעבירת השוד, או שמא, כטענת הנאשם, יש להרשיעו בעבירת גניבה "בלבד", קבעתי, כי הגם </w:t>
      </w:r>
      <w:r>
        <w:rPr>
          <w:rFonts w:ascii="Arial" w:hAnsi="Arial" w:cs="David"/>
          <w:sz w:val="24"/>
          <w:szCs w:val="24"/>
          <w:rtl/>
        </w:rPr>
        <w:t xml:space="preserve">שככלל יש לבחון את האיום </w:t>
      </w:r>
      <w:r>
        <w:rPr>
          <w:rFonts w:ascii="Arial" w:hAnsi="Arial" w:cs="David" w:hint="cs"/>
          <w:sz w:val="24"/>
          <w:szCs w:val="24"/>
          <w:rtl/>
        </w:rPr>
        <w:t xml:space="preserve">דרך משקפיים </w:t>
      </w:r>
      <w:r>
        <w:rPr>
          <w:rFonts w:ascii="Arial" w:hAnsi="Arial" w:cs="David"/>
          <w:sz w:val="24"/>
          <w:szCs w:val="24"/>
          <w:rtl/>
        </w:rPr>
        <w:t>אוביקטיבי</w:t>
      </w:r>
      <w:r>
        <w:rPr>
          <w:rFonts w:ascii="Arial" w:hAnsi="Arial" w:cs="David" w:hint="cs"/>
          <w:sz w:val="24"/>
          <w:szCs w:val="24"/>
          <w:rtl/>
        </w:rPr>
        <w:t>ים</w:t>
      </w:r>
      <w:r>
        <w:rPr>
          <w:rFonts w:ascii="Arial" w:hAnsi="Arial" w:cs="David"/>
          <w:sz w:val="24"/>
          <w:szCs w:val="24"/>
          <w:rtl/>
        </w:rPr>
        <w:t xml:space="preserve">, </w:t>
      </w:r>
      <w:r>
        <w:rPr>
          <w:rFonts w:ascii="Arial" w:hAnsi="Arial" w:cs="David" w:hint="cs"/>
          <w:sz w:val="24"/>
          <w:szCs w:val="24"/>
          <w:rtl/>
        </w:rPr>
        <w:t>ו</w:t>
      </w:r>
      <w:r>
        <w:rPr>
          <w:rFonts w:ascii="Arial" w:hAnsi="Arial" w:cs="David"/>
          <w:sz w:val="24"/>
          <w:szCs w:val="24"/>
          <w:rtl/>
        </w:rPr>
        <w:t xml:space="preserve">לבחון </w:t>
      </w:r>
      <w:r>
        <w:rPr>
          <w:rFonts w:ascii="Arial" w:hAnsi="Arial" w:cs="David" w:hint="cs"/>
          <w:sz w:val="24"/>
          <w:szCs w:val="24"/>
          <w:rtl/>
        </w:rPr>
        <w:t xml:space="preserve">בד בבד </w:t>
      </w:r>
      <w:r>
        <w:rPr>
          <w:rFonts w:ascii="Arial" w:hAnsi="Arial" w:cs="David"/>
          <w:sz w:val="24"/>
          <w:szCs w:val="24"/>
          <w:rtl/>
        </w:rPr>
        <w:t xml:space="preserve">את תוכן הדברים, את הנסיבות בהן נאמרו הדברים, והאם היה בהם כדי להטיל אימה על אדם מן היישוב. </w:t>
      </w:r>
    </w:p>
    <w:p w14:paraId="76DFE99D" w14:textId="77777777" w:rsidR="0020167D" w:rsidRDefault="0020167D" w:rsidP="0020167D">
      <w:pPr>
        <w:pStyle w:val="a9"/>
        <w:rPr>
          <w:rFonts w:ascii="Arial" w:hAnsi="Arial" w:cs="David"/>
          <w:b/>
          <w:bCs/>
          <w:sz w:val="24"/>
          <w:szCs w:val="24"/>
        </w:rPr>
      </w:pPr>
    </w:p>
    <w:p w14:paraId="071218E9" w14:textId="77777777" w:rsidR="0020167D" w:rsidRDefault="0020167D" w:rsidP="0020167D">
      <w:pPr>
        <w:pStyle w:val="a9"/>
        <w:spacing w:line="360" w:lineRule="auto"/>
        <w:jc w:val="both"/>
        <w:rPr>
          <w:rFonts w:ascii="David" w:hAnsi="David" w:cs="David"/>
          <w:b/>
          <w:bCs/>
          <w:sz w:val="24"/>
          <w:szCs w:val="24"/>
          <w:rtl/>
        </w:rPr>
      </w:pPr>
      <w:r>
        <w:rPr>
          <w:rFonts w:ascii="David" w:hAnsi="David" w:cs="David"/>
          <w:sz w:val="24"/>
          <w:szCs w:val="24"/>
          <w:rtl/>
        </w:rPr>
        <w:t xml:space="preserve">בענייננו, כך קבעתי, התקיימו כלל יסודות עבירת השוד עת גנב הנאשם </w:t>
      </w:r>
      <w:r>
        <w:rPr>
          <w:rStyle w:val="default"/>
          <w:rFonts w:ascii="David" w:hAnsi="David" w:cs="David"/>
          <w:sz w:val="24"/>
          <w:szCs w:val="24"/>
          <w:rtl/>
        </w:rPr>
        <w:t>את הסך של 4,000 ₪, ועל כך אין מחלוקת בין הצדדים, "</w:t>
      </w:r>
      <w:r>
        <w:rPr>
          <w:rStyle w:val="default"/>
          <w:rFonts w:ascii="David" w:hAnsi="David" w:cs="David"/>
          <w:b/>
          <w:bCs/>
          <w:sz w:val="24"/>
          <w:szCs w:val="24"/>
          <w:rtl/>
        </w:rPr>
        <w:t>.... ובשעת מעשה מבצע או מאיים לבצע מעשה אלימות באדם או בנכס כדי להשיג את הדבר הנגנב או לעכבו אצלו או כדי למנוע התנגדות לגניבת הדבר או להתגבר עליה</w:t>
      </w:r>
      <w:r>
        <w:rPr>
          <w:rFonts w:ascii="David" w:hAnsi="David" w:cs="David"/>
          <w:sz w:val="24"/>
          <w:szCs w:val="24"/>
          <w:rtl/>
        </w:rPr>
        <w:t>" – ובשים-לב לקביעתי, לפיה הלה החזיק במכל שחור עם ראש אדום, אשר נחזה להיות מכל גז פלפל, ו</w:t>
      </w:r>
      <w:r>
        <w:rPr>
          <w:rFonts w:ascii="David" w:hAnsi="David" w:cs="David"/>
          <w:color w:val="000000"/>
          <w:sz w:val="24"/>
          <w:szCs w:val="24"/>
          <w:rtl/>
        </w:rPr>
        <w:t>שעה ששמיעת עדותהּ של המתלוננת, קריאת הודעותיה במשטרה לצד צפייה בסרטון האבטחה של האירוע מושא כתב-האישום, אינם מותירים כל מקום לספק, באשר לקיומו של איום הן בהתנהלותו של הנאשם והן בדבריו, עובדה, אשר מובילה לתוצאה לפיה יש להרשיעו בעבירת השוד, כטענת המאשימה ולא בעבירת הגניבה, כטענת הנאשם.</w:t>
      </w:r>
    </w:p>
    <w:p w14:paraId="5C525ED0" w14:textId="77777777" w:rsidR="0020167D" w:rsidRDefault="0020167D" w:rsidP="0020167D">
      <w:pPr>
        <w:pStyle w:val="David"/>
        <w:ind w:left="720"/>
        <w:rPr>
          <w:rtl/>
        </w:rPr>
      </w:pPr>
    </w:p>
    <w:p w14:paraId="5F0C25EE" w14:textId="77777777" w:rsidR="0020167D" w:rsidRDefault="0020167D" w:rsidP="0020167D">
      <w:pPr>
        <w:pStyle w:val="David"/>
        <w:numPr>
          <w:ilvl w:val="0"/>
          <w:numId w:val="1"/>
        </w:numPr>
        <w:rPr>
          <w:rtl/>
        </w:rPr>
      </w:pPr>
      <w:r>
        <w:rPr>
          <w:rtl/>
        </w:rPr>
        <w:t xml:space="preserve">על יסוד כל האמור, הרשעתי את הנאשם בעבירת השוד, לפי </w:t>
      </w:r>
      <w:hyperlink r:id="rId25" w:history="1">
        <w:r w:rsidR="00134E5F" w:rsidRPr="00134E5F">
          <w:rPr>
            <w:rStyle w:val="Hyperlink"/>
            <w:rFonts w:ascii="David" w:hAnsi="David"/>
            <w:rtl/>
          </w:rPr>
          <w:t>סעיף 402(א)</w:t>
        </w:r>
      </w:hyperlink>
      <w:r>
        <w:rPr>
          <w:rFonts w:ascii="David" w:hAnsi="David"/>
          <w:rtl/>
        </w:rPr>
        <w:t xml:space="preserve"> ל</w:t>
      </w:r>
      <w:hyperlink r:id="rId26" w:history="1">
        <w:r w:rsidR="004F7D81" w:rsidRPr="004F7D81">
          <w:rPr>
            <w:rFonts w:ascii="David" w:hAnsi="David"/>
            <w:color w:val="0000FF"/>
            <w:u w:val="single"/>
            <w:rtl/>
          </w:rPr>
          <w:t>חוק העונשין</w:t>
        </w:r>
      </w:hyperlink>
      <w:r>
        <w:rPr>
          <w:rFonts w:ascii="David" w:hAnsi="David"/>
          <w:rtl/>
        </w:rPr>
        <w:t>, התשל"ז – 1977</w:t>
      </w:r>
      <w:r>
        <w:rPr>
          <w:rtl/>
        </w:rPr>
        <w:t>.</w:t>
      </w:r>
    </w:p>
    <w:p w14:paraId="70180987" w14:textId="77777777" w:rsidR="0020167D" w:rsidRDefault="0020167D" w:rsidP="0020167D">
      <w:pPr>
        <w:pStyle w:val="David"/>
        <w:ind w:left="360"/>
      </w:pPr>
    </w:p>
    <w:p w14:paraId="653279B9" w14:textId="77777777" w:rsidR="0020167D" w:rsidRDefault="0020167D" w:rsidP="0020167D">
      <w:pPr>
        <w:pStyle w:val="David"/>
        <w:ind w:left="360"/>
        <w:rPr>
          <w:b/>
          <w:bCs/>
          <w:u w:val="single"/>
          <w:rtl/>
        </w:rPr>
      </w:pPr>
      <w:r>
        <w:rPr>
          <w:b/>
          <w:bCs/>
          <w:u w:val="single"/>
          <w:rtl/>
        </w:rPr>
        <w:t>טיעוני הצדדים לעונש</w:t>
      </w:r>
    </w:p>
    <w:p w14:paraId="5C74ADCF" w14:textId="77777777" w:rsidR="0020167D" w:rsidRDefault="0020167D" w:rsidP="0020167D">
      <w:pPr>
        <w:pStyle w:val="a9"/>
        <w:spacing w:line="360" w:lineRule="auto"/>
        <w:jc w:val="both"/>
        <w:rPr>
          <w:rFonts w:ascii="Arial" w:hAnsi="Arial" w:cs="David"/>
          <w:sz w:val="24"/>
          <w:szCs w:val="24"/>
          <w:rtl/>
        </w:rPr>
      </w:pPr>
    </w:p>
    <w:p w14:paraId="033CC4DB"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ביום 21.09.2022, נשמעו טיעוני הצדדים לעונש.</w:t>
      </w:r>
    </w:p>
    <w:p w14:paraId="4D58B330" w14:textId="77777777" w:rsidR="0020167D" w:rsidRDefault="0020167D" w:rsidP="0020167D">
      <w:pPr>
        <w:pStyle w:val="a9"/>
        <w:spacing w:line="360" w:lineRule="auto"/>
        <w:jc w:val="both"/>
        <w:rPr>
          <w:rFonts w:ascii="David" w:hAnsi="David" w:cs="David"/>
          <w:sz w:val="24"/>
          <w:szCs w:val="24"/>
        </w:rPr>
      </w:pPr>
    </w:p>
    <w:p w14:paraId="5EDF2A08"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באת-כוח המאשימה הגישה תדפיס מרשם פלילי של הנאשם, כתב-האישום וגזר-הדין שניתנו בעניינו של הנאשם בתיק האחר, וכן טיעונים בכתב לעונש, וטענה, כי בעניינו של הנאשם הרשעות קודמות רבות, אשר בגין חלקן אף ריצה הלה מאסרים בפועל, וכי לנאשם קיים מאסר על תנאי בר הפעלה בן 6 חודשים. </w:t>
      </w:r>
    </w:p>
    <w:p w14:paraId="325C4D79" w14:textId="77777777" w:rsidR="0020167D" w:rsidRDefault="0020167D" w:rsidP="0020167D">
      <w:pPr>
        <w:pStyle w:val="a9"/>
        <w:rPr>
          <w:rFonts w:ascii="David" w:hAnsi="David" w:cs="David"/>
          <w:sz w:val="24"/>
          <w:szCs w:val="24"/>
        </w:rPr>
      </w:pPr>
    </w:p>
    <w:p w14:paraId="1A14E942"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צוין, כי הנאשם עצור מיום 18.11.2021, ובאת-כוח המאשימה הפנתה לעדויות שנשמעו בפני בית המשפט לעניין האופן בו השפיע האירוע נפשית ופיזית על הנפגעות. על מתחם הענישה ההולם, כך נטען, להיקבע בין 24 חודשי מאסר בפועל לבין 48 חודשים, וכי יש ליתן את הדעת לכך שמדובר באירוע חמור, לנזקים שנגרמו לנפגעות, לסכום שנגנב, ולכך  שהאירוע בוצע עם חפץ מאיים.</w:t>
      </w:r>
    </w:p>
    <w:p w14:paraId="2F455BB3" w14:textId="77777777" w:rsidR="0020167D" w:rsidRDefault="0020167D" w:rsidP="0020167D">
      <w:pPr>
        <w:pStyle w:val="a9"/>
        <w:spacing w:line="360" w:lineRule="auto"/>
        <w:jc w:val="both"/>
        <w:rPr>
          <w:rFonts w:ascii="David" w:hAnsi="David" w:cs="David"/>
          <w:sz w:val="24"/>
          <w:szCs w:val="24"/>
          <w:rtl/>
        </w:rPr>
      </w:pPr>
    </w:p>
    <w:p w14:paraId="12DBA9E3"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 xml:space="preserve">נוכח האמור, כך נטען, יש לגזור את עונשו של הנאשם ברף העליון של המתחם, להורות על ריצוי המאסר המותנה באופן מצטבר, וכן להשית על הנאשם מאסר מותנה נוסף ופיצוי לנפגעות. </w:t>
      </w:r>
    </w:p>
    <w:p w14:paraId="1011245D" w14:textId="77777777" w:rsidR="0020167D" w:rsidRDefault="0020167D" w:rsidP="0020167D">
      <w:pPr>
        <w:pStyle w:val="a9"/>
        <w:spacing w:line="360" w:lineRule="auto"/>
        <w:jc w:val="both"/>
        <w:rPr>
          <w:rFonts w:ascii="David" w:hAnsi="David" w:cs="David"/>
          <w:sz w:val="24"/>
          <w:szCs w:val="24"/>
          <w:rtl/>
        </w:rPr>
      </w:pPr>
    </w:p>
    <w:p w14:paraId="7CACAE6A"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 xml:space="preserve">כאמור כבר לעיל, הגישה המאשימה טיעונים לעונש גם בכתב, במסגרתם חזרה על הטיעונים שנשמעו בעל-פה, והדגישה, כי עבירות הרכוש ובכללן עבירות השוד הפכו לתופעה נפוצה, מדאיגה ומסוכנת, אשר גורמת לפגיעה קשה בפרטיותו של הקורבן, בכבודו וברכושו, וכן בתחושת חוסר בטחון שלו ושל הציבור כולו. </w:t>
      </w:r>
    </w:p>
    <w:p w14:paraId="07AC2647" w14:textId="77777777" w:rsidR="0020167D" w:rsidRDefault="0020167D" w:rsidP="0020167D">
      <w:pPr>
        <w:pStyle w:val="a9"/>
        <w:spacing w:line="360" w:lineRule="auto"/>
        <w:jc w:val="both"/>
        <w:rPr>
          <w:rFonts w:ascii="David" w:hAnsi="David" w:cs="David"/>
          <w:sz w:val="24"/>
          <w:szCs w:val="24"/>
          <w:rtl/>
        </w:rPr>
      </w:pPr>
    </w:p>
    <w:p w14:paraId="72451861"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לפיכך, כך נטען, ובשים-לב, בין היתר, לקלות היחסית בה ניתנת העבירה ביצוע, ייחס המחוקק חומרה רבה לעבירה זו, וקבע לצידה 14 שנות מאסר. גם פסיקת בית המשפט העליון, כך נטען, מייחסת חומרה יתרה לעבירה זו.</w:t>
      </w:r>
    </w:p>
    <w:p w14:paraId="5FC52FFB" w14:textId="77777777" w:rsidR="0020167D" w:rsidRDefault="0020167D" w:rsidP="0020167D">
      <w:pPr>
        <w:pStyle w:val="a9"/>
        <w:spacing w:line="360" w:lineRule="auto"/>
        <w:jc w:val="both"/>
        <w:rPr>
          <w:rFonts w:ascii="David" w:hAnsi="David" w:cs="David"/>
          <w:sz w:val="24"/>
          <w:szCs w:val="24"/>
          <w:rtl/>
        </w:rPr>
      </w:pPr>
    </w:p>
    <w:p w14:paraId="2ACE9C02"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בעניינו של הנאשם, וכפי שעולה מעובדות כתב-האישום כך נטען, הנאשם תכנן את ביצוע העבירה, חלקו בביצוע העבירה הוא מוחלט, הנזק שהי צפוי להיגרם מביצוע העבירה והנזק שנגרם מביצועהּ הוא משמעותי, כפי שאף עולה מעדויותיהן של המתלוננת והלקוחה שנכחה בזמן ביצוע העבירה בסניף הדואר בו בוצעה העבירה.</w:t>
      </w:r>
    </w:p>
    <w:p w14:paraId="5343BAD0" w14:textId="77777777" w:rsidR="0020167D" w:rsidRDefault="0020167D" w:rsidP="0020167D">
      <w:pPr>
        <w:pStyle w:val="a9"/>
        <w:spacing w:line="360" w:lineRule="auto"/>
        <w:jc w:val="both"/>
        <w:rPr>
          <w:rFonts w:ascii="David" w:hAnsi="David" w:cs="David"/>
          <w:sz w:val="24"/>
          <w:szCs w:val="24"/>
          <w:rtl/>
        </w:rPr>
      </w:pPr>
    </w:p>
    <w:p w14:paraId="68629F57"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המאשימה הפנתה למספר גזרי-דין רלבנטיים, לטעמהּ, בין היתר ל-</w:t>
      </w:r>
      <w:hyperlink r:id="rId27" w:history="1">
        <w:r w:rsidR="004F7D81" w:rsidRPr="004F7D81">
          <w:rPr>
            <w:rFonts w:ascii="David" w:hAnsi="David" w:cs="David"/>
            <w:color w:val="0000FF"/>
            <w:sz w:val="24"/>
            <w:szCs w:val="24"/>
            <w:u w:val="single"/>
            <w:rtl/>
          </w:rPr>
          <w:t>ע"פ 1326/14</w:t>
        </w:r>
      </w:hyperlink>
      <w:r>
        <w:rPr>
          <w:rFonts w:ascii="David" w:hAnsi="David" w:cs="David"/>
          <w:sz w:val="24"/>
          <w:szCs w:val="24"/>
          <w:rtl/>
        </w:rPr>
        <w:t xml:space="preserve"> </w:t>
      </w:r>
      <w:r>
        <w:rPr>
          <w:rFonts w:ascii="David" w:hAnsi="David" w:cs="David"/>
          <w:b/>
          <w:bCs/>
          <w:sz w:val="24"/>
          <w:szCs w:val="24"/>
          <w:rtl/>
        </w:rPr>
        <w:t>מעאד מחאג'נה נ' מדינת ישראל</w:t>
      </w:r>
      <w:r>
        <w:rPr>
          <w:rFonts w:ascii="David" w:hAnsi="David" w:cs="David"/>
          <w:sz w:val="24"/>
          <w:szCs w:val="24"/>
          <w:rtl/>
        </w:rPr>
        <w:t xml:space="preserve"> (02.06.2014), הורשע המערער בעבירה של שוד, עת הגיע לסניף דואר ובידו אקדח-דמה, איים על פקיד הבנק, ודרש כסף. המערער היה כבן 20 בעת ביצוע העבירה, ללא עבר פלילי, ובית המשפט המחוזי קבע מתחם ענישה שנע בין 18 חודשי מאסר בפועל לבין 42 חודשים, והשית על המערער 24 חודשי מאסר בפועל – בית המשפט העליון דחה ערעור שהוגש על-ידו.</w:t>
      </w:r>
    </w:p>
    <w:p w14:paraId="2A87CE62" w14:textId="77777777" w:rsidR="0020167D" w:rsidRDefault="0020167D" w:rsidP="0020167D">
      <w:pPr>
        <w:pStyle w:val="a9"/>
        <w:spacing w:line="360" w:lineRule="auto"/>
        <w:jc w:val="both"/>
        <w:rPr>
          <w:rFonts w:ascii="David" w:hAnsi="David" w:cs="David"/>
          <w:sz w:val="24"/>
          <w:szCs w:val="24"/>
          <w:rtl/>
        </w:rPr>
      </w:pPr>
    </w:p>
    <w:p w14:paraId="37055028"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w:t>
      </w:r>
      <w:hyperlink r:id="rId28" w:history="1">
        <w:r w:rsidR="004F7D81" w:rsidRPr="004F7D81">
          <w:rPr>
            <w:rFonts w:ascii="David" w:hAnsi="David" w:cs="David"/>
            <w:color w:val="0000FF"/>
            <w:sz w:val="24"/>
            <w:szCs w:val="24"/>
            <w:u w:val="single"/>
            <w:rtl/>
          </w:rPr>
          <w:t>ע"פ 7537/16</w:t>
        </w:r>
      </w:hyperlink>
      <w:r>
        <w:rPr>
          <w:rFonts w:ascii="David" w:hAnsi="David" w:cs="David"/>
          <w:sz w:val="24"/>
          <w:szCs w:val="24"/>
          <w:rtl/>
        </w:rPr>
        <w:t xml:space="preserve"> </w:t>
      </w:r>
      <w:r>
        <w:rPr>
          <w:rFonts w:ascii="David" w:hAnsi="David" w:cs="David"/>
          <w:b/>
          <w:bCs/>
          <w:sz w:val="24"/>
          <w:szCs w:val="24"/>
          <w:rtl/>
        </w:rPr>
        <w:t>ארז מזרחי נ' מדינת ישראל</w:t>
      </w:r>
      <w:r>
        <w:rPr>
          <w:rFonts w:ascii="David" w:hAnsi="David" w:cs="David"/>
          <w:sz w:val="24"/>
          <w:szCs w:val="24"/>
          <w:rtl/>
        </w:rPr>
        <w:t xml:space="preserve"> (30.01.2017) (להלן: "</w:t>
      </w:r>
      <w:r>
        <w:rPr>
          <w:rFonts w:ascii="David" w:hAnsi="David" w:cs="David"/>
          <w:b/>
          <w:bCs/>
          <w:sz w:val="24"/>
          <w:szCs w:val="24"/>
          <w:rtl/>
        </w:rPr>
        <w:t>עניין מזרחי</w:t>
      </w:r>
      <w:r>
        <w:rPr>
          <w:rFonts w:ascii="David" w:hAnsi="David" w:cs="David"/>
          <w:sz w:val="24"/>
          <w:szCs w:val="24"/>
          <w:rtl/>
        </w:rPr>
        <w:t>"), הורשע המערער בשוד בנק, ובית המשפט המחוזי קבע, כי ממתחם הענישה ההולם נע בין 12 חודשי מאסר בפועל לבין 42 חודשים, והשית על המערער 24 חודשי מאסר בפועל. ערעור שהגיש המערער נדחה על-ידי בית המשפט העליון.</w:t>
      </w:r>
    </w:p>
    <w:p w14:paraId="61E0DE1A" w14:textId="77777777" w:rsidR="0020167D" w:rsidRDefault="0020167D" w:rsidP="0020167D">
      <w:pPr>
        <w:pStyle w:val="a9"/>
        <w:spacing w:line="360" w:lineRule="auto"/>
        <w:jc w:val="both"/>
        <w:rPr>
          <w:rFonts w:ascii="David" w:hAnsi="David" w:cs="David"/>
          <w:sz w:val="24"/>
          <w:szCs w:val="24"/>
          <w:rtl/>
        </w:rPr>
      </w:pPr>
    </w:p>
    <w:p w14:paraId="0AB587E8"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w:t>
      </w:r>
      <w:hyperlink r:id="rId29" w:history="1">
        <w:r w:rsidR="004F7D81" w:rsidRPr="004F7D81">
          <w:rPr>
            <w:rFonts w:ascii="David" w:hAnsi="David" w:cs="David"/>
            <w:color w:val="0000FF"/>
            <w:sz w:val="24"/>
            <w:szCs w:val="24"/>
            <w:u w:val="single"/>
            <w:rtl/>
          </w:rPr>
          <w:t>ע"פ 7516/12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(01.08.2013), הורשע קטין כבן 18 בעבירה של שוד סניף בנק הדואר באמצעות אקדח-דמה, ובית המשפט השית עליו עונש של 36 חודשי מאסר בפועל. ערעור שהוגש לבית המשפט העליון, נדחה.</w:t>
      </w:r>
    </w:p>
    <w:p w14:paraId="712B7771" w14:textId="77777777" w:rsidR="0020167D" w:rsidRDefault="0020167D" w:rsidP="0020167D">
      <w:pPr>
        <w:pStyle w:val="a9"/>
        <w:spacing w:line="360" w:lineRule="auto"/>
        <w:jc w:val="both"/>
        <w:rPr>
          <w:rFonts w:ascii="David" w:hAnsi="David" w:cs="David"/>
          <w:sz w:val="24"/>
          <w:szCs w:val="24"/>
          <w:rtl/>
        </w:rPr>
      </w:pPr>
    </w:p>
    <w:p w14:paraId="2B9211AE"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w:t>
      </w:r>
      <w:hyperlink r:id="rId30" w:history="1">
        <w:r w:rsidR="004F7D81" w:rsidRPr="004F7D81">
          <w:rPr>
            <w:rFonts w:ascii="David" w:hAnsi="David" w:cs="David"/>
            <w:color w:val="0000FF"/>
            <w:sz w:val="24"/>
            <w:szCs w:val="24"/>
            <w:u w:val="single"/>
            <w:rtl/>
          </w:rPr>
          <w:t>ע"פ 1702/16</w:t>
        </w:r>
      </w:hyperlink>
      <w:r>
        <w:rPr>
          <w:rFonts w:ascii="David" w:hAnsi="David" w:cs="David"/>
          <w:sz w:val="24"/>
          <w:szCs w:val="24"/>
          <w:rtl/>
        </w:rPr>
        <w:t xml:space="preserve"> </w:t>
      </w:r>
      <w:r>
        <w:rPr>
          <w:rFonts w:ascii="David" w:hAnsi="David" w:cs="David"/>
          <w:b/>
          <w:bCs/>
          <w:sz w:val="24"/>
          <w:szCs w:val="24"/>
          <w:rtl/>
        </w:rPr>
        <w:t>מדינת ישראל נ' אדי שושני</w:t>
      </w:r>
      <w:r>
        <w:rPr>
          <w:rFonts w:ascii="David" w:hAnsi="David" w:cs="David"/>
          <w:sz w:val="24"/>
          <w:szCs w:val="24"/>
          <w:rtl/>
        </w:rPr>
        <w:t xml:space="preserve"> (17.05.2016),  קיבל בית המשפט העליון את ערעור המאשימה על קולת עונשו של נאשם שנגזרו עליו 24 חודשי מאסר בפועל בגין עבירה של ניסיון שוד באמצעות פתק, והשית על הנאשם 36 חודשי מאסר בפועל.</w:t>
      </w:r>
    </w:p>
    <w:p w14:paraId="1DBCFBC8" w14:textId="77777777" w:rsidR="0020167D" w:rsidRDefault="0020167D" w:rsidP="0020167D">
      <w:pPr>
        <w:pStyle w:val="a9"/>
        <w:spacing w:line="360" w:lineRule="auto"/>
        <w:jc w:val="both"/>
        <w:rPr>
          <w:rFonts w:ascii="David" w:hAnsi="David" w:cs="David"/>
          <w:sz w:val="24"/>
          <w:szCs w:val="24"/>
          <w:rtl/>
        </w:rPr>
      </w:pPr>
    </w:p>
    <w:p w14:paraId="7613EAA4"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באשר לנסיבות שאינן קשורות לביצוע העבירה, נטען, כי הנאשם הבין את השלכות מעשיו, וכי אין מקום לסטות ממתחם הענישה בעניינו של הלה.</w:t>
      </w:r>
    </w:p>
    <w:p w14:paraId="751D7E40" w14:textId="77777777" w:rsidR="0020167D" w:rsidRDefault="0020167D" w:rsidP="0020167D">
      <w:pPr>
        <w:pStyle w:val="a9"/>
        <w:spacing w:line="360" w:lineRule="auto"/>
        <w:jc w:val="both"/>
        <w:rPr>
          <w:rFonts w:ascii="David" w:hAnsi="David" w:cs="David"/>
          <w:sz w:val="24"/>
          <w:szCs w:val="24"/>
          <w:rtl/>
        </w:rPr>
      </w:pPr>
    </w:p>
    <w:p w14:paraId="07815404"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נוכח האמור, כך נטען, יש לקבוע מתחם ענישה שנע בין 24 חודשי מאסר בפועל לבין 48 חודשים, ולקבוע, כי נוכח חומרת העבירה, השתלשלות האירוע, עברו הפלילי של הנאשם, אשר כולל עבירות דומות, עונשו של הנאשם יהא ברף העליון של מתחם הענישה. עוד ובנוסף טענה המאשימה, כי יש להפעיל את עונש המאסר המותנה בעניינו של הנאשם במצטבר לעונש שיוטל עליו, כמו גם להטיל עליו קנס ופיצוי כספי לנפגעות העבירה.</w:t>
      </w:r>
    </w:p>
    <w:p w14:paraId="0780CD30" w14:textId="77777777" w:rsidR="0020167D" w:rsidRDefault="0020167D" w:rsidP="0020167D">
      <w:pPr>
        <w:pStyle w:val="a9"/>
        <w:spacing w:line="360" w:lineRule="auto"/>
        <w:jc w:val="both"/>
        <w:rPr>
          <w:rFonts w:ascii="David" w:hAnsi="David" w:cs="David"/>
          <w:sz w:val="24"/>
          <w:szCs w:val="24"/>
          <w:rtl/>
        </w:rPr>
      </w:pPr>
    </w:p>
    <w:p w14:paraId="734C5299"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מנגד טענה באת-כוחו של הנאשם, כי יש לזקוף לזכותו של הנאשם את העובדה, כי הודה במרבית עובדות כתב-האישום בהזדמנות הראשונה, וכי ההתמקדות הייתה רק סביב הסוגיה המשפטית.</w:t>
      </w:r>
    </w:p>
    <w:p w14:paraId="52099F35" w14:textId="77777777" w:rsidR="0020167D" w:rsidRDefault="0020167D" w:rsidP="0020167D">
      <w:pPr>
        <w:pStyle w:val="David"/>
        <w:ind w:left="720"/>
      </w:pPr>
      <w:r>
        <w:rPr>
          <w:rtl/>
        </w:rPr>
        <w:t>עוד נטען, כי מתחם הענישה שהוצג על-ידי המאשימה אינו מתאים לנסיבות המקרה שבפנינו, בין היתר,  הואיל ומדובר היה באיום גבולי. על אף שנקבע בהכרעת-הדין, כך נטען,  כי מתקיים היסוד העובדתי שבעבירת השוד נוכח התנהגותו המאיימת של הנאשם, האמין בית המשפט למתלוננת, אשר העידה שהנאשם לא הציג את החפץ, לא נפנף בו, ולא איים באמצעותו.</w:t>
      </w:r>
    </w:p>
    <w:p w14:paraId="562D962F" w14:textId="77777777" w:rsidR="0020167D" w:rsidRDefault="0020167D" w:rsidP="0020167D">
      <w:pPr>
        <w:pStyle w:val="David"/>
        <w:rPr>
          <w:rtl/>
        </w:rPr>
      </w:pPr>
    </w:p>
    <w:p w14:paraId="2DE7726D" w14:textId="77777777" w:rsidR="0020167D" w:rsidRDefault="0020167D" w:rsidP="0020167D">
      <w:pPr>
        <w:pStyle w:val="David"/>
        <w:ind w:left="720"/>
        <w:rPr>
          <w:rtl/>
        </w:rPr>
      </w:pPr>
      <w:r>
        <w:rPr>
          <w:rtl/>
        </w:rPr>
        <w:t xml:space="preserve">בענייננו, כך נטען, אין מדובר בתכנון מוקדם, אלא באירוע ספונטני, עת נכנס הנאשם לסניף בנק הדואר, ביקש את הכסף בשקט וקיבל אותו. האיום, כך לטענת באת-כוחו של הנאשם, היה ברף הנמוך שעה שלא נגרם כל נזק מבחינה פיזית, הנאשם לא השתמש בנשק, לא הציג את הנשק בפני המתלוננת. יש לזכור, כך נטען, כי קיימת קשת רחבה של מעשי שוד, הנבדלים זה מזה בנסיבותיהם, במדרג חומרתם בערכים החברתיים, וכי  מדיניות הענישה הנוהגת לוקחת בחשבון את נסיבותיו הקונקרטיות של מעשה השוד וחומרתו, וקובעת, כי יש לבחון כל מעשה שוד לגופו. בעניין זה הפנתה באת-כוח הנאשם ל- </w:t>
      </w:r>
      <w:hyperlink r:id="rId31" w:history="1">
        <w:r w:rsidR="004F7D81" w:rsidRPr="004F7D81">
          <w:rPr>
            <w:color w:val="0000FF"/>
            <w:u w:val="single"/>
            <w:rtl/>
          </w:rPr>
          <w:t>ע"פ 772/13</w:t>
        </w:r>
      </w:hyperlink>
      <w:r>
        <w:rPr>
          <w:rtl/>
        </w:rPr>
        <w:t xml:space="preserve"> </w:t>
      </w:r>
      <w:r>
        <w:rPr>
          <w:b/>
          <w:bCs/>
          <w:rtl/>
        </w:rPr>
        <w:t>איברהים יחיא נ' מדינת ישראל</w:t>
      </w:r>
      <w:r>
        <w:rPr>
          <w:rtl/>
        </w:rPr>
        <w:t xml:space="preserve"> (29.06.2014).</w:t>
      </w:r>
    </w:p>
    <w:p w14:paraId="231D81E9" w14:textId="77777777" w:rsidR="0020167D" w:rsidRDefault="0020167D" w:rsidP="0020167D">
      <w:pPr>
        <w:pStyle w:val="David"/>
        <w:ind w:left="720"/>
        <w:rPr>
          <w:rtl/>
        </w:rPr>
      </w:pPr>
    </w:p>
    <w:p w14:paraId="3E0D97F8" w14:textId="77777777" w:rsidR="0020167D" w:rsidRDefault="0020167D" w:rsidP="0020167D">
      <w:pPr>
        <w:pStyle w:val="David"/>
        <w:ind w:left="720"/>
        <w:rPr>
          <w:rtl/>
        </w:rPr>
      </w:pPr>
      <w:r>
        <w:rPr>
          <w:rtl/>
        </w:rPr>
        <w:t>לטענת באת-כוח הנאשם, על מתחם הענישה ההולם להיקבע בין מספר חודשי מאסר בפועל שירוצו בדרך של עבודות שירות לבין 12 חודשי מאסר בפועל שירותו מאחורי סורג ובריח.</w:t>
      </w:r>
    </w:p>
    <w:p w14:paraId="2A8BD425" w14:textId="77777777" w:rsidR="0020167D" w:rsidRDefault="0020167D" w:rsidP="0020167D">
      <w:pPr>
        <w:pStyle w:val="David"/>
        <w:ind w:left="720"/>
        <w:rPr>
          <w:rtl/>
        </w:rPr>
      </w:pPr>
    </w:p>
    <w:p w14:paraId="51565B1E" w14:textId="77777777" w:rsidR="0020167D" w:rsidRDefault="0020167D" w:rsidP="0020167D">
      <w:pPr>
        <w:pStyle w:val="David"/>
        <w:ind w:left="720"/>
        <w:rPr>
          <w:rtl/>
        </w:rPr>
      </w:pPr>
      <w:r>
        <w:rPr>
          <w:rtl/>
        </w:rPr>
        <w:t>הפסיקות אליה הפנתה המאשימה, כך נטען, אינן רלבנטיות לענייננו שעה שהנאשמים שם ביצעו את מעשי השוד באמצעות אקדח, ובאת-כוח הנאשם הפנתה ל-</w:t>
      </w:r>
      <w:hyperlink r:id="rId32" w:history="1">
        <w:r w:rsidR="004F7D81" w:rsidRPr="004F7D81">
          <w:rPr>
            <w:color w:val="0000FF"/>
            <w:u w:val="single"/>
            <w:rtl/>
          </w:rPr>
          <w:t>ע"פ 936/14</w:t>
        </w:r>
      </w:hyperlink>
      <w:r>
        <w:rPr>
          <w:rtl/>
        </w:rPr>
        <w:t xml:space="preserve"> </w:t>
      </w:r>
      <w:r>
        <w:rPr>
          <w:b/>
          <w:bCs/>
          <w:rtl/>
        </w:rPr>
        <w:t>אמבסגר אברהה נ' מדינת ישראל</w:t>
      </w:r>
      <w:r>
        <w:rPr>
          <w:rtl/>
        </w:rPr>
        <w:t xml:space="preserve"> (31.08.2014) (להלן: "</w:t>
      </w:r>
      <w:r>
        <w:rPr>
          <w:rFonts w:ascii="David" w:hAnsi="David"/>
          <w:b/>
          <w:bCs/>
          <w:rtl/>
        </w:rPr>
        <w:t>עניין אברהה</w:t>
      </w:r>
      <w:r>
        <w:rPr>
          <w:rFonts w:ascii="David" w:hAnsi="David"/>
          <w:rtl/>
        </w:rPr>
        <w:t>")</w:t>
      </w:r>
      <w:r>
        <w:rPr>
          <w:rtl/>
        </w:rPr>
        <w:t xml:space="preserve">, שם היה מדובר במקרה חמור יותר, </w:t>
      </w:r>
      <w:r>
        <w:rPr>
          <w:rFonts w:hint="cs"/>
          <w:rtl/>
        </w:rPr>
        <w:t>ו</w:t>
      </w:r>
      <w:r>
        <w:rPr>
          <w:rtl/>
        </w:rPr>
        <w:t>הו</w:t>
      </w:r>
      <w:r>
        <w:rPr>
          <w:rFonts w:hint="cs"/>
          <w:rtl/>
        </w:rPr>
        <w:t>טלו</w:t>
      </w:r>
      <w:r>
        <w:rPr>
          <w:rtl/>
        </w:rPr>
        <w:t xml:space="preserve"> על הנאשם 20 חודשי מאסר בפועל, וכן ל-ע"</w:t>
      </w:r>
      <w:hyperlink r:id="rId33" w:history="1">
        <w:r w:rsidR="004F7D81" w:rsidRPr="004F7D81">
          <w:rPr>
            <w:color w:val="0000FF"/>
            <w:u w:val="single"/>
            <w:rtl/>
          </w:rPr>
          <w:t>פ 69971-03-19</w:t>
        </w:r>
      </w:hyperlink>
      <w:r>
        <w:rPr>
          <w:rtl/>
        </w:rPr>
        <w:t xml:space="preserve"> (כך על-פי הפרוטוקול מיום 21.09.2022), שם ביצע הנאשם את העבירה באמצעות גז מדמיע, והוטל עליו מאסר בן שנה. </w:t>
      </w:r>
    </w:p>
    <w:p w14:paraId="78F27944" w14:textId="77777777" w:rsidR="0020167D" w:rsidRDefault="0020167D" w:rsidP="0020167D">
      <w:pPr>
        <w:pStyle w:val="David"/>
        <w:ind w:left="720"/>
        <w:rPr>
          <w:rtl/>
        </w:rPr>
      </w:pPr>
    </w:p>
    <w:p w14:paraId="09233113" w14:textId="77777777" w:rsidR="0020167D" w:rsidRDefault="0020167D" w:rsidP="0020167D">
      <w:pPr>
        <w:pStyle w:val="David"/>
        <w:ind w:left="720"/>
        <w:rPr>
          <w:rtl/>
        </w:rPr>
      </w:pPr>
      <w:r>
        <w:rPr>
          <w:rtl/>
        </w:rPr>
        <w:t>עוד ובנוסף נטען, כי על בית המשפט להסתפק בימי מעצרו של הנאשם הואיל והנאשם מעוניין לעלות על דרך הישר ולדבוק בה, ובשים-לב לכך שהנאשם גרוש ואב לשני ילדים קטנים.</w:t>
      </w:r>
    </w:p>
    <w:p w14:paraId="261E53AF" w14:textId="77777777" w:rsidR="0020167D" w:rsidRDefault="0020167D" w:rsidP="0020167D">
      <w:pPr>
        <w:pStyle w:val="David"/>
        <w:rPr>
          <w:rtl/>
        </w:rPr>
      </w:pPr>
    </w:p>
    <w:p w14:paraId="747D39BC"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אף הוא אמר את דברו: "</w:t>
      </w:r>
      <w:r>
        <w:rPr>
          <w:rFonts w:ascii="David" w:hAnsi="David" w:cs="David"/>
          <w:b/>
          <w:bCs/>
          <w:sz w:val="24"/>
          <w:szCs w:val="24"/>
          <w:rtl/>
        </w:rPr>
        <w:t>אני רוצה להגיד שאני מצטער ואני לא מקל ראש בחומרת העבירה. באמת שהכוונה שלי לא הייתה לבצע שוד, זה קרה ככה בקלות דעת, אני בחיים לא קבלתי הזדמנות מבית משפט. אני מבקש באמת בפעם הזאת אם אפשר לתת לי את הצ'אנס הזה ולתת לי קנס בצורה. אני מתנצל שוב פעם ותודה. אבקש שהקראת גזר הדין תיעשה בנוכחותי ויעוד חזותי</w:t>
      </w:r>
      <w:r>
        <w:rPr>
          <w:rFonts w:ascii="David" w:hAnsi="David" w:cs="David"/>
          <w:sz w:val="24"/>
          <w:szCs w:val="24"/>
          <w:rtl/>
        </w:rPr>
        <w:t>".</w:t>
      </w:r>
    </w:p>
    <w:p w14:paraId="031CE759" w14:textId="77777777" w:rsidR="0020167D" w:rsidRDefault="0020167D" w:rsidP="0020167D">
      <w:pPr>
        <w:spacing w:line="360" w:lineRule="auto"/>
        <w:jc w:val="both"/>
        <w:rPr>
          <w:rFonts w:ascii="David" w:hAnsi="David"/>
        </w:rPr>
      </w:pPr>
    </w:p>
    <w:p w14:paraId="06E3F32A" w14:textId="77777777" w:rsidR="0020167D" w:rsidRDefault="0020167D" w:rsidP="0020167D">
      <w:pPr>
        <w:spacing w:line="360" w:lineRule="auto"/>
        <w:jc w:val="both"/>
        <w:rPr>
          <w:rFonts w:ascii="David" w:hAnsi="David"/>
          <w:b/>
          <w:bCs/>
          <w:u w:val="single"/>
          <w:rtl/>
        </w:rPr>
      </w:pPr>
      <w:r>
        <w:rPr>
          <w:rFonts w:ascii="David" w:hAnsi="David"/>
          <w:b/>
          <w:bCs/>
          <w:u w:val="single"/>
          <w:rtl/>
        </w:rPr>
        <w:t>דיון והכרעה</w:t>
      </w:r>
    </w:p>
    <w:p w14:paraId="71F43DB7" w14:textId="77777777" w:rsidR="0020167D" w:rsidRDefault="0020167D" w:rsidP="0020167D">
      <w:pPr>
        <w:spacing w:line="360" w:lineRule="auto"/>
        <w:jc w:val="both"/>
        <w:rPr>
          <w:rFonts w:ascii="David" w:hAnsi="David"/>
          <w:b/>
          <w:bCs/>
          <w:u w:val="single"/>
          <w:rtl/>
        </w:rPr>
      </w:pPr>
    </w:p>
    <w:p w14:paraId="41F093CD"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בית המשפט העליון שב והדגיש בפסיקה עקבית ורבת-שנים את החומרה בה יש להתייחס לעבירת השוד, ועל הצורך לנהוג ביד קשה במבצעיה. </w:t>
      </w:r>
    </w:p>
    <w:p w14:paraId="4562F39E" w14:textId="77777777" w:rsidR="0020167D" w:rsidRDefault="0020167D" w:rsidP="0020167D">
      <w:pPr>
        <w:pStyle w:val="a9"/>
        <w:spacing w:line="360" w:lineRule="auto"/>
        <w:jc w:val="both"/>
        <w:rPr>
          <w:rFonts w:ascii="David" w:hAnsi="David" w:cs="David"/>
          <w:sz w:val="24"/>
          <w:szCs w:val="24"/>
        </w:rPr>
      </w:pPr>
    </w:p>
    <w:p w14:paraId="0028CD91" w14:textId="77777777" w:rsidR="0020167D" w:rsidRDefault="0020167D" w:rsidP="0020167D">
      <w:pPr>
        <w:spacing w:line="360" w:lineRule="auto"/>
        <w:ind w:left="720"/>
        <w:jc w:val="both"/>
        <w:rPr>
          <w:rFonts w:ascii="David" w:hAnsi="David"/>
          <w:rtl/>
        </w:rPr>
      </w:pPr>
      <w:r>
        <w:rPr>
          <w:rFonts w:ascii="David" w:hAnsi="David"/>
          <w:rtl/>
        </w:rPr>
        <w:t xml:space="preserve">יפים לענייננו דבריה של כב' השופטת ע. ארבל ב- </w:t>
      </w:r>
      <w:hyperlink r:id="rId34" w:history="1">
        <w:r w:rsidR="004F7D81" w:rsidRPr="004F7D81">
          <w:rPr>
            <w:rFonts w:ascii="David" w:hAnsi="David"/>
            <w:color w:val="0000FF"/>
            <w:u w:val="single"/>
            <w:rtl/>
          </w:rPr>
          <w:t>ע"פ 4177/06</w:t>
        </w:r>
      </w:hyperlink>
      <w:r>
        <w:rPr>
          <w:rFonts w:ascii="David" w:hAnsi="David"/>
          <w:rtl/>
        </w:rPr>
        <w:t xml:space="preserve"> </w:t>
      </w:r>
      <w:r>
        <w:rPr>
          <w:rFonts w:ascii="David" w:hAnsi="David" w:hint="cs"/>
          <w:b/>
          <w:bCs/>
          <w:rtl/>
        </w:rPr>
        <w:t>מדינת ישראל נ' אבו הוידי</w:t>
      </w:r>
      <w:r>
        <w:rPr>
          <w:rFonts w:ascii="David" w:hAnsi="David" w:hint="cs"/>
          <w:rtl/>
        </w:rPr>
        <w:t xml:space="preserve"> (21.06.2006) (להלן: "</w:t>
      </w:r>
      <w:r>
        <w:rPr>
          <w:rFonts w:ascii="David" w:hAnsi="David" w:hint="cs"/>
          <w:b/>
          <w:bCs/>
          <w:rtl/>
        </w:rPr>
        <w:t>עניין אבו הוידי</w:t>
      </w:r>
      <w:r>
        <w:rPr>
          <w:rFonts w:ascii="David" w:hAnsi="David" w:hint="cs"/>
          <w:rtl/>
        </w:rPr>
        <w:t>"), פסקה 5:</w:t>
      </w:r>
    </w:p>
    <w:p w14:paraId="3862ECFF" w14:textId="77777777" w:rsidR="0020167D" w:rsidRDefault="0020167D" w:rsidP="0020167D">
      <w:pPr>
        <w:spacing w:line="360" w:lineRule="auto"/>
        <w:ind w:left="567"/>
        <w:jc w:val="both"/>
        <w:rPr>
          <w:rFonts w:ascii="David" w:hAnsi="David"/>
          <w:rtl/>
        </w:rPr>
      </w:pPr>
    </w:p>
    <w:p w14:paraId="462ACAC1" w14:textId="77777777" w:rsidR="0020167D" w:rsidRDefault="0020167D" w:rsidP="0020167D">
      <w:pPr>
        <w:pStyle w:val="ruller42"/>
        <w:ind w:left="2160"/>
        <w:rPr>
          <w:rtl/>
        </w:rPr>
      </w:pPr>
      <w:r>
        <w:rPr>
          <w:rFonts w:cs="FrankRuehl"/>
          <w:sz w:val="28"/>
          <w:szCs w:val="28"/>
          <w:rtl/>
        </w:rPr>
        <w:t>"</w:t>
      </w:r>
      <w:r>
        <w:rPr>
          <w:rFonts w:ascii="David" w:hAnsi="David" w:cs="David"/>
          <w:b/>
          <w:bCs/>
          <w:sz w:val="24"/>
          <w:szCs w:val="24"/>
          <w:rtl/>
        </w:rPr>
        <w:t>העבירה בה הורשע המשיב חמורה היא גם בנסיבות בהן לא נעשה שימוש בנשק. היא מבטאת אי קבלה של תפישות היסוד של החברה באשר לכבוד שיש לנהוג בגופו של אדם ובזכותו על רכושו. היא מבטאת תפישה שלפיה כוח הזרוע הוא שמכתיב את ההתנהלות וגורמת לכך שהציבור מתנהל בתחושה של חוסר ביטחון אישי, בידיעה כי פורענות עשויה להתרגש עליו גם בהלכו לתומו ברחוב, מידו של מי אשר מבקש לעשות רווח קל. אותם אזרחים תמימים זכאים ללכת ברחוב מוגנים מפני תוקף ואורב שאינו רואה לנגד עיניו אלא את עניינו שלו. בגזירת הדין בעבירה מסוג זה ראוי כי בית המשפט ייתן את הדעת, לצד נסיבותיו האישיות של הנידון והאפשרות לשקמו, גם לצורך לשלוח מסר ברור לפיו מי שנכון לבצע מעשים מעין אלה צפוי לעונש משמעותי שיבטא גם את פגיעתו הרעה בחברה, לצד שיקולי הענישה האחרים</w:t>
      </w:r>
      <w:r>
        <w:rPr>
          <w:rFonts w:cs="FrankRuehl"/>
          <w:sz w:val="28"/>
          <w:szCs w:val="28"/>
          <w:rtl/>
        </w:rPr>
        <w:t xml:space="preserve">".  </w:t>
      </w:r>
    </w:p>
    <w:p w14:paraId="72B1275A" w14:textId="77777777" w:rsidR="0020167D" w:rsidRDefault="0020167D" w:rsidP="0020167D">
      <w:pPr>
        <w:pStyle w:val="ruller42"/>
        <w:rPr>
          <w:rFonts w:ascii="David" w:hAnsi="David" w:cs="David"/>
          <w:sz w:val="24"/>
          <w:szCs w:val="24"/>
          <w:rtl/>
        </w:rPr>
      </w:pPr>
      <w:r>
        <w:rPr>
          <w:rFonts w:cs="FrankRuehl"/>
          <w:sz w:val="28"/>
          <w:szCs w:val="28"/>
          <w:rtl/>
        </w:rPr>
        <w:t xml:space="preserve"> </w:t>
      </w:r>
    </w:p>
    <w:p w14:paraId="113F8E5A"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הערכים החברתיים בהם פגע הנאשם הם רבים: כבוד-האדם, שלמות הגוף, תחושת הביטחון האישי, הסדר החברתי ושלום הציבור, וכן הרכוש והקניין.</w:t>
      </w:r>
    </w:p>
    <w:p w14:paraId="4E44C07A" w14:textId="77777777" w:rsidR="0020167D" w:rsidRDefault="0020167D" w:rsidP="0020167D">
      <w:pPr>
        <w:spacing w:line="360" w:lineRule="auto"/>
        <w:ind w:left="720"/>
        <w:jc w:val="both"/>
        <w:rPr>
          <w:rFonts w:ascii="David" w:hAnsi="David"/>
          <w:rtl/>
        </w:rPr>
      </w:pPr>
      <w:r>
        <w:rPr>
          <w:rFonts w:ascii="David" w:hAnsi="David"/>
          <w:rtl/>
        </w:rPr>
        <w:t>אדגיש, כי ביצוע עבירות שוד כדוגמת זו שבענייננו, אינה פוגעת בקורבן העבירה הספציפי בלבד, כי אם גם בציבור כולו, ובתחושת הביטחון שלו.</w:t>
      </w:r>
    </w:p>
    <w:p w14:paraId="3E98E17C" w14:textId="77777777" w:rsidR="0020167D" w:rsidRDefault="0020167D" w:rsidP="0020167D">
      <w:pPr>
        <w:spacing w:line="360" w:lineRule="auto"/>
        <w:ind w:left="567"/>
        <w:jc w:val="both"/>
        <w:rPr>
          <w:rFonts w:ascii="David" w:hAnsi="David"/>
          <w:rtl/>
        </w:rPr>
      </w:pPr>
    </w:p>
    <w:p w14:paraId="0A0F31BC" w14:textId="77777777" w:rsidR="0020167D" w:rsidRDefault="0020167D" w:rsidP="0020167D">
      <w:pPr>
        <w:spacing w:line="360" w:lineRule="auto"/>
        <w:ind w:left="720"/>
        <w:jc w:val="both"/>
        <w:rPr>
          <w:rFonts w:ascii="David" w:hAnsi="David"/>
          <w:rtl/>
        </w:rPr>
      </w:pPr>
      <w:r>
        <w:rPr>
          <w:rFonts w:ascii="David" w:hAnsi="David"/>
          <w:rtl/>
        </w:rPr>
        <w:t>אפנה לדבריה של כב' השופטת ד. ברק ארז ב-</w:t>
      </w:r>
      <w:hyperlink r:id="rId35" w:history="1">
        <w:r w:rsidR="004F7D81" w:rsidRPr="004F7D81">
          <w:rPr>
            <w:rFonts w:ascii="David" w:hAnsi="David"/>
            <w:color w:val="0000FF"/>
            <w:u w:val="single"/>
            <w:rtl/>
          </w:rPr>
          <w:t>ע"פ 6862/13</w:t>
        </w:r>
      </w:hyperlink>
      <w:r>
        <w:rPr>
          <w:rFonts w:ascii="David" w:hAnsi="David"/>
          <w:rtl/>
        </w:rPr>
        <w:t xml:space="preserve"> </w:t>
      </w:r>
      <w:r>
        <w:rPr>
          <w:rFonts w:ascii="David" w:hAnsi="David" w:hint="cs"/>
          <w:b/>
          <w:bCs/>
          <w:rtl/>
        </w:rPr>
        <w:t>חז'אזי נ' מדינת ישראל</w:t>
      </w:r>
      <w:r>
        <w:rPr>
          <w:rFonts w:ascii="David" w:hAnsi="David" w:hint="cs"/>
          <w:rtl/>
        </w:rPr>
        <w:t xml:space="preserve"> (07.07.2014), פסקה 9:</w:t>
      </w:r>
    </w:p>
    <w:p w14:paraId="03F3AB0E" w14:textId="77777777" w:rsidR="0020167D" w:rsidRDefault="0020167D" w:rsidP="0020167D">
      <w:pPr>
        <w:spacing w:line="360" w:lineRule="auto"/>
        <w:ind w:left="567" w:hanging="567"/>
        <w:jc w:val="both"/>
        <w:rPr>
          <w:rFonts w:ascii="David" w:hAnsi="David"/>
          <w:rtl/>
        </w:rPr>
      </w:pPr>
    </w:p>
    <w:p w14:paraId="35F5DC94" w14:textId="77777777" w:rsidR="0020167D" w:rsidRDefault="0020167D" w:rsidP="0020167D">
      <w:pPr>
        <w:spacing w:line="360" w:lineRule="auto"/>
        <w:ind w:left="2160"/>
        <w:jc w:val="both"/>
        <w:rPr>
          <w:rFonts w:ascii="David" w:hAnsi="David"/>
          <w:b/>
          <w:bCs/>
          <w:rtl/>
        </w:rPr>
      </w:pPr>
      <w:r>
        <w:rPr>
          <w:rFonts w:ascii="David" w:hAnsi="David"/>
          <w:b/>
          <w:bCs/>
          <w:rtl/>
        </w:rPr>
        <w:t xml:space="preserve">"כאמור, המערער הורשע בעבירת שוד, הנחשבת לעבירה חמורה, לנוכח העובדה שהיא משלבת בין פגיעה בקניין ובגוף, אף כאשר האלימות הנלווית לה היא מינורית יחסית (ראו: </w:t>
      </w:r>
      <w:hyperlink r:id="rId36" w:history="1">
        <w:r w:rsidR="004F7D81" w:rsidRPr="004F7D81">
          <w:rPr>
            <w:rFonts w:ascii="David" w:hAnsi="David"/>
            <w:b/>
            <w:bCs/>
            <w:color w:val="0000FF"/>
            <w:u w:val="single"/>
            <w:rtl/>
          </w:rPr>
          <w:t>ע"פ 5541/11</w:t>
        </w:r>
      </w:hyperlink>
      <w:r>
        <w:rPr>
          <w:rFonts w:ascii="David" w:hAnsi="David"/>
          <w:b/>
          <w:bCs/>
          <w:rtl/>
        </w:rPr>
        <w:t xml:space="preserve"> אזולאי נ' מדינת ישראל, [פורסם בנבו] פסקאות 25 ו-41 (13.12.2012)). תלישת השרשרת מצווארו של המתלונן, כפי שציינה באת-כוח המדינה, הייתה כרוכה גם במימד של חדירה למרחב האישי האינטימי שלו. באופן כללי יותר, עבירות של שוד על דרך תקיפה ברחוב פוגעות לא רק בקורבן, אלא בתחושת הביטחון האזרחית הכללית. אחת הציפיות הראשונות של אנשים היוצאים מביתם לרחובות העיר היא היכולת להתנהל בביטחון וללא אימה, ולא כל שכן בסביבה היומיומית והמוכרת. על כן, אין מקום לראות את העבירה שבה נכשל המערער כעבירה קלה, גם אם קיימים מעשי שוד הנעברים בנסיבות מחמירות יותר (עובדה שמתבטאת כמובן במדיניות הענישה ביחס אליהם)".</w:t>
      </w:r>
    </w:p>
    <w:p w14:paraId="341BDEDA" w14:textId="77777777" w:rsidR="0020167D" w:rsidRDefault="0020167D" w:rsidP="0020167D">
      <w:pPr>
        <w:spacing w:line="360" w:lineRule="auto"/>
        <w:jc w:val="both"/>
        <w:rPr>
          <w:rFonts w:ascii="David" w:hAnsi="David"/>
          <w:b/>
          <w:bCs/>
          <w:rtl/>
        </w:rPr>
      </w:pPr>
    </w:p>
    <w:p w14:paraId="2C4116CE" w14:textId="77777777" w:rsidR="0020167D" w:rsidRDefault="0020167D" w:rsidP="0020167D">
      <w:pPr>
        <w:spacing w:line="360" w:lineRule="auto"/>
        <w:ind w:left="720"/>
        <w:jc w:val="both"/>
        <w:rPr>
          <w:rFonts w:ascii="David" w:hAnsi="David"/>
          <w:rtl/>
        </w:rPr>
      </w:pPr>
      <w:r>
        <w:rPr>
          <w:rFonts w:ascii="David" w:hAnsi="David"/>
          <w:rtl/>
        </w:rPr>
        <w:t>וכן לדבריו של כב' השופט נ. סולברג ב-</w:t>
      </w:r>
      <w:hyperlink r:id="rId37" w:history="1">
        <w:r w:rsidR="004F7D81" w:rsidRPr="004F7D81">
          <w:rPr>
            <w:rFonts w:ascii="David" w:hAnsi="David"/>
            <w:color w:val="0000FF"/>
            <w:u w:val="single"/>
            <w:rtl/>
          </w:rPr>
          <w:t>ע"פ 322/13</w:t>
        </w:r>
      </w:hyperlink>
      <w:r>
        <w:rPr>
          <w:rFonts w:ascii="David" w:hAnsi="David"/>
          <w:rtl/>
        </w:rPr>
        <w:t xml:space="preserve"> </w:t>
      </w:r>
      <w:r w:rsidRPr="0025578A">
        <w:rPr>
          <w:rFonts w:ascii="David" w:hAnsi="David"/>
          <w:b/>
          <w:bCs/>
          <w:rtl/>
        </w:rPr>
        <w:t>משה מזרחי נ' מדינת ישראל</w:t>
      </w:r>
      <w:r>
        <w:rPr>
          <w:rFonts w:ascii="David" w:hAnsi="David"/>
          <w:rtl/>
        </w:rPr>
        <w:t xml:space="preserve"> (10.11.2013), פסקה 6:</w:t>
      </w:r>
    </w:p>
    <w:p w14:paraId="5814ACDC" w14:textId="77777777" w:rsidR="0020167D" w:rsidRDefault="0020167D" w:rsidP="0020167D">
      <w:pPr>
        <w:spacing w:line="360" w:lineRule="auto"/>
        <w:ind w:left="720"/>
        <w:jc w:val="both"/>
        <w:rPr>
          <w:rFonts w:ascii="David" w:hAnsi="David"/>
          <w:rtl/>
        </w:rPr>
      </w:pPr>
    </w:p>
    <w:p w14:paraId="2C384D76" w14:textId="77777777" w:rsidR="0020167D" w:rsidRDefault="0020167D" w:rsidP="0020167D">
      <w:pPr>
        <w:pStyle w:val="Ruller40"/>
        <w:ind w:left="2160"/>
        <w:rPr>
          <w:rFonts w:ascii="David" w:hAnsi="David" w:cs="David"/>
          <w:b/>
          <w:bCs/>
          <w:sz w:val="24"/>
          <w:szCs w:val="24"/>
          <w:rtl/>
        </w:rPr>
      </w:pPr>
      <w:r>
        <w:rPr>
          <w:rFonts w:ascii="David" w:hAnsi="David" w:cs="David"/>
          <w:b/>
          <w:bCs/>
          <w:sz w:val="24"/>
          <w:szCs w:val="24"/>
          <w:rtl/>
        </w:rPr>
        <w:t xml:space="preserve">".... מן הראוי לזכור ולהזכיר את חומרת עבירת השוד, את פגיעתה הרעה בקניינם של אחרים, בבטחונם, בשלומם ובבריאות נפשם. העונש שנגזר על המערער הוא קשה, אך אינו סוטה מרף הענישה המקובל (ראו למשל: </w:t>
      </w:r>
      <w:hyperlink r:id="rId38" w:history="1">
        <w:r w:rsidR="004F7D81" w:rsidRPr="004F7D81">
          <w:rPr>
            <w:rFonts w:ascii="David" w:hAnsi="David" w:cs="David"/>
            <w:b/>
            <w:bCs/>
            <w:color w:val="0000FF"/>
            <w:sz w:val="24"/>
            <w:szCs w:val="24"/>
            <w:u w:val="single"/>
            <w:rtl/>
          </w:rPr>
          <w:t>ע"פ 5370/11</w:t>
        </w:r>
      </w:hyperlink>
      <w:r>
        <w:rPr>
          <w:rFonts w:ascii="David" w:hAnsi="David" w:cs="David"/>
          <w:b/>
          <w:bCs/>
          <w:sz w:val="24"/>
          <w:szCs w:val="24"/>
          <w:rtl/>
        </w:rPr>
        <w:t xml:space="preserve"> </w:t>
      </w:r>
      <w:r>
        <w:rPr>
          <w:rFonts w:ascii="David" w:hAnsi="David" w:cs="David"/>
          <w:b/>
          <w:bCs/>
          <w:spacing w:val="0"/>
          <w:sz w:val="24"/>
          <w:szCs w:val="24"/>
          <w:rtl/>
        </w:rPr>
        <w:t>בוזגלו נ' מדינת ישראל</w:t>
      </w:r>
      <w:r>
        <w:rPr>
          <w:rFonts w:ascii="David" w:hAnsi="David" w:cs="David"/>
          <w:b/>
          <w:bCs/>
          <w:sz w:val="24"/>
          <w:szCs w:val="24"/>
          <w:rtl/>
        </w:rPr>
        <w:t xml:space="preserve"> (28.11.2011)), והוא מחוייב המציאות על רקע נסיבות ביצוע השוד ועברו הפלילי של המערער. רחמנות יתרה על השודד, כמוה כהתאכזרות אל קורבנו; זה שבכוח וזה שבפועל".</w:t>
      </w:r>
    </w:p>
    <w:p w14:paraId="07008408" w14:textId="77777777" w:rsidR="0020167D" w:rsidRDefault="0020167D" w:rsidP="0020167D">
      <w:pPr>
        <w:spacing w:line="360" w:lineRule="auto"/>
        <w:ind w:left="720"/>
        <w:jc w:val="both"/>
        <w:rPr>
          <w:rFonts w:ascii="David" w:hAnsi="David"/>
          <w:rtl/>
        </w:rPr>
      </w:pPr>
    </w:p>
    <w:p w14:paraId="39D5EA6B"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כעולה מעובדות כתב-האישום,</w:t>
      </w:r>
      <w:r>
        <w:rPr>
          <w:rFonts w:ascii="David" w:hAnsi="David" w:cs="David" w:hint="cs"/>
          <w:sz w:val="24"/>
          <w:szCs w:val="24"/>
          <w:rtl/>
        </w:rPr>
        <w:t xml:space="preserve"> עבירת השוד בוצעה כאשר </w:t>
      </w:r>
      <w:r>
        <w:rPr>
          <w:rFonts w:ascii="David" w:hAnsi="David" w:cs="David"/>
          <w:sz w:val="24"/>
          <w:szCs w:val="24"/>
          <w:rtl/>
        </w:rPr>
        <w:t>המתלוננת בענייננו,</w:t>
      </w:r>
      <w:r>
        <w:rPr>
          <w:rFonts w:ascii="David" w:hAnsi="David" w:cs="David" w:hint="cs"/>
          <w:sz w:val="24"/>
          <w:szCs w:val="24"/>
          <w:rtl/>
        </w:rPr>
        <w:t xml:space="preserve"> </w:t>
      </w:r>
      <w:r>
        <w:rPr>
          <w:rFonts w:ascii="David" w:hAnsi="David" w:cs="David"/>
          <w:sz w:val="24"/>
          <w:szCs w:val="24"/>
          <w:rtl/>
        </w:rPr>
        <w:t>עבדה לפרנסתהּ בסניף בנק הדואר ונתנה שירות לציבור, ואין צורך להכביר מילים על ההשלכות האפשריות של מעשה זה על חייה.</w:t>
      </w:r>
    </w:p>
    <w:p w14:paraId="5E8ED799" w14:textId="77777777" w:rsidR="0020167D" w:rsidRDefault="0020167D" w:rsidP="0020167D">
      <w:pPr>
        <w:spacing w:line="360" w:lineRule="auto"/>
        <w:ind w:left="720"/>
        <w:jc w:val="both"/>
        <w:rPr>
          <w:rFonts w:ascii="David" w:hAnsi="David"/>
          <w:rtl/>
        </w:rPr>
      </w:pPr>
    </w:p>
    <w:p w14:paraId="28F1E26C" w14:textId="77777777" w:rsidR="0020167D" w:rsidRDefault="0020167D" w:rsidP="0020167D">
      <w:pPr>
        <w:spacing w:line="360" w:lineRule="auto"/>
        <w:ind w:left="720"/>
        <w:jc w:val="both"/>
        <w:rPr>
          <w:rFonts w:ascii="David" w:hAnsi="David"/>
          <w:rtl/>
        </w:rPr>
      </w:pPr>
      <w:r>
        <w:rPr>
          <w:rFonts w:ascii="David" w:hAnsi="David"/>
          <w:rtl/>
        </w:rPr>
        <w:t>יפים לענייננו דבריו של המשנה לנשיאה (בדימוס), השופט ס. ג'ובראן בעניין מזרחי, פסקה 9:</w:t>
      </w:r>
    </w:p>
    <w:p w14:paraId="62881AE8" w14:textId="77777777" w:rsidR="0020167D" w:rsidRDefault="0020167D" w:rsidP="0020167D">
      <w:pPr>
        <w:spacing w:line="360" w:lineRule="auto"/>
        <w:ind w:left="720"/>
        <w:jc w:val="both"/>
        <w:rPr>
          <w:rFonts w:ascii="David" w:hAnsi="David"/>
          <w:rtl/>
        </w:rPr>
      </w:pPr>
    </w:p>
    <w:p w14:paraId="1A7D0FAC" w14:textId="77777777" w:rsidR="0020167D" w:rsidRDefault="0020167D" w:rsidP="0020167D">
      <w:pPr>
        <w:pStyle w:val="Ruller41"/>
        <w:ind w:left="2160"/>
        <w:rPr>
          <w:rFonts w:ascii="David" w:hAnsi="David" w:cs="David"/>
          <w:b/>
          <w:bCs/>
          <w:rtl/>
        </w:rPr>
      </w:pPr>
      <w:r>
        <w:rPr>
          <w:rFonts w:ascii="David" w:hAnsi="David" w:cs="David"/>
          <w:b/>
          <w:bCs/>
          <w:rtl/>
        </w:rPr>
        <w:t xml:space="preserve">"בית משפט זה עמד פעמים רבות על חומרתה של עבירת השוד – אף במצבים בהם זו נעשית ללא אלימות פיזית ומבלי שהנאשם אוחז בפועל בנשק חם או קר – וקבע כי יש בה לפגוע בביטחונו האישי של קורבן העבירה, כמו גם בסדר הציבורי ובתחושת הביטחון של הציבור כולו (ראו למשל: </w:t>
      </w:r>
      <w:hyperlink r:id="rId39" w:history="1">
        <w:r w:rsidR="004F7D81" w:rsidRPr="004F7D81">
          <w:rPr>
            <w:rFonts w:ascii="David" w:hAnsi="David" w:cs="David"/>
            <w:b/>
            <w:bCs/>
            <w:color w:val="0000FF"/>
            <w:u w:val="single"/>
            <w:rtl/>
          </w:rPr>
          <w:t>ע"פ 2420/15</w:t>
        </w:r>
      </w:hyperlink>
      <w:r>
        <w:rPr>
          <w:rFonts w:ascii="David" w:hAnsi="David" w:cs="David"/>
          <w:b/>
          <w:bCs/>
          <w:rtl/>
        </w:rPr>
        <w:t xml:space="preserve"> </w:t>
      </w:r>
      <w:r>
        <w:rPr>
          <w:rFonts w:ascii="David" w:hAnsi="David" w:cs="David"/>
          <w:b/>
          <w:bCs/>
          <w:spacing w:val="0"/>
          <w:rtl/>
        </w:rPr>
        <w:t>אבטליון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17-15 (29.11.2015); </w:t>
      </w:r>
      <w:hyperlink r:id="rId40" w:history="1">
        <w:r w:rsidR="004F7D81" w:rsidRPr="004F7D81">
          <w:rPr>
            <w:rFonts w:ascii="David" w:hAnsi="David" w:cs="David"/>
            <w:b/>
            <w:bCs/>
            <w:color w:val="0000FF"/>
            <w:u w:val="single"/>
            <w:rtl/>
          </w:rPr>
          <w:t>ע"פ 8465/14</w:t>
        </w:r>
      </w:hyperlink>
      <w:r>
        <w:rPr>
          <w:rFonts w:ascii="David" w:hAnsi="David" w:cs="David"/>
          <w:b/>
          <w:bCs/>
          <w:rtl/>
        </w:rPr>
        <w:t xml:space="preserve"> </w:t>
      </w:r>
      <w:r>
        <w:rPr>
          <w:rFonts w:ascii="David" w:hAnsi="David" w:cs="David"/>
          <w:b/>
          <w:bCs/>
          <w:spacing w:val="0"/>
          <w:rtl/>
        </w:rPr>
        <w:t>כרכי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9 (24.8.2015)). בענייננו, במטרה להשיג כסף קל, המערער נכנס לסניף בנק, כשהוא מצויד באמצעים שהוא סבר שיסוו את זהותו, איים על הפקידה שעבדה בסניף באותה העת, בטענה כי הוא נושא נשק, והורה לה למלא את השקית שבה אחז בכסף. ברי כי מעשים אלה הינם חמורים, וכפי שהוטעם על ידי בית המשפט המחוזי, הם טומנים בחובם פוטנציאל פגיעה רב בערכים המוגנים של הגנה על שלום הציבור והגנה על הזכות לביטחון אישי – ובכלל זה הגנה על שלומם ותחושת ביטחונם של אלה העושים את מלאכתם ונותנים שירות לציבור. זאת ועוד, הרי שפוטנציאל הפגיעה בענייננו אף מתרחב לערכים המוגנים של שמירה על זכות הקניין והגנה על פעילות עסקית תקינה. משכך, ואף שהעבירה שביצע המערער אינה ברף חומרה גבוה מבין עבירות השוד, מעשיו מחייבים ענישה הולמת, שיהא בה כדי לשדר מסר עונשי שירתיע את העבריינים הפוטנציאליים מפני ביצוען, ושיהא בה כדי לבטא את שאת נפשו של הציבור מעבירות מעין אלו. זאת, בפרט נוכח הקלות שבה ניתן לבצע עבירות מסוג זה, אשר הפכו לנפוצות במחוזותינו בשנים האחרונות (ראו: </w:t>
      </w:r>
      <w:hyperlink r:id="rId41" w:history="1">
        <w:r w:rsidR="004F7D81" w:rsidRPr="004F7D81">
          <w:rPr>
            <w:rFonts w:ascii="David" w:hAnsi="David" w:cs="David"/>
            <w:b/>
            <w:bCs/>
            <w:color w:val="0000FF"/>
            <w:u w:val="single"/>
            <w:rtl/>
          </w:rPr>
          <w:t>ע"פ 1702/16</w:t>
        </w:r>
      </w:hyperlink>
      <w:r>
        <w:rPr>
          <w:rFonts w:ascii="David" w:hAnsi="David" w:cs="David"/>
          <w:b/>
          <w:bCs/>
          <w:rtl/>
        </w:rPr>
        <w:t xml:space="preserve"> </w:t>
      </w:r>
      <w:r>
        <w:rPr>
          <w:rFonts w:ascii="David" w:hAnsi="David" w:cs="David"/>
          <w:b/>
          <w:bCs/>
          <w:spacing w:val="0"/>
          <w:rtl/>
        </w:rPr>
        <w:t>מדינת ישראל נ' שושני</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10 (17.5.2016); </w:t>
      </w:r>
      <w:hyperlink r:id="rId42" w:history="1">
        <w:r w:rsidR="004F7D81" w:rsidRPr="004F7D81">
          <w:rPr>
            <w:rFonts w:ascii="David" w:hAnsi="David" w:cs="David"/>
            <w:b/>
            <w:bCs/>
            <w:color w:val="0000FF"/>
            <w:u w:val="single"/>
            <w:rtl/>
          </w:rPr>
          <w:t>ע"פ 1326/14</w:t>
        </w:r>
      </w:hyperlink>
      <w:r>
        <w:rPr>
          <w:rFonts w:ascii="David" w:hAnsi="David" w:cs="David"/>
          <w:b/>
          <w:bCs/>
          <w:rtl/>
        </w:rPr>
        <w:t xml:space="preserve"> </w:t>
      </w:r>
      <w:r>
        <w:rPr>
          <w:rFonts w:ascii="David" w:hAnsi="David" w:cs="David"/>
          <w:b/>
          <w:bCs/>
          <w:spacing w:val="0"/>
          <w:rtl/>
        </w:rPr>
        <w:t>מחאג'נה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פסקה ז (2.6.2014); </w:t>
      </w:r>
      <w:r w:rsidRPr="004F7D81">
        <w:rPr>
          <w:rFonts w:ascii="David" w:hAnsi="David" w:cs="David"/>
          <w:b/>
          <w:bCs/>
          <w:color w:val="000000"/>
          <w:rtl/>
        </w:rPr>
        <w:t xml:space="preserve">ע"פ 3470/11 </w:t>
      </w:r>
      <w:r>
        <w:rPr>
          <w:rFonts w:ascii="David" w:hAnsi="David" w:cs="David"/>
          <w:b/>
          <w:bCs/>
          <w:rtl/>
        </w:rPr>
        <w:t xml:space="preserve"> </w:t>
      </w:r>
      <w:r>
        <w:rPr>
          <w:rFonts w:ascii="David" w:hAnsi="David" w:cs="David"/>
          <w:b/>
          <w:bCs/>
          <w:spacing w:val="0"/>
          <w:rtl/>
        </w:rPr>
        <w:t>בוזגלו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פסקה 4 (28.11.2011)).</w:t>
      </w:r>
    </w:p>
    <w:p w14:paraId="4ACF07B6" w14:textId="77777777" w:rsidR="0020167D" w:rsidRDefault="0020167D" w:rsidP="0020167D">
      <w:pPr>
        <w:spacing w:line="360" w:lineRule="auto"/>
        <w:ind w:left="720"/>
        <w:jc w:val="both"/>
        <w:rPr>
          <w:rFonts w:ascii="David" w:hAnsi="David"/>
          <w:rtl/>
        </w:rPr>
      </w:pPr>
    </w:p>
    <w:p w14:paraId="03679CE0" w14:textId="77777777" w:rsidR="0020167D" w:rsidRDefault="0020167D" w:rsidP="0020167D">
      <w:pPr>
        <w:spacing w:line="360" w:lineRule="auto"/>
        <w:ind w:left="720"/>
        <w:jc w:val="both"/>
        <w:rPr>
          <w:rFonts w:ascii="David" w:hAnsi="David"/>
          <w:rtl/>
        </w:rPr>
      </w:pPr>
      <w:r>
        <w:rPr>
          <w:rFonts w:ascii="David" w:hAnsi="David"/>
          <w:rtl/>
        </w:rPr>
        <w:t>ודוק, על-פי עובדות כתב-האישום המתוקן,  עובר לאירוע המתואר בכתב-האישום, החליט הנאשם לבצע שוד. לצורך כך, הצטייד הלה במכל שחור בעל ראש אדום, אשר נחזה להיות גז פלפל.</w:t>
      </w:r>
    </w:p>
    <w:p w14:paraId="38F9E2FD" w14:textId="77777777" w:rsidR="0020167D" w:rsidRDefault="0020167D" w:rsidP="0020167D">
      <w:pPr>
        <w:spacing w:line="360" w:lineRule="auto"/>
        <w:ind w:left="720"/>
        <w:jc w:val="both"/>
        <w:rPr>
          <w:rFonts w:ascii="David" w:hAnsi="David"/>
          <w:rtl/>
        </w:rPr>
      </w:pPr>
    </w:p>
    <w:p w14:paraId="6585E4CA" w14:textId="77777777" w:rsidR="0020167D" w:rsidRDefault="0020167D" w:rsidP="0020167D">
      <w:pPr>
        <w:pStyle w:val="a9"/>
        <w:spacing w:line="360" w:lineRule="auto"/>
        <w:jc w:val="both"/>
        <w:rPr>
          <w:rFonts w:ascii="David" w:hAnsi="David" w:cs="David"/>
          <w:sz w:val="24"/>
          <w:szCs w:val="24"/>
        </w:rPr>
      </w:pPr>
      <w:r>
        <w:rPr>
          <w:rFonts w:ascii="David" w:hAnsi="David" w:cs="David"/>
          <w:sz w:val="24"/>
          <w:szCs w:val="24"/>
          <w:rtl/>
        </w:rPr>
        <w:t>ביום 29.09.2021, סמוך לשעה 11:55, נכנס הנאשם למונית וביקש להסיעו לסניף הדואר בקיסריה. בשעה 12:00 לערך, הגיע הנאשם לסניף הדואר, כשהוא לבוש חולצה לבנה בעלת שרוולים ארוכים של חברת "ריפליי", מכנס כהה, כובע מצחייה כהה, נעליים כהות, ועוטה "מסכת קורונה" ורודה, והתיישב על הספסל בכניסה לסניף הדואר.</w:t>
      </w:r>
    </w:p>
    <w:p w14:paraId="5CA71444" w14:textId="77777777" w:rsidR="0020167D" w:rsidRDefault="0020167D" w:rsidP="0020167D">
      <w:pPr>
        <w:pStyle w:val="a9"/>
        <w:spacing w:line="360" w:lineRule="auto"/>
        <w:jc w:val="both"/>
        <w:rPr>
          <w:rFonts w:ascii="David" w:hAnsi="David" w:cs="David"/>
          <w:sz w:val="24"/>
          <w:szCs w:val="24"/>
          <w:rtl/>
        </w:rPr>
      </w:pPr>
    </w:p>
    <w:p w14:paraId="10C14A59"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בתוך סניף הדואר, עבדה אותה עת המתלוננת, ומשהבחינה בנאשם, קראה לו לגשת אל אשנב קבלת הקהל. הנאשם ניגש אל האשנב, הכניס את ידו הימנית מתחת לזכוכית הדלפק, אחז במכל ואמר למתלוננת "</w:t>
      </w:r>
      <w:r>
        <w:rPr>
          <w:rFonts w:ascii="David" w:hAnsi="David" w:cs="David"/>
          <w:b/>
          <w:bCs/>
          <w:sz w:val="24"/>
          <w:szCs w:val="24"/>
          <w:rtl/>
        </w:rPr>
        <w:t>את הכסף</w:t>
      </w:r>
      <w:r>
        <w:rPr>
          <w:rFonts w:ascii="David" w:hAnsi="David" w:cs="David"/>
          <w:sz w:val="24"/>
          <w:szCs w:val="24"/>
          <w:rtl/>
        </w:rPr>
        <w:t>". בתגובה, ובפחדה מן הנאשם, החלה המתלוננת להוציא שטרות מן המגירה שלימינה בסך כולל של 4,000 ₪ ומסרה אותם לנאשם. בשלב זה, אמר הנאשם למתלוננת: "</w:t>
      </w:r>
      <w:r>
        <w:rPr>
          <w:rFonts w:ascii="David" w:hAnsi="David" w:cs="David"/>
          <w:b/>
          <w:bCs/>
          <w:sz w:val="24"/>
          <w:szCs w:val="24"/>
          <w:rtl/>
        </w:rPr>
        <w:t>מהר, מהר, מהר</w:t>
      </w:r>
      <w:r>
        <w:rPr>
          <w:rFonts w:ascii="David" w:hAnsi="David" w:cs="David"/>
          <w:sz w:val="24"/>
          <w:szCs w:val="24"/>
          <w:rtl/>
        </w:rPr>
        <w:t>" ו- "</w:t>
      </w:r>
      <w:r>
        <w:rPr>
          <w:rFonts w:ascii="David" w:hAnsi="David" w:cs="David"/>
          <w:b/>
          <w:bCs/>
          <w:sz w:val="24"/>
          <w:szCs w:val="24"/>
          <w:rtl/>
        </w:rPr>
        <w:t>עוד, עוד, עוד</w:t>
      </w:r>
      <w:r>
        <w:rPr>
          <w:rFonts w:ascii="David" w:hAnsi="David" w:cs="David"/>
          <w:sz w:val="24"/>
          <w:szCs w:val="24"/>
          <w:rtl/>
        </w:rPr>
        <w:t>". בתגובה לכך, אספה היא את מטבעות הכסף שהיו במגירה באמצעות ידהּ, אך בטרם הספיקה לתת אותם לנאשם, הוא נמלט מן המקום בריצה אל עבר המונית.</w:t>
      </w:r>
    </w:p>
    <w:p w14:paraId="624E0369" w14:textId="77777777" w:rsidR="0020167D" w:rsidRDefault="0020167D" w:rsidP="0020167D">
      <w:pPr>
        <w:spacing w:line="360" w:lineRule="auto"/>
        <w:ind w:left="720"/>
        <w:jc w:val="both"/>
        <w:rPr>
          <w:rFonts w:ascii="David" w:hAnsi="David"/>
          <w:rtl/>
        </w:rPr>
      </w:pPr>
    </w:p>
    <w:p w14:paraId="65E5AD22" w14:textId="77777777" w:rsidR="0020167D" w:rsidRDefault="0020167D" w:rsidP="0020167D">
      <w:pPr>
        <w:spacing w:line="360" w:lineRule="auto"/>
        <w:ind w:left="720"/>
        <w:jc w:val="both"/>
        <w:rPr>
          <w:rFonts w:ascii="David" w:hAnsi="David"/>
          <w:rtl/>
        </w:rPr>
      </w:pPr>
      <w:r>
        <w:rPr>
          <w:rFonts w:ascii="David" w:hAnsi="David"/>
          <w:rtl/>
        </w:rPr>
        <w:t>עולה בבירור מן האמור לעיל, כי לנאשם היו הזדמנויות למכביר לעצור את המעשה הנפשע בכל רגע נתון, דא עקא, הוא לא עשה כן, בנוסף, וכאמור כבר לעיל, גם אם במבחן התוצאה לא נגרמו למתלוננת נזקים, הרי שעלינו לזכור, כי ראשיתו של מעשה שוד ידוע, אולם פעמים רבות מידי, יוצאים הדברים משליטה, ואזי אחריתם מי ישורנו?</w:t>
      </w:r>
    </w:p>
    <w:p w14:paraId="372FD0F6" w14:textId="77777777" w:rsidR="0020167D" w:rsidRDefault="0020167D" w:rsidP="0020167D">
      <w:pPr>
        <w:pStyle w:val="Ruller40"/>
        <w:rPr>
          <w:rFonts w:ascii="David" w:hAnsi="David" w:cs="David"/>
          <w:sz w:val="24"/>
          <w:szCs w:val="24"/>
          <w:rtl/>
        </w:rPr>
      </w:pPr>
    </w:p>
    <w:p w14:paraId="40703E84" w14:textId="77777777" w:rsidR="0020167D" w:rsidRDefault="0020167D" w:rsidP="0020167D">
      <w:pPr>
        <w:pStyle w:val="Ruller40"/>
        <w:numPr>
          <w:ilvl w:val="0"/>
          <w:numId w:val="1"/>
        </w:numPr>
        <w:ind w:hanging="720"/>
        <w:rPr>
          <w:rFonts w:ascii="David" w:hAnsi="David" w:cs="David"/>
          <w:sz w:val="24"/>
          <w:szCs w:val="24"/>
          <w:rtl/>
        </w:rPr>
      </w:pPr>
      <w:r>
        <w:rPr>
          <w:rFonts w:ascii="David" w:hAnsi="David" w:cs="David"/>
          <w:sz w:val="24"/>
          <w:szCs w:val="24"/>
          <w:rtl/>
        </w:rPr>
        <w:t>מתחם הענישה בעבירות השוד תלוי בנסיבותיו המיוחדות של כל מקרה ומקרה, ובאי-כוח הצדדים הפנו לפסיקה רלוונטית, והגישו לעיוני אסופת פסיקה.</w:t>
      </w:r>
    </w:p>
    <w:p w14:paraId="2D1B1CEE" w14:textId="77777777" w:rsidR="0020167D" w:rsidRDefault="0020167D" w:rsidP="0020167D">
      <w:pPr>
        <w:pStyle w:val="Ruller40"/>
        <w:ind w:left="720" w:hanging="720"/>
        <w:rPr>
          <w:rFonts w:ascii="David" w:hAnsi="David" w:cs="David"/>
          <w:sz w:val="24"/>
          <w:szCs w:val="24"/>
          <w:rtl/>
        </w:rPr>
      </w:pPr>
    </w:p>
    <w:p w14:paraId="04319B2D"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עולה בבירור, כי קיים מנעד רחב ביותר של פסיקה באשר לענישה בעבירות האמורות. מחד-גיסא, קיימת פסיקה שבה הסתפקו בתי המשפט בהטלת עונשי מאסר בפועל לריצוי בדרך של עבודות שירות או לחלופין הטילו על הנאשמים עונשי מאסר לא ארוכים, ומאידך גיסא, קיימת פסיקה, שבה עמדו בתי המשפט על-כך שיש להטיל על נאשמים בעבירות שוד ענישה מוחשית, אשר תכלול תקופת מאסר משמעותית מאחורי סורג ובריח.</w:t>
      </w:r>
    </w:p>
    <w:p w14:paraId="7E1AB01C" w14:textId="77777777" w:rsidR="0020167D" w:rsidRDefault="0020167D" w:rsidP="0020167D">
      <w:pPr>
        <w:pStyle w:val="a9"/>
        <w:spacing w:line="360" w:lineRule="auto"/>
        <w:jc w:val="both"/>
        <w:rPr>
          <w:rFonts w:ascii="David" w:hAnsi="David" w:cs="David"/>
          <w:sz w:val="24"/>
          <w:szCs w:val="24"/>
          <w:rtl/>
        </w:rPr>
      </w:pPr>
    </w:p>
    <w:p w14:paraId="60E32D2A" w14:textId="77777777" w:rsidR="0020167D" w:rsidRDefault="0020167D" w:rsidP="0020167D">
      <w:pPr>
        <w:pStyle w:val="Ruller40"/>
        <w:ind w:left="720"/>
        <w:rPr>
          <w:rFonts w:ascii="David" w:hAnsi="David" w:cs="David"/>
          <w:sz w:val="24"/>
          <w:szCs w:val="24"/>
          <w:rtl/>
        </w:rPr>
      </w:pPr>
      <w:r>
        <w:rPr>
          <w:rFonts w:ascii="David" w:hAnsi="David" w:cs="David"/>
          <w:sz w:val="24"/>
          <w:szCs w:val="24"/>
          <w:rtl/>
        </w:rPr>
        <w:t xml:space="preserve">קראתי את הפסיקה אליה הפנו הצדדים. </w:t>
      </w:r>
    </w:p>
    <w:p w14:paraId="06487C01" w14:textId="77777777" w:rsidR="0020167D" w:rsidRDefault="0020167D" w:rsidP="0020167D">
      <w:pPr>
        <w:pStyle w:val="Ruller40"/>
        <w:rPr>
          <w:rFonts w:ascii="David" w:hAnsi="David" w:cs="David"/>
          <w:sz w:val="24"/>
          <w:szCs w:val="24"/>
          <w:rtl/>
        </w:rPr>
      </w:pPr>
      <w:r>
        <w:rPr>
          <w:rFonts w:ascii="David" w:hAnsi="David" w:cs="David"/>
          <w:sz w:val="24"/>
          <w:szCs w:val="24"/>
          <w:rtl/>
        </w:rPr>
        <w:tab/>
      </w:r>
    </w:p>
    <w:p w14:paraId="25C9DA60" w14:textId="77777777" w:rsidR="0020167D" w:rsidRDefault="0020167D" w:rsidP="0020167D">
      <w:pPr>
        <w:spacing w:line="360" w:lineRule="auto"/>
        <w:ind w:left="720"/>
        <w:jc w:val="both"/>
        <w:rPr>
          <w:rFonts w:ascii="David" w:hAnsi="David"/>
          <w:rtl/>
        </w:rPr>
      </w:pPr>
      <w:r>
        <w:rPr>
          <w:rFonts w:ascii="David" w:hAnsi="David"/>
          <w:rtl/>
        </w:rPr>
        <w:t>מן הפסיקה אליה הפנתה המאשימה עולות נסיבות חמורות מן הנסיבות אשר מתוארות בכתב-האישום המתוקן בענייננו, לרבות, עבר מכביד של הנאשמים, ופגיעה פיזית במתלוננים.</w:t>
      </w:r>
    </w:p>
    <w:p w14:paraId="4BCB6E90" w14:textId="77777777" w:rsidR="0020167D" w:rsidRDefault="0020167D" w:rsidP="0020167D">
      <w:pPr>
        <w:spacing w:line="360" w:lineRule="auto"/>
        <w:ind w:left="720"/>
        <w:jc w:val="both"/>
        <w:rPr>
          <w:rFonts w:ascii="David" w:hAnsi="David"/>
          <w:rtl/>
        </w:rPr>
      </w:pPr>
      <w:r>
        <w:rPr>
          <w:rFonts w:ascii="David" w:hAnsi="David"/>
          <w:rtl/>
        </w:rPr>
        <w:t>מנגד, עולה מן הפסיקה המצומצמת אליה הפנתה באת-כוחו של הנאשם עולה, כי גם שם הנסיבות שונות מאלו שבעניינו של הנאשם שבפניי, לרבות העובדה, שערכאת הערעור אינה נוטה למצות את חומרת הדין עם הנאשמים.</w:t>
      </w:r>
    </w:p>
    <w:p w14:paraId="565D7469" w14:textId="77777777" w:rsidR="0020167D" w:rsidRDefault="0020167D" w:rsidP="0020167D">
      <w:pPr>
        <w:spacing w:line="360" w:lineRule="auto"/>
        <w:ind w:left="720"/>
        <w:jc w:val="both"/>
        <w:rPr>
          <w:rFonts w:ascii="David" w:hAnsi="David"/>
          <w:rtl/>
        </w:rPr>
      </w:pPr>
    </w:p>
    <w:p w14:paraId="5A47C1C6" w14:textId="77777777" w:rsidR="0020167D" w:rsidRDefault="0020167D" w:rsidP="0020167D">
      <w:pPr>
        <w:spacing w:line="360" w:lineRule="auto"/>
        <w:ind w:left="720"/>
        <w:jc w:val="both"/>
        <w:rPr>
          <w:rFonts w:ascii="David" w:hAnsi="David"/>
          <w:rtl/>
        </w:rPr>
      </w:pPr>
      <w:r>
        <w:rPr>
          <w:rFonts w:ascii="David" w:hAnsi="David"/>
          <w:rtl/>
        </w:rPr>
        <w:t>לצד הפסיקה האמורה, מעיון מעמיק בהלכות, עולה, כי בית המשפט העליון התווה בפסיקה עקבית מדיניות ענישה מחמירה בעבירות של שוד.</w:t>
      </w:r>
    </w:p>
    <w:p w14:paraId="0DE1BCC6" w14:textId="77777777" w:rsidR="0020167D" w:rsidRDefault="0020167D" w:rsidP="0020167D">
      <w:pPr>
        <w:spacing w:line="360" w:lineRule="auto"/>
        <w:ind w:left="720"/>
        <w:jc w:val="both"/>
        <w:rPr>
          <w:rFonts w:ascii="David" w:hAnsi="David"/>
          <w:rtl/>
        </w:rPr>
      </w:pPr>
    </w:p>
    <w:p w14:paraId="2813A45D" w14:textId="77777777" w:rsidR="0020167D" w:rsidRDefault="0020167D" w:rsidP="0020167D">
      <w:pPr>
        <w:spacing w:line="360" w:lineRule="auto"/>
        <w:ind w:left="720"/>
        <w:jc w:val="both"/>
        <w:rPr>
          <w:rFonts w:ascii="David" w:hAnsi="David"/>
          <w:rtl/>
        </w:rPr>
      </w:pPr>
      <w:r>
        <w:rPr>
          <w:rFonts w:ascii="David" w:hAnsi="David"/>
          <w:rtl/>
        </w:rPr>
        <w:t>אפנה לדבריו של כב' השופט (בדימוס) א. שהם ב-</w:t>
      </w:r>
      <w:hyperlink r:id="rId43" w:history="1">
        <w:r w:rsidR="004F7D81" w:rsidRPr="004F7D81">
          <w:rPr>
            <w:rFonts w:ascii="David" w:hAnsi="David"/>
            <w:color w:val="0000FF"/>
            <w:u w:val="single"/>
            <w:rtl/>
          </w:rPr>
          <w:t>ע"פ 936/14</w:t>
        </w:r>
      </w:hyperlink>
      <w:r>
        <w:rPr>
          <w:rFonts w:ascii="David" w:hAnsi="David"/>
          <w:rtl/>
        </w:rPr>
        <w:t xml:space="preserve"> בעניין אברהה, אליו הפנתה בא-כוח הנאשם, פסקה 16:</w:t>
      </w:r>
    </w:p>
    <w:p w14:paraId="1495529D" w14:textId="77777777" w:rsidR="0020167D" w:rsidRDefault="0020167D" w:rsidP="0020167D">
      <w:pPr>
        <w:spacing w:line="360" w:lineRule="auto"/>
        <w:ind w:left="720"/>
        <w:jc w:val="both"/>
        <w:rPr>
          <w:rFonts w:ascii="David" w:hAnsi="David"/>
          <w:rtl/>
        </w:rPr>
      </w:pPr>
    </w:p>
    <w:p w14:paraId="3F8F07CF" w14:textId="77777777" w:rsidR="0020167D" w:rsidRDefault="0020167D" w:rsidP="0020167D">
      <w:pPr>
        <w:pStyle w:val="Ruller40"/>
        <w:ind w:left="2160"/>
        <w:rPr>
          <w:rFonts w:ascii="David" w:hAnsi="David" w:cs="David"/>
          <w:b/>
          <w:bCs/>
          <w:sz w:val="24"/>
          <w:szCs w:val="24"/>
          <w:rtl/>
        </w:rPr>
      </w:pPr>
      <w:r>
        <w:rPr>
          <w:rFonts w:ascii="David" w:hAnsi="David" w:cs="David"/>
          <w:b/>
          <w:bCs/>
          <w:sz w:val="24"/>
          <w:szCs w:val="24"/>
          <w:rtl/>
        </w:rPr>
        <w:t xml:space="preserve">".... על רמת הענישה בעבירות כגון אלה, ועל מגמת ההחמרה בענישה לאור התגברות התופעה, ניתן ללמוד מפסיקתו של בית משפט זה, בשורה של פסקי דין, וביניהם: </w:t>
      </w:r>
      <w:hyperlink r:id="rId44" w:history="1">
        <w:r w:rsidR="004F7D81" w:rsidRPr="004F7D81">
          <w:rPr>
            <w:rFonts w:ascii="David" w:hAnsi="David" w:cs="David"/>
            <w:b/>
            <w:bCs/>
            <w:color w:val="0000FF"/>
            <w:sz w:val="24"/>
            <w:szCs w:val="24"/>
            <w:u w:val="single"/>
            <w:rtl/>
          </w:rPr>
          <w:t>ע"פ 3683/12</w:t>
        </w:r>
      </w:hyperlink>
      <w:r>
        <w:rPr>
          <w:rFonts w:ascii="David" w:hAnsi="David" w:cs="David"/>
          <w:b/>
          <w:bCs/>
          <w:sz w:val="24"/>
          <w:szCs w:val="24"/>
          <w:rtl/>
        </w:rPr>
        <w:t xml:space="preserve"> </w:t>
      </w:r>
      <w:r>
        <w:rPr>
          <w:rFonts w:ascii="David" w:hAnsi="David" w:cs="David"/>
          <w:b/>
          <w:bCs/>
          <w:spacing w:val="0"/>
          <w:sz w:val="24"/>
          <w:szCs w:val="24"/>
          <w:rtl/>
        </w:rPr>
        <w:t>צגורי נ' מדינת ישראל</w:t>
      </w:r>
      <w:r>
        <w:rPr>
          <w:rFonts w:ascii="David" w:hAnsi="David" w:cs="David"/>
          <w:b/>
          <w:bCs/>
          <w:sz w:val="24"/>
          <w:szCs w:val="24"/>
          <w:rtl/>
        </w:rPr>
        <w:t xml:space="preserve"> </w:t>
      </w:r>
      <w:r>
        <w:rPr>
          <w:rFonts w:ascii="David" w:hAnsi="David" w:cs="David"/>
          <w:b/>
          <w:bCs/>
          <w:spacing w:val="0"/>
          <w:sz w:val="24"/>
          <w:szCs w:val="24"/>
          <w:rtl/>
        </w:rPr>
        <w:t xml:space="preserve">[פורסם בנבו] </w:t>
      </w:r>
      <w:r>
        <w:rPr>
          <w:rFonts w:ascii="David" w:hAnsi="David" w:cs="David"/>
          <w:b/>
          <w:bCs/>
          <w:sz w:val="24"/>
          <w:szCs w:val="24"/>
          <w:rtl/>
        </w:rPr>
        <w:t xml:space="preserve">(20.12.2012); </w:t>
      </w:r>
      <w:hyperlink r:id="rId45" w:history="1">
        <w:r w:rsidR="004F7D81" w:rsidRPr="004F7D81">
          <w:rPr>
            <w:rFonts w:ascii="David" w:hAnsi="David" w:cs="David"/>
            <w:b/>
            <w:bCs/>
            <w:color w:val="0000FF"/>
            <w:sz w:val="24"/>
            <w:szCs w:val="24"/>
            <w:u w:val="single"/>
            <w:rtl/>
          </w:rPr>
          <w:t>ע"פ 3160/12</w:t>
        </w:r>
      </w:hyperlink>
      <w:r>
        <w:rPr>
          <w:rFonts w:ascii="David" w:hAnsi="David" w:cs="David"/>
          <w:b/>
          <w:bCs/>
          <w:sz w:val="24"/>
          <w:szCs w:val="24"/>
          <w:rtl/>
        </w:rPr>
        <w:t xml:space="preserve"> </w:t>
      </w:r>
      <w:r>
        <w:rPr>
          <w:rFonts w:ascii="David" w:hAnsi="David" w:cs="David"/>
          <w:b/>
          <w:bCs/>
          <w:spacing w:val="0"/>
          <w:sz w:val="24"/>
          <w:szCs w:val="24"/>
          <w:rtl/>
        </w:rPr>
        <w:t>כריסטיאן נ' מדינת ישראל</w:t>
      </w:r>
      <w:r>
        <w:rPr>
          <w:rFonts w:ascii="David" w:hAnsi="David" w:cs="David"/>
          <w:b/>
          <w:bCs/>
          <w:sz w:val="24"/>
          <w:szCs w:val="24"/>
          <w:rtl/>
        </w:rPr>
        <w:t xml:space="preserve"> </w:t>
      </w:r>
      <w:r>
        <w:rPr>
          <w:rFonts w:ascii="David" w:hAnsi="David" w:cs="David"/>
          <w:b/>
          <w:bCs/>
          <w:spacing w:val="0"/>
          <w:sz w:val="24"/>
          <w:szCs w:val="24"/>
          <w:rtl/>
        </w:rPr>
        <w:t xml:space="preserve">[פורסם בנבו] </w:t>
      </w:r>
      <w:r>
        <w:rPr>
          <w:rFonts w:ascii="David" w:hAnsi="David" w:cs="David"/>
          <w:b/>
          <w:bCs/>
          <w:sz w:val="24"/>
          <w:szCs w:val="24"/>
          <w:rtl/>
        </w:rPr>
        <w:t xml:space="preserve">(21.4.2013); ועניין </w:t>
      </w:r>
      <w:r>
        <w:rPr>
          <w:rFonts w:ascii="David" w:hAnsi="David" w:cs="David"/>
          <w:b/>
          <w:bCs/>
          <w:spacing w:val="0"/>
          <w:sz w:val="24"/>
          <w:szCs w:val="24"/>
          <w:rtl/>
        </w:rPr>
        <w:t>כאברי</w:t>
      </w:r>
      <w:r>
        <w:rPr>
          <w:rFonts w:ascii="David" w:hAnsi="David" w:cs="David"/>
          <w:b/>
          <w:bCs/>
          <w:sz w:val="24"/>
          <w:szCs w:val="24"/>
          <w:rtl/>
        </w:rPr>
        <w:t>)".</w:t>
      </w:r>
    </w:p>
    <w:p w14:paraId="6D2B6192" w14:textId="77777777" w:rsidR="0020167D" w:rsidRDefault="0020167D" w:rsidP="0020167D">
      <w:pPr>
        <w:spacing w:line="360" w:lineRule="auto"/>
        <w:jc w:val="both"/>
        <w:rPr>
          <w:rFonts w:ascii="David" w:hAnsi="David"/>
          <w:b/>
          <w:bCs/>
          <w:rtl/>
        </w:rPr>
      </w:pPr>
    </w:p>
    <w:p w14:paraId="344B01EB" w14:textId="77777777" w:rsidR="0020167D" w:rsidRDefault="0020167D" w:rsidP="0020167D">
      <w:pPr>
        <w:pStyle w:val="David"/>
        <w:ind w:left="720"/>
        <w:rPr>
          <w:rFonts w:ascii="David" w:hAnsi="David"/>
          <w:rtl/>
        </w:rPr>
      </w:pPr>
      <w:r>
        <w:rPr>
          <w:rFonts w:ascii="David" w:hAnsi="David"/>
          <w:spacing w:val="10"/>
          <w:rtl/>
        </w:rPr>
        <w:t xml:space="preserve">בענייננו, </w:t>
      </w:r>
      <w:r>
        <w:rPr>
          <w:rFonts w:ascii="David" w:hAnsi="David"/>
          <w:rtl/>
        </w:rPr>
        <w:t>מחד גיסא, השוד מושא כתב-האישום המתוקן אינו נמנה עם המקרים החמורים ביותר, בשים-לב למידת האלימות והאיום שהופעלה כלפי המתלוננת ותוצאותיה. מאידך גיסא, אדגיש, כי הגם שעולה שלמתלוננת לא נגרם נזק פיזי, אין להקל ראש, ולו בדוחק, בנזקים הנפשיים שעלולים להיגרם למאן-דהוא כתוצאה מאירוע כה טראומטי, וכי הנאשם יכול היה לעצור את ביצוע העבירה, אולם הוא לא עשה כן.</w:t>
      </w:r>
    </w:p>
    <w:p w14:paraId="3C957328" w14:textId="77777777" w:rsidR="0020167D" w:rsidRDefault="0020167D" w:rsidP="0020167D">
      <w:pPr>
        <w:pStyle w:val="David"/>
        <w:ind w:left="720"/>
        <w:rPr>
          <w:rFonts w:ascii="David" w:hAnsi="David"/>
          <w:rtl/>
        </w:rPr>
      </w:pPr>
    </w:p>
    <w:p w14:paraId="4C6F96C1" w14:textId="77777777" w:rsidR="0020167D" w:rsidRDefault="0020167D" w:rsidP="0020167D">
      <w:pPr>
        <w:spacing w:line="360" w:lineRule="auto"/>
        <w:ind w:left="720"/>
        <w:jc w:val="both"/>
        <w:rPr>
          <w:rFonts w:ascii="David" w:hAnsi="David"/>
          <w:rtl/>
        </w:rPr>
      </w:pPr>
      <w:r>
        <w:rPr>
          <w:rFonts w:ascii="David" w:hAnsi="David"/>
          <w:rtl/>
        </w:rPr>
        <w:t xml:space="preserve">זאת ועוד, אדגיש, כי במסגרת הנסיבות הקשורות בביצוע העבירה, יש לבחון לא רק את הנזק שנגרם מביצוע העבירה אלא גם את הנזק שהיה צפוי להיגרם מביצוע העבירה. </w:t>
      </w:r>
    </w:p>
    <w:p w14:paraId="6FF7400E" w14:textId="77777777" w:rsidR="0020167D" w:rsidRDefault="0020167D" w:rsidP="0020167D">
      <w:pPr>
        <w:spacing w:line="360" w:lineRule="auto"/>
        <w:ind w:left="720"/>
        <w:jc w:val="both"/>
        <w:rPr>
          <w:rFonts w:ascii="David" w:hAnsi="David"/>
          <w:rtl/>
        </w:rPr>
      </w:pPr>
    </w:p>
    <w:p w14:paraId="7B614009" w14:textId="77777777" w:rsidR="0020167D" w:rsidRDefault="0020167D" w:rsidP="0020167D">
      <w:pPr>
        <w:spacing w:line="360" w:lineRule="auto"/>
        <w:ind w:left="720"/>
        <w:jc w:val="both"/>
        <w:rPr>
          <w:rFonts w:ascii="David" w:hAnsi="David"/>
          <w:rtl/>
        </w:rPr>
      </w:pPr>
      <w:r>
        <w:rPr>
          <w:rFonts w:ascii="David" w:hAnsi="David"/>
          <w:rtl/>
        </w:rPr>
        <w:t xml:space="preserve">ולעניין זה, אפנה לדבריה של כב' השופטת </w:t>
      </w:r>
      <w:r>
        <w:rPr>
          <w:rFonts w:ascii="David" w:hAnsi="David" w:hint="cs"/>
          <w:rtl/>
        </w:rPr>
        <w:t>ע. ארבל</w:t>
      </w:r>
      <w:r>
        <w:rPr>
          <w:rFonts w:ascii="David" w:hAnsi="David"/>
          <w:rtl/>
        </w:rPr>
        <w:t>, בעניין אבו הוידי, בשינויים המתחייבים.</w:t>
      </w:r>
      <w:r>
        <w:rPr>
          <w:rFonts w:cs="FrankRuehl"/>
          <w:sz w:val="28"/>
          <w:szCs w:val="28"/>
          <w:rtl/>
        </w:rPr>
        <w:t xml:space="preserve"> </w:t>
      </w:r>
    </w:p>
    <w:p w14:paraId="5CE28949" w14:textId="77777777" w:rsidR="0020167D" w:rsidRDefault="0020167D" w:rsidP="0020167D">
      <w:pPr>
        <w:spacing w:line="360" w:lineRule="auto"/>
        <w:ind w:left="720"/>
        <w:jc w:val="both"/>
        <w:rPr>
          <w:rFonts w:ascii="David" w:hAnsi="David"/>
          <w:rtl/>
        </w:rPr>
      </w:pPr>
    </w:p>
    <w:p w14:paraId="79B9A4A3" w14:textId="77777777" w:rsidR="0020167D" w:rsidRDefault="0020167D" w:rsidP="0020167D">
      <w:pPr>
        <w:spacing w:line="360" w:lineRule="auto"/>
        <w:ind w:left="720"/>
        <w:jc w:val="both"/>
        <w:rPr>
          <w:rFonts w:ascii="David" w:hAnsi="David"/>
          <w:rtl/>
        </w:rPr>
      </w:pPr>
      <w:r>
        <w:rPr>
          <w:rFonts w:ascii="David" w:hAnsi="David"/>
          <w:rtl/>
        </w:rPr>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כך: </w:t>
      </w:r>
    </w:p>
    <w:p w14:paraId="61EDE95D" w14:textId="77777777" w:rsidR="0020167D" w:rsidRDefault="0020167D" w:rsidP="0020167D">
      <w:pPr>
        <w:spacing w:line="360" w:lineRule="auto"/>
        <w:ind w:left="720"/>
        <w:jc w:val="both"/>
        <w:rPr>
          <w:rFonts w:ascii="David" w:hAnsi="David"/>
          <w:rtl/>
        </w:rPr>
      </w:pPr>
    </w:p>
    <w:p w14:paraId="7F1E8134" w14:textId="77777777" w:rsidR="0020167D" w:rsidRDefault="0020167D" w:rsidP="0020167D">
      <w:pPr>
        <w:spacing w:line="360" w:lineRule="auto"/>
        <w:ind w:left="720"/>
        <w:jc w:val="both"/>
        <w:rPr>
          <w:rFonts w:ascii="David" w:hAnsi="David"/>
          <w:rtl/>
        </w:rPr>
      </w:pPr>
      <w:r>
        <w:rPr>
          <w:rFonts w:ascii="David" w:hAnsi="David"/>
          <w:rtl/>
        </w:rPr>
        <w:t>מתחם הענישה הראוי, בעבירה מושא כתב-האישום המתוקן, הוא מאסר בפועל לתקופה שנעה בין 20-48 חודשים, זאת לצד עונשים נלווים.</w:t>
      </w:r>
    </w:p>
    <w:p w14:paraId="504FA1B9" w14:textId="77777777" w:rsidR="0020167D" w:rsidRDefault="0020167D" w:rsidP="0020167D">
      <w:pPr>
        <w:spacing w:line="360" w:lineRule="auto"/>
        <w:ind w:left="720"/>
        <w:jc w:val="both"/>
        <w:rPr>
          <w:rFonts w:ascii="David" w:hAnsi="David"/>
          <w:rtl/>
        </w:rPr>
      </w:pPr>
    </w:p>
    <w:p w14:paraId="19FC1D89"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בית המשפט רשאי לחרוג ממתחם העונש ההולם או לקולא, בשל שיקולי שיקום וטיפול של הנאשם, או לחומרא בשל הגנה על שלום הציבור. </w:t>
      </w:r>
    </w:p>
    <w:p w14:paraId="7805D6C0" w14:textId="77777777" w:rsidR="0020167D" w:rsidRDefault="0020167D" w:rsidP="0020167D">
      <w:pPr>
        <w:spacing w:line="360" w:lineRule="auto"/>
        <w:ind w:left="720"/>
        <w:jc w:val="both"/>
        <w:rPr>
          <w:rFonts w:ascii="David" w:hAnsi="David"/>
          <w:rtl/>
        </w:rPr>
      </w:pPr>
      <w:r>
        <w:rPr>
          <w:rFonts w:ascii="David" w:hAnsi="David"/>
          <w:rtl/>
        </w:rPr>
        <w:t xml:space="preserve">בעניינו של הנאשם, אין כל מקום לסטות </w:t>
      </w:r>
      <w:r>
        <w:rPr>
          <w:rFonts w:ascii="David" w:hAnsi="David" w:hint="cs"/>
          <w:rtl/>
        </w:rPr>
        <w:t xml:space="preserve">לקולא </w:t>
      </w:r>
      <w:r>
        <w:rPr>
          <w:rFonts w:ascii="David" w:hAnsi="David"/>
          <w:rtl/>
        </w:rPr>
        <w:t>ממתחם הענישה, שקבעתי לעיל. מנגד סבורני, כי אף לא מתקיימים התנאים לסטייה לחומרא ממתחם העונש האמור, ולפיכך, קובע אני, כי עונשו של הנאשם יקבע במתחם האמור.</w:t>
      </w:r>
    </w:p>
    <w:p w14:paraId="130C769E" w14:textId="77777777" w:rsidR="0020167D" w:rsidRDefault="0020167D" w:rsidP="0020167D">
      <w:pPr>
        <w:spacing w:line="360" w:lineRule="auto"/>
        <w:ind w:left="720"/>
        <w:jc w:val="both"/>
        <w:rPr>
          <w:rFonts w:ascii="David" w:hAnsi="David"/>
          <w:rtl/>
        </w:rPr>
      </w:pPr>
    </w:p>
    <w:p w14:paraId="602F5068"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יש להתחשב בנסיבות שאינן קשורות לביצוע העבירה, ובענייננו יש להביא בחשבון כשיקול לקולא את הודאתו של הנאשם במרבית עובדות כתב-האישום, בהזדמנות הראשונה, שעה שהמחלוקת בין הצדדים נסובה בעיקר בסוגיה משפטית, ובכך חסך זמן שיפוטי יקר.</w:t>
      </w:r>
    </w:p>
    <w:p w14:paraId="122C8ACA" w14:textId="77777777" w:rsidR="0020167D" w:rsidRDefault="0020167D" w:rsidP="0020167D">
      <w:pPr>
        <w:pStyle w:val="Ruller40"/>
        <w:ind w:left="720"/>
        <w:rPr>
          <w:rFonts w:ascii="David" w:hAnsi="David" w:cs="David"/>
          <w:sz w:val="24"/>
          <w:szCs w:val="24"/>
          <w:rtl/>
        </w:rPr>
      </w:pPr>
      <w:r>
        <w:rPr>
          <w:rFonts w:ascii="David" w:hAnsi="David" w:cs="David"/>
          <w:sz w:val="24"/>
          <w:szCs w:val="24"/>
          <w:rtl/>
        </w:rPr>
        <w:t xml:space="preserve">מנגד, יש ליתן את הדעת לכך שעל אף </w:t>
      </w:r>
      <w:r>
        <w:rPr>
          <w:rFonts w:ascii="David" w:hAnsi="David" w:cs="David" w:hint="cs"/>
          <w:sz w:val="24"/>
          <w:szCs w:val="24"/>
          <w:rtl/>
        </w:rPr>
        <w:t xml:space="preserve">גדר </w:t>
      </w:r>
      <w:r>
        <w:rPr>
          <w:rFonts w:ascii="David" w:hAnsi="David" w:cs="David"/>
          <w:sz w:val="24"/>
          <w:szCs w:val="24"/>
          <w:rtl/>
        </w:rPr>
        <w:t>המחלוקת המצומצ</w:t>
      </w:r>
      <w:r>
        <w:rPr>
          <w:rFonts w:ascii="David" w:hAnsi="David" w:cs="David" w:hint="cs"/>
          <w:sz w:val="24"/>
          <w:szCs w:val="24"/>
          <w:rtl/>
        </w:rPr>
        <w:t>ם</w:t>
      </w:r>
      <w:r>
        <w:rPr>
          <w:rFonts w:ascii="David" w:hAnsi="David" w:cs="David"/>
          <w:sz w:val="24"/>
          <w:szCs w:val="24"/>
          <w:rtl/>
        </w:rPr>
        <w:t xml:space="preserve"> בין הצדדים, לא </w:t>
      </w:r>
      <w:r>
        <w:rPr>
          <w:rFonts w:ascii="David" w:hAnsi="David" w:cs="David" w:hint="cs"/>
          <w:sz w:val="24"/>
          <w:szCs w:val="24"/>
          <w:rtl/>
        </w:rPr>
        <w:t>חסך הנאשם</w:t>
      </w:r>
      <w:r>
        <w:rPr>
          <w:rFonts w:ascii="David" w:hAnsi="David" w:cs="David"/>
          <w:sz w:val="24"/>
          <w:szCs w:val="24"/>
          <w:rtl/>
        </w:rPr>
        <w:t xml:space="preserve"> מן המתלוננת ומן העדים האחרים</w:t>
      </w:r>
      <w:r>
        <w:rPr>
          <w:rFonts w:ascii="David" w:hAnsi="David" w:cs="David" w:hint="cs"/>
          <w:sz w:val="24"/>
          <w:szCs w:val="24"/>
          <w:rtl/>
        </w:rPr>
        <w:t xml:space="preserve"> את</w:t>
      </w:r>
      <w:r>
        <w:rPr>
          <w:rFonts w:ascii="David" w:hAnsi="David" w:cs="David"/>
          <w:sz w:val="24"/>
          <w:szCs w:val="24"/>
          <w:rtl/>
        </w:rPr>
        <w:t xml:space="preserve"> הצורך במתן עדות, </w:t>
      </w:r>
      <w:r>
        <w:rPr>
          <w:rFonts w:ascii="David" w:hAnsi="David" w:cs="David" w:hint="cs"/>
          <w:sz w:val="24"/>
          <w:szCs w:val="24"/>
          <w:rtl/>
        </w:rPr>
        <w:t xml:space="preserve">אשר כאמור כבר לעיל, לא הייתה פשוטה עבורם כלל ועיקר, </w:t>
      </w:r>
      <w:r>
        <w:rPr>
          <w:rFonts w:ascii="David" w:hAnsi="David" w:cs="David"/>
          <w:sz w:val="24"/>
          <w:szCs w:val="24"/>
          <w:rtl/>
        </w:rPr>
        <w:t>ו</w:t>
      </w:r>
      <w:r>
        <w:rPr>
          <w:rFonts w:ascii="David" w:hAnsi="David" w:cs="David" w:hint="cs"/>
          <w:sz w:val="24"/>
          <w:szCs w:val="24"/>
          <w:rtl/>
        </w:rPr>
        <w:t>לא נתן ליבו ל</w:t>
      </w:r>
      <w:r>
        <w:rPr>
          <w:rFonts w:ascii="David" w:hAnsi="David" w:cs="David"/>
          <w:sz w:val="24"/>
          <w:szCs w:val="24"/>
          <w:rtl/>
        </w:rPr>
        <w:t>השלכות הנלוות למתן עדות מעין זו</w:t>
      </w:r>
      <w:r>
        <w:rPr>
          <w:rFonts w:ascii="David" w:hAnsi="David" w:cs="David" w:hint="cs"/>
          <w:sz w:val="24"/>
          <w:szCs w:val="24"/>
          <w:rtl/>
        </w:rPr>
        <w:t xml:space="preserve"> עבורם</w:t>
      </w:r>
      <w:r>
        <w:rPr>
          <w:rFonts w:ascii="David" w:hAnsi="David" w:cs="David"/>
          <w:sz w:val="24"/>
          <w:szCs w:val="24"/>
          <w:rtl/>
        </w:rPr>
        <w:t xml:space="preserve">. </w:t>
      </w:r>
    </w:p>
    <w:p w14:paraId="51D5152A" w14:textId="77777777" w:rsidR="0020167D" w:rsidRDefault="0020167D" w:rsidP="0020167D">
      <w:pPr>
        <w:pStyle w:val="Ruller40"/>
        <w:ind w:left="720"/>
        <w:rPr>
          <w:rFonts w:ascii="David" w:hAnsi="David" w:cs="David"/>
          <w:sz w:val="24"/>
          <w:szCs w:val="24"/>
          <w:rtl/>
        </w:rPr>
      </w:pPr>
    </w:p>
    <w:p w14:paraId="7699C56B" w14:textId="77777777" w:rsidR="0020167D" w:rsidRDefault="0020167D" w:rsidP="0020167D">
      <w:pPr>
        <w:pStyle w:val="Ruller40"/>
        <w:ind w:left="720"/>
        <w:rPr>
          <w:rFonts w:ascii="David" w:hAnsi="David" w:cs="David"/>
          <w:sz w:val="24"/>
          <w:szCs w:val="24"/>
          <w:rtl/>
        </w:rPr>
      </w:pPr>
      <w:r>
        <w:rPr>
          <w:rFonts w:ascii="David" w:hAnsi="David" w:cs="David"/>
          <w:sz w:val="24"/>
          <w:szCs w:val="24"/>
          <w:rtl/>
        </w:rPr>
        <w:t xml:space="preserve">בנוסף, יש להתחשב כשיקול לחומרא בעקרון ההרתעה בעבירות השוד ובצורך ההולך וגובר למגרן, שעה הרי שעלינו לזכור, כי ראשיתו של מעשה שוד ידוע אולם פעמים רבות מידי, יוצאים הדברים מכלל שליטה, ואזי אחריתו מי ישורנו? על הנאשם להבין, כי </w:t>
      </w:r>
      <w:r>
        <w:rPr>
          <w:rFonts w:ascii="David" w:hAnsi="David" w:cs="David" w:hint="cs"/>
          <w:sz w:val="24"/>
          <w:szCs w:val="24"/>
          <w:rtl/>
        </w:rPr>
        <w:t>הוא פוסע</w:t>
      </w:r>
      <w:r>
        <w:rPr>
          <w:rFonts w:ascii="David" w:hAnsi="David" w:cs="David"/>
          <w:sz w:val="24"/>
          <w:szCs w:val="24"/>
          <w:rtl/>
        </w:rPr>
        <w:t xml:space="preserve"> </w:t>
      </w:r>
      <w:r>
        <w:rPr>
          <w:rFonts w:ascii="David" w:hAnsi="David" w:cs="David" w:hint="cs"/>
          <w:sz w:val="24"/>
          <w:szCs w:val="24"/>
          <w:rtl/>
        </w:rPr>
        <w:t>ב</w:t>
      </w:r>
      <w:r>
        <w:rPr>
          <w:rFonts w:ascii="David" w:hAnsi="David" w:cs="David"/>
          <w:sz w:val="24"/>
          <w:szCs w:val="24"/>
          <w:rtl/>
        </w:rPr>
        <w:t xml:space="preserve">דרך חתחתים, </w:t>
      </w:r>
      <w:r>
        <w:rPr>
          <w:rFonts w:ascii="David" w:hAnsi="David" w:cs="David" w:hint="cs"/>
          <w:sz w:val="24"/>
          <w:szCs w:val="24"/>
          <w:rtl/>
        </w:rPr>
        <w:t>אשר דומה, כי מובילה אותו</w:t>
      </w:r>
      <w:r>
        <w:rPr>
          <w:rFonts w:ascii="David" w:hAnsi="David" w:cs="David"/>
          <w:sz w:val="24"/>
          <w:szCs w:val="24"/>
          <w:rtl/>
        </w:rPr>
        <w:t xml:space="preserve"> לדרך ללא מוצא, ועל מסר זה לעבור גם הלאה.</w:t>
      </w:r>
    </w:p>
    <w:p w14:paraId="04379FEC" w14:textId="77777777" w:rsidR="0020167D" w:rsidRDefault="0020167D" w:rsidP="0020167D">
      <w:pPr>
        <w:pStyle w:val="a9"/>
        <w:spacing w:line="360" w:lineRule="auto"/>
        <w:jc w:val="both"/>
        <w:rPr>
          <w:rFonts w:ascii="David" w:hAnsi="David" w:cs="David"/>
          <w:sz w:val="24"/>
          <w:szCs w:val="24"/>
          <w:rtl/>
        </w:rPr>
      </w:pPr>
    </w:p>
    <w:p w14:paraId="64FED28F"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 xml:space="preserve">יש לציין, כי בהתאם לגיליון המרשם הפלילי, לנאשם הרשעות קודמות רבות, לרבות בעבירות פריצה לבניין שאינו דירה או בית תפילה, לפי </w:t>
      </w:r>
      <w:hyperlink r:id="rId46" w:history="1">
        <w:r w:rsidR="00134E5F" w:rsidRPr="00134E5F">
          <w:rPr>
            <w:rStyle w:val="Hyperlink"/>
            <w:rFonts w:ascii="David" w:hAnsi="David" w:cs="David"/>
            <w:sz w:val="24"/>
            <w:szCs w:val="24"/>
            <w:rtl/>
          </w:rPr>
          <w:t>סעיף 407(א)</w:t>
        </w:r>
      </w:hyperlink>
      <w:r>
        <w:rPr>
          <w:rFonts w:ascii="David" w:hAnsi="David" w:cs="David"/>
          <w:sz w:val="24"/>
          <w:szCs w:val="24"/>
          <w:rtl/>
        </w:rPr>
        <w:t xml:space="preserve"> ל</w:t>
      </w:r>
      <w:hyperlink r:id="rId47" w:history="1">
        <w:r w:rsidR="004F7D81" w:rsidRPr="004F7D81">
          <w:rPr>
            <w:rFonts w:ascii="David" w:hAnsi="David" w:cs="David"/>
            <w:color w:val="0000FF"/>
            <w:sz w:val="24"/>
            <w:szCs w:val="24"/>
            <w:u w:val="single"/>
            <w:rtl/>
          </w:rPr>
          <w:t>חוק העונשין</w:t>
        </w:r>
      </w:hyperlink>
      <w:r>
        <w:rPr>
          <w:rFonts w:ascii="David" w:hAnsi="David" w:cs="David" w:hint="cs"/>
          <w:sz w:val="24"/>
          <w:szCs w:val="24"/>
          <w:rtl/>
        </w:rPr>
        <w:t>;</w:t>
      </w:r>
      <w:r>
        <w:rPr>
          <w:rFonts w:ascii="David" w:hAnsi="David" w:cs="David"/>
          <w:sz w:val="24"/>
          <w:szCs w:val="24"/>
          <w:rtl/>
        </w:rPr>
        <w:t xml:space="preserve"> גניבה, לפי </w:t>
      </w:r>
      <w:hyperlink r:id="rId48" w:history="1">
        <w:r w:rsidR="00134E5F" w:rsidRPr="00134E5F">
          <w:rPr>
            <w:rStyle w:val="Hyperlink"/>
            <w:rFonts w:ascii="David" w:hAnsi="David" w:cs="David"/>
            <w:sz w:val="24"/>
            <w:szCs w:val="24"/>
            <w:rtl/>
          </w:rPr>
          <w:t>סעיף 384</w:t>
        </w:r>
      </w:hyperlink>
      <w:r>
        <w:rPr>
          <w:rFonts w:ascii="David" w:hAnsi="David" w:cs="David"/>
          <w:sz w:val="24"/>
          <w:szCs w:val="24"/>
          <w:rtl/>
        </w:rPr>
        <w:t xml:space="preserve"> לחוק העונשין</w:t>
      </w:r>
      <w:r>
        <w:rPr>
          <w:rFonts w:ascii="David" w:hAnsi="David" w:cs="David" w:hint="cs"/>
          <w:sz w:val="24"/>
          <w:szCs w:val="24"/>
          <w:rtl/>
        </w:rPr>
        <w:t>;</w:t>
      </w:r>
      <w:r>
        <w:rPr>
          <w:rFonts w:ascii="David" w:hAnsi="David" w:cs="David"/>
          <w:sz w:val="24"/>
          <w:szCs w:val="24"/>
          <w:rtl/>
        </w:rPr>
        <w:t xml:space="preserve"> דרישה באיומים של רכוש, לפי </w:t>
      </w:r>
      <w:hyperlink r:id="rId49" w:history="1">
        <w:r w:rsidR="00134E5F" w:rsidRPr="00134E5F">
          <w:rPr>
            <w:rStyle w:val="Hyperlink"/>
            <w:rFonts w:ascii="David" w:hAnsi="David" w:cs="David"/>
            <w:sz w:val="24"/>
            <w:szCs w:val="24"/>
            <w:rtl/>
          </w:rPr>
          <w:t>סעיף 404</w:t>
        </w:r>
      </w:hyperlink>
      <w:r>
        <w:rPr>
          <w:rFonts w:ascii="David" w:hAnsi="David" w:cs="David"/>
          <w:sz w:val="24"/>
          <w:szCs w:val="24"/>
          <w:rtl/>
        </w:rPr>
        <w:t xml:space="preserve"> רישא לחוק העונשין</w:t>
      </w:r>
      <w:r>
        <w:rPr>
          <w:rFonts w:ascii="David" w:hAnsi="David" w:cs="David" w:hint="cs"/>
          <w:sz w:val="24"/>
          <w:szCs w:val="24"/>
          <w:rtl/>
        </w:rPr>
        <w:t>;</w:t>
      </w:r>
      <w:r>
        <w:rPr>
          <w:rFonts w:ascii="David" w:hAnsi="David" w:cs="David"/>
          <w:sz w:val="24"/>
          <w:szCs w:val="24"/>
          <w:rtl/>
        </w:rPr>
        <w:t xml:space="preserve"> החזקה/שימוש בסמים לצריכה עצמית, לפי </w:t>
      </w:r>
      <w:hyperlink r:id="rId50" w:history="1">
        <w:r w:rsidR="00134E5F" w:rsidRPr="00134E5F">
          <w:rPr>
            <w:rStyle w:val="Hyperlink"/>
            <w:rFonts w:ascii="David" w:hAnsi="David" w:cs="David"/>
            <w:sz w:val="24"/>
            <w:szCs w:val="24"/>
            <w:rtl/>
          </w:rPr>
          <w:t>סעיף 7(א)+7(ג)</w:t>
        </w:r>
      </w:hyperlink>
      <w:r>
        <w:rPr>
          <w:rFonts w:ascii="David" w:hAnsi="David" w:cs="David"/>
          <w:sz w:val="24"/>
          <w:szCs w:val="24"/>
          <w:rtl/>
        </w:rPr>
        <w:t xml:space="preserve"> סיפא ל</w:t>
      </w:r>
      <w:hyperlink r:id="rId51" w:history="1">
        <w:r w:rsidR="004F7D81" w:rsidRPr="004F7D8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w:t>
      </w:r>
      <w:r>
        <w:rPr>
          <w:rFonts w:ascii="David" w:hAnsi="David" w:cs="David" w:hint="cs"/>
          <w:sz w:val="24"/>
          <w:szCs w:val="24"/>
          <w:rtl/>
        </w:rPr>
        <w:t>;</w:t>
      </w:r>
      <w:r>
        <w:rPr>
          <w:rFonts w:ascii="David" w:hAnsi="David" w:cs="David"/>
          <w:sz w:val="24"/>
          <w:szCs w:val="24"/>
          <w:rtl/>
        </w:rPr>
        <w:t xml:space="preserve"> ניסיון לתקיפה סתם, לפי </w:t>
      </w:r>
      <w:hyperlink r:id="rId52" w:history="1">
        <w:r w:rsidR="00134E5F" w:rsidRPr="00134E5F">
          <w:rPr>
            <w:rStyle w:val="Hyperlink"/>
            <w:rFonts w:ascii="David" w:hAnsi="David" w:cs="David"/>
            <w:sz w:val="24"/>
            <w:szCs w:val="24"/>
            <w:rtl/>
          </w:rPr>
          <w:t>סעיפים 379</w:t>
        </w:r>
      </w:hyperlink>
      <w:r>
        <w:rPr>
          <w:rFonts w:ascii="David" w:hAnsi="David" w:cs="David"/>
          <w:sz w:val="24"/>
          <w:szCs w:val="24"/>
          <w:rtl/>
        </w:rPr>
        <w:t xml:space="preserve"> – </w:t>
      </w:r>
      <w:hyperlink r:id="rId53" w:history="1">
        <w:r w:rsidR="00134E5F" w:rsidRPr="00134E5F">
          <w:rPr>
            <w:rStyle w:val="Hyperlink"/>
            <w:rFonts w:ascii="David" w:hAnsi="David" w:cs="David"/>
            <w:sz w:val="24"/>
            <w:szCs w:val="24"/>
            <w:rtl/>
          </w:rPr>
          <w:t>25</w:t>
        </w:r>
      </w:hyperlink>
      <w:r>
        <w:rPr>
          <w:rFonts w:ascii="David" w:hAnsi="David" w:cs="David"/>
          <w:sz w:val="24"/>
          <w:szCs w:val="24"/>
          <w:rtl/>
        </w:rPr>
        <w:t xml:space="preserve"> לחוק העונשין, ועוד.</w:t>
      </w:r>
    </w:p>
    <w:p w14:paraId="1EE0B023" w14:textId="77777777" w:rsidR="0020167D" w:rsidRDefault="0020167D" w:rsidP="0020167D">
      <w:pPr>
        <w:pStyle w:val="a9"/>
        <w:spacing w:line="360" w:lineRule="auto"/>
        <w:jc w:val="both"/>
        <w:rPr>
          <w:rFonts w:ascii="David" w:hAnsi="David" w:cs="David"/>
          <w:sz w:val="24"/>
          <w:szCs w:val="24"/>
          <w:rtl/>
        </w:rPr>
      </w:pPr>
    </w:p>
    <w:p w14:paraId="2CD1EFAE"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בשקלול הנסיבות והנתונים השונים אני קובע, כי העונש הראוי בנסיבות הוא </w:t>
      </w:r>
      <w:r w:rsidRPr="00FF2DC9">
        <w:rPr>
          <w:rFonts w:ascii="David" w:hAnsi="David" w:cs="David"/>
          <w:sz w:val="24"/>
          <w:szCs w:val="24"/>
          <w:rtl/>
        </w:rPr>
        <w:t>26</w:t>
      </w:r>
      <w:r>
        <w:rPr>
          <w:rFonts w:ascii="David" w:hAnsi="David" w:cs="David"/>
          <w:sz w:val="24"/>
          <w:szCs w:val="24"/>
          <w:rtl/>
        </w:rPr>
        <w:t xml:space="preserve"> חודשי מאסר בפועל, בניכוי ימי המעצר בהם נשא הנאשם עד כה מכוח המעצר עד תום ההליכים אשר הושת עליו, החל מיום 18.11.2021.</w:t>
      </w:r>
    </w:p>
    <w:p w14:paraId="0CE4AC33" w14:textId="77777777" w:rsidR="0020167D" w:rsidRDefault="0020167D" w:rsidP="0020167D">
      <w:pPr>
        <w:pStyle w:val="a9"/>
        <w:spacing w:line="360" w:lineRule="auto"/>
        <w:jc w:val="both"/>
        <w:rPr>
          <w:rFonts w:ascii="David" w:hAnsi="David" w:cs="David"/>
          <w:sz w:val="24"/>
          <w:szCs w:val="24"/>
          <w:rtl/>
        </w:rPr>
      </w:pPr>
    </w:p>
    <w:p w14:paraId="3BAEC6AB" w14:textId="77777777" w:rsidR="0020167D" w:rsidRDefault="0020167D" w:rsidP="0020167D">
      <w:pPr>
        <w:pStyle w:val="a9"/>
        <w:numPr>
          <w:ilvl w:val="0"/>
          <w:numId w:val="1"/>
        </w:numPr>
        <w:spacing w:line="360" w:lineRule="auto"/>
        <w:jc w:val="both"/>
        <w:rPr>
          <w:rFonts w:ascii="David" w:hAnsi="David" w:cs="David"/>
          <w:sz w:val="24"/>
          <w:szCs w:val="24"/>
          <w:rtl/>
        </w:rPr>
      </w:pPr>
      <w:r>
        <w:rPr>
          <w:rFonts w:ascii="David" w:hAnsi="David" w:cs="David"/>
          <w:sz w:val="24"/>
          <w:szCs w:val="24"/>
          <w:rtl/>
        </w:rPr>
        <w:t>המאשימה עתרה להפעלת המאסר המותנה, בן 6 חודשים, שנגזר על הנאשם ב-</w:t>
      </w:r>
      <w:hyperlink r:id="rId54" w:history="1">
        <w:r w:rsidR="004F7D81" w:rsidRPr="004F7D81">
          <w:rPr>
            <w:rFonts w:ascii="David" w:hAnsi="David" w:cs="David"/>
            <w:color w:val="0000FF"/>
            <w:sz w:val="24"/>
            <w:szCs w:val="24"/>
            <w:u w:val="single"/>
            <w:rtl/>
          </w:rPr>
          <w:t>ת"פ 62173-06-20</w:t>
        </w:r>
      </w:hyperlink>
      <w:r>
        <w:rPr>
          <w:rFonts w:ascii="David" w:hAnsi="David" w:cs="David"/>
          <w:sz w:val="24"/>
          <w:szCs w:val="24"/>
          <w:rtl/>
        </w:rPr>
        <w:t xml:space="preserve"> מיום 16.11.2020, באופן מצטבר לכל עונש שיוטל עליו בגין העבירות מושא כתבי-האישום שבפנינו. </w:t>
      </w:r>
    </w:p>
    <w:p w14:paraId="3B08530E" w14:textId="77777777" w:rsidR="0020167D" w:rsidRDefault="0020167D" w:rsidP="0020167D">
      <w:pPr>
        <w:pStyle w:val="a9"/>
        <w:rPr>
          <w:rFonts w:ascii="David" w:hAnsi="David" w:cs="David"/>
          <w:sz w:val="24"/>
          <w:szCs w:val="24"/>
        </w:rPr>
      </w:pPr>
    </w:p>
    <w:p w14:paraId="49671E1F" w14:textId="77777777" w:rsidR="0020167D" w:rsidRDefault="0020167D" w:rsidP="0020167D">
      <w:pPr>
        <w:pStyle w:val="a9"/>
        <w:spacing w:line="360" w:lineRule="auto"/>
        <w:jc w:val="both"/>
        <w:rPr>
          <w:rFonts w:ascii="David" w:hAnsi="David" w:cs="David"/>
          <w:sz w:val="24"/>
          <w:szCs w:val="24"/>
          <w:rtl/>
        </w:rPr>
      </w:pPr>
      <w:r>
        <w:rPr>
          <w:rFonts w:ascii="David" w:hAnsi="David" w:cs="David"/>
          <w:sz w:val="24"/>
          <w:szCs w:val="24"/>
          <w:rtl/>
        </w:rPr>
        <w:t xml:space="preserve">סעיף </w:t>
      </w:r>
      <w:hyperlink r:id="rId55" w:history="1">
        <w:r w:rsidR="00134E5F" w:rsidRPr="00134E5F">
          <w:rPr>
            <w:rStyle w:val="Hyperlink"/>
            <w:rFonts w:ascii="David" w:hAnsi="David" w:cs="David"/>
            <w:sz w:val="24"/>
            <w:szCs w:val="24"/>
            <w:rtl/>
          </w:rPr>
          <w:t>52 (א)</w:t>
        </w:r>
      </w:hyperlink>
      <w:r>
        <w:rPr>
          <w:rFonts w:ascii="David" w:hAnsi="David" w:cs="David"/>
          <w:sz w:val="24"/>
          <w:szCs w:val="24"/>
          <w:rtl/>
        </w:rPr>
        <w:t xml:space="preserve"> ל</w:t>
      </w:r>
      <w:hyperlink r:id="rId56" w:history="1">
        <w:r w:rsidR="004F7D81" w:rsidRPr="004F7D81">
          <w:rPr>
            <w:rFonts w:ascii="David" w:hAnsi="David" w:cs="David"/>
            <w:color w:val="0000FF"/>
            <w:sz w:val="24"/>
            <w:szCs w:val="24"/>
            <w:u w:val="single"/>
            <w:rtl/>
          </w:rPr>
          <w:t>חוק העונשין</w:t>
        </w:r>
      </w:hyperlink>
      <w:r>
        <w:rPr>
          <w:rFonts w:ascii="David" w:hAnsi="David" w:cs="David"/>
          <w:sz w:val="24"/>
          <w:szCs w:val="24"/>
          <w:rtl/>
        </w:rPr>
        <w:t xml:space="preserve"> מורנו כך:</w:t>
      </w:r>
    </w:p>
    <w:p w14:paraId="13FB6388" w14:textId="77777777" w:rsidR="0020167D" w:rsidRDefault="0020167D" w:rsidP="0020167D">
      <w:pPr>
        <w:pStyle w:val="a9"/>
        <w:spacing w:line="360" w:lineRule="auto"/>
        <w:jc w:val="both"/>
        <w:rPr>
          <w:rFonts w:ascii="David" w:hAnsi="David" w:cs="David"/>
          <w:sz w:val="24"/>
          <w:szCs w:val="24"/>
          <w:rtl/>
        </w:rPr>
      </w:pPr>
    </w:p>
    <w:p w14:paraId="2E260AD6" w14:textId="77777777" w:rsidR="0020167D" w:rsidRDefault="0020167D" w:rsidP="0020167D">
      <w:pPr>
        <w:pStyle w:val="a9"/>
        <w:spacing w:line="360" w:lineRule="auto"/>
        <w:ind w:left="2160"/>
        <w:jc w:val="both"/>
        <w:rPr>
          <w:rFonts w:ascii="David" w:hAnsi="David" w:cs="David"/>
          <w:sz w:val="24"/>
          <w:szCs w:val="24"/>
          <w:rtl/>
        </w:rPr>
      </w:pPr>
      <w:r>
        <w:rPr>
          <w:rStyle w:val="default"/>
          <w:rFonts w:ascii="David" w:hAnsi="David" w:cs="David"/>
          <w:sz w:val="24"/>
          <w:szCs w:val="24"/>
          <w:rtl/>
        </w:rPr>
        <w:t>"</w:t>
      </w:r>
      <w:r>
        <w:rPr>
          <w:rStyle w:val="default"/>
          <w:rFonts w:ascii="David" w:hAnsi="David" w:cs="David"/>
          <w:b/>
          <w:bCs/>
          <w:sz w:val="24"/>
          <w:szCs w:val="24"/>
          <w:rtl/>
        </w:rPr>
        <w:t>הטיל בית המשפט עונש מאסר, רשאי הוא להורות בגזר הדין שהעונש, כולו או מקצתו, יהיה על תנאי</w:t>
      </w:r>
      <w:r>
        <w:rPr>
          <w:rStyle w:val="default"/>
          <w:rFonts w:ascii="David" w:hAnsi="David" w:cs="David"/>
          <w:sz w:val="24"/>
          <w:szCs w:val="24"/>
          <w:rtl/>
        </w:rPr>
        <w:t>".</w:t>
      </w:r>
    </w:p>
    <w:p w14:paraId="047A7097" w14:textId="77777777" w:rsidR="0020167D" w:rsidRDefault="0020167D" w:rsidP="0020167D">
      <w:pPr>
        <w:spacing w:line="360" w:lineRule="auto"/>
        <w:jc w:val="both"/>
        <w:rPr>
          <w:rFonts w:ascii="David" w:hAnsi="David"/>
          <w:rtl/>
        </w:rPr>
      </w:pPr>
      <w:r>
        <w:rPr>
          <w:rFonts w:ascii="David" w:hAnsi="David"/>
          <w:rtl/>
        </w:rPr>
        <w:tab/>
      </w:r>
    </w:p>
    <w:p w14:paraId="683DF0D9" w14:textId="77777777" w:rsidR="0020167D" w:rsidRDefault="0020167D" w:rsidP="0020167D">
      <w:pPr>
        <w:spacing w:line="360" w:lineRule="auto"/>
        <w:ind w:firstLine="720"/>
        <w:jc w:val="both"/>
        <w:rPr>
          <w:rFonts w:ascii="David" w:hAnsi="David"/>
          <w:rtl/>
        </w:rPr>
      </w:pPr>
      <w:r>
        <w:rPr>
          <w:rFonts w:ascii="David" w:hAnsi="David"/>
          <w:rtl/>
        </w:rPr>
        <w:t xml:space="preserve">ובהמשך, </w:t>
      </w:r>
      <w:hyperlink r:id="rId57" w:history="1">
        <w:r w:rsidR="00134E5F" w:rsidRPr="00134E5F">
          <w:rPr>
            <w:rStyle w:val="Hyperlink"/>
            <w:rFonts w:ascii="David" w:hAnsi="David"/>
            <w:rtl/>
          </w:rPr>
          <w:t>סעיף 58</w:t>
        </w:r>
      </w:hyperlink>
      <w:r>
        <w:rPr>
          <w:rFonts w:ascii="David" w:hAnsi="David"/>
          <w:rtl/>
        </w:rPr>
        <w:t xml:space="preserve"> קובע, כי:</w:t>
      </w:r>
    </w:p>
    <w:p w14:paraId="2B4DA42D" w14:textId="77777777" w:rsidR="0020167D" w:rsidRDefault="0020167D" w:rsidP="0020167D">
      <w:pPr>
        <w:spacing w:line="360" w:lineRule="auto"/>
        <w:ind w:firstLine="720"/>
        <w:jc w:val="both"/>
        <w:rPr>
          <w:rFonts w:ascii="David" w:hAnsi="David"/>
          <w:rtl/>
        </w:rPr>
      </w:pPr>
    </w:p>
    <w:p w14:paraId="5CA0290A" w14:textId="77777777" w:rsidR="0020167D" w:rsidRDefault="0020167D" w:rsidP="0020167D">
      <w:pPr>
        <w:pStyle w:val="a9"/>
        <w:spacing w:line="360" w:lineRule="auto"/>
        <w:ind w:left="2160"/>
        <w:jc w:val="both"/>
        <w:rPr>
          <w:rFonts w:ascii="David" w:hAnsi="David" w:cs="David"/>
          <w:sz w:val="24"/>
          <w:szCs w:val="24"/>
          <w:rtl/>
        </w:rPr>
      </w:pPr>
      <w:r>
        <w:rPr>
          <w:rStyle w:val="default"/>
          <w:rFonts w:ascii="David" w:hAnsi="David" w:cs="David"/>
          <w:b/>
          <w:bCs/>
          <w:sz w:val="24"/>
          <w:szCs w:val="24"/>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Pr>
          <w:rStyle w:val="default"/>
          <w:rFonts w:ascii="FrankRuehl" w:hAnsi="FrankRuehl"/>
          <w:sz w:val="26"/>
          <w:szCs w:val="26"/>
          <w:rtl/>
        </w:rPr>
        <w:t>".</w:t>
      </w:r>
    </w:p>
    <w:p w14:paraId="0753448B" w14:textId="77777777" w:rsidR="0020167D" w:rsidRDefault="0020167D" w:rsidP="0020167D">
      <w:pPr>
        <w:pStyle w:val="a9"/>
        <w:spacing w:line="360" w:lineRule="auto"/>
        <w:ind w:left="1440"/>
        <w:jc w:val="both"/>
        <w:rPr>
          <w:rFonts w:ascii="David" w:hAnsi="David" w:cs="David"/>
          <w:sz w:val="24"/>
          <w:szCs w:val="24"/>
          <w:rtl/>
        </w:rPr>
      </w:pPr>
    </w:p>
    <w:p w14:paraId="20794F28" w14:textId="77777777" w:rsidR="0020167D" w:rsidRDefault="0020167D" w:rsidP="0020167D">
      <w:pPr>
        <w:pStyle w:val="a9"/>
        <w:spacing w:line="360" w:lineRule="auto"/>
        <w:jc w:val="both"/>
        <w:rPr>
          <w:rFonts w:ascii="David" w:hAnsi="David" w:cs="David"/>
          <w:sz w:val="24"/>
          <w:szCs w:val="24"/>
          <w:rtl/>
        </w:rPr>
      </w:pPr>
      <w:r>
        <w:rPr>
          <w:rStyle w:val="default"/>
          <w:rFonts w:ascii="David" w:hAnsi="David" w:cs="David"/>
          <w:sz w:val="24"/>
          <w:szCs w:val="24"/>
          <w:rtl/>
        </w:rPr>
        <w:t>לפיכך ובנסיבות המקרה שבפנינו, סבורני, כי</w:t>
      </w:r>
      <w:r>
        <w:rPr>
          <w:rFonts w:ascii="David" w:hAnsi="David" w:cs="David"/>
          <w:sz w:val="24"/>
          <w:szCs w:val="24"/>
          <w:rtl/>
        </w:rPr>
        <w:t xml:space="preserve"> יש להורות על הפעלת המאסר המותנה באופן מצטבר, הואיל ולא מצאתי טעמים להורות על כך ששתי התקופות כולן או מקצתן תהיינה חופפות.</w:t>
      </w:r>
    </w:p>
    <w:p w14:paraId="68DE7005" w14:textId="77777777" w:rsidR="0020167D" w:rsidRDefault="0020167D" w:rsidP="0020167D">
      <w:pPr>
        <w:spacing w:line="360" w:lineRule="auto"/>
        <w:jc w:val="both"/>
        <w:rPr>
          <w:rFonts w:ascii="David" w:hAnsi="David"/>
          <w:rtl/>
        </w:rPr>
      </w:pPr>
      <w:r>
        <w:rPr>
          <w:rFonts w:ascii="David" w:hAnsi="David"/>
          <w:rtl/>
        </w:rPr>
        <w:t xml:space="preserve">21. </w:t>
      </w:r>
      <w:r>
        <w:rPr>
          <w:rFonts w:ascii="David" w:hAnsi="David"/>
          <w:rtl/>
        </w:rPr>
        <w:tab/>
        <w:t xml:space="preserve">אני דוחה את עתירת המאשימה להשית על הנאשם אף רכיב של פיצוי כספי. </w:t>
      </w:r>
    </w:p>
    <w:p w14:paraId="387C5C63" w14:textId="77777777" w:rsidR="0020167D" w:rsidRDefault="0020167D" w:rsidP="0020167D">
      <w:pPr>
        <w:spacing w:line="360" w:lineRule="auto"/>
        <w:jc w:val="both"/>
        <w:rPr>
          <w:rFonts w:ascii="David" w:hAnsi="David"/>
          <w:rtl/>
        </w:rPr>
      </w:pPr>
    </w:p>
    <w:p w14:paraId="15F12360" w14:textId="77777777" w:rsidR="0020167D" w:rsidRDefault="0020167D" w:rsidP="0020167D">
      <w:pPr>
        <w:spacing w:line="360" w:lineRule="auto"/>
        <w:jc w:val="both"/>
        <w:rPr>
          <w:rFonts w:ascii="David" w:hAnsi="David"/>
          <w:rtl/>
        </w:rPr>
      </w:pPr>
      <w:r>
        <w:rPr>
          <w:rFonts w:ascii="David" w:hAnsi="David"/>
          <w:rtl/>
        </w:rPr>
        <w:t>22.</w:t>
      </w:r>
      <w:r>
        <w:rPr>
          <w:rFonts w:ascii="David" w:hAnsi="David"/>
          <w:rtl/>
        </w:rPr>
        <w:tab/>
        <w:t>אשר על כן אני גוזר על הנאשם:</w:t>
      </w:r>
    </w:p>
    <w:p w14:paraId="5EE6D272" w14:textId="77777777" w:rsidR="0020167D" w:rsidRDefault="0020167D" w:rsidP="0020167D">
      <w:pPr>
        <w:spacing w:line="360" w:lineRule="auto"/>
        <w:jc w:val="both"/>
        <w:rPr>
          <w:rFonts w:ascii="David" w:hAnsi="David"/>
          <w:rtl/>
        </w:rPr>
      </w:pPr>
    </w:p>
    <w:p w14:paraId="58243E92" w14:textId="77777777" w:rsidR="0020167D" w:rsidRDefault="0020167D" w:rsidP="0020167D">
      <w:pPr>
        <w:spacing w:line="360" w:lineRule="auto"/>
        <w:ind w:left="1440" w:hanging="720"/>
        <w:jc w:val="both"/>
        <w:rPr>
          <w:rFonts w:ascii="David" w:hAnsi="David"/>
          <w:rtl/>
        </w:rPr>
      </w:pPr>
      <w:r>
        <w:rPr>
          <w:rFonts w:ascii="David" w:hAnsi="David"/>
          <w:rtl/>
        </w:rPr>
        <w:t>א.</w:t>
      </w:r>
      <w:r>
        <w:rPr>
          <w:rFonts w:ascii="David" w:hAnsi="David"/>
          <w:rtl/>
        </w:rPr>
        <w:tab/>
      </w:r>
      <w:r w:rsidRPr="00FF2DC9">
        <w:rPr>
          <w:rFonts w:ascii="David" w:hAnsi="David"/>
          <w:rtl/>
        </w:rPr>
        <w:t>26</w:t>
      </w:r>
      <w:r>
        <w:rPr>
          <w:rFonts w:ascii="David" w:hAnsi="David"/>
          <w:rtl/>
        </w:rPr>
        <w:t xml:space="preserve"> חודשי מאסר בפועל, בניכוי ימי המעצר בהם נשא הנאשם עד כה מכוח המעצר עד תום ההליכים אשר הושת עליו, החל מיום 18.11.2021.</w:t>
      </w:r>
    </w:p>
    <w:p w14:paraId="01815B1B" w14:textId="77777777" w:rsidR="0020167D" w:rsidRDefault="0020167D" w:rsidP="0020167D">
      <w:pPr>
        <w:spacing w:line="360" w:lineRule="auto"/>
        <w:ind w:left="1440" w:hanging="720"/>
        <w:jc w:val="both"/>
        <w:rPr>
          <w:rFonts w:ascii="David" w:hAnsi="David"/>
          <w:rtl/>
        </w:rPr>
      </w:pPr>
    </w:p>
    <w:p w14:paraId="5A90DC25" w14:textId="77777777" w:rsidR="0020167D" w:rsidRDefault="0020167D" w:rsidP="0020167D">
      <w:pPr>
        <w:pStyle w:val="a9"/>
        <w:spacing w:after="0" w:line="360" w:lineRule="auto"/>
        <w:ind w:left="1440" w:hanging="720"/>
        <w:jc w:val="both"/>
        <w:rPr>
          <w:rFonts w:ascii="David" w:hAnsi="David" w:cs="David"/>
          <w:sz w:val="24"/>
          <w:szCs w:val="24"/>
        </w:rPr>
      </w:pPr>
      <w:r>
        <w:rPr>
          <w:rFonts w:ascii="David" w:hAnsi="David" w:cs="David"/>
          <w:sz w:val="24"/>
          <w:szCs w:val="24"/>
          <w:rtl/>
        </w:rPr>
        <w:t>ב.</w:t>
      </w:r>
      <w:r>
        <w:rPr>
          <w:rFonts w:ascii="David" w:hAnsi="David" w:cs="David"/>
          <w:sz w:val="24"/>
          <w:szCs w:val="24"/>
          <w:rtl/>
        </w:rPr>
        <w:tab/>
        <w:t>מאסר על תנאי לתקופה של 12 חודשים שיופעל במידה והנאשם יעבור תוך 3 שנים מיום שחרורו, עבירת רכוש או אלימות מסוג עוון או פשע.</w:t>
      </w:r>
    </w:p>
    <w:p w14:paraId="025A6045" w14:textId="77777777" w:rsidR="0020167D" w:rsidRDefault="0020167D" w:rsidP="0020167D">
      <w:pPr>
        <w:pStyle w:val="a9"/>
        <w:spacing w:after="0" w:line="360" w:lineRule="auto"/>
        <w:ind w:left="1440" w:hanging="720"/>
        <w:jc w:val="both"/>
        <w:rPr>
          <w:rFonts w:ascii="David" w:hAnsi="David" w:cs="David"/>
          <w:sz w:val="24"/>
          <w:szCs w:val="24"/>
          <w:rtl/>
        </w:rPr>
      </w:pPr>
    </w:p>
    <w:p w14:paraId="602BFA6D" w14:textId="77777777" w:rsidR="0020167D" w:rsidRDefault="0020167D" w:rsidP="0020167D">
      <w:pPr>
        <w:spacing w:line="360" w:lineRule="auto"/>
        <w:ind w:left="1440" w:hanging="720"/>
        <w:jc w:val="both"/>
        <w:rPr>
          <w:rFonts w:ascii="David" w:hAnsi="David"/>
          <w:rtl/>
        </w:rPr>
      </w:pPr>
      <w:r>
        <w:rPr>
          <w:rFonts w:ascii="David" w:hAnsi="David"/>
          <w:rtl/>
        </w:rPr>
        <w:t xml:space="preserve">ג. </w:t>
      </w:r>
      <w:r>
        <w:rPr>
          <w:rFonts w:ascii="David" w:hAnsi="David"/>
          <w:rtl/>
        </w:rPr>
        <w:tab/>
        <w:t>הפעלת המאסר המותנה בן 6 חודשים שהוטל על הנאשם ב-</w:t>
      </w:r>
      <w:hyperlink r:id="rId58" w:history="1">
        <w:r w:rsidR="004F7D81" w:rsidRPr="004F7D81">
          <w:rPr>
            <w:rFonts w:ascii="David" w:hAnsi="David"/>
            <w:color w:val="0000FF"/>
            <w:u w:val="single"/>
            <w:rtl/>
          </w:rPr>
          <w:t>ת"פ 62173-06-20</w:t>
        </w:r>
      </w:hyperlink>
      <w:r>
        <w:rPr>
          <w:rFonts w:ascii="David" w:hAnsi="David"/>
          <w:rtl/>
        </w:rPr>
        <w:t xml:space="preserve"> מיום 16.11.2020, ואשר יופעל באופן מצטבר למאסר בן 26 חודשים, שהוטל על הנאשם בפסקה 19 לעיל.</w:t>
      </w:r>
    </w:p>
    <w:p w14:paraId="12330CC2" w14:textId="77777777" w:rsidR="0020167D" w:rsidRDefault="0020167D" w:rsidP="0020167D">
      <w:pPr>
        <w:spacing w:line="360" w:lineRule="auto"/>
        <w:ind w:left="1440" w:hanging="720"/>
        <w:jc w:val="both"/>
        <w:rPr>
          <w:rFonts w:ascii="David" w:hAnsi="David"/>
          <w:rtl/>
        </w:rPr>
      </w:pPr>
    </w:p>
    <w:p w14:paraId="4B7D1AD5" w14:textId="77777777" w:rsidR="0020167D" w:rsidRDefault="0020167D" w:rsidP="0020167D">
      <w:pPr>
        <w:spacing w:line="360" w:lineRule="auto"/>
        <w:ind w:left="1440" w:hanging="720"/>
        <w:jc w:val="both"/>
        <w:rPr>
          <w:rFonts w:ascii="David" w:hAnsi="David"/>
          <w:rtl/>
        </w:rPr>
      </w:pPr>
      <w:r>
        <w:rPr>
          <w:rFonts w:ascii="David" w:hAnsi="David"/>
          <w:rtl/>
        </w:rPr>
        <w:t xml:space="preserve">ד. </w:t>
      </w:r>
      <w:r>
        <w:rPr>
          <w:rFonts w:ascii="David" w:hAnsi="David"/>
          <w:rtl/>
        </w:rPr>
        <w:tab/>
        <w:t xml:space="preserve">כמפורט, בפסקה לעיל, סבורני, כי אין להשית על הנאשם פיצוי כספי, וכך אני מורה. </w:t>
      </w:r>
    </w:p>
    <w:p w14:paraId="197B4B9A" w14:textId="77777777" w:rsidR="0020167D" w:rsidRDefault="0020167D" w:rsidP="0020167D">
      <w:pPr>
        <w:pStyle w:val="a9"/>
        <w:spacing w:line="360" w:lineRule="auto"/>
        <w:jc w:val="both"/>
        <w:rPr>
          <w:rFonts w:ascii="David" w:hAnsi="David" w:cs="David"/>
          <w:b/>
          <w:bCs/>
          <w:sz w:val="24"/>
          <w:szCs w:val="24"/>
          <w:u w:val="single"/>
          <w:rtl/>
        </w:rPr>
      </w:pPr>
    </w:p>
    <w:p w14:paraId="2A100DD7" w14:textId="77777777" w:rsidR="0020167D" w:rsidRDefault="004F7D81" w:rsidP="0020167D">
      <w:pPr>
        <w:pStyle w:val="a9"/>
        <w:spacing w:line="360" w:lineRule="auto"/>
        <w:jc w:val="both"/>
        <w:rPr>
          <w:rFonts w:ascii="David" w:hAnsi="David" w:cs="David"/>
          <w:b/>
          <w:bCs/>
          <w:sz w:val="24"/>
          <w:szCs w:val="24"/>
          <w:u w:val="single"/>
          <w:rtl/>
        </w:rPr>
      </w:pPr>
      <w:r w:rsidRPr="004F7D81">
        <w:rPr>
          <w:rFonts w:ascii="David" w:hAnsi="David" w:cs="David"/>
          <w:b/>
          <w:bCs/>
          <w:color w:val="FFFFFF"/>
          <w:sz w:val="2"/>
          <w:szCs w:val="2"/>
          <w:u w:val="single"/>
          <w:rtl/>
        </w:rPr>
        <w:t>5129371</w:t>
      </w:r>
      <w:r w:rsidR="0020167D">
        <w:rPr>
          <w:rFonts w:ascii="David" w:hAnsi="David" w:cs="David"/>
          <w:b/>
          <w:bCs/>
          <w:sz w:val="24"/>
          <w:szCs w:val="24"/>
          <w:u w:val="single"/>
          <w:rtl/>
        </w:rPr>
        <w:t>המזכירות תשלח עותק מגזר-הדין לשב"ס</w:t>
      </w:r>
    </w:p>
    <w:p w14:paraId="44EFC21A" w14:textId="77777777" w:rsidR="0020167D" w:rsidRPr="004F7D81" w:rsidRDefault="004F7D81" w:rsidP="0020167D">
      <w:pPr>
        <w:rPr>
          <w:rFonts w:ascii="Arial" w:hAnsi="Arial"/>
          <w:b/>
          <w:bCs/>
          <w:color w:val="FFFFFF"/>
          <w:sz w:val="2"/>
          <w:szCs w:val="2"/>
          <w:rtl/>
        </w:rPr>
      </w:pPr>
      <w:r w:rsidRPr="004F7D81">
        <w:rPr>
          <w:rFonts w:ascii="Arial" w:hAnsi="Arial"/>
          <w:b/>
          <w:bCs/>
          <w:color w:val="FFFFFF"/>
          <w:sz w:val="2"/>
          <w:szCs w:val="2"/>
          <w:rtl/>
        </w:rPr>
        <w:t>54678313</w:t>
      </w:r>
    </w:p>
    <w:p w14:paraId="3CF646D9" w14:textId="77777777" w:rsidR="0020167D" w:rsidRPr="000F2247" w:rsidRDefault="004F7D81" w:rsidP="0020167D">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כ"ד תשרי תשפ"ג, 19 אוקטובר 2022, במעמד הנאשם וב"כ עוה"ד א. ספיה </w:t>
      </w:r>
      <w:bookmarkEnd w:id="8"/>
      <w:r w:rsidR="0020167D">
        <w:rPr>
          <w:rFonts w:ascii="Arial" w:hAnsi="Arial" w:hint="cs"/>
          <w:b/>
          <w:bCs/>
          <w:sz w:val="26"/>
          <w:szCs w:val="26"/>
          <w:rtl/>
        </w:rPr>
        <w:t>קנדלפת וכן ב"כ המאשימה עוה"ד ל. שרייבר.</w:t>
      </w:r>
    </w:p>
    <w:p w14:paraId="4F08BFC8" w14:textId="77777777" w:rsidR="0020167D" w:rsidRPr="000F2247" w:rsidRDefault="0020167D" w:rsidP="0020167D">
      <w:pPr>
        <w:rPr>
          <w:rFonts w:ascii="Arial" w:hAnsi="Arial"/>
          <w:b/>
          <w:bCs/>
          <w:sz w:val="26"/>
          <w:szCs w:val="26"/>
          <w:rtl/>
        </w:rPr>
      </w:pPr>
    </w:p>
    <w:p w14:paraId="1DB24A67" w14:textId="77777777" w:rsidR="0020167D" w:rsidRPr="000F2247" w:rsidRDefault="0020167D" w:rsidP="004F7D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DD16BA" w14:textId="77777777" w:rsidR="0020167D" w:rsidRPr="00134E5F" w:rsidRDefault="00134E5F" w:rsidP="0020167D">
      <w:pPr>
        <w:jc w:val="center"/>
        <w:rPr>
          <w:rFonts w:ascii="Arial" w:hAnsi="Arial"/>
          <w:b/>
          <w:bCs/>
          <w:color w:val="FFFFFF"/>
          <w:sz w:val="2"/>
          <w:szCs w:val="2"/>
          <w:rtl/>
        </w:rPr>
      </w:pPr>
      <w:r w:rsidRPr="00134E5F">
        <w:rPr>
          <w:rFonts w:ascii="Arial" w:hAnsi="Arial"/>
          <w:b/>
          <w:bCs/>
          <w:color w:val="FFFFFF"/>
          <w:sz w:val="2"/>
          <w:szCs w:val="2"/>
          <w:rtl/>
        </w:rPr>
        <w:t>5129371</w:t>
      </w:r>
    </w:p>
    <w:p w14:paraId="4BBDB815" w14:textId="77777777" w:rsidR="007A00FB" w:rsidRPr="00134E5F" w:rsidRDefault="00134E5F" w:rsidP="004F7D81">
      <w:pPr>
        <w:keepNext/>
        <w:rPr>
          <w:rFonts w:ascii="David" w:hAnsi="David"/>
          <w:color w:val="FFFFFF"/>
          <w:sz w:val="2"/>
          <w:szCs w:val="2"/>
          <w:rtl/>
        </w:rPr>
      </w:pPr>
      <w:r w:rsidRPr="00134E5F">
        <w:rPr>
          <w:rFonts w:ascii="David" w:hAnsi="David"/>
          <w:color w:val="FFFFFF"/>
          <w:sz w:val="2"/>
          <w:szCs w:val="2"/>
          <w:rtl/>
        </w:rPr>
        <w:t>54678313</w:t>
      </w:r>
    </w:p>
    <w:p w14:paraId="484BE7A7" w14:textId="77777777" w:rsidR="004F7D81" w:rsidRPr="004F7D81" w:rsidRDefault="004F7D81" w:rsidP="004F7D81">
      <w:pPr>
        <w:keepNext/>
        <w:rPr>
          <w:rFonts w:ascii="David" w:hAnsi="David"/>
          <w:color w:val="000000"/>
          <w:sz w:val="22"/>
          <w:szCs w:val="22"/>
          <w:rtl/>
        </w:rPr>
      </w:pPr>
      <w:r w:rsidRPr="004F7D81">
        <w:rPr>
          <w:rFonts w:ascii="David" w:hAnsi="David"/>
          <w:color w:val="000000"/>
          <w:sz w:val="22"/>
          <w:szCs w:val="22"/>
          <w:rtl/>
        </w:rPr>
        <w:t>סארי ג'יוסי 54678313</w:t>
      </w:r>
    </w:p>
    <w:p w14:paraId="2302CC55" w14:textId="77777777" w:rsidR="004F7D81" w:rsidRDefault="004F7D81" w:rsidP="004F7D81">
      <w:r w:rsidRPr="004F7D81">
        <w:rPr>
          <w:color w:val="000000"/>
          <w:rtl/>
        </w:rPr>
        <w:t>נוסח מסמך זה כפוף לשינויי ניסוח ועריכה</w:t>
      </w:r>
    </w:p>
    <w:p w14:paraId="3D65AA7A" w14:textId="77777777" w:rsidR="004F7D81" w:rsidRDefault="004F7D81" w:rsidP="004F7D81">
      <w:pPr>
        <w:rPr>
          <w:rtl/>
        </w:rPr>
      </w:pPr>
    </w:p>
    <w:p w14:paraId="0049DCBF" w14:textId="77777777" w:rsidR="004F7D81" w:rsidRDefault="004F7D81" w:rsidP="004F7D81">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2CA6375F" w14:textId="77777777" w:rsidR="00134E5F" w:rsidRPr="00134E5F" w:rsidRDefault="00134E5F" w:rsidP="00134E5F">
      <w:pPr>
        <w:keepNext/>
        <w:rPr>
          <w:rFonts w:ascii="David" w:hAnsi="David"/>
          <w:color w:val="000000"/>
          <w:sz w:val="22"/>
          <w:szCs w:val="22"/>
          <w:rtl/>
        </w:rPr>
      </w:pPr>
    </w:p>
    <w:sectPr w:rsidR="00134E5F" w:rsidRPr="00134E5F" w:rsidSect="00134E5F">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6836F" w14:textId="77777777" w:rsidR="00FC7B81" w:rsidRDefault="00FC7B81" w:rsidP="009928F8">
      <w:r>
        <w:separator/>
      </w:r>
    </w:p>
  </w:endnote>
  <w:endnote w:type="continuationSeparator" w:id="0">
    <w:p w14:paraId="79246230" w14:textId="77777777" w:rsidR="00FC7B81" w:rsidRDefault="00FC7B81" w:rsidP="0099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97D38" w14:textId="77777777" w:rsidR="00134E5F" w:rsidRDefault="00134E5F" w:rsidP="00134E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25780D" w14:textId="77777777" w:rsidR="005D5C19" w:rsidRPr="00134E5F" w:rsidRDefault="00134E5F" w:rsidP="00134E5F">
    <w:pPr>
      <w:pStyle w:val="a5"/>
      <w:pBdr>
        <w:top w:val="single" w:sz="4" w:space="1" w:color="auto"/>
        <w:between w:val="single" w:sz="4" w:space="0" w:color="auto"/>
      </w:pBdr>
      <w:spacing w:after="60"/>
      <w:jc w:val="center"/>
      <w:rPr>
        <w:rFonts w:ascii="FrankRuehl" w:hAnsi="FrankRuehl" w:cs="FrankRuehl"/>
        <w:color w:val="000000"/>
      </w:rPr>
    </w:pPr>
    <w:r w:rsidRPr="00134E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569F" w14:textId="77777777" w:rsidR="00134E5F" w:rsidRDefault="00134E5F" w:rsidP="00134E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5CE5">
      <w:rPr>
        <w:rFonts w:ascii="FrankRuehl" w:hAnsi="FrankRuehl" w:cs="FrankRuehl"/>
        <w:noProof/>
        <w:rtl/>
      </w:rPr>
      <w:t>1</w:t>
    </w:r>
    <w:r>
      <w:rPr>
        <w:rFonts w:ascii="FrankRuehl" w:hAnsi="FrankRuehl" w:cs="FrankRuehl"/>
        <w:rtl/>
      </w:rPr>
      <w:fldChar w:fldCharType="end"/>
    </w:r>
  </w:p>
  <w:p w14:paraId="3DC507D9" w14:textId="77777777" w:rsidR="005D5C19" w:rsidRPr="00134E5F" w:rsidRDefault="00134E5F" w:rsidP="00134E5F">
    <w:pPr>
      <w:pStyle w:val="a5"/>
      <w:pBdr>
        <w:top w:val="single" w:sz="4" w:space="1" w:color="auto"/>
        <w:between w:val="single" w:sz="4" w:space="0" w:color="auto"/>
      </w:pBdr>
      <w:spacing w:after="60"/>
      <w:jc w:val="center"/>
      <w:rPr>
        <w:rFonts w:ascii="FrankRuehl" w:hAnsi="FrankRuehl" w:cs="FrankRuehl"/>
        <w:color w:val="000000"/>
      </w:rPr>
    </w:pPr>
    <w:r w:rsidRPr="00134E5F">
      <w:rPr>
        <w:rFonts w:ascii="FrankRuehl" w:hAnsi="FrankRuehl" w:cs="FrankRuehl"/>
        <w:color w:val="000000"/>
      </w:rPr>
      <w:pict w14:anchorId="26664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6C2B7" w14:textId="77777777" w:rsidR="00FC7B81" w:rsidRDefault="00FC7B81" w:rsidP="009928F8">
      <w:r>
        <w:separator/>
      </w:r>
    </w:p>
  </w:footnote>
  <w:footnote w:type="continuationSeparator" w:id="0">
    <w:p w14:paraId="1776B61B" w14:textId="77777777" w:rsidR="00FC7B81" w:rsidRDefault="00FC7B81" w:rsidP="00992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1C0D" w14:textId="77777777" w:rsidR="004F7D81" w:rsidRPr="00134E5F" w:rsidRDefault="00134E5F" w:rsidP="00134E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15965-12-21</w:t>
    </w:r>
    <w:r>
      <w:rPr>
        <w:rFonts w:ascii="David" w:hAnsi="David"/>
        <w:color w:val="000000"/>
        <w:sz w:val="22"/>
        <w:szCs w:val="22"/>
        <w:rtl/>
      </w:rPr>
      <w:tab/>
      <w:t xml:space="preserve"> מדינת ישראל נ' אלעד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2CCAC" w14:textId="77777777" w:rsidR="004F7D81" w:rsidRPr="00134E5F" w:rsidRDefault="00134E5F" w:rsidP="00134E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15965-12-21</w:t>
    </w:r>
    <w:r>
      <w:rPr>
        <w:rFonts w:ascii="David" w:hAnsi="David"/>
        <w:color w:val="000000"/>
        <w:sz w:val="22"/>
        <w:szCs w:val="22"/>
        <w:rtl/>
      </w:rPr>
      <w:tab/>
      <w:t xml:space="preserve"> מדינת ישראל נ' אלעד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01C90"/>
    <w:multiLevelType w:val="hybridMultilevel"/>
    <w:tmpl w:val="BD004A84"/>
    <w:lvl w:ilvl="0" w:tplc="22A0A95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734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167D"/>
    <w:rsid w:val="000F11D9"/>
    <w:rsid w:val="0013374D"/>
    <w:rsid w:val="00134E5F"/>
    <w:rsid w:val="001B5A3B"/>
    <w:rsid w:val="0020167D"/>
    <w:rsid w:val="002C776D"/>
    <w:rsid w:val="00403078"/>
    <w:rsid w:val="004F7D81"/>
    <w:rsid w:val="005D5C19"/>
    <w:rsid w:val="006B1592"/>
    <w:rsid w:val="00785CE5"/>
    <w:rsid w:val="007A00FB"/>
    <w:rsid w:val="009928F8"/>
    <w:rsid w:val="00C86F1B"/>
    <w:rsid w:val="00DC5A0B"/>
    <w:rsid w:val="00E06E41"/>
    <w:rsid w:val="00FC7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F3B24F"/>
  <w15:chartTrackingRefBased/>
  <w15:docId w15:val="{DA7F9D09-7135-43AF-AC22-4B887486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16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167D"/>
    <w:pPr>
      <w:tabs>
        <w:tab w:val="center" w:pos="4153"/>
        <w:tab w:val="right" w:pos="8306"/>
      </w:tabs>
    </w:pPr>
  </w:style>
  <w:style w:type="character" w:customStyle="1" w:styleId="a4">
    <w:name w:val="כותרת עליונה תו"/>
    <w:link w:val="a3"/>
    <w:rsid w:val="0020167D"/>
    <w:rPr>
      <w:rFonts w:ascii="Times New Roman" w:eastAsia="Times New Roman" w:hAnsi="Times New Roman" w:cs="David"/>
      <w:sz w:val="24"/>
      <w:szCs w:val="24"/>
    </w:rPr>
  </w:style>
  <w:style w:type="paragraph" w:styleId="a5">
    <w:name w:val="footer"/>
    <w:basedOn w:val="a"/>
    <w:link w:val="a6"/>
    <w:rsid w:val="0020167D"/>
    <w:pPr>
      <w:tabs>
        <w:tab w:val="center" w:pos="4153"/>
        <w:tab w:val="right" w:pos="8306"/>
      </w:tabs>
    </w:pPr>
  </w:style>
  <w:style w:type="character" w:customStyle="1" w:styleId="a6">
    <w:name w:val="כותרת תחתונה תו"/>
    <w:link w:val="a5"/>
    <w:rsid w:val="0020167D"/>
    <w:rPr>
      <w:rFonts w:ascii="Times New Roman" w:eastAsia="Times New Roman" w:hAnsi="Times New Roman" w:cs="David"/>
      <w:sz w:val="24"/>
      <w:szCs w:val="24"/>
    </w:rPr>
  </w:style>
  <w:style w:type="table" w:styleId="a7">
    <w:name w:val="Table Grid"/>
    <w:basedOn w:val="a1"/>
    <w:rsid w:val="002016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167D"/>
  </w:style>
  <w:style w:type="character" w:styleId="Hyperlink">
    <w:name w:val="Hyperlink"/>
    <w:rsid w:val="0020167D"/>
    <w:rPr>
      <w:color w:val="0000FF"/>
      <w:u w:val="single"/>
    </w:rPr>
  </w:style>
  <w:style w:type="paragraph" w:styleId="a9">
    <w:name w:val="List Paragraph"/>
    <w:basedOn w:val="a"/>
    <w:qFormat/>
    <w:rsid w:val="0020167D"/>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20167D"/>
    <w:pPr>
      <w:spacing w:line="360" w:lineRule="auto"/>
      <w:jc w:val="both"/>
    </w:pPr>
  </w:style>
  <w:style w:type="character" w:customStyle="1" w:styleId="Ruller4">
    <w:name w:val="Ruller4 תו"/>
    <w:link w:val="Ruller40"/>
    <w:locked/>
    <w:rsid w:val="0020167D"/>
    <w:rPr>
      <w:rFonts w:ascii="Arial TUR" w:hAnsi="Arial TUR" w:cs="FrankRuehl"/>
      <w:spacing w:val="10"/>
      <w:szCs w:val="28"/>
    </w:rPr>
  </w:style>
  <w:style w:type="paragraph" w:customStyle="1" w:styleId="Ruller40">
    <w:name w:val="Ruller4"/>
    <w:basedOn w:val="a"/>
    <w:link w:val="Ruller4"/>
    <w:rsid w:val="0020167D"/>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 4 ממוספר"/>
    <w:basedOn w:val="a"/>
    <w:rsid w:val="0020167D"/>
    <w:pPr>
      <w:spacing w:line="360" w:lineRule="auto"/>
      <w:jc w:val="both"/>
    </w:pPr>
    <w:rPr>
      <w:rFonts w:ascii="Garamond" w:hAnsi="Garamond" w:cs="Times New Roman"/>
      <w:spacing w:val="10"/>
    </w:rPr>
  </w:style>
  <w:style w:type="paragraph" w:customStyle="1" w:styleId="ruller42">
    <w:name w:val="ruller4"/>
    <w:basedOn w:val="a"/>
    <w:rsid w:val="0020167D"/>
    <w:pPr>
      <w:overflowPunct w:val="0"/>
      <w:autoSpaceDE w:val="0"/>
      <w:autoSpaceDN w:val="0"/>
      <w:spacing w:line="360" w:lineRule="auto"/>
      <w:jc w:val="both"/>
    </w:pPr>
    <w:rPr>
      <w:rFonts w:ascii="Arial TUR" w:hAnsi="Arial TUR" w:cs="Times New Roman"/>
      <w:spacing w:val="10"/>
      <w:sz w:val="22"/>
      <w:szCs w:val="22"/>
      <w:lang w:eastAsia="he-IL"/>
    </w:rPr>
  </w:style>
  <w:style w:type="character" w:customStyle="1" w:styleId="default">
    <w:name w:val="default"/>
    <w:rsid w:val="0020167D"/>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2.a" TargetMode="External"/><Relationship Id="rId34" Type="http://schemas.openxmlformats.org/officeDocument/2006/relationships/hyperlink" Target="http://www.nevo.co.il/case/5942308" TargetMode="External"/><Relationship Id="rId42" Type="http://schemas.openxmlformats.org/officeDocument/2006/relationships/hyperlink" Target="http://www.nevo.co.il/case/12354253"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7.a.;7.c" TargetMode="External"/><Relationship Id="rId55" Type="http://schemas.openxmlformats.org/officeDocument/2006/relationships/hyperlink" Target="http://www.nevo.co.il/law/70301/52.a"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247854"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54472" TargetMode="External"/><Relationship Id="rId37" Type="http://schemas.openxmlformats.org/officeDocument/2006/relationships/hyperlink" Target="http://www.nevo.co.il/case/5568858" TargetMode="External"/><Relationship Id="rId40" Type="http://schemas.openxmlformats.org/officeDocument/2006/relationships/hyperlink" Target="http://www.nevo.co.il/case/18720163" TargetMode="External"/><Relationship Id="rId45" Type="http://schemas.openxmlformats.org/officeDocument/2006/relationships/hyperlink" Target="http://www.nevo.co.il/case/5583050" TargetMode="External"/><Relationship Id="rId53" Type="http://schemas.openxmlformats.org/officeDocument/2006/relationships/hyperlink" Target="http://www.nevo.co.il/law/70301/25" TargetMode="External"/><Relationship Id="rId58" Type="http://schemas.openxmlformats.org/officeDocument/2006/relationships/hyperlink" Target="http://www.nevo.co.il/case/26790852"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402.a" TargetMode="External"/><Relationship Id="rId14" Type="http://schemas.openxmlformats.org/officeDocument/2006/relationships/hyperlink" Target="http://www.nevo.co.il/law/70301/404"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2354253" TargetMode="External"/><Relationship Id="rId30" Type="http://schemas.openxmlformats.org/officeDocument/2006/relationships/hyperlink" Target="http://www.nevo.co.il/case/21472762" TargetMode="External"/><Relationship Id="rId35" Type="http://schemas.openxmlformats.org/officeDocument/2006/relationships/hyperlink" Target="http://www.nevo.co.il/case/16921206" TargetMode="External"/><Relationship Id="rId43" Type="http://schemas.openxmlformats.org/officeDocument/2006/relationships/hyperlink" Target="http://www.nevo.co.il/case/17954472" TargetMode="External"/><Relationship Id="rId48" Type="http://schemas.openxmlformats.org/officeDocument/2006/relationships/hyperlink" Target="http://www.nevo.co.il/law/70301/384"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2.a" TargetMode="External"/><Relationship Id="rId33" Type="http://schemas.openxmlformats.org/officeDocument/2006/relationships/hyperlink" Target="http://www.nevo.co.il/case/25582467" TargetMode="External"/><Relationship Id="rId38" Type="http://schemas.openxmlformats.org/officeDocument/2006/relationships/hyperlink" Target="http://www.nevo.co.il/case/6008785" TargetMode="External"/><Relationship Id="rId46" Type="http://schemas.openxmlformats.org/officeDocument/2006/relationships/hyperlink" Target="http://www.nevo.co.il/law/70301/407.a"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1472762" TargetMode="External"/><Relationship Id="rId54" Type="http://schemas.openxmlformats.org/officeDocument/2006/relationships/hyperlink" Target="http://www.nevo.co.il/case/26790852"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7.a" TargetMode="External"/><Relationship Id="rId23" Type="http://schemas.openxmlformats.org/officeDocument/2006/relationships/hyperlink" Target="http://www.nevo.co.il/law/70301/402.a" TargetMode="External"/><Relationship Id="rId28" Type="http://schemas.openxmlformats.org/officeDocument/2006/relationships/hyperlink" Target="http://www.nevo.co.il/case/21479947" TargetMode="External"/><Relationship Id="rId36" Type="http://schemas.openxmlformats.org/officeDocument/2006/relationships/hyperlink" Target="http://www.nevo.co.il/case/5610423" TargetMode="External"/><Relationship Id="rId49" Type="http://schemas.openxmlformats.org/officeDocument/2006/relationships/hyperlink" Target="http://www.nevo.co.il/law/70301/404" TargetMode="External"/><Relationship Id="rId57" Type="http://schemas.openxmlformats.org/officeDocument/2006/relationships/hyperlink" Target="http://www.nevo.co.il/law/70301/58" TargetMode="External"/><Relationship Id="rId10" Type="http://schemas.openxmlformats.org/officeDocument/2006/relationships/hyperlink" Target="http://www.nevo.co.il/law/70301/58" TargetMode="External"/><Relationship Id="rId31" Type="http://schemas.openxmlformats.org/officeDocument/2006/relationships/hyperlink" Target="http://www.nevo.co.il/case/5172599" TargetMode="External"/><Relationship Id="rId44" Type="http://schemas.openxmlformats.org/officeDocument/2006/relationships/hyperlink" Target="http://www.nevo.co.il/case/5585026" TargetMode="External"/><Relationship Id="rId52" Type="http://schemas.openxmlformats.org/officeDocument/2006/relationships/hyperlink" Target="http://www.nevo.co.il/law/70301/379"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52.a" TargetMode="External"/><Relationship Id="rId13" Type="http://schemas.openxmlformats.org/officeDocument/2006/relationships/hyperlink" Target="http://www.nevo.co.il/law/70301/402.a"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201579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4178</Words>
  <Characters>20894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25022</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3145843</vt:i4>
      </vt:variant>
      <vt:variant>
        <vt:i4>153</vt:i4>
      </vt:variant>
      <vt:variant>
        <vt:i4>0</vt:i4>
      </vt:variant>
      <vt:variant>
        <vt:i4>5</vt:i4>
      </vt:variant>
      <vt:variant>
        <vt:lpwstr>http://www.nevo.co.il/case/26790852</vt:lpwstr>
      </vt:variant>
      <vt:variant>
        <vt:lpwstr/>
      </vt:variant>
      <vt:variant>
        <vt:i4>7143520</vt:i4>
      </vt:variant>
      <vt:variant>
        <vt:i4>150</vt:i4>
      </vt:variant>
      <vt:variant>
        <vt:i4>0</vt:i4>
      </vt:variant>
      <vt:variant>
        <vt:i4>5</vt:i4>
      </vt:variant>
      <vt:variant>
        <vt:lpwstr>http://www.nevo.co.il/law/70301/58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393294</vt:i4>
      </vt:variant>
      <vt:variant>
        <vt:i4>144</vt:i4>
      </vt:variant>
      <vt:variant>
        <vt:i4>0</vt:i4>
      </vt:variant>
      <vt:variant>
        <vt:i4>5</vt:i4>
      </vt:variant>
      <vt:variant>
        <vt:lpwstr>http://www.nevo.co.il/law/70301/52.a</vt:lpwstr>
      </vt:variant>
      <vt:variant>
        <vt:lpwstr/>
      </vt:variant>
      <vt:variant>
        <vt:i4>3145843</vt:i4>
      </vt:variant>
      <vt:variant>
        <vt:i4>141</vt:i4>
      </vt:variant>
      <vt:variant>
        <vt:i4>0</vt:i4>
      </vt:variant>
      <vt:variant>
        <vt:i4>5</vt:i4>
      </vt:variant>
      <vt:variant>
        <vt:lpwstr>http://www.nevo.co.il/case/26790852</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6422630</vt:i4>
      </vt:variant>
      <vt:variant>
        <vt:i4>135</vt:i4>
      </vt:variant>
      <vt:variant>
        <vt:i4>0</vt:i4>
      </vt:variant>
      <vt:variant>
        <vt:i4>5</vt:i4>
      </vt:variant>
      <vt:variant>
        <vt:lpwstr>http://www.nevo.co.il/law/70301/379</vt:lpwstr>
      </vt:variant>
      <vt:variant>
        <vt:lpwstr/>
      </vt:variant>
      <vt:variant>
        <vt:i4>8257637</vt:i4>
      </vt:variant>
      <vt:variant>
        <vt:i4>132</vt:i4>
      </vt:variant>
      <vt:variant>
        <vt:i4>0</vt:i4>
      </vt:variant>
      <vt:variant>
        <vt:i4>5</vt:i4>
      </vt:variant>
      <vt:variant>
        <vt:lpwstr>http://www.nevo.co.il/law/4216</vt:lpwstr>
      </vt:variant>
      <vt:variant>
        <vt:lpwstr/>
      </vt:variant>
      <vt:variant>
        <vt:i4>3997821</vt:i4>
      </vt:variant>
      <vt:variant>
        <vt:i4>129</vt:i4>
      </vt:variant>
      <vt:variant>
        <vt:i4>0</vt:i4>
      </vt:variant>
      <vt:variant>
        <vt:i4>5</vt:i4>
      </vt:variant>
      <vt:variant>
        <vt:lpwstr>http://www.nevo.co.il/law/4216/7.a.;7.c</vt:lpwstr>
      </vt:variant>
      <vt:variant>
        <vt:lpwstr/>
      </vt:variant>
      <vt:variant>
        <vt:i4>6619233</vt:i4>
      </vt:variant>
      <vt:variant>
        <vt:i4>126</vt:i4>
      </vt:variant>
      <vt:variant>
        <vt:i4>0</vt:i4>
      </vt:variant>
      <vt:variant>
        <vt:i4>5</vt:i4>
      </vt:variant>
      <vt:variant>
        <vt:lpwstr>http://www.nevo.co.il/law/70301/404</vt:lpwstr>
      </vt:variant>
      <vt:variant>
        <vt:lpwstr/>
      </vt:variant>
      <vt:variant>
        <vt:i4>7143526</vt:i4>
      </vt:variant>
      <vt:variant>
        <vt:i4>123</vt:i4>
      </vt:variant>
      <vt:variant>
        <vt:i4>0</vt:i4>
      </vt:variant>
      <vt:variant>
        <vt:i4>5</vt:i4>
      </vt:variant>
      <vt:variant>
        <vt:lpwstr>http://www.nevo.co.il/law/70301/384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4915286</vt:i4>
      </vt:variant>
      <vt:variant>
        <vt:i4>117</vt:i4>
      </vt:variant>
      <vt:variant>
        <vt:i4>0</vt:i4>
      </vt:variant>
      <vt:variant>
        <vt:i4>5</vt:i4>
      </vt:variant>
      <vt:variant>
        <vt:lpwstr>http://www.nevo.co.il/law/70301/407.a</vt:lpwstr>
      </vt:variant>
      <vt:variant>
        <vt:lpwstr/>
      </vt:variant>
      <vt:variant>
        <vt:i4>3997815</vt:i4>
      </vt:variant>
      <vt:variant>
        <vt:i4>114</vt:i4>
      </vt:variant>
      <vt:variant>
        <vt:i4>0</vt:i4>
      </vt:variant>
      <vt:variant>
        <vt:i4>5</vt:i4>
      </vt:variant>
      <vt:variant>
        <vt:lpwstr>http://www.nevo.co.il/case/5583050</vt:lpwstr>
      </vt:variant>
      <vt:variant>
        <vt:lpwstr/>
      </vt:variant>
      <vt:variant>
        <vt:i4>3866742</vt:i4>
      </vt:variant>
      <vt:variant>
        <vt:i4>111</vt:i4>
      </vt:variant>
      <vt:variant>
        <vt:i4>0</vt:i4>
      </vt:variant>
      <vt:variant>
        <vt:i4>5</vt:i4>
      </vt:variant>
      <vt:variant>
        <vt:lpwstr>http://www.nevo.co.il/case/5585026</vt:lpwstr>
      </vt:variant>
      <vt:variant>
        <vt:lpwstr/>
      </vt:variant>
      <vt:variant>
        <vt:i4>3866738</vt:i4>
      </vt:variant>
      <vt:variant>
        <vt:i4>108</vt:i4>
      </vt:variant>
      <vt:variant>
        <vt:i4>0</vt:i4>
      </vt:variant>
      <vt:variant>
        <vt:i4>5</vt:i4>
      </vt:variant>
      <vt:variant>
        <vt:lpwstr>http://www.nevo.co.il/case/17954472</vt:lpwstr>
      </vt:variant>
      <vt:variant>
        <vt:lpwstr/>
      </vt:variant>
      <vt:variant>
        <vt:i4>3342449</vt:i4>
      </vt:variant>
      <vt:variant>
        <vt:i4>105</vt:i4>
      </vt:variant>
      <vt:variant>
        <vt:i4>0</vt:i4>
      </vt:variant>
      <vt:variant>
        <vt:i4>5</vt:i4>
      </vt:variant>
      <vt:variant>
        <vt:lpwstr>http://www.nevo.co.il/case/12354253</vt:lpwstr>
      </vt:variant>
      <vt:variant>
        <vt:lpwstr/>
      </vt:variant>
      <vt:variant>
        <vt:i4>3276917</vt:i4>
      </vt:variant>
      <vt:variant>
        <vt:i4>102</vt:i4>
      </vt:variant>
      <vt:variant>
        <vt:i4>0</vt:i4>
      </vt:variant>
      <vt:variant>
        <vt:i4>5</vt:i4>
      </vt:variant>
      <vt:variant>
        <vt:lpwstr>http://www.nevo.co.il/case/21472762</vt:lpwstr>
      </vt:variant>
      <vt:variant>
        <vt:lpwstr/>
      </vt:variant>
      <vt:variant>
        <vt:i4>3145855</vt:i4>
      </vt:variant>
      <vt:variant>
        <vt:i4>99</vt:i4>
      </vt:variant>
      <vt:variant>
        <vt:i4>0</vt:i4>
      </vt:variant>
      <vt:variant>
        <vt:i4>5</vt:i4>
      </vt:variant>
      <vt:variant>
        <vt:lpwstr>http://www.nevo.co.il/case/18720163</vt:lpwstr>
      </vt:variant>
      <vt:variant>
        <vt:lpwstr/>
      </vt:variant>
      <vt:variant>
        <vt:i4>3276920</vt:i4>
      </vt:variant>
      <vt:variant>
        <vt:i4>96</vt:i4>
      </vt:variant>
      <vt:variant>
        <vt:i4>0</vt:i4>
      </vt:variant>
      <vt:variant>
        <vt:i4>5</vt:i4>
      </vt:variant>
      <vt:variant>
        <vt:lpwstr>http://www.nevo.co.il/case/20157961</vt:lpwstr>
      </vt:variant>
      <vt:variant>
        <vt:lpwstr/>
      </vt:variant>
      <vt:variant>
        <vt:i4>3407988</vt:i4>
      </vt:variant>
      <vt:variant>
        <vt:i4>93</vt:i4>
      </vt:variant>
      <vt:variant>
        <vt:i4>0</vt:i4>
      </vt:variant>
      <vt:variant>
        <vt:i4>5</vt:i4>
      </vt:variant>
      <vt:variant>
        <vt:lpwstr>http://www.nevo.co.il/case/6008785</vt:lpwstr>
      </vt:variant>
      <vt:variant>
        <vt:lpwstr/>
      </vt:variant>
      <vt:variant>
        <vt:i4>3342460</vt:i4>
      </vt:variant>
      <vt:variant>
        <vt:i4>90</vt:i4>
      </vt:variant>
      <vt:variant>
        <vt:i4>0</vt:i4>
      </vt:variant>
      <vt:variant>
        <vt:i4>5</vt:i4>
      </vt:variant>
      <vt:variant>
        <vt:lpwstr>http://www.nevo.co.il/case/5568858</vt:lpwstr>
      </vt:variant>
      <vt:variant>
        <vt:lpwstr/>
      </vt:variant>
      <vt:variant>
        <vt:i4>3342448</vt:i4>
      </vt:variant>
      <vt:variant>
        <vt:i4>87</vt:i4>
      </vt:variant>
      <vt:variant>
        <vt:i4>0</vt:i4>
      </vt:variant>
      <vt:variant>
        <vt:i4>5</vt:i4>
      </vt:variant>
      <vt:variant>
        <vt:lpwstr>http://www.nevo.co.il/case/5610423</vt:lpwstr>
      </vt:variant>
      <vt:variant>
        <vt:lpwstr/>
      </vt:variant>
      <vt:variant>
        <vt:i4>3735666</vt:i4>
      </vt:variant>
      <vt:variant>
        <vt:i4>84</vt:i4>
      </vt:variant>
      <vt:variant>
        <vt:i4>0</vt:i4>
      </vt:variant>
      <vt:variant>
        <vt:i4>5</vt:i4>
      </vt:variant>
      <vt:variant>
        <vt:lpwstr>http://www.nevo.co.il/case/16921206</vt:lpwstr>
      </vt:variant>
      <vt:variant>
        <vt:lpwstr/>
      </vt:variant>
      <vt:variant>
        <vt:i4>3801215</vt:i4>
      </vt:variant>
      <vt:variant>
        <vt:i4>81</vt:i4>
      </vt:variant>
      <vt:variant>
        <vt:i4>0</vt:i4>
      </vt:variant>
      <vt:variant>
        <vt:i4>5</vt:i4>
      </vt:variant>
      <vt:variant>
        <vt:lpwstr>http://www.nevo.co.il/case/5942308</vt:lpwstr>
      </vt:variant>
      <vt:variant>
        <vt:lpwstr/>
      </vt:variant>
      <vt:variant>
        <vt:i4>3342461</vt:i4>
      </vt:variant>
      <vt:variant>
        <vt:i4>78</vt:i4>
      </vt:variant>
      <vt:variant>
        <vt:i4>0</vt:i4>
      </vt:variant>
      <vt:variant>
        <vt:i4>5</vt:i4>
      </vt:variant>
      <vt:variant>
        <vt:lpwstr>http://www.nevo.co.il/case/25582467</vt:lpwstr>
      </vt:variant>
      <vt:variant>
        <vt:lpwstr/>
      </vt:variant>
      <vt:variant>
        <vt:i4>3866738</vt:i4>
      </vt:variant>
      <vt:variant>
        <vt:i4>75</vt:i4>
      </vt:variant>
      <vt:variant>
        <vt:i4>0</vt:i4>
      </vt:variant>
      <vt:variant>
        <vt:i4>5</vt:i4>
      </vt:variant>
      <vt:variant>
        <vt:lpwstr>http://www.nevo.co.il/case/17954472</vt:lpwstr>
      </vt:variant>
      <vt:variant>
        <vt:lpwstr/>
      </vt:variant>
      <vt:variant>
        <vt:i4>4063358</vt:i4>
      </vt:variant>
      <vt:variant>
        <vt:i4>72</vt:i4>
      </vt:variant>
      <vt:variant>
        <vt:i4>0</vt:i4>
      </vt:variant>
      <vt:variant>
        <vt:i4>5</vt:i4>
      </vt:variant>
      <vt:variant>
        <vt:lpwstr>http://www.nevo.co.il/case/5172599</vt:lpwstr>
      </vt:variant>
      <vt:variant>
        <vt:lpwstr/>
      </vt:variant>
      <vt:variant>
        <vt:i4>3276917</vt:i4>
      </vt:variant>
      <vt:variant>
        <vt:i4>69</vt:i4>
      </vt:variant>
      <vt:variant>
        <vt:i4>0</vt:i4>
      </vt:variant>
      <vt:variant>
        <vt:i4>5</vt:i4>
      </vt:variant>
      <vt:variant>
        <vt:lpwstr>http://www.nevo.co.il/case/21472762</vt:lpwstr>
      </vt:variant>
      <vt:variant>
        <vt:lpwstr/>
      </vt:variant>
      <vt:variant>
        <vt:i4>4063348</vt:i4>
      </vt:variant>
      <vt:variant>
        <vt:i4>66</vt:i4>
      </vt:variant>
      <vt:variant>
        <vt:i4>0</vt:i4>
      </vt:variant>
      <vt:variant>
        <vt:i4>5</vt:i4>
      </vt:variant>
      <vt:variant>
        <vt:lpwstr>http://www.nevo.co.il/case/6247854</vt:lpwstr>
      </vt:variant>
      <vt:variant>
        <vt:lpwstr/>
      </vt:variant>
      <vt:variant>
        <vt:i4>3866747</vt:i4>
      </vt:variant>
      <vt:variant>
        <vt:i4>63</vt:i4>
      </vt:variant>
      <vt:variant>
        <vt:i4>0</vt:i4>
      </vt:variant>
      <vt:variant>
        <vt:i4>5</vt:i4>
      </vt:variant>
      <vt:variant>
        <vt:lpwstr>http://www.nevo.co.il/case/21479947</vt:lpwstr>
      </vt:variant>
      <vt:variant>
        <vt:lpwstr/>
      </vt:variant>
      <vt:variant>
        <vt:i4>3342449</vt:i4>
      </vt:variant>
      <vt:variant>
        <vt:i4>60</vt:i4>
      </vt:variant>
      <vt:variant>
        <vt:i4>0</vt:i4>
      </vt:variant>
      <vt:variant>
        <vt:i4>5</vt:i4>
      </vt:variant>
      <vt:variant>
        <vt:lpwstr>http://www.nevo.co.il/case/12354253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4915283</vt:i4>
      </vt:variant>
      <vt:variant>
        <vt:i4>54</vt:i4>
      </vt:variant>
      <vt:variant>
        <vt:i4>0</vt:i4>
      </vt:variant>
      <vt:variant>
        <vt:i4>5</vt:i4>
      </vt:variant>
      <vt:variant>
        <vt:lpwstr>http://www.nevo.co.il/law/70301/402.a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4915283</vt:i4>
      </vt:variant>
      <vt:variant>
        <vt:i4>48</vt:i4>
      </vt:variant>
      <vt:variant>
        <vt:i4>0</vt:i4>
      </vt:variant>
      <vt:variant>
        <vt:i4>5</vt:i4>
      </vt:variant>
      <vt:variant>
        <vt:lpwstr>http://www.nevo.co.il/law/70301/402.a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4915283</vt:i4>
      </vt:variant>
      <vt:variant>
        <vt:i4>42</vt:i4>
      </vt:variant>
      <vt:variant>
        <vt:i4>0</vt:i4>
      </vt:variant>
      <vt:variant>
        <vt:i4>5</vt:i4>
      </vt:variant>
      <vt:variant>
        <vt:lpwstr>http://www.nevo.co.il/law/70301/402.a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4915283</vt:i4>
      </vt:variant>
      <vt:variant>
        <vt:i4>36</vt:i4>
      </vt:variant>
      <vt:variant>
        <vt:i4>0</vt:i4>
      </vt:variant>
      <vt:variant>
        <vt:i4>5</vt:i4>
      </vt:variant>
      <vt:variant>
        <vt:lpwstr>http://www.nevo.co.il/law/70301/402.a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4915286</vt:i4>
      </vt:variant>
      <vt:variant>
        <vt:i4>24</vt:i4>
      </vt:variant>
      <vt:variant>
        <vt:i4>0</vt:i4>
      </vt:variant>
      <vt:variant>
        <vt:i4>5</vt:i4>
      </vt:variant>
      <vt:variant>
        <vt:lpwstr>http://www.nevo.co.il/law/70301/407.a</vt:lpwstr>
      </vt:variant>
      <vt:variant>
        <vt:lpwstr/>
      </vt:variant>
      <vt:variant>
        <vt:i4>6619233</vt:i4>
      </vt:variant>
      <vt:variant>
        <vt:i4>21</vt:i4>
      </vt:variant>
      <vt:variant>
        <vt:i4>0</vt:i4>
      </vt:variant>
      <vt:variant>
        <vt:i4>5</vt:i4>
      </vt:variant>
      <vt:variant>
        <vt:lpwstr>http://www.nevo.co.il/law/70301/404</vt:lpwstr>
      </vt:variant>
      <vt:variant>
        <vt:lpwstr/>
      </vt:variant>
      <vt:variant>
        <vt:i4>4915283</vt:i4>
      </vt:variant>
      <vt:variant>
        <vt:i4>18</vt:i4>
      </vt:variant>
      <vt:variant>
        <vt:i4>0</vt:i4>
      </vt:variant>
      <vt:variant>
        <vt:i4>5</vt:i4>
      </vt:variant>
      <vt:variant>
        <vt:lpwstr>http://www.nevo.co.il/law/70301/402.a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7143520</vt:i4>
      </vt:variant>
      <vt:variant>
        <vt:i4>9</vt:i4>
      </vt:variant>
      <vt:variant>
        <vt:i4>0</vt:i4>
      </vt:variant>
      <vt:variant>
        <vt:i4>5</vt:i4>
      </vt:variant>
      <vt:variant>
        <vt:lpwstr>http://www.nevo.co.il/law/70301/58</vt:lpwstr>
      </vt:variant>
      <vt:variant>
        <vt:lpwstr/>
      </vt:variant>
      <vt:variant>
        <vt:i4>393294</vt:i4>
      </vt:variant>
      <vt:variant>
        <vt:i4>6</vt:i4>
      </vt:variant>
      <vt:variant>
        <vt:i4>0</vt:i4>
      </vt:variant>
      <vt:variant>
        <vt:i4>5</vt:i4>
      </vt:variant>
      <vt:variant>
        <vt:lpwstr>http://www.nevo.co.il/law/70301/52.a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15965</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אלעד דוידוב</vt:lpwstr>
  </property>
  <property fmtid="{D5CDD505-2E9C-101B-9397-08002B2CF9AE}" pid="10" name="LAWYER">
    <vt:lpwstr>א. ספיה קנדלפת</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20221019</vt:lpwstr>
  </property>
  <property fmtid="{D5CDD505-2E9C-101B-9397-08002B2CF9AE}" pid="14" name="TYPE_N_DATE">
    <vt:lpwstr>39020221019</vt:lpwstr>
  </property>
  <property fmtid="{D5CDD505-2E9C-101B-9397-08002B2CF9AE}" pid="15" name="WORDNUMPAGES">
    <vt:lpwstr>14</vt:lpwstr>
  </property>
  <property fmtid="{D5CDD505-2E9C-101B-9397-08002B2CF9AE}" pid="16" name="TYPE_ABS_DATE">
    <vt:lpwstr>390020221019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12354253:2;21479947;6247854;21472762:2;5172599;17954472:2;25582467;5942308;16921206;5610423;5568858;6008785;20157961;18720163;5585026;5583050;26790852:2</vt:lpwstr>
  </property>
  <property fmtid="{D5CDD505-2E9C-101B-9397-08002B2CF9AE}" pid="36" name="LAWLISTTMP1">
    <vt:lpwstr>70301/402.a:4;407.a;384;404;379;025;052.a;058</vt:lpwstr>
  </property>
  <property fmtid="{D5CDD505-2E9C-101B-9397-08002B2CF9AE}" pid="37" name="LAWLISTTMP2">
    <vt:lpwstr>4216/007.a;007.c</vt:lpwstr>
  </property>
</Properties>
</file>