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660"/>
        <w:gridCol w:w="5922"/>
        <w:gridCol w:w="315"/>
      </w:tblGrid>
      <w:tr w:rsidR="00D2524B" w:rsidRPr="003F301D" w14:paraId="3A3AEAAC" w14:textId="77777777" w:rsidTr="00D47888">
        <w:trPr>
          <w:gridAfter w:val="1"/>
          <w:wAfter w:w="315" w:type="dxa"/>
          <w:trHeight w:hRule="exact" w:val="418"/>
          <w:jc w:val="center"/>
        </w:trPr>
        <w:tc>
          <w:tcPr>
            <w:tcW w:w="8505" w:type="dxa"/>
            <w:gridSpan w:val="3"/>
          </w:tcPr>
          <w:p w14:paraId="011FC0FA" w14:textId="77777777" w:rsidR="00D2524B" w:rsidRPr="003F301D" w:rsidRDefault="0064294B" w:rsidP="00651B3E">
            <w:pPr>
              <w:pStyle w:val="a3"/>
              <w:jc w:val="center"/>
              <w:rPr>
                <w:rFonts w:ascii="Tahoma" w:hAnsi="Tahoma" w:cs="Tahoma"/>
                <w:color w:val="000080"/>
                <w:rtl/>
              </w:rPr>
            </w:pPr>
            <w:bookmarkStart w:id="0" w:name="LastJudge"/>
            <w:r w:rsidRPr="003F301D">
              <w:rPr>
                <w:noProof/>
                <w:rtl/>
              </w:rPr>
              <w:pict w14:anchorId="7B26E099">
                <v:shapetype id="_x0000_t202" coordsize="21600,21600" o:spt="202" path="m,l,21600r21600,l21600,xe">
                  <v:stroke joinstyle="miter"/>
                  <v:path gradientshapeok="t" o:connecttype="rect"/>
                </v:shapetype>
                <v:shape id="Text Box 1" o:spid="_x0000_s1026" type="#_x0000_t202" style="position:absolute;left:0;text-align:left;margin-left:0;margin-top:0;width:478.1pt;height:21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" filled="f" stroked="f">
                  <v:stroke joinstyle="round"/>
                  <o:lock v:ext="edit" aspectratio="t" shapetype="t"/>
                  <v:textbox style="mso-fit-shape-to-text:t">
                    <w:txbxContent>
                      <w:p w14:paraId="587AD3AE" w14:textId="77777777" w:rsidR="00D2524B" w:rsidRDefault="00D2524B" w:rsidP="003F301D">
                        <w:pPr>
                          <w:pStyle w:val="NormalWeb"/>
                          <w:bidi/>
                          <w:spacing w:before="0" w:beforeAutospacing="0" w:after="0" w:afterAutospacing="0"/>
                          <w:jc w:val="center"/>
                        </w:pPr>
                      </w:p>
                    </w:txbxContent>
                  </v:textbox>
                  <w10:wrap anchorx="margin" anchory="margin"/>
                </v:shape>
              </w:pict>
            </w:r>
            <w:r w:rsidR="00D2524B" w:rsidRPr="003F301D">
              <w:rPr>
                <w:rFonts w:ascii="Tahoma" w:hAnsi="Tahoma" w:cs="Tahoma"/>
                <w:b/>
                <w:bCs/>
                <w:color w:val="000080"/>
                <w:rtl/>
              </w:rPr>
              <w:t>בית המשפט המחוזי בחיפה</w:t>
            </w:r>
          </w:p>
        </w:tc>
      </w:tr>
      <w:tr w:rsidR="00D2524B" w:rsidRPr="003F301D" w14:paraId="7F24BB76" w14:textId="77777777" w:rsidTr="00D47888">
        <w:trPr>
          <w:gridAfter w:val="1"/>
          <w:wAfter w:w="315" w:type="dxa"/>
          <w:trHeight w:val="337"/>
          <w:jc w:val="center"/>
        </w:trPr>
        <w:tc>
          <w:tcPr>
            <w:tcW w:w="8505" w:type="dxa"/>
            <w:gridSpan w:val="3"/>
          </w:tcPr>
          <w:p w14:paraId="014996A4" w14:textId="77777777" w:rsidR="00D2524B" w:rsidRPr="003F301D" w:rsidRDefault="00D2524B" w:rsidP="00651B3E">
            <w:pPr>
              <w:pStyle w:val="a3"/>
              <w:rPr>
                <w:rFonts w:cs="FrankRuehl"/>
                <w:sz w:val="28"/>
                <w:szCs w:val="28"/>
                <w:rtl/>
              </w:rPr>
            </w:pPr>
            <w:r w:rsidRPr="003F301D">
              <w:rPr>
                <w:rFonts w:ascii="David" w:hAnsi="David"/>
                <w:sz w:val="26"/>
                <w:szCs w:val="26"/>
                <w:rtl/>
              </w:rPr>
              <w:t>ת"פ 41830-12-21 מדינת ישראל נ' כנאנה(עציר)</w:t>
            </w:r>
          </w:p>
        </w:tc>
      </w:tr>
      <w:tr w:rsidR="00D2524B" w:rsidRPr="003F301D" w14:paraId="3751D535"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7"/>
          <w:jc w:val="center"/>
        </w:trPr>
        <w:tc>
          <w:tcPr>
            <w:tcW w:w="923" w:type="dxa"/>
            <w:tcBorders>
              <w:top w:val="nil"/>
              <w:left w:val="nil"/>
              <w:bottom w:val="nil"/>
              <w:right w:val="nil"/>
            </w:tcBorders>
            <w:shd w:val="clear" w:color="auto" w:fill="auto"/>
          </w:tcPr>
          <w:p w14:paraId="3F388C50" w14:textId="77777777" w:rsidR="00D2524B" w:rsidRPr="003F301D" w:rsidRDefault="00D2524B" w:rsidP="00D2524B">
            <w:pPr>
              <w:jc w:val="both"/>
              <w:rPr>
                <w:rFonts w:ascii="David" w:hAnsi="David"/>
                <w:sz w:val="26"/>
                <w:szCs w:val="26"/>
              </w:rPr>
            </w:pPr>
            <w:r w:rsidRPr="003F301D">
              <w:rPr>
                <w:rFonts w:hint="cs"/>
                <w:rtl/>
              </w:rPr>
              <w:t xml:space="preserve"> </w:t>
            </w:r>
            <w:r w:rsidRPr="003F301D">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776BB466" w14:textId="77777777" w:rsidR="00D2524B" w:rsidRPr="003F301D" w:rsidRDefault="00D2524B" w:rsidP="00651B3E">
            <w:pPr>
              <w:rPr>
                <w:rFonts w:ascii="David" w:hAnsi="David"/>
                <w:b/>
                <w:bCs/>
                <w:sz w:val="26"/>
                <w:szCs w:val="26"/>
                <w:rtl/>
              </w:rPr>
            </w:pPr>
            <w:r w:rsidRPr="003F301D">
              <w:rPr>
                <w:rFonts w:ascii="David" w:hAnsi="David"/>
                <w:b/>
                <w:bCs/>
                <w:sz w:val="26"/>
                <w:szCs w:val="26"/>
                <w:rtl/>
              </w:rPr>
              <w:t>כבוד השופטת  אספרנצה אלון</w:t>
            </w:r>
          </w:p>
          <w:p w14:paraId="79F49700" w14:textId="77777777" w:rsidR="00D2524B" w:rsidRPr="003F301D" w:rsidRDefault="00D2524B" w:rsidP="00651B3E">
            <w:pPr>
              <w:rPr>
                <w:rFonts w:ascii="David" w:hAnsi="David"/>
                <w:b/>
                <w:bCs/>
                <w:sz w:val="26"/>
                <w:szCs w:val="26"/>
              </w:rPr>
            </w:pPr>
          </w:p>
        </w:tc>
      </w:tr>
      <w:tr w:rsidR="00D2524B" w:rsidRPr="003F301D" w14:paraId="49220300"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83" w:type="dxa"/>
            <w:gridSpan w:val="2"/>
            <w:tcBorders>
              <w:top w:val="nil"/>
              <w:left w:val="nil"/>
              <w:bottom w:val="nil"/>
              <w:right w:val="nil"/>
            </w:tcBorders>
            <w:shd w:val="clear" w:color="auto" w:fill="auto"/>
          </w:tcPr>
          <w:p w14:paraId="596D35FB" w14:textId="77777777" w:rsidR="00D2524B" w:rsidRPr="003F301D" w:rsidRDefault="00D2524B" w:rsidP="00D2524B">
            <w:pPr>
              <w:suppressLineNumbers/>
            </w:pPr>
            <w:bookmarkStart w:id="1" w:name="FirstAppellant"/>
            <w:r w:rsidRPr="003F301D">
              <w:rPr>
                <w:rFonts w:ascii="Arial" w:hAnsi="Arial" w:hint="cs"/>
                <w:b/>
                <w:bCs/>
                <w:sz w:val="26"/>
                <w:szCs w:val="26"/>
                <w:rtl/>
              </w:rPr>
              <w:t>ה</w:t>
            </w:r>
            <w:r w:rsidRPr="003F301D">
              <w:rPr>
                <w:rFonts w:ascii="Arial" w:hAnsi="Arial"/>
                <w:b/>
                <w:bCs/>
                <w:sz w:val="26"/>
                <w:szCs w:val="26"/>
                <w:rtl/>
              </w:rPr>
              <w:t>מאשימה</w:t>
            </w:r>
          </w:p>
          <w:p w14:paraId="4DBCD552" w14:textId="77777777" w:rsidR="00D2524B" w:rsidRPr="003F301D" w:rsidRDefault="00D2524B" w:rsidP="00651B3E">
            <w:pPr>
              <w:rPr>
                <w:rFonts w:ascii="David" w:hAnsi="David"/>
                <w:sz w:val="26"/>
                <w:szCs w:val="26"/>
              </w:rPr>
            </w:pPr>
          </w:p>
        </w:tc>
        <w:tc>
          <w:tcPr>
            <w:tcW w:w="6237" w:type="dxa"/>
            <w:gridSpan w:val="2"/>
            <w:tcBorders>
              <w:top w:val="nil"/>
              <w:left w:val="nil"/>
              <w:bottom w:val="nil"/>
              <w:right w:val="nil"/>
            </w:tcBorders>
            <w:shd w:val="clear" w:color="auto" w:fill="auto"/>
            <w:vAlign w:val="center"/>
          </w:tcPr>
          <w:p w14:paraId="60507D49" w14:textId="77777777" w:rsidR="00D2524B" w:rsidRPr="003F301D" w:rsidRDefault="00D2524B" w:rsidP="00D2524B">
            <w:pPr>
              <w:suppressLineNumbers/>
              <w:rPr>
                <w:rFonts w:ascii="Arial" w:hAnsi="Arial"/>
                <w:b/>
                <w:bCs/>
                <w:sz w:val="26"/>
                <w:szCs w:val="26"/>
                <w:rtl/>
              </w:rPr>
            </w:pPr>
            <w:r w:rsidRPr="003F301D">
              <w:rPr>
                <w:rFonts w:ascii="Arial" w:hAnsi="Arial"/>
                <w:b/>
                <w:bCs/>
                <w:sz w:val="26"/>
                <w:szCs w:val="26"/>
                <w:rtl/>
              </w:rPr>
              <w:t>מדינת ישראל</w:t>
            </w:r>
          </w:p>
          <w:p w14:paraId="0AE332D6" w14:textId="77777777" w:rsidR="00D2524B" w:rsidRPr="003F301D" w:rsidRDefault="00D2524B" w:rsidP="00D2524B">
            <w:pPr>
              <w:suppressLineNumbers/>
            </w:pPr>
            <w:r w:rsidRPr="003F301D">
              <w:rPr>
                <w:rFonts w:hint="cs"/>
                <w:rtl/>
              </w:rPr>
              <w:t>באמצעות פרקליטות מחוז חיפה (פלילי)</w:t>
            </w:r>
          </w:p>
        </w:tc>
      </w:tr>
      <w:bookmarkEnd w:id="1"/>
      <w:tr w:rsidR="00D2524B" w:rsidRPr="003F301D" w14:paraId="15263CD6"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4"/>
            <w:tcBorders>
              <w:top w:val="nil"/>
              <w:left w:val="nil"/>
              <w:bottom w:val="nil"/>
              <w:right w:val="nil"/>
            </w:tcBorders>
            <w:shd w:val="clear" w:color="auto" w:fill="auto"/>
          </w:tcPr>
          <w:p w14:paraId="38D9E6E0" w14:textId="77777777" w:rsidR="00D2524B" w:rsidRPr="003F301D" w:rsidRDefault="00D2524B" w:rsidP="00D2524B">
            <w:pPr>
              <w:jc w:val="center"/>
              <w:rPr>
                <w:rFonts w:ascii="David" w:hAnsi="David"/>
                <w:b/>
                <w:bCs/>
                <w:sz w:val="26"/>
                <w:szCs w:val="26"/>
                <w:rtl/>
              </w:rPr>
            </w:pPr>
          </w:p>
          <w:p w14:paraId="1A7AEAFB" w14:textId="77777777" w:rsidR="00D2524B" w:rsidRPr="003F301D" w:rsidRDefault="00D2524B" w:rsidP="00D2524B">
            <w:pPr>
              <w:jc w:val="center"/>
              <w:rPr>
                <w:rFonts w:ascii="David" w:hAnsi="David"/>
                <w:b/>
                <w:bCs/>
                <w:sz w:val="26"/>
                <w:szCs w:val="26"/>
                <w:rtl/>
              </w:rPr>
            </w:pPr>
            <w:r w:rsidRPr="003F301D">
              <w:rPr>
                <w:rFonts w:ascii="David" w:hAnsi="David"/>
                <w:b/>
                <w:bCs/>
                <w:sz w:val="26"/>
                <w:szCs w:val="26"/>
                <w:rtl/>
              </w:rPr>
              <w:t>נגד</w:t>
            </w:r>
          </w:p>
          <w:p w14:paraId="78955D39" w14:textId="77777777" w:rsidR="00D2524B" w:rsidRPr="003F301D" w:rsidRDefault="00D2524B" w:rsidP="00D2524B">
            <w:pPr>
              <w:jc w:val="both"/>
              <w:rPr>
                <w:rFonts w:ascii="David" w:hAnsi="David"/>
                <w:sz w:val="26"/>
                <w:szCs w:val="26"/>
              </w:rPr>
            </w:pPr>
          </w:p>
        </w:tc>
      </w:tr>
      <w:tr w:rsidR="00D2524B" w:rsidRPr="003F301D" w14:paraId="23D08137"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83" w:type="dxa"/>
            <w:gridSpan w:val="2"/>
            <w:tcBorders>
              <w:top w:val="nil"/>
              <w:left w:val="nil"/>
              <w:bottom w:val="nil"/>
              <w:right w:val="nil"/>
            </w:tcBorders>
            <w:shd w:val="clear" w:color="auto" w:fill="auto"/>
          </w:tcPr>
          <w:p w14:paraId="76F88B38" w14:textId="77777777" w:rsidR="00D2524B" w:rsidRPr="003F301D" w:rsidRDefault="00D2524B" w:rsidP="00651B3E">
            <w:pPr>
              <w:rPr>
                <w:rFonts w:ascii="Arial" w:hAnsi="Arial"/>
                <w:b/>
                <w:bCs/>
                <w:sz w:val="26"/>
                <w:szCs w:val="26"/>
                <w:rtl/>
              </w:rPr>
            </w:pPr>
            <w:bookmarkStart w:id="2" w:name="FirstLawyer"/>
            <w:r w:rsidRPr="003F301D">
              <w:rPr>
                <w:rFonts w:ascii="Arial" w:hAnsi="Arial"/>
                <w:b/>
                <w:bCs/>
                <w:sz w:val="26"/>
                <w:szCs w:val="26"/>
                <w:rtl/>
              </w:rPr>
              <w:t>הנאשמים</w:t>
            </w:r>
          </w:p>
        </w:tc>
        <w:tc>
          <w:tcPr>
            <w:tcW w:w="6237" w:type="dxa"/>
            <w:gridSpan w:val="2"/>
            <w:tcBorders>
              <w:top w:val="nil"/>
              <w:left w:val="nil"/>
              <w:bottom w:val="nil"/>
              <w:right w:val="nil"/>
            </w:tcBorders>
            <w:shd w:val="clear" w:color="auto" w:fill="auto"/>
            <w:vAlign w:val="center"/>
          </w:tcPr>
          <w:p w14:paraId="3801ED5D" w14:textId="77777777" w:rsidR="00D2524B" w:rsidRPr="003F301D" w:rsidRDefault="00D2524B" w:rsidP="00D2524B">
            <w:pPr>
              <w:suppressLineNumbers/>
              <w:rPr>
                <w:rFonts w:ascii="Arial" w:hAnsi="Arial"/>
                <w:b/>
                <w:bCs/>
                <w:sz w:val="26"/>
                <w:szCs w:val="26"/>
                <w:rtl/>
              </w:rPr>
            </w:pPr>
            <w:r w:rsidRPr="003F301D">
              <w:rPr>
                <w:rFonts w:ascii="Arial" w:hAnsi="Arial"/>
                <w:b/>
                <w:bCs/>
                <w:sz w:val="26"/>
                <w:szCs w:val="26"/>
                <w:rtl/>
              </w:rPr>
              <w:t>מהדי כנאנה (עציר)</w:t>
            </w:r>
          </w:p>
          <w:p w14:paraId="3CFBD2BD" w14:textId="77777777" w:rsidR="00D2524B" w:rsidRPr="003F301D" w:rsidRDefault="00D2524B" w:rsidP="00D2524B">
            <w:pPr>
              <w:suppressLineNumbers/>
            </w:pPr>
            <w:r w:rsidRPr="003F301D">
              <w:rPr>
                <w:rFonts w:hint="cs"/>
                <w:rtl/>
              </w:rPr>
              <w:t>באמצעות ב"כ עוה"ד עלי סעדי</w:t>
            </w:r>
          </w:p>
        </w:tc>
      </w:tr>
      <w:bookmarkEnd w:id="2"/>
    </w:tbl>
    <w:p w14:paraId="10F9EBAE" w14:textId="77777777" w:rsidR="00D47888" w:rsidRDefault="00D47888" w:rsidP="00D2524B">
      <w:pPr>
        <w:rPr>
          <w:sz w:val="26"/>
          <w:szCs w:val="26"/>
          <w:rtl/>
        </w:rPr>
      </w:pPr>
    </w:p>
    <w:p w14:paraId="5ED33DBD" w14:textId="77777777" w:rsidR="00D47888" w:rsidRPr="00D47888" w:rsidRDefault="00D47888" w:rsidP="00D47888">
      <w:pPr>
        <w:spacing w:after="120" w:line="240" w:lineRule="exact"/>
        <w:ind w:left="283" w:hanging="283"/>
        <w:jc w:val="both"/>
        <w:rPr>
          <w:rFonts w:ascii="FrankRuehl" w:hAnsi="FrankRuehl" w:cs="FrankRuehl"/>
          <w:rtl/>
        </w:rPr>
      </w:pPr>
    </w:p>
    <w:p w14:paraId="68F45918" w14:textId="77777777" w:rsidR="00434EDC" w:rsidRPr="00434EDC" w:rsidRDefault="00434EDC" w:rsidP="00434EDC">
      <w:pPr>
        <w:spacing w:before="120" w:after="120" w:line="240" w:lineRule="exact"/>
        <w:ind w:left="283" w:hanging="283"/>
        <w:jc w:val="both"/>
        <w:rPr>
          <w:rFonts w:ascii="FrankRuehl" w:hAnsi="FrankRuehl" w:cs="FrankRuehl"/>
          <w:rtl/>
        </w:rPr>
      </w:pPr>
    </w:p>
    <w:p w14:paraId="010ADAF8" w14:textId="77777777" w:rsidR="007C43D3" w:rsidRPr="007C43D3" w:rsidRDefault="007C43D3" w:rsidP="007C43D3">
      <w:pPr>
        <w:spacing w:before="120" w:after="120" w:line="240" w:lineRule="exact"/>
        <w:ind w:left="283" w:hanging="283"/>
        <w:jc w:val="both"/>
        <w:rPr>
          <w:rFonts w:ascii="FrankRuehl" w:hAnsi="FrankRuehl" w:cs="FrankRuehl"/>
          <w:rtl/>
        </w:rPr>
      </w:pPr>
    </w:p>
    <w:p w14:paraId="187F0921" w14:textId="77777777" w:rsidR="007A2B07" w:rsidRDefault="007A2B07" w:rsidP="007A2B07">
      <w:pPr>
        <w:spacing w:line="360" w:lineRule="auto"/>
        <w:rPr>
          <w:rFonts w:ascii="Arial" w:hAnsi="Arial"/>
          <w:sz w:val="26"/>
          <w:szCs w:val="26"/>
          <w:rtl/>
        </w:rPr>
      </w:pPr>
      <w:bookmarkStart w:id="3" w:name="LawTable"/>
      <w:bookmarkEnd w:id="3"/>
    </w:p>
    <w:p w14:paraId="5C8DF0D5" w14:textId="77777777" w:rsidR="007A2B07" w:rsidRPr="007A2B07" w:rsidRDefault="007A2B07" w:rsidP="007A2B07">
      <w:pPr>
        <w:spacing w:before="120" w:after="120" w:line="240" w:lineRule="exact"/>
        <w:ind w:left="283" w:hanging="283"/>
        <w:jc w:val="both"/>
        <w:rPr>
          <w:rFonts w:ascii="FrankRuehl" w:hAnsi="FrankRuehl" w:cs="FrankRuehl"/>
          <w:rtl/>
        </w:rPr>
      </w:pPr>
    </w:p>
    <w:p w14:paraId="4C5D0969" w14:textId="77777777" w:rsidR="007A2B07" w:rsidRPr="007A2B07" w:rsidRDefault="007A2B07" w:rsidP="007A2B07">
      <w:pPr>
        <w:spacing w:before="120" w:after="120" w:line="240" w:lineRule="exact"/>
        <w:ind w:left="283" w:hanging="283"/>
        <w:jc w:val="both"/>
        <w:rPr>
          <w:rFonts w:ascii="FrankRuehl" w:hAnsi="FrankRuehl" w:cs="FrankRuehl"/>
          <w:rtl/>
        </w:rPr>
      </w:pPr>
    </w:p>
    <w:p w14:paraId="283EE434" w14:textId="77777777" w:rsidR="007A2B07" w:rsidRPr="007A2B07" w:rsidRDefault="007A2B07" w:rsidP="007A2B07">
      <w:pPr>
        <w:spacing w:before="120" w:after="120" w:line="240" w:lineRule="exact"/>
        <w:ind w:left="283" w:hanging="283"/>
        <w:jc w:val="both"/>
        <w:rPr>
          <w:rFonts w:ascii="FrankRuehl" w:hAnsi="FrankRuehl" w:cs="FrankRuehl"/>
          <w:rtl/>
        </w:rPr>
      </w:pPr>
      <w:r w:rsidRPr="007A2B07">
        <w:rPr>
          <w:rFonts w:ascii="FrankRuehl" w:hAnsi="FrankRuehl" w:cs="FrankRuehl"/>
          <w:rtl/>
        </w:rPr>
        <w:t xml:space="preserve">חקיקה שאוזכרה: </w:t>
      </w:r>
    </w:p>
    <w:p w14:paraId="0FC55751" w14:textId="77777777" w:rsidR="007A2B07" w:rsidRPr="007A2B07" w:rsidRDefault="007A2B07" w:rsidP="007A2B07">
      <w:pPr>
        <w:spacing w:before="120" w:after="120" w:line="240" w:lineRule="exact"/>
        <w:ind w:left="283" w:hanging="283"/>
        <w:jc w:val="both"/>
        <w:rPr>
          <w:rFonts w:ascii="FrankRuehl" w:hAnsi="FrankRuehl" w:cs="FrankRuehl"/>
          <w:rtl/>
        </w:rPr>
      </w:pPr>
      <w:hyperlink r:id="rId7" w:history="1">
        <w:r w:rsidRPr="007A2B07">
          <w:rPr>
            <w:rFonts w:ascii="FrankRuehl" w:hAnsi="FrankRuehl" w:cs="FrankRuehl"/>
            <w:color w:val="0000FF"/>
            <w:rtl/>
          </w:rPr>
          <w:t>חוק העונשין, תשל"ז-1977</w:t>
        </w:r>
      </w:hyperlink>
      <w:r w:rsidRPr="007A2B07">
        <w:rPr>
          <w:rFonts w:ascii="FrankRuehl" w:hAnsi="FrankRuehl" w:cs="FrankRuehl"/>
          <w:rtl/>
        </w:rPr>
        <w:t xml:space="preserve">: סע'  </w:t>
      </w:r>
      <w:hyperlink r:id="rId8" w:history="1">
        <w:r w:rsidRPr="007A2B07">
          <w:rPr>
            <w:rFonts w:ascii="FrankRuehl" w:hAnsi="FrankRuehl" w:cs="FrankRuehl"/>
            <w:color w:val="0000FF"/>
            <w:rtl/>
          </w:rPr>
          <w:t>144(א)</w:t>
        </w:r>
      </w:hyperlink>
      <w:r w:rsidRPr="007A2B07">
        <w:rPr>
          <w:rFonts w:ascii="FrankRuehl" w:hAnsi="FrankRuehl" w:cs="FrankRuehl"/>
          <w:rtl/>
        </w:rPr>
        <w:t xml:space="preserve">, </w:t>
      </w:r>
      <w:hyperlink r:id="rId9" w:history="1">
        <w:r w:rsidRPr="007A2B07">
          <w:rPr>
            <w:rFonts w:ascii="FrankRuehl" w:hAnsi="FrankRuehl" w:cs="FrankRuehl"/>
            <w:color w:val="0000FF"/>
            <w:rtl/>
          </w:rPr>
          <w:t>144(ב)</w:t>
        </w:r>
      </w:hyperlink>
      <w:r w:rsidRPr="007A2B07">
        <w:rPr>
          <w:rFonts w:ascii="FrankRuehl" w:hAnsi="FrankRuehl" w:cs="FrankRuehl"/>
          <w:rtl/>
        </w:rPr>
        <w:t xml:space="preserve">, </w:t>
      </w:r>
      <w:hyperlink r:id="rId10" w:history="1">
        <w:r w:rsidRPr="007A2B07">
          <w:rPr>
            <w:rFonts w:ascii="FrankRuehl" w:hAnsi="FrankRuehl" w:cs="FrankRuehl"/>
            <w:color w:val="0000FF"/>
            <w:rtl/>
          </w:rPr>
          <w:t>186(א)</w:t>
        </w:r>
      </w:hyperlink>
      <w:r w:rsidRPr="007A2B07">
        <w:rPr>
          <w:rFonts w:ascii="FrankRuehl" w:hAnsi="FrankRuehl" w:cs="FrankRuehl"/>
          <w:rtl/>
        </w:rPr>
        <w:t xml:space="preserve">, </w:t>
      </w:r>
      <w:hyperlink r:id="rId11" w:history="1">
        <w:r w:rsidRPr="007A2B07">
          <w:rPr>
            <w:rFonts w:ascii="FrankRuehl" w:hAnsi="FrankRuehl" w:cs="FrankRuehl"/>
            <w:color w:val="0000FF"/>
            <w:rtl/>
          </w:rPr>
          <w:t>275</w:t>
        </w:r>
      </w:hyperlink>
      <w:r w:rsidRPr="007A2B07">
        <w:rPr>
          <w:rFonts w:ascii="FrankRuehl" w:hAnsi="FrankRuehl" w:cs="FrankRuehl"/>
          <w:rtl/>
        </w:rPr>
        <w:t xml:space="preserve">, </w:t>
      </w:r>
      <w:hyperlink r:id="rId12" w:history="1">
        <w:r w:rsidRPr="007A2B07">
          <w:rPr>
            <w:rFonts w:ascii="FrankRuehl" w:hAnsi="FrankRuehl" w:cs="FrankRuehl"/>
            <w:color w:val="0000FF"/>
            <w:rtl/>
          </w:rPr>
          <w:t>338(א)(1)</w:t>
        </w:r>
      </w:hyperlink>
    </w:p>
    <w:p w14:paraId="20B36949"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3" w:history="1">
        <w:r w:rsidRPr="007A2B07">
          <w:rPr>
            <w:rFonts w:ascii="FrankRuehl" w:hAnsi="FrankRuehl" w:cs="FrankRuehl"/>
            <w:color w:val="0000FF"/>
            <w:rtl/>
          </w:rPr>
          <w:t>פקודת התעבורה [נוסח חדש]</w:t>
        </w:r>
      </w:hyperlink>
      <w:r w:rsidRPr="007A2B07">
        <w:rPr>
          <w:rFonts w:ascii="FrankRuehl" w:hAnsi="FrankRuehl" w:cs="FrankRuehl"/>
          <w:rtl/>
        </w:rPr>
        <w:t xml:space="preserve">: סע'  </w:t>
      </w:r>
      <w:hyperlink r:id="rId14" w:history="1">
        <w:r w:rsidRPr="007A2B07">
          <w:rPr>
            <w:rFonts w:ascii="FrankRuehl" w:hAnsi="FrankRuehl" w:cs="FrankRuehl"/>
            <w:color w:val="0000FF"/>
            <w:rtl/>
          </w:rPr>
          <w:t>10(א)</w:t>
        </w:r>
      </w:hyperlink>
      <w:r w:rsidRPr="007A2B07">
        <w:rPr>
          <w:rFonts w:ascii="FrankRuehl" w:hAnsi="FrankRuehl" w:cs="FrankRuehl"/>
          <w:rtl/>
        </w:rPr>
        <w:t xml:space="preserve">, </w:t>
      </w:r>
      <w:hyperlink r:id="rId15" w:history="1">
        <w:r w:rsidRPr="007A2B07">
          <w:rPr>
            <w:rFonts w:ascii="FrankRuehl" w:hAnsi="FrankRuehl" w:cs="FrankRuehl"/>
            <w:color w:val="0000FF"/>
            <w:rtl/>
          </w:rPr>
          <w:t>63</w:t>
        </w:r>
      </w:hyperlink>
    </w:p>
    <w:p w14:paraId="1DDAEB77"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6" w:history="1">
        <w:r w:rsidRPr="007A2B07">
          <w:rPr>
            <w:rFonts w:ascii="FrankRuehl" w:hAnsi="FrankRuehl" w:cs="FrankRuehl"/>
            <w:color w:val="0000FF"/>
            <w:rtl/>
          </w:rPr>
          <w:t>פקודת ביטוח רכב מנועי [נוסח חדש], תש"ל-1970</w:t>
        </w:r>
      </w:hyperlink>
      <w:r w:rsidRPr="007A2B07">
        <w:rPr>
          <w:rFonts w:ascii="FrankRuehl" w:hAnsi="FrankRuehl" w:cs="FrankRuehl"/>
          <w:rtl/>
        </w:rPr>
        <w:t xml:space="preserve">: סע'  </w:t>
      </w:r>
      <w:hyperlink r:id="rId17" w:history="1">
        <w:r w:rsidRPr="007A2B07">
          <w:rPr>
            <w:rFonts w:ascii="FrankRuehl" w:hAnsi="FrankRuehl" w:cs="FrankRuehl"/>
            <w:color w:val="0000FF"/>
            <w:rtl/>
          </w:rPr>
          <w:t>2.א.</w:t>
        </w:r>
      </w:hyperlink>
      <w:r w:rsidRPr="007A2B07">
        <w:rPr>
          <w:rFonts w:ascii="FrankRuehl" w:hAnsi="FrankRuehl" w:cs="FrankRuehl"/>
          <w:rtl/>
        </w:rPr>
        <w:t xml:space="preserve">, </w:t>
      </w:r>
      <w:hyperlink r:id="rId18" w:history="1">
        <w:r w:rsidRPr="007A2B07">
          <w:rPr>
            <w:rFonts w:ascii="FrankRuehl" w:hAnsi="FrankRuehl" w:cs="FrankRuehl"/>
            <w:color w:val="0000FF"/>
            <w:rtl/>
          </w:rPr>
          <w:t>2.ב</w:t>
        </w:r>
      </w:hyperlink>
    </w:p>
    <w:p w14:paraId="7287F4D1"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9" w:history="1">
        <w:r w:rsidRPr="007A2B07">
          <w:rPr>
            <w:rFonts w:ascii="FrankRuehl" w:hAnsi="FrankRuehl" w:cs="FrankRuehl"/>
            <w:color w:val="0000FF"/>
            <w:rtl/>
          </w:rPr>
          <w:t>פקודת הסמים המסוכנים [נוסח חדש], תשל"ג-1973</w:t>
        </w:r>
      </w:hyperlink>
      <w:r w:rsidRPr="007A2B07">
        <w:rPr>
          <w:rFonts w:ascii="FrankRuehl" w:hAnsi="FrankRuehl" w:cs="FrankRuehl"/>
          <w:rtl/>
        </w:rPr>
        <w:t xml:space="preserve">: סע'  </w:t>
      </w:r>
      <w:hyperlink r:id="rId20" w:history="1">
        <w:r w:rsidRPr="007A2B07">
          <w:rPr>
            <w:rFonts w:ascii="FrankRuehl" w:hAnsi="FrankRuehl" w:cs="FrankRuehl"/>
            <w:color w:val="0000FF"/>
            <w:rtl/>
          </w:rPr>
          <w:t>7.א.</w:t>
        </w:r>
      </w:hyperlink>
      <w:r w:rsidRPr="007A2B07">
        <w:rPr>
          <w:rFonts w:ascii="FrankRuehl" w:hAnsi="FrankRuehl" w:cs="FrankRuehl"/>
          <w:rtl/>
        </w:rPr>
        <w:t xml:space="preserve">, </w:t>
      </w:r>
      <w:hyperlink r:id="rId21" w:history="1">
        <w:r w:rsidRPr="007A2B07">
          <w:rPr>
            <w:rFonts w:ascii="FrankRuehl" w:hAnsi="FrankRuehl" w:cs="FrankRuehl"/>
            <w:color w:val="0000FF"/>
            <w:rtl/>
          </w:rPr>
          <w:t>7.ג</w:t>
        </w:r>
      </w:hyperlink>
    </w:p>
    <w:p w14:paraId="64C7E5CB" w14:textId="77777777" w:rsidR="007A2B07" w:rsidRPr="007A2B07" w:rsidRDefault="007A2B07" w:rsidP="007A2B07">
      <w:pPr>
        <w:spacing w:line="360" w:lineRule="auto"/>
        <w:rPr>
          <w:rFonts w:ascii="Arial" w:hAnsi="Arial"/>
          <w:sz w:val="26"/>
          <w:szCs w:val="26"/>
          <w:rtl/>
        </w:rPr>
      </w:pPr>
      <w:bookmarkStart w:id="4" w:name="LawTable_End"/>
      <w:bookmarkEnd w:id="4"/>
    </w:p>
    <w:p w14:paraId="63C77DED" w14:textId="77777777" w:rsidR="00D2524B" w:rsidRPr="007C43D3" w:rsidRDefault="00D2524B" w:rsidP="007C43D3">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24B" w14:paraId="2690707A" w14:textId="77777777" w:rsidTr="00D2524B">
        <w:trPr>
          <w:trHeight w:val="355"/>
          <w:jc w:val="center"/>
        </w:trPr>
        <w:tc>
          <w:tcPr>
            <w:tcW w:w="8820" w:type="dxa"/>
            <w:tcBorders>
              <w:top w:val="nil"/>
              <w:left w:val="nil"/>
              <w:bottom w:val="nil"/>
              <w:right w:val="nil"/>
            </w:tcBorders>
            <w:shd w:val="clear" w:color="auto" w:fill="auto"/>
          </w:tcPr>
          <w:p w14:paraId="7736DD7D" w14:textId="77777777" w:rsidR="003F301D" w:rsidRPr="003F301D" w:rsidRDefault="003F301D" w:rsidP="003F301D">
            <w:pPr>
              <w:jc w:val="center"/>
              <w:rPr>
                <w:rFonts w:ascii="David" w:hAnsi="David"/>
                <w:b/>
                <w:bCs/>
                <w:sz w:val="32"/>
                <w:szCs w:val="32"/>
                <w:u w:val="single"/>
                <w:rtl/>
              </w:rPr>
            </w:pPr>
            <w:bookmarkStart w:id="5" w:name="PsakDin" w:colFirst="0" w:colLast="0"/>
            <w:bookmarkEnd w:id="0"/>
            <w:r w:rsidRPr="003F301D">
              <w:rPr>
                <w:rFonts w:ascii="David" w:hAnsi="David"/>
                <w:b/>
                <w:bCs/>
                <w:sz w:val="32"/>
                <w:szCs w:val="32"/>
                <w:u w:val="single"/>
                <w:rtl/>
              </w:rPr>
              <w:t>גזר דין</w:t>
            </w:r>
          </w:p>
          <w:p w14:paraId="0EDBEFF0" w14:textId="77777777" w:rsidR="00D2524B" w:rsidRPr="003F301D" w:rsidRDefault="00D2524B" w:rsidP="003F301D">
            <w:pPr>
              <w:jc w:val="center"/>
              <w:rPr>
                <w:rFonts w:ascii="David" w:hAnsi="David"/>
                <w:bCs/>
                <w:sz w:val="32"/>
                <w:szCs w:val="32"/>
                <w:u w:val="single"/>
                <w:rtl/>
              </w:rPr>
            </w:pPr>
          </w:p>
        </w:tc>
      </w:tr>
    </w:tbl>
    <w:p w14:paraId="0E37CB32" w14:textId="77777777" w:rsidR="00D2524B" w:rsidRDefault="00D2524B" w:rsidP="00D2524B">
      <w:pPr>
        <w:spacing w:line="360" w:lineRule="auto"/>
        <w:rPr>
          <w:rFonts w:ascii="Arial" w:hAnsi="Arial"/>
          <w:b/>
          <w:bCs/>
          <w:sz w:val="26"/>
          <w:szCs w:val="26"/>
          <w:rtl/>
        </w:rPr>
      </w:pPr>
      <w:bookmarkStart w:id="6" w:name="ABSTRACT_START"/>
      <w:bookmarkEnd w:id="5"/>
      <w:bookmarkEnd w:id="6"/>
    </w:p>
    <w:p w14:paraId="0D7AEC99"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במסגרת הסדר הטיעון, הנאשם יליד 18.08.01 הודה בעובדות כתב האישום המתוקן בביצוע עבירות בנשק (נשיאה), עבירה לפי </w:t>
      </w:r>
      <w:hyperlink r:id="rId22" w:history="1">
        <w:r w:rsidR="00D47888" w:rsidRPr="00D47888">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23"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 תשל"ז-1977 (להלן: "</w:t>
      </w:r>
      <w:r>
        <w:rPr>
          <w:rFonts w:ascii="David" w:hAnsi="David" w:cs="David"/>
          <w:b/>
          <w:bCs/>
          <w:sz w:val="24"/>
          <w:szCs w:val="24"/>
          <w:rtl/>
        </w:rPr>
        <w:t>חוק העונשין</w:t>
      </w:r>
      <w:r>
        <w:rPr>
          <w:rFonts w:ascii="David" w:hAnsi="David" w:cs="David"/>
          <w:sz w:val="24"/>
          <w:szCs w:val="24"/>
          <w:rtl/>
        </w:rPr>
        <w:t xml:space="preserve">"), ועל כן הורשע בעבירות המיוחסות לו על פיו. </w:t>
      </w:r>
    </w:p>
    <w:p w14:paraId="3FD35C3C" w14:textId="77777777" w:rsidR="00D2524B" w:rsidRDefault="00D2524B" w:rsidP="00D2524B">
      <w:pPr>
        <w:pStyle w:val="a9"/>
        <w:spacing w:after="0" w:line="360" w:lineRule="auto"/>
        <w:rPr>
          <w:rFonts w:ascii="David" w:hAnsi="David" w:cs="David"/>
          <w:sz w:val="24"/>
          <w:szCs w:val="24"/>
        </w:rPr>
      </w:pPr>
      <w:bookmarkStart w:id="7" w:name="ABSTRACT_END"/>
      <w:bookmarkEnd w:id="7"/>
    </w:p>
    <w:p w14:paraId="2A863B8C"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כתב אישום מתוקן:</w:t>
      </w:r>
    </w:p>
    <w:p w14:paraId="7AA723DA" w14:textId="77777777" w:rsidR="00D2524B" w:rsidRDefault="00D2524B" w:rsidP="00D2524B">
      <w:pPr>
        <w:pStyle w:val="a9"/>
        <w:spacing w:after="0" w:line="360" w:lineRule="auto"/>
        <w:ind w:left="-58"/>
        <w:jc w:val="both"/>
        <w:rPr>
          <w:rFonts w:ascii="David" w:hAnsi="David" w:cs="David"/>
          <w:sz w:val="24"/>
          <w:szCs w:val="24"/>
          <w:u w:val="single"/>
          <w:rtl/>
        </w:rPr>
      </w:pPr>
    </w:p>
    <w:p w14:paraId="791752A9"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מעובדות כתב האישום המתוקן (להלן: "</w:t>
      </w:r>
      <w:r>
        <w:rPr>
          <w:rFonts w:ascii="David" w:hAnsi="David" w:cs="David"/>
          <w:b/>
          <w:bCs/>
          <w:sz w:val="24"/>
          <w:szCs w:val="24"/>
          <w:rtl/>
        </w:rPr>
        <w:t>כתב האישום</w:t>
      </w:r>
      <w:r>
        <w:rPr>
          <w:rFonts w:ascii="David" w:hAnsi="David" w:cs="David"/>
          <w:sz w:val="24"/>
          <w:szCs w:val="24"/>
          <w:rtl/>
        </w:rPr>
        <w:t>"), הנאשם הודה כי בתאריך 03.12.2021 בסמוך לשעה 21:30 התמקמו שוטרים בתצפית לעבר עסק המכונה "עץ ובטון", הממוקם באזור התעשיה בטמרה (להלן: "</w:t>
      </w:r>
      <w:r>
        <w:rPr>
          <w:rFonts w:ascii="David" w:hAnsi="David" w:cs="David"/>
          <w:b/>
          <w:bCs/>
          <w:sz w:val="24"/>
          <w:szCs w:val="24"/>
          <w:rtl/>
        </w:rPr>
        <w:t>העסק</w:t>
      </w:r>
      <w:r>
        <w:rPr>
          <w:rFonts w:ascii="David" w:hAnsi="David" w:cs="David"/>
          <w:sz w:val="24"/>
          <w:szCs w:val="24"/>
          <w:rtl/>
        </w:rPr>
        <w:t xml:space="preserve">"). בעסק מותקן, בין היתר, שער כניסה חשמלי בחלקו הקדמי וגדר המקיפה את שטח העסק כולו. </w:t>
      </w:r>
    </w:p>
    <w:p w14:paraId="0ECB0FF7" w14:textId="77777777" w:rsidR="00D2524B" w:rsidRDefault="00D2524B" w:rsidP="00D2524B">
      <w:pPr>
        <w:pStyle w:val="a9"/>
        <w:spacing w:after="0" w:line="360" w:lineRule="auto"/>
        <w:ind w:left="368"/>
        <w:jc w:val="both"/>
        <w:rPr>
          <w:rFonts w:ascii="David" w:hAnsi="David" w:cs="David"/>
          <w:sz w:val="24"/>
          <w:szCs w:val="24"/>
        </w:rPr>
      </w:pPr>
    </w:p>
    <w:p w14:paraId="1F301FDE"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סמוך לשעה 00:30, ולאחר ששוטרי התצפית הבחינו בתנועת אנשים בתוך העסק, הגיעו אל מחוץ לעסק מספר ניידות משטרה גלויות, זאת במסגרת עבודתם ועל מנת לבצע חיפוש בעסק, כשהם </w:t>
      </w:r>
      <w:r>
        <w:rPr>
          <w:rFonts w:ascii="David" w:hAnsi="David" w:cs="David"/>
          <w:sz w:val="24"/>
          <w:szCs w:val="24"/>
          <w:rtl/>
        </w:rPr>
        <w:lastRenderedPageBreak/>
        <w:t>מזוהים כאנשי משטרה במדים ובכובעים. בין יתר השוטרים, הגיעו למקום גם השוטר ערן קטלן (להלן: "</w:t>
      </w:r>
      <w:r>
        <w:rPr>
          <w:rFonts w:ascii="David" w:hAnsi="David" w:cs="David"/>
          <w:b/>
          <w:bCs/>
          <w:sz w:val="24"/>
          <w:szCs w:val="24"/>
          <w:rtl/>
        </w:rPr>
        <w:t>השוטר ערן</w:t>
      </w:r>
      <w:r>
        <w:rPr>
          <w:rFonts w:ascii="David" w:hAnsi="David" w:cs="David" w:hint="cs"/>
          <w:b/>
          <w:bCs/>
          <w:sz w:val="24"/>
          <w:szCs w:val="24"/>
          <w:rtl/>
        </w:rPr>
        <w:t>"</w:t>
      </w:r>
      <w:r>
        <w:rPr>
          <w:rFonts w:ascii="David" w:hAnsi="David" w:cs="David"/>
          <w:sz w:val="24"/>
          <w:szCs w:val="24"/>
          <w:rtl/>
        </w:rPr>
        <w:t>), וכן השוטר אלירן סיבוני (להלן: "</w:t>
      </w:r>
      <w:r>
        <w:rPr>
          <w:rFonts w:ascii="David" w:hAnsi="David" w:cs="David"/>
          <w:b/>
          <w:bCs/>
          <w:sz w:val="24"/>
          <w:szCs w:val="24"/>
          <w:rtl/>
        </w:rPr>
        <w:t>השוטר אלירן''</w:t>
      </w:r>
      <w:r>
        <w:rPr>
          <w:rFonts w:ascii="David" w:hAnsi="David" w:cs="David"/>
          <w:sz w:val="24"/>
          <w:szCs w:val="24"/>
          <w:rtl/>
        </w:rPr>
        <w:t xml:space="preserve">). מיד לאחר הגעת השוטרים, טיפס השוטר ערן מעל השער והחל לבצע חיפוש וסריקה ברחבת הכניסה, כשבמקביל זרקו מי מהשוטרים רימון הלם לרחבת הכניסה. </w:t>
      </w:r>
    </w:p>
    <w:p w14:paraId="144356C7" w14:textId="77777777" w:rsidR="00D2524B" w:rsidRDefault="00D2524B" w:rsidP="00D2524B">
      <w:pPr>
        <w:pStyle w:val="a9"/>
        <w:spacing w:after="0" w:line="360" w:lineRule="auto"/>
        <w:rPr>
          <w:rFonts w:ascii="David" w:hAnsi="David" w:cs="David"/>
          <w:sz w:val="24"/>
          <w:szCs w:val="24"/>
        </w:rPr>
      </w:pPr>
    </w:p>
    <w:p w14:paraId="7664BC9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מיד עם כניסתו של השוטר ערן אל רחבת הכניסה, הבחין הנאשם בעודו שוהה במכולה, במתרחש ובשוטרים. בשלב זה, ובמטרה להימלט מהשוטרים, יצא הנאשם מהמכולה בריצה לעבר חלק הגדר הסמוך למכולה, כשהוא נושא על גופו, בלא רשות על פי דין, אקדח חצי אוטומטי מסוג </w:t>
      </w:r>
      <w:r>
        <w:rPr>
          <w:rFonts w:ascii="David" w:hAnsi="David" w:cs="David"/>
          <w:sz w:val="24"/>
          <w:szCs w:val="24"/>
        </w:rPr>
        <w:t>GLOCK</w:t>
      </w:r>
      <w:r>
        <w:rPr>
          <w:rFonts w:ascii="David" w:hAnsi="David" w:cs="David"/>
          <w:sz w:val="24"/>
          <w:szCs w:val="24"/>
          <w:rtl/>
        </w:rPr>
        <w:t xml:space="preserve"> (להלן: "</w:t>
      </w:r>
      <w:r>
        <w:rPr>
          <w:rFonts w:ascii="David" w:hAnsi="David" w:cs="David"/>
          <w:b/>
          <w:bCs/>
          <w:sz w:val="24"/>
          <w:szCs w:val="24"/>
          <w:rtl/>
        </w:rPr>
        <w:t>האקדח</w:t>
      </w:r>
      <w:r>
        <w:rPr>
          <w:rFonts w:ascii="David" w:hAnsi="David" w:cs="David"/>
          <w:sz w:val="24"/>
          <w:szCs w:val="24"/>
          <w:rtl/>
        </w:rPr>
        <w:t>"), ובתוכו מחסנית ארוכה ותואמת לאקדח, המכילה 29 כדורי תחמושת 9 מ"מ מסוג פאראבלום (להלן: "</w:t>
      </w:r>
      <w:r>
        <w:rPr>
          <w:rFonts w:ascii="David" w:hAnsi="David" w:cs="David"/>
          <w:b/>
          <w:bCs/>
          <w:sz w:val="24"/>
          <w:szCs w:val="24"/>
          <w:rtl/>
        </w:rPr>
        <w:t>המחסנית''</w:t>
      </w:r>
      <w:r>
        <w:rPr>
          <w:rFonts w:ascii="David" w:hAnsi="David" w:cs="David"/>
          <w:sz w:val="24"/>
          <w:szCs w:val="24"/>
          <w:rtl/>
        </w:rPr>
        <w:t xml:space="preserve">). </w:t>
      </w:r>
    </w:p>
    <w:p w14:paraId="11A33AA8" w14:textId="77777777" w:rsidR="00D2524B" w:rsidRDefault="00D2524B" w:rsidP="00D2524B">
      <w:pPr>
        <w:pStyle w:val="a9"/>
        <w:spacing w:after="0" w:line="360" w:lineRule="auto"/>
        <w:rPr>
          <w:rFonts w:ascii="David" w:hAnsi="David" w:cs="David"/>
          <w:sz w:val="24"/>
          <w:szCs w:val="24"/>
        </w:rPr>
      </w:pPr>
    </w:p>
    <w:p w14:paraId="3E0DFE32"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בהתקרב הנאשם אל הגדר, כשהשוטרים רצים לעברו, השליך הנאשם את האקדח לעברה השני של הגדר, אל מחוץ לעסק, טיפס מעליה וקפץ ממנה החוצה. במהלך מנוסתו, נפל הנאשם על האדמה הסמוכה לגדר העסק ומחוצה לו, או אז נתפס ונעצר על ידי השוטר אלירן, אשר הבחין בהשלכת האקדח ובמעשיו של הנאשם, כמפורט. לאחר מעצרו של הנאשם, במהלך חיפוש שבוצע בעסק, נתפסה על הרצפה בכניסה למכולה מחסנית נוספת (להלן: "</w:t>
      </w:r>
      <w:r>
        <w:rPr>
          <w:rFonts w:ascii="David" w:hAnsi="David" w:cs="David"/>
          <w:b/>
          <w:bCs/>
          <w:sz w:val="24"/>
          <w:szCs w:val="24"/>
          <w:rtl/>
        </w:rPr>
        <w:t>המחסנית הנוספת</w:t>
      </w:r>
      <w:r>
        <w:rPr>
          <w:rFonts w:ascii="David" w:hAnsi="David" w:cs="David"/>
          <w:sz w:val="24"/>
          <w:szCs w:val="24"/>
          <w:rtl/>
        </w:rPr>
        <w:t xml:space="preserve">"), המכילה 12 כדורי תחמושת 9 מ"מ מסוג פאראבלום. </w:t>
      </w:r>
    </w:p>
    <w:p w14:paraId="39DDA2B9" w14:textId="77777777" w:rsidR="00D2524B" w:rsidRDefault="00D2524B" w:rsidP="00D2524B">
      <w:pPr>
        <w:pStyle w:val="a9"/>
        <w:spacing w:after="0" w:line="360" w:lineRule="auto"/>
        <w:rPr>
          <w:rFonts w:ascii="David" w:hAnsi="David" w:cs="David"/>
          <w:sz w:val="24"/>
          <w:szCs w:val="24"/>
        </w:rPr>
      </w:pPr>
    </w:p>
    <w:p w14:paraId="06B875E4"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האקדח הינו כלי שמסוגל לירות כדור שבכוחו להמית אדם, המחסניות והכדורים הינם אביזר ותחמושת התואמות לכלי זה. במעשים המתוארים לעיל, נשא הנאשם את הנשק, האביזר והתחמושת, בלא רשות על פי דין להחזקתם ולנשיאתם עבירות בנשק (נשיאה) - עבירה לפי </w:t>
      </w:r>
      <w:hyperlink r:id="rId24" w:history="1">
        <w:r w:rsidR="00D47888" w:rsidRPr="00D47888">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25"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w:t>
      </w:r>
    </w:p>
    <w:p w14:paraId="6D8F67C5" w14:textId="77777777" w:rsidR="00D2524B" w:rsidRDefault="00D2524B" w:rsidP="00D2524B">
      <w:pPr>
        <w:pStyle w:val="a9"/>
        <w:spacing w:after="0" w:line="360" w:lineRule="auto"/>
        <w:rPr>
          <w:rFonts w:ascii="David" w:hAnsi="David" w:cs="David"/>
          <w:sz w:val="24"/>
          <w:szCs w:val="24"/>
          <w:rtl/>
        </w:rPr>
      </w:pPr>
    </w:p>
    <w:p w14:paraId="318CD66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הסדר הטיעון לא כלל הסכמה לגבי העונש ונקבע כי כל צד יטען טענותיו לעניין זה באופן חופשי. </w:t>
      </w:r>
    </w:p>
    <w:p w14:paraId="0309B4D7" w14:textId="77777777" w:rsidR="00D2524B" w:rsidRDefault="00D2524B" w:rsidP="00D2524B">
      <w:pPr>
        <w:pStyle w:val="a9"/>
        <w:spacing w:after="0" w:line="360" w:lineRule="auto"/>
        <w:rPr>
          <w:rFonts w:ascii="David" w:hAnsi="David" w:cs="David"/>
          <w:sz w:val="24"/>
          <w:szCs w:val="24"/>
        </w:rPr>
      </w:pPr>
    </w:p>
    <w:p w14:paraId="266B4EE9"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ביום 06.03.2022 הוריתי לשירות המבחן להגיש תסקיר בעניינו של הנאשם, נוכח גילו ונוכח מועד יום ביצוע העבירה ( הנאשם הינו יליד 18.08.2001 ואת העבירה ביצע ביום 03.12.2021).</w:t>
      </w:r>
    </w:p>
    <w:p w14:paraId="7DBEF9F7" w14:textId="77777777" w:rsidR="00D2524B" w:rsidRDefault="00D2524B" w:rsidP="00D2524B">
      <w:pPr>
        <w:pStyle w:val="a9"/>
        <w:spacing w:after="0" w:line="360" w:lineRule="auto"/>
        <w:rPr>
          <w:rFonts w:ascii="David" w:hAnsi="David" w:cs="David"/>
          <w:sz w:val="24"/>
          <w:szCs w:val="24"/>
        </w:rPr>
      </w:pPr>
    </w:p>
    <w:p w14:paraId="228867DA"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תסקיר שירות המבחן:</w:t>
      </w:r>
    </w:p>
    <w:p w14:paraId="6604D80E" w14:textId="77777777" w:rsidR="00D2524B" w:rsidRDefault="00D2524B" w:rsidP="00D2524B">
      <w:pPr>
        <w:pStyle w:val="a9"/>
        <w:spacing w:after="0" w:line="360" w:lineRule="auto"/>
        <w:ind w:left="-58"/>
        <w:jc w:val="both"/>
        <w:rPr>
          <w:rFonts w:ascii="David" w:hAnsi="David" w:cs="David"/>
          <w:sz w:val="24"/>
          <w:szCs w:val="24"/>
          <w:rtl/>
        </w:rPr>
      </w:pPr>
    </w:p>
    <w:p w14:paraId="62E18453"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sidRPr="00E03352">
        <w:rPr>
          <w:rFonts w:ascii="David" w:hAnsi="David" w:cs="David"/>
          <w:sz w:val="24"/>
          <w:szCs w:val="24"/>
          <w:rtl/>
        </w:rPr>
        <w:t xml:space="preserve">בתסקיר שירות המבחן מיום 12.06.2022 נכתב כי הנאשם הינו בן 20, רווק, שטרם מעצרו התגורר בבית הוריו בטמרה. לדבריו עבד כשכיר בחברת הובלות ושיפוצים. לתיאוריו, היה נתון ללחצים רבים מצד הוריו נוכח מצבה הכלכלי של המשפחה והפצרותיהם הנשנות שיצא לעבוד. </w:t>
      </w:r>
      <w:r w:rsidRPr="00E03352">
        <w:rPr>
          <w:rFonts w:ascii="David" w:hAnsi="David" w:cs="David" w:hint="cs"/>
          <w:sz w:val="24"/>
          <w:szCs w:val="24"/>
          <w:rtl/>
        </w:rPr>
        <w:t>מע</w:t>
      </w:r>
      <w:r w:rsidRPr="00E03352">
        <w:rPr>
          <w:rFonts w:ascii="David" w:hAnsi="David" w:cs="David"/>
          <w:sz w:val="24"/>
          <w:szCs w:val="24"/>
          <w:rtl/>
        </w:rPr>
        <w:t>יון בגיליון רישומו הפלילי עולה כי אין לחובתו הרשעות קודמות.</w:t>
      </w:r>
      <w:r w:rsidRPr="00E03352">
        <w:rPr>
          <w:rFonts w:ascii="David" w:hAnsi="David" w:cs="David" w:hint="cs"/>
          <w:sz w:val="24"/>
          <w:szCs w:val="24"/>
          <w:rtl/>
        </w:rPr>
        <w:t xml:space="preserve"> </w:t>
      </w:r>
    </w:p>
    <w:p w14:paraId="009E4BEF" w14:textId="77777777" w:rsidR="00D2524B" w:rsidRPr="00E03352" w:rsidRDefault="00D2524B" w:rsidP="00D2524B">
      <w:pPr>
        <w:spacing w:line="360" w:lineRule="auto"/>
        <w:ind w:left="-418"/>
        <w:jc w:val="both"/>
        <w:rPr>
          <w:rFonts w:ascii="David" w:hAnsi="David"/>
        </w:rPr>
      </w:pPr>
    </w:p>
    <w:p w14:paraId="53D3B2E4" w14:textId="77777777" w:rsidR="00D2524B" w:rsidRPr="00E03352" w:rsidRDefault="00D2524B" w:rsidP="00D2524B">
      <w:pPr>
        <w:pStyle w:val="a9"/>
        <w:numPr>
          <w:ilvl w:val="0"/>
          <w:numId w:val="1"/>
        </w:numPr>
        <w:spacing w:after="0" w:line="360" w:lineRule="auto"/>
        <w:ind w:left="-58"/>
        <w:jc w:val="both"/>
        <w:rPr>
          <w:rFonts w:ascii="David" w:hAnsi="David" w:cs="David"/>
          <w:sz w:val="24"/>
          <w:szCs w:val="24"/>
          <w:rtl/>
        </w:rPr>
      </w:pPr>
      <w:r w:rsidRPr="00E03352">
        <w:rPr>
          <w:rFonts w:ascii="David" w:hAnsi="David" w:cs="David"/>
          <w:sz w:val="24"/>
          <w:szCs w:val="24"/>
          <w:rtl/>
        </w:rPr>
        <w:t>בהתייחסותו לביצוע העבירה הודה בעובדות כתב האישום אך התקשה בלקיחת אחריות על ביצועה, תוך שניסה להצדיק את התנהלותו המכשילה. לדבריו, האופן בו פעל נעוץ בחוסר אמון בגורמי אכיפה שכן לתפיסתו בין כה וכה היה מואשם על לא עוול בכפו.</w:t>
      </w:r>
    </w:p>
    <w:p w14:paraId="7B82AEF7" w14:textId="77777777" w:rsidR="00D2524B" w:rsidRDefault="00D2524B" w:rsidP="00D2524B">
      <w:pPr>
        <w:pStyle w:val="a9"/>
        <w:spacing w:after="0" w:line="360" w:lineRule="auto"/>
        <w:rPr>
          <w:rFonts w:ascii="David" w:hAnsi="David" w:cs="David"/>
          <w:sz w:val="24"/>
          <w:szCs w:val="24"/>
        </w:rPr>
      </w:pPr>
    </w:p>
    <w:p w14:paraId="5F7F32BD"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lastRenderedPageBreak/>
        <w:t xml:space="preserve">בתקופת מעצרו תפקודו תקין, ללא עבירות משמעת וללא אירועים חריגים.  על אף האמור, עלתה  התרשמות מצעיר בעל דפוסי התנהגות מכשילים, המחזיק בעמדות מתריסות ביחס לגורמי אכיפה  ובהיעדרה של דמות משמעותית מכווינה ההערכה הייתה כי הנאשם מתקשה לעמוד בגבולות חיצונים ולפעול על פי נורמות חברתיות מקובלות, שמחזיק בנרטיב קורבני. </w:t>
      </w:r>
    </w:p>
    <w:p w14:paraId="2DCA63FD" w14:textId="77777777" w:rsidR="00D2524B" w:rsidRDefault="00D2524B" w:rsidP="00D2524B">
      <w:pPr>
        <w:pStyle w:val="a9"/>
        <w:spacing w:after="0" w:line="360" w:lineRule="auto"/>
        <w:rPr>
          <w:rFonts w:ascii="David" w:hAnsi="David" w:cs="David"/>
          <w:sz w:val="24"/>
          <w:szCs w:val="24"/>
        </w:rPr>
      </w:pPr>
    </w:p>
    <w:p w14:paraId="486AA6E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גורם סיכון נוסף הינו ההתרשמות כי אופן התנהלותו בעת ביצוע העבירה נעוץ בדפוסי חשיבה המאפיינים תת תרבות עבריינית ובצל קשרים עם חברה שולית. לצד זאת שביטא צער על מעורבותו, עלה הרושם כי הנאשם נעדר הבנה לנזק ההרסני שבביצוע עבירות מסוג זה. </w:t>
      </w:r>
    </w:p>
    <w:p w14:paraId="3E916BB2" w14:textId="77777777" w:rsidR="00D2524B" w:rsidRDefault="00D2524B" w:rsidP="00D2524B">
      <w:pPr>
        <w:pStyle w:val="a9"/>
        <w:spacing w:after="0" w:line="360" w:lineRule="auto"/>
        <w:rPr>
          <w:rFonts w:ascii="David" w:hAnsi="David" w:cs="David"/>
          <w:sz w:val="24"/>
          <w:szCs w:val="24"/>
        </w:rPr>
      </w:pPr>
    </w:p>
    <w:p w14:paraId="6BDD5099"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מנגד, בבחינת גורמי סיכוי, ניתן לייחס כי אין לחובתו של הנאשם הרשעות קודמות. גורם סיכוי נוסף הנו דיווחיו על סיום השכלה תיכונית, על אף קשיים שתיאר בפניות רגשית ללימודיו בשל ניסיונותיו להשתלבות תעסוקתית בתקופת נערותו. </w:t>
      </w:r>
    </w:p>
    <w:p w14:paraId="2469DB9E" w14:textId="77777777" w:rsidR="00D2524B" w:rsidRDefault="00D2524B" w:rsidP="00D2524B">
      <w:pPr>
        <w:pStyle w:val="a9"/>
        <w:spacing w:after="0" w:line="360" w:lineRule="auto"/>
        <w:rPr>
          <w:rFonts w:ascii="David" w:hAnsi="David" w:cs="David"/>
          <w:sz w:val="24"/>
          <w:szCs w:val="24"/>
        </w:rPr>
      </w:pPr>
    </w:p>
    <w:p w14:paraId="0C1B14BE"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בשקלול האמור לעיל, ניתנה הערכה שקיים סיכון בינוני גבוה להישנות התנהגות עוברת חוק דומה.</w:t>
      </w:r>
    </w:p>
    <w:p w14:paraId="05F7766C" w14:textId="77777777" w:rsidR="00D2524B" w:rsidRDefault="00D2524B" w:rsidP="00D2524B">
      <w:pPr>
        <w:pStyle w:val="a9"/>
        <w:spacing w:after="0" w:line="360" w:lineRule="auto"/>
        <w:rPr>
          <w:rFonts w:ascii="David" w:hAnsi="David" w:cs="David"/>
          <w:sz w:val="24"/>
          <w:szCs w:val="24"/>
        </w:rPr>
      </w:pPr>
    </w:p>
    <w:p w14:paraId="0186C5F6"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שירות המבחן לא נתן בתסקיר המלצה טיפולית שיקומית בעניינו של הנאשם, ולהערכתו ענישה הרתעתית משמעותית בדמות מאסר בפועל מאחורי סורג ובריח עשויה לחדד עבור הנאשם את הגבולות בין המותר לאסור, וכן להוות עונש גמולי על בחירותיו. </w:t>
      </w:r>
    </w:p>
    <w:p w14:paraId="2A650EBD" w14:textId="77777777" w:rsidR="00D2524B" w:rsidRDefault="00D2524B" w:rsidP="00D2524B">
      <w:pPr>
        <w:pStyle w:val="a9"/>
        <w:spacing w:after="0" w:line="360" w:lineRule="auto"/>
        <w:rPr>
          <w:rFonts w:ascii="David" w:hAnsi="David" w:cs="David"/>
          <w:sz w:val="24"/>
          <w:szCs w:val="24"/>
        </w:rPr>
      </w:pPr>
    </w:p>
    <w:p w14:paraId="01F32E20"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טיעוני המדינה לעונש:</w:t>
      </w:r>
    </w:p>
    <w:p w14:paraId="693D28D9" w14:textId="77777777" w:rsidR="00D2524B" w:rsidRDefault="00D2524B" w:rsidP="00D2524B">
      <w:pPr>
        <w:pStyle w:val="a9"/>
        <w:spacing w:after="0" w:line="360" w:lineRule="auto"/>
        <w:ind w:left="-58"/>
        <w:jc w:val="both"/>
        <w:rPr>
          <w:rFonts w:ascii="David" w:hAnsi="David" w:cs="David"/>
          <w:sz w:val="24"/>
          <w:szCs w:val="24"/>
          <w:u w:val="single"/>
          <w:rtl/>
        </w:rPr>
      </w:pPr>
    </w:p>
    <w:p w14:paraId="6A54FD4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באשר לקביעת מתחם העונש ההולם, טענה המדינה כי הערכים החברתיים המוגנים שנפגעו ממעשיו של הנאשם הם ביטחון שלום הציבור והגנה על חיי אדם, וכי מדיניות הענישה הנהוגה בעבירות כגון דנן נותנת ביטוי לצורך שבהשתת ענישה מוחשית בדמות מאסר מאחורי סורג ובריח, אשר אמור להיות בין 24-48 חודשים מאסר בפועל. </w:t>
      </w:r>
    </w:p>
    <w:p w14:paraId="5984E621" w14:textId="77777777" w:rsidR="00D2524B" w:rsidRDefault="00D2524B" w:rsidP="00D2524B">
      <w:pPr>
        <w:pStyle w:val="a9"/>
        <w:spacing w:after="0" w:line="360" w:lineRule="auto"/>
        <w:ind w:left="-58"/>
        <w:jc w:val="both"/>
        <w:rPr>
          <w:rFonts w:ascii="David" w:hAnsi="David" w:cs="David"/>
          <w:sz w:val="24"/>
          <w:szCs w:val="24"/>
          <w:rtl/>
        </w:rPr>
      </w:pPr>
    </w:p>
    <w:p w14:paraId="5A7D6451"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בבחינת הנסיבות הקשורות בביצוע העבירה, טענה המדינה כי המעשה תוכנן היטב, הנאשם נשא את הנשק על גופו במודע, חלקו של הנאשם באירוע היה מוחלט כמפורט בעובדות כתב האישום המתוקן, הנזק שנגרם ושהיה צפוי להיגרם מביצוע העבירה הוא משמעותי ביותר, הואיל והנזק הצפוי להיגרם מביצוע עבירות הנשק הוא רב וברור. כמו כן, לנאשם לא הייתה סיבה לבצע את העבירה, הנאשם יכול היה להבין את אשר הוא עושה ואת הפסול במעשיו ויכול היה להימנע מביצועה, בנוסף לנאשם לא הייתה כל מצוקה נפשית והינו נעדר קרבה לסייג לאחריות פלילית. </w:t>
      </w:r>
    </w:p>
    <w:p w14:paraId="177E5996" w14:textId="77777777" w:rsidR="00D2524B" w:rsidRDefault="00D2524B" w:rsidP="00D2524B">
      <w:pPr>
        <w:pStyle w:val="a9"/>
        <w:spacing w:after="0" w:line="360" w:lineRule="auto"/>
        <w:ind w:left="-58"/>
        <w:jc w:val="both"/>
        <w:rPr>
          <w:rFonts w:ascii="David" w:hAnsi="David" w:cs="David"/>
          <w:sz w:val="24"/>
          <w:szCs w:val="24"/>
          <w:u w:val="single"/>
          <w:rtl/>
        </w:rPr>
      </w:pPr>
    </w:p>
    <w:p w14:paraId="653F810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באשר לבחינת הרתעה אישית והרתעת הרבים, המדינה ביקשה להטיל על הנאשם עונש שימצא באזור האמצעי של מתחם הענישה, על אף היותו נעדר הרשעות קודמות, שכן לגרסת המדינה עונש קל יעביר מסר שגוי לציבור בכלל ולנאשם בפרט ולא יהא בו משום הרתעה של הרבים והיחיד מפני ביצוע עבירות נשק. לפיכך, המדינה ביקשה להחמיר בדינו של הנאשם, ולקבוע עונש בתוך מתחם העונש ההולם שהוצג על ידה.</w:t>
      </w:r>
    </w:p>
    <w:p w14:paraId="50457921" w14:textId="77777777" w:rsidR="00D2524B" w:rsidRDefault="00D2524B" w:rsidP="00D2524B">
      <w:pPr>
        <w:pStyle w:val="a9"/>
        <w:spacing w:after="0" w:line="360" w:lineRule="auto"/>
        <w:rPr>
          <w:rFonts w:ascii="David" w:hAnsi="David" w:cs="David"/>
          <w:sz w:val="24"/>
          <w:szCs w:val="24"/>
        </w:rPr>
      </w:pPr>
    </w:p>
    <w:p w14:paraId="1444B870"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המדינה הפנתה את בית המשפט לתסקיר שהוגש בעניינו של הנאשם, תוך כדי שהיא מדגישה שגם שירות המבחן הביע דעתו כי מדובר בצעיר בעל דפוסי התנהגות מכשילים, המחזיק בעמדות מתריסות ביחס לגורמי האכיפה, מתקשה לעמוד בגבולות חיצוניים ולפעול על פי נורמות חברתיות מקובלות. אופן התנהלותו בעת ביצוע העבירה נעוץ בדפוסי חשיבה המאפיינים תת תרבות עבריינית, ובצל קשרים עם חברה שולית. הנאשם מתקשה בבחינת התנהגותו באופן ביקורתי ואינו מחובר למצבי הסיכון הנשקפים מהתנהגותו המכשילה והגורמים אליהם חבר. שירות המבחן העריך כי קיים סיכון בינוני גבוה להישנות התנהגות בדפוסיו המכשילים. מכך, שירות המבחן לא בא בהמלצה שיקומית בעניינו של הנאשם והמליץ תחת זאת על ענישה מרתיעה בדמות מאסר בפועל מאחורי סורג ובריח, שתחדד עבורו את הגבולות בין המותר לאסור, וכן תהווה עונש על מעשיו. </w:t>
      </w:r>
    </w:p>
    <w:p w14:paraId="2B64652C" w14:textId="77777777" w:rsidR="00D2524B" w:rsidRDefault="00D2524B" w:rsidP="00D2524B">
      <w:pPr>
        <w:pStyle w:val="a9"/>
        <w:spacing w:after="0" w:line="360" w:lineRule="auto"/>
        <w:ind w:left="-58"/>
        <w:jc w:val="both"/>
        <w:rPr>
          <w:rFonts w:ascii="David" w:hAnsi="David" w:cs="David"/>
          <w:sz w:val="24"/>
          <w:szCs w:val="24"/>
          <w:rtl/>
        </w:rPr>
      </w:pPr>
    </w:p>
    <w:p w14:paraId="458A239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המדינה הציגה בפני בית המשפט את מדיניות הענישה הנוהגת בתיקים מן הסוג בו עסקינן לגרסתה, לרבות הפנייה לתיקים משפטיים, כדלקמן: </w:t>
      </w:r>
      <w:hyperlink r:id="rId26" w:history="1">
        <w:r w:rsidR="003F301D" w:rsidRPr="003F301D">
          <w:rPr>
            <w:rFonts w:ascii="David" w:hAnsi="David" w:cs="David"/>
            <w:color w:val="0000FF"/>
            <w:sz w:val="24"/>
            <w:szCs w:val="24"/>
            <w:u w:val="single"/>
            <w:rtl/>
          </w:rPr>
          <w:t>ת"פ (חיפה) 7626-04-20</w:t>
        </w:r>
      </w:hyperlink>
      <w:r>
        <w:rPr>
          <w:rFonts w:ascii="David" w:hAnsi="David" w:cs="David"/>
          <w:sz w:val="24"/>
          <w:szCs w:val="24"/>
          <w:rtl/>
        </w:rPr>
        <w:t xml:space="preserve"> </w:t>
      </w:r>
      <w:r>
        <w:rPr>
          <w:rFonts w:ascii="David" w:hAnsi="David" w:cs="David"/>
          <w:b/>
          <w:bCs/>
          <w:sz w:val="24"/>
          <w:szCs w:val="24"/>
          <w:rtl/>
        </w:rPr>
        <w:t>מדינת ישראל נ' אעמר ואח'</w:t>
      </w:r>
      <w:r>
        <w:rPr>
          <w:rFonts w:ascii="David" w:hAnsi="David" w:cs="David"/>
          <w:sz w:val="24"/>
          <w:szCs w:val="24"/>
          <w:rtl/>
        </w:rPr>
        <w:t xml:space="preserve">, </w:t>
      </w:r>
      <w:hyperlink r:id="rId27" w:history="1">
        <w:r w:rsidR="003F301D" w:rsidRPr="003F301D">
          <w:rPr>
            <w:rFonts w:ascii="David" w:hAnsi="David" w:cs="David"/>
            <w:color w:val="0000FF"/>
            <w:sz w:val="24"/>
            <w:szCs w:val="24"/>
            <w:u w:val="single"/>
            <w:rtl/>
          </w:rPr>
          <w:t>ת"פ (חיפה) 71333-10-21</w:t>
        </w:r>
      </w:hyperlink>
      <w:r>
        <w:rPr>
          <w:rFonts w:ascii="David" w:hAnsi="David" w:cs="David"/>
          <w:sz w:val="24"/>
          <w:szCs w:val="24"/>
          <w:rtl/>
        </w:rPr>
        <w:t xml:space="preserve"> </w:t>
      </w:r>
      <w:r>
        <w:rPr>
          <w:rFonts w:ascii="David" w:hAnsi="David" w:cs="David"/>
          <w:b/>
          <w:bCs/>
          <w:sz w:val="24"/>
          <w:szCs w:val="24"/>
          <w:rtl/>
        </w:rPr>
        <w:t>מדינת ישראל נ' בר</w:t>
      </w:r>
      <w:r>
        <w:rPr>
          <w:rFonts w:ascii="David" w:hAnsi="David" w:cs="David"/>
          <w:sz w:val="24"/>
          <w:szCs w:val="24"/>
          <w:rtl/>
        </w:rPr>
        <w:t xml:space="preserve">, </w:t>
      </w:r>
      <w:hyperlink r:id="rId28" w:history="1">
        <w:r w:rsidR="003F301D" w:rsidRPr="003F301D">
          <w:rPr>
            <w:rFonts w:ascii="David" w:hAnsi="David" w:cs="David"/>
            <w:color w:val="0000FF"/>
            <w:sz w:val="24"/>
            <w:szCs w:val="24"/>
            <w:u w:val="single"/>
            <w:rtl/>
          </w:rPr>
          <w:t>ע"פ 6021/21</w:t>
        </w:r>
      </w:hyperlink>
      <w:r>
        <w:rPr>
          <w:rFonts w:ascii="David" w:hAnsi="David" w:cs="David"/>
          <w:sz w:val="24"/>
          <w:szCs w:val="24"/>
          <w:rtl/>
        </w:rPr>
        <w:t xml:space="preserve"> </w:t>
      </w:r>
      <w:r>
        <w:rPr>
          <w:rFonts w:ascii="David" w:hAnsi="David" w:cs="David"/>
          <w:b/>
          <w:bCs/>
          <w:sz w:val="24"/>
          <w:szCs w:val="24"/>
          <w:rtl/>
        </w:rPr>
        <w:t>עבוד נ' מדינת ישראל</w:t>
      </w:r>
      <w:r>
        <w:rPr>
          <w:rFonts w:ascii="David" w:hAnsi="David" w:cs="David"/>
          <w:sz w:val="24"/>
          <w:szCs w:val="24"/>
          <w:rtl/>
        </w:rPr>
        <w:t xml:space="preserve">, </w:t>
      </w:r>
      <w:hyperlink r:id="rId29" w:history="1">
        <w:r w:rsidR="003F301D" w:rsidRPr="003F301D">
          <w:rPr>
            <w:rFonts w:ascii="David" w:hAnsi="David" w:cs="David"/>
            <w:color w:val="0000FF"/>
            <w:sz w:val="24"/>
            <w:szCs w:val="24"/>
            <w:u w:val="single"/>
            <w:rtl/>
          </w:rPr>
          <w:t>ע"פ 7177/20</w:t>
        </w:r>
      </w:hyperlink>
      <w:r>
        <w:rPr>
          <w:rFonts w:ascii="David" w:hAnsi="David" w:cs="David"/>
          <w:sz w:val="24"/>
          <w:szCs w:val="24"/>
          <w:rtl/>
        </w:rPr>
        <w:t xml:space="preserve"> </w:t>
      </w:r>
      <w:r>
        <w:rPr>
          <w:rFonts w:ascii="David" w:hAnsi="David" w:cs="David"/>
          <w:b/>
          <w:bCs/>
          <w:sz w:val="24"/>
          <w:szCs w:val="24"/>
          <w:rtl/>
        </w:rPr>
        <w:t>כנעאן נ' מדינת ישראל</w:t>
      </w:r>
      <w:r>
        <w:rPr>
          <w:rFonts w:ascii="David" w:hAnsi="David" w:cs="David"/>
          <w:sz w:val="24"/>
          <w:szCs w:val="24"/>
          <w:rtl/>
        </w:rPr>
        <w:t xml:space="preserve">, </w:t>
      </w:r>
      <w:hyperlink r:id="rId30" w:history="1">
        <w:r w:rsidR="003F301D" w:rsidRPr="003F301D">
          <w:rPr>
            <w:rFonts w:ascii="David" w:hAnsi="David" w:cs="David"/>
            <w:color w:val="0000FF"/>
            <w:sz w:val="24"/>
            <w:szCs w:val="24"/>
            <w:u w:val="single"/>
            <w:rtl/>
          </w:rPr>
          <w:t>ת"פ (ב"ש) 43009-08-20</w:t>
        </w:r>
      </w:hyperlink>
      <w:r>
        <w:rPr>
          <w:rFonts w:ascii="David" w:hAnsi="David" w:cs="David"/>
          <w:sz w:val="24"/>
          <w:szCs w:val="24"/>
          <w:rtl/>
        </w:rPr>
        <w:t xml:space="preserve"> </w:t>
      </w:r>
      <w:r>
        <w:rPr>
          <w:rFonts w:ascii="David" w:hAnsi="David" w:cs="David"/>
          <w:b/>
          <w:bCs/>
          <w:sz w:val="24"/>
          <w:szCs w:val="24"/>
          <w:rtl/>
        </w:rPr>
        <w:t>מדינת ישראל נ' אבו ג'אמע</w:t>
      </w:r>
      <w:r>
        <w:rPr>
          <w:rFonts w:ascii="David" w:hAnsi="David" w:cs="David"/>
          <w:sz w:val="24"/>
          <w:szCs w:val="24"/>
          <w:rtl/>
        </w:rPr>
        <w:t xml:space="preserve">, </w:t>
      </w:r>
      <w:hyperlink r:id="rId31" w:history="1">
        <w:r w:rsidR="003F301D" w:rsidRPr="003F301D">
          <w:rPr>
            <w:rFonts w:ascii="David" w:hAnsi="David" w:cs="David"/>
            <w:color w:val="0000FF"/>
            <w:sz w:val="24"/>
            <w:szCs w:val="24"/>
            <w:u w:val="single"/>
            <w:rtl/>
          </w:rPr>
          <w:t>ת"פ (חיפה) 45713-07-17</w:t>
        </w:r>
      </w:hyperlink>
      <w:r>
        <w:rPr>
          <w:rFonts w:ascii="David" w:hAnsi="David" w:cs="David"/>
          <w:sz w:val="24"/>
          <w:szCs w:val="24"/>
          <w:rtl/>
        </w:rPr>
        <w:t xml:space="preserve"> </w:t>
      </w:r>
      <w:r>
        <w:rPr>
          <w:rFonts w:ascii="David" w:hAnsi="David" w:cs="David"/>
          <w:b/>
          <w:bCs/>
          <w:sz w:val="24"/>
          <w:szCs w:val="24"/>
          <w:rtl/>
        </w:rPr>
        <w:t>מדינת ישראל נ' רובינוב</w:t>
      </w:r>
      <w:r>
        <w:rPr>
          <w:rFonts w:ascii="David" w:hAnsi="David" w:cs="David"/>
          <w:sz w:val="24"/>
          <w:szCs w:val="24"/>
          <w:rtl/>
        </w:rPr>
        <w:t xml:space="preserve">, </w:t>
      </w:r>
      <w:hyperlink r:id="rId32" w:history="1">
        <w:r w:rsidR="003F301D" w:rsidRPr="003F301D">
          <w:rPr>
            <w:rFonts w:ascii="David" w:hAnsi="David" w:cs="David"/>
            <w:color w:val="0000FF"/>
            <w:sz w:val="24"/>
            <w:szCs w:val="24"/>
            <w:u w:val="single"/>
            <w:rtl/>
          </w:rPr>
          <w:t>ת.פ (ת"א) 11362-10-15</w:t>
        </w:r>
      </w:hyperlink>
      <w:r>
        <w:rPr>
          <w:rFonts w:ascii="David" w:hAnsi="David" w:cs="David"/>
          <w:sz w:val="24"/>
          <w:szCs w:val="24"/>
          <w:rtl/>
        </w:rPr>
        <w:t xml:space="preserve"> </w:t>
      </w:r>
      <w:r>
        <w:rPr>
          <w:rFonts w:ascii="David" w:hAnsi="David" w:cs="David"/>
          <w:b/>
          <w:bCs/>
          <w:sz w:val="24"/>
          <w:szCs w:val="24"/>
          <w:rtl/>
        </w:rPr>
        <w:t>מדינת ישראל נ' זרתוסטרא</w:t>
      </w:r>
      <w:r>
        <w:rPr>
          <w:rFonts w:ascii="David" w:hAnsi="David" w:cs="David"/>
          <w:sz w:val="24"/>
          <w:szCs w:val="24"/>
          <w:rtl/>
        </w:rPr>
        <w:t xml:space="preserve">, </w:t>
      </w:r>
      <w:hyperlink r:id="rId33" w:history="1">
        <w:r w:rsidR="003F301D" w:rsidRPr="003F301D">
          <w:rPr>
            <w:rFonts w:ascii="David" w:hAnsi="David" w:cs="David"/>
            <w:color w:val="0000FF"/>
            <w:sz w:val="24"/>
            <w:szCs w:val="24"/>
            <w:u w:val="single"/>
            <w:rtl/>
          </w:rPr>
          <w:t>ע"פ 3877/16</w:t>
        </w:r>
      </w:hyperlink>
      <w:r>
        <w:rPr>
          <w:rFonts w:ascii="David" w:hAnsi="David" w:cs="David"/>
          <w:sz w:val="24"/>
          <w:szCs w:val="24"/>
          <w:rtl/>
        </w:rPr>
        <w:t xml:space="preserve"> </w:t>
      </w:r>
      <w:r>
        <w:rPr>
          <w:rFonts w:ascii="David" w:hAnsi="David" w:cs="David"/>
          <w:b/>
          <w:bCs/>
          <w:sz w:val="24"/>
          <w:szCs w:val="24"/>
          <w:rtl/>
        </w:rPr>
        <w:t>ג'באלי נ' מדינת ישראל</w:t>
      </w:r>
      <w:r>
        <w:rPr>
          <w:rFonts w:ascii="David" w:hAnsi="David" w:cs="David"/>
          <w:sz w:val="24"/>
          <w:szCs w:val="24"/>
          <w:rtl/>
        </w:rPr>
        <w:t xml:space="preserve">, </w:t>
      </w:r>
      <w:hyperlink r:id="rId34" w:history="1">
        <w:r w:rsidR="003F301D" w:rsidRPr="003F301D">
          <w:rPr>
            <w:rFonts w:ascii="David" w:hAnsi="David" w:cs="David"/>
            <w:color w:val="0000FF"/>
            <w:sz w:val="24"/>
            <w:szCs w:val="24"/>
            <w:u w:val="single"/>
            <w:rtl/>
          </w:rPr>
          <w:t>ע"פ 5900/15</w:t>
        </w:r>
      </w:hyperlink>
      <w:r>
        <w:rPr>
          <w:rFonts w:ascii="David" w:hAnsi="David" w:cs="David"/>
          <w:sz w:val="24"/>
          <w:szCs w:val="24"/>
          <w:rtl/>
        </w:rPr>
        <w:t xml:space="preserve"> </w:t>
      </w:r>
      <w:r>
        <w:rPr>
          <w:rFonts w:ascii="David" w:hAnsi="David" w:cs="David"/>
          <w:b/>
          <w:bCs/>
          <w:sz w:val="24"/>
          <w:szCs w:val="24"/>
          <w:rtl/>
        </w:rPr>
        <w:t>מעוז נ' מדינת ישראל</w:t>
      </w:r>
      <w:r>
        <w:rPr>
          <w:rFonts w:ascii="David" w:hAnsi="David" w:cs="David"/>
          <w:sz w:val="24"/>
          <w:szCs w:val="24"/>
          <w:rtl/>
        </w:rPr>
        <w:t xml:space="preserve">. </w:t>
      </w:r>
    </w:p>
    <w:p w14:paraId="5F838908" w14:textId="77777777" w:rsidR="00D2524B" w:rsidRDefault="00D2524B" w:rsidP="00D2524B">
      <w:pPr>
        <w:pStyle w:val="a9"/>
        <w:spacing w:after="0" w:line="360" w:lineRule="auto"/>
        <w:ind w:left="-58"/>
        <w:jc w:val="both"/>
        <w:rPr>
          <w:rFonts w:ascii="David" w:hAnsi="David" w:cs="David"/>
          <w:sz w:val="24"/>
          <w:szCs w:val="24"/>
          <w:rtl/>
        </w:rPr>
      </w:pPr>
    </w:p>
    <w:p w14:paraId="542CCE7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לאור האמור, המדינה ביקשה להטיל על הנאשם עונש מאסר בפועל שיהא באזור האמצע של מתחם הענישה שהוצג, מאסר על תנאי משמעותי, קנס כספי, וכן חילוט הנשק, המחסנית והתחמושת. </w:t>
      </w:r>
    </w:p>
    <w:p w14:paraId="55F8E3BF" w14:textId="77777777" w:rsidR="00D2524B" w:rsidRDefault="00D2524B" w:rsidP="00D2524B">
      <w:pPr>
        <w:pStyle w:val="a9"/>
        <w:spacing w:after="0" w:line="360" w:lineRule="auto"/>
        <w:ind w:left="-58"/>
        <w:jc w:val="both"/>
        <w:rPr>
          <w:rFonts w:ascii="David" w:hAnsi="David" w:cs="David"/>
          <w:sz w:val="24"/>
          <w:szCs w:val="24"/>
          <w:u w:val="single"/>
          <w:rtl/>
        </w:rPr>
      </w:pPr>
    </w:p>
    <w:p w14:paraId="48460BA6"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טיעוני ב"כ הנאשם לעונש:</w:t>
      </w:r>
    </w:p>
    <w:p w14:paraId="4239C369" w14:textId="77777777" w:rsidR="00D2524B" w:rsidRDefault="00D2524B" w:rsidP="00D2524B">
      <w:pPr>
        <w:pStyle w:val="a9"/>
        <w:spacing w:after="0" w:line="360" w:lineRule="auto"/>
        <w:ind w:left="-58"/>
        <w:jc w:val="both"/>
        <w:rPr>
          <w:rFonts w:ascii="David" w:hAnsi="David" w:cs="David"/>
          <w:sz w:val="24"/>
          <w:szCs w:val="24"/>
          <w:u w:val="single"/>
          <w:rtl/>
        </w:rPr>
      </w:pPr>
    </w:p>
    <w:p w14:paraId="3D0A606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לטענת ב"כ הנאשם, הרי שהנאשם נעדר הרשעות קודמות, וכן הביע רצון לעבור טיפול.</w:t>
      </w:r>
    </w:p>
    <w:p w14:paraId="5220E6F2" w14:textId="77777777" w:rsidR="00D2524B" w:rsidRDefault="00D2524B" w:rsidP="00D2524B">
      <w:pPr>
        <w:pStyle w:val="a9"/>
        <w:spacing w:after="0" w:line="360" w:lineRule="auto"/>
        <w:ind w:left="-58"/>
        <w:jc w:val="both"/>
        <w:rPr>
          <w:rFonts w:ascii="David" w:hAnsi="David" w:cs="David"/>
          <w:sz w:val="24"/>
          <w:szCs w:val="24"/>
        </w:rPr>
      </w:pPr>
    </w:p>
    <w:p w14:paraId="5348AD1A"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בנוסף, הנאשם הודה בהזדמנות הראשונה ובכך חסך זמן שיפוטי יקר מיד עם תיקון כתב האישום.</w:t>
      </w:r>
    </w:p>
    <w:p w14:paraId="26259A76" w14:textId="77777777" w:rsidR="00D2524B" w:rsidRDefault="00D2524B" w:rsidP="00D2524B">
      <w:pPr>
        <w:pStyle w:val="a9"/>
        <w:spacing w:after="0" w:line="360" w:lineRule="auto"/>
        <w:ind w:left="-58"/>
        <w:jc w:val="both"/>
        <w:rPr>
          <w:rFonts w:ascii="David" w:hAnsi="David" w:cs="David"/>
          <w:sz w:val="24"/>
          <w:szCs w:val="24"/>
        </w:rPr>
      </w:pPr>
    </w:p>
    <w:p w14:paraId="0BA35672"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מבחינת חומרת העבירה, נשיאת הנשק הייתה נשיאה רגעית, ולא מעבר לכך. הנשק היה שייך וקשור לאחר, אשר נתן הודאה בתיק הפלילי המתנהל מולו. בנוסף טען כי מגמת ההחמרה בענישה אינה אמורה לחול על המקרה דנן בו הורשע הנאשם.</w:t>
      </w:r>
    </w:p>
    <w:p w14:paraId="14380206" w14:textId="77777777" w:rsidR="00D2524B" w:rsidRDefault="00D2524B" w:rsidP="00D2524B">
      <w:pPr>
        <w:pStyle w:val="a9"/>
        <w:spacing w:after="0" w:line="360" w:lineRule="auto"/>
        <w:rPr>
          <w:rFonts w:ascii="David" w:hAnsi="David" w:cs="David"/>
          <w:sz w:val="24"/>
          <w:szCs w:val="24"/>
          <w:highlight w:val="yellow"/>
        </w:rPr>
      </w:pPr>
    </w:p>
    <w:p w14:paraId="43B252E8"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לטענת ב"כ הנאשם, הפסיקות שהוגשו על ידי המדינה אינן קשורות למקרהו של הנאשם. ב"כ הנאשם הפנה מצידו לתיקים המשפטיים הבאים: </w:t>
      </w:r>
      <w:hyperlink r:id="rId35" w:history="1">
        <w:r w:rsidR="003F301D" w:rsidRPr="003F301D">
          <w:rPr>
            <w:rFonts w:ascii="David" w:hAnsi="David" w:cs="David"/>
            <w:color w:val="0000FF"/>
            <w:sz w:val="24"/>
            <w:szCs w:val="24"/>
            <w:u w:val="single"/>
            <w:rtl/>
          </w:rPr>
          <w:t>ת"פ 9396-03-21</w:t>
        </w:r>
      </w:hyperlink>
      <w:r>
        <w:rPr>
          <w:rFonts w:ascii="David" w:hAnsi="David" w:cs="David"/>
          <w:sz w:val="24"/>
          <w:szCs w:val="24"/>
          <w:rtl/>
        </w:rPr>
        <w:t xml:space="preserve"> </w:t>
      </w:r>
      <w:r>
        <w:rPr>
          <w:rFonts w:ascii="David" w:hAnsi="David" w:cs="David"/>
          <w:b/>
          <w:bCs/>
          <w:sz w:val="24"/>
          <w:szCs w:val="24"/>
          <w:rtl/>
        </w:rPr>
        <w:t>מדינת ישראל נ' דוידוב</w:t>
      </w:r>
      <w:r>
        <w:rPr>
          <w:rFonts w:ascii="David" w:hAnsi="David" w:cs="David"/>
          <w:sz w:val="24"/>
          <w:szCs w:val="24"/>
          <w:rtl/>
        </w:rPr>
        <w:t xml:space="preserve">, </w:t>
      </w:r>
      <w:hyperlink r:id="rId36" w:history="1">
        <w:r w:rsidR="003F301D" w:rsidRPr="003F301D">
          <w:rPr>
            <w:rFonts w:ascii="David" w:hAnsi="David" w:cs="David"/>
            <w:color w:val="0000FF"/>
            <w:sz w:val="24"/>
            <w:szCs w:val="24"/>
            <w:u w:val="single"/>
            <w:rtl/>
          </w:rPr>
          <w:t>ת"פ 17376-05-20</w:t>
        </w:r>
      </w:hyperlink>
      <w:r>
        <w:rPr>
          <w:rFonts w:ascii="David" w:hAnsi="David" w:cs="David"/>
          <w:sz w:val="24"/>
          <w:szCs w:val="24"/>
          <w:rtl/>
        </w:rPr>
        <w:t xml:space="preserve"> </w:t>
      </w:r>
      <w:r>
        <w:rPr>
          <w:rFonts w:ascii="David" w:hAnsi="David" w:cs="David"/>
          <w:b/>
          <w:bCs/>
          <w:sz w:val="24"/>
          <w:szCs w:val="24"/>
          <w:rtl/>
        </w:rPr>
        <w:t>מדינת ישראל נ' חליל</w:t>
      </w:r>
      <w:r>
        <w:rPr>
          <w:rFonts w:ascii="David" w:hAnsi="David" w:cs="David"/>
          <w:sz w:val="24"/>
          <w:szCs w:val="24"/>
          <w:rtl/>
        </w:rPr>
        <w:t xml:space="preserve">, ת"פ 4005-07-21 </w:t>
      </w:r>
      <w:r>
        <w:rPr>
          <w:rFonts w:ascii="David" w:hAnsi="David" w:cs="David"/>
          <w:b/>
          <w:bCs/>
          <w:sz w:val="24"/>
          <w:szCs w:val="24"/>
          <w:rtl/>
        </w:rPr>
        <w:t>מדינת ישראל נ' מחאמיד</w:t>
      </w:r>
      <w:r>
        <w:rPr>
          <w:rFonts w:ascii="David" w:hAnsi="David" w:cs="David"/>
          <w:sz w:val="24"/>
          <w:szCs w:val="24"/>
          <w:rtl/>
        </w:rPr>
        <w:t>.</w:t>
      </w:r>
    </w:p>
    <w:p w14:paraId="2B2366FF" w14:textId="77777777" w:rsidR="00D2524B" w:rsidRDefault="00D2524B" w:rsidP="00D2524B">
      <w:pPr>
        <w:pStyle w:val="a9"/>
        <w:spacing w:after="0" w:line="360" w:lineRule="auto"/>
        <w:ind w:left="-58"/>
        <w:jc w:val="both"/>
        <w:rPr>
          <w:rFonts w:ascii="David" w:hAnsi="David" w:cs="David"/>
          <w:sz w:val="24"/>
          <w:szCs w:val="24"/>
          <w:rtl/>
        </w:rPr>
      </w:pPr>
    </w:p>
    <w:p w14:paraId="083320E1" w14:textId="77777777" w:rsidR="00D2524B" w:rsidRDefault="00D2524B" w:rsidP="00D2524B">
      <w:pPr>
        <w:pStyle w:val="a9"/>
        <w:numPr>
          <w:ilvl w:val="0"/>
          <w:numId w:val="1"/>
        </w:numPr>
        <w:spacing w:after="0" w:line="360" w:lineRule="auto"/>
        <w:ind w:left="-58"/>
        <w:jc w:val="both"/>
        <w:rPr>
          <w:rFonts w:ascii="David" w:hAnsi="David" w:cs="David"/>
          <w:b/>
          <w:bCs/>
          <w:sz w:val="24"/>
          <w:szCs w:val="24"/>
          <w:rtl/>
        </w:rPr>
      </w:pPr>
      <w:r>
        <w:rPr>
          <w:rFonts w:ascii="David" w:hAnsi="David" w:cs="David"/>
          <w:sz w:val="24"/>
          <w:szCs w:val="24"/>
          <w:rtl/>
        </w:rPr>
        <w:t>בנוסף, וכמילת סיום, ביקש ב"כ הנאשם שבית המשפט לא ימצה את הדין עם הנאשם, וזאת לאור הנסיבות הקונקרטיות בתיק, לרבות אינטרס החברה.</w:t>
      </w:r>
    </w:p>
    <w:p w14:paraId="2C80FBDB" w14:textId="77777777" w:rsidR="00D2524B" w:rsidRDefault="00D2524B" w:rsidP="00D2524B">
      <w:pPr>
        <w:pStyle w:val="a9"/>
        <w:spacing w:after="0" w:line="360" w:lineRule="auto"/>
        <w:ind w:left="-58"/>
        <w:jc w:val="both"/>
        <w:rPr>
          <w:rFonts w:ascii="David" w:hAnsi="David" w:cs="David"/>
          <w:b/>
          <w:bCs/>
          <w:sz w:val="24"/>
          <w:szCs w:val="24"/>
          <w:rtl/>
        </w:rPr>
      </w:pPr>
    </w:p>
    <w:p w14:paraId="6B4AC929"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דבר אחרון של הנאשם:</w:t>
      </w:r>
    </w:p>
    <w:p w14:paraId="2F142A79" w14:textId="77777777" w:rsidR="00D2524B" w:rsidRDefault="00D2524B" w:rsidP="00D2524B">
      <w:pPr>
        <w:pStyle w:val="a9"/>
        <w:spacing w:after="0" w:line="360" w:lineRule="auto"/>
        <w:ind w:left="-58"/>
        <w:jc w:val="both"/>
        <w:rPr>
          <w:rFonts w:ascii="David" w:hAnsi="David" w:cs="David"/>
          <w:sz w:val="24"/>
          <w:szCs w:val="24"/>
          <w:u w:val="single"/>
          <w:rtl/>
        </w:rPr>
      </w:pPr>
    </w:p>
    <w:p w14:paraId="33AE321C" w14:textId="77777777" w:rsidR="00D2524B" w:rsidRDefault="00D2524B" w:rsidP="00D2524B">
      <w:pPr>
        <w:pStyle w:val="a9"/>
        <w:numPr>
          <w:ilvl w:val="0"/>
          <w:numId w:val="1"/>
        </w:numPr>
        <w:spacing w:after="0" w:line="360" w:lineRule="auto"/>
        <w:ind w:left="-58"/>
        <w:jc w:val="both"/>
        <w:rPr>
          <w:rFonts w:ascii="David" w:hAnsi="David" w:cs="David"/>
          <w:b/>
          <w:bCs/>
          <w:sz w:val="24"/>
          <w:szCs w:val="24"/>
          <w:rtl/>
        </w:rPr>
      </w:pPr>
      <w:r>
        <w:rPr>
          <w:rFonts w:ascii="David" w:hAnsi="David" w:cs="David"/>
          <w:sz w:val="24"/>
          <w:szCs w:val="24"/>
          <w:rtl/>
        </w:rPr>
        <w:t xml:space="preserve">להלן דברי הנאשם, שנאמרו לפניי כדלקמן: </w:t>
      </w:r>
      <w:r>
        <w:rPr>
          <w:rFonts w:ascii="David" w:hAnsi="David" w:cs="David"/>
          <w:b/>
          <w:bCs/>
          <w:sz w:val="24"/>
          <w:szCs w:val="24"/>
          <w:rtl/>
        </w:rPr>
        <w:t>"אני מצטער על מה שעשיתי. עכשיו אני צעיר ואני מאבד זמן יקר בכלא. אבקש להתחשב בי"</w:t>
      </w:r>
      <w:r>
        <w:rPr>
          <w:rFonts w:ascii="David" w:hAnsi="David" w:cs="David"/>
          <w:sz w:val="24"/>
          <w:szCs w:val="24"/>
          <w:rtl/>
        </w:rPr>
        <w:t xml:space="preserve">. </w:t>
      </w:r>
    </w:p>
    <w:p w14:paraId="3CC520F5" w14:textId="77777777" w:rsidR="00D2524B" w:rsidRDefault="00D2524B" w:rsidP="00D2524B">
      <w:pPr>
        <w:pStyle w:val="a9"/>
        <w:spacing w:after="0" w:line="360" w:lineRule="auto"/>
        <w:ind w:left="-58"/>
        <w:jc w:val="both"/>
        <w:rPr>
          <w:rFonts w:ascii="David" w:hAnsi="David" w:cs="David"/>
          <w:b/>
          <w:bCs/>
          <w:sz w:val="24"/>
          <w:szCs w:val="24"/>
        </w:rPr>
      </w:pPr>
    </w:p>
    <w:p w14:paraId="718E2719" w14:textId="77777777" w:rsidR="00D2524B" w:rsidRDefault="00D2524B" w:rsidP="00D2524B">
      <w:pPr>
        <w:pStyle w:val="a9"/>
        <w:spacing w:after="0" w:line="360" w:lineRule="auto"/>
        <w:ind w:left="-58"/>
        <w:jc w:val="both"/>
        <w:rPr>
          <w:rFonts w:ascii="David" w:hAnsi="David" w:cs="David"/>
          <w:b/>
          <w:bCs/>
          <w:sz w:val="24"/>
          <w:szCs w:val="24"/>
          <w:u w:val="single"/>
          <w:rtl/>
        </w:rPr>
      </w:pPr>
      <w:r>
        <w:rPr>
          <w:rFonts w:ascii="David" w:hAnsi="David" w:cs="David"/>
          <w:b/>
          <w:bCs/>
          <w:sz w:val="24"/>
          <w:szCs w:val="24"/>
          <w:u w:val="single"/>
          <w:rtl/>
        </w:rPr>
        <w:t>דיון והכרעה:</w:t>
      </w:r>
    </w:p>
    <w:p w14:paraId="757EF0F3" w14:textId="77777777" w:rsidR="00D2524B" w:rsidRDefault="00D2524B" w:rsidP="00D2524B">
      <w:pPr>
        <w:pStyle w:val="a9"/>
        <w:spacing w:after="0" w:line="360" w:lineRule="auto"/>
        <w:ind w:left="-58"/>
        <w:jc w:val="both"/>
        <w:rPr>
          <w:rFonts w:ascii="David" w:hAnsi="David" w:cs="David"/>
          <w:b/>
          <w:bCs/>
          <w:sz w:val="24"/>
          <w:szCs w:val="24"/>
          <w:rtl/>
        </w:rPr>
      </w:pPr>
    </w:p>
    <w:p w14:paraId="21EE98AF"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ab/>
        <w:t>העיקרון המנחה בגזירת הדין הוא עקרון ההלימה, דהיינו קיומו של יחס הולם בין חומרת העבירות בנסיבותיהן ומידת אשמו של הנאשם העומד לדין, לבין סוג העונש שיוטל עליו ומידתו. בעת קביעת מתחם עונש ההולם למעשה עבירה שביצע הנאשם, על בית המשפט להתחשב בערך החברתי שנפגע מביצוע העבירה, במידת הפגיעה בו, במדיניות הענישה הנהוגה ובנסיבות הקשורות בביצוע העבירה.</w:t>
      </w:r>
    </w:p>
    <w:p w14:paraId="59643588" w14:textId="77777777" w:rsidR="00D2524B" w:rsidRDefault="00D2524B" w:rsidP="00D2524B">
      <w:pPr>
        <w:pStyle w:val="a9"/>
        <w:spacing w:after="0" w:line="360" w:lineRule="auto"/>
        <w:ind w:left="-58"/>
        <w:jc w:val="both"/>
        <w:rPr>
          <w:rFonts w:ascii="David" w:hAnsi="David" w:cs="David"/>
          <w:sz w:val="24"/>
          <w:szCs w:val="24"/>
        </w:rPr>
      </w:pPr>
    </w:p>
    <w:p w14:paraId="746698F1"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לאחר קביעת מתחם העונש ההולם, על בית המשפט לאתר את העונש המתאים לנאשם בגבולות המתחם שנקבע, תוך התייחסות לנסיבות שאינן קשורות לביצוע העבירות. </w:t>
      </w:r>
    </w:p>
    <w:p w14:paraId="1F063D07" w14:textId="77777777" w:rsidR="00D2524B" w:rsidRDefault="00D2524B" w:rsidP="00D2524B">
      <w:pPr>
        <w:pStyle w:val="a9"/>
        <w:spacing w:after="0" w:line="360" w:lineRule="auto"/>
        <w:ind w:left="-58"/>
        <w:jc w:val="both"/>
        <w:rPr>
          <w:rFonts w:ascii="David" w:hAnsi="David" w:cs="David"/>
          <w:sz w:val="24"/>
          <w:szCs w:val="24"/>
        </w:rPr>
      </w:pPr>
    </w:p>
    <w:p w14:paraId="4D600989"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כמו כן, רשאי בית המשפט להתחשב בשיקולי הרתעה אישית והרתעת הרבים, ובלבד שהעונש לא יחרוג ממתחם העונש ההולם. כן ניתן לחרוג ממתחם העונש ההולם בהתקיים נתונים מסוימים, בין אם לקולה משיקולי שיקום, ובין אם לחומרה משיקולים של הגנה על שלום הציבור.</w:t>
      </w:r>
    </w:p>
    <w:p w14:paraId="785ABE5C" w14:textId="77777777" w:rsidR="00D2524B" w:rsidRDefault="00D2524B" w:rsidP="00D2524B">
      <w:pPr>
        <w:pStyle w:val="a9"/>
        <w:spacing w:after="0" w:line="360" w:lineRule="auto"/>
        <w:ind w:left="-58"/>
        <w:jc w:val="both"/>
        <w:rPr>
          <w:rFonts w:ascii="David" w:hAnsi="David" w:cs="David"/>
          <w:sz w:val="24"/>
          <w:szCs w:val="24"/>
        </w:rPr>
      </w:pPr>
    </w:p>
    <w:p w14:paraId="4C45B759" w14:textId="77777777" w:rsidR="00D2524B" w:rsidRDefault="00D2524B" w:rsidP="00D2524B">
      <w:pPr>
        <w:pStyle w:val="a9"/>
        <w:spacing w:after="0" w:line="360" w:lineRule="auto"/>
        <w:ind w:left="-58"/>
        <w:jc w:val="both"/>
        <w:rPr>
          <w:rFonts w:ascii="David" w:hAnsi="David" w:cs="David"/>
          <w:sz w:val="24"/>
          <w:szCs w:val="24"/>
          <w:u w:val="single"/>
        </w:rPr>
      </w:pPr>
      <w:r>
        <w:rPr>
          <w:rFonts w:ascii="David" w:hAnsi="David" w:cs="David"/>
          <w:sz w:val="24"/>
          <w:szCs w:val="24"/>
          <w:u w:val="single"/>
          <w:rtl/>
        </w:rPr>
        <w:t>מתחם העונש ההולם</w:t>
      </w:r>
    </w:p>
    <w:p w14:paraId="2997A8C6" w14:textId="77777777" w:rsidR="00D2524B" w:rsidRDefault="00D2524B" w:rsidP="00D2524B">
      <w:pPr>
        <w:pStyle w:val="a9"/>
        <w:spacing w:after="0" w:line="360" w:lineRule="auto"/>
        <w:ind w:left="-58"/>
        <w:jc w:val="both"/>
        <w:rPr>
          <w:rFonts w:ascii="David" w:hAnsi="David" w:cs="David"/>
          <w:sz w:val="24"/>
          <w:szCs w:val="24"/>
          <w:u w:val="single"/>
          <w:rtl/>
        </w:rPr>
      </w:pPr>
    </w:p>
    <w:p w14:paraId="3A328CCC"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בעניין דנן, </w:t>
      </w:r>
      <w:r>
        <w:rPr>
          <w:rFonts w:ascii="David" w:hAnsi="David" w:cs="David"/>
          <w:sz w:val="24"/>
          <w:szCs w:val="24"/>
          <w:u w:val="single"/>
          <w:rtl/>
        </w:rPr>
        <w:t>הערכים החברתיים</w:t>
      </w:r>
      <w:r>
        <w:rPr>
          <w:rFonts w:ascii="David" w:hAnsi="David" w:cs="David"/>
          <w:sz w:val="24"/>
          <w:szCs w:val="24"/>
          <w:rtl/>
        </w:rPr>
        <w:t xml:space="preserve"> שנפגעו הינם בטחון הפרט והציבור, וכן שלטון החוק. </w:t>
      </w:r>
    </w:p>
    <w:p w14:paraId="405031EB" w14:textId="77777777" w:rsidR="00D2524B" w:rsidRDefault="00D2524B" w:rsidP="00D2524B">
      <w:pPr>
        <w:pStyle w:val="a9"/>
        <w:spacing w:after="0" w:line="360" w:lineRule="auto"/>
        <w:ind w:left="-58"/>
        <w:jc w:val="both"/>
        <w:rPr>
          <w:rFonts w:ascii="David" w:hAnsi="David" w:cs="David"/>
          <w:sz w:val="24"/>
          <w:szCs w:val="24"/>
        </w:rPr>
      </w:pPr>
    </w:p>
    <w:p w14:paraId="5F97ECF8"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נשק הוא כלי שנועד לירות כדורים שבכוחם להמית אדם. הפעלתו פשוטה יחסית, כוח הפגיעה שלו קטלני, ניתן לעשות בו שימוש רב פעמי, וקשה מאוד להתגונן מפניו. נשק מעורב בעבירות פליליות חמורות, הן בפגיעתו הפיזית באדם או ברכוש, והן באיומים לעשות בו שימוש כזה. נוכח הסכנות הכרוכות בנשק יש למדינה ענין לפקח על החזקת כלי הנשק בתחומה, להגבילו ולהתנותו ברישיון. </w:t>
      </w:r>
    </w:p>
    <w:p w14:paraId="626AD5CF" w14:textId="77777777" w:rsidR="00D2524B" w:rsidRDefault="00D2524B" w:rsidP="00D2524B">
      <w:pPr>
        <w:pStyle w:val="a9"/>
        <w:spacing w:after="0" w:line="360" w:lineRule="auto"/>
        <w:ind w:left="-58"/>
        <w:jc w:val="both"/>
        <w:rPr>
          <w:rFonts w:ascii="David" w:hAnsi="David" w:cs="David"/>
          <w:sz w:val="24"/>
          <w:szCs w:val="24"/>
        </w:rPr>
      </w:pPr>
    </w:p>
    <w:p w14:paraId="37995FBC"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במקרה דנן, </w:t>
      </w:r>
      <w:r>
        <w:rPr>
          <w:rFonts w:ascii="David" w:hAnsi="David" w:cs="David"/>
          <w:sz w:val="24"/>
          <w:szCs w:val="24"/>
          <w:u w:val="single"/>
          <w:rtl/>
        </w:rPr>
        <w:t>מידת הפגיעה הנה חמורה, לנוכח פוטנציאל הנזק</w:t>
      </w:r>
      <w:r>
        <w:rPr>
          <w:rFonts w:ascii="David" w:hAnsi="David" w:cs="David"/>
          <w:sz w:val="24"/>
          <w:szCs w:val="24"/>
          <w:rtl/>
        </w:rPr>
        <w:t xml:space="preserve"> לפגיעה בנפש הטמון בעבירות של נשיאת אקדח ותחמושת. </w:t>
      </w:r>
    </w:p>
    <w:p w14:paraId="11FA7A9A" w14:textId="77777777" w:rsidR="00D2524B" w:rsidRDefault="00D2524B" w:rsidP="00D2524B">
      <w:pPr>
        <w:pStyle w:val="a9"/>
        <w:spacing w:after="0" w:line="360" w:lineRule="auto"/>
        <w:ind w:left="-58"/>
        <w:jc w:val="both"/>
        <w:rPr>
          <w:rFonts w:ascii="David" w:hAnsi="David" w:cs="David"/>
          <w:sz w:val="24"/>
          <w:szCs w:val="24"/>
        </w:rPr>
      </w:pPr>
    </w:p>
    <w:p w14:paraId="513E2E7A"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אין צריך להכביר במילים על חומרתן של עבירות הנשק, בייחוד בתקופה הנוכחית בה כמעט ולא חולף יום ללא נפגעים בגוף ובנפש, בייחוד במגזר הערבי. פוטנציאל הפגיעה של הנשק מצדיק הרשעה גם מעצם החזקתו ונשיאתו ללא רישיון, עוד בטרם עשיית שימוש פוגעני בו. ואכן, העונשים הקבועים לעבירות ההחזקה והנשיאה של נשק ללא רישיון הינם גבוהים וחמורים.</w:t>
      </w:r>
    </w:p>
    <w:p w14:paraId="5989D190" w14:textId="77777777" w:rsidR="00D2524B" w:rsidRDefault="00D2524B" w:rsidP="00D2524B">
      <w:pPr>
        <w:pStyle w:val="a9"/>
        <w:spacing w:after="0" w:line="360" w:lineRule="auto"/>
        <w:ind w:left="-58"/>
        <w:jc w:val="both"/>
        <w:rPr>
          <w:rFonts w:ascii="David" w:hAnsi="David" w:cs="David"/>
          <w:b/>
          <w:bCs/>
          <w:sz w:val="24"/>
          <w:szCs w:val="24"/>
          <w:rtl/>
        </w:rPr>
      </w:pPr>
    </w:p>
    <w:p w14:paraId="173979F3"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 xml:space="preserve">בית המשפט העליון עומד פעם אחר פעם על חומרת עבירות הנשק, שהפכו כדי "מכת מדינה". פגיעתן של עבירות הנשק קשה היא, והיא יוצרת סיכונים משמעותיים לשלום הציבור ובטחונו. נשק ברחובות משמעותו סכנת פצועים והרוגים ברחובות. </w:t>
      </w:r>
      <w:r>
        <w:rPr>
          <w:rFonts w:ascii="David" w:hAnsi="David" w:cs="David"/>
          <w:color w:val="000000"/>
          <w:sz w:val="24"/>
          <w:szCs w:val="24"/>
          <w:u w:val="single"/>
          <w:rtl/>
        </w:rPr>
        <w:t>מדיניות הענישה הנוהגת הינה מדיניות מחמירה, מתוך ההבנה כי ישנה חובה למגר תופעה עבריינית זו על כלל נגזרותיה</w:t>
      </w:r>
      <w:r>
        <w:rPr>
          <w:rFonts w:ascii="David" w:hAnsi="David" w:cs="David"/>
          <w:color w:val="000000"/>
          <w:sz w:val="24"/>
          <w:szCs w:val="24"/>
          <w:rtl/>
        </w:rPr>
        <w:t>.</w:t>
      </w:r>
    </w:p>
    <w:p w14:paraId="130823B1" w14:textId="77777777" w:rsidR="00D2524B" w:rsidRDefault="00D2524B" w:rsidP="00D2524B">
      <w:pPr>
        <w:pStyle w:val="a9"/>
        <w:spacing w:after="0" w:line="360" w:lineRule="auto"/>
        <w:ind w:left="-58"/>
        <w:jc w:val="both"/>
        <w:rPr>
          <w:rFonts w:ascii="David" w:hAnsi="David" w:cs="David"/>
          <w:color w:val="000000"/>
          <w:sz w:val="24"/>
          <w:szCs w:val="24"/>
        </w:rPr>
      </w:pPr>
    </w:p>
    <w:p w14:paraId="3A4DEA8F"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כך למשל ב</w:t>
      </w:r>
      <w:hyperlink r:id="rId37" w:history="1">
        <w:r w:rsidR="003F301D" w:rsidRPr="003F301D">
          <w:rPr>
            <w:rFonts w:ascii="David" w:hAnsi="David" w:cs="David"/>
            <w:color w:val="0000FF"/>
            <w:sz w:val="24"/>
            <w:szCs w:val="24"/>
            <w:u w:val="single"/>
            <w:rtl/>
          </w:rPr>
          <w:t>ע"פ 8641/12</w:t>
        </w:r>
      </w:hyperlink>
      <w:r>
        <w:rPr>
          <w:rFonts w:ascii="David" w:hAnsi="David" w:cs="David"/>
          <w:color w:val="000000"/>
          <w:sz w:val="24"/>
          <w:szCs w:val="24"/>
          <w:rtl/>
        </w:rPr>
        <w:t xml:space="preserve"> </w:t>
      </w:r>
      <w:r>
        <w:rPr>
          <w:rFonts w:ascii="David" w:hAnsi="David" w:cs="David"/>
          <w:b/>
          <w:bCs/>
          <w:color w:val="000000"/>
          <w:sz w:val="24"/>
          <w:szCs w:val="24"/>
          <w:rtl/>
        </w:rPr>
        <w:t>סעד נ' מדינת ישראל</w:t>
      </w:r>
      <w:r>
        <w:rPr>
          <w:rFonts w:ascii="David" w:hAnsi="David" w:cs="David"/>
          <w:color w:val="000000"/>
          <w:sz w:val="24"/>
          <w:szCs w:val="24"/>
          <w:rtl/>
        </w:rPr>
        <w:t xml:space="preserve"> (5.8.2013):</w:t>
      </w:r>
    </w:p>
    <w:p w14:paraId="5A2C3EB3" w14:textId="77777777" w:rsidR="00D2524B" w:rsidRPr="00D2524B" w:rsidRDefault="00D2524B" w:rsidP="00D2524B">
      <w:pPr>
        <w:spacing w:line="360" w:lineRule="auto"/>
        <w:ind w:left="368" w:right="142"/>
        <w:jc w:val="both"/>
        <w:rPr>
          <w:rFonts w:ascii="Calibri" w:hAnsi="Calibri" w:cs="Arial"/>
          <w:sz w:val="22"/>
          <w:szCs w:val="22"/>
          <w:rtl/>
        </w:rPr>
      </w:pPr>
      <w:r>
        <w:rPr>
          <w:rFonts w:ascii="David" w:hAnsi="David"/>
          <w:b/>
          <w:bCs/>
          <w:color w:val="000000"/>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באיפה ובענישה קשה."</w:t>
      </w:r>
    </w:p>
    <w:p w14:paraId="6E6E2F31" w14:textId="77777777" w:rsidR="00D2524B" w:rsidRDefault="00D2524B" w:rsidP="00D2524B">
      <w:pPr>
        <w:pStyle w:val="a9"/>
        <w:spacing w:after="0" w:line="360" w:lineRule="auto"/>
        <w:ind w:left="-58"/>
        <w:jc w:val="both"/>
        <w:rPr>
          <w:rFonts w:ascii="David" w:hAnsi="David" w:cs="David"/>
          <w:color w:val="000000"/>
          <w:sz w:val="24"/>
          <w:szCs w:val="24"/>
          <w:rtl/>
        </w:rPr>
      </w:pPr>
    </w:p>
    <w:p w14:paraId="141566A9"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וכן </w:t>
      </w:r>
      <w:hyperlink r:id="rId38" w:history="1">
        <w:r w:rsidR="003F301D" w:rsidRPr="003F301D">
          <w:rPr>
            <w:rFonts w:ascii="David" w:hAnsi="David" w:cs="David"/>
            <w:color w:val="0000FF"/>
            <w:sz w:val="24"/>
            <w:szCs w:val="24"/>
            <w:u w:val="single"/>
            <w:rtl/>
          </w:rPr>
          <w:t>ע"פ 579/22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דאוד טחאינה</w:t>
      </w:r>
      <w:r>
        <w:rPr>
          <w:rFonts w:ascii="David" w:hAnsi="David" w:cs="David"/>
          <w:color w:val="000000"/>
          <w:sz w:val="24"/>
          <w:szCs w:val="24"/>
          <w:rtl/>
        </w:rPr>
        <w:t xml:space="preserve"> (נבו 13.06.2022):</w:t>
      </w:r>
    </w:p>
    <w:p w14:paraId="14101E9D" w14:textId="77777777" w:rsidR="00D2524B" w:rsidRDefault="00D2524B" w:rsidP="00D2524B">
      <w:pPr>
        <w:spacing w:line="360" w:lineRule="auto"/>
        <w:ind w:left="368" w:right="142"/>
        <w:jc w:val="both"/>
        <w:rPr>
          <w:rFonts w:ascii="David" w:hAnsi="David"/>
          <w:b/>
          <w:bCs/>
          <w:sz w:val="22"/>
          <w:szCs w:val="22"/>
          <w:rtl/>
        </w:rPr>
      </w:pPr>
      <w:r>
        <w:rPr>
          <w:rFonts w:ascii="David" w:hAnsi="David"/>
          <w:b/>
          <w:bCs/>
          <w:color w:val="000000"/>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39" w:history="1">
        <w:r w:rsidR="003F301D" w:rsidRPr="003F301D">
          <w:rPr>
            <w:rFonts w:ascii="David" w:hAnsi="David"/>
            <w:b/>
            <w:bCs/>
            <w:color w:val="0000FF"/>
            <w:u w:val="single"/>
            <w:rtl/>
          </w:rPr>
          <w:t>ע"פ 1695/22</w:t>
        </w:r>
      </w:hyperlink>
      <w:r>
        <w:rPr>
          <w:rFonts w:ascii="David" w:hAnsi="David"/>
          <w:b/>
          <w:bCs/>
          <w:color w:val="000000"/>
          <w:rtl/>
        </w:rPr>
        <w:t xml:space="preserve"> מדינת ישראל נ' גנאים, פסקה 11 [פורסם בנבו] </w:t>
      </w:r>
      <w:r>
        <w:rPr>
          <w:rFonts w:ascii="David" w:hAnsi="David"/>
          <w:b/>
          <w:bCs/>
          <w:color w:val="000000"/>
        </w:rPr>
        <w:t xml:space="preserve"> ((29.3.2022) </w:t>
      </w:r>
      <w:r>
        <w:rPr>
          <w:rFonts w:ascii="David" w:hAnsi="David"/>
          <w:b/>
          <w:bCs/>
          <w:color w:val="000000"/>
          <w:rtl/>
        </w:rPr>
        <w:t xml:space="preserve">והן מהוות בסיס לביצוע פעילות עבריינית, פשיעה לאומנית ופעולות טרור מסכנות חיים (ראו: </w:t>
      </w:r>
      <w:hyperlink r:id="rId40" w:history="1">
        <w:r w:rsidR="003F301D" w:rsidRPr="003F301D">
          <w:rPr>
            <w:rFonts w:ascii="David" w:hAnsi="David"/>
            <w:b/>
            <w:bCs/>
            <w:color w:val="0000FF"/>
            <w:u w:val="single"/>
            <w:rtl/>
          </w:rPr>
          <w:t>ע"פ 309/22</w:t>
        </w:r>
      </w:hyperlink>
      <w:r>
        <w:rPr>
          <w:rFonts w:ascii="David" w:hAnsi="David"/>
          <w:b/>
          <w:bCs/>
          <w:color w:val="000000"/>
          <w:rtl/>
        </w:rPr>
        <w:t xml:space="preserve"> מדינת ישראל נ' ביאדסה, פסקה 6 [פורסם בנבו </w:t>
      </w:r>
      <w:r>
        <w:rPr>
          <w:rFonts w:ascii="David" w:hAnsi="David"/>
          <w:b/>
          <w:bCs/>
          <w:color w:val="000000"/>
        </w:rPr>
        <w:t>(10.5.2022)</w:t>
      </w:r>
      <w:r>
        <w:rPr>
          <w:rFonts w:ascii="David" w:hAnsi="David"/>
          <w:b/>
          <w:bCs/>
          <w:color w:val="000000"/>
          <w:rtl/>
        </w:rPr>
        <w:t xml:space="preserve">). זמינותם ונגישותם של כלי נשק בלתי חוקיים מאפשרות שימוש תדיר בנשק ככלי לפתרון סכסוכים, לעיתים תוך ירי באזורי מגורים, וגביית קורבנות בגוף ובנפש. </w:t>
      </w:r>
      <w:r w:rsidR="003F301D">
        <w:rPr>
          <w:rFonts w:ascii="David" w:hAnsi="David"/>
          <w:b/>
          <w:bCs/>
          <w:color w:val="000000"/>
          <w:rtl/>
        </w:rPr>
        <w:t xml:space="preserve"> </w:t>
      </w:r>
      <w:r>
        <w:rPr>
          <w:rFonts w:ascii="David" w:hAnsi="David"/>
          <w:b/>
          <w:bCs/>
          <w:color w:val="000000"/>
          <w:rtl/>
        </w:rPr>
        <w:t xml:space="preserve">בית משפט זה עמד לא אחת על כך שתרומתם העיקרית של בתי המשפט למיגור תופעת עבריינות הנשק ונגזרותיה היא בהטלת עונשים חמורים ומרתיעים על עברייני הנשק (ראו: </w:t>
      </w:r>
      <w:hyperlink r:id="rId41" w:history="1">
        <w:r w:rsidR="003F301D" w:rsidRPr="003F301D">
          <w:rPr>
            <w:rFonts w:ascii="David" w:hAnsi="David"/>
            <w:b/>
            <w:bCs/>
            <w:color w:val="0000FF"/>
            <w:u w:val="single"/>
            <w:rtl/>
          </w:rPr>
          <w:t>ע"פ 147/21</w:t>
        </w:r>
      </w:hyperlink>
      <w:r>
        <w:rPr>
          <w:rFonts w:ascii="David" w:hAnsi="David"/>
          <w:b/>
          <w:bCs/>
          <w:color w:val="000000"/>
          <w:rtl/>
        </w:rPr>
        <w:t xml:space="preserve"> מדינת ישראל נ' ביטון, פסקה 10 [פורסם בנבו]</w:t>
      </w:r>
      <w:r>
        <w:rPr>
          <w:rFonts w:ascii="David" w:hAnsi="David"/>
          <w:b/>
          <w:bCs/>
          <w:color w:val="000000"/>
        </w:rPr>
        <w:t>(14.2.2021)</w:t>
      </w:r>
      <w:r>
        <w:rPr>
          <w:rFonts w:ascii="David" w:hAnsi="David"/>
          <w:b/>
          <w:bCs/>
          <w:color w:val="000000"/>
          <w:rtl/>
        </w:rPr>
        <w:t>). לאחרונה באה מגמה זו לידי ביטוי גם בחקיקה, במסגרת תיקון 140 ל</w:t>
      </w:r>
      <w:hyperlink r:id="rId42" w:history="1">
        <w:r w:rsidR="003F301D" w:rsidRPr="003F301D">
          <w:rPr>
            <w:rFonts w:ascii="David" w:hAnsi="David"/>
            <w:b/>
            <w:bCs/>
            <w:color w:val="0000FF"/>
            <w:u w:val="single"/>
            <w:rtl/>
          </w:rPr>
          <w:t>חוק העונשין</w:t>
        </w:r>
      </w:hyperlink>
      <w:r>
        <w:rPr>
          <w:rFonts w:ascii="David" w:hAnsi="David"/>
          <w:b/>
          <w:bCs/>
          <w:color w:val="000000"/>
          <w:rtl/>
        </w:rPr>
        <w:t>, בו נקבעו עונשי מינימום לעבירות נשק, באופן שככלל, העונש שיושת בגין עבירות אלו, לא יפחת מרבע העונש המרבי שנקבע לעבירה (ראו: חוק העונשין (תיקון 140 - הוראת שעה), התשפ"ב-2021, ס"ח 2938). אומנם הוראותיו של תיקון זה אינם חלים בענייננו, אך יש בהן כדי להמחיש את מגמת ההחמרה בענישה על עבירות הנשק גם בהיבט החקיקתי</w:t>
      </w:r>
      <w:r>
        <w:rPr>
          <w:rFonts w:ascii="David" w:hAnsi="David"/>
          <w:b/>
          <w:bCs/>
          <w:color w:val="000000"/>
        </w:rPr>
        <w:t>."</w:t>
      </w:r>
    </w:p>
    <w:p w14:paraId="49732FDF" w14:textId="77777777" w:rsidR="00D2524B" w:rsidRDefault="00D2524B" w:rsidP="00D2524B">
      <w:pPr>
        <w:pStyle w:val="a9"/>
        <w:spacing w:after="0" w:line="360" w:lineRule="auto"/>
        <w:ind w:left="-58"/>
        <w:jc w:val="both"/>
        <w:rPr>
          <w:rFonts w:ascii="David" w:hAnsi="David" w:cs="David"/>
          <w:color w:val="000000"/>
          <w:sz w:val="24"/>
          <w:szCs w:val="24"/>
          <w:rtl/>
        </w:rPr>
      </w:pPr>
    </w:p>
    <w:p w14:paraId="630058C0"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באשר למדיניות הענישה הנוהגת הגישה המדינה אסופת פסיקה, אשר צוינה לעיל. לאחר עיון וקריאה מצאתי כי אין לעשות בינם ובין נסיבות המקרה דנן גזירה שווה, ולהלן התייחסותי אליהם, כדלקמן:</w:t>
      </w:r>
    </w:p>
    <w:p w14:paraId="1F599651" w14:textId="77777777" w:rsidR="00D2524B" w:rsidRDefault="00D2524B" w:rsidP="00D2524B">
      <w:pPr>
        <w:pStyle w:val="a9"/>
        <w:spacing w:after="0" w:line="360" w:lineRule="auto"/>
        <w:ind w:left="-58"/>
        <w:jc w:val="both"/>
        <w:rPr>
          <w:rFonts w:ascii="David" w:hAnsi="David" w:cs="David"/>
          <w:color w:val="000000"/>
          <w:sz w:val="24"/>
          <w:szCs w:val="24"/>
        </w:rPr>
      </w:pPr>
    </w:p>
    <w:p w14:paraId="4AE86FBA" w14:textId="77777777" w:rsidR="00D2524B" w:rsidRDefault="00D2524B" w:rsidP="00D2524B">
      <w:pPr>
        <w:pStyle w:val="a9"/>
        <w:spacing w:after="0" w:line="360" w:lineRule="auto"/>
        <w:ind w:left="-58"/>
        <w:jc w:val="both"/>
        <w:rPr>
          <w:rFonts w:ascii="David" w:hAnsi="David" w:cs="David"/>
          <w:color w:val="000000"/>
          <w:sz w:val="24"/>
          <w:szCs w:val="24"/>
          <w:rtl/>
        </w:rPr>
      </w:pPr>
      <w:r>
        <w:rPr>
          <w:rFonts w:ascii="David" w:hAnsi="David" w:cs="David"/>
          <w:color w:val="000000"/>
          <w:sz w:val="24"/>
          <w:szCs w:val="24"/>
          <w:rtl/>
        </w:rPr>
        <w:t>תיקים פליליים:</w:t>
      </w:r>
    </w:p>
    <w:p w14:paraId="5213054A" w14:textId="77777777" w:rsidR="00D2524B" w:rsidRDefault="00D2524B" w:rsidP="00D2524B">
      <w:pPr>
        <w:pStyle w:val="a9"/>
        <w:spacing w:after="0" w:line="360" w:lineRule="auto"/>
        <w:ind w:left="-58"/>
        <w:jc w:val="both"/>
        <w:rPr>
          <w:rFonts w:ascii="David" w:hAnsi="David" w:cs="David"/>
          <w:color w:val="000000"/>
          <w:sz w:val="24"/>
          <w:szCs w:val="24"/>
          <w:rtl/>
        </w:rPr>
      </w:pPr>
    </w:p>
    <w:p w14:paraId="3EBED61A" w14:textId="77777777" w:rsidR="00D2524B" w:rsidRDefault="003F301D" w:rsidP="00D2524B">
      <w:pPr>
        <w:pStyle w:val="a9"/>
        <w:spacing w:after="0" w:line="360" w:lineRule="auto"/>
        <w:ind w:left="-58"/>
        <w:jc w:val="both"/>
        <w:rPr>
          <w:rFonts w:ascii="David" w:hAnsi="David" w:cs="David"/>
          <w:sz w:val="24"/>
          <w:szCs w:val="24"/>
          <w:rtl/>
        </w:rPr>
      </w:pPr>
      <w:hyperlink r:id="rId43" w:history="1">
        <w:r w:rsidRPr="003F301D">
          <w:rPr>
            <w:rFonts w:ascii="David" w:hAnsi="David" w:cs="David"/>
            <w:color w:val="0000FF"/>
            <w:sz w:val="24"/>
            <w:szCs w:val="24"/>
            <w:u w:val="single"/>
            <w:rtl/>
          </w:rPr>
          <w:t>ת.פ (ת"א) 11362-10-15</w:t>
        </w:r>
      </w:hyperlink>
      <w:r w:rsidR="00D2524B">
        <w:rPr>
          <w:rFonts w:ascii="David" w:hAnsi="David" w:cs="David"/>
          <w:sz w:val="24"/>
          <w:szCs w:val="24"/>
          <w:rtl/>
        </w:rPr>
        <w:t xml:space="preserve"> </w:t>
      </w:r>
      <w:r w:rsidR="00D2524B">
        <w:rPr>
          <w:rFonts w:ascii="David" w:hAnsi="David" w:cs="David"/>
          <w:b/>
          <w:bCs/>
          <w:sz w:val="24"/>
          <w:szCs w:val="24"/>
          <w:rtl/>
        </w:rPr>
        <w:t>מדינת ישראל נ' זרתוסטרא</w:t>
      </w:r>
      <w:r w:rsidR="00D2524B">
        <w:rPr>
          <w:rFonts w:ascii="David" w:hAnsi="David" w:cs="David"/>
          <w:sz w:val="24"/>
          <w:szCs w:val="24"/>
          <w:rtl/>
        </w:rPr>
        <w:t xml:space="preserve"> - שם נקבע מתחם ענישה של 12-36 חודשי מאסר בפועל, הוטלו 30 חודשי מאסר בפועל, וכן חודשי  מאסר על תנאי. ערעור שהוגש לבית המשפט העליון </w:t>
      </w:r>
      <w:r w:rsidR="00D2524B">
        <w:rPr>
          <w:rFonts w:ascii="David" w:hAnsi="David" w:cs="David"/>
          <w:b/>
          <w:bCs/>
          <w:sz w:val="24"/>
          <w:szCs w:val="24"/>
          <w:u w:val="single"/>
          <w:rtl/>
        </w:rPr>
        <w:t>נמחק בהסכמה</w:t>
      </w:r>
      <w:r w:rsidR="00D2524B">
        <w:rPr>
          <w:rFonts w:ascii="David" w:hAnsi="David" w:cs="David"/>
          <w:sz w:val="24"/>
          <w:szCs w:val="24"/>
          <w:rtl/>
        </w:rPr>
        <w:t xml:space="preserve">. להבנתי, פסק הדין שהגישה המדינה כחלק מאסופת הפסיקה אינו מקביל בחומרתו לתיק בו עסקינן. אומנם בתיק האמור, כמו בתיק דנן, דובר על נאשם שהורשע בביצוע עבירות של נשיאת נשק ותחמושת שלא כדין, </w:t>
      </w:r>
      <w:hyperlink r:id="rId44" w:history="1">
        <w:r w:rsidR="00D47888" w:rsidRPr="00D47888">
          <w:rPr>
            <w:rStyle w:val="Hyperlink"/>
            <w:rFonts w:ascii="David" w:hAnsi="David" w:cs="David"/>
            <w:sz w:val="24"/>
            <w:szCs w:val="24"/>
            <w:rtl/>
          </w:rPr>
          <w:t>סעיפים 144(ב)</w:t>
        </w:r>
      </w:hyperlink>
      <w:r w:rsidR="00D2524B">
        <w:rPr>
          <w:rFonts w:ascii="David" w:hAnsi="David" w:cs="David"/>
          <w:sz w:val="24"/>
          <w:szCs w:val="24"/>
          <w:rtl/>
        </w:rPr>
        <w:t xml:space="preserve"> רישא וסיפא ל</w:t>
      </w:r>
      <w:hyperlink r:id="rId45"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עם זאת מדובר היה במקרה עם נסיבות לחומרה, אשר בראשן עברו הפלילי המכביד של הנאשם (בהיותו קטין בשנת 2004 הוטלו על הנאשם 6 חודשי עבודות שירות ו-10 חודשי מאסר על תנאי בגין 12 תיקים של עבירות רכוש; בשנת 2006 הנאשם הורשע בעבירה של חבלה כשהעבריין חמוש ונשלח ל-20 חודשי מאסר (10 חודשים בגין ההרשעה בעבירות בתיק ו-10 חודשים בגין הפעלת מאסר מותנה); בשנת 2010 הוטלו על הנאשם 38 חודשי מאסר בגין ניסיון שוד ועבירות נוספות של גניבה, תקיפה והתפרצות (שישה אישומים; ביולי 2011 הוטלו על הנאשם שנתיים מאסר בפועל בגין עבירות סמים; בדצמבר 2011 הורשע הנאשם בשתי עבירות של איומים והושתו עליו 4 חודשי מאסר בפועל (מתוכם חודשיים חופפים לעונש המאסר שריצה). ביוני 2015 הוטלו על הנאשם 5 חודשי מאסר בפועל, תוך שהופעל מאסר מותנה ובסך הכול 8 חודשי מאסר בפועל, בגין עבירות אלימות וכיו"ב). ניכרה הסלמה במעשיו, הנאשם הוכיח כי מאסר מותנה אינו מרתיע אותו והוא ביצע עבירות גם בתקופת התנאי, וכן כי מאסרים לריצוי בפועל, שהוטלו עליו בעבר, אינם מרתיעים אותו.  </w:t>
      </w:r>
    </w:p>
    <w:p w14:paraId="3A2884B4" w14:textId="77777777" w:rsidR="00D2524B" w:rsidRDefault="00D2524B" w:rsidP="00D2524B">
      <w:pPr>
        <w:pStyle w:val="a9"/>
        <w:spacing w:after="0" w:line="360" w:lineRule="auto"/>
        <w:ind w:left="-58"/>
        <w:jc w:val="both"/>
        <w:rPr>
          <w:rFonts w:ascii="David" w:hAnsi="David" w:cs="David"/>
          <w:sz w:val="24"/>
          <w:szCs w:val="24"/>
          <w:u w:val="single"/>
          <w:rtl/>
        </w:rPr>
      </w:pPr>
    </w:p>
    <w:p w14:paraId="3F77BE63" w14:textId="77777777" w:rsidR="00D2524B" w:rsidRDefault="003F301D" w:rsidP="00D2524B">
      <w:pPr>
        <w:pStyle w:val="a9"/>
        <w:spacing w:after="0" w:line="360" w:lineRule="auto"/>
        <w:ind w:left="-58"/>
        <w:jc w:val="both"/>
        <w:rPr>
          <w:rFonts w:ascii="David" w:hAnsi="David" w:cs="David"/>
          <w:sz w:val="24"/>
          <w:szCs w:val="24"/>
          <w:rtl/>
        </w:rPr>
      </w:pPr>
      <w:hyperlink r:id="rId46" w:history="1">
        <w:r w:rsidRPr="003F301D">
          <w:rPr>
            <w:rFonts w:ascii="David" w:hAnsi="David" w:cs="David"/>
            <w:color w:val="0000FF"/>
            <w:sz w:val="24"/>
            <w:szCs w:val="24"/>
            <w:u w:val="single"/>
            <w:rtl/>
          </w:rPr>
          <w:t>ת"פ (חיפה) 45713-07-17</w:t>
        </w:r>
      </w:hyperlink>
      <w:r w:rsidR="00D2524B">
        <w:rPr>
          <w:rFonts w:ascii="David" w:hAnsi="David" w:cs="David"/>
          <w:sz w:val="24"/>
          <w:szCs w:val="24"/>
          <w:u w:val="single"/>
          <w:rtl/>
        </w:rPr>
        <w:t xml:space="preserve"> </w:t>
      </w:r>
      <w:r w:rsidR="00D2524B">
        <w:rPr>
          <w:rFonts w:ascii="David" w:hAnsi="David" w:cs="David"/>
          <w:b/>
          <w:bCs/>
          <w:sz w:val="24"/>
          <w:szCs w:val="24"/>
          <w:rtl/>
        </w:rPr>
        <w:t>מדינת ישראל נ' רובינוב</w:t>
      </w:r>
      <w:r w:rsidR="00D2524B">
        <w:rPr>
          <w:rFonts w:ascii="David" w:hAnsi="David" w:cs="David"/>
          <w:sz w:val="24"/>
          <w:szCs w:val="24"/>
          <w:rtl/>
        </w:rPr>
        <w:t xml:space="preserve"> - שם נקבע מתחם ענישה של 24-48 חודשי מאסר, הוטלו 42 חודשי מאסר בפועל, וכן חודשי מאסר נוספים על תנאי. להבנתי, פסק הדין שהגישה המדינה כחלק מאסופת הפסיקה אינו מקביל בחומרתו לתיק בו עסקינן. בתיק האמור דובר על נאשם שהורשע בביצוע עבירות נשק (החזקה, נשיאה והובלת נשק, אבזר ותחמושת) סעיף </w:t>
      </w:r>
      <w:hyperlink r:id="rId4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ל</w:t>
      </w:r>
      <w:hyperlink r:id="rId4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עבירה של נהיגה ללא רישיון נהיגה בתוקף </w:t>
      </w:r>
      <w:hyperlink r:id="rId49" w:history="1">
        <w:r w:rsidR="00D47888" w:rsidRPr="00D47888">
          <w:rPr>
            <w:rStyle w:val="Hyperlink"/>
            <w:rFonts w:ascii="David" w:hAnsi="David" w:cs="David"/>
            <w:sz w:val="24"/>
            <w:szCs w:val="24"/>
            <w:rtl/>
          </w:rPr>
          <w:t>סעיפים 10(א)</w:t>
        </w:r>
      </w:hyperlink>
      <w:r w:rsidR="00D2524B">
        <w:rPr>
          <w:rFonts w:ascii="David" w:hAnsi="David" w:cs="David"/>
          <w:sz w:val="24"/>
          <w:szCs w:val="24"/>
          <w:rtl/>
        </w:rPr>
        <w:t xml:space="preserve"> ו-</w:t>
      </w:r>
      <w:hyperlink r:id="rId50" w:history="1">
        <w:r w:rsidR="00D47888" w:rsidRPr="00D47888">
          <w:rPr>
            <w:rStyle w:val="Hyperlink"/>
            <w:rFonts w:ascii="David" w:hAnsi="David" w:cs="David"/>
            <w:sz w:val="24"/>
            <w:szCs w:val="24"/>
            <w:rtl/>
          </w:rPr>
          <w:t>63</w:t>
        </w:r>
      </w:hyperlink>
      <w:r w:rsidR="00D2524B">
        <w:rPr>
          <w:rFonts w:ascii="David" w:hAnsi="David" w:cs="David"/>
          <w:sz w:val="24"/>
          <w:szCs w:val="24"/>
          <w:rtl/>
        </w:rPr>
        <w:t xml:space="preserve"> ל</w:t>
      </w:r>
      <w:hyperlink r:id="rId51" w:history="1">
        <w:r w:rsidRPr="003F301D">
          <w:rPr>
            <w:rFonts w:ascii="David" w:hAnsi="David" w:cs="David"/>
            <w:color w:val="0000FF"/>
            <w:sz w:val="24"/>
            <w:szCs w:val="24"/>
            <w:u w:val="single"/>
            <w:rtl/>
          </w:rPr>
          <w:t>פקודת התעבורה</w:t>
        </w:r>
      </w:hyperlink>
      <w:r w:rsidR="00D2524B">
        <w:rPr>
          <w:rFonts w:ascii="David" w:hAnsi="David" w:cs="David"/>
          <w:sz w:val="24"/>
          <w:szCs w:val="24"/>
          <w:rtl/>
        </w:rPr>
        <w:t xml:space="preserve"> [נוסח חדש], התשכ"א-1961, עבירה של נהיגה ללא ביטוח, סעיפים </w:t>
      </w:r>
      <w:hyperlink r:id="rId52" w:history="1">
        <w:r w:rsidR="00D47888" w:rsidRPr="00D47888">
          <w:rPr>
            <w:rStyle w:val="Hyperlink"/>
            <w:rFonts w:ascii="David" w:hAnsi="David" w:cs="David"/>
            <w:sz w:val="24"/>
            <w:szCs w:val="24"/>
            <w:rtl/>
          </w:rPr>
          <w:t>2(א) ו-(ב)</w:t>
        </w:r>
      </w:hyperlink>
      <w:r w:rsidR="00D2524B">
        <w:rPr>
          <w:rFonts w:ascii="David" w:hAnsi="David" w:cs="David"/>
          <w:sz w:val="24"/>
          <w:szCs w:val="24"/>
          <w:rtl/>
        </w:rPr>
        <w:t xml:space="preserve"> ל</w:t>
      </w:r>
      <w:hyperlink r:id="rId53" w:history="1">
        <w:r w:rsidRPr="003F301D">
          <w:rPr>
            <w:rFonts w:ascii="David" w:hAnsi="David" w:cs="David"/>
            <w:color w:val="0000FF"/>
            <w:sz w:val="24"/>
            <w:szCs w:val="24"/>
            <w:u w:val="single"/>
            <w:rtl/>
          </w:rPr>
          <w:t>פקודת ביטוח רכב מנועי</w:t>
        </w:r>
      </w:hyperlink>
      <w:r w:rsidR="00D2524B">
        <w:rPr>
          <w:rFonts w:ascii="David" w:hAnsi="David" w:cs="David"/>
          <w:sz w:val="24"/>
          <w:szCs w:val="24"/>
          <w:rtl/>
        </w:rPr>
        <w:t xml:space="preserve"> [נוסח חדש], התש"ל-1970 וכן עבירה של נהיגה בפזיזות, </w:t>
      </w:r>
      <w:hyperlink r:id="rId54" w:history="1">
        <w:r w:rsidR="00D47888" w:rsidRPr="00D47888">
          <w:rPr>
            <w:rStyle w:val="Hyperlink"/>
            <w:rFonts w:ascii="David" w:hAnsi="David" w:cs="David"/>
            <w:sz w:val="24"/>
            <w:szCs w:val="24"/>
            <w:rtl/>
          </w:rPr>
          <w:t>סעיף 338(א)(1)</w:t>
        </w:r>
      </w:hyperlink>
      <w:r w:rsidR="00D2524B">
        <w:rPr>
          <w:rFonts w:ascii="David" w:hAnsi="David" w:cs="David"/>
          <w:sz w:val="24"/>
          <w:szCs w:val="24"/>
          <w:rtl/>
        </w:rPr>
        <w:t xml:space="preserve"> לחוק העונשין. בנוסף, הנאשם נהג ברכבו במהירות ובפראות, ללא רישיון, גרם לתאונה, נמלט, היה בעל 19 הרשעות קודמות בגין בין היתר עבירות רכוש, נשק, איומים, הפרעה לשוטר במילוי תפקידו, הפרת הוראה חוקית, שימוש בסמים לצריכה עצמית, תקיפה הגורמת לחבלה ממש, סחיטה באיומים, שוד ועוד. הנאשם יוצא ובא היה מכותלי בית הסוהר משנת 2000-2016.</w:t>
      </w:r>
    </w:p>
    <w:p w14:paraId="6FCFC35D" w14:textId="77777777" w:rsidR="00D2524B" w:rsidRDefault="00D2524B" w:rsidP="00D2524B">
      <w:pPr>
        <w:pStyle w:val="a9"/>
        <w:spacing w:after="0" w:line="360" w:lineRule="auto"/>
        <w:ind w:left="-58"/>
        <w:jc w:val="both"/>
        <w:rPr>
          <w:rFonts w:ascii="David" w:hAnsi="David" w:cs="David"/>
          <w:sz w:val="24"/>
          <w:szCs w:val="24"/>
          <w:u w:val="single"/>
          <w:rtl/>
        </w:rPr>
      </w:pPr>
    </w:p>
    <w:p w14:paraId="1086BA1A" w14:textId="77777777" w:rsidR="00D2524B" w:rsidRDefault="003F301D" w:rsidP="00D2524B">
      <w:pPr>
        <w:pStyle w:val="a9"/>
        <w:spacing w:after="0" w:line="360" w:lineRule="auto"/>
        <w:ind w:left="-58"/>
        <w:jc w:val="both"/>
        <w:rPr>
          <w:rFonts w:ascii="David" w:hAnsi="David" w:cs="David"/>
          <w:sz w:val="24"/>
          <w:szCs w:val="24"/>
          <w:rtl/>
        </w:rPr>
      </w:pPr>
      <w:hyperlink r:id="rId55" w:history="1">
        <w:r w:rsidRPr="003F301D">
          <w:rPr>
            <w:rFonts w:ascii="David" w:hAnsi="David" w:cs="David"/>
            <w:color w:val="0000FF"/>
            <w:sz w:val="24"/>
            <w:szCs w:val="24"/>
            <w:u w:val="single"/>
            <w:rtl/>
          </w:rPr>
          <w:t>ת"פ (חיפה) 7626-04-20</w:t>
        </w:r>
      </w:hyperlink>
      <w:r w:rsidR="00D2524B">
        <w:rPr>
          <w:rFonts w:ascii="David" w:hAnsi="David" w:cs="David"/>
          <w:sz w:val="24"/>
          <w:szCs w:val="24"/>
          <w:rtl/>
        </w:rPr>
        <w:t xml:space="preserve"> </w:t>
      </w:r>
      <w:r w:rsidR="00D2524B">
        <w:rPr>
          <w:rFonts w:ascii="David" w:hAnsi="David" w:cs="David"/>
          <w:b/>
          <w:bCs/>
          <w:sz w:val="24"/>
          <w:szCs w:val="24"/>
          <w:rtl/>
        </w:rPr>
        <w:t>מדינת ישראל נ' אעמר ואח'</w:t>
      </w:r>
      <w:r w:rsidR="00D2524B">
        <w:rPr>
          <w:rFonts w:ascii="David" w:hAnsi="David" w:cs="David"/>
          <w:sz w:val="24"/>
          <w:szCs w:val="24"/>
          <w:rtl/>
        </w:rPr>
        <w:t xml:space="preserve"> - שם נקבע מתחם ענישה של 2-4 שנות מאסר, הוטל 3 שנות מאסר בפועל, וכן 9 חודשי מאסר על תנאי. בית המשפט העליון </w:t>
      </w:r>
      <w:r w:rsidR="00D2524B">
        <w:rPr>
          <w:rFonts w:ascii="David" w:hAnsi="David" w:cs="David"/>
          <w:b/>
          <w:bCs/>
          <w:sz w:val="24"/>
          <w:szCs w:val="24"/>
          <w:u w:val="single"/>
          <w:rtl/>
        </w:rPr>
        <w:t>קיבל את ערעור</w:t>
      </w:r>
      <w:r w:rsidR="00D2524B">
        <w:rPr>
          <w:rFonts w:ascii="David" w:hAnsi="David" w:cs="David"/>
          <w:sz w:val="24"/>
          <w:szCs w:val="24"/>
          <w:rtl/>
        </w:rPr>
        <w:t xml:space="preserve"> הנאשם והקל את העונש ל-31 חודשי מאסר. להבנתי, פסק הדין שהגישה המדינה כחלק מאסופת הפסיקה אינו מקביל בחומרתו לתיק בו עסקינן. בתיק האמור דובר על נאשם שהורשע בביצוע עבירות של נשיאת והובלת נשק (</w:t>
      </w:r>
      <w:hyperlink r:id="rId56" w:history="1">
        <w:r w:rsidR="00D47888" w:rsidRPr="00D47888">
          <w:rPr>
            <w:rStyle w:val="Hyperlink"/>
            <w:rFonts w:ascii="David" w:hAnsi="David" w:cs="David"/>
            <w:sz w:val="24"/>
            <w:szCs w:val="24"/>
            <w:rtl/>
          </w:rPr>
          <w:t>סעיפים 144(א)</w:t>
        </w:r>
      </w:hyperlink>
      <w:r w:rsidR="00D2524B">
        <w:rPr>
          <w:rFonts w:ascii="David" w:hAnsi="David" w:cs="David"/>
          <w:sz w:val="24"/>
          <w:szCs w:val="24"/>
          <w:rtl/>
        </w:rPr>
        <w:t xml:space="preserve"> רישא וסיפא, </w:t>
      </w:r>
      <w:hyperlink r:id="rId5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5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וכן החזקת סם מסוכן (קוקאין) שלא כדין (סעיף </w:t>
      </w:r>
      <w:hyperlink r:id="rId59" w:history="1">
        <w:r w:rsidR="00D47888" w:rsidRPr="00D47888">
          <w:rPr>
            <w:rStyle w:val="Hyperlink"/>
            <w:rFonts w:ascii="David" w:hAnsi="David" w:cs="David"/>
            <w:sz w:val="24"/>
            <w:szCs w:val="24"/>
            <w:rtl/>
          </w:rPr>
          <w:t>7(א) ו-(ג)</w:t>
        </w:r>
      </w:hyperlink>
      <w:r w:rsidR="00D2524B">
        <w:rPr>
          <w:rFonts w:ascii="David" w:hAnsi="David" w:cs="David"/>
          <w:sz w:val="24"/>
          <w:szCs w:val="24"/>
          <w:rtl/>
        </w:rPr>
        <w:t xml:space="preserve"> רישא ל</w:t>
      </w:r>
      <w:hyperlink r:id="rId60" w:history="1">
        <w:r w:rsidRPr="003F301D">
          <w:rPr>
            <w:rFonts w:ascii="David" w:hAnsi="David" w:cs="David"/>
            <w:color w:val="0000FF"/>
            <w:sz w:val="24"/>
            <w:szCs w:val="24"/>
            <w:u w:val="single"/>
            <w:rtl/>
          </w:rPr>
          <w:t>פקודת הסמים המסוכנים</w:t>
        </w:r>
      </w:hyperlink>
      <w:r w:rsidR="00D2524B">
        <w:rPr>
          <w:rFonts w:ascii="David" w:hAnsi="David" w:cs="David"/>
          <w:sz w:val="24"/>
          <w:szCs w:val="24"/>
          <w:rtl/>
        </w:rPr>
        <w:t xml:space="preserve"> [נוסח חדש], תשל"ג-1973. בנוסף, עת נתפס הנאשם ברכבו נמנע מלפתוח את דלתות הרכב, השוטרים נאלצו לנפץ חלק משמשות הרכב על מנת לבצע חיפוש, הנאשם לא נשמע להוראות השוטרים שנאלצו להשתמש בכוח. כמו כן, לנאשם הייתה הרשעה קודמת בעבירות נשק בגינה ריצה מאסר בפועל.</w:t>
      </w:r>
    </w:p>
    <w:p w14:paraId="1B9E3FE7" w14:textId="77777777" w:rsidR="00D2524B" w:rsidRDefault="00D2524B" w:rsidP="00D2524B">
      <w:pPr>
        <w:pStyle w:val="a9"/>
        <w:spacing w:after="0" w:line="360" w:lineRule="auto"/>
        <w:ind w:left="-58"/>
        <w:jc w:val="both"/>
        <w:rPr>
          <w:rFonts w:ascii="David" w:hAnsi="David" w:cs="David"/>
          <w:sz w:val="24"/>
          <w:szCs w:val="24"/>
          <w:rtl/>
        </w:rPr>
      </w:pPr>
    </w:p>
    <w:p w14:paraId="21064D32" w14:textId="77777777" w:rsidR="00D2524B" w:rsidRDefault="003F301D" w:rsidP="00D2524B">
      <w:pPr>
        <w:pStyle w:val="a9"/>
        <w:spacing w:after="0" w:line="360" w:lineRule="auto"/>
        <w:ind w:left="-58"/>
        <w:jc w:val="both"/>
        <w:rPr>
          <w:rFonts w:ascii="David" w:hAnsi="David" w:cs="David"/>
          <w:sz w:val="24"/>
          <w:szCs w:val="24"/>
          <w:rtl/>
        </w:rPr>
      </w:pPr>
      <w:hyperlink r:id="rId61" w:history="1">
        <w:r w:rsidRPr="003F301D">
          <w:rPr>
            <w:rFonts w:ascii="David" w:hAnsi="David" w:cs="David"/>
            <w:color w:val="0000FF"/>
            <w:sz w:val="24"/>
            <w:szCs w:val="24"/>
            <w:u w:val="single"/>
            <w:rtl/>
          </w:rPr>
          <w:t>ת"פ (ב"ש) 43009-08-20</w:t>
        </w:r>
      </w:hyperlink>
      <w:r w:rsidR="00D2524B">
        <w:rPr>
          <w:rFonts w:ascii="David" w:hAnsi="David" w:cs="David"/>
          <w:sz w:val="24"/>
          <w:szCs w:val="24"/>
          <w:rtl/>
        </w:rPr>
        <w:t xml:space="preserve"> </w:t>
      </w:r>
      <w:r w:rsidR="00D2524B">
        <w:rPr>
          <w:rFonts w:ascii="David" w:hAnsi="David" w:cs="David"/>
          <w:b/>
          <w:bCs/>
          <w:sz w:val="24"/>
          <w:szCs w:val="24"/>
          <w:rtl/>
        </w:rPr>
        <w:t>מדינת ישראל נ' אבו ג'אמע</w:t>
      </w:r>
      <w:r w:rsidR="00D2524B">
        <w:rPr>
          <w:rFonts w:ascii="David" w:hAnsi="David" w:cs="David"/>
          <w:sz w:val="24"/>
          <w:szCs w:val="24"/>
          <w:rtl/>
        </w:rPr>
        <w:t xml:space="preserve"> - שם נקבע מתחם ענישה של 18-36 חודשי מאסר בפועל, הוטלו 24 חודשי מאסר בפועל, וכן חודשי מאסר על תנאי. הנאשם הורשע על פי הודאתו בעבירות של נשיאת והובלת נשק לפי </w:t>
      </w:r>
      <w:hyperlink r:id="rId62"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וסיפא ב</w:t>
      </w:r>
      <w:hyperlink r:id="rId63"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והפרעה לשוטר במילוי תפקידו לפי </w:t>
      </w:r>
      <w:hyperlink r:id="rId64" w:history="1">
        <w:r w:rsidR="00D47888" w:rsidRPr="00D47888">
          <w:rPr>
            <w:rStyle w:val="Hyperlink"/>
            <w:rFonts w:ascii="David" w:hAnsi="David" w:cs="David"/>
            <w:sz w:val="24"/>
            <w:szCs w:val="24"/>
            <w:rtl/>
          </w:rPr>
          <w:t>סעיף 275</w:t>
        </w:r>
      </w:hyperlink>
      <w:r w:rsidR="00D2524B">
        <w:rPr>
          <w:rFonts w:ascii="David" w:hAnsi="David" w:cs="David"/>
          <w:sz w:val="24"/>
          <w:szCs w:val="24"/>
          <w:rtl/>
        </w:rPr>
        <w:t xml:space="preserve"> בחוק העונשין. להבנתי, פסק הדין שהגישה המדינה כחלק מאסופת הפסיקה נמצא במתחם החומרה לתיק בו עסקינן. על פי המתואר הנאשם נסע ברכבו כשהוא מחזיק ברכב אקדח, מחסנית ריקה, וכדורי תחמושת 9 מ"מ. הנאשם הבחין בחסימה המשטרתית ועצר את רכבו בצד הדרך. שוטרים שהגיעו מכיוון נסיעת הנאשם עצרו בסמוך לרכב הנאשם והנאשם נסע באיטיות לכיוון החסימה, ובשלב מסוים יצא מהרכב כשהוא אוחז בידו את האקדח ונמלט בריצה לעבר שטח סמוך, מעבר לנתיב הנגדי של הכביש. קצין משטרה הבחין בו ורדף אחריו. לאחר כ-500 מטר הנאשם מעד, והשוטרים השיגו אותו ועצרו אותו ותפסו את האקדח. עם זאת, הנאשם שם היה כבן 26, נשוי ואב לארבעה, מבוגר ובוגר יותר מהנאשם בו עסקינן.</w:t>
      </w:r>
    </w:p>
    <w:p w14:paraId="09CC4D8F" w14:textId="77777777" w:rsidR="00D2524B" w:rsidRDefault="00D2524B" w:rsidP="00D2524B">
      <w:pPr>
        <w:pStyle w:val="a9"/>
        <w:spacing w:after="0" w:line="360" w:lineRule="auto"/>
        <w:ind w:left="-58"/>
        <w:jc w:val="both"/>
        <w:rPr>
          <w:rFonts w:ascii="David" w:hAnsi="David" w:cs="David"/>
          <w:sz w:val="24"/>
          <w:szCs w:val="24"/>
          <w:rtl/>
        </w:rPr>
      </w:pPr>
    </w:p>
    <w:p w14:paraId="7DC82AFB" w14:textId="77777777" w:rsidR="00D2524B" w:rsidRDefault="003F301D" w:rsidP="00D2524B">
      <w:pPr>
        <w:pStyle w:val="a9"/>
        <w:spacing w:after="0" w:line="360" w:lineRule="auto"/>
        <w:ind w:left="-58"/>
        <w:jc w:val="both"/>
        <w:rPr>
          <w:rFonts w:ascii="David" w:hAnsi="David" w:cs="David"/>
          <w:sz w:val="24"/>
          <w:szCs w:val="24"/>
          <w:rtl/>
        </w:rPr>
      </w:pPr>
      <w:hyperlink r:id="rId65" w:history="1">
        <w:r w:rsidRPr="003F301D">
          <w:rPr>
            <w:rFonts w:ascii="David" w:hAnsi="David" w:cs="David"/>
            <w:color w:val="0000FF"/>
            <w:sz w:val="24"/>
            <w:szCs w:val="24"/>
            <w:u w:val="single"/>
            <w:rtl/>
          </w:rPr>
          <w:t>ת"פ (חיפה) 71333-10-21</w:t>
        </w:r>
      </w:hyperlink>
      <w:r w:rsidR="00D2524B">
        <w:rPr>
          <w:rFonts w:ascii="David" w:hAnsi="David" w:cs="David"/>
          <w:sz w:val="24"/>
          <w:szCs w:val="24"/>
          <w:rtl/>
        </w:rPr>
        <w:t xml:space="preserve"> </w:t>
      </w:r>
      <w:r w:rsidR="00D2524B">
        <w:rPr>
          <w:rFonts w:ascii="David" w:hAnsi="David" w:cs="David"/>
          <w:b/>
          <w:bCs/>
          <w:sz w:val="24"/>
          <w:szCs w:val="24"/>
          <w:rtl/>
        </w:rPr>
        <w:t>מדינת ישראל נ' בר</w:t>
      </w:r>
      <w:r w:rsidR="00D2524B">
        <w:rPr>
          <w:rFonts w:ascii="David" w:hAnsi="David" w:cs="David"/>
          <w:sz w:val="24"/>
          <w:szCs w:val="24"/>
          <w:rtl/>
        </w:rPr>
        <w:t xml:space="preserve"> - שם נקבע מתחם ענישה של 20-48 חודשי מאסר בפועל, הוטלו 30 חודשי מאסר בפועל, וכן 9 חודשי מאסר על תנאי. על פסק הדין הוגש ערעור </w:t>
      </w:r>
      <w:r w:rsidR="00D2524B">
        <w:rPr>
          <w:rFonts w:ascii="David" w:hAnsi="David" w:cs="David"/>
          <w:b/>
          <w:bCs/>
          <w:sz w:val="24"/>
          <w:szCs w:val="24"/>
          <w:u w:val="single"/>
          <w:rtl/>
        </w:rPr>
        <w:t>שטרם נדון</w:t>
      </w:r>
      <w:r w:rsidR="00D2524B">
        <w:rPr>
          <w:rFonts w:ascii="David" w:hAnsi="David" w:cs="David"/>
          <w:sz w:val="24"/>
          <w:szCs w:val="24"/>
          <w:rtl/>
        </w:rPr>
        <w:t xml:space="preserve"> בבית המשפט העליון. להבנתי, פסק הדין שהגישה המדינה כחלק מאסופת הפסיקה אינו מקביל בחומרתו לתיק בו עסקינן. בתיק האמור דובר על נאשם שהורשע בביצוע עבירות של נשיאת והובלת נשק (</w:t>
      </w:r>
      <w:hyperlink r:id="rId66" w:history="1">
        <w:r w:rsidR="00D47888" w:rsidRPr="00D47888">
          <w:rPr>
            <w:rStyle w:val="Hyperlink"/>
            <w:rFonts w:ascii="David" w:hAnsi="David" w:cs="David"/>
            <w:sz w:val="24"/>
            <w:szCs w:val="24"/>
            <w:rtl/>
          </w:rPr>
          <w:t>סעיפים 144(א)</w:t>
        </w:r>
      </w:hyperlink>
      <w:r w:rsidR="00D2524B">
        <w:rPr>
          <w:rFonts w:ascii="David" w:hAnsi="David" w:cs="David"/>
          <w:sz w:val="24"/>
          <w:szCs w:val="24"/>
          <w:rtl/>
        </w:rPr>
        <w:t xml:space="preserve"> רישא וסיפא, </w:t>
      </w:r>
      <w:hyperlink r:id="rId6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6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וכן החזקת סם מסוכן (קנאביס לצריכה עצמית) שלא כדין (סעיף </w:t>
      </w:r>
      <w:hyperlink r:id="rId69" w:history="1">
        <w:r w:rsidR="00D47888" w:rsidRPr="00D47888">
          <w:rPr>
            <w:rStyle w:val="Hyperlink"/>
            <w:rFonts w:ascii="David" w:hAnsi="David" w:cs="David"/>
            <w:sz w:val="24"/>
            <w:szCs w:val="24"/>
            <w:rtl/>
          </w:rPr>
          <w:t>7(א) ו-(ג)</w:t>
        </w:r>
      </w:hyperlink>
      <w:r w:rsidR="00D2524B">
        <w:rPr>
          <w:rFonts w:ascii="David" w:hAnsi="David" w:cs="David"/>
          <w:sz w:val="24"/>
          <w:szCs w:val="24"/>
          <w:rtl/>
        </w:rPr>
        <w:t xml:space="preserve"> רישא ל</w:t>
      </w:r>
      <w:hyperlink r:id="rId70" w:history="1">
        <w:r w:rsidRPr="003F301D">
          <w:rPr>
            <w:rFonts w:ascii="David" w:hAnsi="David" w:cs="David"/>
            <w:color w:val="0000FF"/>
            <w:sz w:val="24"/>
            <w:szCs w:val="24"/>
            <w:u w:val="single"/>
            <w:rtl/>
          </w:rPr>
          <w:t>פקודת הסמים המסוכנים</w:t>
        </w:r>
      </w:hyperlink>
      <w:r w:rsidR="00D2524B">
        <w:rPr>
          <w:rFonts w:ascii="David" w:hAnsi="David" w:cs="David"/>
          <w:sz w:val="24"/>
          <w:szCs w:val="24"/>
          <w:rtl/>
        </w:rPr>
        <w:t xml:space="preserve"> [נוסח חדש], תשל"ג-1973. לנאשם היו מספר רב של הרשעות קודמות, לרבות עבירות אלימות, והוא ריצה 3 תקופות מאסר של 9, 21 ו-13 חודשים במקרי עבר שונים. תקופות מאסר אלה לא הניאו את הנאשם מלחזור ולהפר את החוק.</w:t>
      </w:r>
    </w:p>
    <w:p w14:paraId="0325DCB1" w14:textId="77777777" w:rsidR="00D2524B" w:rsidRDefault="00D2524B" w:rsidP="00D2524B">
      <w:pPr>
        <w:pStyle w:val="a9"/>
        <w:spacing w:after="0" w:line="360" w:lineRule="auto"/>
        <w:ind w:left="-58"/>
        <w:jc w:val="both"/>
        <w:rPr>
          <w:rFonts w:ascii="David" w:hAnsi="David" w:cs="David"/>
          <w:sz w:val="24"/>
          <w:szCs w:val="24"/>
          <w:rtl/>
        </w:rPr>
      </w:pPr>
    </w:p>
    <w:p w14:paraId="5E902F5E" w14:textId="77777777" w:rsidR="00D2524B" w:rsidRDefault="00D2524B" w:rsidP="00D2524B">
      <w:pPr>
        <w:pStyle w:val="a9"/>
        <w:spacing w:after="0" w:line="360" w:lineRule="auto"/>
        <w:ind w:left="-58"/>
        <w:jc w:val="both"/>
        <w:rPr>
          <w:rFonts w:ascii="David" w:hAnsi="David" w:cs="David"/>
          <w:sz w:val="24"/>
          <w:szCs w:val="24"/>
          <w:rtl/>
        </w:rPr>
      </w:pPr>
    </w:p>
    <w:p w14:paraId="5C760469" w14:textId="77777777" w:rsidR="00D2524B" w:rsidRDefault="00D2524B" w:rsidP="00D2524B">
      <w:pPr>
        <w:pStyle w:val="a9"/>
        <w:spacing w:after="0" w:line="360" w:lineRule="auto"/>
        <w:ind w:left="-58"/>
        <w:jc w:val="both"/>
        <w:rPr>
          <w:rFonts w:ascii="David" w:hAnsi="David" w:cs="David"/>
          <w:sz w:val="24"/>
          <w:szCs w:val="24"/>
          <w:rtl/>
        </w:rPr>
      </w:pPr>
      <w:r>
        <w:rPr>
          <w:rFonts w:ascii="David" w:hAnsi="David" w:cs="David"/>
          <w:sz w:val="24"/>
          <w:szCs w:val="24"/>
          <w:rtl/>
        </w:rPr>
        <w:t>ערעורים פליליים:</w:t>
      </w:r>
    </w:p>
    <w:p w14:paraId="36942A21" w14:textId="77777777" w:rsidR="00D2524B" w:rsidRDefault="00D2524B" w:rsidP="00D2524B">
      <w:pPr>
        <w:pStyle w:val="a9"/>
        <w:spacing w:after="0" w:line="360" w:lineRule="auto"/>
        <w:ind w:left="-58"/>
        <w:jc w:val="both"/>
        <w:rPr>
          <w:rFonts w:ascii="David" w:hAnsi="David" w:cs="David"/>
          <w:sz w:val="24"/>
          <w:szCs w:val="24"/>
          <w:rtl/>
        </w:rPr>
      </w:pPr>
    </w:p>
    <w:p w14:paraId="6D2102BC" w14:textId="77777777" w:rsidR="00D2524B" w:rsidRDefault="003F301D" w:rsidP="00D2524B">
      <w:pPr>
        <w:pStyle w:val="a9"/>
        <w:spacing w:after="0" w:line="360" w:lineRule="auto"/>
        <w:ind w:left="-58"/>
        <w:jc w:val="both"/>
        <w:rPr>
          <w:rFonts w:ascii="David" w:hAnsi="David" w:cs="David"/>
          <w:sz w:val="24"/>
          <w:szCs w:val="24"/>
          <w:rtl/>
        </w:rPr>
      </w:pPr>
      <w:hyperlink r:id="rId71" w:history="1">
        <w:r w:rsidRPr="003F301D">
          <w:rPr>
            <w:rFonts w:ascii="David" w:hAnsi="David" w:cs="David"/>
            <w:color w:val="0000FF"/>
            <w:sz w:val="24"/>
            <w:szCs w:val="24"/>
            <w:u w:val="single"/>
            <w:rtl/>
          </w:rPr>
          <w:t>ע"פ 5900/15</w:t>
        </w:r>
      </w:hyperlink>
      <w:r w:rsidR="00D2524B">
        <w:rPr>
          <w:rFonts w:ascii="David" w:hAnsi="David" w:cs="David"/>
          <w:sz w:val="24"/>
          <w:szCs w:val="24"/>
          <w:rtl/>
        </w:rPr>
        <w:t xml:space="preserve"> </w:t>
      </w:r>
      <w:r w:rsidR="00D2524B">
        <w:rPr>
          <w:rFonts w:ascii="David" w:hAnsi="David" w:cs="David"/>
          <w:b/>
          <w:bCs/>
          <w:sz w:val="24"/>
          <w:szCs w:val="24"/>
          <w:rtl/>
        </w:rPr>
        <w:t>מעוז נ' מדינת ישראל</w:t>
      </w:r>
      <w:r w:rsidR="00D2524B">
        <w:rPr>
          <w:rFonts w:ascii="David" w:hAnsi="David" w:cs="David"/>
          <w:sz w:val="24"/>
          <w:szCs w:val="24"/>
          <w:rtl/>
        </w:rPr>
        <w:t xml:space="preserve"> - ערעור על חומרת עונש המאסר שהוטל על המערער, שם נקבע מתחם ענישה של 20-48 חודשי מאסר, והוטלו על המערער 34 חודשי מאסר בפועל וכן חודשי מאסר על תנאי. הערעור </w:t>
      </w:r>
      <w:r w:rsidR="00D2524B">
        <w:rPr>
          <w:rFonts w:ascii="David" w:hAnsi="David" w:cs="David"/>
          <w:b/>
          <w:bCs/>
          <w:sz w:val="24"/>
          <w:szCs w:val="24"/>
          <w:u w:val="single"/>
          <w:rtl/>
        </w:rPr>
        <w:t>נדחה</w:t>
      </w:r>
      <w:r w:rsidR="00D2524B">
        <w:rPr>
          <w:rFonts w:ascii="David" w:hAnsi="David" w:cs="David"/>
          <w:sz w:val="24"/>
          <w:szCs w:val="24"/>
          <w:rtl/>
        </w:rPr>
        <w:t>. להבנתי, פסק הדין שהגישה המדינה כחלק מאסופת הפסיקה אינו מקביל בחומרתו לתיק בו עסקינן. בקביעת העונש בית המשפט המחוזי עמד על עברו הפלילי המכביד של המערער, אשר כלל 14 הרשעות קודמות, לרבות עבירות חמורות של אלימות וסחר בסמים, לרבות שהמערער ריצה כבר שלוש תקופות מאסר משמעותיות, לפיכך מצא כי אין בענישה כדי להרתיע את המערער מביצוע עבירות חמורות. כן יוחס למערער חומרה רבה למעשי המערער, אשר התגייס לבצע כל חלק שהוטל עליו בביצוע העבירות, תחילה כמסייע בהטמנה, ובהמשך כמבצע עיקרי בהחזקת הרובה ונשיאתו יחד עם תחמושת, וכן הטמנתם בחורשה.</w:t>
      </w:r>
    </w:p>
    <w:p w14:paraId="2672E2D4" w14:textId="77777777" w:rsidR="00D2524B" w:rsidRDefault="00D2524B" w:rsidP="00D2524B">
      <w:pPr>
        <w:pStyle w:val="a9"/>
        <w:spacing w:after="0" w:line="360" w:lineRule="auto"/>
        <w:ind w:left="-58"/>
        <w:jc w:val="both"/>
        <w:rPr>
          <w:rFonts w:ascii="David" w:hAnsi="David" w:cs="David"/>
          <w:sz w:val="24"/>
          <w:szCs w:val="24"/>
          <w:u w:val="single"/>
          <w:rtl/>
        </w:rPr>
      </w:pPr>
    </w:p>
    <w:p w14:paraId="2074B4A9" w14:textId="77777777" w:rsidR="00D2524B" w:rsidRDefault="003F301D" w:rsidP="00D2524B">
      <w:pPr>
        <w:pStyle w:val="a9"/>
        <w:spacing w:after="0" w:line="360" w:lineRule="auto"/>
        <w:ind w:left="-58"/>
        <w:jc w:val="both"/>
        <w:rPr>
          <w:rFonts w:ascii="David" w:hAnsi="David" w:cs="David"/>
          <w:sz w:val="24"/>
          <w:szCs w:val="24"/>
          <w:rtl/>
        </w:rPr>
      </w:pPr>
      <w:hyperlink r:id="rId72" w:history="1">
        <w:r w:rsidRPr="003F301D">
          <w:rPr>
            <w:rFonts w:ascii="David" w:hAnsi="David" w:cs="David"/>
            <w:color w:val="0000FF"/>
            <w:sz w:val="24"/>
            <w:szCs w:val="24"/>
            <w:u w:val="single"/>
            <w:rtl/>
          </w:rPr>
          <w:t>ע"פ 3877/16</w:t>
        </w:r>
      </w:hyperlink>
      <w:r w:rsidR="00D2524B">
        <w:rPr>
          <w:rFonts w:ascii="David" w:hAnsi="David" w:cs="David"/>
          <w:sz w:val="24"/>
          <w:szCs w:val="24"/>
          <w:rtl/>
        </w:rPr>
        <w:t xml:space="preserve"> </w:t>
      </w:r>
      <w:r w:rsidR="00D2524B">
        <w:rPr>
          <w:rFonts w:ascii="David" w:hAnsi="David" w:cs="David"/>
          <w:b/>
          <w:bCs/>
          <w:sz w:val="24"/>
          <w:szCs w:val="24"/>
          <w:rtl/>
        </w:rPr>
        <w:t>ג'באלי נ' מדינת ישראל</w:t>
      </w:r>
      <w:r w:rsidR="00D2524B">
        <w:rPr>
          <w:rFonts w:ascii="David" w:hAnsi="David" w:cs="David"/>
          <w:sz w:val="24"/>
          <w:szCs w:val="24"/>
          <w:rtl/>
        </w:rPr>
        <w:t xml:space="preserve"> - ערעור על חומרת עונש המאסר שהוטל על המערער, שם נקבע מתחם ענישה של 24-48 חודשי מאסר בפועל, והוטלו על המערער 34 חודשי מאסר בפועל, וכן חודשי מאסר על תנאי. הערעור </w:t>
      </w:r>
      <w:r w:rsidR="00D2524B">
        <w:rPr>
          <w:rFonts w:ascii="David" w:hAnsi="David" w:cs="David"/>
          <w:b/>
          <w:bCs/>
          <w:sz w:val="24"/>
          <w:szCs w:val="24"/>
          <w:u w:val="single"/>
          <w:rtl/>
        </w:rPr>
        <w:t>נדחה</w:t>
      </w:r>
      <w:r w:rsidR="00D2524B">
        <w:rPr>
          <w:rFonts w:ascii="David" w:hAnsi="David" w:cs="David"/>
          <w:sz w:val="24"/>
          <w:szCs w:val="24"/>
          <w:rtl/>
        </w:rPr>
        <w:t xml:space="preserve">. המערער הודה במסגרת הסדר טיעון, כי התגלע סכסוך בין קרוב משפחה של המערער ובין נוסף, והשניים קבעו להיפגש בעיר טייבה לשם יישוב הסכסוך. השניים נפגשו כשהמערער נושא נשק מסוג "גלוק" שהכילה במחסנית 14 כדורים. הנאשם הורשע בהודאה בגין עבירה של נשיאת נשק לפי </w:t>
      </w:r>
      <w:hyperlink r:id="rId73"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ל</w:t>
      </w:r>
      <w:hyperlink r:id="rId74"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להבנתי, פסק הדין שהגישה המדינה כחלק מאסופת הפסיקה אינו מקביל בחומרתו לתיק בו עסקינן, לרבות בין היתר העובדה שהמערער נסע למקום המפגש לצורך יישוב הסכסוך כשהוא חמוש באקדח הטעון ב-14 כדורים, וכן עברו הפלילי המכביד אשר כלל ארבע הרשעות קודמות ובהן שוד מזוין, סיכון חיי אנשים במזיד בנתיב תחבורה ועבירות רכוש, אשר בגינן ריצה שלושה מאסרים, האחרון שבהם בן 54 חודשים, וכן העובדה כי המערער השתחרר ממאסרו וביצע את העבירה בתוך פחות מחודשיים מיום שחרורו.</w:t>
      </w:r>
    </w:p>
    <w:p w14:paraId="38438279" w14:textId="77777777" w:rsidR="00D2524B" w:rsidRDefault="00D2524B" w:rsidP="00D2524B">
      <w:pPr>
        <w:pStyle w:val="a9"/>
        <w:spacing w:after="0" w:line="360" w:lineRule="auto"/>
        <w:ind w:left="-58"/>
        <w:jc w:val="both"/>
        <w:rPr>
          <w:rFonts w:ascii="David" w:hAnsi="David" w:cs="David"/>
          <w:sz w:val="24"/>
          <w:szCs w:val="24"/>
          <w:rtl/>
        </w:rPr>
      </w:pPr>
    </w:p>
    <w:p w14:paraId="10F135F3" w14:textId="77777777" w:rsidR="00D2524B" w:rsidRDefault="003F301D" w:rsidP="00D2524B">
      <w:pPr>
        <w:pStyle w:val="a9"/>
        <w:spacing w:after="0" w:line="360" w:lineRule="auto"/>
        <w:ind w:left="-58"/>
        <w:jc w:val="both"/>
        <w:rPr>
          <w:rFonts w:ascii="David" w:hAnsi="David" w:cs="David"/>
          <w:sz w:val="24"/>
          <w:szCs w:val="24"/>
          <w:rtl/>
        </w:rPr>
      </w:pPr>
      <w:hyperlink r:id="rId75" w:history="1">
        <w:r w:rsidRPr="003F301D">
          <w:rPr>
            <w:rFonts w:ascii="David" w:hAnsi="David" w:cs="David"/>
            <w:color w:val="0000FF"/>
            <w:sz w:val="24"/>
            <w:szCs w:val="24"/>
            <w:u w:val="single"/>
            <w:rtl/>
          </w:rPr>
          <w:t>ע"פ 7177/20</w:t>
        </w:r>
      </w:hyperlink>
      <w:r w:rsidR="00D2524B">
        <w:rPr>
          <w:rFonts w:ascii="David" w:hAnsi="David" w:cs="David"/>
          <w:sz w:val="24"/>
          <w:szCs w:val="24"/>
          <w:u w:val="single"/>
          <w:rtl/>
        </w:rPr>
        <w:t xml:space="preserve"> </w:t>
      </w:r>
      <w:r w:rsidR="00D2524B">
        <w:rPr>
          <w:rFonts w:ascii="David" w:hAnsi="David" w:cs="David"/>
          <w:b/>
          <w:bCs/>
          <w:sz w:val="24"/>
          <w:szCs w:val="24"/>
          <w:rtl/>
        </w:rPr>
        <w:t>כנעאן נ' מדינת ישראל</w:t>
      </w:r>
      <w:r w:rsidR="00D2524B">
        <w:rPr>
          <w:rFonts w:ascii="David" w:hAnsi="David" w:cs="David"/>
          <w:sz w:val="24"/>
          <w:szCs w:val="24"/>
          <w:rtl/>
        </w:rPr>
        <w:t xml:space="preserve"> - ערעור על חומרת עונש המאסר שהוטל על המערער לתקופה של 24 חודשים בפועל. הערעור </w:t>
      </w:r>
      <w:r w:rsidR="00D2524B">
        <w:rPr>
          <w:rFonts w:ascii="David" w:hAnsi="David" w:cs="David"/>
          <w:b/>
          <w:bCs/>
          <w:sz w:val="24"/>
          <w:szCs w:val="24"/>
          <w:u w:val="single"/>
          <w:rtl/>
        </w:rPr>
        <w:t>נדחה</w:t>
      </w:r>
      <w:r w:rsidR="00D2524B">
        <w:rPr>
          <w:rFonts w:ascii="David" w:hAnsi="David" w:cs="David"/>
          <w:sz w:val="24"/>
          <w:szCs w:val="24"/>
          <w:rtl/>
        </w:rPr>
        <w:t xml:space="preserve">. להבנתי, פסק הדין שהגישה המדינה כחלק מאסופת הפסיקה אינו מקביל בחומרתו לתיק בו עסקינן. המערער הורשע על פי הודאתו בעבירה של נשיאת נשק לפי </w:t>
      </w:r>
      <w:hyperlink r:id="rId76"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ל</w:t>
      </w:r>
      <w:hyperlink r:id="rId77"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יצא מפתח ביתו של שכנו, הוציא אקדח, הכניס לתוכו מחסנית טעונה, דרך את האקדח, וכעבור מספר דקות פרק את האקדח והעביר אותו לאחר. בניגוד למקרה בו עסקינן, למערער שם היו שלוש הרשעות קודמות, שהאחרונה שבהן היא משנת 2016 בגין נשיאת נשק חם, עבירה שבגינה נדון ל-13 חודשי מאסר בפועל. לא בכדי נכתב בפסק הדין כי "מי שנכווה ברותחין, בוודאי צריך להישמר ולא להסתבך שוב באותה עבירה</w:t>
      </w:r>
      <w:r w:rsidR="00D2524B">
        <w:rPr>
          <w:rFonts w:ascii="David" w:hAnsi="David" w:cs="David"/>
          <w:sz w:val="24"/>
          <w:szCs w:val="24"/>
        </w:rPr>
        <w:t>."</w:t>
      </w:r>
    </w:p>
    <w:p w14:paraId="10AF6487" w14:textId="77777777" w:rsidR="00D2524B" w:rsidRDefault="00D2524B" w:rsidP="00D2524B">
      <w:pPr>
        <w:pStyle w:val="a9"/>
        <w:spacing w:after="0" w:line="360" w:lineRule="auto"/>
        <w:ind w:left="-58"/>
        <w:jc w:val="both"/>
        <w:rPr>
          <w:rFonts w:ascii="David" w:hAnsi="David" w:cs="David"/>
          <w:sz w:val="24"/>
          <w:szCs w:val="24"/>
          <w:rtl/>
        </w:rPr>
      </w:pPr>
    </w:p>
    <w:p w14:paraId="33B039D4" w14:textId="77777777" w:rsidR="00D2524B" w:rsidRDefault="003F301D" w:rsidP="00D2524B">
      <w:pPr>
        <w:pStyle w:val="a9"/>
        <w:spacing w:after="0" w:line="360" w:lineRule="auto"/>
        <w:ind w:left="-58"/>
        <w:jc w:val="both"/>
        <w:rPr>
          <w:rFonts w:ascii="David" w:hAnsi="David" w:cs="David"/>
          <w:sz w:val="24"/>
          <w:szCs w:val="24"/>
          <w:rtl/>
        </w:rPr>
      </w:pPr>
      <w:hyperlink r:id="rId78" w:history="1">
        <w:r w:rsidRPr="003F301D">
          <w:rPr>
            <w:rFonts w:ascii="David" w:hAnsi="David" w:cs="David"/>
            <w:color w:val="0000FF"/>
            <w:sz w:val="24"/>
            <w:szCs w:val="24"/>
            <w:u w:val="single"/>
            <w:rtl/>
          </w:rPr>
          <w:t>ע"פ 6021/21</w:t>
        </w:r>
      </w:hyperlink>
      <w:r w:rsidR="00D2524B">
        <w:rPr>
          <w:rFonts w:ascii="David" w:hAnsi="David" w:cs="David"/>
          <w:sz w:val="24"/>
          <w:szCs w:val="24"/>
          <w:u w:val="single"/>
          <w:rtl/>
        </w:rPr>
        <w:t xml:space="preserve"> </w:t>
      </w:r>
      <w:r w:rsidR="00D2524B">
        <w:rPr>
          <w:rFonts w:ascii="David" w:hAnsi="David" w:cs="David"/>
          <w:b/>
          <w:bCs/>
          <w:sz w:val="24"/>
          <w:szCs w:val="24"/>
          <w:rtl/>
        </w:rPr>
        <w:t>עבוד נ' מדינת ישראל</w:t>
      </w:r>
      <w:r w:rsidR="00D2524B">
        <w:rPr>
          <w:rFonts w:ascii="David" w:hAnsi="David" w:cs="David"/>
          <w:sz w:val="24"/>
          <w:szCs w:val="24"/>
          <w:rtl/>
        </w:rPr>
        <w:t xml:space="preserve"> - ערעור על חומרת עונש המאסר שהוטל על המערער לתקופה של 30 חודשים, בגין הרשעתו על פי הודאה בכתב אישום מתוקן בעבירות נשק (נשיאה והובלה) ובהפרעה לשוטר בשעת מילוי תפקידו. בית המשפט העליון </w:t>
      </w:r>
      <w:r w:rsidR="00D2524B">
        <w:rPr>
          <w:rFonts w:ascii="David" w:hAnsi="David" w:cs="David"/>
          <w:b/>
          <w:bCs/>
          <w:sz w:val="24"/>
          <w:szCs w:val="24"/>
          <w:u w:val="single"/>
          <w:rtl/>
        </w:rPr>
        <w:t>דחה</w:t>
      </w:r>
      <w:r w:rsidR="00D2524B">
        <w:rPr>
          <w:rFonts w:ascii="David" w:hAnsi="David" w:cs="David"/>
          <w:sz w:val="24"/>
          <w:szCs w:val="24"/>
          <w:rtl/>
        </w:rPr>
        <w:t xml:space="preserve"> את הערעור תוך הדגשה כי צו השעה הוא להחמיר בגין עבירות נשק. להבנתי, פסק הדין שהגישה המדינה כחלק מאסופת הפסיקה קרוב בחומרתו לתיק בו עסקינן, אם כי הינו חמור במקצת מהמקרה בו עסקינן, שכן שם נעשה ירי בפועל בחורשה, הנשק היה מסוג </w:t>
      </w:r>
      <w:r w:rsidR="00D2524B">
        <w:rPr>
          <w:rFonts w:ascii="David" w:hAnsi="David" w:cs="David"/>
          <w:sz w:val="24"/>
          <w:szCs w:val="24"/>
        </w:rPr>
        <w:t>M-16</w:t>
      </w:r>
      <w:r w:rsidR="00D2524B">
        <w:rPr>
          <w:rFonts w:ascii="David" w:hAnsi="David" w:cs="David"/>
          <w:sz w:val="24"/>
          <w:szCs w:val="24"/>
          <w:rtl/>
        </w:rPr>
        <w:t>, וכן התנגדות למעצר. בפסק הדין נכתב: "אף אם יש ממד של חומרה בעונש, איננו סבורים כי העניין על פי נסיבות המעשה והעושה מצדיק התערבות".</w:t>
      </w:r>
    </w:p>
    <w:p w14:paraId="0AA748FE" w14:textId="77777777" w:rsidR="00D2524B" w:rsidRDefault="00D2524B" w:rsidP="00D2524B">
      <w:pPr>
        <w:pStyle w:val="a9"/>
        <w:spacing w:after="0" w:line="360" w:lineRule="auto"/>
        <w:ind w:left="-58"/>
        <w:jc w:val="both"/>
        <w:rPr>
          <w:rFonts w:ascii="David" w:hAnsi="David" w:cs="David"/>
          <w:sz w:val="24"/>
          <w:szCs w:val="24"/>
          <w:rtl/>
        </w:rPr>
      </w:pPr>
    </w:p>
    <w:p w14:paraId="4EA7FCFB"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באשר למדיניות הענישה הנוהגת הגיש ב"כ הנאשם אסופת פסיקה, אשר צוינה לעיל, ולהלן התייחסותי אליה, כדלקמן:</w:t>
      </w:r>
    </w:p>
    <w:p w14:paraId="1DA118AE" w14:textId="77777777" w:rsidR="00D2524B" w:rsidRDefault="00D2524B" w:rsidP="00D2524B">
      <w:pPr>
        <w:pStyle w:val="a9"/>
        <w:spacing w:after="0" w:line="360" w:lineRule="auto"/>
        <w:ind w:left="-58"/>
        <w:jc w:val="both"/>
        <w:rPr>
          <w:rFonts w:ascii="David" w:hAnsi="David" w:cs="David"/>
          <w:sz w:val="24"/>
          <w:szCs w:val="24"/>
          <w:rtl/>
        </w:rPr>
      </w:pPr>
    </w:p>
    <w:p w14:paraId="483C897A" w14:textId="77777777" w:rsidR="00D2524B" w:rsidRDefault="003F301D" w:rsidP="00D2524B">
      <w:pPr>
        <w:pStyle w:val="a9"/>
        <w:spacing w:after="0" w:line="360" w:lineRule="auto"/>
        <w:ind w:left="-58"/>
        <w:jc w:val="both"/>
        <w:rPr>
          <w:rFonts w:ascii="David" w:hAnsi="David" w:cs="David"/>
          <w:sz w:val="24"/>
          <w:szCs w:val="24"/>
          <w:rtl/>
        </w:rPr>
      </w:pPr>
      <w:hyperlink r:id="rId79" w:history="1">
        <w:r w:rsidRPr="003F301D">
          <w:rPr>
            <w:rFonts w:ascii="David" w:hAnsi="David" w:cs="David"/>
            <w:color w:val="0000FF"/>
            <w:sz w:val="24"/>
            <w:szCs w:val="24"/>
            <w:u w:val="single"/>
            <w:rtl/>
          </w:rPr>
          <w:t>ת"פ 17376-05-20</w:t>
        </w:r>
      </w:hyperlink>
      <w:r w:rsidR="00D2524B">
        <w:rPr>
          <w:rFonts w:ascii="David" w:hAnsi="David" w:cs="David"/>
          <w:sz w:val="24"/>
          <w:szCs w:val="24"/>
          <w:rtl/>
        </w:rPr>
        <w:t xml:space="preserve"> </w:t>
      </w:r>
      <w:r w:rsidR="00D2524B">
        <w:rPr>
          <w:rFonts w:ascii="David" w:hAnsi="David" w:cs="David"/>
          <w:b/>
          <w:bCs/>
          <w:sz w:val="24"/>
          <w:szCs w:val="24"/>
          <w:rtl/>
        </w:rPr>
        <w:t>מדינת ישראל נ' חליל</w:t>
      </w:r>
      <w:r w:rsidR="00D2524B">
        <w:rPr>
          <w:rFonts w:ascii="David" w:hAnsi="David" w:cs="David"/>
          <w:sz w:val="24"/>
          <w:szCs w:val="24"/>
          <w:rtl/>
        </w:rPr>
        <w:t xml:space="preserve"> - שם נקבע מתחם ענישה של 12-30 חודשי מאסר בפועל, לצד עונשים נלווים. העונש בפועל נפסק על 12 חודשי מאסר בפועל ו-6 חודשי מאסר על תנאי למשך שלוש שנים על כל עבירת נשק מסוג פשע. להבנתי, פסק הדין שהגיש ב"כ הנאשם כחלק מאסופת הפסיקה אינו מקביל בקלותו לתיק בו עסקינן. בתיק האמור דובר על נאשם שהורשע בביצוע עבירות של נשיאת והובלת נשק (סעיפים </w:t>
      </w:r>
      <w:hyperlink r:id="rId80"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81"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בהבחנה מהמקרה בו עסקינן, הרי ששם היה מדובר בנאשם ששירות המבחן מצאו כאדם צעיר בעלת יכולות חיוביות לתפקוד, נעדר עבר פלילי, גדל והתפתח במשפחה נורמטיבית בעלת ערכים חיוביים, בעל רשת תמיכה משפחתית חיובית, ההליך המשפטי מולו הרתיע אותו באופן ממשי מחיכוך חוזר עם גורמי אכיפת החוק, וכי ישנה הפחתה להישנות התנהגות עבריינית בעתיד.</w:t>
      </w:r>
    </w:p>
    <w:p w14:paraId="5572E4FC" w14:textId="77777777" w:rsidR="00D2524B" w:rsidRDefault="00D2524B" w:rsidP="00D2524B">
      <w:pPr>
        <w:pStyle w:val="a9"/>
        <w:spacing w:after="0" w:line="360" w:lineRule="auto"/>
        <w:ind w:left="-58"/>
        <w:jc w:val="both"/>
        <w:rPr>
          <w:rFonts w:ascii="David" w:hAnsi="David" w:cs="David"/>
          <w:sz w:val="24"/>
          <w:szCs w:val="24"/>
          <w:rtl/>
        </w:rPr>
      </w:pPr>
    </w:p>
    <w:p w14:paraId="33C78551" w14:textId="77777777" w:rsidR="00D2524B" w:rsidRPr="008001C0" w:rsidRDefault="003F301D" w:rsidP="00D2524B">
      <w:pPr>
        <w:pStyle w:val="a9"/>
        <w:spacing w:after="0" w:line="360" w:lineRule="auto"/>
        <w:ind w:left="-58"/>
        <w:jc w:val="both"/>
        <w:rPr>
          <w:rFonts w:ascii="David" w:hAnsi="David" w:cs="David"/>
          <w:sz w:val="24"/>
          <w:szCs w:val="24"/>
          <w:rtl/>
        </w:rPr>
      </w:pPr>
      <w:hyperlink r:id="rId82" w:history="1">
        <w:r w:rsidRPr="003F301D">
          <w:rPr>
            <w:rFonts w:ascii="David" w:hAnsi="David" w:cs="David"/>
            <w:color w:val="0000FF"/>
            <w:sz w:val="24"/>
            <w:szCs w:val="24"/>
            <w:u w:val="single"/>
            <w:rtl/>
          </w:rPr>
          <w:t>ת"פ 9396-03-21</w:t>
        </w:r>
      </w:hyperlink>
      <w:r w:rsidR="00D2524B">
        <w:rPr>
          <w:rFonts w:ascii="David" w:hAnsi="David" w:cs="David"/>
          <w:sz w:val="24"/>
          <w:szCs w:val="24"/>
          <w:rtl/>
        </w:rPr>
        <w:t xml:space="preserve"> </w:t>
      </w:r>
      <w:r w:rsidR="00D2524B">
        <w:rPr>
          <w:rFonts w:ascii="David" w:hAnsi="David" w:cs="David"/>
          <w:b/>
          <w:bCs/>
          <w:sz w:val="24"/>
          <w:szCs w:val="24"/>
          <w:rtl/>
        </w:rPr>
        <w:t>מדינת ישראל נ' דוידוב</w:t>
      </w:r>
      <w:r w:rsidR="00D2524B">
        <w:rPr>
          <w:rFonts w:ascii="David" w:hAnsi="David" w:cs="David"/>
          <w:sz w:val="24"/>
          <w:szCs w:val="24"/>
          <w:rtl/>
        </w:rPr>
        <w:t xml:space="preserve"> - שם נקבע מתחם ענישה של 12-36 חודשי מאסר בפועל, בנוסף למאסר מותנה ועונשים נלווים, לרבות חילוט הנשק. העונש בפועל נפסק על 13 חודשי מאסר בפועל וכן חודשי </w:t>
      </w:r>
      <w:r w:rsidR="00D2524B" w:rsidRPr="008001C0">
        <w:rPr>
          <w:rFonts w:ascii="David" w:hAnsi="David" w:cs="David"/>
          <w:sz w:val="24"/>
          <w:szCs w:val="24"/>
          <w:rtl/>
        </w:rPr>
        <w:t xml:space="preserve">מאסר על תנאי. הנאשם הורשע על פי הודאתו בביצוע עבירות נשק (הובלה), בניגוד </w:t>
      </w:r>
      <w:hyperlink r:id="rId83" w:history="1">
        <w:r w:rsidR="00D47888" w:rsidRPr="00D47888">
          <w:rPr>
            <w:rStyle w:val="Hyperlink"/>
            <w:rFonts w:ascii="David" w:hAnsi="David" w:cs="David"/>
            <w:sz w:val="24"/>
            <w:szCs w:val="24"/>
            <w:rtl/>
          </w:rPr>
          <w:t>לסעיף 144(ב)</w:t>
        </w:r>
      </w:hyperlink>
      <w:r w:rsidR="00D2524B" w:rsidRPr="008001C0">
        <w:rPr>
          <w:rFonts w:ascii="David" w:hAnsi="David" w:cs="David"/>
          <w:sz w:val="24"/>
          <w:szCs w:val="24"/>
          <w:rtl/>
        </w:rPr>
        <w:t xml:space="preserve"> רישא + סיפא ל</w:t>
      </w:r>
      <w:hyperlink r:id="rId84" w:history="1">
        <w:r w:rsidRPr="003F301D">
          <w:rPr>
            <w:rFonts w:ascii="David" w:hAnsi="David" w:cs="David"/>
            <w:color w:val="0000FF"/>
            <w:sz w:val="24"/>
            <w:szCs w:val="24"/>
            <w:u w:val="single"/>
            <w:rtl/>
          </w:rPr>
          <w:t>חוק העונשין</w:t>
        </w:r>
      </w:hyperlink>
      <w:r w:rsidR="00D2524B" w:rsidRPr="008001C0">
        <w:rPr>
          <w:rFonts w:ascii="David" w:hAnsi="David" w:cs="David"/>
          <w:sz w:val="24"/>
          <w:szCs w:val="24"/>
          <w:rtl/>
        </w:rPr>
        <w:t>. על אף שנסיבות האירוע אכן דומות למקרה בו עסקינן, יודגש כי בתיק האמור דובר היה על כך שהנאשם הודה בהובלת אקדח גנוב עם מחסנית בה 8 כדורים וכן כדור בקנה, כשהיה ישוב ברכב ליד מושב הנהג, ואילו בתיק שבפניי, עסקינן בנאשם שנשא על גופו אקדח עם תחמושת רבה יותר (29 כדורים), נס וברח באופן אקטיבי משוטרים, בזמן המרדף השליך את הנשק אל מעבר לגדר, ולאחר מרדף ונפילה נתפס על ידי שוטר. ניתן לראות כי אין האירועים המתוארים לעיל זהים ושווים בחומרתם, וסבורני כי המקרה שבפניי חמור יותר מעובדות התיק הפלילי שהובא בפניי כדוגמא.</w:t>
      </w:r>
    </w:p>
    <w:p w14:paraId="0852523D" w14:textId="77777777" w:rsidR="00D2524B" w:rsidRDefault="00D2524B" w:rsidP="00D2524B">
      <w:pPr>
        <w:pStyle w:val="a9"/>
        <w:spacing w:after="0" w:line="360" w:lineRule="auto"/>
        <w:ind w:left="-58"/>
        <w:jc w:val="both"/>
        <w:rPr>
          <w:rFonts w:ascii="David" w:hAnsi="David" w:cs="David"/>
          <w:sz w:val="24"/>
          <w:szCs w:val="24"/>
          <w:highlight w:val="yellow"/>
          <w:rtl/>
        </w:rPr>
      </w:pPr>
    </w:p>
    <w:p w14:paraId="5929B185" w14:textId="77777777" w:rsidR="00D2524B" w:rsidRDefault="00D2524B" w:rsidP="00D2524B">
      <w:pPr>
        <w:pStyle w:val="a9"/>
        <w:spacing w:after="0" w:line="360" w:lineRule="auto"/>
        <w:ind w:left="-58"/>
        <w:jc w:val="both"/>
        <w:rPr>
          <w:rFonts w:ascii="David" w:hAnsi="David" w:cs="David"/>
          <w:sz w:val="24"/>
          <w:szCs w:val="24"/>
          <w:rtl/>
        </w:rPr>
      </w:pPr>
      <w:r>
        <w:rPr>
          <w:rFonts w:ascii="David" w:hAnsi="David" w:cs="David"/>
          <w:sz w:val="24"/>
          <w:szCs w:val="24"/>
          <w:u w:val="single"/>
          <w:rtl/>
        </w:rPr>
        <w:t>ת"פ 4005-07-21</w:t>
      </w:r>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 שם נקבע מתחם ענישה של 14-36 חודשי מאסר בפועל לצד עונשים נלווים. העונש בפועל שנפסק היה 17 חודשי מאסר בפועל וכן חודשי מאסר על תנאי. הנאשם הורשע על פי הודאתו בעובדות כתב האישום, החזקה, נשיאה והובלת נשק ותחמושת, עבירה לפי </w:t>
      </w:r>
      <w:hyperlink r:id="rId85" w:history="1">
        <w:r w:rsidR="00D47888" w:rsidRPr="00D47888">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86" w:history="1">
        <w:r w:rsidR="00D47888" w:rsidRPr="00D47888">
          <w:rPr>
            <w:rStyle w:val="Hyperlink"/>
            <w:rFonts w:ascii="David" w:hAnsi="David" w:cs="David"/>
            <w:sz w:val="24"/>
            <w:szCs w:val="24"/>
            <w:rtl/>
          </w:rPr>
          <w:t>144(ב)</w:t>
        </w:r>
      </w:hyperlink>
      <w:r>
        <w:rPr>
          <w:rFonts w:ascii="David" w:hAnsi="David" w:cs="David"/>
          <w:sz w:val="24"/>
          <w:szCs w:val="24"/>
          <w:rtl/>
        </w:rPr>
        <w:t xml:space="preserve"> רישא וסיפא ל</w:t>
      </w:r>
      <w:hyperlink r:id="rId87"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 xml:space="preserve"> וכן החזקת אגרופן או סכין שלא כדין, עבירה לפי </w:t>
      </w:r>
      <w:hyperlink r:id="rId88" w:history="1">
        <w:r w:rsidR="00D47888" w:rsidRPr="00D47888">
          <w:rPr>
            <w:rStyle w:val="Hyperlink"/>
            <w:rFonts w:ascii="David" w:hAnsi="David" w:cs="David"/>
            <w:sz w:val="24"/>
            <w:szCs w:val="24"/>
            <w:rtl/>
          </w:rPr>
          <w:t>סעיף 186(א)</w:t>
        </w:r>
      </w:hyperlink>
      <w:r>
        <w:rPr>
          <w:rFonts w:ascii="David" w:hAnsi="David" w:cs="David"/>
          <w:sz w:val="24"/>
          <w:szCs w:val="24"/>
          <w:rtl/>
        </w:rPr>
        <w:t xml:space="preserve"> לחוק העונשין. להבנתי, פסק הדין שהגיש ב"כ הנאשם כחלק מאסופת הפסיקה קרוב לתיק בו עסקינן, אם כי גם בו נמצאו כמה נקודות המאבחנות אותו מהמקרה בו עסקינן, בין היתר העובדה כי כתב האישום לא כלל אזכור לכדורים אשר היו באמתחתו של הנאשם, או כי מי מכלי הנשק היה טעון ומוכן לפעולה, המשקל הלא מבוטל למצבו הרפואי של הנאשם שניתן בתיק, וכן התרשמות בית המשפט מכנות דבריו של הנאשם כי טעה ולא יחזור על טעות זו יותר בחייו לעולם.</w:t>
      </w:r>
    </w:p>
    <w:p w14:paraId="2F8C2079" w14:textId="77777777" w:rsidR="00D2524B" w:rsidRDefault="00D2524B" w:rsidP="00D2524B">
      <w:pPr>
        <w:pStyle w:val="a9"/>
        <w:spacing w:after="0" w:line="360" w:lineRule="auto"/>
        <w:ind w:left="-58"/>
        <w:jc w:val="both"/>
        <w:rPr>
          <w:rFonts w:ascii="David" w:hAnsi="David" w:cs="David"/>
          <w:color w:val="000000"/>
          <w:sz w:val="24"/>
          <w:szCs w:val="24"/>
          <w:rtl/>
        </w:rPr>
      </w:pPr>
    </w:p>
    <w:p w14:paraId="2DC67DAD" w14:textId="77777777" w:rsidR="00D2524B" w:rsidRDefault="00D2524B" w:rsidP="00D2524B">
      <w:pPr>
        <w:pStyle w:val="a9"/>
        <w:spacing w:after="0" w:line="360" w:lineRule="auto"/>
        <w:ind w:left="-58"/>
        <w:jc w:val="both"/>
        <w:rPr>
          <w:rFonts w:ascii="David" w:hAnsi="David" w:cs="David"/>
          <w:color w:val="000000"/>
          <w:sz w:val="24"/>
          <w:szCs w:val="24"/>
          <w:rtl/>
        </w:rPr>
      </w:pPr>
      <w:r>
        <w:rPr>
          <w:rFonts w:ascii="David" w:hAnsi="David" w:cs="David"/>
          <w:color w:val="000000"/>
          <w:sz w:val="24"/>
          <w:szCs w:val="24"/>
          <w:rtl/>
        </w:rPr>
        <w:t>עד כאן התייחסותי לפסיקה.</w:t>
      </w:r>
    </w:p>
    <w:p w14:paraId="32D026C5" w14:textId="77777777" w:rsidR="00D2524B" w:rsidRDefault="00D2524B" w:rsidP="00D2524B">
      <w:pPr>
        <w:pStyle w:val="a9"/>
        <w:spacing w:after="0" w:line="360" w:lineRule="auto"/>
        <w:ind w:left="-58"/>
        <w:jc w:val="both"/>
        <w:rPr>
          <w:rFonts w:ascii="David" w:hAnsi="David" w:cs="David"/>
          <w:color w:val="000000"/>
          <w:sz w:val="24"/>
          <w:szCs w:val="24"/>
          <w:rtl/>
        </w:rPr>
      </w:pPr>
    </w:p>
    <w:p w14:paraId="766C33FF"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באשר </w:t>
      </w:r>
      <w:r>
        <w:rPr>
          <w:rFonts w:ascii="David" w:hAnsi="David" w:cs="David"/>
          <w:color w:val="000000"/>
          <w:sz w:val="24"/>
          <w:szCs w:val="24"/>
          <w:u w:val="single"/>
          <w:rtl/>
        </w:rPr>
        <w:t>לנסיבות הקשורות בביצוע העבירה</w:t>
      </w:r>
      <w:r>
        <w:rPr>
          <w:rFonts w:ascii="David" w:hAnsi="David" w:cs="David"/>
          <w:color w:val="000000"/>
          <w:sz w:val="24"/>
          <w:szCs w:val="24"/>
          <w:rtl/>
        </w:rPr>
        <w:t xml:space="preserve">, ניתן למנות כנגד הנאשם את התכנון שקדם לעבירה, חלקו המוחלט של הנאשם באירוע, הנזק הצפוי מן העבירה הינו משמעותי ביותר. נשק הינו כלי הרג. זוהי מטרתו וזהו תפקידו. לנאשם לא הייתה כל סיבה לבצע את העבירה, הנאשם יכול היה להבין את אשר הוא עושה, את הפסול במעשיו, ויכול היה להימנע מביצוע העבירה. </w:t>
      </w:r>
      <w:r>
        <w:rPr>
          <w:rFonts w:ascii="David" w:hAnsi="David" w:cs="David"/>
          <w:sz w:val="24"/>
          <w:szCs w:val="24"/>
          <w:rtl/>
        </w:rPr>
        <w:t xml:space="preserve">בענייננו, הנאשם נשא את הנשק על גופו, ברח מהשוטרים וניסה להיפטר מהנשק במהלך המרדף, סימנים המעידים על תעוזה מצדו וחוסר מורא מפני רשויות החוק. </w:t>
      </w:r>
    </w:p>
    <w:p w14:paraId="3013B513" w14:textId="77777777" w:rsidR="00D2524B" w:rsidRDefault="00D2524B" w:rsidP="00D2524B">
      <w:pPr>
        <w:pStyle w:val="a9"/>
        <w:spacing w:after="0" w:line="360" w:lineRule="auto"/>
        <w:ind w:left="-58"/>
        <w:jc w:val="both"/>
        <w:rPr>
          <w:rFonts w:ascii="David" w:hAnsi="David" w:cs="David"/>
          <w:color w:val="000000"/>
          <w:sz w:val="24"/>
          <w:szCs w:val="24"/>
          <w:rtl/>
        </w:rPr>
      </w:pPr>
    </w:p>
    <w:p w14:paraId="7F16620E"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 xml:space="preserve">לאחר ששקלתי את הפגיעה בערכים המוגנים, את מדיניות הענישה הנהוגה ואת הנסיבות הקשורות בביצוע העבירות, באתי לכלל מסקנה כי מתחם העונש ההולם בגין העבירות שבהן הורשע הנאשם, </w:t>
      </w:r>
      <w:r>
        <w:rPr>
          <w:rFonts w:ascii="David" w:hAnsi="David" w:cs="David"/>
          <w:b/>
          <w:bCs/>
          <w:color w:val="000000"/>
          <w:sz w:val="24"/>
          <w:szCs w:val="24"/>
          <w:rtl/>
        </w:rPr>
        <w:t>נע בין 18-36 חודשי מאסר בפועל</w:t>
      </w:r>
      <w:r>
        <w:rPr>
          <w:rFonts w:ascii="David" w:hAnsi="David" w:cs="David"/>
          <w:color w:val="000000"/>
          <w:sz w:val="24"/>
          <w:szCs w:val="24"/>
          <w:rtl/>
        </w:rPr>
        <w:t>, וכן עונשים נלווים.</w:t>
      </w:r>
    </w:p>
    <w:p w14:paraId="18BCB038" w14:textId="77777777" w:rsidR="00D2524B" w:rsidRDefault="00D2524B" w:rsidP="00D2524B">
      <w:pPr>
        <w:pStyle w:val="a9"/>
        <w:spacing w:after="0" w:line="360" w:lineRule="auto"/>
        <w:ind w:left="-58"/>
        <w:jc w:val="both"/>
        <w:rPr>
          <w:rFonts w:ascii="David" w:hAnsi="David" w:cs="David"/>
          <w:sz w:val="24"/>
          <w:szCs w:val="24"/>
          <w:u w:val="single"/>
        </w:rPr>
      </w:pPr>
    </w:p>
    <w:p w14:paraId="19C11502" w14:textId="77777777" w:rsidR="00D2524B" w:rsidRDefault="00D2524B" w:rsidP="00D2524B">
      <w:pPr>
        <w:pStyle w:val="a9"/>
        <w:spacing w:after="0" w:line="360" w:lineRule="auto"/>
        <w:ind w:left="-58"/>
        <w:jc w:val="both"/>
        <w:rPr>
          <w:rFonts w:ascii="David" w:hAnsi="David" w:cs="David"/>
          <w:sz w:val="24"/>
          <w:szCs w:val="24"/>
          <w:u w:val="single"/>
        </w:rPr>
      </w:pPr>
      <w:r>
        <w:rPr>
          <w:rFonts w:ascii="David" w:hAnsi="David" w:cs="David"/>
          <w:sz w:val="24"/>
          <w:szCs w:val="24"/>
          <w:u w:val="single"/>
          <w:rtl/>
        </w:rPr>
        <w:t>גזירת העונש המתאים לנאשם</w:t>
      </w:r>
    </w:p>
    <w:p w14:paraId="1F4FBE34" w14:textId="77777777" w:rsidR="00D2524B" w:rsidRDefault="00D2524B" w:rsidP="00D2524B">
      <w:pPr>
        <w:pStyle w:val="a9"/>
        <w:spacing w:after="0" w:line="360" w:lineRule="auto"/>
        <w:ind w:left="-58"/>
        <w:jc w:val="both"/>
        <w:rPr>
          <w:rFonts w:ascii="David" w:hAnsi="David" w:cs="David"/>
          <w:color w:val="000000"/>
          <w:sz w:val="24"/>
          <w:szCs w:val="24"/>
          <w:rtl/>
        </w:rPr>
      </w:pPr>
    </w:p>
    <w:p w14:paraId="51408783"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עתה אפנה לגזירת העונש המתאים לנאשם בגבולות מתחם הענישה שקבעתי לעיל, תוך כדי התחשבות בנסיבות שאינן קשורות בביצוע העבירה.</w:t>
      </w:r>
    </w:p>
    <w:p w14:paraId="339B9664" w14:textId="77777777" w:rsidR="00D2524B" w:rsidRDefault="00D2524B" w:rsidP="00D2524B">
      <w:pPr>
        <w:pStyle w:val="a9"/>
        <w:spacing w:after="0" w:line="360" w:lineRule="auto"/>
        <w:ind w:left="-58"/>
        <w:jc w:val="both"/>
        <w:rPr>
          <w:rFonts w:ascii="David" w:hAnsi="David" w:cs="David"/>
          <w:color w:val="000000"/>
          <w:sz w:val="24"/>
          <w:szCs w:val="24"/>
        </w:rPr>
      </w:pPr>
    </w:p>
    <w:p w14:paraId="72E54015"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לזכותו של הנאשם עומדת הודאה במיוחס לו לאחר תיקון כתב האישום. הודאתו חסכה זמן שיפוטי יקר. כמו כן, עובדת גילו הצעיר והעובדה שהוא נעדר עבירות פליליות קודמות. זוהי הפעם הראשונה בה הנאשם מתמודד עם גורמי אכיפת החוק, ואקווה כי פעם זו תהא עבורו גם הפעם האחרונה.</w:t>
      </w:r>
    </w:p>
    <w:p w14:paraId="5FD869F3" w14:textId="77777777" w:rsidR="00D2524B" w:rsidRDefault="00D2524B" w:rsidP="00D2524B">
      <w:pPr>
        <w:pStyle w:val="a9"/>
        <w:spacing w:after="0" w:line="360" w:lineRule="auto"/>
        <w:ind w:left="-58"/>
        <w:jc w:val="both"/>
        <w:rPr>
          <w:rFonts w:ascii="David" w:hAnsi="David" w:cs="David"/>
          <w:color w:val="000000"/>
          <w:sz w:val="24"/>
          <w:szCs w:val="24"/>
        </w:rPr>
      </w:pPr>
    </w:p>
    <w:p w14:paraId="0C658717"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sz w:val="24"/>
          <w:szCs w:val="24"/>
          <w:rtl/>
        </w:rPr>
        <w:t xml:space="preserve">לחובתו של הנאשם, מדובר בעבירה חמורה עם פוטנציאל נזק הרסני. מבחינת חומרת העבירה, לא קיבלתי את טענת ב"כ הנאשם כי נשיאת הנשק הייתה נשיאה רגעית ומשכך יש להקל בנאשם. </w:t>
      </w:r>
      <w:r>
        <w:rPr>
          <w:rFonts w:ascii="David" w:hAnsi="David" w:cs="David"/>
          <w:color w:val="000000"/>
          <w:sz w:val="24"/>
          <w:szCs w:val="24"/>
          <w:rtl/>
        </w:rPr>
        <w:t>הנשיאה כללה בריחה פעילה מאוכפי החוק, ורק בשל נפילתו במרדף - נתפס.</w:t>
      </w:r>
    </w:p>
    <w:p w14:paraId="2DFC41D7" w14:textId="77777777" w:rsidR="00D2524B" w:rsidRDefault="00D2524B" w:rsidP="00D2524B">
      <w:pPr>
        <w:pStyle w:val="a9"/>
        <w:spacing w:after="0" w:line="360" w:lineRule="auto"/>
        <w:ind w:left="-58"/>
        <w:jc w:val="both"/>
        <w:rPr>
          <w:rFonts w:ascii="David" w:hAnsi="David" w:cs="David"/>
          <w:color w:val="000000"/>
          <w:sz w:val="24"/>
          <w:szCs w:val="24"/>
        </w:rPr>
      </w:pPr>
    </w:p>
    <w:p w14:paraId="4176AFB2"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באשר לשיקולי שיקום, הרי </w:t>
      </w:r>
      <w:r>
        <w:rPr>
          <w:rFonts w:ascii="David" w:hAnsi="David" w:cs="David"/>
          <w:sz w:val="24"/>
          <w:szCs w:val="24"/>
          <w:rtl/>
        </w:rPr>
        <w:t>ששירות המבחן העריך כי קיים סיכון בינוני גבוה להישנות התנהגות בדפוסיו המכשילים, והוא לא בא בהמלצה שיקומית בעניינו של הנאשם. שירות המבחן המליץ תחת זאת על ענישה מרתיעה בדמות מאסר בפועל מאחורי סורג ובריח, שתחדד עבורו את הגבולות בין המותר לאסור, וכן תהווה עונש על מעשיו.</w:t>
      </w:r>
    </w:p>
    <w:p w14:paraId="013F0A4C" w14:textId="77777777" w:rsidR="00D2524B" w:rsidRDefault="00D2524B" w:rsidP="00D2524B">
      <w:pPr>
        <w:pStyle w:val="a9"/>
        <w:spacing w:after="0" w:line="360" w:lineRule="auto"/>
        <w:ind w:left="-58"/>
        <w:jc w:val="both"/>
        <w:rPr>
          <w:rFonts w:ascii="David" w:hAnsi="David" w:cs="David"/>
          <w:color w:val="000000"/>
          <w:sz w:val="24"/>
          <w:szCs w:val="24"/>
        </w:rPr>
      </w:pPr>
    </w:p>
    <w:p w14:paraId="6A7AB5C9"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באשר להרתעת הרבים, שיקול זה הינו שיקול תקף ביותר בעבירות נשק. כל עוד נשק מסתובב ברחובות שלא כדין וללא היתר, אנשים עתידים להיפצע ולהיהרג. אין לקבל זאת בסלחנות.</w:t>
      </w:r>
    </w:p>
    <w:p w14:paraId="009CD85C" w14:textId="77777777" w:rsidR="00D2524B" w:rsidRDefault="00D2524B" w:rsidP="00D2524B">
      <w:pPr>
        <w:pStyle w:val="a9"/>
        <w:spacing w:after="0" w:line="360" w:lineRule="auto"/>
        <w:ind w:left="-58"/>
        <w:jc w:val="both"/>
        <w:rPr>
          <w:rFonts w:ascii="David" w:hAnsi="David" w:cs="David"/>
          <w:color w:val="000000"/>
          <w:sz w:val="24"/>
          <w:szCs w:val="24"/>
        </w:rPr>
      </w:pPr>
    </w:p>
    <w:p w14:paraId="1C24F56D"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בשקלול כל האמור לעיל, אינני סבורה כי יש מקום לחרוג ממתחם העונש ההולם, ויש לגזור את עונשו של הנאשם בסמיכות לחלקו הבינוני של המתחם, וזאת בעיקר מפאת גילו הצעיר והיעדר עבר פלילי. כמו כן, נלמד כי </w:t>
      </w:r>
      <w:r>
        <w:rPr>
          <w:rFonts w:ascii="David" w:hAnsi="David" w:cs="David"/>
          <w:sz w:val="24"/>
          <w:szCs w:val="24"/>
          <w:rtl/>
        </w:rPr>
        <w:t xml:space="preserve">בתקופת מעצרו תפקודו היה תקין, ללא עבירות משמעת וללא אירועים חריגים, דבר המעיד לטובתו. </w:t>
      </w:r>
      <w:r>
        <w:rPr>
          <w:rFonts w:ascii="David" w:hAnsi="David" w:cs="David"/>
          <w:color w:val="000000"/>
          <w:sz w:val="24"/>
          <w:szCs w:val="24"/>
          <w:rtl/>
        </w:rPr>
        <w:t>עם זאת, באם ימצא לנכון לחרוג שוב מגבולות החוק, הרי שיהיה צפון לו עונש עתידי, אשר בתקווה יהווה גורם מרתיע מפני הישנות פעולותיו.</w:t>
      </w:r>
    </w:p>
    <w:p w14:paraId="50E80C52" w14:textId="77777777" w:rsidR="00D2524B" w:rsidRDefault="00D2524B" w:rsidP="00D2524B">
      <w:pPr>
        <w:pStyle w:val="a9"/>
        <w:spacing w:after="0" w:line="360" w:lineRule="auto"/>
        <w:ind w:left="-58"/>
        <w:jc w:val="both"/>
        <w:rPr>
          <w:rFonts w:ascii="David" w:hAnsi="David" w:cs="David"/>
          <w:sz w:val="24"/>
          <w:szCs w:val="24"/>
          <w:u w:val="single"/>
          <w:rtl/>
        </w:rPr>
      </w:pPr>
    </w:p>
    <w:p w14:paraId="712D9431" w14:textId="77777777" w:rsidR="00D2524B" w:rsidRDefault="00D2524B" w:rsidP="00D2524B">
      <w:pPr>
        <w:pStyle w:val="a9"/>
        <w:spacing w:after="0" w:line="360" w:lineRule="auto"/>
        <w:ind w:left="-58"/>
        <w:jc w:val="both"/>
        <w:rPr>
          <w:rFonts w:ascii="David" w:hAnsi="David" w:cs="David"/>
          <w:sz w:val="24"/>
          <w:szCs w:val="24"/>
          <w:u w:val="single"/>
        </w:rPr>
      </w:pPr>
    </w:p>
    <w:p w14:paraId="7C9B219F" w14:textId="77777777" w:rsidR="00D2524B" w:rsidRPr="006318CC" w:rsidRDefault="00D2524B" w:rsidP="00D2524B">
      <w:pPr>
        <w:pStyle w:val="a9"/>
        <w:spacing w:after="0" w:line="360" w:lineRule="auto"/>
        <w:ind w:left="-58"/>
        <w:jc w:val="both"/>
        <w:rPr>
          <w:rFonts w:ascii="David" w:hAnsi="David" w:cs="David"/>
          <w:b/>
          <w:bCs/>
          <w:sz w:val="24"/>
          <w:szCs w:val="24"/>
          <w:u w:val="single"/>
          <w:rtl/>
        </w:rPr>
      </w:pPr>
      <w:r w:rsidRPr="006318CC">
        <w:rPr>
          <w:rFonts w:ascii="David" w:hAnsi="David" w:cs="David"/>
          <w:b/>
          <w:bCs/>
          <w:sz w:val="24"/>
          <w:szCs w:val="24"/>
          <w:u w:val="single"/>
          <w:rtl/>
        </w:rPr>
        <w:t>סוף דבר</w:t>
      </w:r>
    </w:p>
    <w:p w14:paraId="6665BA7C" w14:textId="77777777" w:rsidR="00D2524B" w:rsidRDefault="00D2524B" w:rsidP="00D2524B">
      <w:pPr>
        <w:pStyle w:val="a9"/>
        <w:spacing w:after="0" w:line="360" w:lineRule="auto"/>
        <w:ind w:left="1080"/>
        <w:jc w:val="both"/>
        <w:rPr>
          <w:rFonts w:ascii="David" w:eastAsia="David" w:hAnsi="David" w:cs="David"/>
          <w:sz w:val="24"/>
          <w:szCs w:val="24"/>
        </w:rPr>
      </w:pPr>
    </w:p>
    <w:p w14:paraId="67B00C46"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לאור כל האמור לעיל, הריני לגזור על הנאשם את העונשים הבאים:</w:t>
      </w:r>
    </w:p>
    <w:p w14:paraId="67D3C27A" w14:textId="77777777" w:rsidR="00D2524B" w:rsidRDefault="00D2524B" w:rsidP="00D2524B">
      <w:pPr>
        <w:pStyle w:val="a9"/>
        <w:spacing w:after="0" w:line="360" w:lineRule="auto"/>
        <w:ind w:left="-58"/>
        <w:jc w:val="both"/>
        <w:rPr>
          <w:rFonts w:ascii="David" w:hAnsi="David" w:cs="David"/>
          <w:color w:val="000000"/>
          <w:sz w:val="24"/>
          <w:szCs w:val="24"/>
        </w:rPr>
      </w:pPr>
    </w:p>
    <w:p w14:paraId="41D8B57C"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tl/>
        </w:rPr>
      </w:pPr>
      <w:r>
        <w:rPr>
          <w:rFonts w:ascii="David" w:hAnsi="David" w:cs="David" w:hint="cs"/>
          <w:b/>
          <w:bCs/>
          <w:color w:val="000000"/>
          <w:sz w:val="24"/>
          <w:szCs w:val="24"/>
          <w:rtl/>
        </w:rPr>
        <w:t xml:space="preserve">20 </w:t>
      </w:r>
      <w:r>
        <w:rPr>
          <w:rFonts w:ascii="David" w:hAnsi="David" w:cs="David"/>
          <w:b/>
          <w:bCs/>
          <w:color w:val="000000"/>
          <w:sz w:val="24"/>
          <w:szCs w:val="24"/>
          <w:rtl/>
        </w:rPr>
        <w:t>חודשי מאסר בפועל, אשר ימנו החל ממעצרו ביום 04.12.2021.</w:t>
      </w:r>
    </w:p>
    <w:p w14:paraId="31B736DB" w14:textId="77777777" w:rsidR="00D2524B" w:rsidRDefault="00D2524B" w:rsidP="00D2524B">
      <w:pPr>
        <w:pStyle w:val="a9"/>
        <w:spacing w:after="0" w:line="360" w:lineRule="auto"/>
        <w:jc w:val="both"/>
        <w:rPr>
          <w:rFonts w:ascii="David" w:hAnsi="David" w:cs="David"/>
          <w:b/>
          <w:bCs/>
          <w:color w:val="000000"/>
          <w:sz w:val="24"/>
          <w:szCs w:val="24"/>
          <w:rtl/>
        </w:rPr>
      </w:pPr>
    </w:p>
    <w:p w14:paraId="5CC03D1C"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Pr>
      </w:pPr>
      <w:r>
        <w:rPr>
          <w:rFonts w:ascii="David" w:hAnsi="David" w:cs="David" w:hint="cs"/>
          <w:b/>
          <w:bCs/>
          <w:color w:val="000000"/>
          <w:sz w:val="24"/>
          <w:szCs w:val="24"/>
          <w:rtl/>
        </w:rPr>
        <w:t>10</w:t>
      </w:r>
      <w:r>
        <w:rPr>
          <w:rFonts w:ascii="David" w:hAnsi="David" w:cs="David"/>
          <w:b/>
          <w:bCs/>
          <w:color w:val="000000"/>
          <w:sz w:val="24"/>
          <w:szCs w:val="24"/>
          <w:rtl/>
        </w:rPr>
        <w:t xml:space="preserve"> חודשי מאסר על תנאי למשך שלוש שנים מי</w:t>
      </w:r>
      <w:r>
        <w:rPr>
          <w:rFonts w:ascii="David" w:hAnsi="David" w:cs="David" w:hint="cs"/>
          <w:b/>
          <w:bCs/>
          <w:color w:val="000000"/>
          <w:sz w:val="24"/>
          <w:szCs w:val="24"/>
          <w:rtl/>
        </w:rPr>
        <w:t>ו</w:t>
      </w:r>
      <w:r>
        <w:rPr>
          <w:rFonts w:ascii="David" w:hAnsi="David" w:cs="David"/>
          <w:b/>
          <w:bCs/>
          <w:color w:val="000000"/>
          <w:sz w:val="24"/>
          <w:szCs w:val="24"/>
          <w:rtl/>
        </w:rPr>
        <w:t>ם</w:t>
      </w:r>
      <w:r>
        <w:rPr>
          <w:rFonts w:ascii="David" w:hAnsi="David" w:cs="David" w:hint="cs"/>
          <w:b/>
          <w:bCs/>
          <w:color w:val="000000"/>
          <w:sz w:val="24"/>
          <w:szCs w:val="24"/>
          <w:rtl/>
        </w:rPr>
        <w:t xml:space="preserve"> השחרור</w:t>
      </w:r>
      <w:r>
        <w:rPr>
          <w:rFonts w:ascii="David" w:hAnsi="David" w:cs="David"/>
          <w:b/>
          <w:bCs/>
          <w:color w:val="000000"/>
          <w:sz w:val="24"/>
          <w:szCs w:val="24"/>
          <w:rtl/>
        </w:rPr>
        <w:t xml:space="preserve"> על כל עבירת נשק מסוג פשע.   </w:t>
      </w:r>
    </w:p>
    <w:p w14:paraId="55F534EF" w14:textId="77777777" w:rsidR="00D2524B" w:rsidRPr="006318CC" w:rsidRDefault="00D2524B" w:rsidP="00D2524B">
      <w:pPr>
        <w:pStyle w:val="a9"/>
        <w:rPr>
          <w:rFonts w:ascii="David" w:hAnsi="David" w:cs="David"/>
          <w:b/>
          <w:bCs/>
          <w:color w:val="000000"/>
          <w:sz w:val="24"/>
          <w:szCs w:val="24"/>
          <w:rtl/>
        </w:rPr>
      </w:pPr>
    </w:p>
    <w:p w14:paraId="3AFCA5E4"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Pr>
      </w:pPr>
      <w:r>
        <w:rPr>
          <w:rFonts w:ascii="David" w:hAnsi="David" w:cs="David" w:hint="cs"/>
          <w:b/>
          <w:bCs/>
          <w:color w:val="000000"/>
          <w:sz w:val="24"/>
          <w:szCs w:val="24"/>
          <w:rtl/>
        </w:rPr>
        <w:t>5</w:t>
      </w:r>
      <w:r>
        <w:rPr>
          <w:rFonts w:ascii="David" w:hAnsi="David" w:cs="David"/>
          <w:b/>
          <w:bCs/>
          <w:color w:val="000000"/>
          <w:sz w:val="24"/>
          <w:szCs w:val="24"/>
          <w:rtl/>
        </w:rPr>
        <w:t xml:space="preserve">  חודשי מאסר על תנאי למשך שלוש שנים מיום</w:t>
      </w:r>
      <w:r>
        <w:rPr>
          <w:rFonts w:ascii="David" w:hAnsi="David" w:cs="David" w:hint="cs"/>
          <w:b/>
          <w:bCs/>
          <w:color w:val="000000"/>
          <w:sz w:val="24"/>
          <w:szCs w:val="24"/>
          <w:rtl/>
        </w:rPr>
        <w:t xml:space="preserve"> השחרור</w:t>
      </w:r>
      <w:r>
        <w:rPr>
          <w:rFonts w:ascii="David" w:hAnsi="David" w:cs="David"/>
          <w:b/>
          <w:bCs/>
          <w:color w:val="000000"/>
          <w:sz w:val="24"/>
          <w:szCs w:val="24"/>
          <w:rtl/>
        </w:rPr>
        <w:t xml:space="preserve"> על כל עבירת נשק מסוג </w:t>
      </w:r>
      <w:r>
        <w:rPr>
          <w:rFonts w:ascii="David" w:hAnsi="David" w:cs="David" w:hint="cs"/>
          <w:b/>
          <w:bCs/>
          <w:color w:val="000000"/>
          <w:sz w:val="24"/>
          <w:szCs w:val="24"/>
          <w:rtl/>
        </w:rPr>
        <w:t>עוון</w:t>
      </w:r>
      <w:r>
        <w:rPr>
          <w:rFonts w:ascii="David" w:hAnsi="David" w:cs="David"/>
          <w:b/>
          <w:bCs/>
          <w:color w:val="000000"/>
          <w:sz w:val="24"/>
          <w:szCs w:val="24"/>
          <w:rtl/>
        </w:rPr>
        <w:t xml:space="preserve">.   </w:t>
      </w:r>
    </w:p>
    <w:p w14:paraId="0974F958" w14:textId="77777777" w:rsidR="00D2524B" w:rsidRDefault="00D2524B" w:rsidP="00D2524B">
      <w:pPr>
        <w:spacing w:line="360" w:lineRule="auto"/>
        <w:jc w:val="both"/>
        <w:rPr>
          <w:rFonts w:ascii="David" w:hAnsi="David"/>
          <w:b/>
          <w:bCs/>
          <w:color w:val="000000"/>
          <w:rtl/>
        </w:rPr>
      </w:pPr>
    </w:p>
    <w:p w14:paraId="678E4C74" w14:textId="77777777" w:rsidR="00D2524B" w:rsidRPr="006318CC" w:rsidRDefault="00D2524B" w:rsidP="00D2524B">
      <w:pPr>
        <w:spacing w:line="360" w:lineRule="auto"/>
        <w:jc w:val="both"/>
        <w:rPr>
          <w:rFonts w:ascii="David" w:hAnsi="David"/>
          <w:color w:val="000000"/>
          <w:rtl/>
        </w:rPr>
      </w:pPr>
      <w:r w:rsidRPr="006318CC">
        <w:rPr>
          <w:rFonts w:ascii="David" w:hAnsi="David" w:hint="cs"/>
          <w:color w:val="000000"/>
          <w:rtl/>
        </w:rPr>
        <w:t xml:space="preserve">זכות </w:t>
      </w:r>
      <w:r>
        <w:rPr>
          <w:rFonts w:ascii="David" w:hAnsi="David" w:hint="cs"/>
          <w:color w:val="000000"/>
          <w:rtl/>
        </w:rPr>
        <w:t>ערעור תוך 45 יום</w:t>
      </w:r>
      <w:r w:rsidRPr="006318CC">
        <w:rPr>
          <w:rFonts w:ascii="David" w:hAnsi="David" w:hint="cs"/>
          <w:color w:val="000000"/>
          <w:rtl/>
        </w:rPr>
        <w:t xml:space="preserve">. </w:t>
      </w:r>
    </w:p>
    <w:p w14:paraId="5917F3C7" w14:textId="77777777" w:rsidR="00D2524B" w:rsidRPr="006318CC" w:rsidRDefault="00D2524B" w:rsidP="00D2524B">
      <w:pPr>
        <w:spacing w:line="360" w:lineRule="auto"/>
        <w:jc w:val="both"/>
        <w:rPr>
          <w:rFonts w:ascii="David" w:hAnsi="David"/>
          <w:b/>
          <w:bCs/>
          <w:color w:val="000000"/>
          <w:rtl/>
        </w:rPr>
      </w:pPr>
    </w:p>
    <w:p w14:paraId="06EFF9E1" w14:textId="77777777" w:rsidR="00D2524B" w:rsidRPr="000F2247" w:rsidRDefault="003F301D" w:rsidP="00D2524B">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ט"ו תמוז תשפ"ב, 14 יולי 2022, בנוכחות ב"כ הנאשם, ב"כ המאשימה </w:t>
      </w:r>
      <w:bookmarkEnd w:id="8"/>
      <w:r w:rsidR="00D2524B">
        <w:rPr>
          <w:rFonts w:ascii="Arial" w:hAnsi="Arial" w:hint="cs"/>
          <w:b/>
          <w:bCs/>
          <w:sz w:val="26"/>
          <w:szCs w:val="26"/>
          <w:rtl/>
        </w:rPr>
        <w:t xml:space="preserve">והנאשם בעצמו. </w:t>
      </w:r>
    </w:p>
    <w:p w14:paraId="3F51E562" w14:textId="77777777" w:rsidR="00D2524B" w:rsidRPr="003F301D" w:rsidRDefault="003F301D" w:rsidP="00D2524B">
      <w:pPr>
        <w:rPr>
          <w:rFonts w:ascii="Arial" w:hAnsi="Arial"/>
          <w:b/>
          <w:bCs/>
          <w:color w:val="FFFFFF"/>
          <w:sz w:val="2"/>
          <w:szCs w:val="2"/>
        </w:rPr>
      </w:pPr>
      <w:r w:rsidRPr="003F301D">
        <w:rPr>
          <w:rFonts w:ascii="Arial" w:hAnsi="Arial"/>
          <w:b/>
          <w:bCs/>
          <w:color w:val="FFFFFF"/>
          <w:sz w:val="2"/>
          <w:szCs w:val="2"/>
          <w:rtl/>
        </w:rPr>
        <w:t>5129371</w:t>
      </w:r>
    </w:p>
    <w:tbl>
      <w:tblPr>
        <w:bidiVisual/>
        <w:tblW w:w="3936" w:type="dxa"/>
        <w:tblInd w:w="4576" w:type="dxa"/>
        <w:tblBorders>
          <w:insideH w:val="single" w:sz="4" w:space="0" w:color="auto"/>
          <w:insideV w:val="single" w:sz="4" w:space="0" w:color="auto"/>
        </w:tblBorders>
        <w:tblLook w:val="01E0" w:firstRow="1" w:lastRow="1" w:firstColumn="1" w:lastColumn="1" w:noHBand="0" w:noVBand="0"/>
      </w:tblPr>
      <w:tblGrid>
        <w:gridCol w:w="3936"/>
      </w:tblGrid>
      <w:tr w:rsidR="00D2524B" w14:paraId="4ED832AA" w14:textId="77777777" w:rsidTr="00D2524B">
        <w:trPr>
          <w:trHeight w:val="316"/>
        </w:trPr>
        <w:tc>
          <w:tcPr>
            <w:tcW w:w="3936" w:type="dxa"/>
            <w:tcBorders>
              <w:top w:val="nil"/>
              <w:left w:val="nil"/>
              <w:bottom w:val="single" w:sz="4" w:space="0" w:color="auto"/>
              <w:right w:val="nil"/>
            </w:tcBorders>
            <w:shd w:val="clear" w:color="auto" w:fill="auto"/>
            <w:vAlign w:val="center"/>
          </w:tcPr>
          <w:p w14:paraId="43D9C6BB" w14:textId="77777777" w:rsidR="00D2524B" w:rsidRPr="003F301D" w:rsidRDefault="003F301D" w:rsidP="00D2524B">
            <w:pPr>
              <w:jc w:val="center"/>
              <w:rPr>
                <w:rFonts w:cs="Times New Roman"/>
                <w:color w:val="FFFFFF"/>
                <w:sz w:val="2"/>
                <w:szCs w:val="2"/>
              </w:rPr>
            </w:pPr>
            <w:r w:rsidRPr="003F301D">
              <w:rPr>
                <w:rFonts w:cs="Times New Roman"/>
                <w:color w:val="FFFFFF"/>
                <w:sz w:val="2"/>
                <w:szCs w:val="2"/>
                <w:rtl/>
              </w:rPr>
              <w:t>54678313</w:t>
            </w:r>
          </w:p>
          <w:p w14:paraId="14A9BD84" w14:textId="77777777" w:rsidR="00D2524B" w:rsidRDefault="00D2524B" w:rsidP="00D2524B">
            <w:pPr>
              <w:jc w:val="center"/>
            </w:pPr>
          </w:p>
        </w:tc>
      </w:tr>
      <w:tr w:rsidR="00D2524B" w14:paraId="7CC2F477" w14:textId="77777777" w:rsidTr="00D2524B">
        <w:trPr>
          <w:trHeight w:val="361"/>
        </w:trPr>
        <w:tc>
          <w:tcPr>
            <w:tcW w:w="3936" w:type="dxa"/>
            <w:tcBorders>
              <w:top w:val="single" w:sz="4" w:space="0" w:color="auto"/>
              <w:left w:val="nil"/>
              <w:bottom w:val="nil"/>
              <w:right w:val="nil"/>
            </w:tcBorders>
            <w:shd w:val="clear" w:color="auto" w:fill="auto"/>
            <w:vAlign w:val="center"/>
          </w:tcPr>
          <w:p w14:paraId="571C890F" w14:textId="77777777" w:rsidR="00D2524B" w:rsidRPr="00D2524B" w:rsidRDefault="00D2524B" w:rsidP="00D2524B">
            <w:pPr>
              <w:jc w:val="center"/>
              <w:rPr>
                <w:b/>
                <w:bCs/>
                <w:rtl/>
              </w:rPr>
            </w:pPr>
            <w:r w:rsidRPr="00D2524B">
              <w:rPr>
                <w:rFonts w:hint="cs"/>
                <w:b/>
                <w:bCs/>
                <w:rtl/>
              </w:rPr>
              <w:t>אספרנצה אלון, שופטת</w:t>
            </w:r>
          </w:p>
        </w:tc>
      </w:tr>
    </w:tbl>
    <w:p w14:paraId="5E296846" w14:textId="77777777" w:rsidR="00D2524B" w:rsidRDefault="00D2524B" w:rsidP="00D2524B">
      <w:pPr>
        <w:rPr>
          <w:rtl/>
        </w:rPr>
      </w:pPr>
    </w:p>
    <w:p w14:paraId="759226C2" w14:textId="77777777" w:rsidR="00D2524B" w:rsidRDefault="00D2524B" w:rsidP="00D2524B">
      <w:pPr>
        <w:rPr>
          <w:rtl/>
        </w:rPr>
      </w:pPr>
    </w:p>
    <w:p w14:paraId="02E5DECF" w14:textId="77777777" w:rsidR="003F301D" w:rsidRDefault="003F301D" w:rsidP="003F301D">
      <w:pPr>
        <w:rPr>
          <w:rtl/>
        </w:rPr>
      </w:pPr>
    </w:p>
    <w:p w14:paraId="47A16844" w14:textId="77777777" w:rsidR="003F301D" w:rsidRDefault="003F301D" w:rsidP="003F301D">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1629D3F9" w14:textId="77777777" w:rsidR="00D47888" w:rsidRPr="00D47888" w:rsidRDefault="00D47888" w:rsidP="00D47888">
      <w:pPr>
        <w:keepNext/>
        <w:rPr>
          <w:rFonts w:ascii="David" w:hAnsi="David"/>
          <w:color w:val="000000"/>
          <w:sz w:val="22"/>
          <w:szCs w:val="22"/>
          <w:rtl/>
        </w:rPr>
      </w:pPr>
    </w:p>
    <w:p w14:paraId="5DB5A4B6" w14:textId="77777777" w:rsidR="00D47888" w:rsidRPr="00D47888" w:rsidRDefault="00D47888" w:rsidP="00D47888">
      <w:pPr>
        <w:keepNext/>
        <w:rPr>
          <w:rFonts w:ascii="David" w:hAnsi="David"/>
          <w:color w:val="000000"/>
          <w:sz w:val="22"/>
          <w:szCs w:val="22"/>
          <w:rtl/>
        </w:rPr>
      </w:pPr>
      <w:r w:rsidRPr="00D47888">
        <w:rPr>
          <w:rFonts w:ascii="David" w:hAnsi="David"/>
          <w:color w:val="000000"/>
          <w:sz w:val="22"/>
          <w:szCs w:val="22"/>
          <w:rtl/>
        </w:rPr>
        <w:t>אספרנצה אלון 54678313-/</w:t>
      </w:r>
    </w:p>
    <w:p w14:paraId="1C7CCF3C" w14:textId="77777777" w:rsidR="003F301D" w:rsidRPr="003F301D" w:rsidRDefault="00D47888" w:rsidP="00D47888">
      <w:pPr>
        <w:rPr>
          <w:color w:val="0000FF"/>
          <w:u w:val="single"/>
        </w:rPr>
      </w:pPr>
      <w:r w:rsidRPr="00D47888">
        <w:rPr>
          <w:color w:val="000000"/>
          <w:u w:val="single"/>
          <w:rtl/>
        </w:rPr>
        <w:t>נוסח מסמך זה כפוף לשינויי ניסוח ועריכה</w:t>
      </w:r>
    </w:p>
    <w:sectPr w:rsidR="003F301D" w:rsidRPr="003F301D" w:rsidSect="00D47888">
      <w:headerReference w:type="even" r:id="rId90"/>
      <w:headerReference w:type="default" r:id="rId91"/>
      <w:footerReference w:type="even" r:id="rId92"/>
      <w:footerReference w:type="default" r:id="rId93"/>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122C1" w14:textId="77777777" w:rsidR="00A4038E" w:rsidRDefault="00A4038E" w:rsidP="0064294B">
      <w:r>
        <w:separator/>
      </w:r>
    </w:p>
  </w:endnote>
  <w:endnote w:type="continuationSeparator" w:id="0">
    <w:p w14:paraId="5D0A78B6" w14:textId="77777777" w:rsidR="00A4038E" w:rsidRDefault="00A4038E" w:rsidP="0064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665D" w14:textId="77777777" w:rsidR="00D47888" w:rsidRDefault="00D47888" w:rsidP="00D478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5AC5F1" w14:textId="77777777" w:rsidR="00651B3E" w:rsidRPr="00D47888" w:rsidRDefault="00D47888" w:rsidP="00D47888">
    <w:pPr>
      <w:pStyle w:val="a5"/>
      <w:pBdr>
        <w:top w:val="single" w:sz="4" w:space="1" w:color="auto"/>
        <w:between w:val="single" w:sz="4" w:space="0" w:color="auto"/>
      </w:pBdr>
      <w:spacing w:after="60"/>
      <w:jc w:val="center"/>
      <w:rPr>
        <w:rFonts w:ascii="FrankRuehl" w:hAnsi="FrankRuehl" w:cs="FrankRuehl"/>
        <w:color w:val="000000"/>
      </w:rPr>
    </w:pPr>
    <w:r w:rsidRPr="00D478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F5B4D" w14:textId="77777777" w:rsidR="00D47888" w:rsidRDefault="00D47888" w:rsidP="00D478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1962">
      <w:rPr>
        <w:rFonts w:ascii="FrankRuehl" w:hAnsi="FrankRuehl" w:cs="FrankRuehl"/>
        <w:noProof/>
        <w:rtl/>
      </w:rPr>
      <w:t>1</w:t>
    </w:r>
    <w:r>
      <w:rPr>
        <w:rFonts w:ascii="FrankRuehl" w:hAnsi="FrankRuehl" w:cs="FrankRuehl"/>
        <w:rtl/>
      </w:rPr>
      <w:fldChar w:fldCharType="end"/>
    </w:r>
  </w:p>
  <w:p w14:paraId="5FEE81DF" w14:textId="77777777" w:rsidR="00651B3E" w:rsidRPr="00D47888" w:rsidRDefault="00D47888" w:rsidP="00D47888">
    <w:pPr>
      <w:pStyle w:val="a5"/>
      <w:pBdr>
        <w:top w:val="single" w:sz="4" w:space="1" w:color="auto"/>
        <w:between w:val="single" w:sz="4" w:space="0" w:color="auto"/>
      </w:pBdr>
      <w:spacing w:after="60"/>
      <w:jc w:val="center"/>
      <w:rPr>
        <w:rFonts w:ascii="FrankRuehl" w:hAnsi="FrankRuehl" w:cs="FrankRuehl"/>
        <w:color w:val="000000"/>
      </w:rPr>
    </w:pPr>
    <w:r w:rsidRPr="00D47888">
      <w:rPr>
        <w:rFonts w:ascii="FrankRuehl" w:hAnsi="FrankRuehl" w:cs="FrankRuehl"/>
        <w:color w:val="000000"/>
      </w:rPr>
      <w:pict w14:anchorId="77E2F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53144" w14:textId="77777777" w:rsidR="00A4038E" w:rsidRDefault="00A4038E" w:rsidP="0064294B">
      <w:r>
        <w:separator/>
      </w:r>
    </w:p>
  </w:footnote>
  <w:footnote w:type="continuationSeparator" w:id="0">
    <w:p w14:paraId="362A06A8" w14:textId="77777777" w:rsidR="00A4038E" w:rsidRDefault="00A4038E" w:rsidP="0064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47CF4" w14:textId="77777777" w:rsidR="003F301D" w:rsidRPr="00D47888" w:rsidRDefault="00D47888" w:rsidP="00D478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41830-12-21</w:t>
    </w:r>
    <w:r>
      <w:rPr>
        <w:rFonts w:ascii="David" w:hAnsi="David"/>
        <w:color w:val="000000"/>
        <w:sz w:val="22"/>
        <w:szCs w:val="22"/>
        <w:rtl/>
      </w:rPr>
      <w:tab/>
      <w:t xml:space="preserve"> מדינת ישראל נ' מהדי כנאנה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645AB" w14:textId="77777777" w:rsidR="003F301D" w:rsidRPr="00D47888" w:rsidRDefault="00D47888" w:rsidP="00D478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41830-12-21</w:t>
    </w:r>
    <w:r>
      <w:rPr>
        <w:rFonts w:ascii="David" w:hAnsi="David"/>
        <w:color w:val="000000"/>
        <w:sz w:val="22"/>
        <w:szCs w:val="22"/>
        <w:rtl/>
      </w:rPr>
      <w:tab/>
      <w:t xml:space="preserve"> מדינת ישראל נ' מהדי כנאנה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66B77"/>
    <w:multiLevelType w:val="hybridMultilevel"/>
    <w:tmpl w:val="F90E5160"/>
    <w:lvl w:ilvl="0" w:tplc="720A6124">
      <w:start w:val="18"/>
      <w:numFmt w:val="bullet"/>
      <w:lvlText w:val="-"/>
      <w:lvlJc w:val="left"/>
      <w:pPr>
        <w:ind w:left="720" w:hanging="360"/>
      </w:pPr>
      <w:rPr>
        <w:rFonts w:ascii="David" w:eastAsia="Calibr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7F2E7E"/>
    <w:multiLevelType w:val="multilevel"/>
    <w:tmpl w:val="EF2E7A10"/>
    <w:lvl w:ilvl="0">
      <w:start w:val="1"/>
      <w:numFmt w:val="decimal"/>
      <w:lvlText w:val="%1."/>
      <w:lvlJc w:val="left"/>
      <w:pPr>
        <w:ind w:left="720" w:hanging="360"/>
      </w:pPr>
      <w:rPr>
        <w:b w:val="0"/>
        <w:bCs w:val="0"/>
        <w:lang w:val="en-U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294397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926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24B"/>
    <w:rsid w:val="000222E4"/>
    <w:rsid w:val="000832E6"/>
    <w:rsid w:val="001B5A3B"/>
    <w:rsid w:val="00372230"/>
    <w:rsid w:val="003F301D"/>
    <w:rsid w:val="00405C75"/>
    <w:rsid w:val="00434EDC"/>
    <w:rsid w:val="004F2F60"/>
    <w:rsid w:val="00541962"/>
    <w:rsid w:val="0064294B"/>
    <w:rsid w:val="00651B3E"/>
    <w:rsid w:val="007A2B07"/>
    <w:rsid w:val="007C43D3"/>
    <w:rsid w:val="008C653D"/>
    <w:rsid w:val="00A4038E"/>
    <w:rsid w:val="00D2524B"/>
    <w:rsid w:val="00D47888"/>
    <w:rsid w:val="00F74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0925D4"/>
  <w15:chartTrackingRefBased/>
  <w15:docId w15:val="{9C2692C9-B3A5-4486-B953-13296F14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2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524B"/>
    <w:pPr>
      <w:tabs>
        <w:tab w:val="center" w:pos="4153"/>
        <w:tab w:val="right" w:pos="8306"/>
      </w:tabs>
    </w:pPr>
  </w:style>
  <w:style w:type="character" w:customStyle="1" w:styleId="a4">
    <w:name w:val="כותרת עליונה תו"/>
    <w:link w:val="a3"/>
    <w:rsid w:val="00D2524B"/>
    <w:rPr>
      <w:rFonts w:ascii="Times New Roman" w:eastAsia="Times New Roman" w:hAnsi="Times New Roman" w:cs="David"/>
      <w:sz w:val="24"/>
      <w:szCs w:val="24"/>
    </w:rPr>
  </w:style>
  <w:style w:type="paragraph" w:styleId="a5">
    <w:name w:val="footer"/>
    <w:basedOn w:val="a"/>
    <w:link w:val="a6"/>
    <w:rsid w:val="00D2524B"/>
    <w:pPr>
      <w:tabs>
        <w:tab w:val="center" w:pos="4153"/>
        <w:tab w:val="right" w:pos="8306"/>
      </w:tabs>
    </w:pPr>
  </w:style>
  <w:style w:type="character" w:customStyle="1" w:styleId="a6">
    <w:name w:val="כותרת תחתונה תו"/>
    <w:link w:val="a5"/>
    <w:rsid w:val="00D2524B"/>
    <w:rPr>
      <w:rFonts w:ascii="Times New Roman" w:eastAsia="Times New Roman" w:hAnsi="Times New Roman" w:cs="David"/>
      <w:sz w:val="24"/>
      <w:szCs w:val="24"/>
    </w:rPr>
  </w:style>
  <w:style w:type="table" w:styleId="a7">
    <w:name w:val="Table Grid"/>
    <w:basedOn w:val="a1"/>
    <w:rsid w:val="00D252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524B"/>
  </w:style>
  <w:style w:type="paragraph" w:styleId="a9">
    <w:name w:val="List Paragraph"/>
    <w:basedOn w:val="a"/>
    <w:qFormat/>
    <w:rsid w:val="00D2524B"/>
    <w:pPr>
      <w:spacing w:after="160" w:line="256" w:lineRule="auto"/>
      <w:ind w:left="720"/>
      <w:contextualSpacing/>
    </w:pPr>
    <w:rPr>
      <w:rFonts w:ascii="Calibri" w:eastAsia="Calibri" w:hAnsi="Calibri" w:cs="Arial"/>
      <w:sz w:val="22"/>
      <w:szCs w:val="22"/>
    </w:rPr>
  </w:style>
  <w:style w:type="paragraph" w:styleId="NormalWeb">
    <w:name w:val="Normal (Web)"/>
    <w:basedOn w:val="a"/>
    <w:rsid w:val="00D2524B"/>
    <w:pPr>
      <w:bidi w:val="0"/>
      <w:spacing w:before="100" w:beforeAutospacing="1" w:after="100" w:afterAutospacing="1"/>
    </w:pPr>
    <w:rPr>
      <w:rFonts w:cs="Times New Roman"/>
    </w:rPr>
  </w:style>
  <w:style w:type="character" w:styleId="aa">
    <w:name w:val="line number"/>
    <w:rsid w:val="00D2524B"/>
  </w:style>
  <w:style w:type="character" w:styleId="Hyperlink">
    <w:name w:val="Hyperlink"/>
    <w:rsid w:val="003F3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589532" TargetMode="External"/><Relationship Id="rId21" Type="http://schemas.openxmlformats.org/officeDocument/2006/relationships/hyperlink" Target="http://www.nevo.co.il/law/4216/7.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4501" TargetMode="External"/><Relationship Id="rId11" Type="http://schemas.openxmlformats.org/officeDocument/2006/relationships/hyperlink" Target="http://www.nevo.co.il/law/70301/275" TargetMode="External"/><Relationship Id="rId32" Type="http://schemas.openxmlformats.org/officeDocument/2006/relationships/hyperlink" Target="http://www.nevo.co.il/case/20612009" TargetMode="External"/><Relationship Id="rId37" Type="http://schemas.openxmlformats.org/officeDocument/2006/relationships/hyperlink" Target="http://www.nevo.co.il/case/5573417" TargetMode="External"/><Relationship Id="rId53" Type="http://schemas.openxmlformats.org/officeDocument/2006/relationships/hyperlink" Target="http://www.nevo.co.il/law/74501"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6654636"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144.b" TargetMode="External"/><Relationship Id="rId27" Type="http://schemas.openxmlformats.org/officeDocument/2006/relationships/hyperlink" Target="http://www.nevo.co.il/case/28049627" TargetMode="External"/><Relationship Id="rId43" Type="http://schemas.openxmlformats.org/officeDocument/2006/relationships/hyperlink" Target="http://www.nevo.co.il/case/20612009"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275" TargetMode="External"/><Relationship Id="rId69" Type="http://schemas.openxmlformats.org/officeDocument/2006/relationships/hyperlink" Target="http://www.nevo.co.il/law/4216/7.a.;7.c" TargetMode="External"/><Relationship Id="rId8" Type="http://schemas.openxmlformats.org/officeDocument/2006/relationships/hyperlink" Target="http://www.nevo.co.il/law/70301/144.a" TargetMode="External"/><Relationship Id="rId51" Type="http://schemas.openxmlformats.org/officeDocument/2006/relationships/hyperlink" Target="http://www.nevo.co.il/law/5227" TargetMode="External"/><Relationship Id="rId72" Type="http://schemas.openxmlformats.org/officeDocument/2006/relationships/hyperlink" Target="http://www.nevo.co.il/case/21474168" TargetMode="External"/><Relationship Id="rId80" Type="http://schemas.openxmlformats.org/officeDocument/2006/relationships/hyperlink" Target="http://www.nevo.co.il/law/70301/144.b" TargetMode="External"/><Relationship Id="rId85" Type="http://schemas.openxmlformats.org/officeDocument/2006/relationships/hyperlink" Target="http://www.nevo.co.il/law/70301/144.a"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38.a.1"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474168" TargetMode="External"/><Relationship Id="rId38" Type="http://schemas.openxmlformats.org/officeDocument/2006/relationships/hyperlink" Target="http://www.nevo.co.il/case/28266138" TargetMode="External"/><Relationship Id="rId46" Type="http://schemas.openxmlformats.org/officeDocument/2006/relationships/hyperlink" Target="http://www.nevo.co.il/case/22845529" TargetMode="External"/><Relationship Id="rId59" Type="http://schemas.openxmlformats.org/officeDocument/2006/relationships/hyperlink" Target="http://www.nevo.co.il/law/4216/7.a.;7.c" TargetMode="External"/><Relationship Id="rId67" Type="http://schemas.openxmlformats.org/officeDocument/2006/relationships/hyperlink" Target="http://www.nevo.co.il/law/70301/144.b"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7309272" TargetMode="External"/><Relationship Id="rId54" Type="http://schemas.openxmlformats.org/officeDocument/2006/relationships/hyperlink" Target="http://www.nevo.co.il/law/70301/338.a.1" TargetMode="External"/><Relationship Id="rId62" Type="http://schemas.openxmlformats.org/officeDocument/2006/relationships/hyperlink" Target="http://www.nevo.co.il/law/70301/144.b" TargetMode="External"/><Relationship Id="rId70" Type="http://schemas.openxmlformats.org/officeDocument/2006/relationships/hyperlink" Target="http://www.nevo.co.il/law/4216" TargetMode="External"/><Relationship Id="rId75" Type="http://schemas.openxmlformats.org/officeDocument/2006/relationships/hyperlink" Target="http://www.nevo.co.il/case/27087184" TargetMode="External"/><Relationship Id="rId83" Type="http://schemas.openxmlformats.org/officeDocument/2006/relationships/hyperlink" Target="http://www.nevo.co.il/law/70301/144.b" TargetMode="External"/><Relationship Id="rId88" Type="http://schemas.openxmlformats.org/officeDocument/2006/relationships/hyperlink" Target="http://www.nevo.co.il/law/70301/186.a"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911655" TargetMode="External"/><Relationship Id="rId36" Type="http://schemas.openxmlformats.org/officeDocument/2006/relationships/hyperlink" Target="http://www.nevo.co.il/case/26654636" TargetMode="External"/><Relationship Id="rId49" Type="http://schemas.openxmlformats.org/officeDocument/2006/relationships/hyperlink" Target="http://www.nevo.co.il/law/5227/10.a"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86.a" TargetMode="External"/><Relationship Id="rId31" Type="http://schemas.openxmlformats.org/officeDocument/2006/relationships/hyperlink" Target="http://www.nevo.co.il/case/22845529"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4501/2.a.;2.b" TargetMode="External"/><Relationship Id="rId60" Type="http://schemas.openxmlformats.org/officeDocument/2006/relationships/hyperlink" Target="http://www.nevo.co.il/law/4216" TargetMode="External"/><Relationship Id="rId65" Type="http://schemas.openxmlformats.org/officeDocument/2006/relationships/hyperlink" Target="http://www.nevo.co.il/case/28049627" TargetMode="External"/><Relationship Id="rId73" Type="http://schemas.openxmlformats.org/officeDocument/2006/relationships/hyperlink" Target="http://www.nevo.co.il/law/70301/144.b" TargetMode="External"/><Relationship Id="rId78" Type="http://schemas.openxmlformats.org/officeDocument/2006/relationships/hyperlink" Target="http://www.nevo.co.il/case/27911655"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144.b"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5227" TargetMode="External"/><Relationship Id="rId18" Type="http://schemas.openxmlformats.org/officeDocument/2006/relationships/hyperlink" Target="http://www.nevo.co.il/law/74501/2.b" TargetMode="External"/><Relationship Id="rId39" Type="http://schemas.openxmlformats.org/officeDocument/2006/relationships/hyperlink" Target="http://www.nevo.co.il/case/28384637" TargetMode="External"/><Relationship Id="rId34" Type="http://schemas.openxmlformats.org/officeDocument/2006/relationships/hyperlink" Target="http://www.nevo.co.il/case/21472954" TargetMode="External"/><Relationship Id="rId50" Type="http://schemas.openxmlformats.org/officeDocument/2006/relationships/hyperlink" Target="http://www.nevo.co.il/law/5227/63" TargetMode="External"/><Relationship Id="rId55" Type="http://schemas.openxmlformats.org/officeDocument/2006/relationships/hyperlink" Target="http://www.nevo.co.il/case/26589532" TargetMode="External"/><Relationship Id="rId7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1472954"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27087184"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case/28243273"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144.a"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26939409" TargetMode="External"/><Relationship Id="rId82" Type="http://schemas.openxmlformats.org/officeDocument/2006/relationships/hyperlink" Target="http://www.nevo.co.il/case/27447722" TargetMode="External"/><Relationship Id="rId19" Type="http://schemas.openxmlformats.org/officeDocument/2006/relationships/hyperlink" Target="http://www.nevo.co.il/law/4216" TargetMode="External"/><Relationship Id="rId14" Type="http://schemas.openxmlformats.org/officeDocument/2006/relationships/hyperlink" Target="http://www.nevo.co.il/law/5227/10.a" TargetMode="External"/><Relationship Id="rId30" Type="http://schemas.openxmlformats.org/officeDocument/2006/relationships/hyperlink" Target="http://www.nevo.co.il/case/26939409" TargetMode="External"/><Relationship Id="rId35" Type="http://schemas.openxmlformats.org/officeDocument/2006/relationships/hyperlink" Target="http://www.nevo.co.il/case/27447722"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4771</Words>
  <Characters>23855</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28569</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4390994</vt:i4>
      </vt:variant>
      <vt:variant>
        <vt:i4>243</vt:i4>
      </vt:variant>
      <vt:variant>
        <vt:i4>0</vt:i4>
      </vt:variant>
      <vt:variant>
        <vt:i4>5</vt:i4>
      </vt:variant>
      <vt:variant>
        <vt:lpwstr>http://www.nevo.co.il/law/70301/186.a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5177424</vt:i4>
      </vt:variant>
      <vt:variant>
        <vt:i4>237</vt:i4>
      </vt:variant>
      <vt:variant>
        <vt:i4>0</vt:i4>
      </vt:variant>
      <vt:variant>
        <vt:i4>5</vt:i4>
      </vt:variant>
      <vt:variant>
        <vt:lpwstr>http://www.nevo.co.il/law/70301/144.b</vt:lpwstr>
      </vt:variant>
      <vt:variant>
        <vt:lpwstr/>
      </vt:variant>
      <vt:variant>
        <vt:i4>5177424</vt:i4>
      </vt:variant>
      <vt:variant>
        <vt:i4>234</vt:i4>
      </vt:variant>
      <vt:variant>
        <vt:i4>0</vt:i4>
      </vt:variant>
      <vt:variant>
        <vt:i4>5</vt:i4>
      </vt:variant>
      <vt:variant>
        <vt:lpwstr>http://www.nevo.co.il/law/70301/144.a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5177424</vt:i4>
      </vt:variant>
      <vt:variant>
        <vt:i4>228</vt:i4>
      </vt:variant>
      <vt:variant>
        <vt:i4>0</vt:i4>
      </vt:variant>
      <vt:variant>
        <vt:i4>5</vt:i4>
      </vt:variant>
      <vt:variant>
        <vt:lpwstr>http://www.nevo.co.il/law/70301/144.b</vt:lpwstr>
      </vt:variant>
      <vt:variant>
        <vt:lpwstr/>
      </vt:variant>
      <vt:variant>
        <vt:i4>3342448</vt:i4>
      </vt:variant>
      <vt:variant>
        <vt:i4>225</vt:i4>
      </vt:variant>
      <vt:variant>
        <vt:i4>0</vt:i4>
      </vt:variant>
      <vt:variant>
        <vt:i4>5</vt:i4>
      </vt:variant>
      <vt:variant>
        <vt:lpwstr>http://www.nevo.co.il/case/27447722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http://www.nevo.co.il/law/70301/144.b</vt:lpwstr>
      </vt:variant>
      <vt:variant>
        <vt:lpwstr/>
      </vt:variant>
      <vt:variant>
        <vt:i4>3342449</vt:i4>
      </vt:variant>
      <vt:variant>
        <vt:i4>216</vt:i4>
      </vt:variant>
      <vt:variant>
        <vt:i4>0</vt:i4>
      </vt:variant>
      <vt:variant>
        <vt:i4>5</vt:i4>
      </vt:variant>
      <vt:variant>
        <vt:lpwstr>http://www.nevo.co.il/case/26654636</vt:lpwstr>
      </vt:variant>
      <vt:variant>
        <vt:lpwstr/>
      </vt:variant>
      <vt:variant>
        <vt:i4>4128884</vt:i4>
      </vt:variant>
      <vt:variant>
        <vt:i4>213</vt:i4>
      </vt:variant>
      <vt:variant>
        <vt:i4>0</vt:i4>
      </vt:variant>
      <vt:variant>
        <vt:i4>5</vt:i4>
      </vt:variant>
      <vt:variant>
        <vt:lpwstr>http://www.nevo.co.il/case/27911655</vt:lpwstr>
      </vt:variant>
      <vt:variant>
        <vt:lpwstr/>
      </vt:variant>
      <vt:variant>
        <vt:i4>7995492</vt:i4>
      </vt:variant>
      <vt:variant>
        <vt:i4>210</vt:i4>
      </vt:variant>
      <vt:variant>
        <vt:i4>0</vt:i4>
      </vt:variant>
      <vt:variant>
        <vt:i4>5</vt:i4>
      </vt:variant>
      <vt:variant>
        <vt:lpwstr>http://www.nevo.co.il/law/70301</vt:lpwstr>
      </vt:variant>
      <vt:variant>
        <vt:lpwstr/>
      </vt:variant>
      <vt:variant>
        <vt:i4>5177424</vt:i4>
      </vt:variant>
      <vt:variant>
        <vt:i4>207</vt:i4>
      </vt:variant>
      <vt:variant>
        <vt:i4>0</vt:i4>
      </vt:variant>
      <vt:variant>
        <vt:i4>5</vt:i4>
      </vt:variant>
      <vt:variant>
        <vt:lpwstr>http://www.nevo.co.il/law/70301/144.b</vt:lpwstr>
      </vt:variant>
      <vt:variant>
        <vt:lpwstr/>
      </vt:variant>
      <vt:variant>
        <vt:i4>3997818</vt:i4>
      </vt:variant>
      <vt:variant>
        <vt:i4>204</vt:i4>
      </vt:variant>
      <vt:variant>
        <vt:i4>0</vt:i4>
      </vt:variant>
      <vt:variant>
        <vt:i4>5</vt:i4>
      </vt:variant>
      <vt:variant>
        <vt:lpwstr>http://www.nevo.co.il/case/27087184</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5177424</vt:i4>
      </vt:variant>
      <vt:variant>
        <vt:i4>198</vt:i4>
      </vt:variant>
      <vt:variant>
        <vt:i4>0</vt:i4>
      </vt:variant>
      <vt:variant>
        <vt:i4>5</vt:i4>
      </vt:variant>
      <vt:variant>
        <vt:lpwstr>http://www.nevo.co.il/law/70301/144.b</vt:lpwstr>
      </vt:variant>
      <vt:variant>
        <vt:lpwstr/>
      </vt:variant>
      <vt:variant>
        <vt:i4>3407987</vt:i4>
      </vt:variant>
      <vt:variant>
        <vt:i4>195</vt:i4>
      </vt:variant>
      <vt:variant>
        <vt:i4>0</vt:i4>
      </vt:variant>
      <vt:variant>
        <vt:i4>5</vt:i4>
      </vt:variant>
      <vt:variant>
        <vt:lpwstr>http://www.nevo.co.il/case/21474168</vt:lpwstr>
      </vt:variant>
      <vt:variant>
        <vt:lpwstr/>
      </vt:variant>
      <vt:variant>
        <vt:i4>3211387</vt:i4>
      </vt:variant>
      <vt:variant>
        <vt:i4>192</vt:i4>
      </vt:variant>
      <vt:variant>
        <vt:i4>0</vt:i4>
      </vt:variant>
      <vt:variant>
        <vt:i4>5</vt:i4>
      </vt:variant>
      <vt:variant>
        <vt:lpwstr>http://www.nevo.co.il/case/21472954</vt:lpwstr>
      </vt:variant>
      <vt:variant>
        <vt:lpwstr/>
      </vt:variant>
      <vt:variant>
        <vt:i4>8257637</vt:i4>
      </vt:variant>
      <vt:variant>
        <vt:i4>189</vt:i4>
      </vt:variant>
      <vt:variant>
        <vt:i4>0</vt:i4>
      </vt:variant>
      <vt:variant>
        <vt:i4>5</vt:i4>
      </vt:variant>
      <vt:variant>
        <vt:lpwstr>http://www.nevo.co.il/law/4216</vt:lpwstr>
      </vt:variant>
      <vt:variant>
        <vt:lpwstr/>
      </vt:variant>
      <vt:variant>
        <vt:i4>3997821</vt:i4>
      </vt:variant>
      <vt:variant>
        <vt:i4>186</vt:i4>
      </vt:variant>
      <vt:variant>
        <vt:i4>0</vt:i4>
      </vt:variant>
      <vt:variant>
        <vt:i4>5</vt:i4>
      </vt:variant>
      <vt:variant>
        <vt:lpwstr>http://www.nevo.co.il/law/4216/7.a.;7.c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5177424</vt:i4>
      </vt:variant>
      <vt:variant>
        <vt:i4>180</vt:i4>
      </vt:variant>
      <vt:variant>
        <vt:i4>0</vt:i4>
      </vt:variant>
      <vt:variant>
        <vt:i4>5</vt:i4>
      </vt:variant>
      <vt:variant>
        <vt:lpwstr>http://www.nevo.co.il/law/70301/144.b</vt:lpwstr>
      </vt:variant>
      <vt:variant>
        <vt:lpwstr/>
      </vt:variant>
      <vt:variant>
        <vt:i4>5177424</vt:i4>
      </vt:variant>
      <vt:variant>
        <vt:i4>177</vt:i4>
      </vt:variant>
      <vt:variant>
        <vt:i4>0</vt:i4>
      </vt:variant>
      <vt:variant>
        <vt:i4>5</vt:i4>
      </vt:variant>
      <vt:variant>
        <vt:lpwstr>http://www.nevo.co.il/law/70301/144.a</vt:lpwstr>
      </vt:variant>
      <vt:variant>
        <vt:lpwstr/>
      </vt:variant>
      <vt:variant>
        <vt:i4>3735678</vt:i4>
      </vt:variant>
      <vt:variant>
        <vt:i4>174</vt:i4>
      </vt:variant>
      <vt:variant>
        <vt:i4>0</vt:i4>
      </vt:variant>
      <vt:variant>
        <vt:i4>5</vt:i4>
      </vt:variant>
      <vt:variant>
        <vt:lpwstr>http://www.nevo.co.il/case/28049627</vt:lpwstr>
      </vt:variant>
      <vt:variant>
        <vt:lpwstr/>
      </vt:variant>
      <vt:variant>
        <vt:i4>6422631</vt:i4>
      </vt:variant>
      <vt:variant>
        <vt:i4>171</vt:i4>
      </vt:variant>
      <vt:variant>
        <vt:i4>0</vt:i4>
      </vt:variant>
      <vt:variant>
        <vt:i4>5</vt:i4>
      </vt:variant>
      <vt:variant>
        <vt:lpwstr>http://www.nevo.co.il/law/70301/275</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3276917</vt:i4>
      </vt:variant>
      <vt:variant>
        <vt:i4>162</vt:i4>
      </vt:variant>
      <vt:variant>
        <vt:i4>0</vt:i4>
      </vt:variant>
      <vt:variant>
        <vt:i4>5</vt:i4>
      </vt:variant>
      <vt:variant>
        <vt:lpwstr>http://www.nevo.co.il/case/26939409</vt:lpwstr>
      </vt:variant>
      <vt:variant>
        <vt:lpwstr/>
      </vt:variant>
      <vt:variant>
        <vt:i4>8257637</vt:i4>
      </vt:variant>
      <vt:variant>
        <vt:i4>159</vt:i4>
      </vt:variant>
      <vt:variant>
        <vt:i4>0</vt:i4>
      </vt:variant>
      <vt:variant>
        <vt:i4>5</vt:i4>
      </vt:variant>
      <vt:variant>
        <vt:lpwstr>http://www.nevo.co.il/law/4216</vt:lpwstr>
      </vt:variant>
      <vt:variant>
        <vt:lpwstr/>
      </vt:variant>
      <vt:variant>
        <vt:i4>3997821</vt:i4>
      </vt:variant>
      <vt:variant>
        <vt:i4>156</vt:i4>
      </vt:variant>
      <vt:variant>
        <vt:i4>0</vt:i4>
      </vt:variant>
      <vt:variant>
        <vt:i4>5</vt:i4>
      </vt:variant>
      <vt:variant>
        <vt:lpwstr>http://www.nevo.co.il/law/4216/7.a.;7.c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3997823</vt:i4>
      </vt:variant>
      <vt:variant>
        <vt:i4>144</vt:i4>
      </vt:variant>
      <vt:variant>
        <vt:i4>0</vt:i4>
      </vt:variant>
      <vt:variant>
        <vt:i4>5</vt:i4>
      </vt:variant>
      <vt:variant>
        <vt:lpwstr>http://www.nevo.co.il/case/26589532</vt:lpwstr>
      </vt:variant>
      <vt:variant>
        <vt:lpwstr/>
      </vt:variant>
      <vt:variant>
        <vt:i4>6684735</vt:i4>
      </vt:variant>
      <vt:variant>
        <vt:i4>141</vt:i4>
      </vt:variant>
      <vt:variant>
        <vt:i4>0</vt:i4>
      </vt:variant>
      <vt:variant>
        <vt:i4>5</vt:i4>
      </vt:variant>
      <vt:variant>
        <vt:lpwstr>http://www.nevo.co.il/law/70301/338.a.1</vt:lpwstr>
      </vt:variant>
      <vt:variant>
        <vt:lpwstr/>
      </vt:variant>
      <vt:variant>
        <vt:i4>8257634</vt:i4>
      </vt:variant>
      <vt:variant>
        <vt:i4>138</vt:i4>
      </vt:variant>
      <vt:variant>
        <vt:i4>0</vt:i4>
      </vt:variant>
      <vt:variant>
        <vt:i4>5</vt:i4>
      </vt:variant>
      <vt:variant>
        <vt:lpwstr>http://www.nevo.co.il/law/74501</vt:lpwstr>
      </vt:variant>
      <vt:variant>
        <vt:lpwstr/>
      </vt:variant>
      <vt:variant>
        <vt:i4>65557</vt:i4>
      </vt:variant>
      <vt:variant>
        <vt:i4>135</vt:i4>
      </vt:variant>
      <vt:variant>
        <vt:i4>0</vt:i4>
      </vt:variant>
      <vt:variant>
        <vt:i4>5</vt:i4>
      </vt:variant>
      <vt:variant>
        <vt:lpwstr>http://www.nevo.co.il/law/74501/2.a.;2.b</vt:lpwstr>
      </vt:variant>
      <vt:variant>
        <vt:lpwstr/>
      </vt:variant>
      <vt:variant>
        <vt:i4>8323175</vt:i4>
      </vt:variant>
      <vt:variant>
        <vt:i4>132</vt:i4>
      </vt:variant>
      <vt:variant>
        <vt:i4>0</vt:i4>
      </vt:variant>
      <vt:variant>
        <vt:i4>5</vt:i4>
      </vt:variant>
      <vt:variant>
        <vt:lpwstr>http://www.nevo.co.il/law/5227</vt:lpwstr>
      </vt:variant>
      <vt:variant>
        <vt:lpwstr/>
      </vt:variant>
      <vt:variant>
        <vt:i4>4784200</vt:i4>
      </vt:variant>
      <vt:variant>
        <vt:i4>129</vt:i4>
      </vt:variant>
      <vt:variant>
        <vt:i4>0</vt:i4>
      </vt:variant>
      <vt:variant>
        <vt:i4>5</vt:i4>
      </vt:variant>
      <vt:variant>
        <vt:lpwstr>http://www.nevo.co.il/law/5227/63</vt:lpwstr>
      </vt:variant>
      <vt:variant>
        <vt:lpwstr/>
      </vt:variant>
      <vt:variant>
        <vt:i4>6291576</vt:i4>
      </vt:variant>
      <vt:variant>
        <vt:i4>126</vt:i4>
      </vt:variant>
      <vt:variant>
        <vt:i4>0</vt:i4>
      </vt:variant>
      <vt:variant>
        <vt:i4>5</vt:i4>
      </vt:variant>
      <vt:variant>
        <vt:lpwstr>http://www.nevo.co.il/law/5227/10.a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3997815</vt:i4>
      </vt:variant>
      <vt:variant>
        <vt:i4>117</vt:i4>
      </vt:variant>
      <vt:variant>
        <vt:i4>0</vt:i4>
      </vt:variant>
      <vt:variant>
        <vt:i4>5</vt:i4>
      </vt:variant>
      <vt:variant>
        <vt:lpwstr>http://www.nevo.co.il/case/22845529</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3539061</vt:i4>
      </vt:variant>
      <vt:variant>
        <vt:i4>108</vt:i4>
      </vt:variant>
      <vt:variant>
        <vt:i4>0</vt:i4>
      </vt:variant>
      <vt:variant>
        <vt:i4>5</vt:i4>
      </vt:variant>
      <vt:variant>
        <vt:lpwstr>http://www.nevo.co.il/case/20612009</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3539058</vt:i4>
      </vt:variant>
      <vt:variant>
        <vt:i4>96</vt:i4>
      </vt:variant>
      <vt:variant>
        <vt:i4>0</vt:i4>
      </vt:variant>
      <vt:variant>
        <vt:i4>5</vt:i4>
      </vt:variant>
      <vt:variant>
        <vt:lpwstr>http://www.nevo.co.il/case/28384637</vt:lpwstr>
      </vt:variant>
      <vt:variant>
        <vt:lpwstr/>
      </vt:variant>
      <vt:variant>
        <vt:i4>3473531</vt:i4>
      </vt:variant>
      <vt:variant>
        <vt:i4>93</vt:i4>
      </vt:variant>
      <vt:variant>
        <vt:i4>0</vt:i4>
      </vt:variant>
      <vt:variant>
        <vt:i4>5</vt:i4>
      </vt:variant>
      <vt:variant>
        <vt:lpwstr>http://www.nevo.co.il/case/28266138</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3342449</vt:i4>
      </vt:variant>
      <vt:variant>
        <vt:i4>87</vt:i4>
      </vt:variant>
      <vt:variant>
        <vt:i4>0</vt:i4>
      </vt:variant>
      <vt:variant>
        <vt:i4>5</vt:i4>
      </vt:variant>
      <vt:variant>
        <vt:lpwstr>http://www.nevo.co.il/case/26654636</vt:lpwstr>
      </vt:variant>
      <vt:variant>
        <vt:lpwstr/>
      </vt:variant>
      <vt:variant>
        <vt:i4>3342448</vt:i4>
      </vt:variant>
      <vt:variant>
        <vt:i4>84</vt:i4>
      </vt:variant>
      <vt:variant>
        <vt:i4>0</vt:i4>
      </vt:variant>
      <vt:variant>
        <vt:i4>5</vt:i4>
      </vt:variant>
      <vt:variant>
        <vt:lpwstr>http://www.nevo.co.il/case/27447722</vt:lpwstr>
      </vt:variant>
      <vt:variant>
        <vt:lpwstr/>
      </vt:variant>
      <vt:variant>
        <vt:i4>3211387</vt:i4>
      </vt:variant>
      <vt:variant>
        <vt:i4>81</vt:i4>
      </vt:variant>
      <vt:variant>
        <vt:i4>0</vt:i4>
      </vt:variant>
      <vt:variant>
        <vt:i4>5</vt:i4>
      </vt:variant>
      <vt:variant>
        <vt:lpwstr>http://www.nevo.co.il/case/21472954</vt:lpwstr>
      </vt:variant>
      <vt:variant>
        <vt:lpwstr/>
      </vt:variant>
      <vt:variant>
        <vt:i4>3407987</vt:i4>
      </vt:variant>
      <vt:variant>
        <vt:i4>78</vt:i4>
      </vt:variant>
      <vt:variant>
        <vt:i4>0</vt:i4>
      </vt:variant>
      <vt:variant>
        <vt:i4>5</vt:i4>
      </vt:variant>
      <vt:variant>
        <vt:lpwstr>http://www.nevo.co.il/case/21474168</vt:lpwstr>
      </vt:variant>
      <vt:variant>
        <vt:lpwstr/>
      </vt:variant>
      <vt:variant>
        <vt:i4>3539061</vt:i4>
      </vt:variant>
      <vt:variant>
        <vt:i4>75</vt:i4>
      </vt:variant>
      <vt:variant>
        <vt:i4>0</vt:i4>
      </vt:variant>
      <vt:variant>
        <vt:i4>5</vt:i4>
      </vt:variant>
      <vt:variant>
        <vt:lpwstr>http://www.nevo.co.il/case/20612009</vt:lpwstr>
      </vt:variant>
      <vt:variant>
        <vt:lpwstr/>
      </vt:variant>
      <vt:variant>
        <vt:i4>3997815</vt:i4>
      </vt:variant>
      <vt:variant>
        <vt:i4>72</vt:i4>
      </vt:variant>
      <vt:variant>
        <vt:i4>0</vt:i4>
      </vt:variant>
      <vt:variant>
        <vt:i4>5</vt:i4>
      </vt:variant>
      <vt:variant>
        <vt:lpwstr>http://www.nevo.co.il/case/22845529</vt:lpwstr>
      </vt:variant>
      <vt:variant>
        <vt:lpwstr/>
      </vt:variant>
      <vt:variant>
        <vt:i4>3276917</vt:i4>
      </vt:variant>
      <vt:variant>
        <vt:i4>69</vt:i4>
      </vt:variant>
      <vt:variant>
        <vt:i4>0</vt:i4>
      </vt:variant>
      <vt:variant>
        <vt:i4>5</vt:i4>
      </vt:variant>
      <vt:variant>
        <vt:lpwstr>http://www.nevo.co.il/case/26939409</vt:lpwstr>
      </vt:variant>
      <vt:variant>
        <vt:lpwstr/>
      </vt:variant>
      <vt:variant>
        <vt:i4>3997818</vt:i4>
      </vt:variant>
      <vt:variant>
        <vt:i4>66</vt:i4>
      </vt:variant>
      <vt:variant>
        <vt:i4>0</vt:i4>
      </vt:variant>
      <vt:variant>
        <vt:i4>5</vt:i4>
      </vt:variant>
      <vt:variant>
        <vt:lpwstr>http://www.nevo.co.il/case/27087184</vt:lpwstr>
      </vt:variant>
      <vt:variant>
        <vt:lpwstr/>
      </vt:variant>
      <vt:variant>
        <vt:i4>4128884</vt:i4>
      </vt:variant>
      <vt:variant>
        <vt:i4>63</vt:i4>
      </vt:variant>
      <vt:variant>
        <vt:i4>0</vt:i4>
      </vt:variant>
      <vt:variant>
        <vt:i4>5</vt:i4>
      </vt:variant>
      <vt:variant>
        <vt:lpwstr>http://www.nevo.co.il/case/27911655</vt:lpwstr>
      </vt:variant>
      <vt:variant>
        <vt:lpwstr/>
      </vt:variant>
      <vt:variant>
        <vt:i4>3735678</vt:i4>
      </vt:variant>
      <vt:variant>
        <vt:i4>60</vt:i4>
      </vt:variant>
      <vt:variant>
        <vt:i4>0</vt:i4>
      </vt:variant>
      <vt:variant>
        <vt:i4>5</vt:i4>
      </vt:variant>
      <vt:variant>
        <vt:lpwstr>http://www.nevo.co.il/case/28049627</vt:lpwstr>
      </vt:variant>
      <vt:variant>
        <vt:lpwstr/>
      </vt:variant>
      <vt:variant>
        <vt:i4>3997823</vt:i4>
      </vt:variant>
      <vt:variant>
        <vt:i4>57</vt:i4>
      </vt:variant>
      <vt:variant>
        <vt:i4>0</vt:i4>
      </vt:variant>
      <vt:variant>
        <vt:i4>5</vt:i4>
      </vt:variant>
      <vt:variant>
        <vt:lpwstr>http://www.nevo.co.il/case/26589532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8323169</vt:i4>
      </vt:variant>
      <vt:variant>
        <vt:i4>33</vt:i4>
      </vt:variant>
      <vt:variant>
        <vt:i4>0</vt:i4>
      </vt:variant>
      <vt:variant>
        <vt:i4>5</vt:i4>
      </vt:variant>
      <vt:variant>
        <vt:lpwstr>http://www.nevo.co.il/law/74501/2.b</vt:lpwstr>
      </vt:variant>
      <vt:variant>
        <vt:lpwstr/>
      </vt:variant>
      <vt:variant>
        <vt:i4>5308416</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http://www.nevo.co.il/law/5227/63</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מהדי כנאנה</vt:lpwstr>
  </property>
  <property fmtid="{D5CDD505-2E9C-101B-9397-08002B2CF9AE}" pid="10" name="LAWYER">
    <vt:lpwstr>עלי סעדי</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20220714</vt:lpwstr>
  </property>
  <property fmtid="{D5CDD505-2E9C-101B-9397-08002B2CF9AE}" pid="14" name="TYPE_N_DATE">
    <vt:lpwstr>39020220714</vt:lpwstr>
  </property>
  <property fmtid="{D5CDD505-2E9C-101B-9397-08002B2CF9AE}" pid="15" name="WORDNUMPAGES">
    <vt:lpwstr>11</vt:lpwstr>
  </property>
  <property fmtid="{D5CDD505-2E9C-101B-9397-08002B2CF9AE}" pid="16" name="TYPE_ABS_DATE">
    <vt:lpwstr>390020220714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26589532:2;28049627:2;27911655:2;27087184:2;26939409:2;22845529:2;20612009:2;21474168:2;21472954:2;27447722:2;26654636:2;5573417;28266138;28384637;28243273;27309272</vt:lpwstr>
  </property>
  <property fmtid="{D5CDD505-2E9C-101B-9397-08002B2CF9AE}" pid="36" name="LAWLISTTMP1">
    <vt:lpwstr>70301/144.b:12;338.a.1;144.a:3;275;186.a</vt:lpwstr>
  </property>
  <property fmtid="{D5CDD505-2E9C-101B-9397-08002B2CF9AE}" pid="37" name="LAWLISTTMP2">
    <vt:lpwstr>5227/010.a;063</vt:lpwstr>
  </property>
  <property fmtid="{D5CDD505-2E9C-101B-9397-08002B2CF9AE}" pid="38" name="LAWLISTTMP3">
    <vt:lpwstr>74501/002.a;002.b</vt:lpwstr>
  </property>
  <property fmtid="{D5CDD505-2E9C-101B-9397-08002B2CF9AE}" pid="39" name="LAWLISTTMP4">
    <vt:lpwstr>4216/007.a:2;007.c:2</vt:lpwstr>
  </property>
</Properties>
</file>