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0215E" w:rsidRPr="0008660D" w14:paraId="4F3F0FA7" w14:textId="77777777" w:rsidTr="00BB07B8">
        <w:trPr>
          <w:trHeight w:hRule="exact" w:val="418"/>
          <w:jc w:val="center"/>
        </w:trPr>
        <w:tc>
          <w:tcPr>
            <w:tcW w:w="8721" w:type="dxa"/>
            <w:gridSpan w:val="2"/>
          </w:tcPr>
          <w:p w14:paraId="0F01B30F" w14:textId="77777777" w:rsidR="0010215E" w:rsidRPr="0008660D" w:rsidRDefault="0010215E" w:rsidP="00B07C1D">
            <w:pPr>
              <w:pStyle w:val="a3"/>
              <w:jc w:val="center"/>
              <w:rPr>
                <w:rFonts w:ascii="Tahoma" w:hAnsi="Tahoma"/>
                <w:color w:val="000080"/>
                <w:sz w:val="32"/>
                <w:szCs w:val="32"/>
                <w:rtl/>
              </w:rPr>
            </w:pPr>
            <w:bookmarkStart w:id="0" w:name="LastJudge"/>
            <w:r w:rsidRPr="0008660D">
              <w:rPr>
                <w:rFonts w:ascii="Tahoma" w:hAnsi="Tahoma"/>
                <w:b/>
                <w:bCs/>
                <w:color w:val="000080"/>
                <w:sz w:val="32"/>
                <w:szCs w:val="32"/>
                <w:rtl/>
              </w:rPr>
              <w:t>בית המשפט המחוזי בתל אביב - יפו</w:t>
            </w:r>
          </w:p>
        </w:tc>
      </w:tr>
      <w:tr w:rsidR="0010215E" w:rsidRPr="0008660D" w14:paraId="17A0AD33" w14:textId="77777777" w:rsidTr="00BB07B8">
        <w:trPr>
          <w:trHeight w:val="337"/>
          <w:jc w:val="center"/>
        </w:trPr>
        <w:tc>
          <w:tcPr>
            <w:tcW w:w="5054" w:type="dxa"/>
          </w:tcPr>
          <w:p w14:paraId="41486544" w14:textId="77777777" w:rsidR="0010215E" w:rsidRPr="0008660D" w:rsidRDefault="0010215E" w:rsidP="00B07C1D">
            <w:pPr>
              <w:rPr>
                <w:sz w:val="26"/>
                <w:szCs w:val="26"/>
                <w:rtl/>
              </w:rPr>
            </w:pPr>
            <w:r w:rsidRPr="0008660D">
              <w:rPr>
                <w:sz w:val="26"/>
                <w:szCs w:val="26"/>
                <w:rtl/>
              </w:rPr>
              <w:t>ת"פ</w:t>
            </w:r>
            <w:r w:rsidRPr="0008660D">
              <w:rPr>
                <w:rFonts w:hint="cs"/>
                <w:sz w:val="26"/>
                <w:szCs w:val="26"/>
                <w:rtl/>
              </w:rPr>
              <w:t xml:space="preserve"> </w:t>
            </w:r>
            <w:r w:rsidRPr="0008660D">
              <w:rPr>
                <w:sz w:val="26"/>
                <w:szCs w:val="26"/>
                <w:rtl/>
              </w:rPr>
              <w:t>42162-12-21</w:t>
            </w:r>
            <w:r w:rsidRPr="0008660D">
              <w:rPr>
                <w:rFonts w:hint="cs"/>
                <w:sz w:val="26"/>
                <w:szCs w:val="26"/>
                <w:rtl/>
              </w:rPr>
              <w:t xml:space="preserve"> </w:t>
            </w:r>
            <w:r w:rsidRPr="0008660D">
              <w:rPr>
                <w:sz w:val="26"/>
                <w:szCs w:val="26"/>
                <w:rtl/>
              </w:rPr>
              <w:t>מדינת ישראל נ' בן גלים</w:t>
            </w:r>
          </w:p>
          <w:p w14:paraId="1161B540" w14:textId="77777777" w:rsidR="0010215E" w:rsidRPr="0008660D" w:rsidRDefault="0010215E" w:rsidP="00B07C1D">
            <w:pPr>
              <w:pStyle w:val="a3"/>
              <w:rPr>
                <w:rFonts w:cs="FrankRuehl"/>
                <w:sz w:val="28"/>
                <w:szCs w:val="28"/>
                <w:rtl/>
              </w:rPr>
            </w:pPr>
          </w:p>
        </w:tc>
        <w:tc>
          <w:tcPr>
            <w:tcW w:w="3667" w:type="dxa"/>
          </w:tcPr>
          <w:p w14:paraId="6C732007" w14:textId="77777777" w:rsidR="0010215E" w:rsidRPr="0008660D" w:rsidRDefault="0010215E" w:rsidP="00B07C1D">
            <w:pPr>
              <w:pStyle w:val="a3"/>
              <w:jc w:val="right"/>
              <w:rPr>
                <w:rFonts w:cs="FrankRuehl"/>
                <w:sz w:val="28"/>
                <w:szCs w:val="28"/>
                <w:rtl/>
              </w:rPr>
            </w:pPr>
          </w:p>
        </w:tc>
      </w:tr>
    </w:tbl>
    <w:p w14:paraId="0A212C5C" w14:textId="77777777" w:rsidR="0010215E" w:rsidRPr="0008660D" w:rsidRDefault="0010215E" w:rsidP="0010215E">
      <w:pPr>
        <w:pStyle w:val="a3"/>
        <w:rPr>
          <w:rtl/>
        </w:rPr>
      </w:pPr>
      <w:r w:rsidRPr="0008660D">
        <w:rPr>
          <w:rFonts w:hint="cs"/>
          <w:rtl/>
        </w:rPr>
        <w:t xml:space="preserve"> </w:t>
      </w:r>
    </w:p>
    <w:p w14:paraId="35AF8D0E" w14:textId="77777777" w:rsidR="0010215E" w:rsidRPr="0008660D" w:rsidRDefault="0010215E" w:rsidP="0010215E">
      <w:pPr>
        <w:rPr>
          <w:rtl/>
        </w:rPr>
      </w:pPr>
    </w:p>
    <w:p w14:paraId="2AC31E71" w14:textId="77777777" w:rsidR="0010215E" w:rsidRPr="0008660D" w:rsidRDefault="0010215E" w:rsidP="0010215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36"/>
        <w:gridCol w:w="3353"/>
      </w:tblGrid>
      <w:tr w:rsidR="0010215E" w:rsidRPr="0008660D" w14:paraId="687CA041" w14:textId="77777777" w:rsidTr="00BB07B8">
        <w:trPr>
          <w:trHeight w:val="295"/>
          <w:jc w:val="center"/>
        </w:trPr>
        <w:tc>
          <w:tcPr>
            <w:tcW w:w="1231" w:type="dxa"/>
            <w:tcBorders>
              <w:top w:val="nil"/>
              <w:left w:val="nil"/>
              <w:bottom w:val="nil"/>
              <w:right w:val="nil"/>
            </w:tcBorders>
            <w:shd w:val="clear" w:color="auto" w:fill="auto"/>
          </w:tcPr>
          <w:p w14:paraId="1A738C0D" w14:textId="77777777" w:rsidR="0010215E" w:rsidRPr="0008660D" w:rsidRDefault="0010215E" w:rsidP="0010215E">
            <w:pPr>
              <w:jc w:val="both"/>
              <w:rPr>
                <w:rFonts w:ascii="Arial" w:hAnsi="Arial"/>
                <w:b/>
                <w:bCs/>
                <w:sz w:val="26"/>
                <w:szCs w:val="26"/>
              </w:rPr>
            </w:pPr>
            <w:r w:rsidRPr="0008660D">
              <w:rPr>
                <w:rFonts w:ascii="Arial" w:hAnsi="Arial" w:hint="cs"/>
                <w:b/>
                <w:bCs/>
                <w:sz w:val="26"/>
                <w:szCs w:val="26"/>
                <w:rtl/>
              </w:rPr>
              <w:t>ל</w:t>
            </w:r>
            <w:r w:rsidRPr="0008660D">
              <w:rPr>
                <w:rFonts w:ascii="Arial" w:hAnsi="Arial"/>
                <w:b/>
                <w:bCs/>
                <w:sz w:val="26"/>
                <w:szCs w:val="26"/>
                <w:rtl/>
              </w:rPr>
              <w:t xml:space="preserve">פני </w:t>
            </w:r>
          </w:p>
        </w:tc>
        <w:tc>
          <w:tcPr>
            <w:tcW w:w="7589" w:type="dxa"/>
            <w:gridSpan w:val="2"/>
            <w:tcBorders>
              <w:top w:val="nil"/>
              <w:left w:val="nil"/>
              <w:bottom w:val="nil"/>
              <w:right w:val="nil"/>
            </w:tcBorders>
            <w:shd w:val="clear" w:color="auto" w:fill="auto"/>
          </w:tcPr>
          <w:p w14:paraId="5DD08EA3" w14:textId="77777777" w:rsidR="0010215E" w:rsidRPr="0008660D" w:rsidRDefault="0010215E" w:rsidP="00B07C1D">
            <w:pPr>
              <w:rPr>
                <w:rFonts w:ascii="Arial" w:hAnsi="Arial"/>
                <w:b/>
                <w:bCs/>
                <w:sz w:val="26"/>
                <w:szCs w:val="26"/>
                <w:rtl/>
              </w:rPr>
            </w:pPr>
            <w:r w:rsidRPr="0008660D">
              <w:rPr>
                <w:rFonts w:ascii="Arial" w:hAnsi="Arial" w:hint="cs"/>
                <w:b/>
                <w:bCs/>
                <w:sz w:val="26"/>
                <w:szCs w:val="26"/>
                <w:rtl/>
              </w:rPr>
              <w:t>כבוד ה</w:t>
            </w:r>
            <w:r w:rsidRPr="0008660D">
              <w:rPr>
                <w:rFonts w:ascii="Arial" w:hAnsi="Arial"/>
                <w:b/>
                <w:bCs/>
                <w:sz w:val="26"/>
                <w:szCs w:val="26"/>
                <w:rtl/>
              </w:rPr>
              <w:t>שופט עמית</w:t>
            </w:r>
            <w:r w:rsidRPr="0008660D">
              <w:rPr>
                <w:rFonts w:ascii="Arial" w:hAnsi="Arial" w:hint="cs"/>
                <w:b/>
                <w:bCs/>
                <w:sz w:val="26"/>
                <w:szCs w:val="26"/>
                <w:rtl/>
              </w:rPr>
              <w:t xml:space="preserve">  </w:t>
            </w:r>
            <w:r w:rsidRPr="0008660D">
              <w:rPr>
                <w:rFonts w:ascii="Arial" w:hAnsi="Arial"/>
                <w:b/>
                <w:bCs/>
                <w:sz w:val="26"/>
                <w:szCs w:val="26"/>
                <w:rtl/>
              </w:rPr>
              <w:t>ציון קאפח</w:t>
            </w:r>
          </w:p>
          <w:p w14:paraId="24FCDABC" w14:textId="77777777" w:rsidR="0010215E" w:rsidRPr="0008660D" w:rsidRDefault="0010215E" w:rsidP="00B07C1D">
            <w:pPr>
              <w:rPr>
                <w:sz w:val="26"/>
                <w:szCs w:val="26"/>
                <w:rtl/>
              </w:rPr>
            </w:pPr>
          </w:p>
          <w:p w14:paraId="136017C5" w14:textId="77777777" w:rsidR="0010215E" w:rsidRPr="0008660D" w:rsidRDefault="0010215E" w:rsidP="0010215E">
            <w:pPr>
              <w:jc w:val="both"/>
              <w:rPr>
                <w:rFonts w:ascii="Arial" w:hAnsi="Arial"/>
                <w:sz w:val="26"/>
                <w:szCs w:val="26"/>
              </w:rPr>
            </w:pPr>
          </w:p>
        </w:tc>
      </w:tr>
      <w:tr w:rsidR="0010215E" w:rsidRPr="0008660D" w14:paraId="18FFB0F1" w14:textId="77777777" w:rsidTr="00BB07B8">
        <w:trPr>
          <w:trHeight w:val="355"/>
          <w:jc w:val="center"/>
        </w:trPr>
        <w:tc>
          <w:tcPr>
            <w:tcW w:w="1231" w:type="dxa"/>
            <w:tcBorders>
              <w:top w:val="nil"/>
              <w:left w:val="nil"/>
              <w:bottom w:val="nil"/>
              <w:right w:val="nil"/>
            </w:tcBorders>
            <w:shd w:val="clear" w:color="auto" w:fill="auto"/>
          </w:tcPr>
          <w:p w14:paraId="101CC697" w14:textId="77777777" w:rsidR="0010215E" w:rsidRPr="0008660D" w:rsidRDefault="0010215E" w:rsidP="0010215E">
            <w:pPr>
              <w:jc w:val="both"/>
              <w:rPr>
                <w:rFonts w:ascii="Arial" w:hAnsi="Arial"/>
                <w:b/>
                <w:bCs/>
                <w:sz w:val="26"/>
                <w:szCs w:val="26"/>
              </w:rPr>
            </w:pPr>
            <w:bookmarkStart w:id="1" w:name="FirstAppellant"/>
            <w:bookmarkStart w:id="2" w:name="FirstLawyer"/>
            <w:r w:rsidRPr="0008660D">
              <w:rPr>
                <w:rFonts w:ascii="Arial" w:hAnsi="Arial" w:hint="cs"/>
                <w:b/>
                <w:bCs/>
                <w:sz w:val="26"/>
                <w:szCs w:val="26"/>
                <w:rtl/>
              </w:rPr>
              <w:t>ה</w:t>
            </w:r>
            <w:r w:rsidRPr="0008660D">
              <w:rPr>
                <w:rFonts w:ascii="Arial" w:hAnsi="Arial"/>
                <w:b/>
                <w:bCs/>
                <w:sz w:val="26"/>
                <w:szCs w:val="26"/>
                <w:rtl/>
              </w:rPr>
              <w:t>מאשימה</w:t>
            </w:r>
          </w:p>
        </w:tc>
        <w:tc>
          <w:tcPr>
            <w:tcW w:w="4236" w:type="dxa"/>
            <w:tcBorders>
              <w:top w:val="nil"/>
              <w:left w:val="nil"/>
              <w:bottom w:val="nil"/>
              <w:right w:val="nil"/>
            </w:tcBorders>
            <w:shd w:val="clear" w:color="auto" w:fill="auto"/>
          </w:tcPr>
          <w:p w14:paraId="3AFB54B0" w14:textId="77777777" w:rsidR="0010215E" w:rsidRPr="0008660D" w:rsidRDefault="0010215E" w:rsidP="0010215E">
            <w:pPr>
              <w:spacing w:line="360" w:lineRule="auto"/>
              <w:jc w:val="center"/>
              <w:rPr>
                <w:b/>
                <w:bCs/>
                <w:sz w:val="26"/>
                <w:szCs w:val="26"/>
                <w:rtl/>
              </w:rPr>
            </w:pPr>
            <w:r w:rsidRPr="0008660D">
              <w:rPr>
                <w:rFonts w:ascii="Arial" w:hAnsi="Arial"/>
                <w:b/>
                <w:bCs/>
                <w:sz w:val="26"/>
                <w:szCs w:val="26"/>
                <w:rtl/>
              </w:rPr>
              <w:t>מדינת ישראל</w:t>
            </w:r>
          </w:p>
          <w:p w14:paraId="56ECC8DD" w14:textId="77777777" w:rsidR="0010215E" w:rsidRPr="0008660D" w:rsidRDefault="0010215E" w:rsidP="0010215E">
            <w:pPr>
              <w:jc w:val="center"/>
              <w:rPr>
                <w:b/>
                <w:bCs/>
                <w:sz w:val="26"/>
                <w:szCs w:val="26"/>
              </w:rPr>
            </w:pPr>
            <w:r w:rsidRPr="0008660D">
              <w:rPr>
                <w:rFonts w:hint="cs"/>
                <w:b/>
                <w:bCs/>
                <w:sz w:val="26"/>
                <w:szCs w:val="26"/>
                <w:rtl/>
              </w:rPr>
              <w:t xml:space="preserve">                     ע"י ב"כ עו"ד פמלה בנימין</w:t>
            </w:r>
          </w:p>
        </w:tc>
        <w:tc>
          <w:tcPr>
            <w:tcW w:w="3353" w:type="dxa"/>
            <w:tcBorders>
              <w:top w:val="nil"/>
              <w:left w:val="nil"/>
              <w:bottom w:val="nil"/>
              <w:right w:val="nil"/>
            </w:tcBorders>
            <w:shd w:val="clear" w:color="auto" w:fill="auto"/>
          </w:tcPr>
          <w:p w14:paraId="54E2B9D3" w14:textId="77777777" w:rsidR="0010215E" w:rsidRPr="0008660D" w:rsidRDefault="0010215E" w:rsidP="0010215E">
            <w:pPr>
              <w:jc w:val="both"/>
              <w:rPr>
                <w:rFonts w:ascii="Arial" w:hAnsi="Arial"/>
                <w:sz w:val="26"/>
                <w:szCs w:val="26"/>
              </w:rPr>
            </w:pPr>
          </w:p>
        </w:tc>
      </w:tr>
      <w:bookmarkEnd w:id="1"/>
      <w:bookmarkEnd w:id="2"/>
      <w:tr w:rsidR="0010215E" w:rsidRPr="0008660D" w14:paraId="578557B0" w14:textId="77777777" w:rsidTr="00BB07B8">
        <w:trPr>
          <w:trHeight w:val="355"/>
          <w:jc w:val="center"/>
        </w:trPr>
        <w:tc>
          <w:tcPr>
            <w:tcW w:w="1231" w:type="dxa"/>
            <w:tcBorders>
              <w:top w:val="nil"/>
              <w:left w:val="nil"/>
              <w:bottom w:val="nil"/>
              <w:right w:val="nil"/>
            </w:tcBorders>
            <w:shd w:val="clear" w:color="auto" w:fill="auto"/>
          </w:tcPr>
          <w:p w14:paraId="2433C680" w14:textId="77777777" w:rsidR="0010215E" w:rsidRPr="0008660D" w:rsidRDefault="0010215E" w:rsidP="0010215E">
            <w:pPr>
              <w:jc w:val="both"/>
              <w:rPr>
                <w:rFonts w:ascii="Arial" w:hAnsi="Arial"/>
                <w:sz w:val="26"/>
                <w:szCs w:val="26"/>
                <w:rtl/>
              </w:rPr>
            </w:pPr>
          </w:p>
        </w:tc>
        <w:tc>
          <w:tcPr>
            <w:tcW w:w="4236" w:type="dxa"/>
            <w:tcBorders>
              <w:top w:val="nil"/>
              <w:left w:val="nil"/>
              <w:bottom w:val="nil"/>
              <w:right w:val="nil"/>
            </w:tcBorders>
            <w:shd w:val="clear" w:color="auto" w:fill="auto"/>
          </w:tcPr>
          <w:p w14:paraId="7152D1C5" w14:textId="77777777" w:rsidR="0010215E" w:rsidRPr="0008660D" w:rsidRDefault="0010215E" w:rsidP="0010215E">
            <w:pPr>
              <w:jc w:val="center"/>
              <w:rPr>
                <w:rFonts w:ascii="Arial" w:hAnsi="Arial"/>
                <w:b/>
                <w:bCs/>
                <w:sz w:val="26"/>
                <w:szCs w:val="26"/>
                <w:rtl/>
              </w:rPr>
            </w:pPr>
          </w:p>
        </w:tc>
        <w:tc>
          <w:tcPr>
            <w:tcW w:w="3353" w:type="dxa"/>
            <w:tcBorders>
              <w:top w:val="nil"/>
              <w:left w:val="nil"/>
              <w:bottom w:val="nil"/>
              <w:right w:val="nil"/>
            </w:tcBorders>
            <w:shd w:val="clear" w:color="auto" w:fill="auto"/>
          </w:tcPr>
          <w:p w14:paraId="11467864" w14:textId="77777777" w:rsidR="0010215E" w:rsidRPr="0008660D" w:rsidRDefault="0010215E" w:rsidP="0010215E">
            <w:pPr>
              <w:jc w:val="right"/>
              <w:rPr>
                <w:rFonts w:ascii="Arial" w:hAnsi="Arial"/>
                <w:sz w:val="26"/>
                <w:szCs w:val="26"/>
                <w:rtl/>
              </w:rPr>
            </w:pPr>
          </w:p>
        </w:tc>
      </w:tr>
      <w:tr w:rsidR="0010215E" w:rsidRPr="0008660D" w14:paraId="552E1EE1" w14:textId="77777777" w:rsidTr="00BB07B8">
        <w:trPr>
          <w:trHeight w:val="355"/>
          <w:jc w:val="center"/>
        </w:trPr>
        <w:tc>
          <w:tcPr>
            <w:tcW w:w="1231" w:type="dxa"/>
            <w:tcBorders>
              <w:top w:val="nil"/>
              <w:left w:val="nil"/>
              <w:bottom w:val="nil"/>
              <w:right w:val="nil"/>
            </w:tcBorders>
            <w:shd w:val="clear" w:color="auto" w:fill="auto"/>
          </w:tcPr>
          <w:p w14:paraId="3181E018" w14:textId="77777777" w:rsidR="0010215E" w:rsidRPr="0008660D" w:rsidRDefault="0010215E" w:rsidP="0010215E">
            <w:pPr>
              <w:jc w:val="both"/>
              <w:rPr>
                <w:rFonts w:ascii="Arial" w:hAnsi="Arial"/>
                <w:sz w:val="26"/>
                <w:szCs w:val="26"/>
                <w:rtl/>
              </w:rPr>
            </w:pPr>
          </w:p>
        </w:tc>
        <w:tc>
          <w:tcPr>
            <w:tcW w:w="7589" w:type="dxa"/>
            <w:gridSpan w:val="2"/>
            <w:tcBorders>
              <w:top w:val="nil"/>
              <w:left w:val="nil"/>
              <w:bottom w:val="nil"/>
              <w:right w:val="nil"/>
            </w:tcBorders>
            <w:shd w:val="clear" w:color="auto" w:fill="auto"/>
          </w:tcPr>
          <w:p w14:paraId="5E7EB46F" w14:textId="77777777" w:rsidR="0010215E" w:rsidRPr="0008660D" w:rsidRDefault="0010215E" w:rsidP="0010215E">
            <w:pPr>
              <w:jc w:val="center"/>
              <w:rPr>
                <w:rFonts w:ascii="Arial" w:hAnsi="Arial"/>
                <w:b/>
                <w:bCs/>
                <w:sz w:val="26"/>
                <w:szCs w:val="26"/>
                <w:rtl/>
              </w:rPr>
            </w:pPr>
          </w:p>
          <w:p w14:paraId="3DDCFD9C" w14:textId="77777777" w:rsidR="0010215E" w:rsidRPr="0008660D" w:rsidRDefault="0010215E" w:rsidP="0010215E">
            <w:pPr>
              <w:jc w:val="center"/>
              <w:rPr>
                <w:rFonts w:ascii="Arial" w:hAnsi="Arial"/>
                <w:b/>
                <w:bCs/>
                <w:sz w:val="26"/>
                <w:szCs w:val="26"/>
                <w:rtl/>
              </w:rPr>
            </w:pPr>
            <w:r w:rsidRPr="0008660D">
              <w:rPr>
                <w:rFonts w:ascii="Arial" w:hAnsi="Arial"/>
                <w:b/>
                <w:bCs/>
                <w:sz w:val="26"/>
                <w:szCs w:val="26"/>
                <w:rtl/>
              </w:rPr>
              <w:t>נגד</w:t>
            </w:r>
          </w:p>
          <w:p w14:paraId="61FA2A1A" w14:textId="77777777" w:rsidR="0010215E" w:rsidRPr="0008660D" w:rsidRDefault="0010215E" w:rsidP="0010215E">
            <w:pPr>
              <w:jc w:val="both"/>
              <w:rPr>
                <w:rFonts w:ascii="Arial" w:hAnsi="Arial"/>
                <w:sz w:val="26"/>
                <w:szCs w:val="26"/>
              </w:rPr>
            </w:pPr>
          </w:p>
        </w:tc>
      </w:tr>
      <w:tr w:rsidR="0010215E" w:rsidRPr="0008660D" w14:paraId="204BFDA3" w14:textId="77777777" w:rsidTr="00BB07B8">
        <w:trPr>
          <w:trHeight w:val="355"/>
          <w:jc w:val="center"/>
        </w:trPr>
        <w:tc>
          <w:tcPr>
            <w:tcW w:w="1231" w:type="dxa"/>
            <w:tcBorders>
              <w:top w:val="nil"/>
              <w:left w:val="nil"/>
              <w:bottom w:val="nil"/>
              <w:right w:val="nil"/>
            </w:tcBorders>
            <w:shd w:val="clear" w:color="auto" w:fill="auto"/>
          </w:tcPr>
          <w:p w14:paraId="65638C1B" w14:textId="77777777" w:rsidR="0010215E" w:rsidRPr="0008660D" w:rsidRDefault="0010215E" w:rsidP="00B07C1D">
            <w:pPr>
              <w:rPr>
                <w:rFonts w:ascii="Arial" w:hAnsi="Arial"/>
                <w:sz w:val="26"/>
                <w:szCs w:val="26"/>
                <w:rtl/>
              </w:rPr>
            </w:pPr>
            <w:r w:rsidRPr="0008660D">
              <w:rPr>
                <w:rFonts w:ascii="Arial" w:hAnsi="Arial" w:hint="cs"/>
                <w:b/>
                <w:bCs/>
                <w:sz w:val="26"/>
                <w:szCs w:val="26"/>
                <w:rtl/>
              </w:rPr>
              <w:t>הנאשם</w:t>
            </w:r>
            <w:r w:rsidRPr="0008660D">
              <w:rPr>
                <w:b/>
                <w:bCs/>
                <w:sz w:val="26"/>
                <w:szCs w:val="26"/>
                <w:rtl/>
              </w:rPr>
              <w:t xml:space="preserve">     </w:t>
            </w:r>
          </w:p>
        </w:tc>
        <w:tc>
          <w:tcPr>
            <w:tcW w:w="4236" w:type="dxa"/>
            <w:tcBorders>
              <w:top w:val="nil"/>
              <w:left w:val="nil"/>
              <w:bottom w:val="nil"/>
              <w:right w:val="nil"/>
            </w:tcBorders>
            <w:shd w:val="clear" w:color="auto" w:fill="auto"/>
          </w:tcPr>
          <w:p w14:paraId="3702D701" w14:textId="77777777" w:rsidR="0010215E" w:rsidRPr="0008660D" w:rsidRDefault="0010215E" w:rsidP="0010215E">
            <w:pPr>
              <w:spacing w:line="360" w:lineRule="auto"/>
              <w:jc w:val="center"/>
              <w:rPr>
                <w:bCs/>
                <w:sz w:val="26"/>
                <w:szCs w:val="26"/>
                <w:rtl/>
              </w:rPr>
            </w:pPr>
            <w:r w:rsidRPr="0008660D">
              <w:rPr>
                <w:rFonts w:hint="cs"/>
                <w:bCs/>
                <w:sz w:val="26"/>
                <w:szCs w:val="26"/>
                <w:rtl/>
              </w:rPr>
              <w:t xml:space="preserve">זיו שקד </w:t>
            </w:r>
            <w:r w:rsidRPr="0008660D">
              <w:rPr>
                <w:bCs/>
                <w:sz w:val="26"/>
                <w:szCs w:val="26"/>
                <w:rtl/>
              </w:rPr>
              <w:t xml:space="preserve"> בן גלים</w:t>
            </w:r>
          </w:p>
          <w:p w14:paraId="02FF0A1F" w14:textId="77777777" w:rsidR="0010215E" w:rsidRPr="0008660D" w:rsidRDefault="0010215E" w:rsidP="0010215E">
            <w:pPr>
              <w:jc w:val="center"/>
              <w:rPr>
                <w:b/>
                <w:sz w:val="26"/>
                <w:szCs w:val="26"/>
                <w:rtl/>
              </w:rPr>
            </w:pPr>
            <w:r w:rsidRPr="0008660D">
              <w:rPr>
                <w:rFonts w:hint="cs"/>
                <w:bCs/>
                <w:sz w:val="26"/>
                <w:szCs w:val="26"/>
                <w:rtl/>
              </w:rPr>
              <w:t xml:space="preserve">                 ע"י ב"כ עו"ד מיכאל כרמל</w:t>
            </w:r>
          </w:p>
        </w:tc>
        <w:tc>
          <w:tcPr>
            <w:tcW w:w="3353" w:type="dxa"/>
            <w:tcBorders>
              <w:top w:val="nil"/>
              <w:left w:val="nil"/>
              <w:bottom w:val="nil"/>
              <w:right w:val="nil"/>
            </w:tcBorders>
            <w:shd w:val="clear" w:color="auto" w:fill="auto"/>
          </w:tcPr>
          <w:p w14:paraId="0D34090D" w14:textId="77777777" w:rsidR="0010215E" w:rsidRPr="0008660D" w:rsidRDefault="0010215E" w:rsidP="0010215E">
            <w:pPr>
              <w:jc w:val="right"/>
              <w:rPr>
                <w:rFonts w:ascii="Arial" w:hAnsi="Arial"/>
                <w:sz w:val="26"/>
                <w:szCs w:val="26"/>
              </w:rPr>
            </w:pPr>
          </w:p>
        </w:tc>
      </w:tr>
    </w:tbl>
    <w:p w14:paraId="1E4E0C62" w14:textId="77777777" w:rsidR="0008660D" w:rsidRPr="0008660D" w:rsidRDefault="0008660D" w:rsidP="0008660D">
      <w:pPr>
        <w:spacing w:before="120" w:after="120" w:line="240" w:lineRule="exact"/>
        <w:ind w:left="283" w:hanging="283"/>
        <w:jc w:val="both"/>
        <w:rPr>
          <w:rFonts w:ascii="FrankRuehl" w:hAnsi="FrankRuehl" w:cs="FrankRuehl"/>
          <w:rtl/>
        </w:rPr>
      </w:pPr>
    </w:p>
    <w:p w14:paraId="333DBC58" w14:textId="77777777" w:rsidR="001F295A" w:rsidRPr="001F295A" w:rsidRDefault="001F295A" w:rsidP="001F295A">
      <w:pPr>
        <w:spacing w:before="120" w:after="120" w:line="240" w:lineRule="exact"/>
        <w:ind w:left="283" w:hanging="283"/>
        <w:jc w:val="both"/>
        <w:rPr>
          <w:rFonts w:ascii="FrankRuehl" w:hAnsi="FrankRuehl" w:cs="FrankRuehl"/>
          <w:rtl/>
        </w:rPr>
      </w:pPr>
    </w:p>
    <w:p w14:paraId="626F48A8" w14:textId="77777777" w:rsidR="001B71D6" w:rsidRDefault="001B71D6" w:rsidP="001B71D6">
      <w:pPr>
        <w:rPr>
          <w:rtl/>
        </w:rPr>
      </w:pPr>
      <w:bookmarkStart w:id="3" w:name="LawTable"/>
      <w:bookmarkEnd w:id="3"/>
    </w:p>
    <w:p w14:paraId="62433E91" w14:textId="77777777" w:rsidR="001B71D6" w:rsidRPr="001B71D6" w:rsidRDefault="001B71D6" w:rsidP="001B71D6">
      <w:pPr>
        <w:spacing w:before="120" w:after="120" w:line="240" w:lineRule="exact"/>
        <w:ind w:left="283" w:hanging="283"/>
        <w:jc w:val="both"/>
        <w:rPr>
          <w:rFonts w:ascii="FrankRuehl" w:hAnsi="FrankRuehl" w:cs="FrankRuehl"/>
          <w:rtl/>
        </w:rPr>
      </w:pPr>
    </w:p>
    <w:p w14:paraId="48C427A1" w14:textId="77777777" w:rsidR="001B71D6" w:rsidRPr="001B71D6" w:rsidRDefault="001B71D6" w:rsidP="001B71D6">
      <w:pPr>
        <w:spacing w:before="120" w:after="120" w:line="240" w:lineRule="exact"/>
        <w:ind w:left="283" w:hanging="283"/>
        <w:jc w:val="both"/>
        <w:rPr>
          <w:rFonts w:ascii="FrankRuehl" w:hAnsi="FrankRuehl" w:cs="FrankRuehl"/>
          <w:rtl/>
        </w:rPr>
      </w:pPr>
    </w:p>
    <w:p w14:paraId="283114FF" w14:textId="77777777" w:rsidR="001B71D6" w:rsidRPr="001B71D6" w:rsidRDefault="001B71D6" w:rsidP="001B71D6">
      <w:pPr>
        <w:spacing w:before="120" w:after="120" w:line="240" w:lineRule="exact"/>
        <w:ind w:left="283" w:hanging="283"/>
        <w:jc w:val="both"/>
        <w:rPr>
          <w:rFonts w:ascii="FrankRuehl" w:hAnsi="FrankRuehl" w:cs="FrankRuehl"/>
          <w:rtl/>
        </w:rPr>
      </w:pPr>
      <w:r w:rsidRPr="001B71D6">
        <w:rPr>
          <w:rFonts w:ascii="FrankRuehl" w:hAnsi="FrankRuehl" w:cs="FrankRuehl"/>
          <w:rtl/>
        </w:rPr>
        <w:t xml:space="preserve">חקיקה שאוזכרה: </w:t>
      </w:r>
    </w:p>
    <w:p w14:paraId="7DFF3561" w14:textId="77777777" w:rsidR="001B71D6" w:rsidRPr="001B71D6" w:rsidRDefault="001B71D6" w:rsidP="001B71D6">
      <w:pPr>
        <w:spacing w:before="120" w:after="120" w:line="240" w:lineRule="exact"/>
        <w:ind w:left="283" w:hanging="283"/>
        <w:jc w:val="both"/>
        <w:rPr>
          <w:rFonts w:ascii="FrankRuehl" w:hAnsi="FrankRuehl" w:cs="FrankRuehl"/>
          <w:rtl/>
        </w:rPr>
      </w:pPr>
      <w:hyperlink r:id="rId6" w:history="1">
        <w:r w:rsidRPr="001B71D6">
          <w:rPr>
            <w:rFonts w:ascii="FrankRuehl" w:hAnsi="FrankRuehl" w:cs="FrankRuehl"/>
            <w:color w:val="0000FF"/>
            <w:rtl/>
          </w:rPr>
          <w:t>פקודת הסמים המסוכנים [נוסח חדש], תשל"ג-1973</w:t>
        </w:r>
      </w:hyperlink>
      <w:r w:rsidRPr="001B71D6">
        <w:rPr>
          <w:rFonts w:ascii="FrankRuehl" w:hAnsi="FrankRuehl" w:cs="FrankRuehl"/>
          <w:rtl/>
        </w:rPr>
        <w:t xml:space="preserve">: סע'  </w:t>
      </w:r>
      <w:hyperlink r:id="rId7" w:history="1">
        <w:r w:rsidRPr="001B71D6">
          <w:rPr>
            <w:rFonts w:ascii="FrankRuehl" w:hAnsi="FrankRuehl" w:cs="FrankRuehl"/>
            <w:color w:val="0000FF"/>
            <w:rtl/>
          </w:rPr>
          <w:t>7(א)</w:t>
        </w:r>
      </w:hyperlink>
      <w:r w:rsidRPr="001B71D6">
        <w:rPr>
          <w:rFonts w:ascii="FrankRuehl" w:hAnsi="FrankRuehl" w:cs="FrankRuehl"/>
          <w:rtl/>
        </w:rPr>
        <w:t xml:space="preserve">, </w:t>
      </w:r>
      <w:hyperlink r:id="rId8" w:history="1">
        <w:r w:rsidRPr="001B71D6">
          <w:rPr>
            <w:rFonts w:ascii="FrankRuehl" w:hAnsi="FrankRuehl" w:cs="FrankRuehl"/>
            <w:color w:val="0000FF"/>
            <w:rtl/>
          </w:rPr>
          <w:t>(ג)</w:t>
        </w:r>
      </w:hyperlink>
      <w:r w:rsidRPr="001B71D6">
        <w:rPr>
          <w:rFonts w:ascii="FrankRuehl" w:hAnsi="FrankRuehl" w:cs="FrankRuehl"/>
          <w:rtl/>
        </w:rPr>
        <w:t xml:space="preserve">, </w:t>
      </w:r>
      <w:hyperlink r:id="rId9" w:history="1">
        <w:r w:rsidRPr="001B71D6">
          <w:rPr>
            <w:rFonts w:ascii="FrankRuehl" w:hAnsi="FrankRuehl" w:cs="FrankRuehl"/>
            <w:color w:val="0000FF"/>
            <w:rtl/>
          </w:rPr>
          <w:t>13</w:t>
        </w:r>
      </w:hyperlink>
      <w:r w:rsidRPr="001B71D6">
        <w:rPr>
          <w:rFonts w:ascii="FrankRuehl" w:hAnsi="FrankRuehl" w:cs="FrankRuehl"/>
          <w:rtl/>
        </w:rPr>
        <w:t xml:space="preserve">, </w:t>
      </w:r>
      <w:hyperlink r:id="rId10" w:history="1">
        <w:r w:rsidRPr="001B71D6">
          <w:rPr>
            <w:rFonts w:ascii="FrankRuehl" w:hAnsi="FrankRuehl" w:cs="FrankRuehl"/>
            <w:color w:val="0000FF"/>
            <w:rtl/>
          </w:rPr>
          <w:t>19א</w:t>
        </w:r>
      </w:hyperlink>
    </w:p>
    <w:p w14:paraId="42AFB3AA" w14:textId="77777777" w:rsidR="001B71D6" w:rsidRPr="001B71D6" w:rsidRDefault="001B71D6" w:rsidP="001B71D6">
      <w:pPr>
        <w:spacing w:before="120" w:after="120" w:line="240" w:lineRule="exact"/>
        <w:ind w:left="283" w:hanging="283"/>
        <w:jc w:val="both"/>
        <w:rPr>
          <w:rFonts w:ascii="FrankRuehl" w:hAnsi="FrankRuehl" w:cs="FrankRuehl"/>
          <w:rtl/>
        </w:rPr>
      </w:pPr>
      <w:hyperlink r:id="rId11" w:history="1">
        <w:r w:rsidRPr="001B71D6">
          <w:rPr>
            <w:rFonts w:ascii="FrankRuehl" w:hAnsi="FrankRuehl" w:cs="FrankRuehl"/>
            <w:color w:val="0000FF"/>
            <w:rtl/>
          </w:rPr>
          <w:t>חוק העונשין, תשל"ז-1977</w:t>
        </w:r>
      </w:hyperlink>
      <w:r w:rsidRPr="001B71D6">
        <w:rPr>
          <w:rFonts w:ascii="FrankRuehl" w:hAnsi="FrankRuehl" w:cs="FrankRuehl"/>
          <w:rtl/>
        </w:rPr>
        <w:t xml:space="preserve">: סע'  </w:t>
      </w:r>
      <w:hyperlink r:id="rId12" w:history="1">
        <w:r w:rsidRPr="001B71D6">
          <w:rPr>
            <w:rFonts w:ascii="FrankRuehl" w:hAnsi="FrankRuehl" w:cs="FrankRuehl"/>
            <w:color w:val="0000FF"/>
            <w:rtl/>
          </w:rPr>
          <w:t>25</w:t>
        </w:r>
      </w:hyperlink>
      <w:r w:rsidRPr="001B71D6">
        <w:rPr>
          <w:rFonts w:ascii="FrankRuehl" w:hAnsi="FrankRuehl" w:cs="FrankRuehl"/>
          <w:rtl/>
        </w:rPr>
        <w:t xml:space="preserve">, </w:t>
      </w:r>
      <w:hyperlink r:id="rId13" w:history="1">
        <w:r w:rsidRPr="001B71D6">
          <w:rPr>
            <w:rFonts w:ascii="FrankRuehl" w:hAnsi="FrankRuehl" w:cs="FrankRuehl"/>
            <w:color w:val="0000FF"/>
            <w:rtl/>
          </w:rPr>
          <w:t>40ד (א)</w:t>
        </w:r>
      </w:hyperlink>
      <w:r w:rsidRPr="001B71D6">
        <w:rPr>
          <w:rFonts w:ascii="FrankRuehl" w:hAnsi="FrankRuehl" w:cs="FrankRuehl"/>
          <w:rtl/>
        </w:rPr>
        <w:t xml:space="preserve">, </w:t>
      </w:r>
      <w:hyperlink r:id="rId14" w:history="1">
        <w:r w:rsidRPr="001B71D6">
          <w:rPr>
            <w:rFonts w:ascii="FrankRuehl" w:hAnsi="FrankRuehl" w:cs="FrankRuehl"/>
            <w:color w:val="0000FF"/>
            <w:rtl/>
          </w:rPr>
          <w:t>499(א)(1)</w:t>
        </w:r>
      </w:hyperlink>
    </w:p>
    <w:p w14:paraId="698C4A1C" w14:textId="77777777" w:rsidR="001B71D6" w:rsidRPr="001B71D6" w:rsidRDefault="001B71D6" w:rsidP="001B71D6">
      <w:pPr>
        <w:rPr>
          <w:rtl/>
        </w:rPr>
      </w:pPr>
      <w:bookmarkStart w:id="4" w:name="LawTable_End"/>
      <w:bookmarkEnd w:id="4"/>
    </w:p>
    <w:p w14:paraId="46040DB5" w14:textId="77777777" w:rsidR="0010215E" w:rsidRPr="001F295A" w:rsidRDefault="0010215E" w:rsidP="001F295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215E" w14:paraId="09C4BF6F" w14:textId="77777777" w:rsidTr="0010215E">
        <w:trPr>
          <w:trHeight w:val="355"/>
          <w:jc w:val="center"/>
        </w:trPr>
        <w:tc>
          <w:tcPr>
            <w:tcW w:w="8820" w:type="dxa"/>
            <w:tcBorders>
              <w:top w:val="nil"/>
              <w:left w:val="nil"/>
              <w:bottom w:val="nil"/>
              <w:right w:val="nil"/>
            </w:tcBorders>
            <w:shd w:val="clear" w:color="auto" w:fill="auto"/>
          </w:tcPr>
          <w:p w14:paraId="248EA40F" w14:textId="77777777" w:rsidR="0008660D" w:rsidRPr="0008660D" w:rsidRDefault="0008660D" w:rsidP="0008660D">
            <w:pPr>
              <w:spacing w:line="360" w:lineRule="auto"/>
              <w:jc w:val="center"/>
              <w:rPr>
                <w:rFonts w:ascii="Arial" w:hAnsi="Arial"/>
                <w:b/>
                <w:bCs/>
                <w:sz w:val="32"/>
                <w:szCs w:val="32"/>
                <w:u w:val="single"/>
                <w:rtl/>
              </w:rPr>
            </w:pPr>
            <w:bookmarkStart w:id="5" w:name="PsakDin" w:colFirst="0" w:colLast="0"/>
            <w:bookmarkEnd w:id="0"/>
            <w:r w:rsidRPr="0008660D">
              <w:rPr>
                <w:rFonts w:ascii="Arial" w:hAnsi="Arial"/>
                <w:b/>
                <w:bCs/>
                <w:sz w:val="32"/>
                <w:szCs w:val="32"/>
                <w:u w:val="single"/>
                <w:rtl/>
              </w:rPr>
              <w:t>גזר דין</w:t>
            </w:r>
          </w:p>
          <w:p w14:paraId="0F389BFC" w14:textId="77777777" w:rsidR="0010215E" w:rsidRPr="0008660D" w:rsidRDefault="0010215E" w:rsidP="0008660D">
            <w:pPr>
              <w:spacing w:line="360" w:lineRule="auto"/>
              <w:jc w:val="center"/>
              <w:rPr>
                <w:rFonts w:ascii="Arial" w:hAnsi="Arial"/>
                <w:bCs/>
                <w:sz w:val="32"/>
                <w:szCs w:val="32"/>
                <w:u w:val="single"/>
                <w:rtl/>
              </w:rPr>
            </w:pPr>
          </w:p>
        </w:tc>
      </w:tr>
      <w:bookmarkEnd w:id="5"/>
    </w:tbl>
    <w:p w14:paraId="5BF0B13B" w14:textId="77777777" w:rsidR="0010215E" w:rsidRPr="00B05847" w:rsidRDefault="0010215E" w:rsidP="0010215E">
      <w:pPr>
        <w:spacing w:line="360" w:lineRule="auto"/>
        <w:rPr>
          <w:rFonts w:ascii="Arial" w:hAnsi="Arial"/>
          <w:rtl/>
        </w:rPr>
      </w:pPr>
    </w:p>
    <w:p w14:paraId="3BCC0F35" w14:textId="77777777" w:rsidR="0010215E" w:rsidRDefault="0010215E" w:rsidP="0010215E">
      <w:pPr>
        <w:spacing w:line="360" w:lineRule="auto"/>
        <w:ind w:left="720" w:hanging="720"/>
        <w:jc w:val="both"/>
        <w:rPr>
          <w:rFonts w:ascii="Arial" w:hAnsi="Arial"/>
          <w:rtl/>
        </w:rPr>
      </w:pPr>
      <w:r>
        <w:rPr>
          <w:rFonts w:ascii="Arial" w:hAnsi="Arial" w:hint="cs"/>
          <w:rtl/>
        </w:rPr>
        <w:t>1.</w:t>
      </w:r>
      <w:r>
        <w:rPr>
          <w:rFonts w:ascii="Arial" w:hAnsi="Arial"/>
          <w:rtl/>
        </w:rPr>
        <w:tab/>
      </w:r>
      <w:bookmarkStart w:id="6" w:name="ABSTRACT_START"/>
      <w:bookmarkEnd w:id="6"/>
      <w:r>
        <w:rPr>
          <w:rFonts w:ascii="Arial" w:hAnsi="Arial" w:hint="cs"/>
          <w:rtl/>
        </w:rPr>
        <w:t xml:space="preserve">הנאשם הורשע על פי הודאתו ובמסגרת הסדר טיעון בעובדות כתב האישום המתוקן שעניינן עבירות של </w:t>
      </w:r>
      <w:r w:rsidRPr="00C53260">
        <w:rPr>
          <w:rFonts w:ascii="Arial" w:hAnsi="Arial" w:hint="cs"/>
          <w:b/>
          <w:bCs/>
          <w:rtl/>
        </w:rPr>
        <w:t>ניסיון לייבוא סם מסוכן</w:t>
      </w:r>
      <w:r>
        <w:rPr>
          <w:rFonts w:ascii="Arial" w:hAnsi="Arial" w:hint="cs"/>
          <w:rtl/>
        </w:rPr>
        <w:t xml:space="preserve"> </w:t>
      </w:r>
      <w:r>
        <w:rPr>
          <w:rFonts w:ascii="Arial" w:hAnsi="Arial"/>
          <w:rtl/>
        </w:rPr>
        <w:t>–</w:t>
      </w:r>
      <w:r>
        <w:rPr>
          <w:rFonts w:ascii="Arial" w:hAnsi="Arial" w:hint="cs"/>
          <w:rtl/>
        </w:rPr>
        <w:t xml:space="preserve"> עבירה לפי </w:t>
      </w:r>
      <w:hyperlink r:id="rId15" w:history="1">
        <w:r w:rsidR="00BB07B8" w:rsidRPr="00BB07B8">
          <w:rPr>
            <w:rStyle w:val="Hyperlink"/>
            <w:rFonts w:ascii="Arial" w:hAnsi="Arial" w:hint="eastAsia"/>
            <w:rtl/>
          </w:rPr>
          <w:t>סעיף</w:t>
        </w:r>
        <w:r w:rsidR="00BB07B8" w:rsidRPr="00BB07B8">
          <w:rPr>
            <w:rStyle w:val="Hyperlink"/>
            <w:rFonts w:ascii="Arial" w:hAnsi="Arial"/>
            <w:rtl/>
          </w:rPr>
          <w:t xml:space="preserve"> 13</w:t>
        </w:r>
      </w:hyperlink>
      <w:r>
        <w:rPr>
          <w:rFonts w:ascii="Arial" w:hAnsi="Arial" w:hint="cs"/>
          <w:rtl/>
        </w:rPr>
        <w:t xml:space="preserve"> ל</w:t>
      </w:r>
      <w:hyperlink r:id="rId16" w:history="1">
        <w:r w:rsidR="0008660D" w:rsidRPr="0008660D">
          <w:rPr>
            <w:rFonts w:ascii="Arial" w:hAnsi="Arial"/>
            <w:color w:val="0000FF"/>
            <w:u w:val="single"/>
            <w:rtl/>
          </w:rPr>
          <w:t>פקודת הסמים המסוכנים</w:t>
        </w:r>
      </w:hyperlink>
      <w:r>
        <w:rPr>
          <w:rFonts w:ascii="Arial" w:hAnsi="Arial" w:hint="cs"/>
          <w:rtl/>
        </w:rPr>
        <w:t xml:space="preserve"> [נוסח חדש] התשל"ג-1973 (להלן: </w:t>
      </w:r>
      <w:r>
        <w:rPr>
          <w:rFonts w:ascii="Arial" w:hAnsi="Arial" w:hint="cs"/>
          <w:b/>
          <w:bCs/>
          <w:rtl/>
        </w:rPr>
        <w:t xml:space="preserve">"הפקודה") </w:t>
      </w:r>
      <w:r w:rsidRPr="00C53260">
        <w:rPr>
          <w:rFonts w:ascii="Arial" w:hAnsi="Arial" w:hint="cs"/>
          <w:b/>
          <w:bCs/>
          <w:rtl/>
        </w:rPr>
        <w:t>והחזקת סם מסוכן שלא לצריכה עצמית</w:t>
      </w:r>
      <w:r>
        <w:rPr>
          <w:rFonts w:ascii="Arial" w:hAnsi="Arial" w:hint="cs"/>
          <w:rtl/>
        </w:rPr>
        <w:t xml:space="preserve"> </w:t>
      </w:r>
      <w:r>
        <w:rPr>
          <w:rFonts w:ascii="Arial" w:hAnsi="Arial"/>
          <w:rtl/>
        </w:rPr>
        <w:t>–</w:t>
      </w:r>
      <w:r>
        <w:rPr>
          <w:rFonts w:ascii="Arial" w:hAnsi="Arial" w:hint="cs"/>
          <w:rtl/>
        </w:rPr>
        <w:t xml:space="preserve"> עבירה לפי </w:t>
      </w:r>
      <w:hyperlink r:id="rId17" w:history="1">
        <w:r w:rsidR="00BB07B8" w:rsidRPr="00BB07B8">
          <w:rPr>
            <w:rStyle w:val="Hyperlink"/>
            <w:rFonts w:ascii="Arial" w:hAnsi="Arial" w:hint="eastAsia"/>
            <w:rtl/>
          </w:rPr>
          <w:t>סעיף</w:t>
        </w:r>
        <w:r w:rsidR="00BB07B8" w:rsidRPr="00BB07B8">
          <w:rPr>
            <w:rStyle w:val="Hyperlink"/>
            <w:rFonts w:ascii="Arial" w:hAnsi="Arial"/>
            <w:rtl/>
          </w:rPr>
          <w:t xml:space="preserve"> 7(א)</w:t>
        </w:r>
      </w:hyperlink>
      <w:r>
        <w:rPr>
          <w:rFonts w:ascii="Arial" w:hAnsi="Arial" w:hint="cs"/>
          <w:rtl/>
        </w:rPr>
        <w:t xml:space="preserve"> ו-</w:t>
      </w:r>
      <w:hyperlink r:id="rId18" w:history="1">
        <w:r w:rsidR="00BB07B8" w:rsidRPr="00BB07B8">
          <w:rPr>
            <w:rStyle w:val="Hyperlink"/>
            <w:rFonts w:ascii="Arial" w:hAnsi="Arial"/>
            <w:rtl/>
          </w:rPr>
          <w:t>(ג)</w:t>
        </w:r>
      </w:hyperlink>
      <w:r>
        <w:rPr>
          <w:rFonts w:ascii="Arial" w:hAnsi="Arial" w:hint="cs"/>
          <w:rtl/>
        </w:rPr>
        <w:t xml:space="preserve"> לפקודה. </w:t>
      </w:r>
    </w:p>
    <w:p w14:paraId="1E7037E0" w14:textId="77777777" w:rsidR="0010215E" w:rsidRDefault="0010215E" w:rsidP="0010215E">
      <w:pPr>
        <w:spacing w:line="360" w:lineRule="auto"/>
        <w:ind w:left="720" w:hanging="720"/>
        <w:jc w:val="both"/>
        <w:rPr>
          <w:rFonts w:ascii="Arial" w:hAnsi="Arial"/>
          <w:rtl/>
        </w:rPr>
      </w:pPr>
      <w:bookmarkStart w:id="7" w:name="ABSTRACT_END"/>
      <w:bookmarkEnd w:id="7"/>
    </w:p>
    <w:p w14:paraId="521C5B20" w14:textId="77777777" w:rsidR="0010215E" w:rsidRPr="00E859E4" w:rsidRDefault="0010215E" w:rsidP="0010215E">
      <w:pPr>
        <w:spacing w:line="360" w:lineRule="auto"/>
        <w:rPr>
          <w:rFonts w:ascii="Arial" w:hAnsi="Arial"/>
          <w:b/>
          <w:bCs/>
          <w:rtl/>
        </w:rPr>
      </w:pPr>
      <w:r w:rsidRPr="00E859E4">
        <w:rPr>
          <w:rFonts w:ascii="Arial" w:hAnsi="Arial" w:hint="cs"/>
          <w:b/>
          <w:bCs/>
          <w:rtl/>
        </w:rPr>
        <w:t>עובדות כתב האישום</w:t>
      </w:r>
      <w:r>
        <w:rPr>
          <w:rFonts w:ascii="Arial" w:hAnsi="Arial" w:hint="cs"/>
          <w:b/>
          <w:bCs/>
          <w:rtl/>
        </w:rPr>
        <w:t>:</w:t>
      </w:r>
    </w:p>
    <w:p w14:paraId="24E0B0CB" w14:textId="77777777" w:rsidR="0010215E" w:rsidRDefault="0010215E" w:rsidP="0010215E">
      <w:pPr>
        <w:spacing w:line="360" w:lineRule="auto"/>
        <w:rPr>
          <w:rtl/>
        </w:rPr>
      </w:pPr>
    </w:p>
    <w:p w14:paraId="5AEB313D" w14:textId="77777777" w:rsidR="0010215E" w:rsidRDefault="0010215E" w:rsidP="0010215E">
      <w:pPr>
        <w:spacing w:line="360" w:lineRule="auto"/>
        <w:jc w:val="both"/>
        <w:rPr>
          <w:rtl/>
        </w:rPr>
      </w:pPr>
      <w:r>
        <w:rPr>
          <w:rFonts w:hint="cs"/>
          <w:rtl/>
        </w:rPr>
        <w:lastRenderedPageBreak/>
        <w:t xml:space="preserve">כארבעה חודשים עובר למועדים הרלוונטיים לעובדות כתב האישום, היה שרוי מאי חיים לוי אדרי (להלן: </w:t>
      </w:r>
      <w:r>
        <w:rPr>
          <w:rFonts w:hint="cs"/>
          <w:b/>
          <w:bCs/>
          <w:rtl/>
        </w:rPr>
        <w:t>"מאי"</w:t>
      </w:r>
      <w:r>
        <w:rPr>
          <w:rFonts w:hint="cs"/>
          <w:rtl/>
        </w:rPr>
        <w:t xml:space="preserve">), יליד שנת 2001, במצוקה כלכלית. בתחילת התקופה פנה הנאשם אליו שעה שהיה מודע למצוקתו הכלכלית של מאי וללא היכרות מוקדמת, והציע לו לבצע בעבורו משימות תמורת תשלום. </w:t>
      </w:r>
    </w:p>
    <w:p w14:paraId="0BCCD4AB" w14:textId="77777777" w:rsidR="0010215E" w:rsidRDefault="0010215E" w:rsidP="0010215E">
      <w:pPr>
        <w:spacing w:line="360" w:lineRule="auto"/>
        <w:jc w:val="both"/>
        <w:rPr>
          <w:rtl/>
        </w:rPr>
      </w:pPr>
      <w:r>
        <w:rPr>
          <w:rFonts w:hint="cs"/>
          <w:rtl/>
        </w:rPr>
        <w:t xml:space="preserve">קולט מנג'ם היא אזרחית ישראלית, ילידת 1988, ואין בינה לבין הנאשם היכרות מוקדמת. </w:t>
      </w:r>
    </w:p>
    <w:p w14:paraId="4C075FFD" w14:textId="77777777" w:rsidR="0010215E" w:rsidRDefault="0010215E" w:rsidP="0010215E">
      <w:pPr>
        <w:spacing w:line="360" w:lineRule="auto"/>
        <w:ind w:left="720"/>
        <w:jc w:val="both"/>
        <w:rPr>
          <w:rtl/>
        </w:rPr>
      </w:pPr>
    </w:p>
    <w:p w14:paraId="51FA4BC5" w14:textId="77777777" w:rsidR="0010215E" w:rsidRDefault="0010215E" w:rsidP="0010215E">
      <w:pPr>
        <w:spacing w:line="360" w:lineRule="auto"/>
        <w:jc w:val="both"/>
        <w:rPr>
          <w:rtl/>
        </w:rPr>
      </w:pPr>
      <w:r>
        <w:rPr>
          <w:rFonts w:hint="cs"/>
          <w:rtl/>
        </w:rPr>
        <w:t xml:space="preserve">במועד שאינו ידוע למאשימה, עובר לתאריך 3.11.2021, הזמין הנאשם מאחר, שזהותו אינה ידועה למאשימה, סמים מסוכנים מסוג קטמין במשקל 2,331 גרם נטו (להלן: </w:t>
      </w:r>
      <w:r>
        <w:rPr>
          <w:rFonts w:hint="cs"/>
          <w:b/>
          <w:bCs/>
          <w:rtl/>
        </w:rPr>
        <w:t>"הסמים"</w:t>
      </w:r>
      <w:r>
        <w:rPr>
          <w:rFonts w:hint="cs"/>
          <w:rtl/>
        </w:rPr>
        <w:t xml:space="preserve">) שיישלחו מגרמניה אל ישראל עבורו. על מנת להתל ברשויות האכיפה, הורה הנאשם לאחר כי על החבילה יצוין שמה של קולט, זאת ללא הסכמתה, והחבילה תישלח אל כתובת ברמת השרון בה לא מתגוררים הנאשם או קולט. </w:t>
      </w:r>
    </w:p>
    <w:p w14:paraId="0A399CC3" w14:textId="77777777" w:rsidR="0010215E" w:rsidRDefault="0010215E" w:rsidP="0010215E">
      <w:pPr>
        <w:spacing w:line="360" w:lineRule="auto"/>
        <w:jc w:val="both"/>
        <w:rPr>
          <w:rtl/>
        </w:rPr>
      </w:pPr>
      <w:r>
        <w:rPr>
          <w:rFonts w:hint="cs"/>
          <w:rtl/>
        </w:rPr>
        <w:t xml:space="preserve">במועד שאינו ידוע למאשימה, עובר לתאריך 3.11.2021, הוסלקו הסמים בבקבוקים הנחזים כמכילים מוצרי טיפוח, עליהם צורפה קבלה בה נקוב סכום של 57.55 אירו, והכל הוטמן באריזת קרטון עליה צוינו פרטי קולט והכתובת (להלן: </w:t>
      </w:r>
      <w:r>
        <w:rPr>
          <w:rFonts w:hint="cs"/>
          <w:b/>
          <w:bCs/>
          <w:rtl/>
        </w:rPr>
        <w:t>"החבילה"</w:t>
      </w:r>
      <w:r>
        <w:rPr>
          <w:rFonts w:hint="cs"/>
          <w:rtl/>
        </w:rPr>
        <w:t xml:space="preserve">). </w:t>
      </w:r>
    </w:p>
    <w:p w14:paraId="5F3F904C" w14:textId="77777777" w:rsidR="0010215E" w:rsidRDefault="0010215E" w:rsidP="0010215E">
      <w:pPr>
        <w:spacing w:line="360" w:lineRule="auto"/>
        <w:jc w:val="both"/>
        <w:rPr>
          <w:rtl/>
        </w:rPr>
      </w:pPr>
      <w:r>
        <w:rPr>
          <w:rFonts w:hint="cs"/>
          <w:rtl/>
        </w:rPr>
        <w:t xml:space="preserve">במועד שאינו ידוע למאשימה, שלח האחר שזהותו אינה ידועה למאשימה את החבילה מגרמניה אל ישראל, עבור הנאשם, באמצעות חברת משלוחים ועל החבילה צוינו פרטי הנמענת. החבילה הוטמנה בקרטון הממותג בשם חברת השליחויות. </w:t>
      </w:r>
    </w:p>
    <w:p w14:paraId="248F9AF0" w14:textId="77777777" w:rsidR="0010215E" w:rsidRDefault="0010215E" w:rsidP="0010215E">
      <w:pPr>
        <w:spacing w:line="360" w:lineRule="auto"/>
        <w:jc w:val="both"/>
        <w:rPr>
          <w:rtl/>
        </w:rPr>
      </w:pPr>
      <w:r>
        <w:rPr>
          <w:rFonts w:hint="cs"/>
          <w:rtl/>
        </w:rPr>
        <w:t xml:space="preserve">בתאריך 3.11.2021, נתפסה החבילה במכס הגרמני וביום 11.11.2021 הובאה לישראל על ידי שוטר. </w:t>
      </w:r>
    </w:p>
    <w:p w14:paraId="3437AF2C" w14:textId="77777777" w:rsidR="0010215E" w:rsidRDefault="0010215E" w:rsidP="0010215E">
      <w:pPr>
        <w:spacing w:line="360" w:lineRule="auto"/>
        <w:jc w:val="both"/>
        <w:rPr>
          <w:rtl/>
        </w:rPr>
      </w:pPr>
      <w:r>
        <w:rPr>
          <w:rFonts w:hint="cs"/>
          <w:rtl/>
        </w:rPr>
        <w:t xml:space="preserve">ביום 25.11.2021 הטמין השוטר בחבילה 1,446.85 גרם נטו מסך הסמים. </w:t>
      </w:r>
    </w:p>
    <w:p w14:paraId="5747F77C" w14:textId="77777777" w:rsidR="0010215E" w:rsidRDefault="0010215E" w:rsidP="0010215E">
      <w:pPr>
        <w:spacing w:line="360" w:lineRule="auto"/>
        <w:jc w:val="both"/>
        <w:rPr>
          <w:rtl/>
        </w:rPr>
      </w:pPr>
      <w:r>
        <w:rPr>
          <w:rFonts w:hint="cs"/>
          <w:rtl/>
        </w:rPr>
        <w:t xml:space="preserve">בתאריך 29.11.2021 התקשר הנאשם אל ואלרי בלנקיי המועסקת בקיוסק ברמת השרון, נקודת חלוקה מטעם רשות הדואר, התחזה בפניה בכזב כבעלה של קולט והודיע לה שיגיע לאסוף את החבילה המבוימת כשהוא מצויד בתעודה מזהה של קולט. </w:t>
      </w:r>
    </w:p>
    <w:p w14:paraId="7EEE3B57" w14:textId="77777777" w:rsidR="0010215E" w:rsidRDefault="0010215E" w:rsidP="0010215E">
      <w:pPr>
        <w:spacing w:line="360" w:lineRule="auto"/>
        <w:jc w:val="both"/>
        <w:rPr>
          <w:rtl/>
        </w:rPr>
      </w:pPr>
      <w:r>
        <w:rPr>
          <w:rFonts w:hint="cs"/>
          <w:rtl/>
        </w:rPr>
        <w:t xml:space="preserve">בהמשך, בשעה 11:00 לערך, בהוראת הנאשם, ניגש מאי אל הקיוסק, הציג לואלרי תמונת דרכון של קולט, אותה העביר לו הנאשם במסרון מבעוד מועד, ואסף בעבורו את החבילה המבוימת. </w:t>
      </w:r>
    </w:p>
    <w:p w14:paraId="14677D02" w14:textId="77777777" w:rsidR="0010215E" w:rsidRDefault="0010215E" w:rsidP="0010215E">
      <w:pPr>
        <w:spacing w:line="360" w:lineRule="auto"/>
        <w:jc w:val="both"/>
        <w:rPr>
          <w:rtl/>
        </w:rPr>
      </w:pPr>
      <w:r>
        <w:rPr>
          <w:rFonts w:hint="cs"/>
          <w:rtl/>
        </w:rPr>
        <w:t xml:space="preserve">זמן קצר לאחר מכן הגיע מאי אל ביתו של הנאשם ברמת גן ומסר לידיו את החבילה המבוימת. </w:t>
      </w:r>
    </w:p>
    <w:p w14:paraId="613367B4" w14:textId="77777777" w:rsidR="0010215E" w:rsidRDefault="0010215E" w:rsidP="0010215E">
      <w:pPr>
        <w:spacing w:line="360" w:lineRule="auto"/>
        <w:jc w:val="both"/>
        <w:rPr>
          <w:rtl/>
        </w:rPr>
      </w:pPr>
      <w:r>
        <w:rPr>
          <w:rFonts w:hint="cs"/>
          <w:rtl/>
        </w:rPr>
        <w:t xml:space="preserve">באותו מועד החזיק הנאשם בשידה ליד המיטה בחדר השינה בדירה, סם מסוכן מסוג קטמין במשקל 64.95 גרם נטו. </w:t>
      </w:r>
    </w:p>
    <w:p w14:paraId="0C1E4427" w14:textId="77777777" w:rsidR="0010215E" w:rsidRDefault="0010215E" w:rsidP="0010215E">
      <w:pPr>
        <w:spacing w:line="360" w:lineRule="auto"/>
        <w:ind w:left="720"/>
        <w:jc w:val="both"/>
        <w:rPr>
          <w:rtl/>
        </w:rPr>
      </w:pPr>
    </w:p>
    <w:p w14:paraId="002944E5" w14:textId="77777777" w:rsidR="0010215E" w:rsidRDefault="0010215E" w:rsidP="0010215E">
      <w:pPr>
        <w:spacing w:line="360" w:lineRule="auto"/>
        <w:jc w:val="both"/>
        <w:rPr>
          <w:rtl/>
        </w:rPr>
      </w:pPr>
      <w:r>
        <w:rPr>
          <w:rFonts w:hint="cs"/>
          <w:rtl/>
        </w:rPr>
        <w:t xml:space="preserve">קטמין הוא סם מסוכן כהגדרתו בפקודה. </w:t>
      </w:r>
    </w:p>
    <w:p w14:paraId="4A44A58F" w14:textId="77777777" w:rsidR="0010215E" w:rsidRDefault="0010215E" w:rsidP="0010215E">
      <w:pPr>
        <w:spacing w:line="360" w:lineRule="auto"/>
        <w:jc w:val="both"/>
        <w:rPr>
          <w:rtl/>
        </w:rPr>
      </w:pPr>
      <w:r>
        <w:rPr>
          <w:rFonts w:hint="cs"/>
          <w:rtl/>
        </w:rPr>
        <w:t xml:space="preserve">במעשים הללו ניסה הנאשם לייבא סם מסוכן מסוג קטמין במשקל 2,331 גרם נטו וכן החזיק סם מסוכן מסוג קטמין במשקל 64.95 גרם נטו. </w:t>
      </w:r>
    </w:p>
    <w:p w14:paraId="46904AC6" w14:textId="77777777" w:rsidR="0010215E" w:rsidRDefault="0010215E" w:rsidP="0010215E">
      <w:pPr>
        <w:spacing w:line="360" w:lineRule="auto"/>
        <w:jc w:val="both"/>
        <w:rPr>
          <w:rtl/>
        </w:rPr>
      </w:pPr>
    </w:p>
    <w:p w14:paraId="28915E68" w14:textId="77777777" w:rsidR="0010215E" w:rsidRDefault="0010215E" w:rsidP="0010215E">
      <w:pPr>
        <w:spacing w:line="360" w:lineRule="auto"/>
        <w:jc w:val="both"/>
        <w:rPr>
          <w:rtl/>
        </w:rPr>
      </w:pPr>
      <w:r>
        <w:rPr>
          <w:rFonts w:hint="cs"/>
          <w:rtl/>
        </w:rPr>
        <w:t xml:space="preserve">ביום 14.6.2022 הודה הנאשם והורשע על יסוד הודאתו במסגרת הסדר טיעון בעובדות כתב האישום המתוקן. </w:t>
      </w:r>
    </w:p>
    <w:p w14:paraId="6BDF7267" w14:textId="77777777" w:rsidR="0010215E" w:rsidRDefault="0010215E" w:rsidP="0010215E">
      <w:pPr>
        <w:spacing w:line="360" w:lineRule="auto"/>
        <w:jc w:val="both"/>
        <w:rPr>
          <w:rtl/>
        </w:rPr>
      </w:pPr>
      <w:r>
        <w:rPr>
          <w:rFonts w:hint="cs"/>
          <w:rtl/>
        </w:rPr>
        <w:t xml:space="preserve">באותו מעמד הוצג הסדר טיעון, לפיו הנאשם יופנה אל שירות המבחן שיגבש בעניינו תסקיר לעונש. </w:t>
      </w:r>
    </w:p>
    <w:p w14:paraId="7634C337" w14:textId="77777777" w:rsidR="0010215E" w:rsidRDefault="0010215E" w:rsidP="0010215E">
      <w:pPr>
        <w:spacing w:line="360" w:lineRule="auto"/>
        <w:jc w:val="both"/>
        <w:rPr>
          <w:rtl/>
        </w:rPr>
      </w:pPr>
    </w:p>
    <w:p w14:paraId="6132011A" w14:textId="77777777" w:rsidR="0010215E" w:rsidRDefault="0010215E" w:rsidP="0010215E">
      <w:pPr>
        <w:spacing w:line="360" w:lineRule="auto"/>
        <w:jc w:val="both"/>
        <w:rPr>
          <w:rtl/>
        </w:rPr>
      </w:pPr>
      <w:r>
        <w:rPr>
          <w:rFonts w:hint="cs"/>
          <w:rtl/>
        </w:rPr>
        <w:t xml:space="preserve">ביום 18.8.2022 צורף לעניין העונש </w:t>
      </w:r>
      <w:hyperlink r:id="rId19" w:history="1">
        <w:r w:rsidR="0008660D" w:rsidRPr="0008660D">
          <w:rPr>
            <w:color w:val="0000FF"/>
            <w:u w:val="single"/>
            <w:rtl/>
          </w:rPr>
          <w:t>ת"פ 40325-05-22</w:t>
        </w:r>
      </w:hyperlink>
      <w:r>
        <w:rPr>
          <w:rFonts w:hint="cs"/>
          <w:rtl/>
        </w:rPr>
        <w:t xml:space="preserve"> בית משפט השלום בתל אביב, שעניינו החזקה/שימוש בסמים </w:t>
      </w:r>
      <w:r w:rsidRPr="00C53260">
        <w:rPr>
          <w:rFonts w:hint="cs"/>
          <w:b/>
          <w:bCs/>
          <w:rtl/>
        </w:rPr>
        <w:t>שלא לצריכה עצמית</w:t>
      </w:r>
      <w:r>
        <w:rPr>
          <w:rFonts w:hint="cs"/>
          <w:rtl/>
        </w:rPr>
        <w:t xml:space="preserve"> </w:t>
      </w:r>
      <w:r>
        <w:rPr>
          <w:rtl/>
        </w:rPr>
        <w:t>–</w:t>
      </w:r>
      <w:r>
        <w:rPr>
          <w:rFonts w:hint="cs"/>
          <w:rtl/>
        </w:rPr>
        <w:t xml:space="preserve"> עבירה לפי </w:t>
      </w:r>
      <w:hyperlink r:id="rId20" w:history="1">
        <w:r w:rsidR="00BB07B8" w:rsidRPr="00BB07B8">
          <w:rPr>
            <w:rStyle w:val="Hyperlink"/>
            <w:rFonts w:hint="eastAsia"/>
            <w:rtl/>
          </w:rPr>
          <w:t>סעיף</w:t>
        </w:r>
        <w:r w:rsidR="00BB07B8" w:rsidRPr="00BB07B8">
          <w:rPr>
            <w:rStyle w:val="Hyperlink"/>
            <w:rtl/>
          </w:rPr>
          <w:t xml:space="preserve"> 7(א)</w:t>
        </w:r>
      </w:hyperlink>
      <w:r>
        <w:rPr>
          <w:rFonts w:hint="cs"/>
          <w:rtl/>
        </w:rPr>
        <w:t xml:space="preserve"> + </w:t>
      </w:r>
      <w:hyperlink r:id="rId21" w:history="1">
        <w:r w:rsidR="00BB07B8" w:rsidRPr="00BB07B8">
          <w:rPr>
            <w:rStyle w:val="Hyperlink"/>
            <w:rtl/>
          </w:rPr>
          <w:t>7(ג)</w:t>
        </w:r>
      </w:hyperlink>
      <w:r>
        <w:rPr>
          <w:rFonts w:hint="cs"/>
          <w:rtl/>
        </w:rPr>
        <w:t xml:space="preserve"> רישא לפקודה. </w:t>
      </w:r>
    </w:p>
    <w:p w14:paraId="5661207B" w14:textId="77777777" w:rsidR="0010215E" w:rsidRDefault="0010215E" w:rsidP="0010215E">
      <w:pPr>
        <w:spacing w:line="360" w:lineRule="auto"/>
        <w:jc w:val="both"/>
        <w:rPr>
          <w:rtl/>
        </w:rPr>
      </w:pPr>
      <w:r>
        <w:rPr>
          <w:rFonts w:hint="cs"/>
          <w:rtl/>
        </w:rPr>
        <w:t xml:space="preserve">הנאשם הודה במעמד הטיעונים לעונש בעובדות כתב האישום המצורף. </w:t>
      </w:r>
    </w:p>
    <w:p w14:paraId="6727E6F2" w14:textId="77777777" w:rsidR="0010215E" w:rsidRDefault="0010215E" w:rsidP="0010215E">
      <w:pPr>
        <w:spacing w:line="360" w:lineRule="auto"/>
        <w:jc w:val="both"/>
        <w:rPr>
          <w:rtl/>
        </w:rPr>
      </w:pPr>
      <w:r>
        <w:rPr>
          <w:rFonts w:hint="cs"/>
          <w:rtl/>
        </w:rPr>
        <w:t>על פי עובדות כתב האישום המצורף, החזיק הנאשם ביום 7.2.2021 בדירתו סמים מסוכנים שלא לצריכה עצמית כמפורט להלן: בצנצנת בצבע שחור בתוך סלסלה על שולחן הטלוויזיה, סם מסוכן מסוג קנבוס במשקל 1.82 גרם ובמטבח על המיקרוג</w:t>
      </w:r>
      <w:r>
        <w:rPr>
          <w:rFonts w:hint="eastAsia"/>
          <w:rtl/>
        </w:rPr>
        <w:t>ל</w:t>
      </w:r>
      <w:r>
        <w:rPr>
          <w:rFonts w:hint="cs"/>
          <w:rtl/>
        </w:rPr>
        <w:t xml:space="preserve"> שהונח על המקרר, בבקבוקון בצבע חום, סם מסוכן מסוג </w:t>
      </w:r>
      <w:r>
        <w:rPr>
          <w:rFonts w:hint="cs"/>
        </w:rPr>
        <w:t>METHAMPHETAMINE</w:t>
      </w:r>
      <w:r>
        <w:rPr>
          <w:rFonts w:hint="cs"/>
          <w:rtl/>
        </w:rPr>
        <w:t xml:space="preserve">. </w:t>
      </w:r>
    </w:p>
    <w:p w14:paraId="00D3D112" w14:textId="77777777" w:rsidR="0010215E" w:rsidRDefault="0010215E" w:rsidP="0010215E">
      <w:pPr>
        <w:spacing w:line="360" w:lineRule="auto"/>
        <w:jc w:val="both"/>
        <w:rPr>
          <w:rtl/>
        </w:rPr>
      </w:pPr>
    </w:p>
    <w:p w14:paraId="59085C61" w14:textId="77777777" w:rsidR="0010215E" w:rsidRDefault="0010215E" w:rsidP="0010215E">
      <w:pPr>
        <w:spacing w:line="360" w:lineRule="auto"/>
        <w:jc w:val="both"/>
        <w:rPr>
          <w:rtl/>
        </w:rPr>
      </w:pPr>
    </w:p>
    <w:p w14:paraId="30CCE1F6" w14:textId="77777777" w:rsidR="0010215E" w:rsidRPr="00770E1E" w:rsidRDefault="0010215E" w:rsidP="0010215E">
      <w:pPr>
        <w:spacing w:line="360" w:lineRule="auto"/>
        <w:jc w:val="both"/>
        <w:rPr>
          <w:b/>
          <w:bCs/>
          <w:rtl/>
        </w:rPr>
      </w:pPr>
      <w:r>
        <w:rPr>
          <w:rFonts w:hint="cs"/>
          <w:rtl/>
        </w:rPr>
        <w:t>2.</w:t>
      </w:r>
      <w:r>
        <w:rPr>
          <w:rtl/>
        </w:rPr>
        <w:tab/>
      </w:r>
      <w:r w:rsidRPr="00770E1E">
        <w:rPr>
          <w:rFonts w:hint="cs"/>
          <w:b/>
          <w:bCs/>
          <w:rtl/>
        </w:rPr>
        <w:t>הסדר הטיעון</w:t>
      </w:r>
    </w:p>
    <w:p w14:paraId="3F056ED0" w14:textId="77777777" w:rsidR="0010215E" w:rsidRDefault="0010215E" w:rsidP="0010215E">
      <w:pPr>
        <w:spacing w:line="360" w:lineRule="auto"/>
        <w:ind w:firstLine="720"/>
        <w:jc w:val="both"/>
        <w:rPr>
          <w:rtl/>
        </w:rPr>
      </w:pPr>
      <w:r>
        <w:rPr>
          <w:rFonts w:hint="cs"/>
          <w:rtl/>
        </w:rPr>
        <w:t>הצדדים הגיעו להסכמה כי יינתן בעניינו של הנאשם תסקיר שירות מבחן.</w:t>
      </w:r>
    </w:p>
    <w:p w14:paraId="4E78F03D" w14:textId="77777777" w:rsidR="0010215E" w:rsidRDefault="0010215E" w:rsidP="0010215E">
      <w:pPr>
        <w:spacing w:line="360" w:lineRule="auto"/>
        <w:ind w:firstLine="720"/>
        <w:jc w:val="both"/>
        <w:rPr>
          <w:rtl/>
        </w:rPr>
      </w:pPr>
      <w:r>
        <w:rPr>
          <w:rFonts w:hint="cs"/>
          <w:rtl/>
        </w:rPr>
        <w:t>התביעה הודיעה כי המלצות התסקיר לא יחייבו אותה.</w:t>
      </w:r>
    </w:p>
    <w:p w14:paraId="10A5235D" w14:textId="77777777" w:rsidR="0010215E" w:rsidRDefault="0010215E" w:rsidP="0010215E">
      <w:pPr>
        <w:spacing w:line="360" w:lineRule="auto"/>
        <w:jc w:val="both"/>
        <w:rPr>
          <w:rtl/>
        </w:rPr>
      </w:pPr>
    </w:p>
    <w:p w14:paraId="2A4A5A0A" w14:textId="77777777" w:rsidR="0010215E" w:rsidRDefault="0010215E" w:rsidP="0010215E">
      <w:pPr>
        <w:spacing w:line="360" w:lineRule="auto"/>
        <w:ind w:left="720"/>
        <w:jc w:val="both"/>
        <w:rPr>
          <w:rtl/>
        </w:rPr>
      </w:pPr>
      <w:r>
        <w:rPr>
          <w:rFonts w:hint="cs"/>
          <w:rtl/>
        </w:rPr>
        <w:t xml:space="preserve">כן הגיעו הצדדים לענישה כספית מוסכמת, קרי, קנס בשיעור של 55,000 ₪ אשר יקוזז מכספים אשר נתפסו על ידי המשטרה. </w:t>
      </w:r>
    </w:p>
    <w:p w14:paraId="016CEE67" w14:textId="77777777" w:rsidR="0010215E" w:rsidRDefault="0010215E" w:rsidP="0010215E">
      <w:pPr>
        <w:spacing w:line="360" w:lineRule="auto"/>
        <w:jc w:val="both"/>
        <w:rPr>
          <w:rtl/>
        </w:rPr>
      </w:pPr>
    </w:p>
    <w:p w14:paraId="4B02A4CF" w14:textId="77777777" w:rsidR="0010215E" w:rsidRDefault="0010215E" w:rsidP="0010215E">
      <w:pPr>
        <w:spacing w:line="360" w:lineRule="auto"/>
        <w:jc w:val="both"/>
        <w:rPr>
          <w:b/>
          <w:bCs/>
          <w:rtl/>
        </w:rPr>
      </w:pPr>
      <w:r>
        <w:rPr>
          <w:rFonts w:hint="cs"/>
          <w:b/>
          <w:bCs/>
          <w:rtl/>
        </w:rPr>
        <w:t>3.</w:t>
      </w:r>
      <w:r>
        <w:rPr>
          <w:b/>
          <w:bCs/>
          <w:rtl/>
        </w:rPr>
        <w:tab/>
      </w:r>
      <w:r w:rsidRPr="00173E64">
        <w:rPr>
          <w:rFonts w:hint="cs"/>
          <w:b/>
          <w:bCs/>
          <w:rtl/>
        </w:rPr>
        <w:t>ראיות לעונש</w:t>
      </w:r>
    </w:p>
    <w:p w14:paraId="3F79664D" w14:textId="77777777" w:rsidR="0010215E" w:rsidRPr="003F30B1" w:rsidRDefault="0010215E" w:rsidP="0010215E">
      <w:pPr>
        <w:spacing w:line="360" w:lineRule="auto"/>
        <w:ind w:left="720"/>
        <w:jc w:val="both"/>
        <w:rPr>
          <w:rtl/>
        </w:rPr>
      </w:pPr>
      <w:r w:rsidRPr="003F30B1">
        <w:rPr>
          <w:rFonts w:hint="cs"/>
          <w:rtl/>
        </w:rPr>
        <w:t xml:space="preserve">אמו של הנאשם עמדה בדבריה על ההליך השיקומי בו מצוי הנאשם </w:t>
      </w:r>
      <w:r>
        <w:rPr>
          <w:rFonts w:hint="cs"/>
          <w:rtl/>
        </w:rPr>
        <w:t>ו</w:t>
      </w:r>
      <w:r w:rsidRPr="003F30B1">
        <w:rPr>
          <w:rFonts w:hint="cs"/>
          <w:rtl/>
        </w:rPr>
        <w:t>הביעה רצון כי התהליך השיקומי לא ייפגע.</w:t>
      </w:r>
    </w:p>
    <w:p w14:paraId="2F5679C1" w14:textId="77777777" w:rsidR="0010215E" w:rsidRDefault="0010215E" w:rsidP="0010215E">
      <w:pPr>
        <w:spacing w:line="360" w:lineRule="auto"/>
        <w:jc w:val="both"/>
        <w:rPr>
          <w:rtl/>
        </w:rPr>
      </w:pPr>
    </w:p>
    <w:p w14:paraId="2389BC87" w14:textId="77777777" w:rsidR="0010215E" w:rsidRPr="00173E64" w:rsidRDefault="0010215E" w:rsidP="0010215E">
      <w:pPr>
        <w:spacing w:line="360" w:lineRule="auto"/>
        <w:jc w:val="both"/>
        <w:rPr>
          <w:b/>
          <w:bCs/>
          <w:rtl/>
        </w:rPr>
      </w:pPr>
      <w:r>
        <w:rPr>
          <w:rFonts w:hint="cs"/>
          <w:b/>
          <w:bCs/>
          <w:rtl/>
        </w:rPr>
        <w:t xml:space="preserve">4. </w:t>
      </w:r>
      <w:r>
        <w:rPr>
          <w:b/>
          <w:bCs/>
          <w:rtl/>
        </w:rPr>
        <w:tab/>
      </w:r>
      <w:r w:rsidRPr="00173E64">
        <w:rPr>
          <w:rFonts w:hint="cs"/>
          <w:b/>
          <w:bCs/>
          <w:rtl/>
        </w:rPr>
        <w:t>טיעוני הצדדים לעונש בתמצית</w:t>
      </w:r>
    </w:p>
    <w:p w14:paraId="76125198" w14:textId="77777777" w:rsidR="0010215E" w:rsidRDefault="0010215E" w:rsidP="0010215E">
      <w:pPr>
        <w:spacing w:line="360" w:lineRule="auto"/>
        <w:jc w:val="both"/>
        <w:rPr>
          <w:rtl/>
        </w:rPr>
      </w:pPr>
    </w:p>
    <w:p w14:paraId="37D12A28" w14:textId="77777777" w:rsidR="0010215E" w:rsidRPr="00AF1CBF" w:rsidRDefault="0010215E" w:rsidP="0010215E">
      <w:pPr>
        <w:spacing w:line="360" w:lineRule="auto"/>
        <w:jc w:val="both"/>
        <w:rPr>
          <w:b/>
          <w:bCs/>
          <w:rtl/>
        </w:rPr>
      </w:pPr>
      <w:r w:rsidRPr="00AF1CBF">
        <w:rPr>
          <w:rFonts w:hint="cs"/>
          <w:b/>
          <w:bCs/>
          <w:rtl/>
        </w:rPr>
        <w:t xml:space="preserve">טיעוני התביעה </w:t>
      </w:r>
    </w:p>
    <w:p w14:paraId="6E4B16C5" w14:textId="77777777" w:rsidR="0010215E" w:rsidRDefault="0010215E" w:rsidP="0010215E">
      <w:pPr>
        <w:spacing w:line="360" w:lineRule="auto"/>
        <w:jc w:val="both"/>
        <w:rPr>
          <w:rtl/>
        </w:rPr>
      </w:pPr>
    </w:p>
    <w:p w14:paraId="51B58664" w14:textId="77777777" w:rsidR="0010215E" w:rsidRDefault="0010215E" w:rsidP="0010215E">
      <w:pPr>
        <w:spacing w:line="360" w:lineRule="auto"/>
        <w:jc w:val="both"/>
        <w:rPr>
          <w:rtl/>
        </w:rPr>
      </w:pPr>
      <w:r>
        <w:rPr>
          <w:rFonts w:hint="cs"/>
          <w:rtl/>
        </w:rPr>
        <w:t xml:space="preserve">ב"כ המדינה עמדה בטיעוניה על אלה: סוג הסם והמשקל, עובדות כתב האישום המתוקן אשר הצריכו תכנון מוקדם. רק ערנות המכס הגרמני היא שהביאה להכשלת התכנית העבריינית. עוד עמדה ב"כ המדינה על תוכן התסקירים אשר הוגשו. לטעמה של התביעה במועד אשר הוגש התסקיר הראשון טרם הבשיל הליך השיקום. ב"כ המדינה סברה כי אין לקבל המלצת שירות המבחן (צו מבחן לשנה לצד מאסר בעבודות שירות </w:t>
      </w:r>
      <w:r>
        <w:rPr>
          <w:rtl/>
        </w:rPr>
        <w:t>–</w:t>
      </w:r>
      <w:r>
        <w:rPr>
          <w:rFonts w:hint="cs"/>
          <w:rtl/>
        </w:rPr>
        <w:t xml:space="preserve"> צ.ק) וכי לא נמצאה עילה לחריגה ממתחם ענישה מטעמי שיקום.</w:t>
      </w:r>
    </w:p>
    <w:p w14:paraId="3BF189DD" w14:textId="77777777" w:rsidR="0010215E" w:rsidRDefault="0010215E" w:rsidP="0010215E">
      <w:pPr>
        <w:spacing w:line="360" w:lineRule="auto"/>
        <w:jc w:val="both"/>
        <w:rPr>
          <w:rtl/>
        </w:rPr>
      </w:pPr>
      <w:r>
        <w:rPr>
          <w:rFonts w:hint="cs"/>
          <w:rtl/>
        </w:rPr>
        <w:t>עוד עמדה ב"כ המדינה על פסיקת בית המשפט העליון כי בסמים מסוג זה הענישה חייבת לכלול רכיב של מאסר בפועל.</w:t>
      </w:r>
    </w:p>
    <w:p w14:paraId="3C42AD77" w14:textId="77777777" w:rsidR="0010215E" w:rsidRDefault="0010215E" w:rsidP="0010215E">
      <w:pPr>
        <w:spacing w:line="360" w:lineRule="auto"/>
        <w:jc w:val="both"/>
        <w:rPr>
          <w:rtl/>
        </w:rPr>
      </w:pPr>
      <w:r>
        <w:rPr>
          <w:rFonts w:hint="cs"/>
          <w:rtl/>
        </w:rPr>
        <w:t xml:space="preserve">בהמשך, ב"כ המדינה טענה כי חומרת העבירות מטה את הכף לטובת דחיית שיקולי השיקום והתייחסה לממצאי בדיקת השתן בחודש מאי האחרון בדבר צריכת קוקאין. </w:t>
      </w:r>
    </w:p>
    <w:p w14:paraId="65058153" w14:textId="77777777" w:rsidR="0010215E" w:rsidRDefault="0010215E" w:rsidP="0010215E">
      <w:pPr>
        <w:spacing w:line="360" w:lineRule="auto"/>
        <w:jc w:val="both"/>
        <w:rPr>
          <w:rtl/>
        </w:rPr>
      </w:pPr>
      <w:r>
        <w:rPr>
          <w:rFonts w:hint="cs"/>
          <w:rtl/>
        </w:rPr>
        <w:t>לבסוף, עתרה ב"כ המדינה לקביעת מתחם בין 24-40 חודשים מאסר בפועל ובשליש התחתון של המתחם.</w:t>
      </w:r>
    </w:p>
    <w:p w14:paraId="1F3F37DA" w14:textId="77777777" w:rsidR="0010215E" w:rsidRDefault="0010215E" w:rsidP="0010215E">
      <w:pPr>
        <w:spacing w:line="360" w:lineRule="auto"/>
        <w:jc w:val="both"/>
        <w:rPr>
          <w:rtl/>
        </w:rPr>
      </w:pPr>
    </w:p>
    <w:p w14:paraId="574E72D9" w14:textId="77777777" w:rsidR="0010215E" w:rsidRPr="00AF1CBF" w:rsidRDefault="0010215E" w:rsidP="0010215E">
      <w:pPr>
        <w:spacing w:line="360" w:lineRule="auto"/>
        <w:jc w:val="both"/>
        <w:rPr>
          <w:b/>
          <w:bCs/>
          <w:rtl/>
        </w:rPr>
      </w:pPr>
      <w:r w:rsidRPr="00AF1CBF">
        <w:rPr>
          <w:rFonts w:hint="cs"/>
          <w:b/>
          <w:bCs/>
          <w:rtl/>
        </w:rPr>
        <w:t>טיעוני ב"כ הנאשם</w:t>
      </w:r>
    </w:p>
    <w:p w14:paraId="7798C1B3" w14:textId="77777777" w:rsidR="0010215E" w:rsidRDefault="0010215E" w:rsidP="0010215E">
      <w:pPr>
        <w:spacing w:line="360" w:lineRule="auto"/>
        <w:jc w:val="both"/>
        <w:rPr>
          <w:rtl/>
        </w:rPr>
      </w:pPr>
    </w:p>
    <w:p w14:paraId="3A4BEC2F" w14:textId="77777777" w:rsidR="0010215E" w:rsidRDefault="0010215E" w:rsidP="0010215E">
      <w:pPr>
        <w:spacing w:line="360" w:lineRule="auto"/>
        <w:jc w:val="both"/>
        <w:rPr>
          <w:rtl/>
        </w:rPr>
      </w:pPr>
      <w:r>
        <w:rPr>
          <w:rFonts w:hint="cs"/>
          <w:rtl/>
        </w:rPr>
        <w:t>בדבריו עמד ב"כ הנאשם על המתווה השיקומי אשר הוליך להמלצות שירות המבחן מראשית ההליך.</w:t>
      </w:r>
    </w:p>
    <w:p w14:paraId="0DB0A02B" w14:textId="77777777" w:rsidR="0010215E" w:rsidRDefault="0010215E" w:rsidP="0010215E">
      <w:pPr>
        <w:spacing w:line="360" w:lineRule="auto"/>
        <w:jc w:val="both"/>
        <w:rPr>
          <w:rtl/>
        </w:rPr>
      </w:pPr>
      <w:r>
        <w:rPr>
          <w:rFonts w:hint="cs"/>
          <w:rtl/>
        </w:rPr>
        <w:t>כמו כן ביקש לבכר את השיקול השיקומי על יסוד התסקירים ולחלופין לקביעת מתחם בין שנה לשלוש שנים ובתחתית המתחם.</w:t>
      </w:r>
    </w:p>
    <w:p w14:paraId="4BFD43F9" w14:textId="77777777" w:rsidR="0010215E" w:rsidRDefault="0010215E" w:rsidP="0010215E">
      <w:pPr>
        <w:spacing w:line="360" w:lineRule="auto"/>
        <w:jc w:val="both"/>
        <w:rPr>
          <w:rtl/>
        </w:rPr>
      </w:pPr>
      <w:r>
        <w:rPr>
          <w:rFonts w:hint="cs"/>
          <w:rtl/>
        </w:rPr>
        <w:t xml:space="preserve">בטיעוניו לעונש עמד הסנגור על נסיבותיו האישיות של הנאשם, תסקירי שירות המבחן אודות התוואי השיקומי ומדיניות הענישה הנוהגת לטעמו. </w:t>
      </w:r>
    </w:p>
    <w:p w14:paraId="4E2583B1" w14:textId="77777777" w:rsidR="0010215E" w:rsidRDefault="0010215E" w:rsidP="0010215E">
      <w:pPr>
        <w:spacing w:line="360" w:lineRule="auto"/>
        <w:jc w:val="both"/>
        <w:rPr>
          <w:rtl/>
        </w:rPr>
      </w:pPr>
      <w:r>
        <w:rPr>
          <w:rFonts w:hint="cs"/>
          <w:rtl/>
        </w:rPr>
        <w:t>ב"כ הנאשם ביקש לבכר את שיקולי השיקום.</w:t>
      </w:r>
    </w:p>
    <w:p w14:paraId="103A0E25" w14:textId="77777777" w:rsidR="0010215E" w:rsidRDefault="0010215E" w:rsidP="0010215E">
      <w:pPr>
        <w:spacing w:line="360" w:lineRule="auto"/>
        <w:jc w:val="both"/>
        <w:rPr>
          <w:rtl/>
        </w:rPr>
      </w:pPr>
      <w:r>
        <w:rPr>
          <w:rFonts w:hint="cs"/>
          <w:rtl/>
        </w:rPr>
        <w:t xml:space="preserve">לחלופין טען ב"כ הנאשם למתחם של בין 12-36 חודשים מאסר בפועל ובחלקו התחתון של המתחם. </w:t>
      </w:r>
    </w:p>
    <w:p w14:paraId="1E3D6A0D" w14:textId="77777777" w:rsidR="0010215E" w:rsidRPr="007505C2" w:rsidRDefault="0010215E" w:rsidP="0010215E">
      <w:pPr>
        <w:spacing w:line="360" w:lineRule="auto"/>
        <w:jc w:val="both"/>
        <w:rPr>
          <w:rtl/>
        </w:rPr>
      </w:pPr>
      <w:r>
        <w:rPr>
          <w:rFonts w:hint="cs"/>
          <w:rtl/>
        </w:rPr>
        <w:t>כל צד תמך יתדותיו בפסיקה אודות מדיניות הענישה.</w:t>
      </w:r>
    </w:p>
    <w:p w14:paraId="351A2893" w14:textId="77777777" w:rsidR="0010215E" w:rsidRDefault="0010215E" w:rsidP="0010215E">
      <w:pPr>
        <w:pStyle w:val="David"/>
        <w:rPr>
          <w:b/>
          <w:bCs/>
          <w:u w:val="single"/>
          <w:rtl/>
        </w:rPr>
      </w:pPr>
    </w:p>
    <w:p w14:paraId="47935D8D" w14:textId="77777777" w:rsidR="0010215E" w:rsidRPr="00AC4C7C" w:rsidRDefault="0010215E" w:rsidP="0010215E">
      <w:pPr>
        <w:pStyle w:val="David"/>
        <w:rPr>
          <w:b/>
          <w:bCs/>
          <w:rtl/>
        </w:rPr>
      </w:pPr>
      <w:r w:rsidRPr="00AC4C7C">
        <w:rPr>
          <w:rFonts w:hint="cs"/>
          <w:b/>
          <w:bCs/>
          <w:rtl/>
        </w:rPr>
        <w:t>דברי הנאשם לעונש</w:t>
      </w:r>
      <w:r w:rsidRPr="00AC4C7C">
        <w:rPr>
          <w:b/>
          <w:bCs/>
          <w:rtl/>
        </w:rPr>
        <w:t>:</w:t>
      </w:r>
    </w:p>
    <w:p w14:paraId="7B78D55E" w14:textId="77777777" w:rsidR="0010215E" w:rsidRPr="000C7EA5" w:rsidRDefault="0010215E" w:rsidP="0010215E">
      <w:pPr>
        <w:pStyle w:val="David"/>
        <w:rPr>
          <w:rtl/>
        </w:rPr>
      </w:pPr>
      <w:r w:rsidRPr="000C7EA5">
        <w:rPr>
          <w:rFonts w:hint="cs"/>
          <w:rtl/>
        </w:rPr>
        <w:t xml:space="preserve">בדבריו לעונש הביע הנאשם תודה על ההזדמנות שניתנה לו לעבור הליך של טיפול ושיקום, הביע צער ואמר כי תיק זה הציל אותו מעולם הסמים. הנאשם אף הסביר כי בתחילה נרתע מטיפול קבוצתי עקב הבושה אך לאחר השלמת הטיפול הפרטני השתלב בטיפול קבוצתי. </w:t>
      </w:r>
    </w:p>
    <w:p w14:paraId="659E6D9C" w14:textId="77777777" w:rsidR="0010215E" w:rsidRDefault="0010215E" w:rsidP="0010215E">
      <w:pPr>
        <w:pStyle w:val="David"/>
        <w:rPr>
          <w:rtl/>
        </w:rPr>
      </w:pPr>
      <w:r w:rsidRPr="000C7EA5">
        <w:rPr>
          <w:rFonts w:hint="cs"/>
          <w:rtl/>
        </w:rPr>
        <w:t>הנאשם הביע צער ובושה בפני הכל ובפני משפחתו.</w:t>
      </w:r>
    </w:p>
    <w:p w14:paraId="09DFDA42" w14:textId="77777777" w:rsidR="0010215E" w:rsidRDefault="0010215E" w:rsidP="0010215E">
      <w:pPr>
        <w:pStyle w:val="David"/>
        <w:rPr>
          <w:rtl/>
        </w:rPr>
      </w:pPr>
    </w:p>
    <w:p w14:paraId="6BC4CE9F" w14:textId="77777777" w:rsidR="0010215E" w:rsidRDefault="0010215E" w:rsidP="0010215E">
      <w:pPr>
        <w:pStyle w:val="David"/>
        <w:rPr>
          <w:rtl/>
        </w:rPr>
      </w:pPr>
      <w:r>
        <w:rPr>
          <w:rFonts w:hint="cs"/>
          <w:b/>
          <w:bCs/>
          <w:rtl/>
        </w:rPr>
        <w:t>5.</w:t>
      </w:r>
      <w:r>
        <w:rPr>
          <w:b/>
          <w:bCs/>
          <w:rtl/>
        </w:rPr>
        <w:tab/>
      </w:r>
      <w:r w:rsidRPr="002A59B8">
        <w:rPr>
          <w:rFonts w:hint="cs"/>
          <w:b/>
          <w:bCs/>
          <w:rtl/>
        </w:rPr>
        <w:t>דיון והכרעה</w:t>
      </w:r>
    </w:p>
    <w:p w14:paraId="78378FE3" w14:textId="77777777" w:rsidR="0010215E" w:rsidRDefault="0010215E" w:rsidP="0010215E">
      <w:pPr>
        <w:spacing w:line="360" w:lineRule="auto"/>
        <w:jc w:val="both"/>
        <w:rPr>
          <w:rtl/>
        </w:rPr>
      </w:pPr>
    </w:p>
    <w:p w14:paraId="0697E77D" w14:textId="77777777" w:rsidR="0010215E" w:rsidRDefault="0010215E" w:rsidP="0010215E">
      <w:pPr>
        <w:spacing w:line="360" w:lineRule="auto"/>
        <w:jc w:val="both"/>
        <w:rPr>
          <w:b/>
          <w:bCs/>
          <w:rtl/>
        </w:rPr>
      </w:pPr>
      <w:r>
        <w:rPr>
          <w:rFonts w:hint="cs"/>
          <w:b/>
          <w:bCs/>
          <w:rtl/>
        </w:rPr>
        <w:t xml:space="preserve">א. </w:t>
      </w:r>
      <w:r>
        <w:rPr>
          <w:b/>
          <w:bCs/>
          <w:rtl/>
        </w:rPr>
        <w:tab/>
      </w:r>
      <w:r>
        <w:rPr>
          <w:rFonts w:hint="cs"/>
          <w:b/>
          <w:bCs/>
          <w:rtl/>
        </w:rPr>
        <w:t>נסיבות הקשורות בביצוע העבירה</w:t>
      </w:r>
    </w:p>
    <w:p w14:paraId="0C9848CE" w14:textId="77777777" w:rsidR="0010215E" w:rsidRDefault="0010215E" w:rsidP="0010215E">
      <w:pPr>
        <w:spacing w:line="360" w:lineRule="auto"/>
        <w:jc w:val="both"/>
        <w:rPr>
          <w:b/>
          <w:bCs/>
          <w:rtl/>
        </w:rPr>
      </w:pPr>
    </w:p>
    <w:p w14:paraId="492DC89F" w14:textId="77777777" w:rsidR="0010215E" w:rsidRDefault="0010215E" w:rsidP="0010215E">
      <w:pPr>
        <w:spacing w:line="360" w:lineRule="auto"/>
        <w:jc w:val="both"/>
        <w:rPr>
          <w:rtl/>
        </w:rPr>
      </w:pPr>
      <w:r>
        <w:rPr>
          <w:rFonts w:hint="cs"/>
          <w:rtl/>
        </w:rPr>
        <w:t xml:space="preserve">כתב האישום מתאר כיצד ניצל הנאשם את מאי חיים לוי אדרי, בן 20 אותה עת, אשר היה שרוי במצוקה כלכלית. הנאשם הזמין מאחר סם מסוכן מסוג קטמין במשקל 2.331 ק"ג שישלחו מגרמניה אל ישראל אך הורה כי הכתובת אשר תצוין על גבי החבילה הינה של פלונית וזאת ללא ידיעתה. בהמשך, ובאותה רוח של תחכום הוסלקו הסמים בבקבוקים הנחזים כמכילים מוצרי טיפול ועל הכל התנוססה קבלה של סכום זניח בסך 57.55 יורו. החבילה נשלחה אל פלונית אך למרבה המזל נתפסה החבילה במכס הגרמני והובאה לישראל על ידי שוטר. במסגרת המאמץ ללכידת הנמען, הוצא מהחבילה סם במשקל של כ-900 גרם. לאחר מכן התקשר הנאשם אל קיוסק המשמש כנקודת חלוקה מטעם רשות הדואר, הציג עצמו כבעלה של פלונית והודיע שיגיע לאסוף את החבילה המבוימת כשהוא מצויד בתעודה מזהה של פלונית. בהמשך, ובהוראת הנאשם ניגש מאי אדרי אל הקיוסק, הציג תמונת דרכון של פלונית אותה קיבל במסרון מהנאשם, אסף בעבורו את החבילה המבוימת והביאה אל ביתו של הנאשם ברמת גן. במסגרת חיפוש שנערך בבית נמצא סם מסוכן מסוג קטמין במשקל 64.65 גרם. </w:t>
      </w:r>
    </w:p>
    <w:p w14:paraId="7C766808" w14:textId="77777777" w:rsidR="0010215E" w:rsidRDefault="0010215E" w:rsidP="0010215E">
      <w:pPr>
        <w:spacing w:line="360" w:lineRule="auto"/>
        <w:jc w:val="both"/>
        <w:rPr>
          <w:rtl/>
        </w:rPr>
      </w:pPr>
      <w:r>
        <w:rPr>
          <w:rFonts w:hint="cs"/>
          <w:rtl/>
        </w:rPr>
        <w:t>האמור לעיל מעיד על תכנית עבריינית מורכבת ומתוכננת אשר למרבה המזל לא צלחה.</w:t>
      </w:r>
    </w:p>
    <w:p w14:paraId="6581E6CD" w14:textId="77777777" w:rsidR="0010215E" w:rsidRDefault="0010215E" w:rsidP="0010215E">
      <w:pPr>
        <w:spacing w:line="360" w:lineRule="auto"/>
        <w:jc w:val="both"/>
        <w:rPr>
          <w:rtl/>
        </w:rPr>
      </w:pPr>
    </w:p>
    <w:p w14:paraId="438035E4" w14:textId="77777777" w:rsidR="0010215E" w:rsidRDefault="0010215E" w:rsidP="0010215E">
      <w:pPr>
        <w:spacing w:line="360" w:lineRule="auto"/>
        <w:jc w:val="both"/>
        <w:rPr>
          <w:rtl/>
        </w:rPr>
      </w:pPr>
      <w:r>
        <w:rPr>
          <w:rFonts w:hint="cs"/>
          <w:rtl/>
        </w:rPr>
        <w:t xml:space="preserve">הגם שלא נגרם נזק בפועל לפי שהחבילה נתפסה הרי שהנזק שעלול היה להיגרם הינו משמעותי. פגיעתו של סם מסוג קטמין עלולה להיות רעה. בין תופעות הלוואי יש למנות ההנאשםת, הרגשת שהות מחוץ לגוף, חרדה, פחד ובלבול וצריכתו עם תרופה ממשפחת הבנזודיאזפינים לצד מינון גבוה עשויה לגרום לפרכוסים, דיכוי ההכרה והנשימה ומוות. </w:t>
      </w:r>
    </w:p>
    <w:p w14:paraId="28A0497E" w14:textId="77777777" w:rsidR="0010215E" w:rsidRDefault="0010215E" w:rsidP="0010215E">
      <w:pPr>
        <w:spacing w:line="360" w:lineRule="auto"/>
        <w:jc w:val="both"/>
        <w:rPr>
          <w:rtl/>
        </w:rPr>
      </w:pPr>
      <w:r>
        <w:rPr>
          <w:rFonts w:hint="cs"/>
          <w:rtl/>
        </w:rPr>
        <w:t xml:space="preserve">אשר לסיבות אשר הביאו את הנאשם לבצע את העבירה אני מפנה לפרק מיוחד בתסקירי שירות המבחן כפי שהוא מפורט בחלק של הנסיבות שאינן קשורות בביצוע העבירה. לאמור, ילדות מורכבת לצד נסיבות אישיות ורפואיות ומשבר כלכלי הוליכו את הנאשם למעשה הנפסד. </w:t>
      </w:r>
    </w:p>
    <w:p w14:paraId="28301C33" w14:textId="77777777" w:rsidR="0010215E" w:rsidRDefault="0010215E" w:rsidP="0010215E">
      <w:pPr>
        <w:spacing w:line="360" w:lineRule="auto"/>
        <w:jc w:val="both"/>
        <w:rPr>
          <w:rtl/>
        </w:rPr>
      </w:pPr>
    </w:p>
    <w:p w14:paraId="58B6978F" w14:textId="77777777" w:rsidR="0010215E" w:rsidRDefault="0010215E" w:rsidP="0010215E">
      <w:pPr>
        <w:spacing w:line="360" w:lineRule="auto"/>
        <w:jc w:val="both"/>
        <w:rPr>
          <w:rtl/>
        </w:rPr>
      </w:pPr>
      <w:r>
        <w:rPr>
          <w:rFonts w:hint="cs"/>
          <w:rtl/>
        </w:rPr>
        <w:t xml:space="preserve">כאמור לעיל צורף לעניין העונש תיק נוסף של בית משפט השלום. על פי כתב האישום המצורף נמצאו בדירת הנאשם סם מסוכן מסוג קנבוס במשקל 1.82 גרם וסם מסוכן מסוג </w:t>
      </w:r>
      <w:r>
        <w:rPr>
          <w:rFonts w:hint="cs"/>
        </w:rPr>
        <w:t>METHAMPHETAMINE</w:t>
      </w:r>
      <w:r>
        <w:rPr>
          <w:rFonts w:hint="cs"/>
          <w:rtl/>
        </w:rPr>
        <w:t xml:space="preserve"> .</w:t>
      </w:r>
    </w:p>
    <w:p w14:paraId="6FE12A47" w14:textId="77777777" w:rsidR="0010215E" w:rsidRPr="00907A30" w:rsidRDefault="0010215E" w:rsidP="0010215E">
      <w:pPr>
        <w:spacing w:line="360" w:lineRule="auto"/>
        <w:jc w:val="both"/>
        <w:rPr>
          <w:rtl/>
        </w:rPr>
      </w:pPr>
    </w:p>
    <w:p w14:paraId="2C1FE420" w14:textId="77777777" w:rsidR="0010215E" w:rsidRPr="00907A30" w:rsidRDefault="0010215E" w:rsidP="0010215E">
      <w:pPr>
        <w:spacing w:line="360" w:lineRule="auto"/>
        <w:jc w:val="both"/>
        <w:rPr>
          <w:rFonts w:ascii="David" w:hAnsi="David"/>
          <w:b/>
          <w:bCs/>
          <w:rtl/>
        </w:rPr>
      </w:pPr>
      <w:r w:rsidRPr="00907A30">
        <w:rPr>
          <w:rFonts w:ascii="David" w:hAnsi="David" w:hint="cs"/>
          <w:b/>
          <w:bCs/>
          <w:rtl/>
        </w:rPr>
        <w:t>ב.</w:t>
      </w:r>
      <w:r>
        <w:rPr>
          <w:rFonts w:ascii="David" w:hAnsi="David"/>
          <w:b/>
          <w:bCs/>
          <w:rtl/>
        </w:rPr>
        <w:tab/>
      </w:r>
      <w:r w:rsidRPr="00907A30">
        <w:rPr>
          <w:rFonts w:ascii="David" w:hAnsi="David"/>
          <w:b/>
          <w:bCs/>
          <w:rtl/>
        </w:rPr>
        <w:t xml:space="preserve">הערך </w:t>
      </w:r>
      <w:r w:rsidRPr="00907A30">
        <w:rPr>
          <w:rFonts w:ascii="David" w:hAnsi="David" w:hint="cs"/>
          <w:b/>
          <w:bCs/>
          <w:rtl/>
        </w:rPr>
        <w:t>החברתי שנפגע</w:t>
      </w:r>
    </w:p>
    <w:p w14:paraId="5E7F5CB1" w14:textId="77777777" w:rsidR="0010215E" w:rsidRDefault="0010215E" w:rsidP="0010215E">
      <w:pPr>
        <w:spacing w:line="360" w:lineRule="auto"/>
        <w:jc w:val="both"/>
        <w:rPr>
          <w:rFonts w:ascii="David" w:hAnsi="David"/>
          <w:rtl/>
        </w:rPr>
      </w:pPr>
    </w:p>
    <w:p w14:paraId="5713CD90" w14:textId="77777777" w:rsidR="0010215E" w:rsidRPr="00907A30" w:rsidRDefault="0010215E" w:rsidP="0010215E">
      <w:pPr>
        <w:spacing w:line="360" w:lineRule="auto"/>
        <w:jc w:val="both"/>
        <w:rPr>
          <w:rFonts w:ascii="David" w:hAnsi="David"/>
          <w:rtl/>
        </w:rPr>
      </w:pPr>
      <w:r>
        <w:rPr>
          <w:rFonts w:ascii="David" w:hAnsi="David" w:hint="cs"/>
          <w:rtl/>
        </w:rPr>
        <w:t xml:space="preserve">על מידת הפגיעה בערכים החברתיים המצויה בבסיס עבירות הסמים עמד בית המשפט העליון במספר פסקי דין. עבירות הסמים פוגעות בשלום הציבור ובבריאותו ומשכך נדרשים בתי המשפט על ערכאותיהם השונות להעביר מסר ברור כי הענישה תהיה הולמת ומשמעותית. ר' לעניין זה </w:t>
      </w:r>
      <w:hyperlink r:id="rId22" w:history="1">
        <w:r w:rsidR="0008660D" w:rsidRPr="0008660D">
          <w:rPr>
            <w:rFonts w:ascii="David" w:hAnsi="David"/>
            <w:color w:val="0000FF"/>
            <w:u w:val="single"/>
            <w:rtl/>
          </w:rPr>
          <w:t>ע"פ 4522/18</w:t>
        </w:r>
      </w:hyperlink>
      <w:r w:rsidRPr="000C7EA5">
        <w:rPr>
          <w:rFonts w:ascii="David" w:hAnsi="David"/>
          <w:rtl/>
        </w:rPr>
        <w:t xml:space="preserve"> </w:t>
      </w:r>
      <w:r w:rsidRPr="00907A30">
        <w:rPr>
          <w:rFonts w:ascii="David" w:hAnsi="David"/>
          <w:b/>
          <w:bCs/>
          <w:rtl/>
        </w:rPr>
        <w:t>בנימין אסאבן נ' מדינת ישראל</w:t>
      </w:r>
      <w:r>
        <w:rPr>
          <w:rFonts w:ascii="David" w:hAnsi="David"/>
          <w:rtl/>
        </w:rPr>
        <w:t xml:space="preserve"> (פורסם בנבו, 11.11.18)</w:t>
      </w:r>
      <w:r>
        <w:rPr>
          <w:rFonts w:ascii="David" w:hAnsi="David" w:hint="cs"/>
          <w:rtl/>
        </w:rPr>
        <w:t>.</w:t>
      </w:r>
    </w:p>
    <w:p w14:paraId="2DC1F04B" w14:textId="77777777" w:rsidR="0010215E" w:rsidRDefault="0010215E" w:rsidP="0010215E">
      <w:pPr>
        <w:spacing w:line="360" w:lineRule="auto"/>
        <w:jc w:val="both"/>
        <w:rPr>
          <w:b/>
          <w:bCs/>
          <w:rtl/>
        </w:rPr>
      </w:pPr>
    </w:p>
    <w:p w14:paraId="042C4511" w14:textId="77777777" w:rsidR="0010215E" w:rsidRDefault="0010215E" w:rsidP="0010215E">
      <w:pPr>
        <w:spacing w:line="360" w:lineRule="auto"/>
        <w:jc w:val="both"/>
        <w:rPr>
          <w:b/>
          <w:bCs/>
          <w:rtl/>
        </w:rPr>
      </w:pPr>
      <w:r>
        <w:rPr>
          <w:rFonts w:hint="cs"/>
          <w:b/>
          <w:bCs/>
          <w:rtl/>
        </w:rPr>
        <w:t xml:space="preserve">ג. </w:t>
      </w:r>
      <w:r>
        <w:rPr>
          <w:b/>
          <w:bCs/>
          <w:rtl/>
        </w:rPr>
        <w:tab/>
      </w:r>
      <w:r>
        <w:rPr>
          <w:rFonts w:hint="cs"/>
          <w:b/>
          <w:bCs/>
          <w:rtl/>
        </w:rPr>
        <w:t>מדיניות הענישה הנוהגת</w:t>
      </w:r>
    </w:p>
    <w:p w14:paraId="31624C28" w14:textId="77777777" w:rsidR="0010215E" w:rsidRDefault="0010215E" w:rsidP="0010215E">
      <w:pPr>
        <w:spacing w:line="360" w:lineRule="auto"/>
        <w:jc w:val="both"/>
        <w:rPr>
          <w:rtl/>
        </w:rPr>
      </w:pPr>
    </w:p>
    <w:p w14:paraId="2310701A" w14:textId="77777777" w:rsidR="0010215E" w:rsidRDefault="0010215E" w:rsidP="0010215E">
      <w:pPr>
        <w:spacing w:line="360" w:lineRule="auto"/>
        <w:jc w:val="both"/>
        <w:rPr>
          <w:rtl/>
        </w:rPr>
      </w:pPr>
      <w:r>
        <w:rPr>
          <w:rFonts w:hint="cs"/>
          <w:rtl/>
        </w:rPr>
        <w:t xml:space="preserve">בחינת מדיניות הענישה הנוהגת מלמדת על מנעד רחב של ענישה המשתנה בהתאם לנסיבות המעשה והעושה, סוג הסם, הכמות שיובאה, חלקו של הנאשם במסכת העבריינית הכוללת ונסיבותיו האישיות. </w:t>
      </w:r>
    </w:p>
    <w:p w14:paraId="48A9598E" w14:textId="77777777" w:rsidR="0010215E" w:rsidRDefault="0010215E" w:rsidP="0010215E">
      <w:pPr>
        <w:spacing w:line="360" w:lineRule="auto"/>
        <w:jc w:val="both"/>
        <w:rPr>
          <w:rtl/>
        </w:rPr>
      </w:pPr>
    </w:p>
    <w:p w14:paraId="23DD7AB3" w14:textId="77777777" w:rsidR="0010215E" w:rsidRDefault="0010215E" w:rsidP="0010215E">
      <w:pPr>
        <w:spacing w:line="360" w:lineRule="auto"/>
        <w:jc w:val="both"/>
        <w:rPr>
          <w:rtl/>
        </w:rPr>
      </w:pPr>
      <w:r>
        <w:rPr>
          <w:rFonts w:hint="cs"/>
          <w:rtl/>
        </w:rPr>
        <w:t>לשם בחינת מדיניות הענישה אדרש לגזרי דין חמורים יותר וקלים יותר על מנת להגיע לתוצאה מושכלת ככל האפשר.</w:t>
      </w:r>
    </w:p>
    <w:p w14:paraId="02B8DDE7" w14:textId="77777777" w:rsidR="0010215E" w:rsidRDefault="0010215E" w:rsidP="0010215E">
      <w:pPr>
        <w:spacing w:line="360" w:lineRule="auto"/>
        <w:jc w:val="both"/>
        <w:rPr>
          <w:rtl/>
        </w:rPr>
      </w:pPr>
    </w:p>
    <w:p w14:paraId="0925953A" w14:textId="77777777" w:rsidR="0010215E" w:rsidRPr="00AC4C7C" w:rsidRDefault="0008660D" w:rsidP="0010215E">
      <w:pPr>
        <w:spacing w:after="160" w:line="360" w:lineRule="auto"/>
        <w:jc w:val="both"/>
        <w:rPr>
          <w:rFonts w:ascii="David" w:hAnsi="David"/>
          <w:rtl/>
        </w:rPr>
      </w:pPr>
      <w:hyperlink r:id="rId23" w:history="1">
        <w:r w:rsidRPr="0008660D">
          <w:rPr>
            <w:rFonts w:ascii="David" w:hAnsi="David"/>
            <w:color w:val="0000FF"/>
            <w:u w:val="single"/>
            <w:rtl/>
          </w:rPr>
          <w:t>ע"פ 7757/21</w:t>
        </w:r>
      </w:hyperlink>
      <w:r w:rsidR="0010215E" w:rsidRPr="004F1146">
        <w:rPr>
          <w:rFonts w:ascii="David" w:hAnsi="David"/>
          <w:rtl/>
        </w:rPr>
        <w:t xml:space="preserve"> </w:t>
      </w:r>
      <w:r w:rsidR="0010215E" w:rsidRPr="004F1146">
        <w:rPr>
          <w:rFonts w:ascii="David" w:hAnsi="David"/>
          <w:b/>
          <w:bCs/>
          <w:rtl/>
        </w:rPr>
        <w:t>מרזוקי נ' מדינת ישראל</w:t>
      </w:r>
      <w:r w:rsidR="0010215E" w:rsidRPr="004F1146">
        <w:rPr>
          <w:rFonts w:ascii="David" w:hAnsi="David"/>
          <w:rtl/>
        </w:rPr>
        <w:t xml:space="preserve"> (24.5.2022) – המערער הורשע על יסוד הודאתו במסגרת הסדר טיעון בייבוא סם מסוכן מסוג מתאמפטמין במשקל של 2.975 ק"ג </w:t>
      </w:r>
      <w:r w:rsidR="0010215E" w:rsidRPr="00AC4C7C">
        <w:rPr>
          <w:rFonts w:ascii="David" w:hAnsi="David"/>
          <w:rtl/>
        </w:rPr>
        <w:t>בצוותא</w:t>
      </w:r>
      <w:r w:rsidR="0010215E" w:rsidRPr="004F1146">
        <w:rPr>
          <w:rFonts w:ascii="David" w:hAnsi="David"/>
          <w:rtl/>
        </w:rPr>
        <w:t xml:space="preserve"> ובעבירה של שיבוש מהלכי משפט, בכך שהציע לאחר לייבא עבורו סם מסוכן ותיאם עבורו את הקשר עם הגורם בחו"ל, ובהמשך כמי שעבד באותה העת כמתרגם במשטרה לשפה התאית, שיבש את מהלך החקירה. בית המשפט המחוזי קבע מתחם שנע בין </w:t>
      </w:r>
      <w:r w:rsidR="0010215E" w:rsidRPr="004F1146">
        <w:rPr>
          <w:rFonts w:ascii="David" w:hAnsi="David"/>
        </w:rPr>
        <w:t>28</w:t>
      </w:r>
      <w:r w:rsidR="0010215E" w:rsidRPr="004F1146">
        <w:rPr>
          <w:rFonts w:ascii="David" w:hAnsi="David"/>
          <w:rtl/>
        </w:rPr>
        <w:t xml:space="preserve"> </w:t>
      </w:r>
      <w:r w:rsidR="0010215E" w:rsidRPr="004F1146">
        <w:rPr>
          <w:rFonts w:ascii="David" w:hAnsi="David" w:hint="cs"/>
          <w:rtl/>
        </w:rPr>
        <w:t>ל-40 חודשי מאסר וגזר על המערער 28 חודשי מאסר לצד ענישה נלווית. ערעורו על חומרת גזר הדין נדחה בבית המשפט העליון</w:t>
      </w:r>
      <w:r w:rsidR="0010215E" w:rsidRPr="004F1146">
        <w:rPr>
          <w:rFonts w:ascii="David" w:hAnsi="David"/>
        </w:rPr>
        <w:t>.</w:t>
      </w:r>
    </w:p>
    <w:p w14:paraId="01DA8F4B" w14:textId="77777777" w:rsidR="0010215E" w:rsidRDefault="0010215E" w:rsidP="0010215E">
      <w:pPr>
        <w:spacing w:line="360" w:lineRule="auto"/>
        <w:jc w:val="both"/>
        <w:rPr>
          <w:rtl/>
        </w:rPr>
      </w:pPr>
    </w:p>
    <w:p w14:paraId="38B7E3B7" w14:textId="77777777" w:rsidR="0010215E" w:rsidRDefault="0010215E" w:rsidP="0010215E">
      <w:pPr>
        <w:spacing w:line="360" w:lineRule="auto"/>
        <w:jc w:val="both"/>
        <w:rPr>
          <w:rtl/>
        </w:rPr>
      </w:pPr>
      <w:r>
        <w:rPr>
          <w:rFonts w:hint="cs"/>
          <w:rtl/>
        </w:rPr>
        <w:t>ב</w:t>
      </w:r>
      <w:hyperlink r:id="rId24" w:history="1">
        <w:r w:rsidR="0008660D" w:rsidRPr="0008660D">
          <w:rPr>
            <w:color w:val="0000FF"/>
            <w:u w:val="single"/>
            <w:rtl/>
          </w:rPr>
          <w:t>ע"פ 5826/19</w:t>
        </w:r>
      </w:hyperlink>
      <w:r>
        <w:rPr>
          <w:rFonts w:hint="cs"/>
          <w:rtl/>
        </w:rPr>
        <w:t xml:space="preserve"> </w:t>
      </w:r>
      <w:r>
        <w:rPr>
          <w:rFonts w:hint="cs"/>
          <w:b/>
          <w:bCs/>
          <w:rtl/>
        </w:rPr>
        <w:t xml:space="preserve">מדינת ישראל נ' דורי רפאל </w:t>
      </w:r>
      <w:r>
        <w:rPr>
          <w:rFonts w:hint="cs"/>
          <w:rtl/>
        </w:rPr>
        <w:t>(23.2.20) (להלן: "</w:t>
      </w:r>
      <w:r>
        <w:rPr>
          <w:rFonts w:hint="cs"/>
          <w:b/>
          <w:bCs/>
          <w:rtl/>
        </w:rPr>
        <w:t xml:space="preserve">עניין דורי </w:t>
      </w:r>
      <w:r w:rsidRPr="00AC4C7C">
        <w:rPr>
          <w:rFonts w:hint="cs"/>
          <w:b/>
          <w:bCs/>
          <w:rtl/>
        </w:rPr>
        <w:t>רפאל</w:t>
      </w:r>
      <w:r>
        <w:rPr>
          <w:rFonts w:hint="cs"/>
          <w:rtl/>
        </w:rPr>
        <w:t xml:space="preserve">") </w:t>
      </w:r>
      <w:r w:rsidRPr="00AC4C7C">
        <w:rPr>
          <w:rFonts w:hint="cs"/>
          <w:rtl/>
        </w:rPr>
        <w:t>נדון</w:t>
      </w:r>
      <w:r>
        <w:rPr>
          <w:rFonts w:hint="cs"/>
          <w:rtl/>
        </w:rPr>
        <w:t xml:space="preserve"> ערעור המדינה אודות גזר דין במאסר בדרך עבודות שירות אשר הושת על המשיב בבית המשפט המחוזי. המשיב הורשע </w:t>
      </w:r>
      <w:r w:rsidRPr="00697446">
        <w:rPr>
          <w:rtl/>
        </w:rPr>
        <w:t xml:space="preserve">על פי הודאתו, בעבירות שעניינן יבוא סם מסוכן לפי </w:t>
      </w:r>
      <w:hyperlink r:id="rId25" w:history="1">
        <w:r w:rsidR="00BB07B8" w:rsidRPr="00BB07B8">
          <w:rPr>
            <w:rStyle w:val="Hyperlink"/>
            <w:rtl/>
          </w:rPr>
          <w:t>סעיף 13</w:t>
        </w:r>
      </w:hyperlink>
      <w:r w:rsidRPr="00697446">
        <w:rPr>
          <w:rtl/>
        </w:rPr>
        <w:t xml:space="preserve"> ל</w:t>
      </w:r>
      <w:hyperlink r:id="rId26" w:history="1">
        <w:r w:rsidR="0008660D" w:rsidRPr="0008660D">
          <w:rPr>
            <w:color w:val="0000FF"/>
            <w:u w:val="single"/>
            <w:rtl/>
          </w:rPr>
          <w:t>פקודת הסמים המסוכנים</w:t>
        </w:r>
      </w:hyperlink>
      <w:r>
        <w:rPr>
          <w:rFonts w:hint="cs"/>
          <w:rtl/>
        </w:rPr>
        <w:t>,</w:t>
      </w:r>
      <w:r w:rsidRPr="00697446">
        <w:rPr>
          <w:rtl/>
        </w:rPr>
        <w:t xml:space="preserve"> החזקת סם מסוכן שלא לשימוש עצמי לפי </w:t>
      </w:r>
      <w:hyperlink r:id="rId27" w:history="1">
        <w:r w:rsidR="00BB07B8" w:rsidRPr="00BB07B8">
          <w:rPr>
            <w:rStyle w:val="Hyperlink"/>
            <w:rtl/>
          </w:rPr>
          <w:t>סעיף 7(א)</w:t>
        </w:r>
      </w:hyperlink>
      <w:r w:rsidRPr="00697446">
        <w:rPr>
          <w:rtl/>
        </w:rPr>
        <w:t xml:space="preserve"> בצירוף </w:t>
      </w:r>
      <w:hyperlink r:id="rId28" w:history="1">
        <w:r w:rsidR="00BB07B8" w:rsidRPr="00BB07B8">
          <w:rPr>
            <w:rStyle w:val="Hyperlink"/>
            <w:rtl/>
          </w:rPr>
          <w:t>7(ג)</w:t>
        </w:r>
      </w:hyperlink>
      <w:r w:rsidRPr="00697446">
        <w:rPr>
          <w:rtl/>
        </w:rPr>
        <w:t xml:space="preserve"> רישא לפקודה; קשירת קשר לפשע (יבוא סם מסוכן) לפי </w:t>
      </w:r>
      <w:hyperlink r:id="rId29" w:history="1">
        <w:r w:rsidR="00BB07B8" w:rsidRPr="00BB07B8">
          <w:rPr>
            <w:rStyle w:val="Hyperlink"/>
            <w:rtl/>
          </w:rPr>
          <w:t>סעיף 499(א)(1)</w:t>
        </w:r>
      </w:hyperlink>
      <w:r w:rsidRPr="00697446">
        <w:rPr>
          <w:rtl/>
        </w:rPr>
        <w:t xml:space="preserve"> לחוק יחד עם </w:t>
      </w:r>
      <w:hyperlink r:id="rId30" w:history="1">
        <w:r w:rsidR="00BB07B8" w:rsidRPr="00BB07B8">
          <w:rPr>
            <w:rStyle w:val="Hyperlink"/>
            <w:rtl/>
          </w:rPr>
          <w:t>סעיף 13</w:t>
        </w:r>
      </w:hyperlink>
      <w:r w:rsidRPr="00697446">
        <w:rPr>
          <w:rtl/>
        </w:rPr>
        <w:t xml:space="preserve"> לפקודה; ו</w:t>
      </w:r>
      <w:r>
        <w:rPr>
          <w:rtl/>
        </w:rPr>
        <w:t xml:space="preserve">סחר בסם מסוכן לפי </w:t>
      </w:r>
      <w:hyperlink r:id="rId31" w:history="1">
        <w:r w:rsidR="00BB07B8" w:rsidRPr="00BB07B8">
          <w:rPr>
            <w:rStyle w:val="Hyperlink"/>
            <w:rtl/>
          </w:rPr>
          <w:t>סעיף 13</w:t>
        </w:r>
      </w:hyperlink>
      <w:r>
        <w:rPr>
          <w:rtl/>
        </w:rPr>
        <w:t xml:space="preserve"> לפקוד</w:t>
      </w:r>
      <w:r>
        <w:rPr>
          <w:rFonts w:hint="cs"/>
          <w:rtl/>
        </w:rPr>
        <w:t>ת הסמים המסוכנים</w:t>
      </w:r>
      <w:r w:rsidRPr="00697446">
        <w:rPr>
          <w:rtl/>
        </w:rPr>
        <w:t xml:space="preserve">. הסם מושא האישומים הוא סם מסוכן מסוג </w:t>
      </w:r>
      <w:r w:rsidRPr="00697446">
        <w:t>GBL</w:t>
      </w:r>
      <w:r w:rsidRPr="00697446">
        <w:rPr>
          <w:rtl/>
        </w:rPr>
        <w:t xml:space="preserve"> אשר המשיב בי</w:t>
      </w:r>
      <w:r>
        <w:rPr>
          <w:rtl/>
        </w:rPr>
        <w:t>קש לייבא עשרים ליטר ממנו</w:t>
      </w:r>
      <w:r w:rsidRPr="00697446">
        <w:rPr>
          <w:rtl/>
        </w:rPr>
        <w:t xml:space="preserve"> מסין לישראל במספר משלוחים, וזאת יחד עם אחר שזהותו אינה ידועה.</w:t>
      </w:r>
      <w:r>
        <w:rPr>
          <w:rFonts w:hint="cs"/>
          <w:rtl/>
        </w:rPr>
        <w:t xml:space="preserve"> </w:t>
      </w:r>
    </w:p>
    <w:p w14:paraId="01A7A5E7" w14:textId="77777777" w:rsidR="0010215E" w:rsidRPr="004F1146" w:rsidRDefault="0010215E" w:rsidP="0010215E">
      <w:pPr>
        <w:spacing w:line="360" w:lineRule="auto"/>
        <w:jc w:val="both"/>
        <w:rPr>
          <w:b/>
          <w:bCs/>
          <w:rtl/>
        </w:rPr>
      </w:pPr>
      <w:r>
        <w:rPr>
          <w:rFonts w:hint="cs"/>
          <w:rtl/>
        </w:rPr>
        <w:t xml:space="preserve">כאמור, הערעור התקבל והושת על המשיב עונש של 16 חודשים מאסר בפועל. בית המשפט העליון נימק את ההחמרה בהצטברות נסיבות מחמירות ובהן </w:t>
      </w:r>
      <w:r>
        <w:rPr>
          <w:rtl/>
        </w:rPr>
        <w:t xml:space="preserve"> </w:t>
      </w:r>
      <w:r w:rsidRPr="004F1146">
        <w:rPr>
          <w:rFonts w:hint="cs"/>
          <w:b/>
          <w:bCs/>
          <w:rtl/>
        </w:rPr>
        <w:t>"</w:t>
      </w:r>
      <w:r w:rsidRPr="004F1146">
        <w:rPr>
          <w:b/>
          <w:bCs/>
          <w:rtl/>
        </w:rPr>
        <w:t xml:space="preserve">כמות הסם </w:t>
      </w:r>
      <w:r>
        <w:rPr>
          <w:b/>
          <w:bCs/>
          <w:rtl/>
        </w:rPr>
        <w:t xml:space="preserve">שנתפסה היא גדולה מאוד, ומספיקה </w:t>
      </w:r>
      <w:r w:rsidRPr="004F1146">
        <w:rPr>
          <w:b/>
          <w:bCs/>
          <w:rtl/>
        </w:rPr>
        <w:t>למעלה מ- 5,000 מנות סם. באף לא אחד מהתיקים שהגיעו לבית משפט זה היתה כמות כה גדולה של סם; בעניין מזרחי, כמות הסם היתה 3.5 ליטר; בפרשת פלוני, כמות הסם עמדה על 2.5 ליטר; בפרשת דילן, עמדה כמות הסם על כליטר אחד; ב</w:t>
      </w:r>
      <w:hyperlink r:id="rId32" w:history="1">
        <w:r w:rsidR="0008660D" w:rsidRPr="0008660D">
          <w:rPr>
            <w:b/>
            <w:bCs/>
            <w:color w:val="0000FF"/>
            <w:u w:val="single"/>
            <w:rtl/>
          </w:rPr>
          <w:t>ע"פ 7920/12</w:t>
        </w:r>
      </w:hyperlink>
      <w:r w:rsidRPr="004F1146">
        <w:rPr>
          <w:b/>
          <w:bCs/>
          <w:rtl/>
        </w:rPr>
        <w:t xml:space="preserve"> מדינת ישראל נ' בן קידר [פורסם בנבו] (30.1.2013) כמות הסם עמדה על 5 ליטר. ביתר הפסיקה המחוזית, שבית משפט קמא סקר בגזר דינו, כמויות הסם אינן מתקרבות לכמויות כאן. נסיבות ואופן החזקת הסם; מגוון הסמים: </w:t>
      </w:r>
      <w:r w:rsidRPr="004F1146">
        <w:rPr>
          <w:b/>
          <w:bCs/>
        </w:rPr>
        <w:t>GBL</w:t>
      </w:r>
      <w:r w:rsidRPr="004F1146">
        <w:rPr>
          <w:b/>
          <w:bCs/>
          <w:rtl/>
        </w:rPr>
        <w:t>, קטמין ו-</w:t>
      </w:r>
      <w:r w:rsidRPr="004F1146">
        <w:rPr>
          <w:b/>
          <w:bCs/>
        </w:rPr>
        <w:t>MDMA</w:t>
      </w:r>
      <w:r w:rsidRPr="004F1146">
        <w:rPr>
          <w:b/>
          <w:bCs/>
          <w:rtl/>
        </w:rPr>
        <w:t xml:space="preserve"> ומכירת סמים בשתי הזדמנויות לאחרים.</w:t>
      </w:r>
      <w:r w:rsidRPr="004F1146">
        <w:rPr>
          <w:rFonts w:hint="cs"/>
          <w:b/>
          <w:bCs/>
          <w:rtl/>
        </w:rPr>
        <w:t>"</w:t>
      </w:r>
    </w:p>
    <w:p w14:paraId="179437E8" w14:textId="77777777" w:rsidR="0010215E" w:rsidRDefault="0010215E" w:rsidP="0010215E">
      <w:pPr>
        <w:spacing w:line="360" w:lineRule="auto"/>
        <w:jc w:val="both"/>
        <w:rPr>
          <w:rtl/>
        </w:rPr>
      </w:pPr>
    </w:p>
    <w:p w14:paraId="2C318079" w14:textId="77777777" w:rsidR="0010215E" w:rsidRDefault="0010215E" w:rsidP="0010215E">
      <w:pPr>
        <w:spacing w:line="360" w:lineRule="auto"/>
        <w:jc w:val="both"/>
        <w:rPr>
          <w:rFonts w:ascii="David" w:hAnsi="David"/>
          <w:color w:val="000000"/>
          <w:sz w:val="22"/>
          <w:szCs w:val="22"/>
          <w:rtl/>
        </w:rPr>
      </w:pPr>
      <w:r w:rsidRPr="006E1612">
        <w:rPr>
          <w:rFonts w:ascii="David" w:hAnsi="David"/>
          <w:color w:val="000000"/>
          <w:rtl/>
        </w:rPr>
        <w:t>ב</w:t>
      </w:r>
      <w:hyperlink r:id="rId33" w:history="1">
        <w:r w:rsidR="0008660D" w:rsidRPr="0008660D">
          <w:rPr>
            <w:rFonts w:ascii="David" w:hAnsi="David"/>
            <w:color w:val="0000FF"/>
            <w:u w:val="single"/>
            <w:rtl/>
          </w:rPr>
          <w:t>ת"פ (מחוזי באר שבע) 65963-10-21</w:t>
        </w:r>
      </w:hyperlink>
      <w:r w:rsidRPr="006E1612">
        <w:rPr>
          <w:rFonts w:ascii="David" w:hAnsi="David"/>
          <w:color w:val="000000"/>
          <w:rtl/>
        </w:rPr>
        <w:t xml:space="preserve"> </w:t>
      </w:r>
      <w:r w:rsidRPr="006E1612">
        <w:rPr>
          <w:rFonts w:ascii="David" w:hAnsi="David"/>
          <w:b/>
          <w:bCs/>
          <w:color w:val="000000"/>
          <w:rtl/>
        </w:rPr>
        <w:t xml:space="preserve">מדינת ישראל נ' </w:t>
      </w:r>
      <w:r w:rsidRPr="006E1612">
        <w:rPr>
          <w:rFonts w:ascii="David" w:hAnsi="David"/>
          <w:b/>
          <w:bCs/>
          <w:color w:val="000000"/>
        </w:rPr>
        <w:t>SEA LEE MONTREE</w:t>
      </w:r>
      <w:r w:rsidRPr="006E1612">
        <w:rPr>
          <w:rFonts w:ascii="David" w:hAnsi="David"/>
          <w:color w:val="000000"/>
        </w:rPr>
        <w:t xml:space="preserve"> </w:t>
      </w:r>
      <w:r w:rsidRPr="006E1612">
        <w:rPr>
          <w:rFonts w:ascii="David" w:hAnsi="David"/>
          <w:color w:val="000000"/>
          <w:rtl/>
        </w:rPr>
        <w:t xml:space="preserve"> (10.7.22) הנאשם הורשע על יסוד הודאתו ייבוא סם מסוכן, לפי </w:t>
      </w:r>
      <w:hyperlink r:id="rId34" w:history="1">
        <w:r w:rsidR="00BB07B8" w:rsidRPr="00BB07B8">
          <w:rPr>
            <w:rStyle w:val="Hyperlink"/>
            <w:rFonts w:ascii="David" w:hAnsi="David"/>
            <w:rtl/>
          </w:rPr>
          <w:t>סעיף 13</w:t>
        </w:r>
      </w:hyperlink>
      <w:r w:rsidRPr="006E1612">
        <w:rPr>
          <w:rFonts w:ascii="David" w:hAnsi="David"/>
          <w:color w:val="000000"/>
          <w:rtl/>
        </w:rPr>
        <w:t xml:space="preserve">  ו- </w:t>
      </w:r>
      <w:hyperlink r:id="rId35" w:history="1">
        <w:r w:rsidR="00BB07B8" w:rsidRPr="00BB07B8">
          <w:rPr>
            <w:rStyle w:val="Hyperlink"/>
            <w:rFonts w:ascii="David" w:hAnsi="David"/>
            <w:rtl/>
          </w:rPr>
          <w:t>19א</w:t>
        </w:r>
      </w:hyperlink>
      <w:r w:rsidRPr="006E1612">
        <w:rPr>
          <w:rFonts w:ascii="David" w:hAnsi="David"/>
          <w:color w:val="000000"/>
          <w:rtl/>
        </w:rPr>
        <w:t xml:space="preserve"> ב</w:t>
      </w:r>
      <w:hyperlink r:id="rId36" w:history="1">
        <w:r w:rsidR="0008660D" w:rsidRPr="0008660D">
          <w:rPr>
            <w:rFonts w:ascii="David" w:hAnsi="David"/>
            <w:color w:val="0000FF"/>
            <w:u w:val="single"/>
            <w:rtl/>
          </w:rPr>
          <w:t>פקודת הסמים המסוכנים</w:t>
        </w:r>
      </w:hyperlink>
      <w:r w:rsidRPr="006E1612">
        <w:rPr>
          <w:rFonts w:ascii="David" w:hAnsi="David"/>
          <w:color w:val="000000"/>
          <w:rtl/>
        </w:rPr>
        <w:t xml:space="preserve"> [נוסח חדש], התשל"ג-1973 (להלן: "פקודת הסמים"); וניסיון להחזקת סם מסוכן שלא לצריכה עצמית, לפי </w:t>
      </w:r>
      <w:hyperlink r:id="rId37" w:history="1">
        <w:r w:rsidR="00BB07B8" w:rsidRPr="00BB07B8">
          <w:rPr>
            <w:rStyle w:val="Hyperlink"/>
            <w:rFonts w:ascii="David" w:hAnsi="David"/>
            <w:rtl/>
          </w:rPr>
          <w:t>סעיף 7(א)</w:t>
        </w:r>
      </w:hyperlink>
      <w:r w:rsidRPr="006E1612">
        <w:rPr>
          <w:rFonts w:ascii="David" w:hAnsi="David"/>
          <w:color w:val="000000"/>
          <w:rtl/>
        </w:rPr>
        <w:t xml:space="preserve"> ו- </w:t>
      </w:r>
      <w:hyperlink r:id="rId38" w:history="1">
        <w:r w:rsidR="00BB07B8" w:rsidRPr="00BB07B8">
          <w:rPr>
            <w:rStyle w:val="Hyperlink"/>
            <w:rFonts w:ascii="David" w:hAnsi="David"/>
            <w:rtl/>
          </w:rPr>
          <w:t>(ג)</w:t>
        </w:r>
      </w:hyperlink>
      <w:r w:rsidRPr="006E1612">
        <w:rPr>
          <w:rFonts w:ascii="David" w:hAnsi="David"/>
          <w:color w:val="000000"/>
          <w:rtl/>
        </w:rPr>
        <w:t xml:space="preserve"> רישא בפקודת הסמים בשילוב עם </w:t>
      </w:r>
      <w:hyperlink r:id="rId39" w:history="1">
        <w:r w:rsidR="00BB07B8" w:rsidRPr="00BB07B8">
          <w:rPr>
            <w:rStyle w:val="Hyperlink"/>
            <w:rFonts w:ascii="David" w:hAnsi="David"/>
            <w:rtl/>
          </w:rPr>
          <w:t>סעיף 25</w:t>
        </w:r>
      </w:hyperlink>
      <w:r w:rsidRPr="006E1612">
        <w:rPr>
          <w:rFonts w:ascii="David" w:hAnsi="David"/>
          <w:color w:val="000000"/>
          <w:rtl/>
        </w:rPr>
        <w:t xml:space="preserve"> ל</w:t>
      </w:r>
      <w:hyperlink r:id="rId40" w:history="1">
        <w:r w:rsidR="0008660D" w:rsidRPr="0008660D">
          <w:rPr>
            <w:rFonts w:ascii="David" w:hAnsi="David"/>
            <w:color w:val="0000FF"/>
            <w:u w:val="single"/>
            <w:rtl/>
          </w:rPr>
          <w:t>חוק העונשין</w:t>
        </w:r>
      </w:hyperlink>
      <w:r w:rsidRPr="006E1612">
        <w:rPr>
          <w:rFonts w:ascii="David" w:hAnsi="David"/>
          <w:color w:val="000000"/>
          <w:rtl/>
        </w:rPr>
        <w:t>, התשל"ז- 1977 (להלן: החוק). הנאשם, אזרח תאילנד החזיק באשרת עבודה בישראל, הזמין מתאילנד שתי תמונות קיר ובתוכן 5 שקיות של סם במשקל של 415.737 גרם, שמוענה לכתובת ביתו. החבילה הגיעה לישראל ונבדקה על ידי רשויות המכס, שגילו בה את הסם והעבירוהו למשטרה. הנאשם הגיע לנקודת הדואר ונטל את החבילה ונעצר על ידי השוטרים</w:t>
      </w:r>
      <w:r w:rsidRPr="006E1612">
        <w:rPr>
          <w:rFonts w:ascii="David" w:hAnsi="David"/>
          <w:color w:val="000000"/>
        </w:rPr>
        <w:t>.</w:t>
      </w:r>
      <w:r w:rsidRPr="006E1612">
        <w:rPr>
          <w:rFonts w:ascii="David" w:hAnsi="David"/>
          <w:color w:val="000000"/>
          <w:rtl/>
        </w:rPr>
        <w:t xml:space="preserve"> מתחם העונש שנקבע הוא בין</w:t>
      </w:r>
      <w:r>
        <w:rPr>
          <w:rFonts w:ascii="David" w:hAnsi="David"/>
          <w:color w:val="000000"/>
        </w:rPr>
        <w:t xml:space="preserve"> </w:t>
      </w:r>
      <w:r w:rsidRPr="006E1612">
        <w:rPr>
          <w:rFonts w:ascii="David" w:hAnsi="David"/>
          <w:color w:val="000000"/>
        </w:rPr>
        <w:t xml:space="preserve">24 </w:t>
      </w:r>
      <w:r w:rsidRPr="006E1612">
        <w:rPr>
          <w:rFonts w:ascii="David" w:hAnsi="David"/>
          <w:color w:val="000000"/>
          <w:rtl/>
        </w:rPr>
        <w:t>ל- 48 חודשי מאסר בפועל. נגזרו על הנאשם 30 חודשי מאסר בפועל.</w:t>
      </w:r>
    </w:p>
    <w:p w14:paraId="021A61FD" w14:textId="77777777" w:rsidR="0010215E" w:rsidRDefault="0010215E" w:rsidP="0010215E">
      <w:pPr>
        <w:spacing w:line="360" w:lineRule="auto"/>
        <w:jc w:val="both"/>
        <w:rPr>
          <w:rFonts w:ascii="David" w:hAnsi="David"/>
          <w:color w:val="000000"/>
          <w:sz w:val="22"/>
          <w:szCs w:val="22"/>
          <w:rtl/>
        </w:rPr>
      </w:pPr>
    </w:p>
    <w:p w14:paraId="492DCF55" w14:textId="77777777" w:rsidR="0010215E" w:rsidRPr="0015662F" w:rsidRDefault="0010215E" w:rsidP="0010215E">
      <w:pPr>
        <w:spacing w:after="160" w:line="360" w:lineRule="auto"/>
        <w:jc w:val="both"/>
        <w:rPr>
          <w:rFonts w:ascii="David" w:hAnsi="David"/>
          <w:rtl/>
        </w:rPr>
      </w:pPr>
      <w:r w:rsidRPr="00852191">
        <w:rPr>
          <w:rFonts w:ascii="David" w:hAnsi="David"/>
          <w:rtl/>
        </w:rPr>
        <w:t>ב</w:t>
      </w:r>
      <w:hyperlink r:id="rId41" w:history="1">
        <w:r w:rsidR="0008660D" w:rsidRPr="0008660D">
          <w:rPr>
            <w:rFonts w:ascii="David" w:hAnsi="David"/>
            <w:color w:val="0000FF"/>
            <w:u w:val="single"/>
            <w:rtl/>
          </w:rPr>
          <w:t>ת"פ (מחוזי ירושלים) 37958-02-19</w:t>
        </w:r>
      </w:hyperlink>
      <w:r w:rsidRPr="00852191">
        <w:rPr>
          <w:rFonts w:ascii="David" w:hAnsi="David"/>
          <w:b/>
          <w:bCs/>
          <w:rtl/>
        </w:rPr>
        <w:t xml:space="preserve"> מ"י נ' וינברג </w:t>
      </w:r>
      <w:r w:rsidRPr="00852191">
        <w:rPr>
          <w:rFonts w:ascii="David" w:hAnsi="David"/>
          <w:rtl/>
        </w:rPr>
        <w:t xml:space="preserve">(11.2.21), נדון עניינו של מי שהורשע בעבירה של ייבוא סם מסוכן, בכך שקשר קשר עם אחרים, נסע לאודסה וקיבל שם סם מסוכן מסוג </w:t>
      </w:r>
      <w:r>
        <w:rPr>
          <w:rFonts w:ascii="David" w:hAnsi="David" w:hint="cs"/>
        </w:rPr>
        <w:t>MDMA</w:t>
      </w:r>
      <w:r w:rsidRPr="00852191">
        <w:rPr>
          <w:rFonts w:ascii="David" w:hAnsi="David"/>
          <w:rtl/>
        </w:rPr>
        <w:t xml:space="preserve"> במשקל נטו של כ-5 ק"ג והעביר אותו לישראל בתוך מזוודה. בית המשפט קבע מתחם עונש הולם הנע בין 24 ל-40 חודשי מאסר, וחרג מהמתחם מטעמי שיקום משמעותי ועמוק מאוד של הנאשם, לאחר שהנאשם שהיה בן 20, שהה במשך חודשיים במעצר, שוחרר לטיפול בקהילה סגורה במשך כשנה, עבר טיפול בהוסטל ובהמשך בדירת קלט, השלים את לימודיו ועבד באופן סדיר</w:t>
      </w:r>
      <w:r w:rsidRPr="0015662F">
        <w:rPr>
          <w:rFonts w:ascii="David" w:hAnsi="David"/>
          <w:rtl/>
        </w:rPr>
        <w:t>. בית המשפט השית עליו עונש של 6 חודשי מאסר מותנה, של"צ בהיקף נרחב וצו מבחן.</w:t>
      </w:r>
    </w:p>
    <w:p w14:paraId="7D77DCB6" w14:textId="77777777" w:rsidR="0010215E" w:rsidRPr="000C7EA5" w:rsidRDefault="0010215E" w:rsidP="0010215E">
      <w:pPr>
        <w:spacing w:line="360" w:lineRule="auto"/>
        <w:jc w:val="both"/>
        <w:rPr>
          <w:rFonts w:ascii="David" w:hAnsi="David"/>
          <w:color w:val="000000"/>
          <w:sz w:val="22"/>
          <w:szCs w:val="22"/>
          <w:highlight w:val="yellow"/>
          <w:rtl/>
        </w:rPr>
      </w:pPr>
    </w:p>
    <w:p w14:paraId="7A5B2FB2" w14:textId="77777777" w:rsidR="0010215E" w:rsidRDefault="0010215E" w:rsidP="0010215E">
      <w:pPr>
        <w:pStyle w:val="NormalWeb"/>
        <w:shd w:val="clear" w:color="auto" w:fill="FFFFFF"/>
        <w:bidi/>
        <w:spacing w:line="360" w:lineRule="auto"/>
        <w:jc w:val="both"/>
        <w:rPr>
          <w:rFonts w:ascii="Arial" w:hAnsi="Arial" w:cs="Arial"/>
          <w:color w:val="222222"/>
          <w:rtl/>
        </w:rPr>
      </w:pPr>
      <w:r w:rsidRPr="003D5E04">
        <w:rPr>
          <w:rFonts w:ascii="David" w:hAnsi="David" w:cs="David"/>
          <w:color w:val="222222"/>
          <w:rtl/>
        </w:rPr>
        <w:t>ב</w:t>
      </w:r>
      <w:hyperlink r:id="rId42" w:history="1">
        <w:r w:rsidR="0008660D" w:rsidRPr="0008660D">
          <w:rPr>
            <w:rFonts w:ascii="David" w:hAnsi="David" w:cs="David"/>
            <w:color w:val="0000FF"/>
            <w:u w:val="single"/>
            <w:rtl/>
          </w:rPr>
          <w:t>ת"פ (מחוזי ת"א) 22992-09-18</w:t>
        </w:r>
      </w:hyperlink>
      <w:r w:rsidRPr="003D5E04">
        <w:rPr>
          <w:rFonts w:ascii="David" w:hAnsi="David" w:cs="David"/>
          <w:color w:val="222222"/>
          <w:rtl/>
        </w:rPr>
        <w:t xml:space="preserve"> </w:t>
      </w:r>
      <w:r w:rsidRPr="003D5E04">
        <w:rPr>
          <w:rFonts w:ascii="David" w:hAnsi="David" w:cs="David"/>
          <w:b/>
          <w:bCs/>
          <w:color w:val="222222"/>
          <w:rtl/>
        </w:rPr>
        <w:t xml:space="preserve">מדינת ישראל נ' פורת ואח' </w:t>
      </w:r>
      <w:r w:rsidRPr="003D5E04">
        <w:rPr>
          <w:rFonts w:ascii="David" w:hAnsi="David" w:cs="David"/>
          <w:color w:val="222222"/>
          <w:rtl/>
        </w:rPr>
        <w:t>(12.17.20) הורשע נאשם 1, במסגרת</w:t>
      </w:r>
      <w:r w:rsidR="0008660D">
        <w:rPr>
          <w:rFonts w:ascii="David" w:hAnsi="David" w:cs="David"/>
          <w:color w:val="222222"/>
          <w:rtl/>
        </w:rPr>
        <w:t xml:space="preserve"> </w:t>
      </w:r>
      <w:r w:rsidRPr="003D5E04">
        <w:rPr>
          <w:rFonts w:ascii="David" w:hAnsi="David" w:cs="David"/>
          <w:color w:val="222222"/>
          <w:rtl/>
        </w:rPr>
        <w:t>האישום השני, בעבירה של</w:t>
      </w:r>
      <w:r w:rsidR="0008660D">
        <w:rPr>
          <w:rFonts w:ascii="David" w:hAnsi="David" w:cs="David"/>
          <w:color w:val="222222"/>
          <w:rtl/>
        </w:rPr>
        <w:t xml:space="preserve"> </w:t>
      </w:r>
      <w:r w:rsidRPr="003D5E04">
        <w:rPr>
          <w:rFonts w:ascii="David" w:hAnsi="David" w:cs="David"/>
          <w:color w:val="222222"/>
          <w:rtl/>
        </w:rPr>
        <w:t>עסקה אחרת בסם</w:t>
      </w:r>
      <w:r w:rsidR="0008660D">
        <w:rPr>
          <w:rFonts w:ascii="David" w:hAnsi="David" w:cs="David"/>
          <w:color w:val="222222"/>
          <w:rtl/>
        </w:rPr>
        <w:t xml:space="preserve"> </w:t>
      </w:r>
      <w:r w:rsidRPr="003D5E04">
        <w:rPr>
          <w:rFonts w:ascii="David" w:hAnsi="David" w:cs="David"/>
          <w:color w:val="222222"/>
          <w:rtl/>
        </w:rPr>
        <w:t xml:space="preserve">(ריבוי עבירות), לפי </w:t>
      </w:r>
      <w:r w:rsidR="0008660D">
        <w:rPr>
          <w:rFonts w:ascii="David" w:hAnsi="David" w:cs="David"/>
          <w:color w:val="222222"/>
          <w:rtl/>
        </w:rPr>
        <w:t xml:space="preserve"> </w:t>
      </w:r>
      <w:hyperlink r:id="rId43" w:history="1">
        <w:r w:rsidR="00BB07B8" w:rsidRPr="00BB07B8">
          <w:rPr>
            <w:rStyle w:val="Hyperlink"/>
            <w:rFonts w:ascii="David" w:hAnsi="David" w:cs="David"/>
            <w:rtl/>
          </w:rPr>
          <w:t>סעיף 13</w:t>
        </w:r>
      </w:hyperlink>
      <w:r w:rsidRPr="003D5E04">
        <w:rPr>
          <w:rFonts w:ascii="David" w:hAnsi="David" w:cs="David"/>
          <w:color w:val="222222"/>
          <w:rtl/>
        </w:rPr>
        <w:t xml:space="preserve"> יחד עם </w:t>
      </w:r>
      <w:hyperlink r:id="rId44" w:history="1">
        <w:r w:rsidR="00BB07B8" w:rsidRPr="00BB07B8">
          <w:rPr>
            <w:rStyle w:val="Hyperlink"/>
            <w:rFonts w:ascii="David" w:hAnsi="David" w:cs="David"/>
            <w:rtl/>
          </w:rPr>
          <w:t>סעיף 19א</w:t>
        </w:r>
      </w:hyperlink>
      <w:r w:rsidRPr="003D5E04">
        <w:rPr>
          <w:rFonts w:ascii="David" w:hAnsi="David" w:cs="David"/>
          <w:color w:val="222222"/>
          <w:rtl/>
        </w:rPr>
        <w:t xml:space="preserve"> לפקודה ובעבירה של</w:t>
      </w:r>
      <w:r w:rsidR="0008660D">
        <w:rPr>
          <w:rFonts w:ascii="David" w:hAnsi="David" w:cs="David"/>
          <w:color w:val="222222"/>
          <w:rtl/>
        </w:rPr>
        <w:t xml:space="preserve"> </w:t>
      </w:r>
      <w:r w:rsidRPr="003D5E04">
        <w:rPr>
          <w:rFonts w:ascii="David" w:hAnsi="David" w:cs="David"/>
          <w:color w:val="222222"/>
          <w:rtl/>
        </w:rPr>
        <w:t xml:space="preserve">ניסיון לביצוע עסקה אחרת בסם, לפי </w:t>
      </w:r>
      <w:hyperlink r:id="rId45" w:history="1">
        <w:r w:rsidR="00BB07B8" w:rsidRPr="00BB07B8">
          <w:rPr>
            <w:rStyle w:val="Hyperlink"/>
            <w:rFonts w:ascii="David" w:hAnsi="David" w:cs="David"/>
            <w:rtl/>
          </w:rPr>
          <w:t>סעיף 13</w:t>
        </w:r>
      </w:hyperlink>
      <w:r w:rsidRPr="003D5E04">
        <w:rPr>
          <w:rFonts w:ascii="David" w:hAnsi="David" w:cs="David"/>
          <w:color w:val="222222"/>
          <w:rtl/>
        </w:rPr>
        <w:t xml:space="preserve"> יחד עם </w:t>
      </w:r>
      <w:hyperlink r:id="rId46" w:history="1">
        <w:r w:rsidR="00BB07B8" w:rsidRPr="00BB07B8">
          <w:rPr>
            <w:rStyle w:val="Hyperlink"/>
            <w:rFonts w:ascii="David" w:hAnsi="David" w:cs="David"/>
            <w:rtl/>
          </w:rPr>
          <w:t>סעיף 19א</w:t>
        </w:r>
      </w:hyperlink>
      <w:r w:rsidRPr="003D5E04">
        <w:rPr>
          <w:rFonts w:ascii="David" w:hAnsi="David" w:cs="David"/>
          <w:color w:val="222222"/>
          <w:rtl/>
        </w:rPr>
        <w:t xml:space="preserve"> לפקודה ויחד עם </w:t>
      </w:r>
      <w:hyperlink r:id="rId47" w:history="1">
        <w:r w:rsidR="00BB07B8" w:rsidRPr="00BB07B8">
          <w:rPr>
            <w:rStyle w:val="Hyperlink"/>
            <w:rFonts w:ascii="David" w:hAnsi="David" w:cs="David"/>
            <w:rtl/>
          </w:rPr>
          <w:t>סעיף 25</w:t>
        </w:r>
      </w:hyperlink>
      <w:r w:rsidRPr="003D5E04">
        <w:rPr>
          <w:rFonts w:ascii="David" w:hAnsi="David" w:cs="David"/>
          <w:color w:val="222222"/>
          <w:rtl/>
        </w:rPr>
        <w:t xml:space="preserve"> לחוק; ובמסגרת</w:t>
      </w:r>
      <w:r w:rsidR="0008660D">
        <w:rPr>
          <w:rFonts w:ascii="David" w:hAnsi="David" w:cs="David"/>
          <w:color w:val="222222"/>
          <w:rtl/>
        </w:rPr>
        <w:t xml:space="preserve"> </w:t>
      </w:r>
      <w:r w:rsidRPr="003D5E04">
        <w:rPr>
          <w:rFonts w:ascii="David" w:hAnsi="David" w:cs="David"/>
          <w:color w:val="222222"/>
          <w:rtl/>
        </w:rPr>
        <w:t>האישום השלישי,</w:t>
      </w:r>
      <w:r w:rsidR="0008660D">
        <w:rPr>
          <w:rFonts w:ascii="David" w:hAnsi="David" w:cs="David"/>
          <w:color w:val="222222"/>
          <w:rtl/>
        </w:rPr>
        <w:t xml:space="preserve"> </w:t>
      </w:r>
      <w:r w:rsidRPr="003D5E04">
        <w:rPr>
          <w:rFonts w:ascii="David" w:hAnsi="David" w:cs="David"/>
          <w:color w:val="222222"/>
          <w:rtl/>
        </w:rPr>
        <w:t>הורשע נאשם 1 בעבירה של</w:t>
      </w:r>
      <w:r w:rsidR="0008660D">
        <w:rPr>
          <w:rFonts w:ascii="David" w:hAnsi="David" w:cs="David"/>
          <w:color w:val="222222"/>
          <w:rtl/>
        </w:rPr>
        <w:t xml:space="preserve"> </w:t>
      </w:r>
      <w:r w:rsidRPr="003D5E04">
        <w:rPr>
          <w:rFonts w:ascii="David" w:hAnsi="David" w:cs="David"/>
          <w:color w:val="222222"/>
          <w:rtl/>
        </w:rPr>
        <w:t>סחר בסם מסוכן</w:t>
      </w:r>
      <w:r w:rsidR="0008660D">
        <w:rPr>
          <w:rFonts w:ascii="David" w:hAnsi="David" w:cs="David"/>
          <w:color w:val="222222"/>
          <w:rtl/>
        </w:rPr>
        <w:t xml:space="preserve"> </w:t>
      </w:r>
      <w:r w:rsidRPr="003D5E04">
        <w:rPr>
          <w:rFonts w:ascii="David" w:hAnsi="David" w:cs="David"/>
          <w:color w:val="222222"/>
          <w:rtl/>
        </w:rPr>
        <w:t xml:space="preserve">(ריבוי עבירות), לפי </w:t>
      </w:r>
      <w:hyperlink r:id="rId48" w:history="1">
        <w:r w:rsidR="00BB07B8" w:rsidRPr="00BB07B8">
          <w:rPr>
            <w:rStyle w:val="Hyperlink"/>
            <w:rFonts w:ascii="David" w:hAnsi="David" w:cs="David"/>
            <w:rtl/>
          </w:rPr>
          <w:t>סעיף 13</w:t>
        </w:r>
      </w:hyperlink>
      <w:r w:rsidRPr="003D5E04">
        <w:rPr>
          <w:rFonts w:ascii="David" w:hAnsi="David" w:cs="David"/>
          <w:color w:val="222222"/>
          <w:rtl/>
        </w:rPr>
        <w:t xml:space="preserve"> יחד עם </w:t>
      </w:r>
      <w:hyperlink r:id="rId49" w:history="1">
        <w:r w:rsidR="00BB07B8" w:rsidRPr="00BB07B8">
          <w:rPr>
            <w:rStyle w:val="Hyperlink"/>
            <w:rFonts w:ascii="David" w:hAnsi="David" w:cs="David"/>
            <w:rtl/>
          </w:rPr>
          <w:t>סעיף 19א</w:t>
        </w:r>
      </w:hyperlink>
      <w:r w:rsidRPr="003D5E04">
        <w:rPr>
          <w:rFonts w:ascii="David" w:hAnsi="David" w:cs="David"/>
          <w:color w:val="222222"/>
          <w:rtl/>
        </w:rPr>
        <w:t xml:space="preserve"> לפקודה, בעבירה של</w:t>
      </w:r>
      <w:r w:rsidR="0008660D">
        <w:rPr>
          <w:rFonts w:ascii="David" w:hAnsi="David" w:cs="David"/>
          <w:color w:val="222222"/>
          <w:rtl/>
        </w:rPr>
        <w:t xml:space="preserve"> </w:t>
      </w:r>
      <w:r w:rsidRPr="003D5E04">
        <w:rPr>
          <w:rFonts w:ascii="David" w:hAnsi="David" w:cs="David"/>
          <w:color w:val="222222"/>
          <w:rtl/>
        </w:rPr>
        <w:t>החזקת סם</w:t>
      </w:r>
      <w:r w:rsidR="0008660D">
        <w:rPr>
          <w:rFonts w:ascii="David" w:hAnsi="David" w:cs="David"/>
          <w:color w:val="222222"/>
          <w:rtl/>
        </w:rPr>
        <w:t xml:space="preserve"> </w:t>
      </w:r>
      <w:r w:rsidRPr="003D5E04">
        <w:rPr>
          <w:rFonts w:ascii="David" w:hAnsi="David" w:cs="David"/>
          <w:color w:val="222222"/>
          <w:rtl/>
        </w:rPr>
        <w:t>(מסוג</w:t>
      </w:r>
      <w:r w:rsidR="0008660D">
        <w:rPr>
          <w:rFonts w:ascii="David" w:hAnsi="David" w:cs="David"/>
          <w:color w:val="222222"/>
          <w:rtl/>
        </w:rPr>
        <w:t xml:space="preserve"> </w:t>
      </w:r>
      <w:r w:rsidRPr="003D5E04">
        <w:rPr>
          <w:rFonts w:ascii="David" w:hAnsi="David" w:cs="David"/>
          <w:color w:val="222222"/>
        </w:rPr>
        <w:t>GBL</w:t>
      </w:r>
      <w:r w:rsidRPr="003D5E04">
        <w:rPr>
          <w:rFonts w:ascii="David" w:hAnsi="David" w:cs="David"/>
          <w:color w:val="222222"/>
          <w:rtl/>
        </w:rPr>
        <w:t>)</w:t>
      </w:r>
      <w:r w:rsidR="0008660D">
        <w:rPr>
          <w:rFonts w:ascii="David" w:hAnsi="David" w:cs="David"/>
          <w:color w:val="222222"/>
          <w:rtl/>
        </w:rPr>
        <w:t xml:space="preserve"> </w:t>
      </w:r>
      <w:r w:rsidRPr="003D5E04">
        <w:rPr>
          <w:rFonts w:ascii="David" w:hAnsi="David" w:cs="David"/>
          <w:color w:val="222222"/>
          <w:rtl/>
        </w:rPr>
        <w:t xml:space="preserve">שלא לצריכה עצמית, לפי </w:t>
      </w:r>
      <w:hyperlink r:id="rId50" w:history="1">
        <w:r w:rsidR="00BB07B8" w:rsidRPr="00BB07B8">
          <w:rPr>
            <w:rStyle w:val="Hyperlink"/>
            <w:rFonts w:ascii="David" w:hAnsi="David" w:cs="David"/>
            <w:rtl/>
          </w:rPr>
          <w:t>סעיף 7(א)</w:t>
        </w:r>
      </w:hyperlink>
      <w:r w:rsidRPr="003D5E04">
        <w:rPr>
          <w:rFonts w:ascii="David" w:hAnsi="David" w:cs="David"/>
          <w:color w:val="222222"/>
          <w:rtl/>
        </w:rPr>
        <w:t xml:space="preserve"> ו-</w:t>
      </w:r>
      <w:hyperlink r:id="rId51" w:history="1">
        <w:r w:rsidR="00BB07B8" w:rsidRPr="00BB07B8">
          <w:rPr>
            <w:rStyle w:val="Hyperlink"/>
            <w:rFonts w:ascii="David" w:hAnsi="David" w:cs="David"/>
            <w:rtl/>
          </w:rPr>
          <w:t>(ג)</w:t>
        </w:r>
      </w:hyperlink>
      <w:r w:rsidRPr="003D5E04">
        <w:rPr>
          <w:rFonts w:ascii="David" w:hAnsi="David" w:cs="David"/>
          <w:color w:val="222222"/>
          <w:rtl/>
        </w:rPr>
        <w:t xml:space="preserve"> רישא לפקודה, ובעבירה של</w:t>
      </w:r>
      <w:r w:rsidR="0008660D">
        <w:rPr>
          <w:rFonts w:ascii="David" w:hAnsi="David" w:cs="David"/>
          <w:color w:val="222222"/>
          <w:rtl/>
        </w:rPr>
        <w:t xml:space="preserve"> </w:t>
      </w:r>
      <w:r w:rsidRPr="003D5E04">
        <w:rPr>
          <w:rFonts w:ascii="David" w:hAnsi="David" w:cs="David"/>
          <w:color w:val="222222"/>
          <w:rtl/>
        </w:rPr>
        <w:t>החזקת סם</w:t>
      </w:r>
      <w:r w:rsidR="0008660D">
        <w:rPr>
          <w:rFonts w:ascii="David" w:hAnsi="David" w:cs="David"/>
          <w:color w:val="222222"/>
          <w:rtl/>
        </w:rPr>
        <w:t xml:space="preserve"> </w:t>
      </w:r>
      <w:r w:rsidRPr="003D5E04">
        <w:rPr>
          <w:rFonts w:ascii="David" w:hAnsi="David" w:cs="David"/>
          <w:color w:val="222222"/>
          <w:rtl/>
        </w:rPr>
        <w:t>(מסוג קוקאין)</w:t>
      </w:r>
      <w:r w:rsidR="0008660D">
        <w:rPr>
          <w:rFonts w:ascii="David" w:hAnsi="David" w:cs="David"/>
          <w:color w:val="222222"/>
          <w:rtl/>
        </w:rPr>
        <w:t xml:space="preserve"> </w:t>
      </w:r>
      <w:r w:rsidRPr="003D5E04">
        <w:rPr>
          <w:rFonts w:ascii="David" w:hAnsi="David" w:cs="David"/>
          <w:color w:val="222222"/>
          <w:rtl/>
        </w:rPr>
        <w:t xml:space="preserve">לצריכה עצמית, לפי </w:t>
      </w:r>
      <w:hyperlink r:id="rId52" w:history="1">
        <w:r w:rsidR="00BB07B8" w:rsidRPr="00BB07B8">
          <w:rPr>
            <w:rStyle w:val="Hyperlink"/>
            <w:rFonts w:ascii="David" w:hAnsi="David" w:cs="David"/>
            <w:rtl/>
          </w:rPr>
          <w:t>סעיף 7(א)</w:t>
        </w:r>
      </w:hyperlink>
      <w:r w:rsidRPr="003D5E04">
        <w:rPr>
          <w:rFonts w:ascii="David" w:hAnsi="David" w:cs="David"/>
          <w:color w:val="222222"/>
          <w:rtl/>
        </w:rPr>
        <w:t xml:space="preserve"> ו-</w:t>
      </w:r>
      <w:hyperlink r:id="rId53" w:history="1">
        <w:r w:rsidR="00BB07B8" w:rsidRPr="00BB07B8">
          <w:rPr>
            <w:rStyle w:val="Hyperlink"/>
            <w:rFonts w:ascii="David" w:hAnsi="David" w:cs="David"/>
            <w:rtl/>
          </w:rPr>
          <w:t>(ג)</w:t>
        </w:r>
      </w:hyperlink>
      <w:r w:rsidRPr="003D5E04">
        <w:rPr>
          <w:rFonts w:ascii="David" w:hAnsi="David" w:cs="David"/>
          <w:color w:val="222222"/>
          <w:rtl/>
        </w:rPr>
        <w:t xml:space="preserve"> סיפא לפקודה. על פי עובדות האישום השני, נאשם 1 פנה מספר פעמים לנאשם 2 שימכור לו 73 ליטר של סם, נאשם 2 טס לחו"ל פעמים רבות במסגרת עבודתו ומביא את הסם לישראל.</w:t>
      </w:r>
      <w:r w:rsidRPr="003D5E04">
        <w:rPr>
          <w:rFonts w:ascii="Arial" w:hAnsi="Arial" w:cs="Arial"/>
          <w:color w:val="222222"/>
          <w:rtl/>
        </w:rPr>
        <w:t xml:space="preserve"> </w:t>
      </w:r>
      <w:r w:rsidRPr="003D5E04">
        <w:rPr>
          <w:rFonts w:ascii="David" w:hAnsi="David" w:cs="David"/>
          <w:color w:val="222222"/>
          <w:rtl/>
        </w:rPr>
        <w:t>לאחר שנאשם 2 הגיע לישראל והסם בכליו, מסר נאשם 2 את כל הסם העיקרי לנאשם 1. באחד המועדים הגיע נאשם 3 בהוראת נאשם 1 לשדה התעופה בן גוריון, קיבל את הסם מנאשם 2 והעבירו לנאשם 1. נאשם 1 שילם לנאשם 2 תמורת הסם. מתחם העונש ההולם שנקבע הוא בין 18-48 חודשים מאסר בפועל.</w:t>
      </w:r>
      <w:r>
        <w:rPr>
          <w:rFonts w:ascii="David" w:hAnsi="David" w:cs="David" w:hint="cs"/>
          <w:color w:val="222222"/>
          <w:rtl/>
        </w:rPr>
        <w:t xml:space="preserve"> </w:t>
      </w:r>
      <w:r w:rsidRPr="003D5E04">
        <w:rPr>
          <w:rFonts w:ascii="David" w:hAnsi="David" w:cs="David" w:hint="cs"/>
          <w:color w:val="222222"/>
          <w:rtl/>
        </w:rPr>
        <w:t xml:space="preserve">מטעמי שיקום נגזר על </w:t>
      </w:r>
      <w:r w:rsidRPr="003D5E04">
        <w:rPr>
          <w:rFonts w:ascii="David" w:hAnsi="David" w:cs="David"/>
          <w:color w:val="222222"/>
          <w:rtl/>
        </w:rPr>
        <w:t>נאשם 1</w:t>
      </w:r>
      <w:r w:rsidRPr="003D5E04">
        <w:rPr>
          <w:rFonts w:ascii="David" w:hAnsi="David" w:cs="David" w:hint="cs"/>
          <w:color w:val="222222"/>
          <w:rtl/>
        </w:rPr>
        <w:t xml:space="preserve"> עונש מאסר בעבודות שירות לתקופה של תשעה</w:t>
      </w:r>
      <w:r w:rsidRPr="003D5E04">
        <w:rPr>
          <w:rFonts w:ascii="David" w:hAnsi="David" w:cs="David"/>
          <w:color w:val="222222"/>
          <w:rtl/>
        </w:rPr>
        <w:t xml:space="preserve"> חודשים. </w:t>
      </w:r>
    </w:p>
    <w:p w14:paraId="1741A9FD" w14:textId="77777777" w:rsidR="0010215E" w:rsidRPr="0032509B" w:rsidRDefault="0008660D" w:rsidP="0010215E">
      <w:pPr>
        <w:spacing w:line="360" w:lineRule="auto"/>
        <w:jc w:val="both"/>
        <w:rPr>
          <w:rFonts w:ascii="David" w:hAnsi="David"/>
        </w:rPr>
      </w:pPr>
      <w:hyperlink r:id="rId54" w:history="1">
        <w:r w:rsidRPr="0008660D">
          <w:rPr>
            <w:rFonts w:ascii="David" w:hAnsi="David"/>
            <w:color w:val="0000FF"/>
            <w:u w:val="single"/>
            <w:rtl/>
          </w:rPr>
          <w:t>ת"פ (מחוזי ת"א) 60349-11-16</w:t>
        </w:r>
      </w:hyperlink>
      <w:r w:rsidR="0010215E" w:rsidRPr="0032509B">
        <w:rPr>
          <w:rFonts w:ascii="David" w:hAnsi="David"/>
          <w:rtl/>
        </w:rPr>
        <w:t xml:space="preserve"> </w:t>
      </w:r>
      <w:r w:rsidR="0010215E" w:rsidRPr="0032509B">
        <w:rPr>
          <w:rFonts w:ascii="David" w:hAnsi="David" w:hint="cs"/>
          <w:b/>
          <w:bCs/>
          <w:rtl/>
        </w:rPr>
        <w:t>מדינת ישראל נ' אברומן ואח'</w:t>
      </w:r>
      <w:r w:rsidR="0010215E" w:rsidRPr="0032509B">
        <w:rPr>
          <w:rFonts w:ascii="David" w:hAnsi="David" w:hint="cs"/>
          <w:rtl/>
        </w:rPr>
        <w:t xml:space="preserve"> (25.9.2017</w:t>
      </w:r>
      <w:r w:rsidR="0010215E">
        <w:rPr>
          <w:rFonts w:ascii="David" w:hAnsi="David" w:hint="cs"/>
          <w:rtl/>
        </w:rPr>
        <w:t>)</w:t>
      </w:r>
      <w:r w:rsidR="0010215E" w:rsidRPr="0032509B">
        <w:rPr>
          <w:rFonts w:ascii="David" w:hAnsi="David" w:hint="cs"/>
          <w:rtl/>
        </w:rPr>
        <w:t xml:space="preserve">- שני נאשמים הורשעו על יסוד הודאתם במסגרת הסדר טיעון בעבירות של קשירת קשר לביצוע פשע (יבוא סם מסוכן) וייבוא סם מסוכן. הנאשמים קשרו קשר לייבא סמים מסוכנים ממספר סוגים מבלגיה, ולמכור אותם בישראל. הנאשמים נעצרו בנתב"ג כשבאמתחתם סמים מסוכנים. בידי הנאשם 1 נתפסו 3 ליטר סם מסוכן מסוג </w:t>
      </w:r>
      <w:r w:rsidR="0010215E" w:rsidRPr="0032509B">
        <w:rPr>
          <w:rFonts w:ascii="David" w:hAnsi="David"/>
        </w:rPr>
        <w:t>GBL</w:t>
      </w:r>
      <w:r w:rsidR="0010215E" w:rsidRPr="0032509B">
        <w:rPr>
          <w:rFonts w:ascii="David" w:hAnsi="David"/>
          <w:rtl/>
        </w:rPr>
        <w:t xml:space="preserve"> ו-609 טבליות סם מסוכן מסוג </w:t>
      </w:r>
      <w:r w:rsidR="0010215E" w:rsidRPr="0032509B">
        <w:rPr>
          <w:rFonts w:ascii="David" w:hAnsi="David"/>
        </w:rPr>
        <w:t>MDMA</w:t>
      </w:r>
      <w:r w:rsidR="0010215E" w:rsidRPr="0032509B">
        <w:rPr>
          <w:rFonts w:ascii="David" w:hAnsi="David"/>
          <w:rtl/>
        </w:rPr>
        <w:t xml:space="preserve">; בידי הנאשם 2 נתפסו  3 ליטר סם מסוכן מסוג </w:t>
      </w:r>
      <w:r w:rsidR="0010215E" w:rsidRPr="0032509B">
        <w:rPr>
          <w:rFonts w:ascii="David" w:hAnsi="David"/>
        </w:rPr>
        <w:t>GBL</w:t>
      </w:r>
      <w:r w:rsidR="0010215E" w:rsidRPr="0032509B">
        <w:rPr>
          <w:rFonts w:ascii="David" w:hAnsi="David"/>
          <w:rtl/>
        </w:rPr>
        <w:t>. בית המשפט המחוזי קבע מתחם העונש הולם בגין העבירות שבהן הורשע נאשם 1</w:t>
      </w:r>
      <w:r w:rsidR="0010215E" w:rsidRPr="0032509B">
        <w:rPr>
          <w:rFonts w:ascii="David" w:hAnsi="David" w:hint="cs"/>
          <w:rtl/>
        </w:rPr>
        <w:t xml:space="preserve"> נע </w:t>
      </w:r>
      <w:r w:rsidR="0010215E" w:rsidRPr="0032509B">
        <w:rPr>
          <w:rFonts w:ascii="David" w:hAnsi="David"/>
          <w:rtl/>
        </w:rPr>
        <w:t xml:space="preserve">בין 18 לבין 48 חודשי מאסר בפועל; ואילו מתחם העונש ההולם בגין העבירות שבהן הורשע נאשם 2, ביחס לסם מסוג </w:t>
      </w:r>
      <w:r w:rsidR="0010215E" w:rsidRPr="0032509B">
        <w:rPr>
          <w:rFonts w:ascii="David" w:hAnsi="David"/>
        </w:rPr>
        <w:t>GBL</w:t>
      </w:r>
      <w:r w:rsidR="0010215E" w:rsidRPr="0032509B">
        <w:rPr>
          <w:rFonts w:ascii="David" w:hAnsi="David"/>
          <w:rtl/>
        </w:rPr>
        <w:t xml:space="preserve">, שבין 12 ל-18 חודשי מאסר בפועל. בסופו של יום, בשל שיקולי שיקום והסכמות שהושגו בין הצדדים, נקבעו העונשים הבאים: נאשם 1 - </w:t>
      </w:r>
      <w:r w:rsidR="0010215E" w:rsidRPr="0032509B">
        <w:rPr>
          <w:rFonts w:ascii="David" w:hAnsi="David"/>
          <w:b/>
          <w:bCs/>
          <w:rtl/>
        </w:rPr>
        <w:t>12 חודשי מאסר בפועל</w:t>
      </w:r>
      <w:r w:rsidR="0010215E" w:rsidRPr="0032509B">
        <w:rPr>
          <w:rFonts w:ascii="David" w:hAnsi="David"/>
          <w:rtl/>
        </w:rPr>
        <w:t xml:space="preserve">, מאסר על תנאי וחילוט כספים שנתפסו; נאשם 2 - </w:t>
      </w:r>
      <w:r w:rsidR="0010215E" w:rsidRPr="0032509B">
        <w:rPr>
          <w:rFonts w:ascii="David" w:hAnsi="David"/>
          <w:b/>
          <w:bCs/>
          <w:rtl/>
        </w:rPr>
        <w:t>6 חודשי מאסר בפועל (ללא כל ניכוי של ימי המעצר) לריצוי בדרך של עבודות שירות</w:t>
      </w:r>
      <w:r w:rsidR="0010215E" w:rsidRPr="0032509B">
        <w:rPr>
          <w:rFonts w:ascii="David" w:hAnsi="David"/>
          <w:rtl/>
        </w:rPr>
        <w:t>, מאסר על תנאי, צו מבחן וחילוט כספים.</w:t>
      </w:r>
    </w:p>
    <w:p w14:paraId="4D231F28" w14:textId="77777777" w:rsidR="0010215E" w:rsidRDefault="0010215E" w:rsidP="0010215E">
      <w:pPr>
        <w:spacing w:after="160" w:line="360" w:lineRule="auto"/>
        <w:jc w:val="both"/>
        <w:rPr>
          <w:rFonts w:ascii="David" w:hAnsi="David"/>
          <w:rtl/>
        </w:rPr>
      </w:pPr>
    </w:p>
    <w:p w14:paraId="576F2FF9" w14:textId="77777777" w:rsidR="0010215E" w:rsidRDefault="0008660D" w:rsidP="0010215E">
      <w:pPr>
        <w:spacing w:after="160" w:line="360" w:lineRule="auto"/>
        <w:jc w:val="both"/>
        <w:rPr>
          <w:rFonts w:ascii="David" w:hAnsi="David"/>
          <w:rtl/>
        </w:rPr>
      </w:pPr>
      <w:hyperlink r:id="rId55" w:history="1">
        <w:r w:rsidRPr="0008660D">
          <w:rPr>
            <w:rFonts w:ascii="David" w:hAnsi="David"/>
            <w:color w:val="0000FF"/>
            <w:u w:val="single"/>
            <w:rtl/>
          </w:rPr>
          <w:t>ע"פ 2038/21</w:t>
        </w:r>
      </w:hyperlink>
      <w:r w:rsidR="0010215E" w:rsidRPr="0032509B">
        <w:rPr>
          <w:rFonts w:ascii="David" w:hAnsi="David"/>
          <w:rtl/>
        </w:rPr>
        <w:t xml:space="preserve"> </w:t>
      </w:r>
      <w:r w:rsidR="0010215E" w:rsidRPr="0032509B">
        <w:rPr>
          <w:rFonts w:ascii="David" w:hAnsi="David"/>
          <w:b/>
          <w:bCs/>
          <w:rtl/>
        </w:rPr>
        <w:t>אלזס נ' מ"י</w:t>
      </w:r>
      <w:r w:rsidR="0010215E">
        <w:rPr>
          <w:rFonts w:ascii="David" w:hAnsi="David"/>
          <w:rtl/>
        </w:rPr>
        <w:t xml:space="preserve"> (11.5.22)</w:t>
      </w:r>
    </w:p>
    <w:p w14:paraId="5F90599E" w14:textId="77777777" w:rsidR="0010215E" w:rsidRDefault="0010215E" w:rsidP="0010215E">
      <w:pPr>
        <w:spacing w:after="160" w:line="360" w:lineRule="auto"/>
        <w:jc w:val="both"/>
        <w:rPr>
          <w:rFonts w:ascii="David" w:hAnsi="David"/>
          <w:rtl/>
        </w:rPr>
      </w:pPr>
      <w:r>
        <w:rPr>
          <w:rFonts w:ascii="David" w:hAnsi="David" w:hint="cs"/>
          <w:rtl/>
        </w:rPr>
        <w:t xml:space="preserve">מפאת חשיבות הדברים אביא את עובדות כתב האישום המתוקן כלשונן מתיק בית המשפט המחוזי </w:t>
      </w:r>
      <w:hyperlink r:id="rId56" w:history="1">
        <w:r w:rsidR="0008660D" w:rsidRPr="0008660D">
          <w:rPr>
            <w:rFonts w:ascii="David" w:hAnsi="David"/>
            <w:color w:val="0000FF"/>
            <w:u w:val="single"/>
            <w:rtl/>
          </w:rPr>
          <w:t>ת"פ 11720-07-16</w:t>
        </w:r>
      </w:hyperlink>
      <w:r>
        <w:rPr>
          <w:rFonts w:ascii="David" w:hAnsi="David" w:hint="cs"/>
          <w:rtl/>
        </w:rPr>
        <w:t>:</w:t>
      </w:r>
    </w:p>
    <w:p w14:paraId="3FCAED65" w14:textId="77777777" w:rsidR="0010215E" w:rsidRDefault="0010215E" w:rsidP="0010215E">
      <w:pPr>
        <w:spacing w:after="160" w:line="360" w:lineRule="auto"/>
        <w:jc w:val="both"/>
        <w:rPr>
          <w:rFonts w:ascii="David" w:hAnsi="David"/>
          <w:rtl/>
        </w:rPr>
      </w:pPr>
      <w:r>
        <w:rPr>
          <w:rFonts w:ascii="David" w:hAnsi="David" w:hint="cs"/>
          <w:rtl/>
        </w:rPr>
        <w:t>"</w:t>
      </w:r>
      <w:r w:rsidRPr="004B6B90">
        <w:rPr>
          <w:rFonts w:ascii="David" w:hAnsi="David"/>
          <w:rtl/>
        </w:rPr>
        <w:t xml:space="preserve">על פי עובדות כתב האישום המתוקן, כחודשיים עובר ליום 13.6.16 פנה אחר לנאשם וביקש ממנו להביא מזוודה ובה לדבריו סיגריות, מברלין לישראל. בה בעת פנה חברו של הנאשם, אהרון היימפלד (להלן: </w:t>
      </w:r>
      <w:r w:rsidRPr="00770E1E">
        <w:rPr>
          <w:rFonts w:ascii="David" w:hAnsi="David"/>
          <w:b/>
          <w:bCs/>
          <w:rtl/>
        </w:rPr>
        <w:t>"היימפלד"</w:t>
      </w:r>
      <w:r w:rsidRPr="004B6B90">
        <w:rPr>
          <w:rFonts w:ascii="David" w:hAnsi="David"/>
          <w:rtl/>
        </w:rPr>
        <w:t xml:space="preserve">) לנאשם וביקש להמשיך לטוס בשליחותו לחו"ל ולהביא מזוודת סיגריות, תמורת תשלום, כבעבר. הנאשם סיכם עם היימפלד כי יעשה כן, והנחה אותו להוריד אפליקציית מסרים "ויקר" ודרכה לתקשר עמו ועם האחר. הנאשם רכש כרטיסי טיסה עבור היימפלד והעבירם אליו בדואר אלקטרוני, ביום 13.6.16 נפגש עמו בשדה התעופה , מסר לו מזוודה ריקה ו – 2,000 ₪ עבור הוצאות הנסיעה. במהלך שהותו של היימפלד בברלין הוא נפגש עם האחר וקיבל ממנו מזוודה שבה הוטמנו בדופן כפולה 13,189 טבליות סם מסוג </w:t>
      </w:r>
      <w:r w:rsidRPr="004B6B90">
        <w:rPr>
          <w:rFonts w:ascii="David" w:hAnsi="David"/>
        </w:rPr>
        <w:t>MDMA</w:t>
      </w:r>
      <w:r w:rsidRPr="004B6B90">
        <w:rPr>
          <w:rFonts w:ascii="David" w:hAnsi="David"/>
          <w:rtl/>
        </w:rPr>
        <w:t xml:space="preserve"> ואבקת סם </w:t>
      </w:r>
      <w:r w:rsidRPr="004B6B90">
        <w:rPr>
          <w:rFonts w:ascii="David" w:hAnsi="David"/>
        </w:rPr>
        <w:t>MDMA</w:t>
      </w:r>
      <w:r w:rsidRPr="004B6B90">
        <w:rPr>
          <w:rFonts w:ascii="David" w:hAnsi="David"/>
          <w:rtl/>
        </w:rPr>
        <w:t xml:space="preserve"> במשקל של 1,301 גרם נטו. ביום 16.6.16 עדכן הנאשם את היימפלד בדבר שינוי בתוכנית ושלח אליו כרטיס טיסה עדכני בדואר אלקטרוני מגרמניה לישראל דרך איסטנבול. היימפלד נחת ביום 17.6.16 בנתב"ג כשהוא נושא את מזוודת הסמים, נתבקש על ידי אנשי המכס לשים את כבודתו בשיקוף, עשה כן ועדכן את הנאשם בהודעת טקסט "</w:t>
      </w:r>
      <w:r w:rsidRPr="004B6B90">
        <w:rPr>
          <w:rFonts w:ascii="David" w:hAnsi="David"/>
          <w:b/>
          <w:bCs/>
          <w:rtl/>
        </w:rPr>
        <w:t>עלו עלי</w:t>
      </w:r>
      <w:r w:rsidRPr="004B6B90">
        <w:rPr>
          <w:rFonts w:ascii="David" w:hAnsi="David"/>
          <w:rtl/>
        </w:rPr>
        <w:t>". במהלך התקופה האמורה, סמוך לפני הטיסה של היימפלד, התגבש חשד בליבו של הנאשם שמא המזוודה האמורה מכילה סמים אך הוא נמנע מלבררו ובמעשיו, ייבא הנאשם עבור אחר סם מסוכן לישראל על דרך עצימת עיניים</w:t>
      </w:r>
      <w:r>
        <w:rPr>
          <w:rFonts w:ascii="David" w:hAnsi="David" w:hint="cs"/>
          <w:rtl/>
        </w:rPr>
        <w:t>"</w:t>
      </w:r>
      <w:r w:rsidRPr="004B6B90">
        <w:rPr>
          <w:rFonts w:ascii="David" w:hAnsi="David"/>
          <w:rtl/>
        </w:rPr>
        <w:t>.</w:t>
      </w:r>
    </w:p>
    <w:p w14:paraId="67022437" w14:textId="77777777" w:rsidR="0010215E" w:rsidRDefault="0010215E" w:rsidP="0010215E">
      <w:pPr>
        <w:spacing w:after="160" w:line="360" w:lineRule="auto"/>
        <w:jc w:val="both"/>
        <w:rPr>
          <w:rFonts w:ascii="David" w:hAnsi="David"/>
          <w:rtl/>
        </w:rPr>
      </w:pPr>
      <w:r w:rsidRPr="0032509B">
        <w:rPr>
          <w:rFonts w:ascii="David" w:hAnsi="David"/>
          <w:rtl/>
        </w:rPr>
        <w:t xml:space="preserve"> בית המשפט המחוזי קבע מתחם עונש הולם הנע בין 24 ל-42 חודשי מאסר, וחרג ממתחם זה מטעמי שיקום, והשית עליו 1</w:t>
      </w:r>
      <w:r>
        <w:rPr>
          <w:rFonts w:ascii="David" w:hAnsi="David"/>
          <w:rtl/>
        </w:rPr>
        <w:t xml:space="preserve">8 חודשי מאסר לצד ענישה נלווית. </w:t>
      </w:r>
      <w:r>
        <w:rPr>
          <w:rFonts w:ascii="David" w:hAnsi="David" w:hint="cs"/>
          <w:rtl/>
        </w:rPr>
        <w:t>הערעור על חומרת העונש התקבל</w:t>
      </w:r>
      <w:r w:rsidRPr="0032509B">
        <w:rPr>
          <w:rFonts w:ascii="David" w:hAnsi="David"/>
          <w:rtl/>
        </w:rPr>
        <w:t xml:space="preserve"> ובהסכמת הצדדים, הועמד עונשו על 11 חודשי מאסר בפועל</w:t>
      </w:r>
      <w:r>
        <w:rPr>
          <w:rFonts w:ascii="David" w:hAnsi="David" w:hint="cs"/>
          <w:rtl/>
        </w:rPr>
        <w:t xml:space="preserve"> בניכוי כשלושה חודשים וחצי ימי מעצר</w:t>
      </w:r>
      <w:r w:rsidRPr="0032509B">
        <w:rPr>
          <w:rFonts w:ascii="David" w:hAnsi="David"/>
          <w:rtl/>
        </w:rPr>
        <w:t xml:space="preserve">. </w:t>
      </w:r>
    </w:p>
    <w:p w14:paraId="58343ABB" w14:textId="77777777" w:rsidR="0010215E" w:rsidRDefault="0010215E" w:rsidP="0010215E">
      <w:pPr>
        <w:spacing w:after="160" w:line="360" w:lineRule="auto"/>
        <w:jc w:val="both"/>
        <w:rPr>
          <w:rFonts w:ascii="David" w:hAnsi="David"/>
          <w:rtl/>
        </w:rPr>
      </w:pPr>
      <w:r>
        <w:rPr>
          <w:rFonts w:ascii="David" w:hAnsi="David" w:hint="cs"/>
          <w:rtl/>
        </w:rPr>
        <w:t>אחר כל אלה ולאחר שנתתי דעתי בעיקר לעניין דורי רפאל אני קובע מתחם ענישה שבין 12 חודשים ל-36 חודשים.</w:t>
      </w:r>
    </w:p>
    <w:p w14:paraId="66BDEF39" w14:textId="77777777" w:rsidR="0010215E" w:rsidRPr="0032509B" w:rsidRDefault="0010215E" w:rsidP="0010215E">
      <w:pPr>
        <w:spacing w:after="160" w:line="360" w:lineRule="auto"/>
        <w:jc w:val="both"/>
        <w:rPr>
          <w:rFonts w:ascii="David" w:hAnsi="David"/>
        </w:rPr>
      </w:pPr>
    </w:p>
    <w:p w14:paraId="1F8F4F00" w14:textId="77777777" w:rsidR="0010215E" w:rsidRDefault="0010215E" w:rsidP="0010215E">
      <w:pPr>
        <w:spacing w:line="360" w:lineRule="auto"/>
        <w:ind w:left="720" w:hanging="720"/>
        <w:jc w:val="both"/>
        <w:rPr>
          <w:b/>
          <w:bCs/>
          <w:rtl/>
        </w:rPr>
      </w:pPr>
      <w:r>
        <w:rPr>
          <w:rFonts w:hint="cs"/>
          <w:b/>
          <w:bCs/>
          <w:rtl/>
        </w:rPr>
        <w:t>ד.</w:t>
      </w:r>
      <w:r>
        <w:rPr>
          <w:b/>
          <w:bCs/>
          <w:rtl/>
        </w:rPr>
        <w:tab/>
      </w:r>
      <w:r w:rsidRPr="00410C65">
        <w:rPr>
          <w:rFonts w:hint="cs"/>
          <w:b/>
          <w:bCs/>
          <w:rtl/>
        </w:rPr>
        <w:t>נסיבות שאינן קשורות בביצוע העבירות</w:t>
      </w:r>
    </w:p>
    <w:p w14:paraId="57D67F0D" w14:textId="77777777" w:rsidR="0010215E" w:rsidRDefault="0010215E" w:rsidP="0010215E">
      <w:pPr>
        <w:spacing w:line="360" w:lineRule="auto"/>
        <w:ind w:left="720" w:hanging="720"/>
        <w:jc w:val="both"/>
        <w:rPr>
          <w:b/>
          <w:bCs/>
          <w:rtl/>
        </w:rPr>
      </w:pPr>
    </w:p>
    <w:p w14:paraId="5AD4FD92" w14:textId="77777777" w:rsidR="0010215E" w:rsidRDefault="0010215E" w:rsidP="0010215E">
      <w:pPr>
        <w:spacing w:line="360" w:lineRule="auto"/>
        <w:jc w:val="both"/>
        <w:rPr>
          <w:rtl/>
        </w:rPr>
      </w:pPr>
      <w:r>
        <w:rPr>
          <w:rFonts w:hint="cs"/>
          <w:rtl/>
        </w:rPr>
        <w:t xml:space="preserve">(1) עונש מאסר בפועל מאחורי סורג ובריח יביא לפגיעה קשה ומשמעותית בנאשם. </w:t>
      </w:r>
    </w:p>
    <w:p w14:paraId="3810C0CD" w14:textId="77777777" w:rsidR="0010215E" w:rsidRDefault="0010215E" w:rsidP="0010215E">
      <w:pPr>
        <w:spacing w:line="360" w:lineRule="auto"/>
        <w:jc w:val="both"/>
        <w:rPr>
          <w:rtl/>
        </w:rPr>
      </w:pPr>
      <w:r>
        <w:rPr>
          <w:rFonts w:hint="cs"/>
          <w:rtl/>
        </w:rPr>
        <w:t xml:space="preserve">(2) בפועל לא נגרם נזק כתוצאה מביצוע העבירה לפי שהסמים אותרו ונתפסו מבעוד מועד. </w:t>
      </w:r>
    </w:p>
    <w:p w14:paraId="75C14E7D" w14:textId="77777777" w:rsidR="0010215E" w:rsidRDefault="0010215E" w:rsidP="0010215E">
      <w:pPr>
        <w:spacing w:line="360" w:lineRule="auto"/>
        <w:jc w:val="both"/>
        <w:rPr>
          <w:rtl/>
        </w:rPr>
      </w:pPr>
      <w:r>
        <w:rPr>
          <w:rFonts w:hint="cs"/>
          <w:rtl/>
        </w:rPr>
        <w:t>(3) הנאשם נטל אחריות והודה במיוחס לו.</w:t>
      </w:r>
    </w:p>
    <w:p w14:paraId="13ECFF55" w14:textId="77777777" w:rsidR="0010215E" w:rsidRPr="00E06E51" w:rsidRDefault="0010215E" w:rsidP="0010215E">
      <w:pPr>
        <w:spacing w:line="360" w:lineRule="auto"/>
        <w:jc w:val="both"/>
        <w:rPr>
          <w:rtl/>
        </w:rPr>
      </w:pPr>
      <w:r>
        <w:rPr>
          <w:rFonts w:hint="cs"/>
          <w:rtl/>
        </w:rPr>
        <w:t>(4) כלל תסקירי שירות המבחן מצביעים על תמונה יוצאת דופן של ילדות מורכבת, עמידה על גיוס לצבא, אף שהיה פטור מכך, ושיתוף פעולה מלא במתווה שנקבע על ידי שירות המבחן.</w:t>
      </w:r>
    </w:p>
    <w:p w14:paraId="060C2557" w14:textId="77777777" w:rsidR="0010215E" w:rsidRPr="00D46737" w:rsidRDefault="0010215E" w:rsidP="0010215E">
      <w:pPr>
        <w:spacing w:line="360" w:lineRule="auto"/>
        <w:jc w:val="both"/>
        <w:rPr>
          <w:b/>
          <w:bCs/>
          <w:rtl/>
        </w:rPr>
      </w:pPr>
      <w:r w:rsidRPr="000F61AE">
        <w:rPr>
          <w:rFonts w:hint="cs"/>
          <w:rtl/>
        </w:rPr>
        <w:t xml:space="preserve"> קצינת המבחן </w:t>
      </w:r>
      <w:r>
        <w:rPr>
          <w:rFonts w:hint="cs"/>
          <w:rtl/>
        </w:rPr>
        <w:t xml:space="preserve">נדרשה </w:t>
      </w:r>
      <w:r w:rsidRPr="000F61AE">
        <w:rPr>
          <w:rFonts w:hint="cs"/>
          <w:rtl/>
        </w:rPr>
        <w:t xml:space="preserve">לנסיבותיו האישיות של הנאשם, לנסיבותיו הרפואיות </w:t>
      </w:r>
    </w:p>
    <w:p w14:paraId="1B013CB2" w14:textId="77777777" w:rsidR="0010215E" w:rsidRPr="000F61AE" w:rsidRDefault="0010215E" w:rsidP="0010215E">
      <w:pPr>
        <w:spacing w:line="360" w:lineRule="auto"/>
        <w:jc w:val="both"/>
        <w:rPr>
          <w:rtl/>
        </w:rPr>
      </w:pPr>
      <w:r w:rsidRPr="000F61AE">
        <w:rPr>
          <w:rFonts w:hint="cs"/>
          <w:rtl/>
        </w:rPr>
        <w:t>(מחזיק ב</w:t>
      </w:r>
      <w:r>
        <w:rPr>
          <w:rFonts w:hint="cs"/>
          <w:rtl/>
        </w:rPr>
        <w:t>ה</w:t>
      </w:r>
      <w:r w:rsidRPr="000F61AE">
        <w:rPr>
          <w:rFonts w:hint="cs"/>
          <w:rtl/>
        </w:rPr>
        <w:t xml:space="preserve">יתר לשימוש בקנאביס רפואי החל מחודש נובמבר 2022) ולתפקודו הלקוי במישור </w:t>
      </w:r>
    </w:p>
    <w:p w14:paraId="19823416" w14:textId="77777777" w:rsidR="0010215E" w:rsidRPr="000F61AE" w:rsidRDefault="0010215E" w:rsidP="0010215E">
      <w:pPr>
        <w:spacing w:line="360" w:lineRule="auto"/>
        <w:jc w:val="both"/>
        <w:rPr>
          <w:rtl/>
        </w:rPr>
      </w:pPr>
      <w:r w:rsidRPr="000F61AE">
        <w:rPr>
          <w:rFonts w:hint="cs"/>
          <w:rtl/>
        </w:rPr>
        <w:t xml:space="preserve">הלימודי במהלך </w:t>
      </w:r>
      <w:r>
        <w:rPr>
          <w:rFonts w:hint="cs"/>
          <w:rtl/>
        </w:rPr>
        <w:t>שנות ילדותו ונעוריו</w:t>
      </w:r>
      <w:r w:rsidRPr="000F61AE">
        <w:rPr>
          <w:rFonts w:hint="cs"/>
          <w:rtl/>
        </w:rPr>
        <w:t>.</w:t>
      </w:r>
    </w:p>
    <w:p w14:paraId="3314E50B" w14:textId="77777777" w:rsidR="0010215E" w:rsidRPr="000F61AE" w:rsidRDefault="0010215E" w:rsidP="0010215E">
      <w:pPr>
        <w:spacing w:line="360" w:lineRule="auto"/>
        <w:jc w:val="both"/>
        <w:rPr>
          <w:rtl/>
        </w:rPr>
      </w:pPr>
      <w:r w:rsidRPr="000F61AE">
        <w:rPr>
          <w:rFonts w:hint="cs"/>
          <w:rtl/>
        </w:rPr>
        <w:t xml:space="preserve">אלה הוליכו לרצונו לשים קץ לחייו עד כי אושפז למשך חודש ימים. בהמשך, היה נתון למעקב </w:t>
      </w:r>
    </w:p>
    <w:p w14:paraId="43A3A18D" w14:textId="77777777" w:rsidR="0010215E" w:rsidRPr="000F61AE" w:rsidRDefault="0010215E" w:rsidP="0010215E">
      <w:pPr>
        <w:spacing w:line="360" w:lineRule="auto"/>
        <w:jc w:val="both"/>
        <w:rPr>
          <w:rtl/>
        </w:rPr>
      </w:pPr>
      <w:r w:rsidRPr="000F61AE">
        <w:rPr>
          <w:rFonts w:hint="cs"/>
          <w:rtl/>
        </w:rPr>
        <w:t xml:space="preserve">פסיכיאטרי. הנאשם עבד בעבודות מזדמנות עד הגיעו לגיל גיוס, וקיבל פטור משירות צבאי על רקע </w:t>
      </w:r>
    </w:p>
    <w:p w14:paraId="77796DCB" w14:textId="77777777" w:rsidR="0010215E" w:rsidRPr="000F61AE" w:rsidRDefault="0010215E" w:rsidP="0010215E">
      <w:pPr>
        <w:spacing w:line="360" w:lineRule="auto"/>
        <w:jc w:val="both"/>
        <w:rPr>
          <w:b/>
          <w:bCs/>
          <w:rtl/>
        </w:rPr>
      </w:pPr>
      <w:r w:rsidRPr="000F61AE">
        <w:rPr>
          <w:rFonts w:hint="cs"/>
          <w:rtl/>
        </w:rPr>
        <w:t xml:space="preserve">מצבו הנפשי. </w:t>
      </w:r>
      <w:r w:rsidRPr="000F61AE">
        <w:rPr>
          <w:rFonts w:hint="cs"/>
          <w:b/>
          <w:bCs/>
          <w:rtl/>
        </w:rPr>
        <w:t>חרף זאת, עמד הנאשם על גיוסו לצבא, הגיש ערעור ולבסוף שובץ כעובד רס"ר, תפקיד</w:t>
      </w:r>
    </w:p>
    <w:p w14:paraId="08760135" w14:textId="77777777" w:rsidR="0010215E" w:rsidRDefault="0010215E" w:rsidP="0010215E">
      <w:pPr>
        <w:spacing w:line="360" w:lineRule="auto"/>
        <w:jc w:val="both"/>
        <w:rPr>
          <w:b/>
          <w:bCs/>
          <w:rtl/>
        </w:rPr>
      </w:pPr>
      <w:r w:rsidRPr="000F61AE">
        <w:rPr>
          <w:rFonts w:hint="cs"/>
          <w:b/>
          <w:bCs/>
          <w:rtl/>
        </w:rPr>
        <w:t xml:space="preserve"> אותו מילא בהצטיינות במהלך שירותו הצבאי</w:t>
      </w:r>
      <w:r>
        <w:rPr>
          <w:rFonts w:hint="cs"/>
          <w:b/>
          <w:bCs/>
          <w:rtl/>
        </w:rPr>
        <w:t>.</w:t>
      </w:r>
    </w:p>
    <w:p w14:paraId="3218F67E" w14:textId="77777777" w:rsidR="0010215E" w:rsidRDefault="0010215E" w:rsidP="0010215E">
      <w:pPr>
        <w:spacing w:line="360" w:lineRule="auto"/>
        <w:jc w:val="both"/>
        <w:rPr>
          <w:rtl/>
        </w:rPr>
      </w:pPr>
      <w:r w:rsidRPr="00E21F05">
        <w:rPr>
          <w:rFonts w:hint="cs"/>
          <w:rtl/>
        </w:rPr>
        <w:t xml:space="preserve">בתום שירותו הצבאי עבד בעבודות מזדמנות אך חווה נפילה כלכלית עקב השקעה </w:t>
      </w:r>
      <w:r>
        <w:rPr>
          <w:rFonts w:hint="cs"/>
          <w:rtl/>
        </w:rPr>
        <w:t xml:space="preserve">אשר לא הניבה פירות. </w:t>
      </w:r>
    </w:p>
    <w:p w14:paraId="02B50802" w14:textId="77777777" w:rsidR="0010215E" w:rsidRDefault="0010215E" w:rsidP="0010215E">
      <w:pPr>
        <w:spacing w:line="360" w:lineRule="auto"/>
        <w:jc w:val="both"/>
        <w:rPr>
          <w:rtl/>
        </w:rPr>
      </w:pPr>
      <w:r>
        <w:rPr>
          <w:rFonts w:hint="cs"/>
          <w:rtl/>
        </w:rPr>
        <w:t xml:space="preserve">הנאשם התנסה בשימוש בחומרים פסיכואקטיביים החל מגיל 23 והכישלון הכלכלי הוליך להגברת תדירות צריכת הסם מסוג קטמין עד כדי שימוש יום יומי לצד שימוש תדיר בקנאביס. </w:t>
      </w:r>
    </w:p>
    <w:p w14:paraId="7600EC18" w14:textId="77777777" w:rsidR="0010215E" w:rsidRDefault="0010215E" w:rsidP="0010215E">
      <w:pPr>
        <w:spacing w:line="360" w:lineRule="auto"/>
        <w:jc w:val="both"/>
        <w:rPr>
          <w:rtl/>
        </w:rPr>
      </w:pPr>
      <w:r>
        <w:rPr>
          <w:rFonts w:hint="cs"/>
          <w:rtl/>
        </w:rPr>
        <w:t xml:space="preserve">העומס הכלכלי והרגשי עמד ברקע הבחירה המכשילה סביב ביצוע העבירות הנוכחיות. אינו צורך סמים ואף הפסיק לעשן הקנאביס הרפואי שניתן לו בהיתר, זאת נוכח רצונו להתמודד באופן עצמאי מבלי להיות תלוי בחומרים ממכרים. ממצאי בדיקות השתן שנערכו לו במסגרת שירות המבחן אמתו את דבריו. </w:t>
      </w:r>
    </w:p>
    <w:p w14:paraId="1C6E5DD8" w14:textId="77777777" w:rsidR="0010215E" w:rsidRDefault="0010215E" w:rsidP="0010215E">
      <w:pPr>
        <w:spacing w:line="360" w:lineRule="auto"/>
        <w:jc w:val="both"/>
        <w:rPr>
          <w:rtl/>
        </w:rPr>
      </w:pPr>
      <w:r>
        <w:rPr>
          <w:rFonts w:hint="cs"/>
          <w:rtl/>
        </w:rPr>
        <w:t xml:space="preserve">במקביל, החל הליך טיפולי באופן </w:t>
      </w:r>
      <w:r w:rsidRPr="006436B2">
        <w:rPr>
          <w:rFonts w:hint="cs"/>
          <w:b/>
          <w:bCs/>
          <w:rtl/>
        </w:rPr>
        <w:t xml:space="preserve">עצמאי </w:t>
      </w:r>
      <w:r>
        <w:rPr>
          <w:rFonts w:hint="cs"/>
          <w:rtl/>
        </w:rPr>
        <w:t xml:space="preserve">במסגרת "המרכז לטיפול בעוברי חוק מבוגרים בקהילה", החל מחודש נובמבר 2022. </w:t>
      </w:r>
    </w:p>
    <w:p w14:paraId="5112DB18" w14:textId="77777777" w:rsidR="0010215E" w:rsidRDefault="0010215E" w:rsidP="0010215E">
      <w:pPr>
        <w:spacing w:line="360" w:lineRule="auto"/>
        <w:jc w:val="both"/>
        <w:rPr>
          <w:rtl/>
        </w:rPr>
      </w:pPr>
      <w:r>
        <w:rPr>
          <w:rFonts w:hint="cs"/>
          <w:rtl/>
        </w:rPr>
        <w:t xml:space="preserve">הנאשם הסביר כי רכישת הכמות הגדולה של הקטמין נועדה הן לשימושו העצמי והן לשם מכירתו לאחרים על מנת להפיק רווח כספי. </w:t>
      </w:r>
    </w:p>
    <w:p w14:paraId="5B6C0753" w14:textId="77777777" w:rsidR="0010215E" w:rsidRDefault="0010215E" w:rsidP="0010215E">
      <w:pPr>
        <w:spacing w:line="360" w:lineRule="auto"/>
        <w:jc w:val="both"/>
        <w:rPr>
          <w:rtl/>
        </w:rPr>
      </w:pPr>
      <w:r>
        <w:rPr>
          <w:rFonts w:hint="cs"/>
          <w:rtl/>
        </w:rPr>
        <w:t xml:space="preserve">הנאשם הביע צער על מעשיו תוך שביטא שאיפה לערוך שינוי בדפוסיו המכשילים ולחזור ולנהל שגרת חיים תקינה ויצרנית. </w:t>
      </w:r>
    </w:p>
    <w:p w14:paraId="5A61F2A9" w14:textId="77777777" w:rsidR="0010215E" w:rsidRDefault="0010215E" w:rsidP="0010215E">
      <w:pPr>
        <w:spacing w:line="360" w:lineRule="auto"/>
        <w:jc w:val="both"/>
        <w:rPr>
          <w:rtl/>
        </w:rPr>
      </w:pPr>
      <w:r>
        <w:rPr>
          <w:rFonts w:hint="cs"/>
          <w:rtl/>
        </w:rPr>
        <w:t xml:space="preserve">הנאשם הסביר כי מבחינה כלכלית יתקשה להמשיך בטיפול הפרטי כפי שהוא מבוצע היום. הוא הביע נכונות להמשיך בנתיב טיפולי ייעודי בתחום ההתמכרויות, בפיקוח שירות המבחן. </w:t>
      </w:r>
    </w:p>
    <w:p w14:paraId="7AA732BB" w14:textId="77777777" w:rsidR="0010215E" w:rsidRDefault="0010215E" w:rsidP="0010215E">
      <w:pPr>
        <w:spacing w:line="360" w:lineRule="auto"/>
        <w:jc w:val="both"/>
        <w:rPr>
          <w:rtl/>
        </w:rPr>
      </w:pPr>
      <w:r>
        <w:rPr>
          <w:rFonts w:hint="cs"/>
          <w:rtl/>
        </w:rPr>
        <w:t xml:space="preserve">במהלך מעצרו שולב בקבוצה טיפולית לעצורי בית, וניכר היה כי הוא מגויס להליך הטיפולי. מחוות הדעת שהתקבלה מטעם מטפלו של הנאשם, בשלושת החודשים האחרונים, עולה כי אין לנאשם דפוסי עבריינות והוא ביצע עבירה חמורה שאינה מאפיינת את התנהגותו בדרך כלל. להערכת המטפל יש ערך רב בתהליך שיקום הנאשם במסגרת הטיפולית. </w:t>
      </w:r>
    </w:p>
    <w:p w14:paraId="7B521B01" w14:textId="77777777" w:rsidR="0010215E" w:rsidRDefault="0010215E" w:rsidP="0010215E">
      <w:pPr>
        <w:spacing w:line="360" w:lineRule="auto"/>
        <w:jc w:val="both"/>
        <w:rPr>
          <w:rtl/>
        </w:rPr>
      </w:pPr>
      <w:r>
        <w:rPr>
          <w:rFonts w:hint="cs"/>
          <w:rtl/>
        </w:rPr>
        <w:t xml:space="preserve">קצינת המבחן התרשמה מהנאשם כנעדר דפוסים עברייניים בולטים באישיותו, עם זאת, במצבים בהם הוא חווה מצוקה ודחק, הוא עלול להתנהל מתוך קלות דעת מבלי לחשוב על השלכות מעשיו. </w:t>
      </w:r>
    </w:p>
    <w:p w14:paraId="17E2E4EF" w14:textId="77777777" w:rsidR="0010215E" w:rsidRDefault="0010215E" w:rsidP="0010215E">
      <w:pPr>
        <w:spacing w:line="360" w:lineRule="auto"/>
        <w:jc w:val="both"/>
        <w:rPr>
          <w:rtl/>
        </w:rPr>
      </w:pPr>
      <w:r>
        <w:rPr>
          <w:rFonts w:hint="cs"/>
          <w:rtl/>
        </w:rPr>
        <w:t xml:space="preserve">עוד נכתב, כי הנאשם גדל בקונסטלציה משפחתית מורכבת, באווירה רוויית מתחים ועימותים ובתוך כך סבל ממשבר זהות על רקע היותו מאומץ, נוסף על קשיים על רקע אורגני בגינם אובחן. כל אלה השליכו על מעברים רבים במסגרות חינוך שונות, תוך ריחוק ממשפחתו ומשכך חווה חסכים רגשיים אשר העמיקו בתקופת נערותו עם גירושי הוריו והקמת תא משפחתי חדש של אביו, אשר פיתחו בקרבו חוויית נטישה ודחייה מצד אביו. </w:t>
      </w:r>
    </w:p>
    <w:p w14:paraId="76756A21" w14:textId="77777777" w:rsidR="0010215E" w:rsidRDefault="0010215E" w:rsidP="0010215E">
      <w:pPr>
        <w:spacing w:line="360" w:lineRule="auto"/>
        <w:jc w:val="both"/>
        <w:rPr>
          <w:rtl/>
        </w:rPr>
      </w:pPr>
      <w:r>
        <w:rPr>
          <w:rFonts w:hint="cs"/>
          <w:rtl/>
        </w:rPr>
        <w:t xml:space="preserve">אשר לגורמי הסיכוי </w:t>
      </w:r>
      <w:r>
        <w:rPr>
          <w:rtl/>
        </w:rPr>
        <w:t>–</w:t>
      </w:r>
      <w:r>
        <w:rPr>
          <w:rFonts w:hint="cs"/>
          <w:rtl/>
        </w:rPr>
        <w:t xml:space="preserve"> קצינת המבחן התרשמה כי יש לנאשם משאבים וכוחות להתמודדות במצבים בחייו והדבר משתקף, בין השאר, בעמידתו על גיוסו לצבא ובשירות צבאי מלא ותקין, ללא בעיות משמעת כלשהן. </w:t>
      </w:r>
    </w:p>
    <w:p w14:paraId="117574DE" w14:textId="77777777" w:rsidR="0010215E" w:rsidRDefault="0010215E" w:rsidP="0010215E">
      <w:pPr>
        <w:spacing w:line="360" w:lineRule="auto"/>
        <w:jc w:val="both"/>
        <w:rPr>
          <w:rtl/>
        </w:rPr>
      </w:pPr>
      <w:r>
        <w:rPr>
          <w:rFonts w:hint="cs"/>
          <w:rtl/>
        </w:rPr>
        <w:t xml:space="preserve">הנאשם לקח אחריות על מעשיו והפסיק את צריכת הסמים כמפורט לעיל. הוא הביע רצון להשתלב בהליך טיפולי ממסדי ממושך במסגרת היחידה לטיפול בהתמכרויות. </w:t>
      </w:r>
    </w:p>
    <w:p w14:paraId="62112C4F" w14:textId="77777777" w:rsidR="0010215E" w:rsidRDefault="0010215E" w:rsidP="0010215E">
      <w:pPr>
        <w:spacing w:line="360" w:lineRule="auto"/>
        <w:jc w:val="both"/>
        <w:rPr>
          <w:rtl/>
        </w:rPr>
      </w:pPr>
      <w:r>
        <w:rPr>
          <w:rFonts w:hint="cs"/>
          <w:rtl/>
        </w:rPr>
        <w:t xml:space="preserve">עיון ברישום הפלילי מלמד כי מאז ביצוע העבירות ועד היום לא נפתחו כנגדו תיקים חדשים. </w:t>
      </w:r>
    </w:p>
    <w:p w14:paraId="47DDAD5D" w14:textId="77777777" w:rsidR="0010215E" w:rsidRDefault="0010215E" w:rsidP="0010215E">
      <w:pPr>
        <w:spacing w:line="360" w:lineRule="auto"/>
        <w:jc w:val="both"/>
        <w:rPr>
          <w:rFonts w:ascii="David" w:hAnsi="David"/>
          <w:rtl/>
        </w:rPr>
      </w:pPr>
      <w:r>
        <w:rPr>
          <w:rFonts w:ascii="David" w:hAnsi="David"/>
          <w:rtl/>
        </w:rPr>
        <w:t xml:space="preserve">במהלך תקופת הדחייה, שולב </w:t>
      </w:r>
      <w:r>
        <w:rPr>
          <w:rFonts w:ascii="David" w:hAnsi="David" w:hint="cs"/>
          <w:rtl/>
        </w:rPr>
        <w:t>הנאשם</w:t>
      </w:r>
      <w:r>
        <w:rPr>
          <w:rFonts w:ascii="David" w:hAnsi="David"/>
          <w:rtl/>
        </w:rPr>
        <w:t xml:space="preserve"> ביחידה לטיפול בהתמכרויות בקריית מוצקין. תוכנית הטיפול שהותאמה עבורו כללה שיחות פרטניות אחת לשבוע עם עו״ס התמכרויות, אשר דיווח לאחרונה כי </w:t>
      </w:r>
      <w:r>
        <w:rPr>
          <w:rFonts w:ascii="David" w:hAnsi="David" w:hint="cs"/>
          <w:rtl/>
        </w:rPr>
        <w:t>הנאשם</w:t>
      </w:r>
      <w:r>
        <w:rPr>
          <w:rFonts w:ascii="David" w:hAnsi="David"/>
          <w:rtl/>
        </w:rPr>
        <w:t xml:space="preserve"> בחור אחראי המגלה גישה רצינית להליך הטיפולי. עוד הוסיף העו״ס כי מהתרשמותו הנאשם נכון להתבונן פנימה על בחירותיו המכשילות שהיו ברקע לביצוע העבירות הנדונות, בליווי תחושת דאגה וחוסר וודאות סביב ההליך המשפטי המתנהל כנגדו. הנאשם תואר עוד כמי שעושה מאמצים לשתף פעולה ומוכן לשתף בתכנים רגשיים. </w:t>
      </w:r>
    </w:p>
    <w:p w14:paraId="1E509A62" w14:textId="77777777" w:rsidR="0010215E" w:rsidRDefault="0010215E" w:rsidP="0010215E">
      <w:pPr>
        <w:spacing w:line="360" w:lineRule="auto"/>
        <w:jc w:val="both"/>
        <w:rPr>
          <w:rFonts w:ascii="David" w:hAnsi="David"/>
          <w:rtl/>
        </w:rPr>
      </w:pPr>
      <w:r>
        <w:rPr>
          <w:rFonts w:ascii="David" w:hAnsi="David"/>
          <w:rtl/>
        </w:rPr>
        <w:t xml:space="preserve">במסגרת ועדת אבחון שנערכה בעניינו של הנאשם במסגרת היחידה לטיפול בהתמכרויות ביום 30.4.23, התרשמו גורמי הטיפול כי הנאשם נמצא בתחילת דרכו הטיפולית והחרדה אודות ההליך המשפטי עשויה להשתפר בשיח הטיפולי. בתוך כך, המליצו על המשך טיפול פרטני אשר יאפשר לנאשם להעמיק בהליך הטיפול סביב דפוסי ההתמכרות המאפיינים אותו וסביב בחירותיו המכשילות. עוד הומלץ כי הנאשם ישולב בקבוצה שעתידה להיפתח ביחידה וכן על מעקב פסיכיאטרי עבורו בעקבות תחושות הלחץ בהן נמצא בתקופה זו. בהמשך לכך, ציין הנאשם כי נקבע לו תור לפסיכיאטר מקופ״ח לאומית ליום 21.8.23. </w:t>
      </w:r>
    </w:p>
    <w:p w14:paraId="153F7407" w14:textId="77777777" w:rsidR="0010215E" w:rsidRDefault="0010215E" w:rsidP="0010215E">
      <w:pPr>
        <w:spacing w:line="360" w:lineRule="auto"/>
        <w:jc w:val="both"/>
        <w:rPr>
          <w:rFonts w:ascii="David" w:hAnsi="David"/>
          <w:rtl/>
        </w:rPr>
      </w:pPr>
      <w:r>
        <w:rPr>
          <w:rFonts w:ascii="David" w:hAnsi="David"/>
          <w:rtl/>
        </w:rPr>
        <w:t>משיחה שערכו גורמי המבחן עם הנאשם על מנת לבדוק את מידת התחייבותו לתהליך וכיצד חווה אותו עד כה, שיתף הנאשם כי הוא מרגיש שקיימת אצלו היכולת לנהל שיח רגשי וכי לאחרונה החל לשתף בתכנים רגישים, אישיים וטראומתיים. בשיחה עמו זיהה הנאשם כי השימוש בסמים סייע</w:t>
      </w:r>
      <w:r>
        <w:rPr>
          <w:rFonts w:ascii="David" w:hAnsi="David" w:hint="cs"/>
          <w:rtl/>
        </w:rPr>
        <w:t xml:space="preserve"> </w:t>
      </w:r>
      <w:r>
        <w:rPr>
          <w:rFonts w:ascii="David" w:hAnsi="David"/>
          <w:rtl/>
        </w:rPr>
        <w:t xml:space="preserve">לו בהתמודדות כמזור לקשייו וכמפלט מהבחירות השגויות בחייו. הנאשם תיאר לגורמי המבחן כי לראשונה בחייו לומד להתמודד עם הקשיים הרגשיים המלווים אותו ללא תמיכת ״גורמים חיצוניים״, וכראייה לכך מסר כי הפסיק ליטול קאנביס רפואי שמחזיק ברישיון (שהוצג). זאת, כמתואר, מתוך מאמצים לעשות שינוי ולטפל בקשייו בכוחות עצמו ובדרך שמיטיבה עמו. </w:t>
      </w:r>
    </w:p>
    <w:p w14:paraId="3E52DC87" w14:textId="77777777" w:rsidR="0010215E" w:rsidRDefault="0010215E" w:rsidP="0010215E">
      <w:pPr>
        <w:spacing w:line="360" w:lineRule="auto"/>
        <w:jc w:val="both"/>
        <w:rPr>
          <w:rFonts w:ascii="David" w:hAnsi="David"/>
          <w:rtl/>
        </w:rPr>
      </w:pPr>
      <w:r>
        <w:rPr>
          <w:rFonts w:ascii="David" w:hAnsi="David"/>
          <w:rtl/>
        </w:rPr>
        <w:t xml:space="preserve">מתוך 6 בדיקות השתן שנערכו בחודשים 5-4/23 (חודשי הדחייה), 4 בדיקות העידו על ניקיון מסמים. בבדיקה שנערכה ביום 3.4.23 נמצאו שרידי סם מסוג קוקאין ובבדיקה שנערכה ביום 15.5.23 נמצאו שרידי סמים מסוג אופיאטיים. </w:t>
      </w:r>
    </w:p>
    <w:p w14:paraId="0BE2F26D" w14:textId="77777777" w:rsidR="0010215E" w:rsidRDefault="0010215E" w:rsidP="0010215E">
      <w:pPr>
        <w:spacing w:line="360" w:lineRule="auto"/>
        <w:jc w:val="both"/>
        <w:rPr>
          <w:rFonts w:ascii="David" w:hAnsi="David"/>
          <w:rtl/>
        </w:rPr>
      </w:pPr>
      <w:r>
        <w:rPr>
          <w:rFonts w:ascii="David" w:hAnsi="David"/>
          <w:rtl/>
        </w:rPr>
        <w:t xml:space="preserve">כשנשאל הנאשם לתוצאות הבדיקות, התקשה להסביר את ממצאי הבדיקה הראשונה תוך שהכחיש כל שימוש בקוקאין. באשר לבדיקה השנייה הוסבר כי הנאשם התקשר לשירות המבחן טרם ביצועה ומסר כי בעקבות מחלה פנה לרופא וקיבל כדורים וביניהם משככי כאבים, אשר נאמר לו כי יכול ויופיעו בבדיקת השתן. לכן, לדבריו, הממצא נעוץ בכדורים הרפואיים שלוקח (הוצג מרשם רפואי). </w:t>
      </w:r>
    </w:p>
    <w:p w14:paraId="1C7AE8BC" w14:textId="77777777" w:rsidR="0010215E" w:rsidRDefault="0010215E" w:rsidP="0010215E">
      <w:pPr>
        <w:spacing w:line="360" w:lineRule="auto"/>
        <w:jc w:val="both"/>
        <w:rPr>
          <w:rFonts w:ascii="David" w:hAnsi="David"/>
          <w:rtl/>
        </w:rPr>
      </w:pPr>
      <w:r>
        <w:rPr>
          <w:rFonts w:ascii="David" w:hAnsi="David" w:hint="cs"/>
          <w:rtl/>
        </w:rPr>
        <w:t>כך או כך, על פי התסקיר האחרון מיום 15.10.23 בוצעו לנאשם בדיקות שתן נוספות בחודשים יוני-ספטמבר ש.ז וכולן העידו על ניקיון מחומרים פסיכו אקטיביים.</w:t>
      </w:r>
    </w:p>
    <w:p w14:paraId="323F436C" w14:textId="77777777" w:rsidR="0010215E" w:rsidRDefault="0010215E" w:rsidP="0010215E">
      <w:pPr>
        <w:spacing w:line="360" w:lineRule="auto"/>
        <w:jc w:val="both"/>
        <w:rPr>
          <w:rFonts w:ascii="David" w:hAnsi="David"/>
          <w:rtl/>
        </w:rPr>
      </w:pPr>
    </w:p>
    <w:p w14:paraId="400A58E1" w14:textId="77777777" w:rsidR="0010215E" w:rsidRDefault="0010215E" w:rsidP="0010215E">
      <w:pPr>
        <w:spacing w:line="360" w:lineRule="auto"/>
        <w:jc w:val="both"/>
        <w:rPr>
          <w:rFonts w:ascii="David" w:hAnsi="David"/>
          <w:rtl/>
        </w:rPr>
      </w:pPr>
      <w:r>
        <w:rPr>
          <w:rFonts w:ascii="David" w:hAnsi="David"/>
          <w:rtl/>
        </w:rPr>
        <w:t>שירות המבחן מציין כי הינו מודע וער לאופי העבירות המיוחסות לנאשם ולחומרתם. עם זאת, כיום, התרשם שירות המבחן כי לצד הקשיים שמבטא בהליך הטיפולי, הוא נכון ומגויס לתהליך ומעוניין להביא לשינוי בחייו באמצעות טיפול אינטנסיבי.</w:t>
      </w:r>
    </w:p>
    <w:p w14:paraId="680096FD" w14:textId="77777777" w:rsidR="0010215E" w:rsidRDefault="0010215E" w:rsidP="0010215E">
      <w:pPr>
        <w:spacing w:line="360" w:lineRule="auto"/>
        <w:jc w:val="both"/>
      </w:pPr>
      <w:r>
        <w:rPr>
          <w:rFonts w:ascii="David" w:hAnsi="David" w:hint="cs"/>
          <w:rtl/>
        </w:rPr>
        <w:t xml:space="preserve">ראוי לחתום הערכת קצינת המבחן בלשונה שלה: </w:t>
      </w:r>
      <w:r>
        <w:rPr>
          <w:rFonts w:ascii="David" w:hAnsi="David" w:hint="cs"/>
          <w:b/>
          <w:bCs/>
          <w:rtl/>
        </w:rPr>
        <w:t>"</w:t>
      </w:r>
      <w:r w:rsidRPr="008705C1">
        <w:rPr>
          <w:rFonts w:ascii="David" w:hAnsi="David" w:hint="cs"/>
          <w:b/>
          <w:bCs/>
          <w:rtl/>
        </w:rPr>
        <w:t>חשוב לנו לציין כי הליך טיפול ושיקום הוא תהליך ארוך טווח המאפשר העמקה  בדפוסים ובעולמו הפנימי של אדם,</w:t>
      </w:r>
      <w:r>
        <w:rPr>
          <w:rFonts w:ascii="David" w:hAnsi="David" w:hint="cs"/>
          <w:b/>
          <w:bCs/>
          <w:rtl/>
        </w:rPr>
        <w:t xml:space="preserve"> </w:t>
      </w:r>
      <w:r w:rsidRPr="008705C1">
        <w:rPr>
          <w:rFonts w:ascii="David" w:hAnsi="David" w:hint="cs"/>
          <w:b/>
          <w:bCs/>
          <w:rtl/>
        </w:rPr>
        <w:t>וקצב ההתקדמות הינו סובייקטיב</w:t>
      </w:r>
      <w:r w:rsidRPr="008705C1">
        <w:rPr>
          <w:rFonts w:ascii="David" w:hAnsi="David" w:hint="eastAsia"/>
          <w:b/>
          <w:bCs/>
          <w:rtl/>
        </w:rPr>
        <w:t>י</w:t>
      </w:r>
      <w:r w:rsidRPr="008705C1">
        <w:rPr>
          <w:rFonts w:ascii="David" w:hAnsi="David" w:hint="cs"/>
          <w:b/>
          <w:bCs/>
          <w:rtl/>
        </w:rPr>
        <w:t xml:space="preserve"> ומשתנה מאדם לאדם.</w:t>
      </w:r>
      <w:r>
        <w:rPr>
          <w:rFonts w:ascii="David" w:hAnsi="David" w:hint="cs"/>
          <w:b/>
          <w:bCs/>
          <w:rtl/>
        </w:rPr>
        <w:t xml:space="preserve"> </w:t>
      </w:r>
      <w:r w:rsidRPr="008705C1">
        <w:rPr>
          <w:rFonts w:ascii="David" w:hAnsi="David" w:hint="cs"/>
          <w:b/>
          <w:bCs/>
          <w:rtl/>
        </w:rPr>
        <w:t>להערכתנו,</w:t>
      </w:r>
      <w:r>
        <w:rPr>
          <w:rFonts w:ascii="David" w:hAnsi="David" w:hint="cs"/>
          <w:b/>
          <w:bCs/>
          <w:rtl/>
        </w:rPr>
        <w:t xml:space="preserve"> ניתן להתרשם ממוכנו</w:t>
      </w:r>
      <w:r w:rsidRPr="008705C1">
        <w:rPr>
          <w:rFonts w:ascii="David" w:hAnsi="David" w:hint="cs"/>
          <w:b/>
          <w:bCs/>
          <w:rtl/>
        </w:rPr>
        <w:t xml:space="preserve">תו של </w:t>
      </w:r>
      <w:r>
        <w:rPr>
          <w:rFonts w:ascii="David" w:hAnsi="David" w:hint="cs"/>
          <w:b/>
          <w:bCs/>
          <w:rtl/>
        </w:rPr>
        <w:t>הנאשם</w:t>
      </w:r>
      <w:r w:rsidRPr="008705C1">
        <w:rPr>
          <w:rFonts w:ascii="David" w:hAnsi="David" w:hint="cs"/>
          <w:b/>
          <w:bCs/>
          <w:rtl/>
        </w:rPr>
        <w:t xml:space="preserve"> לשינוי באורחות חייו,</w:t>
      </w:r>
      <w:r>
        <w:rPr>
          <w:rFonts w:ascii="David" w:hAnsi="David" w:hint="cs"/>
          <w:b/>
          <w:bCs/>
          <w:rtl/>
        </w:rPr>
        <w:t xml:space="preserve"> </w:t>
      </w:r>
      <w:r w:rsidRPr="008705C1">
        <w:rPr>
          <w:rFonts w:ascii="David" w:hAnsi="David" w:hint="cs"/>
          <w:b/>
          <w:bCs/>
          <w:rtl/>
        </w:rPr>
        <w:t>וככל שיתארך ההליך הטיפולי,</w:t>
      </w:r>
      <w:r>
        <w:rPr>
          <w:rFonts w:ascii="David" w:hAnsi="David" w:hint="cs"/>
          <w:b/>
          <w:bCs/>
          <w:rtl/>
        </w:rPr>
        <w:t xml:space="preserve"> הנאשם</w:t>
      </w:r>
      <w:r w:rsidRPr="008705C1">
        <w:rPr>
          <w:rFonts w:ascii="David" w:hAnsi="David" w:hint="cs"/>
          <w:b/>
          <w:bCs/>
          <w:rtl/>
        </w:rPr>
        <w:t xml:space="preserve"> יוכל להעמיק במצבי סיכון הפוטנציאליים בהתנהלותו בהם מתקשה בוויסות רגשי,</w:t>
      </w:r>
      <w:r>
        <w:rPr>
          <w:rFonts w:ascii="David" w:hAnsi="David" w:hint="cs"/>
          <w:b/>
          <w:bCs/>
          <w:rtl/>
        </w:rPr>
        <w:t xml:space="preserve"> </w:t>
      </w:r>
      <w:r w:rsidRPr="008705C1">
        <w:rPr>
          <w:rFonts w:ascii="David" w:hAnsi="David" w:hint="cs"/>
          <w:b/>
          <w:bCs/>
          <w:rtl/>
        </w:rPr>
        <w:t>ובתוך כך ימשיך לקבל כלים טיפוליים להתמודדות עם מצבים מורכבים וקשים בחייו,</w:t>
      </w:r>
      <w:r>
        <w:rPr>
          <w:rFonts w:ascii="David" w:hAnsi="David" w:hint="cs"/>
          <w:b/>
          <w:bCs/>
          <w:rtl/>
        </w:rPr>
        <w:t xml:space="preserve"> </w:t>
      </w:r>
      <w:r w:rsidRPr="008705C1">
        <w:rPr>
          <w:rFonts w:ascii="David" w:hAnsi="David" w:hint="cs"/>
          <w:b/>
          <w:bCs/>
          <w:rtl/>
        </w:rPr>
        <w:t>לעבד פיתוח היכולת להפעלת שיקול דעת מושכל ומתון במצבים אלו.</w:t>
      </w:r>
      <w:r>
        <w:rPr>
          <w:rFonts w:ascii="David" w:hAnsi="David" w:hint="cs"/>
          <w:b/>
          <w:bCs/>
          <w:rtl/>
        </w:rPr>
        <w:t xml:space="preserve"> </w:t>
      </w:r>
      <w:r w:rsidRPr="008705C1">
        <w:rPr>
          <w:rFonts w:ascii="David" w:hAnsi="David" w:hint="cs"/>
          <w:b/>
          <w:bCs/>
          <w:rtl/>
        </w:rPr>
        <w:t>לאור כל האמור לעיל אנו שבים וממליצים על הטלת צו מבחן של שירותינו למשך שנה.</w:t>
      </w:r>
      <w:r>
        <w:rPr>
          <w:rFonts w:ascii="David" w:hAnsi="David" w:hint="cs"/>
          <w:b/>
          <w:bCs/>
          <w:rtl/>
        </w:rPr>
        <w:t xml:space="preserve"> </w:t>
      </w:r>
      <w:r w:rsidRPr="008705C1">
        <w:rPr>
          <w:rFonts w:ascii="David" w:hAnsi="David" w:hint="cs"/>
          <w:b/>
          <w:bCs/>
          <w:rtl/>
        </w:rPr>
        <w:t xml:space="preserve">במהלך תקופת צו המבחן נמשיך לעקוב אחר המשך השתלבותו של </w:t>
      </w:r>
      <w:r>
        <w:rPr>
          <w:rFonts w:ascii="David" w:hAnsi="David" w:hint="cs"/>
          <w:b/>
          <w:bCs/>
          <w:rtl/>
        </w:rPr>
        <w:t>הנאשם ביחידה לטיפול בהתמכרויות</w:t>
      </w:r>
      <w:r w:rsidRPr="008705C1">
        <w:rPr>
          <w:rFonts w:ascii="David" w:hAnsi="David" w:hint="cs"/>
          <w:b/>
          <w:bCs/>
          <w:rtl/>
        </w:rPr>
        <w:t>,</w:t>
      </w:r>
      <w:r>
        <w:rPr>
          <w:rFonts w:ascii="David" w:hAnsi="David" w:hint="cs"/>
          <w:b/>
          <w:bCs/>
          <w:rtl/>
        </w:rPr>
        <w:t xml:space="preserve"> </w:t>
      </w:r>
      <w:r w:rsidRPr="008705C1">
        <w:rPr>
          <w:rFonts w:ascii="David" w:hAnsi="David" w:hint="cs"/>
          <w:b/>
          <w:bCs/>
          <w:rtl/>
        </w:rPr>
        <w:t>וע"פ המלצות גורמי הטיפול שיגובשו בהמשך ,ישולב בקבוצה טיפולית ייעודית ,כל זאת לצד מעקב בדיקות שתן שייערך לו תחת פיקוח משרדינו</w:t>
      </w:r>
      <w:r>
        <w:rPr>
          <w:rFonts w:ascii="David" w:hAnsi="David" w:hint="cs"/>
          <w:rtl/>
        </w:rPr>
        <w:t>."</w:t>
      </w:r>
    </w:p>
    <w:p w14:paraId="79AD4D49" w14:textId="77777777" w:rsidR="0010215E" w:rsidRDefault="0010215E" w:rsidP="0010215E">
      <w:pPr>
        <w:spacing w:line="360" w:lineRule="auto"/>
        <w:jc w:val="both"/>
        <w:rPr>
          <w:rtl/>
        </w:rPr>
      </w:pPr>
      <w:r>
        <w:rPr>
          <w:rFonts w:hint="cs"/>
          <w:rtl/>
        </w:rPr>
        <w:t xml:space="preserve">בנוסף, לנוכח אופי העבירות, סבורה קצינת המבחן כי קיימת חשיבות בהטלת ענישה מוחשית ומרתיעה בכך שהנאשם ירצה מאסר בדרך של עבודות שירות אשר יחדד עבורו את הגבולות בין המותר לאסור והמחיר שעשוי לשלם בגין התנהלות עוברת חוק. </w:t>
      </w:r>
    </w:p>
    <w:p w14:paraId="087AE082" w14:textId="77777777" w:rsidR="0010215E" w:rsidRDefault="0010215E" w:rsidP="0010215E">
      <w:pPr>
        <w:spacing w:line="360" w:lineRule="auto"/>
        <w:jc w:val="both"/>
        <w:rPr>
          <w:rtl/>
        </w:rPr>
      </w:pPr>
    </w:p>
    <w:p w14:paraId="6D039FC9" w14:textId="77777777" w:rsidR="0010215E" w:rsidRDefault="0010215E" w:rsidP="0010215E">
      <w:pPr>
        <w:spacing w:line="360" w:lineRule="auto"/>
        <w:jc w:val="both"/>
        <w:rPr>
          <w:rtl/>
        </w:rPr>
      </w:pPr>
      <w:r>
        <w:rPr>
          <w:rFonts w:hint="cs"/>
          <w:rtl/>
        </w:rPr>
        <w:t>ראוי להדגיש כי הלכה למעשה מצוי הנאשם תחת מעקב ובפועל תחת צו מבחן, מזה שנתיים ימים לערך, מאז הליכי המעצר מיום 22.2.22, כאמור בתסקיר אשר הוגש לעניין העונש ביום 31.1.23.</w:t>
      </w:r>
    </w:p>
    <w:p w14:paraId="3F15C394" w14:textId="77777777" w:rsidR="0010215E" w:rsidRDefault="0010215E" w:rsidP="0010215E">
      <w:pPr>
        <w:spacing w:line="360" w:lineRule="auto"/>
        <w:jc w:val="both"/>
        <w:rPr>
          <w:rtl/>
        </w:rPr>
      </w:pPr>
    </w:p>
    <w:p w14:paraId="40FCCB6C" w14:textId="77777777" w:rsidR="0010215E" w:rsidRDefault="0010215E" w:rsidP="0010215E">
      <w:pPr>
        <w:spacing w:line="360" w:lineRule="auto"/>
        <w:jc w:val="both"/>
        <w:rPr>
          <w:rtl/>
        </w:rPr>
      </w:pPr>
      <w:r>
        <w:rPr>
          <w:rFonts w:hint="cs"/>
          <w:rtl/>
        </w:rPr>
        <w:t xml:space="preserve">(5) חרף הילדות והנעורים בתנאים מורכבים כמפורט בתסקירים, אין לנאשם עבר פלילי כלשהו למעט ההרשעה מושא תיק זה. </w:t>
      </w:r>
    </w:p>
    <w:p w14:paraId="3D14D317" w14:textId="77777777" w:rsidR="0010215E" w:rsidRDefault="0010215E" w:rsidP="0010215E">
      <w:pPr>
        <w:spacing w:line="360" w:lineRule="auto"/>
        <w:jc w:val="both"/>
        <w:rPr>
          <w:rtl/>
        </w:rPr>
      </w:pPr>
    </w:p>
    <w:p w14:paraId="62F2DF90" w14:textId="77777777" w:rsidR="0010215E" w:rsidRDefault="0010215E" w:rsidP="0010215E">
      <w:pPr>
        <w:spacing w:line="360" w:lineRule="auto"/>
        <w:jc w:val="both"/>
        <w:rPr>
          <w:rtl/>
        </w:rPr>
      </w:pPr>
      <w:r>
        <w:rPr>
          <w:rFonts w:hint="cs"/>
          <w:rtl/>
        </w:rPr>
        <w:t xml:space="preserve">משכך ועל פניו יש להעמיד עונשו של הנאשם בתחתית המתחם אשר נקבע על ידי. </w:t>
      </w:r>
    </w:p>
    <w:p w14:paraId="1A7778B9" w14:textId="77777777" w:rsidR="0010215E" w:rsidRDefault="0010215E" w:rsidP="0010215E">
      <w:pPr>
        <w:spacing w:line="360" w:lineRule="auto"/>
        <w:jc w:val="both"/>
        <w:rPr>
          <w:rtl/>
        </w:rPr>
      </w:pPr>
    </w:p>
    <w:p w14:paraId="745F09C6" w14:textId="77777777" w:rsidR="0010215E" w:rsidRDefault="0010215E" w:rsidP="0010215E">
      <w:pPr>
        <w:spacing w:line="360" w:lineRule="auto"/>
        <w:ind w:left="720" w:hanging="720"/>
        <w:jc w:val="both"/>
        <w:rPr>
          <w:rtl/>
        </w:rPr>
      </w:pPr>
      <w:r>
        <w:rPr>
          <w:rFonts w:hint="cs"/>
          <w:b/>
          <w:bCs/>
          <w:rtl/>
        </w:rPr>
        <w:t>ה.</w:t>
      </w:r>
      <w:r>
        <w:rPr>
          <w:b/>
          <w:bCs/>
          <w:rtl/>
        </w:rPr>
        <w:tab/>
      </w:r>
      <w:r>
        <w:rPr>
          <w:rFonts w:hint="cs"/>
          <w:rtl/>
        </w:rPr>
        <w:t xml:space="preserve">האם יש לעשות במקרה זה שימוש בסמכות הנתונה לי ולחרוג ממתחם העונש ההולם כאמור בסעיף </w:t>
      </w:r>
      <w:hyperlink r:id="rId57" w:history="1">
        <w:r w:rsidR="00BB07B8" w:rsidRPr="00BB07B8">
          <w:rPr>
            <w:rStyle w:val="Hyperlink"/>
            <w:rtl/>
          </w:rPr>
          <w:t>40ד (א)</w:t>
        </w:r>
      </w:hyperlink>
      <w:r>
        <w:rPr>
          <w:rFonts w:hint="cs"/>
          <w:rtl/>
        </w:rPr>
        <w:t xml:space="preserve"> לחוק.</w:t>
      </w:r>
    </w:p>
    <w:p w14:paraId="7D06F673" w14:textId="77777777" w:rsidR="0010215E" w:rsidRDefault="0010215E" w:rsidP="0010215E">
      <w:pPr>
        <w:spacing w:line="360" w:lineRule="auto"/>
        <w:jc w:val="both"/>
        <w:rPr>
          <w:rtl/>
        </w:rPr>
      </w:pPr>
    </w:p>
    <w:p w14:paraId="0F298DFF" w14:textId="77777777" w:rsidR="0010215E" w:rsidRPr="00AF1CBF" w:rsidRDefault="0010215E" w:rsidP="0010215E">
      <w:pPr>
        <w:spacing w:line="360" w:lineRule="auto"/>
        <w:jc w:val="both"/>
        <w:rPr>
          <w:b/>
          <w:bCs/>
          <w:rtl/>
        </w:rPr>
      </w:pPr>
      <w:r w:rsidRPr="00AF1CBF">
        <w:rPr>
          <w:rFonts w:hint="cs"/>
          <w:b/>
          <w:bCs/>
          <w:rtl/>
        </w:rPr>
        <w:t>המתווה הנורמטיבי:</w:t>
      </w:r>
    </w:p>
    <w:p w14:paraId="4839189F" w14:textId="77777777" w:rsidR="0010215E" w:rsidRDefault="0010215E" w:rsidP="0010215E">
      <w:pPr>
        <w:spacing w:line="360" w:lineRule="auto"/>
        <w:jc w:val="both"/>
        <w:rPr>
          <w:rtl/>
        </w:rPr>
      </w:pPr>
    </w:p>
    <w:p w14:paraId="51727350" w14:textId="77777777" w:rsidR="0010215E" w:rsidRDefault="0010215E" w:rsidP="0010215E">
      <w:pPr>
        <w:spacing w:line="360" w:lineRule="auto"/>
        <w:jc w:val="both"/>
        <w:rPr>
          <w:rtl/>
        </w:rPr>
      </w:pPr>
      <w:r>
        <w:rPr>
          <w:rFonts w:hint="cs"/>
          <w:rtl/>
        </w:rPr>
        <w:t>אני ער לקביעת בית המשפט העליון כי יש לנקוט בזהירות בכל הנוגע לסטייה מהליכי שיקום וכי יש לבחון כל מקרה על נסיבותיו (דברי כב' השופטת וילנר ב</w:t>
      </w:r>
      <w:hyperlink r:id="rId58" w:history="1">
        <w:r w:rsidR="0008660D" w:rsidRPr="0008660D">
          <w:rPr>
            <w:color w:val="0000FF"/>
            <w:u w:val="single"/>
            <w:rtl/>
          </w:rPr>
          <w:t>ע"פ 1229/19</w:t>
        </w:r>
      </w:hyperlink>
      <w:r>
        <w:rPr>
          <w:rtl/>
        </w:rPr>
        <w:t xml:space="preserve"> </w:t>
      </w:r>
      <w:r w:rsidRPr="000D4CBE">
        <w:rPr>
          <w:b/>
          <w:bCs/>
          <w:rtl/>
        </w:rPr>
        <w:t>סלומינסקי נ' מדינת ישראל</w:t>
      </w:r>
      <w:r>
        <w:rPr>
          <w:rtl/>
        </w:rPr>
        <w:t xml:space="preserve"> (1.7.2019).</w:t>
      </w:r>
      <w:r>
        <w:rPr>
          <w:rFonts w:hint="cs"/>
          <w:rtl/>
        </w:rPr>
        <w:t xml:space="preserve"> </w:t>
      </w:r>
    </w:p>
    <w:p w14:paraId="2EBE9EF4" w14:textId="77777777" w:rsidR="0010215E" w:rsidRDefault="0010215E" w:rsidP="0010215E">
      <w:pPr>
        <w:spacing w:line="360" w:lineRule="auto"/>
        <w:rPr>
          <w:rtl/>
        </w:rPr>
      </w:pPr>
      <w:r>
        <w:rPr>
          <w:rFonts w:hint="cs"/>
          <w:rtl/>
        </w:rPr>
        <w:t>עם זאת, אין מחלוקת כי השיקום ייטיב עם הנאשם ועם החברה בכללותה.</w:t>
      </w:r>
    </w:p>
    <w:p w14:paraId="61E4B6C7" w14:textId="77777777" w:rsidR="0010215E" w:rsidRDefault="0010215E" w:rsidP="0010215E">
      <w:pPr>
        <w:spacing w:line="360" w:lineRule="auto"/>
        <w:rPr>
          <w:rtl/>
        </w:rPr>
      </w:pPr>
    </w:p>
    <w:p w14:paraId="1E44DCB7" w14:textId="77777777" w:rsidR="0010215E" w:rsidRDefault="0010215E" w:rsidP="0010215E">
      <w:pPr>
        <w:spacing w:line="360" w:lineRule="auto"/>
        <w:jc w:val="both"/>
        <w:rPr>
          <w:rtl/>
        </w:rPr>
      </w:pPr>
      <w:r>
        <w:rPr>
          <w:rFonts w:hint="cs"/>
          <w:rtl/>
        </w:rPr>
        <w:t>במקרה זה</w:t>
      </w:r>
      <w:r>
        <w:rPr>
          <w:rtl/>
        </w:rPr>
        <w:t xml:space="preserve"> </w:t>
      </w:r>
      <w:r>
        <w:rPr>
          <w:rFonts w:hint="cs"/>
          <w:rtl/>
        </w:rPr>
        <w:t>שוכנעתי כי יש לסטות ממתחם הענישה שכן הוכח בפניי כי הדרך הארוכה אשר עשה הנאשם עד כה, כשנתיים ימים, מעידה בעליל על השיקום ועל הסיכויים לפוטנציאל שיקומי גבוה.</w:t>
      </w:r>
    </w:p>
    <w:p w14:paraId="52D42BF3" w14:textId="77777777" w:rsidR="0010215E" w:rsidRDefault="0010215E" w:rsidP="0010215E">
      <w:pPr>
        <w:spacing w:line="360" w:lineRule="auto"/>
        <w:rPr>
          <w:rtl/>
        </w:rPr>
      </w:pPr>
    </w:p>
    <w:p w14:paraId="30A6F074" w14:textId="77777777" w:rsidR="0010215E" w:rsidRDefault="0010215E" w:rsidP="0010215E">
      <w:pPr>
        <w:spacing w:line="360" w:lineRule="auto"/>
        <w:ind w:left="720" w:hanging="720"/>
        <w:jc w:val="both"/>
        <w:rPr>
          <w:rtl/>
        </w:rPr>
      </w:pPr>
      <w:r>
        <w:rPr>
          <w:rFonts w:hint="cs"/>
          <w:b/>
          <w:bCs/>
          <w:rtl/>
        </w:rPr>
        <w:t>ו.</w:t>
      </w:r>
      <w:r>
        <w:rPr>
          <w:b/>
          <w:bCs/>
          <w:rtl/>
        </w:rPr>
        <w:tab/>
      </w:r>
      <w:r>
        <w:rPr>
          <w:rFonts w:hint="cs"/>
          <w:rtl/>
        </w:rPr>
        <w:t xml:space="preserve">כמו כן, אני נותן דעתי לכך שבפועל הפער בין מתחם הענישה אשר נקבע על ידי לבין מאסר בדרך של עבודות שירות אינו גבוה. אין מדובר באריתמטיקה לשמה אלא בבחינת הסיכון והתועלת הכרוכים בכליאת הנאשם שלא לצורך. </w:t>
      </w:r>
    </w:p>
    <w:p w14:paraId="0F63708E" w14:textId="77777777" w:rsidR="0010215E" w:rsidRDefault="0010215E" w:rsidP="0010215E">
      <w:pPr>
        <w:spacing w:line="360" w:lineRule="auto"/>
        <w:rPr>
          <w:rtl/>
        </w:rPr>
      </w:pPr>
    </w:p>
    <w:p w14:paraId="74E1A5F7" w14:textId="77777777" w:rsidR="0010215E" w:rsidRDefault="0010215E" w:rsidP="0010215E">
      <w:pPr>
        <w:spacing w:line="360" w:lineRule="auto"/>
        <w:jc w:val="both"/>
        <w:rPr>
          <w:rtl/>
        </w:rPr>
      </w:pPr>
      <w:r>
        <w:rPr>
          <w:rFonts w:hint="cs"/>
          <w:rtl/>
        </w:rPr>
        <w:t xml:space="preserve">יש להזכיר כי הנאשם היה עצור במעצר של ממש מיום 29.11.21 עד ליום 22.2.22 (כשלושה חודשים חסר שבוע) ולאחר מכן חמישה חודשים של מעצר באיזוק אלקטרוני ובהמשך גם בתנאים מגבילים של מעצר בית. </w:t>
      </w:r>
    </w:p>
    <w:p w14:paraId="0FA8DF48" w14:textId="77777777" w:rsidR="0010215E" w:rsidRDefault="0010215E" w:rsidP="0010215E">
      <w:pPr>
        <w:spacing w:line="360" w:lineRule="auto"/>
        <w:jc w:val="both"/>
        <w:rPr>
          <w:rtl/>
        </w:rPr>
      </w:pPr>
    </w:p>
    <w:p w14:paraId="5C8A8C05" w14:textId="77777777" w:rsidR="0010215E" w:rsidRDefault="0010215E" w:rsidP="0010215E">
      <w:pPr>
        <w:spacing w:before="120" w:line="360" w:lineRule="auto"/>
        <w:jc w:val="both"/>
        <w:rPr>
          <w:rtl/>
        </w:rPr>
      </w:pPr>
      <w:r>
        <w:rPr>
          <w:rFonts w:hint="cs"/>
          <w:rtl/>
        </w:rPr>
        <w:t>אשר לתקופה הממושכת של המעצר באיזוק אלקטרוני יש להפנות לפסיקת בית המשפט העליון כדלקמן:</w:t>
      </w:r>
    </w:p>
    <w:p w14:paraId="4A2A84DE" w14:textId="77777777" w:rsidR="0010215E" w:rsidRDefault="0010215E" w:rsidP="0010215E">
      <w:pPr>
        <w:spacing w:before="120" w:line="360" w:lineRule="auto"/>
        <w:ind w:right="851"/>
        <w:jc w:val="both"/>
        <w:rPr>
          <w:rtl/>
        </w:rPr>
      </w:pPr>
    </w:p>
    <w:p w14:paraId="5C380573" w14:textId="77777777" w:rsidR="0010215E" w:rsidRDefault="0010215E" w:rsidP="0010215E">
      <w:pPr>
        <w:spacing w:before="120" w:line="360" w:lineRule="auto"/>
        <w:ind w:left="509" w:right="851"/>
        <w:jc w:val="both"/>
        <w:rPr>
          <w:rtl/>
        </w:rPr>
      </w:pPr>
      <w:r w:rsidRPr="0023172D">
        <w:rPr>
          <w:rFonts w:hint="cs"/>
          <w:rtl/>
        </w:rPr>
        <w:t>"</w:t>
      </w:r>
      <w:r w:rsidRPr="0023172D">
        <w:rPr>
          <w:rFonts w:hint="cs"/>
          <w:b/>
          <w:bCs/>
          <w:rtl/>
        </w:rPr>
        <w:t xml:space="preserve">ואחר שאמרנו את אלה, וההבחנה ברורה, לדעתי </w:t>
      </w:r>
      <w:r w:rsidRPr="0023172D">
        <w:rPr>
          <w:rFonts w:hint="cs"/>
          <w:b/>
          <w:bCs/>
          <w:u w:val="single"/>
          <w:rtl/>
        </w:rPr>
        <w:t>יש</w:t>
      </w:r>
      <w:r w:rsidRPr="0023172D">
        <w:rPr>
          <w:rFonts w:hint="cs"/>
          <w:b/>
          <w:bCs/>
          <w:rtl/>
        </w:rPr>
        <w:t xml:space="preserve"> מקום להתחשבות בתקופה </w:t>
      </w:r>
      <w:r w:rsidRPr="0023172D">
        <w:rPr>
          <w:rFonts w:hint="cs"/>
          <w:b/>
          <w:bCs/>
          <w:u w:val="single"/>
          <w:rtl/>
        </w:rPr>
        <w:t>ארוכה</w:t>
      </w:r>
      <w:r w:rsidRPr="0023172D">
        <w:rPr>
          <w:rFonts w:hint="cs"/>
          <w:b/>
          <w:bCs/>
          <w:rtl/>
        </w:rPr>
        <w:t xml:space="preserve"> של מעצר</w:t>
      </w:r>
      <w:r w:rsidRPr="0023172D">
        <w:rPr>
          <w:rFonts w:hint="cs"/>
          <w:rtl/>
        </w:rPr>
        <w:t xml:space="preserve"> </w:t>
      </w:r>
      <w:r w:rsidRPr="0023172D">
        <w:rPr>
          <w:rFonts w:hint="cs"/>
          <w:b/>
          <w:bCs/>
          <w:rtl/>
        </w:rPr>
        <w:t>בפיקוח אלקטרוני-כמו גם מעצר בית מלא בכלל-בגדרי הענישה, אך כי כמובן לא במידה זהה למעצר</w:t>
      </w:r>
      <w:r w:rsidRPr="0023172D">
        <w:rPr>
          <w:rFonts w:hint="cs"/>
          <w:rtl/>
        </w:rPr>
        <w:t xml:space="preserve"> </w:t>
      </w:r>
      <w:r w:rsidRPr="0023172D">
        <w:rPr>
          <w:rFonts w:hint="cs"/>
          <w:b/>
          <w:bCs/>
          <w:rtl/>
        </w:rPr>
        <w:t>במתקן כליאה, והדגש בעיניי הוא על תקופה ארוכה</w:t>
      </w:r>
      <w:r w:rsidRPr="0023172D">
        <w:rPr>
          <w:rFonts w:hint="cs"/>
          <w:rtl/>
        </w:rPr>
        <w:t>"</w:t>
      </w:r>
      <w:r w:rsidRPr="0023172D">
        <w:rPr>
          <w:rFonts w:hint="cs"/>
          <w:b/>
          <w:bCs/>
          <w:rtl/>
        </w:rPr>
        <w:t xml:space="preserve">. </w:t>
      </w:r>
      <w:r w:rsidRPr="0023172D">
        <w:rPr>
          <w:rFonts w:hint="cs"/>
          <w:rtl/>
        </w:rPr>
        <w:t>(</w:t>
      </w:r>
      <w:hyperlink r:id="rId59" w:history="1">
        <w:r w:rsidR="0008660D" w:rsidRPr="0008660D">
          <w:rPr>
            <w:color w:val="0000FF"/>
            <w:u w:val="single"/>
            <w:rtl/>
          </w:rPr>
          <w:t>ע"פ 7768/15</w:t>
        </w:r>
      </w:hyperlink>
      <w:r w:rsidRPr="0023172D">
        <w:rPr>
          <w:rFonts w:hint="cs"/>
          <w:rtl/>
        </w:rPr>
        <w:t xml:space="preserve"> </w:t>
      </w:r>
      <w:r w:rsidRPr="0023172D">
        <w:rPr>
          <w:rFonts w:hint="cs"/>
          <w:b/>
          <w:bCs/>
          <w:rtl/>
        </w:rPr>
        <w:t>פלוני נ' מדינת ישראל</w:t>
      </w:r>
      <w:r w:rsidRPr="0023172D">
        <w:rPr>
          <w:rFonts w:hint="cs"/>
          <w:rtl/>
        </w:rPr>
        <w:t xml:space="preserve"> (20.4.16) פסקה ד' לחוות דעת המשנה לנשיאה, כב' הש' רובינשטיין)).</w:t>
      </w:r>
      <w:r>
        <w:rPr>
          <w:rFonts w:hint="cs"/>
          <w:rtl/>
        </w:rPr>
        <w:t xml:space="preserve"> </w:t>
      </w:r>
    </w:p>
    <w:p w14:paraId="6C35ED95" w14:textId="77777777" w:rsidR="0010215E" w:rsidRDefault="0010215E" w:rsidP="0010215E">
      <w:pPr>
        <w:spacing w:before="120" w:line="360" w:lineRule="auto"/>
        <w:ind w:left="509" w:right="851"/>
        <w:jc w:val="both"/>
        <w:rPr>
          <w:rtl/>
        </w:rPr>
      </w:pPr>
    </w:p>
    <w:p w14:paraId="6BE8610A" w14:textId="77777777" w:rsidR="0010215E" w:rsidRDefault="0010215E" w:rsidP="0010215E">
      <w:pPr>
        <w:spacing w:before="120" w:line="360" w:lineRule="auto"/>
        <w:ind w:right="851"/>
        <w:jc w:val="both"/>
        <w:rPr>
          <w:rtl/>
        </w:rPr>
      </w:pPr>
      <w:r>
        <w:rPr>
          <w:rFonts w:hint="cs"/>
          <w:rtl/>
        </w:rPr>
        <w:t xml:space="preserve">הנה כי כן, מניין  של תקופת המעצר הממשי לצד אומדן משוער של תקופת המעצר באיזוק אלקטרוני, שאותה יש לנכות, הגם שלא יום כנגד יום, יוליכו בהכרח למסקנה כי הפער בין התקופה המירבית של מאסר בעבודות שירות לבין המתחם אשר נקבע על ידי, הינו מצומצם ביותר. </w:t>
      </w:r>
    </w:p>
    <w:p w14:paraId="4CDFBCD6" w14:textId="77777777" w:rsidR="0010215E" w:rsidRDefault="0010215E" w:rsidP="0010215E">
      <w:pPr>
        <w:spacing w:before="120" w:line="360" w:lineRule="auto"/>
        <w:ind w:right="851"/>
        <w:jc w:val="both"/>
        <w:rPr>
          <w:rtl/>
        </w:rPr>
      </w:pPr>
    </w:p>
    <w:p w14:paraId="3E5C2F7D" w14:textId="77777777" w:rsidR="0010215E" w:rsidRDefault="0010215E" w:rsidP="0010215E">
      <w:pPr>
        <w:spacing w:before="120" w:line="360" w:lineRule="auto"/>
        <w:ind w:left="720" w:right="851" w:hanging="720"/>
        <w:jc w:val="both"/>
      </w:pPr>
      <w:r>
        <w:rPr>
          <w:rFonts w:hint="cs"/>
          <w:b/>
          <w:bCs/>
          <w:rtl/>
        </w:rPr>
        <w:t xml:space="preserve">ז. </w:t>
      </w:r>
      <w:r>
        <w:rPr>
          <w:b/>
          <w:bCs/>
          <w:rtl/>
        </w:rPr>
        <w:tab/>
      </w:r>
      <w:r>
        <w:rPr>
          <w:rFonts w:hint="cs"/>
          <w:rtl/>
        </w:rPr>
        <w:t>ביקשתי חוות דעת הממונה על עבודות השירות. הנאשם נמצא מתאים לביצוע עבודות שירות ואף הביע הסכמה לכך.</w:t>
      </w:r>
    </w:p>
    <w:p w14:paraId="7196AEC4" w14:textId="77777777" w:rsidR="0010215E" w:rsidRDefault="0010215E" w:rsidP="0010215E">
      <w:pPr>
        <w:spacing w:line="360" w:lineRule="auto"/>
        <w:jc w:val="both"/>
        <w:rPr>
          <w:rtl/>
        </w:rPr>
      </w:pPr>
    </w:p>
    <w:p w14:paraId="3CBB85AC" w14:textId="77777777" w:rsidR="0010215E" w:rsidRDefault="0010215E" w:rsidP="0010215E">
      <w:pPr>
        <w:spacing w:line="360" w:lineRule="auto"/>
        <w:jc w:val="both"/>
        <w:rPr>
          <w:rtl/>
        </w:rPr>
      </w:pPr>
      <w:r>
        <w:rPr>
          <w:rFonts w:hint="cs"/>
          <w:rtl/>
        </w:rPr>
        <w:t>אשר על כן אני גוזר על הנאשם את העונשים הבאים:</w:t>
      </w:r>
    </w:p>
    <w:p w14:paraId="0103E3B1" w14:textId="77777777" w:rsidR="0010215E" w:rsidRDefault="0010215E" w:rsidP="0010215E">
      <w:pPr>
        <w:spacing w:line="360" w:lineRule="auto"/>
        <w:jc w:val="both"/>
        <w:rPr>
          <w:rtl/>
        </w:rPr>
      </w:pPr>
    </w:p>
    <w:p w14:paraId="0D42A65D" w14:textId="77777777" w:rsidR="0010215E" w:rsidRDefault="0010215E" w:rsidP="0010215E">
      <w:pPr>
        <w:spacing w:line="360" w:lineRule="auto"/>
        <w:ind w:left="720" w:hanging="720"/>
        <w:jc w:val="both"/>
        <w:rPr>
          <w:rtl/>
        </w:rPr>
      </w:pPr>
      <w:r>
        <w:rPr>
          <w:rFonts w:hint="cs"/>
          <w:rtl/>
        </w:rPr>
        <w:t>א.</w:t>
      </w:r>
      <w:r>
        <w:rPr>
          <w:rtl/>
        </w:rPr>
        <w:tab/>
      </w:r>
      <w:r>
        <w:rPr>
          <w:rFonts w:hint="cs"/>
          <w:rtl/>
        </w:rPr>
        <w:t xml:space="preserve"> 9 ח' מאסר בפועל אשר ירוצו בדרך של עבודות שירות החל מיום 27.3.24 במחסני עיריית קרית ביאליק ברח' יוסף הלוי 42 קרית ביאליק. במועד זה על הנאשם להתייצב בפני הממונה על עבודות השירות בשעה 08:00 ,ביחידת ברקאי, שלוחת צפון מתחם כלא מגידו לשם קליטתו והשמתו.</w:t>
      </w:r>
    </w:p>
    <w:p w14:paraId="50F505F1" w14:textId="77777777" w:rsidR="0010215E" w:rsidRDefault="0010215E" w:rsidP="0010215E">
      <w:pPr>
        <w:spacing w:line="360" w:lineRule="auto"/>
        <w:ind w:left="720"/>
        <w:jc w:val="both"/>
        <w:rPr>
          <w:rtl/>
        </w:rPr>
      </w:pPr>
      <w:r>
        <w:rPr>
          <w:rFonts w:hint="cs"/>
          <w:rtl/>
        </w:rPr>
        <w:t>הנאשם מוזהר כי כל חריגה מהכללים תביא להפסקת ריצוי העונש בדרך זו ולכליאתו מאחורי סורג ובריח.</w:t>
      </w:r>
    </w:p>
    <w:p w14:paraId="62F1D0D1" w14:textId="77777777" w:rsidR="0010215E" w:rsidRDefault="0010215E" w:rsidP="0010215E">
      <w:pPr>
        <w:spacing w:line="360" w:lineRule="auto"/>
        <w:jc w:val="both"/>
        <w:rPr>
          <w:rtl/>
        </w:rPr>
      </w:pPr>
    </w:p>
    <w:p w14:paraId="71E4D769" w14:textId="77777777" w:rsidR="0010215E" w:rsidRDefault="0010215E" w:rsidP="0010215E">
      <w:pPr>
        <w:spacing w:line="360" w:lineRule="auto"/>
        <w:ind w:left="720" w:hanging="720"/>
        <w:jc w:val="both"/>
        <w:rPr>
          <w:rtl/>
        </w:rPr>
      </w:pPr>
      <w:r>
        <w:rPr>
          <w:rFonts w:hint="cs"/>
          <w:rtl/>
        </w:rPr>
        <w:t>ב.</w:t>
      </w:r>
      <w:r>
        <w:rPr>
          <w:rtl/>
        </w:rPr>
        <w:tab/>
      </w:r>
      <w:r>
        <w:rPr>
          <w:rFonts w:hint="cs"/>
          <w:rtl/>
        </w:rPr>
        <w:t xml:space="preserve">12 ח' מאסר על תנאי והתנאי הוא שהנאשם לא יעבור עבירה מסוג פשע על </w:t>
      </w:r>
      <w:hyperlink r:id="rId60" w:history="1">
        <w:r w:rsidR="0008660D" w:rsidRPr="0008660D">
          <w:rPr>
            <w:color w:val="0000FF"/>
            <w:u w:val="single"/>
            <w:rtl/>
          </w:rPr>
          <w:t>פקודת הסמים המסוכנים</w:t>
        </w:r>
      </w:hyperlink>
      <w:r>
        <w:rPr>
          <w:rFonts w:hint="cs"/>
          <w:rtl/>
        </w:rPr>
        <w:t xml:space="preserve"> במשך 3 שנים מהיום.</w:t>
      </w:r>
    </w:p>
    <w:p w14:paraId="7328D027" w14:textId="77777777" w:rsidR="0010215E" w:rsidRDefault="0010215E" w:rsidP="0010215E">
      <w:pPr>
        <w:spacing w:line="360" w:lineRule="auto"/>
        <w:ind w:left="720"/>
        <w:jc w:val="both"/>
        <w:rPr>
          <w:rtl/>
        </w:rPr>
      </w:pPr>
      <w:r>
        <w:rPr>
          <w:rFonts w:hint="cs"/>
          <w:rtl/>
        </w:rPr>
        <w:t xml:space="preserve">7 ח' מאסר על תנאי והתנאי הוא שהנאשם לא יעבור עבירה מסוג עוון על </w:t>
      </w:r>
      <w:hyperlink r:id="rId61" w:history="1">
        <w:r w:rsidR="0008660D" w:rsidRPr="0008660D">
          <w:rPr>
            <w:color w:val="0000FF"/>
            <w:u w:val="single"/>
            <w:rtl/>
          </w:rPr>
          <w:t>פקודת הסמים המסוכנים</w:t>
        </w:r>
      </w:hyperlink>
      <w:r>
        <w:rPr>
          <w:rFonts w:hint="cs"/>
          <w:rtl/>
        </w:rPr>
        <w:t xml:space="preserve"> במשך 3 שנים מהיום.</w:t>
      </w:r>
    </w:p>
    <w:p w14:paraId="7FC64F7E" w14:textId="77777777" w:rsidR="0010215E" w:rsidRDefault="0010215E" w:rsidP="0010215E">
      <w:pPr>
        <w:spacing w:line="360" w:lineRule="auto"/>
        <w:jc w:val="both"/>
        <w:rPr>
          <w:rtl/>
        </w:rPr>
      </w:pPr>
    </w:p>
    <w:p w14:paraId="75E48131" w14:textId="77777777" w:rsidR="0010215E" w:rsidRDefault="0010215E" w:rsidP="0010215E">
      <w:pPr>
        <w:spacing w:line="360" w:lineRule="auto"/>
        <w:jc w:val="both"/>
        <w:rPr>
          <w:rtl/>
        </w:rPr>
      </w:pPr>
      <w:r>
        <w:rPr>
          <w:rFonts w:hint="cs"/>
          <w:rtl/>
        </w:rPr>
        <w:t xml:space="preserve">ג. </w:t>
      </w:r>
      <w:r>
        <w:rPr>
          <w:rtl/>
        </w:rPr>
        <w:tab/>
      </w:r>
      <w:r>
        <w:rPr>
          <w:rFonts w:hint="cs"/>
          <w:rtl/>
        </w:rPr>
        <w:t xml:space="preserve">קנס בסך  55,000 ₪ אשר יקוזז מהפיקדון המצוי במשטרה ויועבר לגזברות בית משפט. </w:t>
      </w:r>
    </w:p>
    <w:p w14:paraId="5A3D2EB5" w14:textId="77777777" w:rsidR="0010215E" w:rsidRDefault="0010215E" w:rsidP="0010215E">
      <w:pPr>
        <w:spacing w:line="360" w:lineRule="auto"/>
        <w:jc w:val="both"/>
        <w:rPr>
          <w:rtl/>
        </w:rPr>
      </w:pPr>
    </w:p>
    <w:p w14:paraId="7835C3F8" w14:textId="77777777" w:rsidR="0010215E" w:rsidRDefault="0010215E" w:rsidP="0010215E">
      <w:pPr>
        <w:spacing w:line="360" w:lineRule="auto"/>
        <w:jc w:val="both"/>
        <w:rPr>
          <w:rtl/>
        </w:rPr>
      </w:pPr>
      <w:r>
        <w:rPr>
          <w:rFonts w:hint="cs"/>
          <w:rtl/>
        </w:rPr>
        <w:t xml:space="preserve">ניתן בזה צו מבחן לשנה אחת. מובהר בזאת לנאשם כי ככל שלא יעמוד בתנאי המבחן יהיה בית המשפט רשאי לשוב ולהידרש לגזר דינו בשנית לרבות כליאתו מאחורי סורג ובריח. </w:t>
      </w:r>
    </w:p>
    <w:p w14:paraId="41AC08B7" w14:textId="77777777" w:rsidR="0010215E" w:rsidRDefault="0010215E" w:rsidP="0010215E">
      <w:pPr>
        <w:spacing w:line="360" w:lineRule="auto"/>
        <w:jc w:val="both"/>
        <w:rPr>
          <w:rtl/>
        </w:rPr>
      </w:pPr>
    </w:p>
    <w:p w14:paraId="7FD725A0" w14:textId="77777777" w:rsidR="0010215E" w:rsidRDefault="0010215E" w:rsidP="0010215E">
      <w:pPr>
        <w:spacing w:line="360" w:lineRule="auto"/>
        <w:jc w:val="both"/>
        <w:rPr>
          <w:rtl/>
        </w:rPr>
      </w:pPr>
      <w:r>
        <w:rPr>
          <w:rFonts w:hint="cs"/>
          <w:rtl/>
        </w:rPr>
        <w:t xml:space="preserve">הסמים אשר נתפסו יושמדו או יחולטו, הכל על פי שיקול דעת המדינה. </w:t>
      </w:r>
    </w:p>
    <w:p w14:paraId="7BCB6076" w14:textId="77777777" w:rsidR="0010215E" w:rsidRDefault="0010215E" w:rsidP="0010215E">
      <w:pPr>
        <w:spacing w:line="360" w:lineRule="auto"/>
        <w:jc w:val="both"/>
        <w:rPr>
          <w:rtl/>
        </w:rPr>
      </w:pPr>
    </w:p>
    <w:p w14:paraId="44407A17" w14:textId="77777777" w:rsidR="0010215E" w:rsidRDefault="0010215E" w:rsidP="0010215E">
      <w:pPr>
        <w:spacing w:line="360" w:lineRule="auto"/>
        <w:jc w:val="both"/>
        <w:rPr>
          <w:rtl/>
        </w:rPr>
      </w:pPr>
      <w:r>
        <w:rPr>
          <w:rFonts w:hint="cs"/>
          <w:rtl/>
        </w:rPr>
        <w:t>העתק גזר הדין לממונה על עבודות השירות.</w:t>
      </w:r>
    </w:p>
    <w:p w14:paraId="78989B7E" w14:textId="77777777" w:rsidR="0010215E" w:rsidRDefault="0010215E" w:rsidP="0010215E">
      <w:pPr>
        <w:spacing w:line="360" w:lineRule="auto"/>
        <w:jc w:val="both"/>
        <w:rPr>
          <w:rtl/>
        </w:rPr>
      </w:pPr>
    </w:p>
    <w:p w14:paraId="11923A7F" w14:textId="77777777" w:rsidR="0010215E" w:rsidRDefault="0010215E" w:rsidP="0010215E">
      <w:pPr>
        <w:spacing w:line="360" w:lineRule="auto"/>
        <w:jc w:val="both"/>
        <w:rPr>
          <w:rtl/>
        </w:rPr>
      </w:pPr>
      <w:r>
        <w:rPr>
          <w:rFonts w:hint="cs"/>
          <w:rtl/>
        </w:rPr>
        <w:t>העתק גזר הדין לשירות המבחן.</w:t>
      </w:r>
    </w:p>
    <w:p w14:paraId="31DAC838" w14:textId="77777777" w:rsidR="0010215E" w:rsidRDefault="0010215E" w:rsidP="0010215E">
      <w:pPr>
        <w:spacing w:line="360" w:lineRule="auto"/>
        <w:jc w:val="both"/>
        <w:rPr>
          <w:rtl/>
        </w:rPr>
      </w:pPr>
    </w:p>
    <w:p w14:paraId="313FDB05" w14:textId="77777777" w:rsidR="0010215E" w:rsidRPr="00A13B0C" w:rsidRDefault="0010215E" w:rsidP="0010215E">
      <w:pPr>
        <w:spacing w:line="360" w:lineRule="auto"/>
        <w:jc w:val="both"/>
        <w:rPr>
          <w:b/>
          <w:bCs/>
          <w:rtl/>
        </w:rPr>
      </w:pPr>
      <w:r w:rsidRPr="00A13B0C">
        <w:rPr>
          <w:rFonts w:hint="cs"/>
          <w:b/>
          <w:bCs/>
          <w:rtl/>
        </w:rPr>
        <w:t>זכות ערעור כחוק.</w:t>
      </w:r>
    </w:p>
    <w:p w14:paraId="79C21E03" w14:textId="77777777" w:rsidR="0010215E" w:rsidRPr="00B05847" w:rsidRDefault="0010215E" w:rsidP="0010215E">
      <w:pPr>
        <w:rPr>
          <w:rtl/>
        </w:rPr>
      </w:pPr>
    </w:p>
    <w:p w14:paraId="27065912" w14:textId="77777777" w:rsidR="0010215E" w:rsidRPr="0008660D" w:rsidRDefault="0008660D" w:rsidP="0010215E">
      <w:pPr>
        <w:rPr>
          <w:color w:val="FFFFFF"/>
          <w:sz w:val="2"/>
          <w:szCs w:val="2"/>
          <w:rtl/>
        </w:rPr>
      </w:pPr>
      <w:r w:rsidRPr="0008660D">
        <w:rPr>
          <w:color w:val="FFFFFF"/>
          <w:sz w:val="2"/>
          <w:szCs w:val="2"/>
          <w:rtl/>
        </w:rPr>
        <w:t>5129371</w:t>
      </w:r>
    </w:p>
    <w:p w14:paraId="3993C44E" w14:textId="77777777" w:rsidR="0010215E" w:rsidRPr="00A31FBB" w:rsidRDefault="0008660D" w:rsidP="0010215E">
      <w:pPr>
        <w:rPr>
          <w:b/>
          <w:bCs/>
          <w:rtl/>
        </w:rPr>
      </w:pPr>
      <w:bookmarkStart w:id="8" w:name="Nitan"/>
      <w:r w:rsidRPr="0008660D">
        <w:rPr>
          <w:rFonts w:ascii="Arial" w:hAnsi="Arial"/>
          <w:b/>
          <w:bCs/>
          <w:color w:val="FFFFFF"/>
          <w:sz w:val="2"/>
          <w:szCs w:val="2"/>
          <w:rtl/>
        </w:rPr>
        <w:t>54678313</w:t>
      </w:r>
      <w:r>
        <w:rPr>
          <w:rFonts w:ascii="Arial" w:hAnsi="Arial"/>
          <w:b/>
          <w:bCs/>
          <w:rtl/>
        </w:rPr>
        <w:t xml:space="preserve">ניתן היום,  ח' שבט תשפ"ד, 18 ינואר 2024, במעמד הצדדים. </w:t>
      </w:r>
      <w:bookmarkEnd w:id="8"/>
    </w:p>
    <w:p w14:paraId="74DECA16" w14:textId="77777777" w:rsidR="0010215E" w:rsidRPr="00A31FBB" w:rsidRDefault="0010215E" w:rsidP="0008660D">
      <w:pPr>
        <w:jc w:val="center"/>
      </w:pPr>
      <w:r w:rsidRPr="00A31FBB">
        <w:rPr>
          <w:rFonts w:hint="cs"/>
          <w:b/>
          <w:bCs/>
          <w:rtl/>
        </w:rPr>
        <w:t xml:space="preserve">   </w:t>
      </w:r>
      <w:r w:rsidRPr="00A31FBB">
        <w:rPr>
          <w:rFonts w:hint="cs"/>
          <w:b/>
          <w:bCs/>
          <w:rtl/>
        </w:rPr>
        <w:tab/>
      </w:r>
      <w:r w:rsidRPr="00A31FBB">
        <w:rPr>
          <w:rFonts w:hint="cs"/>
          <w:b/>
          <w:bCs/>
          <w:rtl/>
        </w:rPr>
        <w:tab/>
      </w:r>
      <w:r w:rsidRPr="00A31FBB">
        <w:rPr>
          <w:rFonts w:hint="cs"/>
          <w:b/>
          <w:bCs/>
          <w:rtl/>
        </w:rPr>
        <w:tab/>
      </w:r>
      <w:r w:rsidRPr="00A31FBB">
        <w:rPr>
          <w:rFonts w:hint="cs"/>
          <w:b/>
          <w:bCs/>
          <w:rtl/>
        </w:rPr>
        <w:tab/>
      </w:r>
      <w:r w:rsidRPr="00A31FBB">
        <w:rPr>
          <w:rFonts w:hint="cs"/>
          <w:b/>
          <w:bCs/>
          <w:rtl/>
        </w:rPr>
        <w:tab/>
      </w:r>
    </w:p>
    <w:p w14:paraId="21FBA175" w14:textId="77777777" w:rsidR="0010215E" w:rsidRPr="00A31FBB" w:rsidRDefault="0010215E" w:rsidP="0010215E">
      <w:pPr>
        <w:jc w:val="center"/>
        <w:rPr>
          <w:rFonts w:ascii="Arial" w:hAnsi="Arial"/>
          <w:b/>
          <w:bCs/>
          <w:rtl/>
        </w:rPr>
      </w:pPr>
    </w:p>
    <w:p w14:paraId="4D6DDBE5" w14:textId="77777777" w:rsidR="0010215E" w:rsidRPr="00A31FBB" w:rsidRDefault="0010215E" w:rsidP="0010215E">
      <w:pPr>
        <w:rPr>
          <w:b/>
          <w:bCs/>
          <w:rtl/>
        </w:rPr>
      </w:pPr>
    </w:p>
    <w:p w14:paraId="0A99CA98" w14:textId="77777777" w:rsidR="0010215E" w:rsidRDefault="0010215E" w:rsidP="0010215E">
      <w:pPr>
        <w:pStyle w:val="a3"/>
        <w:jc w:val="center"/>
        <w:rPr>
          <w:rtl/>
        </w:rPr>
      </w:pPr>
    </w:p>
    <w:p w14:paraId="48FDD9FF" w14:textId="77777777" w:rsidR="001B545B" w:rsidRPr="0008660D" w:rsidRDefault="001B545B" w:rsidP="0008660D">
      <w:pPr>
        <w:keepNext/>
        <w:rPr>
          <w:rFonts w:ascii="David" w:hAnsi="David"/>
          <w:color w:val="000000"/>
          <w:sz w:val="22"/>
          <w:szCs w:val="22"/>
          <w:rtl/>
        </w:rPr>
      </w:pPr>
    </w:p>
    <w:p w14:paraId="4DA0EEFE" w14:textId="77777777" w:rsidR="0008660D" w:rsidRPr="0008660D" w:rsidRDefault="0008660D" w:rsidP="0008660D">
      <w:pPr>
        <w:keepNext/>
        <w:rPr>
          <w:rFonts w:ascii="David" w:hAnsi="David"/>
          <w:color w:val="000000"/>
          <w:sz w:val="22"/>
          <w:szCs w:val="22"/>
          <w:rtl/>
        </w:rPr>
      </w:pPr>
      <w:r w:rsidRPr="0008660D">
        <w:rPr>
          <w:rFonts w:ascii="David" w:hAnsi="David"/>
          <w:color w:val="000000"/>
          <w:sz w:val="22"/>
          <w:szCs w:val="22"/>
          <w:rtl/>
        </w:rPr>
        <w:t>עמית ציון קאפח 54678313</w:t>
      </w:r>
    </w:p>
    <w:p w14:paraId="31FD5A92" w14:textId="77777777" w:rsidR="0008660D" w:rsidRDefault="0008660D" w:rsidP="0008660D">
      <w:r w:rsidRPr="0008660D">
        <w:rPr>
          <w:color w:val="000000"/>
          <w:rtl/>
        </w:rPr>
        <w:t>נוסח מסמך זה כפוף לשינויי ניסוח ועריכה</w:t>
      </w:r>
    </w:p>
    <w:p w14:paraId="5F8853C7" w14:textId="77777777" w:rsidR="0008660D" w:rsidRDefault="0008660D" w:rsidP="0008660D">
      <w:pPr>
        <w:rPr>
          <w:rtl/>
        </w:rPr>
      </w:pPr>
    </w:p>
    <w:p w14:paraId="0C02D0BD" w14:textId="77777777" w:rsidR="0008660D" w:rsidRDefault="0008660D" w:rsidP="0008660D">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630E9529" w14:textId="77777777" w:rsidR="0008660D" w:rsidRPr="0008660D" w:rsidRDefault="0008660D" w:rsidP="0008660D">
      <w:pPr>
        <w:jc w:val="center"/>
        <w:rPr>
          <w:color w:val="0000FF"/>
          <w:u w:val="single"/>
        </w:rPr>
      </w:pPr>
    </w:p>
    <w:sectPr w:rsidR="0008660D" w:rsidRPr="0008660D" w:rsidSect="0008660D">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3C98C" w14:textId="77777777" w:rsidR="00E90B67" w:rsidRDefault="00E90B67" w:rsidP="00CB4C2E">
      <w:r>
        <w:separator/>
      </w:r>
    </w:p>
  </w:endnote>
  <w:endnote w:type="continuationSeparator" w:id="0">
    <w:p w14:paraId="41F8E46F" w14:textId="77777777" w:rsidR="00E90B67" w:rsidRDefault="00E90B67" w:rsidP="00CB4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E3578" w14:textId="77777777" w:rsidR="0008660D" w:rsidRDefault="0008660D" w:rsidP="000866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3634C7" w14:textId="77777777" w:rsidR="00B07C1D" w:rsidRPr="0008660D" w:rsidRDefault="0008660D" w:rsidP="0008660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2A2BF" w14:textId="77777777" w:rsidR="0008660D" w:rsidRDefault="0008660D" w:rsidP="000866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013CB">
      <w:rPr>
        <w:rFonts w:ascii="FrankRuehl" w:hAnsi="FrankRuehl" w:cs="FrankRuehl"/>
        <w:noProof/>
        <w:rtl/>
      </w:rPr>
      <w:t>2</w:t>
    </w:r>
    <w:r>
      <w:rPr>
        <w:rFonts w:ascii="FrankRuehl" w:hAnsi="FrankRuehl" w:cs="FrankRuehl"/>
        <w:rtl/>
      </w:rPr>
      <w:fldChar w:fldCharType="end"/>
    </w:r>
  </w:p>
  <w:p w14:paraId="0EFA45E4" w14:textId="77777777" w:rsidR="00B07C1D" w:rsidRPr="0008660D" w:rsidRDefault="0008660D" w:rsidP="0008660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7D46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9E4C6" w14:textId="77777777" w:rsidR="00E90B67" w:rsidRDefault="00E90B67" w:rsidP="00CB4C2E">
      <w:r>
        <w:separator/>
      </w:r>
    </w:p>
  </w:footnote>
  <w:footnote w:type="continuationSeparator" w:id="0">
    <w:p w14:paraId="255A068D" w14:textId="77777777" w:rsidR="00E90B67" w:rsidRDefault="00E90B67" w:rsidP="00CB4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35343" w14:textId="77777777" w:rsidR="0008660D" w:rsidRPr="0008660D" w:rsidRDefault="0008660D" w:rsidP="0008660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42162-12-21</w:t>
    </w:r>
    <w:r>
      <w:rPr>
        <w:rFonts w:ascii="David" w:hAnsi="David"/>
        <w:color w:val="000000"/>
        <w:sz w:val="22"/>
        <w:szCs w:val="22"/>
        <w:rtl/>
      </w:rPr>
      <w:tab/>
      <w:t xml:space="preserve"> מדינת ישראל נ' זיו שקד בן גלים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2427D" w14:textId="77777777" w:rsidR="0008660D" w:rsidRPr="0008660D" w:rsidRDefault="0008660D" w:rsidP="0008660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42162-12-21</w:t>
    </w:r>
    <w:r>
      <w:rPr>
        <w:rFonts w:ascii="David" w:hAnsi="David"/>
        <w:color w:val="000000"/>
        <w:sz w:val="22"/>
        <w:szCs w:val="22"/>
        <w:rtl/>
      </w:rPr>
      <w:tab/>
      <w:t xml:space="preserve"> מדינת ישראל נ' זיו שקד בן גלים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215E"/>
    <w:rsid w:val="000013CB"/>
    <w:rsid w:val="0008660D"/>
    <w:rsid w:val="0010215E"/>
    <w:rsid w:val="0010372B"/>
    <w:rsid w:val="001B545B"/>
    <w:rsid w:val="001B71D6"/>
    <w:rsid w:val="001F295A"/>
    <w:rsid w:val="00211B79"/>
    <w:rsid w:val="004706EE"/>
    <w:rsid w:val="00900F2E"/>
    <w:rsid w:val="009A4E4C"/>
    <w:rsid w:val="00AD2D41"/>
    <w:rsid w:val="00B07C1D"/>
    <w:rsid w:val="00BB07B8"/>
    <w:rsid w:val="00CB4C2E"/>
    <w:rsid w:val="00DB6CA7"/>
    <w:rsid w:val="00E90B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90D419"/>
  <w15:chartTrackingRefBased/>
  <w15:docId w15:val="{B4161501-B3EC-468E-91E7-F71382F3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215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215E"/>
    <w:pPr>
      <w:tabs>
        <w:tab w:val="center" w:pos="4153"/>
        <w:tab w:val="right" w:pos="8306"/>
      </w:tabs>
    </w:pPr>
  </w:style>
  <w:style w:type="character" w:customStyle="1" w:styleId="a4">
    <w:name w:val="כותרת עליונה תו"/>
    <w:link w:val="a3"/>
    <w:rsid w:val="0010215E"/>
    <w:rPr>
      <w:rFonts w:ascii="Times New Roman" w:eastAsia="Times New Roman" w:hAnsi="Times New Roman" w:cs="David"/>
      <w:sz w:val="24"/>
      <w:szCs w:val="24"/>
    </w:rPr>
  </w:style>
  <w:style w:type="paragraph" w:styleId="a5">
    <w:name w:val="footer"/>
    <w:basedOn w:val="a"/>
    <w:link w:val="a6"/>
    <w:rsid w:val="0010215E"/>
    <w:pPr>
      <w:tabs>
        <w:tab w:val="center" w:pos="4153"/>
        <w:tab w:val="right" w:pos="8306"/>
      </w:tabs>
    </w:pPr>
  </w:style>
  <w:style w:type="character" w:customStyle="1" w:styleId="a6">
    <w:name w:val="כותרת תחתונה תו"/>
    <w:link w:val="a5"/>
    <w:rsid w:val="0010215E"/>
    <w:rPr>
      <w:rFonts w:ascii="Times New Roman" w:eastAsia="Times New Roman" w:hAnsi="Times New Roman" w:cs="David"/>
      <w:sz w:val="24"/>
      <w:szCs w:val="24"/>
    </w:rPr>
  </w:style>
  <w:style w:type="table" w:styleId="a7">
    <w:name w:val="Table Grid"/>
    <w:basedOn w:val="a1"/>
    <w:rsid w:val="0010215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0215E"/>
  </w:style>
  <w:style w:type="paragraph" w:customStyle="1" w:styleId="David">
    <w:name w:val="סגנון (עברית ושפות אחרות) David מיושר לשני הצדדים מרווח בין שורות..."/>
    <w:basedOn w:val="a"/>
    <w:rsid w:val="0010215E"/>
    <w:pPr>
      <w:spacing w:line="360" w:lineRule="auto"/>
      <w:jc w:val="both"/>
    </w:pPr>
  </w:style>
  <w:style w:type="character" w:styleId="Hyperlink">
    <w:name w:val="Hyperlink"/>
    <w:rsid w:val="0010215E"/>
    <w:rPr>
      <w:color w:val="0000FF"/>
      <w:u w:val="single"/>
    </w:rPr>
  </w:style>
  <w:style w:type="paragraph" w:styleId="NormalWeb">
    <w:name w:val="Normal (Web)"/>
    <w:basedOn w:val="a"/>
    <w:rsid w:val="0010215E"/>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4216/13" TargetMode="External"/><Relationship Id="rId42" Type="http://schemas.openxmlformats.org/officeDocument/2006/relationships/hyperlink" Target="http://www.nevo.co.il/case/24984246" TargetMode="External"/><Relationship Id="rId47" Type="http://schemas.openxmlformats.org/officeDocument/2006/relationships/hyperlink" Target="http://www.nevo.co.il/law/70301/25" TargetMode="External"/><Relationship Id="rId50" Type="http://schemas.openxmlformats.org/officeDocument/2006/relationships/hyperlink" Target="http://www.nevo.co.il/law/4216/7.a" TargetMode="External"/><Relationship Id="rId55" Type="http://schemas.openxmlformats.org/officeDocument/2006/relationships/hyperlink" Target="http://www.nevo.co.il/case/27494822"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law/70301/499.a.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6019135" TargetMode="External"/><Relationship Id="rId32" Type="http://schemas.openxmlformats.org/officeDocument/2006/relationships/hyperlink" Target="http://www.nevo.co.il/case/5604136" TargetMode="External"/><Relationship Id="rId37" Type="http://schemas.openxmlformats.org/officeDocument/2006/relationships/hyperlink" Target="http://www.nevo.co.il/law/4216/7.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4216/13" TargetMode="External"/><Relationship Id="rId53" Type="http://schemas.openxmlformats.org/officeDocument/2006/relationships/hyperlink" Target="http://www.nevo.co.il/law/4216/7.c" TargetMode="External"/><Relationship Id="rId58" Type="http://schemas.openxmlformats.org/officeDocument/2006/relationships/hyperlink" Target="http://www.nevo.co.il/case/25459244" TargetMode="External"/><Relationship Id="rId66"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4216" TargetMode="External"/><Relationship Id="rId19" Type="http://schemas.openxmlformats.org/officeDocument/2006/relationships/hyperlink" Target="http://www.nevo.co.il/case/28618396"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case/24287803" TargetMode="External"/><Relationship Id="rId27" Type="http://schemas.openxmlformats.org/officeDocument/2006/relationships/hyperlink" Target="http://www.nevo.co.il/law/4216/7.a" TargetMode="External"/><Relationship Id="rId30" Type="http://schemas.openxmlformats.org/officeDocument/2006/relationships/hyperlink" Target="http://www.nevo.co.il/law/4216/13" TargetMode="External"/><Relationship Id="rId35" Type="http://schemas.openxmlformats.org/officeDocument/2006/relationships/hyperlink" Target="http://www.nevo.co.il/law/4216/19a" TargetMode="External"/><Relationship Id="rId43" Type="http://schemas.openxmlformats.org/officeDocument/2006/relationships/hyperlink" Target="http://www.nevo.co.il/law/4216/13" TargetMode="External"/><Relationship Id="rId48" Type="http://schemas.openxmlformats.org/officeDocument/2006/relationships/hyperlink" Target="http://www.nevo.co.il/law/4216/13" TargetMode="External"/><Relationship Id="rId56" Type="http://schemas.openxmlformats.org/officeDocument/2006/relationships/hyperlink" Target="http://www.nevo.co.il/case/21662213" TargetMode="External"/><Relationship Id="rId64" Type="http://schemas.openxmlformats.org/officeDocument/2006/relationships/header" Target="header2.xml"/><Relationship Id="rId8" Type="http://schemas.openxmlformats.org/officeDocument/2006/relationships/hyperlink" Target="http://www.nevo.co.il/law/4216/7.c" TargetMode="External"/><Relationship Id="rId51"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25"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4216/13" TargetMode="External"/><Relationship Id="rId33" Type="http://schemas.openxmlformats.org/officeDocument/2006/relationships/hyperlink" Target="http://www.nevo.co.il/case/28043015" TargetMode="External"/><Relationship Id="rId38" Type="http://schemas.openxmlformats.org/officeDocument/2006/relationships/hyperlink" Target="http://www.nevo.co.il/law/4216/7.c" TargetMode="External"/><Relationship Id="rId46" Type="http://schemas.openxmlformats.org/officeDocument/2006/relationships/hyperlink" Target="http://www.nevo.co.il/law/4216/19a" TargetMode="External"/><Relationship Id="rId59" Type="http://schemas.openxmlformats.org/officeDocument/2006/relationships/hyperlink" Target="http://www.nevo.co.il/case/20832660" TargetMode="External"/><Relationship Id="rId67" Type="http://schemas.openxmlformats.org/officeDocument/2006/relationships/fontTable" Target="fontTable.xml"/><Relationship Id="rId20" Type="http://schemas.openxmlformats.org/officeDocument/2006/relationships/hyperlink" Target="http://www.nevo.co.il/law/4216/7.a" TargetMode="External"/><Relationship Id="rId41" Type="http://schemas.openxmlformats.org/officeDocument/2006/relationships/hyperlink" Target="http://www.nevo.co.il/case/25455685" TargetMode="External"/><Relationship Id="rId54" Type="http://schemas.openxmlformats.org/officeDocument/2006/relationships/hyperlink" Target="http://www.nevo.co.il/case/21689984" TargetMode="External"/><Relationship Id="rId62"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13" TargetMode="External"/><Relationship Id="rId23" Type="http://schemas.openxmlformats.org/officeDocument/2006/relationships/hyperlink" Target="http://www.nevo.co.il/case/28092391" TargetMode="External"/><Relationship Id="rId28" Type="http://schemas.openxmlformats.org/officeDocument/2006/relationships/hyperlink" Target="http://www.nevo.co.il/law/4216/7.c" TargetMode="External"/><Relationship Id="rId36" Type="http://schemas.openxmlformats.org/officeDocument/2006/relationships/hyperlink" Target="http://www.nevo.co.il/law/4216" TargetMode="External"/><Relationship Id="rId49" Type="http://schemas.openxmlformats.org/officeDocument/2006/relationships/hyperlink" Target="http://www.nevo.co.il/law/4216/19a" TargetMode="External"/><Relationship Id="rId57" Type="http://schemas.openxmlformats.org/officeDocument/2006/relationships/hyperlink" Target="http://www.nevo.co.il/law/70301/40d.a" TargetMode="External"/><Relationship Id="rId10" Type="http://schemas.openxmlformats.org/officeDocument/2006/relationships/hyperlink" Target="http://www.nevo.co.il/law/4216/19a" TargetMode="External"/><Relationship Id="rId31" Type="http://schemas.openxmlformats.org/officeDocument/2006/relationships/hyperlink" Target="http://www.nevo.co.il/law/4216/13" TargetMode="External"/><Relationship Id="rId44" Type="http://schemas.openxmlformats.org/officeDocument/2006/relationships/hyperlink" Target="http://www.nevo.co.il/law/4216/19a" TargetMode="External"/><Relationship Id="rId52" Type="http://schemas.openxmlformats.org/officeDocument/2006/relationships/hyperlink" Target="http://www.nevo.co.il/law/4216/7.a" TargetMode="External"/><Relationship Id="rId60" Type="http://schemas.openxmlformats.org/officeDocument/2006/relationships/hyperlink" Target="http://www.nevo.co.il/law/4216" TargetMode="External"/><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3" TargetMode="External"/><Relationship Id="rId13" Type="http://schemas.openxmlformats.org/officeDocument/2006/relationships/hyperlink" Target="http://www.nevo.co.il/law/70301/40d.a" TargetMode="External"/><Relationship Id="rId18" Type="http://schemas.openxmlformats.org/officeDocument/2006/relationships/hyperlink" Target="http://www.nevo.co.il/law/4216/7.c" TargetMode="External"/><Relationship Id="rId39" Type="http://schemas.openxmlformats.org/officeDocument/2006/relationships/hyperlink" Target="http://www.nevo.co.il/law/7030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4491</Words>
  <Characters>22457</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26895</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8257637</vt:i4>
      </vt:variant>
      <vt:variant>
        <vt:i4>165</vt:i4>
      </vt:variant>
      <vt:variant>
        <vt:i4>0</vt:i4>
      </vt:variant>
      <vt:variant>
        <vt:i4>5</vt:i4>
      </vt:variant>
      <vt:variant>
        <vt:lpwstr>http://www.nevo.co.il/law/4216</vt:lpwstr>
      </vt:variant>
      <vt:variant>
        <vt:lpwstr/>
      </vt:variant>
      <vt:variant>
        <vt:i4>8257637</vt:i4>
      </vt:variant>
      <vt:variant>
        <vt:i4>162</vt:i4>
      </vt:variant>
      <vt:variant>
        <vt:i4>0</vt:i4>
      </vt:variant>
      <vt:variant>
        <vt:i4>5</vt:i4>
      </vt:variant>
      <vt:variant>
        <vt:lpwstr>http://www.nevo.co.il/law/4216</vt:lpwstr>
      </vt:variant>
      <vt:variant>
        <vt:lpwstr/>
      </vt:variant>
      <vt:variant>
        <vt:i4>4063345</vt:i4>
      </vt:variant>
      <vt:variant>
        <vt:i4>159</vt:i4>
      </vt:variant>
      <vt:variant>
        <vt:i4>0</vt:i4>
      </vt:variant>
      <vt:variant>
        <vt:i4>5</vt:i4>
      </vt:variant>
      <vt:variant>
        <vt:lpwstr>http://www.nevo.co.il/case/20832660</vt:lpwstr>
      </vt:variant>
      <vt:variant>
        <vt:lpwstr/>
      </vt:variant>
      <vt:variant>
        <vt:i4>3866742</vt:i4>
      </vt:variant>
      <vt:variant>
        <vt:i4>156</vt:i4>
      </vt:variant>
      <vt:variant>
        <vt:i4>0</vt:i4>
      </vt:variant>
      <vt:variant>
        <vt:i4>5</vt:i4>
      </vt:variant>
      <vt:variant>
        <vt:lpwstr>http://www.nevo.co.il/case/25459244</vt:lpwstr>
      </vt:variant>
      <vt:variant>
        <vt:lpwstr/>
      </vt:variant>
      <vt:variant>
        <vt:i4>4915205</vt:i4>
      </vt:variant>
      <vt:variant>
        <vt:i4>153</vt:i4>
      </vt:variant>
      <vt:variant>
        <vt:i4>0</vt:i4>
      </vt:variant>
      <vt:variant>
        <vt:i4>5</vt:i4>
      </vt:variant>
      <vt:variant>
        <vt:lpwstr>http://www.nevo.co.il/law/70301/40d.a</vt:lpwstr>
      </vt:variant>
      <vt:variant>
        <vt:lpwstr/>
      </vt:variant>
      <vt:variant>
        <vt:i4>3604593</vt:i4>
      </vt:variant>
      <vt:variant>
        <vt:i4>150</vt:i4>
      </vt:variant>
      <vt:variant>
        <vt:i4>0</vt:i4>
      </vt:variant>
      <vt:variant>
        <vt:i4>5</vt:i4>
      </vt:variant>
      <vt:variant>
        <vt:lpwstr>http://www.nevo.co.il/case/21662213</vt:lpwstr>
      </vt:variant>
      <vt:variant>
        <vt:lpwstr/>
      </vt:variant>
      <vt:variant>
        <vt:i4>3145842</vt:i4>
      </vt:variant>
      <vt:variant>
        <vt:i4>147</vt:i4>
      </vt:variant>
      <vt:variant>
        <vt:i4>0</vt:i4>
      </vt:variant>
      <vt:variant>
        <vt:i4>5</vt:i4>
      </vt:variant>
      <vt:variant>
        <vt:lpwstr>http://www.nevo.co.il/case/27494822</vt:lpwstr>
      </vt:variant>
      <vt:variant>
        <vt:lpwstr/>
      </vt:variant>
      <vt:variant>
        <vt:i4>3473524</vt:i4>
      </vt:variant>
      <vt:variant>
        <vt:i4>144</vt:i4>
      </vt:variant>
      <vt:variant>
        <vt:i4>0</vt:i4>
      </vt:variant>
      <vt:variant>
        <vt:i4>5</vt:i4>
      </vt:variant>
      <vt:variant>
        <vt:lpwstr>http://www.nevo.co.il/case/21689984</vt:lpwstr>
      </vt:variant>
      <vt:variant>
        <vt:lpwstr/>
      </vt:variant>
      <vt:variant>
        <vt:i4>2752612</vt:i4>
      </vt:variant>
      <vt:variant>
        <vt:i4>141</vt:i4>
      </vt:variant>
      <vt:variant>
        <vt:i4>0</vt:i4>
      </vt:variant>
      <vt:variant>
        <vt:i4>5</vt:i4>
      </vt:variant>
      <vt:variant>
        <vt:lpwstr>http://www.nevo.co.il/law/4216/7.c</vt:lpwstr>
      </vt:variant>
      <vt:variant>
        <vt:lpwstr/>
      </vt:variant>
      <vt:variant>
        <vt:i4>2621540</vt:i4>
      </vt:variant>
      <vt:variant>
        <vt:i4>138</vt:i4>
      </vt:variant>
      <vt:variant>
        <vt:i4>0</vt:i4>
      </vt:variant>
      <vt:variant>
        <vt:i4>5</vt:i4>
      </vt:variant>
      <vt:variant>
        <vt:lpwstr>http://www.nevo.co.il/law/4216/7.a</vt:lpwstr>
      </vt:variant>
      <vt:variant>
        <vt:lpwstr/>
      </vt:variant>
      <vt:variant>
        <vt:i4>2752612</vt:i4>
      </vt:variant>
      <vt:variant>
        <vt:i4>135</vt:i4>
      </vt:variant>
      <vt:variant>
        <vt:i4>0</vt:i4>
      </vt:variant>
      <vt:variant>
        <vt:i4>5</vt:i4>
      </vt:variant>
      <vt:variant>
        <vt:lpwstr>http://www.nevo.co.il/law/4216/7.c</vt:lpwstr>
      </vt:variant>
      <vt:variant>
        <vt:lpwstr/>
      </vt:variant>
      <vt:variant>
        <vt:i4>2621540</vt:i4>
      </vt:variant>
      <vt:variant>
        <vt:i4>132</vt:i4>
      </vt:variant>
      <vt:variant>
        <vt:i4>0</vt:i4>
      </vt:variant>
      <vt:variant>
        <vt:i4>5</vt:i4>
      </vt:variant>
      <vt:variant>
        <vt:lpwstr>http://www.nevo.co.il/law/4216/7.a</vt:lpwstr>
      </vt:variant>
      <vt:variant>
        <vt:lpwstr/>
      </vt:variant>
      <vt:variant>
        <vt:i4>3014771</vt:i4>
      </vt:variant>
      <vt:variant>
        <vt:i4>129</vt:i4>
      </vt:variant>
      <vt:variant>
        <vt:i4>0</vt:i4>
      </vt:variant>
      <vt:variant>
        <vt:i4>5</vt:i4>
      </vt:variant>
      <vt:variant>
        <vt:lpwstr>http://www.nevo.co.il/law/4216/19a</vt:lpwstr>
      </vt:variant>
      <vt:variant>
        <vt:lpwstr/>
      </vt:variant>
      <vt:variant>
        <vt:i4>5177418</vt:i4>
      </vt:variant>
      <vt:variant>
        <vt:i4>126</vt:i4>
      </vt:variant>
      <vt:variant>
        <vt:i4>0</vt:i4>
      </vt:variant>
      <vt:variant>
        <vt:i4>5</vt:i4>
      </vt:variant>
      <vt:variant>
        <vt:lpwstr>http://www.nevo.co.il/law/4216/13</vt:lpwstr>
      </vt:variant>
      <vt:variant>
        <vt:lpwstr/>
      </vt:variant>
      <vt:variant>
        <vt:i4>6291559</vt:i4>
      </vt:variant>
      <vt:variant>
        <vt:i4>123</vt:i4>
      </vt:variant>
      <vt:variant>
        <vt:i4>0</vt:i4>
      </vt:variant>
      <vt:variant>
        <vt:i4>5</vt:i4>
      </vt:variant>
      <vt:variant>
        <vt:lpwstr>http://www.nevo.co.il/law/70301/25</vt:lpwstr>
      </vt:variant>
      <vt:variant>
        <vt:lpwstr/>
      </vt:variant>
      <vt:variant>
        <vt:i4>3014771</vt:i4>
      </vt:variant>
      <vt:variant>
        <vt:i4>120</vt:i4>
      </vt:variant>
      <vt:variant>
        <vt:i4>0</vt:i4>
      </vt:variant>
      <vt:variant>
        <vt:i4>5</vt:i4>
      </vt:variant>
      <vt:variant>
        <vt:lpwstr>http://www.nevo.co.il/law/4216/19a</vt:lpwstr>
      </vt:variant>
      <vt:variant>
        <vt:lpwstr/>
      </vt:variant>
      <vt:variant>
        <vt:i4>5177418</vt:i4>
      </vt:variant>
      <vt:variant>
        <vt:i4>117</vt:i4>
      </vt:variant>
      <vt:variant>
        <vt:i4>0</vt:i4>
      </vt:variant>
      <vt:variant>
        <vt:i4>5</vt:i4>
      </vt:variant>
      <vt:variant>
        <vt:lpwstr>http://www.nevo.co.il/law/4216/13</vt:lpwstr>
      </vt:variant>
      <vt:variant>
        <vt:lpwstr/>
      </vt:variant>
      <vt:variant>
        <vt:i4>3014771</vt:i4>
      </vt:variant>
      <vt:variant>
        <vt:i4>114</vt:i4>
      </vt:variant>
      <vt:variant>
        <vt:i4>0</vt:i4>
      </vt:variant>
      <vt:variant>
        <vt:i4>5</vt:i4>
      </vt:variant>
      <vt:variant>
        <vt:lpwstr>http://www.nevo.co.il/law/4216/19a</vt:lpwstr>
      </vt:variant>
      <vt:variant>
        <vt:lpwstr/>
      </vt:variant>
      <vt:variant>
        <vt:i4>5177418</vt:i4>
      </vt:variant>
      <vt:variant>
        <vt:i4>111</vt:i4>
      </vt:variant>
      <vt:variant>
        <vt:i4>0</vt:i4>
      </vt:variant>
      <vt:variant>
        <vt:i4>5</vt:i4>
      </vt:variant>
      <vt:variant>
        <vt:lpwstr>http://www.nevo.co.il/law/4216/13</vt:lpwstr>
      </vt:variant>
      <vt:variant>
        <vt:lpwstr/>
      </vt:variant>
      <vt:variant>
        <vt:i4>3866746</vt:i4>
      </vt:variant>
      <vt:variant>
        <vt:i4>108</vt:i4>
      </vt:variant>
      <vt:variant>
        <vt:i4>0</vt:i4>
      </vt:variant>
      <vt:variant>
        <vt:i4>5</vt:i4>
      </vt:variant>
      <vt:variant>
        <vt:lpwstr>http://www.nevo.co.il/case/24984246</vt:lpwstr>
      </vt:variant>
      <vt:variant>
        <vt:lpwstr/>
      </vt:variant>
      <vt:variant>
        <vt:i4>3866738</vt:i4>
      </vt:variant>
      <vt:variant>
        <vt:i4>105</vt:i4>
      </vt:variant>
      <vt:variant>
        <vt:i4>0</vt:i4>
      </vt:variant>
      <vt:variant>
        <vt:i4>5</vt:i4>
      </vt:variant>
      <vt:variant>
        <vt:lpwstr>http://www.nevo.co.il/case/25455685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6291559</vt:i4>
      </vt:variant>
      <vt:variant>
        <vt:i4>99</vt:i4>
      </vt:variant>
      <vt:variant>
        <vt:i4>0</vt:i4>
      </vt:variant>
      <vt:variant>
        <vt:i4>5</vt:i4>
      </vt:variant>
      <vt:variant>
        <vt:lpwstr>http://www.nevo.co.il/law/70301/25</vt:lpwstr>
      </vt:variant>
      <vt:variant>
        <vt:lpwstr/>
      </vt:variant>
      <vt:variant>
        <vt:i4>2752612</vt:i4>
      </vt:variant>
      <vt:variant>
        <vt:i4>96</vt:i4>
      </vt:variant>
      <vt:variant>
        <vt:i4>0</vt:i4>
      </vt:variant>
      <vt:variant>
        <vt:i4>5</vt:i4>
      </vt:variant>
      <vt:variant>
        <vt:lpwstr>http://www.nevo.co.il/law/4216/7.c</vt:lpwstr>
      </vt:variant>
      <vt:variant>
        <vt:lpwstr/>
      </vt:variant>
      <vt:variant>
        <vt:i4>2621540</vt:i4>
      </vt:variant>
      <vt:variant>
        <vt:i4>93</vt:i4>
      </vt:variant>
      <vt:variant>
        <vt:i4>0</vt:i4>
      </vt:variant>
      <vt:variant>
        <vt:i4>5</vt:i4>
      </vt:variant>
      <vt:variant>
        <vt:lpwstr>http://www.nevo.co.il/law/4216/7.a</vt:lpwstr>
      </vt:variant>
      <vt:variant>
        <vt:lpwstr/>
      </vt:variant>
      <vt:variant>
        <vt:i4>8257637</vt:i4>
      </vt:variant>
      <vt:variant>
        <vt:i4>90</vt:i4>
      </vt:variant>
      <vt:variant>
        <vt:i4>0</vt:i4>
      </vt:variant>
      <vt:variant>
        <vt:i4>5</vt:i4>
      </vt:variant>
      <vt:variant>
        <vt:lpwstr>http://www.nevo.co.il/law/4216</vt:lpwstr>
      </vt:variant>
      <vt:variant>
        <vt:lpwstr/>
      </vt:variant>
      <vt:variant>
        <vt:i4>3014771</vt:i4>
      </vt:variant>
      <vt:variant>
        <vt:i4>87</vt:i4>
      </vt:variant>
      <vt:variant>
        <vt:i4>0</vt:i4>
      </vt:variant>
      <vt:variant>
        <vt:i4>5</vt:i4>
      </vt:variant>
      <vt:variant>
        <vt:lpwstr>http://www.nevo.co.il/law/4216/19a</vt:lpwstr>
      </vt:variant>
      <vt:variant>
        <vt:lpwstr/>
      </vt:variant>
      <vt:variant>
        <vt:i4>5177418</vt:i4>
      </vt:variant>
      <vt:variant>
        <vt:i4>84</vt:i4>
      </vt:variant>
      <vt:variant>
        <vt:i4>0</vt:i4>
      </vt:variant>
      <vt:variant>
        <vt:i4>5</vt:i4>
      </vt:variant>
      <vt:variant>
        <vt:lpwstr>http://www.nevo.co.il/law/4216/13</vt:lpwstr>
      </vt:variant>
      <vt:variant>
        <vt:lpwstr/>
      </vt:variant>
      <vt:variant>
        <vt:i4>3145848</vt:i4>
      </vt:variant>
      <vt:variant>
        <vt:i4>81</vt:i4>
      </vt:variant>
      <vt:variant>
        <vt:i4>0</vt:i4>
      </vt:variant>
      <vt:variant>
        <vt:i4>5</vt:i4>
      </vt:variant>
      <vt:variant>
        <vt:lpwstr>http://www.nevo.co.il/case/28043015</vt:lpwstr>
      </vt:variant>
      <vt:variant>
        <vt:lpwstr/>
      </vt:variant>
      <vt:variant>
        <vt:i4>3276917</vt:i4>
      </vt:variant>
      <vt:variant>
        <vt:i4>78</vt:i4>
      </vt:variant>
      <vt:variant>
        <vt:i4>0</vt:i4>
      </vt:variant>
      <vt:variant>
        <vt:i4>5</vt:i4>
      </vt:variant>
      <vt:variant>
        <vt:lpwstr>http://www.nevo.co.il/case/5604136</vt:lpwstr>
      </vt:variant>
      <vt:variant>
        <vt:lpwstr/>
      </vt:variant>
      <vt:variant>
        <vt:i4>5177418</vt:i4>
      </vt:variant>
      <vt:variant>
        <vt:i4>75</vt:i4>
      </vt:variant>
      <vt:variant>
        <vt:i4>0</vt:i4>
      </vt:variant>
      <vt:variant>
        <vt:i4>5</vt:i4>
      </vt:variant>
      <vt:variant>
        <vt:lpwstr>http://www.nevo.co.il/law/4216/13</vt:lpwstr>
      </vt:variant>
      <vt:variant>
        <vt:lpwstr/>
      </vt:variant>
      <vt:variant>
        <vt:i4>5177418</vt:i4>
      </vt:variant>
      <vt:variant>
        <vt:i4>72</vt:i4>
      </vt:variant>
      <vt:variant>
        <vt:i4>0</vt:i4>
      </vt:variant>
      <vt:variant>
        <vt:i4>5</vt:i4>
      </vt:variant>
      <vt:variant>
        <vt:lpwstr>http://www.nevo.co.il/law/4216/13</vt:lpwstr>
      </vt:variant>
      <vt:variant>
        <vt:lpwstr/>
      </vt:variant>
      <vt:variant>
        <vt:i4>7077945</vt:i4>
      </vt:variant>
      <vt:variant>
        <vt:i4>69</vt:i4>
      </vt:variant>
      <vt:variant>
        <vt:i4>0</vt:i4>
      </vt:variant>
      <vt:variant>
        <vt:i4>5</vt:i4>
      </vt:variant>
      <vt:variant>
        <vt:lpwstr>http://www.nevo.co.il/law/70301/499.a.1</vt:lpwstr>
      </vt:variant>
      <vt:variant>
        <vt:lpwstr/>
      </vt:variant>
      <vt:variant>
        <vt:i4>2752612</vt:i4>
      </vt:variant>
      <vt:variant>
        <vt:i4>66</vt:i4>
      </vt:variant>
      <vt:variant>
        <vt:i4>0</vt:i4>
      </vt:variant>
      <vt:variant>
        <vt:i4>5</vt:i4>
      </vt:variant>
      <vt:variant>
        <vt:lpwstr>http://www.nevo.co.il/law/4216/7.c</vt:lpwstr>
      </vt:variant>
      <vt:variant>
        <vt:lpwstr/>
      </vt:variant>
      <vt:variant>
        <vt:i4>2621540</vt:i4>
      </vt:variant>
      <vt:variant>
        <vt:i4>63</vt:i4>
      </vt:variant>
      <vt:variant>
        <vt:i4>0</vt:i4>
      </vt:variant>
      <vt:variant>
        <vt:i4>5</vt:i4>
      </vt:variant>
      <vt:variant>
        <vt:lpwstr>http://www.nevo.co.il/law/4216/7.a</vt:lpwstr>
      </vt:variant>
      <vt:variant>
        <vt:lpwstr/>
      </vt:variant>
      <vt:variant>
        <vt:i4>8257637</vt:i4>
      </vt:variant>
      <vt:variant>
        <vt:i4>60</vt:i4>
      </vt:variant>
      <vt:variant>
        <vt:i4>0</vt:i4>
      </vt:variant>
      <vt:variant>
        <vt:i4>5</vt:i4>
      </vt:variant>
      <vt:variant>
        <vt:lpwstr>http://www.nevo.co.il/law/4216</vt:lpwstr>
      </vt:variant>
      <vt:variant>
        <vt:lpwstr/>
      </vt:variant>
      <vt:variant>
        <vt:i4>5177418</vt:i4>
      </vt:variant>
      <vt:variant>
        <vt:i4>57</vt:i4>
      </vt:variant>
      <vt:variant>
        <vt:i4>0</vt:i4>
      </vt:variant>
      <vt:variant>
        <vt:i4>5</vt:i4>
      </vt:variant>
      <vt:variant>
        <vt:lpwstr>http://www.nevo.co.il/law/4216/13</vt:lpwstr>
      </vt:variant>
      <vt:variant>
        <vt:lpwstr/>
      </vt:variant>
      <vt:variant>
        <vt:i4>3670130</vt:i4>
      </vt:variant>
      <vt:variant>
        <vt:i4>54</vt:i4>
      </vt:variant>
      <vt:variant>
        <vt:i4>0</vt:i4>
      </vt:variant>
      <vt:variant>
        <vt:i4>5</vt:i4>
      </vt:variant>
      <vt:variant>
        <vt:lpwstr>http://www.nevo.co.il/case/26019135</vt:lpwstr>
      </vt:variant>
      <vt:variant>
        <vt:lpwstr/>
      </vt:variant>
      <vt:variant>
        <vt:i4>3735670</vt:i4>
      </vt:variant>
      <vt:variant>
        <vt:i4>51</vt:i4>
      </vt:variant>
      <vt:variant>
        <vt:i4>0</vt:i4>
      </vt:variant>
      <vt:variant>
        <vt:i4>5</vt:i4>
      </vt:variant>
      <vt:variant>
        <vt:lpwstr>http://www.nevo.co.il/case/28092391</vt:lpwstr>
      </vt:variant>
      <vt:variant>
        <vt:lpwstr/>
      </vt:variant>
      <vt:variant>
        <vt:i4>3604592</vt:i4>
      </vt:variant>
      <vt:variant>
        <vt:i4>48</vt:i4>
      </vt:variant>
      <vt:variant>
        <vt:i4>0</vt:i4>
      </vt:variant>
      <vt:variant>
        <vt:i4>5</vt:i4>
      </vt:variant>
      <vt:variant>
        <vt:lpwstr>http://www.nevo.co.il/case/24287803</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3473534</vt:i4>
      </vt:variant>
      <vt:variant>
        <vt:i4>39</vt:i4>
      </vt:variant>
      <vt:variant>
        <vt:i4>0</vt:i4>
      </vt:variant>
      <vt:variant>
        <vt:i4>5</vt:i4>
      </vt:variant>
      <vt:variant>
        <vt:lpwstr>http://www.nevo.co.il/case/28618396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2025-04-22T21:17:00Z</dcterms:created>
  <dcterms:modified xsi:type="dcterms:W3CDTF">2025-04-22T21:17:00Z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42162</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זיו שקד בן גלים</vt:lpwstr>
  </property>
  <property fmtid="{D5CDD505-2E9C-101B-9397-08002B2CF9AE}" pid="10" name="LAWYER">
    <vt:lpwstr>פמלה בנימין;מיכאל כרמל</vt:lpwstr>
  </property>
  <property fmtid="{D5CDD505-2E9C-101B-9397-08002B2CF9AE}" pid="11" name="JUDGE">
    <vt:lpwstr>ציון קאפח</vt:lpwstr>
  </property>
  <property fmtid="{D5CDD505-2E9C-101B-9397-08002B2CF9AE}" pid="12" name="CITY">
    <vt:lpwstr>ת"א</vt:lpwstr>
  </property>
  <property fmtid="{D5CDD505-2E9C-101B-9397-08002B2CF9AE}" pid="13" name="DATE">
    <vt:lpwstr>20240118</vt:lpwstr>
  </property>
  <property fmtid="{D5CDD505-2E9C-101B-9397-08002B2CF9AE}" pid="14" name="TYPE_N_DATE">
    <vt:lpwstr>39020240118</vt:lpwstr>
  </property>
  <property fmtid="{D5CDD505-2E9C-101B-9397-08002B2CF9AE}" pid="15" name="WORDNUMPAGES">
    <vt:lpwstr>13</vt:lpwstr>
  </property>
  <property fmtid="{D5CDD505-2E9C-101B-9397-08002B2CF9AE}" pid="16" name="TYPE_ABS_DATE">
    <vt:lpwstr>390020240118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28618396;24287803;28092391;26019135;5604136;28043015;25455685;24984246;21689984;27494822;21662213;25459244;20832660</vt:lpwstr>
  </property>
  <property fmtid="{D5CDD505-2E9C-101B-9397-08002B2CF9AE}" pid="36" name="LAWLISTTMP1">
    <vt:lpwstr>4216/013:8;007.a:6;007.c:6;019a:4</vt:lpwstr>
  </property>
  <property fmtid="{D5CDD505-2E9C-101B-9397-08002B2CF9AE}" pid="37" name="LAWLISTTMP2">
    <vt:lpwstr>70301/499.a.1;025:2;040d.a</vt:lpwstr>
  </property>
</Properties>
</file>