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A02288" w:rsidRPr="00612BDD" w14:paraId="63BE50F8" w14:textId="77777777" w:rsidTr="005322BC">
        <w:trPr>
          <w:gridAfter w:val="1"/>
          <w:wAfter w:w="99" w:type="dxa"/>
          <w:trHeight w:hRule="exact" w:val="418"/>
          <w:jc w:val="center"/>
        </w:trPr>
        <w:tc>
          <w:tcPr>
            <w:tcW w:w="8721" w:type="dxa"/>
            <w:gridSpan w:val="4"/>
          </w:tcPr>
          <w:p w14:paraId="60923313" w14:textId="77777777" w:rsidR="00A02288" w:rsidRPr="00612BDD" w:rsidRDefault="00A02288" w:rsidP="006654E0">
            <w:pPr>
              <w:pStyle w:val="a3"/>
              <w:jc w:val="center"/>
              <w:rPr>
                <w:rFonts w:ascii="Tahoma" w:hAnsi="Tahoma" w:cs="Tahoma"/>
                <w:color w:val="000080"/>
                <w:rtl/>
              </w:rPr>
            </w:pPr>
            <w:bookmarkStart w:id="0" w:name="LastJudge"/>
            <w:r w:rsidRPr="00612BDD">
              <w:rPr>
                <w:rFonts w:ascii="Tahoma" w:hAnsi="Tahoma" w:cs="Tahoma"/>
                <w:b/>
                <w:bCs/>
                <w:color w:val="000080"/>
                <w:rtl/>
              </w:rPr>
              <w:t>בית המשפט המחוזי מרכז-לוד</w:t>
            </w:r>
          </w:p>
        </w:tc>
      </w:tr>
      <w:tr w:rsidR="00A02288" w:rsidRPr="00612BDD" w14:paraId="0561B15B" w14:textId="77777777" w:rsidTr="005322BC">
        <w:trPr>
          <w:gridAfter w:val="1"/>
          <w:wAfter w:w="99" w:type="dxa"/>
          <w:trHeight w:val="337"/>
          <w:jc w:val="center"/>
        </w:trPr>
        <w:tc>
          <w:tcPr>
            <w:tcW w:w="5054" w:type="dxa"/>
            <w:gridSpan w:val="3"/>
          </w:tcPr>
          <w:p w14:paraId="1735179B" w14:textId="77777777" w:rsidR="00A02288" w:rsidRPr="00612BDD" w:rsidRDefault="00A02288" w:rsidP="006654E0">
            <w:pPr>
              <w:rPr>
                <w:rFonts w:cs="FrankRuehl"/>
                <w:sz w:val="28"/>
                <w:szCs w:val="28"/>
                <w:rtl/>
              </w:rPr>
            </w:pPr>
            <w:r w:rsidRPr="00612BDD">
              <w:rPr>
                <w:rFonts w:cs="FrankRuehl"/>
                <w:sz w:val="28"/>
                <w:szCs w:val="28"/>
                <w:rtl/>
              </w:rPr>
              <w:t>ת"פ</w:t>
            </w:r>
            <w:r w:rsidRPr="00612BDD">
              <w:rPr>
                <w:rFonts w:cs="FrankRuehl" w:hint="cs"/>
                <w:sz w:val="28"/>
                <w:szCs w:val="28"/>
                <w:rtl/>
              </w:rPr>
              <w:t xml:space="preserve"> </w:t>
            </w:r>
            <w:r w:rsidRPr="00612BDD">
              <w:rPr>
                <w:rFonts w:cs="FrankRuehl"/>
                <w:sz w:val="28"/>
                <w:szCs w:val="28"/>
                <w:rtl/>
              </w:rPr>
              <w:t>20197-01-22</w:t>
            </w:r>
            <w:r w:rsidRPr="00612BDD">
              <w:rPr>
                <w:rFonts w:cs="FrankRuehl" w:hint="cs"/>
                <w:sz w:val="28"/>
                <w:szCs w:val="28"/>
                <w:rtl/>
              </w:rPr>
              <w:t xml:space="preserve"> </w:t>
            </w:r>
            <w:r w:rsidRPr="00612BDD">
              <w:rPr>
                <w:rFonts w:cs="FrankRuehl"/>
                <w:sz w:val="28"/>
                <w:szCs w:val="28"/>
                <w:rtl/>
              </w:rPr>
              <w:t>מדינת ישראל נ' ערגי</w:t>
            </w:r>
          </w:p>
          <w:p w14:paraId="6AD76328" w14:textId="77777777" w:rsidR="00A02288" w:rsidRPr="00612BDD" w:rsidRDefault="00A02288" w:rsidP="006654E0">
            <w:pPr>
              <w:pStyle w:val="a3"/>
              <w:rPr>
                <w:rFonts w:cs="FrankRuehl"/>
                <w:sz w:val="28"/>
                <w:szCs w:val="28"/>
                <w:rtl/>
              </w:rPr>
            </w:pPr>
          </w:p>
        </w:tc>
        <w:tc>
          <w:tcPr>
            <w:tcW w:w="3667" w:type="dxa"/>
          </w:tcPr>
          <w:p w14:paraId="6403EB2B" w14:textId="77777777" w:rsidR="00A02288" w:rsidRPr="00612BDD" w:rsidRDefault="00A02288" w:rsidP="006654E0">
            <w:pPr>
              <w:pStyle w:val="a3"/>
              <w:jc w:val="right"/>
              <w:rPr>
                <w:rFonts w:cs="FrankRuehl"/>
                <w:sz w:val="28"/>
                <w:szCs w:val="28"/>
                <w:rtl/>
              </w:rPr>
            </w:pPr>
          </w:p>
        </w:tc>
      </w:tr>
      <w:tr w:rsidR="00A02288" w:rsidRPr="00612BDD" w14:paraId="68E977B6" w14:textId="77777777" w:rsidTr="00532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FDDB6A5" w14:textId="77777777" w:rsidR="00A02288" w:rsidRPr="00612BDD" w:rsidRDefault="00A02288" w:rsidP="00A02288">
            <w:pPr>
              <w:jc w:val="both"/>
              <w:rPr>
                <w:rFonts w:ascii="David" w:hAnsi="David"/>
                <w:sz w:val="26"/>
                <w:szCs w:val="26"/>
              </w:rPr>
            </w:pPr>
            <w:r w:rsidRPr="00612BDD">
              <w:rPr>
                <w:rFonts w:hint="cs"/>
                <w:rtl/>
              </w:rPr>
              <w:t xml:space="preserve"> </w:t>
            </w:r>
            <w:r w:rsidRPr="00612BD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7B48F77" w14:textId="77777777" w:rsidR="00A02288" w:rsidRPr="00612BDD" w:rsidRDefault="00A02288" w:rsidP="006654E0">
            <w:pPr>
              <w:rPr>
                <w:rFonts w:ascii="David" w:hAnsi="David"/>
                <w:b/>
                <w:bCs/>
                <w:sz w:val="26"/>
                <w:szCs w:val="26"/>
                <w:rtl/>
              </w:rPr>
            </w:pPr>
            <w:r w:rsidRPr="00612BDD">
              <w:rPr>
                <w:rFonts w:ascii="David" w:hAnsi="David"/>
                <w:b/>
                <w:bCs/>
                <w:sz w:val="26"/>
                <w:szCs w:val="26"/>
                <w:rtl/>
              </w:rPr>
              <w:t>כבוד השופטת  מרב גרינברג</w:t>
            </w:r>
          </w:p>
          <w:p w14:paraId="74F0928E" w14:textId="77777777" w:rsidR="00A02288" w:rsidRPr="00612BDD" w:rsidRDefault="00A02288" w:rsidP="006654E0">
            <w:pPr>
              <w:rPr>
                <w:rFonts w:ascii="David" w:hAnsi="David"/>
                <w:sz w:val="26"/>
                <w:szCs w:val="26"/>
                <w:rtl/>
              </w:rPr>
            </w:pPr>
          </w:p>
          <w:p w14:paraId="4C3358FB" w14:textId="77777777" w:rsidR="00A02288" w:rsidRPr="00612BDD" w:rsidRDefault="00A02288" w:rsidP="00A02288">
            <w:pPr>
              <w:jc w:val="both"/>
              <w:rPr>
                <w:rFonts w:ascii="David" w:hAnsi="David"/>
                <w:sz w:val="26"/>
                <w:szCs w:val="26"/>
              </w:rPr>
            </w:pPr>
          </w:p>
        </w:tc>
      </w:tr>
      <w:tr w:rsidR="00A02288" w:rsidRPr="00612BDD" w14:paraId="7A737DFA" w14:textId="77777777" w:rsidTr="00532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A27BD9" w14:textId="77777777" w:rsidR="00A02288" w:rsidRPr="00612BDD" w:rsidRDefault="00A02288" w:rsidP="00A02288">
            <w:pPr>
              <w:jc w:val="both"/>
              <w:rPr>
                <w:rFonts w:ascii="David" w:hAnsi="David"/>
                <w:sz w:val="26"/>
                <w:szCs w:val="26"/>
              </w:rPr>
            </w:pPr>
            <w:bookmarkStart w:id="1" w:name="FirstAppellant"/>
            <w:bookmarkStart w:id="2" w:name="FirstLawyer"/>
            <w:r w:rsidRPr="00612BDD">
              <w:rPr>
                <w:rFonts w:ascii="David" w:hAnsi="David"/>
                <w:sz w:val="26"/>
                <w:szCs w:val="26"/>
                <w:rtl/>
              </w:rPr>
              <w:t>בעניין:</w:t>
            </w:r>
          </w:p>
        </w:tc>
        <w:tc>
          <w:tcPr>
            <w:tcW w:w="3219" w:type="dxa"/>
            <w:tcBorders>
              <w:top w:val="nil"/>
              <w:left w:val="nil"/>
              <w:bottom w:val="nil"/>
              <w:right w:val="nil"/>
            </w:tcBorders>
            <w:shd w:val="clear" w:color="auto" w:fill="auto"/>
          </w:tcPr>
          <w:p w14:paraId="777621E6" w14:textId="77777777" w:rsidR="00A02288" w:rsidRPr="00612BDD" w:rsidRDefault="00A02288" w:rsidP="00A02288">
            <w:pPr>
              <w:suppressLineNumbers/>
            </w:pPr>
            <w:r w:rsidRPr="00612BDD">
              <w:rPr>
                <w:rFonts w:ascii="Arial" w:hAnsi="Arial" w:hint="cs"/>
                <w:b/>
                <w:bCs/>
                <w:sz w:val="26"/>
                <w:szCs w:val="26"/>
                <w:rtl/>
              </w:rPr>
              <w:t>ה</w:t>
            </w:r>
            <w:r w:rsidRPr="00612BDD">
              <w:rPr>
                <w:rFonts w:ascii="Arial" w:hAnsi="Arial"/>
                <w:b/>
                <w:bCs/>
                <w:sz w:val="26"/>
                <w:szCs w:val="26"/>
                <w:rtl/>
              </w:rPr>
              <w:t>מאשימה</w:t>
            </w:r>
          </w:p>
          <w:p w14:paraId="09FF6E3E" w14:textId="77777777" w:rsidR="00A02288" w:rsidRPr="00612BDD" w:rsidRDefault="00A02288" w:rsidP="006654E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734F367" w14:textId="77777777" w:rsidR="00A02288" w:rsidRPr="00612BDD" w:rsidRDefault="00A02288" w:rsidP="00A02288">
            <w:pPr>
              <w:suppressLineNumbers/>
              <w:rPr>
                <w:rFonts w:ascii="Arial" w:hAnsi="Arial"/>
                <w:b/>
                <w:bCs/>
                <w:sz w:val="26"/>
                <w:szCs w:val="26"/>
                <w:rtl/>
              </w:rPr>
            </w:pPr>
            <w:r w:rsidRPr="00612BDD">
              <w:rPr>
                <w:rFonts w:ascii="Arial" w:hAnsi="Arial"/>
                <w:b/>
                <w:bCs/>
                <w:sz w:val="26"/>
                <w:szCs w:val="26"/>
                <w:rtl/>
              </w:rPr>
              <w:t>מדינת ישראל</w:t>
            </w:r>
            <w:r w:rsidRPr="00612BDD">
              <w:rPr>
                <w:rFonts w:ascii="Arial" w:hAnsi="Arial" w:hint="cs"/>
                <w:b/>
                <w:bCs/>
                <w:sz w:val="26"/>
                <w:szCs w:val="26"/>
                <w:rtl/>
              </w:rPr>
              <w:t xml:space="preserve"> </w:t>
            </w:r>
          </w:p>
          <w:p w14:paraId="356A76B5" w14:textId="77777777" w:rsidR="00A02288" w:rsidRPr="00612BDD" w:rsidRDefault="00A02288" w:rsidP="00A02288">
            <w:pPr>
              <w:suppressLineNumbers/>
              <w:rPr>
                <w:b/>
                <w:bCs/>
              </w:rPr>
            </w:pPr>
            <w:r w:rsidRPr="00612BDD">
              <w:rPr>
                <w:rFonts w:ascii="Arial" w:hAnsi="Arial"/>
                <w:b/>
                <w:bCs/>
                <w:sz w:val="26"/>
                <w:szCs w:val="26"/>
                <w:rtl/>
              </w:rPr>
              <w:t>ע"י ב"כ עוה"ד</w:t>
            </w:r>
            <w:r w:rsidRPr="00612BDD">
              <w:rPr>
                <w:rFonts w:hint="cs"/>
                <w:b/>
                <w:bCs/>
                <w:rtl/>
              </w:rPr>
              <w:t xml:space="preserve"> דודי ענבר</w:t>
            </w:r>
          </w:p>
          <w:p w14:paraId="5058D1BF" w14:textId="77777777" w:rsidR="00A02288" w:rsidRPr="00612BDD" w:rsidRDefault="00A02288" w:rsidP="006654E0">
            <w:pPr>
              <w:rPr>
                <w:rFonts w:ascii="David" w:hAnsi="David"/>
                <w:sz w:val="26"/>
                <w:szCs w:val="26"/>
              </w:rPr>
            </w:pPr>
          </w:p>
        </w:tc>
      </w:tr>
      <w:bookmarkEnd w:id="1"/>
      <w:bookmarkEnd w:id="2"/>
      <w:tr w:rsidR="00A02288" w:rsidRPr="00612BDD" w14:paraId="589D5A51" w14:textId="77777777" w:rsidTr="00532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B4C7BF" w14:textId="77777777" w:rsidR="00A02288" w:rsidRPr="00612BDD" w:rsidRDefault="00A02288" w:rsidP="00A0228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15FC1D5" w14:textId="77777777" w:rsidR="00A02288" w:rsidRPr="00612BDD" w:rsidRDefault="00A02288" w:rsidP="00A02288">
            <w:pPr>
              <w:jc w:val="center"/>
              <w:rPr>
                <w:rFonts w:ascii="David" w:hAnsi="David"/>
                <w:b/>
                <w:bCs/>
                <w:sz w:val="26"/>
                <w:szCs w:val="26"/>
                <w:rtl/>
              </w:rPr>
            </w:pPr>
          </w:p>
          <w:p w14:paraId="719BBAE1" w14:textId="77777777" w:rsidR="00A02288" w:rsidRPr="00612BDD" w:rsidRDefault="00A02288" w:rsidP="00A02288">
            <w:pPr>
              <w:jc w:val="center"/>
              <w:rPr>
                <w:rFonts w:ascii="David" w:hAnsi="David"/>
                <w:b/>
                <w:bCs/>
                <w:sz w:val="26"/>
                <w:szCs w:val="26"/>
                <w:rtl/>
              </w:rPr>
            </w:pPr>
            <w:r w:rsidRPr="00612BDD">
              <w:rPr>
                <w:rFonts w:ascii="David" w:hAnsi="David"/>
                <w:b/>
                <w:bCs/>
                <w:sz w:val="26"/>
                <w:szCs w:val="26"/>
                <w:rtl/>
              </w:rPr>
              <w:t>נגד</w:t>
            </w:r>
          </w:p>
          <w:p w14:paraId="7E5D33E8" w14:textId="77777777" w:rsidR="00A02288" w:rsidRPr="00612BDD" w:rsidRDefault="00A02288" w:rsidP="00A02288">
            <w:pPr>
              <w:jc w:val="both"/>
              <w:rPr>
                <w:rFonts w:ascii="David" w:hAnsi="David"/>
                <w:sz w:val="26"/>
                <w:szCs w:val="26"/>
              </w:rPr>
            </w:pPr>
          </w:p>
        </w:tc>
      </w:tr>
      <w:tr w:rsidR="00A02288" w:rsidRPr="00612BDD" w14:paraId="2268C896" w14:textId="77777777" w:rsidTr="00532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9ECC30" w14:textId="77777777" w:rsidR="00A02288" w:rsidRPr="00612BDD" w:rsidRDefault="00A02288" w:rsidP="006654E0">
            <w:pPr>
              <w:rPr>
                <w:rFonts w:ascii="David" w:hAnsi="David"/>
                <w:sz w:val="26"/>
                <w:szCs w:val="26"/>
                <w:rtl/>
              </w:rPr>
            </w:pPr>
          </w:p>
        </w:tc>
        <w:tc>
          <w:tcPr>
            <w:tcW w:w="3219" w:type="dxa"/>
            <w:tcBorders>
              <w:top w:val="nil"/>
              <w:left w:val="nil"/>
              <w:bottom w:val="nil"/>
              <w:right w:val="nil"/>
            </w:tcBorders>
            <w:shd w:val="clear" w:color="auto" w:fill="auto"/>
          </w:tcPr>
          <w:p w14:paraId="120C2375" w14:textId="77777777" w:rsidR="00A02288" w:rsidRPr="00612BDD" w:rsidRDefault="00A02288" w:rsidP="006654E0">
            <w:pPr>
              <w:rPr>
                <w:rFonts w:ascii="Arial" w:hAnsi="Arial"/>
                <w:b/>
                <w:bCs/>
                <w:sz w:val="26"/>
                <w:szCs w:val="26"/>
                <w:rtl/>
              </w:rPr>
            </w:pPr>
            <w:r w:rsidRPr="00612BD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6B9070F" w14:textId="77777777" w:rsidR="00A02288" w:rsidRPr="00612BDD" w:rsidRDefault="00A02288" w:rsidP="00A02288">
            <w:pPr>
              <w:suppressLineNumbers/>
              <w:rPr>
                <w:rFonts w:ascii="Arial" w:hAnsi="Arial"/>
                <w:b/>
                <w:bCs/>
                <w:sz w:val="26"/>
                <w:szCs w:val="26"/>
                <w:rtl/>
              </w:rPr>
            </w:pPr>
            <w:r w:rsidRPr="00612BDD">
              <w:rPr>
                <w:rFonts w:ascii="Arial" w:hAnsi="Arial"/>
                <w:b/>
                <w:bCs/>
                <w:sz w:val="26"/>
                <w:szCs w:val="26"/>
                <w:rtl/>
              </w:rPr>
              <w:t>יוסף חיים ערגי</w:t>
            </w:r>
            <w:r w:rsidRPr="00612BDD">
              <w:rPr>
                <w:rFonts w:ascii="Arial" w:hAnsi="Arial" w:hint="cs"/>
                <w:b/>
                <w:bCs/>
                <w:sz w:val="26"/>
                <w:szCs w:val="26"/>
                <w:rtl/>
              </w:rPr>
              <w:t xml:space="preserve"> </w:t>
            </w:r>
          </w:p>
          <w:p w14:paraId="3350B632" w14:textId="77777777" w:rsidR="00A02288" w:rsidRPr="00612BDD" w:rsidRDefault="00A02288" w:rsidP="00A02288">
            <w:pPr>
              <w:suppressLineNumbers/>
              <w:rPr>
                <w:rFonts w:ascii="Arial" w:hAnsi="Arial"/>
                <w:b/>
                <w:bCs/>
                <w:sz w:val="26"/>
                <w:szCs w:val="26"/>
              </w:rPr>
            </w:pPr>
            <w:r w:rsidRPr="00612BDD">
              <w:rPr>
                <w:rFonts w:ascii="Arial" w:hAnsi="Arial"/>
                <w:b/>
                <w:bCs/>
                <w:sz w:val="26"/>
                <w:szCs w:val="26"/>
                <w:rtl/>
              </w:rPr>
              <w:t>ע"י ב"כ עוה"ד</w:t>
            </w:r>
            <w:r w:rsidRPr="00612BDD">
              <w:rPr>
                <w:rFonts w:ascii="Arial" w:hAnsi="Arial" w:hint="cs"/>
                <w:b/>
                <w:bCs/>
                <w:sz w:val="26"/>
                <w:szCs w:val="26"/>
                <w:rtl/>
              </w:rPr>
              <w:t xml:space="preserve"> רן קרויט</w:t>
            </w:r>
          </w:p>
          <w:p w14:paraId="3A6A7DCC" w14:textId="77777777" w:rsidR="00A02288" w:rsidRPr="00612BDD" w:rsidRDefault="00A02288" w:rsidP="006654E0">
            <w:pPr>
              <w:rPr>
                <w:rFonts w:ascii="David" w:hAnsi="David"/>
                <w:sz w:val="26"/>
                <w:szCs w:val="26"/>
              </w:rPr>
            </w:pPr>
          </w:p>
        </w:tc>
      </w:tr>
    </w:tbl>
    <w:p w14:paraId="28E3F54A" w14:textId="77777777" w:rsidR="00A02288" w:rsidRPr="00612BDD" w:rsidRDefault="00A02288" w:rsidP="00A02288">
      <w:pPr>
        <w:rPr>
          <w:sz w:val="26"/>
          <w:szCs w:val="26"/>
        </w:rPr>
      </w:pPr>
    </w:p>
    <w:p w14:paraId="4C45E6B5" w14:textId="77777777" w:rsidR="005322BC" w:rsidRPr="00612BDD" w:rsidRDefault="005322BC" w:rsidP="00612BDD">
      <w:pPr>
        <w:spacing w:before="120" w:after="120" w:line="240" w:lineRule="exact"/>
        <w:ind w:left="283" w:hanging="283"/>
        <w:jc w:val="both"/>
        <w:rPr>
          <w:rFonts w:ascii="FrankRuehl" w:hAnsi="FrankRuehl" w:cs="FrankRuehl"/>
          <w:rtl/>
        </w:rPr>
      </w:pPr>
    </w:p>
    <w:p w14:paraId="30B08AE4" w14:textId="77777777" w:rsidR="005322BC" w:rsidRPr="005322BC" w:rsidRDefault="005322BC" w:rsidP="005322BC">
      <w:pPr>
        <w:spacing w:before="120" w:after="120" w:line="240" w:lineRule="exact"/>
        <w:ind w:left="283" w:hanging="283"/>
        <w:jc w:val="both"/>
        <w:rPr>
          <w:rFonts w:ascii="FrankRuehl" w:hAnsi="FrankRuehl" w:cs="FrankRuehl"/>
          <w:rtl/>
        </w:rPr>
      </w:pPr>
    </w:p>
    <w:p w14:paraId="7FCD1E32" w14:textId="77777777" w:rsidR="00233870" w:rsidRPr="00233870" w:rsidRDefault="00233870" w:rsidP="00233870">
      <w:pPr>
        <w:spacing w:before="120" w:after="120" w:line="240" w:lineRule="exact"/>
        <w:ind w:left="283" w:hanging="283"/>
        <w:jc w:val="both"/>
        <w:rPr>
          <w:rFonts w:ascii="FrankRuehl" w:hAnsi="FrankRuehl" w:cs="FrankRuehl"/>
          <w:rtl/>
        </w:rPr>
      </w:pPr>
    </w:p>
    <w:p w14:paraId="7B0C6E67" w14:textId="77777777" w:rsidR="000D4610" w:rsidRDefault="000D4610" w:rsidP="000D4610">
      <w:pPr>
        <w:jc w:val="center"/>
        <w:rPr>
          <w:rFonts w:ascii="David" w:hAnsi="David"/>
          <w:sz w:val="32"/>
          <w:szCs w:val="32"/>
          <w:rtl/>
        </w:rPr>
      </w:pPr>
      <w:bookmarkStart w:id="3" w:name="LawTable"/>
      <w:bookmarkEnd w:id="3"/>
    </w:p>
    <w:p w14:paraId="26F46A91" w14:textId="77777777" w:rsidR="000D4610" w:rsidRPr="000D4610" w:rsidRDefault="000D4610" w:rsidP="000D4610">
      <w:pPr>
        <w:spacing w:before="120" w:after="120" w:line="240" w:lineRule="exact"/>
        <w:ind w:left="283" w:hanging="283"/>
        <w:jc w:val="both"/>
        <w:rPr>
          <w:rFonts w:ascii="FrankRuehl" w:hAnsi="FrankRuehl" w:cs="FrankRuehl"/>
          <w:rtl/>
        </w:rPr>
      </w:pPr>
    </w:p>
    <w:p w14:paraId="09A90DFA" w14:textId="77777777" w:rsidR="000D4610" w:rsidRPr="000D4610" w:rsidRDefault="000D4610" w:rsidP="000D4610">
      <w:pPr>
        <w:spacing w:before="120" w:after="120" w:line="240" w:lineRule="exact"/>
        <w:ind w:left="283" w:hanging="283"/>
        <w:jc w:val="both"/>
        <w:rPr>
          <w:rFonts w:ascii="FrankRuehl" w:hAnsi="FrankRuehl" w:cs="FrankRuehl"/>
          <w:rtl/>
        </w:rPr>
      </w:pPr>
    </w:p>
    <w:p w14:paraId="3589E65E" w14:textId="77777777" w:rsidR="000D4610" w:rsidRPr="000D4610" w:rsidRDefault="000D4610" w:rsidP="000D4610">
      <w:pPr>
        <w:spacing w:before="120" w:after="120" w:line="240" w:lineRule="exact"/>
        <w:ind w:left="283" w:hanging="283"/>
        <w:jc w:val="both"/>
        <w:rPr>
          <w:rFonts w:ascii="FrankRuehl" w:hAnsi="FrankRuehl" w:cs="FrankRuehl"/>
          <w:rtl/>
        </w:rPr>
      </w:pPr>
      <w:r w:rsidRPr="000D4610">
        <w:rPr>
          <w:rFonts w:ascii="FrankRuehl" w:hAnsi="FrankRuehl" w:cs="FrankRuehl"/>
          <w:rtl/>
        </w:rPr>
        <w:t xml:space="preserve">חקיקה שאוזכרה: </w:t>
      </w:r>
    </w:p>
    <w:p w14:paraId="065786FC" w14:textId="77777777" w:rsidR="000D4610" w:rsidRPr="000D4610" w:rsidRDefault="000D4610" w:rsidP="000D4610">
      <w:pPr>
        <w:spacing w:before="120" w:after="120" w:line="240" w:lineRule="exact"/>
        <w:ind w:left="283" w:hanging="283"/>
        <w:jc w:val="both"/>
        <w:rPr>
          <w:rFonts w:ascii="FrankRuehl" w:hAnsi="FrankRuehl" w:cs="FrankRuehl"/>
          <w:rtl/>
        </w:rPr>
      </w:pPr>
      <w:hyperlink r:id="rId7" w:history="1">
        <w:r w:rsidRPr="000D4610">
          <w:rPr>
            <w:rFonts w:ascii="FrankRuehl" w:hAnsi="FrankRuehl" w:cs="FrankRuehl"/>
            <w:color w:val="0000FF"/>
            <w:rtl/>
          </w:rPr>
          <w:t>פקודת הסמים המסוכנים [נוסח חדש], תשל"ג-1973</w:t>
        </w:r>
      </w:hyperlink>
      <w:r w:rsidRPr="000D4610">
        <w:rPr>
          <w:rFonts w:ascii="FrankRuehl" w:hAnsi="FrankRuehl" w:cs="FrankRuehl"/>
          <w:rtl/>
        </w:rPr>
        <w:t xml:space="preserve">: סע'  </w:t>
      </w:r>
      <w:hyperlink r:id="rId8" w:history="1">
        <w:r w:rsidRPr="000D4610">
          <w:rPr>
            <w:rFonts w:ascii="FrankRuehl" w:hAnsi="FrankRuehl" w:cs="FrankRuehl"/>
            <w:color w:val="0000FF"/>
            <w:rtl/>
          </w:rPr>
          <w:t>6</w:t>
        </w:r>
      </w:hyperlink>
      <w:r w:rsidRPr="000D4610">
        <w:rPr>
          <w:rFonts w:ascii="FrankRuehl" w:hAnsi="FrankRuehl" w:cs="FrankRuehl"/>
          <w:rtl/>
        </w:rPr>
        <w:t xml:space="preserve">, </w:t>
      </w:r>
      <w:hyperlink r:id="rId9" w:history="1">
        <w:r w:rsidRPr="000D4610">
          <w:rPr>
            <w:rFonts w:ascii="FrankRuehl" w:hAnsi="FrankRuehl" w:cs="FrankRuehl"/>
            <w:color w:val="0000FF"/>
            <w:rtl/>
          </w:rPr>
          <w:t>10</w:t>
        </w:r>
      </w:hyperlink>
    </w:p>
    <w:p w14:paraId="66E21510" w14:textId="77777777" w:rsidR="000D4610" w:rsidRPr="000D4610" w:rsidRDefault="000D4610" w:rsidP="000D4610">
      <w:pPr>
        <w:spacing w:before="120" w:after="120" w:line="240" w:lineRule="exact"/>
        <w:ind w:left="283" w:hanging="283"/>
        <w:jc w:val="both"/>
        <w:rPr>
          <w:rFonts w:ascii="FrankRuehl" w:hAnsi="FrankRuehl" w:cs="FrankRuehl"/>
          <w:rtl/>
        </w:rPr>
      </w:pPr>
      <w:hyperlink r:id="rId10" w:history="1">
        <w:r w:rsidRPr="000D4610">
          <w:rPr>
            <w:rFonts w:ascii="FrankRuehl" w:hAnsi="FrankRuehl" w:cs="FrankRuehl"/>
            <w:color w:val="0000FF"/>
            <w:rtl/>
          </w:rPr>
          <w:t>חוק העונשין, תשל"ז-1977</w:t>
        </w:r>
      </w:hyperlink>
      <w:r w:rsidRPr="000D4610">
        <w:rPr>
          <w:rFonts w:ascii="FrankRuehl" w:hAnsi="FrankRuehl" w:cs="FrankRuehl"/>
          <w:rtl/>
        </w:rPr>
        <w:t xml:space="preserve">: סע'  </w:t>
      </w:r>
      <w:hyperlink r:id="rId11" w:history="1">
        <w:r w:rsidRPr="000D4610">
          <w:rPr>
            <w:rFonts w:ascii="FrankRuehl" w:hAnsi="FrankRuehl" w:cs="FrankRuehl"/>
            <w:color w:val="0000FF"/>
            <w:rtl/>
          </w:rPr>
          <w:t>40ד'</w:t>
        </w:r>
      </w:hyperlink>
      <w:r w:rsidRPr="000D4610">
        <w:rPr>
          <w:rFonts w:ascii="FrankRuehl" w:hAnsi="FrankRuehl" w:cs="FrankRuehl"/>
          <w:rtl/>
        </w:rPr>
        <w:t xml:space="preserve">, </w:t>
      </w:r>
      <w:hyperlink r:id="rId12" w:history="1">
        <w:r w:rsidRPr="000D4610">
          <w:rPr>
            <w:rFonts w:ascii="FrankRuehl" w:hAnsi="FrankRuehl" w:cs="FrankRuehl"/>
            <w:color w:val="0000FF"/>
            <w:rtl/>
          </w:rPr>
          <w:t>400</w:t>
        </w:r>
      </w:hyperlink>
    </w:p>
    <w:p w14:paraId="0A4EE467" w14:textId="77777777" w:rsidR="000D4610" w:rsidRPr="000D4610" w:rsidRDefault="000D4610" w:rsidP="000D4610">
      <w:pPr>
        <w:jc w:val="center"/>
        <w:rPr>
          <w:rFonts w:ascii="David" w:hAnsi="David"/>
          <w:sz w:val="32"/>
          <w:szCs w:val="32"/>
          <w:rtl/>
        </w:rPr>
      </w:pPr>
      <w:bookmarkStart w:id="4" w:name="LawTable_End"/>
      <w:bookmarkEnd w:id="4"/>
    </w:p>
    <w:p w14:paraId="0F9CF1E0" w14:textId="77777777" w:rsidR="005322BC" w:rsidRPr="00233870" w:rsidRDefault="005322BC" w:rsidP="00233870">
      <w:pPr>
        <w:jc w:val="center"/>
        <w:rPr>
          <w:rFonts w:ascii="David" w:hAnsi="David"/>
          <w:sz w:val="32"/>
          <w:szCs w:val="32"/>
          <w:rtl/>
        </w:rPr>
      </w:pPr>
    </w:p>
    <w:p w14:paraId="12F7E988" w14:textId="77777777" w:rsidR="005322BC" w:rsidRPr="00612BDD" w:rsidRDefault="005322BC" w:rsidP="00612BDD">
      <w:pPr>
        <w:jc w:val="center"/>
        <w:rPr>
          <w:rFonts w:ascii="David" w:hAnsi="David"/>
          <w:b/>
          <w:bCs/>
          <w:sz w:val="32"/>
          <w:szCs w:val="32"/>
          <w:u w:val="single"/>
          <w:rtl/>
        </w:rPr>
      </w:pPr>
      <w:bookmarkStart w:id="5" w:name="PsakDin"/>
      <w:r w:rsidRPr="00612BDD">
        <w:rPr>
          <w:rFonts w:ascii="David" w:hAnsi="David"/>
          <w:b/>
          <w:bCs/>
          <w:sz w:val="32"/>
          <w:szCs w:val="32"/>
          <w:u w:val="single"/>
          <w:rtl/>
        </w:rPr>
        <w:t>גזר דין</w:t>
      </w:r>
    </w:p>
    <w:bookmarkEnd w:id="5"/>
    <w:p w14:paraId="4BC6C100" w14:textId="77777777" w:rsidR="005322BC" w:rsidRPr="00A02288" w:rsidRDefault="005322BC" w:rsidP="00A02288">
      <w:pPr>
        <w:jc w:val="center"/>
        <w:rPr>
          <w:rFonts w:ascii="David" w:hAnsi="David"/>
          <w:sz w:val="32"/>
          <w:szCs w:val="32"/>
          <w:u w:val="single"/>
          <w:rtl/>
        </w:rPr>
      </w:pPr>
    </w:p>
    <w:p w14:paraId="22E6F87D" w14:textId="77777777" w:rsidR="00A02288" w:rsidRDefault="00A02288" w:rsidP="00A02288">
      <w:pPr>
        <w:numPr>
          <w:ilvl w:val="0"/>
          <w:numId w:val="1"/>
        </w:numPr>
        <w:spacing w:line="360" w:lineRule="auto"/>
        <w:jc w:val="both"/>
        <w:rPr>
          <w:rtl/>
        </w:rPr>
      </w:pPr>
      <w:bookmarkStart w:id="6" w:name="ABSTRACT_START"/>
      <w:bookmarkEnd w:id="0"/>
      <w:bookmarkEnd w:id="6"/>
      <w:r>
        <w:rPr>
          <w:rFonts w:hint="cs"/>
          <w:rtl/>
        </w:rPr>
        <w:t xml:space="preserve">הנאשם הורשע, במסגרת הסדר טיעון, בעובדות כתב אישום מתוקן בעבירות </w:t>
      </w:r>
      <w:r>
        <w:rPr>
          <w:rFonts w:hint="cs"/>
          <w:b/>
          <w:bCs/>
          <w:rtl/>
        </w:rPr>
        <w:t>גידול סם מסוכן</w:t>
      </w:r>
      <w:r>
        <w:rPr>
          <w:rFonts w:hint="cs"/>
          <w:rtl/>
        </w:rPr>
        <w:t>,</w:t>
      </w:r>
      <w:r>
        <w:rPr>
          <w:rFonts w:hint="cs"/>
          <w:b/>
          <w:bCs/>
          <w:rtl/>
        </w:rPr>
        <w:t xml:space="preserve"> </w:t>
      </w:r>
      <w:r>
        <w:rPr>
          <w:rFonts w:hint="cs"/>
          <w:rtl/>
        </w:rPr>
        <w:t xml:space="preserve">לפי </w:t>
      </w:r>
      <w:hyperlink r:id="rId13" w:history="1">
        <w:r w:rsidR="005322BC" w:rsidRPr="005322BC">
          <w:rPr>
            <w:rStyle w:val="Hyperlink"/>
            <w:rFonts w:hint="eastAsia"/>
            <w:rtl/>
          </w:rPr>
          <w:t>סעיף</w:t>
        </w:r>
        <w:r w:rsidR="005322BC" w:rsidRPr="005322BC">
          <w:rPr>
            <w:rStyle w:val="Hyperlink"/>
            <w:rtl/>
          </w:rPr>
          <w:t xml:space="preserve"> 6</w:t>
        </w:r>
      </w:hyperlink>
      <w:r>
        <w:rPr>
          <w:rFonts w:hint="cs"/>
          <w:rtl/>
        </w:rPr>
        <w:t xml:space="preserve"> ל</w:t>
      </w:r>
      <w:hyperlink r:id="rId14" w:history="1">
        <w:r w:rsidR="00612BDD" w:rsidRPr="00612BDD">
          <w:rPr>
            <w:color w:val="0000FF"/>
            <w:u w:val="single"/>
            <w:rtl/>
          </w:rPr>
          <w:t>פקודת הסמים המסוכנים</w:t>
        </w:r>
      </w:hyperlink>
      <w:r>
        <w:rPr>
          <w:rFonts w:hint="cs"/>
          <w:rtl/>
        </w:rPr>
        <w:t>, התשל"ג-1973,</w:t>
      </w:r>
      <w:r>
        <w:rPr>
          <w:rFonts w:hint="cs"/>
          <w:b/>
          <w:bCs/>
          <w:rtl/>
        </w:rPr>
        <w:t xml:space="preserve">  החזקת כלים לגידול סם </w:t>
      </w:r>
      <w:r>
        <w:rPr>
          <w:rFonts w:hint="cs"/>
          <w:rtl/>
        </w:rPr>
        <w:t xml:space="preserve">לפי </w:t>
      </w:r>
      <w:hyperlink r:id="rId15" w:history="1">
        <w:r w:rsidR="005322BC" w:rsidRPr="005322BC">
          <w:rPr>
            <w:rStyle w:val="Hyperlink"/>
            <w:rFonts w:hint="eastAsia"/>
            <w:rtl/>
          </w:rPr>
          <w:t>סעיף</w:t>
        </w:r>
        <w:r w:rsidR="005322BC" w:rsidRPr="005322BC">
          <w:rPr>
            <w:rStyle w:val="Hyperlink"/>
            <w:rtl/>
          </w:rPr>
          <w:t xml:space="preserve"> 10</w:t>
        </w:r>
      </w:hyperlink>
      <w:r>
        <w:rPr>
          <w:rFonts w:hint="cs"/>
          <w:rtl/>
        </w:rPr>
        <w:t xml:space="preserve"> רישא לפקודה,</w:t>
      </w:r>
      <w:r>
        <w:rPr>
          <w:rFonts w:hint="cs"/>
          <w:b/>
          <w:bCs/>
          <w:rtl/>
        </w:rPr>
        <w:t xml:space="preserve"> ונטילת חשמל</w:t>
      </w:r>
      <w:r>
        <w:rPr>
          <w:rFonts w:hint="cs"/>
          <w:rtl/>
        </w:rPr>
        <w:t>,</w:t>
      </w:r>
      <w:r>
        <w:rPr>
          <w:rFonts w:hint="cs"/>
          <w:b/>
          <w:bCs/>
          <w:rtl/>
        </w:rPr>
        <w:t xml:space="preserve"> </w:t>
      </w:r>
      <w:r>
        <w:rPr>
          <w:rFonts w:hint="cs"/>
          <w:rtl/>
        </w:rPr>
        <w:t xml:space="preserve">לפי </w:t>
      </w:r>
      <w:hyperlink r:id="rId16" w:history="1">
        <w:r w:rsidR="005322BC" w:rsidRPr="005322BC">
          <w:rPr>
            <w:rStyle w:val="Hyperlink"/>
            <w:rFonts w:hint="eastAsia"/>
            <w:rtl/>
          </w:rPr>
          <w:t>סעיף</w:t>
        </w:r>
        <w:r w:rsidR="005322BC" w:rsidRPr="005322BC">
          <w:rPr>
            <w:rStyle w:val="Hyperlink"/>
            <w:rtl/>
          </w:rPr>
          <w:t xml:space="preserve"> 400</w:t>
        </w:r>
      </w:hyperlink>
      <w:r>
        <w:rPr>
          <w:rFonts w:hint="cs"/>
          <w:rtl/>
        </w:rPr>
        <w:t xml:space="preserve"> ל</w:t>
      </w:r>
      <w:hyperlink r:id="rId17" w:history="1">
        <w:r w:rsidR="00612BDD" w:rsidRPr="00612BDD">
          <w:rPr>
            <w:color w:val="0000FF"/>
            <w:u w:val="single"/>
            <w:rtl/>
          </w:rPr>
          <w:t>חוק העונשין</w:t>
        </w:r>
      </w:hyperlink>
      <w:r>
        <w:rPr>
          <w:rFonts w:hint="cs"/>
          <w:rtl/>
        </w:rPr>
        <w:t xml:space="preserve">, תשל"ז-1977 (להלן: "החוק"). </w:t>
      </w:r>
    </w:p>
    <w:p w14:paraId="11D7A4EF" w14:textId="77777777" w:rsidR="00A02288" w:rsidRDefault="00A02288" w:rsidP="00A02288">
      <w:pPr>
        <w:spacing w:line="360" w:lineRule="auto"/>
        <w:ind w:left="720"/>
        <w:contextualSpacing/>
        <w:jc w:val="both"/>
      </w:pPr>
    </w:p>
    <w:p w14:paraId="18DF3048" w14:textId="77777777" w:rsidR="00A02288" w:rsidRDefault="00A02288" w:rsidP="00A02288">
      <w:pPr>
        <w:numPr>
          <w:ilvl w:val="0"/>
          <w:numId w:val="1"/>
        </w:numPr>
        <w:spacing w:line="360" w:lineRule="auto"/>
        <w:jc w:val="both"/>
        <w:rPr>
          <w:rtl/>
        </w:rPr>
      </w:pPr>
      <w:bookmarkStart w:id="7" w:name="ABSTRACT_END"/>
      <w:bookmarkEnd w:id="7"/>
      <w:r>
        <w:rPr>
          <w:rFonts w:hint="cs"/>
          <w:rtl/>
        </w:rPr>
        <w:t xml:space="preserve">כמפורט בעובדות כתב האישום המתוקן, בתקופה הרלוונטית,  בין המועדים 2.9.21 ועד ליום מעצרו, 29.12.21, שכר הנאשם דירה בבניין מגורים בעיר נס ציונה. במהלך תקופת השכירות, במועד שאינו ידוע במדוייק, הקים בעצמו או באמצעות אחר, בדירה, מעבדה לגידול צמחי סם קנבוס, בשלושה חדרים בדירה ובחדר המקלחת התקין מערכת מים </w:t>
      </w:r>
      <w:r>
        <w:rPr>
          <w:rFonts w:hint="cs"/>
          <w:rtl/>
        </w:rPr>
        <w:lastRenderedPageBreak/>
        <w:t xml:space="preserve">התומכת בגידול הסם. לשם כך החזיק ציוד לגידול סם בהיקף נרחב הכולל בין היתר, מזגנים, שנאים, מפוחים, פילטרים ומאווררים. הנאשם חיבר את הדירה באופן פיראטי ללוח החשמל באופן המהווה סכנה בטיחותית, ועל מנת למנוע את גילוי מעשיו ולהתחמק מתשלום חשמל לחברת החשמל. </w:t>
      </w:r>
      <w:r>
        <w:rPr>
          <w:rFonts w:hint="cs"/>
          <w:b/>
          <w:bCs/>
          <w:rtl/>
        </w:rPr>
        <w:t xml:space="preserve">ביום 29.12.21 גידל הנאשם בדירה 236 שתילי סם במשקל של כ-61 ק"ג, </w:t>
      </w:r>
      <w:r>
        <w:rPr>
          <w:rFonts w:hint="cs"/>
          <w:rtl/>
        </w:rPr>
        <w:t xml:space="preserve">שווי גרם סם מוערך נע בין 70-100 ₪, וכן נטל חשמל שלא כדין ובמרמה. </w:t>
      </w:r>
    </w:p>
    <w:p w14:paraId="454BEA43" w14:textId="77777777" w:rsidR="00A02288" w:rsidRDefault="00A02288" w:rsidP="00A02288">
      <w:pPr>
        <w:ind w:left="720"/>
        <w:contextualSpacing/>
      </w:pPr>
    </w:p>
    <w:p w14:paraId="0C66D759" w14:textId="77777777" w:rsidR="00A02288" w:rsidRDefault="00A02288" w:rsidP="00A02288">
      <w:pPr>
        <w:numPr>
          <w:ilvl w:val="0"/>
          <w:numId w:val="1"/>
        </w:numPr>
        <w:spacing w:line="360" w:lineRule="auto"/>
        <w:jc w:val="both"/>
        <w:rPr>
          <w:rtl/>
        </w:rPr>
      </w:pPr>
      <w:r>
        <w:rPr>
          <w:rFonts w:hint="cs"/>
          <w:rtl/>
        </w:rPr>
        <w:t>ביום 7.11.22 הציגו הצדדים הסדר טיעון דיוני, לפיו יודה ויורשע הנאשם בעובדות כתב אישום מתוקן, ויופנה לשירות המבחן לעריכת תסקיר. הצדדים לא הגיעו להסכמות עונשיות.</w:t>
      </w:r>
    </w:p>
    <w:p w14:paraId="60601DFD" w14:textId="77777777" w:rsidR="00A02288" w:rsidRDefault="00A02288" w:rsidP="00A02288">
      <w:pPr>
        <w:spacing w:line="360" w:lineRule="auto"/>
        <w:ind w:left="720"/>
        <w:contextualSpacing/>
        <w:jc w:val="both"/>
        <w:rPr>
          <w:rtl/>
        </w:rPr>
      </w:pPr>
    </w:p>
    <w:p w14:paraId="626B56A3" w14:textId="77777777" w:rsidR="00A02288" w:rsidRDefault="00A02288" w:rsidP="00A02288">
      <w:pPr>
        <w:spacing w:line="360" w:lineRule="auto"/>
        <w:jc w:val="both"/>
        <w:rPr>
          <w:rtl/>
        </w:rPr>
      </w:pPr>
      <w:r>
        <w:rPr>
          <w:rFonts w:hint="cs"/>
          <w:b/>
          <w:bCs/>
          <w:u w:val="single"/>
          <w:rtl/>
        </w:rPr>
        <w:t>תסקירי שירות המבחן</w:t>
      </w:r>
    </w:p>
    <w:p w14:paraId="4AE7A25A" w14:textId="77777777" w:rsidR="00A02288" w:rsidRDefault="00A02288" w:rsidP="00A02288">
      <w:pPr>
        <w:numPr>
          <w:ilvl w:val="0"/>
          <w:numId w:val="1"/>
        </w:numPr>
        <w:spacing w:line="360" w:lineRule="auto"/>
        <w:jc w:val="both"/>
        <w:rPr>
          <w:rtl/>
        </w:rPr>
      </w:pPr>
      <w:r>
        <w:rPr>
          <w:rFonts w:hint="cs"/>
          <w:u w:val="single"/>
          <w:rtl/>
        </w:rPr>
        <w:t xml:space="preserve">על פי התסקיר הראשון (26.3.23), </w:t>
      </w:r>
      <w:r>
        <w:rPr>
          <w:rFonts w:hint="cs"/>
          <w:rtl/>
        </w:rPr>
        <w:t xml:space="preserve">הנאשם, בן 26, נעדר עבר פלילי, רווק, טרם מעצרו עבד כשכיר ועצמאי בתחום השיפוצים. הנאשם גדל במסגרת חינוכית דתית, ללא זכאות לבגרות, לא גויס לצה"ל. הנאשם הקים בשותפות עסק להכנת בצק למאפיות שכשל כלכלית וגרם לו להפסדים כספיים משמעותיים. הנאשם היה עצור כחודש והועבר למעצר  בתנאי איזוק לצד פיקוח מעצרים. להתרשמות שירות המבחן טרם מעצרו ניהל קשרים שוליים והחזיק בעמדות מקלות בכל הקשור לצריכת סמים, עוד העריכו שמשתמש בסמים והתנהלותו טרם מעצרו מבטאת נסיגה במצבו. בנוסף התרשמו כי בתקופה זו היה ממוקד במילוי צרכיו המידיים מבלי שהעמיק בבחינת הסיכון הכרוך בכך והשלכות מעשיו. הנאשם שיתף פעולה ושולב בקבוצת עצורי בית. אשר להרגלי צריכת סמים, שיתף הנאשם, כי החל לצרוך סמים קלים בגיל 18 בכמויות שגדלו ועלו בהדרגה, והובילו לשימוש מסיבי ובעל אופי התמכרותי. הנאשם הביע חרטה על מעשיו אך שלל כוונה למכור את הסמים שגידל, כשלטענתו התכוון לגדל סם לשימושו. הנאשם ביטא נכונות לטפל בדפוסי השימוש בסם והופנה ליחידה לטיפול בהתמכרויות בעירו, והשתלב בטיפול החל מיום 20.3.23. עוד מסר בדיקות שתן נקיות. שירות המבחן התרשם, כי ההליך הפלילי מהווה עבורו גורם מרתיע ומארגן, ונוכח נכונותו הטיפולית, המלץ על דחיית הדיון כדי לעקוב אחר המשך הטיפול בנאשם. </w:t>
      </w:r>
    </w:p>
    <w:p w14:paraId="334C2931" w14:textId="77777777" w:rsidR="00A02288" w:rsidRDefault="00A02288" w:rsidP="00A02288">
      <w:pPr>
        <w:spacing w:line="360" w:lineRule="auto"/>
        <w:ind w:left="720"/>
        <w:contextualSpacing/>
        <w:jc w:val="both"/>
      </w:pPr>
    </w:p>
    <w:p w14:paraId="0BD5161E" w14:textId="77777777" w:rsidR="00A02288" w:rsidRDefault="00A02288" w:rsidP="00A02288">
      <w:pPr>
        <w:numPr>
          <w:ilvl w:val="0"/>
          <w:numId w:val="1"/>
        </w:numPr>
        <w:spacing w:line="360" w:lineRule="auto"/>
        <w:jc w:val="both"/>
        <w:rPr>
          <w:b/>
          <w:bCs/>
          <w:rtl/>
        </w:rPr>
      </w:pPr>
      <w:r>
        <w:rPr>
          <w:rFonts w:hint="cs"/>
          <w:u w:val="single"/>
          <w:rtl/>
        </w:rPr>
        <w:t xml:space="preserve">בתסקיר משלים שהתקבל (13.6.23) </w:t>
      </w:r>
      <w:r>
        <w:rPr>
          <w:rFonts w:hint="cs"/>
          <w:rtl/>
        </w:rPr>
        <w:t xml:space="preserve">, עלה כי משתף פעולה עם גורמי הטיפול, מגלה תובנה למצבו ושומר על ניקיון מסמים. בנוסף הוצע לנאשם להשתלב בטיפול במסגרת אינטנסיבית כ"מרכז יום" אולם הוא סירב בשל מורכבות מצבו הכלכלי. מתכונת הטיפול בו נתון הנאשם כללה שיחה חד שבועית פרטנית ובדיקות שתן מעקביות. בבואו לגבש המלצה סופית, שקל שירות המבחן את הבעייתיות העולה ממאפייני אישיותו של הנאשם ומנגד את עברו הנקי, שיתוף פעולה בהליך הטיפול והימנעות משימוש בסם. </w:t>
      </w:r>
      <w:r>
        <w:rPr>
          <w:rFonts w:hint="cs"/>
          <w:b/>
          <w:bCs/>
          <w:rtl/>
        </w:rPr>
        <w:t xml:space="preserve">בסופו של תסקיר, בא שירות המבחן </w:t>
      </w:r>
      <w:r>
        <w:rPr>
          <w:rFonts w:hint="cs"/>
          <w:b/>
          <w:bCs/>
          <w:rtl/>
        </w:rPr>
        <w:lastRenderedPageBreak/>
        <w:t xml:space="preserve">בהמלצה להימנע מלהטיל על הנאשם עונש מאסר בפועל ולהסתפק בענישה בדרך של עבודות שירות וצו מבחן. </w:t>
      </w:r>
    </w:p>
    <w:p w14:paraId="08BE4429" w14:textId="77777777" w:rsidR="00A02288" w:rsidRDefault="00A02288" w:rsidP="00A02288">
      <w:pPr>
        <w:pStyle w:val="a9"/>
        <w:rPr>
          <w:b/>
          <w:bCs/>
        </w:rPr>
      </w:pPr>
    </w:p>
    <w:p w14:paraId="06498269" w14:textId="77777777" w:rsidR="00A02288" w:rsidRDefault="00A02288" w:rsidP="00A02288">
      <w:pPr>
        <w:spacing w:line="360" w:lineRule="auto"/>
        <w:ind w:left="360"/>
        <w:jc w:val="both"/>
        <w:rPr>
          <w:b/>
          <w:bCs/>
          <w:u w:val="single"/>
          <w:rtl/>
        </w:rPr>
      </w:pPr>
      <w:r>
        <w:rPr>
          <w:rFonts w:hint="cs"/>
          <w:b/>
          <w:bCs/>
          <w:u w:val="single"/>
          <w:rtl/>
        </w:rPr>
        <w:t>תמצית הטיעונים לעונש</w:t>
      </w:r>
    </w:p>
    <w:p w14:paraId="4D1C9B62" w14:textId="77777777" w:rsidR="00A02288" w:rsidRDefault="00A02288" w:rsidP="00A02288">
      <w:pPr>
        <w:numPr>
          <w:ilvl w:val="0"/>
          <w:numId w:val="1"/>
        </w:numPr>
        <w:spacing w:line="360" w:lineRule="auto"/>
        <w:jc w:val="both"/>
        <w:rPr>
          <w:rtl/>
        </w:rPr>
      </w:pPr>
      <w:r>
        <w:rPr>
          <w:rFonts w:hint="cs"/>
          <w:rtl/>
        </w:rPr>
        <w:t xml:space="preserve">ב"כ המאשימה, עו"ד ליטל שירי, עמדה על הערכים החברתיים שנפגעו, ובהם הנזק לציבור והפגיעה בשלומו ובריאותו. עוד עמדה על הצורך להיאבק בתופעת גידול הסמים והפצתם באמצעות ענישה משמעותית ומרתיעה, ועל נסיבות ביצוע העבירה שכללו תכנון מוקדם ומוקפד ועל חלקו המרכזי בביצועה. לפיכך, עתרה למתחם ענישה הנע בין 48-24 חודשי מאסר בפועל. לטענת המאשימה, עניינו של הנאשם אינו שונה מעניינם של נאשמים נורמטיביים רבים שמעורבים בעבירות גידול סם ממניעים כלכליים. עוד סבורה שההליך הטיפולי שעבר אינו חריג, הנאשם סירב להשתלב בהליך טיפולי משמעותי ומצבו אינו מצדיק חריגה לקולא ממתחם הענישה. בהתחשב בנתוניו, עותרת המאשימה למקמו בתחתית המתחם לצד ענישה נלווית הכוללת קנס משמעותי. </w:t>
      </w:r>
    </w:p>
    <w:p w14:paraId="5D81E301" w14:textId="77777777" w:rsidR="00A02288" w:rsidRDefault="00A02288" w:rsidP="00A02288">
      <w:pPr>
        <w:spacing w:line="360" w:lineRule="auto"/>
        <w:ind w:left="720"/>
        <w:contextualSpacing/>
        <w:jc w:val="both"/>
        <w:rPr>
          <w:rtl/>
        </w:rPr>
      </w:pPr>
    </w:p>
    <w:p w14:paraId="5AEE867D" w14:textId="77777777" w:rsidR="00A02288" w:rsidRDefault="00A02288" w:rsidP="00A02288">
      <w:pPr>
        <w:numPr>
          <w:ilvl w:val="0"/>
          <w:numId w:val="1"/>
        </w:numPr>
        <w:spacing w:line="360" w:lineRule="auto"/>
        <w:jc w:val="both"/>
        <w:rPr>
          <w:rtl/>
        </w:rPr>
      </w:pPr>
      <w:r>
        <w:rPr>
          <w:rFonts w:hint="cs"/>
          <w:rtl/>
        </w:rPr>
        <w:t xml:space="preserve">ב"כ הנאשם, עו"ד קרויט, ביקש להתחשב בנסיבות הנאשם והמלצת שירות המבחן ולהימנע משליחתו למאסר בפועל. לדבריו, הנאשם לא יכל היה להתחייב להליך טיפול במרכז יום מאחר שנאלץ לעבוד ולעזור בפרנסת משפחתו. עוד הפנה לפסיקה, שבה במקרים דומים, הורו בתי משפט על חריגה ממתחם הענישה. עוד עמד על עברו הנקי, ותקופה ארוכה שהיה נתון בתנאי איזוק. </w:t>
      </w:r>
    </w:p>
    <w:p w14:paraId="0BAA3D2F" w14:textId="77777777" w:rsidR="00A02288" w:rsidRDefault="00A02288" w:rsidP="00A02288">
      <w:pPr>
        <w:pStyle w:val="a9"/>
      </w:pPr>
    </w:p>
    <w:p w14:paraId="1CF9EA66" w14:textId="77777777" w:rsidR="00A02288" w:rsidRDefault="00A02288" w:rsidP="00A02288">
      <w:pPr>
        <w:numPr>
          <w:ilvl w:val="0"/>
          <w:numId w:val="1"/>
        </w:numPr>
        <w:spacing w:line="360" w:lineRule="auto"/>
        <w:jc w:val="both"/>
        <w:rPr>
          <w:rtl/>
        </w:rPr>
      </w:pPr>
      <w:r>
        <w:rPr>
          <w:rFonts w:hint="cs"/>
          <w:b/>
          <w:bCs/>
          <w:rtl/>
        </w:rPr>
        <w:t xml:space="preserve">הנאשם בדברו האחרון </w:t>
      </w:r>
      <w:r>
        <w:rPr>
          <w:rFonts w:hint="cs"/>
          <w:rtl/>
        </w:rPr>
        <w:t xml:space="preserve">הצר על מעשיו, סיפר כי עבר שנה וחצי של גיהנום וביקש לתת לו הזדמנות להמשיך בטיפול. </w:t>
      </w:r>
    </w:p>
    <w:p w14:paraId="3AA218FB" w14:textId="77777777" w:rsidR="00A02288" w:rsidRDefault="00A02288" w:rsidP="00A02288">
      <w:pPr>
        <w:spacing w:line="360" w:lineRule="auto"/>
        <w:ind w:left="720"/>
        <w:contextualSpacing/>
        <w:jc w:val="both"/>
        <w:rPr>
          <w:b/>
          <w:bCs/>
          <w:u w:val="single"/>
          <w:rtl/>
        </w:rPr>
      </w:pPr>
    </w:p>
    <w:p w14:paraId="77A52B6C" w14:textId="77777777" w:rsidR="00A02288" w:rsidRDefault="00A02288" w:rsidP="00A02288">
      <w:pPr>
        <w:spacing w:line="360" w:lineRule="auto"/>
        <w:ind w:left="720"/>
        <w:contextualSpacing/>
        <w:jc w:val="both"/>
        <w:rPr>
          <w:b/>
          <w:bCs/>
          <w:u w:val="single"/>
          <w:rtl/>
        </w:rPr>
      </w:pPr>
      <w:r>
        <w:rPr>
          <w:rFonts w:hint="cs"/>
          <w:b/>
          <w:bCs/>
          <w:u w:val="single"/>
          <w:rtl/>
        </w:rPr>
        <w:t>דיון והכרעה</w:t>
      </w:r>
    </w:p>
    <w:p w14:paraId="167FD110" w14:textId="77777777" w:rsidR="00A02288" w:rsidRDefault="00A02288" w:rsidP="00A02288">
      <w:pPr>
        <w:spacing w:line="360" w:lineRule="auto"/>
        <w:ind w:left="720"/>
        <w:contextualSpacing/>
        <w:jc w:val="both"/>
        <w:rPr>
          <w:b/>
          <w:bCs/>
          <w:u w:val="single"/>
          <w:rtl/>
        </w:rPr>
      </w:pPr>
      <w:r>
        <w:rPr>
          <w:rFonts w:hint="cs"/>
          <w:b/>
          <w:bCs/>
          <w:u w:val="single"/>
          <w:rtl/>
        </w:rPr>
        <w:t>מתחם העונש ההולם</w:t>
      </w:r>
    </w:p>
    <w:p w14:paraId="40840BFC" w14:textId="77777777" w:rsidR="00A02288" w:rsidRDefault="00A02288" w:rsidP="00A02288">
      <w:pPr>
        <w:numPr>
          <w:ilvl w:val="0"/>
          <w:numId w:val="1"/>
        </w:numPr>
        <w:spacing w:line="360" w:lineRule="auto"/>
        <w:jc w:val="both"/>
        <w:rPr>
          <w:rtl/>
        </w:rPr>
      </w:pPr>
      <w:r>
        <w:rPr>
          <w:rFonts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24CC8CBA" w14:textId="77777777" w:rsidR="00A02288" w:rsidRDefault="00A02288" w:rsidP="00A02288">
      <w:pPr>
        <w:spacing w:line="360" w:lineRule="auto"/>
        <w:jc w:val="both"/>
      </w:pPr>
    </w:p>
    <w:p w14:paraId="563F8EAA" w14:textId="77777777" w:rsidR="00A02288" w:rsidRDefault="00A02288" w:rsidP="00A02288">
      <w:pPr>
        <w:numPr>
          <w:ilvl w:val="0"/>
          <w:numId w:val="1"/>
        </w:numPr>
        <w:spacing w:line="360" w:lineRule="auto"/>
        <w:ind w:left="714" w:hanging="357"/>
        <w:contextualSpacing/>
        <w:jc w:val="both"/>
        <w:rPr>
          <w:rtl/>
        </w:rPr>
      </w:pPr>
      <w:r>
        <w:rPr>
          <w:rFonts w:hint="cs"/>
          <w:rtl/>
        </w:rPr>
        <w:t>אין צורך להכביר מילים באשר לחומרת מעשי הנאשם ופגיעתם בערכים המוגנים של בריאות הציבור, שלומו וביטחונו, וחשיפתו לנזקים ישירים ועקיפים הנגרמים כתוצאה מגידול סמים בהיקף נרחב. בית המשפט העליון הדגיש בפסיקותיו הרבות את חומרתן הרבה של עבירות הסמים, גם ביחס לעבירות הנוגעות לסם קנביס, את שכיחותה של תופעת המעבדות לגידול סם ואת החשיבות במיגורה:  "</w:t>
      </w:r>
      <w:r>
        <w:rPr>
          <w:rFonts w:ascii="Arial" w:hAnsi="Arial" w:hint="cs"/>
          <w:b/>
          <w:bCs/>
          <w:rtl/>
        </w:rPr>
        <w:t xml:space="preserve">הלכה מושרשת </w:t>
      </w:r>
      <w:r>
        <w:rPr>
          <w:rFonts w:hint="cs"/>
          <w:b/>
          <w:bCs/>
          <w:rtl/>
        </w:rPr>
        <w:t>היא שבעבירות של ייצור והפקת סם מסוכן בכמות משמעותית, על הענישה להיות מחמירה ומרתיעה.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ascii="Arial" w:hAnsi="Arial" w:hint="cs"/>
          <w:b/>
          <w:bCs/>
          <w:rtl/>
        </w:rPr>
        <w:t xml:space="preserve">" </w:t>
      </w:r>
      <w:r>
        <w:rPr>
          <w:rFonts w:hint="cs"/>
          <w:rtl/>
        </w:rPr>
        <w:t>(</w:t>
      </w:r>
      <w:hyperlink r:id="rId18" w:history="1">
        <w:r w:rsidR="00612BDD" w:rsidRPr="00612BDD">
          <w:rPr>
            <w:color w:val="0000FF"/>
            <w:u w:val="single"/>
            <w:rtl/>
          </w:rPr>
          <w:t>ע"פ 126/22</w:t>
        </w:r>
      </w:hyperlink>
      <w:r>
        <w:rPr>
          <w:rFonts w:hint="cs"/>
          <w:rtl/>
        </w:rPr>
        <w:t xml:space="preserve"> </w:t>
      </w:r>
      <w:r>
        <w:rPr>
          <w:rFonts w:hint="cs"/>
          <w:b/>
          <w:bCs/>
          <w:rtl/>
        </w:rPr>
        <w:t xml:space="preserve">מדינת ישראל נ' פלוני </w:t>
      </w:r>
      <w:r>
        <w:rPr>
          <w:rFonts w:hint="cs"/>
          <w:rtl/>
        </w:rPr>
        <w:t>(27.4.2022);</w:t>
      </w:r>
      <w:r>
        <w:rPr>
          <w:rFonts w:ascii="Arimo" w:hAnsi="Arimo" w:hint="cs"/>
          <w:rtl/>
        </w:rPr>
        <w:t xml:space="preserve"> </w:t>
      </w:r>
      <w:hyperlink r:id="rId19" w:history="1">
        <w:r w:rsidR="00612BDD" w:rsidRPr="00612BDD">
          <w:rPr>
            <w:color w:val="0000FF"/>
            <w:u w:val="single"/>
            <w:rtl/>
          </w:rPr>
          <w:t>ע"פ 2596/18</w:t>
        </w:r>
      </w:hyperlink>
      <w:r>
        <w:rPr>
          <w:rFonts w:ascii="Arial" w:hAnsi="Arial"/>
          <w:rtl/>
        </w:rPr>
        <w:t xml:space="preserve"> </w:t>
      </w:r>
      <w:r>
        <w:rPr>
          <w:rFonts w:ascii="Arial" w:hAnsi="Arial" w:hint="cs"/>
          <w:b/>
          <w:bCs/>
          <w:rtl/>
        </w:rPr>
        <w:t>זנזורי נ' מדינת ישראל</w:t>
      </w:r>
      <w:r>
        <w:rPr>
          <w:rFonts w:ascii="Arial" w:hAnsi="Arial" w:hint="cs"/>
          <w:rtl/>
        </w:rPr>
        <w:t xml:space="preserve">  (12.8.2018); </w:t>
      </w:r>
      <w:hyperlink r:id="rId20" w:history="1">
        <w:r w:rsidR="00612BDD" w:rsidRPr="00612BDD">
          <w:rPr>
            <w:rFonts w:ascii="Arial" w:hAnsi="Arial"/>
            <w:color w:val="0000FF"/>
            <w:u w:val="single"/>
            <w:rtl/>
          </w:rPr>
          <w:t>ע"פ 5807/17</w:t>
        </w:r>
      </w:hyperlink>
      <w:r>
        <w:rPr>
          <w:rFonts w:ascii="Arial" w:hAnsi="Arial" w:hint="cs"/>
          <w:rtl/>
        </w:rPr>
        <w:t xml:space="preserve"> </w:t>
      </w:r>
      <w:r>
        <w:rPr>
          <w:rFonts w:ascii="Arial" w:hAnsi="Arial" w:hint="cs"/>
          <w:b/>
          <w:bCs/>
          <w:rtl/>
        </w:rPr>
        <w:t xml:space="preserve">משה דרחי נ' מדינת ישראל </w:t>
      </w:r>
      <w:r>
        <w:rPr>
          <w:rFonts w:ascii="Arial" w:hAnsi="Arial" w:hint="cs"/>
          <w:rtl/>
        </w:rPr>
        <w:t>(18.6.2018));</w:t>
      </w:r>
      <w:r>
        <w:rPr>
          <w:rFonts w:ascii="Arimo" w:hAnsi="Arimo" w:hint="cs"/>
          <w:rtl/>
        </w:rPr>
        <w:t xml:space="preserve"> </w:t>
      </w:r>
      <w:hyperlink r:id="rId21" w:history="1">
        <w:r w:rsidR="00612BDD" w:rsidRPr="00612BDD">
          <w:rPr>
            <w:rFonts w:ascii="Arimo" w:hAnsi="Arimo" w:hint="eastAsia"/>
            <w:color w:val="0000FF"/>
            <w:u w:val="single"/>
            <w:rtl/>
          </w:rPr>
          <w:t>עפ</w:t>
        </w:r>
        <w:r w:rsidR="00612BDD" w:rsidRPr="00612BDD">
          <w:rPr>
            <w:rFonts w:ascii="Arimo" w:hAnsi="Arimo"/>
            <w:color w:val="0000FF"/>
            <w:u w:val="single"/>
            <w:rtl/>
          </w:rPr>
          <w:t>"</w:t>
        </w:r>
        <w:r w:rsidR="00612BDD" w:rsidRPr="00612BDD">
          <w:rPr>
            <w:rFonts w:ascii="Arimo" w:hAnsi="Arimo" w:hint="eastAsia"/>
            <w:color w:val="0000FF"/>
            <w:u w:val="single"/>
            <w:rtl/>
          </w:rPr>
          <w:t>ג</w:t>
        </w:r>
        <w:r w:rsidR="00612BDD" w:rsidRPr="00612BDD">
          <w:rPr>
            <w:rFonts w:ascii="Arimo" w:hAnsi="Arimo"/>
            <w:color w:val="0000FF"/>
            <w:u w:val="single"/>
            <w:rtl/>
          </w:rPr>
          <w:t xml:space="preserve"> (</w:t>
        </w:r>
        <w:r w:rsidR="00612BDD" w:rsidRPr="00612BDD">
          <w:rPr>
            <w:rFonts w:ascii="Arimo" w:hAnsi="Arimo" w:hint="eastAsia"/>
            <w:color w:val="0000FF"/>
            <w:u w:val="single"/>
            <w:rtl/>
          </w:rPr>
          <w:t>מח</w:t>
        </w:r>
        <w:r w:rsidR="00612BDD" w:rsidRPr="00612BDD">
          <w:rPr>
            <w:rFonts w:ascii="Arimo" w:hAnsi="Arimo"/>
            <w:color w:val="0000FF"/>
            <w:u w:val="single"/>
            <w:rtl/>
          </w:rPr>
          <w:t>'-</w:t>
        </w:r>
        <w:r w:rsidR="00612BDD" w:rsidRPr="00612BDD">
          <w:rPr>
            <w:rFonts w:ascii="Arimo" w:hAnsi="Arimo" w:hint="eastAsia"/>
            <w:color w:val="0000FF"/>
            <w:u w:val="single"/>
            <w:rtl/>
          </w:rPr>
          <w:t>מרכז</w:t>
        </w:r>
        <w:r w:rsidR="00612BDD" w:rsidRPr="00612BDD">
          <w:rPr>
            <w:rFonts w:ascii="Arimo" w:hAnsi="Arimo"/>
            <w:color w:val="0000FF"/>
            <w:u w:val="single"/>
            <w:rtl/>
          </w:rPr>
          <w:t>) 27388-03-20</w:t>
        </w:r>
      </w:hyperlink>
      <w:r>
        <w:rPr>
          <w:rFonts w:ascii="Arimo" w:hAnsi="Arimo" w:hint="cs"/>
          <w:rtl/>
        </w:rPr>
        <w:t xml:space="preserve"> </w:t>
      </w:r>
      <w:r>
        <w:rPr>
          <w:rFonts w:ascii="Arimo" w:hAnsi="Arimo" w:hint="cs"/>
          <w:b/>
          <w:bCs/>
          <w:rtl/>
        </w:rPr>
        <w:t>מדינת ישראל נ' סויסה</w:t>
      </w:r>
      <w:r>
        <w:rPr>
          <w:rFonts w:ascii="Arial" w:hAnsi="Arial" w:hint="cs"/>
          <w:rtl/>
        </w:rPr>
        <w:t xml:space="preserve"> (14.12.2020). </w:t>
      </w:r>
      <w:r>
        <w:rPr>
          <w:rFonts w:hint="cs"/>
          <w:rtl/>
        </w:rPr>
        <w:t>עוד מורה הפסיקה, כי בעבירות גידול סם בהיקף נרחב שומה עלינו לבכר את האינטרס הציבורי והרתעת הרבים על פני נסיבותיו של הנאשם (</w:t>
      </w:r>
      <w:hyperlink r:id="rId22" w:history="1">
        <w:r w:rsidR="00612BDD" w:rsidRPr="00612BDD">
          <w:rPr>
            <w:color w:val="0000FF"/>
            <w:u w:val="single"/>
            <w:rtl/>
          </w:rPr>
          <w:t>ע"פ 2194/14</w:t>
        </w:r>
      </w:hyperlink>
      <w:r>
        <w:rPr>
          <w:rFonts w:hint="cs"/>
          <w:rtl/>
        </w:rPr>
        <w:t xml:space="preserve"> </w:t>
      </w:r>
      <w:r>
        <w:rPr>
          <w:rFonts w:hint="cs"/>
          <w:b/>
          <w:bCs/>
          <w:rtl/>
        </w:rPr>
        <w:t xml:space="preserve">בן שמעון נ' מדינת ישראל </w:t>
      </w:r>
      <w:r>
        <w:rPr>
          <w:rFonts w:hint="cs"/>
          <w:rtl/>
        </w:rPr>
        <w:t xml:space="preserve">(10.9.2014)). </w:t>
      </w:r>
    </w:p>
    <w:p w14:paraId="5F50FA74" w14:textId="77777777" w:rsidR="00A02288" w:rsidRDefault="00A02288" w:rsidP="00A02288">
      <w:pPr>
        <w:ind w:left="720"/>
        <w:contextualSpacing/>
      </w:pPr>
    </w:p>
    <w:p w14:paraId="40A52728" w14:textId="77777777" w:rsidR="00A02288" w:rsidRDefault="00A02288" w:rsidP="00A02288">
      <w:pPr>
        <w:numPr>
          <w:ilvl w:val="0"/>
          <w:numId w:val="1"/>
        </w:numPr>
        <w:spacing w:line="360" w:lineRule="auto"/>
        <w:jc w:val="both"/>
        <w:rPr>
          <w:rtl/>
        </w:rPr>
      </w:pPr>
      <w:r>
        <w:rPr>
          <w:rFonts w:hint="cs"/>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3" w:history="1">
        <w:r w:rsidR="00612BDD" w:rsidRPr="00612BDD">
          <w:rPr>
            <w:color w:val="0000FF"/>
            <w:u w:val="single"/>
            <w:rtl/>
          </w:rPr>
          <w:t>ע"פ 8988/16</w:t>
        </w:r>
      </w:hyperlink>
      <w:r>
        <w:rPr>
          <w:rFonts w:hint="cs"/>
          <w:rtl/>
        </w:rPr>
        <w:t xml:space="preserve"> </w:t>
      </w:r>
      <w:r>
        <w:rPr>
          <w:rFonts w:hint="cs"/>
          <w:b/>
          <w:bCs/>
          <w:rtl/>
        </w:rPr>
        <w:t>בן סימון נ' מדינת ישראל</w:t>
      </w:r>
      <w:r>
        <w:rPr>
          <w:rFonts w:hint="cs"/>
          <w:rtl/>
        </w:rPr>
        <w:t xml:space="preserve"> (8.3.2017)).</w:t>
      </w:r>
      <w:r>
        <w:rPr>
          <w:rFonts w:hint="cs"/>
          <w:rtl/>
          <w:lang w:eastAsia="he-IL"/>
        </w:rPr>
        <w:t xml:space="preserve"> בענייננו, הנאשם נטל חלק מרכזי בביצוע העבירות. המעבדה הוקמה בדירה ששכר, ככל הנראה למטרת גידול הסם בה. במהלך מספר חודשים היה הנאשם אחראי על תפעול המעבדה וגידול הסמים, בתקופת פעילות המעבדה הקדיש את זמנו לתפעולה וזה היה מקור פרנסתו. מדובר בהיקף שתילים נכבד, 236 שתילים. לצורך כך צייד את המעבדה בציוד יקר ורב לגידול סם וחיבר את הדירה חיבור פיראטי ללוח החשמל כדי להימנע מתשלום חשמל לחברת החשמל. אניח לטובת הנאשם, כי תקופת גידול הסם הייתה קצרה מתקופת השכירות וכן כי לא פעל לבדו. עם זאת, ביום מעצרו, נמצאו בדירה 61 ק"ג של סם, והנאשם לא נקב בחקירותיו בשמות שותפיו.  </w:t>
      </w:r>
      <w:r>
        <w:rPr>
          <w:rFonts w:hint="cs"/>
          <w:rtl/>
        </w:rPr>
        <w:t xml:space="preserve">ברקע מעשיו עמד מניע כלכלי, טענתו בתסקיר כי גידל את הסם לשימושו העצמי ולא התכוון למוכרו אינה מתיישבת עם היקף הגידול, הוצאות כלכליות נכבדות לרכישת ציוד ושכירת דירה ייעודית. אף אם הנאשם עשה באותה עת שימוש בסמים, הרגלי צריכת הסם לא עמדו ברקע מעשיו אלא קשריו השוליים ורצונו לגרוף רווחים קלים מגידול הסם והפצתו. מידת פגיעת מעשיו בערכים המוגנים היא ברף </w:t>
      </w:r>
      <w:r>
        <w:rPr>
          <w:rFonts w:hint="cs"/>
          <w:b/>
          <w:bCs/>
          <w:rtl/>
        </w:rPr>
        <w:t xml:space="preserve">הבינוני- </w:t>
      </w:r>
      <w:r>
        <w:rPr>
          <w:rFonts w:hint="cs"/>
          <w:rtl/>
        </w:rPr>
        <w:t>בהקשר זה נתתי דעתי לתקופת פעילות המעבדה, היקף הגידול והסיבה להקמתה.</w:t>
      </w:r>
    </w:p>
    <w:p w14:paraId="1ADBFC68" w14:textId="77777777" w:rsidR="00A02288" w:rsidRDefault="00A02288" w:rsidP="00A02288">
      <w:pPr>
        <w:spacing w:line="360" w:lineRule="auto"/>
        <w:ind w:left="720"/>
        <w:contextualSpacing/>
        <w:jc w:val="both"/>
      </w:pPr>
    </w:p>
    <w:p w14:paraId="046ED137" w14:textId="77777777" w:rsidR="00A02288" w:rsidRDefault="00A02288" w:rsidP="00A02288">
      <w:pPr>
        <w:rPr>
          <w:b/>
          <w:bCs/>
          <w:u w:val="single"/>
          <w:rtl/>
        </w:rPr>
      </w:pPr>
      <w:r>
        <w:rPr>
          <w:rFonts w:hint="cs"/>
          <w:b/>
          <w:bCs/>
          <w:u w:val="single"/>
          <w:rtl/>
        </w:rPr>
        <w:t>מדיניות הענישה הנוהגת</w:t>
      </w:r>
    </w:p>
    <w:p w14:paraId="2A5CDDA2" w14:textId="77777777" w:rsidR="00A02288" w:rsidRDefault="00A02288" w:rsidP="00A02288">
      <w:pPr>
        <w:ind w:left="720"/>
        <w:contextualSpacing/>
        <w:rPr>
          <w:rFonts w:ascii="David" w:eastAsia="David" w:hAnsi="David"/>
          <w:b/>
          <w:bCs/>
          <w:u w:val="single"/>
          <w:rtl/>
          <w:lang w:eastAsia="he-IL"/>
        </w:rPr>
      </w:pPr>
    </w:p>
    <w:p w14:paraId="47AF6199" w14:textId="77777777" w:rsidR="00A02288" w:rsidRDefault="00A02288" w:rsidP="00A02288">
      <w:pPr>
        <w:numPr>
          <w:ilvl w:val="0"/>
          <w:numId w:val="1"/>
        </w:numPr>
        <w:spacing w:after="120" w:line="360" w:lineRule="auto"/>
        <w:contextualSpacing/>
        <w:jc w:val="both"/>
        <w:rPr>
          <w:rFonts w:ascii="Arial" w:hAnsi="Arial"/>
          <w:rtl/>
        </w:rPr>
      </w:pPr>
      <w:r>
        <w:rPr>
          <w:rFonts w:hint="cs"/>
          <w:color w:val="000000"/>
          <w:rtl/>
        </w:rPr>
        <w:t xml:space="preserve">בחינת מדיניות הענישה הנוהגת בעבירות גידול סם קנבוס במעבדה במשקלים דומים מעלה כי מנעד הענישה כולל ברובו עונשי מאסר הנעים בין 24-48 חודשי מאסר: </w:t>
      </w:r>
    </w:p>
    <w:p w14:paraId="2E400AF1" w14:textId="77777777" w:rsidR="00A02288" w:rsidRDefault="00A02288" w:rsidP="00A02288">
      <w:pPr>
        <w:spacing w:after="120" w:line="360" w:lineRule="auto"/>
        <w:ind w:left="720"/>
        <w:contextualSpacing/>
        <w:jc w:val="both"/>
        <w:rPr>
          <w:rFonts w:ascii="Arial" w:hAnsi="Arial"/>
        </w:rPr>
      </w:pPr>
    </w:p>
    <w:p w14:paraId="69F089A7" w14:textId="77777777" w:rsidR="00A02288" w:rsidRDefault="00A02288" w:rsidP="00A02288">
      <w:pPr>
        <w:spacing w:after="120" w:line="360" w:lineRule="auto"/>
        <w:ind w:left="720"/>
        <w:contextualSpacing/>
        <w:jc w:val="both"/>
        <w:rPr>
          <w:rFonts w:ascii="Arial" w:hAnsi="Arial"/>
          <w:rtl/>
        </w:rPr>
      </w:pPr>
      <w:r>
        <w:rPr>
          <w:rFonts w:ascii="Arial" w:hAnsi="Arial" w:hint="cs"/>
          <w:rtl/>
        </w:rPr>
        <w:t>ב</w:t>
      </w:r>
      <w:hyperlink r:id="rId24" w:history="1">
        <w:r w:rsidR="00612BDD" w:rsidRPr="00612BDD">
          <w:rPr>
            <w:rFonts w:ascii="Arial" w:hAnsi="Arial"/>
            <w:color w:val="0000FF"/>
            <w:u w:val="single"/>
            <w:rtl/>
          </w:rPr>
          <w:t>ע"פ 3398/22</w:t>
        </w:r>
      </w:hyperlink>
      <w:r>
        <w:rPr>
          <w:rFonts w:ascii="Arial" w:hAnsi="Arial" w:hint="cs"/>
          <w:rtl/>
        </w:rPr>
        <w:t xml:space="preserve"> </w:t>
      </w:r>
      <w:r>
        <w:rPr>
          <w:rFonts w:ascii="Arial" w:hAnsi="Arial" w:hint="cs"/>
          <w:b/>
          <w:bCs/>
          <w:rtl/>
        </w:rPr>
        <w:t xml:space="preserve">גמליאל נ' מדינת ישראל </w:t>
      </w:r>
      <w:r>
        <w:rPr>
          <w:rFonts w:ascii="Arial" w:hAnsi="Arial" w:hint="cs"/>
          <w:rtl/>
        </w:rPr>
        <w:t>(17.7.2022) נדחה ערעורו של נאשם, שגידל במעבדה שהקים סם קנבוס במשקל של כ-</w:t>
      </w:r>
      <w:r>
        <w:rPr>
          <w:rFonts w:ascii="Arial" w:hAnsi="Arial" w:hint="cs"/>
          <w:b/>
          <w:bCs/>
          <w:rtl/>
        </w:rPr>
        <w:t xml:space="preserve">65 </w:t>
      </w:r>
      <w:r>
        <w:rPr>
          <w:rFonts w:ascii="Arial" w:hAnsi="Arial" w:hint="cs"/>
          <w:rtl/>
        </w:rPr>
        <w:t xml:space="preserve">ק"ג נטו, ונטל חשמל שלא כדין בשווי של כ-21,000 ₪. בית המשפט המחוזי קבע מתחם ענישה הנע בין 48-22 חודשי מאסר בפועל. בהתחשב בגילו הצעיר והיעדר עבר פלילי נדון למאסר בן 22 חודשים; </w:t>
      </w:r>
    </w:p>
    <w:p w14:paraId="4BDDBE28" w14:textId="77777777" w:rsidR="00A02288" w:rsidRDefault="00A02288" w:rsidP="00A02288">
      <w:pPr>
        <w:spacing w:after="120" w:line="360" w:lineRule="auto"/>
        <w:ind w:left="720"/>
        <w:contextualSpacing/>
        <w:jc w:val="both"/>
        <w:rPr>
          <w:rFonts w:ascii="David" w:hAnsi="David"/>
          <w:rtl/>
        </w:rPr>
      </w:pPr>
    </w:p>
    <w:p w14:paraId="14D4F35A" w14:textId="77777777" w:rsidR="00A02288" w:rsidRDefault="00A02288" w:rsidP="00A02288">
      <w:pPr>
        <w:spacing w:after="120" w:line="360" w:lineRule="auto"/>
        <w:ind w:left="720"/>
        <w:contextualSpacing/>
        <w:jc w:val="both"/>
        <w:rPr>
          <w:rtl/>
        </w:rPr>
      </w:pPr>
      <w:r>
        <w:rPr>
          <w:rFonts w:hint="cs"/>
          <w:rtl/>
        </w:rPr>
        <w:t>ב</w:t>
      </w:r>
      <w:hyperlink r:id="rId25" w:history="1">
        <w:r w:rsidR="00612BDD" w:rsidRPr="00612BDD">
          <w:rPr>
            <w:color w:val="0000FF"/>
            <w:u w:val="single"/>
            <w:rtl/>
          </w:rPr>
          <w:t>ע"פ 5807/17</w:t>
        </w:r>
      </w:hyperlink>
      <w:r>
        <w:rPr>
          <w:rFonts w:hint="cs"/>
          <w:rtl/>
        </w:rPr>
        <w:t xml:space="preserve"> </w:t>
      </w:r>
      <w:r>
        <w:rPr>
          <w:rFonts w:hint="cs"/>
          <w:b/>
          <w:bCs/>
          <w:rtl/>
        </w:rPr>
        <w:t xml:space="preserve">משה דרחי נ' מדינת ישראל </w:t>
      </w:r>
      <w:r>
        <w:rPr>
          <w:rFonts w:hint="cs"/>
          <w:rtl/>
        </w:rPr>
        <w:t>(18.6.2020) נדחה ערעורו של נאשם, שגידל במעבדה שהקים סם במשקל של כ-</w:t>
      </w:r>
      <w:r>
        <w:rPr>
          <w:rFonts w:hint="cs"/>
          <w:b/>
          <w:bCs/>
          <w:rtl/>
        </w:rPr>
        <w:t xml:space="preserve">77 </w:t>
      </w:r>
      <w:r>
        <w:rPr>
          <w:rFonts w:hint="cs"/>
          <w:rtl/>
        </w:rPr>
        <w:t xml:space="preserve">ק"ג נטו. בית המשפט המחוזי קבע מתחם ענישה הנע בין 48-24 חודשי מאסר, נדון  למאסר בן 30 חודשים; </w:t>
      </w:r>
    </w:p>
    <w:p w14:paraId="48888FF9" w14:textId="77777777" w:rsidR="00A02288" w:rsidRDefault="00A02288" w:rsidP="00A02288">
      <w:pPr>
        <w:spacing w:line="360" w:lineRule="auto"/>
        <w:ind w:left="720"/>
        <w:contextualSpacing/>
        <w:jc w:val="both"/>
        <w:rPr>
          <w:rtl/>
        </w:rPr>
      </w:pPr>
    </w:p>
    <w:p w14:paraId="3A0819DA" w14:textId="77777777" w:rsidR="00A02288" w:rsidRDefault="00A02288" w:rsidP="00A02288">
      <w:pPr>
        <w:spacing w:line="360" w:lineRule="auto"/>
        <w:ind w:left="720"/>
        <w:contextualSpacing/>
        <w:jc w:val="both"/>
        <w:rPr>
          <w:rtl/>
        </w:rPr>
      </w:pPr>
      <w:r>
        <w:rPr>
          <w:rFonts w:hint="cs"/>
          <w:rtl/>
        </w:rPr>
        <w:t>ב</w:t>
      </w:r>
      <w:hyperlink r:id="rId26" w:history="1">
        <w:r w:rsidR="00612BDD" w:rsidRPr="00612BDD">
          <w:rPr>
            <w:color w:val="0000FF"/>
            <w:u w:val="single"/>
            <w:rtl/>
          </w:rPr>
          <w:t>ע"פ 871/20</w:t>
        </w:r>
      </w:hyperlink>
      <w:r>
        <w:rPr>
          <w:rFonts w:hint="cs"/>
          <w:rtl/>
        </w:rPr>
        <w:t xml:space="preserve"> </w:t>
      </w:r>
      <w:r>
        <w:rPr>
          <w:rFonts w:hint="cs"/>
          <w:b/>
          <w:bCs/>
          <w:rtl/>
        </w:rPr>
        <w:t xml:space="preserve">אברג'יל נ' מדינת ישראל </w:t>
      </w:r>
      <w:r>
        <w:rPr>
          <w:rFonts w:hint="cs"/>
          <w:rtl/>
        </w:rPr>
        <w:t xml:space="preserve">(30.3.2020) נדחה ערעורו של נאשם שגידל במעבדה סם במשקל </w:t>
      </w:r>
      <w:r>
        <w:rPr>
          <w:rFonts w:hint="cs"/>
          <w:b/>
          <w:bCs/>
          <w:rtl/>
        </w:rPr>
        <w:t>80</w:t>
      </w:r>
      <w:r>
        <w:rPr>
          <w:rFonts w:hint="cs"/>
          <w:rtl/>
        </w:rPr>
        <w:t xml:space="preserve"> ק"ג, לחובתו עבר פלילי כבד שהתיישן, נדון למאסר בן 26 חודשים;</w:t>
      </w:r>
    </w:p>
    <w:p w14:paraId="63D4843A" w14:textId="77777777" w:rsidR="00A02288" w:rsidRDefault="00A02288" w:rsidP="00A02288">
      <w:pPr>
        <w:spacing w:line="360" w:lineRule="auto"/>
        <w:ind w:left="720"/>
        <w:contextualSpacing/>
        <w:jc w:val="both"/>
        <w:rPr>
          <w:rtl/>
        </w:rPr>
      </w:pPr>
    </w:p>
    <w:p w14:paraId="6AE1A293" w14:textId="77777777" w:rsidR="00A02288" w:rsidRDefault="00A02288" w:rsidP="00A02288">
      <w:pPr>
        <w:spacing w:line="360" w:lineRule="auto"/>
        <w:ind w:left="720"/>
        <w:contextualSpacing/>
        <w:jc w:val="both"/>
        <w:rPr>
          <w:color w:val="000000"/>
          <w:rtl/>
        </w:rPr>
      </w:pPr>
      <w:r>
        <w:rPr>
          <w:rFonts w:hint="cs"/>
          <w:color w:val="000000"/>
          <w:rtl/>
        </w:rPr>
        <w:t>ב</w:t>
      </w:r>
      <w:hyperlink r:id="rId27" w:history="1">
        <w:r w:rsidR="00612BDD" w:rsidRPr="00612BDD">
          <w:rPr>
            <w:color w:val="0000FF"/>
            <w:u w:val="single"/>
            <w:rtl/>
          </w:rPr>
          <w:t>ע"פ 126/22</w:t>
        </w:r>
      </w:hyperlink>
      <w:r>
        <w:rPr>
          <w:rFonts w:hint="cs"/>
          <w:color w:val="000000"/>
          <w:rtl/>
        </w:rPr>
        <w:t xml:space="preserve"> </w:t>
      </w:r>
      <w:r>
        <w:rPr>
          <w:rFonts w:hint="cs"/>
          <w:b/>
          <w:bCs/>
          <w:color w:val="000000"/>
          <w:rtl/>
        </w:rPr>
        <w:t>מדינת ישראל נ' פלוני</w:t>
      </w:r>
      <w:r>
        <w:rPr>
          <w:rFonts w:hint="cs"/>
          <w:color w:val="000000"/>
          <w:rtl/>
        </w:rPr>
        <w:t xml:space="preserve"> (27.4.2022) קיבל בית המשפט העליון את ערעור המדינה בעניין נאשם שהקים מעבדה בה נתפסו 286 שתילים במשקל של כ-</w:t>
      </w:r>
      <w:r>
        <w:rPr>
          <w:rFonts w:hint="cs"/>
          <w:b/>
          <w:bCs/>
          <w:color w:val="000000"/>
          <w:rtl/>
        </w:rPr>
        <w:t xml:space="preserve">63 </w:t>
      </w:r>
      <w:r>
        <w:rPr>
          <w:rFonts w:hint="cs"/>
          <w:color w:val="000000"/>
          <w:rtl/>
        </w:rPr>
        <w:t>ק"ג נטו, וגנב חשמל בשווי של למעלה מ-70,000 ₪. כתוצאה ממעשיו נגרם נזק לארון החשמל. בית המשפט המחוזי קבע מתחם ענישה הנע בין 48-18 חודשי מאסר, וגזר עונשו ל-9 חודשי עבודות שירות תוך סטייה מהמתחם מטעמי שיקום. בית המשפט העליון החמיר עונשו והעמידו על 18 חודשי מאסר בפועל מאחר שלא שוכנע שמדובר בנאשם משוקם;</w:t>
      </w:r>
      <w:r>
        <w:rPr>
          <w:rFonts w:hint="cs"/>
          <w:rtl/>
        </w:rPr>
        <w:t xml:space="preserve"> </w:t>
      </w:r>
    </w:p>
    <w:p w14:paraId="6D26C4C1" w14:textId="77777777" w:rsidR="00A02288" w:rsidRDefault="00A02288" w:rsidP="00A02288">
      <w:pPr>
        <w:spacing w:line="360" w:lineRule="auto"/>
        <w:ind w:left="720"/>
        <w:contextualSpacing/>
        <w:jc w:val="both"/>
        <w:rPr>
          <w:color w:val="000000"/>
          <w:rtl/>
        </w:rPr>
      </w:pPr>
    </w:p>
    <w:p w14:paraId="03571AED" w14:textId="77777777" w:rsidR="00A02288" w:rsidRDefault="00A02288" w:rsidP="00A02288">
      <w:pPr>
        <w:spacing w:line="360" w:lineRule="auto"/>
        <w:ind w:left="720"/>
        <w:contextualSpacing/>
        <w:jc w:val="both"/>
        <w:rPr>
          <w:color w:val="000000"/>
          <w:rtl/>
        </w:rPr>
      </w:pPr>
      <w:r>
        <w:rPr>
          <w:rFonts w:hint="cs"/>
          <w:color w:val="000000"/>
          <w:rtl/>
        </w:rPr>
        <w:t>ב</w:t>
      </w:r>
      <w:hyperlink r:id="rId28" w:history="1">
        <w:r w:rsidR="00612BDD" w:rsidRPr="00612BDD">
          <w:rPr>
            <w:color w:val="0000FF"/>
            <w:u w:val="single"/>
            <w:rtl/>
          </w:rPr>
          <w:t>ת"פ (מח' מרכז) 67338-02-20</w:t>
        </w:r>
      </w:hyperlink>
      <w:r>
        <w:rPr>
          <w:rFonts w:hint="cs"/>
          <w:color w:val="000000"/>
          <w:rtl/>
        </w:rPr>
        <w:t xml:space="preserve"> </w:t>
      </w:r>
      <w:r>
        <w:rPr>
          <w:rFonts w:hint="cs"/>
          <w:b/>
          <w:bCs/>
          <w:color w:val="000000"/>
          <w:rtl/>
        </w:rPr>
        <w:t xml:space="preserve">תומר בימרו נ' מדינת ישראל </w:t>
      </w:r>
      <w:r>
        <w:rPr>
          <w:rFonts w:hint="cs"/>
          <w:color w:val="000000"/>
          <w:rtl/>
        </w:rPr>
        <w:t xml:space="preserve">(23.2.2022) הורשע נאשם בעבירות ייצור והכנת סם קנבוס במעבדה שהקים ובנטילת חשמל, במעבדה נמצא סם במשקל כולל של </w:t>
      </w:r>
      <w:r>
        <w:rPr>
          <w:rFonts w:hint="cs"/>
          <w:b/>
          <w:bCs/>
          <w:color w:val="000000"/>
          <w:rtl/>
        </w:rPr>
        <w:t xml:space="preserve">82.81 </w:t>
      </w:r>
      <w:r>
        <w:rPr>
          <w:rFonts w:hint="cs"/>
          <w:color w:val="000000"/>
          <w:rtl/>
        </w:rPr>
        <w:t xml:space="preserve">ק"ג. נקבע מתחם ענישה הנע בין 48-24 חודשי מאסר בפועל. הנאשם, בן 29, בעל עבר פלילי לא מכביד, מצוי בהליך טיפולי בשלביו הראשוניים, נדון למאסר בן 24 חודשים; </w:t>
      </w:r>
    </w:p>
    <w:p w14:paraId="3FB09E7C" w14:textId="77777777" w:rsidR="00A02288" w:rsidRDefault="00A02288" w:rsidP="00A02288">
      <w:pPr>
        <w:spacing w:line="360" w:lineRule="auto"/>
        <w:ind w:left="720"/>
        <w:contextualSpacing/>
        <w:jc w:val="both"/>
        <w:rPr>
          <w:rtl/>
        </w:rPr>
      </w:pPr>
    </w:p>
    <w:p w14:paraId="75BCD136" w14:textId="77777777" w:rsidR="00A02288" w:rsidRDefault="00A02288" w:rsidP="00A02288">
      <w:pPr>
        <w:spacing w:line="360" w:lineRule="auto"/>
        <w:ind w:left="720"/>
        <w:contextualSpacing/>
        <w:jc w:val="both"/>
        <w:rPr>
          <w:rtl/>
        </w:rPr>
      </w:pPr>
      <w:r>
        <w:rPr>
          <w:rFonts w:hint="cs"/>
          <w:rtl/>
        </w:rPr>
        <w:t>ב</w:t>
      </w:r>
      <w:hyperlink r:id="rId29" w:history="1">
        <w:r w:rsidR="00612BDD" w:rsidRPr="00612BDD">
          <w:rPr>
            <w:color w:val="0000FF"/>
            <w:u w:val="single"/>
            <w:rtl/>
          </w:rPr>
          <w:t>ת"פ (מח' מרכז) 25458-11-18</w:t>
        </w:r>
      </w:hyperlink>
      <w:r>
        <w:rPr>
          <w:rFonts w:hint="cs"/>
          <w:rtl/>
        </w:rPr>
        <w:t xml:space="preserve"> </w:t>
      </w:r>
      <w:r>
        <w:rPr>
          <w:rFonts w:hint="cs"/>
          <w:b/>
          <w:bCs/>
          <w:rtl/>
        </w:rPr>
        <w:t xml:space="preserve">מדינת ישראל נ' ארז אליאב </w:t>
      </w:r>
      <w:r>
        <w:rPr>
          <w:rFonts w:hint="cs"/>
          <w:rtl/>
        </w:rPr>
        <w:t xml:space="preserve">(19.9.2019) הורשע נאשם, בעל עבר פלילי לא מכביד, בעבירות ייצור והכנת סם קנבוס במעבדה שהקים, ובנטילת חשמל בשווי רב, במעבדה נמצאו 768 שתילי קנבוס במשקל כולל של </w:t>
      </w:r>
      <w:r>
        <w:rPr>
          <w:rFonts w:hint="cs"/>
          <w:b/>
          <w:bCs/>
          <w:rtl/>
        </w:rPr>
        <w:t xml:space="preserve">80.3 </w:t>
      </w:r>
      <w:r>
        <w:rPr>
          <w:rFonts w:hint="cs"/>
          <w:rtl/>
        </w:rPr>
        <w:t xml:space="preserve">ק"ג. בית המשפט קבע מתחם ענישה הנע בין 46-22 חודשי מאסר, הנאשם נדון למאסר בן 25 חודשים. </w:t>
      </w:r>
    </w:p>
    <w:p w14:paraId="67B30079" w14:textId="77777777" w:rsidR="00A02288" w:rsidRDefault="00A02288" w:rsidP="00A02288">
      <w:pPr>
        <w:spacing w:line="360" w:lineRule="auto"/>
        <w:ind w:left="720"/>
        <w:contextualSpacing/>
        <w:jc w:val="both"/>
        <w:rPr>
          <w:rtl/>
        </w:rPr>
      </w:pPr>
    </w:p>
    <w:p w14:paraId="59260589" w14:textId="77777777" w:rsidR="00A02288" w:rsidRDefault="00A02288" w:rsidP="00A02288">
      <w:pPr>
        <w:spacing w:line="360" w:lineRule="auto"/>
        <w:ind w:left="720"/>
        <w:contextualSpacing/>
        <w:jc w:val="both"/>
        <w:rPr>
          <w:rtl/>
        </w:rPr>
      </w:pPr>
      <w:r>
        <w:rPr>
          <w:rFonts w:hint="cs"/>
          <w:rtl/>
        </w:rPr>
        <w:t>ב</w:t>
      </w:r>
      <w:hyperlink r:id="rId30" w:history="1">
        <w:r w:rsidR="00612BDD" w:rsidRPr="00612BDD">
          <w:rPr>
            <w:color w:val="0000FF"/>
            <w:u w:val="single"/>
            <w:rtl/>
          </w:rPr>
          <w:t>ת"פ (מח' מרכז) 17677-04-17</w:t>
        </w:r>
      </w:hyperlink>
      <w:r>
        <w:rPr>
          <w:rFonts w:hint="cs"/>
          <w:rtl/>
        </w:rPr>
        <w:t xml:space="preserve"> </w:t>
      </w:r>
      <w:r>
        <w:rPr>
          <w:rFonts w:hint="cs"/>
          <w:b/>
          <w:bCs/>
          <w:rtl/>
        </w:rPr>
        <w:t xml:space="preserve">מדינת ישראל נ' דוכן </w:t>
      </w:r>
      <w:r>
        <w:rPr>
          <w:rFonts w:hint="cs"/>
          <w:rtl/>
        </w:rPr>
        <w:t xml:space="preserve">(2.11.2017) הורשע נאשם בעבירות ייצור והכנת סם קנבוס במעבדה שהקים ובנטילת חשמל, במעבדה נמצאו 235 עציצי קנבוס בגדלים שונים ועלי קנבוס מיובשים, בכמות כוללת של </w:t>
      </w:r>
      <w:r>
        <w:rPr>
          <w:rFonts w:hint="cs"/>
          <w:b/>
          <w:bCs/>
          <w:rtl/>
        </w:rPr>
        <w:t xml:space="preserve">72.8 </w:t>
      </w:r>
      <w:r>
        <w:rPr>
          <w:rFonts w:hint="cs"/>
          <w:rtl/>
        </w:rPr>
        <w:t xml:space="preserve">ק"ג. בית המשפט קבע מתחם ענישה הנע בין 46-22 חודשי מאסר, לחובת הנאשם הרשעה אחת ישנה בעבירות סמים ונשק, נדון למאסר בן 27 חודשים; </w:t>
      </w:r>
    </w:p>
    <w:p w14:paraId="22AF41F9" w14:textId="77777777" w:rsidR="00A02288" w:rsidRDefault="00A02288" w:rsidP="00A02288">
      <w:pPr>
        <w:spacing w:line="360" w:lineRule="auto"/>
        <w:ind w:left="720"/>
        <w:contextualSpacing/>
        <w:jc w:val="both"/>
        <w:rPr>
          <w:rtl/>
        </w:rPr>
      </w:pPr>
    </w:p>
    <w:p w14:paraId="3882A1D5" w14:textId="77777777" w:rsidR="00A02288" w:rsidRDefault="00A02288" w:rsidP="00A02288">
      <w:pPr>
        <w:spacing w:line="360" w:lineRule="auto"/>
        <w:ind w:left="720"/>
        <w:contextualSpacing/>
        <w:jc w:val="both"/>
        <w:rPr>
          <w:rtl/>
        </w:rPr>
      </w:pPr>
      <w:r>
        <w:rPr>
          <w:rFonts w:hint="cs"/>
          <w:rtl/>
        </w:rPr>
        <w:t>ב</w:t>
      </w:r>
      <w:hyperlink r:id="rId31" w:history="1">
        <w:r w:rsidR="00612BDD" w:rsidRPr="00612BDD">
          <w:rPr>
            <w:color w:val="0000FF"/>
            <w:u w:val="single"/>
            <w:rtl/>
          </w:rPr>
          <w:t>ת"פ (מח' מרכז) 45480-02-19</w:t>
        </w:r>
      </w:hyperlink>
      <w:r>
        <w:rPr>
          <w:rFonts w:hint="cs"/>
          <w:rtl/>
        </w:rPr>
        <w:t xml:space="preserve"> </w:t>
      </w:r>
      <w:r>
        <w:rPr>
          <w:rFonts w:hint="cs"/>
          <w:b/>
          <w:bCs/>
          <w:rtl/>
        </w:rPr>
        <w:t xml:space="preserve">מדינת ישראל נ' סויסה </w:t>
      </w:r>
      <w:r>
        <w:rPr>
          <w:rFonts w:hint="cs"/>
          <w:rtl/>
        </w:rPr>
        <w:t xml:space="preserve">(22.1.2020) הורשע נאשם בעבירות ייצור והכנת סם קנבוס במעבדה שהקים ובהחזקת סם שלא לצריכה עצמית, במעבדה נמצא סם במשקל </w:t>
      </w:r>
      <w:r>
        <w:rPr>
          <w:rFonts w:hint="cs"/>
          <w:b/>
          <w:bCs/>
          <w:rtl/>
        </w:rPr>
        <w:t>79.9</w:t>
      </w:r>
      <w:r>
        <w:rPr>
          <w:rFonts w:hint="cs"/>
          <w:rtl/>
        </w:rPr>
        <w:t xml:space="preserve"> ק"ג. בית המשפט קבע מתחם ענישה הנע בין 46-22 חודשי מאסר, והשית על הנאשם, בעל עבר פלילי, נדון למאסר בן 30 חודשים, הופעל עונש מאסר מותנה במצטבר כך שירצה סך הכל 36 חודשי מאסר; </w:t>
      </w:r>
    </w:p>
    <w:p w14:paraId="068740F3" w14:textId="77777777" w:rsidR="00A02288" w:rsidRDefault="00A02288" w:rsidP="00A02288">
      <w:pPr>
        <w:spacing w:line="360" w:lineRule="auto"/>
        <w:ind w:left="720"/>
        <w:contextualSpacing/>
        <w:jc w:val="both"/>
        <w:rPr>
          <w:rtl/>
        </w:rPr>
      </w:pPr>
    </w:p>
    <w:p w14:paraId="0DD35238" w14:textId="77777777" w:rsidR="00A02288" w:rsidRDefault="00A02288" w:rsidP="00A02288">
      <w:pPr>
        <w:spacing w:line="360" w:lineRule="auto"/>
        <w:ind w:left="720"/>
        <w:contextualSpacing/>
        <w:jc w:val="both"/>
        <w:rPr>
          <w:b/>
          <w:bCs/>
          <w:color w:val="000000"/>
          <w:rtl/>
        </w:rPr>
      </w:pPr>
      <w:r>
        <w:rPr>
          <w:rFonts w:hint="cs"/>
          <w:color w:val="000000"/>
          <w:rtl/>
        </w:rPr>
        <w:t xml:space="preserve">אשר על כן, לאחר שבחנתי את נסיבות מעשי הנאשם, לרבות חלקו היחסי, מידת הפגיעה בערכים המוגנים ומדיניות הענישה הנוהגת, אני קובעת מתחם ענישה הנע בין </w:t>
      </w:r>
      <w:r>
        <w:rPr>
          <w:rFonts w:hint="cs"/>
          <w:b/>
          <w:bCs/>
          <w:color w:val="000000"/>
          <w:rtl/>
        </w:rPr>
        <w:t>46-22 חודשי מאסר</w:t>
      </w:r>
      <w:r>
        <w:rPr>
          <w:rFonts w:hint="cs"/>
          <w:color w:val="000000"/>
          <w:rtl/>
        </w:rPr>
        <w:t xml:space="preserve"> </w:t>
      </w:r>
      <w:r>
        <w:rPr>
          <w:rFonts w:hint="cs"/>
          <w:b/>
          <w:bCs/>
          <w:color w:val="000000"/>
          <w:rtl/>
        </w:rPr>
        <w:t>בפועל</w:t>
      </w:r>
      <w:r>
        <w:rPr>
          <w:rFonts w:hint="cs"/>
          <w:color w:val="000000"/>
          <w:rtl/>
        </w:rPr>
        <w:t>.</w:t>
      </w:r>
      <w:r>
        <w:rPr>
          <w:rFonts w:hint="cs"/>
          <w:b/>
          <w:bCs/>
          <w:color w:val="000000"/>
          <w:rtl/>
        </w:rPr>
        <w:t xml:space="preserve"> </w:t>
      </w:r>
    </w:p>
    <w:p w14:paraId="7F05DAB3" w14:textId="77777777" w:rsidR="00A02288" w:rsidRDefault="00A02288" w:rsidP="00A02288">
      <w:pPr>
        <w:spacing w:line="360" w:lineRule="auto"/>
        <w:ind w:left="720"/>
        <w:contextualSpacing/>
        <w:jc w:val="both"/>
        <w:rPr>
          <w:b/>
          <w:bCs/>
          <w:color w:val="000000"/>
          <w:rtl/>
        </w:rPr>
      </w:pPr>
    </w:p>
    <w:p w14:paraId="1EA3F340" w14:textId="77777777" w:rsidR="00A02288" w:rsidRDefault="00A02288" w:rsidP="00A02288">
      <w:pPr>
        <w:spacing w:line="360" w:lineRule="auto"/>
        <w:ind w:firstLine="360"/>
        <w:jc w:val="both"/>
        <w:rPr>
          <w:b/>
          <w:bCs/>
          <w:rtl/>
        </w:rPr>
      </w:pPr>
      <w:r>
        <w:rPr>
          <w:rFonts w:hint="cs"/>
          <w:b/>
          <w:bCs/>
          <w:rtl/>
        </w:rPr>
        <w:t>האם יש מקום להעתר לבקשת ההגנה ולאמץ את המלצת שירות המבחן?</w:t>
      </w:r>
    </w:p>
    <w:p w14:paraId="12B79939" w14:textId="77777777" w:rsidR="00A02288" w:rsidRDefault="00A02288" w:rsidP="00A02288">
      <w:pPr>
        <w:numPr>
          <w:ilvl w:val="0"/>
          <w:numId w:val="1"/>
        </w:numPr>
        <w:spacing w:before="240" w:after="120" w:line="360" w:lineRule="auto"/>
        <w:contextualSpacing/>
        <w:jc w:val="both"/>
        <w:rPr>
          <w:rtl/>
        </w:rPr>
      </w:pPr>
      <w:r>
        <w:rPr>
          <w:rFonts w:hint="cs"/>
          <w:rtl/>
        </w:rPr>
        <w:t xml:space="preserve">הנאשם בן 26, ללא עבר פלילי, ניהל אורח חיים דתי, ובתקופה שקדמה להסתבכותו בתיק היה מעורב בחברה שולית, השתמש בסם קנבוס בתדירות גבוהה ואחז בעמדות מקלות ראש בנוגע לצריכת סמים. הנאשם היה שותף בעסק כלכלי שכשל ונותר עם חובות כספיים. השילוב בין הצורך ברווח כספי מיידי ומעורבות בחברה שולית הוביל אותו להקמת מעבדת סמים. הנאשם בחר בפתרון השולי והקל, לא נתן דעתו לסיכון במעשיו ולהשלכותיהם. עם זאת, לאחר מעצרו חל שינוי לטובה בדפוסי התנהלותו וחשיבתו. ניכר כי מעצרו, לראשונה בחייו, גרם לו טלטלה, הנאשם חדל להשתמש בסם וגילה תובנה לפסול במעשיו. </w:t>
      </w:r>
    </w:p>
    <w:p w14:paraId="287DD150" w14:textId="77777777" w:rsidR="00A02288" w:rsidRDefault="00A02288" w:rsidP="00A02288">
      <w:pPr>
        <w:spacing w:before="240" w:after="120" w:line="360" w:lineRule="auto"/>
        <w:ind w:left="720"/>
        <w:contextualSpacing/>
        <w:jc w:val="both"/>
      </w:pPr>
    </w:p>
    <w:p w14:paraId="7DD3A6FA" w14:textId="77777777" w:rsidR="00A02288" w:rsidRDefault="00A02288" w:rsidP="00A02288">
      <w:pPr>
        <w:numPr>
          <w:ilvl w:val="0"/>
          <w:numId w:val="1"/>
        </w:numPr>
        <w:spacing w:before="240" w:after="120" w:line="360" w:lineRule="auto"/>
        <w:contextualSpacing/>
        <w:jc w:val="both"/>
      </w:pPr>
      <w:r>
        <w:rPr>
          <w:rFonts w:hint="cs"/>
          <w:rtl/>
        </w:rPr>
        <w:t xml:space="preserve">הנאשם שיתף פעולה עם גורמי הטיפול, שירות המבחן והיחידה לטיפול בהתמכרויות בעירו, עם זאת לא עבר הליך טיפולי משמעותי ואף סירב להשתלב בהליך טיפולי אינטנסיבי במתכונת "מרכז יום" עקב רצונו להמשיך לעבוד. הנאשם שם בראש מעייניו את רצונו להתפרנס ולסייע למשפחתו, וניסה להתאים את מתכונת ההליך הטיפולי לצרכיו האחרים. תסקירי שירות המבחן חיוביים ומלמדים על הפחתה במידת מסוכנותו, שירות המבחן נימק את המלצתו להמנע מהטלת מאסר בפועל, בעברו הנקי ושיתוף הפעולה עם גורמי הטיפול. אין בכך די. </w:t>
      </w:r>
    </w:p>
    <w:p w14:paraId="3BB9B883" w14:textId="77777777" w:rsidR="00A02288" w:rsidRDefault="00A02288" w:rsidP="00A02288">
      <w:pPr>
        <w:pStyle w:val="a9"/>
        <w:rPr>
          <w:rFonts w:eastAsia="Times New Roman"/>
        </w:rPr>
      </w:pPr>
    </w:p>
    <w:p w14:paraId="5EE83E73" w14:textId="77777777" w:rsidR="00A02288" w:rsidRDefault="00A02288" w:rsidP="00A02288">
      <w:pPr>
        <w:numPr>
          <w:ilvl w:val="0"/>
          <w:numId w:val="1"/>
        </w:numPr>
        <w:spacing w:after="200" w:line="360" w:lineRule="auto"/>
        <w:contextualSpacing/>
        <w:jc w:val="both"/>
        <w:rPr>
          <w:rtl/>
        </w:rPr>
      </w:pPr>
      <w:r>
        <w:rPr>
          <w:rFonts w:hint="cs"/>
          <w:b/>
          <w:bCs/>
          <w:color w:val="000000"/>
          <w:rtl/>
        </w:rPr>
        <w:t>לאחר שבחנתי את כלל נסיבות הנאשם והמלצות התסקיר מצאתי כי עניינו אינו נופל בגדר מקרי השיקום, ואין בנתוניו כדי לשמש בסיס לחריגה ממתחם העונש ההולם.</w:t>
      </w:r>
      <w:r w:rsidR="00612BDD">
        <w:rPr>
          <w:rFonts w:hint="cs"/>
          <w:color w:val="000000"/>
          <w:sz w:val="27"/>
          <w:szCs w:val="27"/>
          <w:rtl/>
        </w:rPr>
        <w:t xml:space="preserve"> </w:t>
      </w:r>
      <w:r>
        <w:rPr>
          <w:rFonts w:hint="cs"/>
          <w:rtl/>
        </w:rPr>
        <w:t xml:space="preserve"> לשון </w:t>
      </w:r>
      <w:hyperlink r:id="rId32" w:history="1">
        <w:r w:rsidR="005322BC" w:rsidRPr="005322BC">
          <w:rPr>
            <w:rStyle w:val="Hyperlink"/>
            <w:rFonts w:hint="eastAsia"/>
            <w:rtl/>
          </w:rPr>
          <w:t>סעיף</w:t>
        </w:r>
        <w:r w:rsidR="005322BC" w:rsidRPr="005322BC">
          <w:rPr>
            <w:rStyle w:val="Hyperlink"/>
            <w:rtl/>
          </w:rPr>
          <w:t xml:space="preserve"> 40ד'</w:t>
        </w:r>
      </w:hyperlink>
      <w:r>
        <w:rPr>
          <w:rFonts w:hint="cs"/>
          <w:rtl/>
        </w:rPr>
        <w:t xml:space="preserve"> לחוק מלמדת, כי לעיתים כאשר "</w:t>
      </w:r>
      <w:r>
        <w:rPr>
          <w:rFonts w:hint="cs"/>
          <w:b/>
          <w:bCs/>
          <w:rtl/>
        </w:rPr>
        <w:t>נאשם השתקם</w:t>
      </w:r>
      <w:r>
        <w:rPr>
          <w:rFonts w:hint="cs"/>
          <w:rtl/>
        </w:rPr>
        <w:t>" או כי "</w:t>
      </w:r>
      <w:r>
        <w:rPr>
          <w:rFonts w:hint="cs"/>
          <w:b/>
          <w:bCs/>
          <w:rtl/>
        </w:rPr>
        <w:t>יש סיכוי של ממש שישתקם</w:t>
      </w:r>
      <w:r>
        <w:rPr>
          <w:rFonts w:hint="cs"/>
          <w:rtl/>
        </w:rPr>
        <w:t xml:space="preserve">", עשויים שיקולי השיקום לגבור על שיקולי ההרתעה והגמול (ראו </w:t>
      </w:r>
      <w:hyperlink r:id="rId33" w:history="1">
        <w:r w:rsidR="00612BDD" w:rsidRPr="00612BDD">
          <w:rPr>
            <w:color w:val="0000FF"/>
            <w:u w:val="single"/>
            <w:rtl/>
          </w:rPr>
          <w:t>רע"פ 7572/12</w:t>
        </w:r>
      </w:hyperlink>
      <w:r>
        <w:rPr>
          <w:rFonts w:hint="cs"/>
          <w:rtl/>
        </w:rPr>
        <w:t xml:space="preserve"> </w:t>
      </w:r>
      <w:r>
        <w:rPr>
          <w:rFonts w:hint="cs"/>
          <w:b/>
          <w:bCs/>
          <w:rtl/>
        </w:rPr>
        <w:t>הזייל נ' מדינת ישראל</w:t>
      </w:r>
      <w:r>
        <w:rPr>
          <w:rFonts w:hint="cs"/>
          <w:rtl/>
        </w:rPr>
        <w:t xml:space="preserve"> (23.10.2012))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34" w:history="1">
        <w:r w:rsidR="00612BDD" w:rsidRPr="00612BDD">
          <w:rPr>
            <w:color w:val="0000FF"/>
            <w:u w:val="single"/>
            <w:rtl/>
          </w:rPr>
          <w:t>ע"פ 1903/13</w:t>
        </w:r>
      </w:hyperlink>
      <w:r>
        <w:rPr>
          <w:rFonts w:hint="cs"/>
          <w:rtl/>
        </w:rPr>
        <w:t xml:space="preserve"> </w:t>
      </w:r>
      <w:r>
        <w:rPr>
          <w:rFonts w:hint="cs"/>
          <w:b/>
          <w:bCs/>
          <w:rtl/>
        </w:rPr>
        <w:t>עיאשה נ' מדינת ישראל</w:t>
      </w:r>
      <w:r>
        <w:rPr>
          <w:rFonts w:hint="cs"/>
          <w:rtl/>
        </w:rPr>
        <w:t xml:space="preserve"> (14.07.13)). הציפייה היא להליך שיקומי עמוק ומובהק המצדיק להעדיף את הפן השיקומי על פני ענישה הולמת.</w:t>
      </w:r>
    </w:p>
    <w:p w14:paraId="0EB098D9" w14:textId="77777777" w:rsidR="00A02288" w:rsidRDefault="00A02288" w:rsidP="00A02288">
      <w:pPr>
        <w:pStyle w:val="a9"/>
        <w:rPr>
          <w:rFonts w:eastAsia="Times New Roman"/>
        </w:rPr>
      </w:pPr>
    </w:p>
    <w:p w14:paraId="27E472DB" w14:textId="77777777" w:rsidR="00A02288" w:rsidRDefault="00A02288" w:rsidP="00A02288">
      <w:pPr>
        <w:numPr>
          <w:ilvl w:val="0"/>
          <w:numId w:val="1"/>
        </w:numPr>
        <w:spacing w:after="200" w:line="360" w:lineRule="auto"/>
        <w:contextualSpacing/>
        <w:jc w:val="both"/>
        <w:rPr>
          <w:rtl/>
        </w:rPr>
      </w:pPr>
      <w:r>
        <w:rPr>
          <w:rFonts w:hint="cs"/>
          <w:rtl/>
        </w:rPr>
        <w:t xml:space="preserve"> </w:t>
      </w:r>
      <w:r>
        <w:rPr>
          <w:rFonts w:hint="cs"/>
          <w:color w:val="000000"/>
          <w:rtl/>
        </w:rPr>
        <w:t xml:space="preserve">בשים לב לצורך בענישה מחמירה ומרתיעה בעבירות סמים, מחייבת אותנו הפסיקה לנקוט במשנה זהירות בהפעלת חריג השיקום, ולברור בין המקרים החריגים הכוללים נאשמים שעברו שיקום יוצא דופן, לבין נאשמים, כמו במקרה שלפנינו, שנסיבותיהם טובות אך אינן מצדיקות סטייה לקולא ממתחם הענישה. לכך אוסיף, כי הנאשם מזער את חומרת מעשיו, הוא אמנם נטל אחריות על מעשיו אך טען שגידל את הסמים לשימושו ושלל כוונה למוכרם. הנאשם, כמו מגדלי סמים רבים, </w:t>
      </w:r>
      <w:r>
        <w:rPr>
          <w:rFonts w:hint="cs"/>
          <w:rtl/>
        </w:rPr>
        <w:t>רובם אזרחים נורמטיביים, חלקם אף אינם צרכני סמים, תר אחר פתרון זמין להפקת רווח קל ומהיר לתשלום חובות, ואין די בנתוניו כדי לשמש בסיס להפעיל חריג השיקום. אדרבה, הפסיקה מבקשת להעביר מסר בעיקר לנאשם ולרבים שכמותו, כי מי שייבחר בקיצורי דרך, סופו שישלם מחיר כבד היה וייתפס בעבירתו.  עמד על כך כב' הש' אלרון ב</w:t>
      </w:r>
      <w:hyperlink r:id="rId35" w:history="1">
        <w:r w:rsidR="00612BDD" w:rsidRPr="00612BDD">
          <w:rPr>
            <w:color w:val="0000FF"/>
            <w:u w:val="single"/>
            <w:rtl/>
          </w:rPr>
          <w:t>ע"פ 2139/22</w:t>
        </w:r>
      </w:hyperlink>
      <w:r>
        <w:rPr>
          <w:rFonts w:hint="cs"/>
          <w:rtl/>
        </w:rPr>
        <w:t xml:space="preserve"> </w:t>
      </w:r>
      <w:r>
        <w:rPr>
          <w:rFonts w:hint="cs"/>
          <w:b/>
          <w:bCs/>
          <w:rtl/>
        </w:rPr>
        <w:t>שלום ג'נאח נ' מדינת ישראל</w:t>
      </w:r>
      <w:r>
        <w:rPr>
          <w:rFonts w:hint="cs"/>
          <w:rtl/>
        </w:rPr>
        <w:t xml:space="preserve"> (14.7.2022): </w:t>
      </w:r>
    </w:p>
    <w:p w14:paraId="021713FA" w14:textId="77777777" w:rsidR="00A02288" w:rsidRDefault="00A02288" w:rsidP="00A02288">
      <w:pPr>
        <w:ind w:left="720"/>
        <w:contextualSpacing/>
      </w:pPr>
    </w:p>
    <w:p w14:paraId="4A661E2F" w14:textId="77777777" w:rsidR="00A02288" w:rsidRDefault="00A02288" w:rsidP="00A02288">
      <w:pPr>
        <w:spacing w:line="360" w:lineRule="auto"/>
        <w:ind w:left="1134" w:right="1134"/>
        <w:contextualSpacing/>
        <w:jc w:val="both"/>
        <w:rPr>
          <w:rtl/>
        </w:rPr>
      </w:pPr>
      <w:r>
        <w:rPr>
          <w:rFonts w:hint="cs"/>
          <w:rtl/>
        </w:rPr>
        <w:t>"</w:t>
      </w:r>
      <w:r>
        <w:rPr>
          <w:rFonts w:hint="cs"/>
          <w:b/>
          <w:bCs/>
          <w:rtl/>
        </w:rPr>
        <w:t>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מכך ולמחיר אותו ישלמו היה וייתפסו בעבירתם</w:t>
      </w:r>
      <w:r>
        <w:rPr>
          <w:rFonts w:hint="cs"/>
          <w:rtl/>
        </w:rPr>
        <w:t>.</w:t>
      </w:r>
      <w:r>
        <w:rPr>
          <w:rFonts w:hint="cs"/>
          <w:b/>
          <w:bCs/>
          <w:rtl/>
        </w:rPr>
        <w:t xml:space="preserve">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 אינן בעלות תוחלת כלכלית"</w:t>
      </w:r>
      <w:r>
        <w:rPr>
          <w:rFonts w:hint="cs"/>
          <w:rtl/>
        </w:rPr>
        <w:t xml:space="preserve">. </w:t>
      </w:r>
    </w:p>
    <w:p w14:paraId="4AA0CC0A" w14:textId="77777777" w:rsidR="00A02288" w:rsidRDefault="00A02288" w:rsidP="00A02288">
      <w:pPr>
        <w:spacing w:line="360" w:lineRule="auto"/>
        <w:ind w:left="1134" w:right="1134"/>
        <w:contextualSpacing/>
        <w:jc w:val="both"/>
        <w:rPr>
          <w:rtl/>
        </w:rPr>
      </w:pPr>
    </w:p>
    <w:p w14:paraId="15C079BF" w14:textId="77777777" w:rsidR="00A02288" w:rsidRDefault="00A02288" w:rsidP="00A02288">
      <w:pPr>
        <w:numPr>
          <w:ilvl w:val="0"/>
          <w:numId w:val="1"/>
        </w:numPr>
        <w:spacing w:after="200" w:line="360" w:lineRule="auto"/>
        <w:contextualSpacing/>
        <w:jc w:val="both"/>
        <w:textAlignment w:val="baseline"/>
        <w:rPr>
          <w:rtl/>
        </w:rPr>
      </w:pPr>
      <w:r w:rsidRPr="00CD3E84">
        <w:rPr>
          <w:rFonts w:hint="cs"/>
          <w:rtl/>
        </w:rPr>
        <w:t>בנסיבות אלו, תוך מתן משקל לשיקולי הרתעת הרבים, אין בידי לקבל את עתירת ההגנה והמלצת שירות המבחן להסתפק בענישה שאינה כוללת מאסר ממש. עם זאת, נסיבותיו ותסקירו החיובי ישמשו טעמים טובים למקמו בתחתית מתחם הענישה.</w:t>
      </w:r>
      <w:r>
        <w:rPr>
          <w:rFonts w:hint="cs"/>
          <w:rtl/>
        </w:rPr>
        <w:t xml:space="preserve"> </w:t>
      </w:r>
    </w:p>
    <w:p w14:paraId="140B4D43" w14:textId="77777777" w:rsidR="00A02288" w:rsidRDefault="00A02288" w:rsidP="00A02288">
      <w:pPr>
        <w:spacing w:after="200" w:line="360" w:lineRule="auto"/>
        <w:ind w:left="720"/>
        <w:contextualSpacing/>
        <w:jc w:val="both"/>
        <w:textAlignment w:val="baseline"/>
      </w:pPr>
    </w:p>
    <w:p w14:paraId="109FB1A6" w14:textId="77777777" w:rsidR="00A02288" w:rsidRDefault="00A02288" w:rsidP="00A02288">
      <w:pPr>
        <w:numPr>
          <w:ilvl w:val="0"/>
          <w:numId w:val="1"/>
        </w:numPr>
        <w:spacing w:after="200" w:line="360" w:lineRule="auto"/>
        <w:contextualSpacing/>
        <w:jc w:val="both"/>
        <w:textAlignment w:val="baseline"/>
      </w:pPr>
      <w:r>
        <w:rPr>
          <w:rFonts w:hint="cs"/>
          <w:rtl/>
        </w:rPr>
        <w:t xml:space="preserve">אשר לרכיב הקנס- מעשיו של הנאשם בוצעו ממניע כלכלי, ומחייבים הטלת קנס משמעותי (ראו </w:t>
      </w:r>
      <w:hyperlink r:id="rId36" w:history="1">
        <w:r w:rsidR="00612BDD" w:rsidRPr="00612BDD">
          <w:rPr>
            <w:color w:val="0000FF"/>
            <w:u w:val="single"/>
            <w:rtl/>
          </w:rPr>
          <w:t>ע"פ 5515/22</w:t>
        </w:r>
      </w:hyperlink>
      <w:r>
        <w:rPr>
          <w:rFonts w:hint="cs"/>
          <w:rtl/>
        </w:rPr>
        <w:t xml:space="preserve"> </w:t>
      </w:r>
      <w:r>
        <w:rPr>
          <w:rFonts w:hint="cs"/>
          <w:b/>
          <w:bCs/>
          <w:rtl/>
        </w:rPr>
        <w:t>אנריקז נ' מדינת ישראל</w:t>
      </w:r>
      <w:r>
        <w:rPr>
          <w:rFonts w:hint="cs"/>
          <w:rtl/>
        </w:rPr>
        <w:t xml:space="preserve">, 27.3.23). הנאשם גנב חשמל מחברת החשמל ולא נטען כי פעל להשבת חובו. בצד זאת, הנאשם נתון תקופה ארוכה בתנאים מגבילים, מסייע בפרנסת משפחתו ויש מקום להתחשבות בנסיבותיו.  </w:t>
      </w:r>
    </w:p>
    <w:p w14:paraId="596EEA85" w14:textId="77777777" w:rsidR="00A02288" w:rsidRDefault="00A02288" w:rsidP="00A02288">
      <w:pPr>
        <w:spacing w:line="330" w:lineRule="atLeast"/>
        <w:ind w:left="720"/>
        <w:contextualSpacing/>
        <w:jc w:val="both"/>
        <w:rPr>
          <w:rFonts w:eastAsia="David"/>
        </w:rPr>
      </w:pPr>
    </w:p>
    <w:p w14:paraId="0F27D985" w14:textId="77777777" w:rsidR="00A02288" w:rsidRDefault="00A02288" w:rsidP="00A02288">
      <w:pPr>
        <w:numPr>
          <w:ilvl w:val="0"/>
          <w:numId w:val="1"/>
        </w:numPr>
        <w:spacing w:line="360" w:lineRule="auto"/>
        <w:jc w:val="both"/>
      </w:pPr>
      <w:r>
        <w:rPr>
          <w:rFonts w:hint="cs"/>
          <w:rtl/>
        </w:rPr>
        <w:t>אשר על כן, אני גוזרת על הנאשם את העונשים הבאים:</w:t>
      </w:r>
    </w:p>
    <w:p w14:paraId="06D077B2" w14:textId="77777777" w:rsidR="00A02288" w:rsidRDefault="00A02288" w:rsidP="00A02288">
      <w:pPr>
        <w:ind w:left="720"/>
        <w:contextualSpacing/>
      </w:pPr>
    </w:p>
    <w:p w14:paraId="068C99DF" w14:textId="77777777" w:rsidR="00A02288" w:rsidRDefault="00A02288" w:rsidP="00A02288">
      <w:pPr>
        <w:numPr>
          <w:ilvl w:val="0"/>
          <w:numId w:val="2"/>
        </w:numPr>
        <w:spacing w:line="360" w:lineRule="auto"/>
        <w:ind w:left="1077" w:hanging="357"/>
        <w:contextualSpacing/>
        <w:jc w:val="both"/>
        <w:rPr>
          <w:rtl/>
        </w:rPr>
      </w:pPr>
      <w:r>
        <w:rPr>
          <w:rFonts w:hint="cs"/>
          <w:b/>
          <w:bCs/>
          <w:rtl/>
        </w:rPr>
        <w:t xml:space="preserve">22 חודשי מאסר </w:t>
      </w:r>
      <w:r w:rsidRPr="00EA39AB">
        <w:rPr>
          <w:rFonts w:hint="cs"/>
          <w:rtl/>
        </w:rPr>
        <w:t>בניכוי ימי מעצרו</w:t>
      </w:r>
      <w:r>
        <w:rPr>
          <w:rFonts w:hint="cs"/>
          <w:b/>
          <w:bCs/>
          <w:rtl/>
        </w:rPr>
        <w:t xml:space="preserve"> </w:t>
      </w:r>
      <w:r>
        <w:rPr>
          <w:rFonts w:hint="cs"/>
          <w:rtl/>
        </w:rPr>
        <w:t xml:space="preserve">30.12.21 </w:t>
      </w:r>
      <w:r>
        <w:rPr>
          <w:rtl/>
        </w:rPr>
        <w:t>–</w:t>
      </w:r>
      <w:r>
        <w:rPr>
          <w:rFonts w:hint="cs"/>
          <w:rtl/>
        </w:rPr>
        <w:t xml:space="preserve"> 20.1.22. </w:t>
      </w:r>
    </w:p>
    <w:p w14:paraId="5AF7A7F2" w14:textId="77777777" w:rsidR="00A02288" w:rsidRDefault="00A02288" w:rsidP="00A02288">
      <w:pPr>
        <w:numPr>
          <w:ilvl w:val="0"/>
          <w:numId w:val="2"/>
        </w:numPr>
        <w:spacing w:line="360" w:lineRule="auto"/>
        <w:ind w:left="1077" w:hanging="357"/>
        <w:contextualSpacing/>
        <w:jc w:val="both"/>
      </w:pPr>
      <w:r>
        <w:rPr>
          <w:rFonts w:hint="cs"/>
          <w:rtl/>
        </w:rPr>
        <w:t>10 חודשי מאסר על תנאי, לבל יעבור הנאשם במשך 3 שנים מיום שחרורו עבירת סמים מסוג פשע.</w:t>
      </w:r>
    </w:p>
    <w:p w14:paraId="69F2E7FF" w14:textId="77777777" w:rsidR="00A02288" w:rsidRDefault="00A02288" w:rsidP="00A02288">
      <w:pPr>
        <w:numPr>
          <w:ilvl w:val="0"/>
          <w:numId w:val="2"/>
        </w:numPr>
        <w:spacing w:line="360" w:lineRule="auto"/>
        <w:ind w:left="1077" w:hanging="357"/>
        <w:contextualSpacing/>
        <w:jc w:val="both"/>
      </w:pPr>
      <w:r>
        <w:rPr>
          <w:rFonts w:hint="cs"/>
          <w:rtl/>
        </w:rPr>
        <w:t xml:space="preserve">קנס בסך 8,000 ₪ או 40 ימי מאסר תמורתו. הקנס ישולם ב-10 תשלומים חודשיים שווים ורצופים החל מיום 1.1.24. </w:t>
      </w:r>
    </w:p>
    <w:p w14:paraId="26BB0FDC" w14:textId="77777777" w:rsidR="00A02288" w:rsidRDefault="00A02288" w:rsidP="00A02288">
      <w:pPr>
        <w:numPr>
          <w:ilvl w:val="0"/>
          <w:numId w:val="2"/>
        </w:numPr>
        <w:spacing w:line="360" w:lineRule="auto"/>
        <w:ind w:left="1077" w:hanging="357"/>
        <w:contextualSpacing/>
        <w:jc w:val="both"/>
      </w:pPr>
      <w:r>
        <w:rPr>
          <w:rFonts w:hint="cs"/>
          <w:rtl/>
        </w:rPr>
        <w:t xml:space="preserve">הנאשם יתייצב לריצוי עונשו ביום 15.10.23 עד השעה 10:00 בבימ"ר "הדרים". לצורך הבטחת התייצבותו תעמודנה הערבויות בהליך המעצר וצו עיכוב יציאה מהארץ. ההפקדה תושב למפקיד עם תחילת מאסרו.   </w:t>
      </w:r>
    </w:p>
    <w:p w14:paraId="715C25D0" w14:textId="77777777" w:rsidR="00A02288" w:rsidRDefault="00A02288" w:rsidP="00A02288">
      <w:pPr>
        <w:spacing w:line="360" w:lineRule="auto"/>
        <w:jc w:val="both"/>
        <w:rPr>
          <w:b/>
          <w:bCs/>
          <w:rtl/>
        </w:rPr>
      </w:pPr>
      <w:r>
        <w:rPr>
          <w:rFonts w:hint="cs"/>
          <w:b/>
          <w:bCs/>
          <w:rtl/>
        </w:rPr>
        <w:t xml:space="preserve">זכות ערעור לבית המשפט העליון תוך 45 יום. </w:t>
      </w:r>
    </w:p>
    <w:p w14:paraId="772393EC" w14:textId="77777777" w:rsidR="00A02288" w:rsidRDefault="00A02288" w:rsidP="00A02288">
      <w:pPr>
        <w:spacing w:line="360" w:lineRule="auto"/>
        <w:jc w:val="both"/>
        <w:rPr>
          <w:b/>
          <w:bCs/>
          <w:rtl/>
        </w:rPr>
      </w:pPr>
      <w:r>
        <w:rPr>
          <w:rFonts w:hint="cs"/>
          <w:b/>
          <w:bCs/>
          <w:rtl/>
        </w:rPr>
        <w:t xml:space="preserve">מורה על השמדת הסמים. יתר המוצגים – לשק"ד קצין משטרה. </w:t>
      </w:r>
    </w:p>
    <w:p w14:paraId="2AEEAC36" w14:textId="77777777" w:rsidR="00A02288" w:rsidRPr="00612BDD" w:rsidRDefault="00612BDD" w:rsidP="00A02288">
      <w:pPr>
        <w:spacing w:line="360" w:lineRule="auto"/>
        <w:ind w:left="1080"/>
        <w:contextualSpacing/>
        <w:jc w:val="both"/>
        <w:rPr>
          <w:b/>
          <w:bCs/>
          <w:color w:val="FFFFFF"/>
          <w:sz w:val="2"/>
          <w:szCs w:val="2"/>
        </w:rPr>
      </w:pPr>
      <w:r w:rsidRPr="00612BDD">
        <w:rPr>
          <w:b/>
          <w:bCs/>
          <w:color w:val="FFFFFF"/>
          <w:sz w:val="2"/>
          <w:szCs w:val="2"/>
          <w:rtl/>
        </w:rPr>
        <w:t>5129371</w:t>
      </w:r>
    </w:p>
    <w:p w14:paraId="2151679D" w14:textId="77777777" w:rsidR="00A02288" w:rsidRPr="00612BDD" w:rsidRDefault="00612BDD" w:rsidP="00A02288">
      <w:pPr>
        <w:spacing w:line="360" w:lineRule="auto"/>
        <w:jc w:val="both"/>
        <w:rPr>
          <w:b/>
          <w:bCs/>
          <w:color w:val="FFFFFF"/>
          <w:sz w:val="2"/>
          <w:szCs w:val="2"/>
        </w:rPr>
      </w:pPr>
      <w:r w:rsidRPr="00612BDD">
        <w:rPr>
          <w:b/>
          <w:bCs/>
          <w:color w:val="FFFFFF"/>
          <w:sz w:val="2"/>
          <w:szCs w:val="2"/>
          <w:rtl/>
        </w:rPr>
        <w:t>54678313</w:t>
      </w:r>
    </w:p>
    <w:p w14:paraId="4B00BD43" w14:textId="77777777" w:rsidR="00A02288" w:rsidRPr="000F2247" w:rsidRDefault="00A02288" w:rsidP="00A02288">
      <w:pPr>
        <w:rPr>
          <w:rFonts w:ascii="Arial" w:hAnsi="Arial"/>
          <w:b/>
          <w:bCs/>
          <w:sz w:val="26"/>
          <w:szCs w:val="26"/>
          <w:rtl/>
        </w:rPr>
      </w:pPr>
    </w:p>
    <w:p w14:paraId="76699B43" w14:textId="77777777" w:rsidR="00A02288" w:rsidRPr="000F2247" w:rsidRDefault="00612BDD" w:rsidP="00A0228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אלול תשפ"ג, 10 ספטמבר 2023, במעמד הצדדים. </w:t>
      </w:r>
      <w:bookmarkEnd w:id="8"/>
      <w:r w:rsidR="00A02288">
        <w:rPr>
          <w:rFonts w:ascii="Arial" w:hAnsi="Arial"/>
          <w:b/>
          <w:bCs/>
          <w:sz w:val="26"/>
          <w:szCs w:val="26"/>
          <w:rtl/>
        </w:rPr>
        <w:tab/>
      </w:r>
      <w:r w:rsidR="00A02288">
        <w:rPr>
          <w:rFonts w:ascii="Arial" w:hAnsi="Arial"/>
          <w:b/>
          <w:bCs/>
          <w:sz w:val="26"/>
          <w:szCs w:val="26"/>
          <w:rtl/>
        </w:rPr>
        <w:tab/>
      </w:r>
      <w:r w:rsidR="00A02288">
        <w:rPr>
          <w:rFonts w:ascii="Arial" w:hAnsi="Arial"/>
          <w:b/>
          <w:bCs/>
          <w:sz w:val="26"/>
          <w:szCs w:val="26"/>
          <w:rtl/>
        </w:rPr>
        <w:tab/>
      </w:r>
      <w:r w:rsidR="00A02288">
        <w:rPr>
          <w:rFonts w:ascii="Arial" w:hAnsi="Arial"/>
          <w:b/>
          <w:bCs/>
          <w:sz w:val="26"/>
          <w:szCs w:val="26"/>
          <w:rtl/>
        </w:rPr>
        <w:tab/>
      </w:r>
      <w:r w:rsidR="00A02288">
        <w:rPr>
          <w:rFonts w:ascii="Arial" w:hAnsi="Arial"/>
          <w:b/>
          <w:bCs/>
          <w:sz w:val="26"/>
          <w:szCs w:val="26"/>
          <w:rtl/>
        </w:rPr>
        <w:tab/>
      </w:r>
      <w:r w:rsidR="00A02288">
        <w:rPr>
          <w:rFonts w:ascii="Arial" w:hAnsi="Arial"/>
          <w:b/>
          <w:bCs/>
          <w:sz w:val="26"/>
          <w:szCs w:val="26"/>
          <w:rtl/>
        </w:rPr>
        <w:tab/>
      </w:r>
      <w:r w:rsidR="00A02288">
        <w:rPr>
          <w:rFonts w:ascii="Arial" w:hAnsi="Arial"/>
          <w:b/>
          <w:bCs/>
          <w:sz w:val="26"/>
          <w:szCs w:val="26"/>
          <w:rtl/>
        </w:rPr>
        <w:tab/>
      </w:r>
      <w:r w:rsidR="00A02288">
        <w:rPr>
          <w:rFonts w:ascii="Arial" w:hAnsi="Arial" w:hint="cs"/>
          <w:b/>
          <w:bCs/>
          <w:sz w:val="26"/>
          <w:szCs w:val="26"/>
          <w:rtl/>
        </w:rPr>
        <w:t xml:space="preserve">         </w:t>
      </w:r>
    </w:p>
    <w:p w14:paraId="4C765712" w14:textId="77777777" w:rsidR="00A02288" w:rsidRPr="000F2247" w:rsidRDefault="00A02288" w:rsidP="00612BD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2F71F95" w14:textId="77777777" w:rsidR="00A02288" w:rsidRPr="005322BC" w:rsidRDefault="005322BC" w:rsidP="00A02288">
      <w:pPr>
        <w:jc w:val="center"/>
        <w:rPr>
          <w:rFonts w:ascii="Arial" w:hAnsi="Arial"/>
          <w:b/>
          <w:bCs/>
          <w:color w:val="FFFFFF"/>
          <w:sz w:val="2"/>
          <w:szCs w:val="2"/>
          <w:rtl/>
        </w:rPr>
      </w:pPr>
      <w:r w:rsidRPr="005322BC">
        <w:rPr>
          <w:rFonts w:ascii="Arial" w:hAnsi="Arial"/>
          <w:b/>
          <w:bCs/>
          <w:color w:val="FFFFFF"/>
          <w:sz w:val="2"/>
          <w:szCs w:val="2"/>
          <w:rtl/>
        </w:rPr>
        <w:t>5129371</w:t>
      </w:r>
    </w:p>
    <w:p w14:paraId="0D83935D" w14:textId="77777777" w:rsidR="00C923C1" w:rsidRPr="005322BC" w:rsidRDefault="005322BC" w:rsidP="00612BDD">
      <w:pPr>
        <w:keepNext/>
        <w:rPr>
          <w:rFonts w:ascii="David" w:hAnsi="David"/>
          <w:color w:val="FFFFFF"/>
          <w:sz w:val="2"/>
          <w:szCs w:val="2"/>
          <w:rtl/>
        </w:rPr>
      </w:pPr>
      <w:r w:rsidRPr="005322BC">
        <w:rPr>
          <w:rFonts w:ascii="David" w:hAnsi="David"/>
          <w:color w:val="FFFFFF"/>
          <w:sz w:val="2"/>
          <w:szCs w:val="2"/>
          <w:rtl/>
        </w:rPr>
        <w:t>54678313</w:t>
      </w:r>
    </w:p>
    <w:p w14:paraId="0BB9108F" w14:textId="77777777" w:rsidR="00612BDD" w:rsidRDefault="00612BDD" w:rsidP="00612BDD">
      <w:pPr>
        <w:rPr>
          <w:rtl/>
        </w:rPr>
      </w:pPr>
    </w:p>
    <w:p w14:paraId="55BCF326" w14:textId="77777777" w:rsidR="00612BDD" w:rsidRDefault="00612BDD" w:rsidP="00612BD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CC8D14B" w14:textId="77777777" w:rsidR="005322BC" w:rsidRPr="005322BC" w:rsidRDefault="005322BC" w:rsidP="005322BC">
      <w:pPr>
        <w:keepNext/>
        <w:rPr>
          <w:rFonts w:ascii="David" w:hAnsi="David"/>
          <w:color w:val="000000"/>
          <w:sz w:val="22"/>
          <w:szCs w:val="22"/>
          <w:rtl/>
        </w:rPr>
      </w:pPr>
    </w:p>
    <w:p w14:paraId="4F1217F1" w14:textId="77777777" w:rsidR="005322BC" w:rsidRPr="005322BC" w:rsidRDefault="005322BC" w:rsidP="005322BC">
      <w:pPr>
        <w:keepNext/>
        <w:rPr>
          <w:rFonts w:ascii="David" w:hAnsi="David"/>
          <w:color w:val="000000"/>
          <w:sz w:val="22"/>
          <w:szCs w:val="22"/>
          <w:rtl/>
        </w:rPr>
      </w:pPr>
      <w:r w:rsidRPr="005322BC">
        <w:rPr>
          <w:rFonts w:ascii="David" w:hAnsi="David"/>
          <w:color w:val="000000"/>
          <w:sz w:val="22"/>
          <w:szCs w:val="22"/>
          <w:rtl/>
        </w:rPr>
        <w:t>מרב גרינברג 54678313-/</w:t>
      </w:r>
    </w:p>
    <w:p w14:paraId="042D4F66" w14:textId="77777777" w:rsidR="00612BDD" w:rsidRPr="00612BDD" w:rsidRDefault="005322BC" w:rsidP="005322BC">
      <w:pPr>
        <w:rPr>
          <w:color w:val="0000FF"/>
          <w:u w:val="single"/>
        </w:rPr>
      </w:pPr>
      <w:r w:rsidRPr="005322BC">
        <w:rPr>
          <w:color w:val="000000"/>
          <w:u w:val="single"/>
          <w:rtl/>
        </w:rPr>
        <w:t>נוסח מסמך זה כפוף לשינויי ניסוח ועריכה</w:t>
      </w:r>
    </w:p>
    <w:sectPr w:rsidR="00612BDD" w:rsidRPr="00612BDD" w:rsidSect="005322BC">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74DD6" w14:textId="77777777" w:rsidR="000D5B13" w:rsidRDefault="000D5B13" w:rsidP="00483701">
      <w:r>
        <w:separator/>
      </w:r>
    </w:p>
  </w:endnote>
  <w:endnote w:type="continuationSeparator" w:id="0">
    <w:p w14:paraId="3E500D67" w14:textId="77777777" w:rsidR="000D5B13" w:rsidRDefault="000D5B13" w:rsidP="0048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644F" w14:textId="77777777" w:rsidR="005322BC" w:rsidRDefault="005322BC" w:rsidP="005322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BC14DF" w14:textId="77777777" w:rsidR="006654E0" w:rsidRPr="005322BC" w:rsidRDefault="005322BC" w:rsidP="005322BC">
    <w:pPr>
      <w:pStyle w:val="a5"/>
      <w:pBdr>
        <w:top w:val="single" w:sz="4" w:space="1" w:color="auto"/>
        <w:between w:val="single" w:sz="4" w:space="0" w:color="auto"/>
      </w:pBdr>
      <w:spacing w:after="60"/>
      <w:jc w:val="center"/>
      <w:rPr>
        <w:rFonts w:ascii="FrankRuehl" w:hAnsi="FrankRuehl" w:cs="FrankRuehl"/>
        <w:color w:val="000000"/>
      </w:rPr>
    </w:pPr>
    <w:r w:rsidRPr="005322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A2B64" w14:textId="77777777" w:rsidR="005322BC" w:rsidRDefault="005322BC" w:rsidP="005322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535B">
      <w:rPr>
        <w:rFonts w:ascii="FrankRuehl" w:hAnsi="FrankRuehl" w:cs="FrankRuehl"/>
        <w:noProof/>
        <w:rtl/>
      </w:rPr>
      <w:t>1</w:t>
    </w:r>
    <w:r>
      <w:rPr>
        <w:rFonts w:ascii="FrankRuehl" w:hAnsi="FrankRuehl" w:cs="FrankRuehl"/>
        <w:rtl/>
      </w:rPr>
      <w:fldChar w:fldCharType="end"/>
    </w:r>
  </w:p>
  <w:p w14:paraId="7D1F6E7F" w14:textId="77777777" w:rsidR="006654E0" w:rsidRPr="005322BC" w:rsidRDefault="005322BC" w:rsidP="005322BC">
    <w:pPr>
      <w:pStyle w:val="a5"/>
      <w:pBdr>
        <w:top w:val="single" w:sz="4" w:space="1" w:color="auto"/>
        <w:between w:val="single" w:sz="4" w:space="0" w:color="auto"/>
      </w:pBdr>
      <w:spacing w:after="60"/>
      <w:jc w:val="center"/>
      <w:rPr>
        <w:rFonts w:ascii="FrankRuehl" w:hAnsi="FrankRuehl" w:cs="FrankRuehl"/>
        <w:color w:val="000000"/>
      </w:rPr>
    </w:pPr>
    <w:r w:rsidRPr="005322BC">
      <w:rPr>
        <w:rFonts w:ascii="FrankRuehl" w:hAnsi="FrankRuehl" w:cs="FrankRuehl"/>
        <w:color w:val="000000"/>
      </w:rPr>
      <w:pict w14:anchorId="4C401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985C3" w14:textId="77777777" w:rsidR="000D5B13" w:rsidRDefault="000D5B13" w:rsidP="00483701">
      <w:r>
        <w:separator/>
      </w:r>
    </w:p>
  </w:footnote>
  <w:footnote w:type="continuationSeparator" w:id="0">
    <w:p w14:paraId="1AD92795" w14:textId="77777777" w:rsidR="000D5B13" w:rsidRDefault="000D5B13" w:rsidP="00483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9199B" w14:textId="77777777" w:rsidR="00612BDD" w:rsidRPr="005322BC" w:rsidRDefault="005322BC" w:rsidP="005322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20197-01-22</w:t>
    </w:r>
    <w:r>
      <w:rPr>
        <w:rFonts w:ascii="David" w:hAnsi="David"/>
        <w:color w:val="000000"/>
        <w:sz w:val="22"/>
        <w:szCs w:val="22"/>
        <w:rtl/>
      </w:rPr>
      <w:tab/>
      <w:t xml:space="preserve"> מדינת ישראל נ' יוסף חיים ערגי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DB747" w14:textId="77777777" w:rsidR="00612BDD" w:rsidRPr="005322BC" w:rsidRDefault="005322BC" w:rsidP="005322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20197-01-22</w:t>
    </w:r>
    <w:r>
      <w:rPr>
        <w:rFonts w:ascii="David" w:hAnsi="David"/>
        <w:color w:val="000000"/>
        <w:sz w:val="22"/>
        <w:szCs w:val="22"/>
        <w:rtl/>
      </w:rPr>
      <w:tab/>
      <w:t xml:space="preserve"> מדינת ישראל נ' יוסף חיים ערגי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402C3FF2"/>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6131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376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2288"/>
    <w:rsid w:val="000D4610"/>
    <w:rsid w:val="000D5B13"/>
    <w:rsid w:val="001B5A3B"/>
    <w:rsid w:val="00233870"/>
    <w:rsid w:val="002C66ED"/>
    <w:rsid w:val="003D69A1"/>
    <w:rsid w:val="00463BDC"/>
    <w:rsid w:val="00483701"/>
    <w:rsid w:val="005322BC"/>
    <w:rsid w:val="00602D7D"/>
    <w:rsid w:val="00612BDD"/>
    <w:rsid w:val="006654E0"/>
    <w:rsid w:val="00A02288"/>
    <w:rsid w:val="00B8535B"/>
    <w:rsid w:val="00C923C1"/>
    <w:rsid w:val="00EB59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800F58"/>
  <w15:chartTrackingRefBased/>
  <w15:docId w15:val="{86AD673E-EA5C-4EBA-BB95-68A4C5F0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22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2288"/>
    <w:pPr>
      <w:tabs>
        <w:tab w:val="center" w:pos="4153"/>
        <w:tab w:val="right" w:pos="8306"/>
      </w:tabs>
    </w:pPr>
  </w:style>
  <w:style w:type="character" w:customStyle="1" w:styleId="a4">
    <w:name w:val="כותרת עליונה תו"/>
    <w:link w:val="a3"/>
    <w:rsid w:val="00A02288"/>
    <w:rPr>
      <w:rFonts w:ascii="Times New Roman" w:eastAsia="Times New Roman" w:hAnsi="Times New Roman" w:cs="David"/>
      <w:sz w:val="24"/>
      <w:szCs w:val="24"/>
    </w:rPr>
  </w:style>
  <w:style w:type="paragraph" w:styleId="a5">
    <w:name w:val="footer"/>
    <w:basedOn w:val="a"/>
    <w:link w:val="a6"/>
    <w:rsid w:val="00A02288"/>
    <w:pPr>
      <w:tabs>
        <w:tab w:val="center" w:pos="4153"/>
        <w:tab w:val="right" w:pos="8306"/>
      </w:tabs>
    </w:pPr>
  </w:style>
  <w:style w:type="character" w:customStyle="1" w:styleId="a6">
    <w:name w:val="כותרת תחתונה תו"/>
    <w:link w:val="a5"/>
    <w:rsid w:val="00A02288"/>
    <w:rPr>
      <w:rFonts w:ascii="Times New Roman" w:eastAsia="Times New Roman" w:hAnsi="Times New Roman" w:cs="David"/>
      <w:sz w:val="24"/>
      <w:szCs w:val="24"/>
    </w:rPr>
  </w:style>
  <w:style w:type="table" w:styleId="a7">
    <w:name w:val="Table Grid"/>
    <w:basedOn w:val="a1"/>
    <w:rsid w:val="00A022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2288"/>
  </w:style>
  <w:style w:type="paragraph" w:styleId="a9">
    <w:name w:val="List Paragraph"/>
    <w:basedOn w:val="a"/>
    <w:qFormat/>
    <w:rsid w:val="00A02288"/>
    <w:pPr>
      <w:ind w:left="720"/>
      <w:contextualSpacing/>
    </w:pPr>
    <w:rPr>
      <w:rFonts w:ascii="David" w:eastAsia="David" w:hAnsi="David"/>
    </w:rPr>
  </w:style>
  <w:style w:type="character" w:styleId="Hyperlink">
    <w:name w:val="Hyperlink"/>
    <w:rsid w:val="00612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8226828" TargetMode="External"/><Relationship Id="rId26" Type="http://schemas.openxmlformats.org/officeDocument/2006/relationships/hyperlink" Target="http://www.nevo.co.il/case/26418332" TargetMode="External"/><Relationship Id="rId39" Type="http://schemas.openxmlformats.org/officeDocument/2006/relationships/header" Target="header2.xml"/><Relationship Id="rId21" Type="http://schemas.openxmlformats.org/officeDocument/2006/relationships/hyperlink" Target="http://www.nevo.co.il/case/26535850" TargetMode="External"/><Relationship Id="rId34" Type="http://schemas.openxmlformats.org/officeDocument/2006/relationships/hyperlink" Target="http://www.nevo.co.il/case/6824952"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0" Type="http://schemas.openxmlformats.org/officeDocument/2006/relationships/hyperlink" Target="http://www.nevo.co.il/case/22841413" TargetMode="External"/><Relationship Id="rId29" Type="http://schemas.openxmlformats.org/officeDocument/2006/relationships/hyperlink" Target="http://www.nevo.co.il/case/2513581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8623297" TargetMode="External"/><Relationship Id="rId32" Type="http://schemas.openxmlformats.org/officeDocument/2006/relationships/hyperlink" Target="http://www.nevo.co.il/law/70301/40d"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case/26498302" TargetMode="External"/><Relationship Id="rId36" Type="http://schemas.openxmlformats.org/officeDocument/2006/relationships/hyperlink" Target="http://www.nevo.co.il/case/28872038"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5464716"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3070717" TargetMode="External"/><Relationship Id="rId27" Type="http://schemas.openxmlformats.org/officeDocument/2006/relationships/hyperlink" Target="http://www.nevo.co.il/case/28226828" TargetMode="External"/><Relationship Id="rId30" Type="http://schemas.openxmlformats.org/officeDocument/2006/relationships/hyperlink" Target="http://www.nevo.co.il/case/22527622" TargetMode="External"/><Relationship Id="rId35" Type="http://schemas.openxmlformats.org/officeDocument/2006/relationships/hyperlink" Target="http://www.nevo.co.il/case/28437031"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0"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41413" TargetMode="External"/><Relationship Id="rId33" Type="http://schemas.openxmlformats.org/officeDocument/2006/relationships/hyperlink" Target="http://www.nevo.co.il/case/5601732"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2595</Words>
  <Characters>12979</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15543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3866747</vt:i4>
      </vt:variant>
      <vt:variant>
        <vt:i4>87</vt:i4>
      </vt:variant>
      <vt:variant>
        <vt:i4>0</vt:i4>
      </vt:variant>
      <vt:variant>
        <vt:i4>5</vt:i4>
      </vt:variant>
      <vt:variant>
        <vt:lpwstr>http://www.nevo.co.il/case/28872038</vt:lpwstr>
      </vt:variant>
      <vt:variant>
        <vt:lpwstr/>
      </vt:variant>
      <vt:variant>
        <vt:i4>3276927</vt:i4>
      </vt:variant>
      <vt:variant>
        <vt:i4>84</vt:i4>
      </vt:variant>
      <vt:variant>
        <vt:i4>0</vt:i4>
      </vt:variant>
      <vt:variant>
        <vt:i4>5</vt:i4>
      </vt:variant>
      <vt:variant>
        <vt:lpwstr>http://www.nevo.co.il/case/28437031</vt:lpwstr>
      </vt:variant>
      <vt:variant>
        <vt:lpwstr/>
      </vt:variant>
      <vt:variant>
        <vt:i4>4128893</vt:i4>
      </vt:variant>
      <vt:variant>
        <vt:i4>81</vt:i4>
      </vt:variant>
      <vt:variant>
        <vt:i4>0</vt:i4>
      </vt:variant>
      <vt:variant>
        <vt:i4>5</vt:i4>
      </vt:variant>
      <vt:variant>
        <vt:lpwstr>http://www.nevo.co.il/case/6824952</vt:lpwstr>
      </vt:variant>
      <vt:variant>
        <vt:lpwstr/>
      </vt:variant>
      <vt:variant>
        <vt:i4>3145840</vt:i4>
      </vt:variant>
      <vt:variant>
        <vt:i4>78</vt:i4>
      </vt:variant>
      <vt:variant>
        <vt:i4>0</vt:i4>
      </vt:variant>
      <vt:variant>
        <vt:i4>5</vt:i4>
      </vt:variant>
      <vt:variant>
        <vt:lpwstr>http://www.nevo.co.il/case/5601732</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3342448</vt:i4>
      </vt:variant>
      <vt:variant>
        <vt:i4>72</vt:i4>
      </vt:variant>
      <vt:variant>
        <vt:i4>0</vt:i4>
      </vt:variant>
      <vt:variant>
        <vt:i4>5</vt:i4>
      </vt:variant>
      <vt:variant>
        <vt:lpwstr>http://www.nevo.co.il/case/25464716</vt:lpwstr>
      </vt:variant>
      <vt:variant>
        <vt:lpwstr/>
      </vt:variant>
      <vt:variant>
        <vt:i4>3276914</vt:i4>
      </vt:variant>
      <vt:variant>
        <vt:i4>69</vt:i4>
      </vt:variant>
      <vt:variant>
        <vt:i4>0</vt:i4>
      </vt:variant>
      <vt:variant>
        <vt:i4>5</vt:i4>
      </vt:variant>
      <vt:variant>
        <vt:lpwstr>http://www.nevo.co.il/case/22527622</vt:lpwstr>
      </vt:variant>
      <vt:variant>
        <vt:lpwstr/>
      </vt:variant>
      <vt:variant>
        <vt:i4>3604602</vt:i4>
      </vt:variant>
      <vt:variant>
        <vt:i4>66</vt:i4>
      </vt:variant>
      <vt:variant>
        <vt:i4>0</vt:i4>
      </vt:variant>
      <vt:variant>
        <vt:i4>5</vt:i4>
      </vt:variant>
      <vt:variant>
        <vt:lpwstr>http://www.nevo.co.il/case/25135813</vt:lpwstr>
      </vt:variant>
      <vt:variant>
        <vt:lpwstr/>
      </vt:variant>
      <vt:variant>
        <vt:i4>4063352</vt:i4>
      </vt:variant>
      <vt:variant>
        <vt:i4>63</vt:i4>
      </vt:variant>
      <vt:variant>
        <vt:i4>0</vt:i4>
      </vt:variant>
      <vt:variant>
        <vt:i4>5</vt:i4>
      </vt:variant>
      <vt:variant>
        <vt:lpwstr>http://www.nevo.co.il/case/26498302</vt:lpwstr>
      </vt:variant>
      <vt:variant>
        <vt:lpwstr/>
      </vt:variant>
      <vt:variant>
        <vt:i4>3407990</vt:i4>
      </vt:variant>
      <vt:variant>
        <vt:i4>60</vt:i4>
      </vt:variant>
      <vt:variant>
        <vt:i4>0</vt:i4>
      </vt:variant>
      <vt:variant>
        <vt:i4>5</vt:i4>
      </vt:variant>
      <vt:variant>
        <vt:lpwstr>http://www.nevo.co.il/case/28226828</vt:lpwstr>
      </vt:variant>
      <vt:variant>
        <vt:lpwstr/>
      </vt:variant>
      <vt:variant>
        <vt:i4>3997808</vt:i4>
      </vt:variant>
      <vt:variant>
        <vt:i4>57</vt:i4>
      </vt:variant>
      <vt:variant>
        <vt:i4>0</vt:i4>
      </vt:variant>
      <vt:variant>
        <vt:i4>5</vt:i4>
      </vt:variant>
      <vt:variant>
        <vt:lpwstr>http://www.nevo.co.il/case/26418332</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4063356</vt:i4>
      </vt:variant>
      <vt:variant>
        <vt:i4>51</vt:i4>
      </vt:variant>
      <vt:variant>
        <vt:i4>0</vt:i4>
      </vt:variant>
      <vt:variant>
        <vt:i4>5</vt:i4>
      </vt:variant>
      <vt:variant>
        <vt:lpwstr>http://www.nevo.co.il/case/28623297</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3145847</vt:i4>
      </vt:variant>
      <vt:variant>
        <vt:i4>45</vt:i4>
      </vt:variant>
      <vt:variant>
        <vt:i4>0</vt:i4>
      </vt:variant>
      <vt:variant>
        <vt:i4>5</vt:i4>
      </vt:variant>
      <vt:variant>
        <vt:lpwstr>http://www.nevo.co.il/case/13070717</vt:lpwstr>
      </vt:variant>
      <vt:variant>
        <vt:lpwstr/>
      </vt:variant>
      <vt:variant>
        <vt:i4>3604601</vt:i4>
      </vt:variant>
      <vt:variant>
        <vt:i4>42</vt:i4>
      </vt:variant>
      <vt:variant>
        <vt:i4>0</vt:i4>
      </vt:variant>
      <vt:variant>
        <vt:i4>5</vt:i4>
      </vt:variant>
      <vt:variant>
        <vt:lpwstr>http://www.nevo.co.il/case/26535850</vt:lpwstr>
      </vt:variant>
      <vt:variant>
        <vt:lpwstr/>
      </vt:variant>
      <vt:variant>
        <vt:i4>3801206</vt:i4>
      </vt:variant>
      <vt:variant>
        <vt:i4>39</vt:i4>
      </vt:variant>
      <vt:variant>
        <vt:i4>0</vt:i4>
      </vt:variant>
      <vt:variant>
        <vt:i4>5</vt:i4>
      </vt:variant>
      <vt:variant>
        <vt:lpwstr>http://www.nevo.co.il/case/22841413</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3407990</vt:i4>
      </vt:variant>
      <vt:variant>
        <vt:i4>33</vt:i4>
      </vt:variant>
      <vt:variant>
        <vt:i4>0</vt:i4>
      </vt:variant>
      <vt:variant>
        <vt:i4>5</vt:i4>
      </vt:variant>
      <vt:variant>
        <vt:lpwstr>http://www.nevo.co.il/case/28226828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http://www.nevo.co.il/law/70301/400</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2025-04-22T21:17:00Z</dcterms:created>
  <dcterms:modified xsi:type="dcterms:W3CDTF">2025-04-22T21:17:00Z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20197</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חיים ערגי</vt:lpwstr>
  </property>
  <property fmtid="{D5CDD505-2E9C-101B-9397-08002B2CF9AE}" pid="10" name="LAWYER">
    <vt:lpwstr>דודי ענבר;רן קרויט</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20230910</vt:lpwstr>
  </property>
  <property fmtid="{D5CDD505-2E9C-101B-9397-08002B2CF9AE}" pid="14" name="TYPE_N_DATE">
    <vt:lpwstr>39020230910</vt:lpwstr>
  </property>
  <property fmtid="{D5CDD505-2E9C-101B-9397-08002B2CF9AE}" pid="15" name="WORDNUMPAGES">
    <vt:lpwstr>8</vt:lpwstr>
  </property>
  <property fmtid="{D5CDD505-2E9C-101B-9397-08002B2CF9AE}" pid="16" name="TYPE_ABS_DATE">
    <vt:lpwstr>390020230910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28226828:2;23827604;22841413:2;26535850;13070717;21644133;28623297;26418332;26498302;25135813;22527622;25464716;5601732;6824952;28437031;28872038</vt:lpwstr>
  </property>
  <property fmtid="{D5CDD505-2E9C-101B-9397-08002B2CF9AE}" pid="36" name="LAWLISTTMP1">
    <vt:lpwstr>4216/006;010</vt:lpwstr>
  </property>
  <property fmtid="{D5CDD505-2E9C-101B-9397-08002B2CF9AE}" pid="37" name="LAWLISTTMP2">
    <vt:lpwstr>70301/400;040d</vt:lpwstr>
  </property>
</Properties>
</file>