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0E1B6" w14:textId="77777777" w:rsidR="006472BE" w:rsidRDefault="006472BE" w:rsidP="006472BE">
      <w:pPr>
        <w:pStyle w:val="a3"/>
        <w:rPr>
          <w:rtl/>
        </w:rPr>
      </w:pPr>
    </w:p>
    <w:tbl>
      <w:tblPr>
        <w:bidiVisual/>
        <w:tblW w:w="0" w:type="auto"/>
        <w:jc w:val="center"/>
        <w:tblLook w:val="0000" w:firstRow="0" w:lastRow="0" w:firstColumn="0" w:lastColumn="0" w:noHBand="0" w:noVBand="0"/>
      </w:tblPr>
      <w:tblGrid>
        <w:gridCol w:w="5131"/>
        <w:gridCol w:w="3730"/>
      </w:tblGrid>
      <w:tr w:rsidR="004B7AC9" w:rsidRPr="006472BE" w14:paraId="3D452F3F" w14:textId="77777777" w:rsidTr="00D23BA1">
        <w:trPr>
          <w:trHeight w:hRule="exact" w:val="418"/>
          <w:jc w:val="center"/>
        </w:trPr>
        <w:tc>
          <w:tcPr>
            <w:tcW w:w="8861" w:type="dxa"/>
            <w:gridSpan w:val="2"/>
          </w:tcPr>
          <w:p w14:paraId="52FFE01A" w14:textId="77777777" w:rsidR="004B7AC9" w:rsidRPr="006472BE" w:rsidRDefault="004B7AC9" w:rsidP="00D23BA1">
            <w:pPr>
              <w:pStyle w:val="a3"/>
              <w:jc w:val="center"/>
              <w:rPr>
                <w:rFonts w:ascii="Tahoma" w:hAnsi="Tahoma"/>
                <w:color w:val="000080"/>
                <w:sz w:val="32"/>
                <w:szCs w:val="32"/>
                <w:rtl/>
              </w:rPr>
            </w:pPr>
            <w:r w:rsidRPr="006472BE">
              <w:rPr>
                <w:rFonts w:ascii="Tahoma" w:hAnsi="Tahoma"/>
                <w:b/>
                <w:bCs/>
                <w:color w:val="000080"/>
                <w:sz w:val="32"/>
                <w:szCs w:val="32"/>
                <w:rtl/>
              </w:rPr>
              <w:t>בית המשפט המחוזי בתל אביב -יפו</w:t>
            </w:r>
          </w:p>
        </w:tc>
      </w:tr>
      <w:tr w:rsidR="004B7AC9" w:rsidRPr="006472BE" w14:paraId="5ECC69F7" w14:textId="77777777" w:rsidTr="00D23BA1">
        <w:trPr>
          <w:trHeight w:val="337"/>
          <w:jc w:val="center"/>
        </w:trPr>
        <w:tc>
          <w:tcPr>
            <w:tcW w:w="5131" w:type="dxa"/>
          </w:tcPr>
          <w:p w14:paraId="223249A6" w14:textId="77777777" w:rsidR="004B7AC9" w:rsidRPr="006472BE" w:rsidRDefault="004B7AC9" w:rsidP="00D23BA1">
            <w:pPr>
              <w:rPr>
                <w:rFonts w:ascii="David" w:hAnsi="David"/>
                <w:b/>
                <w:bCs/>
                <w:sz w:val="26"/>
                <w:szCs w:val="26"/>
                <w:rtl/>
              </w:rPr>
            </w:pPr>
            <w:r w:rsidRPr="006472BE">
              <w:rPr>
                <w:rFonts w:ascii="David" w:hAnsi="David"/>
                <w:b/>
                <w:bCs/>
                <w:sz w:val="26"/>
                <w:szCs w:val="26"/>
                <w:rtl/>
              </w:rPr>
              <w:t>ת"פ 46978-01-22 מדינת ישראל נ' גרבניק</w:t>
            </w:r>
          </w:p>
          <w:p w14:paraId="7E401CE6" w14:textId="77777777" w:rsidR="004B7AC9" w:rsidRPr="006472BE" w:rsidRDefault="004B7AC9" w:rsidP="00D23BA1">
            <w:pPr>
              <w:pStyle w:val="a3"/>
              <w:rPr>
                <w:rFonts w:ascii="David" w:hAnsi="David"/>
                <w:b/>
                <w:bCs/>
                <w:sz w:val="28"/>
                <w:szCs w:val="28"/>
                <w:rtl/>
              </w:rPr>
            </w:pPr>
          </w:p>
        </w:tc>
        <w:tc>
          <w:tcPr>
            <w:tcW w:w="3730" w:type="dxa"/>
          </w:tcPr>
          <w:p w14:paraId="7CA19B36" w14:textId="77777777" w:rsidR="004B7AC9" w:rsidRPr="006472BE" w:rsidRDefault="004B7AC9" w:rsidP="00D23BA1">
            <w:pPr>
              <w:pStyle w:val="a3"/>
              <w:jc w:val="right"/>
              <w:rPr>
                <w:rFonts w:ascii="David" w:hAnsi="David"/>
                <w:b/>
                <w:bCs/>
                <w:sz w:val="28"/>
                <w:szCs w:val="28"/>
                <w:rtl/>
              </w:rPr>
            </w:pPr>
            <w:r w:rsidRPr="006472BE">
              <w:rPr>
                <w:rFonts w:ascii="David" w:hAnsi="David"/>
                <w:b/>
                <w:bCs/>
                <w:sz w:val="28"/>
                <w:szCs w:val="28"/>
                <w:rtl/>
              </w:rPr>
              <w:t>5 ספטמבר 2023</w:t>
            </w:r>
          </w:p>
        </w:tc>
      </w:tr>
    </w:tbl>
    <w:p w14:paraId="630A129A" w14:textId="77777777" w:rsidR="004B7AC9" w:rsidRPr="006472BE" w:rsidRDefault="004B7AC9" w:rsidP="004B7AC9">
      <w:pPr>
        <w:pStyle w:val="a3"/>
        <w:rPr>
          <w:rtl/>
        </w:rPr>
      </w:pPr>
      <w:r w:rsidRPr="006472BE">
        <w:rPr>
          <w:rFonts w:hint="cs"/>
          <w:rtl/>
        </w:rPr>
        <w:t xml:space="preserve"> </w:t>
      </w:r>
    </w:p>
    <w:p w14:paraId="1478910A" w14:textId="77777777" w:rsidR="004B7AC9" w:rsidRPr="006472BE" w:rsidRDefault="004B7AC9" w:rsidP="004B7AC9">
      <w:pPr>
        <w:rPr>
          <w:rtl/>
        </w:rPr>
      </w:pPr>
    </w:p>
    <w:p w14:paraId="7060E01B" w14:textId="77777777" w:rsidR="004B7AC9" w:rsidRPr="006472BE" w:rsidRDefault="004B7AC9" w:rsidP="004B7AC9">
      <w:pPr>
        <w:rPr>
          <w:rtl/>
        </w:rPr>
      </w:pPr>
    </w:p>
    <w:tbl>
      <w:tblPr>
        <w:bidiVisual/>
        <w:tblW w:w="8086" w:type="dxa"/>
        <w:tblInd w:w="688" w:type="dxa"/>
        <w:tblLook w:val="01E0" w:firstRow="1" w:lastRow="1" w:firstColumn="1" w:lastColumn="1" w:noHBand="0" w:noVBand="0"/>
      </w:tblPr>
      <w:tblGrid>
        <w:gridCol w:w="2164"/>
        <w:gridCol w:w="5866"/>
        <w:gridCol w:w="56"/>
      </w:tblGrid>
      <w:tr w:rsidR="004B7AC9" w:rsidRPr="006472BE" w14:paraId="583D2F02" w14:textId="77777777" w:rsidTr="004B7AC9">
        <w:trPr>
          <w:gridAfter w:val="1"/>
          <w:wAfter w:w="56" w:type="dxa"/>
        </w:trPr>
        <w:tc>
          <w:tcPr>
            <w:tcW w:w="8030" w:type="dxa"/>
            <w:gridSpan w:val="2"/>
            <w:shd w:val="clear" w:color="auto" w:fill="auto"/>
          </w:tcPr>
          <w:p w14:paraId="4F8263D8" w14:textId="77777777" w:rsidR="004B7AC9" w:rsidRPr="006472BE" w:rsidRDefault="004B7AC9" w:rsidP="004B7AC9">
            <w:pPr>
              <w:spacing w:line="360" w:lineRule="auto"/>
              <w:rPr>
                <w:rFonts w:ascii="David" w:hAnsi="David"/>
                <w:b/>
                <w:bCs/>
                <w:rtl/>
              </w:rPr>
            </w:pPr>
            <w:r w:rsidRPr="006472BE">
              <w:rPr>
                <w:rFonts w:ascii="David" w:hAnsi="David" w:hint="cs"/>
                <w:b/>
                <w:bCs/>
                <w:rtl/>
              </w:rPr>
              <w:t>בפני כב' השופט בני שגיא, סגן נשיא</w:t>
            </w:r>
          </w:p>
        </w:tc>
      </w:tr>
      <w:tr w:rsidR="004B7AC9" w:rsidRPr="006472BE" w14:paraId="1C88F858" w14:textId="77777777" w:rsidTr="004B7AC9">
        <w:trPr>
          <w:cantSplit/>
          <w:trHeight w:val="724"/>
        </w:trPr>
        <w:tc>
          <w:tcPr>
            <w:tcW w:w="2164" w:type="dxa"/>
            <w:shd w:val="clear" w:color="auto" w:fill="auto"/>
          </w:tcPr>
          <w:p w14:paraId="3E413BE4" w14:textId="77777777" w:rsidR="004B7AC9" w:rsidRPr="006472BE" w:rsidRDefault="004B7AC9" w:rsidP="00D23BA1">
            <w:pPr>
              <w:rPr>
                <w:rFonts w:ascii="David" w:hAnsi="David"/>
                <w:b/>
                <w:bCs/>
                <w:rtl/>
              </w:rPr>
            </w:pPr>
            <w:bookmarkStart w:id="0" w:name="FirstAppellant"/>
            <w:bookmarkStart w:id="1" w:name="FirstLawyer"/>
            <w:bookmarkStart w:id="2" w:name="LastJudge"/>
            <w:bookmarkEnd w:id="2"/>
          </w:p>
          <w:p w14:paraId="67A35D56" w14:textId="77777777" w:rsidR="004B7AC9" w:rsidRPr="006472BE" w:rsidRDefault="004B7AC9" w:rsidP="00D23BA1">
            <w:pPr>
              <w:rPr>
                <w:rFonts w:ascii="David" w:hAnsi="David"/>
                <w:b/>
                <w:bCs/>
                <w:rtl/>
              </w:rPr>
            </w:pPr>
            <w:r w:rsidRPr="006472BE">
              <w:rPr>
                <w:rFonts w:ascii="David" w:hAnsi="David" w:hint="cs"/>
                <w:b/>
                <w:bCs/>
                <w:rtl/>
              </w:rPr>
              <w:t>ה</w:t>
            </w:r>
            <w:r w:rsidRPr="006472BE">
              <w:rPr>
                <w:rFonts w:ascii="David" w:hAnsi="David"/>
                <w:b/>
                <w:bCs/>
                <w:rtl/>
              </w:rPr>
              <w:t>מאשימה</w:t>
            </w:r>
          </w:p>
        </w:tc>
        <w:tc>
          <w:tcPr>
            <w:tcW w:w="5922" w:type="dxa"/>
            <w:gridSpan w:val="2"/>
            <w:shd w:val="clear" w:color="auto" w:fill="auto"/>
          </w:tcPr>
          <w:p w14:paraId="01409F56" w14:textId="77777777" w:rsidR="004B7AC9" w:rsidRPr="006472BE" w:rsidRDefault="004B7AC9" w:rsidP="00D23BA1">
            <w:pPr>
              <w:rPr>
                <w:rFonts w:ascii="David" w:hAnsi="David"/>
                <w:rtl/>
              </w:rPr>
            </w:pPr>
          </w:p>
          <w:p w14:paraId="272D59B8" w14:textId="77777777" w:rsidR="004B7AC9" w:rsidRPr="006472BE" w:rsidRDefault="004B7AC9" w:rsidP="004B7AC9">
            <w:pPr>
              <w:spacing w:line="360" w:lineRule="auto"/>
              <w:rPr>
                <w:rFonts w:ascii="David" w:hAnsi="David"/>
                <w:rtl/>
              </w:rPr>
            </w:pPr>
            <w:r w:rsidRPr="006472BE">
              <w:rPr>
                <w:rFonts w:ascii="David" w:hAnsi="David" w:hint="cs"/>
                <w:rtl/>
              </w:rPr>
              <w:t xml:space="preserve"> </w:t>
            </w:r>
            <w:r w:rsidRPr="006472BE">
              <w:rPr>
                <w:rFonts w:ascii="David" w:hAnsi="David"/>
                <w:b/>
                <w:bCs/>
                <w:rtl/>
              </w:rPr>
              <w:t>מדינת ישראל</w:t>
            </w:r>
          </w:p>
          <w:p w14:paraId="11D7B985" w14:textId="77777777" w:rsidR="004B7AC9" w:rsidRPr="006472BE" w:rsidRDefault="004B7AC9" w:rsidP="004B7AC9">
            <w:pPr>
              <w:spacing w:line="360" w:lineRule="auto"/>
              <w:rPr>
                <w:rFonts w:ascii="David" w:hAnsi="David"/>
                <w:rtl/>
              </w:rPr>
            </w:pPr>
            <w:r w:rsidRPr="006472BE">
              <w:rPr>
                <w:rFonts w:ascii="David" w:hAnsi="David" w:hint="cs"/>
                <w:rtl/>
              </w:rPr>
              <w:t>על-ידי ב"כ עו"ד דניאל באר</w:t>
            </w:r>
          </w:p>
          <w:p w14:paraId="1BF4E1D9" w14:textId="77777777" w:rsidR="004B7AC9" w:rsidRPr="006472BE" w:rsidRDefault="004B7AC9" w:rsidP="00D23BA1">
            <w:pPr>
              <w:rPr>
                <w:rFonts w:ascii="David" w:hAnsi="David"/>
                <w:b/>
                <w:bCs/>
                <w:rtl/>
              </w:rPr>
            </w:pPr>
          </w:p>
        </w:tc>
      </w:tr>
      <w:bookmarkEnd w:id="0"/>
      <w:bookmarkEnd w:id="1"/>
      <w:tr w:rsidR="004B7AC9" w:rsidRPr="006472BE" w14:paraId="640973E8" w14:textId="77777777" w:rsidTr="004B7AC9">
        <w:tc>
          <w:tcPr>
            <w:tcW w:w="8086" w:type="dxa"/>
            <w:gridSpan w:val="3"/>
            <w:shd w:val="clear" w:color="auto" w:fill="auto"/>
            <w:vAlign w:val="center"/>
          </w:tcPr>
          <w:p w14:paraId="4DAC1422" w14:textId="77777777" w:rsidR="004B7AC9" w:rsidRPr="006472BE" w:rsidRDefault="004B7AC9" w:rsidP="004B7AC9">
            <w:pPr>
              <w:jc w:val="center"/>
              <w:rPr>
                <w:rFonts w:ascii="David" w:hAnsi="David"/>
                <w:b/>
                <w:bCs/>
                <w:rtl/>
              </w:rPr>
            </w:pPr>
          </w:p>
          <w:p w14:paraId="5D8D3B79" w14:textId="77777777" w:rsidR="004B7AC9" w:rsidRPr="006472BE" w:rsidRDefault="004B7AC9" w:rsidP="004B7AC9">
            <w:pPr>
              <w:jc w:val="center"/>
              <w:rPr>
                <w:rFonts w:ascii="David" w:hAnsi="David"/>
                <w:b/>
                <w:bCs/>
                <w:rtl/>
              </w:rPr>
            </w:pPr>
            <w:r w:rsidRPr="006472BE">
              <w:rPr>
                <w:rFonts w:ascii="David" w:hAnsi="David" w:hint="cs"/>
                <w:b/>
                <w:bCs/>
                <w:rtl/>
              </w:rPr>
              <w:t>נגד</w:t>
            </w:r>
          </w:p>
          <w:p w14:paraId="0E2F6E52" w14:textId="77777777" w:rsidR="004B7AC9" w:rsidRPr="006472BE" w:rsidRDefault="004B7AC9" w:rsidP="004B7AC9">
            <w:pPr>
              <w:jc w:val="center"/>
              <w:rPr>
                <w:rFonts w:ascii="David" w:hAnsi="David"/>
                <w:b/>
                <w:bCs/>
                <w:rtl/>
              </w:rPr>
            </w:pPr>
          </w:p>
          <w:p w14:paraId="4CA7FFB4" w14:textId="77777777" w:rsidR="004B7AC9" w:rsidRPr="006472BE" w:rsidRDefault="004B7AC9" w:rsidP="004B7AC9">
            <w:pPr>
              <w:jc w:val="center"/>
              <w:rPr>
                <w:rFonts w:ascii="David" w:hAnsi="David"/>
                <w:b/>
                <w:bCs/>
                <w:rtl/>
              </w:rPr>
            </w:pPr>
          </w:p>
        </w:tc>
      </w:tr>
      <w:tr w:rsidR="004B7AC9" w:rsidRPr="006472BE" w14:paraId="7FA9A386" w14:textId="77777777" w:rsidTr="004B7AC9">
        <w:tc>
          <w:tcPr>
            <w:tcW w:w="2164" w:type="dxa"/>
            <w:shd w:val="clear" w:color="auto" w:fill="auto"/>
          </w:tcPr>
          <w:p w14:paraId="59B06B1D" w14:textId="77777777" w:rsidR="004B7AC9" w:rsidRPr="006472BE" w:rsidRDefault="004B7AC9" w:rsidP="00D23BA1">
            <w:pPr>
              <w:rPr>
                <w:rFonts w:ascii="David" w:hAnsi="David"/>
                <w:b/>
                <w:bCs/>
                <w:rtl/>
              </w:rPr>
            </w:pPr>
            <w:r w:rsidRPr="006472BE">
              <w:rPr>
                <w:rFonts w:ascii="David" w:hAnsi="David" w:hint="cs"/>
                <w:b/>
                <w:bCs/>
                <w:rtl/>
              </w:rPr>
              <w:t>הנאשם</w:t>
            </w:r>
          </w:p>
        </w:tc>
        <w:tc>
          <w:tcPr>
            <w:tcW w:w="5922" w:type="dxa"/>
            <w:gridSpan w:val="2"/>
            <w:shd w:val="clear" w:color="auto" w:fill="auto"/>
          </w:tcPr>
          <w:p w14:paraId="600A1D96" w14:textId="77777777" w:rsidR="004B7AC9" w:rsidRPr="006472BE" w:rsidRDefault="004B7AC9" w:rsidP="004B7AC9">
            <w:pPr>
              <w:spacing w:line="360" w:lineRule="auto"/>
              <w:rPr>
                <w:rFonts w:ascii="David" w:hAnsi="David"/>
                <w:rtl/>
              </w:rPr>
            </w:pPr>
            <w:r w:rsidRPr="006472BE">
              <w:rPr>
                <w:rFonts w:ascii="David" w:hAnsi="David"/>
                <w:rtl/>
              </w:rPr>
              <w:t xml:space="preserve"> </w:t>
            </w:r>
            <w:r w:rsidRPr="006472BE">
              <w:rPr>
                <w:rFonts w:ascii="David" w:hAnsi="David"/>
                <w:b/>
                <w:bCs/>
                <w:rtl/>
              </w:rPr>
              <w:t>אלכסיי גרבניק</w:t>
            </w:r>
            <w:r w:rsidRPr="006472BE">
              <w:rPr>
                <w:rFonts w:hint="cs"/>
                <w:rtl/>
              </w:rPr>
              <w:t xml:space="preserve"> </w:t>
            </w:r>
            <w:r w:rsidRPr="006472BE">
              <w:rPr>
                <w:b/>
                <w:bCs/>
                <w:rtl/>
              </w:rPr>
              <w:t>ת"ז</w:t>
            </w:r>
            <w:r w:rsidRPr="006472BE">
              <w:rPr>
                <w:rFonts w:hint="cs"/>
                <w:b/>
                <w:bCs/>
                <w:rtl/>
              </w:rPr>
              <w:t xml:space="preserve"> </w:t>
            </w:r>
            <w:r w:rsidR="006472BE">
              <w:rPr>
                <w:b/>
                <w:bCs/>
              </w:rPr>
              <w:t>xxxxxxxxxx</w:t>
            </w:r>
          </w:p>
          <w:p w14:paraId="7F1DEC77" w14:textId="77777777" w:rsidR="004B7AC9" w:rsidRPr="006472BE" w:rsidRDefault="004B7AC9" w:rsidP="004B7AC9">
            <w:pPr>
              <w:spacing w:line="360" w:lineRule="auto"/>
              <w:rPr>
                <w:rFonts w:ascii="David" w:hAnsi="David"/>
              </w:rPr>
            </w:pPr>
            <w:r w:rsidRPr="006472BE">
              <w:rPr>
                <w:rFonts w:ascii="David" w:hAnsi="David" w:hint="cs"/>
                <w:rtl/>
              </w:rPr>
              <w:t>על-ידי ב"כ עו"ד שירן גולברי</w:t>
            </w:r>
          </w:p>
          <w:p w14:paraId="3A057D6D" w14:textId="77777777" w:rsidR="004B7AC9" w:rsidRPr="006472BE" w:rsidRDefault="004B7AC9" w:rsidP="00D23BA1">
            <w:pPr>
              <w:rPr>
                <w:rFonts w:ascii="David" w:hAnsi="David"/>
                <w:b/>
                <w:bCs/>
                <w:rtl/>
              </w:rPr>
            </w:pPr>
          </w:p>
        </w:tc>
      </w:tr>
    </w:tbl>
    <w:p w14:paraId="29F33F39" w14:textId="77777777" w:rsidR="004A7D6E" w:rsidRPr="006472BE" w:rsidRDefault="004A7D6E" w:rsidP="004A7D6E">
      <w:pPr>
        <w:pStyle w:val="a3"/>
        <w:rPr>
          <w:rtl/>
        </w:rPr>
      </w:pPr>
    </w:p>
    <w:p w14:paraId="73CD24C7" w14:textId="77777777" w:rsidR="004A7D6E" w:rsidRPr="004A7D6E" w:rsidRDefault="004A7D6E" w:rsidP="004A7D6E">
      <w:pPr>
        <w:pStyle w:val="12"/>
        <w:spacing w:before="120" w:after="120" w:line="240" w:lineRule="exact"/>
        <w:ind w:left="283" w:hanging="283"/>
        <w:jc w:val="both"/>
        <w:rPr>
          <w:rFonts w:ascii="FrankRuehl" w:hAnsi="FrankRuehl" w:cs="FrankRuehl"/>
          <w:b w:val="0"/>
          <w:bCs w:val="0"/>
          <w:u w:val="none"/>
          <w:rtl/>
        </w:rPr>
      </w:pPr>
    </w:p>
    <w:p w14:paraId="2008D38A" w14:textId="77777777" w:rsidR="00675D1C" w:rsidRPr="00675D1C" w:rsidRDefault="00675D1C" w:rsidP="00675D1C">
      <w:pPr>
        <w:pStyle w:val="12"/>
        <w:spacing w:before="120" w:after="120" w:line="240" w:lineRule="exact"/>
        <w:ind w:left="283" w:hanging="283"/>
        <w:jc w:val="both"/>
        <w:rPr>
          <w:rFonts w:ascii="FrankRuehl" w:hAnsi="FrankRuehl" w:cs="FrankRuehl"/>
          <w:b w:val="0"/>
          <w:bCs w:val="0"/>
          <w:u w:val="none"/>
          <w:rtl/>
        </w:rPr>
      </w:pPr>
    </w:p>
    <w:p w14:paraId="0DA828AE" w14:textId="77777777" w:rsidR="0016613E" w:rsidRDefault="0016613E" w:rsidP="0016613E">
      <w:pPr>
        <w:pStyle w:val="12"/>
        <w:spacing w:line="360" w:lineRule="auto"/>
        <w:rPr>
          <w:rFonts w:ascii="David" w:hAnsi="David"/>
          <w:b w:val="0"/>
          <w:bCs w:val="0"/>
          <w:sz w:val="14"/>
          <w:szCs w:val="14"/>
          <w:u w:val="none"/>
          <w:rtl/>
        </w:rPr>
      </w:pPr>
      <w:bookmarkStart w:id="3" w:name="LawTable"/>
      <w:bookmarkEnd w:id="3"/>
    </w:p>
    <w:p w14:paraId="072D62FF" w14:textId="77777777" w:rsidR="0016613E" w:rsidRPr="0016613E" w:rsidRDefault="0016613E" w:rsidP="0016613E">
      <w:pPr>
        <w:pStyle w:val="12"/>
        <w:spacing w:before="120" w:after="120" w:line="240" w:lineRule="exact"/>
        <w:ind w:left="283" w:hanging="283"/>
        <w:jc w:val="both"/>
        <w:rPr>
          <w:rFonts w:ascii="FrankRuehl" w:hAnsi="FrankRuehl" w:cs="FrankRuehl"/>
          <w:b w:val="0"/>
          <w:bCs w:val="0"/>
          <w:u w:val="none"/>
          <w:rtl/>
        </w:rPr>
      </w:pPr>
    </w:p>
    <w:p w14:paraId="733B848F" w14:textId="77777777" w:rsidR="0016613E" w:rsidRPr="0016613E" w:rsidRDefault="0016613E" w:rsidP="0016613E">
      <w:pPr>
        <w:pStyle w:val="12"/>
        <w:spacing w:before="120" w:after="120" w:line="240" w:lineRule="exact"/>
        <w:ind w:left="283" w:hanging="283"/>
        <w:jc w:val="both"/>
        <w:rPr>
          <w:rFonts w:ascii="FrankRuehl" w:hAnsi="FrankRuehl" w:cs="FrankRuehl"/>
          <w:b w:val="0"/>
          <w:bCs w:val="0"/>
          <w:u w:val="none"/>
          <w:rtl/>
        </w:rPr>
      </w:pPr>
    </w:p>
    <w:p w14:paraId="4D595D6E" w14:textId="77777777" w:rsidR="0016613E" w:rsidRPr="0016613E" w:rsidRDefault="0016613E" w:rsidP="0016613E">
      <w:pPr>
        <w:pStyle w:val="12"/>
        <w:spacing w:before="120" w:after="120" w:line="240" w:lineRule="exact"/>
        <w:ind w:left="283" w:hanging="283"/>
        <w:jc w:val="both"/>
        <w:rPr>
          <w:rFonts w:ascii="FrankRuehl" w:hAnsi="FrankRuehl" w:cs="FrankRuehl"/>
          <w:b w:val="0"/>
          <w:bCs w:val="0"/>
          <w:u w:val="none"/>
          <w:rtl/>
        </w:rPr>
      </w:pPr>
      <w:r w:rsidRPr="0016613E">
        <w:rPr>
          <w:rFonts w:ascii="FrankRuehl" w:hAnsi="FrankRuehl" w:cs="FrankRuehl"/>
          <w:b w:val="0"/>
          <w:bCs w:val="0"/>
          <w:u w:val="none"/>
          <w:rtl/>
        </w:rPr>
        <w:t xml:space="preserve">חקיקה שאוזכרה: </w:t>
      </w:r>
    </w:p>
    <w:p w14:paraId="78622BFC" w14:textId="77777777" w:rsidR="0016613E" w:rsidRPr="0016613E" w:rsidRDefault="0016613E" w:rsidP="0016613E">
      <w:pPr>
        <w:pStyle w:val="12"/>
        <w:spacing w:before="120" w:after="120" w:line="240" w:lineRule="exact"/>
        <w:ind w:left="283" w:hanging="283"/>
        <w:jc w:val="both"/>
        <w:rPr>
          <w:rFonts w:ascii="FrankRuehl" w:hAnsi="FrankRuehl" w:cs="FrankRuehl"/>
          <w:b w:val="0"/>
          <w:bCs w:val="0"/>
          <w:u w:val="none"/>
          <w:rtl/>
        </w:rPr>
      </w:pPr>
      <w:hyperlink r:id="rId7" w:history="1">
        <w:r w:rsidRPr="0016613E">
          <w:rPr>
            <w:rFonts w:ascii="FrankRuehl" w:hAnsi="FrankRuehl" w:cs="FrankRuehl"/>
            <w:b w:val="0"/>
            <w:bCs w:val="0"/>
            <w:color w:val="0000FF"/>
            <w:u w:val="none"/>
            <w:rtl/>
          </w:rPr>
          <w:t>פקודת הסמים המסוכנים [נוסח חדש], תשל"ג-1973</w:t>
        </w:r>
      </w:hyperlink>
      <w:r w:rsidRPr="0016613E">
        <w:rPr>
          <w:rFonts w:ascii="FrankRuehl" w:hAnsi="FrankRuehl" w:cs="FrankRuehl"/>
          <w:b w:val="0"/>
          <w:bCs w:val="0"/>
          <w:u w:val="none"/>
          <w:rtl/>
        </w:rPr>
        <w:t xml:space="preserve">: סע'  </w:t>
      </w:r>
      <w:hyperlink r:id="rId8" w:history="1">
        <w:r w:rsidRPr="0016613E">
          <w:rPr>
            <w:rFonts w:ascii="FrankRuehl" w:hAnsi="FrankRuehl" w:cs="FrankRuehl"/>
            <w:b w:val="0"/>
            <w:bCs w:val="0"/>
            <w:color w:val="0000FF"/>
            <w:u w:val="none"/>
            <w:rtl/>
          </w:rPr>
          <w:t>13</w:t>
        </w:r>
      </w:hyperlink>
    </w:p>
    <w:p w14:paraId="693E5962" w14:textId="77777777" w:rsidR="0016613E" w:rsidRPr="0016613E" w:rsidRDefault="0016613E" w:rsidP="0016613E">
      <w:pPr>
        <w:pStyle w:val="12"/>
        <w:spacing w:before="120" w:after="120" w:line="240" w:lineRule="exact"/>
        <w:ind w:left="283" w:hanging="283"/>
        <w:jc w:val="both"/>
        <w:rPr>
          <w:rFonts w:ascii="FrankRuehl" w:hAnsi="FrankRuehl" w:cs="FrankRuehl"/>
          <w:b w:val="0"/>
          <w:bCs w:val="0"/>
          <w:u w:val="none"/>
          <w:rtl/>
        </w:rPr>
      </w:pPr>
      <w:hyperlink r:id="rId9" w:history="1">
        <w:r w:rsidRPr="0016613E">
          <w:rPr>
            <w:rFonts w:ascii="FrankRuehl" w:hAnsi="FrankRuehl" w:cs="FrankRuehl"/>
            <w:b w:val="0"/>
            <w:bCs w:val="0"/>
            <w:color w:val="0000FF"/>
            <w:u w:val="none"/>
            <w:rtl/>
          </w:rPr>
          <w:t>חוק העונשין, תשל"ז-1977</w:t>
        </w:r>
      </w:hyperlink>
      <w:r w:rsidRPr="0016613E">
        <w:rPr>
          <w:rFonts w:ascii="FrankRuehl" w:hAnsi="FrankRuehl" w:cs="FrankRuehl"/>
          <w:b w:val="0"/>
          <w:bCs w:val="0"/>
          <w:u w:val="none"/>
          <w:rtl/>
        </w:rPr>
        <w:t xml:space="preserve">: סע'  </w:t>
      </w:r>
      <w:hyperlink r:id="rId10" w:history="1">
        <w:r w:rsidRPr="0016613E">
          <w:rPr>
            <w:rFonts w:ascii="FrankRuehl" w:hAnsi="FrankRuehl" w:cs="FrankRuehl"/>
            <w:b w:val="0"/>
            <w:bCs w:val="0"/>
            <w:color w:val="0000FF"/>
            <w:u w:val="none"/>
            <w:rtl/>
          </w:rPr>
          <w:t>29</w:t>
        </w:r>
      </w:hyperlink>
      <w:r w:rsidRPr="0016613E">
        <w:rPr>
          <w:rFonts w:ascii="FrankRuehl" w:hAnsi="FrankRuehl" w:cs="FrankRuehl"/>
          <w:b w:val="0"/>
          <w:bCs w:val="0"/>
          <w:u w:val="none"/>
          <w:rtl/>
        </w:rPr>
        <w:t xml:space="preserve">, </w:t>
      </w:r>
      <w:hyperlink r:id="rId11" w:history="1">
        <w:r w:rsidRPr="0016613E">
          <w:rPr>
            <w:rFonts w:ascii="FrankRuehl" w:hAnsi="FrankRuehl" w:cs="FrankRuehl"/>
            <w:b w:val="0"/>
            <w:bCs w:val="0"/>
            <w:color w:val="0000FF"/>
            <w:u w:val="none"/>
            <w:rtl/>
          </w:rPr>
          <w:t>31</w:t>
        </w:r>
      </w:hyperlink>
    </w:p>
    <w:p w14:paraId="17F7E1BD" w14:textId="77777777" w:rsidR="0016613E" w:rsidRPr="0016613E" w:rsidRDefault="0016613E" w:rsidP="0016613E">
      <w:pPr>
        <w:pStyle w:val="12"/>
        <w:spacing w:line="360" w:lineRule="auto"/>
        <w:rPr>
          <w:rFonts w:ascii="David" w:hAnsi="David"/>
          <w:b w:val="0"/>
          <w:bCs w:val="0"/>
          <w:sz w:val="14"/>
          <w:szCs w:val="14"/>
          <w:u w:val="none"/>
          <w:rtl/>
        </w:rPr>
      </w:pPr>
      <w:bookmarkStart w:id="4" w:name="LawTable_End"/>
      <w:bookmarkEnd w:id="4"/>
    </w:p>
    <w:p w14:paraId="1B9BE109" w14:textId="77777777" w:rsidR="004B7AC9" w:rsidRPr="00675D1C" w:rsidRDefault="004B7AC9" w:rsidP="00675D1C">
      <w:pPr>
        <w:pStyle w:val="12"/>
        <w:spacing w:line="360" w:lineRule="auto"/>
        <w:rPr>
          <w:rFonts w:ascii="David" w:hAnsi="David"/>
          <w:b w:val="0"/>
          <w:bCs w:val="0"/>
          <w:sz w:val="14"/>
          <w:szCs w:val="14"/>
          <w:u w:val="none"/>
          <w:rtl/>
        </w:rPr>
      </w:pPr>
    </w:p>
    <w:p w14:paraId="4614D3C9" w14:textId="77777777" w:rsidR="004B7AC9" w:rsidRPr="004A7D6E" w:rsidRDefault="004A7D6E" w:rsidP="004A7D6E">
      <w:pPr>
        <w:spacing w:line="360" w:lineRule="auto"/>
        <w:ind w:firstLine="720"/>
        <w:jc w:val="center"/>
        <w:rPr>
          <w:rFonts w:hint="cs"/>
          <w:color w:val="000000"/>
          <w:sz w:val="44"/>
          <w:szCs w:val="44"/>
          <w:rtl/>
        </w:rPr>
      </w:pPr>
      <w:bookmarkStart w:id="5" w:name="PsakDin"/>
      <w:r w:rsidRPr="004A7D6E">
        <w:rPr>
          <w:rFonts w:hint="cs"/>
          <w:color w:val="000000"/>
          <w:sz w:val="44"/>
          <w:szCs w:val="44"/>
          <w:rtl/>
        </w:rPr>
        <w:t>גזר דין</w:t>
      </w:r>
    </w:p>
    <w:bookmarkEnd w:id="5"/>
    <w:p w14:paraId="280DA4BB" w14:textId="77777777" w:rsidR="004B7AC9" w:rsidRPr="006472BE" w:rsidRDefault="004B7AC9" w:rsidP="004B7AC9">
      <w:pPr>
        <w:spacing w:line="360" w:lineRule="auto"/>
        <w:ind w:firstLine="720"/>
        <w:rPr>
          <w:rtl/>
        </w:rPr>
      </w:pPr>
      <w:r w:rsidRPr="006472BE">
        <w:rPr>
          <w:rFonts w:hint="cs"/>
          <w:rtl/>
        </w:rPr>
        <w:t>כללי</w:t>
      </w:r>
    </w:p>
    <w:p w14:paraId="2E756430" w14:textId="77777777" w:rsidR="004B7AC9" w:rsidRPr="006472BE" w:rsidRDefault="004B7AC9" w:rsidP="004B7AC9">
      <w:pPr>
        <w:pStyle w:val="a9"/>
        <w:numPr>
          <w:ilvl w:val="0"/>
          <w:numId w:val="1"/>
        </w:numPr>
        <w:spacing w:before="240" w:after="240" w:line="360" w:lineRule="auto"/>
        <w:contextualSpacing w:val="0"/>
        <w:rPr>
          <w:rtl/>
        </w:rPr>
      </w:pPr>
      <w:bookmarkStart w:id="6" w:name="ABSTRACT_START"/>
      <w:bookmarkEnd w:id="6"/>
      <w:r w:rsidRPr="006472BE">
        <w:rPr>
          <w:rFonts w:hint="cs"/>
          <w:rtl/>
        </w:rPr>
        <w:t xml:space="preserve">הנאשם הורשע על יסוד הודאתו, שלא במסגרת הסדר טיעון, בעבירה של יבוא סמים בצוותא לפי </w:t>
      </w:r>
      <w:hyperlink r:id="rId12" w:history="1">
        <w:r w:rsidR="004A7D6E" w:rsidRPr="004A7D6E">
          <w:rPr>
            <w:rStyle w:val="Hyperlink"/>
            <w:rFonts w:hint="eastAsia"/>
            <w:rtl/>
          </w:rPr>
          <w:t>סעיף</w:t>
        </w:r>
        <w:r w:rsidR="004A7D6E" w:rsidRPr="004A7D6E">
          <w:rPr>
            <w:rStyle w:val="Hyperlink"/>
            <w:rtl/>
          </w:rPr>
          <w:t xml:space="preserve"> 13</w:t>
        </w:r>
      </w:hyperlink>
      <w:r w:rsidRPr="006472BE">
        <w:rPr>
          <w:rFonts w:hint="cs"/>
          <w:rtl/>
        </w:rPr>
        <w:t xml:space="preserve"> ל</w:t>
      </w:r>
      <w:hyperlink r:id="rId13" w:history="1">
        <w:r w:rsidR="006472BE" w:rsidRPr="006472BE">
          <w:rPr>
            <w:color w:val="0000FF"/>
            <w:u w:val="single"/>
            <w:rtl/>
          </w:rPr>
          <w:t>פקודת הסמים המסוכנים</w:t>
        </w:r>
      </w:hyperlink>
      <w:r w:rsidRPr="006472BE">
        <w:rPr>
          <w:rFonts w:hint="cs"/>
          <w:rtl/>
        </w:rPr>
        <w:t xml:space="preserve"> [נוסח חדש], התשל"ג-1973 (להלן - </w:t>
      </w:r>
      <w:r w:rsidRPr="006472BE">
        <w:rPr>
          <w:rFonts w:hint="cs"/>
          <w:b/>
          <w:bCs/>
          <w:rtl/>
        </w:rPr>
        <w:t>פקודת הסמים המסוכנים</w:t>
      </w:r>
      <w:r w:rsidRPr="006472BE">
        <w:rPr>
          <w:rFonts w:hint="cs"/>
          <w:rtl/>
        </w:rPr>
        <w:t xml:space="preserve">) ביחד עם </w:t>
      </w:r>
      <w:hyperlink r:id="rId14" w:history="1">
        <w:r w:rsidR="004A7D6E" w:rsidRPr="004A7D6E">
          <w:rPr>
            <w:rStyle w:val="Hyperlink"/>
            <w:rFonts w:hint="eastAsia"/>
            <w:rtl/>
          </w:rPr>
          <w:t>סעיף</w:t>
        </w:r>
        <w:r w:rsidR="004A7D6E" w:rsidRPr="004A7D6E">
          <w:rPr>
            <w:rStyle w:val="Hyperlink"/>
            <w:rtl/>
          </w:rPr>
          <w:t xml:space="preserve"> 29</w:t>
        </w:r>
      </w:hyperlink>
      <w:r w:rsidRPr="006472BE">
        <w:rPr>
          <w:rFonts w:hint="cs"/>
          <w:rtl/>
        </w:rPr>
        <w:t xml:space="preserve"> ל</w:t>
      </w:r>
      <w:hyperlink r:id="rId15" w:history="1">
        <w:r w:rsidR="006472BE" w:rsidRPr="006472BE">
          <w:rPr>
            <w:color w:val="0000FF"/>
            <w:u w:val="single"/>
            <w:rtl/>
          </w:rPr>
          <w:t>חוק העונשין</w:t>
        </w:r>
      </w:hyperlink>
      <w:r w:rsidRPr="006472BE">
        <w:rPr>
          <w:rFonts w:hint="cs"/>
          <w:rtl/>
        </w:rPr>
        <w:t xml:space="preserve">, התשל"ז-1977 (להלן - </w:t>
      </w:r>
      <w:r w:rsidRPr="006472BE">
        <w:rPr>
          <w:rFonts w:hint="cs"/>
          <w:b/>
          <w:bCs/>
          <w:rtl/>
        </w:rPr>
        <w:t>חוק העונשין</w:t>
      </w:r>
      <w:r w:rsidRPr="006472BE">
        <w:rPr>
          <w:rFonts w:hint="cs"/>
          <w:rtl/>
        </w:rPr>
        <w:t>).</w:t>
      </w:r>
    </w:p>
    <w:p w14:paraId="68915F80" w14:textId="77777777" w:rsidR="004B7AC9" w:rsidRPr="006472BE" w:rsidRDefault="004B7AC9" w:rsidP="004B7AC9">
      <w:pPr>
        <w:pStyle w:val="a9"/>
        <w:numPr>
          <w:ilvl w:val="0"/>
          <w:numId w:val="1"/>
        </w:numPr>
        <w:spacing w:before="240" w:after="240" w:line="360" w:lineRule="auto"/>
        <w:contextualSpacing w:val="0"/>
        <w:jc w:val="both"/>
      </w:pPr>
      <w:bookmarkStart w:id="7" w:name="ABSTRACT_END"/>
      <w:bookmarkEnd w:id="7"/>
      <w:r w:rsidRPr="006472BE">
        <w:rPr>
          <w:rFonts w:hint="cs"/>
          <w:rtl/>
        </w:rPr>
        <w:t xml:space="preserve">על פי עובדות כתב האישום, בין הנאשם לבין סרג' דבורצקי (להלן </w:t>
      </w:r>
      <w:r w:rsidRPr="006472BE">
        <w:rPr>
          <w:rtl/>
        </w:rPr>
        <w:t>-</w:t>
      </w:r>
      <w:r w:rsidRPr="006472BE">
        <w:rPr>
          <w:rFonts w:hint="cs"/>
          <w:rtl/>
        </w:rPr>
        <w:t xml:space="preserve"> </w:t>
      </w:r>
      <w:r w:rsidRPr="006472BE">
        <w:rPr>
          <w:rFonts w:hint="cs"/>
          <w:b/>
          <w:bCs/>
          <w:rtl/>
        </w:rPr>
        <w:t>דבורצקי</w:t>
      </w:r>
      <w:r w:rsidRPr="006472BE">
        <w:rPr>
          <w:rFonts w:hint="cs"/>
          <w:rtl/>
        </w:rPr>
        <w:t xml:space="preserve">) ובין סרגיי גולדפיין (להלן </w:t>
      </w:r>
      <w:r w:rsidRPr="006472BE">
        <w:rPr>
          <w:rtl/>
        </w:rPr>
        <w:t>-</w:t>
      </w:r>
      <w:r w:rsidRPr="006472BE">
        <w:rPr>
          <w:rFonts w:hint="cs"/>
          <w:rtl/>
        </w:rPr>
        <w:t xml:space="preserve"> </w:t>
      </w:r>
      <w:r w:rsidRPr="006472BE">
        <w:rPr>
          <w:rFonts w:hint="cs"/>
          <w:b/>
          <w:bCs/>
          <w:rtl/>
        </w:rPr>
        <w:t>סרגיי</w:t>
      </w:r>
      <w:r w:rsidRPr="006472BE">
        <w:rPr>
          <w:rFonts w:hint="cs"/>
          <w:rtl/>
        </w:rPr>
        <w:t xml:space="preserve">) קיימים קשרי חברות. </w:t>
      </w:r>
    </w:p>
    <w:p w14:paraId="2C099814" w14:textId="77777777" w:rsidR="004B7AC9" w:rsidRPr="006472BE" w:rsidRDefault="004B7AC9" w:rsidP="004B7AC9">
      <w:pPr>
        <w:pStyle w:val="a9"/>
        <w:spacing w:before="240" w:after="240" w:line="360" w:lineRule="auto"/>
        <w:contextualSpacing w:val="0"/>
        <w:jc w:val="both"/>
        <w:rPr>
          <w:rtl/>
        </w:rPr>
      </w:pPr>
      <w:r w:rsidRPr="006472BE">
        <w:rPr>
          <w:rFonts w:hint="cs"/>
          <w:rtl/>
        </w:rPr>
        <w:t>בתאריך 23.11.21, התכתבו הנאשם וסרגיי באמצעות אפליקציית "וואטס אפ". במסגרת ההתכתבות שוחחו השניים אודות האפשרות שהנאשם ייבצע ייבוא של סמים מסוכנים מחו"ל ביחד עם דבורצקי.</w:t>
      </w:r>
    </w:p>
    <w:p w14:paraId="071C044C" w14:textId="77777777" w:rsidR="004B7AC9" w:rsidRPr="006472BE" w:rsidRDefault="004B7AC9" w:rsidP="004B7AC9">
      <w:pPr>
        <w:pStyle w:val="a9"/>
        <w:spacing w:before="240" w:after="240" w:line="360" w:lineRule="auto"/>
        <w:contextualSpacing w:val="0"/>
        <w:jc w:val="both"/>
        <w:rPr>
          <w:rtl/>
        </w:rPr>
      </w:pPr>
      <w:r w:rsidRPr="006472BE">
        <w:rPr>
          <w:rFonts w:hint="cs"/>
          <w:rtl/>
        </w:rPr>
        <w:lastRenderedPageBreak/>
        <w:t xml:space="preserve">עובר ליום 12.12.21 החליטו הנאשם, דבורצקי וסרגיי להוציא לפועל את התכנית, במסגרת זו ביום 12.12.21 בשעה 00:01 מסר סרגיי את מספר הטלפון של הנאשם למיכאל שפקטור, המכונה "ארסן" (להלן </w:t>
      </w:r>
      <w:r w:rsidRPr="006472BE">
        <w:rPr>
          <w:rtl/>
        </w:rPr>
        <w:t>-</w:t>
      </w:r>
      <w:r w:rsidRPr="006472BE">
        <w:rPr>
          <w:rFonts w:hint="cs"/>
          <w:rtl/>
        </w:rPr>
        <w:t xml:space="preserve"> </w:t>
      </w:r>
      <w:r w:rsidRPr="006472BE">
        <w:rPr>
          <w:rFonts w:hint="cs"/>
          <w:b/>
          <w:bCs/>
          <w:rtl/>
        </w:rPr>
        <w:t>מיכאל</w:t>
      </w:r>
      <w:r w:rsidRPr="006472BE">
        <w:rPr>
          <w:rFonts w:hint="cs"/>
          <w:rtl/>
        </w:rPr>
        <w:t>), ומסר לנאשם כי מיכאל יחייג אליו.</w:t>
      </w:r>
    </w:p>
    <w:p w14:paraId="58DD8098" w14:textId="77777777" w:rsidR="004B7AC9" w:rsidRPr="006472BE" w:rsidRDefault="004B7AC9" w:rsidP="004B7AC9">
      <w:pPr>
        <w:pStyle w:val="a9"/>
        <w:spacing w:before="240" w:after="240" w:line="360" w:lineRule="auto"/>
        <w:contextualSpacing w:val="0"/>
        <w:jc w:val="both"/>
        <w:rPr>
          <w:rtl/>
        </w:rPr>
      </w:pPr>
      <w:r w:rsidRPr="006472BE">
        <w:rPr>
          <w:rFonts w:hint="cs"/>
          <w:rtl/>
        </w:rPr>
        <w:t>ביום 13.12.21, החל מהשעה 15:31, התכתב הנאשם עם סרגיי ב"וואסט אפ" על מועדים אפשריים לנסיעה של הנאשם ודבורצקי לבלגיה לצורך ביצוע הייבוא. לבסוף, הנחה סרגיי את הנאשם לחזור מחו"ל ביום 23.12.21.</w:t>
      </w:r>
    </w:p>
    <w:p w14:paraId="449B2EC5" w14:textId="77777777" w:rsidR="004B7AC9" w:rsidRPr="006472BE" w:rsidRDefault="004B7AC9" w:rsidP="004B7AC9">
      <w:pPr>
        <w:pStyle w:val="a9"/>
        <w:spacing w:before="240" w:after="240" w:line="360" w:lineRule="auto"/>
        <w:contextualSpacing w:val="0"/>
        <w:jc w:val="both"/>
        <w:rPr>
          <w:rtl/>
        </w:rPr>
      </w:pPr>
      <w:r w:rsidRPr="006472BE">
        <w:rPr>
          <w:rFonts w:hint="cs"/>
          <w:rtl/>
        </w:rPr>
        <w:t xml:space="preserve">ביום 15.12.21 בשעה 09:00, הצטרף מיכאל לקשר בכך שקנה סים מבצעי, והחלה תקשורת בין מיכאל לנאשם באמצעות "וואטס אפ", עד לתאריך 23.12.21. במהלך התקופה, עובר ליום 19.12.21, סיכמו הנאשם, דבורצקי, סרגיי ומיכאל את פרטי היבוא </w:t>
      </w:r>
      <w:r w:rsidRPr="006472BE">
        <w:rPr>
          <w:rFonts w:ascii="David" w:hAnsi="David"/>
          <w:rtl/>
        </w:rPr>
        <w:t xml:space="preserve">באופן הבא: הנאשם ודבורצקי יטוסו לבלגיה, שם ייפגשו עם אדם מטעמם אשר ימסור לנאשם ולדבורצקי 2 מזוודות בעלות דופן כפולה, בתוכה סמים מסוכנים מסוג </w:t>
      </w:r>
      <w:r w:rsidRPr="006472BE">
        <w:rPr>
          <w:rFonts w:ascii="David" w:hAnsi="David"/>
        </w:rPr>
        <w:t>MDMA</w:t>
      </w:r>
      <w:r w:rsidRPr="006472BE">
        <w:rPr>
          <w:rFonts w:ascii="David" w:hAnsi="David"/>
          <w:rtl/>
        </w:rPr>
        <w:t xml:space="preserve"> אותם יכניסו השניים לישראל. על פי הסיכום, לאחר חזרתם של הנאשם ודבורצקי לארץ, הם</w:t>
      </w:r>
      <w:r w:rsidRPr="006472BE">
        <w:rPr>
          <w:rFonts w:hint="cs"/>
          <w:rtl/>
        </w:rPr>
        <w:t xml:space="preserve"> יצרו קשר עם מיכאל וימסרו לידיו את המזוודות. בתמורה לכך, יקבלו הנאשם ודבורצקי, כל אחד, סכום של 15,000 דולר.</w:t>
      </w:r>
    </w:p>
    <w:p w14:paraId="105E1675" w14:textId="77777777" w:rsidR="004B7AC9" w:rsidRPr="006472BE" w:rsidRDefault="004B7AC9" w:rsidP="004B7AC9">
      <w:pPr>
        <w:pStyle w:val="a9"/>
        <w:spacing w:before="240" w:after="240" w:line="360" w:lineRule="auto"/>
        <w:contextualSpacing w:val="0"/>
        <w:jc w:val="both"/>
        <w:rPr>
          <w:rtl/>
        </w:rPr>
      </w:pPr>
      <w:r w:rsidRPr="006472BE">
        <w:rPr>
          <w:rFonts w:hint="cs"/>
          <w:rtl/>
        </w:rPr>
        <w:t>ביום 19.12.21, רכש הנאשם עבורו ועבור דבורצקי, כרטיסי טיסה הלוך ושוב לבלגיה, וכן הזמין עבורם מלון באנטוורפן בבלגיה. עוד באותו היום, פגש הנאשם במיכאל סמוך לביתו שברחוב השלושה 49 בבת ים, ומיכאל צייד את הנאשם בסכום של 3,500 יורו להוצאות שוטפות וכן בשתי מזוודות.</w:t>
      </w:r>
    </w:p>
    <w:p w14:paraId="049046A5" w14:textId="77777777" w:rsidR="004B7AC9" w:rsidRPr="006472BE" w:rsidRDefault="004B7AC9" w:rsidP="004B7AC9">
      <w:pPr>
        <w:pStyle w:val="a9"/>
        <w:spacing w:before="240" w:after="240" w:line="360" w:lineRule="auto"/>
        <w:contextualSpacing w:val="0"/>
        <w:jc w:val="both"/>
        <w:rPr>
          <w:rtl/>
        </w:rPr>
      </w:pPr>
      <w:r w:rsidRPr="006472BE">
        <w:rPr>
          <w:rFonts w:hint="cs"/>
          <w:rtl/>
        </w:rPr>
        <w:t xml:space="preserve">ביום 20.12.21 טסו הנאשם ודבורצקי לאנטוורפן שבבלגיה. ביום 22.12.21 בשעות הערב, המתינו הנאשם ודבורצקי לאחר, שזהותו אינה ידועה (להלן - </w:t>
      </w:r>
      <w:r w:rsidRPr="006472BE">
        <w:rPr>
          <w:rFonts w:hint="cs"/>
          <w:b/>
          <w:bCs/>
          <w:rtl/>
        </w:rPr>
        <w:t>האחר</w:t>
      </w:r>
      <w:r w:rsidRPr="006472BE">
        <w:rPr>
          <w:rFonts w:hint="cs"/>
          <w:rtl/>
        </w:rPr>
        <w:t>) שאמור היה להביא את המזוודות אך בושש ליצור עמם קשר. הנאשם ניסה ליצור קשר עם מיכאל, אך לא נענה. בשלב זה, התכתב הנאשם עם סרגיי ובירר עמו מדוע האחר לא יוצר איתם קשר.</w:t>
      </w:r>
    </w:p>
    <w:p w14:paraId="2DF2EE00" w14:textId="77777777" w:rsidR="004B7AC9" w:rsidRPr="006472BE" w:rsidRDefault="004B7AC9" w:rsidP="004B7AC9">
      <w:pPr>
        <w:pStyle w:val="a9"/>
        <w:spacing w:before="240" w:after="240" w:line="360" w:lineRule="auto"/>
        <w:contextualSpacing w:val="0"/>
        <w:jc w:val="both"/>
        <w:rPr>
          <w:rtl/>
        </w:rPr>
      </w:pPr>
      <w:r w:rsidRPr="006472BE">
        <w:rPr>
          <w:rFonts w:hint="cs"/>
          <w:rtl/>
        </w:rPr>
        <w:t xml:space="preserve">בהמשך, עדכן הנאשם את סרגיי שהאחר יצר עמו קשר וכי הוא ממתין יחד עם דבורצקי להגעתו מחוץ למלון, וסרגיי השיב לו </w:t>
      </w:r>
      <w:r w:rsidRPr="006472BE">
        <w:rPr>
          <w:rFonts w:ascii="David" w:hAnsi="David"/>
          <w:rtl/>
        </w:rPr>
        <w:t xml:space="preserve">"שיבואו אליכם. אין מה לעשות". מאוחר יותר, בלילה שבין 22.12.21-23.12.21, פגשו הנאשם ודבורצקי באחר בכתובת הסמוכה למלון. האחר מסר להם שתי מזוודות בעלות דופן כפולה, ובתוכן 49,229 טבליות סמים מסוכנים מסוג </w:t>
      </w:r>
      <w:r w:rsidRPr="006472BE">
        <w:rPr>
          <w:rFonts w:ascii="David" w:hAnsi="David"/>
        </w:rPr>
        <w:t>MDMA</w:t>
      </w:r>
      <w:r w:rsidRPr="006472BE">
        <w:rPr>
          <w:rFonts w:ascii="David" w:hAnsi="David"/>
          <w:rtl/>
        </w:rPr>
        <w:t>, והם העבירו לו</w:t>
      </w:r>
      <w:r w:rsidRPr="006472BE">
        <w:rPr>
          <w:rFonts w:hint="cs"/>
          <w:rtl/>
        </w:rPr>
        <w:t xml:space="preserve"> את המזוודות שמסר מיכאל לנאשם בפגישתם.</w:t>
      </w:r>
    </w:p>
    <w:p w14:paraId="5BA14978" w14:textId="77777777" w:rsidR="004B7AC9" w:rsidRPr="006472BE" w:rsidRDefault="004B7AC9" w:rsidP="004B7AC9">
      <w:pPr>
        <w:pStyle w:val="a9"/>
        <w:spacing w:before="240" w:after="240" w:line="360" w:lineRule="auto"/>
        <w:contextualSpacing w:val="0"/>
        <w:jc w:val="both"/>
        <w:rPr>
          <w:rtl/>
        </w:rPr>
      </w:pPr>
      <w:r w:rsidRPr="006472BE">
        <w:rPr>
          <w:rFonts w:hint="cs"/>
          <w:rtl/>
        </w:rPr>
        <w:t>בתאריך 23.12.21 חזרו הנאשם דבורצקי לישראל עם הסמים, ולאחר שעוררו את חשדם של בלשים בשדה התעופה, נעצרו שם ע"י משטרת ישראל.</w:t>
      </w:r>
    </w:p>
    <w:p w14:paraId="558C67C5" w14:textId="77777777" w:rsidR="004B7AC9" w:rsidRPr="006472BE" w:rsidRDefault="004B7AC9" w:rsidP="004B7AC9">
      <w:pPr>
        <w:pStyle w:val="a9"/>
        <w:numPr>
          <w:ilvl w:val="0"/>
          <w:numId w:val="1"/>
        </w:numPr>
        <w:spacing w:before="240" w:after="240" w:line="360" w:lineRule="auto"/>
        <w:contextualSpacing w:val="0"/>
        <w:jc w:val="both"/>
      </w:pPr>
      <w:r w:rsidRPr="006472BE">
        <w:rPr>
          <w:rFonts w:hint="cs"/>
          <w:rtl/>
        </w:rPr>
        <w:t xml:space="preserve">למען שלמות התמונה יצוין כי כנגד דבורצקי, סרגיי ומיכאל הוגש כתב אישום נפרד (ת"פ </w:t>
      </w:r>
      <w:r w:rsidRPr="006472BE">
        <w:rPr>
          <w:rFonts w:ascii="David" w:hAnsi="David"/>
          <w:rtl/>
        </w:rPr>
        <w:t>46963-01-22</w:t>
      </w:r>
      <w:r w:rsidRPr="006472BE">
        <w:rPr>
          <w:rFonts w:ascii="David" w:hAnsi="David" w:hint="cs"/>
          <w:rtl/>
        </w:rPr>
        <w:t xml:space="preserve">, להלן </w:t>
      </w:r>
      <w:r w:rsidRPr="006472BE">
        <w:rPr>
          <w:rFonts w:ascii="David" w:hAnsi="David"/>
          <w:rtl/>
        </w:rPr>
        <w:t>-</w:t>
      </w:r>
      <w:r w:rsidRPr="006472BE">
        <w:rPr>
          <w:rFonts w:ascii="David" w:hAnsi="David" w:hint="cs"/>
          <w:rtl/>
        </w:rPr>
        <w:t xml:space="preserve"> </w:t>
      </w:r>
      <w:r w:rsidRPr="006472BE">
        <w:rPr>
          <w:rFonts w:ascii="David" w:hAnsi="David" w:hint="cs"/>
          <w:b/>
          <w:bCs/>
          <w:rtl/>
        </w:rPr>
        <w:t>התיק הנפרד</w:t>
      </w:r>
      <w:r w:rsidRPr="006472BE">
        <w:rPr>
          <w:rFonts w:ascii="David" w:hAnsi="David" w:hint="cs"/>
          <w:rtl/>
        </w:rPr>
        <w:t>)</w:t>
      </w:r>
      <w:r w:rsidRPr="006472BE">
        <w:rPr>
          <w:rFonts w:hint="cs"/>
          <w:rtl/>
        </w:rPr>
        <w:t>.</w:t>
      </w:r>
    </w:p>
    <w:p w14:paraId="0675CEFB" w14:textId="77777777" w:rsidR="004B7AC9" w:rsidRPr="006472BE" w:rsidRDefault="004B7AC9" w:rsidP="004B7AC9">
      <w:pPr>
        <w:pStyle w:val="a9"/>
        <w:spacing w:before="240" w:after="240" w:line="360" w:lineRule="auto"/>
        <w:contextualSpacing w:val="0"/>
        <w:jc w:val="both"/>
        <w:rPr>
          <w:rtl/>
        </w:rPr>
      </w:pPr>
      <w:r w:rsidRPr="006472BE">
        <w:rPr>
          <w:rFonts w:hint="cs"/>
          <w:rtl/>
        </w:rPr>
        <w:t xml:space="preserve">דבורצקי הודה והורשע בכתב האישום כלשונו במסגרת הסדר טיעון, לפיו התביעה תוגבל בטיעוניה באופן שתעתור למתחם הנע בין 52 ל-70 חודשי מאסר, לצד מאסר מותנה וקנס ואילו ההגנה תטען באופן חופשי. בהמשך, לאחר הרשעתו, שוחרר דבורצקי לקהילת "הדרך" והוא מצוי בעיצומו של ההליך הטיפולי כך שדינו טרם נגזר. </w:t>
      </w:r>
    </w:p>
    <w:p w14:paraId="70922190" w14:textId="77777777" w:rsidR="004B7AC9" w:rsidRPr="006472BE" w:rsidRDefault="004B7AC9" w:rsidP="004B7AC9">
      <w:pPr>
        <w:pStyle w:val="a9"/>
        <w:spacing w:before="240" w:after="240" w:line="360" w:lineRule="auto"/>
        <w:contextualSpacing w:val="0"/>
        <w:jc w:val="both"/>
        <w:rPr>
          <w:rtl/>
        </w:rPr>
      </w:pPr>
      <w:r w:rsidRPr="006472BE">
        <w:rPr>
          <w:rFonts w:hint="cs"/>
          <w:rtl/>
        </w:rPr>
        <w:lastRenderedPageBreak/>
        <w:t xml:space="preserve">סרגיי ומיכאל הודו והורשעו בכתב אישום מתוקן, המייחס להם עבירה של סיוע לייבוא סם מסוכן בצוותא, לפי </w:t>
      </w:r>
      <w:hyperlink r:id="rId16" w:history="1">
        <w:r w:rsidR="004A7D6E" w:rsidRPr="004A7D6E">
          <w:rPr>
            <w:rStyle w:val="Hyperlink"/>
            <w:rFonts w:hint="eastAsia"/>
            <w:rtl/>
          </w:rPr>
          <w:t>סעיף</w:t>
        </w:r>
        <w:r w:rsidR="004A7D6E" w:rsidRPr="004A7D6E">
          <w:rPr>
            <w:rStyle w:val="Hyperlink"/>
            <w:rtl/>
          </w:rPr>
          <w:t xml:space="preserve"> 13</w:t>
        </w:r>
      </w:hyperlink>
      <w:r w:rsidRPr="006472BE">
        <w:rPr>
          <w:rFonts w:hint="cs"/>
          <w:rtl/>
        </w:rPr>
        <w:t xml:space="preserve"> ל</w:t>
      </w:r>
      <w:hyperlink r:id="rId17" w:history="1">
        <w:r w:rsidR="006472BE" w:rsidRPr="006472BE">
          <w:rPr>
            <w:color w:val="0000FF"/>
            <w:u w:val="single"/>
            <w:rtl/>
          </w:rPr>
          <w:t>פקודת הסמים המסוכנים</w:t>
        </w:r>
      </w:hyperlink>
      <w:r w:rsidRPr="006472BE">
        <w:rPr>
          <w:rFonts w:hint="cs"/>
          <w:rtl/>
        </w:rPr>
        <w:t xml:space="preserve"> ביחד עם </w:t>
      </w:r>
      <w:hyperlink r:id="rId18" w:history="1">
        <w:r w:rsidR="004A7D6E" w:rsidRPr="004A7D6E">
          <w:rPr>
            <w:rStyle w:val="Hyperlink"/>
            <w:rFonts w:hint="eastAsia"/>
            <w:rtl/>
          </w:rPr>
          <w:t>סעיף</w:t>
        </w:r>
        <w:r w:rsidR="004A7D6E" w:rsidRPr="004A7D6E">
          <w:rPr>
            <w:rStyle w:val="Hyperlink"/>
            <w:rtl/>
          </w:rPr>
          <w:t xml:space="preserve"> 29</w:t>
        </w:r>
      </w:hyperlink>
      <w:r w:rsidRPr="006472BE">
        <w:rPr>
          <w:rFonts w:hint="cs"/>
          <w:rtl/>
        </w:rPr>
        <w:t xml:space="preserve"> וסעיף </w:t>
      </w:r>
      <w:hyperlink r:id="rId19" w:history="1">
        <w:r w:rsidR="004A7D6E" w:rsidRPr="004A7D6E">
          <w:rPr>
            <w:rStyle w:val="Hyperlink"/>
            <w:rtl/>
          </w:rPr>
          <w:t>31</w:t>
        </w:r>
      </w:hyperlink>
      <w:r w:rsidRPr="006472BE">
        <w:rPr>
          <w:rFonts w:hint="cs"/>
          <w:rtl/>
        </w:rPr>
        <w:t xml:space="preserve"> ל</w:t>
      </w:r>
      <w:hyperlink r:id="rId20" w:history="1">
        <w:r w:rsidR="006472BE" w:rsidRPr="006472BE">
          <w:rPr>
            <w:color w:val="0000FF"/>
            <w:u w:val="single"/>
            <w:rtl/>
          </w:rPr>
          <w:t>חוק העונשין</w:t>
        </w:r>
      </w:hyperlink>
      <w:r w:rsidRPr="006472BE">
        <w:rPr>
          <w:rFonts w:hint="cs"/>
          <w:rtl/>
        </w:rPr>
        <w:t xml:space="preserve">. </w:t>
      </w:r>
    </w:p>
    <w:p w14:paraId="311E7BDD" w14:textId="77777777" w:rsidR="004B7AC9" w:rsidRPr="006472BE" w:rsidRDefault="004B7AC9" w:rsidP="004B7AC9">
      <w:pPr>
        <w:pStyle w:val="a9"/>
        <w:spacing w:before="240" w:after="240" w:line="360" w:lineRule="auto"/>
        <w:contextualSpacing w:val="0"/>
        <w:jc w:val="both"/>
        <w:rPr>
          <w:rtl/>
        </w:rPr>
      </w:pPr>
      <w:r w:rsidRPr="006472BE">
        <w:rPr>
          <w:rFonts w:hint="cs"/>
          <w:rtl/>
        </w:rPr>
        <w:t>בעניינו של סרגיי לא גובשו הסכמות לעונש ומועד הטיעונים לעונש נדחה לצורך קבלת תסקיר שירות המבחן, טרם נגזר דינו.</w:t>
      </w:r>
    </w:p>
    <w:p w14:paraId="79828C26" w14:textId="77777777" w:rsidR="004B7AC9" w:rsidRPr="006472BE" w:rsidRDefault="004B7AC9" w:rsidP="004B7AC9">
      <w:pPr>
        <w:pStyle w:val="a9"/>
        <w:spacing w:before="240" w:after="240" w:line="360" w:lineRule="auto"/>
        <w:contextualSpacing w:val="0"/>
        <w:jc w:val="both"/>
        <w:rPr>
          <w:rtl/>
        </w:rPr>
      </w:pPr>
      <w:r w:rsidRPr="006472BE">
        <w:rPr>
          <w:rFonts w:hint="cs"/>
          <w:b/>
          <w:bCs/>
          <w:rtl/>
        </w:rPr>
        <w:t>בעניינו של מיכאל, ונוכח קושי ראייתי משמעותי שעמד ביסוד ראיות התביעה בעניינו</w:t>
      </w:r>
      <w:r w:rsidRPr="006472BE">
        <w:rPr>
          <w:rFonts w:hint="cs"/>
          <w:rtl/>
        </w:rPr>
        <w:t xml:space="preserve">, הסכימו הצדדים במסגרת הסדר הטיעון לעתור במשותף לעונש של 30 חודשי מאסר, החל מיום מעצרו. ביחס להפעלת שני מאסרים מותנים (8 ו-12 חודשים) עתרה התביעה כי יופעלו בחופף ובמצטבר באופן שתצטבר שנת מאסר, בעוד שההגנה עתרה לחפיפה באופן מלא. ביום 5.12.22 גזרתי את דינו והטלתי עליו עונש של 30 חודשי מאסר, תוך הפעלת המאסרים המתונים בחופף ובמצטבר באופן שהרכיב המצטבר יעמוד על 9 חודשים, לצד מאסר מותנה (12 חודשי מאסר בעבירות סמים מסוג פשע ו-2 חודשי מאסר בעבירות סמים מסוג עוון) וקנס בסך 4,000 ₪. </w:t>
      </w:r>
    </w:p>
    <w:p w14:paraId="204776DB" w14:textId="77777777" w:rsidR="004B7AC9" w:rsidRPr="006472BE" w:rsidRDefault="004B7AC9" w:rsidP="004B7AC9">
      <w:pPr>
        <w:pStyle w:val="a9"/>
        <w:spacing w:before="240" w:after="240" w:line="360" w:lineRule="auto"/>
        <w:contextualSpacing w:val="0"/>
        <w:jc w:val="both"/>
        <w:rPr>
          <w:rtl/>
        </w:rPr>
      </w:pPr>
    </w:p>
    <w:p w14:paraId="70A77C82" w14:textId="77777777" w:rsidR="004B7AC9" w:rsidRPr="006472BE" w:rsidRDefault="004B7AC9" w:rsidP="004B7AC9">
      <w:pPr>
        <w:pStyle w:val="a9"/>
        <w:spacing w:before="240" w:after="240" w:line="360" w:lineRule="auto"/>
        <w:contextualSpacing w:val="0"/>
        <w:jc w:val="both"/>
        <w:rPr>
          <w:rtl/>
        </w:rPr>
      </w:pPr>
      <w:r w:rsidRPr="006472BE">
        <w:rPr>
          <w:rFonts w:hint="cs"/>
          <w:rtl/>
        </w:rPr>
        <w:t>תסקירי שירות המבחן וכשלונות הליכי השיקום</w:t>
      </w:r>
    </w:p>
    <w:p w14:paraId="646075F8" w14:textId="77777777" w:rsidR="004B7AC9" w:rsidRDefault="004B7AC9" w:rsidP="004B7AC9">
      <w:pPr>
        <w:pStyle w:val="a9"/>
        <w:numPr>
          <w:ilvl w:val="0"/>
          <w:numId w:val="1"/>
        </w:numPr>
        <w:spacing w:before="240" w:after="240" w:line="360" w:lineRule="auto"/>
        <w:contextualSpacing w:val="0"/>
        <w:jc w:val="both"/>
        <w:rPr>
          <w:rtl/>
        </w:rPr>
      </w:pPr>
      <w:r>
        <w:rPr>
          <w:rFonts w:hint="cs"/>
          <w:rtl/>
        </w:rPr>
        <w:t xml:space="preserve">מהתסקירים עלה כי הנאשם בן 37, גרוש ואב לשני ילדים בגילאי שנתיים ו-12. </w:t>
      </w:r>
      <w:r w:rsidRPr="00B70EF1">
        <w:rPr>
          <w:rFonts w:hint="cs"/>
          <w:rtl/>
        </w:rPr>
        <w:t xml:space="preserve">הנאשם יליד אוקראינה, עלה ארצה בגיל 8, הוא הצעיר מבין שני ילדי המשפחה, אביו מתמודד עם מצב רפואי ירוד על </w:t>
      </w:r>
      <w:r>
        <w:rPr>
          <w:rFonts w:hint="cs"/>
          <w:rtl/>
        </w:rPr>
        <w:t>רקע אירוע לבבי ומחלה אונקולוגית</w:t>
      </w:r>
      <w:r w:rsidRPr="00B70EF1">
        <w:rPr>
          <w:rFonts w:hint="cs"/>
          <w:rtl/>
        </w:rPr>
        <w:t xml:space="preserve"> </w:t>
      </w:r>
      <w:r>
        <w:rPr>
          <w:rFonts w:hint="cs"/>
          <w:rtl/>
        </w:rPr>
        <w:t>ו</w:t>
      </w:r>
      <w:r w:rsidRPr="00B70EF1">
        <w:rPr>
          <w:rFonts w:hint="cs"/>
          <w:rtl/>
        </w:rPr>
        <w:t>אמו עובדת כרפואת עיניים.</w:t>
      </w:r>
      <w:r w:rsidRPr="002F75DA">
        <w:rPr>
          <w:rFonts w:hint="cs"/>
          <w:rtl/>
        </w:rPr>
        <w:t xml:space="preserve"> סיים 12 שנות לימוד עם בגרות מלאה, התגייס בגיל המתאים לשירות צבאי, אותו הצליח לסיים למרות קשיי תפקוד והסתגלות. לאורך השנים עבד בעבודות זמניות והתקשה לייצב מקום עבודה קבוע לאורך זמן. תואר כי בגיל 22 נחשף למשחקי קלפים והימו</w:t>
      </w:r>
      <w:r>
        <w:rPr>
          <w:rFonts w:hint="cs"/>
          <w:rtl/>
        </w:rPr>
        <w:t>רים והחל מעורבות פעילה בתחום זה</w:t>
      </w:r>
      <w:r w:rsidRPr="002F75DA">
        <w:rPr>
          <w:rFonts w:hint="cs"/>
          <w:rtl/>
        </w:rPr>
        <w:t>, תוך שהתייחס להימורים כמקור פרנסה לגיטימי. בשנתיים שקדמו למעצר החל מעורבות גם בהימורים הקשורים לספורט באופן שהוביל לנסיגה נוספת במצבו הכלכלי ולהצטברות חובות לגורמים שוליים</w:t>
      </w:r>
      <w:r w:rsidRPr="00E90384">
        <w:rPr>
          <w:rFonts w:hint="cs"/>
          <w:rtl/>
        </w:rPr>
        <w:t>. ביחס לשימוש בחומרים פסיכו</w:t>
      </w:r>
      <w:r>
        <w:rPr>
          <w:rFonts w:hint="cs"/>
          <w:rtl/>
        </w:rPr>
        <w:t>-</w:t>
      </w:r>
      <w:r w:rsidRPr="00E90384">
        <w:rPr>
          <w:rFonts w:hint="cs"/>
          <w:rtl/>
        </w:rPr>
        <w:t xml:space="preserve">אקטיביים תיאר כי בעבר התנסה בסוגי סמים שונים אולם בשנים האחרונות צרך סמים מסוג קנאביס בתדירות גבוהה. </w:t>
      </w:r>
    </w:p>
    <w:p w14:paraId="639A96EA" w14:textId="77777777" w:rsidR="004B7AC9" w:rsidRDefault="004B7AC9" w:rsidP="004B7AC9">
      <w:pPr>
        <w:pStyle w:val="a9"/>
        <w:spacing w:before="240" w:after="240" w:line="360" w:lineRule="auto"/>
        <w:contextualSpacing w:val="0"/>
        <w:jc w:val="both"/>
        <w:rPr>
          <w:rtl/>
        </w:rPr>
      </w:pPr>
      <w:r>
        <w:rPr>
          <w:rFonts w:hint="cs"/>
          <w:rtl/>
        </w:rPr>
        <w:t xml:space="preserve">בסמוך לתחילת ההליך המשפטי, ולאור התרשמות שירות המבחן מנזקקות לטיפול אינטנסיבי במסגרת קהילה טיפולית בתחום ההתמכרויות, נעתר בית המשפט לעתירת ההגנה והורה על שחרורו של הנאשם לקהילת "הדרך". לאחר כארבעה חודשים בהם שהה בקהילה, ועל רקע תמונה מדאיגה בהתנהלותו שכללה שקרים, מניפולציות והתנהלות בעייתית בקבוצה וכלפי הצוות הוחלט להשעותו מהטיפול, וכשלא עמד בנדרש ממנו הוחלט על הפסקת הטיפול בקהילה. </w:t>
      </w:r>
    </w:p>
    <w:p w14:paraId="3C9C7775" w14:textId="77777777" w:rsidR="004B7AC9" w:rsidRDefault="004B7AC9" w:rsidP="004B7AC9">
      <w:pPr>
        <w:pStyle w:val="a9"/>
        <w:spacing w:before="240" w:after="240" w:line="360" w:lineRule="auto"/>
        <w:contextualSpacing w:val="0"/>
        <w:jc w:val="both"/>
        <w:rPr>
          <w:rtl/>
        </w:rPr>
      </w:pPr>
      <w:r>
        <w:rPr>
          <w:rFonts w:hint="cs"/>
          <w:rtl/>
        </w:rPr>
        <w:t xml:space="preserve">בהמשך, באופן חריג, נעתר בית המשפט לבקשתה הנוספת של ההגנה והורה על שילובו של הנאשם בקהילת "הרטוב" אולם לאחר שהות של כשלושה חודשים בקהילה, הופסק הטיפול שכן הוברר כי במהלך שהותו בקהילה החזיק הנאשם בטלפון נייד בניגוד לכללי הטיפול בקהילה ואף נתן למטופלים נוספים להשתמש בו. </w:t>
      </w:r>
    </w:p>
    <w:p w14:paraId="599FA549" w14:textId="77777777" w:rsidR="004B7AC9" w:rsidRDefault="004B7AC9" w:rsidP="004B7AC9">
      <w:pPr>
        <w:pStyle w:val="a9"/>
        <w:spacing w:before="240" w:after="240" w:line="360" w:lineRule="auto"/>
        <w:contextualSpacing w:val="0"/>
        <w:jc w:val="both"/>
        <w:rPr>
          <w:u w:val="single"/>
          <w:rtl/>
        </w:rPr>
      </w:pPr>
      <w:r>
        <w:rPr>
          <w:rFonts w:hint="cs"/>
          <w:u w:val="single"/>
          <w:rtl/>
        </w:rPr>
        <w:t>ראיות לעונש</w:t>
      </w:r>
    </w:p>
    <w:p w14:paraId="5C94BCEE" w14:textId="77777777" w:rsidR="004B7AC9" w:rsidRPr="00907A5E" w:rsidRDefault="004B7AC9" w:rsidP="004B7AC9">
      <w:pPr>
        <w:pStyle w:val="a9"/>
        <w:numPr>
          <w:ilvl w:val="0"/>
          <w:numId w:val="1"/>
        </w:numPr>
        <w:spacing w:before="240" w:after="240" w:line="360" w:lineRule="auto"/>
        <w:contextualSpacing w:val="0"/>
        <w:jc w:val="both"/>
        <w:rPr>
          <w:u w:val="single"/>
        </w:rPr>
      </w:pPr>
      <w:r>
        <w:rPr>
          <w:rFonts w:hint="cs"/>
          <w:rtl/>
        </w:rPr>
        <w:t xml:space="preserve">גרושתו של הנאשם ואם ילדיו העידה אודות מצבה הרפואי וההשפעה הצפויה על ילדיהם ככל שישלח הנאשם למאסר ממושך. </w:t>
      </w:r>
    </w:p>
    <w:p w14:paraId="5120E761" w14:textId="77777777" w:rsidR="004B7AC9" w:rsidRDefault="004B7AC9" w:rsidP="004B7AC9">
      <w:pPr>
        <w:pStyle w:val="a9"/>
        <w:spacing w:before="240" w:after="240" w:line="360" w:lineRule="auto"/>
        <w:contextualSpacing w:val="0"/>
        <w:jc w:val="both"/>
        <w:rPr>
          <w:u w:val="single"/>
          <w:rtl/>
        </w:rPr>
      </w:pPr>
      <w:r>
        <w:rPr>
          <w:rFonts w:hint="cs"/>
          <w:rtl/>
        </w:rPr>
        <w:t>אחותו של הנאשם העידה אודות נסיבות חייו המורכבות של הנאשם ומשפחתו ומצבם הרפואי של הוריהם.</w:t>
      </w:r>
    </w:p>
    <w:p w14:paraId="765943CF" w14:textId="77777777" w:rsidR="004B7AC9" w:rsidRDefault="004B7AC9" w:rsidP="004B7AC9">
      <w:pPr>
        <w:pStyle w:val="a9"/>
        <w:spacing w:before="240" w:after="240" w:line="360" w:lineRule="auto"/>
        <w:contextualSpacing w:val="0"/>
        <w:jc w:val="both"/>
        <w:rPr>
          <w:u w:val="single"/>
          <w:rtl/>
        </w:rPr>
      </w:pPr>
      <w:r w:rsidRPr="0052225C">
        <w:rPr>
          <w:rFonts w:hint="cs"/>
          <w:u w:val="single"/>
          <w:rtl/>
        </w:rPr>
        <w:t>טיעוני הצדדים לעונש</w:t>
      </w:r>
    </w:p>
    <w:p w14:paraId="598B58A7" w14:textId="77777777" w:rsidR="004B7AC9" w:rsidRDefault="004B7AC9" w:rsidP="004B7AC9">
      <w:pPr>
        <w:pStyle w:val="a9"/>
        <w:numPr>
          <w:ilvl w:val="0"/>
          <w:numId w:val="1"/>
        </w:numPr>
        <w:spacing w:before="240" w:after="240" w:line="360" w:lineRule="auto"/>
        <w:contextualSpacing w:val="0"/>
        <w:jc w:val="both"/>
      </w:pPr>
      <w:r w:rsidRPr="006857FA">
        <w:rPr>
          <w:rFonts w:hint="cs"/>
          <w:rtl/>
        </w:rPr>
        <w:t>ב"כ המאשימה, עו"ד</w:t>
      </w:r>
      <w:r>
        <w:rPr>
          <w:rFonts w:hint="cs"/>
          <w:rtl/>
        </w:rPr>
        <w:t xml:space="preserve"> דניאל באר, עמדה בטיעוניה על מידת הפגיעה בערכים המוגנים ועל נסיבות ביצוע העבירה. בתוך כך, נטען כי מדובר באחד התיקים בעלי משקל הסם הכי גדול במחוז, וכי נוכח סוג הסם והמשקל העצום מדובר בפגיעה ברף העליון. עוד עמדה התובעת על חלקו הדומיננטי של הנאשם בשרשרת הייבוא, שבלעדיו לא הייתה מתגבשת העבירה, נטען כי ההתנהלות הייתה מתוחכמת וכללה תיאומים שונים. מנגד נשקלה לזכותו הודאתו ושיתוף הפעולה בהזדמנות הראשונה, כבר בשלב החקירה, שהביאו להגשת כתבי אישום בעניינם של אחרים. </w:t>
      </w:r>
    </w:p>
    <w:p w14:paraId="51D4F3A1" w14:textId="77777777" w:rsidR="004B7AC9" w:rsidRDefault="004B7AC9" w:rsidP="004B7AC9">
      <w:pPr>
        <w:pStyle w:val="a9"/>
        <w:spacing w:before="240" w:after="240" w:line="360" w:lineRule="auto"/>
        <w:contextualSpacing w:val="0"/>
        <w:jc w:val="both"/>
        <w:rPr>
          <w:rtl/>
        </w:rPr>
      </w:pPr>
      <w:r>
        <w:rPr>
          <w:rFonts w:hint="cs"/>
          <w:rtl/>
        </w:rPr>
        <w:t xml:space="preserve">על יסוד כלל הנתונים ופסיקה שהוגשה עתרה התובעת לקבוע מתחם עונש הולם הנע בין 5 ל-7 שנות מאסר. </w:t>
      </w:r>
    </w:p>
    <w:p w14:paraId="71935614" w14:textId="77777777" w:rsidR="004B7AC9" w:rsidRDefault="004B7AC9" w:rsidP="004B7AC9">
      <w:pPr>
        <w:pStyle w:val="a9"/>
        <w:spacing w:before="240" w:after="240" w:line="360" w:lineRule="auto"/>
        <w:contextualSpacing w:val="0"/>
        <w:jc w:val="both"/>
        <w:rPr>
          <w:rtl/>
        </w:rPr>
      </w:pPr>
      <w:r>
        <w:rPr>
          <w:rFonts w:hint="cs"/>
          <w:rtl/>
        </w:rPr>
        <w:t>באשר לעונש המתאים לנאשם סברה התובעת כי יש למקמו בתחתית המתחם, וזאת נוכח נסיבותיו האישיות, הודאתו ושיתוף הפעולה עם גורמי החקירה. באשר להליך הטיפולי שעבר, סברה התובעת כי נוכח העובדה כי ניתנו לנאשם מספר הזדמנויות שלא צלחו, אין מקום לחרוג בעניינו מהמתחם. לצד עונש המאסר עתרה התובעת להטלת מאסר על תנאי מרתיע, וכן קנס גבוה נוכח העובדה כי העבירות בוצעו על רקע כלכלי.</w:t>
      </w:r>
    </w:p>
    <w:p w14:paraId="3C5A415D" w14:textId="77777777" w:rsidR="004B7AC9" w:rsidRDefault="004B7AC9" w:rsidP="004B7AC9">
      <w:pPr>
        <w:pStyle w:val="a9"/>
        <w:numPr>
          <w:ilvl w:val="0"/>
          <w:numId w:val="1"/>
        </w:numPr>
        <w:spacing w:before="240" w:after="240" w:line="360" w:lineRule="auto"/>
        <w:contextualSpacing w:val="0"/>
        <w:jc w:val="both"/>
      </w:pPr>
      <w:r>
        <w:rPr>
          <w:rFonts w:hint="cs"/>
          <w:rtl/>
        </w:rPr>
        <w:t>ב"כ הנאשם, עו"ד שירן גולברי, עמדה בהרחבה על נסיבות חייו המורכבות של הנאשם ועל ההשפעה של המעצר והמאסר הצפוי עליו ועל בני משפחתו. נטען כי יש משקל משמעותי לעובדה כי הנאשם לקח אחריות על מעשיו, הודה כבר בשלב המעצר וכי במסגרת בית המשפט הודה בכתב האישום ללא שום תיקון או הסדר. כמו כן נטען כי רצונו הכן של הנאשם היה לסיים את ההליך הטיפולי, ואף שכשל יש ליתן משקל לתקופה של 7 חודשים בה היה נתון בתנאי קהילה סגורה.</w:t>
      </w:r>
    </w:p>
    <w:p w14:paraId="6D8A6F9D" w14:textId="77777777" w:rsidR="004B7AC9" w:rsidRDefault="004B7AC9" w:rsidP="004B7AC9">
      <w:pPr>
        <w:pStyle w:val="a9"/>
        <w:spacing w:before="240" w:after="240" w:line="360" w:lineRule="auto"/>
        <w:contextualSpacing w:val="0"/>
        <w:jc w:val="both"/>
        <w:rPr>
          <w:rtl/>
        </w:rPr>
      </w:pPr>
      <w:r>
        <w:rPr>
          <w:rFonts w:hint="cs"/>
          <w:rtl/>
        </w:rPr>
        <w:t xml:space="preserve">בהתייחס לנסיבות ביצוע העבירה עמדה הסנגורית על כך שמדובר באירוע יחיד ונטען כי יש לראות את חלק של הנאשם כחלק מצומצם שכן הוא נדרש - כבלדר </w:t>
      </w:r>
      <w:r>
        <w:rPr>
          <w:rtl/>
        </w:rPr>
        <w:t>-</w:t>
      </w:r>
      <w:r>
        <w:rPr>
          <w:rFonts w:hint="cs"/>
          <w:rtl/>
        </w:rPr>
        <w:t xml:space="preserve"> לקבל את הסמים מפלוני במיקום מסוים ולמסור אותם למיכאל מיד עם נחיתתו בישראל. עוד סברה הסנגורית כי יש משקל לעובדה כי הנאשם נעצר בשדה התעופה והנזק הפוטנציאלי לא התממש בסופו של יום.</w:t>
      </w:r>
    </w:p>
    <w:p w14:paraId="72E8CA46" w14:textId="77777777" w:rsidR="004B7AC9" w:rsidRDefault="004B7AC9" w:rsidP="004B7AC9">
      <w:pPr>
        <w:pStyle w:val="a9"/>
        <w:spacing w:before="240" w:after="240" w:line="360" w:lineRule="auto"/>
        <w:contextualSpacing w:val="0"/>
        <w:jc w:val="both"/>
        <w:rPr>
          <w:rtl/>
        </w:rPr>
      </w:pPr>
      <w:r>
        <w:rPr>
          <w:rFonts w:hint="cs"/>
          <w:rtl/>
        </w:rPr>
        <w:t>על יסוד כלל הנתונים ופסיקה שהוצגה עתרה הסנגורית לקביעת מתחם עונש הולם הנע בין 30 חודשי מאסר ל-4 שנות מאסר. באשר למיקומו בתוך המתחם סברה כי נוכח נתוניו מיקומו בתחתית המתחם, אולם לאור סיכויי שיקום משמעותיים סברה כי יש מקום לחרוג מהמתחם בעניינו. במסגרת השלמת טיעון שהגישה הסנגורית בכתב עתרה בנוסף להימנע מהטלת קנס כספי, נוכח מצבו הכלכלי הקשה.</w:t>
      </w:r>
    </w:p>
    <w:p w14:paraId="67A4E387" w14:textId="77777777" w:rsidR="004B7AC9" w:rsidRPr="006857FA" w:rsidRDefault="004B7AC9" w:rsidP="004B7AC9">
      <w:pPr>
        <w:pStyle w:val="a9"/>
        <w:numPr>
          <w:ilvl w:val="0"/>
          <w:numId w:val="1"/>
        </w:numPr>
        <w:spacing w:before="240" w:after="240" w:line="360" w:lineRule="auto"/>
        <w:contextualSpacing w:val="0"/>
        <w:jc w:val="both"/>
        <w:rPr>
          <w:rtl/>
        </w:rPr>
      </w:pPr>
      <w:r>
        <w:rPr>
          <w:rFonts w:hint="cs"/>
          <w:rtl/>
        </w:rPr>
        <w:t>הנאשם בדברו האחרון אמר את הדברים הבאים: "</w:t>
      </w:r>
      <w:r w:rsidRPr="002810C7">
        <w:rPr>
          <w:b/>
          <w:bCs/>
          <w:rtl/>
        </w:rPr>
        <w:t>אני לא מקל ראש במעשה שעשיתי. אני מביע חרטה עמוקה. לא כך חונכתי וזה לא החינוך שאני רוצה להעביר לילדים שלי. אני אסיר תודה לבית המשפט על ההזדמנויות שניתנו לי, זה לא מובן מאליו. אני יודע שפגעתי במשפחה שלי. גם אם לא סיימתי את הטיפול בקהילת הדרך, אני נמצא בפרויקט "ראשית" ושומר על ניקיון מסמים. אני מאמין בדרך ובשינוי. לצערי, לא צלחתי את ההליך הטיפולי בקהילה, למרות הצוות והמקום המדהים. לקחתי את הטיפול באופן מאוד רציני, נחשפתי ברמות שלא יכולתי לעשות קודם. ביצעתי עבירה, אך אני לא אדם כזה. זו מעידה חד פעמית. מבלי להצטדק, הייתי אדם בשעת מצוקה נוראית שלא ידעתי איך להתמודד איתה. אני יודע את שעברתי במהלך חיי גם בזכות הטיפול, לקחתי משם המון הבנה ומודעות, כלים כדי להתמודד עם הבעיה שלי, שאני יודע שהיא עד סוף חיי ואצטרך להתמודד עם כך עד סוף חיי. אני רק מבקש מבית המשפט שלא לוותר עלי, לתת לי הזדמנות להציל את החיים שלי, אם לא בשבילי, בשביל הילדים שלי, אני אחראי על כך שנטשתי אותם, אף אחד לא אשם בזה, רק אני אשם. אני מתחנן לאדוני לדון אותי במידה של רחמים שתאפשר לי לחזור לחיים שלהם, ולהציל ולשקם את הקשר שנגדע. אני רוצה להוכיח לילדים שהמעשה שלי לא מאפיין אותי. כל מה שאני רוצה להוות לילדים מסר חיובי ושאני יכול אחרת. שזה לא האדם שאני</w:t>
      </w:r>
      <w:r>
        <w:rPr>
          <w:rFonts w:hint="cs"/>
          <w:rtl/>
        </w:rPr>
        <w:t>" (פרו' עמ 24, ש' 30).</w:t>
      </w:r>
    </w:p>
    <w:p w14:paraId="3BB994E0" w14:textId="77777777" w:rsidR="004B7AC9" w:rsidRDefault="004B7AC9" w:rsidP="004B7AC9">
      <w:pPr>
        <w:pStyle w:val="a9"/>
        <w:spacing w:before="240" w:after="240" w:line="360" w:lineRule="auto"/>
        <w:contextualSpacing w:val="0"/>
        <w:jc w:val="both"/>
        <w:rPr>
          <w:u w:val="single"/>
          <w:rtl/>
        </w:rPr>
      </w:pPr>
    </w:p>
    <w:p w14:paraId="59911F41" w14:textId="77777777" w:rsidR="004B7AC9" w:rsidRDefault="004B7AC9" w:rsidP="004B7AC9">
      <w:pPr>
        <w:pStyle w:val="a9"/>
        <w:spacing w:before="240" w:after="240" w:line="360" w:lineRule="auto"/>
        <w:contextualSpacing w:val="0"/>
        <w:jc w:val="both"/>
        <w:rPr>
          <w:u w:val="single"/>
          <w:rtl/>
        </w:rPr>
      </w:pPr>
    </w:p>
    <w:p w14:paraId="2F68DE33" w14:textId="77777777" w:rsidR="004B7AC9" w:rsidRDefault="004B7AC9" w:rsidP="004B7AC9">
      <w:pPr>
        <w:pStyle w:val="a9"/>
        <w:spacing w:before="240" w:after="240" w:line="360" w:lineRule="auto"/>
        <w:contextualSpacing w:val="0"/>
        <w:jc w:val="both"/>
        <w:rPr>
          <w:u w:val="single"/>
          <w:rtl/>
        </w:rPr>
      </w:pPr>
      <w:r w:rsidRPr="0009276C">
        <w:rPr>
          <w:rFonts w:hint="cs"/>
          <w:u w:val="single"/>
          <w:rtl/>
        </w:rPr>
        <w:t>דיון והכרעה</w:t>
      </w:r>
    </w:p>
    <w:p w14:paraId="65211F58" w14:textId="77777777" w:rsidR="004B7AC9" w:rsidRPr="000C328E" w:rsidRDefault="004B7AC9" w:rsidP="004B7AC9">
      <w:pPr>
        <w:pStyle w:val="a9"/>
        <w:numPr>
          <w:ilvl w:val="0"/>
          <w:numId w:val="1"/>
        </w:numPr>
        <w:spacing w:before="240" w:after="240" w:line="360" w:lineRule="auto"/>
        <w:ind w:left="714" w:hanging="357"/>
        <w:contextualSpacing w:val="0"/>
        <w:jc w:val="both"/>
        <w:rPr>
          <w:rtl/>
        </w:rPr>
      </w:pPr>
      <w:r w:rsidRPr="000C328E">
        <w:rPr>
          <w:rtl/>
        </w:rPr>
        <w:t>אין חולק בדבר החומרה הטמונה בעבירות סמים בכלל, ובעבירות שתכליתן החדרת סמים לתוך המדינה בפרט, אשר יש בהן כדי להרחיב את מעגל המשתמשים בסמים והמכורים להם, ולפגוע משמעותית בערכים עליהם ביקש המחוקק להגן, ועיקרם - שמירה על שלום הציבור, בריאותו וביטחונו והגנה עליו מפני הנזקים החברתיים, הן הישירים והן העקיפים, אשר נגרמים כתוצאה משימוש בסמים מסוכנים (</w:t>
      </w:r>
      <w:hyperlink r:id="rId21" w:history="1">
        <w:r w:rsidR="006472BE" w:rsidRPr="006472BE">
          <w:rPr>
            <w:color w:val="0000FF"/>
            <w:u w:val="single"/>
            <w:rtl/>
          </w:rPr>
          <w:t>ע"פ 667/21</w:t>
        </w:r>
      </w:hyperlink>
      <w:r w:rsidRPr="000C328E">
        <w:rPr>
          <w:rtl/>
        </w:rPr>
        <w:t xml:space="preserve"> </w:t>
      </w:r>
      <w:r w:rsidRPr="00274BFA">
        <w:rPr>
          <w:b/>
          <w:bCs/>
          <w:rtl/>
        </w:rPr>
        <w:t>מדינת ישראל נ' בן פורת ואח'</w:t>
      </w:r>
      <w:r w:rsidRPr="000C328E">
        <w:rPr>
          <w:rtl/>
        </w:rPr>
        <w:t>, פס' 18 (10.3.2021)).</w:t>
      </w:r>
    </w:p>
    <w:p w14:paraId="42BC647C" w14:textId="77777777" w:rsidR="004B7AC9" w:rsidRDefault="004B7AC9" w:rsidP="004B7AC9">
      <w:pPr>
        <w:pStyle w:val="a9"/>
        <w:spacing w:before="240" w:after="240" w:line="360" w:lineRule="auto"/>
        <w:ind w:left="714"/>
        <w:jc w:val="both"/>
        <w:rPr>
          <w:rtl/>
        </w:rPr>
      </w:pPr>
      <w:r w:rsidRPr="000C328E">
        <w:rPr>
          <w:rtl/>
        </w:rPr>
        <w:t>בענייננו, הנאשם</w:t>
      </w:r>
      <w:r>
        <w:rPr>
          <w:rFonts w:hint="cs"/>
          <w:rtl/>
        </w:rPr>
        <w:t xml:space="preserve"> ייבא לארץ, יחד עם אחרים, סם מסוכן מסוג </w:t>
      </w:r>
      <w:r>
        <w:rPr>
          <w:rFonts w:hint="cs"/>
        </w:rPr>
        <w:t>MDMA</w:t>
      </w:r>
      <w:r>
        <w:rPr>
          <w:rFonts w:hint="cs"/>
          <w:rtl/>
        </w:rPr>
        <w:t xml:space="preserve"> בכמות של 49,229 טבליות. </w:t>
      </w:r>
    </w:p>
    <w:p w14:paraId="5067CA01" w14:textId="77777777" w:rsidR="004B7AC9" w:rsidRDefault="004B7AC9" w:rsidP="004B7AC9">
      <w:pPr>
        <w:pStyle w:val="a9"/>
        <w:spacing w:before="240" w:after="240" w:line="360" w:lineRule="auto"/>
        <w:ind w:left="714"/>
        <w:jc w:val="both"/>
        <w:rPr>
          <w:rtl/>
        </w:rPr>
      </w:pPr>
    </w:p>
    <w:p w14:paraId="38BD63DA" w14:textId="77777777" w:rsidR="004B7AC9" w:rsidRDefault="004B7AC9" w:rsidP="004B7AC9">
      <w:pPr>
        <w:pStyle w:val="a9"/>
        <w:spacing w:before="240" w:after="240" w:line="360" w:lineRule="auto"/>
        <w:ind w:left="714"/>
        <w:jc w:val="both"/>
        <w:rPr>
          <w:rtl/>
        </w:rPr>
      </w:pPr>
      <w:r>
        <w:rPr>
          <w:rFonts w:hint="cs"/>
          <w:rtl/>
        </w:rPr>
        <w:t xml:space="preserve">בחלק משמעותי מתיקי יבוא הסמים נתקלים בתי המשפט בבלדרים המצויים ב"תחתית שרשרת המזון העבריינית". לעיתים רבות מדובר בנאשמים קשיי יום, בעלי מוגבלויות שונות, או כאלה המטפלים בבני משפחה חולים וזקוקים באופן מיידי לסכומי כסף. במקרים אלה, על פי רוב, זוכים אותם בלדרים להתחשבות בענישה נוכח נתוניהם האישים המורכבים וחלקם "הטכני" במסכת העבריינית. </w:t>
      </w:r>
    </w:p>
    <w:p w14:paraId="54AC73B7" w14:textId="77777777" w:rsidR="004B7AC9" w:rsidRDefault="004B7AC9" w:rsidP="004B7AC9">
      <w:pPr>
        <w:pStyle w:val="a9"/>
        <w:spacing w:before="240" w:after="240" w:line="360" w:lineRule="auto"/>
        <w:ind w:left="714"/>
        <w:jc w:val="both"/>
        <w:rPr>
          <w:rtl/>
        </w:rPr>
      </w:pPr>
    </w:p>
    <w:p w14:paraId="76E0254B" w14:textId="77777777" w:rsidR="004B7AC9" w:rsidRDefault="004B7AC9" w:rsidP="004B7AC9">
      <w:pPr>
        <w:pStyle w:val="a9"/>
        <w:spacing w:before="240" w:after="240" w:line="360" w:lineRule="auto"/>
        <w:ind w:left="714"/>
        <w:jc w:val="both"/>
        <w:rPr>
          <w:rtl/>
        </w:rPr>
      </w:pPr>
      <w:r>
        <w:rPr>
          <w:rFonts w:hint="cs"/>
          <w:rtl/>
        </w:rPr>
        <w:t xml:space="preserve">בחנתי את חלקו של הנאשם במסכת העבריינית, ודומני כי אף שאין מדובר במוח העברייני המרכזי העומד מאחורי ייבוא הסם, </w:t>
      </w:r>
      <w:r w:rsidRPr="00AB3E20">
        <w:rPr>
          <w:rFonts w:hint="cs"/>
          <w:b/>
          <w:bCs/>
          <w:rtl/>
        </w:rPr>
        <w:t>לא ניתן לומר כי מדובר בבלדר "פשוט" אלא במי שהיה בסוד חלק מהתוכנית העבריינית, וזאת לצד נטילת חלק אקטיבי נוסף ביבוא כבלדר</w:t>
      </w:r>
      <w:r>
        <w:rPr>
          <w:rFonts w:hint="cs"/>
          <w:rtl/>
        </w:rPr>
        <w:t xml:space="preserve">. הדברים עולים מכתב האישום המפרט מעבר לידיעתו של הנאשם, גם פעולות שביצע לצורך הוצאת ייבוא הסמים אל הפועל (לדוגמא </w:t>
      </w:r>
      <w:r>
        <w:rPr>
          <w:rtl/>
        </w:rPr>
        <w:t>-</w:t>
      </w:r>
      <w:r>
        <w:rPr>
          <w:rFonts w:hint="cs"/>
          <w:rtl/>
        </w:rPr>
        <w:t xml:space="preserve"> רכישת כרטיסי טיסה עבורו ועבור דבורצקי והזמנת מלון בבלגיה). </w:t>
      </w:r>
    </w:p>
    <w:p w14:paraId="1003AB14" w14:textId="77777777" w:rsidR="004B7AC9" w:rsidRDefault="004B7AC9" w:rsidP="004B7AC9">
      <w:pPr>
        <w:spacing w:before="240" w:after="240" w:line="360" w:lineRule="auto"/>
        <w:ind w:left="720" w:hanging="6"/>
        <w:jc w:val="both"/>
        <w:rPr>
          <w:rtl/>
        </w:rPr>
      </w:pPr>
      <w:r>
        <w:rPr>
          <w:rFonts w:hint="cs"/>
          <w:rtl/>
        </w:rPr>
        <w:t>לצד חלקו של הנאשם, יש ליתן את הדעת לנתונים נוספים המשפיעים על המתחם:</w:t>
      </w:r>
    </w:p>
    <w:p w14:paraId="77C6E96A" w14:textId="77777777" w:rsidR="004B7AC9" w:rsidRDefault="004B7AC9" w:rsidP="004B7AC9">
      <w:pPr>
        <w:spacing w:before="240" w:after="240" w:line="360" w:lineRule="auto"/>
        <w:ind w:left="1434" w:hanging="720"/>
        <w:jc w:val="both"/>
        <w:rPr>
          <w:rtl/>
        </w:rPr>
      </w:pPr>
      <w:r w:rsidRPr="00560F99">
        <w:rPr>
          <w:rFonts w:hint="cs"/>
          <w:b/>
          <w:bCs/>
          <w:rtl/>
        </w:rPr>
        <w:t xml:space="preserve"> (א) </w:t>
      </w:r>
      <w:r>
        <w:rPr>
          <w:b/>
          <w:bCs/>
          <w:rtl/>
        </w:rPr>
        <w:tab/>
      </w:r>
      <w:r w:rsidRPr="00560F99">
        <w:rPr>
          <w:rFonts w:hint="cs"/>
          <w:b/>
          <w:bCs/>
          <w:rtl/>
        </w:rPr>
        <w:t>כמות הסם העצומה</w:t>
      </w:r>
      <w:r>
        <w:rPr>
          <w:rFonts w:hint="cs"/>
          <w:rtl/>
        </w:rPr>
        <w:t xml:space="preserve"> </w:t>
      </w:r>
      <w:r>
        <w:rPr>
          <w:rtl/>
        </w:rPr>
        <w:t>-</w:t>
      </w:r>
      <w:r>
        <w:rPr>
          <w:rFonts w:hint="cs"/>
          <w:rtl/>
        </w:rPr>
        <w:t xml:space="preserve"> במקרה דנן דובר בייבוא</w:t>
      </w:r>
      <w:r>
        <w:rPr>
          <w:rtl/>
        </w:rPr>
        <w:t xml:space="preserve"> </w:t>
      </w:r>
      <w:r>
        <w:rPr>
          <w:rFonts w:hint="cs"/>
          <w:rtl/>
        </w:rPr>
        <w:t xml:space="preserve">49,229 טבליות </w:t>
      </w:r>
      <w:r>
        <w:rPr>
          <w:rFonts w:hint="cs"/>
        </w:rPr>
        <w:t>MDMA</w:t>
      </w:r>
      <w:r>
        <w:rPr>
          <w:rFonts w:hint="cs"/>
          <w:rtl/>
        </w:rPr>
        <w:t xml:space="preserve">. מדובר בכמות עצומה, אשר סקירת הפסיקה העלתה כי בתי המשפט לא דנו בשנים האחרונות בייבוא בהיקף כה נרחב. העובדה שהסם נתפס ולא הופץ בעלת משמעות, גם אם קטנה, שכן ניתן לומר כי פוטנציאל הסיכון הטמון בסם לא מומש. </w:t>
      </w:r>
    </w:p>
    <w:p w14:paraId="24F58ED5" w14:textId="77777777" w:rsidR="004B7AC9" w:rsidRDefault="004B7AC9" w:rsidP="004B7AC9">
      <w:pPr>
        <w:spacing w:before="240" w:after="240" w:line="360" w:lineRule="auto"/>
        <w:ind w:left="1440" w:hanging="720"/>
        <w:jc w:val="both"/>
        <w:rPr>
          <w:rtl/>
        </w:rPr>
      </w:pPr>
      <w:r w:rsidRPr="00560F99">
        <w:rPr>
          <w:rFonts w:hint="cs"/>
          <w:b/>
          <w:bCs/>
          <w:rtl/>
        </w:rPr>
        <w:t xml:space="preserve">(ב) </w:t>
      </w:r>
      <w:r>
        <w:rPr>
          <w:b/>
          <w:bCs/>
          <w:rtl/>
        </w:rPr>
        <w:tab/>
      </w:r>
      <w:r w:rsidRPr="00560F99">
        <w:rPr>
          <w:rFonts w:hint="cs"/>
          <w:b/>
          <w:bCs/>
          <w:rtl/>
        </w:rPr>
        <w:t>סוג הסם</w:t>
      </w:r>
      <w:r>
        <w:rPr>
          <w:rFonts w:hint="cs"/>
          <w:rtl/>
        </w:rPr>
        <w:t xml:space="preserve"> </w:t>
      </w:r>
      <w:r>
        <w:rPr>
          <w:rtl/>
        </w:rPr>
        <w:t>-</w:t>
      </w:r>
      <w:r>
        <w:rPr>
          <w:rFonts w:hint="cs"/>
          <w:rtl/>
        </w:rPr>
        <w:t xml:space="preserve"> בתי המשפט עמדו לא אחת על השפעתו הקשה של סם ה- </w:t>
      </w:r>
      <w:r>
        <w:rPr>
          <w:rFonts w:hint="cs"/>
        </w:rPr>
        <w:t>MDMA</w:t>
      </w:r>
      <w:r>
        <w:rPr>
          <w:rFonts w:hint="cs"/>
          <w:rtl/>
        </w:rPr>
        <w:t xml:space="preserve"> ולא ראיתי לחזור על הדברים. מדובר בסם הנחשב, בהיבט רמת החומרה, כסם "ביניים".</w:t>
      </w:r>
    </w:p>
    <w:p w14:paraId="7B7536A6" w14:textId="77777777" w:rsidR="004B7AC9" w:rsidRDefault="004B7AC9" w:rsidP="004B7AC9">
      <w:pPr>
        <w:pStyle w:val="a9"/>
        <w:spacing w:before="240" w:after="240" w:line="360" w:lineRule="auto"/>
        <w:ind w:left="1440" w:hanging="720"/>
        <w:contextualSpacing w:val="0"/>
        <w:jc w:val="both"/>
        <w:rPr>
          <w:rtl/>
        </w:rPr>
      </w:pPr>
      <w:r w:rsidRPr="00995029">
        <w:rPr>
          <w:rFonts w:hint="cs"/>
          <w:b/>
          <w:bCs/>
          <w:rtl/>
        </w:rPr>
        <w:t xml:space="preserve">(ג) </w:t>
      </w:r>
      <w:r w:rsidRPr="00995029">
        <w:rPr>
          <w:b/>
          <w:bCs/>
          <w:rtl/>
        </w:rPr>
        <w:tab/>
      </w:r>
      <w:r w:rsidRPr="00995029">
        <w:rPr>
          <w:rFonts w:hint="cs"/>
          <w:b/>
          <w:bCs/>
          <w:rtl/>
        </w:rPr>
        <w:t>התכנון שליווה את ביצוע העבירה</w:t>
      </w:r>
      <w:r w:rsidRPr="00995029">
        <w:rPr>
          <w:rFonts w:hint="cs"/>
          <w:rtl/>
        </w:rPr>
        <w:t xml:space="preserve"> </w:t>
      </w:r>
      <w:r>
        <w:rPr>
          <w:rtl/>
        </w:rPr>
        <w:t>-</w:t>
      </w:r>
      <w:r w:rsidRPr="00995029">
        <w:rPr>
          <w:rFonts w:hint="cs"/>
          <w:rtl/>
        </w:rPr>
        <w:t xml:space="preserve"> אין המדובר בעבירה "ספונטנית" אלא בתוכנית עבריינית מוקפדת, שכללה תיאום עם גורם שיספק את הסם בבלגיה, הצטיידות במזוודות בעלות דופן כפולה, רכישת כרטיסי טיסה והזמנת לינה במלון. </w:t>
      </w:r>
    </w:p>
    <w:p w14:paraId="5ABE8420" w14:textId="77777777" w:rsidR="004B7AC9" w:rsidRPr="00995029" w:rsidRDefault="004B7AC9" w:rsidP="004B7AC9">
      <w:pPr>
        <w:pStyle w:val="a9"/>
        <w:numPr>
          <w:ilvl w:val="0"/>
          <w:numId w:val="1"/>
        </w:numPr>
        <w:spacing w:before="240" w:after="240" w:line="360" w:lineRule="auto"/>
        <w:contextualSpacing w:val="0"/>
        <w:jc w:val="both"/>
      </w:pPr>
      <w:r w:rsidRPr="00995029">
        <w:rPr>
          <w:rFonts w:hint="cs"/>
          <w:rtl/>
        </w:rPr>
        <w:t>בבחינת מדיניות הענישה הנוהגת מצאתי את פסקי הדין הבאים כרלוונטיים:</w:t>
      </w:r>
    </w:p>
    <w:p w14:paraId="59DFA959" w14:textId="77777777" w:rsidR="004B7AC9" w:rsidRPr="00764D71" w:rsidRDefault="006472BE" w:rsidP="004B7AC9">
      <w:pPr>
        <w:pStyle w:val="a9"/>
        <w:spacing w:before="240" w:after="240" w:line="360" w:lineRule="auto"/>
        <w:contextualSpacing w:val="0"/>
        <w:jc w:val="both"/>
        <w:rPr>
          <w:rFonts w:ascii="David" w:hAnsi="David"/>
          <w:u w:val="single"/>
          <w:rtl/>
        </w:rPr>
      </w:pPr>
      <w:hyperlink r:id="rId22" w:history="1">
        <w:r w:rsidRPr="006472BE">
          <w:rPr>
            <w:rFonts w:ascii="David" w:hAnsi="David"/>
            <w:color w:val="0000FF"/>
            <w:u w:val="single"/>
            <w:shd w:val="clear" w:color="auto" w:fill="FFFFFF"/>
            <w:rtl/>
          </w:rPr>
          <w:t>ע"פ 4838/20</w:t>
        </w:r>
      </w:hyperlink>
      <w:r>
        <w:rPr>
          <w:rFonts w:ascii="David" w:hAnsi="David"/>
          <w:shd w:val="clear" w:color="auto" w:fill="FFFFFF"/>
        </w:rPr>
        <w:t xml:space="preserve"> </w:t>
      </w:r>
      <w:r w:rsidR="004B7AC9">
        <w:rPr>
          <w:rFonts w:ascii="David" w:hAnsi="David"/>
          <w:b/>
          <w:bCs/>
          <w:color w:val="000000"/>
          <w:shd w:val="clear" w:color="auto" w:fill="FFFFFF"/>
          <w:rtl/>
        </w:rPr>
        <w:t xml:space="preserve">אברמסון נ' מדינת </w:t>
      </w:r>
      <w:r w:rsidR="004B7AC9" w:rsidRPr="00383E86">
        <w:rPr>
          <w:rFonts w:ascii="David" w:hAnsi="David"/>
          <w:b/>
          <w:bCs/>
          <w:color w:val="000000"/>
          <w:shd w:val="clear" w:color="auto" w:fill="FFFFFF"/>
          <w:rtl/>
        </w:rPr>
        <w:t>ישרא</w:t>
      </w:r>
      <w:r w:rsidR="004B7AC9" w:rsidRPr="00383E86">
        <w:rPr>
          <w:rFonts w:ascii="David" w:hAnsi="David" w:hint="cs"/>
          <w:b/>
          <w:bCs/>
          <w:color w:val="000000"/>
          <w:shd w:val="clear" w:color="auto" w:fill="FFFFFF"/>
          <w:rtl/>
        </w:rPr>
        <w:t>ל</w:t>
      </w:r>
      <w:r w:rsidR="004B7AC9">
        <w:rPr>
          <w:rFonts w:ascii="David" w:hAnsi="David" w:hint="cs"/>
          <w:color w:val="000000"/>
          <w:shd w:val="clear" w:color="auto" w:fill="FFFFFF"/>
          <w:rtl/>
        </w:rPr>
        <w:t xml:space="preserve"> (15.8.2021) - </w:t>
      </w:r>
      <w:r w:rsidR="004B7AC9" w:rsidRPr="00383E86">
        <w:rPr>
          <w:rFonts w:ascii="David" w:hAnsi="David"/>
          <w:color w:val="000000"/>
          <w:shd w:val="clear" w:color="auto" w:fill="FFFFFF"/>
          <w:rtl/>
        </w:rPr>
        <w:t>המערערת</w:t>
      </w:r>
      <w:r w:rsidR="004B7AC9">
        <w:rPr>
          <w:rFonts w:ascii="David" w:hAnsi="David"/>
          <w:color w:val="000000"/>
          <w:shd w:val="clear" w:color="auto" w:fill="FFFFFF"/>
          <w:rtl/>
        </w:rPr>
        <w:t xml:space="preserve"> הורשעה בעבירות של קשירת קשר, ייבוא סמים, החזקה וניסיון להחזקת סם מסכן שלא לצריכה עצמית ושימוש במסמך מזויף, בכך שקשרה קשר</w:t>
      </w:r>
      <w:r>
        <w:rPr>
          <w:rFonts w:ascii="David" w:hAnsi="David"/>
          <w:color w:val="000000"/>
          <w:shd w:val="clear" w:color="auto" w:fill="FFFFFF"/>
          <w:rtl/>
        </w:rPr>
        <w:t xml:space="preserve"> </w:t>
      </w:r>
      <w:r w:rsidR="004B7AC9">
        <w:rPr>
          <w:rFonts w:ascii="David" w:hAnsi="David"/>
          <w:color w:val="000000"/>
          <w:shd w:val="clear" w:color="auto" w:fill="FFFFFF"/>
          <w:rtl/>
        </w:rPr>
        <w:t xml:space="preserve">עם גורמים בהולנד במטרה שישלחו לה באמצעות הדואר חבילות עם סמים מסוכנים, בכמות כוללת של מעל ל-3,000 טבליות </w:t>
      </w:r>
      <w:r w:rsidR="004B7AC9" w:rsidRPr="00764D71">
        <w:rPr>
          <w:rFonts w:ascii="David" w:hAnsi="David"/>
          <w:color w:val="000000"/>
          <w:shd w:val="clear" w:color="auto" w:fill="FFFFFF"/>
          <w:rtl/>
        </w:rPr>
        <w:t xml:space="preserve">סם מסוכן (ברובם מסוג </w:t>
      </w:r>
      <w:r w:rsidR="004B7AC9" w:rsidRPr="00764D71">
        <w:rPr>
          <w:rFonts w:ascii="David" w:hAnsi="David"/>
        </w:rPr>
        <w:t>MDMA</w:t>
      </w:r>
      <w:r w:rsidR="004B7AC9" w:rsidRPr="00764D71">
        <w:rPr>
          <w:rFonts w:ascii="David" w:hAnsi="David"/>
          <w:color w:val="000000"/>
          <w:shd w:val="clear" w:color="auto" w:fill="FFFFFF"/>
          <w:rtl/>
        </w:rPr>
        <w:t>). בית המשפט המחוזי קבע</w:t>
      </w:r>
      <w:r>
        <w:rPr>
          <w:rFonts w:ascii="David" w:hAnsi="David"/>
          <w:color w:val="000000"/>
          <w:shd w:val="clear" w:color="auto" w:fill="FFFFFF"/>
          <w:rtl/>
        </w:rPr>
        <w:t xml:space="preserve"> </w:t>
      </w:r>
      <w:r w:rsidR="004B7AC9" w:rsidRPr="00764D71">
        <w:rPr>
          <w:rFonts w:ascii="David" w:hAnsi="David"/>
          <w:b/>
          <w:bCs/>
          <w:color w:val="000000"/>
          <w:shd w:val="clear" w:color="auto" w:fill="FFFFFF"/>
          <w:rtl/>
        </w:rPr>
        <w:t>מתחם הנע בין 24 ל-60 חודשי מאסר,</w:t>
      </w:r>
      <w:r w:rsidR="004B7AC9" w:rsidRPr="00764D71">
        <w:rPr>
          <w:rFonts w:ascii="David" w:hAnsi="David"/>
          <w:color w:val="000000"/>
          <w:shd w:val="clear" w:color="auto" w:fill="FFFFFF"/>
        </w:rPr>
        <w:t xml:space="preserve"> </w:t>
      </w:r>
      <w:r w:rsidR="004B7AC9" w:rsidRPr="00764D71">
        <w:rPr>
          <w:rFonts w:ascii="David" w:hAnsi="David"/>
          <w:color w:val="000000"/>
          <w:shd w:val="clear" w:color="auto" w:fill="FFFFFF"/>
          <w:rtl/>
        </w:rPr>
        <w:t>בחר שלא לחרוג מהמתחם מטעמי שיקום וגזר על המערערת עונש של 24 חודשי מאסר לצד ענישה נלווית. ערעור על חומרת גזר הדין נדחה</w:t>
      </w:r>
      <w:r w:rsidR="004B7AC9" w:rsidRPr="00764D71">
        <w:rPr>
          <w:rFonts w:ascii="David" w:hAnsi="David"/>
          <w:color w:val="000000"/>
          <w:shd w:val="clear" w:color="auto" w:fill="FFFFFF"/>
        </w:rPr>
        <w:t>.</w:t>
      </w:r>
    </w:p>
    <w:p w14:paraId="7470A07B" w14:textId="77777777" w:rsidR="004B7AC9" w:rsidRPr="00764D71" w:rsidRDefault="006472BE" w:rsidP="004B7AC9">
      <w:pPr>
        <w:pStyle w:val="a9"/>
        <w:spacing w:before="240" w:after="240" w:line="360" w:lineRule="auto"/>
        <w:contextualSpacing w:val="0"/>
        <w:jc w:val="both"/>
        <w:rPr>
          <w:rFonts w:ascii="David" w:hAnsi="David"/>
          <w:rtl/>
        </w:rPr>
      </w:pPr>
      <w:hyperlink r:id="rId23" w:history="1">
        <w:r w:rsidRPr="006472BE">
          <w:rPr>
            <w:rFonts w:ascii="David" w:hAnsi="David"/>
            <w:color w:val="0000FF"/>
            <w:u w:val="single"/>
            <w:rtl/>
          </w:rPr>
          <w:t>ע"פ 1901/19</w:t>
        </w:r>
      </w:hyperlink>
      <w:r w:rsidR="004B7AC9" w:rsidRPr="00764D71">
        <w:rPr>
          <w:rFonts w:ascii="David" w:hAnsi="David"/>
          <w:rtl/>
        </w:rPr>
        <w:t xml:space="preserve"> </w:t>
      </w:r>
      <w:r w:rsidR="004B7AC9" w:rsidRPr="00764D71">
        <w:rPr>
          <w:rFonts w:ascii="David" w:hAnsi="David"/>
          <w:b/>
          <w:bCs/>
          <w:rtl/>
        </w:rPr>
        <w:t>אסולין נ' מדינת ישראל</w:t>
      </w:r>
      <w:r w:rsidR="004B7AC9" w:rsidRPr="00764D71">
        <w:rPr>
          <w:rFonts w:ascii="David" w:hAnsi="David"/>
          <w:rtl/>
        </w:rPr>
        <w:t xml:space="preserve"> (31.5.2020) - שם נקבע </w:t>
      </w:r>
      <w:r w:rsidR="004B7AC9" w:rsidRPr="00764D71">
        <w:rPr>
          <w:rFonts w:ascii="David" w:hAnsi="David"/>
          <w:b/>
          <w:bCs/>
          <w:rtl/>
        </w:rPr>
        <w:t>מתחם הנע בין 54 חודשי מאסר ל-90 חודשי מאסר</w:t>
      </w:r>
      <w:r w:rsidR="004B7AC9" w:rsidRPr="00764D71">
        <w:rPr>
          <w:rFonts w:ascii="David" w:hAnsi="David"/>
          <w:rtl/>
        </w:rPr>
        <w:t xml:space="preserve">, וזאת בגין ייבוא של סם מסוכן מסוג </w:t>
      </w:r>
      <w:r w:rsidR="004B7AC9" w:rsidRPr="00764D71">
        <w:rPr>
          <w:rFonts w:ascii="David" w:hAnsi="David"/>
        </w:rPr>
        <w:t>MDMA</w:t>
      </w:r>
      <w:r w:rsidR="004B7AC9" w:rsidRPr="00764D71">
        <w:rPr>
          <w:rFonts w:ascii="David" w:hAnsi="David"/>
          <w:rtl/>
        </w:rPr>
        <w:t xml:space="preserve"> בכמות של כ-25,000 טבליות (כ-10 ק"ג). </w:t>
      </w:r>
    </w:p>
    <w:p w14:paraId="1FC99721" w14:textId="77777777" w:rsidR="004B7AC9" w:rsidRPr="00764D71" w:rsidRDefault="006472BE" w:rsidP="004B7AC9">
      <w:pPr>
        <w:spacing w:before="240" w:after="240" w:line="360" w:lineRule="auto"/>
        <w:ind w:left="720"/>
        <w:jc w:val="both"/>
        <w:rPr>
          <w:rFonts w:ascii="David" w:hAnsi="David"/>
        </w:rPr>
      </w:pPr>
      <w:hyperlink r:id="rId24" w:history="1">
        <w:r w:rsidRPr="006472BE">
          <w:rPr>
            <w:rFonts w:ascii="David" w:hAnsi="David"/>
            <w:color w:val="0000FF"/>
            <w:u w:val="single"/>
            <w:rtl/>
          </w:rPr>
          <w:t>ת"פ (מחוזי י-ם) 37958-02-19</w:t>
        </w:r>
      </w:hyperlink>
      <w:r w:rsidR="004B7AC9" w:rsidRPr="00764D71">
        <w:rPr>
          <w:rFonts w:ascii="David" w:hAnsi="David"/>
          <w:rtl/>
        </w:rPr>
        <w:t xml:space="preserve"> </w:t>
      </w:r>
      <w:r w:rsidR="004B7AC9" w:rsidRPr="00764D71">
        <w:rPr>
          <w:rFonts w:ascii="David" w:hAnsi="David"/>
          <w:b/>
          <w:bCs/>
          <w:rtl/>
        </w:rPr>
        <w:t xml:space="preserve">מדינת ישראל נ' וינברג </w:t>
      </w:r>
      <w:r w:rsidR="004B7AC9" w:rsidRPr="00764D71">
        <w:rPr>
          <w:rFonts w:ascii="David" w:hAnsi="David"/>
          <w:rtl/>
        </w:rPr>
        <w:t xml:space="preserve">(11.2.2021) - הנאשם הורשע על יסוד הודאתו במסגרת הסדר טיעון בביצוע עבירה של ייבוא סם מסוכן, בכך שקשר קשר עם אחרים, נסע לאודסה וקיבל שם סם מסוכן מסוג </w:t>
      </w:r>
      <w:r w:rsidR="004B7AC9" w:rsidRPr="00764D71">
        <w:rPr>
          <w:rFonts w:ascii="David" w:hAnsi="David"/>
        </w:rPr>
        <w:t>MDMA</w:t>
      </w:r>
      <w:r w:rsidR="004B7AC9" w:rsidRPr="00764D71">
        <w:rPr>
          <w:rFonts w:ascii="David" w:hAnsi="David"/>
          <w:rtl/>
        </w:rPr>
        <w:t xml:space="preserve"> במשקל נטו של כ-5 ק"ג והעביר אותו לישראל כשהוא מוסלק בתוך מזוודה. בית המשפט קבע </w:t>
      </w:r>
      <w:r w:rsidR="004B7AC9" w:rsidRPr="00764D71">
        <w:rPr>
          <w:rFonts w:ascii="David" w:hAnsi="David"/>
          <w:b/>
          <w:bCs/>
          <w:rtl/>
        </w:rPr>
        <w:t>מתחם הנע בין 24 ל-40 חודשי מאסר</w:t>
      </w:r>
      <w:r w:rsidR="004B7AC9" w:rsidRPr="00764D71">
        <w:rPr>
          <w:rFonts w:ascii="David" w:hAnsi="David"/>
          <w:rtl/>
        </w:rPr>
        <w:t>, וחרג מהמתחם מטעמי שיקום, תוך העמדת העונש על 6 חודשי מאסר על תנאי.</w:t>
      </w:r>
    </w:p>
    <w:p w14:paraId="13B79DFD" w14:textId="77777777" w:rsidR="004B7AC9" w:rsidRDefault="006472BE" w:rsidP="004B7AC9">
      <w:pPr>
        <w:spacing w:before="240" w:after="240" w:line="360" w:lineRule="auto"/>
        <w:ind w:left="720"/>
        <w:jc w:val="both"/>
        <w:rPr>
          <w:rtl/>
        </w:rPr>
      </w:pPr>
      <w:hyperlink r:id="rId25" w:history="1">
        <w:r w:rsidRPr="006472BE">
          <w:rPr>
            <w:rFonts w:ascii="David" w:hAnsi="David"/>
            <w:color w:val="0000FF"/>
            <w:u w:val="single"/>
            <w:rtl/>
          </w:rPr>
          <w:t>ת"פ (מחוזי מרכז) 11720-07-16</w:t>
        </w:r>
      </w:hyperlink>
      <w:r w:rsidR="004B7AC9" w:rsidRPr="00764D71">
        <w:rPr>
          <w:rFonts w:ascii="David" w:hAnsi="David"/>
          <w:rtl/>
        </w:rPr>
        <w:t xml:space="preserve"> </w:t>
      </w:r>
      <w:r w:rsidR="004B7AC9" w:rsidRPr="00764D71">
        <w:rPr>
          <w:rFonts w:ascii="David" w:hAnsi="David"/>
          <w:b/>
          <w:bCs/>
          <w:rtl/>
        </w:rPr>
        <w:t xml:space="preserve">מדינת ישראל נ' אלזס </w:t>
      </w:r>
      <w:r w:rsidR="004B7AC9" w:rsidRPr="00764D71">
        <w:rPr>
          <w:rFonts w:ascii="David" w:hAnsi="David"/>
          <w:rtl/>
        </w:rPr>
        <w:t xml:space="preserve">(8.2.2021) - הנאשם הורשע בעבירה של ייבוא סם מסוכן, בכך שתיאם בין שני אחרים את הבאתה של מזוודה מברלין לישראל, הנחה אותם כיצד לתקשר אחד עם השני וסיפק להם כרטיסי טיסה וכספים. האחרים העבירו ביניהם מזוודה שהכילה 13,139 טבליות </w:t>
      </w:r>
      <w:r w:rsidR="004B7AC9" w:rsidRPr="00764D71">
        <w:rPr>
          <w:rFonts w:ascii="David" w:hAnsi="David"/>
        </w:rPr>
        <w:t>MDMA</w:t>
      </w:r>
      <w:r w:rsidR="004B7AC9" w:rsidRPr="00764D71">
        <w:rPr>
          <w:rFonts w:ascii="David" w:hAnsi="David"/>
          <w:rtl/>
        </w:rPr>
        <w:t xml:space="preserve"> וכן אבקת סם </w:t>
      </w:r>
      <w:r w:rsidR="004B7AC9" w:rsidRPr="00764D71">
        <w:rPr>
          <w:rFonts w:ascii="David" w:hAnsi="David"/>
        </w:rPr>
        <w:t>MDMA</w:t>
      </w:r>
      <w:r w:rsidR="004B7AC9" w:rsidRPr="00764D71">
        <w:rPr>
          <w:rFonts w:ascii="David" w:hAnsi="David"/>
          <w:rtl/>
        </w:rPr>
        <w:t xml:space="preserve"> במשקל של 1.3 ק"ג נטו. אחד האחרים נתפס בשיקוף בשדה התעופה תוך שהוא מעדכן את הנאשם על כך. בית המשפט קבע </w:t>
      </w:r>
      <w:r w:rsidR="004B7AC9" w:rsidRPr="00764D71">
        <w:rPr>
          <w:rFonts w:ascii="David" w:hAnsi="David"/>
          <w:b/>
          <w:bCs/>
          <w:rtl/>
        </w:rPr>
        <w:t>מתחם הנע בין 24 ל-42 חודשי מאסר</w:t>
      </w:r>
      <w:r w:rsidR="004B7AC9" w:rsidRPr="00764D71">
        <w:rPr>
          <w:rFonts w:ascii="David" w:hAnsi="David"/>
          <w:rtl/>
        </w:rPr>
        <w:t xml:space="preserve"> והטיל עליו עונש, של 18 חודשי מאסר לצד ענישה נלווית, זאת לאחר הליכי</w:t>
      </w:r>
      <w:r w:rsidR="004B7AC9">
        <w:rPr>
          <w:rFonts w:hint="cs"/>
          <w:rtl/>
        </w:rPr>
        <w:t xml:space="preserve"> שיקום. </w:t>
      </w:r>
      <w:r w:rsidR="004B7AC9">
        <w:rPr>
          <w:rtl/>
        </w:rPr>
        <w:t>ערעור על גזר הדין (</w:t>
      </w:r>
      <w:hyperlink r:id="rId26" w:history="1">
        <w:r w:rsidRPr="006472BE">
          <w:rPr>
            <w:color w:val="0000FF"/>
            <w:u w:val="single"/>
            <w:rtl/>
          </w:rPr>
          <w:t>ע"פ 2038/21</w:t>
        </w:r>
      </w:hyperlink>
      <w:r w:rsidR="004B7AC9">
        <w:rPr>
          <w:rtl/>
        </w:rPr>
        <w:t xml:space="preserve">) התקבל בהסכמה והעונש הועמד על 11 חודשי מאסר בפועל. </w:t>
      </w:r>
    </w:p>
    <w:p w14:paraId="0634B3F4" w14:textId="77777777" w:rsidR="004B7AC9" w:rsidRDefault="006472BE" w:rsidP="004B7AC9">
      <w:pPr>
        <w:spacing w:before="240" w:after="240" w:line="360" w:lineRule="auto"/>
        <w:ind w:left="720"/>
        <w:jc w:val="both"/>
        <w:rPr>
          <w:rtl/>
        </w:rPr>
      </w:pPr>
      <w:hyperlink r:id="rId27" w:history="1">
        <w:r w:rsidRPr="006472BE">
          <w:rPr>
            <w:color w:val="0000FF"/>
            <w:u w:val="single"/>
            <w:rtl/>
          </w:rPr>
          <w:t>ת"פ (מחוזי מרכז) 46786-04-18</w:t>
        </w:r>
      </w:hyperlink>
      <w:r w:rsidR="004B7AC9">
        <w:rPr>
          <w:rFonts w:hint="cs"/>
          <w:rtl/>
        </w:rPr>
        <w:t xml:space="preserve"> </w:t>
      </w:r>
      <w:r w:rsidR="004B7AC9" w:rsidRPr="00A83649">
        <w:rPr>
          <w:rFonts w:hint="cs"/>
          <w:b/>
          <w:bCs/>
          <w:rtl/>
        </w:rPr>
        <w:t>מדינת ישראל נ' יבלנוב</w:t>
      </w:r>
      <w:r w:rsidR="004B7AC9">
        <w:rPr>
          <w:rFonts w:hint="cs"/>
          <w:rtl/>
        </w:rPr>
        <w:t xml:space="preserve"> (14.11.2019) </w:t>
      </w:r>
      <w:r w:rsidR="004B7AC9">
        <w:rPr>
          <w:rtl/>
        </w:rPr>
        <w:t>-</w:t>
      </w:r>
      <w:r w:rsidR="004B7AC9">
        <w:rPr>
          <w:rFonts w:hint="cs"/>
          <w:rtl/>
        </w:rPr>
        <w:t xml:space="preserve"> הנאשם הורשע על יסוד הודאתו בכתב אישום מתוקן, שלא במסגרת הסדר טיעון, בעבירות של קשירת קשר לפשע, יבוא סם מסוכן בצוותא חדא והחזקת סם </w:t>
      </w:r>
      <w:r w:rsidR="004B7AC9" w:rsidRPr="00764D71">
        <w:rPr>
          <w:rFonts w:ascii="David" w:hAnsi="David"/>
          <w:rtl/>
        </w:rPr>
        <w:t xml:space="preserve">מסוכן לצריכה עצמית. על פי עובדות כתב האישום המתוקן, בין הנאשם לאברהם קשר על רקע מכירת סמים שמכר אברהם לנאשם, על רקע זה נוצר לנאשם חוב כספי לאברהם. על מנת למחוק את החוב הסכים הנאשם לייבא סמים מאירופה לישראל, במסגרת זו קיבל כספים שיועדו למימון הליך היבוא, והכניס לארץ במזוודה בעלת דופן כפולה 31,243 טבליות של סם מסוכן מסוג </w:t>
      </w:r>
      <w:r w:rsidR="004B7AC9" w:rsidRPr="00764D71">
        <w:rPr>
          <w:rFonts w:ascii="David" w:hAnsi="David"/>
        </w:rPr>
        <w:t>MDMA</w:t>
      </w:r>
      <w:r w:rsidR="004B7AC9" w:rsidRPr="00764D71">
        <w:rPr>
          <w:rFonts w:ascii="David" w:hAnsi="David"/>
          <w:rtl/>
        </w:rPr>
        <w:t xml:space="preserve">. בית המשפט המחוזי קבע בעניינו </w:t>
      </w:r>
      <w:r w:rsidR="004B7AC9" w:rsidRPr="00764D71">
        <w:rPr>
          <w:rFonts w:ascii="David" w:hAnsi="David"/>
          <w:b/>
          <w:bCs/>
          <w:rtl/>
        </w:rPr>
        <w:t>מתחם הנע בין 48 ל-78 חודשי מאסר</w:t>
      </w:r>
      <w:r w:rsidR="004B7AC9" w:rsidRPr="00764D71">
        <w:rPr>
          <w:rFonts w:ascii="David" w:hAnsi="David"/>
          <w:rtl/>
        </w:rPr>
        <w:t xml:space="preserve"> וגזר עליו 20 חודשי מאסר, תוך</w:t>
      </w:r>
      <w:r w:rsidR="004B7AC9">
        <w:rPr>
          <w:rFonts w:hint="cs"/>
          <w:rtl/>
        </w:rPr>
        <w:t xml:space="preserve"> חריגה מטעמי שיקום. </w:t>
      </w:r>
    </w:p>
    <w:p w14:paraId="2EE83E3B" w14:textId="77777777" w:rsidR="004B7AC9" w:rsidRDefault="006472BE" w:rsidP="004B7AC9">
      <w:pPr>
        <w:spacing w:before="240" w:after="240" w:line="360" w:lineRule="auto"/>
        <w:ind w:left="720"/>
        <w:jc w:val="both"/>
        <w:rPr>
          <w:rtl/>
        </w:rPr>
      </w:pPr>
      <w:hyperlink r:id="rId28" w:history="1">
        <w:r w:rsidRPr="006472BE">
          <w:rPr>
            <w:color w:val="0000FF"/>
            <w:u w:val="single"/>
            <w:rtl/>
          </w:rPr>
          <w:t>ת"פ (מחוזי מרכז) 17157-12-17</w:t>
        </w:r>
      </w:hyperlink>
      <w:r w:rsidR="004B7AC9">
        <w:rPr>
          <w:rtl/>
        </w:rPr>
        <w:t xml:space="preserve"> </w:t>
      </w:r>
      <w:r w:rsidR="004B7AC9">
        <w:rPr>
          <w:b/>
          <w:bCs/>
          <w:rtl/>
        </w:rPr>
        <w:t xml:space="preserve">מדינת ישראל נ' אורן ואח' </w:t>
      </w:r>
      <w:r w:rsidR="004B7AC9">
        <w:rPr>
          <w:rtl/>
        </w:rPr>
        <w:t xml:space="preserve">(11.9.2019) - הנאשם 1 הורשע בשתי עבירות של ייבוא סם מסוכן בכך שפנה לנאשמת 3 והציע לה לטוס אל נאשם 2 שנמצא באמסטרדם ולהביא לישראל מזוודה בעלת </w:t>
      </w:r>
      <w:r w:rsidR="004B7AC9">
        <w:rPr>
          <w:rFonts w:ascii="David" w:hAnsi="David"/>
          <w:rtl/>
        </w:rPr>
        <w:t xml:space="preserve">דופן כפולה המכילה סם </w:t>
      </w:r>
      <w:r w:rsidR="004B7AC9" w:rsidRPr="00764D71">
        <w:rPr>
          <w:rFonts w:ascii="David" w:hAnsi="David"/>
          <w:rtl/>
        </w:rPr>
        <w:t xml:space="preserve">מסוכן מסוג </w:t>
      </w:r>
      <w:r w:rsidR="004B7AC9" w:rsidRPr="00764D71">
        <w:rPr>
          <w:rFonts w:ascii="David" w:hAnsi="David"/>
        </w:rPr>
        <w:t>MDMA</w:t>
      </w:r>
      <w:r w:rsidR="004B7AC9" w:rsidRPr="00764D71">
        <w:rPr>
          <w:rFonts w:ascii="David" w:hAnsi="David"/>
          <w:rtl/>
        </w:rPr>
        <w:t>, סייע לנאשמת 3 ברכישת כרטיסי טיסה ובהמרת מטבע זר, וכן תשלום בסך 15,000 ₪ עבורה וארנק המכיל סכום</w:t>
      </w:r>
      <w:r w:rsidR="004B7AC9">
        <w:rPr>
          <w:rFonts w:ascii="David" w:hAnsi="David"/>
          <w:rtl/>
        </w:rPr>
        <w:t xml:space="preserve"> לא ידוע של כסף עבור נאשם 2. בסך הכל ייבא נאשם 1 בסיועם של נאשמים 2-3 כמות של מעל 10 ק"ג סם מסוכן. בית המשפט קבע </w:t>
      </w:r>
      <w:r w:rsidR="004B7AC9">
        <w:rPr>
          <w:rFonts w:ascii="David" w:hAnsi="David"/>
          <w:b/>
          <w:bCs/>
          <w:rtl/>
        </w:rPr>
        <w:t>מתחם שנע בין 4.5 ל-7 שנות מאסר</w:t>
      </w:r>
      <w:r w:rsidR="004B7AC9">
        <w:rPr>
          <w:rFonts w:ascii="David" w:hAnsi="David"/>
          <w:rtl/>
        </w:rPr>
        <w:t xml:space="preserve"> וגזר על נאשם 1 42 חודשי מאסר</w:t>
      </w:r>
      <w:r w:rsidR="004B7AC9">
        <w:rPr>
          <w:rtl/>
        </w:rPr>
        <w:t>, בחריגה מהמתחם מטעמי שיקום.</w:t>
      </w:r>
    </w:p>
    <w:p w14:paraId="1EA825D1" w14:textId="77777777" w:rsidR="004B7AC9" w:rsidRDefault="006472BE" w:rsidP="004B7AC9">
      <w:pPr>
        <w:spacing w:before="240" w:after="240" w:line="360" w:lineRule="auto"/>
        <w:ind w:left="720"/>
        <w:jc w:val="both"/>
        <w:rPr>
          <w:rtl/>
        </w:rPr>
      </w:pPr>
      <w:hyperlink r:id="rId29" w:history="1">
        <w:r w:rsidRPr="006472BE">
          <w:rPr>
            <w:color w:val="0000FF"/>
            <w:u w:val="single"/>
            <w:rtl/>
          </w:rPr>
          <w:t>ת"פ (מחוזי מרכז) 58966-01-18</w:t>
        </w:r>
      </w:hyperlink>
      <w:r w:rsidR="004B7AC9" w:rsidRPr="00073578">
        <w:rPr>
          <w:rtl/>
        </w:rPr>
        <w:t xml:space="preserve"> </w:t>
      </w:r>
      <w:r w:rsidR="004B7AC9" w:rsidRPr="00073578">
        <w:rPr>
          <w:b/>
          <w:bCs/>
          <w:rtl/>
        </w:rPr>
        <w:t>מדינת ישראל נ' צציק</w:t>
      </w:r>
      <w:r w:rsidR="004B7AC9" w:rsidRPr="00073578">
        <w:rPr>
          <w:rtl/>
        </w:rPr>
        <w:t xml:space="preserve"> (22.11.2018) - שם נקבע </w:t>
      </w:r>
      <w:r w:rsidR="004B7AC9" w:rsidRPr="00073578">
        <w:rPr>
          <w:b/>
          <w:bCs/>
          <w:rtl/>
        </w:rPr>
        <w:t>מתחם הנע בין 54 חודשי מאסר ל-90 חודשי מאסר</w:t>
      </w:r>
      <w:r w:rsidR="004B7AC9" w:rsidRPr="00073578">
        <w:rPr>
          <w:rtl/>
        </w:rPr>
        <w:t xml:space="preserve">, וזאת בגין עבירת ייבוא </w:t>
      </w:r>
      <w:r w:rsidR="004B7AC9" w:rsidRPr="00764D71">
        <w:rPr>
          <w:rFonts w:ascii="David" w:hAnsi="David"/>
          <w:rtl/>
        </w:rPr>
        <w:t xml:space="preserve">של סם מסוכן מסוג </w:t>
      </w:r>
      <w:r w:rsidR="004B7AC9" w:rsidRPr="00764D71">
        <w:rPr>
          <w:rFonts w:ascii="David" w:hAnsi="David"/>
        </w:rPr>
        <w:t>MDMA</w:t>
      </w:r>
      <w:r w:rsidR="004B7AC9" w:rsidRPr="00764D71">
        <w:rPr>
          <w:rFonts w:ascii="David" w:hAnsi="David"/>
          <w:rtl/>
        </w:rPr>
        <w:t xml:space="preserve"> במשקל</w:t>
      </w:r>
      <w:r w:rsidR="004B7AC9" w:rsidRPr="00073578">
        <w:rPr>
          <w:rtl/>
        </w:rPr>
        <w:t xml:space="preserve"> 9.2 ק"ג.</w:t>
      </w:r>
    </w:p>
    <w:p w14:paraId="33BF883C" w14:textId="77777777" w:rsidR="004B7AC9" w:rsidRPr="0089176A" w:rsidRDefault="004B7AC9" w:rsidP="004B7AC9">
      <w:pPr>
        <w:pStyle w:val="a9"/>
        <w:numPr>
          <w:ilvl w:val="0"/>
          <w:numId w:val="1"/>
        </w:numPr>
        <w:spacing w:before="240" w:after="240" w:line="360" w:lineRule="auto"/>
        <w:contextualSpacing w:val="0"/>
        <w:jc w:val="both"/>
        <w:rPr>
          <w:u w:val="single"/>
        </w:rPr>
      </w:pPr>
      <w:r>
        <w:rPr>
          <w:rFonts w:hint="cs"/>
          <w:rtl/>
        </w:rPr>
        <w:t xml:space="preserve">נתתי דעתי להשפעת העונש שהוטל על מיכאל, ואף שאני נכון לראותו כמשפיע על המתחם, דומני כי השפעתו קטנה. מסקנה זאת מתחייבת נוכח ההבחנה הראייתית בין עניינו של מיכאל (שם בוסס הסדר הטיעון על קושי ראייתי משמעותי) לבין עניינו של הנאשם שנתפס עם הסמים בנתב"ג. </w:t>
      </w:r>
    </w:p>
    <w:p w14:paraId="55DA404F" w14:textId="77777777" w:rsidR="004B7AC9" w:rsidRPr="0089176A" w:rsidRDefault="004B7AC9" w:rsidP="004B7AC9">
      <w:pPr>
        <w:pStyle w:val="a9"/>
        <w:numPr>
          <w:ilvl w:val="0"/>
          <w:numId w:val="1"/>
        </w:numPr>
        <w:spacing w:before="240" w:after="240" w:line="360" w:lineRule="auto"/>
        <w:contextualSpacing w:val="0"/>
        <w:jc w:val="both"/>
        <w:rPr>
          <w:rtl/>
        </w:rPr>
      </w:pPr>
      <w:r>
        <w:rPr>
          <w:rFonts w:hint="cs"/>
          <w:rtl/>
        </w:rPr>
        <w:t>ש</w:t>
      </w:r>
      <w:r w:rsidRPr="0089176A">
        <w:rPr>
          <w:rFonts w:hint="cs"/>
          <w:rtl/>
        </w:rPr>
        <w:t xml:space="preserve">קלול הנתונים שפורטו לעיל מוביל למסקנה כי יש להעמיד את הרף התחתון של המתחם על 4.5 שנות מאסר ואת הרף העליון על 6.5 שנות מאסר. אציין כי אלמלא </w:t>
      </w:r>
      <w:r>
        <w:rPr>
          <w:rFonts w:hint="cs"/>
          <w:rtl/>
        </w:rPr>
        <w:t xml:space="preserve">שיקול אחידות הענישה והשפעת </w:t>
      </w:r>
      <w:r w:rsidRPr="0089176A">
        <w:rPr>
          <w:rFonts w:hint="cs"/>
          <w:rtl/>
        </w:rPr>
        <w:t xml:space="preserve">הסדר הטיעון שהוצג בעניינו של מיכאל, הייתי נכון לקבל במלואה את עתירת התובעת, עו"ד באר, שהייתה מנומקת וראויה. </w:t>
      </w:r>
    </w:p>
    <w:p w14:paraId="30E200B9" w14:textId="77777777" w:rsidR="004B7AC9" w:rsidRDefault="004B7AC9" w:rsidP="004B7AC9">
      <w:pPr>
        <w:pStyle w:val="a9"/>
        <w:spacing w:before="240" w:after="240" w:line="360" w:lineRule="auto"/>
        <w:contextualSpacing w:val="0"/>
        <w:jc w:val="both"/>
        <w:rPr>
          <w:u w:val="single"/>
          <w:rtl/>
        </w:rPr>
      </w:pPr>
      <w:r w:rsidRPr="00FD50F0">
        <w:rPr>
          <w:rFonts w:hint="cs"/>
          <w:u w:val="single"/>
          <w:rtl/>
        </w:rPr>
        <w:t>קביעת העונש המתאים</w:t>
      </w:r>
      <w:r>
        <w:rPr>
          <w:rFonts w:hint="cs"/>
          <w:u w:val="single"/>
          <w:rtl/>
        </w:rPr>
        <w:t xml:space="preserve"> וחריגה מטעמי שיקום</w:t>
      </w:r>
    </w:p>
    <w:p w14:paraId="694293DE" w14:textId="77777777" w:rsidR="004B7AC9" w:rsidRDefault="004B7AC9" w:rsidP="004B7AC9">
      <w:pPr>
        <w:pStyle w:val="a9"/>
        <w:numPr>
          <w:ilvl w:val="0"/>
          <w:numId w:val="1"/>
        </w:numPr>
        <w:spacing w:before="240" w:after="240" w:line="360" w:lineRule="auto"/>
        <w:contextualSpacing w:val="0"/>
        <w:jc w:val="both"/>
      </w:pPr>
      <w:r w:rsidRPr="00FD50F0">
        <w:rPr>
          <w:rFonts w:hint="cs"/>
          <w:rtl/>
        </w:rPr>
        <w:t>לא הייתה מחלוקת בין הצדדים כי נתוניו של הנאשם ובהם נסיבות חי</w:t>
      </w:r>
      <w:r>
        <w:rPr>
          <w:rFonts w:hint="cs"/>
          <w:rtl/>
        </w:rPr>
        <w:t>י</w:t>
      </w:r>
      <w:r w:rsidRPr="00FD50F0">
        <w:rPr>
          <w:rFonts w:hint="cs"/>
          <w:rtl/>
        </w:rPr>
        <w:t xml:space="preserve">ו, </w:t>
      </w:r>
      <w:r>
        <w:rPr>
          <w:rFonts w:hint="cs"/>
          <w:rtl/>
        </w:rPr>
        <w:t xml:space="preserve">היעדר עבר פלילי ונטילת האחריות </w:t>
      </w:r>
      <w:r w:rsidRPr="00FD50F0">
        <w:rPr>
          <w:rFonts w:hint="cs"/>
          <w:rtl/>
        </w:rPr>
        <w:t>מצדיקים מיקומו בתחתית מתחם הענישה.</w:t>
      </w:r>
      <w:r>
        <w:rPr>
          <w:rFonts w:hint="cs"/>
          <w:rtl/>
        </w:rPr>
        <w:t xml:space="preserve"> </w:t>
      </w:r>
    </w:p>
    <w:p w14:paraId="3A2FA39C" w14:textId="77777777" w:rsidR="004B7AC9" w:rsidRDefault="004B7AC9" w:rsidP="004B7AC9">
      <w:pPr>
        <w:pStyle w:val="a9"/>
        <w:spacing w:before="240" w:after="240" w:line="360" w:lineRule="auto"/>
        <w:contextualSpacing w:val="0"/>
        <w:jc w:val="both"/>
      </w:pPr>
      <w:r>
        <w:rPr>
          <w:rFonts w:hint="cs"/>
          <w:rtl/>
        </w:rPr>
        <w:t xml:space="preserve">הצדדים נחלקו באשר למשקל שיש לתת להליך הטיפולי בו נטל הנאשם חלק, הגם שלא צלח. התביעה סברה כי אין מקום להתחשב בהליך זה באופן של חריגה ממתחם הענישה, בעוד שההגנה סברה כי השתלבותו של הנאשם בקהילות סגורות למשך תקופה כוללת של 7 חודשים והעובדה כי גם לאחר שנפלט מהקהילה הסגורה שב למעצר והשתלב במסגרתו בהליכי שיקום, מלמדת על סיכויי שיקום משמעותיים המצדיקים חריגה ממתחם העונש ההולם. </w:t>
      </w:r>
    </w:p>
    <w:p w14:paraId="50A46A18" w14:textId="77777777" w:rsidR="004B7AC9" w:rsidRDefault="004B7AC9" w:rsidP="004B7AC9">
      <w:pPr>
        <w:pStyle w:val="a9"/>
        <w:numPr>
          <w:ilvl w:val="0"/>
          <w:numId w:val="1"/>
        </w:numPr>
        <w:spacing w:before="240" w:after="240" w:line="360" w:lineRule="auto"/>
        <w:contextualSpacing w:val="0"/>
        <w:jc w:val="both"/>
      </w:pPr>
      <w:r>
        <w:rPr>
          <w:rFonts w:hint="cs"/>
          <w:rtl/>
        </w:rPr>
        <w:t xml:space="preserve">עמדתי כעמדת התביעה. </w:t>
      </w:r>
    </w:p>
    <w:p w14:paraId="4E86ED10" w14:textId="77777777" w:rsidR="004B7AC9" w:rsidRDefault="004B7AC9" w:rsidP="004B7AC9">
      <w:pPr>
        <w:pStyle w:val="a9"/>
        <w:spacing w:before="240" w:after="240" w:line="360" w:lineRule="auto"/>
        <w:contextualSpacing w:val="0"/>
        <w:jc w:val="both"/>
      </w:pPr>
      <w:r>
        <w:rPr>
          <w:rFonts w:hint="cs"/>
          <w:rtl/>
        </w:rPr>
        <w:t xml:space="preserve">העובדה שהנאשם נפלט משתי קהילות סגורות, בנסיבות בהן נפלט, אינן מלמדות על סיכויי שיקום בעוצמה המאפשרת חריגה ממתחם העונש ההולם, אף אם השתלב לאחרונה בהליך טיפולי בבית המעצר. כולי תקווה כי הנאשם יצליח להתמיד בהליכי השיקום בין כותלי בית הסוהר, וכי בתום ריצוי מאסרו יצא לדרך חדשה. </w:t>
      </w:r>
    </w:p>
    <w:p w14:paraId="2941708E" w14:textId="77777777" w:rsidR="004B7AC9" w:rsidRPr="00A046D3" w:rsidRDefault="004B7AC9" w:rsidP="004B7AC9">
      <w:pPr>
        <w:pStyle w:val="a9"/>
        <w:spacing w:before="240" w:after="240" w:line="360" w:lineRule="auto"/>
        <w:contextualSpacing w:val="0"/>
        <w:jc w:val="both"/>
        <w:rPr>
          <w:u w:val="single"/>
          <w:rtl/>
        </w:rPr>
      </w:pPr>
      <w:r w:rsidRPr="00A046D3">
        <w:rPr>
          <w:rFonts w:hint="cs"/>
          <w:u w:val="single"/>
          <w:rtl/>
        </w:rPr>
        <w:t>סוף דבר</w:t>
      </w:r>
    </w:p>
    <w:p w14:paraId="4E87C716" w14:textId="77777777" w:rsidR="004B7AC9" w:rsidRDefault="004B7AC9" w:rsidP="004B7AC9">
      <w:pPr>
        <w:pStyle w:val="a9"/>
        <w:numPr>
          <w:ilvl w:val="0"/>
          <w:numId w:val="1"/>
        </w:numPr>
        <w:spacing w:before="240" w:after="240" w:line="360" w:lineRule="auto"/>
        <w:contextualSpacing w:val="0"/>
        <w:jc w:val="both"/>
      </w:pPr>
      <w:r w:rsidRPr="0025230A">
        <w:rPr>
          <w:rFonts w:hint="cs"/>
          <w:rtl/>
        </w:rPr>
        <w:t>על יסוד מכלול הנתונים ראיתי להטיל על הנאשם את העונשים הבאים</w:t>
      </w:r>
      <w:r>
        <w:rPr>
          <w:rFonts w:hint="cs"/>
          <w:rtl/>
        </w:rPr>
        <w:t xml:space="preserve">: </w:t>
      </w:r>
    </w:p>
    <w:p w14:paraId="49ED661E" w14:textId="77777777" w:rsidR="004B7AC9" w:rsidRDefault="004B7AC9" w:rsidP="004B7AC9">
      <w:pPr>
        <w:pStyle w:val="a9"/>
        <w:numPr>
          <w:ilvl w:val="0"/>
          <w:numId w:val="2"/>
        </w:numPr>
        <w:spacing w:before="240" w:after="240" w:line="360" w:lineRule="auto"/>
        <w:contextualSpacing w:val="0"/>
        <w:jc w:val="both"/>
      </w:pPr>
      <w:r>
        <w:rPr>
          <w:rFonts w:hint="cs"/>
          <w:rtl/>
        </w:rPr>
        <w:t>4.5 שנות מאסר החל מיום 17.4.23, ובניכוי ימי מעצרו 23.12.21 עד 17.5.22.</w:t>
      </w:r>
    </w:p>
    <w:p w14:paraId="33735F8C" w14:textId="77777777" w:rsidR="004B7AC9" w:rsidRDefault="004B7AC9" w:rsidP="004B7AC9">
      <w:pPr>
        <w:pStyle w:val="a9"/>
        <w:numPr>
          <w:ilvl w:val="0"/>
          <w:numId w:val="2"/>
        </w:numPr>
        <w:spacing w:before="240" w:after="240" w:line="360" w:lineRule="auto"/>
        <w:contextualSpacing w:val="0"/>
        <w:jc w:val="both"/>
      </w:pPr>
      <w:r>
        <w:rPr>
          <w:rFonts w:hint="cs"/>
          <w:rtl/>
        </w:rPr>
        <w:t>9 חודשי מאסר אולם הנאשם לא יישא עונש זה אלא אם יעבור תוך שלוש שנים מיום שחרורו עבירת סמים מסוג פשע.</w:t>
      </w:r>
    </w:p>
    <w:p w14:paraId="6C253EBF" w14:textId="77777777" w:rsidR="004B7AC9" w:rsidRDefault="004B7AC9" w:rsidP="004B7AC9">
      <w:pPr>
        <w:pStyle w:val="a9"/>
        <w:numPr>
          <w:ilvl w:val="0"/>
          <w:numId w:val="2"/>
        </w:numPr>
        <w:spacing w:before="240" w:after="240" w:line="360" w:lineRule="auto"/>
        <w:contextualSpacing w:val="0"/>
        <w:jc w:val="both"/>
      </w:pPr>
      <w:r>
        <w:rPr>
          <w:rFonts w:hint="cs"/>
          <w:rtl/>
        </w:rPr>
        <w:t>4 חודשי מאסר אולם הנאשם לא יישא עונש זה אלא אם יעבור תוך שלוש שנים מיום שחרורו עבירת סמים מסוג עוון.</w:t>
      </w:r>
    </w:p>
    <w:p w14:paraId="6BE50AC3" w14:textId="77777777" w:rsidR="004B7AC9" w:rsidRDefault="004B7AC9" w:rsidP="004B7AC9">
      <w:pPr>
        <w:spacing w:before="240" w:after="240" w:line="360" w:lineRule="auto"/>
        <w:jc w:val="both"/>
        <w:rPr>
          <w:rtl/>
        </w:rPr>
      </w:pPr>
    </w:p>
    <w:p w14:paraId="4CDAD1E7" w14:textId="77777777" w:rsidR="004B7AC9" w:rsidRDefault="004B7AC9" w:rsidP="004B7AC9">
      <w:pPr>
        <w:spacing w:before="240" w:after="240" w:line="360" w:lineRule="auto"/>
        <w:jc w:val="both"/>
      </w:pPr>
    </w:p>
    <w:p w14:paraId="01B35686" w14:textId="77777777" w:rsidR="004B7AC9" w:rsidRDefault="004B7AC9" w:rsidP="004B7AC9">
      <w:pPr>
        <w:pStyle w:val="a9"/>
        <w:numPr>
          <w:ilvl w:val="0"/>
          <w:numId w:val="2"/>
        </w:numPr>
        <w:spacing w:before="240" w:after="240" w:line="360" w:lineRule="auto"/>
        <w:contextualSpacing w:val="0"/>
        <w:jc w:val="both"/>
      </w:pPr>
      <w:r>
        <w:rPr>
          <w:rFonts w:hint="cs"/>
          <w:rtl/>
        </w:rPr>
        <w:t xml:space="preserve">קנס בסך 10,000 ₪ אשר ישולם עד ולא יאוחר מיום 1.6.24 או 50 ימי מאסר תמורתו. </w:t>
      </w:r>
    </w:p>
    <w:p w14:paraId="580B10B8" w14:textId="77777777" w:rsidR="004B7AC9" w:rsidRDefault="004B7AC9" w:rsidP="004B7AC9">
      <w:pPr>
        <w:spacing w:before="240" w:after="240" w:line="360" w:lineRule="auto"/>
        <w:ind w:left="720"/>
        <w:jc w:val="both"/>
      </w:pPr>
      <w:r>
        <w:rPr>
          <w:rFonts w:hint="cs"/>
          <w:rtl/>
        </w:rPr>
        <w:t xml:space="preserve">תשומת לב שב"ס כי הנאשם שולב לפני מס' חודשים בפרויקט 'ראשית' ויש לעשות כל שניתן על-מנת לאפשר לו לקדם את הליך השיקום גם באמצעות שיבוצו לכלא בו ניתן לעשות כן. </w:t>
      </w:r>
    </w:p>
    <w:p w14:paraId="3B8D4BF9" w14:textId="77777777" w:rsidR="004B7AC9" w:rsidRDefault="004B7AC9" w:rsidP="004B7AC9">
      <w:pPr>
        <w:spacing w:before="240" w:after="240" w:line="360" w:lineRule="auto"/>
        <w:ind w:firstLine="720"/>
        <w:jc w:val="both"/>
        <w:rPr>
          <w:rtl/>
        </w:rPr>
      </w:pPr>
      <w:r>
        <w:rPr>
          <w:rFonts w:hint="cs"/>
          <w:rtl/>
        </w:rPr>
        <w:t>זכות ערעור כחוק.</w:t>
      </w:r>
    </w:p>
    <w:p w14:paraId="36A853DE" w14:textId="77777777" w:rsidR="004B7AC9" w:rsidRDefault="004B7AC9" w:rsidP="004B7AC9">
      <w:pPr>
        <w:spacing w:before="240" w:after="240" w:line="360" w:lineRule="auto"/>
        <w:ind w:firstLine="720"/>
        <w:jc w:val="both"/>
        <w:rPr>
          <w:rtl/>
        </w:rPr>
      </w:pPr>
      <w:r>
        <w:rPr>
          <w:rFonts w:hint="cs"/>
          <w:rtl/>
        </w:rPr>
        <w:t>ניתן צו למוצגים לשיקול דעת קצין משטרה ו/או התביעה.</w:t>
      </w:r>
    </w:p>
    <w:p w14:paraId="72A63F44" w14:textId="77777777" w:rsidR="004B7AC9" w:rsidRPr="00A90AC5" w:rsidRDefault="006472BE" w:rsidP="004B7AC9">
      <w:pPr>
        <w:spacing w:line="360" w:lineRule="auto"/>
        <w:ind w:firstLine="720"/>
        <w:rPr>
          <w:rFonts w:ascii="David" w:hAnsi="David"/>
        </w:rPr>
      </w:pPr>
      <w:bookmarkStart w:id="8" w:name="Nitan"/>
      <w:r>
        <w:rPr>
          <w:rFonts w:ascii="David" w:hAnsi="David"/>
          <w:b/>
          <w:bCs/>
          <w:rtl/>
        </w:rPr>
        <w:t xml:space="preserve">ניתן היום י"ט אלול תשפ"ג, 05/09/2023 במעמד הצדדים. </w:t>
      </w:r>
      <w:bookmarkEnd w:id="8"/>
    </w:p>
    <w:p w14:paraId="6ED608D0" w14:textId="77777777" w:rsidR="004B7AC9" w:rsidRPr="006472BE" w:rsidRDefault="006472BE" w:rsidP="004B7AC9">
      <w:pPr>
        <w:rPr>
          <w:color w:val="FFFFFF"/>
          <w:sz w:val="2"/>
          <w:szCs w:val="2"/>
          <w:rtl/>
        </w:rPr>
      </w:pPr>
      <w:r w:rsidRPr="006472B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B7AC9" w14:paraId="0A021E29" w14:textId="77777777" w:rsidTr="004B7AC9">
        <w:trPr>
          <w:trHeight w:val="316"/>
          <w:jc w:val="right"/>
        </w:trPr>
        <w:tc>
          <w:tcPr>
            <w:tcW w:w="3936" w:type="dxa"/>
            <w:tcBorders>
              <w:top w:val="nil"/>
              <w:left w:val="nil"/>
              <w:bottom w:val="single" w:sz="4" w:space="0" w:color="auto"/>
              <w:right w:val="nil"/>
            </w:tcBorders>
            <w:shd w:val="clear" w:color="auto" w:fill="auto"/>
            <w:vAlign w:val="bottom"/>
          </w:tcPr>
          <w:p w14:paraId="241D102C" w14:textId="77777777" w:rsidR="004B7AC9" w:rsidRPr="006472BE" w:rsidRDefault="006472BE" w:rsidP="004B7AC9">
            <w:pPr>
              <w:jc w:val="center"/>
              <w:rPr>
                <w:color w:val="FFFFFF"/>
                <w:sz w:val="2"/>
                <w:szCs w:val="2"/>
                <w:rtl/>
              </w:rPr>
            </w:pPr>
            <w:r w:rsidRPr="006472BE">
              <w:rPr>
                <w:color w:val="FFFFFF"/>
                <w:sz w:val="2"/>
                <w:szCs w:val="2"/>
                <w:rtl/>
              </w:rPr>
              <w:t>54678313</w:t>
            </w:r>
          </w:p>
        </w:tc>
      </w:tr>
      <w:tr w:rsidR="004B7AC9" w14:paraId="4EA93C34" w14:textId="77777777" w:rsidTr="004B7AC9">
        <w:trPr>
          <w:trHeight w:val="361"/>
          <w:jc w:val="right"/>
        </w:trPr>
        <w:tc>
          <w:tcPr>
            <w:tcW w:w="3936" w:type="dxa"/>
            <w:tcBorders>
              <w:top w:val="single" w:sz="4" w:space="0" w:color="auto"/>
              <w:left w:val="nil"/>
              <w:bottom w:val="nil"/>
              <w:right w:val="nil"/>
            </w:tcBorders>
            <w:shd w:val="clear" w:color="auto" w:fill="auto"/>
          </w:tcPr>
          <w:p w14:paraId="0E4BCAE3" w14:textId="77777777" w:rsidR="004B7AC9" w:rsidRPr="004B7AC9" w:rsidRDefault="004B7AC9" w:rsidP="004B7AC9">
            <w:pPr>
              <w:jc w:val="center"/>
              <w:rPr>
                <w:b/>
                <w:bCs/>
                <w:rtl/>
              </w:rPr>
            </w:pPr>
            <w:r w:rsidRPr="004B7AC9">
              <w:rPr>
                <w:rFonts w:hint="cs"/>
                <w:b/>
                <w:bCs/>
                <w:rtl/>
              </w:rPr>
              <w:t>בני שגיא, שופט</w:t>
            </w:r>
          </w:p>
          <w:p w14:paraId="0CB31E97" w14:textId="77777777" w:rsidR="004B7AC9" w:rsidRPr="004B7AC9" w:rsidRDefault="004B7AC9" w:rsidP="004B7AC9">
            <w:pPr>
              <w:jc w:val="center"/>
              <w:rPr>
                <w:b/>
                <w:bCs/>
                <w:rtl/>
              </w:rPr>
            </w:pPr>
            <w:r w:rsidRPr="004B7AC9">
              <w:rPr>
                <w:rFonts w:hint="cs"/>
                <w:b/>
                <w:bCs/>
                <w:rtl/>
              </w:rPr>
              <w:t>סגן נשיא</w:t>
            </w:r>
          </w:p>
        </w:tc>
      </w:tr>
    </w:tbl>
    <w:p w14:paraId="4D777D51" w14:textId="77777777" w:rsidR="004B7AC9" w:rsidRPr="00250B83" w:rsidRDefault="004B7AC9" w:rsidP="004B7AC9">
      <w:pPr>
        <w:pStyle w:val="a9"/>
        <w:spacing w:before="240" w:after="240" w:line="360" w:lineRule="auto"/>
        <w:ind w:left="1080"/>
        <w:contextualSpacing w:val="0"/>
        <w:jc w:val="both"/>
        <w:rPr>
          <w:rtl/>
        </w:rPr>
      </w:pPr>
      <w:r w:rsidRPr="00250B83">
        <w:rPr>
          <w:rtl/>
        </w:rPr>
        <w:t xml:space="preserve"> </w:t>
      </w:r>
    </w:p>
    <w:p w14:paraId="7C0F71E0" w14:textId="77777777" w:rsidR="004B7AC9" w:rsidRPr="00250B83" w:rsidRDefault="004B7AC9" w:rsidP="004B7AC9">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7909C54" w14:textId="77777777" w:rsidR="004B7AC9" w:rsidRPr="00AF1097" w:rsidRDefault="004B7AC9" w:rsidP="004B7AC9">
      <w:pPr>
        <w:jc w:val="center"/>
        <w:rPr>
          <w:rFonts w:ascii="Arial" w:hAnsi="Arial"/>
          <w:rtl/>
        </w:rPr>
      </w:pPr>
    </w:p>
    <w:p w14:paraId="01CA2965" w14:textId="77777777" w:rsidR="006472BE" w:rsidRDefault="006472BE" w:rsidP="006472BE">
      <w:pPr>
        <w:rPr>
          <w:rtl/>
        </w:rPr>
      </w:pPr>
    </w:p>
    <w:p w14:paraId="43A2CA4E" w14:textId="77777777" w:rsidR="006472BE" w:rsidRDefault="006472BE" w:rsidP="006472BE">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737D82C" w14:textId="77777777" w:rsidR="004A7D6E" w:rsidRPr="004A7D6E" w:rsidRDefault="004A7D6E" w:rsidP="004A7D6E">
      <w:pPr>
        <w:keepNext/>
        <w:rPr>
          <w:rFonts w:ascii="David" w:hAnsi="David"/>
          <w:color w:val="000000"/>
          <w:sz w:val="22"/>
          <w:szCs w:val="22"/>
          <w:rtl/>
        </w:rPr>
      </w:pPr>
    </w:p>
    <w:p w14:paraId="146CE58E" w14:textId="77777777" w:rsidR="004A7D6E" w:rsidRPr="004A7D6E" w:rsidRDefault="004A7D6E" w:rsidP="004A7D6E">
      <w:pPr>
        <w:keepNext/>
        <w:rPr>
          <w:rFonts w:ascii="David" w:hAnsi="David"/>
          <w:color w:val="000000"/>
          <w:sz w:val="22"/>
          <w:szCs w:val="22"/>
          <w:rtl/>
        </w:rPr>
      </w:pPr>
      <w:r w:rsidRPr="004A7D6E">
        <w:rPr>
          <w:rFonts w:ascii="David" w:hAnsi="David"/>
          <w:color w:val="000000"/>
          <w:sz w:val="22"/>
          <w:szCs w:val="22"/>
          <w:rtl/>
        </w:rPr>
        <w:t>בני שגיא 54678313-/</w:t>
      </w:r>
    </w:p>
    <w:p w14:paraId="30AF3CB2" w14:textId="77777777" w:rsidR="006472BE" w:rsidRPr="006472BE" w:rsidRDefault="004A7D6E" w:rsidP="004A7D6E">
      <w:pPr>
        <w:rPr>
          <w:color w:val="0000FF"/>
          <w:u w:val="single"/>
        </w:rPr>
      </w:pPr>
      <w:r w:rsidRPr="004A7D6E">
        <w:rPr>
          <w:color w:val="000000"/>
          <w:u w:val="single"/>
          <w:rtl/>
        </w:rPr>
        <w:t>נוסח מסמך זה כפוף לשינויי ניסוח ועריכה</w:t>
      </w:r>
    </w:p>
    <w:sectPr w:rsidR="006472BE" w:rsidRPr="006472BE" w:rsidSect="004A7D6E">
      <w:headerReference w:type="even" r:id="rId31"/>
      <w:headerReference w:type="default" r:id="rId32"/>
      <w:footerReference w:type="even" r:id="rId33"/>
      <w:footerReference w:type="default" r:id="rId34"/>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9F81A" w14:textId="77777777" w:rsidR="00F616E2" w:rsidRDefault="00F616E2" w:rsidP="00D9656E">
      <w:r>
        <w:separator/>
      </w:r>
    </w:p>
  </w:endnote>
  <w:endnote w:type="continuationSeparator" w:id="0">
    <w:p w14:paraId="3B82419B" w14:textId="77777777" w:rsidR="00F616E2" w:rsidRDefault="00F616E2" w:rsidP="00D9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80912" w14:textId="77777777" w:rsidR="004A7D6E" w:rsidRDefault="004A7D6E" w:rsidP="004A7D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80E65C" w14:textId="77777777" w:rsidR="00D23BA1" w:rsidRPr="004A7D6E" w:rsidRDefault="004A7D6E" w:rsidP="004A7D6E">
    <w:pPr>
      <w:pStyle w:val="a5"/>
      <w:pBdr>
        <w:top w:val="single" w:sz="4" w:space="1" w:color="auto"/>
        <w:between w:val="single" w:sz="4" w:space="0" w:color="auto"/>
      </w:pBdr>
      <w:spacing w:after="60"/>
      <w:jc w:val="center"/>
      <w:rPr>
        <w:rFonts w:ascii="FrankRuehl" w:hAnsi="FrankRuehl" w:cs="FrankRuehl"/>
        <w:color w:val="000000"/>
      </w:rPr>
    </w:pPr>
    <w:r w:rsidRPr="004A7D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0606B" w14:textId="77777777" w:rsidR="004A7D6E" w:rsidRDefault="004A7D6E" w:rsidP="004A7D6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3B96">
      <w:rPr>
        <w:rFonts w:ascii="FrankRuehl" w:hAnsi="FrankRuehl" w:cs="FrankRuehl"/>
        <w:noProof/>
        <w:rtl/>
      </w:rPr>
      <w:t>1</w:t>
    </w:r>
    <w:r>
      <w:rPr>
        <w:rFonts w:ascii="FrankRuehl" w:hAnsi="FrankRuehl" w:cs="FrankRuehl"/>
        <w:rtl/>
      </w:rPr>
      <w:fldChar w:fldCharType="end"/>
    </w:r>
  </w:p>
  <w:p w14:paraId="23AFD359" w14:textId="77777777" w:rsidR="00D23BA1" w:rsidRPr="004A7D6E" w:rsidRDefault="004A7D6E" w:rsidP="004A7D6E">
    <w:pPr>
      <w:pStyle w:val="a5"/>
      <w:pBdr>
        <w:top w:val="single" w:sz="4" w:space="1" w:color="auto"/>
        <w:between w:val="single" w:sz="4" w:space="0" w:color="auto"/>
      </w:pBdr>
      <w:spacing w:after="60"/>
      <w:jc w:val="center"/>
      <w:rPr>
        <w:rFonts w:ascii="FrankRuehl" w:hAnsi="FrankRuehl" w:cs="FrankRuehl"/>
        <w:color w:val="000000"/>
      </w:rPr>
    </w:pPr>
    <w:r w:rsidRPr="004A7D6E">
      <w:rPr>
        <w:rFonts w:ascii="FrankRuehl" w:hAnsi="FrankRuehl" w:cs="FrankRuehl"/>
        <w:color w:val="000000"/>
      </w:rPr>
      <w:pict w14:anchorId="38E9C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5C92A" w14:textId="77777777" w:rsidR="00F616E2" w:rsidRDefault="00F616E2" w:rsidP="00D9656E">
      <w:r>
        <w:separator/>
      </w:r>
    </w:p>
  </w:footnote>
  <w:footnote w:type="continuationSeparator" w:id="0">
    <w:p w14:paraId="238C7BAE" w14:textId="77777777" w:rsidR="00F616E2" w:rsidRDefault="00F616E2" w:rsidP="00D96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BCC3" w14:textId="77777777" w:rsidR="006472BE" w:rsidRPr="004A7D6E" w:rsidRDefault="004A7D6E" w:rsidP="004A7D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46978-01-22</w:t>
    </w:r>
    <w:r>
      <w:rPr>
        <w:rFonts w:ascii="David" w:hAnsi="David"/>
        <w:color w:val="000000"/>
        <w:sz w:val="22"/>
        <w:szCs w:val="22"/>
        <w:rtl/>
      </w:rPr>
      <w:tab/>
      <w:t xml:space="preserve"> מדינת ישראל נ' אלכסיי גרבניק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D9E14" w14:textId="77777777" w:rsidR="006472BE" w:rsidRPr="004A7D6E" w:rsidRDefault="004A7D6E" w:rsidP="004A7D6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46978-01-22</w:t>
    </w:r>
    <w:r>
      <w:rPr>
        <w:rFonts w:ascii="David" w:hAnsi="David"/>
        <w:color w:val="000000"/>
        <w:sz w:val="22"/>
        <w:szCs w:val="22"/>
        <w:rtl/>
      </w:rPr>
      <w:tab/>
      <w:t xml:space="preserve"> מדינת ישראל נ' אלכסיי גרבניק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A21E56"/>
    <w:multiLevelType w:val="hybridMultilevel"/>
    <w:tmpl w:val="B93E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D3C94"/>
    <w:multiLevelType w:val="hybridMultilevel"/>
    <w:tmpl w:val="D0DC000E"/>
    <w:lvl w:ilvl="0" w:tplc="08FC1C8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1917229">
    <w:abstractNumId w:val="0"/>
  </w:num>
  <w:num w:numId="2" w16cid:durableId="1219438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7AC9"/>
    <w:rsid w:val="00156B4A"/>
    <w:rsid w:val="0016613E"/>
    <w:rsid w:val="001D60A4"/>
    <w:rsid w:val="00341135"/>
    <w:rsid w:val="003B546B"/>
    <w:rsid w:val="004A7D6E"/>
    <w:rsid w:val="004B7AC9"/>
    <w:rsid w:val="006472BE"/>
    <w:rsid w:val="00675D1C"/>
    <w:rsid w:val="007C0E98"/>
    <w:rsid w:val="007D43AA"/>
    <w:rsid w:val="009A4E4C"/>
    <w:rsid w:val="00BC5394"/>
    <w:rsid w:val="00D23BA1"/>
    <w:rsid w:val="00D64120"/>
    <w:rsid w:val="00D9656E"/>
    <w:rsid w:val="00EB3B96"/>
    <w:rsid w:val="00F616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72E4BA"/>
  <w15:chartTrackingRefBased/>
  <w15:docId w15:val="{480C1286-578B-44CC-B048-CA7CEE4C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AC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7AC9"/>
    <w:pPr>
      <w:tabs>
        <w:tab w:val="center" w:pos="4153"/>
        <w:tab w:val="right" w:pos="8306"/>
      </w:tabs>
    </w:pPr>
  </w:style>
  <w:style w:type="character" w:customStyle="1" w:styleId="a4">
    <w:name w:val="כותרת עליונה תו"/>
    <w:link w:val="a3"/>
    <w:rsid w:val="004B7AC9"/>
    <w:rPr>
      <w:rFonts w:ascii="Times New Roman" w:eastAsia="Times New Roman" w:hAnsi="Times New Roman" w:cs="David"/>
      <w:sz w:val="24"/>
      <w:szCs w:val="24"/>
    </w:rPr>
  </w:style>
  <w:style w:type="paragraph" w:styleId="a5">
    <w:name w:val="footer"/>
    <w:basedOn w:val="a"/>
    <w:link w:val="a6"/>
    <w:rsid w:val="004B7AC9"/>
    <w:pPr>
      <w:tabs>
        <w:tab w:val="center" w:pos="4153"/>
        <w:tab w:val="right" w:pos="8306"/>
      </w:tabs>
    </w:pPr>
  </w:style>
  <w:style w:type="character" w:customStyle="1" w:styleId="a6">
    <w:name w:val="כותרת תחתונה תו"/>
    <w:link w:val="a5"/>
    <w:rsid w:val="004B7AC9"/>
    <w:rPr>
      <w:rFonts w:ascii="Times New Roman" w:eastAsia="Times New Roman" w:hAnsi="Times New Roman" w:cs="David"/>
      <w:sz w:val="24"/>
      <w:szCs w:val="24"/>
    </w:rPr>
  </w:style>
  <w:style w:type="table" w:styleId="a7">
    <w:name w:val="Table Grid"/>
    <w:basedOn w:val="a1"/>
    <w:rsid w:val="004B7A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7AC9"/>
  </w:style>
  <w:style w:type="paragraph" w:styleId="a9">
    <w:name w:val="List Paragraph"/>
    <w:basedOn w:val="a"/>
    <w:qFormat/>
    <w:rsid w:val="004B7AC9"/>
    <w:pPr>
      <w:ind w:left="720"/>
      <w:contextualSpacing/>
    </w:pPr>
  </w:style>
  <w:style w:type="character" w:styleId="Hyperlink">
    <w:name w:val="Hyperlink"/>
    <w:rsid w:val="004B7AC9"/>
    <w:rPr>
      <w:color w:val="0000FF"/>
      <w:u w:val="single"/>
    </w:rPr>
  </w:style>
  <w:style w:type="paragraph" w:customStyle="1" w:styleId="12">
    <w:name w:val="רגיל + ‏12 נק'"/>
    <w:aliases w:val="מיושר לשני הצדדים,מרווח בין שורות:  שורה וחצי"/>
    <w:basedOn w:val="a"/>
    <w:rsid w:val="004B7AC9"/>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27494822" TargetMode="External"/><Relationship Id="rId3" Type="http://schemas.openxmlformats.org/officeDocument/2006/relationships/settings" Target="settings.xml"/><Relationship Id="rId21" Type="http://schemas.openxmlformats.org/officeDocument/2006/relationships/hyperlink" Target="http://www.nevo.co.il/case/27365570"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1662213"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35800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case/25455685"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5535302" TargetMode="External"/><Relationship Id="rId28" Type="http://schemas.openxmlformats.org/officeDocument/2006/relationships/hyperlink" Target="http://www.nevo.co.il/case/23386833" TargetMode="External"/><Relationship Id="rId36" Type="http://schemas.openxmlformats.org/officeDocument/2006/relationships/theme" Target="theme/theme1.xml"/><Relationship Id="rId10" Type="http://schemas.openxmlformats.org/officeDocument/2006/relationships/hyperlink" Target="http://www.nevo.co.il/law/70301/29" TargetMode="External"/><Relationship Id="rId19" Type="http://schemas.openxmlformats.org/officeDocument/2006/relationships/hyperlink" Target="http://www.nevo.co.il/law/70301/3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6845111" TargetMode="External"/><Relationship Id="rId27" Type="http://schemas.openxmlformats.org/officeDocument/2006/relationships/hyperlink" Target="http://www.nevo.co.il/case/2388947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2909</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17423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4128895</vt:i4>
      </vt:variant>
      <vt:variant>
        <vt:i4>66</vt:i4>
      </vt:variant>
      <vt:variant>
        <vt:i4>0</vt:i4>
      </vt:variant>
      <vt:variant>
        <vt:i4>5</vt:i4>
      </vt:variant>
      <vt:variant>
        <vt:lpwstr>http://www.nevo.co.il/case/23580083</vt:lpwstr>
      </vt:variant>
      <vt:variant>
        <vt:lpwstr/>
      </vt:variant>
      <vt:variant>
        <vt:i4>3407991</vt:i4>
      </vt:variant>
      <vt:variant>
        <vt:i4>63</vt:i4>
      </vt:variant>
      <vt:variant>
        <vt:i4>0</vt:i4>
      </vt:variant>
      <vt:variant>
        <vt:i4>5</vt:i4>
      </vt:variant>
      <vt:variant>
        <vt:lpwstr>http://www.nevo.co.il/case/23386833</vt:lpwstr>
      </vt:variant>
      <vt:variant>
        <vt:lpwstr/>
      </vt:variant>
      <vt:variant>
        <vt:i4>3407995</vt:i4>
      </vt:variant>
      <vt:variant>
        <vt:i4>60</vt:i4>
      </vt:variant>
      <vt:variant>
        <vt:i4>0</vt:i4>
      </vt:variant>
      <vt:variant>
        <vt:i4>5</vt:i4>
      </vt:variant>
      <vt:variant>
        <vt:lpwstr>http://www.nevo.co.il/case/23889476</vt:lpwstr>
      </vt:variant>
      <vt:variant>
        <vt:lpwstr/>
      </vt:variant>
      <vt:variant>
        <vt:i4>3145842</vt:i4>
      </vt:variant>
      <vt:variant>
        <vt:i4>57</vt:i4>
      </vt:variant>
      <vt:variant>
        <vt:i4>0</vt:i4>
      </vt:variant>
      <vt:variant>
        <vt:i4>5</vt:i4>
      </vt:variant>
      <vt:variant>
        <vt:lpwstr>http://www.nevo.co.il/case/27494822</vt:lpwstr>
      </vt:variant>
      <vt:variant>
        <vt:lpwstr/>
      </vt:variant>
      <vt:variant>
        <vt:i4>3604593</vt:i4>
      </vt:variant>
      <vt:variant>
        <vt:i4>54</vt:i4>
      </vt:variant>
      <vt:variant>
        <vt:i4>0</vt:i4>
      </vt:variant>
      <vt:variant>
        <vt:i4>5</vt:i4>
      </vt:variant>
      <vt:variant>
        <vt:lpwstr>http://www.nevo.co.il/case/21662213</vt:lpwstr>
      </vt:variant>
      <vt:variant>
        <vt:lpwstr/>
      </vt:variant>
      <vt:variant>
        <vt:i4>3866738</vt:i4>
      </vt:variant>
      <vt:variant>
        <vt:i4>51</vt:i4>
      </vt:variant>
      <vt:variant>
        <vt:i4>0</vt:i4>
      </vt:variant>
      <vt:variant>
        <vt:i4>5</vt:i4>
      </vt:variant>
      <vt:variant>
        <vt:lpwstr>http://www.nevo.co.il/case/25455685</vt:lpwstr>
      </vt:variant>
      <vt:variant>
        <vt:lpwstr/>
      </vt:variant>
      <vt:variant>
        <vt:i4>3276913</vt:i4>
      </vt:variant>
      <vt:variant>
        <vt:i4>48</vt:i4>
      </vt:variant>
      <vt:variant>
        <vt:i4>0</vt:i4>
      </vt:variant>
      <vt:variant>
        <vt:i4>5</vt:i4>
      </vt:variant>
      <vt:variant>
        <vt:lpwstr>http://www.nevo.co.il/case/25535302</vt:lpwstr>
      </vt:variant>
      <vt:variant>
        <vt:lpwstr/>
      </vt:variant>
      <vt:variant>
        <vt:i4>4063351</vt:i4>
      </vt:variant>
      <vt:variant>
        <vt:i4>45</vt:i4>
      </vt:variant>
      <vt:variant>
        <vt:i4>0</vt:i4>
      </vt:variant>
      <vt:variant>
        <vt:i4>5</vt:i4>
      </vt:variant>
      <vt:variant>
        <vt:lpwstr>http://www.nevo.co.il/case/26845111</vt:lpwstr>
      </vt:variant>
      <vt:variant>
        <vt:lpwstr/>
      </vt:variant>
      <vt:variant>
        <vt:i4>3342448</vt:i4>
      </vt:variant>
      <vt:variant>
        <vt:i4>42</vt:i4>
      </vt:variant>
      <vt:variant>
        <vt:i4>0</vt:i4>
      </vt:variant>
      <vt:variant>
        <vt:i4>5</vt:i4>
      </vt:variant>
      <vt:variant>
        <vt:lpwstr>http://www.nevo.co.il/case/27365570</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7077991</vt:i4>
      </vt:variant>
      <vt:variant>
        <vt:i4>9</vt:i4>
      </vt:variant>
      <vt:variant>
        <vt:i4>0</vt:i4>
      </vt:variant>
      <vt:variant>
        <vt:i4>5</vt:i4>
      </vt:variant>
      <vt:variant>
        <vt:lpwstr>http://www.nevo.co.il/law/70301/29</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2025-04-22T21:18:00Z</dcterms:created>
  <dcterms:modified xsi:type="dcterms:W3CDTF">2025-04-22T21:18:00Z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46978</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אלכסיי גרבניק</vt:lpwstr>
  </property>
  <property fmtid="{D5CDD505-2E9C-101B-9397-08002B2CF9AE}" pid="10" name="LAWYER">
    <vt:lpwstr>דניאל באר;שירן גולברי</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20230905</vt:lpwstr>
  </property>
  <property fmtid="{D5CDD505-2E9C-101B-9397-08002B2CF9AE}" pid="14" name="TYPE_N_DATE">
    <vt:lpwstr>39020230905</vt:lpwstr>
  </property>
  <property fmtid="{D5CDD505-2E9C-101B-9397-08002B2CF9AE}" pid="15" name="WORDNUMPAGES">
    <vt:lpwstr>8</vt:lpwstr>
  </property>
  <property fmtid="{D5CDD505-2E9C-101B-9397-08002B2CF9AE}" pid="16" name="TYPE_ABS_DATE">
    <vt:lpwstr>390020230905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27365570;26845111;25535302;25455685;21662213;27494822;23889476;23386833;23580083</vt:lpwstr>
  </property>
  <property fmtid="{D5CDD505-2E9C-101B-9397-08002B2CF9AE}" pid="36" name="LAWLISTTMP1">
    <vt:lpwstr>4216/013:2</vt:lpwstr>
  </property>
  <property fmtid="{D5CDD505-2E9C-101B-9397-08002B2CF9AE}" pid="37" name="LAWLISTTMP2">
    <vt:lpwstr>70301/029:2;031</vt:lpwstr>
  </property>
</Properties>
</file>