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924688" w:rsidRPr="006424BE" w14:paraId="0D0681A2" w14:textId="77777777" w:rsidTr="00FF7E53">
        <w:trPr>
          <w:gridAfter w:val="1"/>
          <w:wAfter w:w="99" w:type="dxa"/>
          <w:trHeight w:hRule="exact" w:val="418"/>
          <w:jc w:val="center"/>
        </w:trPr>
        <w:tc>
          <w:tcPr>
            <w:tcW w:w="8721" w:type="dxa"/>
            <w:gridSpan w:val="4"/>
          </w:tcPr>
          <w:p w14:paraId="400B4FF0" w14:textId="77777777" w:rsidR="00924688" w:rsidRPr="006424BE" w:rsidRDefault="00924688" w:rsidP="00994986">
            <w:pPr>
              <w:pStyle w:val="a3"/>
              <w:jc w:val="center"/>
              <w:rPr>
                <w:rFonts w:ascii="Tahoma" w:hAnsi="Tahoma" w:cs="Tahoma"/>
                <w:color w:val="000080"/>
                <w:rtl/>
              </w:rPr>
            </w:pPr>
            <w:bookmarkStart w:id="0" w:name="LastJudge"/>
            <w:r w:rsidRPr="006424BE">
              <w:rPr>
                <w:rFonts w:ascii="Tahoma" w:hAnsi="Tahoma" w:cs="Tahoma"/>
                <w:b/>
                <w:bCs/>
                <w:color w:val="000080"/>
                <w:rtl/>
              </w:rPr>
              <w:t>בית המשפט המחוזי מרכז-לוד</w:t>
            </w:r>
          </w:p>
        </w:tc>
      </w:tr>
      <w:tr w:rsidR="00924688" w:rsidRPr="006424BE" w14:paraId="3A09FD9B" w14:textId="77777777" w:rsidTr="00FF7E53">
        <w:trPr>
          <w:gridAfter w:val="1"/>
          <w:wAfter w:w="99" w:type="dxa"/>
          <w:trHeight w:val="337"/>
          <w:jc w:val="center"/>
        </w:trPr>
        <w:tc>
          <w:tcPr>
            <w:tcW w:w="5054" w:type="dxa"/>
            <w:gridSpan w:val="3"/>
          </w:tcPr>
          <w:p w14:paraId="4DA7D65A" w14:textId="77777777" w:rsidR="00924688" w:rsidRPr="006424BE" w:rsidRDefault="00924688" w:rsidP="00994986">
            <w:pPr>
              <w:rPr>
                <w:rFonts w:cs="FrankRuehl"/>
                <w:sz w:val="28"/>
                <w:szCs w:val="28"/>
                <w:rtl/>
              </w:rPr>
            </w:pPr>
            <w:r w:rsidRPr="006424BE">
              <w:rPr>
                <w:rFonts w:cs="FrankRuehl"/>
                <w:sz w:val="28"/>
                <w:szCs w:val="28"/>
                <w:rtl/>
              </w:rPr>
              <w:t>ת"פ</w:t>
            </w:r>
            <w:r w:rsidRPr="006424BE">
              <w:rPr>
                <w:rFonts w:cs="FrankRuehl" w:hint="cs"/>
                <w:sz w:val="28"/>
                <w:szCs w:val="28"/>
                <w:rtl/>
              </w:rPr>
              <w:t xml:space="preserve"> </w:t>
            </w:r>
            <w:r w:rsidRPr="006424BE">
              <w:rPr>
                <w:rFonts w:cs="FrankRuehl"/>
                <w:sz w:val="28"/>
                <w:szCs w:val="28"/>
                <w:rtl/>
              </w:rPr>
              <w:t>63413-01-22</w:t>
            </w:r>
            <w:r w:rsidRPr="006424BE">
              <w:rPr>
                <w:rFonts w:cs="FrankRuehl" w:hint="cs"/>
                <w:sz w:val="28"/>
                <w:szCs w:val="28"/>
                <w:rtl/>
              </w:rPr>
              <w:t xml:space="preserve"> </w:t>
            </w:r>
            <w:r w:rsidRPr="006424BE">
              <w:rPr>
                <w:rFonts w:cs="FrankRuehl"/>
                <w:sz w:val="28"/>
                <w:szCs w:val="28"/>
                <w:rtl/>
              </w:rPr>
              <w:t>מדינת ישראל נ' בנימוב</w:t>
            </w:r>
          </w:p>
          <w:p w14:paraId="3AD724DF" w14:textId="77777777" w:rsidR="00924688" w:rsidRPr="006424BE" w:rsidRDefault="00924688" w:rsidP="00994986">
            <w:pPr>
              <w:pStyle w:val="a3"/>
              <w:rPr>
                <w:rFonts w:cs="FrankRuehl"/>
                <w:sz w:val="28"/>
                <w:szCs w:val="28"/>
                <w:rtl/>
              </w:rPr>
            </w:pPr>
          </w:p>
        </w:tc>
        <w:tc>
          <w:tcPr>
            <w:tcW w:w="3667" w:type="dxa"/>
          </w:tcPr>
          <w:p w14:paraId="6AAE413F" w14:textId="77777777" w:rsidR="00924688" w:rsidRPr="006424BE" w:rsidRDefault="00924688" w:rsidP="00994986">
            <w:pPr>
              <w:pStyle w:val="a3"/>
              <w:jc w:val="right"/>
              <w:rPr>
                <w:rFonts w:cs="FrankRuehl"/>
                <w:sz w:val="28"/>
                <w:szCs w:val="28"/>
                <w:rtl/>
              </w:rPr>
            </w:pPr>
          </w:p>
        </w:tc>
      </w:tr>
      <w:tr w:rsidR="00924688" w:rsidRPr="006424BE" w14:paraId="2DC464E2" w14:textId="77777777" w:rsidTr="00FF7E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C52F67B" w14:textId="77777777" w:rsidR="00924688" w:rsidRPr="006424BE" w:rsidRDefault="00924688" w:rsidP="00924688">
            <w:pPr>
              <w:jc w:val="both"/>
              <w:rPr>
                <w:rFonts w:ascii="David" w:hAnsi="David"/>
                <w:sz w:val="26"/>
                <w:szCs w:val="26"/>
              </w:rPr>
            </w:pPr>
            <w:r w:rsidRPr="006424BE">
              <w:rPr>
                <w:rFonts w:hint="cs"/>
                <w:rtl/>
              </w:rPr>
              <w:t xml:space="preserve"> </w:t>
            </w:r>
            <w:r w:rsidRPr="006424BE">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05C697FE" w14:textId="77777777" w:rsidR="00924688" w:rsidRPr="006424BE" w:rsidRDefault="00924688" w:rsidP="00994986">
            <w:pPr>
              <w:rPr>
                <w:rFonts w:ascii="David" w:hAnsi="David"/>
                <w:b/>
                <w:bCs/>
                <w:sz w:val="26"/>
                <w:szCs w:val="26"/>
                <w:rtl/>
              </w:rPr>
            </w:pPr>
            <w:r w:rsidRPr="006424BE">
              <w:rPr>
                <w:rFonts w:ascii="David" w:hAnsi="David"/>
                <w:b/>
                <w:bCs/>
                <w:sz w:val="26"/>
                <w:szCs w:val="26"/>
                <w:rtl/>
              </w:rPr>
              <w:t>כבוד השופטת  מרב גרינברג</w:t>
            </w:r>
          </w:p>
          <w:p w14:paraId="2EC18D71" w14:textId="77777777" w:rsidR="00924688" w:rsidRPr="006424BE" w:rsidRDefault="00924688" w:rsidP="00994986">
            <w:pPr>
              <w:rPr>
                <w:rFonts w:ascii="David" w:hAnsi="David"/>
                <w:sz w:val="26"/>
                <w:szCs w:val="26"/>
                <w:rtl/>
              </w:rPr>
            </w:pPr>
          </w:p>
          <w:p w14:paraId="525BFB4C" w14:textId="77777777" w:rsidR="00924688" w:rsidRPr="006424BE" w:rsidRDefault="00924688" w:rsidP="00924688">
            <w:pPr>
              <w:jc w:val="both"/>
              <w:rPr>
                <w:rFonts w:ascii="David" w:hAnsi="David"/>
                <w:sz w:val="26"/>
                <w:szCs w:val="26"/>
              </w:rPr>
            </w:pPr>
          </w:p>
        </w:tc>
      </w:tr>
      <w:tr w:rsidR="00924688" w:rsidRPr="006424BE" w14:paraId="4327668D" w14:textId="77777777" w:rsidTr="00FF7E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25EF682" w14:textId="77777777" w:rsidR="00924688" w:rsidRPr="006424BE" w:rsidRDefault="00924688" w:rsidP="00924688">
            <w:pPr>
              <w:jc w:val="both"/>
              <w:rPr>
                <w:rFonts w:ascii="David" w:hAnsi="David"/>
                <w:sz w:val="26"/>
                <w:szCs w:val="26"/>
              </w:rPr>
            </w:pPr>
            <w:bookmarkStart w:id="1" w:name="FirstAppellant"/>
            <w:bookmarkStart w:id="2" w:name="FirstLawyer"/>
            <w:r w:rsidRPr="006424BE">
              <w:rPr>
                <w:rFonts w:ascii="David" w:hAnsi="David"/>
                <w:sz w:val="26"/>
                <w:szCs w:val="26"/>
                <w:rtl/>
              </w:rPr>
              <w:t>בעניין:</w:t>
            </w:r>
          </w:p>
        </w:tc>
        <w:tc>
          <w:tcPr>
            <w:tcW w:w="3219" w:type="dxa"/>
            <w:tcBorders>
              <w:top w:val="nil"/>
              <w:left w:val="nil"/>
              <w:bottom w:val="nil"/>
              <w:right w:val="nil"/>
            </w:tcBorders>
            <w:shd w:val="clear" w:color="auto" w:fill="auto"/>
          </w:tcPr>
          <w:p w14:paraId="7023D335" w14:textId="77777777" w:rsidR="00924688" w:rsidRPr="006424BE" w:rsidRDefault="00924688" w:rsidP="00924688">
            <w:pPr>
              <w:suppressLineNumbers/>
            </w:pPr>
            <w:r w:rsidRPr="006424BE">
              <w:rPr>
                <w:rFonts w:ascii="Arial" w:hAnsi="Arial" w:hint="cs"/>
                <w:b/>
                <w:bCs/>
                <w:sz w:val="26"/>
                <w:szCs w:val="26"/>
                <w:rtl/>
              </w:rPr>
              <w:t>ה</w:t>
            </w:r>
            <w:r w:rsidRPr="006424BE">
              <w:rPr>
                <w:rFonts w:ascii="Arial" w:hAnsi="Arial"/>
                <w:b/>
                <w:bCs/>
                <w:sz w:val="26"/>
                <w:szCs w:val="26"/>
                <w:rtl/>
              </w:rPr>
              <w:t>מאשימה</w:t>
            </w:r>
          </w:p>
          <w:p w14:paraId="296A8D5E" w14:textId="77777777" w:rsidR="00924688" w:rsidRPr="006424BE" w:rsidRDefault="00924688" w:rsidP="00994986">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7BE2563" w14:textId="77777777" w:rsidR="00924688" w:rsidRPr="006424BE" w:rsidRDefault="00924688" w:rsidP="00924688">
            <w:pPr>
              <w:suppressLineNumbers/>
              <w:rPr>
                <w:rFonts w:ascii="Arial" w:hAnsi="Arial"/>
                <w:b/>
                <w:bCs/>
                <w:sz w:val="26"/>
                <w:szCs w:val="26"/>
                <w:rtl/>
              </w:rPr>
            </w:pPr>
            <w:r w:rsidRPr="006424BE">
              <w:rPr>
                <w:rFonts w:ascii="Arial" w:hAnsi="Arial"/>
                <w:b/>
                <w:bCs/>
                <w:sz w:val="26"/>
                <w:szCs w:val="26"/>
                <w:rtl/>
              </w:rPr>
              <w:t>מדינת ישראל</w:t>
            </w:r>
            <w:r w:rsidRPr="006424BE">
              <w:rPr>
                <w:rFonts w:ascii="Arial" w:hAnsi="Arial" w:hint="cs"/>
                <w:b/>
                <w:bCs/>
                <w:sz w:val="26"/>
                <w:szCs w:val="26"/>
                <w:rtl/>
              </w:rPr>
              <w:t xml:space="preserve"> </w:t>
            </w:r>
          </w:p>
          <w:p w14:paraId="54AD49CA" w14:textId="77777777" w:rsidR="00924688" w:rsidRPr="006424BE" w:rsidRDefault="00924688" w:rsidP="00924688">
            <w:pPr>
              <w:suppressLineNumbers/>
            </w:pPr>
            <w:r w:rsidRPr="006424BE">
              <w:rPr>
                <w:rFonts w:ascii="Arial" w:hAnsi="Arial"/>
                <w:b/>
                <w:bCs/>
                <w:sz w:val="26"/>
                <w:szCs w:val="26"/>
                <w:rtl/>
              </w:rPr>
              <w:t>ע"י ב"כ עוה"</w:t>
            </w:r>
            <w:r w:rsidRPr="006424BE">
              <w:rPr>
                <w:rFonts w:ascii="Arial" w:hAnsi="Arial" w:hint="cs"/>
                <w:b/>
                <w:bCs/>
                <w:sz w:val="26"/>
                <w:szCs w:val="26"/>
                <w:rtl/>
              </w:rPr>
              <w:t>ד דודי ענבר</w:t>
            </w:r>
          </w:p>
          <w:p w14:paraId="16F4A9EB" w14:textId="77777777" w:rsidR="00924688" w:rsidRPr="006424BE" w:rsidRDefault="00924688" w:rsidP="00994986">
            <w:pPr>
              <w:rPr>
                <w:rFonts w:ascii="David" w:hAnsi="David"/>
                <w:sz w:val="26"/>
                <w:szCs w:val="26"/>
              </w:rPr>
            </w:pPr>
          </w:p>
        </w:tc>
      </w:tr>
      <w:bookmarkEnd w:id="1"/>
      <w:bookmarkEnd w:id="2"/>
      <w:tr w:rsidR="00924688" w:rsidRPr="006424BE" w14:paraId="76EE4D6B" w14:textId="77777777" w:rsidTr="00FF7E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9960251" w14:textId="77777777" w:rsidR="00924688" w:rsidRPr="006424BE" w:rsidRDefault="00924688" w:rsidP="00924688">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AE3C81F" w14:textId="77777777" w:rsidR="00924688" w:rsidRPr="006424BE" w:rsidRDefault="00924688" w:rsidP="00924688">
            <w:pPr>
              <w:jc w:val="center"/>
              <w:rPr>
                <w:rFonts w:ascii="David" w:hAnsi="David"/>
                <w:b/>
                <w:bCs/>
                <w:sz w:val="26"/>
                <w:szCs w:val="26"/>
                <w:rtl/>
              </w:rPr>
            </w:pPr>
          </w:p>
          <w:p w14:paraId="3F814047" w14:textId="77777777" w:rsidR="00924688" w:rsidRPr="006424BE" w:rsidRDefault="00924688" w:rsidP="00924688">
            <w:pPr>
              <w:jc w:val="center"/>
              <w:rPr>
                <w:rFonts w:ascii="David" w:hAnsi="David"/>
                <w:b/>
                <w:bCs/>
                <w:sz w:val="26"/>
                <w:szCs w:val="26"/>
                <w:rtl/>
              </w:rPr>
            </w:pPr>
            <w:r w:rsidRPr="006424BE">
              <w:rPr>
                <w:rFonts w:ascii="David" w:hAnsi="David"/>
                <w:b/>
                <w:bCs/>
                <w:sz w:val="26"/>
                <w:szCs w:val="26"/>
                <w:rtl/>
              </w:rPr>
              <w:t>נגד</w:t>
            </w:r>
          </w:p>
          <w:p w14:paraId="5C8BB6BD" w14:textId="77777777" w:rsidR="00924688" w:rsidRPr="006424BE" w:rsidRDefault="00924688" w:rsidP="00924688">
            <w:pPr>
              <w:jc w:val="both"/>
              <w:rPr>
                <w:rFonts w:ascii="David" w:hAnsi="David"/>
                <w:sz w:val="26"/>
                <w:szCs w:val="26"/>
              </w:rPr>
            </w:pPr>
          </w:p>
        </w:tc>
      </w:tr>
      <w:tr w:rsidR="00924688" w:rsidRPr="006424BE" w14:paraId="248D6F10" w14:textId="77777777" w:rsidTr="00FF7E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F1CFD21" w14:textId="77777777" w:rsidR="00924688" w:rsidRPr="006424BE" w:rsidRDefault="00924688" w:rsidP="00994986">
            <w:pPr>
              <w:rPr>
                <w:rFonts w:ascii="David" w:hAnsi="David"/>
                <w:sz w:val="26"/>
                <w:szCs w:val="26"/>
                <w:rtl/>
              </w:rPr>
            </w:pPr>
          </w:p>
        </w:tc>
        <w:tc>
          <w:tcPr>
            <w:tcW w:w="3219" w:type="dxa"/>
            <w:tcBorders>
              <w:top w:val="nil"/>
              <w:left w:val="nil"/>
              <w:bottom w:val="nil"/>
              <w:right w:val="nil"/>
            </w:tcBorders>
            <w:shd w:val="clear" w:color="auto" w:fill="auto"/>
          </w:tcPr>
          <w:p w14:paraId="0627AD30" w14:textId="77777777" w:rsidR="00924688" w:rsidRPr="006424BE" w:rsidRDefault="00924688" w:rsidP="00994986">
            <w:pPr>
              <w:rPr>
                <w:rFonts w:ascii="Arial" w:hAnsi="Arial"/>
                <w:b/>
                <w:bCs/>
                <w:sz w:val="26"/>
                <w:szCs w:val="26"/>
                <w:rtl/>
              </w:rPr>
            </w:pPr>
            <w:r w:rsidRPr="006424BE">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B2BC7E1" w14:textId="77777777" w:rsidR="00924688" w:rsidRPr="006424BE" w:rsidRDefault="00924688" w:rsidP="00924688">
            <w:pPr>
              <w:suppressLineNumbers/>
              <w:rPr>
                <w:rFonts w:ascii="Arial" w:hAnsi="Arial"/>
                <w:b/>
                <w:bCs/>
                <w:sz w:val="26"/>
                <w:szCs w:val="26"/>
              </w:rPr>
            </w:pPr>
            <w:r w:rsidRPr="006424BE">
              <w:rPr>
                <w:rFonts w:ascii="Arial" w:hAnsi="Arial"/>
                <w:b/>
                <w:bCs/>
                <w:sz w:val="26"/>
                <w:szCs w:val="26"/>
                <w:rtl/>
              </w:rPr>
              <w:t>רונן בנימוב</w:t>
            </w:r>
            <w:r w:rsidRPr="006424BE">
              <w:rPr>
                <w:rFonts w:ascii="Arial" w:hAnsi="Arial"/>
                <w:b/>
                <w:bCs/>
                <w:sz w:val="26"/>
                <w:szCs w:val="26"/>
                <w:rtl/>
              </w:rPr>
              <w:br/>
              <w:t>ע"י ב"כ עוה"ד</w:t>
            </w:r>
            <w:r w:rsidRPr="006424BE">
              <w:rPr>
                <w:rFonts w:ascii="Arial" w:hAnsi="Arial" w:hint="cs"/>
                <w:b/>
                <w:bCs/>
                <w:sz w:val="26"/>
                <w:szCs w:val="26"/>
                <w:rtl/>
              </w:rPr>
              <w:t xml:space="preserve"> עמית שלף ושרון רבינוביץ </w:t>
            </w:r>
          </w:p>
          <w:p w14:paraId="199FDA7B" w14:textId="77777777" w:rsidR="00924688" w:rsidRPr="006424BE" w:rsidRDefault="00924688" w:rsidP="00994986">
            <w:pPr>
              <w:rPr>
                <w:rFonts w:ascii="Arial" w:hAnsi="Arial"/>
                <w:b/>
                <w:bCs/>
                <w:sz w:val="26"/>
                <w:szCs w:val="26"/>
              </w:rPr>
            </w:pPr>
          </w:p>
        </w:tc>
      </w:tr>
    </w:tbl>
    <w:p w14:paraId="60EA6C23" w14:textId="77777777" w:rsidR="00FF7E53" w:rsidRPr="00FF7E53" w:rsidRDefault="00FF7E53" w:rsidP="00FF7E53">
      <w:pPr>
        <w:spacing w:before="120" w:after="120" w:line="240" w:lineRule="exact"/>
        <w:ind w:left="283" w:hanging="283"/>
        <w:jc w:val="both"/>
        <w:rPr>
          <w:rFonts w:ascii="FrankRuehl" w:hAnsi="FrankRuehl" w:cs="FrankRuehl"/>
          <w:rtl/>
        </w:rPr>
      </w:pPr>
    </w:p>
    <w:p w14:paraId="1C4364D1" w14:textId="77777777" w:rsidR="006E60DC" w:rsidRPr="006E60DC" w:rsidRDefault="006E60DC" w:rsidP="006E60DC">
      <w:pPr>
        <w:spacing w:before="120" w:after="120" w:line="240" w:lineRule="exact"/>
        <w:ind w:left="283" w:hanging="283"/>
        <w:jc w:val="both"/>
        <w:rPr>
          <w:rFonts w:ascii="FrankRuehl" w:hAnsi="FrankRuehl" w:cs="FrankRuehl"/>
          <w:rtl/>
        </w:rPr>
      </w:pPr>
    </w:p>
    <w:p w14:paraId="607F6131" w14:textId="77777777" w:rsidR="00827593" w:rsidRDefault="00827593" w:rsidP="00827593">
      <w:pPr>
        <w:rPr>
          <w:sz w:val="26"/>
          <w:szCs w:val="26"/>
          <w:rtl/>
        </w:rPr>
      </w:pPr>
      <w:bookmarkStart w:id="3" w:name="LawTable"/>
      <w:bookmarkEnd w:id="3"/>
    </w:p>
    <w:p w14:paraId="11C088A5" w14:textId="77777777" w:rsidR="00827593" w:rsidRPr="00827593" w:rsidRDefault="00827593" w:rsidP="00827593">
      <w:pPr>
        <w:spacing w:before="120" w:after="120" w:line="240" w:lineRule="exact"/>
        <w:ind w:left="283" w:hanging="283"/>
        <w:jc w:val="both"/>
        <w:rPr>
          <w:rFonts w:ascii="FrankRuehl" w:hAnsi="FrankRuehl" w:cs="FrankRuehl"/>
          <w:rtl/>
        </w:rPr>
      </w:pPr>
    </w:p>
    <w:p w14:paraId="2246CE60" w14:textId="77777777" w:rsidR="00827593" w:rsidRPr="00827593" w:rsidRDefault="00827593" w:rsidP="00827593">
      <w:pPr>
        <w:spacing w:before="120" w:after="120" w:line="240" w:lineRule="exact"/>
        <w:ind w:left="283" w:hanging="283"/>
        <w:jc w:val="both"/>
        <w:rPr>
          <w:rFonts w:ascii="FrankRuehl" w:hAnsi="FrankRuehl" w:cs="FrankRuehl"/>
          <w:rtl/>
        </w:rPr>
      </w:pPr>
    </w:p>
    <w:p w14:paraId="116807B4" w14:textId="77777777" w:rsidR="00827593" w:rsidRPr="00827593" w:rsidRDefault="00827593" w:rsidP="00827593">
      <w:pPr>
        <w:spacing w:before="120" w:after="120" w:line="240" w:lineRule="exact"/>
        <w:ind w:left="283" w:hanging="283"/>
        <w:jc w:val="both"/>
        <w:rPr>
          <w:rFonts w:ascii="FrankRuehl" w:hAnsi="FrankRuehl" w:cs="FrankRuehl"/>
          <w:rtl/>
        </w:rPr>
      </w:pPr>
      <w:r w:rsidRPr="00827593">
        <w:rPr>
          <w:rFonts w:ascii="FrankRuehl" w:hAnsi="FrankRuehl" w:cs="FrankRuehl"/>
          <w:rtl/>
        </w:rPr>
        <w:t xml:space="preserve">חקיקה שאוזכרה: </w:t>
      </w:r>
    </w:p>
    <w:p w14:paraId="5EFC3B29" w14:textId="77777777" w:rsidR="00827593" w:rsidRPr="00827593" w:rsidRDefault="00827593" w:rsidP="00827593">
      <w:pPr>
        <w:spacing w:before="120" w:after="120" w:line="240" w:lineRule="exact"/>
        <w:ind w:left="283" w:hanging="283"/>
        <w:jc w:val="both"/>
        <w:rPr>
          <w:rFonts w:ascii="FrankRuehl" w:hAnsi="FrankRuehl" w:cs="FrankRuehl"/>
          <w:rtl/>
        </w:rPr>
      </w:pPr>
      <w:hyperlink r:id="rId7" w:history="1">
        <w:r w:rsidRPr="00827593">
          <w:rPr>
            <w:rFonts w:ascii="FrankRuehl" w:hAnsi="FrankRuehl" w:cs="FrankRuehl"/>
            <w:color w:val="0000FF"/>
            <w:rtl/>
          </w:rPr>
          <w:t>פקודת הסמים המסוכנים [נוסח חדש], תשל"ג-1973</w:t>
        </w:r>
      </w:hyperlink>
      <w:r w:rsidRPr="00827593">
        <w:rPr>
          <w:rFonts w:ascii="FrankRuehl" w:hAnsi="FrankRuehl" w:cs="FrankRuehl"/>
          <w:rtl/>
        </w:rPr>
        <w:t xml:space="preserve">: סע'  </w:t>
      </w:r>
      <w:hyperlink r:id="rId8" w:history="1">
        <w:r w:rsidRPr="00827593">
          <w:rPr>
            <w:rFonts w:ascii="FrankRuehl" w:hAnsi="FrankRuehl" w:cs="FrankRuehl"/>
            <w:color w:val="0000FF"/>
            <w:rtl/>
          </w:rPr>
          <w:t>13</w:t>
        </w:r>
      </w:hyperlink>
      <w:r w:rsidRPr="00827593">
        <w:rPr>
          <w:rFonts w:ascii="FrankRuehl" w:hAnsi="FrankRuehl" w:cs="FrankRuehl"/>
          <w:rtl/>
        </w:rPr>
        <w:t xml:space="preserve">, </w:t>
      </w:r>
      <w:hyperlink r:id="rId9" w:history="1">
        <w:r w:rsidRPr="00827593">
          <w:rPr>
            <w:rFonts w:ascii="FrankRuehl" w:hAnsi="FrankRuehl" w:cs="FrankRuehl"/>
            <w:color w:val="0000FF"/>
            <w:rtl/>
          </w:rPr>
          <w:t>19א</w:t>
        </w:r>
      </w:hyperlink>
    </w:p>
    <w:p w14:paraId="0D768BA2" w14:textId="77777777" w:rsidR="00827593" w:rsidRPr="00827593" w:rsidRDefault="00827593" w:rsidP="00827593">
      <w:pPr>
        <w:spacing w:before="120" w:after="120" w:line="240" w:lineRule="exact"/>
        <w:ind w:left="283" w:hanging="283"/>
        <w:jc w:val="both"/>
        <w:rPr>
          <w:rFonts w:ascii="FrankRuehl" w:hAnsi="FrankRuehl" w:cs="FrankRuehl"/>
          <w:rtl/>
        </w:rPr>
      </w:pPr>
      <w:hyperlink r:id="rId10" w:history="1">
        <w:r w:rsidRPr="00827593">
          <w:rPr>
            <w:rFonts w:ascii="FrankRuehl" w:hAnsi="FrankRuehl" w:cs="FrankRuehl"/>
            <w:color w:val="0000FF"/>
            <w:rtl/>
          </w:rPr>
          <w:t>חוק העונשין, תשל"ז-1977</w:t>
        </w:r>
      </w:hyperlink>
      <w:r w:rsidRPr="00827593">
        <w:rPr>
          <w:rFonts w:ascii="FrankRuehl" w:hAnsi="FrankRuehl" w:cs="FrankRuehl"/>
          <w:rtl/>
        </w:rPr>
        <w:t xml:space="preserve">: סע'  </w:t>
      </w:r>
      <w:hyperlink r:id="rId11" w:history="1">
        <w:r w:rsidRPr="00827593">
          <w:rPr>
            <w:rFonts w:ascii="FrankRuehl" w:hAnsi="FrankRuehl" w:cs="FrankRuehl"/>
            <w:color w:val="0000FF"/>
            <w:rtl/>
          </w:rPr>
          <w:t>40ט'</w:t>
        </w:r>
      </w:hyperlink>
    </w:p>
    <w:p w14:paraId="17D7835F" w14:textId="77777777" w:rsidR="00827593" w:rsidRPr="00827593" w:rsidRDefault="00827593" w:rsidP="00827593">
      <w:pPr>
        <w:rPr>
          <w:sz w:val="26"/>
          <w:szCs w:val="26"/>
          <w:rtl/>
        </w:rPr>
      </w:pPr>
      <w:bookmarkStart w:id="4" w:name="LawTable_End"/>
      <w:bookmarkEnd w:id="4"/>
    </w:p>
    <w:p w14:paraId="41D78BDC" w14:textId="77777777" w:rsidR="00924688" w:rsidRPr="006E60DC" w:rsidRDefault="00924688" w:rsidP="006E60DC">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24688" w14:paraId="75BFE3B8" w14:textId="77777777" w:rsidTr="00924688">
        <w:trPr>
          <w:trHeight w:val="355"/>
          <w:jc w:val="center"/>
        </w:trPr>
        <w:tc>
          <w:tcPr>
            <w:tcW w:w="8820" w:type="dxa"/>
            <w:tcBorders>
              <w:top w:val="nil"/>
              <w:left w:val="nil"/>
              <w:bottom w:val="nil"/>
              <w:right w:val="nil"/>
            </w:tcBorders>
            <w:shd w:val="clear" w:color="auto" w:fill="auto"/>
          </w:tcPr>
          <w:p w14:paraId="051D412E" w14:textId="77777777" w:rsidR="006424BE" w:rsidRPr="006424BE" w:rsidRDefault="006424BE" w:rsidP="006424BE">
            <w:pPr>
              <w:jc w:val="center"/>
              <w:rPr>
                <w:rFonts w:ascii="David" w:hAnsi="David"/>
                <w:b/>
                <w:bCs/>
                <w:sz w:val="32"/>
                <w:szCs w:val="32"/>
                <w:u w:val="single"/>
                <w:rtl/>
              </w:rPr>
            </w:pPr>
            <w:bookmarkStart w:id="5" w:name="PsakDin" w:colFirst="0" w:colLast="0"/>
            <w:bookmarkEnd w:id="0"/>
            <w:r w:rsidRPr="006424BE">
              <w:rPr>
                <w:rFonts w:ascii="David" w:hAnsi="David"/>
                <w:b/>
                <w:bCs/>
                <w:sz w:val="32"/>
                <w:szCs w:val="32"/>
                <w:u w:val="single"/>
                <w:rtl/>
              </w:rPr>
              <w:t>גזר דין</w:t>
            </w:r>
          </w:p>
          <w:p w14:paraId="4E5A3569" w14:textId="77777777" w:rsidR="00924688" w:rsidRPr="006424BE" w:rsidRDefault="00924688" w:rsidP="006424BE">
            <w:pPr>
              <w:jc w:val="center"/>
              <w:rPr>
                <w:rFonts w:ascii="David" w:hAnsi="David"/>
                <w:bCs/>
                <w:sz w:val="32"/>
                <w:szCs w:val="32"/>
                <w:u w:val="single"/>
                <w:rtl/>
              </w:rPr>
            </w:pPr>
          </w:p>
        </w:tc>
      </w:tr>
      <w:bookmarkEnd w:id="5"/>
    </w:tbl>
    <w:p w14:paraId="5D8FFD3B" w14:textId="77777777" w:rsidR="00924688" w:rsidRPr="00924688" w:rsidRDefault="00924688" w:rsidP="00924688">
      <w:pPr>
        <w:spacing w:after="160" w:line="256" w:lineRule="auto"/>
        <w:jc w:val="both"/>
        <w:rPr>
          <w:rFonts w:ascii="Calibri" w:eastAsia="Calibri" w:hAnsi="Calibri" w:cs="Arial"/>
          <w:sz w:val="22"/>
          <w:szCs w:val="22"/>
          <w:rtl/>
        </w:rPr>
      </w:pPr>
    </w:p>
    <w:p w14:paraId="77F2B625" w14:textId="77777777" w:rsidR="00924688" w:rsidRPr="00924688" w:rsidRDefault="00924688" w:rsidP="00924688">
      <w:pPr>
        <w:numPr>
          <w:ilvl w:val="0"/>
          <w:numId w:val="1"/>
        </w:numPr>
        <w:spacing w:after="160" w:line="360" w:lineRule="auto"/>
        <w:contextualSpacing/>
        <w:jc w:val="both"/>
        <w:rPr>
          <w:rFonts w:ascii="David" w:eastAsia="Calibri" w:hAnsi="David"/>
          <w:rtl/>
        </w:rPr>
      </w:pPr>
      <w:bookmarkStart w:id="6" w:name="ABSTRACT_START"/>
      <w:bookmarkEnd w:id="6"/>
      <w:r w:rsidRPr="00924688">
        <w:rPr>
          <w:rFonts w:eastAsia="Calibri" w:hint="cs"/>
          <w:rtl/>
        </w:rPr>
        <w:t xml:space="preserve">הנאשם שבפניי נותן את דינו בגין הרשעתו בעבירה של ייבוא סם מסוכן לפי </w:t>
      </w:r>
      <w:hyperlink r:id="rId12" w:history="1">
        <w:r w:rsidR="00FF7E53" w:rsidRPr="00FF7E53">
          <w:rPr>
            <w:rStyle w:val="Hyperlink"/>
            <w:rFonts w:eastAsia="Calibri" w:hint="eastAsia"/>
            <w:rtl/>
          </w:rPr>
          <w:t>סעיף</w:t>
        </w:r>
        <w:r w:rsidR="00FF7E53" w:rsidRPr="00FF7E53">
          <w:rPr>
            <w:rStyle w:val="Hyperlink"/>
            <w:rFonts w:eastAsia="Calibri"/>
            <w:rtl/>
          </w:rPr>
          <w:t xml:space="preserve"> 13</w:t>
        </w:r>
      </w:hyperlink>
      <w:r w:rsidRPr="00924688">
        <w:rPr>
          <w:rFonts w:eastAsia="Calibri" w:hint="cs"/>
          <w:rtl/>
        </w:rPr>
        <w:t xml:space="preserve"> </w:t>
      </w:r>
      <w:hyperlink r:id="rId13" w:history="1">
        <w:r w:rsidR="00FF7E53" w:rsidRPr="00FF7E53">
          <w:rPr>
            <w:rStyle w:val="Hyperlink"/>
            <w:rFonts w:eastAsia="Calibri" w:hint="eastAsia"/>
            <w:rtl/>
          </w:rPr>
          <w:t>וסעיף</w:t>
        </w:r>
        <w:r w:rsidR="00FF7E53" w:rsidRPr="00FF7E53">
          <w:rPr>
            <w:rStyle w:val="Hyperlink"/>
            <w:rFonts w:eastAsia="Calibri"/>
            <w:rtl/>
          </w:rPr>
          <w:t xml:space="preserve"> 19א</w:t>
        </w:r>
      </w:hyperlink>
      <w:r w:rsidRPr="00924688">
        <w:rPr>
          <w:rFonts w:eastAsia="Calibri" w:hint="cs"/>
          <w:rtl/>
        </w:rPr>
        <w:t xml:space="preserve"> ל</w:t>
      </w:r>
      <w:hyperlink r:id="rId14" w:history="1">
        <w:r w:rsidR="006424BE" w:rsidRPr="006424BE">
          <w:rPr>
            <w:rFonts w:eastAsia="Calibri"/>
            <w:color w:val="0000FF"/>
            <w:u w:val="single"/>
            <w:rtl/>
          </w:rPr>
          <w:t>פקודת הסמים המסוכנים</w:t>
        </w:r>
      </w:hyperlink>
      <w:r w:rsidRPr="00924688">
        <w:rPr>
          <w:rFonts w:eastAsia="Calibri" w:hint="cs"/>
          <w:rtl/>
        </w:rPr>
        <w:t xml:space="preserve"> התשל"ג-1973. כמפורט בכתב האישום המתוקן, הנאשם קשר קשר עם אחר ליבוא סם מסוג </w:t>
      </w:r>
      <w:r w:rsidRPr="00924688">
        <w:rPr>
          <w:rFonts w:eastAsia="Calibri"/>
        </w:rPr>
        <w:t>MDMA</w:t>
      </w:r>
      <w:r w:rsidRPr="00924688">
        <w:rPr>
          <w:rFonts w:eastAsia="Calibri" w:hint="cs"/>
          <w:rtl/>
        </w:rPr>
        <w:t xml:space="preserve"> לארץ, בהתאם לתכנית הקשר הנאשם שימש עבור האחר בלדר שמטרתו להעביר את הסם מצרפת לארץ. ביום 10.1.22 רכש הנאשם במזומן מסוכנות נסיעות כרטיס טיסה לצרפת ובחזרה. ביום 12.1.22 סמוך לשעה 12:30 הגיע המשיב למשרד האוכלוסין בשדה התעופה וביקש להזמין דרכון. הנאשם פנה לאחר שהמתין במקום שישלם עבור דרכונו בכרטיס אשראי והעביר לו את התמורה במזומן.  ביום 13.1.22 טס לצרפת, וביום 16.1.22 חזר, כשברשותו 23,900 טבליות סם מסוג </w:t>
      </w:r>
      <w:r w:rsidRPr="00924688">
        <w:rPr>
          <w:rFonts w:eastAsia="Calibri"/>
        </w:rPr>
        <w:t>MDMA</w:t>
      </w:r>
      <w:r w:rsidRPr="00924688">
        <w:rPr>
          <w:rFonts w:eastAsia="Calibri" w:hint="cs"/>
          <w:rtl/>
        </w:rPr>
        <w:t xml:space="preserve">  מוסלקים בתוך המזוודה. </w:t>
      </w:r>
    </w:p>
    <w:p w14:paraId="354290FE" w14:textId="77777777" w:rsidR="00924688" w:rsidRPr="00924688" w:rsidRDefault="00924688" w:rsidP="00924688">
      <w:pPr>
        <w:spacing w:after="160" w:line="360" w:lineRule="auto"/>
        <w:ind w:left="720"/>
        <w:contextualSpacing/>
        <w:jc w:val="both"/>
        <w:rPr>
          <w:rFonts w:eastAsia="Calibri"/>
        </w:rPr>
      </w:pPr>
      <w:bookmarkStart w:id="7" w:name="ABSTRACT_END"/>
      <w:bookmarkEnd w:id="7"/>
    </w:p>
    <w:p w14:paraId="55C13B4F" w14:textId="77777777" w:rsidR="00924688" w:rsidRPr="00924688" w:rsidRDefault="00924688" w:rsidP="00924688">
      <w:pPr>
        <w:numPr>
          <w:ilvl w:val="0"/>
          <w:numId w:val="1"/>
        </w:numPr>
        <w:spacing w:after="160" w:line="360" w:lineRule="auto"/>
        <w:contextualSpacing/>
        <w:jc w:val="both"/>
        <w:rPr>
          <w:rFonts w:eastAsia="Calibri"/>
        </w:rPr>
      </w:pPr>
      <w:r w:rsidRPr="00924688">
        <w:rPr>
          <w:rFonts w:eastAsia="Calibri" w:hint="cs"/>
          <w:rtl/>
        </w:rPr>
        <w:lastRenderedPageBreak/>
        <w:t xml:space="preserve">הצדדים הגיעו להסדר טיעון לפיו הנאשם יודה בעובדות כתב אישום מתוקן, יורשע ויופנה לתסקיר. המאשימה תעתור לעונש ראוי בן 48 חודשי מאסר וענישה נלווית. ההגנה חופשיה בטיעוניה. </w:t>
      </w:r>
    </w:p>
    <w:p w14:paraId="710D3A23" w14:textId="77777777" w:rsidR="00924688" w:rsidRPr="00924688" w:rsidRDefault="00924688" w:rsidP="00924688">
      <w:pPr>
        <w:spacing w:after="160" w:line="360" w:lineRule="auto"/>
        <w:ind w:left="720"/>
        <w:contextualSpacing/>
        <w:jc w:val="both"/>
        <w:rPr>
          <w:rFonts w:eastAsia="Calibri"/>
        </w:rPr>
      </w:pPr>
    </w:p>
    <w:p w14:paraId="237C34E5" w14:textId="77777777" w:rsidR="00924688" w:rsidRPr="00924688" w:rsidRDefault="00924688" w:rsidP="00924688">
      <w:pPr>
        <w:spacing w:after="160" w:line="360" w:lineRule="auto"/>
        <w:contextualSpacing/>
        <w:jc w:val="both"/>
        <w:rPr>
          <w:rFonts w:eastAsia="Calibri"/>
          <w:b/>
          <w:bCs/>
          <w:u w:val="single"/>
          <w:rtl/>
        </w:rPr>
      </w:pPr>
      <w:r w:rsidRPr="00924688">
        <w:rPr>
          <w:rFonts w:eastAsia="Calibri" w:hint="cs"/>
          <w:b/>
          <w:bCs/>
          <w:u w:val="single"/>
          <w:rtl/>
        </w:rPr>
        <w:t>תסקיר שירות המבחן</w:t>
      </w:r>
    </w:p>
    <w:p w14:paraId="6F06097C" w14:textId="77777777" w:rsidR="00924688" w:rsidRPr="00924688" w:rsidRDefault="00924688" w:rsidP="00924688">
      <w:pPr>
        <w:numPr>
          <w:ilvl w:val="0"/>
          <w:numId w:val="1"/>
        </w:numPr>
        <w:spacing w:after="160" w:line="360" w:lineRule="auto"/>
        <w:contextualSpacing/>
        <w:jc w:val="both"/>
        <w:rPr>
          <w:rFonts w:eastAsia="Calibri"/>
          <w:rtl/>
        </w:rPr>
      </w:pPr>
      <w:r w:rsidRPr="00924688">
        <w:rPr>
          <w:rFonts w:eastAsia="Calibri" w:hint="cs"/>
          <w:rtl/>
        </w:rPr>
        <w:t xml:space="preserve">הנאשם בן 23, עובד כטבח ושליח. הנאשם ניהל אורח חיים נורמטיבי, שירת בצבא בתפקיד נהג ועבד במספר עבודות מזדמנות, תיאר שימוש מזדמן בסמים שהפסיק לאחר מעצרו. הנאשם נעדר עבר פלילי, במסגרת צו פיקוח מעצרים שהוטל עליו השתתף בקבוצה לעצורי בית, שיתף פעולה ונטל בה חלק פעיל ומשמעותי, עוד השתתף בסדנת "חוק ומשפט". שירות המבחן התרשם כי ביצע את מעשיו על רקע מצוקה רגשית וכלכלית, הנאשם עבר לראשונה להתגורר עם בת זוגו, לא היה ערוך להתמודד עם המחויבויות שנטל על עצמו, ופעל במסגרת העבירה במטרה להשיג רווח כספי מהיר ומידי, ללא הכרה בהשלכות מעשיו ותוך נקיטה בעיוותי חשיבה שאפשרו לו להמשיך ולהצדיק לעצמו את מעשיו. שירות המבחן מציין, כי במהלך הטיפול, חלה התקדמות בתובנה שמגלה למשמעות מעשיו ולהתבוננות ביקורתית על דרכי התנהלותו. </w:t>
      </w:r>
    </w:p>
    <w:p w14:paraId="55A6C126" w14:textId="77777777" w:rsidR="00924688" w:rsidRPr="00924688" w:rsidRDefault="00924688" w:rsidP="00924688">
      <w:pPr>
        <w:spacing w:after="160" w:line="360" w:lineRule="auto"/>
        <w:ind w:left="720"/>
        <w:contextualSpacing/>
        <w:jc w:val="both"/>
        <w:rPr>
          <w:rFonts w:eastAsia="Calibri"/>
        </w:rPr>
      </w:pPr>
    </w:p>
    <w:p w14:paraId="794CA63E" w14:textId="77777777" w:rsidR="00924688" w:rsidRPr="00924688" w:rsidRDefault="00924688" w:rsidP="00924688">
      <w:pPr>
        <w:numPr>
          <w:ilvl w:val="0"/>
          <w:numId w:val="1"/>
        </w:numPr>
        <w:spacing w:after="160" w:line="360" w:lineRule="auto"/>
        <w:contextualSpacing/>
        <w:jc w:val="both"/>
        <w:rPr>
          <w:rFonts w:eastAsia="Calibri"/>
        </w:rPr>
      </w:pPr>
      <w:r w:rsidRPr="00924688">
        <w:rPr>
          <w:rFonts w:eastAsia="Calibri" w:hint="cs"/>
          <w:rtl/>
        </w:rPr>
        <w:t xml:space="preserve">שירות המבחן התרשם מצעיר שהתפתח בתא משפחתי מורכב, ללא גורמי תמיכה וכי הסתבכותו אינה משקפת דפוסים שוליים קבועים, כי אם ניסיון בלתי מותאם להתמודד עם המצוקה הכלכלית אליה נקלע, ברקע התנהלותו קושי להסתייע באחרים ושימוש בדפוסי הסתרה מול משפחתו.  שירות המבחן העריך כי חלה הפחתה במסוכנותו להישנות מעורבות בפלילים אך לא בא בהמלצה שיקומית. עוד העריכו כי נדרשת ענישה קונקרטית משמעותית, שתחדד עבור הנאשם את המחירים הנלווים לעיסוק בסם, והמליצו, כל שבית המשפט יסבור שיש מקום להסתפק בביצוע עבודות שירות, להעמיד את הנאשם תחת פיקוחם. </w:t>
      </w:r>
    </w:p>
    <w:p w14:paraId="0C9297C1" w14:textId="77777777" w:rsidR="00924688" w:rsidRPr="00924688" w:rsidRDefault="00924688" w:rsidP="00924688">
      <w:pPr>
        <w:pStyle w:val="aa"/>
      </w:pPr>
    </w:p>
    <w:p w14:paraId="6ED48B12" w14:textId="77777777" w:rsidR="00924688" w:rsidRPr="00924688" w:rsidRDefault="00924688" w:rsidP="00924688">
      <w:pPr>
        <w:rPr>
          <w:rFonts w:eastAsia="Calibri"/>
          <w:b/>
          <w:bCs/>
          <w:u w:val="single"/>
        </w:rPr>
      </w:pPr>
      <w:r w:rsidRPr="00924688">
        <w:rPr>
          <w:rFonts w:eastAsia="Calibri" w:hint="cs"/>
          <w:b/>
          <w:bCs/>
          <w:u w:val="single"/>
          <w:rtl/>
        </w:rPr>
        <w:t>תמצית טיעוני הצדדים לעונש</w:t>
      </w:r>
    </w:p>
    <w:p w14:paraId="6AE82813" w14:textId="77777777" w:rsidR="00924688" w:rsidRPr="00924688" w:rsidRDefault="00924688" w:rsidP="00924688">
      <w:pPr>
        <w:spacing w:after="160" w:line="256" w:lineRule="auto"/>
        <w:ind w:left="720"/>
        <w:contextualSpacing/>
        <w:jc w:val="both"/>
        <w:rPr>
          <w:rFonts w:eastAsia="Calibri"/>
          <w:rtl/>
        </w:rPr>
      </w:pPr>
    </w:p>
    <w:p w14:paraId="67564887" w14:textId="77777777" w:rsidR="00924688" w:rsidRPr="00924688" w:rsidRDefault="00924688" w:rsidP="00924688">
      <w:pPr>
        <w:numPr>
          <w:ilvl w:val="0"/>
          <w:numId w:val="1"/>
        </w:numPr>
        <w:spacing w:after="160" w:line="360" w:lineRule="auto"/>
        <w:contextualSpacing/>
        <w:jc w:val="both"/>
        <w:rPr>
          <w:rFonts w:eastAsia="Calibri"/>
          <w:rtl/>
        </w:rPr>
      </w:pPr>
      <w:r w:rsidRPr="00924688">
        <w:rPr>
          <w:rFonts w:eastAsia="Calibri" w:hint="cs"/>
          <w:rtl/>
        </w:rPr>
        <w:t xml:space="preserve">המאשימה עמדה על חומרת מעשי הנאשם, היקף הסם וסוגו, וסבורה כי פגיעת מעשי הנאשם בערכים מוגנים של שלום הציבור ובריאותו היא ברף גבוה. עוד עמדה על מדיניות הענישה המחמירה בעבירות ייבוא סם, ועל כך שעתירתה בתיק זה מתונה לקולא. לפיכך עתרה למתחם שנע בין 4-7 שנות מאסר וביקשה למקם את הנאשם, נוכח עברו הנקי והודאתו, בתחתיתו. עוד סבורה שאין מקום לחרוג ממתחם הענישה לקולא ואף שירות המבחן לא המליץ על עונש שיקומי. בצד עונש המאסר, עתרה לענישה נלווית וקנס משמעותי. </w:t>
      </w:r>
    </w:p>
    <w:p w14:paraId="742944F9" w14:textId="77777777" w:rsidR="00924688" w:rsidRPr="00924688" w:rsidRDefault="00924688" w:rsidP="00924688">
      <w:pPr>
        <w:spacing w:after="160" w:line="360" w:lineRule="auto"/>
        <w:ind w:left="720"/>
        <w:contextualSpacing/>
        <w:jc w:val="both"/>
        <w:rPr>
          <w:rFonts w:eastAsia="Calibri"/>
        </w:rPr>
      </w:pPr>
    </w:p>
    <w:p w14:paraId="6E47EDCE" w14:textId="77777777" w:rsidR="00924688" w:rsidRPr="00924688" w:rsidRDefault="00924688" w:rsidP="00924688">
      <w:pPr>
        <w:numPr>
          <w:ilvl w:val="0"/>
          <w:numId w:val="1"/>
        </w:numPr>
        <w:spacing w:after="160" w:line="360" w:lineRule="auto"/>
        <w:contextualSpacing/>
        <w:jc w:val="both"/>
        <w:rPr>
          <w:rFonts w:eastAsia="Calibri"/>
        </w:rPr>
      </w:pPr>
      <w:r w:rsidRPr="00924688">
        <w:rPr>
          <w:rFonts w:eastAsia="Calibri" w:hint="cs"/>
          <w:rtl/>
        </w:rPr>
        <w:lastRenderedPageBreak/>
        <w:t xml:space="preserve">ב"כ הנאשם, עו"ד שלף ורבינוביץ', ביקשו להסתפק בענישה בדרך של עבודות שירות. לשיטתם, מתחם הענישה מתון יותר ומתחיל מ-38 חודשי מאסר. עוד ביקשו ליתן משקל לנסיבות הנאשם, שיתוף הפעולה עם שירות המבחן והפסקת השימוש בסם מאז מעצרו, ולחרוג ממתחם הענישה לקולא. </w:t>
      </w:r>
    </w:p>
    <w:p w14:paraId="587AE0A9" w14:textId="77777777" w:rsidR="00924688" w:rsidRPr="00924688" w:rsidRDefault="00924688" w:rsidP="00924688">
      <w:pPr>
        <w:pStyle w:val="aa"/>
      </w:pPr>
      <w:r w:rsidRPr="00924688">
        <w:rPr>
          <w:rFonts w:hint="cs"/>
          <w:rtl/>
        </w:rPr>
        <w:t xml:space="preserve">הצדדים הגישו אסופות פסיקה לתמיכה בעתירותיהם. </w:t>
      </w:r>
    </w:p>
    <w:p w14:paraId="7D0991BA" w14:textId="77777777" w:rsidR="00924688" w:rsidRPr="00924688" w:rsidRDefault="00924688" w:rsidP="00924688">
      <w:pPr>
        <w:pStyle w:val="aa"/>
        <w:rPr>
          <w:rtl/>
        </w:rPr>
      </w:pPr>
    </w:p>
    <w:p w14:paraId="732880B5" w14:textId="77777777" w:rsidR="00924688" w:rsidRPr="00924688" w:rsidRDefault="00924688" w:rsidP="00924688">
      <w:pPr>
        <w:numPr>
          <w:ilvl w:val="0"/>
          <w:numId w:val="1"/>
        </w:numPr>
        <w:spacing w:after="160" w:line="360" w:lineRule="auto"/>
        <w:contextualSpacing/>
        <w:jc w:val="both"/>
        <w:rPr>
          <w:rFonts w:eastAsia="Calibri"/>
          <w:rtl/>
        </w:rPr>
      </w:pPr>
      <w:r w:rsidRPr="00924688">
        <w:rPr>
          <w:rFonts w:eastAsia="Calibri" w:hint="cs"/>
          <w:rtl/>
        </w:rPr>
        <w:t xml:space="preserve">הנאשם נטל אחריות על מעשיו, טען כי מדובר במעשה מטופש והקבוצות הטיפוליות בהן שולב סייעו לו להבין את משמעות מעשיו והטעויות שעשה וביקש להתחשב בו. </w:t>
      </w:r>
    </w:p>
    <w:p w14:paraId="73DE8E92" w14:textId="77777777" w:rsidR="00924688" w:rsidRPr="00924688" w:rsidRDefault="00924688" w:rsidP="00924688">
      <w:pPr>
        <w:spacing w:after="160" w:line="256" w:lineRule="auto"/>
        <w:ind w:left="360"/>
        <w:jc w:val="both"/>
        <w:rPr>
          <w:rFonts w:eastAsia="Calibri"/>
          <w:rtl/>
        </w:rPr>
      </w:pPr>
    </w:p>
    <w:p w14:paraId="3C1069C1" w14:textId="77777777" w:rsidR="00924688" w:rsidRPr="00924688" w:rsidRDefault="00924688" w:rsidP="00924688">
      <w:pPr>
        <w:spacing w:after="160" w:line="256" w:lineRule="auto"/>
        <w:ind w:left="360"/>
        <w:jc w:val="both"/>
        <w:rPr>
          <w:rFonts w:eastAsia="Calibri"/>
          <w:b/>
          <w:bCs/>
          <w:u w:val="single"/>
        </w:rPr>
      </w:pPr>
      <w:r w:rsidRPr="00924688">
        <w:rPr>
          <w:rFonts w:eastAsia="Calibri" w:hint="cs"/>
          <w:b/>
          <w:bCs/>
          <w:u w:val="single"/>
          <w:rtl/>
        </w:rPr>
        <w:t>דיון והכרעה</w:t>
      </w:r>
    </w:p>
    <w:p w14:paraId="5CB5EE8C" w14:textId="77777777" w:rsidR="00924688" w:rsidRDefault="00924688" w:rsidP="00924688">
      <w:pPr>
        <w:pStyle w:val="aa"/>
        <w:numPr>
          <w:ilvl w:val="0"/>
          <w:numId w:val="1"/>
        </w:numPr>
        <w:spacing w:line="360" w:lineRule="auto"/>
        <w:jc w:val="both"/>
        <w:rPr>
          <w:rFonts w:eastAsia="David"/>
          <w:rtl/>
        </w:rPr>
      </w:pPr>
      <w:r>
        <w:rPr>
          <w:rFonts w:hint="cs"/>
          <w:rtl/>
        </w:rPr>
        <w:t xml:space="preserve">מעשיו של הנאשם חמורים ומסוכנים, ופגעו פגיעה מוחשית בערכים המוגנים של בריאות הציבור, שלומו וביטחונו. </w:t>
      </w:r>
      <w:r w:rsidRPr="00924688">
        <w:rPr>
          <w:rFonts w:hint="cs"/>
          <w:rtl/>
        </w:rPr>
        <w:t xml:space="preserve">הנאשם ייבא כמות עצומה של כדורי </w:t>
      </w:r>
      <w:r w:rsidRPr="00924688">
        <w:t>MDMA</w:t>
      </w:r>
      <w:r w:rsidRPr="00924688">
        <w:rPr>
          <w:rFonts w:hint="cs"/>
          <w:rtl/>
        </w:rPr>
        <w:t xml:space="preserve">, סם קשה שנפוץ בקרב צעירים ולו תופעות לוואי רבות. ברי, כי תפיסת הסם מנעה את הפצתו בקרב משתמשי סם רבים. </w:t>
      </w:r>
      <w:r>
        <w:rPr>
          <w:rFonts w:hint="cs"/>
          <w:rtl/>
        </w:rPr>
        <w:t>בתי המשפט חזרו והדגישו בפסיקותיהם את החומרה הנלווית לעבירות הסמים, ובפרט עבירות ייבוא והפצת סמים מסוכנים. עוד נקבע, בשים לב לרווח הכלכלי המשמעותי המופק לעיתים מביצוע עבירות אלו, כי ראוי לנקוט כלפיהן במדיניות ענישה מחמירה, על מנת להרתיע עבריינים פוטנציאליים מלבצען (</w:t>
      </w:r>
      <w:hyperlink r:id="rId15" w:history="1">
        <w:r w:rsidR="006424BE" w:rsidRPr="006424BE">
          <w:rPr>
            <w:color w:val="0000FF"/>
            <w:u w:val="single"/>
            <w:rtl/>
          </w:rPr>
          <w:t>ע"פ 4536/21</w:t>
        </w:r>
      </w:hyperlink>
      <w:r>
        <w:rPr>
          <w:rFonts w:hint="cs"/>
          <w:rtl/>
        </w:rPr>
        <w:t xml:space="preserve"> </w:t>
      </w:r>
      <w:r>
        <w:rPr>
          <w:rFonts w:hint="cs"/>
          <w:b/>
          <w:bCs/>
          <w:rtl/>
        </w:rPr>
        <w:t>פרץ נ' מדינת ישראל</w:t>
      </w:r>
      <w:r>
        <w:rPr>
          <w:rFonts w:hint="cs"/>
          <w:rtl/>
        </w:rPr>
        <w:t>, פסקה 12</w:t>
      </w:r>
      <w:r>
        <w:rPr>
          <w:rFonts w:hint="cs"/>
          <w:b/>
          <w:bCs/>
          <w:rtl/>
        </w:rPr>
        <w:t xml:space="preserve"> </w:t>
      </w:r>
      <w:r>
        <w:rPr>
          <w:rFonts w:hint="cs"/>
          <w:rtl/>
        </w:rPr>
        <w:t xml:space="preserve">(4.11.21); </w:t>
      </w:r>
      <w:hyperlink r:id="rId16" w:history="1">
        <w:r w:rsidR="006424BE" w:rsidRPr="006424BE">
          <w:rPr>
            <w:color w:val="0000FF"/>
            <w:u w:val="single"/>
            <w:rtl/>
          </w:rPr>
          <w:t>ע"פ 1987/15</w:t>
        </w:r>
      </w:hyperlink>
      <w:r>
        <w:rPr>
          <w:rtl/>
        </w:rPr>
        <w:t xml:space="preserve"> </w:t>
      </w:r>
      <w:r>
        <w:rPr>
          <w:rFonts w:hint="cs"/>
          <w:b/>
          <w:bCs/>
          <w:rtl/>
        </w:rPr>
        <w:t>דרורי נ' מדינת ישראל</w:t>
      </w:r>
      <w:r>
        <w:rPr>
          <w:rFonts w:hint="cs"/>
          <w:rtl/>
        </w:rPr>
        <w:t xml:space="preserve">, פסקה 9 (17.8.15); </w:t>
      </w:r>
      <w:hyperlink r:id="rId17" w:history="1">
        <w:r w:rsidR="006424BE" w:rsidRPr="006424BE">
          <w:rPr>
            <w:rFonts w:ascii="Times New Roman" w:hAnsi="Times New Roman"/>
            <w:color w:val="0000FF"/>
            <w:u w:val="single"/>
            <w:rtl/>
          </w:rPr>
          <w:t>ע"פ 8048/19</w:t>
        </w:r>
      </w:hyperlink>
      <w:r w:rsidRPr="00924688">
        <w:rPr>
          <w:rFonts w:ascii="Times New Roman" w:hAnsi="Times New Roman" w:hint="cs"/>
          <w:rtl/>
        </w:rPr>
        <w:t xml:space="preserve"> </w:t>
      </w:r>
      <w:r>
        <w:rPr>
          <w:rFonts w:hint="cs"/>
          <w:b/>
          <w:bCs/>
          <w:rtl/>
        </w:rPr>
        <w:t>פיצ'חדזה נ' מדינת ישראל</w:t>
      </w:r>
      <w:r>
        <w:rPr>
          <w:rFonts w:hint="cs"/>
          <w:rtl/>
        </w:rPr>
        <w:t xml:space="preserve">, פסקה 11 (4.6.2020). </w:t>
      </w:r>
    </w:p>
    <w:p w14:paraId="4A8D5E1B" w14:textId="77777777" w:rsidR="00924688" w:rsidRDefault="00924688" w:rsidP="00924688">
      <w:pPr>
        <w:pStyle w:val="aa"/>
        <w:spacing w:line="360" w:lineRule="auto"/>
        <w:jc w:val="both"/>
      </w:pPr>
    </w:p>
    <w:p w14:paraId="2C600535" w14:textId="77777777" w:rsidR="00924688" w:rsidRDefault="00924688" w:rsidP="00924688">
      <w:pPr>
        <w:numPr>
          <w:ilvl w:val="0"/>
          <w:numId w:val="1"/>
        </w:numPr>
        <w:spacing w:after="120" w:line="360" w:lineRule="atLeast"/>
        <w:contextualSpacing/>
        <w:jc w:val="both"/>
        <w:rPr>
          <w:color w:val="000000"/>
          <w:rtl/>
        </w:rPr>
      </w:pPr>
      <w:r w:rsidRPr="00924688">
        <w:rPr>
          <w:rFonts w:eastAsia="Calibri" w:hint="cs"/>
          <w:rtl/>
        </w:rPr>
        <w:t xml:space="preserve">הנאשם הודה כי קשר קשר עם אחר ושימש בלדר לייבוא הסם בעבור תמורה כספית. הנאשם אמנם לא עמד בראש שרשרת הפצת הסם אך </w:t>
      </w:r>
      <w:r>
        <w:rPr>
          <w:rFonts w:hint="cs"/>
          <w:color w:val="000000"/>
          <w:rtl/>
        </w:rPr>
        <w:t>אין בכך כדי להפחית מחומרת מעשיו ומחלקו בייבוא הסם. מדיניות הענישה בעבירות ייבוא סם מחמירה ובית המשפט העליון קבע כי יש לנקוט ביד קשה כלפי כלל המעורבים בשרשרת הפצת הסמים:</w:t>
      </w:r>
    </w:p>
    <w:p w14:paraId="7AB47C18" w14:textId="77777777" w:rsidR="00924688" w:rsidRDefault="00924688" w:rsidP="00924688">
      <w:pPr>
        <w:spacing w:after="160" w:line="256" w:lineRule="auto"/>
        <w:ind w:left="720"/>
        <w:contextualSpacing/>
        <w:jc w:val="both"/>
        <w:rPr>
          <w:color w:val="000000"/>
        </w:rPr>
      </w:pPr>
    </w:p>
    <w:p w14:paraId="7909AD9C" w14:textId="77777777" w:rsidR="00924688" w:rsidRDefault="00924688" w:rsidP="00924688">
      <w:pPr>
        <w:spacing w:after="120" w:line="360" w:lineRule="atLeast"/>
        <w:ind w:left="1440" w:right="709"/>
        <w:contextualSpacing/>
        <w:jc w:val="both"/>
        <w:rPr>
          <w:color w:val="000000"/>
          <w:rtl/>
        </w:rPr>
      </w:pPr>
      <w:r>
        <w:rPr>
          <w:rFonts w:hint="cs"/>
          <w:color w:val="000000"/>
          <w:rtl/>
        </w:rPr>
        <w:t>"</w:t>
      </w:r>
      <w:r>
        <w:rPr>
          <w:rFonts w:hint="cs"/>
          <w:b/>
          <w:bCs/>
          <w:color w:val="000000"/>
          <w:rtl/>
        </w:rPr>
        <w:t>על בתי המשפט לנקוט במדיניות ענישה משמעותית כלפי כל המעורבים בשרשרת הפצת הסמים, שכן רק בדרך זו ניתן יהיה לפעול למיגור התופעה. על אף העובדה כי המערערים שימשו בבלדרים, ולא עמדו בראש שרשרת הפצת הסם – הרי שהשיטה העומדת במרכז התופעה נשענת, במידה רבה, על נכונותם של המערערים ושכמותם לבצע את העבירות האמורות... מכאן עולה שמאבק בתופעת ההסתננות וייבוא הסמים לתחומי המדינה מחייב הרתעה אפקטיבית של כלל השותפים למבצעי ההברחה, המודעים לחומרת העבירות הכרוכות במכלול, וזאת באמצעות ענישה משמעותית שתאיין את כדאיות ביצוע המעשים האסורים</w:t>
      </w:r>
      <w:r>
        <w:rPr>
          <w:rFonts w:hint="cs"/>
          <w:color w:val="000000"/>
          <w:rtl/>
        </w:rPr>
        <w:t xml:space="preserve">" </w:t>
      </w:r>
      <w:hyperlink r:id="rId18" w:history="1">
        <w:r w:rsidR="006424BE" w:rsidRPr="006424BE">
          <w:rPr>
            <w:color w:val="0000FF"/>
            <w:u w:val="single"/>
            <w:rtl/>
          </w:rPr>
          <w:t>ע"פ  7044/11</w:t>
        </w:r>
      </w:hyperlink>
      <w:r w:rsidR="006424BE">
        <w:rPr>
          <w:rFonts w:hint="cs"/>
          <w:rtl/>
        </w:rPr>
        <w:t xml:space="preserve"> </w:t>
      </w:r>
      <w:r>
        <w:rPr>
          <w:rFonts w:hint="cs"/>
          <w:b/>
          <w:bCs/>
          <w:color w:val="000000"/>
          <w:rtl/>
        </w:rPr>
        <w:t>עבד נ' מדינת ישראל</w:t>
      </w:r>
      <w:r w:rsidR="006424BE">
        <w:rPr>
          <w:rFonts w:hint="cs"/>
          <w:color w:val="000000"/>
          <w:rtl/>
        </w:rPr>
        <w:t xml:space="preserve"> </w:t>
      </w:r>
      <w:r>
        <w:rPr>
          <w:rFonts w:hint="cs"/>
          <w:color w:val="000000"/>
          <w:rtl/>
        </w:rPr>
        <w:t xml:space="preserve"> (17.6.12).</w:t>
      </w:r>
    </w:p>
    <w:p w14:paraId="0356347C" w14:textId="77777777" w:rsidR="00924688" w:rsidRDefault="00924688" w:rsidP="00924688">
      <w:pPr>
        <w:spacing w:after="120" w:line="360" w:lineRule="atLeast"/>
        <w:ind w:left="1440" w:right="709"/>
        <w:contextualSpacing/>
        <w:jc w:val="both"/>
        <w:rPr>
          <w:color w:val="000000"/>
          <w:rtl/>
        </w:rPr>
      </w:pPr>
    </w:p>
    <w:p w14:paraId="1D282170" w14:textId="77777777" w:rsidR="00924688" w:rsidRPr="00924688" w:rsidRDefault="00924688" w:rsidP="00924688">
      <w:pPr>
        <w:numPr>
          <w:ilvl w:val="0"/>
          <w:numId w:val="1"/>
        </w:numPr>
        <w:spacing w:after="160" w:line="360" w:lineRule="auto"/>
        <w:contextualSpacing/>
        <w:jc w:val="both"/>
        <w:rPr>
          <w:rFonts w:eastAsia="Calibri"/>
          <w:rtl/>
        </w:rPr>
      </w:pPr>
      <w:r>
        <w:rPr>
          <w:rFonts w:hint="cs"/>
          <w:color w:val="000000"/>
          <w:rtl/>
        </w:rPr>
        <w:t>במסגרת</w:t>
      </w:r>
      <w:r w:rsidR="006424BE">
        <w:rPr>
          <w:rFonts w:hint="cs"/>
          <w:color w:val="000000"/>
          <w:rtl/>
        </w:rPr>
        <w:t xml:space="preserve"> </w:t>
      </w:r>
      <w:r>
        <w:rPr>
          <w:rFonts w:hint="cs"/>
          <w:b/>
          <w:bCs/>
          <w:color w:val="000000"/>
          <w:rtl/>
        </w:rPr>
        <w:t>הנסיבות הקשורות בביצוע העבירה</w:t>
      </w:r>
      <w:r w:rsidR="006424BE">
        <w:rPr>
          <w:rFonts w:hint="cs"/>
          <w:b/>
          <w:bCs/>
          <w:color w:val="000000"/>
          <w:rtl/>
        </w:rPr>
        <w:t xml:space="preserve"> </w:t>
      </w:r>
      <w:r>
        <w:rPr>
          <w:color w:val="000000"/>
        </w:rPr>
        <w:t>)</w:t>
      </w:r>
      <w:hyperlink r:id="rId19" w:history="1">
        <w:r w:rsidR="00FF7E53" w:rsidRPr="00FF7E53">
          <w:rPr>
            <w:rStyle w:val="Hyperlink"/>
            <w:rFonts w:hint="eastAsia"/>
            <w:rtl/>
          </w:rPr>
          <w:t>סעיף</w:t>
        </w:r>
        <w:r w:rsidR="00FF7E53" w:rsidRPr="00FF7E53">
          <w:rPr>
            <w:rStyle w:val="Hyperlink"/>
            <w:rtl/>
          </w:rPr>
          <w:t xml:space="preserve"> 40ט'</w:t>
        </w:r>
      </w:hyperlink>
      <w:r w:rsidR="006424BE">
        <w:rPr>
          <w:color w:val="000000"/>
        </w:rPr>
        <w:t xml:space="preserve"> </w:t>
      </w:r>
      <w:r w:rsidRPr="002B5FBD">
        <w:rPr>
          <w:rFonts w:hint="cs"/>
          <w:color w:val="000000"/>
          <w:rtl/>
        </w:rPr>
        <w:t>לחוק</w:t>
      </w:r>
      <w:r>
        <w:rPr>
          <w:rFonts w:hint="cs"/>
          <w:color w:val="000000"/>
          <w:rtl/>
        </w:rPr>
        <w:t>), יש לתת את הדעת</w:t>
      </w:r>
      <w:r w:rsidR="006424BE">
        <w:rPr>
          <w:rFonts w:hint="cs"/>
          <w:color w:val="000000"/>
          <w:rtl/>
        </w:rPr>
        <w:t xml:space="preserve"> </w:t>
      </w:r>
      <w:r>
        <w:rPr>
          <w:rFonts w:hint="cs"/>
          <w:color w:val="000000"/>
          <w:rtl/>
        </w:rPr>
        <w:t xml:space="preserve">לכך שלעבירה </w:t>
      </w:r>
      <w:r>
        <w:rPr>
          <w:rFonts w:hint="cs"/>
          <w:b/>
          <w:bCs/>
          <w:color w:val="000000"/>
          <w:rtl/>
        </w:rPr>
        <w:t>קדם תכנון</w:t>
      </w:r>
      <w:r>
        <w:rPr>
          <w:rFonts w:hint="cs"/>
          <w:color w:val="000000"/>
          <w:rtl/>
        </w:rPr>
        <w:t xml:space="preserve"> שכלל קיום קשר בין הנאשם ואחר, רכישת כרטיסי טיסה והנפקת דרכון. </w:t>
      </w:r>
      <w:r>
        <w:rPr>
          <w:rFonts w:hint="cs"/>
          <w:b/>
          <w:bCs/>
          <w:color w:val="000000"/>
          <w:rtl/>
        </w:rPr>
        <w:t>הנאשם נקט בזהירות ובתחכום</w:t>
      </w:r>
      <w:r>
        <w:rPr>
          <w:rFonts w:hint="cs"/>
          <w:color w:val="000000"/>
          <w:rtl/>
        </w:rPr>
        <w:t xml:space="preserve">, קנה את הכרטיסים בכסף מזומן, ועל הדרכון שילם אחר באמצעות כרטיס אשראי. </w:t>
      </w:r>
      <w:r>
        <w:rPr>
          <w:rFonts w:hint="cs"/>
          <w:b/>
          <w:bCs/>
          <w:color w:val="000000"/>
          <w:rtl/>
        </w:rPr>
        <w:t>כמות הסם שייבא הנאשם עצומה</w:t>
      </w:r>
      <w:r>
        <w:rPr>
          <w:rFonts w:hint="cs"/>
          <w:color w:val="000000"/>
          <w:rtl/>
        </w:rPr>
        <w:t xml:space="preserve">, הנאשם ידע כי תפקידו הוא לייבא את הסם מצרפת לארץ, וגילה אדישות לחומרת מעשיו ומשמעותם. </w:t>
      </w:r>
      <w:r>
        <w:rPr>
          <w:rFonts w:hint="cs"/>
          <w:b/>
          <w:bCs/>
          <w:color w:val="000000"/>
          <w:rtl/>
        </w:rPr>
        <w:t>פוטנציאל הנזק שבמעשיו רב,</w:t>
      </w:r>
      <w:r>
        <w:rPr>
          <w:rFonts w:hint="cs"/>
          <w:color w:val="000000"/>
          <w:rtl/>
        </w:rPr>
        <w:t xml:space="preserve"> ואך משום שנתפס, לא הופץ הסם בין צרכני סם ברחבי הארץ. </w:t>
      </w:r>
      <w:r>
        <w:rPr>
          <w:rFonts w:hint="cs"/>
          <w:b/>
          <w:bCs/>
          <w:color w:val="000000"/>
          <w:rtl/>
        </w:rPr>
        <w:t>מאחורי מעשיו עמד מניע כלכלי</w:t>
      </w:r>
      <w:r>
        <w:rPr>
          <w:rFonts w:hint="cs"/>
          <w:color w:val="000000"/>
          <w:rtl/>
        </w:rPr>
        <w:t xml:space="preserve">, הנאשם שלראשונה בחייו החל לנהל חיים עצמאיים, לא היה ערוך להתמודד עם הקשיים הכלכליים וחיפש ומצא, פתרון קל ומהיר לרווח כספי. מעשיו לא בוצעו על רקע שימוש בסם. בהנתן נסיבות מעשיו, מצאתי לקבוע שפגיעתם בערכים המוגנים היא ברף גבוה. </w:t>
      </w:r>
    </w:p>
    <w:p w14:paraId="2797757E" w14:textId="77777777" w:rsidR="00924688" w:rsidRDefault="00924688" w:rsidP="00924688">
      <w:pPr>
        <w:pStyle w:val="aa"/>
        <w:numPr>
          <w:ilvl w:val="0"/>
          <w:numId w:val="1"/>
        </w:numPr>
        <w:spacing w:after="120" w:line="360" w:lineRule="auto"/>
        <w:jc w:val="both"/>
        <w:rPr>
          <w:rFonts w:eastAsia="David"/>
        </w:rPr>
      </w:pPr>
      <w:r>
        <w:rPr>
          <w:rFonts w:hint="cs"/>
          <w:rtl/>
        </w:rPr>
        <w:t>מתחם הענישה אליו עתרה המאשימה, 4-7 שנות מאסר, ראוי אם כי מתון מעט מרמת הענישה הנוהגת בעבירות יבוא סם במשקלים דומים. אפנה בעניין זה ל</w:t>
      </w:r>
      <w:hyperlink r:id="rId20" w:history="1">
        <w:r w:rsidR="006424BE" w:rsidRPr="006424BE">
          <w:rPr>
            <w:color w:val="0000FF"/>
            <w:u w:val="single"/>
            <w:rtl/>
          </w:rPr>
          <w:t>ע"פ 1901/19</w:t>
        </w:r>
      </w:hyperlink>
      <w:r>
        <w:rPr>
          <w:rFonts w:hint="cs"/>
          <w:rtl/>
        </w:rPr>
        <w:t xml:space="preserve"> </w:t>
      </w:r>
      <w:r>
        <w:rPr>
          <w:rFonts w:hint="cs"/>
          <w:b/>
          <w:bCs/>
          <w:rtl/>
        </w:rPr>
        <w:t xml:space="preserve">אסולין נ' מדינת ישראל </w:t>
      </w:r>
      <w:r>
        <w:rPr>
          <w:rFonts w:hint="cs"/>
          <w:rtl/>
        </w:rPr>
        <w:t xml:space="preserve">(31.5.20), ייבוא 25,000 טבליות של  </w:t>
      </w:r>
      <w:r>
        <w:t>MDMA</w:t>
      </w:r>
      <w:r>
        <w:rPr>
          <w:rFonts w:hint="cs"/>
          <w:rtl/>
        </w:rPr>
        <w:t xml:space="preserve"> , באמצעות הדואר, שם נגזרו על נאשם, ללא עבר, שתפקידו היה לאסוף את חבילת הסם, 54  חודשי מאסר, ערעורו נדחה. בית המשפט העליון קבע כי העונש שנגזר עליו נותן ביטוי לערך המוגן של ניהול מלחמה עיקשת נגד השימוש בסמים, וכי מדובר בעונש ראוי שאיננו מחמיר (שם, פ' 3); </w:t>
      </w:r>
      <w:hyperlink r:id="rId21" w:history="1">
        <w:r w:rsidR="006424BE" w:rsidRPr="006424BE">
          <w:rPr>
            <w:color w:val="0000FF"/>
            <w:u w:val="single"/>
            <w:rtl/>
          </w:rPr>
          <w:t>ת"פ (מח' מרכז) 47209-08-17</w:t>
        </w:r>
      </w:hyperlink>
      <w:r>
        <w:rPr>
          <w:rFonts w:hint="cs"/>
          <w:rtl/>
        </w:rPr>
        <w:t xml:space="preserve"> </w:t>
      </w:r>
      <w:r>
        <w:rPr>
          <w:rFonts w:hint="cs"/>
          <w:b/>
          <w:bCs/>
          <w:rtl/>
        </w:rPr>
        <w:t xml:space="preserve">מדינת ישראל נ' ידען </w:t>
      </w:r>
      <w:r>
        <w:rPr>
          <w:rFonts w:hint="cs"/>
          <w:rtl/>
        </w:rPr>
        <w:t xml:space="preserve">(6.2.18) שם הורשע נאשם בעבירת ייבוא כ-30,000 טבליות של </w:t>
      </w:r>
      <w:r>
        <w:t>MDMA</w:t>
      </w:r>
      <w:r>
        <w:rPr>
          <w:rFonts w:hint="cs"/>
          <w:rtl/>
        </w:rPr>
        <w:t xml:space="preserve"> ונדון, במסגרת הסדר טיעון, למאסר בן 58 חודשים; </w:t>
      </w:r>
      <w:hyperlink r:id="rId22" w:history="1">
        <w:r w:rsidR="006424BE" w:rsidRPr="006424BE">
          <w:rPr>
            <w:color w:val="0000FF"/>
            <w:u w:val="single"/>
            <w:rtl/>
          </w:rPr>
          <w:t>ת"פ (מח' מרכז) 58966-01-18</w:t>
        </w:r>
      </w:hyperlink>
      <w:r>
        <w:rPr>
          <w:rFonts w:hint="cs"/>
          <w:rtl/>
        </w:rPr>
        <w:t xml:space="preserve"> </w:t>
      </w:r>
      <w:r>
        <w:rPr>
          <w:rFonts w:hint="cs"/>
          <w:b/>
          <w:bCs/>
          <w:rtl/>
        </w:rPr>
        <w:t xml:space="preserve">מדינת ישראל נ' צציק </w:t>
      </w:r>
      <w:r>
        <w:rPr>
          <w:rFonts w:hint="cs"/>
          <w:rtl/>
        </w:rPr>
        <w:t xml:space="preserve">(22.11.18) בעניין נאשם, ללא עבר, שהורשע בייבוא </w:t>
      </w:r>
      <w:r>
        <w:t>MDMA</w:t>
      </w:r>
      <w:r>
        <w:rPr>
          <w:rtl/>
        </w:rPr>
        <w:t xml:space="preserve"> </w:t>
      </w:r>
      <w:r>
        <w:rPr>
          <w:rFonts w:hint="cs"/>
          <w:rtl/>
        </w:rPr>
        <w:t xml:space="preserve"> בכמות דומה ונדון ל-54 חודשי מאסר; </w:t>
      </w:r>
      <w:hyperlink r:id="rId23" w:history="1">
        <w:r w:rsidR="006424BE" w:rsidRPr="006424BE">
          <w:rPr>
            <w:color w:val="0000FF"/>
            <w:u w:val="single"/>
            <w:rtl/>
          </w:rPr>
          <w:t>ת"פ (מח-מרכז) 8923-02-16</w:t>
        </w:r>
      </w:hyperlink>
      <w:r>
        <w:rPr>
          <w:rFonts w:hint="cs"/>
          <w:rtl/>
        </w:rPr>
        <w:t xml:space="preserve"> </w:t>
      </w:r>
      <w:r>
        <w:rPr>
          <w:rFonts w:hint="cs"/>
          <w:b/>
          <w:bCs/>
          <w:rtl/>
        </w:rPr>
        <w:t>מדינת ישראל נ' מזרחי</w:t>
      </w:r>
      <w:r>
        <w:rPr>
          <w:rFonts w:hint="cs"/>
          <w:rtl/>
        </w:rPr>
        <w:t xml:space="preserve"> (30.11.16), שם הורשע נאשם בעל עבר בייבוא של כ-17,000 כדורי  </w:t>
      </w:r>
      <w:r>
        <w:t>MDMA</w:t>
      </w:r>
      <w:r>
        <w:rPr>
          <w:rFonts w:hint="cs"/>
          <w:rtl/>
        </w:rPr>
        <w:t xml:space="preserve">, בהתאם להסדר טיעון נדון למאסר בן 54 חודשים. (עוד ראו, </w:t>
      </w:r>
      <w:hyperlink r:id="rId24" w:history="1">
        <w:r w:rsidR="006424BE" w:rsidRPr="006424BE">
          <w:rPr>
            <w:color w:val="0000FF"/>
            <w:u w:val="single"/>
            <w:rtl/>
          </w:rPr>
          <w:t>ת"פ (מח' מרכז) 55287-02-17</w:t>
        </w:r>
      </w:hyperlink>
      <w:r>
        <w:rPr>
          <w:rFonts w:hint="cs"/>
          <w:rtl/>
        </w:rPr>
        <w:t xml:space="preserve"> </w:t>
      </w:r>
      <w:r>
        <w:rPr>
          <w:rFonts w:hint="cs"/>
          <w:b/>
          <w:bCs/>
          <w:rtl/>
        </w:rPr>
        <w:t xml:space="preserve">מדינת ישראל נ' אזולאי </w:t>
      </w:r>
      <w:r>
        <w:rPr>
          <w:rFonts w:hint="cs"/>
          <w:rtl/>
        </w:rPr>
        <w:t xml:space="preserve">(16.1.18);. </w:t>
      </w:r>
      <w:hyperlink r:id="rId25" w:history="1">
        <w:r w:rsidR="006424BE" w:rsidRPr="006424BE">
          <w:rPr>
            <w:color w:val="0000FF"/>
            <w:u w:val="single"/>
            <w:rtl/>
          </w:rPr>
          <w:t>ת"פ (מח' מרכז) 28005-09-17</w:t>
        </w:r>
      </w:hyperlink>
      <w:r>
        <w:rPr>
          <w:color w:val="000000"/>
          <w:rtl/>
        </w:rPr>
        <w:t xml:space="preserve"> </w:t>
      </w:r>
      <w:r>
        <w:rPr>
          <w:rFonts w:hint="cs"/>
          <w:b/>
          <w:bCs/>
          <w:color w:val="000000"/>
          <w:rtl/>
        </w:rPr>
        <w:t>מדינת ישראל נ' גושקביץ</w:t>
      </w:r>
      <w:r>
        <w:rPr>
          <w:rFonts w:hint="cs"/>
          <w:color w:val="000000"/>
          <w:rtl/>
        </w:rPr>
        <w:t xml:space="preserve"> (26.4.18)). </w:t>
      </w:r>
    </w:p>
    <w:p w14:paraId="78833843" w14:textId="77777777" w:rsidR="00924688" w:rsidRDefault="00924688" w:rsidP="00924688">
      <w:pPr>
        <w:pStyle w:val="aa"/>
      </w:pPr>
    </w:p>
    <w:p w14:paraId="5D126C35" w14:textId="77777777" w:rsidR="00924688" w:rsidRDefault="00924688" w:rsidP="00924688">
      <w:pPr>
        <w:numPr>
          <w:ilvl w:val="0"/>
          <w:numId w:val="1"/>
        </w:numPr>
        <w:spacing w:after="160" w:line="360" w:lineRule="auto"/>
        <w:contextualSpacing/>
        <w:jc w:val="both"/>
        <w:rPr>
          <w:b/>
          <w:bCs/>
          <w:color w:val="000000"/>
          <w:rtl/>
        </w:rPr>
      </w:pPr>
      <w:r>
        <w:rPr>
          <w:rFonts w:hint="cs"/>
          <w:color w:val="000000"/>
          <w:rtl/>
        </w:rPr>
        <w:t>ההגנה הגישה לעיוני פסיקה שבה נדונו מקרים דומים, שבהם חרגו בתי המשפט לקולא מטעמי שיקום. ב</w:t>
      </w:r>
      <w:hyperlink r:id="rId26" w:history="1">
        <w:r w:rsidR="006424BE" w:rsidRPr="006424BE">
          <w:rPr>
            <w:color w:val="0000FF"/>
            <w:u w:val="single"/>
            <w:rtl/>
          </w:rPr>
          <w:t>ת"פ (מח-מרכז) 37176-11-17</w:t>
        </w:r>
      </w:hyperlink>
      <w:r>
        <w:rPr>
          <w:rFonts w:hint="cs"/>
          <w:color w:val="000000"/>
          <w:rtl/>
        </w:rPr>
        <w:t xml:space="preserve"> </w:t>
      </w:r>
      <w:r>
        <w:rPr>
          <w:rFonts w:hint="cs"/>
          <w:b/>
          <w:bCs/>
          <w:color w:val="000000"/>
          <w:rtl/>
        </w:rPr>
        <w:t>מדינת ישראל נ' בן חמו</w:t>
      </w:r>
      <w:r>
        <w:rPr>
          <w:rFonts w:hint="cs"/>
          <w:color w:val="000000"/>
          <w:rtl/>
        </w:rPr>
        <w:t xml:space="preserve"> (29.3.20), נדון נאשם בגין ייבוא של כ-40,000 כדורי</w:t>
      </w:r>
      <w:r>
        <w:rPr>
          <w:rFonts w:hint="cs"/>
        </w:rPr>
        <w:t xml:space="preserve"> </w:t>
      </w:r>
      <w:r>
        <w:t>MDMA</w:t>
      </w:r>
      <w:r>
        <w:rPr>
          <w:rFonts w:hint="cs"/>
          <w:color w:val="000000"/>
          <w:rtl/>
        </w:rPr>
        <w:t>לענישה שיקומית של עבודות שירות. נקבע מתחם ענישה שנע בין 54-78 חודשי מאסר; ב</w:t>
      </w:r>
      <w:hyperlink r:id="rId27" w:history="1">
        <w:r w:rsidR="006424BE" w:rsidRPr="006424BE">
          <w:rPr>
            <w:color w:val="0000FF"/>
            <w:u w:val="single"/>
            <w:rtl/>
          </w:rPr>
          <w:t>ת"פ (מח-מרכז)67527-03-18</w:t>
        </w:r>
      </w:hyperlink>
      <w:r>
        <w:rPr>
          <w:rFonts w:hint="cs"/>
          <w:color w:val="000000"/>
          <w:rtl/>
        </w:rPr>
        <w:t xml:space="preserve"> </w:t>
      </w:r>
      <w:r>
        <w:rPr>
          <w:rFonts w:hint="cs"/>
          <w:b/>
          <w:bCs/>
          <w:color w:val="000000"/>
          <w:rtl/>
        </w:rPr>
        <w:t xml:space="preserve">מדינת ישראל נ' בוירסקי </w:t>
      </w:r>
      <w:r>
        <w:rPr>
          <w:rFonts w:hint="cs"/>
          <w:color w:val="000000"/>
          <w:rtl/>
        </w:rPr>
        <w:t>(29.12.19) נדון נאשם בגין ייבוא 1 ק"ג קוקאין, נקבע מתחם שנע בין 4.5-7.5 שנות מאסר, נדון לענישה שיקומית של 28 חודשי מאסר, הדברים דומים גם ביחס לגזר הדין שניתן על ידי ב</w:t>
      </w:r>
      <w:hyperlink r:id="rId28" w:history="1">
        <w:r w:rsidR="006424BE" w:rsidRPr="006424BE">
          <w:rPr>
            <w:color w:val="0000FF"/>
            <w:u w:val="single"/>
            <w:rtl/>
          </w:rPr>
          <w:t>ת"פ 7408-03-20</w:t>
        </w:r>
      </w:hyperlink>
      <w:r>
        <w:rPr>
          <w:rFonts w:hint="cs"/>
          <w:color w:val="000000"/>
          <w:rtl/>
        </w:rPr>
        <w:t xml:space="preserve"> בעניינו של רם (6.3.23), שם נדון נאשם שייבא כמות דומה לזו שבתיק שבפנינו, ועבר הליך שיקום ארוך טווח ומוצלח, בהסכמת המאשימה, לענישה שיקומית של עבודות שירות. ללמדנו כי מדיניות הענישה גם במקרים שאליהם הפנתה ההגנה מחמירה והחריגה בעונש נעשית אך ורק במקרי שיקום מובהקים. </w:t>
      </w:r>
    </w:p>
    <w:p w14:paraId="26CE0F7D" w14:textId="77777777" w:rsidR="00924688" w:rsidRDefault="00924688" w:rsidP="00924688">
      <w:pPr>
        <w:spacing w:after="160" w:line="360" w:lineRule="auto"/>
        <w:ind w:left="720"/>
        <w:contextualSpacing/>
        <w:jc w:val="both"/>
        <w:rPr>
          <w:b/>
          <w:bCs/>
          <w:color w:val="000000"/>
        </w:rPr>
      </w:pPr>
    </w:p>
    <w:p w14:paraId="4A34E6E8" w14:textId="77777777" w:rsidR="00924688" w:rsidRDefault="00924688" w:rsidP="00924688">
      <w:pPr>
        <w:numPr>
          <w:ilvl w:val="0"/>
          <w:numId w:val="1"/>
        </w:numPr>
        <w:spacing w:after="160" w:line="360" w:lineRule="auto"/>
        <w:contextualSpacing/>
        <w:jc w:val="both"/>
        <w:rPr>
          <w:b/>
          <w:bCs/>
          <w:color w:val="000000"/>
        </w:rPr>
      </w:pPr>
      <w:r>
        <w:rPr>
          <w:rFonts w:hint="cs"/>
          <w:b/>
          <w:bCs/>
          <w:color w:val="000000"/>
          <w:rtl/>
        </w:rPr>
        <w:t xml:space="preserve">לאחר שבחנתי את כלל השיקולים, מצאתי לאמץ את מתחם הענישה שאליו עתרה המאשימה. </w:t>
      </w:r>
    </w:p>
    <w:p w14:paraId="6A8B2A78" w14:textId="77777777" w:rsidR="00924688" w:rsidRDefault="00924688" w:rsidP="00924688">
      <w:pPr>
        <w:pStyle w:val="aa"/>
        <w:rPr>
          <w:b/>
          <w:bCs/>
          <w:color w:val="000000"/>
          <w:rtl/>
        </w:rPr>
      </w:pPr>
    </w:p>
    <w:p w14:paraId="77E935C7" w14:textId="77777777" w:rsidR="00924688" w:rsidRDefault="00924688" w:rsidP="00924688">
      <w:pPr>
        <w:numPr>
          <w:ilvl w:val="0"/>
          <w:numId w:val="1"/>
        </w:numPr>
        <w:spacing w:after="160" w:line="360" w:lineRule="auto"/>
        <w:contextualSpacing/>
        <w:jc w:val="both"/>
        <w:rPr>
          <w:b/>
          <w:bCs/>
          <w:color w:val="000000"/>
          <w:rtl/>
        </w:rPr>
      </w:pPr>
      <w:r>
        <w:rPr>
          <w:rFonts w:hint="cs"/>
          <w:b/>
          <w:bCs/>
          <w:color w:val="000000"/>
          <w:rtl/>
        </w:rPr>
        <w:t>עניינו של הנאשם אינו נופל בין המקרים המתאימים לחריגה לקולא ממתחם הענישה מטעמי שיקום.</w:t>
      </w:r>
      <w:r>
        <w:rPr>
          <w:rFonts w:hint="cs"/>
          <w:color w:val="000000"/>
          <w:rtl/>
        </w:rPr>
        <w:t xml:space="preserve"> הנאשם אמנם צעיר, נטול עבר פלילי, שניהל טרם הסתבכותו בתיק זה חיים נורמטיביים. עובד כיום כטבח בבית קפה, ממכתב המלצה של מעבידו (נ/1), עולה כי מרוצה מתפקודו וער לשינוי החיובי שחל בו. עם זאת, פרופיל הנאשם אינו שונה מפרופיל הבלדר הקלאסי. בניגוד למקרים אחרים, שבהם ביצעו נאשמים עבירות דומות על רקע התמכרות קשה לסם, במקרה שבפנינו, אין מדובר ביותר מקיצור דרך, דרך לא חוקית לגרוף כסף קל. הנאשם שיתף פעולה עם גורמי הטיפול, הביע נכונות טיפולית ונראה שנתרם מהתכנים הטיפוליים שספג וחלה הפחתה במסוכנותו. עם זאת אין מדובר בהליך שיקום משמעותי, העבירה כאמור לא בוצעה על רקע התמכרותי, הנאשם השתמש באופן מזדמן בסם ולא התקשה להפסיק את השימוש בו. הנאשם שולב בקבוצה לעצורי בית ובסדנה לחוק ומשפט ולא בהליך טיפולי ייעודי וארוך טווח. לא בכדי לא בא שירות המבחן בהמלצה שיקומית, והמליץ להטיל על הנאשם ענישה קונקרטית ומוחשית שתחדד עבור הנאשם את השלכות מעשיו</w:t>
      </w:r>
      <w:r w:rsidRPr="00DB0036">
        <w:rPr>
          <w:rFonts w:hint="cs"/>
          <w:color w:val="000000"/>
          <w:rtl/>
        </w:rPr>
        <w:t xml:space="preserve">. </w:t>
      </w:r>
    </w:p>
    <w:p w14:paraId="48C0FA9E" w14:textId="77777777" w:rsidR="00924688" w:rsidRDefault="00924688" w:rsidP="00924688">
      <w:pPr>
        <w:pStyle w:val="aa"/>
        <w:rPr>
          <w:color w:val="000000"/>
        </w:rPr>
      </w:pPr>
    </w:p>
    <w:p w14:paraId="2E5B6BD2" w14:textId="77777777" w:rsidR="00924688" w:rsidRDefault="00924688" w:rsidP="00924688">
      <w:pPr>
        <w:numPr>
          <w:ilvl w:val="0"/>
          <w:numId w:val="1"/>
        </w:numPr>
        <w:spacing w:after="160" w:line="360" w:lineRule="auto"/>
        <w:contextualSpacing/>
        <w:jc w:val="both"/>
        <w:rPr>
          <w:b/>
          <w:bCs/>
          <w:color w:val="000000"/>
          <w:rtl/>
        </w:rPr>
      </w:pPr>
      <w:r>
        <w:rPr>
          <w:rFonts w:hint="cs"/>
          <w:color w:val="000000"/>
          <w:rtl/>
        </w:rPr>
        <w:t xml:space="preserve">בצד זאת, עברו הנקי, הודאתו במיוחס לו ותסקירו החיובי ישמשו טעמים טובים למיקום עונשו בתחתית המתחם. כדי לעודדו ולדרבנו להמשיך בדרכו החיובית, אחרוג חריגה קלה מהמתחם ואתחשב בקביעת גובה הקנס במצבה הכלכלי הקשה של משפחתו. </w:t>
      </w:r>
    </w:p>
    <w:p w14:paraId="04442AC3" w14:textId="77777777" w:rsidR="00924688" w:rsidRDefault="00924688" w:rsidP="00924688">
      <w:pPr>
        <w:pStyle w:val="aa"/>
        <w:rPr>
          <w:color w:val="000000"/>
        </w:rPr>
      </w:pPr>
    </w:p>
    <w:p w14:paraId="46293BA7" w14:textId="77777777" w:rsidR="00924688" w:rsidRDefault="00924688" w:rsidP="00924688">
      <w:pPr>
        <w:numPr>
          <w:ilvl w:val="0"/>
          <w:numId w:val="1"/>
        </w:numPr>
        <w:spacing w:after="160" w:line="360" w:lineRule="auto"/>
        <w:contextualSpacing/>
        <w:jc w:val="both"/>
        <w:rPr>
          <w:b/>
          <w:bCs/>
          <w:color w:val="000000"/>
          <w:rtl/>
        </w:rPr>
      </w:pPr>
      <w:r>
        <w:rPr>
          <w:rFonts w:hint="cs"/>
          <w:b/>
          <w:bCs/>
          <w:color w:val="000000"/>
          <w:rtl/>
        </w:rPr>
        <w:t>אני גוזרת, אפוא, על הנאשם את העונשים הבאים:</w:t>
      </w:r>
    </w:p>
    <w:p w14:paraId="36E25414" w14:textId="77777777" w:rsidR="00924688" w:rsidRDefault="00924688" w:rsidP="00924688">
      <w:pPr>
        <w:numPr>
          <w:ilvl w:val="0"/>
          <w:numId w:val="2"/>
        </w:numPr>
        <w:spacing w:after="160" w:line="360" w:lineRule="auto"/>
        <w:contextualSpacing/>
        <w:jc w:val="both"/>
        <w:rPr>
          <w:color w:val="000000"/>
          <w:rtl/>
        </w:rPr>
      </w:pPr>
      <w:r>
        <w:rPr>
          <w:rFonts w:hint="cs"/>
          <w:color w:val="000000"/>
          <w:rtl/>
        </w:rPr>
        <w:t xml:space="preserve">מאסר בן 45 חודשים בניכוי ימי מעצרו 16.1.22 </w:t>
      </w:r>
      <w:r>
        <w:rPr>
          <w:color w:val="000000"/>
          <w:rtl/>
        </w:rPr>
        <w:t>–</w:t>
      </w:r>
      <w:r>
        <w:rPr>
          <w:rFonts w:hint="cs"/>
          <w:color w:val="000000"/>
          <w:rtl/>
        </w:rPr>
        <w:t xml:space="preserve"> 3.4.22.   </w:t>
      </w:r>
    </w:p>
    <w:p w14:paraId="23C05803" w14:textId="77777777" w:rsidR="00924688" w:rsidRDefault="00924688" w:rsidP="00924688">
      <w:pPr>
        <w:numPr>
          <w:ilvl w:val="0"/>
          <w:numId w:val="2"/>
        </w:numPr>
        <w:spacing w:after="160" w:line="360" w:lineRule="auto"/>
        <w:contextualSpacing/>
        <w:jc w:val="both"/>
        <w:rPr>
          <w:color w:val="000000"/>
        </w:rPr>
      </w:pPr>
      <w:r>
        <w:rPr>
          <w:rFonts w:hint="cs"/>
          <w:color w:val="000000"/>
          <w:rtl/>
        </w:rPr>
        <w:t>מאסר על תנאי בן 10 חודשים שלא יעבור עבירת סם מסוג פשע במשך שנתיים מיום שחרורו</w:t>
      </w:r>
    </w:p>
    <w:p w14:paraId="24FD2F47" w14:textId="77777777" w:rsidR="00924688" w:rsidRDefault="00924688" w:rsidP="00924688">
      <w:pPr>
        <w:numPr>
          <w:ilvl w:val="0"/>
          <w:numId w:val="2"/>
        </w:numPr>
        <w:spacing w:after="160" w:line="360" w:lineRule="auto"/>
        <w:contextualSpacing/>
        <w:jc w:val="both"/>
        <w:rPr>
          <w:color w:val="000000"/>
        </w:rPr>
      </w:pPr>
      <w:r>
        <w:rPr>
          <w:rFonts w:hint="cs"/>
          <w:color w:val="000000"/>
          <w:rtl/>
        </w:rPr>
        <w:t>קנס בסך 7,500 ₪ או 35 ימי מאסר. הקנס ישולם ב-10 תשלומים שווים ורצופים החל מיום 15.10.23.</w:t>
      </w:r>
    </w:p>
    <w:p w14:paraId="200B7583" w14:textId="77777777" w:rsidR="00924688" w:rsidRDefault="00924688" w:rsidP="00924688">
      <w:pPr>
        <w:numPr>
          <w:ilvl w:val="0"/>
          <w:numId w:val="2"/>
        </w:numPr>
        <w:spacing w:after="160" w:line="360" w:lineRule="auto"/>
        <w:contextualSpacing/>
        <w:jc w:val="both"/>
        <w:rPr>
          <w:color w:val="000000"/>
        </w:rPr>
      </w:pPr>
      <w:r>
        <w:rPr>
          <w:rFonts w:hint="cs"/>
          <w:color w:val="000000"/>
          <w:rtl/>
        </w:rPr>
        <w:t xml:space="preserve">הנאשם יתייצב לריצוי עונשו ביום 9.10.23 עד השעה 10:00 בבימ"ר "הדרים". לצורך הבטחת התייצבותו תעמודנה הערבויות וצו עיכוב יציאה מהארץ שנקבעו בהליך המעצר, ואלו יושבו למפקיד עם תחילת ריצוי מאסרו. </w:t>
      </w:r>
    </w:p>
    <w:p w14:paraId="72A7D756" w14:textId="77777777" w:rsidR="00924688" w:rsidRDefault="00924688" w:rsidP="00924688">
      <w:pPr>
        <w:spacing w:after="160" w:line="360" w:lineRule="auto"/>
        <w:ind w:left="1080"/>
        <w:contextualSpacing/>
        <w:jc w:val="both"/>
        <w:rPr>
          <w:color w:val="000000"/>
        </w:rPr>
      </w:pPr>
    </w:p>
    <w:p w14:paraId="2BFCF9A7" w14:textId="77777777" w:rsidR="00924688" w:rsidRPr="00F944EC" w:rsidRDefault="00924688" w:rsidP="00924688">
      <w:pPr>
        <w:spacing w:after="160" w:line="360" w:lineRule="auto"/>
        <w:contextualSpacing/>
        <w:jc w:val="both"/>
        <w:rPr>
          <w:b/>
          <w:bCs/>
          <w:color w:val="000000"/>
          <w:rtl/>
        </w:rPr>
      </w:pPr>
      <w:r w:rsidRPr="00F944EC">
        <w:rPr>
          <w:rFonts w:hint="cs"/>
          <w:b/>
          <w:bCs/>
          <w:color w:val="000000"/>
          <w:rtl/>
        </w:rPr>
        <w:t>מורה על השמדת הסמים.</w:t>
      </w:r>
    </w:p>
    <w:p w14:paraId="23023571" w14:textId="77777777" w:rsidR="00924688" w:rsidRPr="00F944EC" w:rsidRDefault="00924688" w:rsidP="00924688">
      <w:pPr>
        <w:spacing w:after="160" w:line="360" w:lineRule="auto"/>
        <w:contextualSpacing/>
        <w:jc w:val="both"/>
        <w:rPr>
          <w:b/>
          <w:bCs/>
          <w:color w:val="000000"/>
          <w:rtl/>
        </w:rPr>
      </w:pPr>
      <w:r w:rsidRPr="00F944EC">
        <w:rPr>
          <w:rFonts w:hint="cs"/>
          <w:b/>
          <w:bCs/>
          <w:color w:val="000000"/>
          <w:rtl/>
        </w:rPr>
        <w:t xml:space="preserve">צו כללי למוצגים. </w:t>
      </w:r>
    </w:p>
    <w:p w14:paraId="26C8E540" w14:textId="77777777" w:rsidR="00924688" w:rsidRDefault="006424BE" w:rsidP="00924688">
      <w:pPr>
        <w:spacing w:after="160" w:line="360" w:lineRule="auto"/>
        <w:jc w:val="both"/>
        <w:rPr>
          <w:color w:val="000000"/>
          <w:rtl/>
        </w:rPr>
      </w:pPr>
      <w:r w:rsidRPr="006424BE">
        <w:rPr>
          <w:b/>
          <w:bCs/>
          <w:color w:val="FFFFFF"/>
          <w:sz w:val="2"/>
          <w:szCs w:val="2"/>
          <w:rtl/>
        </w:rPr>
        <w:t>5129371</w:t>
      </w:r>
      <w:r w:rsidR="00924688" w:rsidRPr="00F944EC">
        <w:rPr>
          <w:rFonts w:hint="cs"/>
          <w:b/>
          <w:bCs/>
          <w:color w:val="000000"/>
          <w:rtl/>
        </w:rPr>
        <w:t>זכות ערעור בתוך 45 יום לבית המשפט העליון.</w:t>
      </w:r>
      <w:r w:rsidR="00924688">
        <w:rPr>
          <w:rFonts w:hint="cs"/>
          <w:color w:val="000000"/>
          <w:rtl/>
        </w:rPr>
        <w:t xml:space="preserve"> </w:t>
      </w:r>
    </w:p>
    <w:p w14:paraId="040FA0BF" w14:textId="77777777" w:rsidR="00924688" w:rsidRDefault="006424BE" w:rsidP="00924688">
      <w:pPr>
        <w:jc w:val="center"/>
        <w:rPr>
          <w:rFonts w:ascii="Arial" w:hAnsi="Arial"/>
          <w:b/>
          <w:bCs/>
          <w:sz w:val="26"/>
          <w:szCs w:val="26"/>
          <w:rtl/>
        </w:rPr>
      </w:pPr>
      <w:bookmarkStart w:id="8" w:name="Nitan"/>
      <w:r w:rsidRPr="006424BE">
        <w:rPr>
          <w:rFonts w:ascii="Arial" w:hAnsi="Arial"/>
          <w:b/>
          <w:bCs/>
          <w:color w:val="FFFFFF"/>
          <w:sz w:val="2"/>
          <w:szCs w:val="2"/>
          <w:rtl/>
        </w:rPr>
        <w:t>54678313</w:t>
      </w:r>
      <w:r>
        <w:rPr>
          <w:rFonts w:ascii="Arial" w:hAnsi="Arial"/>
          <w:b/>
          <w:bCs/>
          <w:sz w:val="26"/>
          <w:szCs w:val="26"/>
          <w:rtl/>
        </w:rPr>
        <w:t xml:space="preserve">ניתן היום,  כ"ד אלול תשפ"ג, 10 ספטמבר 2023, במעמד הצדדים.          </w:t>
      </w:r>
      <w:bookmarkEnd w:id="8"/>
      <w:r w:rsidR="00924688" w:rsidRPr="000F2247">
        <w:rPr>
          <w:rFonts w:ascii="Arial" w:hAnsi="Arial"/>
          <w:b/>
          <w:bCs/>
          <w:sz w:val="26"/>
          <w:szCs w:val="26"/>
          <w:rtl/>
        </w:rPr>
        <w:t xml:space="preserve">   </w:t>
      </w:r>
      <w:r w:rsidR="00924688" w:rsidRPr="000F2247">
        <w:rPr>
          <w:rFonts w:ascii="Arial" w:hAnsi="Arial"/>
          <w:b/>
          <w:bCs/>
          <w:sz w:val="26"/>
          <w:szCs w:val="26"/>
          <w:rtl/>
        </w:rPr>
        <w:tab/>
      </w:r>
      <w:r w:rsidR="00924688" w:rsidRPr="000F2247">
        <w:rPr>
          <w:rFonts w:ascii="Arial" w:hAnsi="Arial"/>
          <w:b/>
          <w:bCs/>
          <w:sz w:val="26"/>
          <w:szCs w:val="26"/>
          <w:rtl/>
        </w:rPr>
        <w:tab/>
      </w:r>
    </w:p>
    <w:p w14:paraId="6696605A" w14:textId="77777777" w:rsidR="00924688" w:rsidRDefault="00924688" w:rsidP="00924688">
      <w:pPr>
        <w:jc w:val="center"/>
        <w:rPr>
          <w:rFonts w:ascii="Arial" w:hAnsi="Arial"/>
          <w:b/>
          <w:bCs/>
          <w:sz w:val="26"/>
          <w:szCs w:val="26"/>
          <w:rtl/>
        </w:rPr>
      </w:pPr>
      <w:r w:rsidRPr="000F2247">
        <w:rPr>
          <w:rFonts w:ascii="Arial" w:hAnsi="Arial"/>
          <w:b/>
          <w:bCs/>
          <w:sz w:val="26"/>
          <w:szCs w:val="26"/>
          <w:rtl/>
        </w:rPr>
        <w:tab/>
      </w:r>
    </w:p>
    <w:p w14:paraId="31FB59E7" w14:textId="77777777" w:rsidR="00924688" w:rsidRDefault="00924688" w:rsidP="00924688">
      <w:pPr>
        <w:jc w:val="center"/>
        <w:rPr>
          <w:rFonts w:ascii="Arial" w:hAnsi="Arial"/>
          <w:b/>
          <w:bCs/>
          <w:sz w:val="26"/>
          <w:szCs w:val="26"/>
          <w:rtl/>
        </w:rPr>
      </w:pPr>
    </w:p>
    <w:p w14:paraId="12B4BA67" w14:textId="77777777" w:rsidR="00924688" w:rsidRPr="000F2247" w:rsidRDefault="00924688" w:rsidP="006424BE">
      <w:pPr>
        <w:jc w:val="center"/>
      </w:pPr>
      <w:r w:rsidRPr="000F2247">
        <w:rPr>
          <w:rFonts w:ascii="Arial" w:hAnsi="Arial"/>
          <w:b/>
          <w:bCs/>
          <w:sz w:val="26"/>
          <w:szCs w:val="26"/>
          <w:rtl/>
        </w:rPr>
        <w:tab/>
      </w:r>
      <w:r w:rsidRPr="000F2247">
        <w:rPr>
          <w:rFonts w:ascii="Arial" w:hAnsi="Arial"/>
          <w:b/>
          <w:bCs/>
          <w:sz w:val="26"/>
          <w:szCs w:val="26"/>
          <w:rtl/>
        </w:rPr>
        <w:tab/>
      </w:r>
    </w:p>
    <w:p w14:paraId="3A5FBFD5" w14:textId="77777777" w:rsidR="00924688" w:rsidRPr="00FF7E53" w:rsidRDefault="00FF7E53" w:rsidP="00924688">
      <w:pPr>
        <w:jc w:val="center"/>
        <w:rPr>
          <w:rFonts w:ascii="Arial" w:hAnsi="Arial"/>
          <w:b/>
          <w:bCs/>
          <w:color w:val="FFFFFF"/>
          <w:sz w:val="2"/>
          <w:szCs w:val="2"/>
          <w:rtl/>
        </w:rPr>
      </w:pPr>
      <w:r w:rsidRPr="00FF7E53">
        <w:rPr>
          <w:rFonts w:ascii="Arial" w:hAnsi="Arial"/>
          <w:b/>
          <w:bCs/>
          <w:color w:val="FFFFFF"/>
          <w:sz w:val="2"/>
          <w:szCs w:val="2"/>
          <w:rtl/>
        </w:rPr>
        <w:t>5129371</w:t>
      </w:r>
    </w:p>
    <w:p w14:paraId="064F33FC" w14:textId="77777777" w:rsidR="00C923C1" w:rsidRPr="00FF7E53" w:rsidRDefault="00FF7E53" w:rsidP="006424BE">
      <w:pPr>
        <w:keepNext/>
        <w:rPr>
          <w:rFonts w:ascii="David" w:hAnsi="David"/>
          <w:color w:val="FFFFFF"/>
          <w:sz w:val="2"/>
          <w:szCs w:val="2"/>
          <w:rtl/>
        </w:rPr>
      </w:pPr>
      <w:r w:rsidRPr="00FF7E53">
        <w:rPr>
          <w:rFonts w:ascii="David" w:hAnsi="David"/>
          <w:color w:val="FFFFFF"/>
          <w:sz w:val="2"/>
          <w:szCs w:val="2"/>
          <w:rtl/>
        </w:rPr>
        <w:t>54678313</w:t>
      </w:r>
    </w:p>
    <w:p w14:paraId="278A09B7" w14:textId="77777777" w:rsidR="006424BE" w:rsidRDefault="006424BE" w:rsidP="006424BE">
      <w:pPr>
        <w:rPr>
          <w:rtl/>
        </w:rPr>
      </w:pPr>
    </w:p>
    <w:p w14:paraId="75A369AC" w14:textId="77777777" w:rsidR="006424BE" w:rsidRDefault="006424BE" w:rsidP="006424BE">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1919F488" w14:textId="77777777" w:rsidR="00FF7E53" w:rsidRPr="00FF7E53" w:rsidRDefault="00FF7E53" w:rsidP="00FF7E53">
      <w:pPr>
        <w:keepNext/>
        <w:rPr>
          <w:rFonts w:ascii="David" w:hAnsi="David"/>
          <w:color w:val="000000"/>
          <w:sz w:val="22"/>
          <w:szCs w:val="22"/>
          <w:rtl/>
        </w:rPr>
      </w:pPr>
    </w:p>
    <w:p w14:paraId="13C6C16D" w14:textId="77777777" w:rsidR="00FF7E53" w:rsidRPr="00FF7E53" w:rsidRDefault="00FF7E53" w:rsidP="00FF7E53">
      <w:pPr>
        <w:keepNext/>
        <w:rPr>
          <w:rFonts w:ascii="David" w:hAnsi="David"/>
          <w:color w:val="000000"/>
          <w:sz w:val="22"/>
          <w:szCs w:val="22"/>
          <w:rtl/>
        </w:rPr>
      </w:pPr>
      <w:r w:rsidRPr="00FF7E53">
        <w:rPr>
          <w:rFonts w:ascii="David" w:hAnsi="David"/>
          <w:color w:val="000000"/>
          <w:sz w:val="22"/>
          <w:szCs w:val="22"/>
          <w:rtl/>
        </w:rPr>
        <w:t>מרב גרינברג 54678313-/</w:t>
      </w:r>
    </w:p>
    <w:p w14:paraId="4AF73908" w14:textId="77777777" w:rsidR="006424BE" w:rsidRPr="006424BE" w:rsidRDefault="00FF7E53" w:rsidP="00FF7E53">
      <w:pPr>
        <w:rPr>
          <w:color w:val="0000FF"/>
          <w:u w:val="single"/>
        </w:rPr>
      </w:pPr>
      <w:r w:rsidRPr="00FF7E53">
        <w:rPr>
          <w:color w:val="000000"/>
          <w:u w:val="single"/>
          <w:rtl/>
        </w:rPr>
        <w:t>נוסח מסמך זה כפוף לשינויי ניסוח ועריכה</w:t>
      </w:r>
    </w:p>
    <w:sectPr w:rsidR="006424BE" w:rsidRPr="006424BE" w:rsidSect="00FF7E53">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F60F1" w14:textId="77777777" w:rsidR="00B0731A" w:rsidRDefault="00B0731A" w:rsidP="002E718C">
      <w:r>
        <w:separator/>
      </w:r>
    </w:p>
  </w:endnote>
  <w:endnote w:type="continuationSeparator" w:id="0">
    <w:p w14:paraId="42F100CC" w14:textId="77777777" w:rsidR="00B0731A" w:rsidRDefault="00B0731A" w:rsidP="002E7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FF092" w14:textId="77777777" w:rsidR="00FF7E53" w:rsidRDefault="00FF7E53" w:rsidP="00FF7E5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2BCEFD4" w14:textId="77777777" w:rsidR="00994986" w:rsidRPr="00FF7E53" w:rsidRDefault="00FF7E53" w:rsidP="00FF7E53">
    <w:pPr>
      <w:pStyle w:val="a5"/>
      <w:pBdr>
        <w:top w:val="single" w:sz="4" w:space="1" w:color="auto"/>
        <w:between w:val="single" w:sz="4" w:space="0" w:color="auto"/>
      </w:pBdr>
      <w:spacing w:after="60"/>
      <w:jc w:val="center"/>
      <w:rPr>
        <w:rFonts w:ascii="FrankRuehl" w:hAnsi="FrankRuehl" w:cs="FrankRuehl"/>
        <w:color w:val="000000"/>
      </w:rPr>
    </w:pPr>
    <w:r w:rsidRPr="00FF7E5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76152" w14:textId="77777777" w:rsidR="00FF7E53" w:rsidRDefault="00FF7E53" w:rsidP="00FF7E5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B396F">
      <w:rPr>
        <w:rFonts w:ascii="FrankRuehl" w:hAnsi="FrankRuehl" w:cs="FrankRuehl"/>
        <w:noProof/>
        <w:rtl/>
      </w:rPr>
      <w:t>1</w:t>
    </w:r>
    <w:r>
      <w:rPr>
        <w:rFonts w:ascii="FrankRuehl" w:hAnsi="FrankRuehl" w:cs="FrankRuehl"/>
        <w:rtl/>
      </w:rPr>
      <w:fldChar w:fldCharType="end"/>
    </w:r>
  </w:p>
  <w:p w14:paraId="487D4774" w14:textId="77777777" w:rsidR="00994986" w:rsidRPr="00FF7E53" w:rsidRDefault="00FF7E53" w:rsidP="00FF7E53">
    <w:pPr>
      <w:pStyle w:val="a5"/>
      <w:pBdr>
        <w:top w:val="single" w:sz="4" w:space="1" w:color="auto"/>
        <w:between w:val="single" w:sz="4" w:space="0" w:color="auto"/>
      </w:pBdr>
      <w:spacing w:after="60"/>
      <w:jc w:val="center"/>
      <w:rPr>
        <w:rFonts w:ascii="FrankRuehl" w:hAnsi="FrankRuehl" w:cs="FrankRuehl"/>
        <w:color w:val="000000"/>
      </w:rPr>
    </w:pPr>
    <w:r w:rsidRPr="00FF7E53">
      <w:rPr>
        <w:rFonts w:ascii="FrankRuehl" w:hAnsi="FrankRuehl" w:cs="FrankRuehl"/>
        <w:color w:val="000000"/>
      </w:rPr>
      <w:pict w14:anchorId="10A7A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C11F21" w14:textId="77777777" w:rsidR="00B0731A" w:rsidRDefault="00B0731A" w:rsidP="002E718C">
      <w:r>
        <w:separator/>
      </w:r>
    </w:p>
  </w:footnote>
  <w:footnote w:type="continuationSeparator" w:id="0">
    <w:p w14:paraId="6540E1A3" w14:textId="77777777" w:rsidR="00B0731A" w:rsidRDefault="00B0731A" w:rsidP="002E71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DAAFC" w14:textId="77777777" w:rsidR="006424BE" w:rsidRPr="00FF7E53" w:rsidRDefault="00FF7E53" w:rsidP="00FF7E5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63413-01-22</w:t>
    </w:r>
    <w:r>
      <w:rPr>
        <w:rFonts w:ascii="David" w:hAnsi="David"/>
        <w:color w:val="000000"/>
        <w:sz w:val="22"/>
        <w:szCs w:val="22"/>
        <w:rtl/>
      </w:rPr>
      <w:tab/>
      <w:t xml:space="preserve"> מדינת ישראל נ' רונן בנימוב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F5634" w14:textId="77777777" w:rsidR="006424BE" w:rsidRPr="00FF7E53" w:rsidRDefault="00FF7E53" w:rsidP="00FF7E5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63413-01-22</w:t>
    </w:r>
    <w:r>
      <w:rPr>
        <w:rFonts w:ascii="David" w:hAnsi="David"/>
        <w:color w:val="000000"/>
        <w:sz w:val="22"/>
        <w:szCs w:val="22"/>
        <w:rtl/>
      </w:rPr>
      <w:tab/>
      <w:t xml:space="preserve"> מדינת ישראל נ' רונן בנימוב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5758E1"/>
    <w:multiLevelType w:val="hybridMultilevel"/>
    <w:tmpl w:val="4B72C46C"/>
    <w:lvl w:ilvl="0" w:tplc="C34E12E6">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64F31114"/>
    <w:multiLevelType w:val="hybridMultilevel"/>
    <w:tmpl w:val="82709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399450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3777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24688"/>
    <w:rsid w:val="00086B9B"/>
    <w:rsid w:val="001B5A3B"/>
    <w:rsid w:val="002E718C"/>
    <w:rsid w:val="00523E41"/>
    <w:rsid w:val="006213BE"/>
    <w:rsid w:val="006424BE"/>
    <w:rsid w:val="006B396F"/>
    <w:rsid w:val="006E60DC"/>
    <w:rsid w:val="00827593"/>
    <w:rsid w:val="00924688"/>
    <w:rsid w:val="00994986"/>
    <w:rsid w:val="00B0731A"/>
    <w:rsid w:val="00C923C1"/>
    <w:rsid w:val="00D42831"/>
    <w:rsid w:val="00E35D08"/>
    <w:rsid w:val="00FF7E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49AD57F"/>
  <w15:chartTrackingRefBased/>
  <w15:docId w15:val="{C61C1311-36F1-4081-AE0F-9B98F7F4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2468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24688"/>
    <w:pPr>
      <w:tabs>
        <w:tab w:val="center" w:pos="4153"/>
        <w:tab w:val="right" w:pos="8306"/>
      </w:tabs>
    </w:pPr>
  </w:style>
  <w:style w:type="character" w:customStyle="1" w:styleId="a4">
    <w:name w:val="כותרת עליונה תו"/>
    <w:link w:val="a3"/>
    <w:rsid w:val="00924688"/>
    <w:rPr>
      <w:rFonts w:ascii="Times New Roman" w:eastAsia="Times New Roman" w:hAnsi="Times New Roman" w:cs="David"/>
      <w:sz w:val="24"/>
      <w:szCs w:val="24"/>
    </w:rPr>
  </w:style>
  <w:style w:type="paragraph" w:styleId="a5">
    <w:name w:val="footer"/>
    <w:basedOn w:val="a"/>
    <w:link w:val="a6"/>
    <w:rsid w:val="00924688"/>
    <w:pPr>
      <w:tabs>
        <w:tab w:val="center" w:pos="4153"/>
        <w:tab w:val="right" w:pos="8306"/>
      </w:tabs>
    </w:pPr>
  </w:style>
  <w:style w:type="character" w:customStyle="1" w:styleId="a6">
    <w:name w:val="כותרת תחתונה תו"/>
    <w:link w:val="a5"/>
    <w:rsid w:val="00924688"/>
    <w:rPr>
      <w:rFonts w:ascii="Times New Roman" w:eastAsia="Times New Roman" w:hAnsi="Times New Roman" w:cs="David"/>
      <w:sz w:val="24"/>
      <w:szCs w:val="24"/>
    </w:rPr>
  </w:style>
  <w:style w:type="table" w:styleId="a7">
    <w:name w:val="Table Grid"/>
    <w:basedOn w:val="a1"/>
    <w:rsid w:val="0092468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24688"/>
  </w:style>
  <w:style w:type="character" w:styleId="Hyperlink">
    <w:name w:val="Hyperlink"/>
    <w:rsid w:val="00924688"/>
    <w:rPr>
      <w:color w:val="0000FF"/>
      <w:u w:val="single"/>
    </w:rPr>
  </w:style>
  <w:style w:type="character" w:customStyle="1" w:styleId="a9">
    <w:name w:val="פיסקת רשימה תו"/>
    <w:link w:val="aa"/>
    <w:locked/>
    <w:rsid w:val="00924688"/>
    <w:rPr>
      <w:rFonts w:ascii="David" w:hAnsi="David" w:cs="David"/>
      <w:sz w:val="24"/>
      <w:szCs w:val="24"/>
    </w:rPr>
  </w:style>
  <w:style w:type="paragraph" w:styleId="aa">
    <w:name w:val="List Paragraph"/>
    <w:basedOn w:val="a"/>
    <w:link w:val="a9"/>
    <w:qFormat/>
    <w:rsid w:val="00924688"/>
    <w:pPr>
      <w:ind w:left="720"/>
      <w:contextualSpacing/>
    </w:pPr>
    <w:rPr>
      <w:rFonts w:ascii="David" w:eastAsia="Calibri"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a" TargetMode="External"/><Relationship Id="rId18" Type="http://schemas.openxmlformats.org/officeDocument/2006/relationships/hyperlink" Target="http://www.nevo.co.il/case/5598765" TargetMode="External"/><Relationship Id="rId26" Type="http://schemas.openxmlformats.org/officeDocument/2006/relationships/hyperlink" Target="http://www.nevo.co.il/case/23268278" TargetMode="External"/><Relationship Id="rId3" Type="http://schemas.openxmlformats.org/officeDocument/2006/relationships/settings" Target="settings.xml"/><Relationship Id="rId21" Type="http://schemas.openxmlformats.org/officeDocument/2006/relationships/hyperlink" Target="http://www.nevo.co.il/case/22935094"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4216/13" TargetMode="External"/><Relationship Id="rId17" Type="http://schemas.openxmlformats.org/officeDocument/2006/relationships/hyperlink" Target="http://www.nevo.co.il/case/26246488" TargetMode="External"/><Relationship Id="rId25" Type="http://schemas.openxmlformats.org/officeDocument/2006/relationships/hyperlink" Target="http://www.nevo.co.il/case/22977983"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0131420" TargetMode="External"/><Relationship Id="rId20" Type="http://schemas.openxmlformats.org/officeDocument/2006/relationships/hyperlink" Target="http://www.nevo.co.il/case/25535302"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case/22273874"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7742715" TargetMode="External"/><Relationship Id="rId23" Type="http://schemas.openxmlformats.org/officeDocument/2006/relationships/hyperlink" Target="http://www.nevo.co.il/case/20934799" TargetMode="External"/><Relationship Id="rId28" Type="http://schemas.openxmlformats.org/officeDocument/2006/relationships/hyperlink" Target="http://www.nevo.co.il/case/26511819"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40i"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3580083" TargetMode="External"/><Relationship Id="rId27" Type="http://schemas.openxmlformats.org/officeDocument/2006/relationships/hyperlink" Target="http://www.nevo.co.il/case/23832876"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1752</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10495</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3604603</vt:i4>
      </vt:variant>
      <vt:variant>
        <vt:i4>63</vt:i4>
      </vt:variant>
      <vt:variant>
        <vt:i4>0</vt:i4>
      </vt:variant>
      <vt:variant>
        <vt:i4>5</vt:i4>
      </vt:variant>
      <vt:variant>
        <vt:lpwstr>http://www.nevo.co.il/case/26511819</vt:lpwstr>
      </vt:variant>
      <vt:variant>
        <vt:lpwstr/>
      </vt:variant>
      <vt:variant>
        <vt:i4>4128892</vt:i4>
      </vt:variant>
      <vt:variant>
        <vt:i4>60</vt:i4>
      </vt:variant>
      <vt:variant>
        <vt:i4>0</vt:i4>
      </vt:variant>
      <vt:variant>
        <vt:i4>5</vt:i4>
      </vt:variant>
      <vt:variant>
        <vt:lpwstr>http://www.nevo.co.il/case/23832876</vt:lpwstr>
      </vt:variant>
      <vt:variant>
        <vt:lpwstr/>
      </vt:variant>
      <vt:variant>
        <vt:i4>4128883</vt:i4>
      </vt:variant>
      <vt:variant>
        <vt:i4>57</vt:i4>
      </vt:variant>
      <vt:variant>
        <vt:i4>0</vt:i4>
      </vt:variant>
      <vt:variant>
        <vt:i4>5</vt:i4>
      </vt:variant>
      <vt:variant>
        <vt:lpwstr>http://www.nevo.co.il/case/23268278</vt:lpwstr>
      </vt:variant>
      <vt:variant>
        <vt:lpwstr/>
      </vt:variant>
      <vt:variant>
        <vt:i4>3407992</vt:i4>
      </vt:variant>
      <vt:variant>
        <vt:i4>54</vt:i4>
      </vt:variant>
      <vt:variant>
        <vt:i4>0</vt:i4>
      </vt:variant>
      <vt:variant>
        <vt:i4>5</vt:i4>
      </vt:variant>
      <vt:variant>
        <vt:lpwstr>http://www.nevo.co.il/case/22977983</vt:lpwstr>
      </vt:variant>
      <vt:variant>
        <vt:lpwstr/>
      </vt:variant>
      <vt:variant>
        <vt:i4>3407993</vt:i4>
      </vt:variant>
      <vt:variant>
        <vt:i4>51</vt:i4>
      </vt:variant>
      <vt:variant>
        <vt:i4>0</vt:i4>
      </vt:variant>
      <vt:variant>
        <vt:i4>5</vt:i4>
      </vt:variant>
      <vt:variant>
        <vt:lpwstr>http://www.nevo.co.il/case/22273874</vt:lpwstr>
      </vt:variant>
      <vt:variant>
        <vt:lpwstr/>
      </vt:variant>
      <vt:variant>
        <vt:i4>3539056</vt:i4>
      </vt:variant>
      <vt:variant>
        <vt:i4>48</vt:i4>
      </vt:variant>
      <vt:variant>
        <vt:i4>0</vt:i4>
      </vt:variant>
      <vt:variant>
        <vt:i4>5</vt:i4>
      </vt:variant>
      <vt:variant>
        <vt:lpwstr>http://www.nevo.co.il/case/20934799</vt:lpwstr>
      </vt:variant>
      <vt:variant>
        <vt:lpwstr/>
      </vt:variant>
      <vt:variant>
        <vt:i4>4128895</vt:i4>
      </vt:variant>
      <vt:variant>
        <vt:i4>45</vt:i4>
      </vt:variant>
      <vt:variant>
        <vt:i4>0</vt:i4>
      </vt:variant>
      <vt:variant>
        <vt:i4>5</vt:i4>
      </vt:variant>
      <vt:variant>
        <vt:lpwstr>http://www.nevo.co.il/case/23580083</vt:lpwstr>
      </vt:variant>
      <vt:variant>
        <vt:lpwstr/>
      </vt:variant>
      <vt:variant>
        <vt:i4>3604597</vt:i4>
      </vt:variant>
      <vt:variant>
        <vt:i4>42</vt:i4>
      </vt:variant>
      <vt:variant>
        <vt:i4>0</vt:i4>
      </vt:variant>
      <vt:variant>
        <vt:i4>5</vt:i4>
      </vt:variant>
      <vt:variant>
        <vt:lpwstr>http://www.nevo.co.il/case/22935094</vt:lpwstr>
      </vt:variant>
      <vt:variant>
        <vt:lpwstr/>
      </vt:variant>
      <vt:variant>
        <vt:i4>3276913</vt:i4>
      </vt:variant>
      <vt:variant>
        <vt:i4>39</vt:i4>
      </vt:variant>
      <vt:variant>
        <vt:i4>0</vt:i4>
      </vt:variant>
      <vt:variant>
        <vt:i4>5</vt:i4>
      </vt:variant>
      <vt:variant>
        <vt:lpwstr>http://www.nevo.co.il/case/25535302</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4063359</vt:i4>
      </vt:variant>
      <vt:variant>
        <vt:i4>33</vt:i4>
      </vt:variant>
      <vt:variant>
        <vt:i4>0</vt:i4>
      </vt:variant>
      <vt:variant>
        <vt:i4>5</vt:i4>
      </vt:variant>
      <vt:variant>
        <vt:lpwstr>http://www.nevo.co.il/case/5598765</vt:lpwstr>
      </vt:variant>
      <vt:variant>
        <vt:lpwstr/>
      </vt:variant>
      <vt:variant>
        <vt:i4>4063346</vt:i4>
      </vt:variant>
      <vt:variant>
        <vt:i4>30</vt:i4>
      </vt:variant>
      <vt:variant>
        <vt:i4>0</vt:i4>
      </vt:variant>
      <vt:variant>
        <vt:i4>5</vt:i4>
      </vt:variant>
      <vt:variant>
        <vt:lpwstr>http://www.nevo.co.il/case/26246488</vt:lpwstr>
      </vt:variant>
      <vt:variant>
        <vt:lpwstr/>
      </vt:variant>
      <vt:variant>
        <vt:i4>3145843</vt:i4>
      </vt:variant>
      <vt:variant>
        <vt:i4>27</vt:i4>
      </vt:variant>
      <vt:variant>
        <vt:i4>0</vt:i4>
      </vt:variant>
      <vt:variant>
        <vt:i4>5</vt:i4>
      </vt:variant>
      <vt:variant>
        <vt:lpwstr>http://www.nevo.co.il/case/20131420</vt:lpwstr>
      </vt:variant>
      <vt:variant>
        <vt:lpwstr/>
      </vt:variant>
      <vt:variant>
        <vt:i4>3539056</vt:i4>
      </vt:variant>
      <vt:variant>
        <vt:i4>24</vt:i4>
      </vt:variant>
      <vt:variant>
        <vt:i4>0</vt:i4>
      </vt:variant>
      <vt:variant>
        <vt:i4>5</vt:i4>
      </vt:variant>
      <vt:variant>
        <vt:lpwstr>http://www.nevo.co.il/case/27742715</vt:lpwstr>
      </vt:variant>
      <vt:variant>
        <vt:lpwstr/>
      </vt:variant>
      <vt:variant>
        <vt:i4>8257637</vt:i4>
      </vt:variant>
      <vt:variant>
        <vt:i4>21</vt:i4>
      </vt:variant>
      <vt:variant>
        <vt:i4>0</vt:i4>
      </vt:variant>
      <vt:variant>
        <vt:i4>5</vt:i4>
      </vt:variant>
      <vt:variant>
        <vt:lpwstr>http://www.nevo.co.il/law/4216</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2025-04-22T21:18:00Z</dcterms:created>
  <dcterms:modified xsi:type="dcterms:W3CDTF">2025-04-22T21:18:00Z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63413</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רונן בנימוב</vt:lpwstr>
  </property>
  <property fmtid="{D5CDD505-2E9C-101B-9397-08002B2CF9AE}" pid="10" name="LAWYER">
    <vt:lpwstr>דודי ענבר;עמית שלף;שרון רבינוביץ</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20230910</vt:lpwstr>
  </property>
  <property fmtid="{D5CDD505-2E9C-101B-9397-08002B2CF9AE}" pid="14" name="GUSHSUB1">
    <vt:lpwstr>26</vt:lpwstr>
  </property>
  <property fmtid="{D5CDD505-2E9C-101B-9397-08002B2CF9AE}" pid="15" name="TYPE_N_DATE">
    <vt:lpwstr>39020230910</vt:lpwstr>
  </property>
  <property fmtid="{D5CDD505-2E9C-101B-9397-08002B2CF9AE}" pid="16" name="WORDNUMPAGES">
    <vt:lpwstr>6</vt:lpwstr>
  </property>
  <property fmtid="{D5CDD505-2E9C-101B-9397-08002B2CF9AE}" pid="17" name="TYPE_ABS_DATE">
    <vt:lpwstr>390020230910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CASESLISTTMP1">
    <vt:lpwstr>27742715;20131420;26246488;5598765;25535302;22935094;23580083;20934799;22273874;22977983;23268278;23832876;26511819</vt:lpwstr>
  </property>
  <property fmtid="{D5CDD505-2E9C-101B-9397-08002B2CF9AE}" pid="37" name="LAWLISTTMP1">
    <vt:lpwstr>4216/013;019a</vt:lpwstr>
  </property>
  <property fmtid="{D5CDD505-2E9C-101B-9397-08002B2CF9AE}" pid="38" name="LAWLISTTMP2">
    <vt:lpwstr>70301/040i</vt:lpwstr>
  </property>
</Properties>
</file>