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177680" w:rsidRPr="00F473A7" w14:paraId="385AD40E" w14:textId="77777777" w:rsidTr="000D2708">
        <w:trPr>
          <w:trHeight w:hRule="exact" w:val="704"/>
          <w:jc w:val="center"/>
        </w:trPr>
        <w:tc>
          <w:tcPr>
            <w:tcW w:w="8523" w:type="dxa"/>
          </w:tcPr>
          <w:p w14:paraId="2E240EDC" w14:textId="77777777" w:rsidR="00177680" w:rsidRPr="00F473A7" w:rsidRDefault="00177680" w:rsidP="007E37B6">
            <w:pPr>
              <w:pStyle w:val="a3"/>
              <w:jc w:val="center"/>
              <w:rPr>
                <w:rFonts w:ascii="Tahoma" w:hAnsi="Tahoma"/>
                <w:noProof w:val="0"/>
                <w:color w:val="000080"/>
                <w:sz w:val="32"/>
                <w:szCs w:val="32"/>
                <w:rtl/>
              </w:rPr>
            </w:pPr>
            <w:bookmarkStart w:id="0" w:name="FirstLawyer"/>
            <w:bookmarkStart w:id="1" w:name="LastJudge"/>
            <w:r w:rsidRPr="00F473A7">
              <w:rPr>
                <w:rFonts w:ascii="Tahoma" w:hAnsi="Tahoma"/>
                <w:color w:val="000080"/>
                <w:sz w:val="32"/>
                <w:szCs w:val="32"/>
                <w:rtl/>
              </w:rPr>
              <w:t>בית המשפט המחוזי בבאר שבע</w:t>
            </w:r>
          </w:p>
        </w:tc>
      </w:tr>
      <w:tr w:rsidR="00177680" w:rsidRPr="00F473A7" w14:paraId="7432FC23" w14:textId="77777777" w:rsidTr="000D2708">
        <w:trPr>
          <w:trHeight w:val="337"/>
          <w:jc w:val="center"/>
        </w:trPr>
        <w:tc>
          <w:tcPr>
            <w:tcW w:w="8523" w:type="dxa"/>
          </w:tcPr>
          <w:p w14:paraId="0F85F787" w14:textId="77777777" w:rsidR="00177680" w:rsidRPr="00F473A7" w:rsidRDefault="00177680" w:rsidP="007E37B6">
            <w:pPr>
              <w:rPr>
                <w:b/>
                <w:bCs/>
                <w:noProof w:val="0"/>
                <w:sz w:val="26"/>
                <w:szCs w:val="26"/>
                <w:rtl/>
              </w:rPr>
            </w:pPr>
            <w:r w:rsidRPr="00F473A7">
              <w:rPr>
                <w:b/>
                <w:bCs/>
                <w:noProof w:val="0"/>
                <w:sz w:val="26"/>
                <w:szCs w:val="26"/>
                <w:rtl/>
              </w:rPr>
              <w:t>ת"פ 61202-03-22 מדינת ישראל נ' SAEHER(עציר)</w:t>
            </w:r>
          </w:p>
          <w:p w14:paraId="2175B2BD" w14:textId="77777777" w:rsidR="00177680" w:rsidRPr="00F473A7" w:rsidRDefault="00177680" w:rsidP="007E37B6">
            <w:pPr>
              <w:rPr>
                <w:b/>
                <w:bCs/>
                <w:noProof w:val="0"/>
                <w:sz w:val="2"/>
                <w:szCs w:val="2"/>
                <w:rtl/>
              </w:rPr>
            </w:pPr>
          </w:p>
          <w:p w14:paraId="3B56B515" w14:textId="77777777" w:rsidR="00177680" w:rsidRPr="00F473A7" w:rsidRDefault="00177680" w:rsidP="007E37B6">
            <w:pPr>
              <w:rPr>
                <w:sz w:val="20"/>
                <w:szCs w:val="20"/>
                <w:rtl/>
              </w:rPr>
            </w:pPr>
            <w:r w:rsidRPr="00F473A7">
              <w:rPr>
                <w:rFonts w:hint="cs"/>
                <w:rtl/>
              </w:rPr>
              <w:t xml:space="preserve">                           </w:t>
            </w:r>
            <w:r w:rsidRPr="00F473A7">
              <w:rPr>
                <w:rFonts w:hint="cs"/>
                <w:sz w:val="20"/>
                <w:szCs w:val="20"/>
                <w:rtl/>
              </w:rPr>
              <w:t xml:space="preserve">                                       </w:t>
            </w:r>
          </w:p>
          <w:p w14:paraId="086DB7DB" w14:textId="77777777" w:rsidR="00177680" w:rsidRPr="00F473A7" w:rsidRDefault="00177680" w:rsidP="007E37B6">
            <w:pPr>
              <w:rPr>
                <w:sz w:val="20"/>
                <w:szCs w:val="20"/>
                <w:rtl/>
              </w:rPr>
            </w:pPr>
            <w:r w:rsidRPr="00F473A7">
              <w:rPr>
                <w:rFonts w:hint="cs"/>
                <w:sz w:val="20"/>
                <w:szCs w:val="20"/>
                <w:rtl/>
              </w:rPr>
              <w:t xml:space="preserve">תיק חיצוני: </w:t>
            </w:r>
            <w:r w:rsidRPr="00F473A7">
              <w:rPr>
                <w:rFonts w:hint="eastAsia"/>
                <w:sz w:val="20"/>
                <w:szCs w:val="20"/>
              </w:rPr>
              <w:t>1594/2022</w:t>
            </w:r>
            <w:r w:rsidRPr="00F473A7">
              <w:rPr>
                <w:rFonts w:hint="cs"/>
                <w:sz w:val="20"/>
                <w:szCs w:val="20"/>
                <w:rtl/>
              </w:rPr>
              <w:t xml:space="preserve"> </w:t>
            </w:r>
            <w:r w:rsidRPr="00F473A7">
              <w:rPr>
                <w:sz w:val="20"/>
                <w:szCs w:val="20"/>
                <w:rtl/>
              </w:rPr>
              <w:t xml:space="preserve">  </w:t>
            </w:r>
          </w:p>
        </w:tc>
      </w:tr>
    </w:tbl>
    <w:p w14:paraId="62FFB1AA" w14:textId="77777777" w:rsidR="00177680" w:rsidRPr="00F473A7" w:rsidRDefault="00177680" w:rsidP="000D2708">
      <w:pPr>
        <w:pStyle w:val="a3"/>
        <w:rPr>
          <w:rtl/>
        </w:rPr>
      </w:pPr>
      <w:r w:rsidRPr="00F473A7">
        <w:rPr>
          <w:noProof w:val="0"/>
          <w:rtl/>
        </w:rPr>
        <w:t xml:space="preserve"> </w:t>
      </w:r>
    </w:p>
    <w:p w14:paraId="064FB6C8" w14:textId="77777777" w:rsidR="00177680" w:rsidRPr="00F473A7" w:rsidRDefault="00177680" w:rsidP="00177680">
      <w:pPr>
        <w:suppressLineNumbers/>
      </w:pPr>
    </w:p>
    <w:tbl>
      <w:tblPr>
        <w:bidiVisual/>
        <w:tblW w:w="8820" w:type="dxa"/>
        <w:jc w:val="center"/>
        <w:tblLook w:val="01E0" w:firstRow="1" w:lastRow="1" w:firstColumn="1" w:lastColumn="1" w:noHBand="0" w:noVBand="0"/>
      </w:tblPr>
      <w:tblGrid>
        <w:gridCol w:w="743"/>
        <w:gridCol w:w="2506"/>
        <w:gridCol w:w="5571"/>
      </w:tblGrid>
      <w:tr w:rsidR="00177680" w:rsidRPr="00F473A7" w14:paraId="328CFFD5" w14:textId="77777777" w:rsidTr="00177680">
        <w:trPr>
          <w:jc w:val="center"/>
        </w:trPr>
        <w:tc>
          <w:tcPr>
            <w:tcW w:w="743" w:type="dxa"/>
            <w:shd w:val="clear" w:color="auto" w:fill="auto"/>
          </w:tcPr>
          <w:p w14:paraId="3B23B8F9" w14:textId="77777777" w:rsidR="00177680" w:rsidRPr="00F473A7" w:rsidRDefault="00177680" w:rsidP="00177680">
            <w:pPr>
              <w:suppressLineNumbers/>
              <w:jc w:val="both"/>
              <w:rPr>
                <w:rFonts w:ascii="David" w:hAnsi="David"/>
                <w:b/>
                <w:bCs/>
                <w:rtl/>
              </w:rPr>
            </w:pPr>
            <w:r w:rsidRPr="00F473A7">
              <w:rPr>
                <w:rFonts w:ascii="David" w:hAnsi="David"/>
                <w:b/>
                <w:bCs/>
                <w:rtl/>
              </w:rPr>
              <w:t xml:space="preserve">בפני </w:t>
            </w:r>
          </w:p>
        </w:tc>
        <w:tc>
          <w:tcPr>
            <w:tcW w:w="8077" w:type="dxa"/>
            <w:gridSpan w:val="2"/>
            <w:shd w:val="clear" w:color="auto" w:fill="auto"/>
          </w:tcPr>
          <w:p w14:paraId="647C09A3" w14:textId="77777777" w:rsidR="00177680" w:rsidRPr="00F473A7" w:rsidRDefault="00177680" w:rsidP="00177680">
            <w:pPr>
              <w:suppressLineNumbers/>
              <w:rPr>
                <w:rFonts w:ascii="David" w:hAnsi="David"/>
                <w:b/>
                <w:bCs/>
                <w:rtl/>
              </w:rPr>
            </w:pPr>
            <w:r w:rsidRPr="00F473A7">
              <w:rPr>
                <w:rFonts w:ascii="David" w:hAnsi="David"/>
                <w:b/>
                <w:bCs/>
                <w:rtl/>
              </w:rPr>
              <w:t>כבוד השופט יובל ליבדרו</w:t>
            </w:r>
          </w:p>
          <w:p w14:paraId="058AA29C" w14:textId="77777777" w:rsidR="00177680" w:rsidRPr="00F473A7" w:rsidRDefault="00177680" w:rsidP="00177680">
            <w:pPr>
              <w:suppressLineNumbers/>
              <w:rPr>
                <w:rFonts w:ascii="David" w:hAnsi="David"/>
                <w:sz w:val="28"/>
                <w:szCs w:val="28"/>
                <w:highlight w:val="yellow"/>
                <w:rtl/>
              </w:rPr>
            </w:pPr>
          </w:p>
        </w:tc>
      </w:tr>
      <w:tr w:rsidR="00177680" w:rsidRPr="00F473A7" w14:paraId="6AD2041A" w14:textId="77777777" w:rsidTr="00177680">
        <w:trPr>
          <w:jc w:val="center"/>
        </w:trPr>
        <w:tc>
          <w:tcPr>
            <w:tcW w:w="3249" w:type="dxa"/>
            <w:gridSpan w:val="2"/>
            <w:shd w:val="clear" w:color="auto" w:fill="auto"/>
          </w:tcPr>
          <w:p w14:paraId="663F5AF4" w14:textId="77777777" w:rsidR="00177680" w:rsidRPr="00F473A7" w:rsidRDefault="00177680" w:rsidP="00177680">
            <w:pPr>
              <w:suppressLineNumbers/>
              <w:rPr>
                <w:rFonts w:ascii="David" w:hAnsi="David"/>
                <w:b/>
                <w:bCs/>
                <w:noProof w:val="0"/>
                <w:sz w:val="26"/>
                <w:szCs w:val="26"/>
              </w:rPr>
            </w:pPr>
            <w:bookmarkStart w:id="2" w:name="FirstAppellant"/>
          </w:p>
          <w:p w14:paraId="279134E8" w14:textId="77777777" w:rsidR="00177680" w:rsidRPr="00F473A7" w:rsidRDefault="00177680" w:rsidP="00177680">
            <w:pPr>
              <w:suppressLineNumbers/>
              <w:rPr>
                <w:rFonts w:ascii="David" w:hAnsi="David"/>
                <w:b/>
                <w:bCs/>
                <w:noProof w:val="0"/>
                <w:sz w:val="26"/>
                <w:szCs w:val="26"/>
              </w:rPr>
            </w:pPr>
            <w:r w:rsidRPr="00F473A7">
              <w:rPr>
                <w:rFonts w:ascii="David" w:hAnsi="David"/>
                <w:b/>
                <w:bCs/>
                <w:noProof w:val="0"/>
                <w:sz w:val="26"/>
                <w:szCs w:val="26"/>
                <w:rtl/>
              </w:rPr>
              <w:t>המאשימה:</w:t>
            </w:r>
          </w:p>
        </w:tc>
        <w:tc>
          <w:tcPr>
            <w:tcW w:w="5571" w:type="dxa"/>
            <w:shd w:val="clear" w:color="auto" w:fill="auto"/>
          </w:tcPr>
          <w:p w14:paraId="08A78233" w14:textId="77777777" w:rsidR="00177680" w:rsidRPr="00F473A7" w:rsidRDefault="00177680" w:rsidP="00177680">
            <w:pPr>
              <w:suppressLineNumbers/>
              <w:rPr>
                <w:rFonts w:ascii="David" w:hAnsi="David"/>
                <w:b/>
                <w:bCs/>
                <w:noProof w:val="0"/>
                <w:sz w:val="26"/>
                <w:szCs w:val="26"/>
                <w:rtl/>
              </w:rPr>
            </w:pPr>
          </w:p>
          <w:p w14:paraId="1D3A90CF" w14:textId="77777777" w:rsidR="00177680" w:rsidRPr="00F473A7" w:rsidRDefault="00177680" w:rsidP="00177680">
            <w:pPr>
              <w:suppressLineNumbers/>
              <w:rPr>
                <w:rFonts w:ascii="David" w:hAnsi="David"/>
                <w:b/>
                <w:bCs/>
                <w:noProof w:val="0"/>
                <w:sz w:val="26"/>
                <w:szCs w:val="26"/>
                <w:rtl/>
              </w:rPr>
            </w:pPr>
            <w:r w:rsidRPr="00F473A7">
              <w:rPr>
                <w:rFonts w:ascii="David" w:hAnsi="David"/>
                <w:b/>
                <w:bCs/>
                <w:noProof w:val="0"/>
                <w:sz w:val="26"/>
                <w:szCs w:val="26"/>
                <w:rtl/>
              </w:rPr>
              <w:t>מדינת ישראל</w:t>
            </w:r>
            <w:r w:rsidRPr="00F473A7">
              <w:rPr>
                <w:rFonts w:ascii="David" w:hAnsi="David"/>
                <w:b/>
                <w:bCs/>
                <w:rtl/>
              </w:rPr>
              <w:t>-פמ"ד</w:t>
            </w:r>
            <w:r w:rsidRPr="00F473A7">
              <w:rPr>
                <w:rFonts w:ascii="David" w:hAnsi="David"/>
                <w:b/>
                <w:bCs/>
                <w:rtl/>
              </w:rPr>
              <w:br/>
              <w:t>ע"י ב"כ עו"ד שאול ציון</w:t>
            </w:r>
          </w:p>
        </w:tc>
      </w:tr>
      <w:bookmarkEnd w:id="2"/>
      <w:tr w:rsidR="00177680" w:rsidRPr="00F473A7" w14:paraId="555E1751" w14:textId="77777777" w:rsidTr="00177680">
        <w:trPr>
          <w:jc w:val="center"/>
        </w:trPr>
        <w:tc>
          <w:tcPr>
            <w:tcW w:w="8820" w:type="dxa"/>
            <w:gridSpan w:val="3"/>
            <w:shd w:val="clear" w:color="auto" w:fill="auto"/>
          </w:tcPr>
          <w:p w14:paraId="15F44E69" w14:textId="77777777" w:rsidR="00177680" w:rsidRPr="00F473A7" w:rsidRDefault="00177680" w:rsidP="00177680">
            <w:pPr>
              <w:suppressLineNumbers/>
              <w:rPr>
                <w:rFonts w:ascii="David" w:hAnsi="David"/>
                <w:b/>
                <w:bCs/>
                <w:noProof w:val="0"/>
                <w:sz w:val="26"/>
                <w:szCs w:val="26"/>
              </w:rPr>
            </w:pPr>
          </w:p>
          <w:p w14:paraId="5870DA73" w14:textId="77777777" w:rsidR="00177680" w:rsidRPr="00F473A7" w:rsidRDefault="00177680" w:rsidP="00177680">
            <w:pPr>
              <w:suppressLineNumbers/>
              <w:jc w:val="center"/>
              <w:rPr>
                <w:rFonts w:ascii="David" w:hAnsi="David"/>
                <w:b/>
                <w:bCs/>
                <w:noProof w:val="0"/>
                <w:sz w:val="26"/>
                <w:szCs w:val="26"/>
                <w:rtl/>
              </w:rPr>
            </w:pPr>
            <w:r w:rsidRPr="00F473A7">
              <w:rPr>
                <w:rFonts w:ascii="David" w:hAnsi="David"/>
                <w:b/>
                <w:bCs/>
                <w:noProof w:val="0"/>
                <w:sz w:val="26"/>
                <w:szCs w:val="26"/>
                <w:rtl/>
              </w:rPr>
              <w:t>נגד</w:t>
            </w:r>
          </w:p>
          <w:p w14:paraId="7C79527A" w14:textId="77777777" w:rsidR="00177680" w:rsidRPr="00F473A7" w:rsidRDefault="00177680" w:rsidP="00177680">
            <w:pPr>
              <w:suppressLineNumbers/>
              <w:rPr>
                <w:rFonts w:ascii="David" w:hAnsi="David"/>
                <w:b/>
                <w:bCs/>
                <w:noProof w:val="0"/>
                <w:sz w:val="26"/>
                <w:szCs w:val="26"/>
                <w:rtl/>
              </w:rPr>
            </w:pPr>
          </w:p>
        </w:tc>
      </w:tr>
      <w:tr w:rsidR="00177680" w:rsidRPr="00F473A7" w14:paraId="7AD77FE9" w14:textId="77777777" w:rsidTr="00177680">
        <w:trPr>
          <w:jc w:val="center"/>
        </w:trPr>
        <w:tc>
          <w:tcPr>
            <w:tcW w:w="3249" w:type="dxa"/>
            <w:gridSpan w:val="2"/>
            <w:shd w:val="clear" w:color="auto" w:fill="auto"/>
          </w:tcPr>
          <w:p w14:paraId="15B16827" w14:textId="77777777" w:rsidR="00177680" w:rsidRPr="00F473A7" w:rsidRDefault="00177680" w:rsidP="00177680">
            <w:pPr>
              <w:suppressLineNumbers/>
              <w:rPr>
                <w:rFonts w:ascii="David" w:hAnsi="David"/>
                <w:b/>
                <w:bCs/>
                <w:noProof w:val="0"/>
                <w:sz w:val="26"/>
                <w:szCs w:val="26"/>
              </w:rPr>
            </w:pPr>
            <w:r w:rsidRPr="00F473A7">
              <w:rPr>
                <w:rFonts w:ascii="David" w:hAnsi="David"/>
                <w:b/>
                <w:bCs/>
                <w:noProof w:val="0"/>
                <w:sz w:val="26"/>
                <w:szCs w:val="26"/>
                <w:rtl/>
              </w:rPr>
              <w:t>הנאשם:</w:t>
            </w:r>
          </w:p>
        </w:tc>
        <w:tc>
          <w:tcPr>
            <w:tcW w:w="5571" w:type="dxa"/>
            <w:shd w:val="clear" w:color="auto" w:fill="auto"/>
          </w:tcPr>
          <w:p w14:paraId="51F55EF5" w14:textId="77777777" w:rsidR="00177680" w:rsidRPr="00F473A7" w:rsidRDefault="00177680" w:rsidP="00177680">
            <w:pPr>
              <w:suppressLineNumbers/>
              <w:rPr>
                <w:rFonts w:ascii="David" w:hAnsi="David"/>
                <w:b/>
                <w:bCs/>
              </w:rPr>
            </w:pPr>
            <w:r w:rsidRPr="00F473A7">
              <w:rPr>
                <w:rFonts w:ascii="David" w:hAnsi="David"/>
                <w:b/>
                <w:bCs/>
                <w:noProof w:val="0"/>
                <w:sz w:val="26"/>
                <w:szCs w:val="26"/>
              </w:rPr>
              <w:t>NITISAK</w:t>
            </w:r>
            <w:r w:rsidRPr="00F473A7">
              <w:rPr>
                <w:rFonts w:ascii="David" w:hAnsi="David"/>
                <w:b/>
                <w:bCs/>
                <w:noProof w:val="0"/>
                <w:sz w:val="26"/>
                <w:szCs w:val="26"/>
                <w:rtl/>
              </w:rPr>
              <w:t xml:space="preserve"> </w:t>
            </w:r>
            <w:r w:rsidRPr="00F473A7">
              <w:rPr>
                <w:rFonts w:ascii="David" w:hAnsi="David"/>
                <w:b/>
                <w:bCs/>
                <w:noProof w:val="0"/>
                <w:sz w:val="26"/>
                <w:szCs w:val="26"/>
              </w:rPr>
              <w:t>SAEHER</w:t>
            </w:r>
            <w:r w:rsidRPr="00F473A7">
              <w:rPr>
                <w:rFonts w:ascii="David" w:hAnsi="David"/>
                <w:b/>
                <w:bCs/>
                <w:noProof w:val="0"/>
                <w:sz w:val="26"/>
                <w:szCs w:val="26"/>
                <w:rtl/>
              </w:rPr>
              <w:t xml:space="preserve"> </w:t>
            </w:r>
            <w:r w:rsidRPr="00F473A7">
              <w:rPr>
                <w:rFonts w:ascii="David" w:hAnsi="David"/>
                <w:b/>
                <w:bCs/>
                <w:rtl/>
              </w:rPr>
              <w:t>-בעצמו</w:t>
            </w:r>
            <w:r w:rsidRPr="00F473A7">
              <w:rPr>
                <w:rFonts w:ascii="David" w:hAnsi="David"/>
                <w:b/>
                <w:bCs/>
                <w:rtl/>
              </w:rPr>
              <w:br/>
              <w:t>ע"י ב"כ עו"ד נועם בונדר</w:t>
            </w:r>
          </w:p>
          <w:p w14:paraId="4D48BF16" w14:textId="77777777" w:rsidR="00177680" w:rsidRPr="00F473A7" w:rsidRDefault="00177680" w:rsidP="00177680">
            <w:pPr>
              <w:suppressLineNumbers/>
              <w:rPr>
                <w:rFonts w:ascii="David" w:hAnsi="David"/>
                <w:b/>
                <w:bCs/>
                <w:noProof w:val="0"/>
                <w:sz w:val="26"/>
                <w:szCs w:val="26"/>
                <w:rtl/>
              </w:rPr>
            </w:pPr>
          </w:p>
        </w:tc>
      </w:tr>
    </w:tbl>
    <w:p w14:paraId="38531471" w14:textId="77777777" w:rsidR="000D2708" w:rsidRDefault="000D2708" w:rsidP="00F473A7">
      <w:pPr>
        <w:jc w:val="center"/>
        <w:rPr>
          <w:rFonts w:ascii="Arial" w:hAnsi="Arial"/>
          <w:noProof w:val="0"/>
          <w:sz w:val="28"/>
          <w:szCs w:val="28"/>
          <w:rtl/>
        </w:rPr>
      </w:pPr>
    </w:p>
    <w:p w14:paraId="66440432" w14:textId="77777777" w:rsidR="000D2708" w:rsidRPr="000D2708" w:rsidRDefault="000D2708" w:rsidP="000D2708">
      <w:pPr>
        <w:spacing w:after="120" w:line="240" w:lineRule="exact"/>
        <w:ind w:left="283" w:hanging="283"/>
        <w:jc w:val="both"/>
        <w:rPr>
          <w:rFonts w:ascii="FrankRuehl" w:hAnsi="FrankRuehl" w:cs="FrankRuehl"/>
          <w:noProof w:val="0"/>
          <w:rtl/>
        </w:rPr>
      </w:pPr>
    </w:p>
    <w:p w14:paraId="5A61E780" w14:textId="77777777" w:rsidR="00115993" w:rsidRPr="00115993" w:rsidRDefault="00115993" w:rsidP="00115993">
      <w:pPr>
        <w:spacing w:before="120" w:after="120" w:line="240" w:lineRule="exact"/>
        <w:ind w:left="283" w:hanging="283"/>
        <w:jc w:val="both"/>
        <w:rPr>
          <w:rFonts w:ascii="FrankRuehl" w:hAnsi="FrankRuehl" w:cs="FrankRuehl"/>
          <w:noProof w:val="0"/>
          <w:rtl/>
        </w:rPr>
      </w:pPr>
    </w:p>
    <w:p w14:paraId="78FB0492" w14:textId="77777777" w:rsidR="00AE33C3" w:rsidRDefault="00AE33C3" w:rsidP="00AE33C3">
      <w:pPr>
        <w:jc w:val="center"/>
        <w:rPr>
          <w:rFonts w:ascii="Arial" w:hAnsi="Arial"/>
          <w:noProof w:val="0"/>
          <w:sz w:val="28"/>
          <w:szCs w:val="28"/>
          <w:rtl/>
        </w:rPr>
      </w:pPr>
      <w:bookmarkStart w:id="3" w:name="LawTable"/>
      <w:bookmarkEnd w:id="3"/>
    </w:p>
    <w:p w14:paraId="50EB4488" w14:textId="77777777" w:rsidR="00AE33C3" w:rsidRPr="00AE33C3" w:rsidRDefault="00AE33C3" w:rsidP="00AE33C3">
      <w:pPr>
        <w:spacing w:before="120" w:after="120" w:line="240" w:lineRule="exact"/>
        <w:ind w:left="283" w:hanging="283"/>
        <w:jc w:val="both"/>
        <w:rPr>
          <w:rFonts w:ascii="FrankRuehl" w:hAnsi="FrankRuehl" w:cs="FrankRuehl"/>
          <w:noProof w:val="0"/>
          <w:rtl/>
        </w:rPr>
      </w:pPr>
    </w:p>
    <w:p w14:paraId="6CB0FA08" w14:textId="77777777" w:rsidR="00AE33C3" w:rsidRPr="00AE33C3" w:rsidRDefault="00AE33C3" w:rsidP="00AE33C3">
      <w:pPr>
        <w:spacing w:before="120" w:after="120" w:line="240" w:lineRule="exact"/>
        <w:ind w:left="283" w:hanging="283"/>
        <w:jc w:val="both"/>
        <w:rPr>
          <w:rFonts w:ascii="FrankRuehl" w:hAnsi="FrankRuehl" w:cs="FrankRuehl"/>
          <w:noProof w:val="0"/>
          <w:rtl/>
        </w:rPr>
      </w:pPr>
    </w:p>
    <w:p w14:paraId="5C7502EF" w14:textId="77777777" w:rsidR="00AE33C3" w:rsidRPr="00AE33C3" w:rsidRDefault="00AE33C3" w:rsidP="00AE33C3">
      <w:pPr>
        <w:spacing w:before="120" w:after="120" w:line="240" w:lineRule="exact"/>
        <w:ind w:left="283" w:hanging="283"/>
        <w:jc w:val="both"/>
        <w:rPr>
          <w:rFonts w:ascii="FrankRuehl" w:hAnsi="FrankRuehl" w:cs="FrankRuehl"/>
          <w:noProof w:val="0"/>
          <w:rtl/>
        </w:rPr>
      </w:pPr>
      <w:r w:rsidRPr="00AE33C3">
        <w:rPr>
          <w:rFonts w:ascii="FrankRuehl" w:hAnsi="FrankRuehl" w:cs="FrankRuehl"/>
          <w:noProof w:val="0"/>
          <w:rtl/>
        </w:rPr>
        <w:t xml:space="preserve">חקיקה שאוזכרה: </w:t>
      </w:r>
    </w:p>
    <w:p w14:paraId="0FFE78BF" w14:textId="77777777" w:rsidR="00AE33C3" w:rsidRPr="00AE33C3" w:rsidRDefault="00AE33C3" w:rsidP="00AE33C3">
      <w:pPr>
        <w:spacing w:before="120" w:after="120" w:line="240" w:lineRule="exact"/>
        <w:ind w:left="283" w:hanging="283"/>
        <w:jc w:val="both"/>
        <w:rPr>
          <w:rFonts w:ascii="FrankRuehl" w:hAnsi="FrankRuehl" w:cs="FrankRuehl"/>
          <w:noProof w:val="0"/>
          <w:rtl/>
        </w:rPr>
      </w:pPr>
      <w:hyperlink r:id="rId7" w:history="1">
        <w:r w:rsidRPr="00AE33C3">
          <w:rPr>
            <w:rFonts w:ascii="FrankRuehl" w:hAnsi="FrankRuehl" w:cs="FrankRuehl"/>
            <w:noProof w:val="0"/>
            <w:color w:val="0000FF"/>
            <w:rtl/>
          </w:rPr>
          <w:t>פקודת הסמים המסוכנים [נוסח חדש], תשל"ג-1973</w:t>
        </w:r>
      </w:hyperlink>
      <w:r w:rsidRPr="00AE33C3">
        <w:rPr>
          <w:rFonts w:ascii="FrankRuehl" w:hAnsi="FrankRuehl" w:cs="FrankRuehl"/>
          <w:noProof w:val="0"/>
          <w:rtl/>
        </w:rPr>
        <w:t xml:space="preserve">: סע'  </w:t>
      </w:r>
      <w:hyperlink r:id="rId8" w:history="1">
        <w:r w:rsidRPr="00AE33C3">
          <w:rPr>
            <w:rFonts w:ascii="FrankRuehl" w:hAnsi="FrankRuehl" w:cs="FrankRuehl"/>
            <w:noProof w:val="0"/>
            <w:color w:val="0000FF"/>
            <w:rtl/>
          </w:rPr>
          <w:t>7.א.</w:t>
        </w:r>
      </w:hyperlink>
      <w:r w:rsidRPr="00AE33C3">
        <w:rPr>
          <w:rFonts w:ascii="FrankRuehl" w:hAnsi="FrankRuehl" w:cs="FrankRuehl"/>
          <w:noProof w:val="0"/>
          <w:rtl/>
        </w:rPr>
        <w:t xml:space="preserve">, </w:t>
      </w:r>
      <w:hyperlink r:id="rId9" w:history="1">
        <w:r w:rsidRPr="00AE33C3">
          <w:rPr>
            <w:rFonts w:ascii="FrankRuehl" w:hAnsi="FrankRuehl" w:cs="FrankRuehl"/>
            <w:noProof w:val="0"/>
            <w:color w:val="0000FF"/>
            <w:rtl/>
          </w:rPr>
          <w:t>7.ג</w:t>
        </w:r>
      </w:hyperlink>
      <w:r w:rsidRPr="00AE33C3">
        <w:rPr>
          <w:rFonts w:ascii="FrankRuehl" w:hAnsi="FrankRuehl" w:cs="FrankRuehl"/>
          <w:noProof w:val="0"/>
          <w:rtl/>
        </w:rPr>
        <w:t xml:space="preserve">, </w:t>
      </w:r>
      <w:hyperlink r:id="rId10" w:history="1">
        <w:r w:rsidRPr="00AE33C3">
          <w:rPr>
            <w:rFonts w:ascii="FrankRuehl" w:hAnsi="FrankRuehl" w:cs="FrankRuehl"/>
            <w:noProof w:val="0"/>
            <w:color w:val="0000FF"/>
            <w:rtl/>
          </w:rPr>
          <w:t>13.א.</w:t>
        </w:r>
      </w:hyperlink>
      <w:r w:rsidRPr="00AE33C3">
        <w:rPr>
          <w:rFonts w:ascii="FrankRuehl" w:hAnsi="FrankRuehl" w:cs="FrankRuehl"/>
          <w:noProof w:val="0"/>
          <w:rtl/>
        </w:rPr>
        <w:t xml:space="preserve">, </w:t>
      </w:r>
      <w:hyperlink r:id="rId11" w:history="1">
        <w:r w:rsidRPr="00AE33C3">
          <w:rPr>
            <w:rFonts w:ascii="FrankRuehl" w:hAnsi="FrankRuehl" w:cs="FrankRuehl"/>
            <w:noProof w:val="0"/>
            <w:color w:val="0000FF"/>
            <w:rtl/>
          </w:rPr>
          <w:t>19</w:t>
        </w:r>
      </w:hyperlink>
    </w:p>
    <w:p w14:paraId="306AFCC6" w14:textId="77777777" w:rsidR="00AE33C3" w:rsidRPr="00AE33C3" w:rsidRDefault="00AE33C3" w:rsidP="00AE33C3">
      <w:pPr>
        <w:spacing w:before="120" w:after="120" w:line="240" w:lineRule="exact"/>
        <w:ind w:left="283" w:hanging="283"/>
        <w:jc w:val="both"/>
        <w:rPr>
          <w:rFonts w:ascii="FrankRuehl" w:hAnsi="FrankRuehl" w:cs="FrankRuehl"/>
          <w:noProof w:val="0"/>
          <w:rtl/>
        </w:rPr>
      </w:pPr>
      <w:hyperlink r:id="rId12" w:history="1">
        <w:r w:rsidRPr="00AE33C3">
          <w:rPr>
            <w:rFonts w:ascii="FrankRuehl" w:hAnsi="FrankRuehl" w:cs="FrankRuehl"/>
            <w:noProof w:val="0"/>
            <w:color w:val="0000FF"/>
            <w:rtl/>
          </w:rPr>
          <w:t>חוק העונשין, תשל"ז-1977</w:t>
        </w:r>
      </w:hyperlink>
      <w:r w:rsidRPr="00AE33C3">
        <w:rPr>
          <w:rFonts w:ascii="FrankRuehl" w:hAnsi="FrankRuehl" w:cs="FrankRuehl"/>
          <w:noProof w:val="0"/>
          <w:rtl/>
        </w:rPr>
        <w:t xml:space="preserve">: סע'  </w:t>
      </w:r>
      <w:hyperlink r:id="rId13" w:history="1">
        <w:r w:rsidRPr="00AE33C3">
          <w:rPr>
            <w:rFonts w:ascii="FrankRuehl" w:hAnsi="FrankRuehl" w:cs="FrankRuehl"/>
            <w:noProof w:val="0"/>
            <w:color w:val="0000FF"/>
            <w:rtl/>
          </w:rPr>
          <w:t>40ח</w:t>
        </w:r>
      </w:hyperlink>
    </w:p>
    <w:p w14:paraId="136FF30D" w14:textId="77777777" w:rsidR="00AE33C3" w:rsidRPr="00AE33C3" w:rsidRDefault="00AE33C3" w:rsidP="00AE33C3">
      <w:pPr>
        <w:jc w:val="center"/>
        <w:rPr>
          <w:rFonts w:ascii="Arial" w:hAnsi="Arial"/>
          <w:noProof w:val="0"/>
          <w:sz w:val="28"/>
          <w:szCs w:val="28"/>
          <w:rtl/>
        </w:rPr>
      </w:pPr>
      <w:bookmarkStart w:id="4" w:name="LawTable_End"/>
      <w:bookmarkEnd w:id="4"/>
    </w:p>
    <w:p w14:paraId="48CBF943" w14:textId="77777777" w:rsidR="000D2708" w:rsidRPr="00115993" w:rsidRDefault="000D2708" w:rsidP="00115993">
      <w:pPr>
        <w:jc w:val="center"/>
        <w:rPr>
          <w:rFonts w:ascii="Arial" w:hAnsi="Arial"/>
          <w:noProof w:val="0"/>
          <w:sz w:val="28"/>
          <w:szCs w:val="28"/>
          <w:rtl/>
        </w:rPr>
      </w:pPr>
    </w:p>
    <w:p w14:paraId="54265A60" w14:textId="77777777" w:rsidR="000D2708" w:rsidRPr="00F473A7" w:rsidRDefault="000D2708" w:rsidP="00F473A7">
      <w:pPr>
        <w:bidi w:val="0"/>
        <w:jc w:val="center"/>
        <w:rPr>
          <w:rFonts w:ascii="Arial" w:hAnsi="Arial"/>
          <w:b/>
          <w:bCs/>
          <w:noProof w:val="0"/>
          <w:sz w:val="28"/>
          <w:szCs w:val="28"/>
          <w:u w:val="single"/>
          <w:rtl/>
        </w:rPr>
      </w:pPr>
      <w:bookmarkStart w:id="5" w:name="PsakDin"/>
      <w:r w:rsidRPr="00F473A7">
        <w:rPr>
          <w:rFonts w:ascii="Arial" w:hAnsi="Arial"/>
          <w:b/>
          <w:bCs/>
          <w:noProof w:val="0"/>
          <w:sz w:val="28"/>
          <w:szCs w:val="28"/>
          <w:u w:val="single"/>
          <w:rtl/>
        </w:rPr>
        <w:t>גזר דין</w:t>
      </w:r>
    </w:p>
    <w:bookmarkEnd w:id="5"/>
    <w:p w14:paraId="5E660950" w14:textId="77777777" w:rsidR="000D2708" w:rsidRPr="00177680" w:rsidRDefault="000D2708" w:rsidP="00177680">
      <w:pPr>
        <w:bidi w:val="0"/>
        <w:jc w:val="center"/>
        <w:rPr>
          <w:rFonts w:ascii="Arial" w:hAnsi="Arial"/>
          <w:b/>
          <w:bCs/>
          <w:noProof w:val="0"/>
          <w:sz w:val="28"/>
          <w:szCs w:val="28"/>
          <w:u w:val="single"/>
          <w:rtl/>
        </w:rPr>
      </w:pPr>
    </w:p>
    <w:p w14:paraId="0B80263F" w14:textId="77777777" w:rsidR="00177680" w:rsidRPr="00830AA3" w:rsidRDefault="00177680" w:rsidP="00177680">
      <w:pPr>
        <w:spacing w:line="360" w:lineRule="auto"/>
        <w:ind w:left="85" w:hanging="709"/>
        <w:jc w:val="both"/>
        <w:rPr>
          <w:rFonts w:ascii="Arial" w:hAnsi="Arial"/>
          <w:b/>
          <w:bCs/>
          <w:noProof w:val="0"/>
          <w:u w:val="single"/>
        </w:rPr>
      </w:pPr>
      <w:bookmarkStart w:id="6" w:name="NGCSBookmark"/>
      <w:bookmarkEnd w:id="0"/>
      <w:bookmarkEnd w:id="1"/>
      <w:bookmarkEnd w:id="6"/>
      <w:r>
        <w:rPr>
          <w:rFonts w:ascii="Arial" w:hAnsi="Arial"/>
          <w:noProof w:val="0"/>
          <w:rtl/>
        </w:rPr>
        <w:tab/>
      </w:r>
      <w:r w:rsidRPr="00830AA3">
        <w:rPr>
          <w:rFonts w:ascii="Arial" w:hAnsi="Arial"/>
          <w:b/>
          <w:bCs/>
          <w:noProof w:val="0"/>
          <w:u w:val="single"/>
          <w:rtl/>
        </w:rPr>
        <w:t>מבוא</w:t>
      </w:r>
    </w:p>
    <w:p w14:paraId="4E47ECBE" w14:textId="77777777" w:rsidR="00177680" w:rsidRDefault="00177680" w:rsidP="00177680">
      <w:pPr>
        <w:pStyle w:val="a9"/>
        <w:numPr>
          <w:ilvl w:val="0"/>
          <w:numId w:val="1"/>
        </w:numPr>
        <w:spacing w:line="360" w:lineRule="auto"/>
        <w:ind w:left="85" w:hanging="709"/>
        <w:jc w:val="both"/>
        <w:rPr>
          <w:rFonts w:ascii="Arial" w:hAnsi="Arial"/>
          <w:noProof w:val="0"/>
          <w:rtl/>
        </w:rPr>
      </w:pPr>
      <w:bookmarkStart w:id="7" w:name="ABSTRACT_START"/>
      <w:bookmarkEnd w:id="7"/>
      <w:r>
        <w:rPr>
          <w:rFonts w:ascii="Arial" w:hAnsi="Arial"/>
          <w:noProof w:val="0"/>
          <w:rtl/>
        </w:rPr>
        <w:t>הנאשם הורשע על</w:t>
      </w:r>
      <w:r>
        <w:rPr>
          <w:rFonts w:ascii="Arial" w:hAnsi="Arial" w:hint="cs"/>
          <w:noProof w:val="0"/>
          <w:rtl/>
        </w:rPr>
        <w:t>-</w:t>
      </w:r>
      <w:r>
        <w:rPr>
          <w:rFonts w:ascii="Arial" w:hAnsi="Arial"/>
          <w:noProof w:val="0"/>
          <w:rtl/>
        </w:rPr>
        <w:t xml:space="preserve">פי הודאתו במסגרת הסדר טיעון בכתב אישום מתוקן </w:t>
      </w:r>
      <w:r>
        <w:rPr>
          <w:rFonts w:ascii="Arial" w:hAnsi="Arial" w:hint="cs"/>
          <w:noProof w:val="0"/>
          <w:rtl/>
        </w:rPr>
        <w:t xml:space="preserve">(להלן: "כתב האישום") </w:t>
      </w:r>
      <w:r>
        <w:rPr>
          <w:rFonts w:ascii="Arial" w:hAnsi="Arial"/>
          <w:noProof w:val="0"/>
          <w:rtl/>
        </w:rPr>
        <w:t xml:space="preserve">בביצוע עבירות של יבוא סם מסוכן והחזקת סם מסוכן לצריכה עצמית, עבירות לפי סעיפים </w:t>
      </w:r>
      <w:hyperlink r:id="rId14" w:history="1">
        <w:r w:rsidR="000D2708" w:rsidRPr="000D2708">
          <w:rPr>
            <w:rStyle w:val="Hyperlink"/>
            <w:rFonts w:ascii="Arial" w:hAnsi="Arial"/>
            <w:noProof w:val="0"/>
            <w:rtl/>
          </w:rPr>
          <w:t>13+19א ו-7(א)+(ג)</w:t>
        </w:r>
      </w:hyperlink>
      <w:r>
        <w:rPr>
          <w:rFonts w:ascii="Arial" w:hAnsi="Arial"/>
          <w:noProof w:val="0"/>
          <w:rtl/>
        </w:rPr>
        <w:t xml:space="preserve"> סיפא ל</w:t>
      </w:r>
      <w:hyperlink r:id="rId15" w:history="1">
        <w:r w:rsidR="00F473A7" w:rsidRPr="00F473A7">
          <w:rPr>
            <w:rFonts w:ascii="Arial" w:hAnsi="Arial"/>
            <w:noProof w:val="0"/>
            <w:color w:val="0000FF"/>
            <w:u w:val="single"/>
            <w:rtl/>
          </w:rPr>
          <w:t>פקודת הסמים המסוכנים</w:t>
        </w:r>
      </w:hyperlink>
      <w:r>
        <w:rPr>
          <w:rFonts w:ascii="Arial" w:hAnsi="Arial"/>
          <w:noProof w:val="0"/>
          <w:rtl/>
        </w:rPr>
        <w:t xml:space="preserve"> [נוסח חדש], התשל"ג-1973 (להלן: "פקודת הסמים").</w:t>
      </w:r>
    </w:p>
    <w:p w14:paraId="38521528" w14:textId="77777777" w:rsidR="00177680" w:rsidRDefault="00177680" w:rsidP="00177680">
      <w:pPr>
        <w:pStyle w:val="a9"/>
        <w:spacing w:line="360" w:lineRule="auto"/>
        <w:ind w:left="85"/>
        <w:jc w:val="both"/>
        <w:rPr>
          <w:rFonts w:ascii="Arial" w:hAnsi="Arial"/>
          <w:noProof w:val="0"/>
        </w:rPr>
      </w:pPr>
    </w:p>
    <w:p w14:paraId="40027B18" w14:textId="77777777" w:rsidR="00177680" w:rsidRDefault="00177680" w:rsidP="00177680">
      <w:pPr>
        <w:pStyle w:val="a9"/>
        <w:numPr>
          <w:ilvl w:val="0"/>
          <w:numId w:val="1"/>
        </w:numPr>
        <w:spacing w:line="360" w:lineRule="auto"/>
        <w:ind w:left="85" w:hanging="709"/>
        <w:jc w:val="both"/>
        <w:rPr>
          <w:rFonts w:ascii="Arial" w:hAnsi="Arial"/>
          <w:noProof w:val="0"/>
        </w:rPr>
      </w:pPr>
      <w:bookmarkStart w:id="8" w:name="ABSTRACT_END"/>
      <w:bookmarkEnd w:id="8"/>
      <w:r>
        <w:rPr>
          <w:rFonts w:ascii="Arial" w:hAnsi="Arial" w:hint="cs"/>
          <w:noProof w:val="0"/>
          <w:rtl/>
        </w:rPr>
        <w:t>במסגרת הסדר הטיעון</w:t>
      </w:r>
      <w:r>
        <w:rPr>
          <w:rFonts w:ascii="Arial" w:hAnsi="Arial"/>
          <w:noProof w:val="0"/>
          <w:rtl/>
        </w:rPr>
        <w:t xml:space="preserve"> לא הושגה הסכמה עונשית </w:t>
      </w:r>
      <w:r>
        <w:rPr>
          <w:rFonts w:ascii="Arial" w:hAnsi="Arial" w:hint="cs"/>
          <w:noProof w:val="0"/>
          <w:rtl/>
        </w:rPr>
        <w:t xml:space="preserve">בין הצדדים, </w:t>
      </w:r>
      <w:r>
        <w:rPr>
          <w:rFonts w:ascii="Arial" w:hAnsi="Arial"/>
          <w:noProof w:val="0"/>
          <w:rtl/>
        </w:rPr>
        <w:t xml:space="preserve">וכל צד טען </w:t>
      </w:r>
      <w:r>
        <w:rPr>
          <w:rFonts w:ascii="Arial" w:hAnsi="Arial" w:hint="cs"/>
          <w:noProof w:val="0"/>
          <w:rtl/>
        </w:rPr>
        <w:t xml:space="preserve">לעונש </w:t>
      </w:r>
      <w:r>
        <w:rPr>
          <w:rFonts w:ascii="Arial" w:hAnsi="Arial"/>
          <w:noProof w:val="0"/>
          <w:rtl/>
        </w:rPr>
        <w:t>באופן חופשי.</w:t>
      </w:r>
    </w:p>
    <w:p w14:paraId="3A392036" w14:textId="77777777" w:rsidR="00177680" w:rsidRDefault="00177680" w:rsidP="00177680">
      <w:pPr>
        <w:pStyle w:val="a9"/>
        <w:rPr>
          <w:rFonts w:ascii="Arial" w:hAnsi="Arial"/>
          <w:noProof w:val="0"/>
        </w:rPr>
      </w:pPr>
    </w:p>
    <w:p w14:paraId="3C957EF3" w14:textId="77777777" w:rsidR="00177680" w:rsidRPr="00F754F6" w:rsidRDefault="00177680" w:rsidP="00177680">
      <w:pPr>
        <w:pStyle w:val="a9"/>
        <w:spacing w:line="360" w:lineRule="auto"/>
        <w:ind w:left="85"/>
        <w:jc w:val="both"/>
        <w:rPr>
          <w:rFonts w:ascii="Arial" w:hAnsi="Arial"/>
          <w:b/>
          <w:bCs/>
          <w:noProof w:val="0"/>
          <w:u w:val="single"/>
        </w:rPr>
      </w:pPr>
      <w:r>
        <w:rPr>
          <w:rFonts w:ascii="Arial" w:hAnsi="Arial"/>
          <w:b/>
          <w:bCs/>
          <w:noProof w:val="0"/>
          <w:u w:val="single"/>
          <w:rtl/>
        </w:rPr>
        <w:t>כתב האישום</w:t>
      </w:r>
    </w:p>
    <w:p w14:paraId="4E34071E" w14:textId="77777777" w:rsidR="00177680" w:rsidRDefault="00177680" w:rsidP="00177680">
      <w:pPr>
        <w:pStyle w:val="a9"/>
        <w:numPr>
          <w:ilvl w:val="0"/>
          <w:numId w:val="1"/>
        </w:numPr>
        <w:spacing w:line="360" w:lineRule="auto"/>
        <w:ind w:left="85" w:hanging="709"/>
        <w:jc w:val="both"/>
        <w:rPr>
          <w:rFonts w:ascii="Arial" w:hAnsi="Arial"/>
          <w:noProof w:val="0"/>
        </w:rPr>
      </w:pPr>
      <w:r>
        <w:rPr>
          <w:rFonts w:ascii="Arial" w:hAnsi="Arial"/>
          <w:noProof w:val="0"/>
          <w:rtl/>
        </w:rPr>
        <w:t>מעובדות כתב האישום</w:t>
      </w:r>
      <w:r>
        <w:rPr>
          <w:rFonts w:ascii="Arial" w:hAnsi="Arial" w:hint="cs"/>
          <w:noProof w:val="0"/>
          <w:rtl/>
        </w:rPr>
        <w:t xml:space="preserve"> </w:t>
      </w:r>
      <w:r>
        <w:rPr>
          <w:rFonts w:ascii="Arial" w:hAnsi="Arial"/>
          <w:noProof w:val="0"/>
          <w:rtl/>
        </w:rPr>
        <w:t xml:space="preserve">עולה כי הנאשם הוא אזרח תאילנד, אשר במועדים הרלוונטיים לכתב האישום שהה בישראל עם אשרת עבודה, עבד והתגורר במושב יתד (להלן: "המושב"). </w:t>
      </w:r>
    </w:p>
    <w:p w14:paraId="3D01F7BE" w14:textId="77777777" w:rsidR="00177680" w:rsidRDefault="00177680" w:rsidP="00177680">
      <w:pPr>
        <w:pStyle w:val="a9"/>
        <w:spacing w:line="360" w:lineRule="auto"/>
        <w:ind w:left="85"/>
        <w:jc w:val="both"/>
        <w:rPr>
          <w:rFonts w:ascii="Arial" w:hAnsi="Arial"/>
          <w:noProof w:val="0"/>
          <w:rtl/>
        </w:rPr>
      </w:pPr>
      <w:r>
        <w:rPr>
          <w:rFonts w:ascii="Arial" w:hAnsi="Arial"/>
          <w:noProof w:val="0"/>
          <w:rtl/>
        </w:rPr>
        <w:t xml:space="preserve">עובר ליום 15.3.2022 במועד שאינו ידוע במדויק הזמין הנאשם או מי מטעמו מאדם שזהותו אינה ידועה (להלן: "האחר") סם מסוכן מסוג מתאמפטאמין (להלן: "הסם") מחו"ל לישראל. </w:t>
      </w:r>
    </w:p>
    <w:p w14:paraId="0F8A18CE" w14:textId="77777777" w:rsidR="00177680" w:rsidRDefault="00177680" w:rsidP="00177680">
      <w:pPr>
        <w:pStyle w:val="a9"/>
        <w:spacing w:line="360" w:lineRule="auto"/>
        <w:ind w:left="85"/>
        <w:jc w:val="both"/>
        <w:rPr>
          <w:rFonts w:ascii="Arial" w:hAnsi="Arial"/>
          <w:noProof w:val="0"/>
        </w:rPr>
      </w:pPr>
      <w:r>
        <w:rPr>
          <w:rFonts w:ascii="Arial" w:hAnsi="Arial"/>
          <w:noProof w:val="0"/>
          <w:rtl/>
        </w:rPr>
        <w:lastRenderedPageBreak/>
        <w:t>בהמשך לכך האחר או מי מטעמו שלח בדואר מתאילנד לישראל חבילה ובה 28 גלילי עץ בהם הוחבאו שקיות שהכילו את הסם במשקל כ-600 גרם (להלן: "החבילה"). החבילה נשלחה למושב ומוענה ל</w:t>
      </w:r>
      <w:r>
        <w:rPr>
          <w:rFonts w:ascii="Arial" w:hAnsi="Arial" w:hint="cs"/>
          <w:noProof w:val="0"/>
          <w:rtl/>
        </w:rPr>
        <w:t>אחר</w:t>
      </w:r>
      <w:r w:rsidRPr="000544F1">
        <w:rPr>
          <w:rFonts w:ascii="Arial" w:hAnsi="Arial"/>
          <w:noProof w:val="0"/>
          <w:rtl/>
        </w:rPr>
        <w:t>. לאחר שהחבילה הגיעה לישראל ביום 15.3.2022  או</w:t>
      </w:r>
      <w:r>
        <w:rPr>
          <w:rFonts w:ascii="Arial" w:hAnsi="Arial" w:hint="cs"/>
          <w:noProof w:val="0"/>
          <w:rtl/>
        </w:rPr>
        <w:t xml:space="preserve"> </w:t>
      </w:r>
      <w:r>
        <w:rPr>
          <w:rFonts w:ascii="Arial" w:hAnsi="Arial"/>
          <w:noProof w:val="0"/>
          <w:rtl/>
        </w:rPr>
        <w:t>בסמוך לכך, היא נבדקה על</w:t>
      </w:r>
      <w:r>
        <w:rPr>
          <w:rFonts w:ascii="Arial" w:hAnsi="Arial" w:hint="cs"/>
          <w:noProof w:val="0"/>
          <w:rtl/>
        </w:rPr>
        <w:t>-</w:t>
      </w:r>
      <w:r>
        <w:rPr>
          <w:rFonts w:ascii="Arial" w:hAnsi="Arial"/>
          <w:noProof w:val="0"/>
          <w:rtl/>
        </w:rPr>
        <w:t>ידי רשויות המכס ונתפס</w:t>
      </w:r>
      <w:r>
        <w:rPr>
          <w:rFonts w:ascii="Arial" w:hAnsi="Arial" w:hint="cs"/>
          <w:noProof w:val="0"/>
          <w:rtl/>
        </w:rPr>
        <w:t>ה</w:t>
      </w:r>
      <w:r>
        <w:rPr>
          <w:rFonts w:ascii="Arial" w:hAnsi="Arial"/>
          <w:noProof w:val="0"/>
          <w:rtl/>
        </w:rPr>
        <w:t xml:space="preserve"> על</w:t>
      </w:r>
      <w:r>
        <w:rPr>
          <w:rFonts w:ascii="Arial" w:hAnsi="Arial" w:hint="cs"/>
          <w:noProof w:val="0"/>
          <w:rtl/>
        </w:rPr>
        <w:t>-</w:t>
      </w:r>
      <w:r w:rsidRPr="00CA5D8F">
        <w:rPr>
          <w:rFonts w:ascii="Arial" w:hAnsi="Arial"/>
          <w:noProof w:val="0"/>
          <w:rtl/>
        </w:rPr>
        <w:t xml:space="preserve">ידי משטרת ישראל ביום 17.3.2022. </w:t>
      </w:r>
    </w:p>
    <w:p w14:paraId="3FE65613" w14:textId="77777777" w:rsidR="00177680" w:rsidRDefault="00177680" w:rsidP="00177680">
      <w:pPr>
        <w:pStyle w:val="a9"/>
        <w:spacing w:line="360" w:lineRule="auto"/>
        <w:ind w:left="85"/>
        <w:jc w:val="both"/>
        <w:rPr>
          <w:rFonts w:ascii="Arial" w:hAnsi="Arial"/>
          <w:noProof w:val="0"/>
          <w:rtl/>
        </w:rPr>
      </w:pPr>
      <w:r w:rsidRPr="00CA5D8F">
        <w:rPr>
          <w:rFonts w:ascii="Arial" w:hAnsi="Arial"/>
          <w:noProof w:val="0"/>
          <w:rtl/>
        </w:rPr>
        <w:t>בהמשך לכך</w:t>
      </w:r>
      <w:r>
        <w:rPr>
          <w:rFonts w:ascii="Arial" w:hAnsi="Arial" w:hint="cs"/>
          <w:noProof w:val="0"/>
          <w:rtl/>
        </w:rPr>
        <w:t>,</w:t>
      </w:r>
      <w:r w:rsidRPr="00CA5D8F">
        <w:rPr>
          <w:rFonts w:ascii="Arial" w:hAnsi="Arial"/>
          <w:noProof w:val="0"/>
          <w:rtl/>
        </w:rPr>
        <w:t xml:space="preserve"> ביום 20.3.2022</w:t>
      </w:r>
      <w:r>
        <w:rPr>
          <w:rFonts w:ascii="Arial" w:hAnsi="Arial" w:hint="cs"/>
          <w:noProof w:val="0"/>
          <w:rtl/>
        </w:rPr>
        <w:t xml:space="preserve">, </w:t>
      </w:r>
      <w:r>
        <w:rPr>
          <w:rFonts w:ascii="Arial" w:hAnsi="Arial"/>
          <w:noProof w:val="0"/>
          <w:rtl/>
        </w:rPr>
        <w:t>הושאר</w:t>
      </w:r>
      <w:r w:rsidRPr="00CA5D8F">
        <w:rPr>
          <w:rFonts w:ascii="Arial" w:hAnsi="Arial"/>
          <w:noProof w:val="0"/>
          <w:rtl/>
        </w:rPr>
        <w:t xml:space="preserve"> על-ידי המשטר</w:t>
      </w:r>
      <w:r>
        <w:rPr>
          <w:rFonts w:ascii="Arial" w:hAnsi="Arial"/>
          <w:noProof w:val="0"/>
          <w:rtl/>
        </w:rPr>
        <w:t>ה בתוך החבילה</w:t>
      </w:r>
      <w:r w:rsidRPr="00CA5D8F">
        <w:rPr>
          <w:rFonts w:ascii="Arial" w:hAnsi="Arial"/>
          <w:noProof w:val="0"/>
          <w:rtl/>
        </w:rPr>
        <w:t xml:space="preserve"> בול עץ שבתוכו היה סם במשקל 12.53 גרם ושקית אחת שהכילה 17.13</w:t>
      </w:r>
      <w:r>
        <w:rPr>
          <w:rFonts w:ascii="Arial" w:hAnsi="Arial"/>
          <w:noProof w:val="0"/>
          <w:rtl/>
        </w:rPr>
        <w:t xml:space="preserve"> גרם של הסם (להלן: "הסם הנותר")</w:t>
      </w:r>
      <w:r>
        <w:rPr>
          <w:rFonts w:ascii="Arial" w:hAnsi="Arial" w:hint="cs"/>
          <w:noProof w:val="0"/>
          <w:rtl/>
        </w:rPr>
        <w:t>,</w:t>
      </w:r>
      <w:r w:rsidRPr="00CA5D8F">
        <w:rPr>
          <w:rFonts w:ascii="Arial" w:hAnsi="Arial"/>
          <w:noProof w:val="0"/>
          <w:rtl/>
        </w:rPr>
        <w:t xml:space="preserve"> ובאותו היום, במסגרת פעילות משטרתית</w:t>
      </w:r>
      <w:r>
        <w:rPr>
          <w:rFonts w:ascii="Arial" w:hAnsi="Arial" w:hint="cs"/>
          <w:noProof w:val="0"/>
          <w:rtl/>
        </w:rPr>
        <w:t>,</w:t>
      </w:r>
      <w:r w:rsidRPr="00CA5D8F">
        <w:rPr>
          <w:rFonts w:ascii="Arial" w:hAnsi="Arial"/>
          <w:noProof w:val="0"/>
          <w:rtl/>
        </w:rPr>
        <w:t xml:space="preserve"> הועברה החבילה כשהיא סגורה למזכירות המושב. </w:t>
      </w:r>
    </w:p>
    <w:p w14:paraId="0280FC6F" w14:textId="77777777" w:rsidR="00177680" w:rsidRDefault="00177680" w:rsidP="00177680">
      <w:pPr>
        <w:pStyle w:val="a9"/>
        <w:spacing w:line="360" w:lineRule="auto"/>
        <w:ind w:left="85"/>
        <w:jc w:val="both"/>
        <w:rPr>
          <w:rFonts w:ascii="Arial" w:hAnsi="Arial"/>
          <w:noProof w:val="0"/>
          <w:rtl/>
        </w:rPr>
      </w:pPr>
      <w:r w:rsidRPr="00CA5D8F">
        <w:rPr>
          <w:rFonts w:ascii="Arial" w:hAnsi="Arial"/>
          <w:noProof w:val="0"/>
          <w:rtl/>
        </w:rPr>
        <w:t>בעקבות האמור, באותו היום, בסמוך לשעה 11:30, הגיע הנאשם למזכירות המושב ואסף את החבילה ובה הסם הנותר, בסוברו כי מדובר בחבילה שהכילה</w:t>
      </w:r>
      <w:r>
        <w:rPr>
          <w:rFonts w:ascii="Arial" w:hAnsi="Arial"/>
          <w:noProof w:val="0"/>
          <w:rtl/>
        </w:rPr>
        <w:t xml:space="preserve"> את מלא כמות הסם שנשלחה אליו על</w:t>
      </w:r>
      <w:r>
        <w:rPr>
          <w:rFonts w:ascii="Arial" w:hAnsi="Arial" w:hint="cs"/>
          <w:noProof w:val="0"/>
          <w:rtl/>
        </w:rPr>
        <w:t>-</w:t>
      </w:r>
      <w:r w:rsidRPr="00CA5D8F">
        <w:rPr>
          <w:rFonts w:ascii="Arial" w:hAnsi="Arial"/>
          <w:noProof w:val="0"/>
          <w:rtl/>
        </w:rPr>
        <w:t xml:space="preserve">ידי האחר. מיד לאחר מכן, נעצר הנאשם על ידי המשטרה. </w:t>
      </w:r>
    </w:p>
    <w:p w14:paraId="2960E686" w14:textId="77777777" w:rsidR="00177680" w:rsidRPr="00CA5D8F" w:rsidRDefault="00177680" w:rsidP="00177680">
      <w:pPr>
        <w:pStyle w:val="a9"/>
        <w:spacing w:line="360" w:lineRule="auto"/>
        <w:ind w:left="85"/>
        <w:jc w:val="both"/>
        <w:rPr>
          <w:rFonts w:ascii="Arial" w:hAnsi="Arial"/>
          <w:noProof w:val="0"/>
          <w:rtl/>
        </w:rPr>
      </w:pPr>
      <w:r w:rsidRPr="00CA5D8F">
        <w:rPr>
          <w:rFonts w:ascii="Arial" w:hAnsi="Arial"/>
          <w:noProof w:val="0"/>
          <w:rtl/>
        </w:rPr>
        <w:t>בנוסף</w:t>
      </w:r>
      <w:r>
        <w:rPr>
          <w:rFonts w:ascii="Arial" w:hAnsi="Arial" w:hint="cs"/>
          <w:noProof w:val="0"/>
          <w:rtl/>
        </w:rPr>
        <w:t>,</w:t>
      </w:r>
      <w:r w:rsidRPr="00CA5D8F">
        <w:rPr>
          <w:rFonts w:ascii="Arial" w:hAnsi="Arial"/>
          <w:noProof w:val="0"/>
          <w:rtl/>
        </w:rPr>
        <w:t xml:space="preserve"> במהל</w:t>
      </w:r>
      <w:r>
        <w:rPr>
          <w:rFonts w:ascii="Arial" w:hAnsi="Arial" w:hint="cs"/>
          <w:noProof w:val="0"/>
          <w:rtl/>
        </w:rPr>
        <w:t>ך</w:t>
      </w:r>
      <w:r w:rsidRPr="00CA5D8F">
        <w:rPr>
          <w:rFonts w:ascii="Arial" w:hAnsi="Arial"/>
          <w:noProof w:val="0"/>
          <w:rtl/>
        </w:rPr>
        <w:t xml:space="preserve"> מעצרו של הנאשם נתפסה על גופו שקית ובתוכה סם מסוכן מסוג מתאמפטאמין לצריכה עצמי</w:t>
      </w:r>
      <w:r>
        <w:rPr>
          <w:rFonts w:ascii="Arial" w:hAnsi="Arial" w:hint="cs"/>
          <w:noProof w:val="0"/>
          <w:rtl/>
        </w:rPr>
        <w:t>ת</w:t>
      </w:r>
      <w:r w:rsidRPr="00CA5D8F">
        <w:rPr>
          <w:rFonts w:ascii="Arial" w:hAnsi="Arial"/>
          <w:noProof w:val="0"/>
          <w:rtl/>
        </w:rPr>
        <w:t xml:space="preserve"> שלא כדין. </w:t>
      </w:r>
    </w:p>
    <w:p w14:paraId="05785F01" w14:textId="77777777" w:rsidR="00177680" w:rsidRDefault="00177680" w:rsidP="00177680">
      <w:pPr>
        <w:spacing w:line="360" w:lineRule="auto"/>
        <w:jc w:val="both"/>
        <w:rPr>
          <w:rFonts w:ascii="Arial" w:hAnsi="Arial"/>
          <w:noProof w:val="0"/>
          <w:rtl/>
        </w:rPr>
      </w:pPr>
    </w:p>
    <w:p w14:paraId="75E155F1" w14:textId="77777777" w:rsidR="00177680" w:rsidRDefault="00177680" w:rsidP="00177680">
      <w:pPr>
        <w:spacing w:line="360" w:lineRule="auto"/>
        <w:ind w:left="85" w:hanging="709"/>
        <w:jc w:val="both"/>
        <w:rPr>
          <w:rFonts w:ascii="Arial" w:hAnsi="Arial"/>
          <w:b/>
          <w:bCs/>
          <w:noProof w:val="0"/>
          <w:u w:val="single"/>
          <w:rtl/>
        </w:rPr>
      </w:pPr>
      <w:r>
        <w:rPr>
          <w:rFonts w:ascii="Arial" w:hAnsi="Arial"/>
          <w:noProof w:val="0"/>
          <w:rtl/>
        </w:rPr>
        <w:tab/>
      </w:r>
      <w:r>
        <w:rPr>
          <w:rFonts w:ascii="Arial" w:hAnsi="Arial"/>
          <w:b/>
          <w:bCs/>
          <w:noProof w:val="0"/>
          <w:u w:val="single"/>
          <w:rtl/>
        </w:rPr>
        <w:t xml:space="preserve">טיעוני הצדדים                                                             </w:t>
      </w:r>
    </w:p>
    <w:p w14:paraId="60AB01AC" w14:textId="77777777" w:rsidR="00177680" w:rsidRDefault="00177680" w:rsidP="00177680">
      <w:pPr>
        <w:pStyle w:val="a9"/>
        <w:numPr>
          <w:ilvl w:val="0"/>
          <w:numId w:val="1"/>
        </w:numPr>
        <w:spacing w:line="360" w:lineRule="auto"/>
        <w:ind w:left="85" w:hanging="709"/>
        <w:jc w:val="both"/>
        <w:rPr>
          <w:rFonts w:ascii="Arial" w:hAnsi="Arial"/>
          <w:noProof w:val="0"/>
          <w:rtl/>
        </w:rPr>
      </w:pPr>
      <w:r w:rsidRPr="000544F1">
        <w:rPr>
          <w:rFonts w:ascii="Arial" w:hAnsi="Arial"/>
          <w:b/>
          <w:bCs/>
          <w:noProof w:val="0"/>
          <w:rtl/>
        </w:rPr>
        <w:t>המאשימה</w:t>
      </w:r>
      <w:r>
        <w:rPr>
          <w:rFonts w:ascii="Arial" w:hAnsi="Arial"/>
          <w:noProof w:val="0"/>
          <w:rtl/>
        </w:rPr>
        <w:t xml:space="preserve"> טענה </w:t>
      </w:r>
      <w:r>
        <w:rPr>
          <w:rFonts w:ascii="Arial" w:hAnsi="Arial" w:hint="cs"/>
          <w:noProof w:val="0"/>
          <w:rtl/>
        </w:rPr>
        <w:t xml:space="preserve">לעונש </w:t>
      </w:r>
      <w:r>
        <w:rPr>
          <w:rFonts w:ascii="Arial" w:hAnsi="Arial"/>
          <w:noProof w:val="0"/>
          <w:rtl/>
        </w:rPr>
        <w:t>בכתב והשלימה טיעוניה על-פה. המאשימה טענה שמתחם העונש ההולם נע בין</w:t>
      </w:r>
      <w:r>
        <w:rPr>
          <w:rFonts w:ascii="Arial" w:hAnsi="Arial" w:hint="cs"/>
          <w:noProof w:val="0"/>
          <w:rtl/>
        </w:rPr>
        <w:t xml:space="preserve"> 36 ל-</w:t>
      </w:r>
      <w:r>
        <w:rPr>
          <w:rFonts w:ascii="Arial" w:hAnsi="Arial"/>
          <w:noProof w:val="0"/>
          <w:rtl/>
        </w:rPr>
        <w:t xml:space="preserve"> </w:t>
      </w:r>
      <w:r>
        <w:rPr>
          <w:rFonts w:ascii="Arial" w:hAnsi="Arial" w:hint="cs"/>
          <w:noProof w:val="0"/>
          <w:rtl/>
        </w:rPr>
        <w:t xml:space="preserve">66 </w:t>
      </w:r>
      <w:r>
        <w:rPr>
          <w:rFonts w:ascii="Arial" w:hAnsi="Arial"/>
          <w:noProof w:val="0"/>
          <w:rtl/>
        </w:rPr>
        <w:t xml:space="preserve">חודשי מאסר </w:t>
      </w:r>
      <w:r>
        <w:rPr>
          <w:rFonts w:ascii="Arial" w:hAnsi="Arial" w:hint="cs"/>
          <w:noProof w:val="0"/>
          <w:rtl/>
        </w:rPr>
        <w:t xml:space="preserve">(בטיעונים בכתב טענה המאשימה למתחם שנע בין 36 ל- 60 חודשי מאסר) </w:t>
      </w:r>
      <w:r>
        <w:rPr>
          <w:rFonts w:ascii="Arial" w:hAnsi="Arial"/>
          <w:noProof w:val="0"/>
          <w:rtl/>
        </w:rPr>
        <w:t xml:space="preserve">ועתרה לעונש של 42 חודשי מאסר, מאסר על תנאי, קנס משמעותי, פסילת רישיון נהיגה בפועל ועל תנאי. </w:t>
      </w:r>
    </w:p>
    <w:p w14:paraId="1B6C1EE5" w14:textId="77777777" w:rsidR="00177680" w:rsidRDefault="00177680" w:rsidP="00177680">
      <w:pPr>
        <w:pStyle w:val="a9"/>
        <w:spacing w:line="360" w:lineRule="auto"/>
        <w:ind w:left="85" w:hanging="709"/>
        <w:jc w:val="both"/>
        <w:rPr>
          <w:rFonts w:ascii="Arial" w:hAnsi="Arial"/>
          <w:noProof w:val="0"/>
        </w:rPr>
      </w:pPr>
      <w:r>
        <w:rPr>
          <w:rFonts w:ascii="Arial" w:hAnsi="Arial"/>
          <w:noProof w:val="0"/>
          <w:rtl/>
        </w:rPr>
        <w:tab/>
        <w:t xml:space="preserve">המאשימה הפנתה </w:t>
      </w:r>
      <w:r>
        <w:rPr>
          <w:rFonts w:ascii="Arial" w:hAnsi="Arial" w:hint="cs"/>
          <w:noProof w:val="0"/>
          <w:rtl/>
        </w:rPr>
        <w:t xml:space="preserve">בטיעוניה </w:t>
      </w:r>
      <w:r>
        <w:rPr>
          <w:rFonts w:ascii="Arial" w:hAnsi="Arial"/>
          <w:noProof w:val="0"/>
          <w:rtl/>
        </w:rPr>
        <w:t>לערכים המוגנים שנפגעו, לפגיעה</w:t>
      </w:r>
      <w:r>
        <w:rPr>
          <w:rFonts w:ascii="Arial" w:hAnsi="Arial" w:hint="cs"/>
          <w:noProof w:val="0"/>
          <w:rtl/>
        </w:rPr>
        <w:t xml:space="preserve"> </w:t>
      </w:r>
      <w:r>
        <w:rPr>
          <w:rFonts w:ascii="Arial" w:hAnsi="Arial"/>
          <w:noProof w:val="0"/>
          <w:rtl/>
        </w:rPr>
        <w:t xml:space="preserve">החמורה והמשמעותית בהם ולנסיבות הקשורות בביצוע העבירות לרבות לפגיעה הקשה של עבירות הסמים </w:t>
      </w:r>
      <w:r>
        <w:rPr>
          <w:rFonts w:ascii="Arial" w:hAnsi="Arial" w:hint="cs"/>
          <w:noProof w:val="0"/>
          <w:rtl/>
        </w:rPr>
        <w:t>ב</w:t>
      </w:r>
      <w:r>
        <w:rPr>
          <w:rFonts w:ascii="Arial" w:hAnsi="Arial"/>
          <w:noProof w:val="0"/>
          <w:rtl/>
        </w:rPr>
        <w:t>צרכני הסם ו</w:t>
      </w:r>
      <w:r>
        <w:rPr>
          <w:rFonts w:ascii="Arial" w:hAnsi="Arial" w:hint="cs"/>
          <w:noProof w:val="0"/>
          <w:rtl/>
        </w:rPr>
        <w:t>ב</w:t>
      </w:r>
      <w:r>
        <w:rPr>
          <w:rFonts w:ascii="Arial" w:hAnsi="Arial"/>
          <w:noProof w:val="0"/>
          <w:rtl/>
        </w:rPr>
        <w:t xml:space="preserve">ציבור, לתכנון המדוקדק שקדם לביצוע העבירות, לסם שנתפס על גופו של הנאשם </w:t>
      </w:r>
      <w:r>
        <w:rPr>
          <w:rFonts w:ascii="Arial" w:hAnsi="Arial" w:hint="cs"/>
          <w:noProof w:val="0"/>
          <w:rtl/>
        </w:rPr>
        <w:t xml:space="preserve">עת </w:t>
      </w:r>
      <w:r>
        <w:rPr>
          <w:rFonts w:ascii="Arial" w:hAnsi="Arial"/>
          <w:noProof w:val="0"/>
          <w:rtl/>
        </w:rPr>
        <w:t>נתפס</w:t>
      </w:r>
      <w:r>
        <w:rPr>
          <w:rFonts w:ascii="Arial" w:hAnsi="Arial" w:hint="cs"/>
          <w:noProof w:val="0"/>
          <w:rtl/>
        </w:rPr>
        <w:t xml:space="preserve"> בידי המשטרה</w:t>
      </w:r>
      <w:r>
        <w:rPr>
          <w:rFonts w:ascii="Arial" w:hAnsi="Arial"/>
          <w:noProof w:val="0"/>
          <w:rtl/>
        </w:rPr>
        <w:t xml:space="preserve">, לכמות הסם המשמעותית אותה ניתן </w:t>
      </w:r>
      <w:r>
        <w:rPr>
          <w:rFonts w:ascii="Arial" w:hAnsi="Arial" w:hint="cs"/>
          <w:noProof w:val="0"/>
          <w:rtl/>
        </w:rPr>
        <w:t xml:space="preserve">היה </w:t>
      </w:r>
      <w:r>
        <w:rPr>
          <w:rFonts w:ascii="Arial" w:hAnsi="Arial"/>
          <w:noProof w:val="0"/>
          <w:rtl/>
        </w:rPr>
        <w:t xml:space="preserve">לחלק לאלפי מנות סם, לסיבה בגינה יובא הסם, לחלקו המרכזי של הנאשם בביצוע העבירות ולתופעה המתגברת של יבוא סמים לארץ על-ידי תושבים זרים. </w:t>
      </w:r>
    </w:p>
    <w:p w14:paraId="1DE9F0E3" w14:textId="77777777" w:rsidR="00177680" w:rsidRDefault="00177680" w:rsidP="00177680">
      <w:pPr>
        <w:pStyle w:val="a9"/>
        <w:spacing w:line="360" w:lineRule="auto"/>
        <w:ind w:left="85" w:hanging="709"/>
        <w:jc w:val="both"/>
        <w:rPr>
          <w:rFonts w:ascii="Arial" w:hAnsi="Arial"/>
          <w:noProof w:val="0"/>
          <w:rtl/>
        </w:rPr>
      </w:pPr>
      <w:r>
        <w:rPr>
          <w:rFonts w:ascii="Arial" w:hAnsi="Arial"/>
          <w:noProof w:val="0"/>
          <w:rtl/>
        </w:rPr>
        <w:tab/>
        <w:t xml:space="preserve">המאשימה הפנתה לבכורה שיש לתת </w:t>
      </w:r>
      <w:r>
        <w:rPr>
          <w:rFonts w:ascii="Arial" w:hAnsi="Arial" w:hint="cs"/>
          <w:noProof w:val="0"/>
          <w:rtl/>
        </w:rPr>
        <w:t>ל</w:t>
      </w:r>
      <w:r>
        <w:rPr>
          <w:rFonts w:ascii="Arial" w:hAnsi="Arial"/>
          <w:noProof w:val="0"/>
          <w:rtl/>
        </w:rPr>
        <w:t>אינטרס הציבורי ולשיקולי הגמול וההרתעה על פני נסיבותיו האישיות של הנאשם</w:t>
      </w:r>
      <w:r>
        <w:rPr>
          <w:rFonts w:ascii="Arial" w:hAnsi="Arial" w:hint="cs"/>
          <w:noProof w:val="0"/>
          <w:rtl/>
        </w:rPr>
        <w:t>, וזאת גם בשל שכיחות התופעה</w:t>
      </w:r>
      <w:r>
        <w:rPr>
          <w:rFonts w:ascii="Arial" w:hAnsi="Arial"/>
          <w:noProof w:val="0"/>
          <w:rtl/>
        </w:rPr>
        <w:t xml:space="preserve">. </w:t>
      </w:r>
      <w:r w:rsidRPr="00830AA3">
        <w:rPr>
          <w:rFonts w:ascii="Arial" w:hAnsi="Arial"/>
          <w:noProof w:val="0"/>
          <w:rtl/>
        </w:rPr>
        <w:t>המאשימה צרפה פסיקה לתמיכה בטיעוניה ובעמדתה העונשית</w:t>
      </w:r>
      <w:r>
        <w:rPr>
          <w:rFonts w:ascii="Arial" w:hAnsi="Arial" w:hint="cs"/>
          <w:noProof w:val="0"/>
          <w:rtl/>
        </w:rPr>
        <w:t>.</w:t>
      </w:r>
    </w:p>
    <w:p w14:paraId="32CB090F" w14:textId="77777777" w:rsidR="00177680" w:rsidRDefault="00177680" w:rsidP="00177680">
      <w:pPr>
        <w:pStyle w:val="a9"/>
        <w:spacing w:line="360" w:lineRule="auto"/>
        <w:ind w:left="85" w:hanging="709"/>
        <w:jc w:val="both"/>
        <w:rPr>
          <w:rFonts w:ascii="Arial" w:hAnsi="Arial"/>
          <w:noProof w:val="0"/>
          <w:rtl/>
        </w:rPr>
      </w:pPr>
    </w:p>
    <w:p w14:paraId="32276110" w14:textId="77777777" w:rsidR="00177680" w:rsidRDefault="00177680" w:rsidP="00177680">
      <w:pPr>
        <w:pStyle w:val="a9"/>
        <w:numPr>
          <w:ilvl w:val="0"/>
          <w:numId w:val="1"/>
        </w:numPr>
        <w:spacing w:line="360" w:lineRule="auto"/>
        <w:ind w:left="85" w:hanging="709"/>
        <w:jc w:val="both"/>
        <w:rPr>
          <w:rFonts w:ascii="Arial" w:hAnsi="Arial"/>
          <w:noProof w:val="0"/>
        </w:rPr>
      </w:pPr>
      <w:r w:rsidRPr="00B2625F">
        <w:rPr>
          <w:rFonts w:ascii="Arial" w:hAnsi="Arial" w:hint="cs"/>
          <w:b/>
          <w:bCs/>
          <w:noProof w:val="0"/>
          <w:rtl/>
        </w:rPr>
        <w:t>ב"כ הנאשם</w:t>
      </w:r>
      <w:r>
        <w:rPr>
          <w:rFonts w:ascii="Arial" w:hAnsi="Arial" w:hint="cs"/>
          <w:noProof w:val="0"/>
          <w:rtl/>
        </w:rPr>
        <w:t xml:space="preserve"> טען כי מתחם העונש ההולם נע בין 12-24 חודשי מאסר ועתר לעונש של 12 חודשי מאסר</w:t>
      </w:r>
      <w:r>
        <w:rPr>
          <w:rFonts w:ascii="Arial" w:hAnsi="Arial" w:hint="cs"/>
          <w:noProof w:val="0"/>
        </w:rPr>
        <w:t xml:space="preserve"> </w:t>
      </w:r>
      <w:r>
        <w:rPr>
          <w:rFonts w:ascii="Arial" w:hAnsi="Arial" w:hint="cs"/>
          <w:noProof w:val="0"/>
          <w:rtl/>
        </w:rPr>
        <w:t xml:space="preserve">ומאסר על תנאי. ב"כ הנאשם הוסיף, כי ככל שבית המשפט יראה לנכון להטיל על הנאשם קנס, יהיה נכון לקבוע קנס נמוך בשל מצבו הכלכלי של הנאשם. </w:t>
      </w:r>
    </w:p>
    <w:p w14:paraId="2BC369C5" w14:textId="77777777" w:rsidR="00177680" w:rsidRDefault="00177680" w:rsidP="00177680">
      <w:pPr>
        <w:pStyle w:val="a9"/>
        <w:spacing w:line="360" w:lineRule="auto"/>
        <w:ind w:left="85" w:hanging="709"/>
        <w:jc w:val="both"/>
        <w:rPr>
          <w:rFonts w:ascii="Arial" w:hAnsi="Arial"/>
          <w:noProof w:val="0"/>
          <w:rtl/>
        </w:rPr>
      </w:pPr>
      <w:r>
        <w:rPr>
          <w:rFonts w:ascii="Arial" w:hAnsi="Arial"/>
          <w:noProof w:val="0"/>
          <w:rtl/>
        </w:rPr>
        <w:tab/>
      </w:r>
      <w:r w:rsidRPr="00386D4D">
        <w:rPr>
          <w:rFonts w:ascii="Arial" w:hAnsi="Arial" w:hint="cs"/>
          <w:noProof w:val="0"/>
          <w:rtl/>
        </w:rPr>
        <w:t xml:space="preserve">ב"כ הנאשם הפנה </w:t>
      </w:r>
      <w:r>
        <w:rPr>
          <w:rFonts w:ascii="Arial" w:hAnsi="Arial" w:hint="cs"/>
          <w:noProof w:val="0"/>
          <w:rtl/>
        </w:rPr>
        <w:t xml:space="preserve">בטיעוניו </w:t>
      </w:r>
      <w:r w:rsidRPr="00386D4D">
        <w:rPr>
          <w:rFonts w:ascii="Arial" w:hAnsi="Arial" w:hint="cs"/>
          <w:noProof w:val="0"/>
          <w:rtl/>
        </w:rPr>
        <w:t xml:space="preserve">לגזר </w:t>
      </w:r>
      <w:r>
        <w:rPr>
          <w:rFonts w:ascii="Arial" w:hAnsi="Arial" w:hint="cs"/>
          <w:noProof w:val="0"/>
          <w:rtl/>
        </w:rPr>
        <w:t>הדין ב</w:t>
      </w:r>
      <w:hyperlink r:id="rId16" w:history="1">
        <w:r w:rsidR="00F473A7" w:rsidRPr="00F473A7">
          <w:rPr>
            <w:rFonts w:ascii="Arial" w:hAnsi="Arial"/>
            <w:noProof w:val="0"/>
            <w:color w:val="0000FF"/>
            <w:u w:val="single"/>
            <w:rtl/>
          </w:rPr>
          <w:t>ת"פ (מחוזי-ב"ש) 716-05-22</w:t>
        </w:r>
      </w:hyperlink>
      <w:r w:rsidRPr="00BD20B9">
        <w:rPr>
          <w:rFonts w:ascii="Arial" w:hAnsi="Arial"/>
          <w:noProof w:val="0"/>
          <w:rtl/>
        </w:rPr>
        <w:t xml:space="preserve"> </w:t>
      </w:r>
      <w:r w:rsidRPr="00BD20B9">
        <w:rPr>
          <w:rFonts w:ascii="Arial" w:hAnsi="Arial" w:hint="cs"/>
          <w:b/>
          <w:bCs/>
          <w:noProof w:val="0"/>
          <w:rtl/>
        </w:rPr>
        <w:t>מדינת ישראל נ'</w:t>
      </w:r>
      <w:r w:rsidRPr="00642B51">
        <w:rPr>
          <w:rFonts w:ascii="David" w:hAnsi="David"/>
          <w:b/>
          <w:bCs/>
          <w:noProof w:val="0"/>
        </w:rPr>
        <w:t>P</w:t>
      </w:r>
      <w:r w:rsidRPr="00B475F6">
        <w:rPr>
          <w:rFonts w:ascii="David" w:hAnsi="David"/>
          <w:b/>
          <w:bCs/>
          <w:noProof w:val="0"/>
        </w:rPr>
        <w:t>RAPAN</w:t>
      </w:r>
      <w:r w:rsidRPr="00642B51">
        <w:rPr>
          <w:rFonts w:ascii="David" w:hAnsi="David"/>
          <w:b/>
          <w:bCs/>
          <w:noProof w:val="0"/>
        </w:rPr>
        <w:t xml:space="preserve"> </w:t>
      </w:r>
      <w:r w:rsidRPr="00642B51">
        <w:rPr>
          <w:rFonts w:ascii="David" w:hAnsi="David"/>
          <w:noProof w:val="0"/>
          <w:rtl/>
        </w:rPr>
        <w:t xml:space="preserve"> </w:t>
      </w:r>
      <w:r>
        <w:rPr>
          <w:rFonts w:ascii="Arial" w:hAnsi="Arial" w:hint="cs"/>
          <w:noProof w:val="0"/>
          <w:rtl/>
        </w:rPr>
        <w:t xml:space="preserve"> (</w:t>
      </w:r>
      <w:r w:rsidRPr="00386D4D">
        <w:rPr>
          <w:rFonts w:ascii="Arial" w:hAnsi="Arial" w:hint="cs"/>
          <w:noProof w:val="0"/>
          <w:rtl/>
        </w:rPr>
        <w:t>להלן: "ענ</w:t>
      </w:r>
      <w:r>
        <w:rPr>
          <w:rFonts w:ascii="Arial" w:hAnsi="Arial" w:hint="cs"/>
          <w:noProof w:val="0"/>
          <w:rtl/>
        </w:rPr>
        <w:t>יין פראפן") שניתן אך לאחרונה על-</w:t>
      </w:r>
      <w:r w:rsidRPr="00386D4D">
        <w:rPr>
          <w:rFonts w:ascii="Arial" w:hAnsi="Arial" w:hint="cs"/>
          <w:noProof w:val="0"/>
          <w:rtl/>
        </w:rPr>
        <w:t>ידי מותב זה</w:t>
      </w:r>
      <w:r>
        <w:rPr>
          <w:rFonts w:ascii="Arial" w:hAnsi="Arial" w:hint="cs"/>
          <w:noProof w:val="0"/>
          <w:rtl/>
        </w:rPr>
        <w:t>,</w:t>
      </w:r>
      <w:r w:rsidRPr="00386D4D">
        <w:rPr>
          <w:rFonts w:ascii="Arial" w:hAnsi="Arial" w:hint="cs"/>
          <w:noProof w:val="0"/>
          <w:rtl/>
        </w:rPr>
        <w:t xml:space="preserve"> וטען כי נסיבות ביצוע העבירה בתיק דנן קלות באופן משמעותי מאלו </w:t>
      </w:r>
      <w:r>
        <w:rPr>
          <w:rFonts w:ascii="Arial" w:hAnsi="Arial" w:hint="cs"/>
          <w:noProof w:val="0"/>
          <w:rtl/>
        </w:rPr>
        <w:t>שהיו בעניין</w:t>
      </w:r>
      <w:r w:rsidRPr="00386D4D">
        <w:rPr>
          <w:rFonts w:ascii="Arial" w:hAnsi="Arial" w:hint="cs"/>
          <w:noProof w:val="0"/>
          <w:rtl/>
        </w:rPr>
        <w:t xml:space="preserve"> פראפן</w:t>
      </w:r>
      <w:r>
        <w:rPr>
          <w:rFonts w:ascii="Arial" w:hAnsi="Arial" w:hint="cs"/>
          <w:noProof w:val="0"/>
          <w:rtl/>
        </w:rPr>
        <w:t>,</w:t>
      </w:r>
      <w:r w:rsidRPr="00386D4D">
        <w:rPr>
          <w:rFonts w:ascii="Arial" w:hAnsi="Arial" w:hint="cs"/>
          <w:noProof w:val="0"/>
          <w:rtl/>
        </w:rPr>
        <w:t xml:space="preserve"> ומכאן ש</w:t>
      </w:r>
      <w:r>
        <w:rPr>
          <w:rFonts w:ascii="Arial" w:hAnsi="Arial" w:hint="cs"/>
          <w:noProof w:val="0"/>
          <w:rtl/>
        </w:rPr>
        <w:t xml:space="preserve">על </w:t>
      </w:r>
      <w:r w:rsidRPr="00386D4D">
        <w:rPr>
          <w:rFonts w:ascii="Arial" w:hAnsi="Arial" w:hint="cs"/>
          <w:noProof w:val="0"/>
          <w:rtl/>
        </w:rPr>
        <w:t>מתחם העונש ההולם להיות נמוך משמעותית מ</w:t>
      </w:r>
      <w:r>
        <w:rPr>
          <w:rFonts w:ascii="Arial" w:hAnsi="Arial" w:hint="cs"/>
          <w:noProof w:val="0"/>
          <w:rtl/>
        </w:rPr>
        <w:t xml:space="preserve">זה </w:t>
      </w:r>
      <w:r w:rsidRPr="00386D4D">
        <w:rPr>
          <w:rFonts w:ascii="Arial" w:hAnsi="Arial" w:hint="cs"/>
          <w:noProof w:val="0"/>
          <w:rtl/>
        </w:rPr>
        <w:t xml:space="preserve">אשר </w:t>
      </w:r>
      <w:r>
        <w:rPr>
          <w:rFonts w:ascii="Arial" w:hAnsi="Arial" w:hint="cs"/>
          <w:noProof w:val="0"/>
          <w:rtl/>
        </w:rPr>
        <w:t>נקבע בעניין</w:t>
      </w:r>
      <w:r w:rsidRPr="00386D4D">
        <w:rPr>
          <w:rFonts w:ascii="Arial" w:hAnsi="Arial" w:hint="cs"/>
          <w:noProof w:val="0"/>
          <w:rtl/>
        </w:rPr>
        <w:t xml:space="preserve"> פראפן.</w:t>
      </w:r>
      <w:r>
        <w:rPr>
          <w:rFonts w:ascii="Arial" w:hAnsi="Arial" w:hint="cs"/>
          <w:noProof w:val="0"/>
          <w:rtl/>
        </w:rPr>
        <w:t xml:space="preserve"> כך, הפנה למשקל הסם שיובא בענייננו לעומת המשקל של הסם שיובא בעניין פראפן שהיה גבוה באופן משמעותי; כך טען כי חלק מהסם שיובא על-ידי הנאשם נועד לצריכתו העצמית (משום שזה כזכור הורשע גם בעבירה של החזקת אותו סם לצריכה עצמית), מה </w:t>
      </w:r>
      <w:r w:rsidRPr="00A6273B">
        <w:rPr>
          <w:rFonts w:ascii="Arial" w:hAnsi="Arial" w:hint="cs"/>
          <w:noProof w:val="0"/>
          <w:rtl/>
        </w:rPr>
        <w:t xml:space="preserve">שאליבא דב"כ הנאשם מעניק משקל גדול יותר לטענה </w:t>
      </w:r>
      <w:r w:rsidRPr="00A6273B">
        <w:rPr>
          <w:rFonts w:ascii="Arial" w:hAnsi="Arial" w:hint="cs"/>
          <w:noProof w:val="0"/>
          <w:rtl/>
        </w:rPr>
        <w:lastRenderedPageBreak/>
        <w:t xml:space="preserve">שהועלתה בוועדות שונות של הכנסת לפיה העובדים הזרים </w:t>
      </w:r>
      <w:r>
        <w:rPr>
          <w:rFonts w:ascii="Arial" w:hAnsi="Arial" w:hint="cs"/>
          <w:noProof w:val="0"/>
          <w:rtl/>
        </w:rPr>
        <w:t xml:space="preserve">מתאילנד </w:t>
      </w:r>
      <w:r w:rsidRPr="00A6273B">
        <w:rPr>
          <w:rFonts w:ascii="Arial" w:hAnsi="Arial" w:hint="cs"/>
          <w:noProof w:val="0"/>
          <w:rtl/>
        </w:rPr>
        <w:t xml:space="preserve">משתמשים בסמים </w:t>
      </w:r>
      <w:r>
        <w:rPr>
          <w:rFonts w:ascii="Arial" w:hAnsi="Arial" w:hint="cs"/>
          <w:noProof w:val="0"/>
          <w:rtl/>
        </w:rPr>
        <w:t xml:space="preserve">שכאלה </w:t>
      </w:r>
      <w:r w:rsidRPr="00A6273B">
        <w:rPr>
          <w:rFonts w:ascii="Arial" w:hAnsi="Arial" w:hint="cs"/>
          <w:noProof w:val="0"/>
          <w:rtl/>
        </w:rPr>
        <w:t>ופועלים להשגתם באמצעים שונים בשל התנאים הקשים בהם הם מועסקים</w:t>
      </w:r>
      <w:r>
        <w:rPr>
          <w:rFonts w:ascii="Arial" w:hAnsi="Arial" w:hint="cs"/>
          <w:noProof w:val="0"/>
          <w:rtl/>
        </w:rPr>
        <w:t>, בעוד שבעניין פראפן הורשע הנאשם בנוסף לעבירת היבוא בעבירות הקשורות להחזקת סם שלא לצריכה עצמית;</w:t>
      </w:r>
      <w:r w:rsidRPr="00A6273B">
        <w:rPr>
          <w:rFonts w:ascii="Arial" w:hAnsi="Arial" w:hint="cs"/>
          <w:noProof w:val="0"/>
          <w:rtl/>
        </w:rPr>
        <w:t xml:space="preserve"> וכך </w:t>
      </w:r>
      <w:r>
        <w:rPr>
          <w:rFonts w:ascii="Arial" w:hAnsi="Arial" w:hint="cs"/>
          <w:noProof w:val="0"/>
          <w:rtl/>
        </w:rPr>
        <w:t xml:space="preserve">טען </w:t>
      </w:r>
      <w:r w:rsidRPr="00A6273B">
        <w:rPr>
          <w:rFonts w:ascii="Arial" w:hAnsi="Arial" w:hint="cs"/>
          <w:noProof w:val="0"/>
          <w:rtl/>
        </w:rPr>
        <w:t xml:space="preserve">למידת האשם ומידת התחכום הפחותה במעשיו של הנאשם </w:t>
      </w:r>
      <w:r>
        <w:rPr>
          <w:rFonts w:ascii="Arial" w:hAnsi="Arial" w:hint="cs"/>
          <w:noProof w:val="0"/>
          <w:rtl/>
        </w:rPr>
        <w:t>ביחס לאלו שהיו בעניין</w:t>
      </w:r>
      <w:r w:rsidRPr="00A6273B">
        <w:rPr>
          <w:rFonts w:ascii="Arial" w:hAnsi="Arial" w:hint="cs"/>
          <w:noProof w:val="0"/>
          <w:rtl/>
        </w:rPr>
        <w:t xml:space="preserve"> פראפן</w:t>
      </w:r>
      <w:r>
        <w:rPr>
          <w:rFonts w:ascii="Arial" w:hAnsi="Arial" w:hint="cs"/>
          <w:noProof w:val="0"/>
          <w:rtl/>
        </w:rPr>
        <w:t xml:space="preserve">, אשר </w:t>
      </w:r>
      <w:r w:rsidRPr="00A6273B">
        <w:rPr>
          <w:rFonts w:ascii="Arial" w:hAnsi="Arial" w:hint="cs"/>
          <w:noProof w:val="0"/>
          <w:rtl/>
        </w:rPr>
        <w:t xml:space="preserve">קשר קשר עם אחר לצורך יבוא הסם. </w:t>
      </w:r>
    </w:p>
    <w:p w14:paraId="02BD84EF" w14:textId="77777777" w:rsidR="00177680" w:rsidRDefault="00177680" w:rsidP="00177680">
      <w:pPr>
        <w:pStyle w:val="a9"/>
        <w:spacing w:line="360" w:lineRule="auto"/>
        <w:ind w:left="85"/>
        <w:jc w:val="both"/>
        <w:rPr>
          <w:rFonts w:ascii="Arial" w:hAnsi="Arial"/>
          <w:noProof w:val="0"/>
          <w:rtl/>
        </w:rPr>
      </w:pPr>
      <w:r w:rsidRPr="00A6273B">
        <w:rPr>
          <w:rFonts w:ascii="Arial" w:hAnsi="Arial" w:hint="cs"/>
          <w:noProof w:val="0"/>
          <w:rtl/>
        </w:rPr>
        <w:t>ב"כ הנאשם הפנה לנסיבותיו האישיות של הנאשם</w:t>
      </w:r>
      <w:r>
        <w:rPr>
          <w:rFonts w:ascii="Arial" w:hAnsi="Arial" w:hint="cs"/>
          <w:noProof w:val="0"/>
          <w:rtl/>
        </w:rPr>
        <w:t>, להודאתו, לכך שהוא נעדר עבר פלילי ו</w:t>
      </w:r>
      <w:r w:rsidRPr="00A6273B">
        <w:rPr>
          <w:rFonts w:ascii="Arial" w:hAnsi="Arial" w:hint="cs"/>
          <w:noProof w:val="0"/>
          <w:rtl/>
        </w:rPr>
        <w:t xml:space="preserve">לקושי </w:t>
      </w:r>
      <w:r>
        <w:rPr>
          <w:rFonts w:ascii="Arial" w:hAnsi="Arial" w:hint="cs"/>
          <w:noProof w:val="0"/>
          <w:rtl/>
        </w:rPr>
        <w:t xml:space="preserve">הכרוך בכליאתו לנוכח היותו </w:t>
      </w:r>
      <w:r w:rsidRPr="00A6273B">
        <w:rPr>
          <w:rFonts w:ascii="Arial" w:hAnsi="Arial" w:hint="cs"/>
          <w:noProof w:val="0"/>
          <w:rtl/>
        </w:rPr>
        <w:t xml:space="preserve">עובד זר הדובר שפה </w:t>
      </w:r>
      <w:r>
        <w:rPr>
          <w:rFonts w:ascii="Arial" w:hAnsi="Arial" w:hint="cs"/>
          <w:noProof w:val="0"/>
          <w:rtl/>
        </w:rPr>
        <w:t>זרה בלבד.</w:t>
      </w:r>
      <w:r w:rsidRPr="00A6273B">
        <w:rPr>
          <w:rFonts w:ascii="Arial" w:hAnsi="Arial" w:hint="cs"/>
          <w:noProof w:val="0"/>
          <w:rtl/>
        </w:rPr>
        <w:t xml:space="preserve"> </w:t>
      </w:r>
    </w:p>
    <w:p w14:paraId="3BA17A8C" w14:textId="77777777" w:rsidR="00177680" w:rsidRDefault="00177680" w:rsidP="00177680">
      <w:pPr>
        <w:pStyle w:val="a9"/>
        <w:spacing w:line="360" w:lineRule="auto"/>
        <w:ind w:left="85"/>
        <w:jc w:val="both"/>
        <w:rPr>
          <w:rFonts w:ascii="Arial" w:hAnsi="Arial"/>
          <w:noProof w:val="0"/>
          <w:rtl/>
        </w:rPr>
      </w:pPr>
      <w:r w:rsidRPr="00A6273B">
        <w:rPr>
          <w:rFonts w:ascii="Arial" w:hAnsi="Arial" w:hint="cs"/>
          <w:noProof w:val="0"/>
          <w:rtl/>
        </w:rPr>
        <w:t>ב"כ הנאשם התיי</w:t>
      </w:r>
      <w:r>
        <w:rPr>
          <w:rFonts w:ascii="Arial" w:hAnsi="Arial" w:hint="cs"/>
          <w:noProof w:val="0"/>
          <w:rtl/>
        </w:rPr>
        <w:t>חס בטיעוניו גם לפסיקה שצרפה המאשימה וטען כי מדובר באסופה</w:t>
      </w:r>
      <w:r w:rsidRPr="00A6273B">
        <w:rPr>
          <w:rFonts w:ascii="Arial" w:hAnsi="Arial" w:hint="cs"/>
          <w:noProof w:val="0"/>
          <w:rtl/>
        </w:rPr>
        <w:t xml:space="preserve"> </w:t>
      </w:r>
      <w:r>
        <w:rPr>
          <w:rFonts w:ascii="Arial" w:hAnsi="Arial" w:hint="cs"/>
          <w:noProof w:val="0"/>
          <w:rtl/>
        </w:rPr>
        <w:t>"</w:t>
      </w:r>
      <w:r w:rsidRPr="00A6273B">
        <w:rPr>
          <w:rFonts w:ascii="Arial" w:hAnsi="Arial" w:hint="cs"/>
          <w:noProof w:val="0"/>
          <w:rtl/>
        </w:rPr>
        <w:t>סלקטיבית</w:t>
      </w:r>
      <w:r>
        <w:rPr>
          <w:rFonts w:ascii="Arial" w:hAnsi="Arial" w:hint="cs"/>
          <w:noProof w:val="0"/>
          <w:rtl/>
        </w:rPr>
        <w:t>"</w:t>
      </w:r>
      <w:r w:rsidRPr="00A6273B">
        <w:rPr>
          <w:rFonts w:ascii="Arial" w:hAnsi="Arial" w:hint="cs"/>
          <w:noProof w:val="0"/>
          <w:rtl/>
        </w:rPr>
        <w:t xml:space="preserve"> </w:t>
      </w:r>
      <w:r>
        <w:rPr>
          <w:rFonts w:ascii="Arial" w:hAnsi="Arial" w:hint="cs"/>
          <w:noProof w:val="0"/>
          <w:rtl/>
        </w:rPr>
        <w:t xml:space="preserve">באשר </w:t>
      </w:r>
      <w:r w:rsidRPr="00A6273B">
        <w:rPr>
          <w:rFonts w:ascii="Arial" w:hAnsi="Arial" w:hint="cs"/>
          <w:noProof w:val="0"/>
          <w:rtl/>
        </w:rPr>
        <w:t xml:space="preserve">קיימת פסיקה במקרים דומים </w:t>
      </w:r>
      <w:r>
        <w:rPr>
          <w:rFonts w:ascii="Arial" w:hAnsi="Arial" w:hint="cs"/>
          <w:noProof w:val="0"/>
          <w:rtl/>
        </w:rPr>
        <w:t xml:space="preserve">שבהם הוטלו </w:t>
      </w:r>
      <w:r w:rsidRPr="00A6273B">
        <w:rPr>
          <w:rFonts w:ascii="Arial" w:hAnsi="Arial" w:hint="cs"/>
          <w:noProof w:val="0"/>
          <w:rtl/>
        </w:rPr>
        <w:t xml:space="preserve">עונשים נמוכים יותר. </w:t>
      </w:r>
    </w:p>
    <w:p w14:paraId="3CE72FC4" w14:textId="77777777" w:rsidR="00177680" w:rsidRPr="00C15188" w:rsidRDefault="00177680" w:rsidP="00177680">
      <w:pPr>
        <w:spacing w:line="360" w:lineRule="auto"/>
        <w:jc w:val="both"/>
        <w:rPr>
          <w:rFonts w:ascii="Arial" w:hAnsi="Arial"/>
          <w:noProof w:val="0"/>
          <w:rtl/>
        </w:rPr>
      </w:pPr>
    </w:p>
    <w:p w14:paraId="0C205A0F" w14:textId="77777777" w:rsidR="00177680" w:rsidRPr="000E5448" w:rsidRDefault="00177680" w:rsidP="00177680">
      <w:pPr>
        <w:spacing w:line="360" w:lineRule="auto"/>
        <w:ind w:left="85" w:hanging="709"/>
        <w:jc w:val="both"/>
        <w:rPr>
          <w:rFonts w:ascii="Arial" w:hAnsi="Arial"/>
          <w:noProof w:val="0"/>
        </w:rPr>
      </w:pPr>
      <w:r w:rsidRPr="000E5448">
        <w:rPr>
          <w:rFonts w:ascii="Arial" w:hAnsi="Arial" w:hint="cs"/>
          <w:rtl/>
        </w:rPr>
        <w:t>6.</w:t>
      </w:r>
      <w:r>
        <w:rPr>
          <w:rFonts w:ascii="Arial" w:hAnsi="Arial" w:hint="cs"/>
          <w:rtl/>
        </w:rPr>
        <w:tab/>
      </w:r>
      <w:r w:rsidRPr="00770FE0">
        <w:rPr>
          <w:rFonts w:ascii="Arial" w:hAnsi="Arial" w:hint="cs"/>
          <w:b/>
          <w:bCs/>
          <w:rtl/>
        </w:rPr>
        <w:t>הנאשם</w:t>
      </w:r>
      <w:r w:rsidRPr="000E5448">
        <w:rPr>
          <w:rFonts w:ascii="Arial" w:hAnsi="Arial" w:hint="cs"/>
          <w:rtl/>
        </w:rPr>
        <w:t xml:space="preserve"> אמר את דברו. </w:t>
      </w:r>
      <w:r w:rsidRPr="000E5448">
        <w:rPr>
          <w:rFonts w:ascii="David" w:hAnsi="David" w:hint="cs"/>
          <w:rtl/>
        </w:rPr>
        <w:t xml:space="preserve">הנאשם מסר כי </w:t>
      </w:r>
      <w:r>
        <w:rPr>
          <w:rFonts w:ascii="David" w:hAnsi="David" w:hint="cs"/>
          <w:rtl/>
        </w:rPr>
        <w:t xml:space="preserve">הוא </w:t>
      </w:r>
      <w:r w:rsidRPr="000E5448">
        <w:rPr>
          <w:rFonts w:ascii="David" w:hAnsi="David" w:hint="cs"/>
          <w:rtl/>
        </w:rPr>
        <w:t>מתגורר</w:t>
      </w:r>
      <w:r w:rsidRPr="000E5448">
        <w:rPr>
          <w:rFonts w:ascii="David" w:hAnsi="David"/>
          <w:rtl/>
        </w:rPr>
        <w:t xml:space="preserve"> בצפון תאילנד במחוז נאן</w:t>
      </w:r>
      <w:r w:rsidRPr="000E5448">
        <w:rPr>
          <w:rFonts w:ascii="David" w:hAnsi="David" w:hint="cs"/>
          <w:rtl/>
        </w:rPr>
        <w:t>, כי הוא נשוי ואב לשני ילדים</w:t>
      </w:r>
      <w:r>
        <w:rPr>
          <w:rFonts w:ascii="David" w:hAnsi="David" w:hint="cs"/>
          <w:rtl/>
        </w:rPr>
        <w:t xml:space="preserve"> (בן 8 ובת 7) </w:t>
      </w:r>
      <w:r w:rsidRPr="000E5448">
        <w:rPr>
          <w:rFonts w:ascii="David" w:hAnsi="David" w:hint="cs"/>
          <w:rtl/>
        </w:rPr>
        <w:t xml:space="preserve"> וכי מאז שהוא נעצר נפגעה פרנסתם. הנאשם ביקש להודות למדינת ישראל על שהיא מעניקה לעובדים התאילנדים את האפשרות לעבוד והביע את צערו על הנזק שגרם למדינת ישראל. הנאשם הוסיף כי כשיחזור לארצו יבקש מחבריו שלא לחזור על מעשיו. הנאשם מסר כי הוא שומר על קשר עם משפחתו באמצעות חברים וכי אין לו קרובי משפחה בישראל </w:t>
      </w:r>
      <w:r>
        <w:rPr>
          <w:rFonts w:ascii="Arial" w:hAnsi="Arial" w:hint="cs"/>
          <w:noProof w:val="0"/>
          <w:rtl/>
        </w:rPr>
        <w:t>ואף אחד לא מפקיד לו "קנטינה".</w:t>
      </w:r>
    </w:p>
    <w:p w14:paraId="502B9B7C" w14:textId="77777777" w:rsidR="00177680" w:rsidRDefault="00177680" w:rsidP="00177680">
      <w:pPr>
        <w:pStyle w:val="a9"/>
        <w:spacing w:line="360" w:lineRule="auto"/>
        <w:ind w:left="85"/>
        <w:jc w:val="both"/>
        <w:rPr>
          <w:rFonts w:ascii="Arial" w:hAnsi="Arial"/>
          <w:noProof w:val="0"/>
          <w:rtl/>
        </w:rPr>
      </w:pPr>
    </w:p>
    <w:p w14:paraId="33F8BA11" w14:textId="77777777" w:rsidR="00177680" w:rsidRDefault="00177680" w:rsidP="00177680">
      <w:pPr>
        <w:ind w:left="85" w:hanging="709"/>
        <w:rPr>
          <w:rFonts w:ascii="David" w:hAnsi="David"/>
          <w:b/>
          <w:bCs/>
          <w:noProof w:val="0"/>
          <w:u w:val="single"/>
          <w:rtl/>
        </w:rPr>
      </w:pPr>
      <w:r>
        <w:rPr>
          <w:rFonts w:ascii="David" w:hAnsi="David"/>
          <w:rtl/>
        </w:rPr>
        <w:tab/>
      </w:r>
      <w:r>
        <w:rPr>
          <w:rFonts w:ascii="David" w:hAnsi="David"/>
          <w:b/>
          <w:bCs/>
          <w:u w:val="single"/>
          <w:rtl/>
        </w:rPr>
        <w:t>דיון והכרעה</w:t>
      </w:r>
    </w:p>
    <w:p w14:paraId="6806E5BB" w14:textId="77777777" w:rsidR="00177680" w:rsidRDefault="00177680" w:rsidP="00177680">
      <w:pPr>
        <w:ind w:left="85" w:hanging="709"/>
        <w:rPr>
          <w:rFonts w:ascii="David" w:hAnsi="David"/>
          <w:b/>
          <w:bCs/>
          <w:noProof w:val="0"/>
          <w:u w:val="single"/>
        </w:rPr>
      </w:pPr>
    </w:p>
    <w:p w14:paraId="6BA822AE" w14:textId="77777777" w:rsidR="00177680" w:rsidRDefault="00177680" w:rsidP="00177680">
      <w:pPr>
        <w:spacing w:line="360" w:lineRule="auto"/>
        <w:ind w:left="85" w:hanging="709"/>
        <w:jc w:val="both"/>
        <w:rPr>
          <w:rFonts w:ascii="David" w:eastAsia="David" w:hAnsi="David"/>
          <w:b/>
          <w:bCs/>
          <w:rtl/>
        </w:rPr>
      </w:pPr>
      <w:r>
        <w:rPr>
          <w:rFonts w:ascii="David" w:eastAsia="David" w:hAnsi="David" w:hint="cs"/>
          <w:rtl/>
        </w:rPr>
        <w:t>7.</w:t>
      </w:r>
      <w:r>
        <w:rPr>
          <w:rFonts w:ascii="David" w:eastAsia="David" w:hAnsi="David" w:hint="cs"/>
          <w:rtl/>
        </w:rPr>
        <w:tab/>
      </w:r>
      <w:r>
        <w:rPr>
          <w:rFonts w:ascii="David" w:eastAsia="David" w:hAnsi="David"/>
          <w:rtl/>
        </w:rPr>
        <w:t>סבורני כי יש לראות בעבירות בהן הורשע הנאשם ככאלו המהוות אירוע פלילי אחד וכפועל יוצא יש מקום לקבוע מתחם עונש הולם אחד ולגזור עונש אחד.</w:t>
      </w:r>
    </w:p>
    <w:p w14:paraId="2C474EB2" w14:textId="77777777" w:rsidR="00177680" w:rsidRDefault="00177680" w:rsidP="00177680">
      <w:pPr>
        <w:spacing w:line="360" w:lineRule="auto"/>
        <w:ind w:left="85" w:hanging="709"/>
        <w:jc w:val="both"/>
        <w:rPr>
          <w:rFonts w:ascii="David" w:eastAsia="David" w:hAnsi="David"/>
          <w:b/>
          <w:bCs/>
          <w:rtl/>
        </w:rPr>
      </w:pPr>
      <w:r>
        <w:rPr>
          <w:rFonts w:ascii="David" w:eastAsia="David" w:hAnsi="David"/>
          <w:rtl/>
        </w:rPr>
        <w:tab/>
        <w:t xml:space="preserve">סבורני כי מתחם העונש ההולם נע בין </w:t>
      </w:r>
      <w:r>
        <w:rPr>
          <w:rFonts w:ascii="David" w:eastAsia="David" w:hAnsi="David" w:hint="cs"/>
          <w:rtl/>
        </w:rPr>
        <w:t>18</w:t>
      </w:r>
      <w:r>
        <w:rPr>
          <w:rFonts w:ascii="David" w:eastAsia="David" w:hAnsi="David"/>
          <w:rtl/>
        </w:rPr>
        <w:t xml:space="preserve"> </w:t>
      </w:r>
      <w:r>
        <w:rPr>
          <w:rFonts w:ascii="David" w:eastAsia="David" w:hAnsi="David" w:hint="cs"/>
          <w:rtl/>
        </w:rPr>
        <w:t xml:space="preserve">ל-36 </w:t>
      </w:r>
      <w:r>
        <w:rPr>
          <w:rFonts w:ascii="David" w:eastAsia="David" w:hAnsi="David"/>
          <w:rtl/>
        </w:rPr>
        <w:t>חודשי מאסר. בקביעת המתחם התחשבתי בערכים המוגנים שנפגעו, במידת הפגיעה בהם, בנסיבות הקשורות בביצוע העבירות</w:t>
      </w:r>
      <w:r>
        <w:rPr>
          <w:rFonts w:ascii="David" w:eastAsia="David" w:hAnsi="David" w:hint="cs"/>
          <w:rtl/>
        </w:rPr>
        <w:t xml:space="preserve"> </w:t>
      </w:r>
      <w:r>
        <w:rPr>
          <w:rFonts w:ascii="David" w:eastAsia="David" w:hAnsi="David"/>
          <w:rtl/>
        </w:rPr>
        <w:t>ובענישה הנוהגת</w:t>
      </w:r>
      <w:r>
        <w:rPr>
          <w:rFonts w:ascii="David" w:eastAsia="David" w:hAnsi="David" w:hint="cs"/>
          <w:rtl/>
        </w:rPr>
        <w:t xml:space="preserve">, </w:t>
      </w:r>
      <w:r>
        <w:rPr>
          <w:rFonts w:ascii="David" w:eastAsia="David" w:hAnsi="David"/>
          <w:rtl/>
        </w:rPr>
        <w:t>כפי שאפרט להלן.</w:t>
      </w:r>
      <w:r>
        <w:rPr>
          <w:rFonts w:ascii="David" w:eastAsia="David" w:hAnsi="David"/>
          <w:b/>
          <w:bCs/>
          <w:rtl/>
        </w:rPr>
        <w:tab/>
      </w:r>
      <w:r>
        <w:rPr>
          <w:rFonts w:ascii="David" w:eastAsia="David" w:hAnsi="David"/>
          <w:rtl/>
        </w:rPr>
        <w:t xml:space="preserve"> </w:t>
      </w:r>
    </w:p>
    <w:p w14:paraId="46A2C247" w14:textId="77777777" w:rsidR="00177680" w:rsidRDefault="00177680" w:rsidP="00177680">
      <w:pPr>
        <w:spacing w:line="360" w:lineRule="auto"/>
        <w:ind w:left="85" w:hanging="709"/>
        <w:jc w:val="both"/>
        <w:rPr>
          <w:rFonts w:ascii="David" w:eastAsia="David" w:hAnsi="David"/>
          <w:rtl/>
        </w:rPr>
      </w:pPr>
    </w:p>
    <w:p w14:paraId="6D03FFCC" w14:textId="77777777" w:rsidR="00177680" w:rsidRDefault="00177680" w:rsidP="00177680">
      <w:pPr>
        <w:spacing w:line="360" w:lineRule="auto"/>
        <w:ind w:left="85" w:hanging="709"/>
        <w:jc w:val="both"/>
        <w:rPr>
          <w:rFonts w:ascii="David" w:eastAsia="David" w:hAnsi="David"/>
          <w:rtl/>
        </w:rPr>
      </w:pPr>
      <w:r>
        <w:rPr>
          <w:rFonts w:ascii="David" w:eastAsia="David" w:hAnsi="David"/>
          <w:rtl/>
        </w:rPr>
        <w:t>8.</w:t>
      </w:r>
      <w:r>
        <w:rPr>
          <w:rFonts w:ascii="David" w:eastAsia="David" w:hAnsi="David"/>
          <w:rtl/>
        </w:rPr>
        <w:tab/>
        <w:t xml:space="preserve">הערכים המוגנים בעבירות הסמים הם בעיקרם של הגנה על שלום הציבור ובריאותו. </w:t>
      </w:r>
    </w:p>
    <w:p w14:paraId="4D79256D" w14:textId="77777777" w:rsidR="00177680" w:rsidRDefault="00177680" w:rsidP="00177680">
      <w:pPr>
        <w:spacing w:line="360" w:lineRule="auto"/>
        <w:ind w:left="85" w:hanging="709"/>
        <w:jc w:val="both"/>
        <w:rPr>
          <w:rFonts w:ascii="David" w:eastAsia="David" w:hAnsi="David"/>
          <w:rtl/>
        </w:rPr>
      </w:pPr>
      <w:r>
        <w:rPr>
          <w:rFonts w:ascii="David" w:eastAsia="David" w:hAnsi="David"/>
          <w:rtl/>
        </w:rPr>
        <w:tab/>
        <w:t>הפגיעה ההרסנית הכרוכה בשימוש בסמים, כמו הנזקים המשניים הנלווים לחברה</w:t>
      </w:r>
      <w:r>
        <w:rPr>
          <w:rFonts w:ascii="David" w:eastAsia="David" w:hAnsi="David" w:hint="cs"/>
          <w:rtl/>
        </w:rPr>
        <w:t>,</w:t>
      </w:r>
      <w:r>
        <w:rPr>
          <w:rFonts w:ascii="David" w:eastAsia="David" w:hAnsi="David"/>
          <w:rtl/>
        </w:rPr>
        <w:t xml:space="preserve"> מצדיקים התייחסות מחמירה של בתי המשפט ביחס לכל שרשרת הפצת הסם, ובפרט כלפי אלה המייבאים את הסם ארצה. בעניין זה ראו למשל </w:t>
      </w:r>
      <w:hyperlink r:id="rId17" w:history="1">
        <w:r w:rsidR="00F473A7" w:rsidRPr="00F473A7">
          <w:rPr>
            <w:rFonts w:ascii="David" w:eastAsia="David" w:hAnsi="David"/>
            <w:color w:val="0000FF"/>
            <w:u w:val="single"/>
            <w:rtl/>
          </w:rPr>
          <w:t>ע"פ 10635/08</w:t>
        </w:r>
      </w:hyperlink>
      <w:r>
        <w:rPr>
          <w:rFonts w:ascii="David" w:eastAsia="David" w:hAnsi="David"/>
          <w:rtl/>
        </w:rPr>
        <w:t xml:space="preserve"> </w:t>
      </w:r>
      <w:r>
        <w:rPr>
          <w:rFonts w:ascii="David" w:eastAsia="David" w:hAnsi="David"/>
          <w:b/>
          <w:bCs/>
          <w:rtl/>
        </w:rPr>
        <w:t xml:space="preserve">נעים נ' מדינת ישראל </w:t>
      </w:r>
      <w:r>
        <w:rPr>
          <w:rFonts w:ascii="David" w:eastAsia="David" w:hAnsi="David"/>
          <w:rtl/>
        </w:rPr>
        <w:t>(פורסם בנבו, 13.12.2010), פסקה 17:</w:t>
      </w:r>
    </w:p>
    <w:p w14:paraId="3B9DAB3A" w14:textId="77777777" w:rsidR="00177680" w:rsidRDefault="00177680" w:rsidP="00177680">
      <w:pPr>
        <w:spacing w:line="360" w:lineRule="auto"/>
        <w:ind w:left="794" w:right="1276"/>
        <w:jc w:val="both"/>
        <w:rPr>
          <w:rFonts w:ascii="David" w:eastAsia="David" w:hAnsi="David"/>
          <w:rtl/>
        </w:rPr>
      </w:pPr>
      <w:r>
        <w:rPr>
          <w:rFonts w:ascii="David" w:eastAsia="David" w:hAnsi="David"/>
          <w:b/>
          <w:bCs/>
          <w:rtl/>
        </w:rPr>
        <w:t>"המחוקק הטעים את החומרה היתירה שבעבירה של יבוא סמים, בקובעו לצדה עונש מרבי של 20 שנות מאסר. העובדה כי מזימתו של המערער סוכלה ובעקבות כך נמנעו ממנו פירותיה, לא תוכל לשמש יסוד להקל עמו. האיסור הנוגע ליבוא סמים מסוכנים עומד לעצמו, ואין להוסיף עליו דרישה של הפקת רווחים כאלה או אחרים מן הפעולה האסור"</w:t>
      </w:r>
      <w:r>
        <w:rPr>
          <w:rFonts w:ascii="David" w:eastAsia="David" w:hAnsi="David"/>
          <w:rtl/>
        </w:rPr>
        <w:t>.</w:t>
      </w:r>
    </w:p>
    <w:p w14:paraId="2ABEA7BD" w14:textId="77777777" w:rsidR="00177680" w:rsidRDefault="00177680" w:rsidP="00177680">
      <w:pPr>
        <w:spacing w:line="360" w:lineRule="auto"/>
        <w:ind w:left="85" w:hanging="709"/>
        <w:jc w:val="both"/>
        <w:rPr>
          <w:rFonts w:ascii="David" w:eastAsia="David" w:hAnsi="David"/>
          <w:rtl/>
        </w:rPr>
      </w:pPr>
    </w:p>
    <w:p w14:paraId="6F35C510" w14:textId="77777777" w:rsidR="00177680" w:rsidRDefault="00177680" w:rsidP="00177680">
      <w:pPr>
        <w:spacing w:line="360" w:lineRule="auto"/>
        <w:ind w:left="85" w:hanging="709"/>
        <w:jc w:val="both"/>
        <w:rPr>
          <w:rFonts w:ascii="David" w:eastAsia="David" w:hAnsi="David"/>
          <w:rtl/>
        </w:rPr>
      </w:pPr>
      <w:r>
        <w:rPr>
          <w:rFonts w:ascii="David" w:eastAsia="David" w:hAnsi="David"/>
          <w:rtl/>
        </w:rPr>
        <w:t>9.</w:t>
      </w:r>
      <w:r>
        <w:rPr>
          <w:rFonts w:ascii="David" w:eastAsia="David" w:hAnsi="David"/>
          <w:rtl/>
        </w:rPr>
        <w:tab/>
        <w:t>הנאשם ייבא</w:t>
      </w:r>
      <w:r>
        <w:rPr>
          <w:rFonts w:ascii="David" w:eastAsia="David" w:hAnsi="David" w:hint="cs"/>
          <w:rtl/>
        </w:rPr>
        <w:t xml:space="preserve"> 600</w:t>
      </w:r>
      <w:r>
        <w:rPr>
          <w:rFonts w:ascii="David" w:eastAsia="David" w:hAnsi="David"/>
          <w:rtl/>
        </w:rPr>
        <w:t xml:space="preserve"> גרם נטו </w:t>
      </w:r>
      <w:r>
        <w:rPr>
          <w:rFonts w:ascii="David" w:eastAsia="David" w:hAnsi="David" w:hint="cs"/>
          <w:rtl/>
        </w:rPr>
        <w:t>של סם</w:t>
      </w:r>
      <w:r>
        <w:rPr>
          <w:rFonts w:ascii="David" w:eastAsia="David" w:hAnsi="David"/>
          <w:rtl/>
        </w:rPr>
        <w:t xml:space="preserve"> מסוג מתאמפטמין ובנוסף החזיק סם מאותו סוג</w:t>
      </w:r>
      <w:r>
        <w:rPr>
          <w:rFonts w:ascii="David" w:eastAsia="David" w:hAnsi="David" w:hint="cs"/>
          <w:rtl/>
        </w:rPr>
        <w:t xml:space="preserve"> </w:t>
      </w:r>
      <w:r w:rsidRPr="00B21B0A">
        <w:rPr>
          <w:rFonts w:ascii="David" w:eastAsia="David" w:hAnsi="David"/>
          <w:rtl/>
        </w:rPr>
        <w:t>לצריכה עצמית</w:t>
      </w:r>
      <w:r>
        <w:rPr>
          <w:rFonts w:ascii="David" w:eastAsia="David" w:hAnsi="David" w:hint="cs"/>
          <w:rtl/>
        </w:rPr>
        <w:t>.</w:t>
      </w:r>
      <w:r>
        <w:rPr>
          <w:rFonts w:ascii="David" w:eastAsia="David" w:hAnsi="David"/>
          <w:rtl/>
        </w:rPr>
        <w:t xml:space="preserve"> כמות גדולה זו של הסם, בשים לב למאפייני סם זה, מלמדת על פגיעה משמעותית בערכים המוגנים.</w:t>
      </w:r>
    </w:p>
    <w:p w14:paraId="7CD5FAFC" w14:textId="77777777" w:rsidR="00177680" w:rsidRDefault="00177680" w:rsidP="00177680">
      <w:pPr>
        <w:spacing w:line="360" w:lineRule="auto"/>
        <w:ind w:left="85" w:hanging="709"/>
        <w:jc w:val="both"/>
        <w:rPr>
          <w:rFonts w:ascii="David" w:eastAsia="David" w:hAnsi="David"/>
          <w:rtl/>
        </w:rPr>
      </w:pPr>
    </w:p>
    <w:p w14:paraId="380A7F46" w14:textId="77777777" w:rsidR="00177680" w:rsidRDefault="00177680" w:rsidP="00177680">
      <w:pPr>
        <w:spacing w:line="360" w:lineRule="auto"/>
        <w:ind w:left="85" w:hanging="709"/>
        <w:jc w:val="both"/>
        <w:rPr>
          <w:rFonts w:ascii="David" w:eastAsia="David" w:hAnsi="David"/>
          <w:rtl/>
        </w:rPr>
      </w:pPr>
      <w:r>
        <w:rPr>
          <w:rFonts w:ascii="David" w:eastAsia="David" w:hAnsi="David"/>
          <w:rtl/>
        </w:rPr>
        <w:t>10.</w:t>
      </w:r>
      <w:r>
        <w:rPr>
          <w:rFonts w:ascii="David" w:eastAsia="David" w:hAnsi="David"/>
          <w:rtl/>
        </w:rPr>
        <w:tab/>
        <w:t>באשר לנסיבות ביצוע העבירות נתתי משקל לתכנון שקדם לביצוע העבירות (</w:t>
      </w:r>
      <w:r>
        <w:rPr>
          <w:rFonts w:ascii="David" w:eastAsia="David" w:hAnsi="David" w:hint="cs"/>
          <w:rtl/>
        </w:rPr>
        <w:t>הזמנת הסמים</w:t>
      </w:r>
      <w:r>
        <w:rPr>
          <w:rFonts w:ascii="David" w:eastAsia="David" w:hAnsi="David"/>
          <w:rtl/>
        </w:rPr>
        <w:t>, האופן בו הוסלקו הסמים</w:t>
      </w:r>
      <w:r>
        <w:rPr>
          <w:rFonts w:ascii="David" w:eastAsia="David" w:hAnsi="David" w:hint="cs"/>
          <w:rtl/>
        </w:rPr>
        <w:t>, השימוש בשם כוזב אליו מוענה החבילה</w:t>
      </w:r>
      <w:r>
        <w:rPr>
          <w:rFonts w:ascii="David" w:eastAsia="David" w:hAnsi="David"/>
          <w:rtl/>
        </w:rPr>
        <w:t>); לאופן ייבוא הסמים (תוך שימוש בדואר יש</w:t>
      </w:r>
      <w:r>
        <w:rPr>
          <w:rFonts w:ascii="David" w:eastAsia="David" w:hAnsi="David" w:hint="cs"/>
          <w:rtl/>
        </w:rPr>
        <w:t>ר</w:t>
      </w:r>
      <w:r>
        <w:rPr>
          <w:rFonts w:ascii="David" w:eastAsia="David" w:hAnsi="David"/>
          <w:rtl/>
        </w:rPr>
        <w:t>אל</w:t>
      </w:r>
      <w:r>
        <w:rPr>
          <w:rFonts w:ascii="David" w:eastAsia="David" w:hAnsi="David" w:hint="cs"/>
          <w:rtl/>
        </w:rPr>
        <w:t xml:space="preserve"> ושיתוף פעולה עם אחר</w:t>
      </w:r>
      <w:r>
        <w:rPr>
          <w:rFonts w:ascii="David" w:eastAsia="David" w:hAnsi="David"/>
          <w:rtl/>
        </w:rPr>
        <w:t>); לסוג הסמים</w:t>
      </w:r>
      <w:r>
        <w:rPr>
          <w:rFonts w:ascii="David" w:eastAsia="David" w:hAnsi="David" w:hint="cs"/>
          <w:rtl/>
        </w:rPr>
        <w:t>;</w:t>
      </w:r>
      <w:r>
        <w:rPr>
          <w:rFonts w:ascii="David" w:eastAsia="David" w:hAnsi="David"/>
          <w:rtl/>
        </w:rPr>
        <w:t xml:space="preserve"> לכמות המשמעותית </w:t>
      </w:r>
      <w:r>
        <w:rPr>
          <w:rFonts w:ascii="David" w:eastAsia="David" w:hAnsi="David" w:hint="cs"/>
          <w:rtl/>
        </w:rPr>
        <w:t>של הסמים שיובאה;</w:t>
      </w:r>
      <w:r>
        <w:rPr>
          <w:rFonts w:ascii="David" w:eastAsia="David" w:hAnsi="David"/>
          <w:rtl/>
        </w:rPr>
        <w:t xml:space="preserve"> לנזק שהיה עלול להיגרם לו הסמים היו מופצים; לחלקו המרכזי של הנאשם</w:t>
      </w:r>
      <w:r>
        <w:rPr>
          <w:rFonts w:ascii="David" w:eastAsia="David" w:hAnsi="David" w:hint="cs"/>
          <w:rtl/>
        </w:rPr>
        <w:t xml:space="preserve"> </w:t>
      </w:r>
      <w:r>
        <w:rPr>
          <w:rFonts w:ascii="David" w:eastAsia="David" w:hAnsi="David"/>
          <w:rtl/>
        </w:rPr>
        <w:t>בביצוע העבירות</w:t>
      </w:r>
      <w:r>
        <w:rPr>
          <w:rFonts w:ascii="David" w:eastAsia="David" w:hAnsi="David" w:hint="cs"/>
          <w:rtl/>
        </w:rPr>
        <w:t xml:space="preserve"> (הזמנת הסמים בעצמו או על-ידי מי מטעמו, איסוף החבילה)</w:t>
      </w:r>
      <w:r>
        <w:rPr>
          <w:rFonts w:ascii="David" w:eastAsia="David" w:hAnsi="David"/>
          <w:rtl/>
        </w:rPr>
        <w:t xml:space="preserve">; ולכך שהנאשם נתפס עם סמים על גופו. </w:t>
      </w:r>
    </w:p>
    <w:p w14:paraId="05C15F4C" w14:textId="77777777" w:rsidR="00177680" w:rsidRDefault="00177680" w:rsidP="00177680">
      <w:pPr>
        <w:spacing w:line="360" w:lineRule="auto"/>
        <w:ind w:left="85" w:hanging="709"/>
        <w:jc w:val="both"/>
        <w:rPr>
          <w:rFonts w:ascii="David" w:eastAsia="David" w:hAnsi="David"/>
          <w:rtl/>
        </w:rPr>
      </w:pPr>
      <w:r>
        <w:rPr>
          <w:rFonts w:ascii="David" w:eastAsia="David" w:hAnsi="David"/>
          <w:rtl/>
        </w:rPr>
        <w:tab/>
        <w:t>נסיבה נלווית לחומרה,</w:t>
      </w:r>
      <w:r>
        <w:rPr>
          <w:rFonts w:ascii="David" w:eastAsia="David" w:hAnsi="David" w:hint="cs"/>
          <w:rtl/>
        </w:rPr>
        <w:t xml:space="preserve"> </w:t>
      </w:r>
      <w:r>
        <w:rPr>
          <w:rFonts w:ascii="David" w:eastAsia="David" w:hAnsi="David"/>
          <w:rtl/>
        </w:rPr>
        <w:t>שאין בה כשלעצמה להצדיק החמרה יתירה עם הנאשם, קשורה בכך שבמידה מסוימת הנאשם ניצל את אשרת השהייה שניתנה לו בישראל לצורך ביצוע עבירות, לרבות עבירה שקשורה בהחדרת סמים מסוכנים אל תוך המדינה</w:t>
      </w:r>
      <w:r>
        <w:rPr>
          <w:rFonts w:ascii="David" w:eastAsia="David" w:hAnsi="David" w:hint="cs"/>
          <w:rtl/>
        </w:rPr>
        <w:t>.</w:t>
      </w:r>
    </w:p>
    <w:p w14:paraId="6671A94B" w14:textId="77777777" w:rsidR="00177680" w:rsidRDefault="00177680" w:rsidP="00177680">
      <w:pPr>
        <w:spacing w:line="360" w:lineRule="auto"/>
        <w:ind w:left="85" w:hanging="709"/>
        <w:jc w:val="both"/>
        <w:rPr>
          <w:rFonts w:ascii="David" w:eastAsia="David" w:hAnsi="David"/>
          <w:rtl/>
        </w:rPr>
      </w:pPr>
    </w:p>
    <w:p w14:paraId="31789569" w14:textId="77777777" w:rsidR="00177680" w:rsidRDefault="00177680" w:rsidP="00177680">
      <w:pPr>
        <w:spacing w:line="360" w:lineRule="auto"/>
        <w:ind w:left="85" w:hanging="709"/>
        <w:jc w:val="both"/>
        <w:rPr>
          <w:rFonts w:ascii="David" w:eastAsia="David" w:hAnsi="David"/>
          <w:rtl/>
        </w:rPr>
      </w:pPr>
      <w:r>
        <w:rPr>
          <w:rFonts w:ascii="David" w:eastAsia="David" w:hAnsi="David" w:hint="cs"/>
          <w:rtl/>
        </w:rPr>
        <w:t>11.</w:t>
      </w:r>
      <w:r>
        <w:rPr>
          <w:rFonts w:ascii="David" w:eastAsia="David" w:hAnsi="David" w:hint="cs"/>
          <w:rtl/>
        </w:rPr>
        <w:tab/>
        <w:t xml:space="preserve">ב"כ הנאשם ערך כאמור הבחנה בין תיק זה לבין עניין פראפן וטען להשלכות ההבחנה לעניין מתחם העונש ההולם והעונש עצמו. סבורני, כי במידה </w:t>
      </w:r>
      <w:r w:rsidRPr="000E55EC">
        <w:rPr>
          <w:rFonts w:ascii="David" w:eastAsia="David" w:hAnsi="David" w:hint="cs"/>
          <w:b/>
          <w:bCs/>
          <w:rtl/>
        </w:rPr>
        <w:t>מסוימת</w:t>
      </w:r>
      <w:r>
        <w:rPr>
          <w:rFonts w:ascii="David" w:eastAsia="David" w:hAnsi="David" w:hint="cs"/>
          <w:rtl/>
        </w:rPr>
        <w:t xml:space="preserve"> בלבד אכן יש מקום להבחנה </w:t>
      </w:r>
      <w:r w:rsidRPr="004641B9">
        <w:rPr>
          <w:rFonts w:ascii="David" w:eastAsia="David" w:hAnsi="David" w:hint="cs"/>
          <w:b/>
          <w:bCs/>
          <w:rtl/>
        </w:rPr>
        <w:t>קלה</w:t>
      </w:r>
      <w:r>
        <w:rPr>
          <w:rFonts w:ascii="David" w:eastAsia="David" w:hAnsi="David" w:hint="cs"/>
          <w:b/>
          <w:bCs/>
          <w:rtl/>
        </w:rPr>
        <w:t>, בענישה</w:t>
      </w:r>
      <w:r>
        <w:rPr>
          <w:rFonts w:ascii="David" w:eastAsia="David" w:hAnsi="David" w:hint="cs"/>
          <w:rtl/>
        </w:rPr>
        <w:t>, בעיקר בשל ההבדל הקשור למשקל הסם שיובא. יש מקום להבחנה קלה בלבד לנוכח כך שגם הנאשם שלפני ייבא ארצה כמות גדולה מאוד של סם, אשר מספיקה בהתאם לטיעון המאשימה לאלפי מנות סם. עוד יש לזכור, כי אין מקום לחישוב אריטמתי של תקופת המאסר בין מקרה למקרה בהתאם למשקל הסם, הגם שלנתון זה חשיבות (</w:t>
      </w:r>
      <w:hyperlink r:id="rId18" w:history="1">
        <w:r w:rsidR="00F473A7" w:rsidRPr="00F473A7">
          <w:rPr>
            <w:rFonts w:ascii="David" w:eastAsia="David" w:hAnsi="David"/>
            <w:color w:val="0000FF"/>
            <w:u w:val="single"/>
            <w:rtl/>
          </w:rPr>
          <w:t>ע"פ 6409/12</w:t>
        </w:r>
      </w:hyperlink>
      <w:r>
        <w:rPr>
          <w:rFonts w:ascii="David" w:eastAsia="David" w:hAnsi="David" w:hint="cs"/>
          <w:rtl/>
        </w:rPr>
        <w:t xml:space="preserve"> </w:t>
      </w:r>
      <w:r w:rsidRPr="008B2FE1">
        <w:rPr>
          <w:rFonts w:ascii="David" w:eastAsia="David" w:hAnsi="David" w:hint="cs"/>
          <w:b/>
          <w:bCs/>
          <w:rtl/>
        </w:rPr>
        <w:t>מדינת ישראל נ' אלגדיפי</w:t>
      </w:r>
      <w:r>
        <w:rPr>
          <w:rFonts w:ascii="David" w:eastAsia="David" w:hAnsi="David" w:hint="cs"/>
          <w:rtl/>
        </w:rPr>
        <w:t xml:space="preserve"> [פורסם בנבו, 5.6.2013], פסקה 11).</w:t>
      </w:r>
    </w:p>
    <w:p w14:paraId="7A08BDF3" w14:textId="77777777" w:rsidR="00177680" w:rsidRDefault="00177680" w:rsidP="00177680">
      <w:pPr>
        <w:spacing w:line="360" w:lineRule="auto"/>
        <w:ind w:left="85"/>
        <w:jc w:val="both"/>
        <w:rPr>
          <w:rFonts w:ascii="David" w:eastAsia="David" w:hAnsi="David"/>
          <w:rtl/>
        </w:rPr>
      </w:pPr>
      <w:r>
        <w:rPr>
          <w:rFonts w:ascii="David" w:eastAsia="David" w:hAnsi="David" w:hint="cs"/>
          <w:rtl/>
        </w:rPr>
        <w:t>בנוסף, העובדה שבעניינו של פראפן צויין כי זה קשר קשר עם אחר לייבא את הסם ובעניינו של הנאשם לא הוזכר כי הלה קשר קשר עם אחר לייבא את הסם, אין בה כדי להצדיק לטעמי הבחנה של ממש בין השניים באשר גם בעניינו של הנאשם צויין כי הוא (או מי מטעמו) הזמין את הסם מאחר (עובדה 2). פשיטא שעבירת ייבוא סם מצריכה שיתוף פעולה עם גורם נוסף מחוץ לארץ ולכן, ככלל, העובדה שלא יוחס "קשר" בעובדות כתב האישום בעבירת ייבוא, אינה רלוונטית, מה עוד שבעניין פראפן לא הורשע הנאשם בעבירה של קשירת קשר לפשע.</w:t>
      </w:r>
    </w:p>
    <w:p w14:paraId="3C6C0731" w14:textId="77777777" w:rsidR="00177680" w:rsidRDefault="00177680" w:rsidP="00177680">
      <w:pPr>
        <w:spacing w:line="360" w:lineRule="auto"/>
        <w:ind w:left="85"/>
        <w:jc w:val="both"/>
        <w:rPr>
          <w:rFonts w:ascii="David" w:eastAsia="David" w:hAnsi="David"/>
          <w:rtl/>
        </w:rPr>
      </w:pPr>
      <w:r>
        <w:rPr>
          <w:rFonts w:ascii="David" w:eastAsia="David" w:hAnsi="David" w:hint="cs"/>
          <w:rtl/>
        </w:rPr>
        <w:t>כך גם באשר למידת האשם והתחכום אליהם התייחס ב"כ הנאשם. מידת האשם והתחכום של הנאשם בענייננו אינה שונה או פחותה מעניינו של פראפן בשים לב לפניה של הנאשם או מי מטעמו באופן יזום לאחר כדי לייבא את הסמים, לאופן בו הוסלקו הסמים, לשם נמען שונה שנמסר לקבלת הסמים ולאיסוף החבילה על-ידי הנאשם.</w:t>
      </w:r>
    </w:p>
    <w:p w14:paraId="175CBCA5" w14:textId="77777777" w:rsidR="00177680" w:rsidRDefault="00177680" w:rsidP="00177680">
      <w:pPr>
        <w:spacing w:line="360" w:lineRule="auto"/>
        <w:ind w:left="85"/>
        <w:jc w:val="both"/>
        <w:rPr>
          <w:rFonts w:ascii="David" w:eastAsia="David" w:hAnsi="David"/>
          <w:rtl/>
        </w:rPr>
      </w:pPr>
      <w:r>
        <w:rPr>
          <w:rFonts w:ascii="David" w:eastAsia="David" w:hAnsi="David" w:hint="cs"/>
          <w:rtl/>
        </w:rPr>
        <w:t xml:space="preserve">ב"כ הנאשם ניסה לקשור את שאלת מידת האשם לכך שהנאשם, בנוסף לעבירת הייבוא, הורשע בעבירה של החזקת סם לצריכה עצמית, להבדיל מפראפן שהורשע בעבירות נוספות של ניסיון להחזקת סם שלא לצריכה עצמית והחזקת סם שלא לצריכה עצמית. זאת, בהקשר </w:t>
      </w:r>
      <w:r>
        <w:rPr>
          <w:rFonts w:ascii="David" w:eastAsia="David" w:hAnsi="David"/>
          <w:rtl/>
        </w:rPr>
        <w:t>לטענה שהועלתה</w:t>
      </w:r>
      <w:r>
        <w:rPr>
          <w:rFonts w:ascii="David" w:eastAsia="David" w:hAnsi="David" w:hint="cs"/>
          <w:rtl/>
        </w:rPr>
        <w:t xml:space="preserve"> על-ידי ב"כ הנאשם ו</w:t>
      </w:r>
      <w:r>
        <w:rPr>
          <w:rFonts w:ascii="David" w:eastAsia="David" w:hAnsi="David"/>
          <w:rtl/>
        </w:rPr>
        <w:t>בהזדמנויות אחרות ביחס לזיקה הנטענת בין הקשיים של פועלים זרים מתאילנד העובדים בעבודות חקלאות וכפיים שעות ארוכות מדי יום להתמכרותם לסמים ממריצים</w:t>
      </w:r>
      <w:r>
        <w:rPr>
          <w:rFonts w:ascii="David" w:eastAsia="David" w:hAnsi="David" w:hint="cs"/>
          <w:rtl/>
        </w:rPr>
        <w:t xml:space="preserve">. </w:t>
      </w:r>
    </w:p>
    <w:p w14:paraId="5BBDB140" w14:textId="77777777" w:rsidR="00177680" w:rsidRDefault="00177680" w:rsidP="00177680">
      <w:pPr>
        <w:spacing w:line="360" w:lineRule="auto"/>
        <w:ind w:left="85"/>
        <w:jc w:val="both"/>
        <w:rPr>
          <w:rFonts w:ascii="Arial" w:hAnsi="Arial"/>
          <w:noProof w:val="0"/>
          <w:rtl/>
        </w:rPr>
      </w:pPr>
      <w:r>
        <w:rPr>
          <w:rFonts w:ascii="David" w:eastAsia="David" w:hAnsi="David" w:hint="cs"/>
          <w:rtl/>
        </w:rPr>
        <w:t>בעניין פראפן ציינתי בהקשר לטענה זו כי "</w:t>
      </w:r>
      <w:r w:rsidRPr="00DF3AB6">
        <w:rPr>
          <w:rFonts w:ascii="Arial" w:hAnsi="Arial"/>
          <w:b/>
          <w:bCs/>
          <w:noProof w:val="0"/>
          <w:rtl/>
        </w:rPr>
        <w:t>אף אם אכן</w:t>
      </w:r>
      <w:r>
        <w:rPr>
          <w:rFonts w:ascii="Arial" w:hAnsi="Arial"/>
          <w:noProof w:val="0"/>
          <w:rtl/>
        </w:rPr>
        <w:t xml:space="preserve"> תנאי החיים והעבודה של עובדים זרים מתאילנד בישראל הם קשים כנטען, </w:t>
      </w:r>
      <w:r w:rsidRPr="00DF3AB6">
        <w:rPr>
          <w:rFonts w:ascii="Arial" w:hAnsi="Arial"/>
          <w:b/>
          <w:bCs/>
          <w:noProof w:val="0"/>
          <w:rtl/>
        </w:rPr>
        <w:t>ואף אם אכן</w:t>
      </w:r>
      <w:r>
        <w:rPr>
          <w:rFonts w:ascii="Arial" w:hAnsi="Arial"/>
          <w:noProof w:val="0"/>
          <w:rtl/>
        </w:rPr>
        <w:t xml:space="preserve"> נמצאה זיקה מסוימת בין תנאים אלו </w:t>
      </w:r>
      <w:r w:rsidRPr="0085065E">
        <w:rPr>
          <w:rFonts w:ascii="Arial" w:hAnsi="Arial"/>
          <w:b/>
          <w:bCs/>
          <w:noProof w:val="0"/>
          <w:rtl/>
        </w:rPr>
        <w:t xml:space="preserve">לשימוש </w:t>
      </w:r>
      <w:r>
        <w:rPr>
          <w:rFonts w:ascii="Arial" w:hAnsi="Arial"/>
          <w:noProof w:val="0"/>
          <w:rtl/>
        </w:rPr>
        <w:t>בסם מהסוג של הסם אותו ייבא הנאשם ארצה כעולה מהמסמכים שצירף ב"כ הנאשם (</w:t>
      </w:r>
      <w:r w:rsidRPr="00DF3AB6">
        <w:rPr>
          <w:rFonts w:ascii="Arial" w:hAnsi="Arial"/>
          <w:b/>
          <w:bCs/>
          <w:noProof w:val="0"/>
          <w:rtl/>
        </w:rPr>
        <w:t>ואינני מביע עמדה בעניין זה),</w:t>
      </w:r>
      <w:r>
        <w:rPr>
          <w:rFonts w:ascii="Arial" w:hAnsi="Arial"/>
          <w:noProof w:val="0"/>
          <w:rtl/>
        </w:rPr>
        <w:t xml:space="preserve"> יש לזכור שהנאשם לא הורשע בעבירה של החזקת סם לצריכה עצמית, שאז </w:t>
      </w:r>
      <w:r w:rsidRPr="00DF3AB6">
        <w:rPr>
          <w:rFonts w:ascii="Arial" w:hAnsi="Arial"/>
          <w:b/>
          <w:bCs/>
          <w:noProof w:val="0"/>
          <w:rtl/>
        </w:rPr>
        <w:t xml:space="preserve">אולי </w:t>
      </w:r>
      <w:r>
        <w:rPr>
          <w:rFonts w:ascii="Arial" w:hAnsi="Arial"/>
          <w:noProof w:val="0"/>
          <w:rtl/>
        </w:rPr>
        <w:t xml:space="preserve">היה ניתן לקשור בין תנאי המחייה והעבודה שלו </w:t>
      </w:r>
      <w:r w:rsidRPr="0085065E">
        <w:rPr>
          <w:rFonts w:ascii="Arial" w:hAnsi="Arial"/>
          <w:b/>
          <w:bCs/>
          <w:noProof w:val="0"/>
          <w:rtl/>
        </w:rPr>
        <w:t>לצורך שלו בשימוש בסם</w:t>
      </w:r>
      <w:r>
        <w:rPr>
          <w:rFonts w:ascii="Arial" w:hAnsi="Arial"/>
          <w:noProof w:val="0"/>
          <w:rtl/>
        </w:rPr>
        <w:t xml:space="preserve"> כזה או אחר</w:t>
      </w:r>
      <w:r>
        <w:rPr>
          <w:rFonts w:ascii="Arial" w:hAnsi="Arial" w:hint="cs"/>
          <w:noProof w:val="0"/>
          <w:rtl/>
        </w:rPr>
        <w:t xml:space="preserve">" (דגש לא במקור, י' ל). מן האמור עולה, שכבר בעניין פראפן סייגתי דבריי לעניין הזיקה הנטענת בין תנאי המחייה והעבודה של העובדים הזרים לשימוש בסמים, כשהוספתי שלו פראפן היה מורשע בעבירה של החזקת סמים לצריכה עצמית "אולי" היה ניתן  לקשור בין תנאי מחייתו ועבודתו לשימוש בסמים. הווה אומר, לכל היותר ניתן היה להתייחס לזיקה בין תנאי המחייה והעבודה </w:t>
      </w:r>
      <w:r w:rsidRPr="001E0ACD">
        <w:rPr>
          <w:rFonts w:ascii="Arial" w:hAnsi="Arial" w:hint="cs"/>
          <w:b/>
          <w:bCs/>
          <w:noProof w:val="0"/>
          <w:rtl/>
        </w:rPr>
        <w:t xml:space="preserve">לשימוש </w:t>
      </w:r>
      <w:r>
        <w:rPr>
          <w:rFonts w:ascii="Arial" w:hAnsi="Arial" w:hint="cs"/>
          <w:noProof w:val="0"/>
          <w:rtl/>
        </w:rPr>
        <w:t xml:space="preserve">בסמים ביחס לשאלת המניע </w:t>
      </w:r>
      <w:r w:rsidRPr="0085065E">
        <w:rPr>
          <w:rFonts w:ascii="Arial" w:hAnsi="Arial" w:hint="cs"/>
          <w:b/>
          <w:bCs/>
          <w:noProof w:val="0"/>
          <w:rtl/>
        </w:rPr>
        <w:t>לביצוע עבירה של החזקת סם לצריכה עצמית</w:t>
      </w:r>
      <w:r>
        <w:rPr>
          <w:rFonts w:ascii="Arial" w:hAnsi="Arial" w:hint="cs"/>
          <w:noProof w:val="0"/>
          <w:rtl/>
        </w:rPr>
        <w:t xml:space="preserve">. </w:t>
      </w:r>
    </w:p>
    <w:p w14:paraId="1745BDA4" w14:textId="77777777" w:rsidR="00177680" w:rsidRDefault="00177680" w:rsidP="00177680">
      <w:pPr>
        <w:spacing w:line="360" w:lineRule="auto"/>
        <w:ind w:left="85"/>
        <w:jc w:val="both"/>
        <w:rPr>
          <w:rFonts w:ascii="David" w:eastAsia="David" w:hAnsi="David"/>
          <w:rtl/>
        </w:rPr>
      </w:pPr>
      <w:r>
        <w:rPr>
          <w:rFonts w:ascii="Arial" w:hAnsi="Arial" w:hint="cs"/>
          <w:noProof w:val="0"/>
          <w:rtl/>
        </w:rPr>
        <w:t xml:space="preserve">הקשר שמנסה ב"כ הנאשם ליצור בין תנאי המחייה והעבודה של העובדים הזרים לעבירת </w:t>
      </w:r>
      <w:r w:rsidRPr="0085065E">
        <w:rPr>
          <w:rFonts w:ascii="Arial" w:hAnsi="Arial" w:hint="cs"/>
          <w:b/>
          <w:bCs/>
          <w:noProof w:val="0"/>
          <w:rtl/>
        </w:rPr>
        <w:t>ייבוא הס</w:t>
      </w:r>
      <w:r>
        <w:rPr>
          <w:rFonts w:ascii="Arial" w:hAnsi="Arial" w:hint="cs"/>
          <w:b/>
          <w:bCs/>
          <w:noProof w:val="0"/>
          <w:rtl/>
        </w:rPr>
        <w:t>מי</w:t>
      </w:r>
      <w:r w:rsidRPr="0085065E">
        <w:rPr>
          <w:rFonts w:ascii="Arial" w:hAnsi="Arial" w:hint="cs"/>
          <w:b/>
          <w:bCs/>
          <w:noProof w:val="0"/>
          <w:rtl/>
        </w:rPr>
        <w:t xml:space="preserve">ם </w:t>
      </w:r>
      <w:r>
        <w:rPr>
          <w:rFonts w:ascii="Arial" w:hAnsi="Arial" w:hint="cs"/>
          <w:noProof w:val="0"/>
          <w:rtl/>
        </w:rPr>
        <w:t xml:space="preserve">הוא לא מבוסס ולא רציני, זאת במישור הראייתי (בכתב האישום לא הוסכם שהסמים שנתפסו עליו הם חלק מהסמים שיובאו או כי התכוון לקחת מהסמים שייבא ארצה חלק לצורך שימושו העצמי) ובעיקר במישור הרעיוני (לא כל מי אשר מבקש להשתמש בסמים, נוטל חלק בפעילות עבריינית בין לאומית במסגרתה מיובאים ארצה אלפי מנות סם). </w:t>
      </w:r>
    </w:p>
    <w:p w14:paraId="69890ACD" w14:textId="77777777" w:rsidR="00177680" w:rsidRDefault="00177680" w:rsidP="00177680">
      <w:pPr>
        <w:spacing w:line="360" w:lineRule="auto"/>
        <w:ind w:left="85"/>
        <w:jc w:val="both"/>
        <w:rPr>
          <w:rFonts w:ascii="David" w:eastAsia="David" w:hAnsi="David"/>
          <w:rtl/>
        </w:rPr>
      </w:pPr>
      <w:r>
        <w:rPr>
          <w:rFonts w:ascii="David" w:eastAsia="David" w:hAnsi="David" w:hint="cs"/>
          <w:rtl/>
        </w:rPr>
        <w:t xml:space="preserve">לא זו אף זו, בענייננו הנאשם, בדומה לעניין פראפן, החזיק בפועל, ברמה העובדתית, כמות של סמים שניתן היה לסווגה ככמות שלא לצריכה עצמית (כעולה מעובדות 5-6 הנאשם אסף את החבילה ובה "הסם הנותר" במשקל של קרוב ל-30 גרם), אלא שהצדדים הסכימו במקרה זה, להבדיל מעניין פראפן, שלא לייחס לו עבירות של החזקת סם שלא לצריכה עצמית וניסיון לעבור עבירה שכזו. </w:t>
      </w:r>
    </w:p>
    <w:p w14:paraId="49704C97" w14:textId="77777777" w:rsidR="00177680" w:rsidRDefault="00177680" w:rsidP="00177680">
      <w:pPr>
        <w:spacing w:line="360" w:lineRule="auto"/>
        <w:jc w:val="both"/>
        <w:rPr>
          <w:rFonts w:ascii="David" w:eastAsia="David" w:hAnsi="David"/>
          <w:rtl/>
        </w:rPr>
      </w:pPr>
      <w:r>
        <w:rPr>
          <w:rFonts w:ascii="David" w:eastAsia="David" w:hAnsi="David" w:hint="cs"/>
          <w:rtl/>
        </w:rPr>
        <w:t xml:space="preserve"> </w:t>
      </w:r>
    </w:p>
    <w:p w14:paraId="743708D4" w14:textId="77777777" w:rsidR="00177680" w:rsidRDefault="00177680" w:rsidP="00177680">
      <w:pPr>
        <w:spacing w:line="360" w:lineRule="auto"/>
        <w:ind w:left="85"/>
        <w:jc w:val="both"/>
        <w:rPr>
          <w:rFonts w:ascii="David" w:eastAsia="David" w:hAnsi="David"/>
          <w:rtl/>
        </w:rPr>
      </w:pPr>
      <w:r>
        <w:rPr>
          <w:rFonts w:ascii="David" w:eastAsia="David" w:hAnsi="David"/>
          <w:rtl/>
        </w:rPr>
        <w:t xml:space="preserve">לצד </w:t>
      </w:r>
      <w:r>
        <w:rPr>
          <w:rFonts w:ascii="David" w:eastAsia="David" w:hAnsi="David" w:hint="cs"/>
          <w:rtl/>
        </w:rPr>
        <w:t xml:space="preserve">כל </w:t>
      </w:r>
      <w:r>
        <w:rPr>
          <w:rFonts w:ascii="David" w:eastAsia="David" w:hAnsi="David"/>
          <w:rtl/>
        </w:rPr>
        <w:t xml:space="preserve">זאת, נתתי </w:t>
      </w:r>
      <w:r>
        <w:rPr>
          <w:rFonts w:ascii="David" w:eastAsia="David" w:hAnsi="David" w:hint="cs"/>
          <w:rtl/>
        </w:rPr>
        <w:t xml:space="preserve">בנוסף </w:t>
      </w:r>
      <w:r>
        <w:rPr>
          <w:rFonts w:ascii="David" w:eastAsia="David" w:hAnsi="David"/>
          <w:rtl/>
        </w:rPr>
        <w:t xml:space="preserve">משקל לכך שהסמים נתפסו על-ידי המשטרה טרם הפצתם כך שהם לא הגיעו לצרכנים והנזק </w:t>
      </w:r>
      <w:r>
        <w:rPr>
          <w:rFonts w:ascii="David" w:eastAsia="David" w:hAnsi="David" w:hint="cs"/>
          <w:rtl/>
        </w:rPr>
        <w:t xml:space="preserve">לציבור הרחב </w:t>
      </w:r>
      <w:r>
        <w:rPr>
          <w:rFonts w:ascii="David" w:eastAsia="David" w:hAnsi="David"/>
          <w:rtl/>
        </w:rPr>
        <w:t>כתוצאה מהשימוש בהם נמנע.</w:t>
      </w:r>
    </w:p>
    <w:p w14:paraId="7E5AB442" w14:textId="77777777" w:rsidR="00177680" w:rsidRDefault="00177680" w:rsidP="00177680">
      <w:pPr>
        <w:spacing w:line="360" w:lineRule="auto"/>
        <w:ind w:left="85" w:hanging="709"/>
        <w:jc w:val="both"/>
        <w:rPr>
          <w:rFonts w:ascii="David" w:eastAsia="David" w:hAnsi="David"/>
          <w:rtl/>
        </w:rPr>
      </w:pPr>
    </w:p>
    <w:p w14:paraId="78C242EE" w14:textId="77777777" w:rsidR="00177680" w:rsidRDefault="00177680" w:rsidP="00177680">
      <w:pPr>
        <w:spacing w:line="360" w:lineRule="auto"/>
        <w:ind w:left="85" w:hanging="709"/>
        <w:jc w:val="both"/>
        <w:rPr>
          <w:rFonts w:ascii="David" w:eastAsia="David" w:hAnsi="David"/>
          <w:rtl/>
        </w:rPr>
      </w:pPr>
      <w:r>
        <w:rPr>
          <w:rFonts w:ascii="David" w:eastAsia="David" w:hAnsi="David" w:hint="cs"/>
          <w:rtl/>
        </w:rPr>
        <w:t>12</w:t>
      </w:r>
      <w:r>
        <w:rPr>
          <w:rFonts w:ascii="David" w:eastAsia="David" w:hAnsi="David"/>
          <w:rtl/>
        </w:rPr>
        <w:t>.</w:t>
      </w:r>
      <w:r>
        <w:rPr>
          <w:rFonts w:ascii="David" w:eastAsia="David" w:hAnsi="David"/>
          <w:rtl/>
        </w:rPr>
        <w:tab/>
        <w:t>מדיניות הענישה בעבירות הסמים החמורות, ובפרט בעבירת היבוא, היא של הטלת עונשים חמורים, הכוללים מאסר בפועל לתקופה ממושכת.</w:t>
      </w:r>
    </w:p>
    <w:p w14:paraId="4F8EA783" w14:textId="77777777" w:rsidR="00177680" w:rsidRDefault="00177680" w:rsidP="00177680">
      <w:pPr>
        <w:spacing w:line="360" w:lineRule="auto"/>
        <w:ind w:left="85" w:hanging="709"/>
        <w:jc w:val="both"/>
        <w:rPr>
          <w:rFonts w:ascii="David" w:eastAsia="David" w:hAnsi="David"/>
          <w:rtl/>
        </w:rPr>
      </w:pPr>
      <w:r>
        <w:rPr>
          <w:rFonts w:ascii="David" w:eastAsia="David" w:hAnsi="David"/>
          <w:rtl/>
        </w:rPr>
        <w:t xml:space="preserve"> </w:t>
      </w:r>
    </w:p>
    <w:p w14:paraId="2EBD1A97" w14:textId="77777777" w:rsidR="00177680" w:rsidRDefault="00177680" w:rsidP="00177680">
      <w:pPr>
        <w:spacing w:line="360" w:lineRule="auto"/>
        <w:ind w:left="85" w:hanging="709"/>
        <w:jc w:val="both"/>
        <w:rPr>
          <w:rFonts w:ascii="David" w:eastAsia="David" w:hAnsi="David"/>
          <w:rtl/>
        </w:rPr>
      </w:pPr>
      <w:r>
        <w:rPr>
          <w:rFonts w:ascii="David" w:eastAsia="David" w:hAnsi="David"/>
          <w:rtl/>
        </w:rPr>
        <w:tab/>
        <w:t>ב</w:t>
      </w:r>
      <w:hyperlink r:id="rId19" w:history="1">
        <w:r w:rsidR="00F473A7" w:rsidRPr="00F473A7">
          <w:rPr>
            <w:rFonts w:ascii="David" w:eastAsia="David" w:hAnsi="David"/>
            <w:color w:val="0000FF"/>
            <w:u w:val="single"/>
            <w:rtl/>
          </w:rPr>
          <w:t>ע"פ 4659/12</w:t>
        </w:r>
      </w:hyperlink>
      <w:r>
        <w:rPr>
          <w:rFonts w:ascii="David" w:eastAsia="David" w:hAnsi="David" w:hint="cs"/>
          <w:rtl/>
        </w:rPr>
        <w:t xml:space="preserve"> </w:t>
      </w:r>
      <w:r>
        <w:rPr>
          <w:rFonts w:ascii="David" w:eastAsia="David" w:hAnsi="David" w:hint="cs"/>
          <w:b/>
          <w:bCs/>
          <w:rtl/>
        </w:rPr>
        <w:t>סיריפונג נ' מדינת ישראל</w:t>
      </w:r>
      <w:r>
        <w:rPr>
          <w:rFonts w:ascii="David" w:eastAsia="David" w:hAnsi="David" w:hint="cs"/>
          <w:rtl/>
        </w:rPr>
        <w:t xml:space="preserve"> (פורסם בנבו, 22.10.12) דחה בית המשפט העליון את ערעורו של נאשם שייבא לישראל </w:t>
      </w:r>
      <w:r>
        <w:rPr>
          <w:rFonts w:ascii="David" w:eastAsia="David" w:hAnsi="David" w:hint="cs"/>
          <w:b/>
          <w:bCs/>
          <w:rtl/>
        </w:rPr>
        <w:t>1084 כדורי סם</w:t>
      </w:r>
      <w:r>
        <w:rPr>
          <w:rFonts w:ascii="David" w:eastAsia="David" w:hAnsi="David" w:hint="cs"/>
          <w:rtl/>
        </w:rPr>
        <w:t xml:space="preserve"> מסוג מתאמפטמין, ונדון ל-</w:t>
      </w:r>
      <w:r>
        <w:rPr>
          <w:rFonts w:ascii="David" w:eastAsia="David" w:hAnsi="David" w:hint="cs"/>
          <w:b/>
          <w:bCs/>
          <w:rtl/>
        </w:rPr>
        <w:t>18 חודשי מאסר</w:t>
      </w:r>
      <w:r>
        <w:rPr>
          <w:rFonts w:ascii="David" w:eastAsia="David" w:hAnsi="David" w:hint="cs"/>
          <w:rtl/>
        </w:rPr>
        <w:t>. במקרה זה קשר הנאשם קשר עם אחר לייבא מתאילנד סם מסוכן באמצעות הדואר;</w:t>
      </w:r>
    </w:p>
    <w:p w14:paraId="27B1F011" w14:textId="77777777" w:rsidR="00177680" w:rsidRDefault="00177680" w:rsidP="00177680">
      <w:pPr>
        <w:spacing w:line="360" w:lineRule="auto"/>
        <w:ind w:left="85" w:hanging="709"/>
        <w:jc w:val="both"/>
        <w:rPr>
          <w:rFonts w:ascii="David" w:eastAsia="David" w:hAnsi="David"/>
          <w:rtl/>
        </w:rPr>
      </w:pPr>
    </w:p>
    <w:p w14:paraId="70539483" w14:textId="77777777" w:rsidR="00177680" w:rsidRDefault="00177680" w:rsidP="00177680">
      <w:pPr>
        <w:spacing w:line="360" w:lineRule="auto"/>
        <w:ind w:left="85" w:hanging="709"/>
        <w:jc w:val="both"/>
        <w:rPr>
          <w:rFonts w:ascii="David" w:eastAsia="David" w:hAnsi="David"/>
          <w:rtl/>
        </w:rPr>
      </w:pPr>
      <w:r>
        <w:rPr>
          <w:rFonts w:ascii="David" w:eastAsia="David" w:hAnsi="David"/>
          <w:color w:val="000000"/>
          <w:rtl/>
        </w:rPr>
        <w:tab/>
      </w:r>
      <w:r>
        <w:rPr>
          <w:rFonts w:ascii="David" w:eastAsia="David" w:hAnsi="David" w:hint="cs"/>
          <w:color w:val="000000"/>
          <w:rtl/>
        </w:rPr>
        <w:t>ב</w:t>
      </w:r>
      <w:hyperlink r:id="rId20" w:history="1">
        <w:r w:rsidR="00F473A7" w:rsidRPr="00F473A7">
          <w:rPr>
            <w:rFonts w:ascii="David" w:eastAsia="David" w:hAnsi="David"/>
            <w:color w:val="0000FF"/>
            <w:u w:val="single"/>
            <w:rtl/>
          </w:rPr>
          <w:t>ת"פ (מחוזי-מרכז) 51034-12-10</w:t>
        </w:r>
      </w:hyperlink>
      <w:r>
        <w:rPr>
          <w:rFonts w:ascii="David" w:eastAsia="David" w:hAnsi="David" w:hint="cs"/>
          <w:color w:val="000000"/>
          <w:rtl/>
        </w:rPr>
        <w:t xml:space="preserve"> </w:t>
      </w:r>
      <w:r>
        <w:rPr>
          <w:rFonts w:ascii="David" w:eastAsia="David" w:hAnsi="David"/>
          <w:b/>
          <w:bCs/>
          <w:color w:val="000000"/>
          <w:rtl/>
        </w:rPr>
        <w:t xml:space="preserve">מדינת ישראל נ' דואנקכוטה </w:t>
      </w:r>
      <w:r>
        <w:rPr>
          <w:rFonts w:ascii="David" w:eastAsia="David" w:hAnsi="David"/>
          <w:color w:val="000000"/>
          <w:rtl/>
        </w:rPr>
        <w:t>(פורסם בנבו, 12.6.2011)</w:t>
      </w:r>
      <w:r>
        <w:rPr>
          <w:rFonts w:ascii="David" w:eastAsia="David" w:hAnsi="David"/>
          <w:b/>
          <w:bCs/>
          <w:rtl/>
        </w:rPr>
        <w:t xml:space="preserve"> </w:t>
      </w:r>
      <w:r>
        <w:rPr>
          <w:rFonts w:ascii="David" w:eastAsia="David" w:hAnsi="David"/>
          <w:rtl/>
        </w:rPr>
        <w:t>הנאשם נדון ל-</w:t>
      </w:r>
      <w:r>
        <w:rPr>
          <w:rFonts w:ascii="David" w:eastAsia="David" w:hAnsi="David"/>
          <w:b/>
          <w:bCs/>
          <w:rtl/>
        </w:rPr>
        <w:t>40 חודשי מאסר</w:t>
      </w:r>
      <w:r>
        <w:rPr>
          <w:rFonts w:ascii="David" w:eastAsia="David" w:hAnsi="David"/>
          <w:rtl/>
        </w:rPr>
        <w:t xml:space="preserve">. במקרה זה הנאשם, עובד זר מתאילנד, קשר עם אחר לייבא ארצה </w:t>
      </w:r>
      <w:r>
        <w:rPr>
          <w:rFonts w:ascii="David" w:eastAsia="David" w:hAnsi="David"/>
          <w:b/>
          <w:bCs/>
          <w:rtl/>
        </w:rPr>
        <w:t>6037 טבליות</w:t>
      </w:r>
      <w:r>
        <w:rPr>
          <w:rFonts w:ascii="David" w:eastAsia="David" w:hAnsi="David"/>
          <w:rtl/>
        </w:rPr>
        <w:t xml:space="preserve"> של סם מסוכן מסוג "יאבה", המכיל מתאמפטאמין. האחר שלח מתאילנד לישראל חבילה ובה הסם, לכתובת המשק בה הועסק הנאשם. האחר ביקש מהנאשם לקחת עבורו את החבילה ולהחביאה אצלו, והנאשם עשה זאת;</w:t>
      </w:r>
    </w:p>
    <w:p w14:paraId="51756BB6" w14:textId="77777777" w:rsidR="00177680" w:rsidRDefault="00177680" w:rsidP="00177680">
      <w:pPr>
        <w:spacing w:line="360" w:lineRule="auto"/>
        <w:ind w:left="85" w:hanging="709"/>
        <w:jc w:val="both"/>
        <w:rPr>
          <w:rFonts w:ascii="David" w:eastAsia="David" w:hAnsi="David"/>
          <w:rtl/>
        </w:rPr>
      </w:pPr>
    </w:p>
    <w:p w14:paraId="20B2045A" w14:textId="77777777" w:rsidR="00177680" w:rsidRDefault="00177680" w:rsidP="00177680">
      <w:pPr>
        <w:spacing w:line="360" w:lineRule="auto"/>
        <w:ind w:left="85" w:hanging="709"/>
        <w:jc w:val="both"/>
        <w:rPr>
          <w:rFonts w:ascii="David" w:eastAsia="David" w:hAnsi="David"/>
          <w:rtl/>
        </w:rPr>
      </w:pPr>
      <w:r>
        <w:rPr>
          <w:rtl/>
        </w:rPr>
        <w:tab/>
      </w:r>
      <w:r w:rsidRPr="00031B66">
        <w:rPr>
          <w:rtl/>
        </w:rPr>
        <w:t>ב</w:t>
      </w:r>
      <w:hyperlink r:id="rId21" w:history="1">
        <w:r w:rsidR="00F473A7" w:rsidRPr="00F473A7">
          <w:rPr>
            <w:color w:val="0000FF"/>
            <w:u w:val="single"/>
            <w:rtl/>
          </w:rPr>
          <w:t>ת"פ (מחוזי-ב"ש) 27948-05-11</w:t>
        </w:r>
      </w:hyperlink>
      <w:r>
        <w:rPr>
          <w:rtl/>
        </w:rPr>
        <w:t xml:space="preserve"> </w:t>
      </w:r>
      <w:r>
        <w:rPr>
          <w:rFonts w:ascii="David" w:eastAsia="David" w:hAnsi="David"/>
          <w:b/>
          <w:bCs/>
          <w:rtl/>
        </w:rPr>
        <w:t>מדינת ישראל נ' לונג</w:t>
      </w:r>
      <w:r>
        <w:rPr>
          <w:rFonts w:ascii="David" w:eastAsia="David" w:hAnsi="David"/>
          <w:rtl/>
        </w:rPr>
        <w:t xml:space="preserve"> (פורסם בנבו, 2.2.2012) בו גזר בית המשפט המחוזי על נאשם, אזרח תאילנדי, שהורשע בעבירות של קשר לפשע ויבוא </w:t>
      </w:r>
      <w:r>
        <w:rPr>
          <w:rFonts w:ascii="David" w:eastAsia="David" w:hAnsi="David"/>
          <w:b/>
          <w:bCs/>
          <w:rtl/>
        </w:rPr>
        <w:t>991 טבליות</w:t>
      </w:r>
      <w:r>
        <w:rPr>
          <w:rFonts w:ascii="David" w:eastAsia="David" w:hAnsi="David"/>
          <w:rtl/>
        </w:rPr>
        <w:t xml:space="preserve"> של סם מסוכן  מסוג מתאמפטמין באמצעות משלוח דואר עונש של </w:t>
      </w:r>
      <w:r>
        <w:rPr>
          <w:rFonts w:ascii="David" w:eastAsia="David" w:hAnsi="David"/>
          <w:b/>
          <w:bCs/>
          <w:rtl/>
        </w:rPr>
        <w:t xml:space="preserve"> 30 חודשי מאסר</w:t>
      </w:r>
      <w:r>
        <w:rPr>
          <w:rFonts w:ascii="David" w:eastAsia="David" w:hAnsi="David"/>
          <w:rtl/>
        </w:rPr>
        <w:t>;</w:t>
      </w:r>
    </w:p>
    <w:p w14:paraId="685DC55D" w14:textId="77777777" w:rsidR="00177680" w:rsidRDefault="00177680" w:rsidP="00177680">
      <w:pPr>
        <w:spacing w:line="360" w:lineRule="auto"/>
        <w:ind w:left="85" w:hanging="709"/>
        <w:jc w:val="both"/>
        <w:rPr>
          <w:rFonts w:ascii="David" w:eastAsia="David" w:hAnsi="David"/>
          <w:rtl/>
        </w:rPr>
      </w:pPr>
    </w:p>
    <w:p w14:paraId="7069645D" w14:textId="77777777" w:rsidR="00177680" w:rsidRDefault="00F473A7" w:rsidP="00177680">
      <w:pPr>
        <w:spacing w:line="360" w:lineRule="auto"/>
        <w:ind w:left="85"/>
        <w:jc w:val="both"/>
        <w:rPr>
          <w:rFonts w:ascii="Arial" w:hAnsi="Arial"/>
          <w:noProof w:val="0"/>
        </w:rPr>
      </w:pPr>
      <w:hyperlink r:id="rId22" w:history="1">
        <w:r w:rsidRPr="00F473A7">
          <w:rPr>
            <w:rFonts w:ascii="Arial" w:hAnsi="Arial"/>
            <w:noProof w:val="0"/>
            <w:color w:val="0000FF"/>
            <w:u w:val="single"/>
            <w:rtl/>
          </w:rPr>
          <w:t>ע"פ 4536/21</w:t>
        </w:r>
      </w:hyperlink>
      <w:r w:rsidR="00177680">
        <w:rPr>
          <w:rFonts w:ascii="Arial" w:hAnsi="Arial"/>
          <w:noProof w:val="0"/>
          <w:rtl/>
        </w:rPr>
        <w:t xml:space="preserve"> </w:t>
      </w:r>
      <w:r w:rsidR="00177680">
        <w:rPr>
          <w:rFonts w:ascii="Arial" w:hAnsi="Arial"/>
          <w:b/>
          <w:bCs/>
          <w:noProof w:val="0"/>
          <w:rtl/>
        </w:rPr>
        <w:t>פרץ נ' מדינת ישראל</w:t>
      </w:r>
      <w:r w:rsidR="00177680">
        <w:rPr>
          <w:rFonts w:ascii="Arial" w:hAnsi="Arial"/>
          <w:noProof w:val="0"/>
          <w:rtl/>
        </w:rPr>
        <w:t xml:space="preserve"> (פורסם בנבו, 4.11.2021) בו דחה בית המשפט העליון את ערעורו של נאשם שהורשע במסגרת הסדר טווח לפיו המאשימה הגבילה את טיעונה ל-30 חודשי מאסר  בעבירות של קשירת קשר לפשע וייבוא בצוותא של סם מסוכן מסוג של מתאמפטמין במשקל של </w:t>
      </w:r>
      <w:r w:rsidR="00177680">
        <w:rPr>
          <w:rFonts w:ascii="Arial" w:hAnsi="Arial"/>
          <w:b/>
          <w:bCs/>
          <w:noProof w:val="0"/>
          <w:rtl/>
        </w:rPr>
        <w:t>1.865 ק"ג</w:t>
      </w:r>
      <w:r w:rsidR="00177680">
        <w:rPr>
          <w:rFonts w:ascii="Arial" w:hAnsi="Arial"/>
          <w:noProof w:val="0"/>
          <w:rtl/>
        </w:rPr>
        <w:t xml:space="preserve"> באמצעות חבילה שנשלחה ממקסיקו והכילה פסלונים בהם הוסלק הסם, והותיר על כנו עונש של </w:t>
      </w:r>
      <w:r w:rsidR="00177680">
        <w:rPr>
          <w:rFonts w:ascii="Arial" w:hAnsi="Arial"/>
          <w:b/>
          <w:bCs/>
          <w:noProof w:val="0"/>
          <w:rtl/>
        </w:rPr>
        <w:t>16 חודשי מאסר</w:t>
      </w:r>
      <w:r w:rsidR="00177680">
        <w:rPr>
          <w:rFonts w:ascii="Arial" w:hAnsi="Arial"/>
          <w:noProof w:val="0"/>
          <w:rtl/>
        </w:rPr>
        <w:t>. יצוין, כי בית המשפט מצא במקרה זה לחרוג לקולה ממתחם העונש ההולם שקבע וזאת מטעמי שיקום.</w:t>
      </w:r>
    </w:p>
    <w:p w14:paraId="163C2CFD" w14:textId="77777777" w:rsidR="00177680" w:rsidRDefault="00177680" w:rsidP="00177680">
      <w:pPr>
        <w:spacing w:line="360" w:lineRule="auto"/>
        <w:ind w:left="85"/>
        <w:jc w:val="both"/>
        <w:rPr>
          <w:rFonts w:ascii="Arial" w:hAnsi="Arial"/>
          <w:noProof w:val="0"/>
          <w:rtl/>
        </w:rPr>
      </w:pPr>
    </w:p>
    <w:p w14:paraId="1D969A4A" w14:textId="77777777" w:rsidR="00177680" w:rsidRDefault="00177680" w:rsidP="00177680">
      <w:pPr>
        <w:spacing w:line="360" w:lineRule="auto"/>
        <w:ind w:left="85"/>
        <w:jc w:val="both"/>
        <w:rPr>
          <w:rFonts w:ascii="Arial" w:hAnsi="Arial"/>
          <w:noProof w:val="0"/>
          <w:rtl/>
        </w:rPr>
      </w:pPr>
      <w:r>
        <w:rPr>
          <w:rFonts w:ascii="Arial" w:hAnsi="Arial"/>
          <w:noProof w:val="0"/>
          <w:rtl/>
        </w:rPr>
        <w:t>על הנאשם השני שהורשע אף הוא בעבירות של קשירת קשר לביצוע פשע ויבוא בצוותא של סם מסוכן נגזר ב</w:t>
      </w:r>
      <w:hyperlink r:id="rId23" w:history="1">
        <w:r w:rsidR="00F473A7" w:rsidRPr="00F473A7">
          <w:rPr>
            <w:rFonts w:ascii="Arial" w:hAnsi="Arial"/>
            <w:noProof w:val="0"/>
            <w:color w:val="0000FF"/>
            <w:u w:val="single"/>
            <w:rtl/>
          </w:rPr>
          <w:t>ת"פ (מחוזי-מרכז) 68942-01-19</w:t>
        </w:r>
      </w:hyperlink>
      <w:r>
        <w:rPr>
          <w:rFonts w:ascii="Arial" w:hAnsi="Arial"/>
          <w:noProof w:val="0"/>
          <w:rtl/>
        </w:rPr>
        <w:t xml:space="preserve"> </w:t>
      </w:r>
      <w:r>
        <w:rPr>
          <w:rFonts w:ascii="Arial" w:hAnsi="Arial"/>
          <w:b/>
          <w:bCs/>
          <w:noProof w:val="0"/>
          <w:rtl/>
        </w:rPr>
        <w:t>מדינת ישראל נ' עמרם</w:t>
      </w:r>
      <w:r>
        <w:rPr>
          <w:rFonts w:ascii="Arial" w:hAnsi="Arial"/>
          <w:noProof w:val="0"/>
          <w:rtl/>
        </w:rPr>
        <w:t xml:space="preserve"> (פורסם בנבו, 28.4.2021) עונש של </w:t>
      </w:r>
      <w:r>
        <w:rPr>
          <w:rFonts w:ascii="Arial" w:hAnsi="Arial"/>
          <w:b/>
          <w:bCs/>
          <w:noProof w:val="0"/>
          <w:rtl/>
        </w:rPr>
        <w:t>16 חודשי מאסר</w:t>
      </w:r>
      <w:r>
        <w:rPr>
          <w:rFonts w:ascii="Arial" w:hAnsi="Arial"/>
          <w:noProof w:val="0"/>
          <w:rtl/>
        </w:rPr>
        <w:t xml:space="preserve"> גם זאת לאחר חריגה מסוימת ממתחם העונש ההולם מטעמי שיקום;</w:t>
      </w:r>
    </w:p>
    <w:p w14:paraId="35A9BB16" w14:textId="77777777" w:rsidR="00177680" w:rsidRDefault="00177680" w:rsidP="00177680">
      <w:pPr>
        <w:spacing w:line="360" w:lineRule="auto"/>
        <w:ind w:left="85"/>
        <w:jc w:val="both"/>
        <w:rPr>
          <w:rFonts w:ascii="Arial" w:hAnsi="Arial"/>
          <w:noProof w:val="0"/>
          <w:rtl/>
        </w:rPr>
      </w:pPr>
    </w:p>
    <w:p w14:paraId="4B7B094B" w14:textId="77777777" w:rsidR="00177680" w:rsidRDefault="00F473A7" w:rsidP="00177680">
      <w:pPr>
        <w:spacing w:line="360" w:lineRule="auto"/>
        <w:ind w:left="85"/>
        <w:jc w:val="both"/>
        <w:rPr>
          <w:rFonts w:ascii="Arial" w:hAnsi="Arial"/>
          <w:noProof w:val="0"/>
          <w:rtl/>
        </w:rPr>
      </w:pPr>
      <w:hyperlink r:id="rId24" w:history="1">
        <w:r w:rsidRPr="00F473A7">
          <w:rPr>
            <w:rFonts w:ascii="Arial" w:hAnsi="Arial"/>
            <w:noProof w:val="0"/>
            <w:color w:val="0000FF"/>
            <w:u w:val="single"/>
            <w:rtl/>
          </w:rPr>
          <w:t>ת"פ (מחוזי-מרכז) 40440-10-12</w:t>
        </w:r>
      </w:hyperlink>
      <w:r w:rsidR="00177680">
        <w:rPr>
          <w:rFonts w:ascii="Arial" w:hAnsi="Arial"/>
          <w:noProof w:val="0"/>
          <w:rtl/>
        </w:rPr>
        <w:t xml:space="preserve"> </w:t>
      </w:r>
      <w:r w:rsidR="00177680">
        <w:rPr>
          <w:rFonts w:ascii="Arial" w:hAnsi="Arial"/>
          <w:b/>
          <w:bCs/>
          <w:noProof w:val="0"/>
          <w:rtl/>
        </w:rPr>
        <w:t>מדינת ישראל נ' קנסרירט</w:t>
      </w:r>
      <w:r w:rsidR="00177680">
        <w:rPr>
          <w:rFonts w:ascii="Arial" w:hAnsi="Arial"/>
          <w:noProof w:val="0"/>
          <w:rtl/>
        </w:rPr>
        <w:t xml:space="preserve"> (פורסם בנבו, 25.6.2013) בו גזר בית המשפט המחוזי על נאשם שהורשע לאחר ניהול הליך הוכחות בעבירה של יבוא </w:t>
      </w:r>
      <w:r w:rsidR="00177680">
        <w:rPr>
          <w:rFonts w:ascii="Arial" w:hAnsi="Arial"/>
          <w:b/>
          <w:bCs/>
          <w:noProof w:val="0"/>
          <w:rtl/>
        </w:rPr>
        <w:t>706 כדורים</w:t>
      </w:r>
      <w:r w:rsidR="00177680">
        <w:rPr>
          <w:rFonts w:ascii="Arial" w:hAnsi="Arial"/>
          <w:noProof w:val="0"/>
          <w:rtl/>
        </w:rPr>
        <w:t xml:space="preserve"> של סם מסוכן מסוג מתאמפטאמין עונש של </w:t>
      </w:r>
      <w:r w:rsidR="00177680">
        <w:rPr>
          <w:rFonts w:ascii="Arial" w:hAnsi="Arial"/>
          <w:b/>
          <w:bCs/>
          <w:noProof w:val="0"/>
          <w:rtl/>
        </w:rPr>
        <w:t>20 חודשי מאסר</w:t>
      </w:r>
      <w:r w:rsidR="00177680">
        <w:rPr>
          <w:rFonts w:ascii="Arial" w:hAnsi="Arial"/>
          <w:noProof w:val="0"/>
          <w:rtl/>
        </w:rPr>
        <w:t xml:space="preserve">; </w:t>
      </w:r>
    </w:p>
    <w:p w14:paraId="4A2054F7" w14:textId="77777777" w:rsidR="00177680" w:rsidRDefault="00177680" w:rsidP="00177680">
      <w:pPr>
        <w:spacing w:line="360" w:lineRule="auto"/>
        <w:ind w:left="85"/>
        <w:jc w:val="both"/>
        <w:rPr>
          <w:rFonts w:ascii="Arial" w:hAnsi="Arial"/>
          <w:noProof w:val="0"/>
          <w:rtl/>
        </w:rPr>
      </w:pPr>
    </w:p>
    <w:p w14:paraId="556875F3" w14:textId="77777777" w:rsidR="00177680" w:rsidRDefault="00F473A7" w:rsidP="00177680">
      <w:pPr>
        <w:spacing w:line="360" w:lineRule="auto"/>
        <w:ind w:left="85"/>
        <w:jc w:val="both"/>
        <w:rPr>
          <w:rFonts w:ascii="Arial" w:hAnsi="Arial"/>
          <w:noProof w:val="0"/>
          <w:rtl/>
        </w:rPr>
      </w:pPr>
      <w:hyperlink r:id="rId25" w:history="1">
        <w:r w:rsidRPr="00F473A7">
          <w:rPr>
            <w:rFonts w:ascii="Arial" w:hAnsi="Arial"/>
            <w:noProof w:val="0"/>
            <w:color w:val="0000FF"/>
            <w:u w:val="single"/>
            <w:rtl/>
          </w:rPr>
          <w:t>ת"פ (מחוזי – ב"ש) 49987-03-14</w:t>
        </w:r>
      </w:hyperlink>
      <w:r w:rsidR="00177680">
        <w:rPr>
          <w:rFonts w:ascii="Arial" w:hAnsi="Arial"/>
          <w:noProof w:val="0"/>
          <w:rtl/>
        </w:rPr>
        <w:t xml:space="preserve"> </w:t>
      </w:r>
      <w:r w:rsidR="00177680">
        <w:rPr>
          <w:rFonts w:ascii="Arial" w:hAnsi="Arial"/>
          <w:b/>
          <w:bCs/>
          <w:noProof w:val="0"/>
          <w:rtl/>
        </w:rPr>
        <w:t xml:space="preserve">מדינת ישראל נ' </w:t>
      </w:r>
      <w:r w:rsidR="00177680">
        <w:rPr>
          <w:rFonts w:ascii="David" w:hAnsi="David"/>
          <w:b/>
          <w:bCs/>
          <w:noProof w:val="0"/>
        </w:rPr>
        <w:t>PHONGTHAISONG</w:t>
      </w:r>
      <w:r w:rsidR="00177680">
        <w:rPr>
          <w:rFonts w:ascii="Arial" w:hAnsi="Arial"/>
          <w:b/>
          <w:bCs/>
          <w:noProof w:val="0"/>
          <w:rtl/>
        </w:rPr>
        <w:t xml:space="preserve"> </w:t>
      </w:r>
      <w:r w:rsidR="00177680">
        <w:rPr>
          <w:rFonts w:ascii="Arial" w:hAnsi="Arial"/>
          <w:noProof w:val="0"/>
          <w:rtl/>
        </w:rPr>
        <w:t xml:space="preserve">(פורסם בנבו, 08.12.2014) בו נדון עניינם של שלושה נאשמים, כאשר עניינם של נאשמים 1 ו-2 הוא היותר רלוונטי לענייננו. במקרה זה נאשם 1, שהוא תושב תאילנד והחזיק באשרת עבודה בישראל, ייבא בעצמו, בסיוע אחרים אותם פגש בתאילנד, אבקת מתאמפטמין במשקל כולל של </w:t>
      </w:r>
      <w:r w:rsidR="00177680">
        <w:rPr>
          <w:rFonts w:ascii="Arial" w:hAnsi="Arial"/>
          <w:b/>
          <w:bCs/>
          <w:noProof w:val="0"/>
          <w:rtl/>
        </w:rPr>
        <w:t xml:space="preserve">984.92 גרם </w:t>
      </w:r>
      <w:r w:rsidR="00177680">
        <w:rPr>
          <w:rFonts w:ascii="Arial" w:hAnsi="Arial"/>
          <w:noProof w:val="0"/>
          <w:rtl/>
        </w:rPr>
        <w:t xml:space="preserve">עבור נאשמת 2, שאף היא תושבת תאילנד שהחזיקה באשרת עבודה בישראל, ובנוסף ייבא </w:t>
      </w:r>
      <w:r w:rsidR="00177680">
        <w:rPr>
          <w:rFonts w:ascii="Arial" w:hAnsi="Arial"/>
          <w:b/>
          <w:bCs/>
          <w:noProof w:val="0"/>
          <w:rtl/>
        </w:rPr>
        <w:t xml:space="preserve">7,246 טבליות </w:t>
      </w:r>
      <w:r w:rsidR="00177680">
        <w:rPr>
          <w:rFonts w:ascii="Arial" w:hAnsi="Arial"/>
          <w:noProof w:val="0"/>
          <w:rtl/>
        </w:rPr>
        <w:t>סם של מתאמפטמין. נאשם 1 נתפס עם הגעתו ארצה ובהנחית המשטרה יצר קשר עם נאשמת 2 מקום לאיסוף הסם, וכשזו באה עם הנאשם השלישי בתיק לאיסוף הסם, נתפסה על-ידי המשטרה. נאשם 1 הורשע בעבירות של קשירת קשר לביצוע פשע, ייבוא סם מסוכן והחזקת סם שלא לצריכה עצמית ונדון ל-</w:t>
      </w:r>
      <w:r w:rsidR="00177680">
        <w:rPr>
          <w:rFonts w:ascii="Arial" w:hAnsi="Arial"/>
          <w:b/>
          <w:bCs/>
          <w:noProof w:val="0"/>
          <w:rtl/>
        </w:rPr>
        <w:t>48 חודשי מאסר בפועל</w:t>
      </w:r>
      <w:r w:rsidR="00177680">
        <w:rPr>
          <w:rFonts w:ascii="Arial" w:hAnsi="Arial"/>
          <w:noProof w:val="0"/>
          <w:rtl/>
        </w:rPr>
        <w:t xml:space="preserve">  (כאשר המדינה הגבילה עצמה בטיעוניה לעונש של 54 חודשי מאסר), בעוד שנאשמת 2, אשר הורשעה בעבירות של קשירת קשר לביצוע פשע, ייבוא סם מסוכן וניסיון החזקת סם שלא לצריכה עצמית (העבירות שיוחסו לה נגעו לאבקת הסם ולא לכדורי הסם), נדונה ב"הסדר סגור" לעונש של </w:t>
      </w:r>
      <w:r w:rsidR="00177680">
        <w:rPr>
          <w:rFonts w:ascii="Arial" w:hAnsi="Arial"/>
          <w:b/>
          <w:bCs/>
          <w:noProof w:val="0"/>
          <w:rtl/>
        </w:rPr>
        <w:t>24 חודשי מאסר</w:t>
      </w:r>
      <w:r w:rsidR="00177680">
        <w:rPr>
          <w:rFonts w:ascii="Arial" w:hAnsi="Arial"/>
          <w:noProof w:val="0"/>
          <w:rtl/>
        </w:rPr>
        <w:t xml:space="preserve">; </w:t>
      </w:r>
    </w:p>
    <w:p w14:paraId="2381CC89" w14:textId="77777777" w:rsidR="00177680" w:rsidRDefault="00177680" w:rsidP="00177680">
      <w:pPr>
        <w:spacing w:line="360" w:lineRule="auto"/>
        <w:ind w:left="85"/>
        <w:jc w:val="both"/>
        <w:rPr>
          <w:rFonts w:ascii="Arial" w:hAnsi="Arial"/>
          <w:noProof w:val="0"/>
          <w:rtl/>
        </w:rPr>
      </w:pPr>
    </w:p>
    <w:p w14:paraId="459074C4" w14:textId="77777777" w:rsidR="00177680" w:rsidRDefault="00F473A7" w:rsidP="00177680">
      <w:pPr>
        <w:spacing w:line="360" w:lineRule="auto"/>
        <w:ind w:left="85"/>
        <w:jc w:val="both"/>
        <w:rPr>
          <w:rFonts w:ascii="Arial" w:hAnsi="Arial"/>
          <w:noProof w:val="0"/>
          <w:rtl/>
        </w:rPr>
      </w:pPr>
      <w:hyperlink r:id="rId26" w:history="1">
        <w:r w:rsidRPr="00F473A7">
          <w:rPr>
            <w:rFonts w:ascii="Arial" w:hAnsi="Arial"/>
            <w:noProof w:val="0"/>
            <w:color w:val="0000FF"/>
            <w:u w:val="single"/>
            <w:rtl/>
          </w:rPr>
          <w:t>ת.פ (מחוזי-מרכז) 7271-08-21</w:t>
        </w:r>
      </w:hyperlink>
      <w:r w:rsidR="00177680">
        <w:rPr>
          <w:rFonts w:ascii="Arial" w:hAnsi="Arial"/>
          <w:noProof w:val="0"/>
          <w:rtl/>
        </w:rPr>
        <w:t xml:space="preserve"> </w:t>
      </w:r>
      <w:r w:rsidR="00177680">
        <w:rPr>
          <w:rFonts w:ascii="Arial" w:hAnsi="Arial"/>
          <w:b/>
          <w:bCs/>
          <w:noProof w:val="0"/>
          <w:rtl/>
        </w:rPr>
        <w:t xml:space="preserve">מדינת ישראל נ' בבייב </w:t>
      </w:r>
      <w:r w:rsidR="00177680">
        <w:rPr>
          <w:rFonts w:ascii="Arial" w:hAnsi="Arial"/>
          <w:noProof w:val="0"/>
          <w:rtl/>
        </w:rPr>
        <w:t xml:space="preserve">(פורסם בנבו, 26.4.2022) בו נדון הנאשם שהורשע בעבירה של </w:t>
      </w:r>
      <w:r w:rsidR="00177680">
        <w:rPr>
          <w:rFonts w:ascii="Arial" w:hAnsi="Arial"/>
          <w:b/>
          <w:bCs/>
          <w:noProof w:val="0"/>
          <w:rtl/>
        </w:rPr>
        <w:t>ניסיון להחזקת סם לא לצריכה עצמית</w:t>
      </w:r>
      <w:r w:rsidR="00177680">
        <w:rPr>
          <w:rFonts w:ascii="Arial" w:hAnsi="Arial"/>
          <w:noProof w:val="0"/>
          <w:rtl/>
        </w:rPr>
        <w:t xml:space="preserve"> ל-</w:t>
      </w:r>
      <w:r w:rsidR="00177680">
        <w:rPr>
          <w:rFonts w:ascii="Arial" w:hAnsi="Arial"/>
          <w:b/>
          <w:bCs/>
          <w:noProof w:val="0"/>
          <w:rtl/>
        </w:rPr>
        <w:t>22 חודשי מאסר</w:t>
      </w:r>
      <w:r w:rsidR="00177680">
        <w:rPr>
          <w:rFonts w:ascii="Arial" w:hAnsi="Arial"/>
          <w:noProof w:val="0"/>
          <w:rtl/>
        </w:rPr>
        <w:t xml:space="preserve">. במקרה זה ניסה הנאשם לשחרר ממשרדי המכס בנתב"ג משלוח שהכיל 292 יחידות סם מסוג מתאמפטמין במשקל </w:t>
      </w:r>
      <w:r w:rsidR="00177680">
        <w:rPr>
          <w:rFonts w:ascii="Arial" w:hAnsi="Arial"/>
          <w:b/>
          <w:bCs/>
          <w:noProof w:val="0"/>
          <w:rtl/>
        </w:rPr>
        <w:t>2,964 גרם</w:t>
      </w:r>
      <w:r w:rsidR="00177680">
        <w:rPr>
          <w:rFonts w:ascii="Arial" w:hAnsi="Arial"/>
          <w:noProof w:val="0"/>
          <w:rtl/>
        </w:rPr>
        <w:t>, ולאחר שהתעורר חשד בדבר תכולת המשלוח ברח מהמקום. אכן, במקרה זה מדובר במשקל סם גבוה מזה שבענייננו, ובנאשם בעל עבר פלילי, ואולם באותו מקרה הורשע הנאשם אך בעבירה של ניסיון להחזקת הסם ולא גם בעבירות החמורות יותר שבהן הורשע הנאשם בענייננו שהן עבירות הייבוא והחזקת הסם שלא לצריכה עצמית.</w:t>
      </w:r>
    </w:p>
    <w:p w14:paraId="51DC6A9A" w14:textId="77777777" w:rsidR="00177680" w:rsidRDefault="00177680" w:rsidP="00177680">
      <w:pPr>
        <w:spacing w:line="360" w:lineRule="auto"/>
        <w:jc w:val="both"/>
        <w:rPr>
          <w:rFonts w:ascii="David" w:eastAsia="David" w:hAnsi="David"/>
          <w:rtl/>
        </w:rPr>
      </w:pPr>
    </w:p>
    <w:p w14:paraId="0FF28943" w14:textId="77777777" w:rsidR="00177680" w:rsidRDefault="00177680" w:rsidP="00177680">
      <w:pPr>
        <w:spacing w:line="360" w:lineRule="auto"/>
        <w:ind w:left="85" w:hanging="709"/>
        <w:jc w:val="both"/>
        <w:rPr>
          <w:rFonts w:ascii="David" w:eastAsia="David" w:hAnsi="David"/>
          <w:rtl/>
        </w:rPr>
      </w:pPr>
      <w:r>
        <w:rPr>
          <w:rFonts w:ascii="David" w:eastAsia="David" w:hAnsi="David"/>
          <w:rtl/>
        </w:rPr>
        <w:tab/>
        <w:t>עיינתי בפסיקה שצרפ</w:t>
      </w:r>
      <w:r>
        <w:rPr>
          <w:rFonts w:ascii="David" w:eastAsia="David" w:hAnsi="David" w:hint="cs"/>
          <w:rtl/>
        </w:rPr>
        <w:t>ה המאשימה</w:t>
      </w:r>
      <w:r>
        <w:rPr>
          <w:rFonts w:ascii="David" w:eastAsia="David" w:hAnsi="David"/>
          <w:rtl/>
        </w:rPr>
        <w:t xml:space="preserve"> לרבות של מותב זה שאל חלקה אתייחס להלן</w:t>
      </w:r>
      <w:r>
        <w:rPr>
          <w:rFonts w:ascii="David" w:eastAsia="David" w:hAnsi="David" w:hint="cs"/>
          <w:rtl/>
        </w:rPr>
        <w:t xml:space="preserve"> כך </w:t>
      </w:r>
      <w:r>
        <w:rPr>
          <w:rFonts w:ascii="David" w:eastAsia="David" w:hAnsi="David"/>
          <w:rtl/>
        </w:rPr>
        <w:t xml:space="preserve">למשל </w:t>
      </w:r>
      <w:r>
        <w:rPr>
          <w:rFonts w:ascii="David" w:eastAsia="David" w:hAnsi="David" w:hint="cs"/>
          <w:rtl/>
        </w:rPr>
        <w:t xml:space="preserve">צרפה </w:t>
      </w:r>
      <w:r>
        <w:rPr>
          <w:rFonts w:ascii="David" w:eastAsia="David" w:hAnsi="David"/>
          <w:rtl/>
        </w:rPr>
        <w:t>את:</w:t>
      </w:r>
    </w:p>
    <w:p w14:paraId="668897B8" w14:textId="77777777" w:rsidR="00177680" w:rsidRDefault="00177680" w:rsidP="00177680">
      <w:pPr>
        <w:spacing w:line="360" w:lineRule="auto"/>
        <w:ind w:left="85" w:hanging="709"/>
        <w:jc w:val="both"/>
        <w:rPr>
          <w:rFonts w:ascii="David" w:eastAsia="David" w:hAnsi="David"/>
          <w:rtl/>
        </w:rPr>
      </w:pPr>
      <w:r>
        <w:rPr>
          <w:rFonts w:ascii="David" w:eastAsia="David" w:hAnsi="David"/>
          <w:rtl/>
        </w:rPr>
        <w:tab/>
      </w:r>
      <w:hyperlink r:id="rId27" w:history="1">
        <w:r w:rsidR="00F473A7" w:rsidRPr="00F473A7">
          <w:rPr>
            <w:rFonts w:ascii="David" w:eastAsia="David" w:hAnsi="David"/>
            <w:color w:val="0000FF"/>
            <w:u w:val="single"/>
            <w:rtl/>
          </w:rPr>
          <w:t>רע"פ 3569/20</w:t>
        </w:r>
      </w:hyperlink>
      <w:r>
        <w:rPr>
          <w:rFonts w:ascii="David" w:eastAsia="David" w:hAnsi="David"/>
          <w:b/>
          <w:bCs/>
          <w:rtl/>
        </w:rPr>
        <w:t xml:space="preserve"> אלטאראוס נ' מדינת ישראל</w:t>
      </w:r>
      <w:r>
        <w:rPr>
          <w:rFonts w:ascii="David" w:eastAsia="David" w:hAnsi="David"/>
          <w:rtl/>
        </w:rPr>
        <w:t xml:space="preserve"> (פורסם בנבו, 7.6.2020) בו דחה בית המשפט העליון בקשת רשות ערעור של נאשם, אזרח הפליפינים, שהורשע לאחר ניהול הוכחות בעבירות של קשירת קשר לביצוע פשע ויבוא בצוותא של סם מסוכן מסוג מתאמפיטמין במשקל של </w:t>
      </w:r>
      <w:r>
        <w:rPr>
          <w:rFonts w:ascii="David" w:eastAsia="David" w:hAnsi="David"/>
          <w:b/>
          <w:bCs/>
          <w:rtl/>
        </w:rPr>
        <w:t>50 גרם</w:t>
      </w:r>
      <w:r>
        <w:rPr>
          <w:rFonts w:ascii="David" w:eastAsia="David" w:hAnsi="David"/>
          <w:rtl/>
        </w:rPr>
        <w:t xml:space="preserve"> והותיר על כנו עונש של </w:t>
      </w:r>
      <w:r>
        <w:rPr>
          <w:rFonts w:ascii="David" w:eastAsia="David" w:hAnsi="David"/>
          <w:b/>
          <w:bCs/>
          <w:rtl/>
        </w:rPr>
        <w:t>22 חודשי מאסר</w:t>
      </w:r>
      <w:r>
        <w:rPr>
          <w:rFonts w:ascii="David" w:eastAsia="David" w:hAnsi="David"/>
          <w:rtl/>
        </w:rPr>
        <w:t>;</w:t>
      </w:r>
    </w:p>
    <w:p w14:paraId="21315985" w14:textId="77777777" w:rsidR="00177680" w:rsidRDefault="00177680" w:rsidP="00177680">
      <w:pPr>
        <w:spacing w:line="360" w:lineRule="auto"/>
        <w:ind w:left="85" w:hanging="709"/>
        <w:jc w:val="both"/>
        <w:rPr>
          <w:rFonts w:ascii="David" w:eastAsia="David" w:hAnsi="David"/>
          <w:rtl/>
        </w:rPr>
      </w:pPr>
    </w:p>
    <w:p w14:paraId="7D43F777" w14:textId="77777777" w:rsidR="00177680" w:rsidRDefault="00177680" w:rsidP="00177680">
      <w:pPr>
        <w:spacing w:line="360" w:lineRule="auto"/>
        <w:ind w:left="85" w:hanging="709"/>
        <w:jc w:val="both"/>
        <w:rPr>
          <w:rFonts w:ascii="David" w:eastAsia="David" w:hAnsi="David"/>
          <w:rtl/>
        </w:rPr>
      </w:pPr>
      <w:r>
        <w:rPr>
          <w:rFonts w:ascii="David" w:eastAsia="David" w:hAnsi="David"/>
          <w:rtl/>
        </w:rPr>
        <w:tab/>
      </w:r>
      <w:hyperlink r:id="rId28" w:history="1">
        <w:r w:rsidR="00F473A7" w:rsidRPr="00F473A7">
          <w:rPr>
            <w:rFonts w:ascii="David" w:eastAsia="David" w:hAnsi="David"/>
            <w:color w:val="0000FF"/>
            <w:u w:val="single"/>
            <w:rtl/>
          </w:rPr>
          <w:t>ת"פ (מחוזי-ב"ש) 65963-10-21</w:t>
        </w:r>
      </w:hyperlink>
      <w:r>
        <w:rPr>
          <w:rFonts w:ascii="David" w:eastAsia="David" w:hAnsi="David"/>
          <w:rtl/>
        </w:rPr>
        <w:t xml:space="preserve"> </w:t>
      </w:r>
      <w:r>
        <w:rPr>
          <w:rFonts w:ascii="David" w:eastAsia="David" w:hAnsi="David"/>
          <w:b/>
          <w:bCs/>
          <w:rtl/>
        </w:rPr>
        <w:t xml:space="preserve">מדינת ישראל נ' מונטרי </w:t>
      </w:r>
      <w:r>
        <w:rPr>
          <w:rFonts w:ascii="David" w:eastAsia="David" w:hAnsi="David"/>
          <w:rtl/>
        </w:rPr>
        <w:t xml:space="preserve">(פורסם בנבו, 10.7.2022) בו גזר בית המשפט המחוזי על נאשם, אזרח תאילנד, שהורשע בעבירות של יבוא סם מסוכן וניסיון החזקה של סם מסוכן מסוג מתאמפיטמין במשקל של </w:t>
      </w:r>
      <w:r>
        <w:rPr>
          <w:rFonts w:ascii="David" w:eastAsia="David" w:hAnsi="David"/>
          <w:b/>
          <w:bCs/>
          <w:rtl/>
        </w:rPr>
        <w:t>415.737 גרם עונש של 30 חודשי מאסר</w:t>
      </w:r>
      <w:r>
        <w:rPr>
          <w:rFonts w:ascii="David" w:eastAsia="David" w:hAnsi="David"/>
          <w:rtl/>
        </w:rPr>
        <w:t xml:space="preserve">. ערעור  הנאשם </w:t>
      </w:r>
      <w:r>
        <w:rPr>
          <w:rFonts w:ascii="David" w:eastAsia="David" w:hAnsi="David" w:hint="cs"/>
          <w:rtl/>
        </w:rPr>
        <w:t xml:space="preserve">על גזר הדין נדחה </w:t>
      </w:r>
      <w:r>
        <w:rPr>
          <w:rFonts w:ascii="David" w:eastAsia="David" w:hAnsi="David"/>
          <w:rtl/>
        </w:rPr>
        <w:t>(</w:t>
      </w:r>
      <w:hyperlink r:id="rId29" w:history="1">
        <w:r w:rsidR="00F473A7" w:rsidRPr="00F473A7">
          <w:rPr>
            <w:rFonts w:ascii="David" w:eastAsia="David" w:hAnsi="David"/>
            <w:color w:val="0000FF"/>
            <w:u w:val="single"/>
            <w:rtl/>
          </w:rPr>
          <w:t>ע"פ 5918/22</w:t>
        </w:r>
      </w:hyperlink>
      <w:r>
        <w:rPr>
          <w:rFonts w:ascii="David" w:eastAsia="David" w:hAnsi="David"/>
          <w:rtl/>
        </w:rPr>
        <w:t xml:space="preserve"> </w:t>
      </w:r>
      <w:r>
        <w:rPr>
          <w:rFonts w:ascii="David" w:eastAsia="David" w:hAnsi="David"/>
          <w:b/>
          <w:bCs/>
          <w:rtl/>
        </w:rPr>
        <w:t>מונטרי נ</w:t>
      </w:r>
      <w:r>
        <w:rPr>
          <w:rFonts w:ascii="David" w:eastAsia="David" w:hAnsi="David" w:hint="cs"/>
          <w:b/>
          <w:bCs/>
          <w:rtl/>
        </w:rPr>
        <w:t>'</w:t>
      </w:r>
      <w:r>
        <w:rPr>
          <w:rFonts w:ascii="David" w:eastAsia="David" w:hAnsi="David"/>
          <w:b/>
          <w:bCs/>
          <w:rtl/>
        </w:rPr>
        <w:t xml:space="preserve"> מדינת ישראל</w:t>
      </w:r>
      <w:r>
        <w:rPr>
          <w:rFonts w:ascii="David" w:eastAsia="David" w:hAnsi="David" w:hint="cs"/>
          <w:b/>
          <w:bCs/>
          <w:rtl/>
        </w:rPr>
        <w:t xml:space="preserve"> </w:t>
      </w:r>
      <w:r>
        <w:rPr>
          <w:rFonts w:ascii="David" w:eastAsia="David" w:hAnsi="David" w:hint="cs"/>
          <w:rtl/>
        </w:rPr>
        <w:t>[</w:t>
      </w:r>
      <w:r w:rsidRPr="00252330">
        <w:rPr>
          <w:rFonts w:ascii="David" w:eastAsia="David" w:hAnsi="David" w:hint="cs"/>
          <w:rtl/>
        </w:rPr>
        <w:t>פורסם בנבו, 2.1.2023]</w:t>
      </w:r>
      <w:r>
        <w:rPr>
          <w:rFonts w:ascii="David" w:eastAsia="David" w:hAnsi="David"/>
          <w:rtl/>
        </w:rPr>
        <w:t>)</w:t>
      </w:r>
      <w:r>
        <w:rPr>
          <w:rFonts w:ascii="David" w:eastAsia="David" w:hAnsi="David" w:hint="cs"/>
          <w:rtl/>
        </w:rPr>
        <w:t>;</w:t>
      </w:r>
    </w:p>
    <w:p w14:paraId="33797A41" w14:textId="77777777" w:rsidR="00177680" w:rsidRDefault="00177680" w:rsidP="00177680">
      <w:pPr>
        <w:spacing w:line="360" w:lineRule="auto"/>
        <w:ind w:left="85" w:hanging="709"/>
        <w:jc w:val="both"/>
        <w:rPr>
          <w:rFonts w:ascii="David" w:eastAsia="David" w:hAnsi="David"/>
          <w:rtl/>
        </w:rPr>
      </w:pPr>
    </w:p>
    <w:p w14:paraId="5653EA5A" w14:textId="77777777" w:rsidR="00177680" w:rsidRDefault="00177680" w:rsidP="00177680">
      <w:pPr>
        <w:spacing w:line="360" w:lineRule="auto"/>
        <w:ind w:left="85" w:hanging="709"/>
        <w:jc w:val="both"/>
        <w:rPr>
          <w:rFonts w:ascii="David" w:eastAsia="David" w:hAnsi="David"/>
          <w:rtl/>
        </w:rPr>
      </w:pPr>
      <w:r>
        <w:rPr>
          <w:rFonts w:ascii="David" w:eastAsia="David" w:hAnsi="David"/>
          <w:rtl/>
        </w:rPr>
        <w:tab/>
      </w:r>
      <w:hyperlink r:id="rId30" w:history="1">
        <w:r w:rsidR="00F473A7" w:rsidRPr="00F473A7">
          <w:rPr>
            <w:rFonts w:ascii="David" w:eastAsia="David" w:hAnsi="David"/>
            <w:color w:val="0000FF"/>
            <w:u w:val="single"/>
            <w:rtl/>
          </w:rPr>
          <w:t>ת"פ (מחוזי-ב"ש) 16749-02-21</w:t>
        </w:r>
      </w:hyperlink>
      <w:r>
        <w:rPr>
          <w:rFonts w:ascii="David" w:eastAsia="David" w:hAnsi="David"/>
          <w:rtl/>
        </w:rPr>
        <w:t xml:space="preserve"> </w:t>
      </w:r>
      <w:r>
        <w:rPr>
          <w:rFonts w:ascii="David" w:eastAsia="David" w:hAnsi="David"/>
          <w:b/>
          <w:bCs/>
          <w:rtl/>
        </w:rPr>
        <w:t xml:space="preserve">מדינת ישראל נ' </w:t>
      </w:r>
      <w:r>
        <w:rPr>
          <w:rFonts w:ascii="David" w:eastAsia="David" w:hAnsi="David"/>
          <w:b/>
          <w:bCs/>
        </w:rPr>
        <w:t>SAESONG</w:t>
      </w:r>
      <w:r>
        <w:rPr>
          <w:rFonts w:ascii="David" w:eastAsia="David" w:hAnsi="David"/>
          <w:rtl/>
        </w:rPr>
        <w:t xml:space="preserve"> (פורסם בנבו, 16.3.2021)</w:t>
      </w:r>
      <w:r>
        <w:rPr>
          <w:rFonts w:ascii="David" w:eastAsia="David" w:hAnsi="David" w:hint="cs"/>
          <w:rtl/>
        </w:rPr>
        <w:t>,</w:t>
      </w:r>
      <w:r>
        <w:rPr>
          <w:rFonts w:ascii="David" w:eastAsia="David" w:hAnsi="David"/>
          <w:rtl/>
        </w:rPr>
        <w:t xml:space="preserve"> שניתן על</w:t>
      </w:r>
      <w:r>
        <w:rPr>
          <w:rFonts w:ascii="David" w:eastAsia="David" w:hAnsi="David" w:hint="cs"/>
          <w:rtl/>
        </w:rPr>
        <w:t>-</w:t>
      </w:r>
      <w:r>
        <w:rPr>
          <w:rFonts w:ascii="David" w:eastAsia="David" w:hAnsi="David"/>
          <w:rtl/>
        </w:rPr>
        <w:t>ידי מותב זה</w:t>
      </w:r>
      <w:r>
        <w:rPr>
          <w:rFonts w:ascii="David" w:eastAsia="David" w:hAnsi="David" w:hint="cs"/>
          <w:rtl/>
        </w:rPr>
        <w:t>, בו</w:t>
      </w:r>
      <w:r>
        <w:rPr>
          <w:rFonts w:ascii="David" w:eastAsia="David" w:hAnsi="David"/>
          <w:rtl/>
        </w:rPr>
        <w:t xml:space="preserve"> נגזר על נאשם, אזרח תאילנד, שהורשע בעבירות של ניסיון להחזקת סם מסוכן שלא לצריכה עצמית מסוג מתאמפטמין במשקל של</w:t>
      </w:r>
      <w:r>
        <w:rPr>
          <w:rFonts w:ascii="David" w:eastAsia="David" w:hAnsi="David"/>
          <w:b/>
          <w:bCs/>
          <w:rtl/>
        </w:rPr>
        <w:t xml:space="preserve"> 802.63 גרם </w:t>
      </w:r>
      <w:r>
        <w:rPr>
          <w:rFonts w:ascii="David" w:eastAsia="David" w:hAnsi="David"/>
          <w:rtl/>
        </w:rPr>
        <w:t xml:space="preserve">והחזקת סם מסוכן שלא לצריכה עצמית של סם מסוג מתאמפטמין במשקל של </w:t>
      </w:r>
      <w:r>
        <w:rPr>
          <w:rFonts w:ascii="David" w:eastAsia="David" w:hAnsi="David"/>
          <w:b/>
          <w:bCs/>
          <w:rtl/>
        </w:rPr>
        <w:t xml:space="preserve">21.38 </w:t>
      </w:r>
      <w:r>
        <w:rPr>
          <w:rFonts w:ascii="David" w:eastAsia="David" w:hAnsi="David"/>
          <w:rtl/>
        </w:rPr>
        <w:t xml:space="preserve">גרם בהסדר עונשי סגור עונש של </w:t>
      </w:r>
      <w:r>
        <w:rPr>
          <w:rFonts w:ascii="David" w:eastAsia="David" w:hAnsi="David"/>
          <w:b/>
          <w:bCs/>
          <w:rtl/>
        </w:rPr>
        <w:t>33 חודשי מאסר</w:t>
      </w:r>
      <w:r>
        <w:rPr>
          <w:rFonts w:ascii="David" w:eastAsia="David" w:hAnsi="David"/>
          <w:rtl/>
        </w:rPr>
        <w:t>;</w:t>
      </w:r>
    </w:p>
    <w:p w14:paraId="6C525742" w14:textId="77777777" w:rsidR="00177680" w:rsidRDefault="00177680" w:rsidP="00177680">
      <w:pPr>
        <w:spacing w:line="360" w:lineRule="auto"/>
        <w:ind w:left="85" w:hanging="709"/>
        <w:jc w:val="both"/>
        <w:rPr>
          <w:rFonts w:ascii="David" w:eastAsia="David" w:hAnsi="David"/>
          <w:rtl/>
        </w:rPr>
      </w:pPr>
    </w:p>
    <w:p w14:paraId="2DEA73A4" w14:textId="77777777" w:rsidR="00177680" w:rsidRDefault="00177680" w:rsidP="00177680">
      <w:pPr>
        <w:spacing w:line="360" w:lineRule="auto"/>
        <w:ind w:left="85" w:hanging="709"/>
        <w:jc w:val="both"/>
        <w:rPr>
          <w:rFonts w:ascii="David" w:eastAsia="David" w:hAnsi="David"/>
          <w:rtl/>
        </w:rPr>
      </w:pPr>
      <w:r>
        <w:rPr>
          <w:rFonts w:ascii="David" w:eastAsia="David" w:hAnsi="David"/>
          <w:rtl/>
        </w:rPr>
        <w:tab/>
      </w:r>
      <w:hyperlink r:id="rId31" w:history="1">
        <w:r w:rsidR="00F473A7" w:rsidRPr="00F473A7">
          <w:rPr>
            <w:rFonts w:ascii="David" w:eastAsia="David" w:hAnsi="David"/>
            <w:color w:val="0000FF"/>
            <w:u w:val="single"/>
            <w:rtl/>
          </w:rPr>
          <w:t>ת"פ (מחוזי-ב"ש) 66609-06-17</w:t>
        </w:r>
      </w:hyperlink>
      <w:r>
        <w:rPr>
          <w:rFonts w:ascii="David" w:eastAsia="David" w:hAnsi="David"/>
          <w:rtl/>
        </w:rPr>
        <w:t xml:space="preserve"> </w:t>
      </w:r>
      <w:r>
        <w:rPr>
          <w:rFonts w:ascii="David" w:eastAsia="David" w:hAnsi="David"/>
          <w:b/>
          <w:bCs/>
          <w:rtl/>
        </w:rPr>
        <w:t xml:space="preserve">מדינת ישראל נ' </w:t>
      </w:r>
      <w:r>
        <w:rPr>
          <w:rFonts w:ascii="David" w:eastAsia="David" w:hAnsi="David"/>
          <w:b/>
          <w:bCs/>
        </w:rPr>
        <w:t>NGUYEN</w:t>
      </w:r>
      <w:r>
        <w:rPr>
          <w:rFonts w:ascii="David" w:eastAsia="David" w:hAnsi="David"/>
          <w:b/>
          <w:bCs/>
          <w:rtl/>
        </w:rPr>
        <w:t xml:space="preserve"> </w:t>
      </w:r>
      <w:r>
        <w:rPr>
          <w:rFonts w:ascii="David" w:eastAsia="David" w:hAnsi="David"/>
          <w:rtl/>
        </w:rPr>
        <w:t xml:space="preserve">(פורסם בנבו, 6.11.2017) בו גזר בית המשפט המחוזי על נאשם, אזרח ויאטנם, שהורשע במסגר הסדר טיעון "סגור" לעונש בעבירות של יבוא סם מסוכן מסוג מתאמפתמין במשקל של </w:t>
      </w:r>
      <w:r>
        <w:rPr>
          <w:rFonts w:ascii="David" w:eastAsia="David" w:hAnsi="David"/>
          <w:b/>
          <w:bCs/>
          <w:rtl/>
        </w:rPr>
        <w:t>481.13 גרם</w:t>
      </w:r>
      <w:r>
        <w:rPr>
          <w:rFonts w:ascii="David" w:eastAsia="David" w:hAnsi="David"/>
          <w:rtl/>
        </w:rPr>
        <w:t xml:space="preserve">, התחזות לאחר </w:t>
      </w:r>
      <w:r w:rsidRPr="00932592">
        <w:rPr>
          <w:rFonts w:ascii="David" w:eastAsia="David" w:hAnsi="David"/>
          <w:b/>
          <w:bCs/>
          <w:rtl/>
        </w:rPr>
        <w:t xml:space="preserve">ושהייה ללא היתר בישראל </w:t>
      </w:r>
      <w:r>
        <w:rPr>
          <w:rFonts w:ascii="David" w:eastAsia="David" w:hAnsi="David"/>
          <w:rtl/>
        </w:rPr>
        <w:t xml:space="preserve">עונש של </w:t>
      </w:r>
      <w:r>
        <w:rPr>
          <w:rFonts w:ascii="David" w:eastAsia="David" w:hAnsi="David"/>
          <w:b/>
          <w:bCs/>
          <w:rtl/>
        </w:rPr>
        <w:t>27 חודשי מאסר</w:t>
      </w:r>
      <w:r>
        <w:rPr>
          <w:rFonts w:ascii="David" w:eastAsia="David" w:hAnsi="David" w:hint="cs"/>
          <w:rtl/>
        </w:rPr>
        <w:t>;</w:t>
      </w:r>
    </w:p>
    <w:p w14:paraId="16632D60" w14:textId="77777777" w:rsidR="00177680" w:rsidRDefault="00177680" w:rsidP="00177680">
      <w:pPr>
        <w:spacing w:line="360" w:lineRule="auto"/>
        <w:ind w:left="85" w:hanging="709"/>
        <w:jc w:val="both"/>
        <w:rPr>
          <w:rFonts w:ascii="David" w:eastAsia="David" w:hAnsi="David"/>
          <w:rtl/>
        </w:rPr>
      </w:pPr>
    </w:p>
    <w:p w14:paraId="75D08AB2" w14:textId="77777777" w:rsidR="00177680" w:rsidRDefault="00F473A7" w:rsidP="00177680">
      <w:pPr>
        <w:spacing w:line="360" w:lineRule="auto"/>
        <w:ind w:left="85"/>
        <w:jc w:val="both"/>
        <w:rPr>
          <w:rFonts w:ascii="David" w:eastAsia="David" w:hAnsi="David"/>
          <w:rtl/>
        </w:rPr>
      </w:pPr>
      <w:hyperlink r:id="rId32" w:history="1">
        <w:r w:rsidRPr="00F473A7">
          <w:rPr>
            <w:color w:val="0000FF"/>
            <w:u w:val="single"/>
            <w:rtl/>
          </w:rPr>
          <w:t>ת"פ (מחוזי-ב"ש) 58605-05-19</w:t>
        </w:r>
      </w:hyperlink>
      <w:r w:rsidR="00177680">
        <w:rPr>
          <w:rtl/>
        </w:rPr>
        <w:t xml:space="preserve"> </w:t>
      </w:r>
      <w:r w:rsidR="00177680">
        <w:rPr>
          <w:rFonts w:ascii="David" w:eastAsia="David" w:hAnsi="David"/>
          <w:b/>
          <w:bCs/>
          <w:rtl/>
        </w:rPr>
        <w:t xml:space="preserve">מדינת ישראל נ' </w:t>
      </w:r>
      <w:r w:rsidR="00177680">
        <w:rPr>
          <w:rFonts w:ascii="David" w:eastAsia="David" w:hAnsi="David"/>
          <w:b/>
          <w:bCs/>
        </w:rPr>
        <w:t>TRAN</w:t>
      </w:r>
      <w:r w:rsidR="00177680">
        <w:rPr>
          <w:rFonts w:ascii="David" w:eastAsia="David" w:hAnsi="David"/>
          <w:rtl/>
        </w:rPr>
        <w:t xml:space="preserve"> (פורסם בנבו,2.1.2020) בו גזר בית המשפט המחוזי על נאשם, נתין זר מויאטנם, שהורשע בעבירות של החזקת סם מסוכן שלא צריכה עצמית של סם מסוכן מסוג מתאמפטמין במשקל של </w:t>
      </w:r>
      <w:r w:rsidR="00177680">
        <w:rPr>
          <w:rFonts w:ascii="David" w:eastAsia="David" w:hAnsi="David"/>
          <w:b/>
          <w:bCs/>
          <w:rtl/>
        </w:rPr>
        <w:t>140 גרם</w:t>
      </w:r>
      <w:r w:rsidR="00177680">
        <w:rPr>
          <w:rFonts w:ascii="David" w:eastAsia="David" w:hAnsi="David"/>
          <w:rtl/>
        </w:rPr>
        <w:t xml:space="preserve">, החזקת כלים, </w:t>
      </w:r>
      <w:r w:rsidR="00177680" w:rsidRPr="00932592">
        <w:rPr>
          <w:rFonts w:ascii="David" w:eastAsia="David" w:hAnsi="David"/>
          <w:b/>
          <w:bCs/>
          <w:rtl/>
        </w:rPr>
        <w:t>ושהיה בישראל שלא כחוק</w:t>
      </w:r>
      <w:r w:rsidR="00177680">
        <w:rPr>
          <w:rFonts w:ascii="David" w:eastAsia="David" w:hAnsi="David"/>
          <w:rtl/>
        </w:rPr>
        <w:t xml:space="preserve">, עונש של </w:t>
      </w:r>
      <w:r w:rsidR="00177680">
        <w:rPr>
          <w:rFonts w:ascii="David" w:eastAsia="David" w:hAnsi="David"/>
          <w:b/>
          <w:bCs/>
          <w:rtl/>
        </w:rPr>
        <w:t>24 חודשי מאסר</w:t>
      </w:r>
      <w:r w:rsidR="00177680">
        <w:rPr>
          <w:rFonts w:ascii="David" w:eastAsia="David" w:hAnsi="David"/>
          <w:rtl/>
        </w:rPr>
        <w:t>.</w:t>
      </w:r>
    </w:p>
    <w:p w14:paraId="5C65D229" w14:textId="77777777" w:rsidR="00177680" w:rsidRDefault="00177680" w:rsidP="00177680">
      <w:pPr>
        <w:spacing w:line="360" w:lineRule="auto"/>
        <w:ind w:left="85"/>
        <w:jc w:val="both"/>
        <w:rPr>
          <w:rFonts w:ascii="David" w:eastAsia="David" w:hAnsi="David"/>
          <w:rtl/>
        </w:rPr>
      </w:pPr>
    </w:p>
    <w:p w14:paraId="493C66B4" w14:textId="77777777" w:rsidR="00177680" w:rsidRDefault="00177680" w:rsidP="00177680">
      <w:pPr>
        <w:spacing w:line="360" w:lineRule="auto"/>
        <w:ind w:left="85"/>
        <w:jc w:val="both"/>
        <w:rPr>
          <w:rFonts w:ascii="David" w:eastAsia="David" w:hAnsi="David"/>
          <w:rtl/>
        </w:rPr>
      </w:pPr>
      <w:r w:rsidRPr="008B1537">
        <w:rPr>
          <w:rFonts w:ascii="David" w:eastAsia="David" w:hAnsi="David" w:hint="cs"/>
          <w:b/>
          <w:bCs/>
          <w:rtl/>
        </w:rPr>
        <w:t>ב"כ הנאשם</w:t>
      </w:r>
      <w:r>
        <w:rPr>
          <w:rFonts w:ascii="David" w:eastAsia="David" w:hAnsi="David" w:hint="cs"/>
          <w:rtl/>
        </w:rPr>
        <w:t xml:space="preserve"> הפנה כאמור </w:t>
      </w:r>
      <w:r>
        <w:rPr>
          <w:rFonts w:ascii="David" w:eastAsia="David" w:hAnsi="David" w:hint="cs"/>
          <w:b/>
          <w:bCs/>
          <w:rtl/>
        </w:rPr>
        <w:t>ל</w:t>
      </w:r>
      <w:r w:rsidRPr="00252330">
        <w:rPr>
          <w:rFonts w:ascii="David" w:eastAsia="David" w:hAnsi="David"/>
          <w:b/>
          <w:bCs/>
          <w:rtl/>
        </w:rPr>
        <w:t>עניין פרפאן</w:t>
      </w:r>
      <w:r>
        <w:rPr>
          <w:rFonts w:ascii="David" w:eastAsia="David" w:hAnsi="David" w:hint="cs"/>
          <w:rtl/>
        </w:rPr>
        <w:t xml:space="preserve"> שאליו הפנתה גם המאשימה. במקרה זה  </w:t>
      </w:r>
      <w:r>
        <w:rPr>
          <w:rFonts w:ascii="David" w:eastAsia="David" w:hAnsi="David"/>
          <w:rtl/>
        </w:rPr>
        <w:t xml:space="preserve">גזר מותב זה על נאשם, אזרח תאילנד, שהורשע בעבירות של יבוא והחזקת סם מסוכן שלא לצריכה עצמית מסוג מתאמפטמין במשקל של </w:t>
      </w:r>
      <w:r>
        <w:rPr>
          <w:rFonts w:ascii="David" w:eastAsia="David" w:hAnsi="David"/>
          <w:b/>
          <w:bCs/>
          <w:rtl/>
        </w:rPr>
        <w:t>890 גרם עונש של 22 חודשי מאסר</w:t>
      </w:r>
      <w:r>
        <w:rPr>
          <w:rFonts w:ascii="David" w:eastAsia="David" w:hAnsi="David"/>
          <w:rtl/>
        </w:rPr>
        <w:t>.</w:t>
      </w:r>
    </w:p>
    <w:p w14:paraId="2D3CF23D" w14:textId="77777777" w:rsidR="00177680" w:rsidRDefault="00177680" w:rsidP="00177680">
      <w:pPr>
        <w:spacing w:line="360" w:lineRule="auto"/>
        <w:jc w:val="both"/>
        <w:rPr>
          <w:rFonts w:ascii="David" w:eastAsia="David" w:hAnsi="David"/>
        </w:rPr>
      </w:pPr>
    </w:p>
    <w:p w14:paraId="1625E8C0" w14:textId="77777777" w:rsidR="00177680" w:rsidRDefault="00177680" w:rsidP="00177680">
      <w:pPr>
        <w:spacing w:line="360" w:lineRule="auto"/>
        <w:ind w:left="85" w:hanging="709"/>
        <w:jc w:val="both"/>
        <w:rPr>
          <w:rFonts w:ascii="David" w:eastAsia="David" w:hAnsi="David"/>
          <w:rtl/>
        </w:rPr>
      </w:pPr>
      <w:r>
        <w:rPr>
          <w:rFonts w:ascii="David" w:eastAsia="David" w:hAnsi="David" w:hint="cs"/>
          <w:rtl/>
        </w:rPr>
        <w:t>13</w:t>
      </w:r>
      <w:r>
        <w:rPr>
          <w:rFonts w:ascii="David" w:eastAsia="David" w:hAnsi="David"/>
          <w:rtl/>
        </w:rPr>
        <w:t>.</w:t>
      </w:r>
      <w:r>
        <w:rPr>
          <w:rFonts w:ascii="David" w:eastAsia="David" w:hAnsi="David"/>
          <w:rtl/>
        </w:rPr>
        <w:tab/>
        <w:t xml:space="preserve">לא מצאתי לחרוג ממתחם העונש ההולם אותו קבעתי, ובגדרי המתחם נתתי משקל לנסיבותיו האישיות והמשפחתיות של הנאשם; ללקיחת האחריות והודאתו במיוחס לו; לכך שהוא נעדר עבר פלילי; לעובדה שכאזרח זר, שאינו שולט בשפה העברית ונעדר תמיכה משפחתית בישראל, מאסרו יהיה כרוך בקשיים מיוחדים החורגים מהקשיים הרגילים במאסר, לא כל שכן מאסר ראשון; ולקושי שיגרם למשפחת הנאשם, שנתמכה כלכלית בנאשם, ממאסרו. </w:t>
      </w:r>
    </w:p>
    <w:p w14:paraId="475ED861" w14:textId="77777777" w:rsidR="00177680" w:rsidRDefault="00177680" w:rsidP="00177680">
      <w:pPr>
        <w:spacing w:line="360" w:lineRule="auto"/>
        <w:ind w:left="85" w:hanging="709"/>
        <w:jc w:val="both"/>
        <w:rPr>
          <w:rFonts w:ascii="David" w:eastAsia="David" w:hAnsi="David"/>
          <w:rtl/>
        </w:rPr>
      </w:pPr>
      <w:r>
        <w:rPr>
          <w:rFonts w:ascii="David" w:eastAsia="David" w:hAnsi="David"/>
          <w:rtl/>
        </w:rPr>
        <w:tab/>
        <w:t xml:space="preserve">לצד כל האמור, נתתי משקל בגזר הדין גם לשיקולי ההרתעה. </w:t>
      </w:r>
    </w:p>
    <w:p w14:paraId="1C9FD7C8" w14:textId="77777777" w:rsidR="00177680" w:rsidRDefault="00177680" w:rsidP="00177680">
      <w:pPr>
        <w:spacing w:line="360" w:lineRule="auto"/>
        <w:ind w:left="85" w:hanging="709"/>
        <w:jc w:val="both"/>
        <w:rPr>
          <w:rFonts w:ascii="Arial" w:hAnsi="Arial"/>
          <w:rtl/>
        </w:rPr>
      </w:pPr>
      <w:r>
        <w:rPr>
          <w:rFonts w:ascii="David" w:eastAsia="David" w:hAnsi="David"/>
          <w:rtl/>
        </w:rPr>
        <w:tab/>
        <w:t>בעניין זה אפנה לדברים שכתבתי לאחרונה בעניין פרפאן, פסקה 12:</w:t>
      </w:r>
      <w:r>
        <w:rPr>
          <w:rFonts w:ascii="Arial" w:hAnsi="Arial"/>
          <w:rtl/>
        </w:rPr>
        <w:t xml:space="preserve"> </w:t>
      </w:r>
    </w:p>
    <w:p w14:paraId="3B25E5A1" w14:textId="77777777" w:rsidR="00177680" w:rsidRDefault="00177680" w:rsidP="00177680">
      <w:pPr>
        <w:spacing w:line="360" w:lineRule="auto"/>
        <w:ind w:left="85" w:hanging="709"/>
        <w:jc w:val="both"/>
        <w:rPr>
          <w:rFonts w:ascii="Arial" w:hAnsi="Arial"/>
          <w:rtl/>
        </w:rPr>
      </w:pPr>
      <w:r>
        <w:rPr>
          <w:rFonts w:ascii="Arial" w:hAnsi="Arial"/>
          <w:rtl/>
        </w:rPr>
        <w:tab/>
        <w:t>"</w:t>
      </w:r>
      <w:r>
        <w:rPr>
          <w:rFonts w:ascii="Arial" w:hAnsi="Arial"/>
          <w:b/>
          <w:bCs/>
          <w:rtl/>
        </w:rPr>
        <w:t>למרבה הצער, מקרה של ייבוא סמים ארצה על-ידי עובדים זרים הוא לא בגדר אירוע חד פעמי או חריג ביותר. בשנים האחרונות נתקלים גורמי האכיפה ביותר ויותר מקרים שכאלו ומכאן שיש לנקוט בענישה מחמירה כדי לנסות ולצמצם התופעה באמצעות הרתעה. זאת לא רק מתוך המחויבות של המדינה לדאוג לביטחונם ולשלומם של העובדים הזרים שנמצאים בקרבנו בהתאם לרישיון שניתן להם, אלא גם בשל החשש שהסמים שיובאו יזלגו אל מחוץ לקהילת העובדים הזרים, על הנזק שעלול להיגרם כתוצאה מכך לכלל החברה</w:t>
      </w:r>
      <w:r>
        <w:rPr>
          <w:rFonts w:ascii="Arial" w:hAnsi="Arial"/>
          <w:rtl/>
        </w:rPr>
        <w:t xml:space="preserve">". </w:t>
      </w:r>
    </w:p>
    <w:p w14:paraId="37E72063" w14:textId="77777777" w:rsidR="00177680" w:rsidRDefault="00177680" w:rsidP="00177680">
      <w:pPr>
        <w:spacing w:line="360" w:lineRule="auto"/>
        <w:ind w:left="85" w:hanging="709"/>
        <w:jc w:val="both"/>
        <w:rPr>
          <w:rFonts w:ascii="David" w:hAnsi="David"/>
          <w:color w:val="000000"/>
        </w:rPr>
      </w:pPr>
      <w:r>
        <w:rPr>
          <w:rFonts w:ascii="Arial" w:hAnsi="Arial"/>
          <w:rtl/>
        </w:rPr>
        <w:tab/>
        <w:t xml:space="preserve">לעניין הצורך בענישה מרתיעה בעבירות סם המבוצעות על-ידי אזרחים זרים ראו בין היתר </w:t>
      </w:r>
      <w:hyperlink r:id="rId33" w:history="1">
        <w:r w:rsidR="00F473A7" w:rsidRPr="00F473A7">
          <w:rPr>
            <w:rFonts w:ascii="Arial" w:hAnsi="Arial"/>
            <w:color w:val="0000FF"/>
            <w:u w:val="single"/>
            <w:rtl/>
          </w:rPr>
          <w:t>ע"פ 226/89</w:t>
        </w:r>
      </w:hyperlink>
      <w:r>
        <w:rPr>
          <w:rFonts w:ascii="Arial" w:hAnsi="Arial"/>
          <w:rtl/>
        </w:rPr>
        <w:t xml:space="preserve">  </w:t>
      </w:r>
      <w:r>
        <w:rPr>
          <w:rFonts w:ascii="Arial" w:hAnsi="Arial"/>
          <w:b/>
          <w:bCs/>
          <w:rtl/>
        </w:rPr>
        <w:t>זפה נ' מדינת ישראל</w:t>
      </w:r>
      <w:r>
        <w:rPr>
          <w:rFonts w:ascii="Arial" w:hAnsi="Arial"/>
          <w:rtl/>
        </w:rPr>
        <w:t xml:space="preserve"> (פורסם בנבו, 15.3.1990).</w:t>
      </w:r>
    </w:p>
    <w:p w14:paraId="38D25A12" w14:textId="77777777" w:rsidR="00177680" w:rsidRDefault="00177680" w:rsidP="00177680">
      <w:pPr>
        <w:spacing w:line="360" w:lineRule="auto"/>
        <w:ind w:left="85" w:hanging="709"/>
        <w:jc w:val="both"/>
        <w:rPr>
          <w:rFonts w:ascii="David" w:eastAsia="David" w:hAnsi="David"/>
          <w:rtl/>
        </w:rPr>
      </w:pPr>
    </w:p>
    <w:p w14:paraId="78D631C9" w14:textId="77777777" w:rsidR="00177680" w:rsidRDefault="00177680" w:rsidP="00177680">
      <w:pPr>
        <w:spacing w:line="360" w:lineRule="auto"/>
        <w:ind w:left="85" w:hanging="709"/>
        <w:jc w:val="both"/>
        <w:rPr>
          <w:rFonts w:ascii="David" w:eastAsia="David" w:hAnsi="David"/>
          <w:rtl/>
        </w:rPr>
      </w:pPr>
      <w:r>
        <w:rPr>
          <w:rFonts w:ascii="David" w:eastAsia="David" w:hAnsi="David" w:hint="cs"/>
          <w:rtl/>
        </w:rPr>
        <w:t>14</w:t>
      </w:r>
      <w:r>
        <w:rPr>
          <w:rFonts w:ascii="David" w:eastAsia="David" w:hAnsi="David"/>
          <w:rtl/>
        </w:rPr>
        <w:t>.</w:t>
      </w:r>
      <w:r>
        <w:rPr>
          <w:rFonts w:ascii="David" w:eastAsia="David" w:hAnsi="David"/>
          <w:rtl/>
        </w:rPr>
        <w:tab/>
      </w:r>
      <w:r>
        <w:rPr>
          <w:rFonts w:ascii="David" w:eastAsia="David" w:hAnsi="David" w:hint="cs"/>
          <w:rtl/>
        </w:rPr>
        <w:t>עבירה של יבוא סמים היא עבירה בעלת מאפיינים כלכליים</w:t>
      </w:r>
      <w:r>
        <w:rPr>
          <w:rFonts w:ascii="David" w:eastAsia="David" w:hAnsi="David"/>
          <w:rtl/>
        </w:rPr>
        <w:t>.</w:t>
      </w:r>
      <w:r>
        <w:rPr>
          <w:rFonts w:ascii="David" w:eastAsia="David" w:hAnsi="David" w:hint="cs"/>
          <w:rtl/>
        </w:rPr>
        <w:t xml:space="preserve"> לנוכח כך, נכון להטיל על מי אשר מבצעה גם ענישה כלכלית.</w:t>
      </w:r>
      <w:r>
        <w:rPr>
          <w:rFonts w:ascii="David" w:eastAsia="David" w:hAnsi="David"/>
          <w:rtl/>
        </w:rPr>
        <w:t xml:space="preserve"> יחד עם זאת, וכמצוות הוראת </w:t>
      </w:r>
      <w:hyperlink r:id="rId34" w:history="1">
        <w:r w:rsidR="000D2708" w:rsidRPr="000D2708">
          <w:rPr>
            <w:rStyle w:val="Hyperlink"/>
            <w:rFonts w:ascii="David" w:eastAsia="David" w:hAnsi="David"/>
            <w:rtl/>
          </w:rPr>
          <w:t>סעיף 40ח</w:t>
        </w:r>
      </w:hyperlink>
      <w:r>
        <w:rPr>
          <w:rFonts w:ascii="David" w:eastAsia="David" w:hAnsi="David"/>
          <w:rtl/>
        </w:rPr>
        <w:t xml:space="preserve"> ל</w:t>
      </w:r>
      <w:hyperlink r:id="rId35" w:history="1">
        <w:r w:rsidR="00F473A7" w:rsidRPr="00F473A7">
          <w:rPr>
            <w:rFonts w:ascii="David" w:eastAsia="David" w:hAnsi="David"/>
            <w:color w:val="0000FF"/>
            <w:u w:val="single"/>
            <w:rtl/>
          </w:rPr>
          <w:t>חוק העונשין</w:t>
        </w:r>
      </w:hyperlink>
      <w:r>
        <w:rPr>
          <w:rFonts w:ascii="David" w:eastAsia="David" w:hAnsi="David"/>
          <w:rtl/>
        </w:rPr>
        <w:t xml:space="preserve">, מצאתי לתת משקל למצבו האישי-כלכלי של הנאשם </w:t>
      </w:r>
      <w:r>
        <w:rPr>
          <w:rFonts w:ascii="David" w:eastAsia="David" w:hAnsi="David" w:hint="cs"/>
          <w:rtl/>
        </w:rPr>
        <w:t>במסגרת</w:t>
      </w:r>
      <w:r>
        <w:rPr>
          <w:rFonts w:ascii="David" w:eastAsia="David" w:hAnsi="David"/>
          <w:rtl/>
        </w:rPr>
        <w:t xml:space="preserve"> קביעת גובה הקנס.</w:t>
      </w:r>
    </w:p>
    <w:p w14:paraId="4C40F6A3" w14:textId="77777777" w:rsidR="00177680" w:rsidRDefault="00177680" w:rsidP="00177680">
      <w:pPr>
        <w:spacing w:line="360" w:lineRule="auto"/>
        <w:ind w:left="85" w:hanging="709"/>
        <w:jc w:val="both"/>
        <w:rPr>
          <w:rFonts w:ascii="David" w:eastAsia="David" w:hAnsi="David"/>
          <w:rtl/>
        </w:rPr>
      </w:pPr>
      <w:r>
        <w:rPr>
          <w:rFonts w:ascii="David" w:eastAsia="David" w:hAnsi="David"/>
          <w:rtl/>
        </w:rPr>
        <w:tab/>
      </w:r>
    </w:p>
    <w:p w14:paraId="7342A68D" w14:textId="77777777" w:rsidR="00177680" w:rsidRDefault="00177680" w:rsidP="00177680">
      <w:pPr>
        <w:spacing w:line="360" w:lineRule="auto"/>
        <w:ind w:left="85" w:hanging="709"/>
        <w:jc w:val="both"/>
        <w:rPr>
          <w:rFonts w:ascii="David" w:eastAsia="David" w:hAnsi="David"/>
          <w:rtl/>
        </w:rPr>
      </w:pPr>
    </w:p>
    <w:p w14:paraId="5EFC592B" w14:textId="77777777" w:rsidR="00177680" w:rsidRDefault="00177680" w:rsidP="00177680">
      <w:pPr>
        <w:spacing w:line="360" w:lineRule="auto"/>
        <w:ind w:left="85" w:hanging="709"/>
        <w:jc w:val="both"/>
        <w:rPr>
          <w:rFonts w:ascii="David" w:eastAsia="David" w:hAnsi="David"/>
          <w:rtl/>
        </w:rPr>
      </w:pPr>
    </w:p>
    <w:p w14:paraId="11F5C0D5" w14:textId="77777777" w:rsidR="00177680" w:rsidRDefault="00177680" w:rsidP="00177680">
      <w:pPr>
        <w:spacing w:line="360" w:lineRule="auto"/>
        <w:ind w:left="85" w:hanging="709"/>
        <w:jc w:val="both"/>
        <w:rPr>
          <w:rFonts w:ascii="David" w:eastAsia="David" w:hAnsi="David"/>
          <w:rtl/>
        </w:rPr>
      </w:pPr>
      <w:r>
        <w:rPr>
          <w:rFonts w:ascii="David" w:eastAsia="David" w:hAnsi="David" w:hint="cs"/>
          <w:rtl/>
        </w:rPr>
        <w:t>15</w:t>
      </w:r>
      <w:r>
        <w:rPr>
          <w:rFonts w:ascii="David" w:eastAsia="David" w:hAnsi="David"/>
          <w:rtl/>
        </w:rPr>
        <w:t>.</w:t>
      </w:r>
      <w:r>
        <w:rPr>
          <w:rFonts w:ascii="David" w:eastAsia="David" w:hAnsi="David"/>
          <w:rtl/>
        </w:rPr>
        <w:tab/>
        <w:t>לאור כל האמור לעיל, אני גוזר על הנאשם את העונשים הבאים:</w:t>
      </w:r>
    </w:p>
    <w:p w14:paraId="1BF368AC" w14:textId="77777777" w:rsidR="00177680" w:rsidRDefault="00177680" w:rsidP="00177680">
      <w:pPr>
        <w:spacing w:line="360" w:lineRule="auto"/>
        <w:ind w:left="85" w:hanging="709"/>
        <w:jc w:val="both"/>
        <w:rPr>
          <w:rFonts w:ascii="David" w:eastAsia="David" w:hAnsi="David"/>
          <w:rtl/>
        </w:rPr>
      </w:pPr>
    </w:p>
    <w:p w14:paraId="64035849" w14:textId="77777777" w:rsidR="00177680" w:rsidRDefault="00177680" w:rsidP="00177680">
      <w:pPr>
        <w:spacing w:line="360" w:lineRule="auto"/>
        <w:ind w:left="85" w:hanging="709"/>
        <w:jc w:val="both"/>
        <w:rPr>
          <w:rFonts w:ascii="David" w:eastAsia="David" w:hAnsi="David"/>
          <w:rtl/>
        </w:rPr>
      </w:pPr>
      <w:r>
        <w:rPr>
          <w:rFonts w:ascii="David" w:eastAsia="David" w:hAnsi="David"/>
          <w:rtl/>
        </w:rPr>
        <w:tab/>
      </w:r>
      <w:r>
        <w:rPr>
          <w:rFonts w:ascii="David" w:eastAsia="David" w:hAnsi="David"/>
          <w:rtl/>
        </w:rPr>
        <w:tab/>
        <w:t>א.</w:t>
      </w:r>
      <w:r>
        <w:rPr>
          <w:rFonts w:ascii="David" w:eastAsia="David" w:hAnsi="David"/>
          <w:rtl/>
        </w:rPr>
        <w:tab/>
      </w:r>
      <w:r>
        <w:rPr>
          <w:rFonts w:ascii="David" w:eastAsia="David" w:hAnsi="David" w:hint="cs"/>
          <w:rtl/>
        </w:rPr>
        <w:t xml:space="preserve">21 </w:t>
      </w:r>
      <w:r>
        <w:rPr>
          <w:rFonts w:ascii="David" w:eastAsia="David" w:hAnsi="David"/>
          <w:rtl/>
        </w:rPr>
        <w:t>חודשי מאסר בפועל החל מיום המעצר.</w:t>
      </w:r>
    </w:p>
    <w:p w14:paraId="6F5EE57F" w14:textId="77777777" w:rsidR="00177680" w:rsidRDefault="00177680" w:rsidP="00177680">
      <w:pPr>
        <w:spacing w:line="360" w:lineRule="auto"/>
        <w:ind w:left="85" w:hanging="709"/>
        <w:jc w:val="both"/>
        <w:rPr>
          <w:rFonts w:ascii="David" w:eastAsia="David" w:hAnsi="David"/>
          <w:rtl/>
        </w:rPr>
      </w:pPr>
    </w:p>
    <w:p w14:paraId="26973871" w14:textId="77777777" w:rsidR="00177680" w:rsidRDefault="00177680" w:rsidP="00177680">
      <w:pPr>
        <w:spacing w:line="360" w:lineRule="auto"/>
        <w:ind w:left="85" w:hanging="709"/>
        <w:jc w:val="both"/>
        <w:rPr>
          <w:rFonts w:ascii="David" w:eastAsia="David" w:hAnsi="David"/>
          <w:rtl/>
        </w:rPr>
      </w:pPr>
      <w:r>
        <w:rPr>
          <w:rFonts w:ascii="David" w:eastAsia="David" w:hAnsi="David"/>
          <w:rtl/>
        </w:rPr>
        <w:tab/>
      </w:r>
      <w:r>
        <w:rPr>
          <w:rFonts w:ascii="David" w:eastAsia="David" w:hAnsi="David"/>
          <w:rtl/>
        </w:rPr>
        <w:tab/>
        <w:t>ב.</w:t>
      </w:r>
      <w:r>
        <w:rPr>
          <w:rFonts w:ascii="David" w:eastAsia="David" w:hAnsi="David"/>
          <w:rtl/>
        </w:rPr>
        <w:tab/>
        <w:t xml:space="preserve">12 חודשי מאסר על תנאי, למשך 3 שנים מיום שחרורו מהמאסר, שלא יעבור </w:t>
      </w:r>
      <w:r>
        <w:rPr>
          <w:rFonts w:ascii="David" w:eastAsia="David" w:hAnsi="David"/>
          <w:rtl/>
        </w:rPr>
        <w:tab/>
      </w:r>
      <w:r>
        <w:rPr>
          <w:rFonts w:ascii="David" w:eastAsia="David" w:hAnsi="David"/>
          <w:rtl/>
        </w:rPr>
        <w:tab/>
        <w:t>עבירת סמים מסוג פשע.</w:t>
      </w:r>
    </w:p>
    <w:p w14:paraId="125D11E8" w14:textId="77777777" w:rsidR="00177680" w:rsidRDefault="00177680" w:rsidP="00177680">
      <w:pPr>
        <w:spacing w:line="360" w:lineRule="auto"/>
        <w:ind w:left="85" w:hanging="709"/>
        <w:jc w:val="both"/>
        <w:rPr>
          <w:rFonts w:ascii="David" w:eastAsia="David" w:hAnsi="David"/>
          <w:rtl/>
        </w:rPr>
      </w:pPr>
    </w:p>
    <w:p w14:paraId="1784B65E" w14:textId="77777777" w:rsidR="00177680" w:rsidRDefault="00177680" w:rsidP="00177680">
      <w:pPr>
        <w:spacing w:line="360" w:lineRule="auto"/>
        <w:ind w:left="85" w:hanging="709"/>
        <w:jc w:val="both"/>
        <w:rPr>
          <w:rFonts w:ascii="David" w:eastAsia="David" w:hAnsi="David"/>
          <w:rtl/>
        </w:rPr>
      </w:pPr>
      <w:r>
        <w:rPr>
          <w:rFonts w:ascii="David" w:eastAsia="David" w:hAnsi="David"/>
          <w:color w:val="FFFFFF"/>
          <w:sz w:val="2"/>
          <w:szCs w:val="2"/>
          <w:rtl/>
        </w:rPr>
        <w:t>5129371</w:t>
      </w:r>
      <w:r>
        <w:rPr>
          <w:rFonts w:ascii="David" w:eastAsia="David" w:hAnsi="David"/>
          <w:color w:val="FFFFFF"/>
          <w:sz w:val="2"/>
          <w:szCs w:val="2"/>
          <w:rtl/>
        </w:rPr>
        <w:tab/>
      </w:r>
      <w:r>
        <w:rPr>
          <w:rFonts w:ascii="David" w:eastAsia="David" w:hAnsi="David"/>
          <w:color w:val="FFFFFF"/>
          <w:sz w:val="2"/>
          <w:szCs w:val="2"/>
          <w:rtl/>
        </w:rPr>
        <w:tab/>
      </w:r>
      <w:r>
        <w:rPr>
          <w:rFonts w:ascii="David" w:eastAsia="David" w:hAnsi="David"/>
          <w:rtl/>
        </w:rPr>
        <w:t>ג.</w:t>
      </w:r>
      <w:r>
        <w:rPr>
          <w:rFonts w:ascii="David" w:eastAsia="David" w:hAnsi="David"/>
          <w:rtl/>
        </w:rPr>
        <w:tab/>
        <w:t xml:space="preserve">קנס בסך </w:t>
      </w:r>
      <w:r>
        <w:rPr>
          <w:rFonts w:ascii="David" w:eastAsia="David" w:hAnsi="David" w:hint="cs"/>
          <w:rtl/>
        </w:rPr>
        <w:t xml:space="preserve">2,000 </w:t>
      </w:r>
      <w:r>
        <w:rPr>
          <w:rFonts w:ascii="David" w:eastAsia="David" w:hAnsi="David"/>
          <w:rtl/>
        </w:rPr>
        <w:t xml:space="preserve">₪ או </w:t>
      </w:r>
      <w:r>
        <w:rPr>
          <w:rFonts w:ascii="David" w:eastAsia="David" w:hAnsi="David" w:hint="cs"/>
          <w:rtl/>
        </w:rPr>
        <w:t xml:space="preserve">10 </w:t>
      </w:r>
      <w:r>
        <w:rPr>
          <w:rFonts w:ascii="David" w:eastAsia="David" w:hAnsi="David"/>
          <w:rtl/>
        </w:rPr>
        <w:t xml:space="preserve">ימי מאסר תמורתו. הקנס ישולם בתוך </w:t>
      </w:r>
      <w:r>
        <w:rPr>
          <w:rFonts w:ascii="David" w:eastAsia="David" w:hAnsi="David" w:hint="cs"/>
          <w:rtl/>
        </w:rPr>
        <w:t>6 חודשים</w:t>
      </w:r>
      <w:r>
        <w:rPr>
          <w:rFonts w:ascii="David" w:eastAsia="David" w:hAnsi="David"/>
          <w:rtl/>
        </w:rPr>
        <w:t xml:space="preserve"> מהיום.</w:t>
      </w:r>
    </w:p>
    <w:p w14:paraId="5954F9C1" w14:textId="77777777" w:rsidR="00177680" w:rsidRDefault="00177680" w:rsidP="00177680">
      <w:pPr>
        <w:spacing w:line="360" w:lineRule="auto"/>
        <w:ind w:left="85"/>
        <w:jc w:val="both"/>
        <w:rPr>
          <w:rFonts w:ascii="David" w:eastAsia="David" w:hAnsi="David"/>
          <w:color w:val="FFFFFF"/>
          <w:sz w:val="2"/>
          <w:szCs w:val="2"/>
          <w:rtl/>
        </w:rPr>
      </w:pPr>
      <w:r>
        <w:rPr>
          <w:rFonts w:ascii="David" w:eastAsia="David" w:hAnsi="David"/>
          <w:color w:val="FFFFFF"/>
          <w:sz w:val="2"/>
          <w:szCs w:val="2"/>
          <w:rtl/>
        </w:rPr>
        <w:t>54678313</w:t>
      </w:r>
    </w:p>
    <w:p w14:paraId="2BFE5780" w14:textId="77777777" w:rsidR="00177680" w:rsidRDefault="00177680" w:rsidP="00177680">
      <w:pPr>
        <w:spacing w:line="360" w:lineRule="auto"/>
        <w:ind w:left="85"/>
        <w:jc w:val="both"/>
        <w:rPr>
          <w:rFonts w:ascii="David" w:eastAsia="David" w:hAnsi="David"/>
          <w:rtl/>
        </w:rPr>
      </w:pPr>
      <w:r>
        <w:rPr>
          <w:rFonts w:ascii="David" w:eastAsia="David" w:hAnsi="David"/>
          <w:rtl/>
        </w:rPr>
        <w:tab/>
      </w:r>
      <w:r>
        <w:rPr>
          <w:rFonts w:ascii="David" w:eastAsia="David" w:hAnsi="David"/>
          <w:rtl/>
        </w:rPr>
        <w:tab/>
      </w:r>
    </w:p>
    <w:p w14:paraId="576FA30A" w14:textId="77777777" w:rsidR="00177680" w:rsidRPr="00177680" w:rsidRDefault="00177680" w:rsidP="00177680">
      <w:pPr>
        <w:rPr>
          <w:rFonts w:ascii="David" w:eastAsia="Calibri" w:hAnsi="David"/>
          <w:b/>
          <w:bCs/>
          <w:u w:val="single"/>
          <w:rtl/>
        </w:rPr>
      </w:pPr>
    </w:p>
    <w:p w14:paraId="70CE92CB" w14:textId="77777777" w:rsidR="00177680" w:rsidRPr="00B74250" w:rsidRDefault="00F473A7" w:rsidP="00177680">
      <w:pPr>
        <w:spacing w:line="360" w:lineRule="auto"/>
        <w:jc w:val="both"/>
        <w:rPr>
          <w:rFonts w:ascii="Arial" w:hAnsi="Arial"/>
          <w:noProof w:val="0"/>
          <w:rtl/>
        </w:rPr>
      </w:pPr>
      <w:r w:rsidRPr="00F473A7">
        <w:rPr>
          <w:rFonts w:ascii="Arial" w:hAnsi="Arial"/>
          <w:noProof w:val="0"/>
          <w:color w:val="FFFFFF"/>
          <w:sz w:val="2"/>
          <w:szCs w:val="2"/>
          <w:rtl/>
        </w:rPr>
        <w:t>5129371</w:t>
      </w:r>
      <w:r w:rsidR="00177680">
        <w:rPr>
          <w:rFonts w:ascii="Arial" w:hAnsi="Arial" w:hint="cs"/>
          <w:noProof w:val="0"/>
          <w:rtl/>
        </w:rPr>
        <w:t>זכות ערעור לבית המשפט העליון בתוך 45 יום.</w:t>
      </w:r>
    </w:p>
    <w:p w14:paraId="3FE25F9F" w14:textId="77777777" w:rsidR="00177680" w:rsidRPr="00F473A7" w:rsidRDefault="00F473A7" w:rsidP="00177680">
      <w:pPr>
        <w:spacing w:line="360" w:lineRule="auto"/>
        <w:jc w:val="both"/>
        <w:rPr>
          <w:rFonts w:ascii="Arial" w:hAnsi="Arial"/>
          <w:noProof w:val="0"/>
          <w:color w:val="FFFFFF"/>
          <w:sz w:val="2"/>
          <w:szCs w:val="2"/>
          <w:rtl/>
        </w:rPr>
      </w:pPr>
      <w:r w:rsidRPr="00F473A7">
        <w:rPr>
          <w:rFonts w:ascii="Arial" w:hAnsi="Arial"/>
          <w:noProof w:val="0"/>
          <w:color w:val="FFFFFF"/>
          <w:sz w:val="2"/>
          <w:szCs w:val="2"/>
          <w:rtl/>
        </w:rPr>
        <w:t>54678313</w:t>
      </w:r>
    </w:p>
    <w:p w14:paraId="6A7B2390" w14:textId="77777777" w:rsidR="00177680" w:rsidRDefault="00F473A7" w:rsidP="00177680">
      <w:pPr>
        <w:tabs>
          <w:tab w:val="left" w:pos="2553"/>
        </w:tabs>
        <w:ind w:left="5040"/>
        <w:rPr>
          <w:rtl/>
        </w:rPr>
      </w:pPr>
      <w:bookmarkStart w:id="9" w:name="Nitan"/>
      <w:r>
        <w:rPr>
          <w:rFonts w:ascii="Arial" w:hAnsi="Arial"/>
          <w:noProof w:val="0"/>
          <w:rtl/>
        </w:rPr>
        <w:t xml:space="preserve">ניתן היום, ח' שבט תשפ"ג, 30 ינואר 2023, במעמד הצדדים. </w:t>
      </w:r>
      <w:bookmarkEnd w:id="9"/>
      <w:r w:rsidR="00177680">
        <w:rPr>
          <w:rtl/>
        </w:rPr>
        <w:t xml:space="preserve">     </w:t>
      </w:r>
    </w:p>
    <w:p w14:paraId="11102C1F" w14:textId="77777777" w:rsidR="00177680" w:rsidRDefault="00177680" w:rsidP="00F473A7">
      <w:pPr>
        <w:tabs>
          <w:tab w:val="left" w:pos="2553"/>
        </w:tabs>
      </w:pPr>
      <w:r>
        <w:rPr>
          <w:rtl/>
        </w:rPr>
        <w:tab/>
      </w:r>
      <w:r>
        <w:rPr>
          <w:rtl/>
        </w:rPr>
        <w:tab/>
      </w:r>
      <w:r>
        <w:rPr>
          <w:rtl/>
        </w:rPr>
        <w:tab/>
      </w:r>
      <w:r>
        <w:rPr>
          <w:rtl/>
        </w:rPr>
        <w:tab/>
        <w:t xml:space="preserve">        </w:t>
      </w:r>
    </w:p>
    <w:p w14:paraId="34796ED0" w14:textId="77777777" w:rsidR="00F473A7" w:rsidRDefault="00F473A7" w:rsidP="00F473A7">
      <w:pPr>
        <w:rPr>
          <w:rtl/>
        </w:rPr>
      </w:pPr>
    </w:p>
    <w:p w14:paraId="319CFB54" w14:textId="77777777" w:rsidR="00F473A7" w:rsidRDefault="00F473A7" w:rsidP="00F473A7">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6E629037" w14:textId="77777777" w:rsidR="000D2708" w:rsidRPr="000D2708" w:rsidRDefault="000D2708" w:rsidP="000D2708">
      <w:pPr>
        <w:keepNext/>
        <w:rPr>
          <w:rFonts w:ascii="David" w:hAnsi="David"/>
          <w:color w:val="000000"/>
          <w:sz w:val="22"/>
          <w:szCs w:val="22"/>
          <w:rtl/>
        </w:rPr>
      </w:pPr>
    </w:p>
    <w:p w14:paraId="564391DA" w14:textId="77777777" w:rsidR="000D2708" w:rsidRPr="000D2708" w:rsidRDefault="000D2708" w:rsidP="000D2708">
      <w:pPr>
        <w:keepNext/>
        <w:rPr>
          <w:rFonts w:ascii="David" w:hAnsi="David"/>
          <w:color w:val="000000"/>
          <w:sz w:val="22"/>
          <w:szCs w:val="22"/>
          <w:rtl/>
        </w:rPr>
      </w:pPr>
      <w:r w:rsidRPr="000D2708">
        <w:rPr>
          <w:rFonts w:ascii="David" w:hAnsi="David"/>
          <w:color w:val="000000"/>
          <w:sz w:val="22"/>
          <w:szCs w:val="22"/>
          <w:rtl/>
        </w:rPr>
        <w:t>יובל ליבדרו 54678313-/</w:t>
      </w:r>
    </w:p>
    <w:p w14:paraId="793F4C68" w14:textId="77777777" w:rsidR="00F473A7" w:rsidRPr="00F473A7" w:rsidRDefault="000D2708" w:rsidP="000D2708">
      <w:pPr>
        <w:rPr>
          <w:color w:val="0000FF"/>
          <w:u w:val="single"/>
        </w:rPr>
      </w:pPr>
      <w:r w:rsidRPr="000D2708">
        <w:rPr>
          <w:color w:val="000000"/>
          <w:u w:val="single"/>
          <w:rtl/>
        </w:rPr>
        <w:t>נוסח מסמך זה כפוף לשינויי ניסוח ועריכה</w:t>
      </w:r>
    </w:p>
    <w:sectPr w:rsidR="00F473A7" w:rsidRPr="00F473A7" w:rsidSect="000D2708">
      <w:headerReference w:type="even" r:id="rId37"/>
      <w:headerReference w:type="default" r:id="rId38"/>
      <w:footerReference w:type="even" r:id="rId39"/>
      <w:footerReference w:type="default" r:id="rId40"/>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D203B" w14:textId="77777777" w:rsidR="00F3551E" w:rsidRDefault="00F3551E" w:rsidP="00543044">
      <w:r>
        <w:separator/>
      </w:r>
    </w:p>
  </w:endnote>
  <w:endnote w:type="continuationSeparator" w:id="0">
    <w:p w14:paraId="73074D3A" w14:textId="77777777" w:rsidR="00F3551E" w:rsidRDefault="00F3551E" w:rsidP="00543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47081" w14:textId="77777777" w:rsidR="000D2708" w:rsidRDefault="000D2708" w:rsidP="000D270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212D0392" w14:textId="77777777" w:rsidR="00F473A7" w:rsidRPr="000D2708" w:rsidRDefault="000D2708" w:rsidP="000D2708">
    <w:pPr>
      <w:pStyle w:val="a5"/>
      <w:pBdr>
        <w:top w:val="single" w:sz="4" w:space="1" w:color="auto"/>
        <w:between w:val="single" w:sz="4" w:space="0" w:color="auto"/>
      </w:pBdr>
      <w:spacing w:after="60"/>
      <w:jc w:val="center"/>
      <w:rPr>
        <w:rFonts w:ascii="FrankRuehl" w:hAnsi="FrankRuehl" w:cs="FrankRuehl"/>
        <w:color w:val="000000"/>
      </w:rPr>
    </w:pPr>
    <w:r w:rsidRPr="000D270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CAE48" w14:textId="77777777" w:rsidR="000D2708" w:rsidRDefault="000D2708" w:rsidP="000D2708">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53339C">
      <w:rPr>
        <w:rStyle w:val="a8"/>
        <w:rFonts w:ascii="FrankRuehl" w:hAnsi="FrankRuehl" w:cs="FrankRuehl"/>
        <w:rtl/>
      </w:rPr>
      <w:t>1</w:t>
    </w:r>
    <w:r>
      <w:rPr>
        <w:rStyle w:val="a8"/>
        <w:rFonts w:ascii="FrankRuehl" w:hAnsi="FrankRuehl" w:cs="FrankRuehl"/>
        <w:rtl/>
      </w:rPr>
      <w:fldChar w:fldCharType="end"/>
    </w:r>
  </w:p>
  <w:p w14:paraId="4D56C2C4" w14:textId="77777777" w:rsidR="007E37B6" w:rsidRPr="000D2708" w:rsidRDefault="000D2708" w:rsidP="000D2708">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0D2708">
      <w:rPr>
        <w:rStyle w:val="a8"/>
        <w:rFonts w:ascii="FrankRuehl" w:hAnsi="FrankRuehl" w:cs="FrankRuehl" w:hint="cs"/>
        <w:color w:val="000000"/>
      </w:rPr>
      <w:pict w14:anchorId="55F29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C149A" w14:textId="77777777" w:rsidR="00F3551E" w:rsidRDefault="00F3551E" w:rsidP="00543044">
      <w:r>
        <w:separator/>
      </w:r>
    </w:p>
  </w:footnote>
  <w:footnote w:type="continuationSeparator" w:id="0">
    <w:p w14:paraId="2162BCB7" w14:textId="77777777" w:rsidR="00F3551E" w:rsidRDefault="00F3551E" w:rsidP="00543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98949" w14:textId="77777777" w:rsidR="00F473A7" w:rsidRPr="000D2708" w:rsidRDefault="000D2708" w:rsidP="000D27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61202-03-22</w:t>
    </w:r>
    <w:r>
      <w:rPr>
        <w:rFonts w:ascii="David" w:hAnsi="David"/>
        <w:color w:val="000000"/>
        <w:sz w:val="22"/>
        <w:szCs w:val="22"/>
        <w:rtl/>
      </w:rPr>
      <w:tab/>
      <w:t xml:space="preserve"> מדינת ישראל נ' </w:t>
    </w:r>
    <w:r>
      <w:rPr>
        <w:rFonts w:ascii="David" w:hAnsi="David"/>
        <w:color w:val="000000"/>
        <w:sz w:val="22"/>
        <w:szCs w:val="22"/>
      </w:rPr>
      <w:t>NITISAK SAEHER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F88EC" w14:textId="77777777" w:rsidR="00F473A7" w:rsidRPr="000D2708" w:rsidRDefault="000D2708" w:rsidP="000D27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61202-03-22</w:t>
    </w:r>
    <w:r>
      <w:rPr>
        <w:rFonts w:ascii="David" w:hAnsi="David"/>
        <w:color w:val="000000"/>
        <w:sz w:val="22"/>
        <w:szCs w:val="22"/>
        <w:rtl/>
      </w:rPr>
      <w:tab/>
      <w:t xml:space="preserve"> מדינת ישראל נ' </w:t>
    </w:r>
    <w:r>
      <w:rPr>
        <w:rFonts w:ascii="David" w:hAnsi="David"/>
        <w:color w:val="000000"/>
        <w:sz w:val="22"/>
        <w:szCs w:val="22"/>
      </w:rPr>
      <w:t>NITISAK SAEHER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47503"/>
    <w:multiLevelType w:val="hybridMultilevel"/>
    <w:tmpl w:val="69D22D62"/>
    <w:lvl w:ilvl="0" w:tplc="D2EC33B0">
      <w:start w:val="1"/>
      <w:numFmt w:val="decimal"/>
      <w:lvlText w:val="%1."/>
      <w:lvlJc w:val="left"/>
      <w:pPr>
        <w:ind w:left="-264" w:hanging="360"/>
      </w:pPr>
    </w:lvl>
    <w:lvl w:ilvl="1" w:tplc="04090019">
      <w:start w:val="1"/>
      <w:numFmt w:val="lowerLetter"/>
      <w:lvlText w:val="%2."/>
      <w:lvlJc w:val="left"/>
      <w:pPr>
        <w:ind w:left="456" w:hanging="360"/>
      </w:pPr>
    </w:lvl>
    <w:lvl w:ilvl="2" w:tplc="0409001B">
      <w:start w:val="1"/>
      <w:numFmt w:val="lowerRoman"/>
      <w:lvlText w:val="%3."/>
      <w:lvlJc w:val="right"/>
      <w:pPr>
        <w:ind w:left="1176" w:hanging="180"/>
      </w:pPr>
    </w:lvl>
    <w:lvl w:ilvl="3" w:tplc="0409000F">
      <w:start w:val="1"/>
      <w:numFmt w:val="decimal"/>
      <w:lvlText w:val="%4."/>
      <w:lvlJc w:val="left"/>
      <w:pPr>
        <w:ind w:left="1896" w:hanging="360"/>
      </w:pPr>
    </w:lvl>
    <w:lvl w:ilvl="4" w:tplc="04090019">
      <w:start w:val="1"/>
      <w:numFmt w:val="lowerLetter"/>
      <w:lvlText w:val="%5."/>
      <w:lvlJc w:val="left"/>
      <w:pPr>
        <w:ind w:left="2616" w:hanging="360"/>
      </w:pPr>
    </w:lvl>
    <w:lvl w:ilvl="5" w:tplc="0409001B">
      <w:start w:val="1"/>
      <w:numFmt w:val="lowerRoman"/>
      <w:lvlText w:val="%6."/>
      <w:lvlJc w:val="right"/>
      <w:pPr>
        <w:ind w:left="3336" w:hanging="180"/>
      </w:pPr>
    </w:lvl>
    <w:lvl w:ilvl="6" w:tplc="0409000F">
      <w:start w:val="1"/>
      <w:numFmt w:val="decimal"/>
      <w:lvlText w:val="%7."/>
      <w:lvlJc w:val="left"/>
      <w:pPr>
        <w:ind w:left="4056" w:hanging="360"/>
      </w:pPr>
    </w:lvl>
    <w:lvl w:ilvl="7" w:tplc="04090019">
      <w:start w:val="1"/>
      <w:numFmt w:val="lowerLetter"/>
      <w:lvlText w:val="%8."/>
      <w:lvlJc w:val="left"/>
      <w:pPr>
        <w:ind w:left="4776" w:hanging="360"/>
      </w:pPr>
    </w:lvl>
    <w:lvl w:ilvl="8" w:tplc="0409001B">
      <w:start w:val="1"/>
      <w:numFmt w:val="lowerRoman"/>
      <w:lvlText w:val="%9."/>
      <w:lvlJc w:val="right"/>
      <w:pPr>
        <w:ind w:left="5496" w:hanging="180"/>
      </w:pPr>
    </w:lvl>
  </w:abstractNum>
  <w:num w:numId="1" w16cid:durableId="1888390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7680"/>
    <w:rsid w:val="000D2708"/>
    <w:rsid w:val="00115993"/>
    <w:rsid w:val="00177680"/>
    <w:rsid w:val="00487353"/>
    <w:rsid w:val="00494537"/>
    <w:rsid w:val="0053339C"/>
    <w:rsid w:val="00543044"/>
    <w:rsid w:val="00635700"/>
    <w:rsid w:val="006F7EFA"/>
    <w:rsid w:val="007E37B6"/>
    <w:rsid w:val="009A4E4C"/>
    <w:rsid w:val="00AE33C3"/>
    <w:rsid w:val="00C3790D"/>
    <w:rsid w:val="00C7464E"/>
    <w:rsid w:val="00F3551E"/>
    <w:rsid w:val="00F473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580514"/>
  <w15:chartTrackingRefBased/>
  <w15:docId w15:val="{5560BC55-B31B-42A6-B39C-F97A8E74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7680"/>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77680"/>
    <w:pPr>
      <w:tabs>
        <w:tab w:val="center" w:pos="4153"/>
        <w:tab w:val="right" w:pos="8306"/>
      </w:tabs>
    </w:pPr>
  </w:style>
  <w:style w:type="character" w:customStyle="1" w:styleId="a4">
    <w:name w:val="כותרת עליונה תו"/>
    <w:link w:val="a3"/>
    <w:rsid w:val="00177680"/>
    <w:rPr>
      <w:rFonts w:ascii="Times New Roman" w:eastAsia="Times New Roman" w:hAnsi="Times New Roman" w:cs="David"/>
      <w:noProof/>
      <w:sz w:val="24"/>
      <w:szCs w:val="24"/>
    </w:rPr>
  </w:style>
  <w:style w:type="paragraph" w:styleId="a5">
    <w:name w:val="footer"/>
    <w:basedOn w:val="a"/>
    <w:link w:val="a6"/>
    <w:rsid w:val="00177680"/>
    <w:pPr>
      <w:tabs>
        <w:tab w:val="center" w:pos="4153"/>
        <w:tab w:val="right" w:pos="8306"/>
      </w:tabs>
    </w:pPr>
  </w:style>
  <w:style w:type="character" w:customStyle="1" w:styleId="a6">
    <w:name w:val="כותרת תחתונה תו"/>
    <w:link w:val="a5"/>
    <w:rsid w:val="00177680"/>
    <w:rPr>
      <w:rFonts w:ascii="Times New Roman" w:eastAsia="Times New Roman" w:hAnsi="Times New Roman" w:cs="David"/>
      <w:noProof/>
      <w:sz w:val="24"/>
      <w:szCs w:val="24"/>
    </w:rPr>
  </w:style>
  <w:style w:type="table" w:styleId="a7">
    <w:name w:val="Table Grid"/>
    <w:basedOn w:val="a1"/>
    <w:rsid w:val="0017768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77680"/>
  </w:style>
  <w:style w:type="paragraph" w:styleId="a9">
    <w:name w:val="List Paragraph"/>
    <w:basedOn w:val="a"/>
    <w:qFormat/>
    <w:rsid w:val="00177680"/>
    <w:pPr>
      <w:ind w:left="720"/>
      <w:contextualSpacing/>
    </w:pPr>
  </w:style>
  <w:style w:type="character" w:styleId="Hyperlink">
    <w:name w:val="Hyperlink"/>
    <w:rsid w:val="00177680"/>
    <w:rPr>
      <w:color w:val="0000FF"/>
      <w:u w:val="single"/>
    </w:rPr>
  </w:style>
  <w:style w:type="character" w:styleId="aa">
    <w:name w:val="line number"/>
    <w:rsid w:val="00177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h" TargetMode="External"/><Relationship Id="rId18" Type="http://schemas.openxmlformats.org/officeDocument/2006/relationships/hyperlink" Target="http://www.nevo.co.il/case/5573936" TargetMode="External"/><Relationship Id="rId26" Type="http://schemas.openxmlformats.org/officeDocument/2006/relationships/hyperlink" Target="http://www.nevo.co.il/case/27832681" TargetMode="External"/><Relationship Id="rId39" Type="http://schemas.openxmlformats.org/officeDocument/2006/relationships/footer" Target="footer1.xml"/><Relationship Id="rId21" Type="http://schemas.openxmlformats.org/officeDocument/2006/relationships/hyperlink" Target="http://www.nevo.co.il/case/2796493" TargetMode="External"/><Relationship Id="rId34" Type="http://schemas.openxmlformats.org/officeDocument/2006/relationships/hyperlink" Target="http://www.nevo.co.il/law/70301/40h"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8567533" TargetMode="External"/><Relationship Id="rId20" Type="http://schemas.openxmlformats.org/officeDocument/2006/relationships/hyperlink" Target="http://www.nevo.co.il/case/4189371" TargetMode="External"/><Relationship Id="rId29" Type="http://schemas.openxmlformats.org/officeDocument/2006/relationships/hyperlink" Target="http://www.nevo.co.il/case/2892087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 TargetMode="External"/><Relationship Id="rId24" Type="http://schemas.openxmlformats.org/officeDocument/2006/relationships/hyperlink" Target="http://www.nevo.co.il/case/3998594" TargetMode="External"/><Relationship Id="rId32" Type="http://schemas.openxmlformats.org/officeDocument/2006/relationships/hyperlink" Target="http://www.nevo.co.il/case/25726064"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5400313" TargetMode="External"/><Relationship Id="rId28" Type="http://schemas.openxmlformats.org/officeDocument/2006/relationships/hyperlink" Target="http://www.nevo.co.il/case/28043015"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13.a." TargetMode="External"/><Relationship Id="rId19" Type="http://schemas.openxmlformats.org/officeDocument/2006/relationships/hyperlink" Target="http://www.nevo.co.il/case/5587855" TargetMode="External"/><Relationship Id="rId31" Type="http://schemas.openxmlformats.org/officeDocument/2006/relationships/hyperlink" Target="http://www.nevo.co.il/case/22776052"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13.a.;7.a.;7.c" TargetMode="External"/><Relationship Id="rId22" Type="http://schemas.openxmlformats.org/officeDocument/2006/relationships/hyperlink" Target="http://www.nevo.co.il/case/27742715" TargetMode="External"/><Relationship Id="rId27" Type="http://schemas.openxmlformats.org/officeDocument/2006/relationships/hyperlink" Target="http://www.nevo.co.il/case/26728182" TargetMode="External"/><Relationship Id="rId30" Type="http://schemas.openxmlformats.org/officeDocument/2006/relationships/hyperlink" Target="http://www.nevo.co.il/case/27385631" TargetMode="External"/><Relationship Id="rId35" Type="http://schemas.openxmlformats.org/officeDocument/2006/relationships/hyperlink" Target="http://www.nevo.co.il/law/70301"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6172686" TargetMode="External"/><Relationship Id="rId25" Type="http://schemas.openxmlformats.org/officeDocument/2006/relationships/hyperlink" Target="http://www.nevo.co.il/case/13079326" TargetMode="External"/><Relationship Id="rId33" Type="http://schemas.openxmlformats.org/officeDocument/2006/relationships/hyperlink" Target="http://www.nevo.co.il/case/17915297"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3074</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18408</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http://www.nevo.co.il/law/70301/40h</vt:lpwstr>
      </vt:variant>
      <vt:variant>
        <vt:lpwstr/>
      </vt:variant>
      <vt:variant>
        <vt:i4>3407984</vt:i4>
      </vt:variant>
      <vt:variant>
        <vt:i4>78</vt:i4>
      </vt:variant>
      <vt:variant>
        <vt:i4>0</vt:i4>
      </vt:variant>
      <vt:variant>
        <vt:i4>5</vt:i4>
      </vt:variant>
      <vt:variant>
        <vt:lpwstr>http://www.nevo.co.il/case/17915297</vt:lpwstr>
      </vt:variant>
      <vt:variant>
        <vt:lpwstr/>
      </vt:variant>
      <vt:variant>
        <vt:i4>3473523</vt:i4>
      </vt:variant>
      <vt:variant>
        <vt:i4>75</vt:i4>
      </vt:variant>
      <vt:variant>
        <vt:i4>0</vt:i4>
      </vt:variant>
      <vt:variant>
        <vt:i4>5</vt:i4>
      </vt:variant>
      <vt:variant>
        <vt:lpwstr>http://www.nevo.co.il/case/25726064</vt:lpwstr>
      </vt:variant>
      <vt:variant>
        <vt:lpwstr/>
      </vt:variant>
      <vt:variant>
        <vt:i4>3539057</vt:i4>
      </vt:variant>
      <vt:variant>
        <vt:i4>72</vt:i4>
      </vt:variant>
      <vt:variant>
        <vt:i4>0</vt:i4>
      </vt:variant>
      <vt:variant>
        <vt:i4>5</vt:i4>
      </vt:variant>
      <vt:variant>
        <vt:lpwstr>http://www.nevo.co.il/case/22776052</vt:lpwstr>
      </vt:variant>
      <vt:variant>
        <vt:lpwstr/>
      </vt:variant>
      <vt:variant>
        <vt:i4>3604605</vt:i4>
      </vt:variant>
      <vt:variant>
        <vt:i4>69</vt:i4>
      </vt:variant>
      <vt:variant>
        <vt:i4>0</vt:i4>
      </vt:variant>
      <vt:variant>
        <vt:i4>5</vt:i4>
      </vt:variant>
      <vt:variant>
        <vt:lpwstr>http://www.nevo.co.il/case/27385631</vt:lpwstr>
      </vt:variant>
      <vt:variant>
        <vt:lpwstr/>
      </vt:variant>
      <vt:variant>
        <vt:i4>3932278</vt:i4>
      </vt:variant>
      <vt:variant>
        <vt:i4>66</vt:i4>
      </vt:variant>
      <vt:variant>
        <vt:i4>0</vt:i4>
      </vt:variant>
      <vt:variant>
        <vt:i4>5</vt:i4>
      </vt:variant>
      <vt:variant>
        <vt:lpwstr>http://www.nevo.co.il/case/28920874</vt:lpwstr>
      </vt:variant>
      <vt:variant>
        <vt:lpwstr/>
      </vt:variant>
      <vt:variant>
        <vt:i4>3145848</vt:i4>
      </vt:variant>
      <vt:variant>
        <vt:i4>63</vt:i4>
      </vt:variant>
      <vt:variant>
        <vt:i4>0</vt:i4>
      </vt:variant>
      <vt:variant>
        <vt:i4>5</vt:i4>
      </vt:variant>
      <vt:variant>
        <vt:lpwstr>http://www.nevo.co.il/case/28043015</vt:lpwstr>
      </vt:variant>
      <vt:variant>
        <vt:lpwstr/>
      </vt:variant>
      <vt:variant>
        <vt:i4>3473521</vt:i4>
      </vt:variant>
      <vt:variant>
        <vt:i4>60</vt:i4>
      </vt:variant>
      <vt:variant>
        <vt:i4>0</vt:i4>
      </vt:variant>
      <vt:variant>
        <vt:i4>5</vt:i4>
      </vt:variant>
      <vt:variant>
        <vt:lpwstr>http://www.nevo.co.il/case/26728182</vt:lpwstr>
      </vt:variant>
      <vt:variant>
        <vt:lpwstr/>
      </vt:variant>
      <vt:variant>
        <vt:i4>3145846</vt:i4>
      </vt:variant>
      <vt:variant>
        <vt:i4>57</vt:i4>
      </vt:variant>
      <vt:variant>
        <vt:i4>0</vt:i4>
      </vt:variant>
      <vt:variant>
        <vt:i4>5</vt:i4>
      </vt:variant>
      <vt:variant>
        <vt:lpwstr>http://www.nevo.co.il/case/27832681</vt:lpwstr>
      </vt:variant>
      <vt:variant>
        <vt:lpwstr/>
      </vt:variant>
      <vt:variant>
        <vt:i4>3801203</vt:i4>
      </vt:variant>
      <vt:variant>
        <vt:i4>54</vt:i4>
      </vt:variant>
      <vt:variant>
        <vt:i4>0</vt:i4>
      </vt:variant>
      <vt:variant>
        <vt:i4>5</vt:i4>
      </vt:variant>
      <vt:variant>
        <vt:lpwstr>http://www.nevo.co.il/case/13079326</vt:lpwstr>
      </vt:variant>
      <vt:variant>
        <vt:lpwstr/>
      </vt:variant>
      <vt:variant>
        <vt:i4>3866748</vt:i4>
      </vt:variant>
      <vt:variant>
        <vt:i4>51</vt:i4>
      </vt:variant>
      <vt:variant>
        <vt:i4>0</vt:i4>
      </vt:variant>
      <vt:variant>
        <vt:i4>5</vt:i4>
      </vt:variant>
      <vt:variant>
        <vt:lpwstr>http://www.nevo.co.il/case/3998594</vt:lpwstr>
      </vt:variant>
      <vt:variant>
        <vt:lpwstr/>
      </vt:variant>
      <vt:variant>
        <vt:i4>3604594</vt:i4>
      </vt:variant>
      <vt:variant>
        <vt:i4>48</vt:i4>
      </vt:variant>
      <vt:variant>
        <vt:i4>0</vt:i4>
      </vt:variant>
      <vt:variant>
        <vt:i4>5</vt:i4>
      </vt:variant>
      <vt:variant>
        <vt:lpwstr>http://www.nevo.co.il/case/25400313</vt:lpwstr>
      </vt:variant>
      <vt:variant>
        <vt:lpwstr/>
      </vt:variant>
      <vt:variant>
        <vt:i4>3539056</vt:i4>
      </vt:variant>
      <vt:variant>
        <vt:i4>45</vt:i4>
      </vt:variant>
      <vt:variant>
        <vt:i4>0</vt:i4>
      </vt:variant>
      <vt:variant>
        <vt:i4>5</vt:i4>
      </vt:variant>
      <vt:variant>
        <vt:lpwstr>http://www.nevo.co.il/case/27742715</vt:lpwstr>
      </vt:variant>
      <vt:variant>
        <vt:lpwstr/>
      </vt:variant>
      <vt:variant>
        <vt:i4>3932284</vt:i4>
      </vt:variant>
      <vt:variant>
        <vt:i4>42</vt:i4>
      </vt:variant>
      <vt:variant>
        <vt:i4>0</vt:i4>
      </vt:variant>
      <vt:variant>
        <vt:i4>5</vt:i4>
      </vt:variant>
      <vt:variant>
        <vt:lpwstr>http://www.nevo.co.il/case/2796493</vt:lpwstr>
      </vt:variant>
      <vt:variant>
        <vt:lpwstr/>
      </vt:variant>
      <vt:variant>
        <vt:i4>4063355</vt:i4>
      </vt:variant>
      <vt:variant>
        <vt:i4>39</vt:i4>
      </vt:variant>
      <vt:variant>
        <vt:i4>0</vt:i4>
      </vt:variant>
      <vt:variant>
        <vt:i4>5</vt:i4>
      </vt:variant>
      <vt:variant>
        <vt:lpwstr>http://www.nevo.co.il/case/4189371</vt:lpwstr>
      </vt:variant>
      <vt:variant>
        <vt:lpwstr/>
      </vt:variant>
      <vt:variant>
        <vt:i4>3145843</vt:i4>
      </vt:variant>
      <vt:variant>
        <vt:i4>36</vt:i4>
      </vt:variant>
      <vt:variant>
        <vt:i4>0</vt:i4>
      </vt:variant>
      <vt:variant>
        <vt:i4>5</vt:i4>
      </vt:variant>
      <vt:variant>
        <vt:lpwstr>http://www.nevo.co.il/case/5587855</vt:lpwstr>
      </vt:variant>
      <vt:variant>
        <vt:lpwstr/>
      </vt:variant>
      <vt:variant>
        <vt:i4>3997809</vt:i4>
      </vt:variant>
      <vt:variant>
        <vt:i4>33</vt:i4>
      </vt:variant>
      <vt:variant>
        <vt:i4>0</vt:i4>
      </vt:variant>
      <vt:variant>
        <vt:i4>5</vt:i4>
      </vt:variant>
      <vt:variant>
        <vt:lpwstr>http://www.nevo.co.il/case/5573936</vt:lpwstr>
      </vt:variant>
      <vt:variant>
        <vt:lpwstr/>
      </vt:variant>
      <vt:variant>
        <vt:i4>3211391</vt:i4>
      </vt:variant>
      <vt:variant>
        <vt:i4>30</vt:i4>
      </vt:variant>
      <vt:variant>
        <vt:i4>0</vt:i4>
      </vt:variant>
      <vt:variant>
        <vt:i4>5</vt:i4>
      </vt:variant>
      <vt:variant>
        <vt:lpwstr>http://www.nevo.co.il/case/6172686</vt:lpwstr>
      </vt:variant>
      <vt:variant>
        <vt:lpwstr/>
      </vt:variant>
      <vt:variant>
        <vt:i4>3342463</vt:i4>
      </vt:variant>
      <vt:variant>
        <vt:i4>27</vt:i4>
      </vt:variant>
      <vt:variant>
        <vt:i4>0</vt:i4>
      </vt:variant>
      <vt:variant>
        <vt:i4>5</vt:i4>
      </vt:variant>
      <vt:variant>
        <vt:lpwstr>http://www.nevo.co.il/case/28567533</vt:lpwstr>
      </vt:variant>
      <vt:variant>
        <vt:lpwstr/>
      </vt:variant>
      <vt:variant>
        <vt:i4>8257637</vt:i4>
      </vt:variant>
      <vt:variant>
        <vt:i4>24</vt:i4>
      </vt:variant>
      <vt:variant>
        <vt:i4>0</vt:i4>
      </vt:variant>
      <vt:variant>
        <vt:i4>5</vt:i4>
      </vt:variant>
      <vt:variant>
        <vt:lpwstr>http://www.nevo.co.il/law/4216</vt:lpwstr>
      </vt:variant>
      <vt:variant>
        <vt:lpwstr/>
      </vt:variant>
      <vt:variant>
        <vt:i4>4784129</vt:i4>
      </vt:variant>
      <vt:variant>
        <vt:i4>21</vt:i4>
      </vt:variant>
      <vt:variant>
        <vt:i4>0</vt:i4>
      </vt:variant>
      <vt:variant>
        <vt:i4>5</vt:i4>
      </vt:variant>
      <vt:variant>
        <vt:lpwstr>http://www.nevo.co.il/law/4216/19;13.a.;7.a.;7.c</vt:lpwstr>
      </vt:variant>
      <vt:variant>
        <vt:lpwstr/>
      </vt:variant>
      <vt:variant>
        <vt:i4>6619233</vt:i4>
      </vt:variant>
      <vt:variant>
        <vt:i4>18</vt:i4>
      </vt:variant>
      <vt:variant>
        <vt:i4>0</vt:i4>
      </vt:variant>
      <vt:variant>
        <vt:i4>5</vt:i4>
      </vt:variant>
      <vt:variant>
        <vt:lpwstr>http://www.nevo.co.il/law/70301/40h</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5177368</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2025-04-22T21:20:00Z</dcterms:created>
  <dcterms:modified xsi:type="dcterms:W3CDTF">2025-04-22T21:20:00Z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61202</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NITISAK SAEHER</vt:lpwstr>
  </property>
  <property fmtid="{D5CDD505-2E9C-101B-9397-08002B2CF9AE}" pid="10" name="LAWYER">
    <vt:lpwstr>שאול ציון;נועם בונדר</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20230130</vt:lpwstr>
  </property>
  <property fmtid="{D5CDD505-2E9C-101B-9397-08002B2CF9AE}" pid="14" name="TYPE_N_DATE">
    <vt:lpwstr>39020230130</vt:lpwstr>
  </property>
  <property fmtid="{D5CDD505-2E9C-101B-9397-08002B2CF9AE}" pid="15" name="WORDNUMPAGES">
    <vt:lpwstr>8</vt:lpwstr>
  </property>
  <property fmtid="{D5CDD505-2E9C-101B-9397-08002B2CF9AE}" pid="16" name="TYPE_ABS_DATE">
    <vt:lpwstr>390020230130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28567533;6172686;5573936;5587855;4189371;2796493;27742715;25400313;3998594;13079326;27832681;26728182;28043015;28920874;27385631;22776052;25726064;17915297</vt:lpwstr>
  </property>
  <property fmtid="{D5CDD505-2E9C-101B-9397-08002B2CF9AE}" pid="36" name="LAWLISTTMP1">
    <vt:lpwstr>4216/019;013.a;007.a;007.c</vt:lpwstr>
  </property>
  <property fmtid="{D5CDD505-2E9C-101B-9397-08002B2CF9AE}" pid="37" name="LAWLISTTMP2">
    <vt:lpwstr>70301/040h</vt:lpwstr>
  </property>
</Properties>
</file>