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8E71AF" w:rsidRPr="00123B11" w14:paraId="5F75A648" w14:textId="77777777" w:rsidTr="00BA519B">
        <w:trPr>
          <w:trHeight w:hRule="exact" w:val="418"/>
          <w:jc w:val="center"/>
        </w:trPr>
        <w:tc>
          <w:tcPr>
            <w:tcW w:w="8861" w:type="dxa"/>
            <w:gridSpan w:val="2"/>
          </w:tcPr>
          <w:p w14:paraId="24FED672" w14:textId="77777777" w:rsidR="008E71AF" w:rsidRPr="00123B11" w:rsidRDefault="008E71AF" w:rsidP="00BA519B">
            <w:pPr>
              <w:pStyle w:val="a3"/>
              <w:jc w:val="center"/>
              <w:rPr>
                <w:rFonts w:ascii="Tahoma" w:hAnsi="Tahoma"/>
                <w:color w:val="000080"/>
                <w:sz w:val="32"/>
                <w:szCs w:val="32"/>
                <w:rtl/>
              </w:rPr>
            </w:pPr>
            <w:r w:rsidRPr="00123B11">
              <w:rPr>
                <w:rFonts w:ascii="Tahoma" w:hAnsi="Tahoma"/>
                <w:b/>
                <w:bCs/>
                <w:color w:val="000080"/>
                <w:sz w:val="32"/>
                <w:szCs w:val="32"/>
                <w:rtl/>
              </w:rPr>
              <w:t>בית המשפט המחוזי בתל אביב -יפו</w:t>
            </w:r>
          </w:p>
        </w:tc>
      </w:tr>
      <w:tr w:rsidR="008E71AF" w:rsidRPr="00123B11" w14:paraId="604DAA72" w14:textId="77777777" w:rsidTr="00BA519B">
        <w:trPr>
          <w:trHeight w:val="337"/>
          <w:jc w:val="center"/>
        </w:trPr>
        <w:tc>
          <w:tcPr>
            <w:tcW w:w="5131" w:type="dxa"/>
          </w:tcPr>
          <w:p w14:paraId="3F791450" w14:textId="77777777" w:rsidR="008E71AF" w:rsidRPr="00123B11" w:rsidRDefault="008E71AF" w:rsidP="00BA519B">
            <w:pPr>
              <w:jc w:val="right"/>
              <w:rPr>
                <w:b/>
                <w:bCs/>
              </w:rPr>
            </w:pPr>
            <w:r w:rsidRPr="00123B11">
              <w:rPr>
                <w:b/>
                <w:bCs/>
                <w:rtl/>
              </w:rPr>
              <w:t>ת"פ</w:t>
            </w:r>
            <w:r w:rsidRPr="00123B11">
              <w:rPr>
                <w:rFonts w:hint="cs"/>
                <w:b/>
                <w:bCs/>
                <w:rtl/>
              </w:rPr>
              <w:t xml:space="preserve"> </w:t>
            </w:r>
            <w:r w:rsidRPr="00123B11">
              <w:rPr>
                <w:b/>
                <w:bCs/>
                <w:rtl/>
              </w:rPr>
              <w:t>36475-04-22</w:t>
            </w:r>
            <w:r w:rsidRPr="00123B11">
              <w:rPr>
                <w:rFonts w:hint="cs"/>
                <w:b/>
                <w:bCs/>
                <w:rtl/>
              </w:rPr>
              <w:t xml:space="preserve"> </w:t>
            </w:r>
            <w:r w:rsidRPr="00123B11">
              <w:rPr>
                <w:b/>
                <w:bCs/>
                <w:rtl/>
              </w:rPr>
              <w:t>מדינת ישראל נ' פישלר</w:t>
            </w:r>
          </w:p>
          <w:p w14:paraId="230D1A14" w14:textId="77777777" w:rsidR="008E71AF" w:rsidRPr="00123B11" w:rsidRDefault="008E71AF" w:rsidP="00BA519B">
            <w:pPr>
              <w:pStyle w:val="a3"/>
              <w:rPr>
                <w:rFonts w:cs="FrankRuehl"/>
                <w:b/>
                <w:bCs/>
                <w:rtl/>
              </w:rPr>
            </w:pPr>
          </w:p>
        </w:tc>
        <w:tc>
          <w:tcPr>
            <w:tcW w:w="3730" w:type="dxa"/>
          </w:tcPr>
          <w:p w14:paraId="48AE4303" w14:textId="77777777" w:rsidR="008E71AF" w:rsidRPr="00123B11" w:rsidRDefault="008E71AF" w:rsidP="00BA519B">
            <w:pPr>
              <w:pStyle w:val="a3"/>
              <w:rPr>
                <w:rFonts w:ascii="David" w:hAnsi="David"/>
                <w:b/>
                <w:bCs/>
                <w:rtl/>
              </w:rPr>
            </w:pPr>
            <w:r w:rsidRPr="00123B11">
              <w:rPr>
                <w:rFonts w:ascii="David" w:hAnsi="David" w:hint="cs"/>
                <w:b/>
                <w:bCs/>
                <w:rtl/>
              </w:rPr>
              <w:t>26 מרץ 2024</w:t>
            </w:r>
          </w:p>
        </w:tc>
      </w:tr>
    </w:tbl>
    <w:p w14:paraId="1E90C7E2" w14:textId="77777777" w:rsidR="008E71AF" w:rsidRPr="00123B11" w:rsidRDefault="008E71AF" w:rsidP="008E71AF">
      <w:pPr>
        <w:pStyle w:val="a3"/>
        <w:rPr>
          <w:rtl/>
        </w:rPr>
      </w:pPr>
      <w:r w:rsidRPr="00123B11">
        <w:rPr>
          <w:rFonts w:hint="cs"/>
          <w:rtl/>
        </w:rPr>
        <w:t xml:space="preserve"> </w:t>
      </w:r>
    </w:p>
    <w:p w14:paraId="3350F53B" w14:textId="77777777" w:rsidR="008E71AF" w:rsidRPr="00123B11" w:rsidRDefault="008E71AF" w:rsidP="008E71AF">
      <w:pPr>
        <w:spacing w:line="360" w:lineRule="auto"/>
        <w:ind w:left="720" w:hanging="720"/>
        <w:jc w:val="both"/>
      </w:pPr>
    </w:p>
    <w:p w14:paraId="43DCA0E4" w14:textId="77777777" w:rsidR="008E71AF" w:rsidRPr="00123B11" w:rsidRDefault="008E71AF" w:rsidP="008E71AF">
      <w:pPr>
        <w:spacing w:line="360" w:lineRule="auto"/>
        <w:ind w:left="720" w:hanging="720"/>
        <w:jc w:val="both"/>
        <w:rPr>
          <w:rtl/>
        </w:rPr>
      </w:pPr>
    </w:p>
    <w:tbl>
      <w:tblPr>
        <w:bidiVisual/>
        <w:tblW w:w="8912" w:type="dxa"/>
        <w:tblInd w:w="409" w:type="dxa"/>
        <w:tblLook w:val="01E0" w:firstRow="1" w:lastRow="1" w:firstColumn="1" w:lastColumn="1" w:noHBand="0" w:noVBand="0"/>
      </w:tblPr>
      <w:tblGrid>
        <w:gridCol w:w="2443"/>
        <w:gridCol w:w="6469"/>
      </w:tblGrid>
      <w:tr w:rsidR="008E71AF" w:rsidRPr="00123B11" w14:paraId="4F4CB7ED" w14:textId="77777777" w:rsidTr="00AF166F">
        <w:tc>
          <w:tcPr>
            <w:tcW w:w="8912" w:type="dxa"/>
            <w:gridSpan w:val="2"/>
            <w:shd w:val="clear" w:color="auto" w:fill="auto"/>
          </w:tcPr>
          <w:p w14:paraId="0215171C" w14:textId="77777777" w:rsidR="008E71AF" w:rsidRPr="00123B11" w:rsidRDefault="008E71AF" w:rsidP="008E71AF">
            <w:pPr>
              <w:jc w:val="right"/>
              <w:rPr>
                <w:b/>
                <w:bCs/>
                <w:rtl/>
              </w:rPr>
            </w:pPr>
            <w:r w:rsidRPr="00123B11">
              <w:rPr>
                <w:rFonts w:hint="cs"/>
                <w:b/>
                <w:bCs/>
                <w:rtl/>
              </w:rPr>
              <w:t>בפני כב' השופט בני שגיא, סגן נשיא</w:t>
            </w:r>
          </w:p>
          <w:p w14:paraId="7E243D33" w14:textId="77777777" w:rsidR="008E71AF" w:rsidRPr="00123B11" w:rsidRDefault="008E71AF" w:rsidP="00BA519B">
            <w:pPr>
              <w:rPr>
                <w:b/>
                <w:bCs/>
                <w:rtl/>
              </w:rPr>
            </w:pPr>
          </w:p>
        </w:tc>
      </w:tr>
      <w:tr w:rsidR="008E71AF" w:rsidRPr="00123B11" w14:paraId="215F61B3" w14:textId="77777777" w:rsidTr="00AF166F">
        <w:trPr>
          <w:cantSplit/>
          <w:trHeight w:val="724"/>
        </w:trPr>
        <w:tc>
          <w:tcPr>
            <w:tcW w:w="2443" w:type="dxa"/>
            <w:shd w:val="clear" w:color="auto" w:fill="auto"/>
          </w:tcPr>
          <w:p w14:paraId="4D38ED51" w14:textId="77777777" w:rsidR="008E71AF" w:rsidRPr="00123B11" w:rsidRDefault="008E71AF" w:rsidP="008E71AF">
            <w:pPr>
              <w:jc w:val="right"/>
              <w:rPr>
                <w:b/>
                <w:bCs/>
                <w:rtl/>
              </w:rPr>
            </w:pPr>
            <w:bookmarkStart w:id="0" w:name="FirstAppellant"/>
            <w:bookmarkStart w:id="1" w:name="FirstLawyer"/>
            <w:bookmarkStart w:id="2" w:name="LastJudge"/>
            <w:bookmarkEnd w:id="2"/>
          </w:p>
          <w:p w14:paraId="1BF51DAF" w14:textId="77777777" w:rsidR="008E71AF" w:rsidRPr="00123B11" w:rsidRDefault="008E71AF" w:rsidP="008E71AF">
            <w:pPr>
              <w:jc w:val="right"/>
              <w:rPr>
                <w:b/>
                <w:bCs/>
                <w:rtl/>
              </w:rPr>
            </w:pPr>
            <w:r w:rsidRPr="00123B11">
              <w:rPr>
                <w:rFonts w:hint="cs"/>
                <w:b/>
                <w:bCs/>
                <w:rtl/>
              </w:rPr>
              <w:t>המאשימה</w:t>
            </w:r>
          </w:p>
        </w:tc>
        <w:tc>
          <w:tcPr>
            <w:tcW w:w="6469" w:type="dxa"/>
            <w:shd w:val="clear" w:color="auto" w:fill="auto"/>
          </w:tcPr>
          <w:p w14:paraId="25809393" w14:textId="77777777" w:rsidR="008E71AF" w:rsidRPr="00123B11" w:rsidRDefault="008E71AF" w:rsidP="008E71AF">
            <w:pPr>
              <w:jc w:val="right"/>
              <w:rPr>
                <w:rtl/>
              </w:rPr>
            </w:pPr>
          </w:p>
          <w:p w14:paraId="50AA2F70" w14:textId="77777777" w:rsidR="008E71AF" w:rsidRPr="00123B11" w:rsidRDefault="008E71AF" w:rsidP="008E71AF">
            <w:pPr>
              <w:spacing w:line="360" w:lineRule="auto"/>
              <w:jc w:val="right"/>
              <w:rPr>
                <w:b/>
                <w:bCs/>
                <w:rtl/>
              </w:rPr>
            </w:pPr>
            <w:r w:rsidRPr="00123B11">
              <w:rPr>
                <w:rFonts w:hint="cs"/>
                <w:b/>
                <w:bCs/>
                <w:rtl/>
              </w:rPr>
              <w:t>מדינת ישראל</w:t>
            </w:r>
          </w:p>
          <w:p w14:paraId="2BEACF01" w14:textId="77777777" w:rsidR="008E71AF" w:rsidRPr="00123B11" w:rsidRDefault="008E71AF" w:rsidP="008E71AF">
            <w:pPr>
              <w:jc w:val="right"/>
              <w:rPr>
                <w:rtl/>
              </w:rPr>
            </w:pPr>
            <w:r w:rsidRPr="00123B11">
              <w:rPr>
                <w:rFonts w:hint="cs"/>
                <w:rtl/>
              </w:rPr>
              <w:t>על-ידי ב"כ עו"ד לילך כץ</w:t>
            </w:r>
          </w:p>
          <w:p w14:paraId="6A1421BE" w14:textId="77777777" w:rsidR="008E71AF" w:rsidRPr="00123B11" w:rsidRDefault="008E71AF" w:rsidP="008E71AF">
            <w:pPr>
              <w:jc w:val="right"/>
              <w:rPr>
                <w:b/>
                <w:bCs/>
                <w:rtl/>
              </w:rPr>
            </w:pPr>
          </w:p>
        </w:tc>
      </w:tr>
      <w:bookmarkEnd w:id="0"/>
      <w:bookmarkEnd w:id="1"/>
      <w:tr w:rsidR="008E71AF" w:rsidRPr="00123B11" w14:paraId="03EEA6F3" w14:textId="77777777" w:rsidTr="00AF166F">
        <w:tc>
          <w:tcPr>
            <w:tcW w:w="8912" w:type="dxa"/>
            <w:gridSpan w:val="2"/>
            <w:shd w:val="clear" w:color="auto" w:fill="auto"/>
            <w:vAlign w:val="center"/>
          </w:tcPr>
          <w:p w14:paraId="6333C42D" w14:textId="77777777" w:rsidR="008E71AF" w:rsidRPr="00123B11" w:rsidRDefault="008E71AF" w:rsidP="008E71AF">
            <w:pPr>
              <w:jc w:val="center"/>
              <w:rPr>
                <w:rFonts w:ascii="Arial" w:hAnsi="Arial"/>
                <w:b/>
                <w:bCs/>
                <w:rtl/>
              </w:rPr>
            </w:pPr>
          </w:p>
          <w:p w14:paraId="53F9DC5F" w14:textId="77777777" w:rsidR="008E71AF" w:rsidRPr="00123B11" w:rsidRDefault="008E71AF" w:rsidP="008E71AF">
            <w:pPr>
              <w:jc w:val="center"/>
              <w:rPr>
                <w:rFonts w:ascii="Arial" w:hAnsi="Arial"/>
                <w:b/>
                <w:bCs/>
                <w:rtl/>
              </w:rPr>
            </w:pPr>
            <w:r w:rsidRPr="00123B11">
              <w:rPr>
                <w:rFonts w:ascii="Arial" w:hAnsi="Arial" w:hint="cs"/>
                <w:b/>
                <w:bCs/>
                <w:rtl/>
              </w:rPr>
              <w:t>נגד</w:t>
            </w:r>
          </w:p>
          <w:p w14:paraId="3388032D" w14:textId="77777777" w:rsidR="008E71AF" w:rsidRPr="00123B11" w:rsidRDefault="008E71AF" w:rsidP="008E71AF">
            <w:pPr>
              <w:jc w:val="center"/>
              <w:rPr>
                <w:rFonts w:ascii="Arial" w:hAnsi="Arial"/>
                <w:b/>
                <w:bCs/>
                <w:rtl/>
              </w:rPr>
            </w:pPr>
          </w:p>
        </w:tc>
      </w:tr>
      <w:tr w:rsidR="008E71AF" w:rsidRPr="00123B11" w14:paraId="5EF10E9F" w14:textId="77777777" w:rsidTr="00AF166F">
        <w:tc>
          <w:tcPr>
            <w:tcW w:w="2443" w:type="dxa"/>
            <w:shd w:val="clear" w:color="auto" w:fill="auto"/>
          </w:tcPr>
          <w:p w14:paraId="75876455" w14:textId="77777777" w:rsidR="008E71AF" w:rsidRPr="00123B11" w:rsidRDefault="008E71AF" w:rsidP="008E71AF">
            <w:pPr>
              <w:jc w:val="right"/>
              <w:rPr>
                <w:b/>
                <w:bCs/>
                <w:rtl/>
              </w:rPr>
            </w:pPr>
            <w:r w:rsidRPr="00123B11">
              <w:rPr>
                <w:rFonts w:hint="cs"/>
                <w:b/>
                <w:bCs/>
                <w:rtl/>
              </w:rPr>
              <w:t>הנאשם</w:t>
            </w:r>
          </w:p>
        </w:tc>
        <w:tc>
          <w:tcPr>
            <w:tcW w:w="6469" w:type="dxa"/>
            <w:shd w:val="clear" w:color="auto" w:fill="auto"/>
          </w:tcPr>
          <w:p w14:paraId="66210996" w14:textId="77777777" w:rsidR="008E71AF" w:rsidRPr="00123B11" w:rsidRDefault="008E71AF" w:rsidP="008E71AF">
            <w:pPr>
              <w:spacing w:line="360" w:lineRule="auto"/>
              <w:jc w:val="right"/>
              <w:rPr>
                <w:b/>
                <w:bCs/>
                <w:rtl/>
              </w:rPr>
            </w:pPr>
            <w:r w:rsidRPr="00123B11">
              <w:rPr>
                <w:rFonts w:hint="cs"/>
                <w:b/>
                <w:bCs/>
                <w:rtl/>
              </w:rPr>
              <w:t xml:space="preserve">לירון פישלר ת"ז  </w:t>
            </w:r>
            <w:r w:rsidR="00123B11">
              <w:rPr>
                <w:b/>
                <w:bCs/>
              </w:rPr>
              <w:t>xxxxxxxxxx</w:t>
            </w:r>
          </w:p>
          <w:p w14:paraId="1C79B150" w14:textId="77777777" w:rsidR="008E71AF" w:rsidRPr="00123B11" w:rsidRDefault="008E71AF" w:rsidP="008E71AF">
            <w:pPr>
              <w:jc w:val="right"/>
              <w:rPr>
                <w:rtl/>
              </w:rPr>
            </w:pPr>
            <w:r w:rsidRPr="00123B11">
              <w:rPr>
                <w:rFonts w:hint="cs"/>
                <w:rtl/>
              </w:rPr>
              <w:t>על-ידי ב"כ עו"ד איתן סבג</w:t>
            </w:r>
          </w:p>
          <w:p w14:paraId="0393FA2C" w14:textId="77777777" w:rsidR="008E71AF" w:rsidRPr="00123B11" w:rsidRDefault="008E71AF" w:rsidP="008E71AF">
            <w:pPr>
              <w:jc w:val="right"/>
              <w:rPr>
                <w:b/>
                <w:bCs/>
                <w:rtl/>
              </w:rPr>
            </w:pPr>
          </w:p>
        </w:tc>
      </w:tr>
    </w:tbl>
    <w:p w14:paraId="60CAE325" w14:textId="77777777" w:rsidR="00123B11" w:rsidRPr="00123B11" w:rsidRDefault="00123B11" w:rsidP="00123B11">
      <w:pPr>
        <w:bidi/>
        <w:spacing w:before="120" w:after="120" w:line="240" w:lineRule="exact"/>
        <w:ind w:left="283" w:hanging="283"/>
        <w:jc w:val="both"/>
        <w:rPr>
          <w:rFonts w:ascii="FrankRuehl" w:hAnsi="FrankRuehl" w:cs="FrankRuehl"/>
          <w:rtl/>
        </w:rPr>
      </w:pPr>
    </w:p>
    <w:p w14:paraId="6278E62B" w14:textId="77777777" w:rsidR="00123B11" w:rsidRPr="00123B11" w:rsidRDefault="00123B11" w:rsidP="00123B11">
      <w:pPr>
        <w:bidi/>
        <w:spacing w:line="360" w:lineRule="auto"/>
        <w:ind w:left="720" w:hanging="720"/>
        <w:jc w:val="center"/>
        <w:rPr>
          <w:rFonts w:hint="cs"/>
          <w:sz w:val="32"/>
          <w:szCs w:val="32"/>
          <w:rtl/>
        </w:rPr>
      </w:pPr>
    </w:p>
    <w:p w14:paraId="5322F6C2" w14:textId="77777777" w:rsidR="00AF166F" w:rsidRPr="00AF166F" w:rsidRDefault="00AF166F" w:rsidP="00AF166F">
      <w:pPr>
        <w:bidi/>
        <w:spacing w:before="120" w:after="120" w:line="240" w:lineRule="exact"/>
        <w:ind w:left="283" w:hanging="283"/>
        <w:jc w:val="both"/>
        <w:rPr>
          <w:rFonts w:ascii="FrankRuehl" w:hAnsi="FrankRuehl" w:cs="FrankRuehl"/>
          <w:rtl/>
        </w:rPr>
      </w:pPr>
    </w:p>
    <w:p w14:paraId="7F6142F8" w14:textId="77777777" w:rsidR="006A20F6" w:rsidRPr="006A20F6" w:rsidRDefault="006A20F6" w:rsidP="006A20F6">
      <w:pPr>
        <w:bidi/>
        <w:spacing w:before="120" w:after="120" w:line="240" w:lineRule="exact"/>
        <w:ind w:left="283" w:hanging="283"/>
        <w:jc w:val="both"/>
        <w:rPr>
          <w:rFonts w:ascii="FrankRuehl" w:hAnsi="FrankRuehl" w:cs="FrankRuehl"/>
          <w:rtl/>
        </w:rPr>
      </w:pPr>
    </w:p>
    <w:p w14:paraId="515323C5" w14:textId="77777777" w:rsidR="00F7079A" w:rsidRDefault="00F7079A" w:rsidP="00F7079A">
      <w:pPr>
        <w:bidi/>
        <w:spacing w:line="360" w:lineRule="auto"/>
        <w:ind w:left="720" w:hanging="720"/>
        <w:jc w:val="center"/>
        <w:rPr>
          <w:sz w:val="32"/>
          <w:szCs w:val="32"/>
          <w:rtl/>
        </w:rPr>
      </w:pPr>
      <w:bookmarkStart w:id="3" w:name="LawTable"/>
      <w:bookmarkEnd w:id="3"/>
    </w:p>
    <w:p w14:paraId="7D902A2F" w14:textId="77777777" w:rsidR="00F7079A" w:rsidRPr="00F7079A" w:rsidRDefault="00F7079A" w:rsidP="00F7079A">
      <w:pPr>
        <w:bidi/>
        <w:spacing w:before="120" w:after="120" w:line="240" w:lineRule="exact"/>
        <w:ind w:left="283" w:hanging="283"/>
        <w:jc w:val="both"/>
        <w:rPr>
          <w:rFonts w:ascii="FrankRuehl" w:hAnsi="FrankRuehl" w:cs="FrankRuehl"/>
          <w:rtl/>
        </w:rPr>
      </w:pPr>
    </w:p>
    <w:p w14:paraId="1EAF4350" w14:textId="77777777" w:rsidR="00F7079A" w:rsidRPr="00F7079A" w:rsidRDefault="00F7079A" w:rsidP="00F7079A">
      <w:pPr>
        <w:bidi/>
        <w:spacing w:before="120" w:after="120" w:line="240" w:lineRule="exact"/>
        <w:ind w:left="283" w:hanging="283"/>
        <w:jc w:val="both"/>
        <w:rPr>
          <w:rFonts w:ascii="FrankRuehl" w:hAnsi="FrankRuehl" w:cs="FrankRuehl"/>
          <w:rtl/>
        </w:rPr>
      </w:pPr>
    </w:p>
    <w:p w14:paraId="44B61FD1" w14:textId="77777777" w:rsidR="00F7079A" w:rsidRPr="00F7079A" w:rsidRDefault="00F7079A" w:rsidP="00F7079A">
      <w:pPr>
        <w:bidi/>
        <w:spacing w:before="120" w:after="120" w:line="240" w:lineRule="exact"/>
        <w:ind w:left="283" w:hanging="283"/>
        <w:jc w:val="both"/>
        <w:rPr>
          <w:rFonts w:ascii="FrankRuehl" w:hAnsi="FrankRuehl" w:cs="FrankRuehl"/>
          <w:rtl/>
        </w:rPr>
      </w:pPr>
      <w:r w:rsidRPr="00F7079A">
        <w:rPr>
          <w:rFonts w:ascii="FrankRuehl" w:hAnsi="FrankRuehl" w:cs="FrankRuehl"/>
          <w:rtl/>
        </w:rPr>
        <w:t xml:space="preserve">חקיקה שאוזכרה: </w:t>
      </w:r>
    </w:p>
    <w:p w14:paraId="19EF60E8" w14:textId="77777777" w:rsidR="00F7079A" w:rsidRPr="00F7079A" w:rsidRDefault="00F7079A" w:rsidP="00F7079A">
      <w:pPr>
        <w:bidi/>
        <w:spacing w:before="120" w:after="120" w:line="240" w:lineRule="exact"/>
        <w:ind w:left="283" w:hanging="283"/>
        <w:jc w:val="both"/>
        <w:rPr>
          <w:rFonts w:ascii="FrankRuehl" w:hAnsi="FrankRuehl" w:cs="FrankRuehl"/>
          <w:rtl/>
        </w:rPr>
      </w:pPr>
      <w:hyperlink r:id="rId6" w:history="1">
        <w:r w:rsidRPr="00F7079A">
          <w:rPr>
            <w:rFonts w:ascii="FrankRuehl" w:hAnsi="FrankRuehl" w:cs="FrankRuehl"/>
            <w:color w:val="0000FF"/>
            <w:rtl/>
          </w:rPr>
          <w:t>פקודת הסמים המסוכנים [נוסח חדש], תשל"ג-1973</w:t>
        </w:r>
      </w:hyperlink>
      <w:r w:rsidRPr="00F7079A">
        <w:rPr>
          <w:rFonts w:ascii="FrankRuehl" w:hAnsi="FrankRuehl" w:cs="FrankRuehl"/>
          <w:rtl/>
        </w:rPr>
        <w:t xml:space="preserve">: סע'  </w:t>
      </w:r>
      <w:hyperlink r:id="rId7" w:history="1">
        <w:r w:rsidRPr="00F7079A">
          <w:rPr>
            <w:rFonts w:ascii="FrankRuehl" w:hAnsi="FrankRuehl" w:cs="FrankRuehl"/>
            <w:color w:val="0000FF"/>
            <w:rtl/>
          </w:rPr>
          <w:t>6</w:t>
        </w:r>
      </w:hyperlink>
      <w:r w:rsidRPr="00F7079A">
        <w:rPr>
          <w:rFonts w:ascii="FrankRuehl" w:hAnsi="FrankRuehl" w:cs="FrankRuehl"/>
          <w:rtl/>
        </w:rPr>
        <w:t xml:space="preserve">, </w:t>
      </w:r>
      <w:hyperlink r:id="rId8" w:history="1">
        <w:r w:rsidRPr="00F7079A">
          <w:rPr>
            <w:rFonts w:ascii="FrankRuehl" w:hAnsi="FrankRuehl" w:cs="FrankRuehl"/>
            <w:color w:val="0000FF"/>
            <w:rtl/>
          </w:rPr>
          <w:t>7.א.</w:t>
        </w:r>
      </w:hyperlink>
      <w:r w:rsidRPr="00F7079A">
        <w:rPr>
          <w:rFonts w:ascii="FrankRuehl" w:hAnsi="FrankRuehl" w:cs="FrankRuehl"/>
          <w:rtl/>
        </w:rPr>
        <w:t xml:space="preserve">, </w:t>
      </w:r>
      <w:hyperlink r:id="rId9" w:history="1">
        <w:r w:rsidRPr="00F7079A">
          <w:rPr>
            <w:rFonts w:ascii="FrankRuehl" w:hAnsi="FrankRuehl" w:cs="FrankRuehl"/>
            <w:color w:val="0000FF"/>
            <w:rtl/>
          </w:rPr>
          <w:t>7.ג</w:t>
        </w:r>
      </w:hyperlink>
      <w:r w:rsidRPr="00F7079A">
        <w:rPr>
          <w:rFonts w:ascii="FrankRuehl" w:hAnsi="FrankRuehl" w:cs="FrankRuehl"/>
          <w:rtl/>
        </w:rPr>
        <w:t xml:space="preserve">, </w:t>
      </w:r>
      <w:hyperlink r:id="rId10" w:history="1">
        <w:r w:rsidRPr="00F7079A">
          <w:rPr>
            <w:rFonts w:ascii="FrankRuehl" w:hAnsi="FrankRuehl" w:cs="FrankRuehl"/>
            <w:color w:val="0000FF"/>
            <w:rtl/>
          </w:rPr>
          <w:t>9.א.</w:t>
        </w:r>
      </w:hyperlink>
      <w:r w:rsidRPr="00F7079A">
        <w:rPr>
          <w:rFonts w:ascii="FrankRuehl" w:hAnsi="FrankRuehl" w:cs="FrankRuehl"/>
          <w:rtl/>
        </w:rPr>
        <w:t xml:space="preserve">, </w:t>
      </w:r>
      <w:hyperlink r:id="rId11" w:history="1">
        <w:r w:rsidRPr="00F7079A">
          <w:rPr>
            <w:rFonts w:ascii="FrankRuehl" w:hAnsi="FrankRuehl" w:cs="FrankRuehl"/>
            <w:color w:val="0000FF"/>
            <w:rtl/>
          </w:rPr>
          <w:t>9.ד</w:t>
        </w:r>
      </w:hyperlink>
      <w:r w:rsidRPr="00F7079A">
        <w:rPr>
          <w:rFonts w:ascii="FrankRuehl" w:hAnsi="FrankRuehl" w:cs="FrankRuehl"/>
          <w:rtl/>
        </w:rPr>
        <w:t xml:space="preserve">, </w:t>
      </w:r>
      <w:hyperlink r:id="rId12" w:history="1">
        <w:r w:rsidRPr="00F7079A">
          <w:rPr>
            <w:rFonts w:ascii="FrankRuehl" w:hAnsi="FrankRuehl" w:cs="FrankRuehl"/>
            <w:color w:val="0000FF"/>
            <w:rtl/>
          </w:rPr>
          <w:t>10</w:t>
        </w:r>
      </w:hyperlink>
    </w:p>
    <w:p w14:paraId="0F655ECE" w14:textId="77777777" w:rsidR="00F7079A" w:rsidRPr="00F7079A" w:rsidRDefault="00F7079A" w:rsidP="00F7079A">
      <w:pPr>
        <w:bidi/>
        <w:spacing w:before="120" w:after="120" w:line="240" w:lineRule="exact"/>
        <w:ind w:left="283" w:hanging="283"/>
        <w:jc w:val="both"/>
        <w:rPr>
          <w:rFonts w:ascii="FrankRuehl" w:hAnsi="FrankRuehl" w:cs="FrankRuehl"/>
          <w:rtl/>
        </w:rPr>
      </w:pPr>
      <w:hyperlink r:id="rId13" w:history="1">
        <w:r w:rsidRPr="00F7079A">
          <w:rPr>
            <w:rFonts w:ascii="FrankRuehl" w:hAnsi="FrankRuehl" w:cs="FrankRuehl"/>
            <w:color w:val="0000FF"/>
            <w:rtl/>
          </w:rPr>
          <w:t>חוק העונשין, תשל"ז-1977</w:t>
        </w:r>
      </w:hyperlink>
      <w:r w:rsidRPr="00F7079A">
        <w:rPr>
          <w:rFonts w:ascii="FrankRuehl" w:hAnsi="FrankRuehl" w:cs="FrankRuehl"/>
          <w:rtl/>
        </w:rPr>
        <w:t xml:space="preserve">: סע'  </w:t>
      </w:r>
      <w:hyperlink r:id="rId14" w:history="1">
        <w:r w:rsidRPr="00F7079A">
          <w:rPr>
            <w:rFonts w:ascii="FrankRuehl" w:hAnsi="FrankRuehl" w:cs="FrankRuehl"/>
            <w:color w:val="0000FF"/>
            <w:rtl/>
          </w:rPr>
          <w:t>40ד</w:t>
        </w:r>
      </w:hyperlink>
      <w:r w:rsidRPr="00F7079A">
        <w:rPr>
          <w:rFonts w:ascii="FrankRuehl" w:hAnsi="FrankRuehl" w:cs="FrankRuehl"/>
          <w:rtl/>
        </w:rPr>
        <w:t xml:space="preserve">, </w:t>
      </w:r>
      <w:hyperlink r:id="rId15" w:history="1">
        <w:r w:rsidRPr="00F7079A">
          <w:rPr>
            <w:rFonts w:ascii="FrankRuehl" w:hAnsi="FrankRuehl" w:cs="FrankRuehl"/>
            <w:color w:val="0000FF"/>
            <w:rtl/>
          </w:rPr>
          <w:t>400</w:t>
        </w:r>
      </w:hyperlink>
    </w:p>
    <w:p w14:paraId="3EF2B2FE" w14:textId="77777777" w:rsidR="00F7079A" w:rsidRPr="00F7079A" w:rsidRDefault="00F7079A" w:rsidP="00F7079A">
      <w:pPr>
        <w:bidi/>
        <w:spacing w:line="360" w:lineRule="auto"/>
        <w:ind w:left="720" w:hanging="720"/>
        <w:jc w:val="center"/>
        <w:rPr>
          <w:sz w:val="32"/>
          <w:szCs w:val="32"/>
          <w:rtl/>
        </w:rPr>
      </w:pPr>
      <w:bookmarkStart w:id="4" w:name="LawTable_End"/>
      <w:bookmarkEnd w:id="4"/>
    </w:p>
    <w:p w14:paraId="7FC98FEA" w14:textId="77777777" w:rsidR="00123B11" w:rsidRPr="006A20F6" w:rsidRDefault="00123B11" w:rsidP="006A20F6">
      <w:pPr>
        <w:bidi/>
        <w:spacing w:line="360" w:lineRule="auto"/>
        <w:ind w:left="720" w:hanging="720"/>
        <w:jc w:val="center"/>
        <w:rPr>
          <w:sz w:val="32"/>
          <w:szCs w:val="32"/>
          <w:rtl/>
        </w:rPr>
      </w:pPr>
    </w:p>
    <w:p w14:paraId="72A2F572" w14:textId="77777777" w:rsidR="00123B11" w:rsidRPr="00123B11" w:rsidRDefault="00123B11" w:rsidP="00123B11">
      <w:pPr>
        <w:bidi/>
        <w:spacing w:line="360" w:lineRule="auto"/>
        <w:ind w:left="720"/>
        <w:jc w:val="center"/>
        <w:rPr>
          <w:b/>
          <w:bCs/>
          <w:sz w:val="32"/>
          <w:szCs w:val="32"/>
          <w:u w:val="single"/>
          <w:rtl/>
        </w:rPr>
      </w:pPr>
      <w:bookmarkStart w:id="5" w:name="PsakDin"/>
      <w:r w:rsidRPr="00123B11">
        <w:rPr>
          <w:b/>
          <w:bCs/>
          <w:sz w:val="32"/>
          <w:szCs w:val="32"/>
          <w:u w:val="single"/>
          <w:rtl/>
        </w:rPr>
        <w:t>גזר דין</w:t>
      </w:r>
    </w:p>
    <w:bookmarkEnd w:id="5"/>
    <w:p w14:paraId="70AF16EA" w14:textId="77777777" w:rsidR="008E71AF" w:rsidRPr="00164C08" w:rsidRDefault="008E71AF" w:rsidP="008E71AF">
      <w:pPr>
        <w:bidi/>
        <w:spacing w:line="360" w:lineRule="auto"/>
        <w:ind w:left="720"/>
        <w:jc w:val="both"/>
        <w:rPr>
          <w:u w:val="single"/>
          <w:rtl/>
        </w:rPr>
      </w:pPr>
      <w:r w:rsidRPr="00164C08">
        <w:rPr>
          <w:rFonts w:hint="cs"/>
          <w:u w:val="single"/>
          <w:rtl/>
        </w:rPr>
        <w:t>כללי</w:t>
      </w:r>
    </w:p>
    <w:p w14:paraId="080EFCA2" w14:textId="77777777" w:rsidR="008E71AF" w:rsidRDefault="008E71AF" w:rsidP="008E71AF">
      <w:pPr>
        <w:bidi/>
        <w:spacing w:line="360" w:lineRule="auto"/>
        <w:ind w:left="720" w:hanging="720"/>
        <w:jc w:val="both"/>
        <w:rPr>
          <w:rtl/>
        </w:rPr>
      </w:pPr>
      <w:bookmarkStart w:id="6" w:name="ABSTRACT_START"/>
      <w:bookmarkEnd w:id="6"/>
    </w:p>
    <w:p w14:paraId="41FE7C70" w14:textId="77777777" w:rsidR="008E71AF" w:rsidRDefault="008E71AF" w:rsidP="008E71AF">
      <w:pPr>
        <w:bidi/>
        <w:spacing w:line="360" w:lineRule="auto"/>
        <w:ind w:left="720" w:hanging="720"/>
        <w:jc w:val="both"/>
        <w:rPr>
          <w:rtl/>
        </w:rPr>
      </w:pPr>
      <w:r>
        <w:rPr>
          <w:rFonts w:hint="cs"/>
          <w:rtl/>
        </w:rPr>
        <w:t>1.</w:t>
      </w:r>
      <w:r>
        <w:rPr>
          <w:rtl/>
        </w:rPr>
        <w:tab/>
      </w:r>
      <w:r>
        <w:rPr>
          <w:rFonts w:hint="cs"/>
          <w:rtl/>
        </w:rPr>
        <w:t xml:space="preserve">הנאשם הורשע על יסוד הודאתו במסגרת הסדר טיעון בעבירות של ייצור, הכנה והפקת סמים מסוכנים, לפי </w:t>
      </w:r>
      <w:hyperlink r:id="rId16" w:history="1">
        <w:r w:rsidR="00AF166F" w:rsidRPr="00AF166F">
          <w:rPr>
            <w:rStyle w:val="Hyperlink"/>
            <w:rFonts w:hint="eastAsia"/>
            <w:rtl/>
          </w:rPr>
          <w:t>סעיף</w:t>
        </w:r>
        <w:r w:rsidR="00AF166F" w:rsidRPr="00AF166F">
          <w:rPr>
            <w:rStyle w:val="Hyperlink"/>
            <w:rtl/>
          </w:rPr>
          <w:t xml:space="preserve"> 6</w:t>
        </w:r>
      </w:hyperlink>
      <w:r>
        <w:rPr>
          <w:rFonts w:hint="cs"/>
          <w:rtl/>
        </w:rPr>
        <w:t xml:space="preserve"> ל</w:t>
      </w:r>
      <w:hyperlink r:id="rId17" w:history="1">
        <w:r w:rsidR="00123B11" w:rsidRPr="00123B11">
          <w:rPr>
            <w:color w:val="0000FF"/>
            <w:u w:val="single"/>
            <w:rtl/>
          </w:rPr>
          <w:t>פקודת הסמים המסוכנים</w:t>
        </w:r>
      </w:hyperlink>
      <w:r>
        <w:rPr>
          <w:rFonts w:hint="cs"/>
          <w:rtl/>
        </w:rPr>
        <w:t xml:space="preserve"> [נוסח חדש], התשל"ג-1973 (להלן - </w:t>
      </w:r>
      <w:r w:rsidRPr="005C7FA7">
        <w:rPr>
          <w:rFonts w:hint="cs"/>
          <w:b/>
          <w:bCs/>
          <w:rtl/>
        </w:rPr>
        <w:t>פקודת הסמים</w:t>
      </w:r>
      <w:r>
        <w:rPr>
          <w:rFonts w:hint="cs"/>
          <w:rtl/>
        </w:rPr>
        <w:t xml:space="preserve">), החזקת סם שלא לצריכה עצמית, לפי </w:t>
      </w:r>
      <w:hyperlink r:id="rId18" w:history="1">
        <w:r w:rsidR="00AF166F" w:rsidRPr="00AF166F">
          <w:rPr>
            <w:rStyle w:val="Hyperlink"/>
            <w:rFonts w:hint="eastAsia"/>
            <w:rtl/>
          </w:rPr>
          <w:t>סעיף</w:t>
        </w:r>
        <w:r w:rsidR="00AF166F" w:rsidRPr="00AF166F">
          <w:rPr>
            <w:rStyle w:val="Hyperlink"/>
            <w:rtl/>
          </w:rPr>
          <w:t xml:space="preserve"> 7(א)+(ג)</w:t>
        </w:r>
      </w:hyperlink>
      <w:r>
        <w:rPr>
          <w:rFonts w:hint="cs"/>
          <w:rtl/>
        </w:rPr>
        <w:t xml:space="preserve"> רישא לפקודת הסמים, החזקת חצרים לשם הכנת סם מסוכן, לפי </w:t>
      </w:r>
      <w:hyperlink r:id="rId19" w:history="1">
        <w:r w:rsidR="00AF166F" w:rsidRPr="00AF166F">
          <w:rPr>
            <w:rStyle w:val="Hyperlink"/>
            <w:rFonts w:hint="eastAsia"/>
            <w:rtl/>
          </w:rPr>
          <w:t>סעיף</w:t>
        </w:r>
        <w:r w:rsidR="00AF166F" w:rsidRPr="00AF166F">
          <w:rPr>
            <w:rStyle w:val="Hyperlink"/>
            <w:rtl/>
          </w:rPr>
          <w:t xml:space="preserve"> 9(א)+(ד)</w:t>
        </w:r>
      </w:hyperlink>
      <w:r>
        <w:rPr>
          <w:rFonts w:hint="cs"/>
          <w:rtl/>
        </w:rPr>
        <w:t xml:space="preserve"> לפקודת הסמים, החזקת כלים המשמשים להכנת סם מסוכן או לצריכתו, לפי </w:t>
      </w:r>
      <w:hyperlink r:id="rId20" w:history="1">
        <w:r w:rsidR="00AF166F" w:rsidRPr="00AF166F">
          <w:rPr>
            <w:rStyle w:val="Hyperlink"/>
            <w:rFonts w:hint="eastAsia"/>
            <w:rtl/>
          </w:rPr>
          <w:t>סעיף</w:t>
        </w:r>
        <w:r w:rsidR="00AF166F" w:rsidRPr="00AF166F">
          <w:rPr>
            <w:rStyle w:val="Hyperlink"/>
            <w:rtl/>
          </w:rPr>
          <w:t xml:space="preserve"> 10</w:t>
        </w:r>
      </w:hyperlink>
      <w:r>
        <w:rPr>
          <w:rFonts w:hint="cs"/>
          <w:rtl/>
        </w:rPr>
        <w:t xml:space="preserve"> רישא לפקודת הסמים ונטילת חשמל, לפי </w:t>
      </w:r>
      <w:hyperlink r:id="rId21" w:history="1">
        <w:r w:rsidR="00AF166F" w:rsidRPr="00AF166F">
          <w:rPr>
            <w:rStyle w:val="Hyperlink"/>
            <w:rFonts w:hint="eastAsia"/>
            <w:rtl/>
          </w:rPr>
          <w:t>סעיף</w:t>
        </w:r>
        <w:r w:rsidR="00AF166F" w:rsidRPr="00AF166F">
          <w:rPr>
            <w:rStyle w:val="Hyperlink"/>
            <w:rtl/>
          </w:rPr>
          <w:t xml:space="preserve"> 400</w:t>
        </w:r>
      </w:hyperlink>
      <w:r>
        <w:rPr>
          <w:rFonts w:hint="cs"/>
          <w:rtl/>
        </w:rPr>
        <w:t xml:space="preserve"> ל</w:t>
      </w:r>
      <w:hyperlink r:id="rId22" w:history="1">
        <w:r w:rsidR="00123B11" w:rsidRPr="00123B11">
          <w:rPr>
            <w:color w:val="0000FF"/>
            <w:u w:val="single"/>
            <w:rtl/>
          </w:rPr>
          <w:t>חוק העונשין</w:t>
        </w:r>
      </w:hyperlink>
      <w:r>
        <w:rPr>
          <w:rFonts w:hint="cs"/>
          <w:rtl/>
        </w:rPr>
        <w:t xml:space="preserve">, התשל"ז-1977 (להלן - </w:t>
      </w:r>
      <w:r w:rsidRPr="00750FAA">
        <w:rPr>
          <w:rFonts w:hint="cs"/>
          <w:b/>
          <w:bCs/>
          <w:rtl/>
        </w:rPr>
        <w:t>חוק העונשין</w:t>
      </w:r>
      <w:r>
        <w:rPr>
          <w:rFonts w:hint="cs"/>
          <w:rtl/>
        </w:rPr>
        <w:t xml:space="preserve">). </w:t>
      </w:r>
    </w:p>
    <w:p w14:paraId="5AF8A742" w14:textId="77777777" w:rsidR="008E71AF" w:rsidRDefault="008E71AF" w:rsidP="008E71AF">
      <w:pPr>
        <w:bidi/>
        <w:spacing w:line="360" w:lineRule="auto"/>
        <w:ind w:left="720" w:hanging="720"/>
        <w:jc w:val="both"/>
      </w:pPr>
      <w:bookmarkStart w:id="7" w:name="ABSTRACT_END"/>
      <w:bookmarkEnd w:id="7"/>
    </w:p>
    <w:p w14:paraId="10356F43" w14:textId="77777777" w:rsidR="008E71AF" w:rsidRDefault="008E71AF" w:rsidP="008E71AF">
      <w:pPr>
        <w:pStyle w:val="a9"/>
        <w:bidi/>
        <w:spacing w:line="360" w:lineRule="auto"/>
        <w:jc w:val="both"/>
        <w:rPr>
          <w:rtl/>
        </w:rPr>
      </w:pPr>
      <w:r>
        <w:rPr>
          <w:rFonts w:hint="cs"/>
          <w:rtl/>
        </w:rPr>
        <w:lastRenderedPageBreak/>
        <w:t>הסדר הטיעון שגובש בין הצדדים כלל את תיקון כתב האישום מבלי שגובשה הסכמה לעניין העונש, ובהקשר זה טען כל צד על פי מיטב שיקול דעתו.</w:t>
      </w:r>
    </w:p>
    <w:p w14:paraId="6CFA2079" w14:textId="77777777" w:rsidR="008E71AF" w:rsidRDefault="008E71AF" w:rsidP="008E71AF">
      <w:pPr>
        <w:pStyle w:val="a9"/>
        <w:bidi/>
        <w:spacing w:line="360" w:lineRule="auto"/>
        <w:jc w:val="both"/>
        <w:rPr>
          <w:rtl/>
        </w:rPr>
      </w:pPr>
    </w:p>
    <w:p w14:paraId="52BCB891" w14:textId="77777777" w:rsidR="008E71AF" w:rsidRDefault="008E71AF" w:rsidP="008E71AF">
      <w:pPr>
        <w:bidi/>
        <w:spacing w:line="360" w:lineRule="auto"/>
        <w:ind w:left="720" w:hanging="720"/>
        <w:jc w:val="both"/>
        <w:rPr>
          <w:rtl/>
        </w:rPr>
      </w:pPr>
      <w:r>
        <w:rPr>
          <w:rFonts w:hint="cs"/>
          <w:rtl/>
        </w:rPr>
        <w:t>2.</w:t>
      </w:r>
      <w:r>
        <w:rPr>
          <w:rtl/>
        </w:rPr>
        <w:tab/>
      </w:r>
      <w:r>
        <w:rPr>
          <w:rFonts w:hint="cs"/>
          <w:rtl/>
        </w:rPr>
        <w:t xml:space="preserve">על פי עובדות כתב האישום המתוקן, החל מיום 1.5.21 שכר הנאשם דירת מגורים ברמת גן, בסמוך לשכירתה הסב הנאשם את הדירה למעבדה לצורך גידול, ייצור והפקה של סם מסוכן מסוג קנבוס. לצורך כך, צייד הנאשם את המעבדה בגופי תאורה ייעודיים, שנאים, מפוחים, מערכות אוורור, תנורי חימום ומערכות השקיה ודישון. </w:t>
      </w:r>
    </w:p>
    <w:p w14:paraId="2D018132" w14:textId="77777777" w:rsidR="008E71AF" w:rsidRDefault="008E71AF" w:rsidP="008E71AF">
      <w:pPr>
        <w:bidi/>
        <w:ind w:left="720" w:hanging="720"/>
        <w:jc w:val="both"/>
      </w:pPr>
    </w:p>
    <w:p w14:paraId="2DC631EF" w14:textId="77777777" w:rsidR="008E71AF" w:rsidRDefault="008E71AF" w:rsidP="008E71AF">
      <w:pPr>
        <w:pStyle w:val="a9"/>
        <w:bidi/>
        <w:spacing w:line="360" w:lineRule="auto"/>
        <w:jc w:val="both"/>
        <w:rPr>
          <w:rtl/>
        </w:rPr>
      </w:pPr>
      <w:r>
        <w:rPr>
          <w:rFonts w:hint="cs"/>
          <w:rtl/>
        </w:rPr>
        <w:t xml:space="preserve">החל מיום 20.8.21 ועד ליום 10.4.22, גידל, ייצר והפיק הנאשם במעבדה סם מסוכן מסוג קנבוס, וביום 10.4.22 החזיק במעבדה 28 שתילים של צמח קנבוס ועוד 141 אדניות ובהן שתילים של צמח קנבוס במשקל כולל של 100 ק"ג. בנוסף, לצורך תפעול המעבדה, נטל הנאשם חשמל בשווי מוערך של כ- 76,881.20 ₪, בכך שחיבר את החשמל ישרות לנתיכים באופן בלתי חוקי. </w:t>
      </w:r>
    </w:p>
    <w:p w14:paraId="27765E57" w14:textId="77777777" w:rsidR="008E71AF" w:rsidRDefault="008E71AF" w:rsidP="008E71AF">
      <w:pPr>
        <w:pStyle w:val="a9"/>
        <w:bidi/>
        <w:spacing w:line="360" w:lineRule="auto"/>
        <w:jc w:val="both"/>
        <w:rPr>
          <w:rtl/>
        </w:rPr>
      </w:pPr>
    </w:p>
    <w:p w14:paraId="030DF225" w14:textId="77777777" w:rsidR="008E71AF" w:rsidRDefault="008E71AF" w:rsidP="008E71AF">
      <w:pPr>
        <w:pStyle w:val="a9"/>
        <w:bidi/>
        <w:spacing w:line="360" w:lineRule="auto"/>
        <w:jc w:val="both"/>
        <w:rPr>
          <w:u w:val="single"/>
          <w:rtl/>
        </w:rPr>
      </w:pPr>
      <w:r>
        <w:rPr>
          <w:rFonts w:hint="cs"/>
          <w:u w:val="single"/>
          <w:rtl/>
        </w:rPr>
        <w:t>תסקירי שרות המבחן</w:t>
      </w:r>
    </w:p>
    <w:p w14:paraId="490F344E" w14:textId="77777777" w:rsidR="008E71AF" w:rsidRDefault="008E71AF" w:rsidP="008E71AF">
      <w:pPr>
        <w:pStyle w:val="a9"/>
        <w:bidi/>
        <w:ind w:hanging="720"/>
        <w:jc w:val="both"/>
        <w:rPr>
          <w:rtl/>
        </w:rPr>
      </w:pPr>
    </w:p>
    <w:p w14:paraId="67567D63" w14:textId="77777777" w:rsidR="008E71AF" w:rsidRDefault="008E71AF" w:rsidP="008E71AF">
      <w:pPr>
        <w:pStyle w:val="a9"/>
        <w:bidi/>
        <w:spacing w:line="360" w:lineRule="auto"/>
        <w:ind w:hanging="720"/>
        <w:jc w:val="both"/>
        <w:rPr>
          <w:rtl/>
        </w:rPr>
      </w:pPr>
      <w:r>
        <w:rPr>
          <w:rFonts w:hint="cs"/>
          <w:rtl/>
        </w:rPr>
        <w:t>3.</w:t>
      </w:r>
      <w:r>
        <w:rPr>
          <w:rtl/>
        </w:rPr>
        <w:tab/>
      </w:r>
      <w:r>
        <w:rPr>
          <w:rFonts w:hint="cs"/>
          <w:rtl/>
        </w:rPr>
        <w:t>בעניינו של הנאשם נערכו שלושה תסקירי שרות מבחן, מהם עלו הפרטים הבאים:</w:t>
      </w:r>
    </w:p>
    <w:p w14:paraId="7C1522C4" w14:textId="77777777" w:rsidR="008E71AF" w:rsidRDefault="008E71AF" w:rsidP="008E71AF">
      <w:pPr>
        <w:pStyle w:val="a9"/>
        <w:bidi/>
        <w:jc w:val="both"/>
        <w:rPr>
          <w:rtl/>
        </w:rPr>
      </w:pPr>
    </w:p>
    <w:p w14:paraId="51E3B74F" w14:textId="77777777" w:rsidR="008E71AF" w:rsidRDefault="008E71AF" w:rsidP="008E71AF">
      <w:pPr>
        <w:pStyle w:val="a9"/>
        <w:bidi/>
        <w:spacing w:line="360" w:lineRule="auto"/>
        <w:jc w:val="both"/>
        <w:rPr>
          <w:rtl/>
        </w:rPr>
      </w:pPr>
      <w:r>
        <w:rPr>
          <w:rFonts w:hint="cs"/>
          <w:rtl/>
        </w:rPr>
        <w:t xml:space="preserve">הנאשם, בן 35, גרוש ואב לילדה בת 5, מתגורר ברמת גן. גדל ברחובות והשלים 12 שנות לימוד עם תעודת בגרות מלאה, התמודד עם קשיים לימודיים והתנהגותיים על רקע מות אמו בהיותו בן 6. בגיל 15 החל להתרועע עם חברה שולית ולצרוך סמים. התגייס בגיל המתאים לשרות צבאי חלקי בחיל החימוש, ממנו השתחרר לאחר כשנתיים על רקע בעיות בריאותיות. לאחר שחרורו עבד בתפקידים כלליים בעיריית רמת גן, ובהמשך סיים לימודי אדריכלות נוף. לפני כ- 3 שנים פתח עסק עצמאי בתחום אדריכלות נוף, אותו לא הצליח לנהל בצורה מיטבית, ועל רקע משבר הקורונה וניהול כלכלי שגוי נקלע לחובות כספיים ולווה כספים מבנקים ומגורמים עברייניים. במסגרת צו פיקוח המעצר שולב בקבוצת עצורי בית ולקראת סיום הפיקוח השתלב גם בטיפול ביחידה להתמכרויות ברמת גן. במסגרת הטיפול ביחידה להתמכרויות, השתלב בטיפול קבוצתי ופרטני, הגיע באופן עקבי ורציף וכן מסר בדיקות שתן באופן קבוע המעידות על ניקיונו מסמים. נוכח שילובו בהליך טיפולי המליץ שרות המבחן על העמדתו בצו מבחן לתקופה נוספת. </w:t>
      </w:r>
    </w:p>
    <w:p w14:paraId="27FC2027" w14:textId="77777777" w:rsidR="008E71AF" w:rsidRDefault="008E71AF" w:rsidP="008E71AF">
      <w:pPr>
        <w:pStyle w:val="a9"/>
        <w:bidi/>
        <w:spacing w:line="360" w:lineRule="auto"/>
        <w:jc w:val="both"/>
        <w:rPr>
          <w:rtl/>
        </w:rPr>
      </w:pPr>
    </w:p>
    <w:p w14:paraId="0E6A3277" w14:textId="77777777" w:rsidR="008E71AF" w:rsidRDefault="008E71AF" w:rsidP="008E71AF">
      <w:pPr>
        <w:pStyle w:val="a9"/>
        <w:bidi/>
        <w:spacing w:line="360" w:lineRule="auto"/>
        <w:jc w:val="both"/>
        <w:rPr>
          <w:rtl/>
        </w:rPr>
      </w:pPr>
      <w:r>
        <w:rPr>
          <w:rFonts w:hint="cs"/>
          <w:rtl/>
        </w:rPr>
        <w:t xml:space="preserve">בתקופת הדחייה הקים הנאשם עסק עצמאי עם שותף בתחום אדריכלות הנוף, תיאר מערכת יחסים טובה עם גרושתו ומאמצים לקיום הסדרי ראייה ותפקוד הורי תקין עם בתו, וכן עבר להתגורר עם זוגתו הנוכחית, המהווה עבורו גורם תמיכה משמעותי. עוד בתקופת הדחייה, המשיך להגיע באופן רציף לפגישות הפרטניות ולקבוצת הטיפול במסגרת היחידה להתמכרויות, רכש כלים המסייעים לו בהתמודדות במצבי דחק ומשבר, לצד מיומנויות תקשורת במצבי קונפליקט, שינוי דפוסי חשיבה ושיפור היכולות בקבלת החלטות מושכלות. </w:t>
      </w:r>
    </w:p>
    <w:p w14:paraId="1B1EBED9" w14:textId="77777777" w:rsidR="008E71AF" w:rsidRDefault="008E71AF" w:rsidP="008E71AF">
      <w:pPr>
        <w:pStyle w:val="a9"/>
        <w:bidi/>
        <w:spacing w:line="360" w:lineRule="auto"/>
        <w:jc w:val="both"/>
        <w:rPr>
          <w:rtl/>
        </w:rPr>
      </w:pPr>
    </w:p>
    <w:p w14:paraId="058C467B" w14:textId="77777777" w:rsidR="008E71AF" w:rsidRDefault="008E71AF" w:rsidP="008E71AF">
      <w:pPr>
        <w:pStyle w:val="a9"/>
        <w:bidi/>
        <w:spacing w:line="360" w:lineRule="auto"/>
        <w:jc w:val="both"/>
        <w:rPr>
          <w:rtl/>
        </w:rPr>
      </w:pPr>
      <w:r>
        <w:rPr>
          <w:rFonts w:hint="cs"/>
          <w:rtl/>
        </w:rPr>
        <w:t>הנאשם מסר כי ביום בו פרצה מלחמת "חרבות ברזל", 7.10.23, ניצל מהתקפת מחבלים עת שנסע, יחד עם בת הזוג שלו, ברכבו למסיבה ליד קיבוץ "רעים". הנאשם אף סייע לאדם אחר שנפצע והעניק לו טיפול רפואי בשטח. מאז אותו יום, לדבריו, חווה תסמינים המאפיינים הפרעת דחק בתר חבלתית (</w:t>
      </w:r>
      <w:r>
        <w:rPr>
          <w:rFonts w:hint="cs"/>
        </w:rPr>
        <w:t>PTSD</w:t>
      </w:r>
      <w:r>
        <w:rPr>
          <w:rFonts w:hint="cs"/>
          <w:rtl/>
        </w:rPr>
        <w:t xml:space="preserve">). מאז האירוע הוכר על ידי המל"ל כנפגע פעולות איבה והחל טיפול באמצעות "מכרז חוסן" אצל עובדת </w:t>
      </w:r>
      <w:r>
        <w:rPr>
          <w:rFonts w:hint="cs"/>
          <w:rtl/>
        </w:rPr>
        <w:lastRenderedPageBreak/>
        <w:t xml:space="preserve">סוציאלית קלינית המתמחה בטראומה ודחק, אחת לשבוע, בטיפול פרטני, וזאת בנוסף להשתתפותו בטיפול ביחידה להתמכרויות ברמת גן. הנאשם מתמיד בטיפוליו, מוסר כי הטיפול משמעותי עבורו ומהווה עוגן ויציבות. הנאשם ממשיך לעבוד בעסק שהקים ולפגוש את בתו בת ה- 5 באופן סדיר על פי הסכמי השהות שנקבעו ומשלם מזונות עבורה. היחידה להתמכרויות ברמת גן מסרה כי הנאשם מקפיד להגיע באופן סדיר למפגשים, משתף פעולה באופן מלא בטיפול הפרטני והקבוצתי, ומוסר דגימות שתן נקיות משרידי סם. הנאשם מצליח בעריכת שינוי בדפוסיו, ונראה כי מחויב לתהליך הטיפולי ומתמיד בו. לא נפתחו כנגד הנאשם תיקים נוספים מאז החל בהליכי השיקום.    </w:t>
      </w:r>
    </w:p>
    <w:p w14:paraId="71788046" w14:textId="77777777" w:rsidR="008E71AF" w:rsidRDefault="008E71AF" w:rsidP="008E71AF">
      <w:pPr>
        <w:pStyle w:val="a9"/>
        <w:bidi/>
        <w:spacing w:line="360" w:lineRule="auto"/>
        <w:jc w:val="both"/>
        <w:rPr>
          <w:rtl/>
        </w:rPr>
      </w:pPr>
    </w:p>
    <w:p w14:paraId="36DDE1FC" w14:textId="77777777" w:rsidR="008E71AF" w:rsidRDefault="008E71AF" w:rsidP="008E71AF">
      <w:pPr>
        <w:pStyle w:val="a9"/>
        <w:bidi/>
        <w:spacing w:line="360" w:lineRule="auto"/>
        <w:jc w:val="both"/>
        <w:rPr>
          <w:rtl/>
        </w:rPr>
      </w:pPr>
      <w:r>
        <w:rPr>
          <w:rFonts w:hint="cs"/>
          <w:rtl/>
        </w:rPr>
        <w:t xml:space="preserve">נוכח הערכת שרות המבחן כי הנאשם עורך מאמצים לשינוי אורחות חייו, שיתוף הפעולה עם גורמי הטיפול, ניקיונו מסמים ותפקודו התעסוקתי היציב, ובהתחשב בחומרת העבירות, המליץ שרות המבחן על צו מבחן לשנה וענישה של מאסר בדרך של עבודות שרות, על מנת שזו לא תפגע ברצף הטיפולי ובצרכי הפרנסה וגידול בתו. </w:t>
      </w:r>
    </w:p>
    <w:p w14:paraId="79335164" w14:textId="77777777" w:rsidR="008E71AF" w:rsidRPr="00934B6D" w:rsidRDefault="008E71AF" w:rsidP="008E71AF">
      <w:pPr>
        <w:pStyle w:val="a9"/>
        <w:bidi/>
        <w:spacing w:line="360" w:lineRule="auto"/>
        <w:jc w:val="both"/>
        <w:rPr>
          <w:rtl/>
        </w:rPr>
      </w:pPr>
    </w:p>
    <w:p w14:paraId="40C66928" w14:textId="77777777" w:rsidR="008E71AF" w:rsidRDefault="008E71AF" w:rsidP="008E71AF">
      <w:pPr>
        <w:pStyle w:val="a9"/>
        <w:bidi/>
        <w:spacing w:line="360" w:lineRule="auto"/>
        <w:jc w:val="both"/>
        <w:rPr>
          <w:u w:val="single"/>
          <w:rtl/>
        </w:rPr>
      </w:pPr>
      <w:r>
        <w:rPr>
          <w:rFonts w:hint="cs"/>
          <w:u w:val="single"/>
          <w:rtl/>
        </w:rPr>
        <w:t>ראיות לעונש</w:t>
      </w:r>
    </w:p>
    <w:p w14:paraId="16BCF8E1" w14:textId="77777777" w:rsidR="008E71AF" w:rsidRDefault="008E71AF" w:rsidP="008E71AF">
      <w:pPr>
        <w:pStyle w:val="a9"/>
        <w:bidi/>
        <w:spacing w:line="360" w:lineRule="auto"/>
        <w:jc w:val="both"/>
        <w:rPr>
          <w:u w:val="single"/>
          <w:rtl/>
        </w:rPr>
      </w:pPr>
    </w:p>
    <w:p w14:paraId="6AA47EF1" w14:textId="77777777" w:rsidR="008E71AF" w:rsidRDefault="008E71AF" w:rsidP="008E71AF">
      <w:pPr>
        <w:pStyle w:val="a9"/>
        <w:bidi/>
        <w:spacing w:line="360" w:lineRule="auto"/>
        <w:ind w:hanging="720"/>
        <w:jc w:val="both"/>
        <w:rPr>
          <w:u w:val="single"/>
          <w:rtl/>
        </w:rPr>
      </w:pPr>
      <w:r>
        <w:rPr>
          <w:rFonts w:hint="cs"/>
          <w:rtl/>
        </w:rPr>
        <w:t>4.</w:t>
      </w:r>
      <w:r>
        <w:rPr>
          <w:rtl/>
        </w:rPr>
        <w:tab/>
      </w:r>
      <w:r w:rsidRPr="003760AB">
        <w:rPr>
          <w:rFonts w:hint="cs"/>
          <w:rtl/>
        </w:rPr>
        <w:t>במסגרת הראיות לעונש מטעם ההגנה הוגשו מכתב שכתב הנאשם, הסכם חייבים שנערך בין הנאשם לחברת החשמל, הסכם לפיצוי בעל הדירה ששימשה כמעבדה, ותעודות המעידות על הסמכות מקצועיות שונות של הנאשם. כמו כן, לזכותו של הנאשם העידו אחיו, מר טל פישלר, בת זוגו גב' אוראל זך וגרושתו גב' הדס פישלר.</w:t>
      </w:r>
      <w:r>
        <w:rPr>
          <w:rFonts w:hint="cs"/>
          <w:u w:val="single"/>
          <w:rtl/>
        </w:rPr>
        <w:t xml:space="preserve"> </w:t>
      </w:r>
    </w:p>
    <w:p w14:paraId="43A6CE06" w14:textId="77777777" w:rsidR="008E71AF" w:rsidRDefault="008E71AF" w:rsidP="008E71AF">
      <w:pPr>
        <w:pStyle w:val="a9"/>
        <w:bidi/>
        <w:spacing w:line="360" w:lineRule="auto"/>
        <w:ind w:hanging="720"/>
        <w:jc w:val="both"/>
        <w:rPr>
          <w:u w:val="single"/>
          <w:rtl/>
        </w:rPr>
      </w:pPr>
    </w:p>
    <w:p w14:paraId="713A9A49" w14:textId="77777777" w:rsidR="008E71AF" w:rsidRDefault="008E71AF" w:rsidP="008E71AF">
      <w:pPr>
        <w:pStyle w:val="a9"/>
        <w:bidi/>
        <w:spacing w:line="360" w:lineRule="auto"/>
        <w:jc w:val="both"/>
        <w:rPr>
          <w:u w:val="single"/>
          <w:rtl/>
        </w:rPr>
      </w:pPr>
      <w:r w:rsidRPr="00934B6D">
        <w:rPr>
          <w:rFonts w:hint="cs"/>
          <w:u w:val="single"/>
          <w:rtl/>
        </w:rPr>
        <w:t>טיעוני הצדדים לעונש</w:t>
      </w:r>
    </w:p>
    <w:p w14:paraId="703DE81D" w14:textId="77777777" w:rsidR="008E71AF" w:rsidRDefault="008E71AF" w:rsidP="008E71AF">
      <w:pPr>
        <w:pStyle w:val="a9"/>
        <w:bidi/>
        <w:spacing w:line="360" w:lineRule="auto"/>
        <w:ind w:hanging="720"/>
        <w:jc w:val="both"/>
        <w:rPr>
          <w:rtl/>
        </w:rPr>
      </w:pPr>
    </w:p>
    <w:p w14:paraId="11FE9BA5" w14:textId="77777777" w:rsidR="008E71AF" w:rsidRDefault="008E71AF" w:rsidP="008E71AF">
      <w:pPr>
        <w:pStyle w:val="a9"/>
        <w:bidi/>
        <w:spacing w:line="360" w:lineRule="auto"/>
        <w:ind w:hanging="720"/>
        <w:jc w:val="both"/>
        <w:rPr>
          <w:rtl/>
        </w:rPr>
      </w:pPr>
      <w:r>
        <w:rPr>
          <w:rFonts w:hint="cs"/>
          <w:rtl/>
        </w:rPr>
        <w:t>5.</w:t>
      </w:r>
      <w:r>
        <w:rPr>
          <w:rtl/>
        </w:rPr>
        <w:tab/>
      </w:r>
      <w:r w:rsidRPr="00F017B8">
        <w:rPr>
          <w:rFonts w:hint="cs"/>
          <w:rtl/>
        </w:rPr>
        <w:t>ב"כ התביעה, עו"ד לילך כץ, עמדה בטיעונה</w:t>
      </w:r>
      <w:r>
        <w:rPr>
          <w:rFonts w:hint="cs"/>
          <w:rtl/>
        </w:rPr>
        <w:t xml:space="preserve"> על חומרת העבירות ועל נסיבות ביצוען, בתוך כך, נטען כי מדובר מבחינת הכמויות, משך הזמן בו פעלה המעבדה והיקף גניבת החשמל, מבין הגדולים שידע המחוז. התובעת עתרה, בדומה לתיקים אחרים, לקביעת מתחם הנע בין 40 ל-60 חודשי מאסר, וסברה כי מקרה זה אינו מתאים לחריגה מטעמי שיקום, אלא למיקום הנאשם בתחתית המתחם. </w:t>
      </w:r>
    </w:p>
    <w:p w14:paraId="6FA5CD33" w14:textId="77777777" w:rsidR="008E71AF" w:rsidRDefault="008E71AF" w:rsidP="008E71AF">
      <w:pPr>
        <w:pStyle w:val="a9"/>
        <w:bidi/>
        <w:spacing w:line="360" w:lineRule="auto"/>
        <w:ind w:hanging="720"/>
        <w:jc w:val="both"/>
        <w:rPr>
          <w:rtl/>
        </w:rPr>
      </w:pPr>
    </w:p>
    <w:p w14:paraId="46BE0993" w14:textId="77777777" w:rsidR="008E71AF" w:rsidRDefault="008E71AF" w:rsidP="008E71AF">
      <w:pPr>
        <w:pStyle w:val="a9"/>
        <w:bidi/>
        <w:spacing w:line="360" w:lineRule="auto"/>
        <w:jc w:val="both"/>
        <w:rPr>
          <w:rtl/>
        </w:rPr>
      </w:pPr>
      <w:r>
        <w:rPr>
          <w:rFonts w:hint="cs"/>
          <w:rtl/>
        </w:rPr>
        <w:t>בתוך כך, סקרה התובעת את הפרטים הנלמדים מתסקירי שרות המבחן וטענה כי הנאשם היה מטופל בתקופת ביצוע העבירות; כי הוא אינו מכור לסמים בעוצמה גבוהה כפי שנלמד מהעובדה כי הצליח להתנקות משימוש בסמים כבר בתקופת המעצר; וכי אף שנטען כי ביצע את העבירות על רקע משבר כלכלי, אין בכך כדי להצדיק חריגה מטעמי שיקום. על רקע האמור, עתרה התובעת למקם את הנאשם בתחתית המתחם, לצד מאסר על תנאי וקנס.</w:t>
      </w:r>
    </w:p>
    <w:p w14:paraId="0382238C" w14:textId="77777777" w:rsidR="008E71AF" w:rsidRPr="00F017B8" w:rsidRDefault="008E71AF" w:rsidP="008E71AF">
      <w:pPr>
        <w:pStyle w:val="a9"/>
        <w:bidi/>
        <w:spacing w:line="360" w:lineRule="auto"/>
        <w:ind w:hanging="720"/>
        <w:jc w:val="both"/>
      </w:pPr>
    </w:p>
    <w:p w14:paraId="329A6EDA" w14:textId="77777777" w:rsidR="008E71AF" w:rsidRDefault="008E71AF" w:rsidP="008E71AF">
      <w:pPr>
        <w:pStyle w:val="a9"/>
        <w:bidi/>
        <w:spacing w:line="360" w:lineRule="auto"/>
        <w:ind w:hanging="720"/>
        <w:jc w:val="both"/>
        <w:rPr>
          <w:rtl/>
        </w:rPr>
      </w:pPr>
      <w:r>
        <w:rPr>
          <w:rFonts w:hint="cs"/>
          <w:rtl/>
        </w:rPr>
        <w:t>6.</w:t>
      </w:r>
      <w:r>
        <w:rPr>
          <w:rtl/>
        </w:rPr>
        <w:tab/>
      </w:r>
      <w:r w:rsidRPr="00F017B8">
        <w:rPr>
          <w:rFonts w:hint="cs"/>
          <w:rtl/>
        </w:rPr>
        <w:t xml:space="preserve">ב"כ ההגנה, עו"ד איתן סבג, </w:t>
      </w:r>
      <w:r>
        <w:rPr>
          <w:rFonts w:hint="cs"/>
          <w:rtl/>
        </w:rPr>
        <w:t xml:space="preserve">עתר לאמץ את המלצת שרות המבחן ולחרוג בעניינו של הנאשם מטעמי שיקום. הסניגור עמד על ההליך השיקומי שעבר, נסיבותיו האישיות והבהיר כי לצד ההליך השיקומי, הנאשם גם פעל לטובת תיקון הנזקים שגרם, על דרך של הסדרת החוב לחברת החשמל ותיקון הנזקים שנגרמו לבעל הדירה בה ביצע את העבירות. באשר להליך השיקומי שעבר הנאשם תואר כי מדובר בהליך אינטנסיבי שנמשך תקופה ממושכת במסגרת היחידה להתמכרויות ברמת גן, אליה פנה הנאשם ביוזמתו, שכלל שיחות פרטניות, טיפול בקבוצת </w:t>
      </w:r>
      <w:r>
        <w:rPr>
          <w:rFonts w:hint="cs"/>
        </w:rPr>
        <w:t>NA</w:t>
      </w:r>
      <w:r>
        <w:rPr>
          <w:rFonts w:hint="cs"/>
          <w:rtl/>
        </w:rPr>
        <w:t xml:space="preserve"> וכן מתן בדיקות שתן נקיות. </w:t>
      </w:r>
    </w:p>
    <w:p w14:paraId="699B757D" w14:textId="77777777" w:rsidR="008E71AF" w:rsidRDefault="008E71AF" w:rsidP="008E71AF">
      <w:pPr>
        <w:pStyle w:val="a9"/>
        <w:bidi/>
        <w:spacing w:line="360" w:lineRule="auto"/>
        <w:ind w:hanging="720"/>
        <w:jc w:val="both"/>
        <w:rPr>
          <w:rtl/>
        </w:rPr>
      </w:pPr>
    </w:p>
    <w:p w14:paraId="0BF72384" w14:textId="77777777" w:rsidR="008E71AF" w:rsidRDefault="008E71AF" w:rsidP="008E71AF">
      <w:pPr>
        <w:pStyle w:val="a9"/>
        <w:bidi/>
        <w:spacing w:line="360" w:lineRule="auto"/>
        <w:jc w:val="both"/>
        <w:rPr>
          <w:rtl/>
        </w:rPr>
      </w:pPr>
      <w:r>
        <w:rPr>
          <w:rFonts w:hint="cs"/>
          <w:rtl/>
        </w:rPr>
        <w:t xml:space="preserve">עוד עמד הסניגור על השינוי שחל בנאשם מבחינה אישית, פתיחת העסק שלו מחדש, ייצוב הקשר עם גרושתו ובתו, וההשפעה שעלולה להיות לענישה מאחורי סורג ובריח על הללו. הסניגור אף הדגיש, במענה לטענתה של התובעת, כי אף שהנאשם היה מצוי בטיפול במועד ביצוע העבירות, עסקינן בטיפול זוגי שטיפלה בבני הזוג בטרם הגירושין ולאחריהם, ולא במי שיכלה לתת טיפול מתאים למניעת התנהגות פורצת חוק. </w:t>
      </w:r>
    </w:p>
    <w:p w14:paraId="231A3009" w14:textId="77777777" w:rsidR="008E71AF" w:rsidRDefault="008E71AF" w:rsidP="008E71AF">
      <w:pPr>
        <w:pStyle w:val="a9"/>
        <w:bidi/>
        <w:spacing w:line="360" w:lineRule="auto"/>
        <w:jc w:val="both"/>
        <w:rPr>
          <w:rtl/>
        </w:rPr>
      </w:pPr>
    </w:p>
    <w:p w14:paraId="3EB17BC6" w14:textId="77777777" w:rsidR="008E71AF" w:rsidRDefault="008E71AF" w:rsidP="008E71AF">
      <w:pPr>
        <w:pStyle w:val="a9"/>
        <w:bidi/>
        <w:spacing w:line="360" w:lineRule="auto"/>
        <w:jc w:val="both"/>
        <w:rPr>
          <w:rtl/>
        </w:rPr>
      </w:pPr>
      <w:r>
        <w:rPr>
          <w:rFonts w:hint="cs"/>
          <w:rtl/>
        </w:rPr>
        <w:t xml:space="preserve">על רקע האמור, עתר הסניגור לאפשר לנאשם להמשיך באורח חיים יצרני, להמשיך בהליך השיקום, ולהימנע מהשתת עונש מאחורי סורג ובריח. </w:t>
      </w:r>
    </w:p>
    <w:p w14:paraId="39E61EBE" w14:textId="77777777" w:rsidR="008E71AF" w:rsidRPr="00F017B8" w:rsidRDefault="008E71AF" w:rsidP="008E71AF">
      <w:pPr>
        <w:pStyle w:val="a9"/>
        <w:bidi/>
        <w:spacing w:line="360" w:lineRule="auto"/>
        <w:ind w:hanging="720"/>
        <w:jc w:val="both"/>
      </w:pPr>
    </w:p>
    <w:p w14:paraId="4C362142" w14:textId="77777777" w:rsidR="008E71AF" w:rsidRDefault="008E71AF" w:rsidP="008E71AF">
      <w:pPr>
        <w:pStyle w:val="a9"/>
        <w:bidi/>
        <w:spacing w:line="360" w:lineRule="auto"/>
        <w:ind w:hanging="720"/>
        <w:jc w:val="both"/>
        <w:rPr>
          <w:rtl/>
        </w:rPr>
      </w:pPr>
      <w:r>
        <w:rPr>
          <w:rFonts w:hint="cs"/>
          <w:rtl/>
        </w:rPr>
        <w:t>7.</w:t>
      </w:r>
      <w:r>
        <w:rPr>
          <w:rFonts w:hint="cs"/>
          <w:rtl/>
        </w:rPr>
        <w:tab/>
      </w:r>
      <w:r w:rsidRPr="00F017B8">
        <w:rPr>
          <w:rFonts w:hint="cs"/>
          <w:rtl/>
        </w:rPr>
        <w:t>הנאשם בדברו האחרון מסר את הדברים הבאים:</w:t>
      </w:r>
      <w:r>
        <w:rPr>
          <w:rFonts w:hint="cs"/>
          <w:rtl/>
        </w:rPr>
        <w:t xml:space="preserve"> "</w:t>
      </w:r>
      <w:r w:rsidRPr="0082428F">
        <w:rPr>
          <w:b/>
          <w:bCs/>
          <w:rtl/>
        </w:rPr>
        <w:t>אני מאוד לוקח אחריות על המעשים שעשיתי ומצטער על מה שעשיתי. עברתי חיים לא פשוטים. אני נמצא בטיפול בקבוצה במסגרת היחידה לטיפול בהתמכרויות. עברתי שינוי מאוד גדול בחיים שלי. מאדם ששמר הכל בבטן ולא מספר שום דבר, פניתי לעזרה. אני בתקופה שאני מטפל בעצמי ורוצה להמשיך בה ולהיות כאן בשביל הבת שלי. הבת שלי נמצאת אצלי בימי שני ורביעי וכל סוף שבוע שני, לאחרונה נסענו עם כמה חברים וילדים לישון באוהלים בכנרת. אני מחובר אליה והיא הנשמה שלי והלב שלי. מאז המעצר היא מאוד חרדתית כשאני לא נמצא לידה. אני רוצה להיות פה בשבילה, ולהיות אדם טוב יותר ולעבור את השיקום שאני עובר. אני באמת מצטער על כל מה שעשיתי</w:t>
      </w:r>
      <w:r>
        <w:rPr>
          <w:rFonts w:hint="cs"/>
          <w:rtl/>
        </w:rPr>
        <w:t>" (פרו' עמ' 15, ש' 3).</w:t>
      </w:r>
    </w:p>
    <w:p w14:paraId="53A6D0B2" w14:textId="77777777" w:rsidR="008E71AF" w:rsidRDefault="008E71AF" w:rsidP="008E71AF">
      <w:pPr>
        <w:pStyle w:val="a9"/>
        <w:bidi/>
        <w:spacing w:line="360" w:lineRule="auto"/>
        <w:ind w:hanging="720"/>
        <w:jc w:val="both"/>
        <w:rPr>
          <w:rtl/>
        </w:rPr>
      </w:pPr>
    </w:p>
    <w:p w14:paraId="41A10FD6" w14:textId="77777777" w:rsidR="008E71AF" w:rsidRDefault="008E71AF" w:rsidP="008E71AF">
      <w:pPr>
        <w:bidi/>
        <w:spacing w:line="360" w:lineRule="auto"/>
        <w:ind w:left="720"/>
        <w:jc w:val="both"/>
        <w:rPr>
          <w:u w:val="single"/>
          <w:rtl/>
        </w:rPr>
      </w:pPr>
      <w:r>
        <w:rPr>
          <w:rFonts w:hint="cs"/>
          <w:u w:val="single"/>
          <w:rtl/>
        </w:rPr>
        <w:t>דיון והכרעה</w:t>
      </w:r>
    </w:p>
    <w:p w14:paraId="5AE9500B" w14:textId="77777777" w:rsidR="008E71AF" w:rsidRDefault="008E71AF" w:rsidP="008E71AF">
      <w:pPr>
        <w:pStyle w:val="a9"/>
        <w:bidi/>
        <w:spacing w:line="360" w:lineRule="auto"/>
        <w:ind w:hanging="720"/>
        <w:jc w:val="both"/>
        <w:rPr>
          <w:rtl/>
        </w:rPr>
      </w:pPr>
    </w:p>
    <w:p w14:paraId="43B0A4E4" w14:textId="77777777" w:rsidR="008E71AF" w:rsidRDefault="008E71AF" w:rsidP="008E71AF">
      <w:pPr>
        <w:pStyle w:val="a9"/>
        <w:bidi/>
        <w:spacing w:line="360" w:lineRule="auto"/>
        <w:ind w:hanging="720"/>
        <w:jc w:val="both"/>
        <w:rPr>
          <w:rtl/>
        </w:rPr>
      </w:pPr>
      <w:r>
        <w:rPr>
          <w:rFonts w:hint="cs"/>
          <w:rtl/>
        </w:rPr>
        <w:t>8.</w:t>
      </w:r>
      <w:r>
        <w:rPr>
          <w:rFonts w:hint="cs"/>
          <w:rtl/>
        </w:rPr>
        <w:tab/>
      </w:r>
      <w:r w:rsidRPr="00CA6B4B">
        <w:rPr>
          <w:rtl/>
        </w:rPr>
        <w:t xml:space="preserve">החומרה הטמונה במעשים כגון אלו שביצע הנאשם, ידועה ומוכרת, ובתי המשפט חזרו על כך פעם אחר פעם. מדובר במעשים אשר פוגעים במגוון ערכים חברתיים, ובהם הגנה על הציבור מפני הנזקים הישירים שנגרמים לגופם של הצרכנים הפוטנציאליים, והנזקים העקיפים שנגרמים כתוצאה מביצוע עבירות רכוש ואלימות, הנלוות לצריכת הסם. </w:t>
      </w:r>
    </w:p>
    <w:p w14:paraId="6AB29212" w14:textId="77777777" w:rsidR="008E71AF" w:rsidRPr="00CA6B4B" w:rsidRDefault="008E71AF" w:rsidP="008E71AF">
      <w:pPr>
        <w:pStyle w:val="a9"/>
        <w:bidi/>
        <w:spacing w:line="360" w:lineRule="auto"/>
        <w:ind w:hanging="720"/>
        <w:jc w:val="both"/>
        <w:rPr>
          <w:rtl/>
        </w:rPr>
      </w:pPr>
    </w:p>
    <w:p w14:paraId="5F9AB52C" w14:textId="77777777" w:rsidR="008E71AF" w:rsidRPr="00CA6B4B" w:rsidRDefault="008E71AF" w:rsidP="008E71AF">
      <w:pPr>
        <w:pStyle w:val="a9"/>
        <w:bidi/>
        <w:spacing w:line="360" w:lineRule="auto"/>
        <w:jc w:val="both"/>
        <w:rPr>
          <w:rtl/>
        </w:rPr>
      </w:pPr>
      <w:r w:rsidRPr="00CA6B4B">
        <w:rPr>
          <w:rtl/>
        </w:rPr>
        <w:t>ב</w:t>
      </w:r>
      <w:hyperlink r:id="rId23" w:history="1">
        <w:r w:rsidR="00123B11" w:rsidRPr="00123B11">
          <w:rPr>
            <w:color w:val="0000FF"/>
            <w:u w:val="single"/>
            <w:rtl/>
          </w:rPr>
          <w:t>ע"פ 2596/18</w:t>
        </w:r>
      </w:hyperlink>
      <w:r w:rsidRPr="00CA6B4B">
        <w:rPr>
          <w:rtl/>
        </w:rPr>
        <w:t xml:space="preserve"> </w:t>
      </w:r>
      <w:r w:rsidRPr="00CA6B4B">
        <w:rPr>
          <w:b/>
          <w:bCs/>
          <w:rtl/>
        </w:rPr>
        <w:t>זנזורי נ' מדינת ישראל</w:t>
      </w:r>
      <w:r w:rsidRPr="00CA6B4B">
        <w:rPr>
          <w:rtl/>
        </w:rPr>
        <w:t xml:space="preserve"> (12.8.2018) (להלן - </w:t>
      </w:r>
      <w:r w:rsidRPr="00CA6B4B">
        <w:rPr>
          <w:b/>
          <w:bCs/>
          <w:rtl/>
        </w:rPr>
        <w:t>עניין זנזורי</w:t>
      </w:r>
      <w:r w:rsidRPr="00CA6B4B">
        <w:rPr>
          <w:rtl/>
        </w:rPr>
        <w:t xml:space="preserve">) התייחס כב' השופט עמית לאותה תופעה וציין כי זו מחייבת ענישה הולמת גם מקום בו מדובר בסמים "קלים" כגון קנבוס: </w:t>
      </w:r>
    </w:p>
    <w:p w14:paraId="4D2543C2" w14:textId="77777777" w:rsidR="008E71AF" w:rsidRDefault="008E71AF" w:rsidP="008E71AF">
      <w:pPr>
        <w:pStyle w:val="a9"/>
        <w:bidi/>
        <w:spacing w:line="360" w:lineRule="auto"/>
        <w:jc w:val="both"/>
        <w:rPr>
          <w:rtl/>
        </w:rPr>
      </w:pPr>
    </w:p>
    <w:p w14:paraId="29A53D19" w14:textId="77777777" w:rsidR="008E71AF" w:rsidRDefault="008E71AF" w:rsidP="008E71AF">
      <w:pPr>
        <w:pStyle w:val="a9"/>
        <w:bidi/>
        <w:spacing w:line="360" w:lineRule="auto"/>
        <w:jc w:val="both"/>
      </w:pPr>
      <w:r w:rsidRPr="00CA6B4B">
        <w:rPr>
          <w:rtl/>
        </w:rPr>
        <w:t>"</w:t>
      </w:r>
      <w:r w:rsidRPr="00CA6B4B">
        <w:rPr>
          <w:b/>
          <w:bCs/>
          <w:rtl/>
        </w:rPr>
        <w:t>צרכנים ומשתמשים ואנשים נורמטיביים, שבעבר לא היו מוכנים ליטול על עצמם סיכון להסתבך בעולם הפלילי, נכונים כיום לילך צעד נוסף ולהפוך למגדלים וסוחרים בסם...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CA6B4B">
        <w:rPr>
          <w:rtl/>
        </w:rPr>
        <w:t>" (פס' 8 לפסק דינו של כב' השופט י' עמית).</w:t>
      </w:r>
    </w:p>
    <w:p w14:paraId="4325B6D5" w14:textId="77777777" w:rsidR="008E71AF" w:rsidRDefault="008E71AF" w:rsidP="008E71AF">
      <w:pPr>
        <w:pStyle w:val="a9"/>
        <w:bidi/>
        <w:spacing w:line="360" w:lineRule="auto"/>
        <w:ind w:hanging="720"/>
        <w:jc w:val="both"/>
        <w:rPr>
          <w:rtl/>
        </w:rPr>
      </w:pPr>
    </w:p>
    <w:p w14:paraId="18E3DF8D" w14:textId="77777777" w:rsidR="008E71AF" w:rsidRDefault="008E71AF" w:rsidP="008E71AF">
      <w:pPr>
        <w:pStyle w:val="a9"/>
        <w:bidi/>
        <w:spacing w:line="360" w:lineRule="auto"/>
        <w:jc w:val="both"/>
      </w:pPr>
      <w:r>
        <w:rPr>
          <w:rFonts w:hint="cs"/>
          <w:rtl/>
        </w:rPr>
        <w:t xml:space="preserve">באשר למידת הפגיעה בערכים המוגנים, הרי זו צריכה להילמד מאופייה של המעבדה ומכמות הסם </w:t>
      </w:r>
      <w:r>
        <w:rPr>
          <w:rtl/>
        </w:rPr>
        <w:t>–</w:t>
      </w:r>
      <w:r>
        <w:rPr>
          <w:rFonts w:hint="cs"/>
          <w:rtl/>
        </w:rPr>
        <w:t xml:space="preserve"> דהיינו מנסיבות ביצוע העבירה.</w:t>
      </w:r>
    </w:p>
    <w:p w14:paraId="7903D359" w14:textId="77777777" w:rsidR="008E71AF" w:rsidRDefault="008E71AF" w:rsidP="008E71AF">
      <w:pPr>
        <w:pStyle w:val="a9"/>
        <w:bidi/>
        <w:spacing w:line="360" w:lineRule="auto"/>
        <w:ind w:hanging="720"/>
        <w:jc w:val="both"/>
        <w:rPr>
          <w:rtl/>
        </w:rPr>
      </w:pPr>
    </w:p>
    <w:p w14:paraId="22D00734" w14:textId="77777777" w:rsidR="008E71AF" w:rsidRDefault="008E71AF" w:rsidP="008E71AF">
      <w:pPr>
        <w:pStyle w:val="a9"/>
        <w:bidi/>
        <w:spacing w:line="360" w:lineRule="auto"/>
        <w:jc w:val="both"/>
        <w:rPr>
          <w:rFonts w:ascii="David" w:hAnsi="David"/>
          <w:color w:val="000000"/>
        </w:rPr>
      </w:pPr>
      <w:r>
        <w:rPr>
          <w:rFonts w:hint="cs"/>
          <w:rtl/>
        </w:rPr>
        <w:t xml:space="preserve">במקרה דנן </w:t>
      </w:r>
      <w:r>
        <w:rPr>
          <w:rtl/>
        </w:rPr>
        <w:t xml:space="preserve">מדובר במעבדה "רגילה", שהכילה ציוד "סטנדרטי", המוחזק דרך קבע במעבדות. </w:t>
      </w:r>
      <w:r>
        <w:rPr>
          <w:rFonts w:ascii="David" w:hAnsi="David"/>
          <w:color w:val="000000"/>
          <w:rtl/>
        </w:rPr>
        <w:t>בנסיבות התיק דנא התרחש אירוע עברייני נוסף של גניבת חשמל, אשר רלוונטי אף הוא לקביעת המתחם, ויש בו כדי לייצר הבחנה מסוימת, גם אם אינה משמעותית, בין מעבדה אחת לאחרת.</w:t>
      </w:r>
    </w:p>
    <w:p w14:paraId="21B111C3" w14:textId="77777777" w:rsidR="008E71AF" w:rsidRDefault="008E71AF" w:rsidP="008E71AF">
      <w:pPr>
        <w:pStyle w:val="a9"/>
        <w:bidi/>
        <w:spacing w:line="360" w:lineRule="auto"/>
        <w:ind w:hanging="720"/>
        <w:jc w:val="both"/>
        <w:rPr>
          <w:rtl/>
        </w:rPr>
      </w:pPr>
    </w:p>
    <w:p w14:paraId="21031E57" w14:textId="77777777" w:rsidR="008E71AF" w:rsidRDefault="008E71AF" w:rsidP="008E71AF">
      <w:pPr>
        <w:pStyle w:val="a9"/>
        <w:bidi/>
        <w:spacing w:line="360" w:lineRule="auto"/>
        <w:jc w:val="both"/>
        <w:rPr>
          <w:rtl/>
        </w:rPr>
      </w:pPr>
      <w:r>
        <w:rPr>
          <w:rFonts w:hint="cs"/>
          <w:rtl/>
        </w:rPr>
        <w:t>הנאשם גידל במעבדה כמות סם משמעותית - 100 ק"ג קנבוס.</w:t>
      </w:r>
    </w:p>
    <w:p w14:paraId="0FAFA170" w14:textId="77777777" w:rsidR="008E71AF" w:rsidRDefault="008E71AF" w:rsidP="008E71AF">
      <w:pPr>
        <w:pStyle w:val="a9"/>
        <w:bidi/>
        <w:spacing w:line="360" w:lineRule="auto"/>
        <w:ind w:hanging="720"/>
        <w:jc w:val="both"/>
        <w:rPr>
          <w:rFonts w:ascii="David" w:hAnsi="David"/>
          <w:color w:val="000000"/>
          <w:rtl/>
        </w:rPr>
      </w:pPr>
    </w:p>
    <w:p w14:paraId="5FD0F125" w14:textId="77777777" w:rsidR="008E71AF" w:rsidRDefault="008E71AF" w:rsidP="008E71AF">
      <w:pPr>
        <w:pStyle w:val="a9"/>
        <w:bidi/>
        <w:spacing w:line="360" w:lineRule="auto"/>
        <w:jc w:val="both"/>
        <w:rPr>
          <w:rFonts w:ascii="David" w:hAnsi="David"/>
          <w:color w:val="000000"/>
        </w:rPr>
      </w:pPr>
      <w:r>
        <w:rPr>
          <w:rFonts w:ascii="David" w:hAnsi="David"/>
          <w:color w:val="000000"/>
          <w:rtl/>
        </w:rPr>
        <w:t xml:space="preserve">ניתן לומר כי בהינתן כלל הנתונים האמורים לעיל, לרבות רכיב "נטילת החשמל", הפגיעה בערכים המוגנים היא בעוצמה משמעותית. </w:t>
      </w:r>
    </w:p>
    <w:p w14:paraId="6DBFFFC4" w14:textId="77777777" w:rsidR="008E71AF" w:rsidRPr="00CA6B4B" w:rsidRDefault="008E71AF" w:rsidP="008E71AF">
      <w:pPr>
        <w:pStyle w:val="a9"/>
        <w:bidi/>
        <w:spacing w:line="360" w:lineRule="auto"/>
        <w:ind w:hanging="720"/>
        <w:jc w:val="both"/>
        <w:rPr>
          <w:rtl/>
        </w:rPr>
      </w:pPr>
    </w:p>
    <w:p w14:paraId="79C3EE8C" w14:textId="77777777" w:rsidR="008E71AF" w:rsidRDefault="008E71AF" w:rsidP="008E71AF">
      <w:pPr>
        <w:pStyle w:val="a9"/>
        <w:bidi/>
        <w:spacing w:line="360" w:lineRule="auto"/>
        <w:ind w:hanging="720"/>
        <w:jc w:val="both"/>
        <w:rPr>
          <w:rtl/>
        </w:rPr>
      </w:pPr>
      <w:r>
        <w:rPr>
          <w:rFonts w:hint="cs"/>
          <w:rtl/>
        </w:rPr>
        <w:t>9.</w:t>
      </w:r>
      <w:r>
        <w:rPr>
          <w:rFonts w:hint="cs"/>
          <w:rtl/>
        </w:rPr>
        <w:tab/>
      </w:r>
      <w:r w:rsidRPr="00CA6B4B">
        <w:rPr>
          <w:rFonts w:hint="cs"/>
          <w:rtl/>
        </w:rPr>
        <w:t xml:space="preserve">בבחינת מדיניות הענישה, ראיתי להפנות לפסקי הדין הבאים: </w:t>
      </w:r>
    </w:p>
    <w:p w14:paraId="6CA363DF" w14:textId="77777777" w:rsidR="008E71AF" w:rsidRPr="00CA6B4B" w:rsidRDefault="008E71AF" w:rsidP="008E71AF">
      <w:pPr>
        <w:pStyle w:val="a9"/>
        <w:bidi/>
        <w:spacing w:line="360" w:lineRule="auto"/>
        <w:ind w:hanging="720"/>
        <w:jc w:val="both"/>
      </w:pPr>
    </w:p>
    <w:p w14:paraId="533B5B52" w14:textId="77777777" w:rsidR="008E71AF" w:rsidRDefault="00123B11" w:rsidP="008E71AF">
      <w:pPr>
        <w:bidi/>
        <w:spacing w:line="360" w:lineRule="auto"/>
        <w:ind w:left="720"/>
        <w:jc w:val="both"/>
        <w:rPr>
          <w:color w:val="000000"/>
          <w:rtl/>
        </w:rPr>
      </w:pPr>
      <w:hyperlink r:id="rId24" w:history="1">
        <w:r w:rsidRPr="00123B11">
          <w:rPr>
            <w:color w:val="0000FF"/>
            <w:u w:val="single"/>
            <w:rtl/>
          </w:rPr>
          <w:t>ע"פ 5630/22</w:t>
        </w:r>
      </w:hyperlink>
      <w:r w:rsidR="008E71AF" w:rsidRPr="005A517A">
        <w:rPr>
          <w:rFonts w:hint="cs"/>
          <w:color w:val="000000"/>
          <w:rtl/>
        </w:rPr>
        <w:t xml:space="preserve"> </w:t>
      </w:r>
      <w:r w:rsidR="008E71AF" w:rsidRPr="005A517A">
        <w:rPr>
          <w:rFonts w:hint="cs"/>
          <w:b/>
          <w:bCs/>
          <w:color w:val="000000"/>
          <w:rtl/>
        </w:rPr>
        <w:t>קניובסקי נ' מדינת ישראל</w:t>
      </w:r>
      <w:r w:rsidR="008E71AF" w:rsidRPr="005A517A">
        <w:rPr>
          <w:rFonts w:hint="cs"/>
          <w:color w:val="000000"/>
          <w:rtl/>
        </w:rPr>
        <w:t xml:space="preserve"> (2.2.2023) - המערער הורשע על יסוד הודאתו בעבירות של ייצור, הכנה והפקת סם מסוכן, החזקת כלים המשמשים להכנת סם מסוכן או לצריכתו ונטילת חשמל שלא כדין בכך שהקים מעבדה לגידול סם מסוכן מסוג קנבוס בדירה ששכר בתל-אביב </w:t>
      </w:r>
      <w:r w:rsidR="008E71AF" w:rsidRPr="009A61A6">
        <w:rPr>
          <w:rFonts w:hint="cs"/>
          <w:b/>
          <w:bCs/>
          <w:color w:val="000000"/>
          <w:rtl/>
        </w:rPr>
        <w:t>במשקל כולל של</w:t>
      </w:r>
      <w:r>
        <w:rPr>
          <w:rFonts w:hint="cs"/>
          <w:b/>
          <w:bCs/>
          <w:color w:val="000000"/>
          <w:rtl/>
        </w:rPr>
        <w:t xml:space="preserve"> </w:t>
      </w:r>
      <w:r w:rsidR="008E71AF" w:rsidRPr="009A61A6">
        <w:rPr>
          <w:rFonts w:hint="cs"/>
          <w:b/>
          <w:bCs/>
          <w:color w:val="000000"/>
          <w:rtl/>
        </w:rPr>
        <w:t>100</w:t>
      </w:r>
      <w:r w:rsidR="008E71AF" w:rsidRPr="005A517A">
        <w:rPr>
          <w:rFonts w:hint="cs"/>
          <w:b/>
          <w:bCs/>
          <w:color w:val="000000"/>
          <w:rtl/>
        </w:rPr>
        <w:t xml:space="preserve"> ק"ג</w:t>
      </w:r>
      <w:r w:rsidR="008E71AF" w:rsidRPr="005A517A">
        <w:rPr>
          <w:rFonts w:hint="cs"/>
          <w:color w:val="000000"/>
          <w:rtl/>
        </w:rPr>
        <w:t>. לשם תפעול המעבדה, נטל המערער והשתמש בחשמל שלא כדין. באותו מקרה קבעתי</w:t>
      </w:r>
      <w:r>
        <w:rPr>
          <w:rFonts w:hint="cs"/>
          <w:color w:val="000000"/>
          <w:rtl/>
        </w:rPr>
        <w:t xml:space="preserve"> </w:t>
      </w:r>
      <w:r w:rsidR="008E71AF" w:rsidRPr="005A517A">
        <w:rPr>
          <w:rFonts w:hint="cs"/>
          <w:b/>
          <w:bCs/>
          <w:color w:val="000000"/>
          <w:rtl/>
        </w:rPr>
        <w:t>מתחם ענישה הנע בין 30 ל-54 חודשי מאסר</w:t>
      </w:r>
      <w:r w:rsidR="008E71AF" w:rsidRPr="005A517A">
        <w:rPr>
          <w:rFonts w:hint="cs"/>
          <w:color w:val="000000"/>
          <w:rtl/>
        </w:rPr>
        <w:t>, והטלתי על המערער 30 חודשי מאסר לצד עונשים נלווים. ערעור שהוגש לבית המשפט העליון נדחה.</w:t>
      </w:r>
    </w:p>
    <w:p w14:paraId="272B35A1" w14:textId="77777777" w:rsidR="008E71AF" w:rsidRPr="005A517A" w:rsidRDefault="008E71AF" w:rsidP="008E71AF">
      <w:pPr>
        <w:bidi/>
        <w:spacing w:line="360" w:lineRule="auto"/>
        <w:ind w:left="720"/>
        <w:jc w:val="both"/>
        <w:rPr>
          <w:color w:val="000000"/>
        </w:rPr>
      </w:pPr>
    </w:p>
    <w:p w14:paraId="3FB516FD" w14:textId="77777777" w:rsidR="008E71AF" w:rsidRDefault="00123B11" w:rsidP="008E71AF">
      <w:pPr>
        <w:bidi/>
        <w:spacing w:line="360" w:lineRule="auto"/>
        <w:ind w:left="720"/>
        <w:jc w:val="both"/>
        <w:rPr>
          <w:rtl/>
        </w:rPr>
      </w:pPr>
      <w:hyperlink r:id="rId25" w:history="1">
        <w:r w:rsidRPr="00123B11">
          <w:rPr>
            <w:color w:val="0000FF"/>
            <w:u w:val="single"/>
            <w:rtl/>
          </w:rPr>
          <w:t>ע"פ 6489/20</w:t>
        </w:r>
      </w:hyperlink>
      <w:r w:rsidR="008E71AF" w:rsidRPr="005A517A">
        <w:rPr>
          <w:rFonts w:hint="cs"/>
          <w:color w:val="000000"/>
          <w:rtl/>
        </w:rPr>
        <w:t xml:space="preserve"> </w:t>
      </w:r>
      <w:r w:rsidR="008E71AF" w:rsidRPr="005A517A">
        <w:rPr>
          <w:rFonts w:hint="cs"/>
          <w:b/>
          <w:bCs/>
          <w:color w:val="000000"/>
          <w:rtl/>
        </w:rPr>
        <w:t>פוקלונסקי נ' מדינת ישראל</w:t>
      </w:r>
      <w:r w:rsidR="008E71AF" w:rsidRPr="005A517A">
        <w:rPr>
          <w:rFonts w:hint="cs"/>
          <w:color w:val="000000"/>
          <w:rtl/>
        </w:rPr>
        <w:t xml:space="preserve"> (8.4.2021) - המערער הורשע על יסוד הודאתו בעבירות של ייצור, הכנה והפקת סם מסוכן, החזקת סם שלא לצריכה עצמית והחזקת כלים המשמשים להכנת סם מסוכן או לצריכתו בכך שהקים מעבדה לגידול סם מסוכן מסוג קנבוס בדירה ששכר, בה נתפסו 950 שתילים שהגיעו </w:t>
      </w:r>
      <w:r w:rsidR="008E71AF" w:rsidRPr="009A61A6">
        <w:rPr>
          <w:rFonts w:hint="cs"/>
          <w:b/>
          <w:bCs/>
          <w:color w:val="000000"/>
          <w:rtl/>
        </w:rPr>
        <w:t>למשקל של 100</w:t>
      </w:r>
      <w:r w:rsidR="008E71AF" w:rsidRPr="005A517A">
        <w:rPr>
          <w:rFonts w:hint="cs"/>
          <w:b/>
          <w:bCs/>
          <w:color w:val="000000"/>
          <w:rtl/>
        </w:rPr>
        <w:t xml:space="preserve"> ק"ג</w:t>
      </w:r>
      <w:r w:rsidR="008E71AF" w:rsidRPr="005A517A">
        <w:rPr>
          <w:rFonts w:hint="cs"/>
          <w:color w:val="000000"/>
          <w:rtl/>
        </w:rPr>
        <w:t xml:space="preserve">. בית המשפט המחוזי קבע </w:t>
      </w:r>
      <w:r w:rsidR="008E71AF" w:rsidRPr="005A517A">
        <w:rPr>
          <w:rFonts w:hint="cs"/>
          <w:b/>
          <w:bCs/>
          <w:color w:val="000000"/>
          <w:rtl/>
        </w:rPr>
        <w:t>מתחם ענישה הנע בין 24 ל-48 חודשי מאסר</w:t>
      </w:r>
      <w:r w:rsidR="008E71AF" w:rsidRPr="005A517A">
        <w:rPr>
          <w:rFonts w:hint="cs"/>
          <w:color w:val="000000"/>
          <w:rtl/>
        </w:rPr>
        <w:t>, והשית על הנאשם 33 חודשי מאסר לצד עונשים נלווים. בהמלצת בית המשפט העליון, חזר בו המערער מערעורו על חומרת העונש</w:t>
      </w:r>
      <w:r w:rsidR="008E71AF">
        <w:rPr>
          <w:rFonts w:hint="cs"/>
          <w:rtl/>
        </w:rPr>
        <w:t>.</w:t>
      </w:r>
    </w:p>
    <w:p w14:paraId="213FB5EA" w14:textId="77777777" w:rsidR="008E71AF" w:rsidRDefault="008E71AF" w:rsidP="008E71AF">
      <w:pPr>
        <w:bidi/>
        <w:spacing w:line="360" w:lineRule="auto"/>
        <w:ind w:left="720" w:hanging="720"/>
        <w:jc w:val="both"/>
        <w:rPr>
          <w:color w:val="000000"/>
          <w:rtl/>
        </w:rPr>
      </w:pPr>
    </w:p>
    <w:p w14:paraId="243288DB" w14:textId="77777777" w:rsidR="008E71AF" w:rsidRDefault="00123B11" w:rsidP="008E71AF">
      <w:pPr>
        <w:bidi/>
        <w:spacing w:line="360" w:lineRule="auto"/>
        <w:ind w:left="720"/>
        <w:jc w:val="both"/>
        <w:rPr>
          <w:rtl/>
        </w:rPr>
      </w:pPr>
      <w:hyperlink r:id="rId26" w:history="1">
        <w:r w:rsidRPr="00123B11">
          <w:rPr>
            <w:color w:val="0000FF"/>
            <w:u w:val="single"/>
            <w:rtl/>
          </w:rPr>
          <w:t>ע"פ 6299/20</w:t>
        </w:r>
      </w:hyperlink>
      <w:r w:rsidR="008E71AF" w:rsidRPr="005A517A">
        <w:rPr>
          <w:rFonts w:hint="cs"/>
          <w:color w:val="000000"/>
          <w:rtl/>
        </w:rPr>
        <w:t xml:space="preserve"> </w:t>
      </w:r>
      <w:r w:rsidR="008E71AF" w:rsidRPr="005A517A">
        <w:rPr>
          <w:rFonts w:hint="cs"/>
          <w:b/>
          <w:bCs/>
          <w:color w:val="000000"/>
          <w:rtl/>
        </w:rPr>
        <w:t>שחר חן נ' מדינת ישראל</w:t>
      </w:r>
      <w:r w:rsidR="008E71AF" w:rsidRPr="005A517A">
        <w:rPr>
          <w:rFonts w:hint="cs"/>
          <w:color w:val="000000"/>
          <w:rtl/>
        </w:rPr>
        <w:t xml:space="preserve"> (4.2.2021) - המערער הורשע על יסוד הודאתו בעבירות של ייצור, הכנה והפקת סם מסוכן, החזקת סם שלא לצריכה עצמית, החזקת חצרים לשם הכנת סם מסוכן, החזקת כלים המשמשים להכנת סם מסוכן או לצריכתו ונטילת חשמל שלא כדין בכך שהקים מעבדה לגידול סם מסוכן מסוג קנבוס בדירה ששכר בתל-אביב </w:t>
      </w:r>
      <w:r w:rsidR="008E71AF" w:rsidRPr="009A61A6">
        <w:rPr>
          <w:rFonts w:hint="cs"/>
          <w:b/>
          <w:bCs/>
          <w:color w:val="000000"/>
          <w:rtl/>
        </w:rPr>
        <w:t>במשקל כולל של</w:t>
      </w:r>
      <w:r>
        <w:rPr>
          <w:rFonts w:hint="cs"/>
          <w:b/>
          <w:bCs/>
          <w:color w:val="000000"/>
          <w:rtl/>
        </w:rPr>
        <w:t xml:space="preserve"> </w:t>
      </w:r>
      <w:r w:rsidR="008E71AF" w:rsidRPr="009A61A6">
        <w:rPr>
          <w:rFonts w:hint="cs"/>
          <w:b/>
          <w:bCs/>
          <w:color w:val="000000"/>
          <w:rtl/>
        </w:rPr>
        <w:t>90</w:t>
      </w:r>
      <w:r w:rsidR="008E71AF" w:rsidRPr="005A517A">
        <w:rPr>
          <w:rFonts w:hint="cs"/>
          <w:b/>
          <w:bCs/>
          <w:color w:val="000000"/>
          <w:rtl/>
        </w:rPr>
        <w:t xml:space="preserve"> ק"ג</w:t>
      </w:r>
      <w:r w:rsidR="008E71AF" w:rsidRPr="005A517A">
        <w:rPr>
          <w:rFonts w:hint="cs"/>
          <w:color w:val="000000"/>
          <w:rtl/>
        </w:rPr>
        <w:t>. לשם תפעול המעבדה, נטל המערער והשתמש בחשמל שלא כדין. באותו מקרה קבעתי</w:t>
      </w:r>
      <w:r>
        <w:rPr>
          <w:rFonts w:hint="cs"/>
          <w:color w:val="000000"/>
          <w:rtl/>
        </w:rPr>
        <w:t xml:space="preserve"> </w:t>
      </w:r>
      <w:r w:rsidR="008E71AF" w:rsidRPr="005A517A">
        <w:rPr>
          <w:rFonts w:hint="cs"/>
          <w:b/>
          <w:bCs/>
          <w:color w:val="000000"/>
          <w:rtl/>
        </w:rPr>
        <w:t>מתחם ענישה הנע בין 29 ל-54 חודשי מאסר</w:t>
      </w:r>
      <w:r w:rsidR="008E71AF" w:rsidRPr="005A517A">
        <w:rPr>
          <w:rFonts w:hint="cs"/>
          <w:color w:val="000000"/>
          <w:rtl/>
        </w:rPr>
        <w:t>, והשתתי על המערער 29 חודשי מאסר לצד עונשים נלווים. בהמלצת בית המשפט העליון, חזר בו המערער מערעורו על חומרת העונש</w:t>
      </w:r>
      <w:r w:rsidR="008E71AF">
        <w:rPr>
          <w:rFonts w:hint="cs"/>
          <w:rtl/>
        </w:rPr>
        <w:t>.</w:t>
      </w:r>
    </w:p>
    <w:p w14:paraId="41B911E6" w14:textId="77777777" w:rsidR="008E71AF" w:rsidRDefault="008E71AF" w:rsidP="008E71AF">
      <w:pPr>
        <w:bidi/>
        <w:spacing w:line="360" w:lineRule="auto"/>
        <w:ind w:left="720" w:hanging="720"/>
        <w:jc w:val="both"/>
        <w:rPr>
          <w:color w:val="000000"/>
          <w:rtl/>
        </w:rPr>
      </w:pPr>
    </w:p>
    <w:p w14:paraId="73F0844F" w14:textId="77777777" w:rsidR="008E71AF" w:rsidRDefault="00123B11" w:rsidP="008E71AF">
      <w:pPr>
        <w:bidi/>
        <w:spacing w:line="360" w:lineRule="auto"/>
        <w:ind w:left="720"/>
        <w:jc w:val="both"/>
        <w:rPr>
          <w:rtl/>
        </w:rPr>
      </w:pPr>
      <w:hyperlink r:id="rId27" w:history="1">
        <w:r w:rsidRPr="00123B11">
          <w:rPr>
            <w:color w:val="0000FF"/>
            <w:u w:val="single"/>
            <w:rtl/>
          </w:rPr>
          <w:t>ע"פ 8191/19</w:t>
        </w:r>
      </w:hyperlink>
      <w:r w:rsidR="008E71AF" w:rsidRPr="005A517A">
        <w:rPr>
          <w:rFonts w:hint="cs"/>
          <w:color w:val="000000"/>
          <w:rtl/>
        </w:rPr>
        <w:t xml:space="preserve"> </w:t>
      </w:r>
      <w:r w:rsidR="008E71AF" w:rsidRPr="005A517A">
        <w:rPr>
          <w:rFonts w:hint="cs"/>
          <w:b/>
          <w:bCs/>
          <w:color w:val="000000"/>
          <w:rtl/>
        </w:rPr>
        <w:t xml:space="preserve">אלוכילי נ' מדינת ישראל </w:t>
      </w:r>
      <w:r w:rsidR="008E71AF" w:rsidRPr="005A517A">
        <w:rPr>
          <w:rFonts w:hint="cs"/>
          <w:color w:val="000000"/>
          <w:rtl/>
        </w:rPr>
        <w:t>(7.9.2020) - המערער הורשע בעבירות של ייצור, הכנה והפקה של סם מסוכן והחזקת סם מסוכן שלא לצריכה עצמית לאחר שגידל בחממות המצויות בתוך מחסן במתחם ביתו</w:t>
      </w:r>
      <w:r>
        <w:rPr>
          <w:rFonts w:hint="cs"/>
          <w:color w:val="000000"/>
          <w:rtl/>
        </w:rPr>
        <w:t xml:space="preserve"> </w:t>
      </w:r>
      <w:r w:rsidR="008E71AF" w:rsidRPr="005A517A">
        <w:rPr>
          <w:rFonts w:hint="cs"/>
          <w:color w:val="000000"/>
          <w:rtl/>
        </w:rPr>
        <w:t>558 שתילים</w:t>
      </w:r>
      <w:r>
        <w:rPr>
          <w:rFonts w:hint="cs"/>
          <w:color w:val="000000"/>
          <w:rtl/>
        </w:rPr>
        <w:t xml:space="preserve"> </w:t>
      </w:r>
      <w:r w:rsidR="008E71AF" w:rsidRPr="005A517A">
        <w:rPr>
          <w:rFonts w:hint="cs"/>
          <w:color w:val="000000"/>
          <w:rtl/>
        </w:rPr>
        <w:t xml:space="preserve">שהגיעו </w:t>
      </w:r>
      <w:r w:rsidR="008E71AF" w:rsidRPr="005A517A">
        <w:rPr>
          <w:rFonts w:hint="cs"/>
          <w:b/>
          <w:bCs/>
          <w:color w:val="000000"/>
          <w:rtl/>
        </w:rPr>
        <w:t>למשקל של</w:t>
      </w:r>
      <w:r w:rsidR="008E71AF" w:rsidRPr="005A517A">
        <w:rPr>
          <w:rFonts w:hint="cs"/>
          <w:color w:val="000000"/>
          <w:rtl/>
        </w:rPr>
        <w:t xml:space="preserve"> </w:t>
      </w:r>
      <w:r w:rsidR="008E71AF" w:rsidRPr="005A517A">
        <w:rPr>
          <w:rFonts w:hint="cs"/>
          <w:b/>
          <w:bCs/>
          <w:color w:val="000000"/>
          <w:rtl/>
        </w:rPr>
        <w:t>97 ק"ג</w:t>
      </w:r>
      <w:r w:rsidR="008E71AF" w:rsidRPr="005A517A">
        <w:rPr>
          <w:rFonts w:hint="cs"/>
          <w:color w:val="000000"/>
          <w:rtl/>
        </w:rPr>
        <w:t xml:space="preserve">. בית המשפט המחוזי קבע </w:t>
      </w:r>
      <w:r w:rsidR="008E71AF" w:rsidRPr="005A517A">
        <w:rPr>
          <w:rFonts w:hint="cs"/>
          <w:b/>
          <w:bCs/>
          <w:color w:val="000000"/>
          <w:rtl/>
        </w:rPr>
        <w:t>מתחם</w:t>
      </w:r>
      <w:r w:rsidR="008E71AF">
        <w:rPr>
          <w:rFonts w:hint="cs"/>
          <w:b/>
          <w:bCs/>
          <w:color w:val="000000"/>
          <w:rtl/>
        </w:rPr>
        <w:t xml:space="preserve"> ענישה</w:t>
      </w:r>
      <w:r w:rsidR="008E71AF" w:rsidRPr="005A517A">
        <w:rPr>
          <w:rFonts w:hint="cs"/>
          <w:b/>
          <w:bCs/>
          <w:color w:val="000000"/>
          <w:rtl/>
        </w:rPr>
        <w:t xml:space="preserve"> הנע בין 18 ל-48 חודשי מאסר</w:t>
      </w:r>
      <w:r w:rsidR="008E71AF" w:rsidRPr="005A517A">
        <w:rPr>
          <w:rFonts w:hint="cs"/>
          <w:color w:val="000000"/>
          <w:rtl/>
        </w:rPr>
        <w:t xml:space="preserve"> והשית על המערער 27 חודשי מאסר. בהמלצת בית המשפט העליון, חזר בו המערער מהערעור שהגיש על חומרת העונש</w:t>
      </w:r>
      <w:r w:rsidR="008E71AF">
        <w:rPr>
          <w:rFonts w:hint="cs"/>
          <w:rtl/>
        </w:rPr>
        <w:t>.</w:t>
      </w:r>
    </w:p>
    <w:p w14:paraId="6D10D025" w14:textId="77777777" w:rsidR="008E71AF" w:rsidRDefault="008E71AF" w:rsidP="008E71AF">
      <w:pPr>
        <w:bidi/>
        <w:spacing w:line="360" w:lineRule="auto"/>
        <w:ind w:left="720" w:hanging="720"/>
        <w:jc w:val="both"/>
        <w:rPr>
          <w:rFonts w:ascii="David" w:eastAsia="Calibri" w:hAnsi="David"/>
          <w:rtl/>
        </w:rPr>
      </w:pPr>
    </w:p>
    <w:p w14:paraId="390E089D" w14:textId="77777777" w:rsidR="008E71AF" w:rsidRDefault="00123B11" w:rsidP="008E71AF">
      <w:pPr>
        <w:bidi/>
        <w:spacing w:line="360" w:lineRule="auto"/>
        <w:ind w:left="720"/>
        <w:jc w:val="both"/>
        <w:rPr>
          <w:rFonts w:ascii="David" w:eastAsia="Calibri" w:hAnsi="David"/>
          <w:rtl/>
        </w:rPr>
      </w:pPr>
      <w:hyperlink r:id="rId28" w:history="1">
        <w:r w:rsidRPr="00123B11">
          <w:rPr>
            <w:rFonts w:ascii="David" w:eastAsia="Calibri" w:hAnsi="David"/>
            <w:color w:val="0000FF"/>
            <w:u w:val="single"/>
            <w:rtl/>
          </w:rPr>
          <w:t>ע"פ 4285/17</w:t>
        </w:r>
      </w:hyperlink>
      <w:r w:rsidR="008E71AF" w:rsidRPr="005A517A">
        <w:rPr>
          <w:rFonts w:ascii="David" w:eastAsia="Calibri" w:hAnsi="David" w:hint="cs"/>
          <w:rtl/>
        </w:rPr>
        <w:t xml:space="preserve"> </w:t>
      </w:r>
      <w:r w:rsidR="008E71AF" w:rsidRPr="005A517A">
        <w:rPr>
          <w:rFonts w:ascii="David" w:eastAsia="Calibri" w:hAnsi="David" w:hint="cs"/>
          <w:b/>
          <w:bCs/>
          <w:rtl/>
        </w:rPr>
        <w:t xml:space="preserve">יצחקי נ' מדינת ישראל </w:t>
      </w:r>
      <w:r w:rsidR="008E71AF" w:rsidRPr="005A517A">
        <w:rPr>
          <w:rFonts w:ascii="David" w:eastAsia="Calibri" w:hAnsi="David" w:hint="cs"/>
          <w:rtl/>
        </w:rPr>
        <w:t xml:space="preserve">(11.6.2018) - המערערת הורשעה על יסוד הודאתה בעבירה של ייצור, הכנה והפקת סם מסוכן בכך ששכרה בית והקימה בו מעבדה לגידול קנאבוס </w:t>
      </w:r>
      <w:r w:rsidR="008E71AF" w:rsidRPr="002F6588">
        <w:rPr>
          <w:rFonts w:ascii="David" w:eastAsia="Calibri" w:hAnsi="David" w:hint="cs"/>
          <w:b/>
          <w:bCs/>
          <w:rtl/>
        </w:rPr>
        <w:t>במשקל כולל של</w:t>
      </w:r>
      <w:r w:rsidR="008E71AF" w:rsidRPr="005A517A">
        <w:rPr>
          <w:rFonts w:ascii="David" w:eastAsia="Calibri" w:hAnsi="David" w:hint="cs"/>
          <w:rtl/>
        </w:rPr>
        <w:t xml:space="preserve"> </w:t>
      </w:r>
      <w:r w:rsidR="008E71AF" w:rsidRPr="005A517A">
        <w:rPr>
          <w:rFonts w:ascii="David" w:eastAsia="Calibri" w:hAnsi="David" w:hint="cs"/>
          <w:b/>
          <w:bCs/>
          <w:rtl/>
        </w:rPr>
        <w:t>100 ק"ג</w:t>
      </w:r>
      <w:r w:rsidR="008E71AF" w:rsidRPr="005A517A">
        <w:rPr>
          <w:rFonts w:ascii="David" w:eastAsia="Calibri" w:hAnsi="David" w:hint="cs"/>
          <w:rtl/>
        </w:rPr>
        <w:t xml:space="preserve">. בית המשפט המחוזי קבע </w:t>
      </w:r>
      <w:r w:rsidR="008E71AF" w:rsidRPr="005A517A">
        <w:rPr>
          <w:rFonts w:ascii="David" w:eastAsia="Calibri" w:hAnsi="David" w:hint="cs"/>
          <w:b/>
          <w:bCs/>
          <w:rtl/>
        </w:rPr>
        <w:t>מתחם ענישה הנע בין 24 ל-48 חודשי מאסר</w:t>
      </w:r>
      <w:r w:rsidR="008E71AF" w:rsidRPr="005A517A">
        <w:rPr>
          <w:rFonts w:ascii="David" w:eastAsia="Calibri" w:hAnsi="David" w:hint="cs"/>
          <w:rtl/>
        </w:rPr>
        <w:t xml:space="preserve">, והשית על הנאשמת 12 חודשי מאסר לצד עונשים נלווים בשל נסיבות ייחודיות ושיקולי שיקום. בשל הנסיבות המיוחדות של המקרה, בית המשפט העליון הקל בעונשה והעמידו על 6 חודשי עבודות </w:t>
      </w:r>
      <w:r w:rsidR="008E71AF">
        <w:rPr>
          <w:rFonts w:ascii="David" w:eastAsia="Calibri" w:hAnsi="David" w:hint="cs"/>
          <w:rtl/>
        </w:rPr>
        <w:t>שרות</w:t>
      </w:r>
      <w:r w:rsidR="008E71AF" w:rsidRPr="005A517A">
        <w:rPr>
          <w:rFonts w:ascii="David" w:eastAsia="Calibri" w:hAnsi="David" w:hint="cs"/>
          <w:rtl/>
        </w:rPr>
        <w:t>.</w:t>
      </w:r>
    </w:p>
    <w:p w14:paraId="6A6D3B89" w14:textId="77777777" w:rsidR="008E71AF" w:rsidRDefault="008E71AF" w:rsidP="008E71AF">
      <w:pPr>
        <w:pStyle w:val="a9"/>
        <w:bidi/>
        <w:spacing w:line="360" w:lineRule="auto"/>
        <w:ind w:hanging="720"/>
        <w:jc w:val="both"/>
        <w:rPr>
          <w:rtl/>
        </w:rPr>
      </w:pPr>
    </w:p>
    <w:p w14:paraId="7B91E210" w14:textId="77777777" w:rsidR="008E71AF" w:rsidRDefault="008E71AF" w:rsidP="008E71AF">
      <w:pPr>
        <w:pStyle w:val="a9"/>
        <w:bidi/>
        <w:spacing w:line="360" w:lineRule="auto"/>
        <w:jc w:val="both"/>
        <w:rPr>
          <w:rtl/>
        </w:rPr>
      </w:pPr>
      <w:r>
        <w:rPr>
          <w:rtl/>
        </w:rPr>
        <w:t xml:space="preserve">על יסוד האמור לעיל, ראיתי לקבוע </w:t>
      </w:r>
      <w:r>
        <w:rPr>
          <w:b/>
          <w:bCs/>
          <w:rtl/>
        </w:rPr>
        <w:t>מתחם עונש כולל הנע בין 30 חודשי מאסר ל-</w:t>
      </w:r>
      <w:r>
        <w:rPr>
          <w:rFonts w:hint="cs"/>
          <w:b/>
          <w:bCs/>
          <w:rtl/>
        </w:rPr>
        <w:t>54</w:t>
      </w:r>
      <w:r>
        <w:rPr>
          <w:b/>
          <w:bCs/>
          <w:rtl/>
        </w:rPr>
        <w:t xml:space="preserve"> חודשי מאסר</w:t>
      </w:r>
      <w:r>
        <w:rPr>
          <w:rtl/>
        </w:rPr>
        <w:t>.</w:t>
      </w:r>
    </w:p>
    <w:p w14:paraId="269A8436" w14:textId="77777777" w:rsidR="008E71AF" w:rsidRPr="00E3159A" w:rsidRDefault="008E71AF" w:rsidP="008E71AF">
      <w:pPr>
        <w:pStyle w:val="a9"/>
        <w:bidi/>
        <w:spacing w:line="360" w:lineRule="auto"/>
        <w:jc w:val="both"/>
        <w:rPr>
          <w:rFonts w:ascii="David" w:eastAsia="Calibri" w:hAnsi="David"/>
          <w:rtl/>
        </w:rPr>
      </w:pPr>
    </w:p>
    <w:p w14:paraId="10CEE3F6" w14:textId="77777777" w:rsidR="008E71AF" w:rsidRDefault="008E71AF" w:rsidP="008E71AF">
      <w:pPr>
        <w:bidi/>
        <w:spacing w:line="360" w:lineRule="auto"/>
        <w:ind w:left="720"/>
        <w:jc w:val="both"/>
        <w:rPr>
          <w:rFonts w:ascii="David" w:eastAsia="Calibri" w:hAnsi="David"/>
          <w:u w:val="single"/>
          <w:rtl/>
        </w:rPr>
      </w:pPr>
      <w:r w:rsidRPr="007E6804">
        <w:rPr>
          <w:rFonts w:ascii="David" w:eastAsia="Calibri" w:hAnsi="David" w:hint="cs"/>
          <w:u w:val="single"/>
          <w:rtl/>
        </w:rPr>
        <w:t>העונש המתאים לנאשם בלא התחשבות בהליכי שיקום</w:t>
      </w:r>
    </w:p>
    <w:p w14:paraId="6C0C0DC3" w14:textId="77777777" w:rsidR="008E71AF" w:rsidRDefault="008E71AF" w:rsidP="008E71AF">
      <w:pPr>
        <w:pStyle w:val="a9"/>
        <w:bidi/>
        <w:spacing w:line="360" w:lineRule="auto"/>
        <w:ind w:hanging="720"/>
        <w:jc w:val="both"/>
        <w:rPr>
          <w:rFonts w:ascii="David" w:eastAsia="Calibri" w:hAnsi="David"/>
          <w:rtl/>
        </w:rPr>
      </w:pPr>
    </w:p>
    <w:p w14:paraId="2578D0ED" w14:textId="77777777" w:rsidR="008E71AF" w:rsidRDefault="008E71AF" w:rsidP="008E71AF">
      <w:pPr>
        <w:pStyle w:val="a9"/>
        <w:bidi/>
        <w:spacing w:line="360" w:lineRule="auto"/>
        <w:ind w:hanging="720"/>
        <w:jc w:val="both"/>
        <w:rPr>
          <w:rFonts w:ascii="David" w:eastAsia="Calibri" w:hAnsi="David"/>
          <w:rtl/>
        </w:rPr>
      </w:pPr>
      <w:r>
        <w:rPr>
          <w:rFonts w:ascii="David" w:eastAsia="Calibri" w:hAnsi="David" w:hint="cs"/>
          <w:rtl/>
        </w:rPr>
        <w:t>10.</w:t>
      </w:r>
      <w:r>
        <w:rPr>
          <w:rFonts w:ascii="David" w:eastAsia="Calibri" w:hAnsi="David" w:hint="cs"/>
          <w:rtl/>
        </w:rPr>
        <w:tab/>
        <w:t>להלן השיקולים הרלוונטיים לקביעת העונש המתאים:</w:t>
      </w:r>
    </w:p>
    <w:p w14:paraId="26F3DAE8" w14:textId="77777777" w:rsidR="008E71AF" w:rsidRDefault="008E71AF" w:rsidP="008E71AF">
      <w:pPr>
        <w:pStyle w:val="a9"/>
        <w:bidi/>
        <w:spacing w:line="360" w:lineRule="auto"/>
        <w:ind w:hanging="720"/>
        <w:jc w:val="both"/>
        <w:rPr>
          <w:rFonts w:ascii="David" w:eastAsia="Calibri" w:hAnsi="David"/>
          <w:rtl/>
        </w:rPr>
      </w:pPr>
    </w:p>
    <w:p w14:paraId="7421C2B5" w14:textId="77777777" w:rsidR="008E71AF" w:rsidRDefault="008E71AF" w:rsidP="008E71AF">
      <w:pPr>
        <w:pStyle w:val="a9"/>
        <w:bidi/>
        <w:spacing w:line="360" w:lineRule="auto"/>
        <w:jc w:val="both"/>
        <w:rPr>
          <w:rFonts w:ascii="David" w:eastAsia="Calibri" w:hAnsi="David"/>
          <w:rtl/>
        </w:rPr>
      </w:pPr>
      <w:r>
        <w:rPr>
          <w:rFonts w:ascii="David" w:eastAsia="Calibri" w:hAnsi="David" w:hint="cs"/>
          <w:b/>
          <w:bCs/>
          <w:rtl/>
        </w:rPr>
        <w:t xml:space="preserve">הודאה וקבלת אחריות </w:t>
      </w:r>
      <w:r w:rsidRPr="00995A8A">
        <w:rPr>
          <w:rFonts w:ascii="David" w:eastAsia="Calibri" w:hAnsi="David" w:hint="cs"/>
          <w:rtl/>
        </w:rPr>
        <w:t>-</w:t>
      </w:r>
      <w:r>
        <w:rPr>
          <w:rFonts w:ascii="David" w:eastAsia="Calibri" w:hAnsi="David" w:hint="cs"/>
          <w:b/>
          <w:bCs/>
          <w:rtl/>
        </w:rPr>
        <w:t xml:space="preserve"> </w:t>
      </w:r>
      <w:r w:rsidRPr="007E6804">
        <w:rPr>
          <w:rFonts w:ascii="David" w:eastAsia="Calibri" w:hAnsi="David"/>
          <w:rtl/>
        </w:rPr>
        <w:t xml:space="preserve">מדובר בנאשם אשר הודה במיוחס לו ונטל אחריות על מעשיו ועל כן יש מקום להעניק לו הקלה משמעותית בעונש. אציין כי התרשמתי גם מדברי הנאשם בדבר חרטתו הכנה ורצונו לצאת לדרך חדשה. </w:t>
      </w:r>
    </w:p>
    <w:p w14:paraId="4E377E15" w14:textId="77777777" w:rsidR="008E71AF" w:rsidRPr="007E6804" w:rsidRDefault="008E71AF" w:rsidP="008E71AF">
      <w:pPr>
        <w:pStyle w:val="a9"/>
        <w:bidi/>
        <w:ind w:hanging="720"/>
        <w:jc w:val="both"/>
        <w:rPr>
          <w:rFonts w:ascii="David" w:eastAsia="Calibri" w:hAnsi="David"/>
          <w:rtl/>
        </w:rPr>
      </w:pPr>
    </w:p>
    <w:p w14:paraId="41ECCDDC" w14:textId="77777777" w:rsidR="008E71AF" w:rsidRDefault="008E71AF" w:rsidP="008E71AF">
      <w:pPr>
        <w:bidi/>
        <w:spacing w:line="360" w:lineRule="auto"/>
        <w:ind w:left="720"/>
        <w:jc w:val="both"/>
        <w:rPr>
          <w:rFonts w:ascii="David" w:eastAsia="Calibri" w:hAnsi="David"/>
          <w:rtl/>
        </w:rPr>
      </w:pPr>
      <w:r>
        <w:rPr>
          <w:rFonts w:ascii="David" w:eastAsia="Calibri" w:hAnsi="David" w:hint="cs"/>
          <w:b/>
          <w:bCs/>
          <w:rtl/>
        </w:rPr>
        <w:t xml:space="preserve">היעדר הרשעות קודמות </w:t>
      </w:r>
      <w:r w:rsidRPr="00995A8A">
        <w:rPr>
          <w:rFonts w:ascii="David" w:eastAsia="Calibri" w:hAnsi="David" w:hint="cs"/>
          <w:rtl/>
        </w:rPr>
        <w:t>-</w:t>
      </w:r>
      <w:r>
        <w:rPr>
          <w:rFonts w:ascii="David" w:eastAsia="Calibri" w:hAnsi="David" w:hint="cs"/>
          <w:b/>
          <w:bCs/>
          <w:rtl/>
        </w:rPr>
        <w:t xml:space="preserve"> </w:t>
      </w:r>
      <w:r w:rsidRPr="007E6804">
        <w:rPr>
          <w:rFonts w:ascii="David" w:eastAsia="Calibri" w:hAnsi="David"/>
          <w:rtl/>
        </w:rPr>
        <w:t>אין לחובת הנאשם הרשעות קודמות.</w:t>
      </w:r>
    </w:p>
    <w:p w14:paraId="34A24FC8" w14:textId="77777777" w:rsidR="008E71AF" w:rsidRDefault="008E71AF" w:rsidP="008E71AF">
      <w:pPr>
        <w:bidi/>
        <w:ind w:left="720" w:hanging="720"/>
        <w:jc w:val="both"/>
        <w:rPr>
          <w:rFonts w:ascii="David" w:eastAsia="Calibri" w:hAnsi="David"/>
          <w:rtl/>
        </w:rPr>
      </w:pPr>
    </w:p>
    <w:p w14:paraId="51DB83D9" w14:textId="77777777" w:rsidR="008E71AF" w:rsidRDefault="008E71AF" w:rsidP="008E71AF">
      <w:pPr>
        <w:bidi/>
        <w:spacing w:line="360" w:lineRule="auto"/>
        <w:ind w:left="720"/>
        <w:jc w:val="both"/>
        <w:rPr>
          <w:rFonts w:ascii="David" w:eastAsia="Calibri" w:hAnsi="David"/>
          <w:rtl/>
        </w:rPr>
      </w:pPr>
      <w:r>
        <w:rPr>
          <w:rFonts w:ascii="David" w:eastAsia="Calibri" w:hAnsi="David" w:hint="cs"/>
          <w:b/>
          <w:bCs/>
          <w:rtl/>
        </w:rPr>
        <w:t>נסיבות חיים מורכבות</w:t>
      </w:r>
      <w:r>
        <w:rPr>
          <w:rFonts w:ascii="David" w:eastAsia="Calibri" w:hAnsi="David" w:hint="cs"/>
          <w:rtl/>
        </w:rPr>
        <w:t xml:space="preserve"> - נסיבות חייו של הנאשם (לרבות התייתמות מאמו עת היה בן 6), כפי שאלו באו לידי ביטוי בתסקיר שרות המבחן ובדברים שמסרו בני משפחתו בעדותם הן לא פשוטות ומצדיקות התחשבות. </w:t>
      </w:r>
    </w:p>
    <w:p w14:paraId="6D5DEDA7" w14:textId="77777777" w:rsidR="008E71AF" w:rsidRDefault="008E71AF" w:rsidP="008E71AF">
      <w:pPr>
        <w:bidi/>
        <w:ind w:left="720"/>
        <w:jc w:val="both"/>
        <w:rPr>
          <w:rFonts w:ascii="David" w:eastAsia="Calibri" w:hAnsi="David"/>
          <w:rtl/>
        </w:rPr>
      </w:pPr>
    </w:p>
    <w:p w14:paraId="477306FE" w14:textId="77777777" w:rsidR="008E71AF" w:rsidRDefault="008E71AF" w:rsidP="008E71AF">
      <w:pPr>
        <w:bidi/>
        <w:spacing w:line="360" w:lineRule="auto"/>
        <w:ind w:left="720"/>
        <w:jc w:val="both"/>
        <w:rPr>
          <w:rFonts w:ascii="David" w:eastAsia="Calibri" w:hAnsi="David"/>
          <w:rtl/>
        </w:rPr>
      </w:pPr>
      <w:r>
        <w:rPr>
          <w:rtl/>
        </w:rPr>
        <w:t>צבר הנתונים שפורט לעיל, היה מצדיק אפוא הטלת עונש</w:t>
      </w:r>
      <w:r>
        <w:rPr>
          <w:rFonts w:ascii="David" w:eastAsia="Calibri" w:hAnsi="David" w:hint="cs"/>
          <w:rtl/>
        </w:rPr>
        <w:t xml:space="preserve"> המשקף את תחתית מתחם העונש ההולם, דהיינו 30 חודשי מאסר.</w:t>
      </w:r>
    </w:p>
    <w:p w14:paraId="22E02AB2" w14:textId="77777777" w:rsidR="008E71AF" w:rsidRDefault="008E71AF" w:rsidP="008E71AF">
      <w:pPr>
        <w:bidi/>
        <w:spacing w:line="360" w:lineRule="auto"/>
        <w:ind w:left="720"/>
        <w:jc w:val="both"/>
        <w:rPr>
          <w:rFonts w:ascii="David" w:eastAsia="Calibri" w:hAnsi="David"/>
          <w:rtl/>
        </w:rPr>
      </w:pPr>
    </w:p>
    <w:p w14:paraId="0CD2C223" w14:textId="77777777" w:rsidR="008E71AF" w:rsidRDefault="008E71AF" w:rsidP="008E71AF">
      <w:pPr>
        <w:bidi/>
        <w:spacing w:line="360" w:lineRule="auto"/>
        <w:ind w:left="720"/>
        <w:jc w:val="both"/>
        <w:rPr>
          <w:rFonts w:ascii="David" w:eastAsia="Calibri" w:hAnsi="David"/>
          <w:u w:val="single"/>
          <w:rtl/>
        </w:rPr>
      </w:pPr>
      <w:r w:rsidRPr="007E6804">
        <w:rPr>
          <w:rFonts w:ascii="David" w:eastAsia="Calibri" w:hAnsi="David" w:hint="cs"/>
          <w:u w:val="single"/>
          <w:rtl/>
        </w:rPr>
        <w:t>השפעת הליך השיקום על העונש המתאים</w:t>
      </w:r>
    </w:p>
    <w:p w14:paraId="0C6E7988" w14:textId="77777777" w:rsidR="008E71AF" w:rsidRPr="007E6804" w:rsidRDefault="008E71AF" w:rsidP="008E71AF">
      <w:pPr>
        <w:bidi/>
        <w:spacing w:line="360" w:lineRule="auto"/>
        <w:ind w:left="720"/>
        <w:jc w:val="both"/>
        <w:rPr>
          <w:rFonts w:ascii="David" w:eastAsia="Calibri" w:hAnsi="David"/>
          <w:u w:val="single"/>
          <w:rtl/>
        </w:rPr>
      </w:pPr>
    </w:p>
    <w:p w14:paraId="05390E75" w14:textId="77777777" w:rsidR="008E71AF" w:rsidRDefault="008E71AF" w:rsidP="008E71AF">
      <w:pPr>
        <w:pStyle w:val="a9"/>
        <w:bidi/>
        <w:spacing w:line="360" w:lineRule="auto"/>
        <w:ind w:hanging="720"/>
        <w:jc w:val="both"/>
        <w:rPr>
          <w:rtl/>
        </w:rPr>
      </w:pPr>
      <w:r>
        <w:rPr>
          <w:rFonts w:hint="cs"/>
          <w:rtl/>
        </w:rPr>
        <w:t>11.</w:t>
      </w:r>
      <w:r>
        <w:rPr>
          <w:rFonts w:hint="cs"/>
          <w:rtl/>
        </w:rPr>
        <w:tab/>
        <w:t>שיקום, מטבעו, הוא הליך אינדיבידואלי המשתנה מאדם לאדם בהתאם לנתוניו (לרבות נקודת ההתחלה), צרכיו וקשייו. מכאן, שאין מקום להגדיר מראש מהו הליך שיקומי "מיטבי" (המצדיק סטייה ממתחם העונש ההולם) אל מול הליך שיקומי שאינו מצדיק סטייה מהמתחם ויש לבחון כל מקרה בהתאם לנסיבותיו.</w:t>
      </w:r>
    </w:p>
    <w:p w14:paraId="78EC4CE2" w14:textId="77777777" w:rsidR="008E71AF" w:rsidRDefault="008E71AF" w:rsidP="008E71AF">
      <w:pPr>
        <w:pStyle w:val="a9"/>
        <w:bidi/>
        <w:spacing w:line="360" w:lineRule="auto"/>
        <w:ind w:hanging="720"/>
        <w:jc w:val="both"/>
        <w:rPr>
          <w:rtl/>
        </w:rPr>
      </w:pPr>
    </w:p>
    <w:p w14:paraId="1C4E64A7" w14:textId="77777777" w:rsidR="008E71AF" w:rsidRDefault="008E71AF" w:rsidP="008E71AF">
      <w:pPr>
        <w:pStyle w:val="a9"/>
        <w:bidi/>
        <w:spacing w:line="360" w:lineRule="auto"/>
        <w:ind w:hanging="720"/>
        <w:jc w:val="both"/>
        <w:rPr>
          <w:rtl/>
        </w:rPr>
      </w:pPr>
      <w:r>
        <w:rPr>
          <w:rtl/>
        </w:rPr>
        <w:tab/>
      </w:r>
      <w:r>
        <w:rPr>
          <w:rFonts w:hint="cs"/>
          <w:rtl/>
        </w:rPr>
        <w:t xml:space="preserve">אזכיר כי </w:t>
      </w:r>
      <w:hyperlink r:id="rId29" w:history="1">
        <w:r w:rsidR="00AF166F" w:rsidRPr="00AF166F">
          <w:rPr>
            <w:rStyle w:val="Hyperlink"/>
            <w:rFonts w:hint="eastAsia"/>
            <w:rtl/>
          </w:rPr>
          <w:t>סעיף</w:t>
        </w:r>
        <w:r w:rsidR="00AF166F" w:rsidRPr="00AF166F">
          <w:rPr>
            <w:rStyle w:val="Hyperlink"/>
            <w:rtl/>
          </w:rPr>
          <w:t xml:space="preserve"> 40ד</w:t>
        </w:r>
      </w:hyperlink>
      <w:r>
        <w:rPr>
          <w:rFonts w:hint="cs"/>
          <w:rtl/>
        </w:rPr>
        <w:t xml:space="preserve"> ל</w:t>
      </w:r>
      <w:hyperlink r:id="rId30" w:history="1">
        <w:r w:rsidR="00123B11" w:rsidRPr="00123B11">
          <w:rPr>
            <w:color w:val="0000FF"/>
            <w:u w:val="single"/>
            <w:rtl/>
          </w:rPr>
          <w:t>חוק העונשין</w:t>
        </w:r>
      </w:hyperlink>
      <w:r>
        <w:rPr>
          <w:rFonts w:hint="cs"/>
          <w:rtl/>
        </w:rPr>
        <w:t xml:space="preserve"> מאפשר סטייה ממתחם העונש במקרים של שיקום, אך גם במקרים בהם קיים בעניינו של נאשם "סיכוי של ממש שישתקם", כך שהחוק אינו מציב, דרישה חד חד ערכית למבנה מוגדר של הליכי טיפול ושיקום. </w:t>
      </w:r>
    </w:p>
    <w:p w14:paraId="06781989" w14:textId="77777777" w:rsidR="008E71AF" w:rsidRDefault="008E71AF" w:rsidP="008E71AF">
      <w:pPr>
        <w:pStyle w:val="a9"/>
        <w:bidi/>
        <w:spacing w:line="360" w:lineRule="auto"/>
        <w:ind w:hanging="720"/>
        <w:jc w:val="both"/>
        <w:rPr>
          <w:rtl/>
        </w:rPr>
      </w:pPr>
    </w:p>
    <w:p w14:paraId="48785F75" w14:textId="77777777" w:rsidR="008E71AF" w:rsidRDefault="008E71AF" w:rsidP="008E71AF">
      <w:pPr>
        <w:pStyle w:val="a9"/>
        <w:bidi/>
        <w:spacing w:line="360" w:lineRule="auto"/>
        <w:jc w:val="both"/>
        <w:rPr>
          <w:rtl/>
        </w:rPr>
      </w:pPr>
      <w:r>
        <w:rPr>
          <w:rFonts w:hint="cs"/>
          <w:rtl/>
        </w:rPr>
        <w:t>במקרה דנן, ואף אם מדובר בהליך שלא החל באופן של שילוב הנאשם בקהילה טיפולית סגורה, נראה כי ההליך היה מגוון ועמוק דיו, באופן שהשפיע על מישורי חייו השונים של הנאשם. הנאשם טופל כאמור במרכז יום, וזאת במקביל לשילובו ב</w:t>
      </w:r>
      <w:r>
        <w:rPr>
          <w:rtl/>
        </w:rPr>
        <w:t>קבוצות טיפוליות בשרות המבחן</w:t>
      </w:r>
      <w:r>
        <w:rPr>
          <w:rFonts w:hint="cs"/>
          <w:rtl/>
        </w:rPr>
        <w:t xml:space="preserve">. כעולה מתסקירי שרות המבחן, הליכי הטיפול העניקו לנאשם כלים אפקטיביים, בעזרתם העלה את חייו על מסלול יציב ויצרני, הן במישור הזוגי והן במישור התעסוקתי. </w:t>
      </w:r>
    </w:p>
    <w:p w14:paraId="4CF2D84E" w14:textId="77777777" w:rsidR="008E71AF" w:rsidRDefault="008E71AF" w:rsidP="008E71AF">
      <w:pPr>
        <w:pStyle w:val="a9"/>
        <w:bidi/>
        <w:spacing w:line="360" w:lineRule="auto"/>
        <w:jc w:val="both"/>
        <w:rPr>
          <w:rtl/>
        </w:rPr>
      </w:pPr>
    </w:p>
    <w:p w14:paraId="1B610925" w14:textId="77777777" w:rsidR="008E71AF" w:rsidRDefault="008E71AF" w:rsidP="008E71AF">
      <w:pPr>
        <w:pStyle w:val="a9"/>
        <w:bidi/>
        <w:spacing w:line="360" w:lineRule="auto"/>
        <w:jc w:val="both"/>
        <w:rPr>
          <w:rtl/>
        </w:rPr>
      </w:pPr>
      <w:r>
        <w:rPr>
          <w:rFonts w:hint="cs"/>
          <w:rtl/>
        </w:rPr>
        <w:t xml:space="preserve">מעבר לכך, אנו נמצאים כיום כ-3 שנים לאחר מועד ביצוע העבירות, כך שהמציאות מלמדת כי אין המדובר בשיקום למראית עין אלא בכזה שהוכיח את עצמו במימד הזמן. </w:t>
      </w:r>
    </w:p>
    <w:p w14:paraId="74A89DFD" w14:textId="77777777" w:rsidR="008E71AF" w:rsidRDefault="008E71AF" w:rsidP="008E71AF">
      <w:pPr>
        <w:pStyle w:val="a9"/>
        <w:bidi/>
        <w:spacing w:line="360" w:lineRule="auto"/>
        <w:jc w:val="both"/>
        <w:rPr>
          <w:rtl/>
        </w:rPr>
      </w:pPr>
    </w:p>
    <w:p w14:paraId="03C1F30B" w14:textId="77777777" w:rsidR="008E71AF" w:rsidRDefault="008E71AF" w:rsidP="008E71AF">
      <w:pPr>
        <w:pStyle w:val="a9"/>
        <w:bidi/>
        <w:spacing w:line="360" w:lineRule="auto"/>
        <w:jc w:val="both"/>
        <w:rPr>
          <w:rtl/>
        </w:rPr>
      </w:pPr>
      <w:r>
        <w:rPr>
          <w:rFonts w:hint="cs"/>
          <w:rtl/>
        </w:rPr>
        <w:t xml:space="preserve">האירוע הקשה אותו חווה הנאשם ביום 7.10.23, יכול היה  להוות בנקל טריגר לחזרה לצריכת סמים וחבירה לגורמים שוליים, אולם נראה כי הנאשם, בעזרת גורמים טיפוליים, מצליח לעבדו בדרך טיפולית ולא בדרך עבריינית. </w:t>
      </w:r>
    </w:p>
    <w:p w14:paraId="4295917D" w14:textId="77777777" w:rsidR="008E71AF" w:rsidRDefault="008E71AF" w:rsidP="008E71AF">
      <w:pPr>
        <w:pStyle w:val="a9"/>
        <w:bidi/>
        <w:spacing w:line="360" w:lineRule="auto"/>
        <w:jc w:val="both"/>
        <w:rPr>
          <w:rtl/>
        </w:rPr>
      </w:pPr>
    </w:p>
    <w:p w14:paraId="7EFB2D7E" w14:textId="77777777" w:rsidR="008E71AF" w:rsidRDefault="008E71AF" w:rsidP="008E71AF">
      <w:pPr>
        <w:pStyle w:val="a9"/>
        <w:bidi/>
        <w:spacing w:line="360" w:lineRule="auto"/>
        <w:jc w:val="both"/>
        <w:rPr>
          <w:rtl/>
        </w:rPr>
      </w:pPr>
      <w:r>
        <w:rPr>
          <w:rFonts w:hint="cs"/>
          <w:rtl/>
        </w:rPr>
        <w:t xml:space="preserve">מסקנתי אפוא כי מדובר בהליך שיקומי מוצלח וראוי, העומד בהגדרה הקבועה </w:t>
      </w:r>
      <w:hyperlink r:id="rId31" w:history="1">
        <w:r w:rsidR="00AF166F" w:rsidRPr="00AF166F">
          <w:rPr>
            <w:rStyle w:val="Hyperlink"/>
            <w:rFonts w:hint="eastAsia"/>
            <w:rtl/>
          </w:rPr>
          <w:t>בסעיף</w:t>
        </w:r>
        <w:r w:rsidR="00AF166F" w:rsidRPr="00AF166F">
          <w:rPr>
            <w:rStyle w:val="Hyperlink"/>
            <w:rtl/>
          </w:rPr>
          <w:t xml:space="preserve"> 40ד</w:t>
        </w:r>
      </w:hyperlink>
      <w:r>
        <w:rPr>
          <w:rFonts w:hint="cs"/>
          <w:rtl/>
        </w:rPr>
        <w:t xml:space="preserve"> ל</w:t>
      </w:r>
      <w:hyperlink r:id="rId32" w:history="1">
        <w:r w:rsidR="00123B11" w:rsidRPr="00123B11">
          <w:rPr>
            <w:color w:val="0000FF"/>
            <w:u w:val="single"/>
            <w:rtl/>
          </w:rPr>
          <w:t>חוק העונשין</w:t>
        </w:r>
      </w:hyperlink>
      <w:r>
        <w:rPr>
          <w:rFonts w:hint="cs"/>
          <w:rtl/>
        </w:rPr>
        <w:t xml:space="preserve"> ומאפשר אימוץ עמדת שירות המבחן והטלת עונש מאסר לריצוי בדרך של עבודות שירות. לציין כי הטלת מאסר לריצוי בדרך של עבודות שירות, תאפשר בנוסף גם את המשך הטיפול והמעקב אודות הנאשם במסגרת צו מבחן, והטלת עונש חלופי ככל שיבצע עבירות או יפר באופן אחר את צו המבחן. </w:t>
      </w:r>
    </w:p>
    <w:p w14:paraId="050D26C0" w14:textId="77777777" w:rsidR="008E71AF" w:rsidRDefault="008E71AF" w:rsidP="008E71AF">
      <w:pPr>
        <w:pStyle w:val="a9"/>
        <w:bidi/>
        <w:spacing w:line="360" w:lineRule="auto"/>
        <w:jc w:val="both"/>
        <w:rPr>
          <w:rtl/>
        </w:rPr>
      </w:pPr>
    </w:p>
    <w:p w14:paraId="64943D7C" w14:textId="77777777" w:rsidR="008E71AF" w:rsidRDefault="008E71AF" w:rsidP="008E71AF">
      <w:pPr>
        <w:pStyle w:val="a9"/>
        <w:bidi/>
        <w:spacing w:line="360" w:lineRule="auto"/>
        <w:jc w:val="both"/>
        <w:rPr>
          <w:rtl/>
        </w:rPr>
      </w:pPr>
      <w:r>
        <w:rPr>
          <w:rFonts w:hint="cs"/>
          <w:rtl/>
        </w:rPr>
        <w:t xml:space="preserve">לאמור לעיל, אוסיף שיקול רלוונטי בדמות תקופת מעצרו של הנאשם (כחודשיים, החל מיום 13.4.22 ועד יום 13.6.22). תקופה זו, בוודאי בהיותה ממושכת וחריגה לנוף חייו של הנאשם עד אותה נקודת זמן, מהווה כשלעצמה גורם מרתיע. הגם שאין בכוונתי להורות על ניכוי התקופה מתקופת עבודות השירות, ניתן להביט עליה כחלק מתמהיל הענישה. </w:t>
      </w:r>
    </w:p>
    <w:p w14:paraId="26079E8E" w14:textId="77777777" w:rsidR="008E71AF" w:rsidRDefault="008E71AF" w:rsidP="008E71AF">
      <w:pPr>
        <w:pStyle w:val="a9"/>
        <w:bidi/>
        <w:spacing w:line="360" w:lineRule="auto"/>
        <w:jc w:val="both"/>
        <w:rPr>
          <w:rtl/>
        </w:rPr>
      </w:pPr>
    </w:p>
    <w:p w14:paraId="0D5A85A1" w14:textId="77777777" w:rsidR="008E71AF" w:rsidRDefault="008E71AF" w:rsidP="008E71AF">
      <w:pPr>
        <w:pStyle w:val="a9"/>
        <w:bidi/>
        <w:spacing w:line="360" w:lineRule="auto"/>
        <w:ind w:hanging="720"/>
        <w:jc w:val="both"/>
        <w:rPr>
          <w:u w:val="single"/>
          <w:rtl/>
        </w:rPr>
      </w:pPr>
      <w:r>
        <w:rPr>
          <w:rtl/>
        </w:rPr>
        <w:tab/>
      </w:r>
      <w:r w:rsidRPr="006B4605">
        <w:rPr>
          <w:rFonts w:hint="cs"/>
          <w:u w:val="single"/>
          <w:rtl/>
        </w:rPr>
        <w:t>סיכום</w:t>
      </w:r>
    </w:p>
    <w:p w14:paraId="64C5355F" w14:textId="77777777" w:rsidR="008E71AF" w:rsidRPr="006B4605" w:rsidRDefault="008E71AF" w:rsidP="008E71AF">
      <w:pPr>
        <w:pStyle w:val="a9"/>
        <w:bidi/>
        <w:spacing w:line="360" w:lineRule="auto"/>
        <w:ind w:hanging="720"/>
        <w:jc w:val="both"/>
        <w:rPr>
          <w:u w:val="single"/>
          <w:rtl/>
        </w:rPr>
      </w:pPr>
    </w:p>
    <w:p w14:paraId="7C9D6D14" w14:textId="77777777" w:rsidR="008E71AF" w:rsidRDefault="008E71AF" w:rsidP="008E71AF">
      <w:pPr>
        <w:bidi/>
        <w:spacing w:line="360" w:lineRule="auto"/>
        <w:ind w:left="720" w:hanging="720"/>
        <w:jc w:val="both"/>
      </w:pPr>
      <w:r>
        <w:rPr>
          <w:rFonts w:hint="cs"/>
          <w:rtl/>
        </w:rPr>
        <w:t>12.</w:t>
      </w:r>
      <w:r>
        <w:rPr>
          <w:rFonts w:hint="cs"/>
          <w:rtl/>
        </w:rPr>
        <w:tab/>
        <w:t>לאור כל האמור לעיל, אני מטיל על הנאשם את העונשים הבאים:</w:t>
      </w:r>
    </w:p>
    <w:p w14:paraId="3E6E83DD" w14:textId="77777777" w:rsidR="008E71AF" w:rsidRDefault="008E71AF" w:rsidP="008E71AF">
      <w:pPr>
        <w:bidi/>
        <w:spacing w:line="360" w:lineRule="auto"/>
        <w:ind w:left="720" w:hanging="720"/>
        <w:jc w:val="both"/>
        <w:rPr>
          <w:rtl/>
        </w:rPr>
      </w:pPr>
    </w:p>
    <w:p w14:paraId="30C588D5" w14:textId="77777777" w:rsidR="008E71AF" w:rsidRDefault="008E71AF" w:rsidP="008E71AF">
      <w:pPr>
        <w:bidi/>
        <w:spacing w:line="360" w:lineRule="auto"/>
        <w:ind w:left="720" w:hanging="720"/>
        <w:jc w:val="both"/>
        <w:rPr>
          <w:rtl/>
        </w:rPr>
      </w:pPr>
      <w:r>
        <w:rPr>
          <w:rFonts w:hint="cs"/>
          <w:rtl/>
        </w:rPr>
        <w:t>א.</w:t>
      </w:r>
      <w:r>
        <w:rPr>
          <w:rFonts w:hint="cs"/>
          <w:rtl/>
        </w:rPr>
        <w:tab/>
        <w:t>9 חודשי מאסר לריצוי בדרך של עבודות שרות במתנ"ס בית דני, רחוב כביר 21 תל אביב.</w:t>
      </w:r>
    </w:p>
    <w:p w14:paraId="251F1B2A" w14:textId="77777777" w:rsidR="008E71AF" w:rsidRDefault="008E71AF" w:rsidP="008E71AF">
      <w:pPr>
        <w:bidi/>
        <w:spacing w:line="360" w:lineRule="auto"/>
        <w:ind w:left="720" w:hanging="720"/>
        <w:jc w:val="both"/>
        <w:rPr>
          <w:rtl/>
        </w:rPr>
      </w:pPr>
    </w:p>
    <w:p w14:paraId="3561CE2F" w14:textId="77777777" w:rsidR="008E71AF" w:rsidRDefault="008E71AF" w:rsidP="008E71AF">
      <w:pPr>
        <w:bidi/>
        <w:spacing w:line="360" w:lineRule="auto"/>
        <w:ind w:left="720" w:hanging="720"/>
        <w:jc w:val="both"/>
        <w:rPr>
          <w:rtl/>
        </w:rPr>
      </w:pPr>
      <w:r>
        <w:rPr>
          <w:rtl/>
        </w:rPr>
        <w:tab/>
      </w:r>
      <w:r>
        <w:rPr>
          <w:rFonts w:hint="cs"/>
          <w:rtl/>
        </w:rPr>
        <w:t xml:space="preserve">הנאשם יתייצב ביום  12.5.24 בשעה 08:30 בפני הממונה על עבודות שרות לצורך ריצוי עונשו. </w:t>
      </w:r>
    </w:p>
    <w:p w14:paraId="042FB632" w14:textId="77777777" w:rsidR="008E71AF" w:rsidRDefault="008E71AF" w:rsidP="008E71AF">
      <w:pPr>
        <w:bidi/>
        <w:spacing w:line="360" w:lineRule="auto"/>
        <w:ind w:left="720" w:hanging="720"/>
        <w:jc w:val="both"/>
        <w:rPr>
          <w:rtl/>
        </w:rPr>
      </w:pPr>
    </w:p>
    <w:p w14:paraId="356D5CD4" w14:textId="77777777" w:rsidR="008E71AF" w:rsidRDefault="008E71AF" w:rsidP="008E71AF">
      <w:pPr>
        <w:bidi/>
        <w:spacing w:line="360" w:lineRule="auto"/>
        <w:ind w:left="720" w:hanging="720"/>
        <w:jc w:val="both"/>
        <w:rPr>
          <w:rtl/>
        </w:rPr>
      </w:pPr>
      <w:r>
        <w:rPr>
          <w:rFonts w:hint="cs"/>
          <w:rtl/>
        </w:rPr>
        <w:t>ב.</w:t>
      </w:r>
      <w:r>
        <w:rPr>
          <w:rFonts w:hint="cs"/>
          <w:rtl/>
        </w:rPr>
        <w:tab/>
        <w:t>9 חודשי מאסר אולם הנאשם לא יישא עונש זה אלא אם יעבור תוך שלוש שנים מהיום עבירת סמים מסוג פשע.</w:t>
      </w:r>
    </w:p>
    <w:p w14:paraId="3F8F017D" w14:textId="77777777" w:rsidR="008E71AF" w:rsidRDefault="008E71AF" w:rsidP="008E71AF">
      <w:pPr>
        <w:bidi/>
        <w:spacing w:line="360" w:lineRule="auto"/>
        <w:ind w:left="720" w:hanging="720"/>
        <w:jc w:val="both"/>
        <w:rPr>
          <w:rtl/>
        </w:rPr>
      </w:pPr>
    </w:p>
    <w:p w14:paraId="6C38F565" w14:textId="77777777" w:rsidR="008E71AF" w:rsidRDefault="008E71AF" w:rsidP="008E71AF">
      <w:pPr>
        <w:bidi/>
        <w:spacing w:line="360" w:lineRule="auto"/>
        <w:ind w:left="720" w:hanging="720"/>
        <w:jc w:val="both"/>
        <w:rPr>
          <w:rtl/>
        </w:rPr>
      </w:pPr>
      <w:r>
        <w:rPr>
          <w:rFonts w:hint="cs"/>
          <w:rtl/>
        </w:rPr>
        <w:t>ג.</w:t>
      </w:r>
      <w:r>
        <w:rPr>
          <w:rFonts w:hint="cs"/>
          <w:rtl/>
        </w:rPr>
        <w:tab/>
        <w:t>צו מבחן למשך 12 חודשים.</w:t>
      </w:r>
    </w:p>
    <w:p w14:paraId="602B0D7D" w14:textId="77777777" w:rsidR="008E71AF" w:rsidRDefault="008E71AF" w:rsidP="008E71AF">
      <w:pPr>
        <w:bidi/>
        <w:spacing w:line="360" w:lineRule="auto"/>
        <w:ind w:left="720" w:hanging="720"/>
        <w:jc w:val="both"/>
        <w:rPr>
          <w:rtl/>
        </w:rPr>
      </w:pPr>
      <w:r>
        <w:rPr>
          <w:rtl/>
        </w:rPr>
        <w:tab/>
      </w:r>
    </w:p>
    <w:p w14:paraId="6EB16087" w14:textId="77777777" w:rsidR="008E71AF" w:rsidRDefault="008E71AF" w:rsidP="008E71AF">
      <w:pPr>
        <w:bidi/>
        <w:spacing w:line="360" w:lineRule="auto"/>
        <w:ind w:left="720"/>
        <w:jc w:val="both"/>
        <w:rPr>
          <w:rtl/>
        </w:rPr>
      </w:pPr>
      <w:r>
        <w:rPr>
          <w:rFonts w:hint="cs"/>
          <w:rtl/>
        </w:rPr>
        <w:t>הובהר לנאשם כי היה ויפר את צו המבחן ניתן יהיה להשיבו לבית המשפט ולגזור את דינו מחדש.</w:t>
      </w:r>
    </w:p>
    <w:p w14:paraId="25D11F5E" w14:textId="77777777" w:rsidR="008E71AF" w:rsidRDefault="008E71AF" w:rsidP="008E71AF">
      <w:pPr>
        <w:bidi/>
        <w:spacing w:line="360" w:lineRule="auto"/>
        <w:ind w:left="720" w:hanging="720"/>
        <w:jc w:val="both"/>
        <w:rPr>
          <w:rtl/>
        </w:rPr>
      </w:pPr>
    </w:p>
    <w:p w14:paraId="62AD2A98" w14:textId="77777777" w:rsidR="008E71AF" w:rsidRDefault="008E71AF" w:rsidP="008E71AF">
      <w:pPr>
        <w:bidi/>
        <w:spacing w:line="360" w:lineRule="auto"/>
        <w:ind w:left="720" w:hanging="720"/>
        <w:jc w:val="both"/>
        <w:rPr>
          <w:rtl/>
        </w:rPr>
      </w:pPr>
      <w:r>
        <w:rPr>
          <w:rFonts w:hint="cs"/>
          <w:rtl/>
        </w:rPr>
        <w:t>ד.</w:t>
      </w:r>
      <w:r>
        <w:rPr>
          <w:rFonts w:hint="cs"/>
          <w:rtl/>
        </w:rPr>
        <w:tab/>
        <w:t xml:space="preserve">קנס בסך 10,000 ₪. הקנס ישולם ב- 20 תשלומים חודשיים שווים ורצופים החל מיום 1.5.24 ועד לסיום התשלומים או 25 ימי מאסר תמורתו. </w:t>
      </w:r>
    </w:p>
    <w:p w14:paraId="2847F411" w14:textId="77777777" w:rsidR="008E71AF" w:rsidRDefault="008E71AF" w:rsidP="008E71AF">
      <w:pPr>
        <w:bidi/>
        <w:spacing w:line="360" w:lineRule="auto"/>
        <w:ind w:left="720" w:hanging="720"/>
        <w:jc w:val="both"/>
        <w:rPr>
          <w:rtl/>
        </w:rPr>
      </w:pPr>
      <w:r>
        <w:rPr>
          <w:rFonts w:hint="cs"/>
          <w:rtl/>
        </w:rPr>
        <w:t xml:space="preserve"> </w:t>
      </w:r>
    </w:p>
    <w:p w14:paraId="6B6B0AC3" w14:textId="77777777" w:rsidR="008E71AF" w:rsidRDefault="008E71AF" w:rsidP="008E71AF">
      <w:pPr>
        <w:bidi/>
        <w:spacing w:line="360" w:lineRule="auto"/>
        <w:ind w:left="720" w:hanging="720"/>
        <w:jc w:val="both"/>
        <w:rPr>
          <w:rtl/>
        </w:rPr>
      </w:pPr>
      <w:r>
        <w:rPr>
          <w:rFonts w:hint="cs"/>
          <w:rtl/>
        </w:rPr>
        <w:tab/>
        <w:t>ניתן צו למוצגים לשיקול דעת קצין משטרה ו/או התביעה.</w:t>
      </w:r>
    </w:p>
    <w:p w14:paraId="0488CBD6" w14:textId="77777777" w:rsidR="008E71AF" w:rsidRDefault="008E71AF" w:rsidP="008E71AF">
      <w:pPr>
        <w:bidi/>
        <w:spacing w:line="360" w:lineRule="auto"/>
        <w:ind w:left="720" w:hanging="720"/>
        <w:jc w:val="both"/>
        <w:rPr>
          <w:rtl/>
        </w:rPr>
      </w:pPr>
    </w:p>
    <w:p w14:paraId="0F0080ED" w14:textId="77777777" w:rsidR="008E71AF" w:rsidRDefault="008E71AF" w:rsidP="008E71AF">
      <w:pPr>
        <w:bidi/>
        <w:spacing w:line="360" w:lineRule="auto"/>
        <w:ind w:left="720" w:hanging="720"/>
        <w:jc w:val="both"/>
        <w:rPr>
          <w:rtl/>
        </w:rPr>
      </w:pPr>
      <w:r>
        <w:rPr>
          <w:rFonts w:hint="cs"/>
          <w:rtl/>
        </w:rPr>
        <w:tab/>
        <w:t>זכות ערעור כחוק.</w:t>
      </w:r>
    </w:p>
    <w:p w14:paraId="215EAFB5" w14:textId="77777777" w:rsidR="008E71AF" w:rsidRDefault="008E71AF" w:rsidP="008E71AF">
      <w:pPr>
        <w:bidi/>
        <w:spacing w:line="360" w:lineRule="auto"/>
        <w:ind w:left="720"/>
        <w:jc w:val="both"/>
        <w:rPr>
          <w:rtl/>
        </w:rPr>
      </w:pPr>
    </w:p>
    <w:p w14:paraId="488781A7" w14:textId="77777777" w:rsidR="008E71AF" w:rsidRPr="00A301F5" w:rsidRDefault="008E71AF" w:rsidP="008E71AF">
      <w:pPr>
        <w:bidi/>
        <w:spacing w:line="360" w:lineRule="auto"/>
        <w:ind w:left="720"/>
        <w:jc w:val="both"/>
        <w:rPr>
          <w:u w:val="single"/>
          <w:rtl/>
        </w:rPr>
      </w:pPr>
      <w:r w:rsidRPr="00A301F5">
        <w:rPr>
          <w:rFonts w:hint="cs"/>
          <w:u w:val="single"/>
          <w:rtl/>
        </w:rPr>
        <w:t>המזכירות תשלח העתק גזר הדין לממונה על עבודות שירות.</w:t>
      </w:r>
    </w:p>
    <w:p w14:paraId="1185C7C6" w14:textId="77777777" w:rsidR="008E71AF" w:rsidRDefault="008E71AF" w:rsidP="008E71AF">
      <w:pPr>
        <w:bidi/>
        <w:spacing w:line="360" w:lineRule="auto"/>
        <w:ind w:left="720" w:hanging="720"/>
        <w:jc w:val="both"/>
        <w:rPr>
          <w:rtl/>
        </w:rPr>
      </w:pPr>
    </w:p>
    <w:p w14:paraId="544DC42E" w14:textId="77777777" w:rsidR="008E71AF" w:rsidRPr="00500431" w:rsidRDefault="00123B11" w:rsidP="008E71AF">
      <w:pPr>
        <w:bidi/>
        <w:ind w:firstLine="720"/>
        <w:rPr>
          <w:b/>
          <w:bCs/>
          <w:rtl/>
        </w:rPr>
      </w:pPr>
      <w:bookmarkStart w:id="8" w:name="Nitan"/>
      <w:r w:rsidRPr="00123B11">
        <w:rPr>
          <w:rFonts w:ascii="Arial" w:hAnsi="Arial"/>
          <w:b/>
          <w:bCs/>
          <w:color w:val="FFFFFF"/>
          <w:sz w:val="2"/>
          <w:szCs w:val="2"/>
          <w:rtl/>
        </w:rPr>
        <w:t>5129371</w:t>
      </w:r>
      <w:r>
        <w:rPr>
          <w:rFonts w:ascii="Arial" w:hAnsi="Arial"/>
          <w:b/>
          <w:bCs/>
          <w:rtl/>
        </w:rPr>
        <w:t xml:space="preserve">ניתן והודע היום, ט"ז אדר ב' תשפ"ד, 26 מרץ 2024, במעמד הצדדים.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E71AF" w14:paraId="37D46AEB" w14:textId="77777777" w:rsidTr="008E71AF">
        <w:trPr>
          <w:trHeight w:val="316"/>
          <w:jc w:val="right"/>
        </w:trPr>
        <w:tc>
          <w:tcPr>
            <w:tcW w:w="3936" w:type="dxa"/>
            <w:tcBorders>
              <w:top w:val="nil"/>
              <w:left w:val="nil"/>
              <w:bottom w:val="single" w:sz="4" w:space="0" w:color="auto"/>
              <w:right w:val="nil"/>
            </w:tcBorders>
            <w:shd w:val="clear" w:color="auto" w:fill="auto"/>
            <w:vAlign w:val="bottom"/>
          </w:tcPr>
          <w:p w14:paraId="466BFCF7" w14:textId="77777777" w:rsidR="008E71AF" w:rsidRPr="00123B11" w:rsidRDefault="00123B11" w:rsidP="008E71AF">
            <w:pPr>
              <w:bidi/>
              <w:jc w:val="center"/>
              <w:rPr>
                <w:color w:val="FFFFFF"/>
                <w:sz w:val="2"/>
                <w:szCs w:val="2"/>
                <w:rtl/>
              </w:rPr>
            </w:pPr>
            <w:r w:rsidRPr="00123B11">
              <w:rPr>
                <w:color w:val="FFFFFF"/>
                <w:sz w:val="2"/>
                <w:szCs w:val="2"/>
                <w:rtl/>
              </w:rPr>
              <w:t>54678313</w:t>
            </w:r>
          </w:p>
        </w:tc>
      </w:tr>
      <w:tr w:rsidR="008E71AF" w14:paraId="7680FF2C" w14:textId="77777777" w:rsidTr="008E71AF">
        <w:trPr>
          <w:trHeight w:val="361"/>
          <w:jc w:val="right"/>
        </w:trPr>
        <w:tc>
          <w:tcPr>
            <w:tcW w:w="3936" w:type="dxa"/>
            <w:tcBorders>
              <w:top w:val="single" w:sz="4" w:space="0" w:color="auto"/>
              <w:left w:val="nil"/>
              <w:bottom w:val="nil"/>
              <w:right w:val="nil"/>
            </w:tcBorders>
            <w:shd w:val="clear" w:color="auto" w:fill="auto"/>
          </w:tcPr>
          <w:p w14:paraId="6B169561" w14:textId="77777777" w:rsidR="008E71AF" w:rsidRPr="008E71AF" w:rsidRDefault="008E71AF" w:rsidP="008E71AF">
            <w:pPr>
              <w:bidi/>
              <w:jc w:val="center"/>
              <w:rPr>
                <w:b/>
                <w:bCs/>
                <w:rtl/>
              </w:rPr>
            </w:pPr>
            <w:r w:rsidRPr="008E71AF">
              <w:rPr>
                <w:rFonts w:hint="cs"/>
                <w:b/>
                <w:bCs/>
                <w:rtl/>
              </w:rPr>
              <w:t>בני שגיא, שופט</w:t>
            </w:r>
          </w:p>
          <w:p w14:paraId="5C6DAC8A" w14:textId="77777777" w:rsidR="008E71AF" w:rsidRPr="008E71AF" w:rsidRDefault="008E71AF" w:rsidP="008E71AF">
            <w:pPr>
              <w:bidi/>
              <w:jc w:val="center"/>
              <w:rPr>
                <w:b/>
                <w:bCs/>
                <w:rtl/>
              </w:rPr>
            </w:pPr>
            <w:r w:rsidRPr="008E71AF">
              <w:rPr>
                <w:rFonts w:hint="cs"/>
                <w:b/>
                <w:bCs/>
                <w:rtl/>
              </w:rPr>
              <w:t>סגן נשיא</w:t>
            </w:r>
          </w:p>
        </w:tc>
      </w:tr>
    </w:tbl>
    <w:p w14:paraId="4DCA4168" w14:textId="77777777" w:rsidR="008E71AF" w:rsidRPr="00500431" w:rsidRDefault="008E71AF" w:rsidP="008E71AF">
      <w:pPr>
        <w:bidi/>
        <w:spacing w:line="360" w:lineRule="auto"/>
        <w:ind w:left="720" w:hanging="720"/>
        <w:jc w:val="both"/>
      </w:pPr>
    </w:p>
    <w:p w14:paraId="633C0786" w14:textId="77777777" w:rsidR="00123B11" w:rsidRDefault="00123B11" w:rsidP="00123B11">
      <w:pPr>
        <w:jc w:val="right"/>
      </w:pPr>
    </w:p>
    <w:p w14:paraId="10F98A3B" w14:textId="77777777" w:rsidR="00123B11" w:rsidRDefault="00123B11" w:rsidP="00123B11">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038B826" w14:textId="77777777" w:rsidR="00AF166F" w:rsidRPr="00AF166F" w:rsidRDefault="00AF166F" w:rsidP="00AF166F">
      <w:pPr>
        <w:keepNext/>
        <w:jc w:val="right"/>
        <w:rPr>
          <w:rFonts w:ascii="David" w:hAnsi="David"/>
          <w:color w:val="000000"/>
          <w:sz w:val="22"/>
          <w:szCs w:val="22"/>
        </w:rPr>
      </w:pPr>
    </w:p>
    <w:p w14:paraId="2AFD64EB" w14:textId="77777777" w:rsidR="00AF166F" w:rsidRPr="00AF166F" w:rsidRDefault="00AF166F" w:rsidP="00AF166F">
      <w:pPr>
        <w:keepNext/>
        <w:jc w:val="right"/>
        <w:rPr>
          <w:rFonts w:ascii="David" w:hAnsi="David"/>
          <w:color w:val="000000"/>
          <w:sz w:val="22"/>
          <w:szCs w:val="22"/>
        </w:rPr>
      </w:pPr>
      <w:r w:rsidRPr="00AF166F">
        <w:rPr>
          <w:rFonts w:ascii="David" w:hAnsi="David"/>
          <w:color w:val="000000"/>
          <w:sz w:val="22"/>
          <w:szCs w:val="22"/>
          <w:rtl/>
        </w:rPr>
        <w:t>בני שגיא 54678313</w:t>
      </w:r>
      <w:r w:rsidRPr="00AF166F">
        <w:rPr>
          <w:rFonts w:ascii="David" w:hAnsi="David"/>
          <w:color w:val="000000"/>
          <w:sz w:val="22"/>
          <w:szCs w:val="22"/>
        </w:rPr>
        <w:t>-/</w:t>
      </w:r>
    </w:p>
    <w:p w14:paraId="5615606A" w14:textId="77777777" w:rsidR="00123B11" w:rsidRPr="00123B11" w:rsidRDefault="00AF166F" w:rsidP="00AF166F">
      <w:pPr>
        <w:jc w:val="right"/>
        <w:rPr>
          <w:color w:val="0000FF"/>
          <w:u w:val="single"/>
        </w:rPr>
      </w:pPr>
      <w:r w:rsidRPr="00AF166F">
        <w:rPr>
          <w:color w:val="000000"/>
          <w:u w:val="single"/>
          <w:rtl/>
        </w:rPr>
        <w:t>נוסח מסמך זה כפוף לשינויי ניסוח ועריכה</w:t>
      </w:r>
    </w:p>
    <w:sectPr w:rsidR="00123B11" w:rsidRPr="00123B11" w:rsidSect="00AF166F">
      <w:headerReference w:type="even" r:id="rId34"/>
      <w:headerReference w:type="default" r:id="rId35"/>
      <w:footerReference w:type="even" r:id="rId36"/>
      <w:footerReference w:type="default" r:id="rId37"/>
      <w:pgSz w:w="11907" w:h="16840" w:code="9"/>
      <w:pgMar w:top="1701" w:right="1077" w:bottom="1134"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3C0A2" w14:textId="77777777" w:rsidR="007D519C" w:rsidRDefault="007D519C" w:rsidP="00763B23">
      <w:r>
        <w:separator/>
      </w:r>
    </w:p>
  </w:endnote>
  <w:endnote w:type="continuationSeparator" w:id="0">
    <w:p w14:paraId="41718853" w14:textId="77777777" w:rsidR="007D519C" w:rsidRDefault="007D519C" w:rsidP="00763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7AE27" w14:textId="77777777" w:rsidR="00AF166F" w:rsidRDefault="00AF166F" w:rsidP="00AF166F">
    <w:pPr>
      <w:pStyle w:val="a5"/>
      <w:jc w:val="center"/>
      <w:rPr>
        <w:rFonts w:ascii="FrankRuehl" w:hAnsi="FrankRuehl" w:cs="FrankRueh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Pr>
        <w:rFonts w:ascii="FrankRuehl" w:hAnsi="FrankRuehl" w:cs="FrankRuehl"/>
        <w:noProof/>
      </w:rPr>
      <w:t>2</w:t>
    </w:r>
    <w:r>
      <w:rPr>
        <w:rFonts w:ascii="FrankRuehl" w:hAnsi="FrankRuehl" w:cs="FrankRuehl"/>
      </w:rPr>
      <w:fldChar w:fldCharType="end"/>
    </w:r>
  </w:p>
  <w:p w14:paraId="7B60E5D5" w14:textId="77777777" w:rsidR="00BA519B" w:rsidRPr="00AF166F" w:rsidRDefault="00AF166F" w:rsidP="00AF166F">
    <w:pPr>
      <w:pStyle w:val="a5"/>
      <w:pBdr>
        <w:top w:val="single" w:sz="4" w:space="1" w:color="auto"/>
        <w:between w:val="single" w:sz="4" w:space="0" w:color="auto"/>
      </w:pBdr>
      <w:spacing w:after="60"/>
      <w:jc w:val="center"/>
      <w:rPr>
        <w:rFonts w:ascii="FrankRuehl" w:hAnsi="FrankRuehl" w:cs="FrankRuehl"/>
        <w:color w:val="000000"/>
      </w:rPr>
    </w:pPr>
    <w:r w:rsidRPr="00AF166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831B0" w14:textId="77777777" w:rsidR="00AF166F" w:rsidRDefault="00AF166F" w:rsidP="00AF166F">
    <w:pPr>
      <w:pStyle w:val="a5"/>
      <w:jc w:val="center"/>
      <w:rPr>
        <w:rFonts w:ascii="FrankRuehl" w:hAnsi="FrankRuehl" w:cs="FrankRueh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sidR="00BA1CDC">
      <w:rPr>
        <w:rFonts w:ascii="FrankRuehl" w:hAnsi="FrankRuehl" w:cs="FrankRuehl"/>
        <w:noProof/>
      </w:rPr>
      <w:t>1</w:t>
    </w:r>
    <w:r>
      <w:rPr>
        <w:rFonts w:ascii="FrankRuehl" w:hAnsi="FrankRuehl" w:cs="FrankRuehl"/>
      </w:rPr>
      <w:fldChar w:fldCharType="end"/>
    </w:r>
  </w:p>
  <w:p w14:paraId="66571DA1" w14:textId="77777777" w:rsidR="00BA519B" w:rsidRPr="00AF166F" w:rsidRDefault="00AF166F" w:rsidP="00AF166F">
    <w:pPr>
      <w:pStyle w:val="a5"/>
      <w:pBdr>
        <w:top w:val="single" w:sz="4" w:space="1" w:color="auto"/>
        <w:between w:val="single" w:sz="4" w:space="0" w:color="auto"/>
      </w:pBdr>
      <w:spacing w:after="60"/>
      <w:jc w:val="center"/>
      <w:rPr>
        <w:rFonts w:ascii="FrankRuehl" w:hAnsi="FrankRuehl" w:cs="FrankRuehl"/>
        <w:color w:val="000000"/>
      </w:rPr>
    </w:pPr>
    <w:r w:rsidRPr="00AF166F">
      <w:rPr>
        <w:rFonts w:ascii="FrankRuehl" w:hAnsi="FrankRuehl" w:cs="FrankRuehl"/>
        <w:color w:val="000000"/>
      </w:rPr>
      <w:pict w14:anchorId="2B1C6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96945" w14:textId="77777777" w:rsidR="007D519C" w:rsidRDefault="007D519C" w:rsidP="00763B23">
      <w:r>
        <w:separator/>
      </w:r>
    </w:p>
  </w:footnote>
  <w:footnote w:type="continuationSeparator" w:id="0">
    <w:p w14:paraId="2D0ED22B" w14:textId="77777777" w:rsidR="007D519C" w:rsidRDefault="007D519C" w:rsidP="00763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5DB0E" w14:textId="77777777" w:rsidR="00123B11" w:rsidRPr="00AF166F" w:rsidRDefault="00AF166F" w:rsidP="00AF166F">
    <w:pPr>
      <w:pStyle w:val="a3"/>
      <w:pBdr>
        <w:bottom w:val="single" w:sz="4" w:space="1" w:color="auto"/>
      </w:pBdr>
      <w:tabs>
        <w:tab w:val="clear" w:pos="4153"/>
        <w:tab w:val="clear" w:pos="8306"/>
        <w:tab w:val="right" w:pos="8311"/>
      </w:tabs>
      <w:bidi/>
      <w:spacing w:line="220" w:lineRule="auto"/>
      <w:rPr>
        <w:rFonts w:ascii="David" w:hAnsi="David" w:hint="cs"/>
        <w:color w:val="000000"/>
        <w:sz w:val="22"/>
        <w:szCs w:val="22"/>
        <w:rtl/>
      </w:rPr>
    </w:pPr>
    <w:r>
      <w:rPr>
        <w:rFonts w:ascii="David" w:hAnsi="David"/>
        <w:color w:val="000000"/>
        <w:sz w:val="22"/>
        <w:szCs w:val="22"/>
        <w:rtl/>
      </w:rPr>
      <w:t>תפ (ת"א) 36475-04-22</w:t>
    </w:r>
    <w:r>
      <w:rPr>
        <w:rFonts w:ascii="David" w:hAnsi="David"/>
        <w:color w:val="000000"/>
        <w:sz w:val="22"/>
        <w:szCs w:val="22"/>
        <w:rtl/>
      </w:rPr>
      <w:tab/>
      <w:t xml:space="preserve"> מדינת ישראל נ' לירון פישלר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3DDD1" w14:textId="77777777" w:rsidR="00123B11" w:rsidRPr="00AF166F" w:rsidRDefault="00AF166F" w:rsidP="00AF166F">
    <w:pPr>
      <w:pStyle w:val="a3"/>
      <w:pBdr>
        <w:bottom w:val="single" w:sz="4" w:space="1" w:color="auto"/>
      </w:pBdr>
      <w:tabs>
        <w:tab w:val="clear" w:pos="4153"/>
        <w:tab w:val="clear" w:pos="8306"/>
        <w:tab w:val="right" w:pos="8311"/>
      </w:tabs>
      <w:bidi/>
      <w:spacing w:line="220" w:lineRule="auto"/>
      <w:rPr>
        <w:rFonts w:ascii="David" w:hAnsi="David" w:hint="cs"/>
        <w:color w:val="000000"/>
        <w:sz w:val="22"/>
        <w:szCs w:val="22"/>
        <w:rtl/>
      </w:rPr>
    </w:pPr>
    <w:r>
      <w:rPr>
        <w:rFonts w:ascii="David" w:hAnsi="David"/>
        <w:color w:val="000000"/>
        <w:sz w:val="22"/>
        <w:szCs w:val="22"/>
        <w:rtl/>
      </w:rPr>
      <w:t>תפ (ת"א) 36475-04-22</w:t>
    </w:r>
    <w:r>
      <w:rPr>
        <w:rFonts w:ascii="David" w:hAnsi="David"/>
        <w:color w:val="000000"/>
        <w:sz w:val="22"/>
        <w:szCs w:val="22"/>
        <w:rtl/>
      </w:rPr>
      <w:tab/>
      <w:t xml:space="preserve"> מדינת ישראל נ' לירון פישלר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E71AF"/>
    <w:rsid w:val="000F0D62"/>
    <w:rsid w:val="00123B11"/>
    <w:rsid w:val="001B5A3B"/>
    <w:rsid w:val="006A20F6"/>
    <w:rsid w:val="00763B23"/>
    <w:rsid w:val="007D519C"/>
    <w:rsid w:val="008E71AF"/>
    <w:rsid w:val="00976806"/>
    <w:rsid w:val="00AF166F"/>
    <w:rsid w:val="00BA1CDC"/>
    <w:rsid w:val="00BA44D0"/>
    <w:rsid w:val="00BA519B"/>
    <w:rsid w:val="00D306DD"/>
    <w:rsid w:val="00D57F6A"/>
    <w:rsid w:val="00F7079A"/>
    <w:rsid w:val="00FD0C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FF15B3"/>
  <w15:chartTrackingRefBased/>
  <w15:docId w15:val="{CBB22240-09CE-457C-A7F9-F03D657A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71AF"/>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E71AF"/>
    <w:pPr>
      <w:tabs>
        <w:tab w:val="center" w:pos="4153"/>
        <w:tab w:val="right" w:pos="8306"/>
      </w:tabs>
    </w:pPr>
  </w:style>
  <w:style w:type="character" w:customStyle="1" w:styleId="a4">
    <w:name w:val="כותרת עליונה תו"/>
    <w:link w:val="a3"/>
    <w:rsid w:val="008E71AF"/>
    <w:rPr>
      <w:rFonts w:ascii="Times New Roman" w:eastAsia="Times New Roman" w:hAnsi="Times New Roman" w:cs="David"/>
      <w:sz w:val="24"/>
      <w:szCs w:val="24"/>
    </w:rPr>
  </w:style>
  <w:style w:type="paragraph" w:styleId="a5">
    <w:name w:val="footer"/>
    <w:basedOn w:val="a"/>
    <w:link w:val="a6"/>
    <w:rsid w:val="008E71AF"/>
    <w:pPr>
      <w:tabs>
        <w:tab w:val="center" w:pos="4153"/>
        <w:tab w:val="right" w:pos="8306"/>
      </w:tabs>
    </w:pPr>
  </w:style>
  <w:style w:type="character" w:customStyle="1" w:styleId="a6">
    <w:name w:val="כותרת תחתונה תו"/>
    <w:link w:val="a5"/>
    <w:rsid w:val="008E71AF"/>
    <w:rPr>
      <w:rFonts w:ascii="Times New Roman" w:eastAsia="Times New Roman" w:hAnsi="Times New Roman" w:cs="David"/>
      <w:sz w:val="24"/>
      <w:szCs w:val="24"/>
    </w:rPr>
  </w:style>
  <w:style w:type="table" w:styleId="a7">
    <w:name w:val="Table Grid"/>
    <w:basedOn w:val="a1"/>
    <w:rsid w:val="008E71A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E71AF"/>
  </w:style>
  <w:style w:type="paragraph" w:styleId="a9">
    <w:name w:val="List Paragraph"/>
    <w:basedOn w:val="a"/>
    <w:qFormat/>
    <w:rsid w:val="008E71AF"/>
    <w:pPr>
      <w:ind w:left="720"/>
      <w:contextualSpacing/>
    </w:pPr>
  </w:style>
  <w:style w:type="character" w:styleId="Hyperlink">
    <w:name w:val="Hyperlink"/>
    <w:rsid w:val="00123B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6991436" TargetMode="External"/><Relationship Id="rId39" Type="http://schemas.openxmlformats.org/officeDocument/2006/relationships/theme" Target="theme/theme1.xml"/><Relationship Id="rId21" Type="http://schemas.openxmlformats.org/officeDocument/2006/relationships/hyperlink" Target="http://www.nevo.co.il/law/70301/400" TargetMode="External"/><Relationship Id="rId34" Type="http://schemas.openxmlformats.org/officeDocument/2006/relationships/header" Target="header1.xml"/><Relationship Id="rId7" Type="http://schemas.openxmlformats.org/officeDocument/2006/relationships/hyperlink" Target="http://www.nevo.co.il/law/4216/6" TargetMode="External"/><Relationship Id="rId12" Type="http://schemas.openxmlformats.org/officeDocument/2006/relationships/hyperlink" Target="http://www.nevo.co.il/law/4216/10"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7011466"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6" TargetMode="External"/><Relationship Id="rId20" Type="http://schemas.openxmlformats.org/officeDocument/2006/relationships/hyperlink" Target="http://www.nevo.co.il/law/4216/10" TargetMode="External"/><Relationship Id="rId29" Type="http://schemas.openxmlformats.org/officeDocument/2006/relationships/hyperlink" Target="http://www.nevo.co.il/law/70301/40d"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9.d" TargetMode="External"/><Relationship Id="rId24" Type="http://schemas.openxmlformats.org/officeDocument/2006/relationships/hyperlink" Target="http://www.nevo.co.il/case/28889062"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00" TargetMode="External"/><Relationship Id="rId23" Type="http://schemas.openxmlformats.org/officeDocument/2006/relationships/hyperlink" Target="http://www.nevo.co.il/case/23827604" TargetMode="External"/><Relationship Id="rId28" Type="http://schemas.openxmlformats.org/officeDocument/2006/relationships/hyperlink" Target="http://www.nevo.co.il/case/22695050" TargetMode="External"/><Relationship Id="rId36" Type="http://schemas.openxmlformats.org/officeDocument/2006/relationships/footer" Target="footer1.xml"/><Relationship Id="rId10" Type="http://schemas.openxmlformats.org/officeDocument/2006/relationships/hyperlink" Target="http://www.nevo.co.il/law/4216/9.a." TargetMode="External"/><Relationship Id="rId19" Type="http://schemas.openxmlformats.org/officeDocument/2006/relationships/hyperlink" Target="http://www.nevo.co.il/law/4216/9.a.;9.d" TargetMode="External"/><Relationship Id="rId31" Type="http://schemas.openxmlformats.org/officeDocument/2006/relationships/hyperlink" Target="http://www.nevo.co.il/law/70301/40d"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259916"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2620</Words>
  <Characters>13100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15689</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http://www.nevo.co.il/law/70301/40d</vt:lpwstr>
      </vt:variant>
      <vt:variant>
        <vt:lpwstr/>
      </vt:variant>
      <vt:variant>
        <vt:i4>3407999</vt:i4>
      </vt:variant>
      <vt:variant>
        <vt:i4>66</vt:i4>
      </vt:variant>
      <vt:variant>
        <vt:i4>0</vt:i4>
      </vt:variant>
      <vt:variant>
        <vt:i4>5</vt:i4>
      </vt:variant>
      <vt:variant>
        <vt:lpwstr>http://www.nevo.co.il/case/22695050</vt:lpwstr>
      </vt:variant>
      <vt:variant>
        <vt:lpwstr/>
      </vt:variant>
      <vt:variant>
        <vt:i4>3670142</vt:i4>
      </vt:variant>
      <vt:variant>
        <vt:i4>63</vt:i4>
      </vt:variant>
      <vt:variant>
        <vt:i4>0</vt:i4>
      </vt:variant>
      <vt:variant>
        <vt:i4>5</vt:i4>
      </vt:variant>
      <vt:variant>
        <vt:lpwstr>http://www.nevo.co.il/case/26259916</vt:lpwstr>
      </vt:variant>
      <vt:variant>
        <vt:lpwstr/>
      </vt:variant>
      <vt:variant>
        <vt:i4>3735679</vt:i4>
      </vt:variant>
      <vt:variant>
        <vt:i4>60</vt:i4>
      </vt:variant>
      <vt:variant>
        <vt:i4>0</vt:i4>
      </vt:variant>
      <vt:variant>
        <vt:i4>5</vt:i4>
      </vt:variant>
      <vt:variant>
        <vt:lpwstr>http://www.nevo.co.il/case/26991436</vt:lpwstr>
      </vt:variant>
      <vt:variant>
        <vt:lpwstr/>
      </vt:variant>
      <vt:variant>
        <vt:i4>3473526</vt:i4>
      </vt:variant>
      <vt:variant>
        <vt:i4>57</vt:i4>
      </vt:variant>
      <vt:variant>
        <vt:i4>0</vt:i4>
      </vt:variant>
      <vt:variant>
        <vt:i4>5</vt:i4>
      </vt:variant>
      <vt:variant>
        <vt:lpwstr>http://www.nevo.co.il/case/27011466</vt:lpwstr>
      </vt:variant>
      <vt:variant>
        <vt:lpwstr/>
      </vt:variant>
      <vt:variant>
        <vt:i4>3473524</vt:i4>
      </vt:variant>
      <vt:variant>
        <vt:i4>54</vt:i4>
      </vt:variant>
      <vt:variant>
        <vt:i4>0</vt:i4>
      </vt:variant>
      <vt:variant>
        <vt:i4>5</vt:i4>
      </vt:variant>
      <vt:variant>
        <vt:lpwstr>http://www.nevo.co.il/case/28889062</vt:lpwstr>
      </vt:variant>
      <vt:variant>
        <vt:lpwstr/>
      </vt:variant>
      <vt:variant>
        <vt:i4>3997811</vt:i4>
      </vt:variant>
      <vt:variant>
        <vt:i4>51</vt:i4>
      </vt:variant>
      <vt:variant>
        <vt:i4>0</vt:i4>
      </vt:variant>
      <vt:variant>
        <vt:i4>5</vt:i4>
      </vt:variant>
      <vt:variant>
        <vt:lpwstr>http://www.nevo.co.il/case/23827604</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http://www.nevo.co.il/law/70301/400</vt:lpwstr>
      </vt:variant>
      <vt:variant>
        <vt:lpwstr/>
      </vt:variant>
      <vt:variant>
        <vt:i4>5177418</vt:i4>
      </vt:variant>
      <vt:variant>
        <vt:i4>42</vt:i4>
      </vt:variant>
      <vt:variant>
        <vt:i4>0</vt:i4>
      </vt:variant>
      <vt:variant>
        <vt:i4>5</vt:i4>
      </vt:variant>
      <vt:variant>
        <vt:lpwstr>http://www.nevo.co.il/law/4216/10</vt:lpwstr>
      </vt:variant>
      <vt:variant>
        <vt:lpwstr/>
      </vt:variant>
      <vt:variant>
        <vt:i4>3342451</vt:i4>
      </vt:variant>
      <vt:variant>
        <vt:i4>39</vt:i4>
      </vt:variant>
      <vt:variant>
        <vt:i4>0</vt:i4>
      </vt:variant>
      <vt:variant>
        <vt:i4>5</vt:i4>
      </vt:variant>
      <vt:variant>
        <vt:lpwstr>http://www.nevo.co.il/law/4216/9.a.;9.d</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2293860</vt:i4>
      </vt:variant>
      <vt:variant>
        <vt:i4>15</vt:i4>
      </vt:variant>
      <vt:variant>
        <vt:i4>0</vt:i4>
      </vt:variant>
      <vt:variant>
        <vt:i4>5</vt:i4>
      </vt:variant>
      <vt:variant>
        <vt:lpwstr>http://www.nevo.co.il/law/4216/9.d</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2025-04-22T21:21:00Z</dcterms:created>
  <dcterms:modified xsi:type="dcterms:W3CDTF">2025-04-22T21:21:00Z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36475</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לירון פישלר </vt:lpwstr>
  </property>
  <property fmtid="{D5CDD505-2E9C-101B-9397-08002B2CF9AE}" pid="10" name="LAWYER">
    <vt:lpwstr>לילך כץ;איתן סבג</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20240326</vt:lpwstr>
  </property>
  <property fmtid="{D5CDD505-2E9C-101B-9397-08002B2CF9AE}" pid="14" name="TYPE_N_DATE">
    <vt:lpwstr>39020240326</vt:lpwstr>
  </property>
  <property fmtid="{D5CDD505-2E9C-101B-9397-08002B2CF9AE}" pid="15" name="WORDNUMPAGES">
    <vt:lpwstr>8</vt:lpwstr>
  </property>
  <property fmtid="{D5CDD505-2E9C-101B-9397-08002B2CF9AE}" pid="16" name="TYPE_ABS_DATE">
    <vt:lpwstr>390020240326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23827604;28889062;27011466;26991436;26259916;22695050</vt:lpwstr>
  </property>
  <property fmtid="{D5CDD505-2E9C-101B-9397-08002B2CF9AE}" pid="36" name="LAWLISTTMP1">
    <vt:lpwstr>4216/006;007.a;007.c;009.a;009.d;010</vt:lpwstr>
  </property>
  <property fmtid="{D5CDD505-2E9C-101B-9397-08002B2CF9AE}" pid="37" name="LAWLISTTMP2">
    <vt:lpwstr>70301/400;040d:2</vt:lpwstr>
  </property>
</Properties>
</file>