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0"/>
        <w:gridCol w:w="3671"/>
      </w:tblGrid>
      <w:tr w:rsidR="00A72763" w:rsidRPr="00C13DF6" w14:paraId="20365A73" w14:textId="77777777" w:rsidTr="007F3A09">
        <w:trPr>
          <w:trHeight w:hRule="exact" w:val="418"/>
          <w:jc w:val="center"/>
        </w:trPr>
        <w:tc>
          <w:tcPr>
            <w:tcW w:w="8721" w:type="dxa"/>
            <w:gridSpan w:val="2"/>
          </w:tcPr>
          <w:p w14:paraId="60C5D2D7" w14:textId="77777777" w:rsidR="00A72763" w:rsidRPr="00C13DF6" w:rsidRDefault="00A72763" w:rsidP="003060CF">
            <w:pPr>
              <w:pStyle w:val="a3"/>
              <w:jc w:val="center"/>
              <w:rPr>
                <w:rFonts w:ascii="Tahoma" w:hAnsi="Tahoma" w:cs="Tahoma"/>
                <w:color w:val="000080"/>
                <w:rtl/>
              </w:rPr>
            </w:pPr>
            <w:bookmarkStart w:id="0" w:name="LastJudge"/>
            <w:r w:rsidRPr="00C13DF6">
              <w:rPr>
                <w:rFonts w:ascii="Tahoma" w:hAnsi="Tahoma" w:cs="Tahoma"/>
                <w:b/>
                <w:bCs/>
                <w:color w:val="000080"/>
                <w:rtl/>
              </w:rPr>
              <w:t>בית המשפט המחוזי בנצרת</w:t>
            </w:r>
          </w:p>
        </w:tc>
      </w:tr>
      <w:tr w:rsidR="00A72763" w:rsidRPr="00C13DF6" w14:paraId="6E62E9E3" w14:textId="77777777" w:rsidTr="007F3A09">
        <w:trPr>
          <w:trHeight w:val="337"/>
          <w:jc w:val="center"/>
        </w:trPr>
        <w:tc>
          <w:tcPr>
            <w:tcW w:w="5050" w:type="dxa"/>
          </w:tcPr>
          <w:p w14:paraId="6038A72C" w14:textId="77777777" w:rsidR="00A72763" w:rsidRPr="00C13DF6" w:rsidRDefault="00A72763" w:rsidP="003060CF">
            <w:pPr>
              <w:rPr>
                <w:rFonts w:cs="FrankRuehl"/>
                <w:sz w:val="28"/>
                <w:szCs w:val="28"/>
                <w:rtl/>
              </w:rPr>
            </w:pPr>
            <w:r w:rsidRPr="00C13DF6">
              <w:rPr>
                <w:rFonts w:cs="FrankRuehl"/>
                <w:sz w:val="28"/>
                <w:szCs w:val="28"/>
                <w:rtl/>
              </w:rPr>
              <w:t>ת"פ</w:t>
            </w:r>
            <w:r w:rsidRPr="00C13DF6">
              <w:rPr>
                <w:rFonts w:cs="FrankRuehl" w:hint="cs"/>
                <w:sz w:val="28"/>
                <w:szCs w:val="28"/>
                <w:rtl/>
              </w:rPr>
              <w:t xml:space="preserve"> </w:t>
            </w:r>
            <w:r w:rsidRPr="00C13DF6">
              <w:rPr>
                <w:rFonts w:cs="FrankRuehl"/>
                <w:sz w:val="28"/>
                <w:szCs w:val="28"/>
                <w:rtl/>
              </w:rPr>
              <w:t>41870-05-22</w:t>
            </w:r>
            <w:r w:rsidRPr="00C13DF6">
              <w:rPr>
                <w:rFonts w:cs="FrankRuehl" w:hint="cs"/>
                <w:sz w:val="28"/>
                <w:szCs w:val="28"/>
                <w:rtl/>
              </w:rPr>
              <w:t xml:space="preserve"> </w:t>
            </w:r>
            <w:r w:rsidRPr="00C13DF6">
              <w:rPr>
                <w:rFonts w:cs="FrankRuehl"/>
                <w:sz w:val="28"/>
                <w:szCs w:val="28"/>
                <w:rtl/>
              </w:rPr>
              <w:t>מדינת ישראל נ' חן</w:t>
            </w:r>
          </w:p>
          <w:p w14:paraId="78722211" w14:textId="77777777" w:rsidR="00A72763" w:rsidRPr="00C13DF6" w:rsidRDefault="00A72763" w:rsidP="003060CF">
            <w:pPr>
              <w:pStyle w:val="a3"/>
              <w:rPr>
                <w:rFonts w:cs="FrankRuehl"/>
                <w:sz w:val="28"/>
                <w:szCs w:val="28"/>
                <w:rtl/>
              </w:rPr>
            </w:pPr>
          </w:p>
        </w:tc>
        <w:tc>
          <w:tcPr>
            <w:tcW w:w="3671" w:type="dxa"/>
          </w:tcPr>
          <w:p w14:paraId="4D91D345" w14:textId="77777777" w:rsidR="00A72763" w:rsidRPr="00C13DF6" w:rsidRDefault="00A72763" w:rsidP="003060CF">
            <w:pPr>
              <w:pStyle w:val="a3"/>
              <w:jc w:val="right"/>
              <w:rPr>
                <w:rFonts w:cs="FrankRuehl"/>
                <w:sz w:val="28"/>
                <w:szCs w:val="28"/>
                <w:rtl/>
              </w:rPr>
            </w:pPr>
            <w:r w:rsidRPr="00C13DF6">
              <w:rPr>
                <w:rFonts w:cs="FrankRuehl"/>
                <w:sz w:val="28"/>
                <w:szCs w:val="28"/>
                <w:rtl/>
              </w:rPr>
              <w:t>28 יוני 2023</w:t>
            </w:r>
          </w:p>
        </w:tc>
      </w:tr>
    </w:tbl>
    <w:p w14:paraId="63B391EA" w14:textId="77777777" w:rsidR="00A72763" w:rsidRPr="00C13DF6" w:rsidRDefault="00A72763" w:rsidP="00A72763">
      <w:pPr>
        <w:pStyle w:val="a3"/>
        <w:rPr>
          <w:rtl/>
        </w:rPr>
      </w:pPr>
      <w:r w:rsidRPr="00C13DF6">
        <w:rPr>
          <w:rFonts w:hint="cs"/>
          <w:rtl/>
        </w:rPr>
        <w:t xml:space="preserve"> </w:t>
      </w:r>
    </w:p>
    <w:p w14:paraId="7AF19FF0" w14:textId="77777777" w:rsidR="00A72763" w:rsidRPr="00C13DF6" w:rsidRDefault="00A72763" w:rsidP="00A72763">
      <w:pPr>
        <w:pStyle w:val="a3"/>
      </w:pPr>
      <w:r w:rsidRPr="00C13DF6">
        <w:rPr>
          <w:rFonts w:cs="Times New Roman" w:hint="cs"/>
          <w:b/>
          <w:bCs/>
          <w:sz w:val="26"/>
          <w:szCs w:val="28"/>
          <w:rtl/>
        </w:rPr>
        <w:t xml:space="preserve"> </w:t>
      </w:r>
    </w:p>
    <w:p w14:paraId="2291A38A" w14:textId="77777777" w:rsidR="00A72763" w:rsidRPr="00C13DF6" w:rsidRDefault="00A72763" w:rsidP="00A72763">
      <w:pPr>
        <w:rPr>
          <w:rFonts w:ascii="David" w:hAnsi="David"/>
          <w:sz w:val="28"/>
          <w:szCs w:val="28"/>
          <w:rtl/>
        </w:rPr>
      </w:pPr>
    </w:p>
    <w:p w14:paraId="483BA798" w14:textId="77777777" w:rsidR="00A72763" w:rsidRPr="00C13DF6" w:rsidRDefault="00A72763" w:rsidP="00A72763">
      <w:pPr>
        <w:rPr>
          <w:rFonts w:ascii="David" w:hAnsi="David"/>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72763" w:rsidRPr="00C13DF6" w14:paraId="7AC3BF32" w14:textId="77777777" w:rsidTr="00A72763">
        <w:trPr>
          <w:trHeight w:val="295"/>
          <w:jc w:val="center"/>
        </w:trPr>
        <w:tc>
          <w:tcPr>
            <w:tcW w:w="923" w:type="dxa"/>
            <w:tcBorders>
              <w:top w:val="nil"/>
              <w:left w:val="nil"/>
              <w:bottom w:val="nil"/>
              <w:right w:val="nil"/>
            </w:tcBorders>
            <w:shd w:val="clear" w:color="auto" w:fill="auto"/>
          </w:tcPr>
          <w:p w14:paraId="3399507B" w14:textId="77777777" w:rsidR="00A72763" w:rsidRPr="00C13DF6" w:rsidRDefault="00A72763" w:rsidP="00A72763">
            <w:pPr>
              <w:jc w:val="both"/>
              <w:rPr>
                <w:rFonts w:ascii="David" w:hAnsi="David"/>
              </w:rPr>
            </w:pPr>
            <w:r w:rsidRPr="00C13DF6">
              <w:rPr>
                <w:rFonts w:ascii="David" w:hAnsi="David" w:hint="cs"/>
                <w:rtl/>
              </w:rPr>
              <w:t>ל</w:t>
            </w:r>
            <w:r w:rsidRPr="00C13DF6">
              <w:rPr>
                <w:rFonts w:ascii="David" w:hAnsi="David"/>
                <w:rtl/>
              </w:rPr>
              <w:t xml:space="preserve">פני </w:t>
            </w:r>
          </w:p>
        </w:tc>
        <w:tc>
          <w:tcPr>
            <w:tcW w:w="7897" w:type="dxa"/>
            <w:gridSpan w:val="2"/>
            <w:tcBorders>
              <w:top w:val="nil"/>
              <w:left w:val="nil"/>
              <w:bottom w:val="nil"/>
              <w:right w:val="nil"/>
            </w:tcBorders>
            <w:shd w:val="clear" w:color="auto" w:fill="auto"/>
          </w:tcPr>
          <w:p w14:paraId="1BB1457E" w14:textId="77777777" w:rsidR="00A72763" w:rsidRPr="00C13DF6" w:rsidRDefault="00A72763" w:rsidP="003060CF">
            <w:pPr>
              <w:rPr>
                <w:rFonts w:ascii="David" w:hAnsi="David"/>
              </w:rPr>
            </w:pPr>
            <w:r w:rsidRPr="00C13DF6">
              <w:rPr>
                <w:rFonts w:ascii="David" w:hAnsi="David"/>
                <w:b/>
                <w:bCs/>
                <w:rtl/>
              </w:rPr>
              <w:t xml:space="preserve">כב' השופט חנא סבאג </w:t>
            </w:r>
          </w:p>
        </w:tc>
      </w:tr>
      <w:tr w:rsidR="00A72763" w:rsidRPr="00C13DF6" w14:paraId="1814C2F5" w14:textId="77777777" w:rsidTr="00A72763">
        <w:trPr>
          <w:trHeight w:val="355"/>
          <w:jc w:val="center"/>
        </w:trPr>
        <w:tc>
          <w:tcPr>
            <w:tcW w:w="923" w:type="dxa"/>
            <w:tcBorders>
              <w:top w:val="nil"/>
              <w:left w:val="nil"/>
              <w:bottom w:val="nil"/>
              <w:right w:val="nil"/>
            </w:tcBorders>
            <w:shd w:val="clear" w:color="auto" w:fill="auto"/>
          </w:tcPr>
          <w:p w14:paraId="428AEBDB" w14:textId="77777777" w:rsidR="00A72763" w:rsidRPr="00C13DF6" w:rsidRDefault="00A72763" w:rsidP="00A72763">
            <w:pPr>
              <w:jc w:val="both"/>
              <w:rPr>
                <w:rFonts w:ascii="David" w:hAnsi="David"/>
                <w:rtl/>
              </w:rPr>
            </w:pPr>
            <w:bookmarkStart w:id="1" w:name="FirstAppellant"/>
          </w:p>
          <w:p w14:paraId="668712CA" w14:textId="77777777" w:rsidR="00A72763" w:rsidRPr="00C13DF6" w:rsidRDefault="00A72763" w:rsidP="00A72763">
            <w:pPr>
              <w:jc w:val="both"/>
              <w:rPr>
                <w:rFonts w:ascii="David" w:hAnsi="David"/>
              </w:rPr>
            </w:pPr>
            <w:r w:rsidRPr="00C13DF6">
              <w:rPr>
                <w:rFonts w:ascii="David" w:hAnsi="David"/>
                <w:rtl/>
              </w:rPr>
              <w:t>בעניין:</w:t>
            </w:r>
          </w:p>
        </w:tc>
        <w:tc>
          <w:tcPr>
            <w:tcW w:w="4126" w:type="dxa"/>
            <w:tcBorders>
              <w:top w:val="nil"/>
              <w:left w:val="nil"/>
              <w:bottom w:val="nil"/>
              <w:right w:val="nil"/>
            </w:tcBorders>
            <w:shd w:val="clear" w:color="auto" w:fill="auto"/>
          </w:tcPr>
          <w:p w14:paraId="66E8AE3D" w14:textId="77777777" w:rsidR="00A72763" w:rsidRPr="00C13DF6" w:rsidRDefault="00A72763" w:rsidP="00A72763">
            <w:pPr>
              <w:jc w:val="both"/>
              <w:rPr>
                <w:rFonts w:ascii="David" w:hAnsi="David"/>
                <w:rtl/>
              </w:rPr>
            </w:pPr>
          </w:p>
          <w:p w14:paraId="077158B8" w14:textId="77777777" w:rsidR="00A72763" w:rsidRPr="00C13DF6" w:rsidRDefault="00A72763" w:rsidP="003060CF">
            <w:pPr>
              <w:rPr>
                <w:rFonts w:ascii="David" w:hAnsi="David"/>
              </w:rPr>
            </w:pPr>
            <w:r w:rsidRPr="00C13DF6">
              <w:rPr>
                <w:rFonts w:ascii="David" w:hAnsi="David"/>
                <w:rtl/>
              </w:rPr>
              <w:t>מדינת ישראל</w:t>
            </w:r>
          </w:p>
          <w:p w14:paraId="2265364E" w14:textId="77777777" w:rsidR="00A72763" w:rsidRPr="00C13DF6" w:rsidRDefault="00A72763" w:rsidP="00A72763">
            <w:pPr>
              <w:jc w:val="both"/>
              <w:rPr>
                <w:rFonts w:ascii="David" w:hAnsi="David"/>
              </w:rPr>
            </w:pPr>
          </w:p>
        </w:tc>
        <w:tc>
          <w:tcPr>
            <w:tcW w:w="3771" w:type="dxa"/>
            <w:tcBorders>
              <w:top w:val="nil"/>
              <w:left w:val="nil"/>
              <w:bottom w:val="nil"/>
              <w:right w:val="nil"/>
            </w:tcBorders>
            <w:shd w:val="clear" w:color="auto" w:fill="auto"/>
          </w:tcPr>
          <w:p w14:paraId="1FE10F4D" w14:textId="77777777" w:rsidR="00A72763" w:rsidRPr="00C13DF6" w:rsidRDefault="00A72763" w:rsidP="00A72763">
            <w:pPr>
              <w:jc w:val="both"/>
              <w:rPr>
                <w:rFonts w:ascii="David" w:hAnsi="David"/>
              </w:rPr>
            </w:pPr>
          </w:p>
        </w:tc>
      </w:tr>
      <w:bookmarkEnd w:id="1"/>
      <w:tr w:rsidR="00A72763" w:rsidRPr="00C13DF6" w14:paraId="11466DBB" w14:textId="77777777" w:rsidTr="00A72763">
        <w:trPr>
          <w:trHeight w:val="355"/>
          <w:jc w:val="center"/>
        </w:trPr>
        <w:tc>
          <w:tcPr>
            <w:tcW w:w="923" w:type="dxa"/>
            <w:tcBorders>
              <w:top w:val="nil"/>
              <w:left w:val="nil"/>
              <w:bottom w:val="nil"/>
              <w:right w:val="nil"/>
            </w:tcBorders>
            <w:shd w:val="clear" w:color="auto" w:fill="auto"/>
          </w:tcPr>
          <w:p w14:paraId="6F87FD81" w14:textId="77777777" w:rsidR="00A72763" w:rsidRPr="00C13DF6" w:rsidRDefault="00A72763" w:rsidP="00A72763">
            <w:pPr>
              <w:jc w:val="both"/>
              <w:rPr>
                <w:rFonts w:ascii="David" w:hAnsi="David"/>
                <w:rtl/>
              </w:rPr>
            </w:pPr>
          </w:p>
        </w:tc>
        <w:tc>
          <w:tcPr>
            <w:tcW w:w="4126" w:type="dxa"/>
            <w:tcBorders>
              <w:top w:val="nil"/>
              <w:left w:val="nil"/>
              <w:bottom w:val="nil"/>
              <w:right w:val="nil"/>
            </w:tcBorders>
            <w:shd w:val="clear" w:color="auto" w:fill="auto"/>
          </w:tcPr>
          <w:p w14:paraId="4F152929" w14:textId="77777777" w:rsidR="00A72763" w:rsidRPr="00C13DF6" w:rsidRDefault="00A72763" w:rsidP="00A72763">
            <w:pPr>
              <w:jc w:val="both"/>
              <w:rPr>
                <w:rFonts w:ascii="David" w:hAnsi="David"/>
                <w:rtl/>
              </w:rPr>
            </w:pPr>
          </w:p>
        </w:tc>
        <w:tc>
          <w:tcPr>
            <w:tcW w:w="3771" w:type="dxa"/>
            <w:tcBorders>
              <w:top w:val="nil"/>
              <w:left w:val="nil"/>
              <w:bottom w:val="nil"/>
              <w:right w:val="nil"/>
            </w:tcBorders>
            <w:shd w:val="clear" w:color="auto" w:fill="auto"/>
          </w:tcPr>
          <w:p w14:paraId="79D8E7ED" w14:textId="77777777" w:rsidR="00A72763" w:rsidRPr="00C13DF6" w:rsidRDefault="00A72763" w:rsidP="00A72763">
            <w:pPr>
              <w:jc w:val="right"/>
              <w:rPr>
                <w:rFonts w:ascii="David" w:hAnsi="David"/>
                <w:rtl/>
              </w:rPr>
            </w:pPr>
            <w:r w:rsidRPr="00C13DF6">
              <w:rPr>
                <w:rFonts w:ascii="David" w:hAnsi="David"/>
                <w:rtl/>
              </w:rPr>
              <w:t>המאשימה</w:t>
            </w:r>
          </w:p>
        </w:tc>
      </w:tr>
      <w:tr w:rsidR="00A72763" w:rsidRPr="00C13DF6" w14:paraId="6581BCFE" w14:textId="77777777" w:rsidTr="00A72763">
        <w:trPr>
          <w:trHeight w:val="355"/>
          <w:jc w:val="center"/>
        </w:trPr>
        <w:tc>
          <w:tcPr>
            <w:tcW w:w="923" w:type="dxa"/>
            <w:tcBorders>
              <w:top w:val="nil"/>
              <w:left w:val="nil"/>
              <w:bottom w:val="nil"/>
              <w:right w:val="nil"/>
            </w:tcBorders>
            <w:shd w:val="clear" w:color="auto" w:fill="auto"/>
          </w:tcPr>
          <w:p w14:paraId="55EC5182" w14:textId="77777777" w:rsidR="00A72763" w:rsidRPr="00C13DF6" w:rsidRDefault="00A72763" w:rsidP="00A72763">
            <w:pPr>
              <w:jc w:val="both"/>
              <w:rPr>
                <w:rFonts w:ascii="David" w:hAnsi="David"/>
                <w:rtl/>
              </w:rPr>
            </w:pPr>
          </w:p>
        </w:tc>
        <w:tc>
          <w:tcPr>
            <w:tcW w:w="7897" w:type="dxa"/>
            <w:gridSpan w:val="2"/>
            <w:tcBorders>
              <w:top w:val="nil"/>
              <w:left w:val="nil"/>
              <w:bottom w:val="nil"/>
              <w:right w:val="nil"/>
            </w:tcBorders>
            <w:shd w:val="clear" w:color="auto" w:fill="auto"/>
          </w:tcPr>
          <w:p w14:paraId="65FFD95E" w14:textId="77777777" w:rsidR="00A72763" w:rsidRPr="00C13DF6" w:rsidRDefault="00A72763" w:rsidP="00A72763">
            <w:pPr>
              <w:jc w:val="center"/>
              <w:rPr>
                <w:rFonts w:ascii="David" w:hAnsi="David"/>
                <w:b/>
                <w:bCs/>
                <w:rtl/>
              </w:rPr>
            </w:pPr>
          </w:p>
          <w:p w14:paraId="2342CFA1" w14:textId="77777777" w:rsidR="00A72763" w:rsidRPr="00C13DF6" w:rsidRDefault="00A72763" w:rsidP="00A72763">
            <w:pPr>
              <w:jc w:val="center"/>
              <w:rPr>
                <w:rFonts w:ascii="David" w:hAnsi="David"/>
                <w:b/>
                <w:bCs/>
                <w:rtl/>
              </w:rPr>
            </w:pPr>
            <w:r w:rsidRPr="00C13DF6">
              <w:rPr>
                <w:rFonts w:ascii="David" w:hAnsi="David"/>
                <w:b/>
                <w:bCs/>
                <w:rtl/>
              </w:rPr>
              <w:t>נגד</w:t>
            </w:r>
          </w:p>
          <w:p w14:paraId="55241D37" w14:textId="77777777" w:rsidR="00A72763" w:rsidRPr="00C13DF6" w:rsidRDefault="00A72763" w:rsidP="00A72763">
            <w:pPr>
              <w:jc w:val="both"/>
              <w:rPr>
                <w:rFonts w:ascii="David" w:hAnsi="David"/>
              </w:rPr>
            </w:pPr>
          </w:p>
        </w:tc>
      </w:tr>
      <w:tr w:rsidR="00A72763" w:rsidRPr="00C13DF6" w14:paraId="16596AE3" w14:textId="77777777" w:rsidTr="00A72763">
        <w:trPr>
          <w:trHeight w:val="355"/>
          <w:jc w:val="center"/>
        </w:trPr>
        <w:tc>
          <w:tcPr>
            <w:tcW w:w="923" w:type="dxa"/>
            <w:tcBorders>
              <w:top w:val="nil"/>
              <w:left w:val="nil"/>
              <w:bottom w:val="nil"/>
              <w:right w:val="nil"/>
            </w:tcBorders>
            <w:shd w:val="clear" w:color="auto" w:fill="auto"/>
          </w:tcPr>
          <w:p w14:paraId="3D3C3956" w14:textId="77777777" w:rsidR="00A72763" w:rsidRPr="00C13DF6" w:rsidRDefault="00A72763" w:rsidP="00A72763">
            <w:pPr>
              <w:jc w:val="both"/>
              <w:rPr>
                <w:rFonts w:ascii="David" w:hAnsi="David"/>
                <w:rtl/>
              </w:rPr>
            </w:pPr>
          </w:p>
        </w:tc>
        <w:tc>
          <w:tcPr>
            <w:tcW w:w="4126" w:type="dxa"/>
            <w:tcBorders>
              <w:top w:val="nil"/>
              <w:left w:val="nil"/>
              <w:bottom w:val="nil"/>
              <w:right w:val="nil"/>
            </w:tcBorders>
            <w:shd w:val="clear" w:color="auto" w:fill="auto"/>
          </w:tcPr>
          <w:p w14:paraId="4A7062A5" w14:textId="77777777" w:rsidR="00A72763" w:rsidRPr="00C13DF6" w:rsidRDefault="00A72763" w:rsidP="00A72763">
            <w:pPr>
              <w:jc w:val="both"/>
              <w:rPr>
                <w:rFonts w:ascii="David" w:hAnsi="David"/>
                <w:rtl/>
              </w:rPr>
            </w:pPr>
            <w:r w:rsidRPr="00C13DF6">
              <w:rPr>
                <w:rFonts w:ascii="David" w:hAnsi="David"/>
                <w:rtl/>
              </w:rPr>
              <w:t>פיני חן</w:t>
            </w:r>
          </w:p>
        </w:tc>
        <w:tc>
          <w:tcPr>
            <w:tcW w:w="3771" w:type="dxa"/>
            <w:tcBorders>
              <w:top w:val="nil"/>
              <w:left w:val="nil"/>
              <w:bottom w:val="nil"/>
              <w:right w:val="nil"/>
            </w:tcBorders>
            <w:shd w:val="clear" w:color="auto" w:fill="auto"/>
          </w:tcPr>
          <w:p w14:paraId="54853BF1" w14:textId="77777777" w:rsidR="00A72763" w:rsidRPr="00C13DF6" w:rsidRDefault="00A72763" w:rsidP="00A72763">
            <w:pPr>
              <w:jc w:val="right"/>
              <w:rPr>
                <w:rFonts w:ascii="David" w:hAnsi="David"/>
              </w:rPr>
            </w:pPr>
          </w:p>
        </w:tc>
      </w:tr>
      <w:tr w:rsidR="00A72763" w:rsidRPr="00C13DF6" w14:paraId="43B87C59" w14:textId="77777777" w:rsidTr="00A72763">
        <w:trPr>
          <w:trHeight w:val="355"/>
          <w:jc w:val="center"/>
        </w:trPr>
        <w:tc>
          <w:tcPr>
            <w:tcW w:w="923" w:type="dxa"/>
            <w:tcBorders>
              <w:top w:val="nil"/>
              <w:left w:val="nil"/>
              <w:bottom w:val="nil"/>
              <w:right w:val="nil"/>
            </w:tcBorders>
            <w:shd w:val="clear" w:color="auto" w:fill="auto"/>
          </w:tcPr>
          <w:p w14:paraId="7F66543D" w14:textId="77777777" w:rsidR="00A72763" w:rsidRPr="00C13DF6" w:rsidRDefault="00A72763" w:rsidP="00A72763">
            <w:pPr>
              <w:jc w:val="both"/>
              <w:rPr>
                <w:rFonts w:ascii="David" w:hAnsi="David"/>
                <w:rtl/>
              </w:rPr>
            </w:pPr>
          </w:p>
        </w:tc>
        <w:tc>
          <w:tcPr>
            <w:tcW w:w="4126" w:type="dxa"/>
            <w:tcBorders>
              <w:top w:val="nil"/>
              <w:left w:val="nil"/>
              <w:bottom w:val="nil"/>
              <w:right w:val="nil"/>
            </w:tcBorders>
            <w:shd w:val="clear" w:color="auto" w:fill="auto"/>
          </w:tcPr>
          <w:p w14:paraId="13BA96D5" w14:textId="77777777" w:rsidR="00A72763" w:rsidRPr="00C13DF6" w:rsidRDefault="00A72763" w:rsidP="00A72763">
            <w:pPr>
              <w:jc w:val="both"/>
              <w:rPr>
                <w:rFonts w:ascii="David" w:hAnsi="David"/>
                <w:rtl/>
              </w:rPr>
            </w:pPr>
          </w:p>
        </w:tc>
        <w:tc>
          <w:tcPr>
            <w:tcW w:w="3771" w:type="dxa"/>
            <w:tcBorders>
              <w:top w:val="nil"/>
              <w:left w:val="nil"/>
              <w:bottom w:val="nil"/>
              <w:right w:val="nil"/>
            </w:tcBorders>
            <w:shd w:val="clear" w:color="auto" w:fill="auto"/>
          </w:tcPr>
          <w:p w14:paraId="783927CB" w14:textId="77777777" w:rsidR="00A72763" w:rsidRPr="00C13DF6" w:rsidRDefault="00A72763" w:rsidP="00A72763">
            <w:pPr>
              <w:jc w:val="right"/>
              <w:rPr>
                <w:rFonts w:ascii="David" w:hAnsi="David"/>
              </w:rPr>
            </w:pPr>
            <w:r w:rsidRPr="00C13DF6">
              <w:rPr>
                <w:rFonts w:ascii="David" w:hAnsi="David"/>
                <w:rtl/>
              </w:rPr>
              <w:t>הנאשם</w:t>
            </w:r>
          </w:p>
        </w:tc>
      </w:tr>
    </w:tbl>
    <w:p w14:paraId="178747DD" w14:textId="77777777" w:rsidR="00A72763" w:rsidRPr="00C13DF6" w:rsidRDefault="00A72763" w:rsidP="00A72763">
      <w:pPr>
        <w:rPr>
          <w:rFonts w:ascii="David" w:hAnsi="David"/>
          <w:sz w:val="28"/>
          <w:szCs w:val="28"/>
        </w:rPr>
      </w:pPr>
    </w:p>
    <w:p w14:paraId="3BDCA17B" w14:textId="77777777" w:rsidR="00E70E54" w:rsidRPr="00E70E54" w:rsidRDefault="00E70E54" w:rsidP="00E70E54">
      <w:pPr>
        <w:spacing w:before="120" w:after="120" w:line="240" w:lineRule="exact"/>
        <w:ind w:left="283" w:hanging="283"/>
        <w:jc w:val="both"/>
        <w:rPr>
          <w:rFonts w:ascii="FrankRuehl" w:hAnsi="FrankRuehl" w:cs="FrankRuehl"/>
          <w:rtl/>
        </w:rPr>
      </w:pPr>
    </w:p>
    <w:p w14:paraId="1A2BCE5E" w14:textId="77777777" w:rsidR="00E001E7" w:rsidRDefault="00E001E7" w:rsidP="00E001E7">
      <w:pPr>
        <w:rPr>
          <w:rFonts w:ascii="David" w:hAnsi="David"/>
          <w:sz w:val="28"/>
          <w:szCs w:val="28"/>
          <w:rtl/>
        </w:rPr>
      </w:pPr>
      <w:bookmarkStart w:id="2" w:name="LawTable"/>
      <w:bookmarkEnd w:id="2"/>
    </w:p>
    <w:p w14:paraId="1D98A818" w14:textId="77777777" w:rsidR="00E001E7" w:rsidRPr="00E001E7" w:rsidRDefault="00E001E7" w:rsidP="00E001E7">
      <w:pPr>
        <w:spacing w:before="120" w:after="120" w:line="240" w:lineRule="exact"/>
        <w:ind w:left="283" w:hanging="283"/>
        <w:jc w:val="both"/>
        <w:rPr>
          <w:rFonts w:ascii="FrankRuehl" w:hAnsi="FrankRuehl" w:cs="FrankRuehl"/>
          <w:rtl/>
        </w:rPr>
      </w:pPr>
    </w:p>
    <w:p w14:paraId="04756030" w14:textId="77777777" w:rsidR="00E001E7" w:rsidRPr="00E001E7" w:rsidRDefault="00E001E7" w:rsidP="00E001E7">
      <w:pPr>
        <w:spacing w:before="120" w:after="120" w:line="240" w:lineRule="exact"/>
        <w:ind w:left="283" w:hanging="283"/>
        <w:jc w:val="both"/>
        <w:rPr>
          <w:rFonts w:ascii="FrankRuehl" w:hAnsi="FrankRuehl" w:cs="FrankRuehl"/>
          <w:rtl/>
        </w:rPr>
      </w:pPr>
    </w:p>
    <w:p w14:paraId="25F7BF25" w14:textId="77777777" w:rsidR="00E001E7" w:rsidRPr="00E001E7" w:rsidRDefault="00E001E7" w:rsidP="00E001E7">
      <w:pPr>
        <w:spacing w:before="120" w:after="120" w:line="240" w:lineRule="exact"/>
        <w:ind w:left="283" w:hanging="283"/>
        <w:jc w:val="both"/>
        <w:rPr>
          <w:rFonts w:ascii="FrankRuehl" w:hAnsi="FrankRuehl" w:cs="FrankRuehl"/>
          <w:rtl/>
        </w:rPr>
      </w:pPr>
      <w:r w:rsidRPr="00E001E7">
        <w:rPr>
          <w:rFonts w:ascii="FrankRuehl" w:hAnsi="FrankRuehl" w:cs="FrankRuehl"/>
          <w:rtl/>
        </w:rPr>
        <w:t xml:space="preserve">חקיקה שאוזכרה: </w:t>
      </w:r>
    </w:p>
    <w:p w14:paraId="2C6CC0A4" w14:textId="77777777" w:rsidR="00E001E7" w:rsidRPr="00E001E7" w:rsidRDefault="00E001E7" w:rsidP="00E001E7">
      <w:pPr>
        <w:spacing w:before="120" w:after="120" w:line="240" w:lineRule="exact"/>
        <w:ind w:left="283" w:hanging="283"/>
        <w:jc w:val="both"/>
        <w:rPr>
          <w:rFonts w:ascii="FrankRuehl" w:hAnsi="FrankRuehl" w:cs="FrankRuehl"/>
          <w:rtl/>
        </w:rPr>
      </w:pPr>
      <w:hyperlink r:id="rId7" w:history="1">
        <w:r w:rsidRPr="00E001E7">
          <w:rPr>
            <w:rFonts w:ascii="FrankRuehl" w:hAnsi="FrankRuehl" w:cs="FrankRuehl"/>
            <w:color w:val="0000FF"/>
            <w:rtl/>
          </w:rPr>
          <w:t>פקודת הסמים המסוכנים [נוסח חדש], תשל"ג-1973</w:t>
        </w:r>
      </w:hyperlink>
      <w:r w:rsidRPr="00E001E7">
        <w:rPr>
          <w:rFonts w:ascii="FrankRuehl" w:hAnsi="FrankRuehl" w:cs="FrankRuehl"/>
          <w:rtl/>
        </w:rPr>
        <w:t xml:space="preserve">: סע'  </w:t>
      </w:r>
      <w:hyperlink r:id="rId8" w:history="1">
        <w:r w:rsidRPr="00E001E7">
          <w:rPr>
            <w:rFonts w:ascii="FrankRuehl" w:hAnsi="FrankRuehl" w:cs="FrankRuehl"/>
            <w:color w:val="0000FF"/>
            <w:rtl/>
          </w:rPr>
          <w:t>6</w:t>
        </w:r>
      </w:hyperlink>
      <w:r w:rsidRPr="00E001E7">
        <w:rPr>
          <w:rFonts w:ascii="FrankRuehl" w:hAnsi="FrankRuehl" w:cs="FrankRuehl"/>
          <w:rtl/>
        </w:rPr>
        <w:t xml:space="preserve">, </w:t>
      </w:r>
      <w:hyperlink r:id="rId9" w:history="1">
        <w:r w:rsidRPr="00E001E7">
          <w:rPr>
            <w:rFonts w:ascii="FrankRuehl" w:hAnsi="FrankRuehl" w:cs="FrankRuehl"/>
            <w:color w:val="0000FF"/>
            <w:rtl/>
          </w:rPr>
          <w:t>7.א.</w:t>
        </w:r>
      </w:hyperlink>
      <w:r w:rsidRPr="00E001E7">
        <w:rPr>
          <w:rFonts w:ascii="FrankRuehl" w:hAnsi="FrankRuehl" w:cs="FrankRuehl"/>
          <w:rtl/>
        </w:rPr>
        <w:t xml:space="preserve">, </w:t>
      </w:r>
      <w:hyperlink r:id="rId10" w:history="1">
        <w:r w:rsidRPr="00E001E7">
          <w:rPr>
            <w:rFonts w:ascii="FrankRuehl" w:hAnsi="FrankRuehl" w:cs="FrankRuehl"/>
            <w:color w:val="0000FF"/>
            <w:rtl/>
          </w:rPr>
          <w:t>7.ג</w:t>
        </w:r>
      </w:hyperlink>
    </w:p>
    <w:p w14:paraId="63271104" w14:textId="77777777" w:rsidR="00E001E7" w:rsidRPr="00E001E7" w:rsidRDefault="00E001E7" w:rsidP="00E001E7">
      <w:pPr>
        <w:spacing w:before="120" w:after="120" w:line="240" w:lineRule="exact"/>
        <w:ind w:left="283" w:hanging="283"/>
        <w:jc w:val="both"/>
        <w:rPr>
          <w:rFonts w:ascii="FrankRuehl" w:hAnsi="FrankRuehl" w:cs="FrankRuehl"/>
          <w:rtl/>
        </w:rPr>
      </w:pPr>
      <w:hyperlink r:id="rId11" w:history="1">
        <w:r w:rsidRPr="00E001E7">
          <w:rPr>
            <w:rFonts w:ascii="FrankRuehl" w:hAnsi="FrankRuehl" w:cs="FrankRuehl"/>
            <w:color w:val="0000FF"/>
            <w:rtl/>
          </w:rPr>
          <w:t>חוק העונשין, תשל"ז-1977</w:t>
        </w:r>
      </w:hyperlink>
      <w:r w:rsidRPr="00E001E7">
        <w:rPr>
          <w:rFonts w:ascii="FrankRuehl" w:hAnsi="FrankRuehl" w:cs="FrankRuehl"/>
          <w:rtl/>
        </w:rPr>
        <w:t xml:space="preserve">: סע'  </w:t>
      </w:r>
      <w:hyperlink r:id="rId12" w:history="1">
        <w:r w:rsidRPr="00E001E7">
          <w:rPr>
            <w:rFonts w:ascii="FrankRuehl" w:hAnsi="FrankRuehl" w:cs="FrankRuehl"/>
            <w:color w:val="0000FF"/>
            <w:rtl/>
          </w:rPr>
          <w:t>40ד</w:t>
        </w:r>
      </w:hyperlink>
    </w:p>
    <w:p w14:paraId="6CC4C48E" w14:textId="77777777" w:rsidR="00E001E7" w:rsidRPr="00E001E7" w:rsidRDefault="00E001E7" w:rsidP="00E001E7">
      <w:pPr>
        <w:rPr>
          <w:rFonts w:ascii="David" w:hAnsi="David"/>
          <w:sz w:val="28"/>
          <w:szCs w:val="28"/>
          <w:rtl/>
        </w:rPr>
      </w:pPr>
      <w:bookmarkStart w:id="3" w:name="LawTable_End"/>
      <w:bookmarkEnd w:id="3"/>
    </w:p>
    <w:p w14:paraId="53B57053" w14:textId="77777777" w:rsidR="00A72763" w:rsidRPr="00E70E54" w:rsidRDefault="00A72763" w:rsidP="00E70E54">
      <w:pPr>
        <w:rPr>
          <w:rFonts w:ascii="David" w:hAnsi="David"/>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72763" w:rsidRPr="009E3E80" w14:paraId="24DD5B75" w14:textId="77777777" w:rsidTr="00A72763">
        <w:trPr>
          <w:trHeight w:val="355"/>
          <w:jc w:val="center"/>
        </w:trPr>
        <w:tc>
          <w:tcPr>
            <w:tcW w:w="8820" w:type="dxa"/>
            <w:tcBorders>
              <w:top w:val="nil"/>
              <w:left w:val="nil"/>
              <w:bottom w:val="nil"/>
              <w:right w:val="nil"/>
            </w:tcBorders>
            <w:shd w:val="clear" w:color="auto" w:fill="auto"/>
          </w:tcPr>
          <w:p w14:paraId="72A2F9FD" w14:textId="77777777" w:rsidR="00C13DF6" w:rsidRPr="00C13DF6" w:rsidRDefault="00C13DF6" w:rsidP="00C13DF6">
            <w:pPr>
              <w:jc w:val="center"/>
              <w:rPr>
                <w:rFonts w:ascii="David" w:hAnsi="David"/>
                <w:b/>
                <w:bCs/>
                <w:sz w:val="28"/>
                <w:szCs w:val="28"/>
                <w:u w:val="single"/>
                <w:rtl/>
              </w:rPr>
            </w:pPr>
            <w:bookmarkStart w:id="4" w:name="PsakDin" w:colFirst="0" w:colLast="0"/>
            <w:bookmarkEnd w:id="0"/>
            <w:r w:rsidRPr="00C13DF6">
              <w:rPr>
                <w:rFonts w:ascii="David" w:hAnsi="David"/>
                <w:b/>
                <w:bCs/>
                <w:sz w:val="28"/>
                <w:szCs w:val="28"/>
                <w:u w:val="single"/>
                <w:rtl/>
              </w:rPr>
              <w:t>גזר דין</w:t>
            </w:r>
          </w:p>
          <w:p w14:paraId="715D56F1" w14:textId="77777777" w:rsidR="00A72763" w:rsidRPr="00C13DF6" w:rsidRDefault="00A72763" w:rsidP="00C13DF6">
            <w:pPr>
              <w:jc w:val="center"/>
              <w:rPr>
                <w:rFonts w:ascii="David" w:hAnsi="David"/>
                <w:bCs/>
                <w:sz w:val="28"/>
                <w:szCs w:val="28"/>
                <w:u w:val="single"/>
                <w:rtl/>
              </w:rPr>
            </w:pPr>
          </w:p>
        </w:tc>
      </w:tr>
      <w:bookmarkEnd w:id="4"/>
    </w:tbl>
    <w:p w14:paraId="5B0A4D60" w14:textId="77777777" w:rsidR="00A72763" w:rsidRPr="009E3E80" w:rsidRDefault="00A72763" w:rsidP="00A72763">
      <w:pPr>
        <w:rPr>
          <w:rFonts w:ascii="David" w:hAnsi="David"/>
          <w:sz w:val="28"/>
          <w:szCs w:val="28"/>
          <w:rtl/>
        </w:rPr>
      </w:pPr>
    </w:p>
    <w:p w14:paraId="35474CB8" w14:textId="77777777" w:rsidR="00A72763" w:rsidRPr="009E3E80" w:rsidRDefault="00A72763" w:rsidP="00A72763">
      <w:pPr>
        <w:rPr>
          <w:rFonts w:ascii="David" w:hAnsi="David"/>
          <w:sz w:val="28"/>
          <w:szCs w:val="28"/>
          <w:rtl/>
        </w:rPr>
      </w:pPr>
    </w:p>
    <w:p w14:paraId="0B56F774" w14:textId="77777777" w:rsidR="00A72763" w:rsidRPr="009E3E80" w:rsidRDefault="00A72763" w:rsidP="00A72763">
      <w:pPr>
        <w:rPr>
          <w:rFonts w:ascii="David" w:hAnsi="David"/>
          <w:noProof/>
          <w:sz w:val="28"/>
          <w:szCs w:val="28"/>
          <w:rtl/>
        </w:rPr>
      </w:pPr>
    </w:p>
    <w:p w14:paraId="225FD0FE" w14:textId="77777777" w:rsidR="00A72763" w:rsidRPr="004C06B0" w:rsidRDefault="00A72763" w:rsidP="00A72763">
      <w:pPr>
        <w:spacing w:line="360" w:lineRule="auto"/>
        <w:jc w:val="both"/>
        <w:rPr>
          <w:rFonts w:ascii="Miriam" w:hAnsi="Miriam" w:cs="Miriam"/>
          <w:rtl/>
        </w:rPr>
      </w:pPr>
      <w:r w:rsidRPr="004C06B0">
        <w:rPr>
          <w:rFonts w:ascii="Miriam" w:hAnsi="Miriam" w:cs="Miriam"/>
          <w:rtl/>
        </w:rPr>
        <w:t>הרקע וכתב האישום המתוקן</w:t>
      </w:r>
    </w:p>
    <w:p w14:paraId="50E16E6C" w14:textId="77777777" w:rsidR="00A72763" w:rsidRPr="004C06B0" w:rsidRDefault="00A72763" w:rsidP="00A72763">
      <w:pPr>
        <w:tabs>
          <w:tab w:val="left" w:pos="680"/>
        </w:tabs>
        <w:spacing w:line="360" w:lineRule="auto"/>
        <w:jc w:val="both"/>
        <w:rPr>
          <w:rFonts w:ascii="FrankRuehl" w:hAnsi="FrankRuehl" w:cs="FrankRuehl"/>
          <w:noProof/>
          <w:sz w:val="28"/>
          <w:szCs w:val="28"/>
        </w:rPr>
      </w:pPr>
    </w:p>
    <w:p w14:paraId="73561061" w14:textId="77777777" w:rsidR="00A72763" w:rsidRPr="004C06B0" w:rsidRDefault="00A72763" w:rsidP="00A72763">
      <w:pPr>
        <w:spacing w:line="360" w:lineRule="auto"/>
        <w:jc w:val="both"/>
        <w:rPr>
          <w:rFonts w:ascii="FrankRuehl" w:hAnsi="FrankRuehl" w:cs="FrankRuehl"/>
          <w:sz w:val="28"/>
          <w:szCs w:val="28"/>
          <w:rtl/>
        </w:rPr>
      </w:pPr>
      <w:r w:rsidRPr="004C06B0">
        <w:rPr>
          <w:rFonts w:ascii="FrankRuehl" w:hAnsi="FrankRuehl" w:cs="FrankRuehl"/>
          <w:sz w:val="28"/>
          <w:szCs w:val="28"/>
          <w:rtl/>
        </w:rPr>
        <w:t>1.</w:t>
      </w:r>
      <w:r w:rsidRPr="004C06B0">
        <w:rPr>
          <w:rFonts w:ascii="FrankRuehl" w:hAnsi="FrankRuehl" w:cs="FrankRuehl"/>
          <w:sz w:val="28"/>
          <w:szCs w:val="28"/>
          <w:rtl/>
        </w:rPr>
        <w:tab/>
      </w:r>
      <w:bookmarkStart w:id="5" w:name="ABSTRACT_START"/>
      <w:bookmarkEnd w:id="5"/>
      <w:r w:rsidRPr="004C06B0">
        <w:rPr>
          <w:rFonts w:ascii="FrankRuehl" w:hAnsi="FrankRuehl" w:cs="FrankRuehl"/>
          <w:sz w:val="28"/>
          <w:szCs w:val="28"/>
          <w:rtl/>
        </w:rPr>
        <w:t xml:space="preserve">הנאשם הורשע ביום 15.12.2022, על יסוד הודאתו בכתב אישום מתוקן, בעבירות סמים הכוללות ייצור, הכנה והפקה, עבירה לפי </w:t>
      </w:r>
      <w:hyperlink r:id="rId13" w:history="1">
        <w:r w:rsidR="007F3A09" w:rsidRPr="007F3A09">
          <w:rPr>
            <w:rStyle w:val="Hyperlink"/>
            <w:rFonts w:ascii="FrankRuehl" w:hAnsi="FrankRuehl" w:cs="FrankRuehl"/>
            <w:sz w:val="28"/>
            <w:szCs w:val="28"/>
            <w:rtl/>
          </w:rPr>
          <w:t>סעיף 6</w:t>
        </w:r>
      </w:hyperlink>
      <w:r w:rsidRPr="004C06B0">
        <w:rPr>
          <w:rFonts w:ascii="FrankRuehl" w:hAnsi="FrankRuehl" w:cs="FrankRuehl"/>
          <w:sz w:val="28"/>
          <w:szCs w:val="28"/>
          <w:rtl/>
        </w:rPr>
        <w:t xml:space="preserve"> ל</w:t>
      </w:r>
      <w:hyperlink r:id="rId14" w:history="1">
        <w:r w:rsidR="00C13DF6" w:rsidRPr="00C13DF6">
          <w:rPr>
            <w:rFonts w:ascii="FrankRuehl" w:hAnsi="FrankRuehl" w:cs="FrankRuehl"/>
            <w:color w:val="0000FF"/>
            <w:sz w:val="28"/>
            <w:szCs w:val="28"/>
            <w:u w:val="single"/>
            <w:rtl/>
          </w:rPr>
          <w:t>פקודת הסמים המסוכנים</w:t>
        </w:r>
      </w:hyperlink>
      <w:r w:rsidRPr="004C06B0">
        <w:rPr>
          <w:rFonts w:ascii="FrankRuehl" w:hAnsi="FrankRuehl" w:cs="FrankRuehl"/>
          <w:sz w:val="28"/>
          <w:szCs w:val="28"/>
          <w:rtl/>
        </w:rPr>
        <w:t xml:space="preserve"> (נוסח חדש), התשל"ג- 1973 (להלן: </w:t>
      </w:r>
      <w:r w:rsidRPr="004C06B0">
        <w:rPr>
          <w:rFonts w:ascii="Miriam" w:hAnsi="Miriam" w:cs="Miriam"/>
          <w:rtl/>
        </w:rPr>
        <w:t>"הפקודה"</w:t>
      </w:r>
      <w:r w:rsidRPr="004C06B0">
        <w:rPr>
          <w:rFonts w:ascii="FrankRuehl" w:hAnsi="FrankRuehl" w:cs="FrankRuehl"/>
          <w:sz w:val="28"/>
          <w:szCs w:val="28"/>
          <w:rtl/>
        </w:rPr>
        <w:t xml:space="preserve">); והחזקה ושימוש שלא לצריכה עצמית, עבירה לפי </w:t>
      </w:r>
      <w:hyperlink r:id="rId15" w:history="1">
        <w:r w:rsidR="007F3A09" w:rsidRPr="007F3A09">
          <w:rPr>
            <w:rStyle w:val="Hyperlink"/>
            <w:rFonts w:ascii="FrankRuehl" w:hAnsi="FrankRuehl" w:cs="FrankRuehl"/>
            <w:sz w:val="28"/>
            <w:szCs w:val="28"/>
            <w:rtl/>
          </w:rPr>
          <w:t>סעיף 7(א)+(ג)</w:t>
        </w:r>
      </w:hyperlink>
      <w:r w:rsidRPr="004C06B0">
        <w:rPr>
          <w:rFonts w:ascii="FrankRuehl" w:hAnsi="FrankRuehl" w:cs="FrankRuehl"/>
          <w:sz w:val="28"/>
          <w:szCs w:val="28"/>
          <w:rtl/>
        </w:rPr>
        <w:t xml:space="preserve"> רישא לפקודה.</w:t>
      </w:r>
    </w:p>
    <w:p w14:paraId="47BF4FB3" w14:textId="77777777" w:rsidR="00A72763" w:rsidRPr="004C06B0" w:rsidRDefault="00A72763" w:rsidP="00A72763">
      <w:pPr>
        <w:spacing w:line="360" w:lineRule="auto"/>
        <w:jc w:val="both"/>
        <w:rPr>
          <w:rFonts w:ascii="FrankRuehl" w:hAnsi="FrankRuehl" w:cs="FrankRuehl"/>
          <w:sz w:val="28"/>
          <w:szCs w:val="28"/>
          <w:rtl/>
        </w:rPr>
      </w:pPr>
      <w:bookmarkStart w:id="6" w:name="ABSTRACT_END"/>
      <w:bookmarkEnd w:id="6"/>
    </w:p>
    <w:p w14:paraId="1161669D" w14:textId="77777777" w:rsidR="00A72763" w:rsidRPr="004C06B0" w:rsidRDefault="00A72763" w:rsidP="00A72763">
      <w:pPr>
        <w:spacing w:line="360" w:lineRule="auto"/>
        <w:jc w:val="both"/>
        <w:rPr>
          <w:rFonts w:ascii="FrankRuehl" w:hAnsi="FrankRuehl" w:cs="FrankRuehl"/>
          <w:sz w:val="28"/>
          <w:szCs w:val="28"/>
          <w:rtl/>
        </w:rPr>
      </w:pPr>
      <w:r w:rsidRPr="004C06B0">
        <w:rPr>
          <w:rFonts w:ascii="FrankRuehl" w:hAnsi="FrankRuehl" w:cs="FrankRuehl"/>
          <w:sz w:val="28"/>
          <w:szCs w:val="28"/>
          <w:rtl/>
        </w:rPr>
        <w:lastRenderedPageBreak/>
        <w:t xml:space="preserve">במסגרת הסדר הטיעון הסכימו הצדדים כי הנאשם ישלח לשירות המבחן לצורך קבלת תסקיר בעניינו, לאחריו יטענו הצדדים לעונש באופן חופשי. עוד הוסכם כי הציוד ששימש לגידול הסמים יחולט, בעוד רכב טיוטה מ.ר 8319066, המפורט בהודעת החילוט בכתב האישום המקורי, וכן טלפון נייד ומחשב נייח, יוחזרו לנאשם.  </w:t>
      </w:r>
    </w:p>
    <w:p w14:paraId="60AA4DAE" w14:textId="77777777" w:rsidR="00A72763" w:rsidRPr="004C06B0" w:rsidRDefault="00A72763" w:rsidP="00A72763">
      <w:pPr>
        <w:spacing w:line="360" w:lineRule="auto"/>
        <w:jc w:val="both"/>
        <w:rPr>
          <w:rFonts w:ascii="FrankRuehl" w:hAnsi="FrankRuehl" w:cs="FrankRuehl"/>
          <w:sz w:val="28"/>
          <w:szCs w:val="28"/>
          <w:rtl/>
        </w:rPr>
      </w:pPr>
    </w:p>
    <w:p w14:paraId="0072F258" w14:textId="77777777" w:rsidR="00A72763" w:rsidRDefault="00A72763" w:rsidP="00A72763">
      <w:pPr>
        <w:spacing w:line="360" w:lineRule="auto"/>
        <w:jc w:val="both"/>
        <w:rPr>
          <w:rFonts w:ascii="FrankRuehl" w:hAnsi="FrankRuehl" w:cs="FrankRuehl"/>
          <w:sz w:val="28"/>
          <w:szCs w:val="28"/>
          <w:rtl/>
        </w:rPr>
      </w:pPr>
      <w:r w:rsidRPr="004C06B0">
        <w:rPr>
          <w:rFonts w:ascii="FrankRuehl" w:hAnsi="FrankRuehl" w:cs="FrankRuehl"/>
          <w:sz w:val="28"/>
          <w:szCs w:val="28"/>
          <w:rtl/>
        </w:rPr>
        <w:t>2.</w:t>
      </w:r>
      <w:r w:rsidRPr="004C06B0">
        <w:rPr>
          <w:rFonts w:ascii="FrankRuehl" w:hAnsi="FrankRuehl" w:cs="FrankRuehl"/>
          <w:sz w:val="28"/>
          <w:szCs w:val="28"/>
          <w:rtl/>
        </w:rPr>
        <w:tab/>
        <w:t xml:space="preserve">על פי עובדות האישום המתוקן, ביום 18.2.2021 שכר הנאשם בית בן 7 חדרים ברחוב נוף הירדן 94, בנוף כנרת צפת  (להלן: </w:t>
      </w:r>
      <w:r w:rsidRPr="004C06B0">
        <w:rPr>
          <w:rFonts w:ascii="Miriam" w:hAnsi="Miriam" w:cs="Miriam"/>
          <w:rtl/>
        </w:rPr>
        <w:t>"הבית"</w:t>
      </w:r>
      <w:r w:rsidRPr="004C06B0">
        <w:rPr>
          <w:rFonts w:ascii="FrankRuehl" w:hAnsi="FrankRuehl" w:cs="FrankRuehl"/>
          <w:sz w:val="28"/>
          <w:szCs w:val="28"/>
          <w:rtl/>
        </w:rPr>
        <w:t xml:space="preserve">). בין התאריכים 18.2.2021 – 3.5.2022, הקים הנאשם בבית מעבדה לגידול סם מסוכן מסוג קנבוס, בו החזיק הנאשם ציוד מתקדם המשמש לגידול סם מסוכן  (להלן: </w:t>
      </w:r>
      <w:r w:rsidRPr="004C06B0">
        <w:rPr>
          <w:rFonts w:ascii="Miriam" w:hAnsi="Miriam" w:cs="Miriam"/>
          <w:rtl/>
        </w:rPr>
        <w:t>"המעבדה"</w:t>
      </w:r>
      <w:r w:rsidRPr="004C06B0">
        <w:rPr>
          <w:rFonts w:ascii="FrankRuehl" w:hAnsi="FrankRuehl" w:cs="FrankRuehl"/>
          <w:sz w:val="28"/>
          <w:szCs w:val="28"/>
          <w:rtl/>
        </w:rPr>
        <w:t xml:space="preserve">). במעבדה גידל והחזיק הנאשם סמים מסוכנים מסוג קנבוס במשקל כולל של כ-68.436 ק"ג נטו, שלא לצריכתו העצמית וללא אשור כדין. </w:t>
      </w:r>
    </w:p>
    <w:p w14:paraId="54C7BD2F" w14:textId="77777777" w:rsidR="00A72763" w:rsidRPr="004C06B0" w:rsidRDefault="00A72763" w:rsidP="00A72763">
      <w:pPr>
        <w:spacing w:line="360" w:lineRule="auto"/>
        <w:jc w:val="both"/>
        <w:rPr>
          <w:rFonts w:ascii="FrankRuehl" w:hAnsi="FrankRuehl" w:cs="FrankRuehl"/>
          <w:sz w:val="28"/>
          <w:szCs w:val="28"/>
          <w:rtl/>
        </w:rPr>
      </w:pPr>
    </w:p>
    <w:p w14:paraId="0DB19C27" w14:textId="77777777" w:rsidR="00A72763" w:rsidRPr="004C06B0" w:rsidRDefault="00A72763" w:rsidP="00A72763">
      <w:pPr>
        <w:spacing w:line="360" w:lineRule="auto"/>
        <w:jc w:val="both"/>
        <w:rPr>
          <w:rFonts w:ascii="Miriam" w:hAnsi="Miriam" w:cs="Miriam"/>
          <w:rtl/>
        </w:rPr>
      </w:pPr>
      <w:r w:rsidRPr="004C06B0">
        <w:rPr>
          <w:rFonts w:ascii="Miriam" w:hAnsi="Miriam" w:cs="Miriam"/>
          <w:rtl/>
        </w:rPr>
        <w:t xml:space="preserve">תסקיר שירות המבחן </w:t>
      </w:r>
    </w:p>
    <w:p w14:paraId="71C04E92" w14:textId="77777777" w:rsidR="00A72763" w:rsidRPr="004C06B0" w:rsidRDefault="00A72763" w:rsidP="00A72763">
      <w:pPr>
        <w:spacing w:line="360" w:lineRule="auto"/>
        <w:jc w:val="both"/>
        <w:rPr>
          <w:rFonts w:ascii="FrankRuehl" w:hAnsi="FrankRuehl" w:cs="FrankRuehl"/>
          <w:sz w:val="28"/>
          <w:szCs w:val="28"/>
          <w:rtl/>
        </w:rPr>
      </w:pPr>
    </w:p>
    <w:p w14:paraId="79931F09" w14:textId="77777777" w:rsidR="00A72763" w:rsidRPr="004C06B0" w:rsidRDefault="00A72763" w:rsidP="00A72763">
      <w:pPr>
        <w:spacing w:line="360" w:lineRule="auto"/>
        <w:jc w:val="both"/>
        <w:rPr>
          <w:rFonts w:ascii="FrankRuehl" w:eastAsia="Calibri" w:hAnsi="FrankRuehl" w:cs="FrankRuehl"/>
          <w:sz w:val="28"/>
          <w:szCs w:val="28"/>
          <w:rtl/>
        </w:rPr>
      </w:pPr>
      <w:r w:rsidRPr="004C06B0">
        <w:rPr>
          <w:rFonts w:ascii="FrankRuehl" w:hAnsi="FrankRuehl" w:cs="FrankRuehl"/>
          <w:sz w:val="28"/>
          <w:szCs w:val="28"/>
          <w:rtl/>
        </w:rPr>
        <w:t>3.</w:t>
      </w:r>
      <w:r w:rsidRPr="004C06B0">
        <w:rPr>
          <w:rFonts w:ascii="FrankRuehl" w:hAnsi="FrankRuehl" w:cs="FrankRuehl"/>
          <w:sz w:val="28"/>
          <w:szCs w:val="28"/>
          <w:rtl/>
        </w:rPr>
        <w:tab/>
      </w:r>
      <w:r w:rsidRPr="004C06B0">
        <w:rPr>
          <w:rFonts w:ascii="FrankRuehl" w:eastAsia="Calibri" w:hAnsi="FrankRuehl" w:cs="FrankRuehl"/>
          <w:sz w:val="28"/>
          <w:szCs w:val="28"/>
          <w:rtl/>
        </w:rPr>
        <w:t xml:space="preserve">מתסקיר שירות המבחן עולה כי הנאשם הינו כבן 55, גרוש, ללא הרשעות קודמות. </w:t>
      </w:r>
      <w:r w:rsidRPr="004C06B0">
        <w:rPr>
          <w:rFonts w:ascii="FrankRuehl" w:hAnsi="FrankRuehl" w:cs="FrankRuehl"/>
          <w:sz w:val="28"/>
          <w:szCs w:val="28"/>
          <w:rtl/>
        </w:rPr>
        <w:t xml:space="preserve">הנאשם שיתף כי הוא סובל מבעיות מורכבות בצוואר ובעמוד השדרה, מטופל במרפאת כאב בכדורים נגד כאב ובמדבקות המכילות חומרים נרקוטיים וכן מטופל באמצעות "קנאביס רפואי". הנאשם הציג בפני שירות המבחן רישיון להחזקה ושימוש בקנאביס. </w:t>
      </w:r>
    </w:p>
    <w:p w14:paraId="1C1AA0F8" w14:textId="77777777" w:rsidR="00A72763" w:rsidRPr="004C06B0" w:rsidRDefault="00A72763" w:rsidP="00A72763">
      <w:pPr>
        <w:spacing w:line="360" w:lineRule="auto"/>
        <w:jc w:val="both"/>
        <w:rPr>
          <w:rFonts w:ascii="FrankRuehl" w:eastAsia="Calibri" w:hAnsi="FrankRuehl" w:cs="FrankRuehl"/>
          <w:sz w:val="28"/>
          <w:szCs w:val="28"/>
          <w:rtl/>
        </w:rPr>
      </w:pPr>
    </w:p>
    <w:p w14:paraId="449E17F2" w14:textId="77777777" w:rsidR="00A72763" w:rsidRPr="004C06B0" w:rsidRDefault="00A72763" w:rsidP="00A72763">
      <w:pPr>
        <w:pStyle w:val="a8"/>
        <w:spacing w:line="360" w:lineRule="auto"/>
        <w:jc w:val="both"/>
        <w:rPr>
          <w:rFonts w:ascii="FrankRuehl" w:hAnsi="FrankRuehl" w:cs="FrankRuehl"/>
          <w:sz w:val="28"/>
          <w:szCs w:val="28"/>
          <w:rtl/>
        </w:rPr>
      </w:pPr>
      <w:r w:rsidRPr="004C06B0">
        <w:rPr>
          <w:rFonts w:ascii="FrankRuehl" w:hAnsi="FrankRuehl" w:cs="FrankRuehl"/>
          <w:sz w:val="28"/>
          <w:szCs w:val="28"/>
          <w:rtl/>
        </w:rPr>
        <w:t>בהתייחס לשימוש בסמים, סיפר הנאשם כי בשנת 2018 עבר תאונת דרכים קשה, בעקבותיה סבל מפריצות דיסק וכאבים חזקים, אז החל לעשן קנאביס באופן אינטנסיבי על מנת לשכך את כאביו.  לדבריו טופל במקביל במרפאת כאב והיה בהליך הוצאת רישיון לקנאביס רפואי, אך ההמתנה לגורמי הרפואה הייתה ארוכה והכאבים הפיזיים הוחמרו. לטענתו, טרם שהחל בשימוש בקנאביס, התנסה בטיפולים שהוצעו לו במסגרת שירותי קופת חולים אך אלו לא עזרו והשימוש בסם סייע לו בהקלה בכאביו. הנאשם מסר כי לאורך השנים אף אחד בסביבתו לא היה מודע לכך שהוא צורך קנאביס והוא דאג להסתיר זאת כיוון שהתבייש בכך. כאמור</w:t>
      </w:r>
      <w:r>
        <w:rPr>
          <w:rFonts w:ascii="FrankRuehl" w:hAnsi="FrankRuehl" w:cs="FrankRuehl" w:hint="cs"/>
          <w:sz w:val="28"/>
          <w:szCs w:val="28"/>
          <w:rtl/>
        </w:rPr>
        <w:t>,</w:t>
      </w:r>
      <w:r w:rsidRPr="004C06B0">
        <w:rPr>
          <w:rFonts w:ascii="FrankRuehl" w:hAnsi="FrankRuehl" w:cs="FrankRuehl"/>
          <w:sz w:val="28"/>
          <w:szCs w:val="28"/>
          <w:rtl/>
        </w:rPr>
        <w:t xml:space="preserve"> כיום ומתאריך 6.12.2022, מחזיק הנאשם ברישיון לקנאביס רפואי ומוסר כי משתמש בו בהתאם להמלצת הרופא. </w:t>
      </w:r>
    </w:p>
    <w:p w14:paraId="00096E31" w14:textId="77777777" w:rsidR="00A72763" w:rsidRPr="004C06B0" w:rsidRDefault="00A72763" w:rsidP="00A72763">
      <w:pPr>
        <w:pStyle w:val="a8"/>
        <w:spacing w:line="360" w:lineRule="auto"/>
        <w:jc w:val="both"/>
        <w:rPr>
          <w:rFonts w:ascii="FrankRuehl" w:hAnsi="FrankRuehl" w:cs="FrankRuehl"/>
          <w:sz w:val="28"/>
          <w:szCs w:val="28"/>
          <w:rtl/>
        </w:rPr>
      </w:pPr>
    </w:p>
    <w:p w14:paraId="04D50806" w14:textId="77777777" w:rsidR="00A72763" w:rsidRPr="004C06B0" w:rsidRDefault="00A72763" w:rsidP="00A72763">
      <w:pPr>
        <w:pStyle w:val="a8"/>
        <w:spacing w:line="360" w:lineRule="auto"/>
        <w:jc w:val="both"/>
        <w:rPr>
          <w:rFonts w:ascii="FrankRuehl" w:hAnsi="FrankRuehl" w:cs="FrankRuehl"/>
          <w:sz w:val="28"/>
          <w:szCs w:val="28"/>
          <w:rtl/>
        </w:rPr>
      </w:pPr>
      <w:r w:rsidRPr="004C06B0">
        <w:rPr>
          <w:rFonts w:ascii="FrankRuehl" w:hAnsi="FrankRuehl" w:cs="FrankRuehl"/>
          <w:sz w:val="28"/>
          <w:szCs w:val="28"/>
          <w:rtl/>
        </w:rPr>
        <w:t xml:space="preserve">בהתייחס לביצוע העבירות, הכיר הנאשם במיוחס לו בכתב האישום המתוקן, טען כי הוא מבין את הבעייתיות שהייתה בהתנהלותו והביע חשש מתוצאות גזר הדין ומשליחתו לריצוי מאסר בפועל. לטענתו, באותה תקופה גדלו הוצאותיו הכלכליות, עת החל להגביר את השימוש שלו בקנאביס, </w:t>
      </w:r>
      <w:r w:rsidRPr="004C06B0">
        <w:rPr>
          <w:rFonts w:ascii="FrankRuehl" w:hAnsi="FrankRuehl" w:cs="FrankRuehl"/>
          <w:sz w:val="28"/>
          <w:szCs w:val="28"/>
          <w:rtl/>
        </w:rPr>
        <w:lastRenderedPageBreak/>
        <w:t xml:space="preserve">ומנגד פוטר מעבודתו עקב מגפת הקורונה, דבר אשר הביא אותו, לטענתו, להקים את המעבדה לטובת השימוש העצמי שלו. עוד טען כי על מנת שהדבר לא ייחשף בסביבתו שכר וילה הרחק מביתו. על פי שירות המבחן, ניכר כי למרות שהנאשם מכיר במיוחס לו, הוא נוטה לטשטש ולמזער מהתנהלותו המתוארת בכתב האישום המתוקן ולהשליך את האחריות למעשיו על גורמים חיצוניים כמו מצבו הכלכלי והבריאותי. </w:t>
      </w:r>
    </w:p>
    <w:p w14:paraId="7BA186D3" w14:textId="77777777" w:rsidR="00A72763" w:rsidRPr="004C06B0" w:rsidRDefault="00A72763" w:rsidP="00A72763">
      <w:pPr>
        <w:pStyle w:val="a8"/>
        <w:spacing w:line="360" w:lineRule="auto"/>
        <w:jc w:val="both"/>
        <w:rPr>
          <w:rFonts w:ascii="FrankRuehl" w:hAnsi="FrankRuehl" w:cs="FrankRuehl"/>
          <w:sz w:val="28"/>
          <w:szCs w:val="28"/>
          <w:rtl/>
        </w:rPr>
      </w:pPr>
    </w:p>
    <w:p w14:paraId="7EBE406F" w14:textId="77777777" w:rsidR="00A72763" w:rsidRPr="004C06B0" w:rsidRDefault="00A72763" w:rsidP="00A72763">
      <w:pPr>
        <w:pStyle w:val="a8"/>
        <w:spacing w:line="360" w:lineRule="auto"/>
        <w:jc w:val="both"/>
        <w:rPr>
          <w:rFonts w:ascii="FrankRuehl" w:hAnsi="FrankRuehl" w:cs="FrankRuehl"/>
          <w:sz w:val="28"/>
          <w:szCs w:val="28"/>
          <w:rtl/>
        </w:rPr>
      </w:pPr>
      <w:r w:rsidRPr="004C06B0">
        <w:rPr>
          <w:rFonts w:ascii="FrankRuehl" w:hAnsi="FrankRuehl" w:cs="FrankRuehl"/>
          <w:sz w:val="28"/>
          <w:szCs w:val="28"/>
          <w:rtl/>
        </w:rPr>
        <w:t>בבואו להעריך את הסיכון להישנות עבירות דומות מצדו של הנאשם בעתיד, אל מול גורמי הס</w:t>
      </w:r>
      <w:r>
        <w:rPr>
          <w:rFonts w:ascii="FrankRuehl" w:hAnsi="FrankRuehl" w:cs="FrankRuehl"/>
          <w:sz w:val="28"/>
          <w:szCs w:val="28"/>
          <w:rtl/>
        </w:rPr>
        <w:t>יכוי לשיקום, התרשם שירות המבחן</w:t>
      </w:r>
      <w:r w:rsidRPr="004C06B0">
        <w:rPr>
          <w:rFonts w:ascii="FrankRuehl" w:hAnsi="FrankRuehl" w:cs="FrankRuehl"/>
          <w:sz w:val="28"/>
          <w:szCs w:val="28"/>
          <w:rtl/>
        </w:rPr>
        <w:t xml:space="preserve"> מאדם מבוגר נעדר רקע פלילי, אשר גדל בקונסטלציה משפחתית מורכבת. הנאשם מגלה יכולת נמוכה לבטא את רגשותיו באופן אותנטי ולהתבונן במקומות המורכבים והבעייתיים בהתנהלותו ואישיותו, וניכר כי הוא פועל מתוך מקום של ריצוי. ניכר כי הנאשם חש בושה וחרטה על התנהלותו, בייחוד מאחר ולאורך חייו התקשה להכיר בפני סביבתו הקרובה במגבלותיו ובשימוש שלו בסמים. שירות המבחן התרשם כי הנאשם משתדל להציג בפניהם פסאדה חיובית ומתפקדת, העומדת בפער משמעותי אל מול התנהגותו בפועל שבאה לידי ביטוי בביצוע העבירות הנדונות והשימוש שלו בסמים. </w:t>
      </w:r>
    </w:p>
    <w:p w14:paraId="63BACCCC" w14:textId="77777777" w:rsidR="00A72763" w:rsidRPr="004C06B0" w:rsidRDefault="00A72763" w:rsidP="00A72763">
      <w:pPr>
        <w:pStyle w:val="a8"/>
        <w:spacing w:line="360" w:lineRule="auto"/>
        <w:jc w:val="both"/>
        <w:rPr>
          <w:rFonts w:ascii="FrankRuehl" w:hAnsi="FrankRuehl" w:cs="FrankRuehl"/>
          <w:sz w:val="28"/>
          <w:szCs w:val="28"/>
          <w:rtl/>
        </w:rPr>
      </w:pPr>
    </w:p>
    <w:p w14:paraId="104F8C4C" w14:textId="77777777" w:rsidR="00A72763" w:rsidRPr="004C06B0" w:rsidRDefault="00A72763" w:rsidP="00A72763">
      <w:pPr>
        <w:pStyle w:val="a8"/>
        <w:spacing w:line="360" w:lineRule="auto"/>
        <w:jc w:val="both"/>
        <w:rPr>
          <w:rFonts w:ascii="FrankRuehl" w:hAnsi="FrankRuehl" w:cs="FrankRuehl"/>
          <w:sz w:val="28"/>
          <w:szCs w:val="28"/>
          <w:rtl/>
        </w:rPr>
      </w:pPr>
      <w:r w:rsidRPr="004C06B0">
        <w:rPr>
          <w:rFonts w:ascii="FrankRuehl" w:hAnsi="FrankRuehl" w:cs="FrankRuehl"/>
          <w:sz w:val="28"/>
          <w:szCs w:val="28"/>
          <w:rtl/>
        </w:rPr>
        <w:t xml:space="preserve">כגורמי סיכון להישנות עבירות, התייחס שירות המבחן לחומרת מעשיו של הנאשם, לדפוסי התנהגותו המתבטאים בקושי בוויסות דחפים, נטייתו לחוסר יציבות במהלך חייו, ולקושי בהפעלת שיקול דעת מספק ושימוש בסמים כדרך התמודדות. כמו כן נלקחה בחשבון התייחסותו לעבירות, אשר התאפיינה בטשטוש ומזעור. מנגד, כגורמי סיכוי לשיקום, התייחס שירות המבחן לעברו הפלילי הנקי של הנאשם וכן לשיתוף הפעולה שלו במסגרת הטיפול הקבוצתי בו שולב, במסגרתו קיבל כלים להתנהלות אדפטיבית, לצד קבלת רישיון לשימוש חוקי בקנאביס. שירות המבחן הוסיף וציין כי ניכר שההליך המשפטי והמשטרתי מהווה גורם מתריע עבור הנאשם מפני חזרה על מעשים דומים בעתיד. </w:t>
      </w:r>
      <w:r w:rsidRPr="00F45F8A">
        <w:rPr>
          <w:rFonts w:ascii="FrankRuehl" w:hAnsi="FrankRuehl" w:cs="FrankRuehl"/>
          <w:sz w:val="28"/>
          <w:szCs w:val="28"/>
          <w:rtl/>
        </w:rPr>
        <w:t>לסיכום התרשם שירות המבחן, כי קיים סיכון להישנות עבירה דומה.</w:t>
      </w:r>
    </w:p>
    <w:p w14:paraId="56C5FF72" w14:textId="77777777" w:rsidR="00A72763" w:rsidRPr="004C06B0" w:rsidRDefault="00A72763" w:rsidP="00A72763">
      <w:pPr>
        <w:pStyle w:val="a8"/>
        <w:spacing w:line="360" w:lineRule="auto"/>
        <w:jc w:val="both"/>
        <w:rPr>
          <w:rFonts w:ascii="FrankRuehl" w:hAnsi="FrankRuehl" w:cs="FrankRuehl"/>
          <w:sz w:val="28"/>
          <w:szCs w:val="28"/>
          <w:rtl/>
        </w:rPr>
      </w:pPr>
    </w:p>
    <w:p w14:paraId="04E5AF54" w14:textId="77777777" w:rsidR="00A72763" w:rsidRDefault="00A72763" w:rsidP="00A72763">
      <w:pPr>
        <w:pStyle w:val="a8"/>
        <w:spacing w:line="360" w:lineRule="auto"/>
        <w:jc w:val="both"/>
        <w:rPr>
          <w:rFonts w:ascii="FrankRuehl" w:hAnsi="FrankRuehl" w:cs="FrankRuehl"/>
          <w:sz w:val="28"/>
          <w:szCs w:val="28"/>
          <w:rtl/>
        </w:rPr>
      </w:pPr>
      <w:r w:rsidRPr="004C06B0">
        <w:rPr>
          <w:rFonts w:ascii="FrankRuehl" w:hAnsi="FrankRuehl" w:cs="FrankRuehl"/>
          <w:sz w:val="28"/>
          <w:szCs w:val="28"/>
          <w:rtl/>
        </w:rPr>
        <w:t xml:space="preserve">שירות המבחן הבהיר כי הנאשם אינו רואה צורך במעורבות טיפולית כלשהי ומכחיש קיומם של דפוסי התנהגות בעייתיים, ולפיכך לא בא בהמלצה טיפולית בעניינו. עם זאת סבר כי יש חשיבות בהטלת ענישה קונקרטית, אשר תבהיר לנאשם את חומרת מעשיו, ותפחית את הסיכון להישנות עבירות. </w:t>
      </w:r>
    </w:p>
    <w:p w14:paraId="7A83E71A" w14:textId="77777777" w:rsidR="00A72763" w:rsidRDefault="00A72763" w:rsidP="00A72763">
      <w:pPr>
        <w:pStyle w:val="a8"/>
        <w:spacing w:line="360" w:lineRule="auto"/>
        <w:jc w:val="both"/>
        <w:rPr>
          <w:rFonts w:ascii="FrankRuehl" w:hAnsi="FrankRuehl" w:cs="FrankRuehl"/>
          <w:sz w:val="28"/>
          <w:szCs w:val="28"/>
          <w:rtl/>
        </w:rPr>
      </w:pPr>
    </w:p>
    <w:p w14:paraId="3145DC7D" w14:textId="77777777" w:rsidR="00A72763" w:rsidRPr="004C06B0" w:rsidRDefault="00A72763" w:rsidP="00A72763">
      <w:pPr>
        <w:pStyle w:val="a8"/>
        <w:spacing w:line="360" w:lineRule="auto"/>
        <w:jc w:val="both"/>
        <w:rPr>
          <w:rFonts w:ascii="FrankRuehl" w:hAnsi="FrankRuehl" w:cs="FrankRuehl"/>
          <w:sz w:val="28"/>
          <w:szCs w:val="28"/>
          <w:u w:val="single"/>
          <w:rtl/>
        </w:rPr>
      </w:pPr>
      <w:r w:rsidRPr="00F45F8A">
        <w:rPr>
          <w:rFonts w:ascii="FrankRuehl" w:hAnsi="FrankRuehl" w:cs="FrankRuehl"/>
          <w:sz w:val="28"/>
          <w:szCs w:val="28"/>
          <w:rtl/>
        </w:rPr>
        <w:t>לסיכום, המליץ שירות מבחן להטיל על הנאשם עונש מאסר שירוצה בעבודות שירות, לצד מאסר מותנה ממושך, התחייבות כספית להימנע מעבירה בעתיד וקנס.</w:t>
      </w:r>
      <w:r w:rsidRPr="004C06B0">
        <w:rPr>
          <w:rFonts w:ascii="FrankRuehl" w:hAnsi="FrankRuehl" w:cs="FrankRuehl"/>
          <w:sz w:val="28"/>
          <w:szCs w:val="28"/>
          <w:u w:val="single"/>
          <w:rtl/>
        </w:rPr>
        <w:t xml:space="preserve"> </w:t>
      </w:r>
    </w:p>
    <w:p w14:paraId="60286D9E" w14:textId="77777777" w:rsidR="00A72763" w:rsidRPr="004C06B0" w:rsidRDefault="00A72763" w:rsidP="00A72763">
      <w:pPr>
        <w:pStyle w:val="a8"/>
        <w:spacing w:line="360" w:lineRule="auto"/>
        <w:jc w:val="both"/>
        <w:rPr>
          <w:rFonts w:ascii="FrankRuehl" w:hAnsi="FrankRuehl" w:cs="FrankRuehl"/>
          <w:sz w:val="28"/>
          <w:szCs w:val="28"/>
          <w:u w:val="single"/>
          <w:rtl/>
        </w:rPr>
      </w:pPr>
    </w:p>
    <w:p w14:paraId="0A0227CF" w14:textId="77777777" w:rsidR="00A72763" w:rsidRPr="004C06B0" w:rsidRDefault="00A72763" w:rsidP="00A72763">
      <w:pPr>
        <w:pStyle w:val="a8"/>
        <w:spacing w:line="360" w:lineRule="auto"/>
        <w:jc w:val="both"/>
        <w:rPr>
          <w:rFonts w:ascii="Miriam" w:hAnsi="Miriam" w:cs="Miriam"/>
          <w:sz w:val="24"/>
          <w:szCs w:val="24"/>
          <w:rtl/>
        </w:rPr>
      </w:pPr>
      <w:r w:rsidRPr="004C06B0">
        <w:rPr>
          <w:rFonts w:ascii="Miriam" w:hAnsi="Miriam" w:cs="Miriam"/>
          <w:sz w:val="24"/>
          <w:szCs w:val="24"/>
          <w:rtl/>
        </w:rPr>
        <w:t>ראיות לעונש</w:t>
      </w:r>
    </w:p>
    <w:p w14:paraId="0FBDE8C6" w14:textId="77777777" w:rsidR="00A72763" w:rsidRPr="004C06B0" w:rsidRDefault="00A72763" w:rsidP="00A72763">
      <w:pPr>
        <w:pStyle w:val="a8"/>
        <w:spacing w:line="360" w:lineRule="auto"/>
        <w:jc w:val="both"/>
        <w:rPr>
          <w:rFonts w:ascii="FrankRuehl" w:hAnsi="FrankRuehl" w:cs="FrankRuehl"/>
          <w:b/>
          <w:bCs/>
          <w:sz w:val="28"/>
          <w:szCs w:val="28"/>
          <w:u w:val="single"/>
          <w:rtl/>
        </w:rPr>
      </w:pPr>
    </w:p>
    <w:p w14:paraId="0397ACBB" w14:textId="77777777" w:rsidR="00A72763" w:rsidRPr="004C06B0" w:rsidRDefault="00A72763" w:rsidP="00A72763">
      <w:pPr>
        <w:pStyle w:val="a8"/>
        <w:spacing w:line="360" w:lineRule="auto"/>
        <w:jc w:val="both"/>
        <w:rPr>
          <w:rFonts w:ascii="FrankRuehl" w:hAnsi="FrankRuehl" w:cs="FrankRuehl"/>
          <w:sz w:val="28"/>
          <w:szCs w:val="28"/>
          <w:rtl/>
        </w:rPr>
      </w:pPr>
      <w:r w:rsidRPr="004C06B0">
        <w:rPr>
          <w:rFonts w:ascii="FrankRuehl" w:hAnsi="FrankRuehl" w:cs="FrankRuehl"/>
          <w:sz w:val="28"/>
          <w:szCs w:val="28"/>
          <w:rtl/>
        </w:rPr>
        <w:t>4.        מטעם הנאשם העידה כעדה לעונש אמו, אשר הביעה צער על מעשיו של</w:t>
      </w:r>
      <w:r>
        <w:rPr>
          <w:rFonts w:ascii="FrankRuehl" w:hAnsi="FrankRuehl" w:cs="FrankRuehl" w:hint="cs"/>
          <w:sz w:val="28"/>
          <w:szCs w:val="28"/>
          <w:rtl/>
        </w:rPr>
        <w:t xml:space="preserve"> הנאשם</w:t>
      </w:r>
      <w:r w:rsidRPr="004C06B0">
        <w:rPr>
          <w:rFonts w:ascii="FrankRuehl" w:hAnsi="FrankRuehl" w:cs="FrankRuehl"/>
          <w:sz w:val="28"/>
          <w:szCs w:val="28"/>
          <w:rtl/>
        </w:rPr>
        <w:t xml:space="preserve"> והבהירה כי אלו אינם מקובלים עליה. העדה הוסיפה וסיפרה כי הינה חולה סיעודית והנאשם קונה עבורה אוכל ומסייע לה, כאשר חוץ ממנו אין איש שיעזור לה. </w:t>
      </w:r>
    </w:p>
    <w:p w14:paraId="6CCA2945" w14:textId="77777777" w:rsidR="00A72763" w:rsidRPr="004C06B0" w:rsidRDefault="00A72763" w:rsidP="00A72763">
      <w:pPr>
        <w:pStyle w:val="a8"/>
        <w:spacing w:line="360" w:lineRule="auto"/>
        <w:jc w:val="both"/>
        <w:rPr>
          <w:rFonts w:ascii="FrankRuehl" w:hAnsi="FrankRuehl" w:cs="FrankRuehl"/>
          <w:sz w:val="28"/>
          <w:szCs w:val="28"/>
          <w:rtl/>
        </w:rPr>
      </w:pPr>
    </w:p>
    <w:p w14:paraId="229E23C5" w14:textId="77777777" w:rsidR="00A72763" w:rsidRPr="004C06B0" w:rsidRDefault="00A72763" w:rsidP="00A72763">
      <w:pPr>
        <w:pStyle w:val="a8"/>
        <w:spacing w:line="360" w:lineRule="auto"/>
        <w:jc w:val="both"/>
        <w:rPr>
          <w:rFonts w:ascii="Miriam" w:hAnsi="Miriam" w:cs="Miriam"/>
          <w:sz w:val="24"/>
          <w:szCs w:val="24"/>
          <w:rtl/>
        </w:rPr>
      </w:pPr>
      <w:r w:rsidRPr="004C06B0">
        <w:rPr>
          <w:rFonts w:ascii="Miriam" w:hAnsi="Miriam" w:cs="Miriam"/>
          <w:sz w:val="24"/>
          <w:szCs w:val="24"/>
          <w:rtl/>
        </w:rPr>
        <w:t>טיעוני הצדדים לעונש</w:t>
      </w:r>
    </w:p>
    <w:p w14:paraId="27CEFF08" w14:textId="77777777" w:rsidR="00A72763" w:rsidRPr="004C06B0" w:rsidRDefault="00A72763" w:rsidP="00A72763">
      <w:pPr>
        <w:pStyle w:val="a8"/>
        <w:spacing w:line="360" w:lineRule="auto"/>
        <w:jc w:val="both"/>
        <w:rPr>
          <w:rFonts w:ascii="FrankRuehl" w:hAnsi="FrankRuehl" w:cs="FrankRuehl"/>
          <w:b/>
          <w:bCs/>
          <w:sz w:val="28"/>
          <w:szCs w:val="28"/>
          <w:u w:val="single"/>
          <w:rtl/>
        </w:rPr>
      </w:pPr>
    </w:p>
    <w:p w14:paraId="4B1A8DCD" w14:textId="77777777" w:rsidR="00A72763" w:rsidRPr="004C06B0" w:rsidRDefault="00A72763" w:rsidP="00A72763">
      <w:pPr>
        <w:pStyle w:val="a8"/>
        <w:spacing w:line="360" w:lineRule="auto"/>
        <w:jc w:val="both"/>
        <w:rPr>
          <w:rFonts w:ascii="FrankRuehl" w:hAnsi="FrankRuehl" w:cs="FrankRuehl"/>
          <w:sz w:val="28"/>
          <w:szCs w:val="28"/>
          <w:rtl/>
        </w:rPr>
      </w:pPr>
      <w:r w:rsidRPr="004C06B0">
        <w:rPr>
          <w:rFonts w:ascii="FrankRuehl" w:hAnsi="FrankRuehl" w:cs="FrankRuehl"/>
          <w:sz w:val="28"/>
          <w:szCs w:val="28"/>
          <w:rtl/>
        </w:rPr>
        <w:t xml:space="preserve">5.        בטיעוניה הכתובים עמדה בא-כוח המאשימה על הערכים החברתיים המוגנים בעבירה בה הורשע הנאשם ובהם שמירה על בטחון הציבור ובריאותו ושמירה על הקניין. הוסיפה והפנתה לפגיעה הקשה שנגרמת למרקם החברתי, לשלום הציבור ורכושו ולבריאותם של צרכני הסמים, נוכח עבירות גידול והפצת סם, אשר לא בכדי קבע המחוקק עונש מרבי של עד 20 שנות מאסר בגינן. לטענת בא-כוח המאשימה, בשים לב להיקף הגידול וההתארגנות ולמשקל הסם הגבוה, מידת הפגיעה בערכים המוגנים בענייננו הינה משמעותית. </w:t>
      </w:r>
    </w:p>
    <w:p w14:paraId="54BEDEA4" w14:textId="77777777" w:rsidR="00A72763" w:rsidRPr="004C06B0" w:rsidRDefault="00A72763" w:rsidP="00A72763">
      <w:pPr>
        <w:pStyle w:val="a8"/>
        <w:spacing w:line="360" w:lineRule="auto"/>
        <w:jc w:val="both"/>
        <w:rPr>
          <w:rFonts w:ascii="FrankRuehl" w:hAnsi="FrankRuehl" w:cs="FrankRuehl"/>
          <w:sz w:val="28"/>
          <w:szCs w:val="28"/>
          <w:rtl/>
        </w:rPr>
      </w:pPr>
    </w:p>
    <w:p w14:paraId="39702C5E" w14:textId="77777777" w:rsidR="00A72763" w:rsidRPr="004C06B0" w:rsidRDefault="00A72763" w:rsidP="00A72763">
      <w:pPr>
        <w:pStyle w:val="a8"/>
        <w:spacing w:line="360" w:lineRule="auto"/>
        <w:jc w:val="both"/>
        <w:rPr>
          <w:rFonts w:ascii="FrankRuehl" w:hAnsi="FrankRuehl" w:cs="FrankRuehl"/>
          <w:sz w:val="28"/>
          <w:szCs w:val="28"/>
          <w:rtl/>
        </w:rPr>
      </w:pPr>
      <w:r w:rsidRPr="004C06B0">
        <w:rPr>
          <w:rFonts w:ascii="FrankRuehl" w:hAnsi="FrankRuehl" w:cs="FrankRuehl"/>
          <w:sz w:val="28"/>
          <w:szCs w:val="28"/>
          <w:rtl/>
        </w:rPr>
        <w:t xml:space="preserve">אשר לנסיבות הקשורות בביצוע העבירה, טענה בא-כוח המאשימה כי הנאשם הינו המבצע הבלעדי של העבירות בהן הורשע וכי פעל באופן מתוכנן ולאורך תקופה על מנת להוציא אותן לפועל, תוך שהוא שוכר מקום במיוחד, מצטייד בציוד ורוכש ידע מתאים לצורך גידול הסם המסוכן. בא-כוח המאשימה הפנתה לנזק הצפוי מביצוע העבירה, הן לצרכני הסם והן לציבור בכללותו, כאשר לעניין זה שבה וציינה את הכמות הגדולה של הסם שנתפס, במשקל של כ- 68 ק"ג.   </w:t>
      </w:r>
    </w:p>
    <w:p w14:paraId="1F62F67B" w14:textId="77777777" w:rsidR="00A72763" w:rsidRPr="004C06B0" w:rsidRDefault="00A72763" w:rsidP="00A72763">
      <w:pPr>
        <w:pStyle w:val="a8"/>
        <w:spacing w:line="360" w:lineRule="auto"/>
        <w:jc w:val="both"/>
        <w:rPr>
          <w:rFonts w:ascii="FrankRuehl" w:hAnsi="FrankRuehl" w:cs="FrankRuehl"/>
          <w:sz w:val="28"/>
          <w:szCs w:val="28"/>
          <w:rtl/>
        </w:rPr>
      </w:pPr>
    </w:p>
    <w:p w14:paraId="3296887A" w14:textId="77777777" w:rsidR="00A72763" w:rsidRPr="004C06B0" w:rsidRDefault="00A72763" w:rsidP="00A72763">
      <w:pPr>
        <w:spacing w:line="360" w:lineRule="auto"/>
        <w:jc w:val="both"/>
        <w:rPr>
          <w:rFonts w:ascii="FrankRuehl" w:hAnsi="FrankRuehl" w:cs="FrankRuehl"/>
          <w:b/>
          <w:bCs/>
          <w:sz w:val="28"/>
          <w:szCs w:val="28"/>
          <w:rtl/>
        </w:rPr>
      </w:pPr>
      <w:r w:rsidRPr="004C06B0">
        <w:rPr>
          <w:rFonts w:ascii="FrankRuehl" w:hAnsi="FrankRuehl" w:cs="FrankRuehl"/>
          <w:sz w:val="28"/>
          <w:szCs w:val="28"/>
          <w:rtl/>
        </w:rPr>
        <w:t xml:space="preserve">אשר למדיניות הענישה הנהוגה, טענה בא-כוח המאשימה כי קיימת מגמת החמרה בעונשים המוטלים על עברייני סמים שלא לצריכה עצמית, המחייבת הטלת עונשי מאסר בפועל, לתקופת שונות, וזאת בשים לב לכמות הסם, לנסיבות ביצוע העבירה ולנסיבותיו האישיות של העבריין. בהתאם, הפנתה לפסקי דין המלמדים לשיטתה על מדיניות הענישה במקרים דומים, וטענה כי </w:t>
      </w:r>
      <w:r w:rsidRPr="004C06B0">
        <w:rPr>
          <w:rFonts w:ascii="FrankRuehl" w:hAnsi="FrankRuehl" w:cs="FrankRuehl"/>
          <w:b/>
          <w:bCs/>
          <w:sz w:val="28"/>
          <w:szCs w:val="28"/>
          <w:rtl/>
        </w:rPr>
        <w:t>מתחם העונש ההולם נע בין 24-48 חודשי מאסר בפועל.</w:t>
      </w:r>
    </w:p>
    <w:p w14:paraId="53FE8836" w14:textId="77777777" w:rsidR="00A72763" w:rsidRPr="00A72763" w:rsidRDefault="00A72763" w:rsidP="00A72763">
      <w:pPr>
        <w:spacing w:line="360" w:lineRule="auto"/>
        <w:jc w:val="both"/>
        <w:rPr>
          <w:rFonts w:ascii="FrankRuehl" w:eastAsia="Calibri" w:hAnsi="FrankRuehl" w:cs="FrankRuehl"/>
          <w:sz w:val="28"/>
          <w:szCs w:val="28"/>
          <w:rtl/>
        </w:rPr>
      </w:pPr>
    </w:p>
    <w:p w14:paraId="66BC5BED" w14:textId="77777777" w:rsidR="00A72763" w:rsidRPr="004C06B0" w:rsidRDefault="00A72763" w:rsidP="00A72763">
      <w:pPr>
        <w:spacing w:line="360" w:lineRule="auto"/>
        <w:jc w:val="both"/>
        <w:rPr>
          <w:rFonts w:ascii="FrankRuehl" w:hAnsi="FrankRuehl" w:cs="FrankRuehl"/>
          <w:noProof/>
          <w:sz w:val="28"/>
          <w:szCs w:val="28"/>
          <w:rtl/>
        </w:rPr>
      </w:pPr>
      <w:r w:rsidRPr="004C06B0">
        <w:rPr>
          <w:rFonts w:ascii="FrankRuehl" w:hAnsi="FrankRuehl" w:cs="FrankRuehl"/>
          <w:sz w:val="28"/>
          <w:szCs w:val="28"/>
          <w:rtl/>
        </w:rPr>
        <w:t>ביחס לנסיבות שאינן קשורות בביצוע העבירה, ציינה בא-כוח המאשימה כי לזכות הנאשם עומדת העובדה שהודה בכתב האישום ה</w:t>
      </w:r>
      <w:r>
        <w:rPr>
          <w:rFonts w:ascii="FrankRuehl" w:hAnsi="FrankRuehl" w:cs="FrankRuehl" w:hint="cs"/>
          <w:sz w:val="28"/>
          <w:szCs w:val="28"/>
          <w:rtl/>
        </w:rPr>
        <w:t>מ</w:t>
      </w:r>
      <w:r w:rsidRPr="004C06B0">
        <w:rPr>
          <w:rFonts w:ascii="FrankRuehl" w:hAnsi="FrankRuehl" w:cs="FrankRuehl"/>
          <w:sz w:val="28"/>
          <w:szCs w:val="28"/>
          <w:rtl/>
        </w:rPr>
        <w:t xml:space="preserve">תוקן והיעדר עבר פלילי. מאידך טענה כי תסקיר שירות המבחן בעניינו צייר תמונה בעייתית, כאשר עולה כי הנאשם נטה לטשטש ולמזער מהתנהלותו, השליך אחריות על גורמים חיצוניים, התקשה לנהל שיח רגשי במסגרת הטיפול בו לקח חלק ולא הביע כל צורך במעורבות טיפולית בעניינו. הוסיפה כי בסופו של יום שירות המבחן התרשם מקיומו של סיכון להישנות עבירה דומה ולא בא בכל המלצה טיפולית בעניינו של הנאשם.  </w:t>
      </w:r>
    </w:p>
    <w:p w14:paraId="631F8AE8" w14:textId="77777777" w:rsidR="00A72763" w:rsidRPr="004C06B0" w:rsidRDefault="00A72763" w:rsidP="00A72763">
      <w:pPr>
        <w:spacing w:line="360" w:lineRule="auto"/>
        <w:jc w:val="both"/>
        <w:rPr>
          <w:rFonts w:ascii="FrankRuehl" w:hAnsi="FrankRuehl" w:cs="FrankRuehl"/>
          <w:sz w:val="28"/>
          <w:szCs w:val="28"/>
          <w:rtl/>
        </w:rPr>
      </w:pPr>
    </w:p>
    <w:p w14:paraId="4C20D121" w14:textId="77777777" w:rsidR="00A72763" w:rsidRPr="004C06B0" w:rsidRDefault="00A72763" w:rsidP="00A72763">
      <w:pPr>
        <w:spacing w:line="360" w:lineRule="auto"/>
        <w:jc w:val="both"/>
        <w:rPr>
          <w:rFonts w:ascii="FrankRuehl" w:hAnsi="FrankRuehl" w:cs="FrankRuehl"/>
          <w:sz w:val="28"/>
          <w:szCs w:val="28"/>
          <w:rtl/>
        </w:rPr>
      </w:pPr>
      <w:r w:rsidRPr="004C06B0">
        <w:rPr>
          <w:rFonts w:ascii="FrankRuehl" w:hAnsi="FrankRuehl" w:cs="FrankRuehl"/>
          <w:sz w:val="28"/>
          <w:szCs w:val="28"/>
          <w:rtl/>
        </w:rPr>
        <w:t>מכל האמור לעיל, ונוכח נתוניו של הנאשם, מבקשת המאשימה למקם את הנאשם בחלק האמצעי  תחתון של</w:t>
      </w:r>
      <w:r>
        <w:rPr>
          <w:rFonts w:ascii="FrankRuehl" w:hAnsi="FrankRuehl" w:cs="FrankRuehl" w:hint="cs"/>
          <w:sz w:val="28"/>
          <w:szCs w:val="28"/>
          <w:rtl/>
        </w:rPr>
        <w:t xml:space="preserve"> </w:t>
      </w:r>
      <w:r w:rsidRPr="004C06B0">
        <w:rPr>
          <w:rFonts w:ascii="FrankRuehl" w:hAnsi="FrankRuehl" w:cs="FrankRuehl"/>
          <w:sz w:val="28"/>
          <w:szCs w:val="28"/>
          <w:rtl/>
        </w:rPr>
        <w:t>מתחם העונש ההולם. בצד המאסר, עתרה המאשימה להטיל על הנאשם מאסר מותנה ארוך ומרתיע, קנס משמעותי בסך אלפי שקלים וכן חילוט ברכוש שנתפס, בהתאם להסדר הטיעון בין הצדדים.</w:t>
      </w:r>
    </w:p>
    <w:p w14:paraId="2203B994" w14:textId="77777777" w:rsidR="00A72763" w:rsidRPr="004C06B0" w:rsidRDefault="00A72763" w:rsidP="00A72763">
      <w:pPr>
        <w:spacing w:line="360" w:lineRule="auto"/>
        <w:jc w:val="both"/>
        <w:rPr>
          <w:rFonts w:ascii="FrankRuehl" w:hAnsi="FrankRuehl" w:cs="FrankRuehl"/>
          <w:sz w:val="28"/>
          <w:szCs w:val="28"/>
          <w:rtl/>
        </w:rPr>
      </w:pPr>
    </w:p>
    <w:p w14:paraId="03F32D66" w14:textId="77777777" w:rsidR="00A72763" w:rsidRPr="004C06B0" w:rsidRDefault="00A72763" w:rsidP="00A72763">
      <w:pPr>
        <w:spacing w:line="360" w:lineRule="auto"/>
        <w:jc w:val="both"/>
        <w:rPr>
          <w:rFonts w:ascii="FrankRuehl" w:hAnsi="FrankRuehl" w:cs="FrankRuehl"/>
          <w:sz w:val="28"/>
          <w:szCs w:val="28"/>
          <w:rtl/>
        </w:rPr>
      </w:pPr>
      <w:r w:rsidRPr="004C06B0">
        <w:rPr>
          <w:rFonts w:ascii="FrankRuehl" w:hAnsi="FrankRuehl" w:cs="FrankRuehl"/>
          <w:sz w:val="28"/>
          <w:szCs w:val="28"/>
          <w:rtl/>
        </w:rPr>
        <w:t xml:space="preserve">6.         בא-כוח הנאשם הפנה בתורו לנסיבות הייחודיות העומדות בבסיס ביצוע העבירה, ובהן היותו של הנאשם אדם חולה וסובל מכאבים, אשר גידל את הסם לצורך שימוש פרטי. הוסיף וטען כי חרף כמות הסם שנתפסה, אין אינדיקציה כי הנאשם התכוון לסחור או להעביר את הסמים הלאה, וכי מצבו של הנאשם כיום, כאשר הוא אוחז ברישיון לשימוש בקנאביס, מלמד כי מסוכנותו פחתה. </w:t>
      </w:r>
    </w:p>
    <w:p w14:paraId="2321523C" w14:textId="77777777" w:rsidR="00A72763" w:rsidRPr="004C06B0" w:rsidRDefault="00A72763" w:rsidP="00A72763">
      <w:pPr>
        <w:spacing w:line="360" w:lineRule="auto"/>
        <w:jc w:val="both"/>
        <w:rPr>
          <w:rFonts w:ascii="FrankRuehl" w:hAnsi="FrankRuehl" w:cs="FrankRuehl"/>
          <w:sz w:val="28"/>
          <w:szCs w:val="28"/>
          <w:rtl/>
        </w:rPr>
      </w:pPr>
    </w:p>
    <w:p w14:paraId="505C99C5" w14:textId="77777777" w:rsidR="00A72763" w:rsidRPr="004C06B0" w:rsidRDefault="00A72763" w:rsidP="00A72763">
      <w:pPr>
        <w:spacing w:line="360" w:lineRule="auto"/>
        <w:jc w:val="both"/>
        <w:rPr>
          <w:rFonts w:ascii="FrankRuehl" w:hAnsi="FrankRuehl" w:cs="FrankRuehl"/>
          <w:sz w:val="28"/>
          <w:szCs w:val="28"/>
          <w:rtl/>
        </w:rPr>
      </w:pPr>
      <w:r w:rsidRPr="004C06B0">
        <w:rPr>
          <w:rFonts w:ascii="FrankRuehl" w:hAnsi="FrankRuehl" w:cs="FrankRuehl"/>
          <w:sz w:val="28"/>
          <w:szCs w:val="28"/>
          <w:rtl/>
        </w:rPr>
        <w:t xml:space="preserve">בא-כוח הנאשם הפנה למספר פסקי דין, המלמדים לשיטתו על מדינות הענישה, וטען כי </w:t>
      </w:r>
      <w:r w:rsidRPr="004C06B0">
        <w:rPr>
          <w:rFonts w:ascii="FrankRuehl" w:hAnsi="FrankRuehl" w:cs="FrankRuehl"/>
          <w:b/>
          <w:bCs/>
          <w:sz w:val="28"/>
          <w:szCs w:val="28"/>
          <w:rtl/>
        </w:rPr>
        <w:t>מתחם העונש ההולם נע בנסיבות העניין בין 6-12 חודשי מאסר</w:t>
      </w:r>
      <w:r w:rsidRPr="004C06B0">
        <w:rPr>
          <w:rFonts w:ascii="FrankRuehl" w:hAnsi="FrankRuehl" w:cs="FrankRuehl"/>
          <w:sz w:val="28"/>
          <w:szCs w:val="28"/>
          <w:rtl/>
        </w:rPr>
        <w:t xml:space="preserve">. הוסיף וטען כי היה ויקבע מתחם גבוה יותר, הרי שיש מקום לחרוג ממנו לקולא לאור נסיבותיו של הנאשם.   </w:t>
      </w:r>
    </w:p>
    <w:p w14:paraId="0B83E978" w14:textId="77777777" w:rsidR="00A72763" w:rsidRPr="004C06B0" w:rsidRDefault="00A72763" w:rsidP="00A72763">
      <w:pPr>
        <w:spacing w:line="360" w:lineRule="auto"/>
        <w:jc w:val="both"/>
        <w:rPr>
          <w:rFonts w:ascii="FrankRuehl" w:hAnsi="FrankRuehl" w:cs="FrankRuehl"/>
          <w:sz w:val="28"/>
          <w:szCs w:val="28"/>
          <w:rtl/>
        </w:rPr>
      </w:pPr>
    </w:p>
    <w:p w14:paraId="5EA05E55" w14:textId="77777777" w:rsidR="00A72763" w:rsidRPr="004C06B0" w:rsidRDefault="00A72763" w:rsidP="00A72763">
      <w:pPr>
        <w:spacing w:line="360" w:lineRule="auto"/>
        <w:jc w:val="both"/>
        <w:rPr>
          <w:rFonts w:ascii="FrankRuehl" w:hAnsi="FrankRuehl" w:cs="FrankRuehl"/>
          <w:sz w:val="28"/>
          <w:szCs w:val="28"/>
          <w:rtl/>
        </w:rPr>
      </w:pPr>
      <w:r w:rsidRPr="004C06B0">
        <w:rPr>
          <w:rFonts w:ascii="FrankRuehl" w:hAnsi="FrankRuehl" w:cs="FrankRuehl"/>
          <w:sz w:val="28"/>
          <w:szCs w:val="28"/>
          <w:rtl/>
        </w:rPr>
        <w:t xml:space="preserve">אשר לנסיבות שאינן קשורות בביצוע העבירה, ציין בא-כוח הנאשם כי הנאשם הודה בהזדמנות הראשונה, חסך זמן שיפוטי יקר והביע חרטה לאורך כל הדרך. כן הפנה לגילו המבוגר של הנאשם, להיותו מחוסר עבר פלילי, לעובדה כי היה עצור מאחורי סורג ובריח למשך כחודשיים בתקופת הקורונה, על כל הקשיים העולים מכך, וכן להיותו של הנאשם משחורר בתנאים למשך שנה, ללא הפרות, תוך שהוא עובר הליך טיפולי ומשתף פעולה באופן מלא עם שירות המבחן. לטענת בא-כוח הנאשם, התנהלותו לאורך כל תקופת הקשר עם שירות המבחן, </w:t>
      </w:r>
      <w:r>
        <w:rPr>
          <w:rFonts w:ascii="FrankRuehl" w:hAnsi="FrankRuehl" w:cs="FrankRuehl"/>
          <w:sz w:val="28"/>
          <w:szCs w:val="28"/>
          <w:rtl/>
        </w:rPr>
        <w:t xml:space="preserve">מלמדת על אדם שאינו מצוי בתוככי </w:t>
      </w:r>
      <w:r w:rsidRPr="004C06B0">
        <w:rPr>
          <w:rFonts w:ascii="FrankRuehl" w:hAnsi="FrankRuehl" w:cs="FrankRuehl"/>
          <w:sz w:val="28"/>
          <w:szCs w:val="28"/>
          <w:rtl/>
        </w:rPr>
        <w:t xml:space="preserve">עולם הפשע, אשר מביע נכונות ורצון לשנות את התנהלותו. </w:t>
      </w:r>
    </w:p>
    <w:p w14:paraId="494FD67E" w14:textId="77777777" w:rsidR="00A72763" w:rsidRPr="004C06B0" w:rsidRDefault="00A72763" w:rsidP="00A72763">
      <w:pPr>
        <w:spacing w:line="360" w:lineRule="auto"/>
        <w:jc w:val="both"/>
        <w:rPr>
          <w:rFonts w:ascii="FrankRuehl" w:hAnsi="FrankRuehl" w:cs="FrankRuehl"/>
          <w:sz w:val="28"/>
          <w:szCs w:val="28"/>
          <w:rtl/>
        </w:rPr>
      </w:pPr>
    </w:p>
    <w:p w14:paraId="16E48408" w14:textId="77777777" w:rsidR="00A72763" w:rsidRPr="004C06B0" w:rsidRDefault="00A72763" w:rsidP="00A72763">
      <w:pPr>
        <w:spacing w:line="360" w:lineRule="auto"/>
        <w:jc w:val="both"/>
        <w:rPr>
          <w:rFonts w:ascii="FrankRuehl" w:hAnsi="FrankRuehl" w:cs="FrankRuehl"/>
          <w:sz w:val="28"/>
          <w:szCs w:val="28"/>
          <w:rtl/>
        </w:rPr>
      </w:pPr>
      <w:r w:rsidRPr="004C06B0">
        <w:rPr>
          <w:rFonts w:ascii="FrankRuehl" w:hAnsi="FrankRuehl" w:cs="FrankRuehl"/>
          <w:sz w:val="28"/>
          <w:szCs w:val="28"/>
          <w:rtl/>
        </w:rPr>
        <w:t xml:space="preserve">בא-כוח הנאשם הוסיף והפנה לתסקיר שהוגש בעניינו, וטען כי זה חיובי בעיקרו, כאשר עולה ממנו שההליך המשפטי היווה גורם מרתיע ומציב גבולות עבור הנאשם. הוסיף והפנה לפגיעה שעלולה להיגרם לאמו של הנאשם, היה ויוטל עליו עונש מאסר מאחורי סורג ובריח. </w:t>
      </w:r>
    </w:p>
    <w:p w14:paraId="57A9DBBB" w14:textId="77777777" w:rsidR="00A72763" w:rsidRPr="004C06B0" w:rsidRDefault="00A72763" w:rsidP="00A72763">
      <w:pPr>
        <w:spacing w:line="360" w:lineRule="auto"/>
        <w:jc w:val="both"/>
        <w:rPr>
          <w:rFonts w:ascii="FrankRuehl" w:hAnsi="FrankRuehl" w:cs="FrankRuehl"/>
          <w:sz w:val="28"/>
          <w:szCs w:val="28"/>
          <w:rtl/>
        </w:rPr>
      </w:pPr>
    </w:p>
    <w:p w14:paraId="2A5F70F2" w14:textId="77777777" w:rsidR="00A72763" w:rsidRPr="004C06B0" w:rsidRDefault="00A72763" w:rsidP="00A72763">
      <w:pPr>
        <w:spacing w:line="360" w:lineRule="auto"/>
        <w:jc w:val="both"/>
        <w:rPr>
          <w:rFonts w:ascii="FrankRuehl" w:hAnsi="FrankRuehl" w:cs="FrankRuehl"/>
          <w:sz w:val="28"/>
          <w:szCs w:val="28"/>
          <w:rtl/>
        </w:rPr>
      </w:pPr>
      <w:r w:rsidRPr="004C06B0">
        <w:rPr>
          <w:rFonts w:ascii="FrankRuehl" w:hAnsi="FrankRuehl" w:cs="FrankRuehl"/>
          <w:sz w:val="28"/>
          <w:szCs w:val="28"/>
          <w:rtl/>
        </w:rPr>
        <w:t>מכל האמור ביקש בא-כוח הנאשם למקמו בתחתית המתחם (ואף לסטות ממנו לקלוא כאמור), לאמץ את המלצת שירות המבחן בעניינו, ולהטיל על הנאשם עונש מאסר לריצוי בעבודות שירות.</w:t>
      </w:r>
    </w:p>
    <w:p w14:paraId="2A7CCFDA" w14:textId="77777777" w:rsidR="00A72763" w:rsidRPr="004C06B0" w:rsidRDefault="00A72763" w:rsidP="00A72763">
      <w:pPr>
        <w:spacing w:line="360" w:lineRule="auto"/>
        <w:jc w:val="both"/>
        <w:rPr>
          <w:rFonts w:ascii="FrankRuehl" w:hAnsi="FrankRuehl" w:cs="FrankRuehl"/>
          <w:sz w:val="28"/>
          <w:szCs w:val="28"/>
          <w:rtl/>
        </w:rPr>
      </w:pPr>
    </w:p>
    <w:p w14:paraId="113EB32B" w14:textId="77777777" w:rsidR="00A72763" w:rsidRPr="004C06B0" w:rsidRDefault="00A72763" w:rsidP="00A72763">
      <w:pPr>
        <w:spacing w:line="360" w:lineRule="auto"/>
        <w:jc w:val="both"/>
        <w:rPr>
          <w:rFonts w:ascii="Miriam" w:hAnsi="Miriam" w:cs="Miriam"/>
          <w:rtl/>
        </w:rPr>
      </w:pPr>
      <w:r w:rsidRPr="004C06B0">
        <w:rPr>
          <w:rFonts w:ascii="Miriam" w:hAnsi="Miriam" w:cs="Miriam"/>
          <w:rtl/>
        </w:rPr>
        <w:t>דבר הנאשם</w:t>
      </w:r>
    </w:p>
    <w:p w14:paraId="2D6C2B59" w14:textId="77777777" w:rsidR="00A72763" w:rsidRPr="004C06B0" w:rsidRDefault="00A72763" w:rsidP="00A72763">
      <w:pPr>
        <w:spacing w:line="360" w:lineRule="auto"/>
        <w:jc w:val="both"/>
        <w:rPr>
          <w:rFonts w:ascii="FrankRuehl" w:hAnsi="FrankRuehl" w:cs="FrankRuehl"/>
          <w:sz w:val="28"/>
          <w:szCs w:val="28"/>
          <w:rtl/>
        </w:rPr>
      </w:pPr>
    </w:p>
    <w:p w14:paraId="29C7CE0C" w14:textId="77777777" w:rsidR="00A72763" w:rsidRPr="004C06B0" w:rsidRDefault="00A72763" w:rsidP="00A72763">
      <w:pPr>
        <w:spacing w:line="360" w:lineRule="auto"/>
        <w:jc w:val="both"/>
        <w:rPr>
          <w:rFonts w:ascii="FrankRuehl" w:hAnsi="FrankRuehl" w:cs="FrankRuehl"/>
          <w:sz w:val="28"/>
          <w:szCs w:val="28"/>
          <w:rtl/>
        </w:rPr>
      </w:pPr>
      <w:r w:rsidRPr="004C06B0">
        <w:rPr>
          <w:rFonts w:ascii="FrankRuehl" w:hAnsi="FrankRuehl" w:cs="FrankRuehl"/>
          <w:sz w:val="28"/>
          <w:szCs w:val="28"/>
          <w:rtl/>
        </w:rPr>
        <w:t xml:space="preserve">7.       הנאשם הביע חרטה על מעשיו והבטיח שלא לחזור עליהם. </w:t>
      </w:r>
    </w:p>
    <w:p w14:paraId="71387E98" w14:textId="77777777" w:rsidR="00A72763" w:rsidRPr="004C06B0" w:rsidRDefault="00A72763" w:rsidP="00A72763">
      <w:pPr>
        <w:spacing w:line="360" w:lineRule="auto"/>
        <w:jc w:val="both"/>
        <w:rPr>
          <w:rFonts w:ascii="FrankRuehl" w:hAnsi="FrankRuehl" w:cs="FrankRuehl"/>
          <w:sz w:val="28"/>
          <w:szCs w:val="28"/>
          <w:rtl/>
        </w:rPr>
      </w:pPr>
    </w:p>
    <w:p w14:paraId="1F5D7E10" w14:textId="77777777" w:rsidR="00A72763" w:rsidRPr="004C06B0" w:rsidRDefault="00A72763" w:rsidP="00A72763">
      <w:pPr>
        <w:spacing w:line="360" w:lineRule="auto"/>
        <w:jc w:val="both"/>
        <w:rPr>
          <w:rFonts w:ascii="Miriam" w:hAnsi="Miriam" w:cs="Miriam"/>
          <w:rtl/>
        </w:rPr>
      </w:pPr>
      <w:r w:rsidRPr="004C06B0">
        <w:rPr>
          <w:rFonts w:ascii="Miriam" w:hAnsi="Miriam" w:cs="Miriam"/>
          <w:rtl/>
        </w:rPr>
        <w:t>דיון והכרעה</w:t>
      </w:r>
    </w:p>
    <w:p w14:paraId="60B9F491" w14:textId="77777777" w:rsidR="00A72763" w:rsidRPr="004C06B0" w:rsidRDefault="00A72763" w:rsidP="00A72763">
      <w:pPr>
        <w:spacing w:line="360" w:lineRule="auto"/>
        <w:jc w:val="both"/>
        <w:rPr>
          <w:rFonts w:ascii="FrankRuehl" w:hAnsi="FrankRuehl" w:cs="FrankRuehl"/>
          <w:b/>
          <w:bCs/>
          <w:sz w:val="28"/>
          <w:szCs w:val="28"/>
          <w:rtl/>
        </w:rPr>
      </w:pPr>
    </w:p>
    <w:p w14:paraId="58E846D3" w14:textId="77777777" w:rsidR="00A72763" w:rsidRPr="00AF461E" w:rsidRDefault="00A72763" w:rsidP="00A72763">
      <w:pPr>
        <w:spacing w:line="360" w:lineRule="auto"/>
        <w:jc w:val="both"/>
        <w:rPr>
          <w:rFonts w:ascii="Miriam" w:hAnsi="Miriam" w:cs="Miriam"/>
          <w:rtl/>
        </w:rPr>
      </w:pPr>
      <w:r w:rsidRPr="00AF461E">
        <w:rPr>
          <w:rFonts w:ascii="Miriam" w:hAnsi="Miriam" w:cs="Miriam"/>
          <w:rtl/>
        </w:rPr>
        <w:t>קביעת מתחם עונש הולם</w:t>
      </w:r>
    </w:p>
    <w:p w14:paraId="61F1F8EC" w14:textId="77777777" w:rsidR="00A72763" w:rsidRPr="004C06B0" w:rsidRDefault="00A72763" w:rsidP="00A72763">
      <w:pPr>
        <w:spacing w:line="360" w:lineRule="auto"/>
        <w:jc w:val="both"/>
        <w:rPr>
          <w:rFonts w:ascii="FrankRuehl" w:hAnsi="FrankRuehl" w:cs="FrankRuehl"/>
          <w:sz w:val="28"/>
          <w:szCs w:val="28"/>
          <w:rtl/>
        </w:rPr>
      </w:pPr>
    </w:p>
    <w:p w14:paraId="1AE761A2" w14:textId="77777777" w:rsidR="00A72763" w:rsidRDefault="00A72763" w:rsidP="00A72763">
      <w:pPr>
        <w:spacing w:line="360" w:lineRule="auto"/>
        <w:jc w:val="both"/>
        <w:rPr>
          <w:rFonts w:ascii="FrankRuehl" w:hAnsi="FrankRuehl" w:cs="FrankRuehl"/>
          <w:sz w:val="28"/>
          <w:szCs w:val="28"/>
          <w:rtl/>
        </w:rPr>
      </w:pPr>
      <w:r w:rsidRPr="004C06B0">
        <w:rPr>
          <w:rFonts w:ascii="FrankRuehl" w:hAnsi="FrankRuehl" w:cs="FrankRuehl"/>
          <w:sz w:val="28"/>
          <w:szCs w:val="28"/>
          <w:rtl/>
        </w:rPr>
        <w:t>8.          לצורך קביעת מתחם העונש ההולם, בית המשפט נדרש לבחינת הערך החברתי שנפגע מביצוע העבירות ומידת הפגיעה בו, מדיניות הענישה הנהוגה ובחינת הנסיבות הקשורות בביצוע העבירות.</w:t>
      </w:r>
    </w:p>
    <w:p w14:paraId="39994CE8" w14:textId="77777777" w:rsidR="00A72763" w:rsidRPr="00255F0A" w:rsidRDefault="00A72763" w:rsidP="00A72763">
      <w:pPr>
        <w:spacing w:line="360" w:lineRule="auto"/>
        <w:jc w:val="both"/>
        <w:rPr>
          <w:rFonts w:ascii="Miriam" w:hAnsi="Miriam" w:cs="Miriam"/>
          <w:rtl/>
        </w:rPr>
      </w:pPr>
    </w:p>
    <w:p w14:paraId="49283DF1" w14:textId="77777777" w:rsidR="00A72763" w:rsidRPr="00255F0A" w:rsidRDefault="00A72763" w:rsidP="00A72763">
      <w:pPr>
        <w:spacing w:line="360" w:lineRule="auto"/>
        <w:jc w:val="both"/>
        <w:rPr>
          <w:rFonts w:ascii="Miriam" w:hAnsi="Miriam" w:cs="Miriam"/>
          <w:rtl/>
        </w:rPr>
      </w:pPr>
      <w:r w:rsidRPr="00255F0A">
        <w:rPr>
          <w:rFonts w:ascii="Miriam" w:hAnsi="Miriam" w:cs="Miriam"/>
          <w:rtl/>
        </w:rPr>
        <w:t xml:space="preserve">הערכים </w:t>
      </w:r>
      <w:r>
        <w:rPr>
          <w:rFonts w:ascii="Miriam" w:hAnsi="Miriam" w:cs="Miriam" w:hint="cs"/>
          <w:rtl/>
        </w:rPr>
        <w:t xml:space="preserve">המוגנים </w:t>
      </w:r>
      <w:r>
        <w:rPr>
          <w:rFonts w:ascii="Miriam" w:hAnsi="Miriam" w:cs="Miriam"/>
          <w:rtl/>
        </w:rPr>
        <w:t>שנפגעו ומידת  הפגיעה בה</w:t>
      </w:r>
      <w:r>
        <w:rPr>
          <w:rFonts w:ascii="Miriam" w:hAnsi="Miriam" w:cs="Miriam" w:hint="cs"/>
          <w:rtl/>
        </w:rPr>
        <w:t>ם</w:t>
      </w:r>
    </w:p>
    <w:p w14:paraId="27DD2257" w14:textId="77777777" w:rsidR="00A72763" w:rsidRPr="004C06B0" w:rsidRDefault="00A72763" w:rsidP="00A72763">
      <w:pPr>
        <w:spacing w:line="360" w:lineRule="auto"/>
        <w:jc w:val="both"/>
        <w:rPr>
          <w:rFonts w:ascii="FrankRuehl" w:hAnsi="FrankRuehl" w:cs="FrankRuehl"/>
          <w:sz w:val="28"/>
          <w:szCs w:val="28"/>
          <w:rtl/>
        </w:rPr>
      </w:pPr>
    </w:p>
    <w:p w14:paraId="697B2AA3" w14:textId="77777777" w:rsidR="00A72763" w:rsidRPr="004C06B0" w:rsidRDefault="00A72763" w:rsidP="00A72763">
      <w:pPr>
        <w:spacing w:line="360" w:lineRule="auto"/>
        <w:jc w:val="both"/>
        <w:rPr>
          <w:rFonts w:ascii="FrankRuehl" w:hAnsi="FrankRuehl" w:cs="FrankRuehl"/>
          <w:sz w:val="28"/>
          <w:szCs w:val="28"/>
          <w:rtl/>
        </w:rPr>
      </w:pPr>
      <w:r w:rsidRPr="004C06B0">
        <w:rPr>
          <w:rFonts w:ascii="FrankRuehl" w:hAnsi="FrankRuehl" w:cs="FrankRuehl"/>
          <w:sz w:val="28"/>
          <w:szCs w:val="28"/>
          <w:rtl/>
        </w:rPr>
        <w:t>9.        הערכים החברתיים המוגנים שנפגעו כתוצאה מהעבירה שביצע הנאשם עניינם הגנה על הציבור מפני הנזקים הנגרמים בשל עבירות הסמים, הכוללים הן את הנזק הישיר הנגרם לחייהם ובריאותם של צרכני הסמים, והן את הנזק העקיף לשלום הציבור בכללותו, כתוצאה מביצוע העבירות הנלוות לצריכת הסם. לעניין זה כבר נקבע:</w:t>
      </w:r>
    </w:p>
    <w:p w14:paraId="351F908C" w14:textId="77777777" w:rsidR="00A72763" w:rsidRPr="004C06B0" w:rsidRDefault="00A72763" w:rsidP="00A72763">
      <w:pPr>
        <w:spacing w:line="360" w:lineRule="auto"/>
        <w:jc w:val="both"/>
        <w:rPr>
          <w:rFonts w:ascii="FrankRuehl" w:hAnsi="FrankRuehl" w:cs="FrankRuehl"/>
          <w:sz w:val="28"/>
          <w:szCs w:val="28"/>
          <w:rtl/>
        </w:rPr>
      </w:pPr>
    </w:p>
    <w:p w14:paraId="16F922D4" w14:textId="77777777" w:rsidR="00A72763" w:rsidRPr="004C06B0" w:rsidRDefault="00C13DF6" w:rsidP="00A72763">
      <w:pPr>
        <w:spacing w:line="360" w:lineRule="auto"/>
        <w:ind w:left="1418" w:right="1418"/>
        <w:jc w:val="both"/>
        <w:rPr>
          <w:rFonts w:ascii="FrankRuehl" w:hAnsi="FrankRuehl" w:cs="FrankRuehl"/>
          <w:sz w:val="28"/>
          <w:szCs w:val="28"/>
          <w:rtl/>
        </w:rPr>
      </w:pPr>
      <w:r>
        <w:rPr>
          <w:rFonts w:ascii="FrankRuehl" w:eastAsia="Arial TUR" w:hAnsi="FrankRuehl" w:cs="FrankRuehl"/>
          <w:b/>
          <w:bCs/>
          <w:sz w:val="28"/>
          <w:szCs w:val="28"/>
          <w:rtl/>
        </w:rPr>
        <w:t xml:space="preserve"> </w:t>
      </w:r>
      <w:r w:rsidR="00A72763" w:rsidRPr="00255F0A">
        <w:rPr>
          <w:rFonts w:ascii="FrankRuehl" w:eastAsia="Arial TUR" w:hAnsi="FrankRuehl" w:cs="FrankRuehl"/>
          <w:sz w:val="28"/>
          <w:szCs w:val="28"/>
          <w:rtl/>
        </w:rPr>
        <w:t>"</w:t>
      </w:r>
      <w:r w:rsidR="00A72763" w:rsidRPr="00255F0A">
        <w:rPr>
          <w:rFonts w:ascii="FrankRuehl" w:hAnsi="FrankRuehl" w:cs="FrankRuehl"/>
          <w:sz w:val="28"/>
          <w:szCs w:val="28"/>
          <w:rtl/>
        </w:rPr>
        <w:t xml:space="preserve">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w:t>
      </w:r>
      <w:r w:rsidR="00A72763" w:rsidRPr="004C06B0">
        <w:rPr>
          <w:rFonts w:ascii="FrankRuehl" w:hAnsi="FrankRuehl" w:cs="FrankRuehl"/>
          <w:sz w:val="28"/>
          <w:szCs w:val="28"/>
          <w:rtl/>
        </w:rPr>
        <w:t>(</w:t>
      </w:r>
      <w:hyperlink r:id="rId16" w:history="1">
        <w:r w:rsidRPr="00C13DF6">
          <w:rPr>
            <w:rFonts w:ascii="FrankRuehl" w:hAnsi="FrankRuehl" w:cs="FrankRuehl"/>
            <w:color w:val="0000FF"/>
            <w:sz w:val="28"/>
            <w:szCs w:val="28"/>
            <w:u w:val="single"/>
            <w:rtl/>
          </w:rPr>
          <w:t>ע"פ 972/11</w:t>
        </w:r>
      </w:hyperlink>
      <w:r w:rsidR="00A72763" w:rsidRPr="004C06B0">
        <w:rPr>
          <w:rFonts w:ascii="FrankRuehl" w:hAnsi="FrankRuehl" w:cs="FrankRuehl"/>
          <w:sz w:val="28"/>
          <w:szCs w:val="28"/>
          <w:rtl/>
        </w:rPr>
        <w:t xml:space="preserve"> </w:t>
      </w:r>
      <w:r w:rsidR="00A72763" w:rsidRPr="004C06B0">
        <w:rPr>
          <w:rFonts w:ascii="Miriam" w:hAnsi="Miriam" w:cs="Miriam"/>
          <w:rtl/>
        </w:rPr>
        <w:t>מדינת ישראל נ' יונה</w:t>
      </w:r>
      <w:r w:rsidR="00A72763" w:rsidRPr="004C06B0">
        <w:rPr>
          <w:rFonts w:ascii="FrankRuehl" w:hAnsi="FrankRuehl" w:cs="FrankRuehl"/>
          <w:sz w:val="28"/>
          <w:szCs w:val="28"/>
          <w:rtl/>
        </w:rPr>
        <w:t xml:space="preserve"> (4.7.2012)).</w:t>
      </w:r>
    </w:p>
    <w:p w14:paraId="6EB9DBEE" w14:textId="77777777" w:rsidR="00A72763" w:rsidRPr="004C06B0" w:rsidRDefault="00A72763" w:rsidP="00A72763">
      <w:pPr>
        <w:spacing w:line="360" w:lineRule="auto"/>
        <w:rPr>
          <w:rFonts w:ascii="FrankRuehl" w:hAnsi="FrankRuehl" w:cs="FrankRuehl"/>
          <w:noProof/>
          <w:sz w:val="28"/>
          <w:szCs w:val="28"/>
          <w:rtl/>
        </w:rPr>
      </w:pPr>
    </w:p>
    <w:p w14:paraId="6B372D26" w14:textId="77777777" w:rsidR="00A72763" w:rsidRPr="00AF461E" w:rsidRDefault="00A72763" w:rsidP="00A72763">
      <w:pPr>
        <w:spacing w:line="360" w:lineRule="auto"/>
        <w:jc w:val="both"/>
        <w:rPr>
          <w:rFonts w:ascii="Miriam" w:hAnsi="Miriam" w:cs="Miriam"/>
          <w:rtl/>
        </w:rPr>
      </w:pPr>
      <w:r w:rsidRPr="00AF461E">
        <w:rPr>
          <w:rFonts w:ascii="Miriam" w:hAnsi="Miriam" w:cs="Miriam"/>
          <w:rtl/>
        </w:rPr>
        <w:t>הנסיבות הקשורות בביצוע העבירה</w:t>
      </w:r>
    </w:p>
    <w:p w14:paraId="3ECBF607" w14:textId="77777777" w:rsidR="00A72763" w:rsidRPr="004C06B0" w:rsidRDefault="00A72763" w:rsidP="00A72763">
      <w:pPr>
        <w:spacing w:line="360" w:lineRule="auto"/>
        <w:jc w:val="both"/>
        <w:rPr>
          <w:rFonts w:ascii="FrankRuehl" w:hAnsi="FrankRuehl" w:cs="FrankRuehl"/>
          <w:b/>
          <w:bCs/>
          <w:sz w:val="28"/>
          <w:szCs w:val="28"/>
          <w:rtl/>
        </w:rPr>
      </w:pPr>
    </w:p>
    <w:p w14:paraId="31AA41B0" w14:textId="77777777" w:rsidR="00A72763" w:rsidRPr="004C06B0" w:rsidRDefault="00A72763" w:rsidP="00A72763">
      <w:pPr>
        <w:spacing w:line="360" w:lineRule="auto"/>
        <w:jc w:val="both"/>
        <w:rPr>
          <w:rFonts w:ascii="FrankRuehl" w:hAnsi="FrankRuehl" w:cs="FrankRuehl"/>
          <w:sz w:val="28"/>
          <w:szCs w:val="28"/>
          <w:rtl/>
        </w:rPr>
      </w:pPr>
      <w:r w:rsidRPr="004C06B0">
        <w:rPr>
          <w:rFonts w:ascii="FrankRuehl" w:hAnsi="FrankRuehl" w:cs="FrankRuehl"/>
          <w:sz w:val="28"/>
          <w:szCs w:val="28"/>
          <w:rtl/>
        </w:rPr>
        <w:t>10.        בכל הנגוע לנסיבות הקשורות בביצוע העבירה, עולה מימד של חומרה נוכח התכנון וההכנה שקדמו לביצוע העבירות, כאשר הנאשם הקים את המעבדה בבית אותו שכר מתוך מטרה לגדל בו את הסם ותוך שהוא מחזיק בתוכו ציוד מתקדם. תכנון מוקדם זה של הנאשם מלמד בבירור כי עסקינ</w:t>
      </w:r>
      <w:r>
        <w:rPr>
          <w:rFonts w:ascii="FrankRuehl" w:hAnsi="FrankRuehl" w:cs="FrankRuehl"/>
          <w:sz w:val="28"/>
          <w:szCs w:val="28"/>
          <w:rtl/>
        </w:rPr>
        <w:t>ן בתכנית עבריינית סדורה וקפדנית</w:t>
      </w:r>
      <w:r>
        <w:rPr>
          <w:rFonts w:ascii="FrankRuehl" w:hAnsi="FrankRuehl" w:cs="FrankRuehl" w:hint="cs"/>
          <w:sz w:val="28"/>
          <w:szCs w:val="28"/>
          <w:rtl/>
        </w:rPr>
        <w:t xml:space="preserve"> שנמשכה לאורך חודשים רבים תוך שימוש בציוד מתקדם והשקעה רבה.</w:t>
      </w:r>
      <w:r w:rsidRPr="004C06B0">
        <w:rPr>
          <w:rFonts w:ascii="FrankRuehl" w:hAnsi="FrankRuehl" w:cs="FrankRuehl"/>
          <w:sz w:val="28"/>
          <w:szCs w:val="28"/>
          <w:rtl/>
        </w:rPr>
        <w:t xml:space="preserve"> </w:t>
      </w:r>
    </w:p>
    <w:p w14:paraId="6BA6B9ED" w14:textId="77777777" w:rsidR="00A72763" w:rsidRPr="004C06B0" w:rsidRDefault="00A72763" w:rsidP="00A72763">
      <w:pPr>
        <w:spacing w:line="360" w:lineRule="auto"/>
        <w:jc w:val="both"/>
        <w:rPr>
          <w:rFonts w:ascii="FrankRuehl" w:hAnsi="FrankRuehl" w:cs="FrankRuehl"/>
          <w:sz w:val="28"/>
          <w:szCs w:val="28"/>
          <w:rtl/>
        </w:rPr>
      </w:pPr>
    </w:p>
    <w:p w14:paraId="7637B3C1" w14:textId="77777777" w:rsidR="00A72763" w:rsidRPr="004C06B0" w:rsidRDefault="00A72763" w:rsidP="00A72763">
      <w:pPr>
        <w:spacing w:line="360" w:lineRule="auto"/>
        <w:jc w:val="both"/>
        <w:rPr>
          <w:rFonts w:ascii="FrankRuehl" w:hAnsi="FrankRuehl" w:cs="FrankRuehl"/>
          <w:sz w:val="28"/>
          <w:szCs w:val="28"/>
          <w:rtl/>
        </w:rPr>
      </w:pPr>
      <w:r w:rsidRPr="004C06B0">
        <w:rPr>
          <w:rFonts w:ascii="FrankRuehl" w:hAnsi="FrankRuehl" w:cs="FrankRuehl"/>
          <w:sz w:val="28"/>
          <w:szCs w:val="28"/>
          <w:rtl/>
        </w:rPr>
        <w:t>חומרה נוספת עולה נוכח כמות הסם אותו גידל הנאשם</w:t>
      </w:r>
      <w:r w:rsidRPr="00255F0A">
        <w:rPr>
          <w:rFonts w:ascii="FrankRuehl" w:hAnsi="FrankRuehl" w:cs="FrankRuehl"/>
          <w:sz w:val="28"/>
          <w:szCs w:val="28"/>
          <w:rtl/>
        </w:rPr>
        <w:t xml:space="preserve">, במשקל משמעותי ביותר העולה על 68 ק"ג נטו, </w:t>
      </w:r>
      <w:r w:rsidRPr="004C06B0">
        <w:rPr>
          <w:rFonts w:ascii="FrankRuehl" w:hAnsi="FrankRuehl" w:cs="FrankRuehl"/>
          <w:sz w:val="28"/>
          <w:szCs w:val="28"/>
          <w:rtl/>
        </w:rPr>
        <w:t>אשר טומן בחובו פוטנציאל נזק רב. אוסיף בשים לב לכמות הסם שנתפסה, כמו גם לתכנון המוקדם שקדם לביצוע העבירות, חזקה כי מעשיו של הנאשם בוצעו בעבור בצע כסף, ואין כל מקום לקבל את טענת בא-כוח</w:t>
      </w:r>
      <w:r>
        <w:rPr>
          <w:rFonts w:ascii="FrankRuehl" w:hAnsi="FrankRuehl" w:cs="FrankRuehl" w:hint="cs"/>
          <w:sz w:val="28"/>
          <w:szCs w:val="28"/>
          <w:rtl/>
        </w:rPr>
        <w:t>ו</w:t>
      </w:r>
      <w:r w:rsidRPr="004C06B0">
        <w:rPr>
          <w:rFonts w:ascii="FrankRuehl" w:hAnsi="FrankRuehl" w:cs="FrankRuehl"/>
          <w:sz w:val="28"/>
          <w:szCs w:val="28"/>
          <w:rtl/>
        </w:rPr>
        <w:t xml:space="preserve"> כאילו גידל את הסם לשימושו העצמי, בשל הכאבים מהם הוא סובל. לעניין זה יפים הדבר</w:t>
      </w:r>
      <w:r>
        <w:rPr>
          <w:rFonts w:ascii="FrankRuehl" w:hAnsi="FrankRuehl" w:cs="FrankRuehl" w:hint="cs"/>
          <w:sz w:val="28"/>
          <w:szCs w:val="28"/>
          <w:rtl/>
        </w:rPr>
        <w:t>י</w:t>
      </w:r>
      <w:r w:rsidRPr="004C06B0">
        <w:rPr>
          <w:rFonts w:ascii="FrankRuehl" w:hAnsi="FrankRuehl" w:cs="FrankRuehl"/>
          <w:sz w:val="28"/>
          <w:szCs w:val="28"/>
          <w:rtl/>
        </w:rPr>
        <w:t>ם שנאמרו על ידי כב' השופט עמית ב</w:t>
      </w:r>
      <w:hyperlink r:id="rId17" w:history="1">
        <w:r w:rsidR="00C13DF6" w:rsidRPr="00C13DF6">
          <w:rPr>
            <w:rFonts w:ascii="FrankRuehl" w:hAnsi="FrankRuehl" w:cs="FrankRuehl"/>
            <w:color w:val="0000FF"/>
            <w:sz w:val="28"/>
            <w:szCs w:val="28"/>
            <w:u w:val="single"/>
            <w:rtl/>
          </w:rPr>
          <w:t>ת"פ (מחוזי חיפה) 472/02</w:t>
        </w:r>
      </w:hyperlink>
      <w:r w:rsidRPr="004C06B0">
        <w:rPr>
          <w:rFonts w:ascii="FrankRuehl" w:hAnsi="FrankRuehl" w:cs="FrankRuehl"/>
          <w:sz w:val="28"/>
          <w:szCs w:val="28"/>
          <w:rtl/>
        </w:rPr>
        <w:t xml:space="preserve"> </w:t>
      </w:r>
      <w:r w:rsidRPr="00AF461E">
        <w:rPr>
          <w:rFonts w:ascii="Miriam" w:hAnsi="Miriam" w:cs="Miriam"/>
          <w:rtl/>
        </w:rPr>
        <w:t>מדינת ישראל נ' תאפל</w:t>
      </w:r>
      <w:r w:rsidRPr="004C06B0">
        <w:rPr>
          <w:rFonts w:ascii="FrankRuehl" w:hAnsi="FrankRuehl" w:cs="FrankRuehl"/>
          <w:sz w:val="28"/>
          <w:szCs w:val="28"/>
          <w:rtl/>
        </w:rPr>
        <w:t xml:space="preserve"> (16.5.2005):</w:t>
      </w:r>
    </w:p>
    <w:p w14:paraId="51F7DA4A" w14:textId="77777777" w:rsidR="00A72763" w:rsidRPr="004C06B0" w:rsidRDefault="00A72763" w:rsidP="00A72763">
      <w:pPr>
        <w:spacing w:line="360" w:lineRule="auto"/>
        <w:jc w:val="both"/>
        <w:rPr>
          <w:rFonts w:ascii="FrankRuehl" w:hAnsi="FrankRuehl" w:cs="FrankRuehl"/>
          <w:sz w:val="28"/>
          <w:szCs w:val="28"/>
          <w:rtl/>
        </w:rPr>
      </w:pPr>
    </w:p>
    <w:p w14:paraId="2C7E275E" w14:textId="77777777" w:rsidR="00A72763" w:rsidRPr="00433E60" w:rsidRDefault="00A72763" w:rsidP="00A72763">
      <w:pPr>
        <w:snapToGrid w:val="0"/>
        <w:spacing w:line="360" w:lineRule="auto"/>
        <w:ind w:left="1418" w:right="1418"/>
        <w:jc w:val="both"/>
        <w:rPr>
          <w:rFonts w:ascii="FrankRuehl" w:hAnsi="FrankRuehl" w:cs="FrankRuehl"/>
          <w:sz w:val="28"/>
          <w:szCs w:val="28"/>
          <w:rtl/>
          <w:lang w:eastAsia="he-IL"/>
        </w:rPr>
      </w:pPr>
      <w:bookmarkStart w:id="7" w:name="סוג_מסמך"/>
      <w:r w:rsidRPr="00433E60">
        <w:rPr>
          <w:rFonts w:ascii="FrankRuehl" w:hAnsi="FrankRuehl" w:cs="FrankRuehl"/>
          <w:sz w:val="28"/>
          <w:szCs w:val="28"/>
          <w:rtl/>
          <w:lang w:eastAsia="he-IL"/>
        </w:rPr>
        <w:t xml:space="preserve">"כאשר לא מדובר בעבירה של סחר בסמים, אלא בעבירה של החזקת סמים, וכאשר לא הוכח שבמהלך ביצוע העבירה הועברו כספים מיד ליד, כמו במקרה שלפנינו, הכיצד ניתן להוכיח שהנאשם היה אמור להפיק רווח מהעבירה? התשובה היא, שנוכח כמות הסמים הגדולה שנתפסה, קמה ועולה חזקה שבעובדה, שמקורה בשכל הישר ובנסיון החיים, כי החזקת הסם, לא נעשתה לידי שמיים ולא לצרכי צדקה, אלא לצורך הפקת רווח, ומכאן, שיש לראות את הנידון, כמי שהיה אמור להפיק רווח מביצוע העבירה." </w:t>
      </w:r>
      <w:bookmarkEnd w:id="7"/>
    </w:p>
    <w:p w14:paraId="7EB91CDB" w14:textId="77777777" w:rsidR="00A72763" w:rsidRPr="004C06B0" w:rsidRDefault="00A72763" w:rsidP="00A72763">
      <w:pPr>
        <w:spacing w:line="360" w:lineRule="auto"/>
        <w:jc w:val="both"/>
        <w:rPr>
          <w:rFonts w:ascii="FrankRuehl" w:hAnsi="FrankRuehl" w:cs="FrankRuehl"/>
          <w:noProof/>
          <w:sz w:val="28"/>
          <w:szCs w:val="28"/>
          <w:rtl/>
        </w:rPr>
      </w:pPr>
    </w:p>
    <w:p w14:paraId="1E950A5A" w14:textId="77777777" w:rsidR="00A72763" w:rsidRPr="004C06B0" w:rsidRDefault="00A72763" w:rsidP="00A72763">
      <w:pPr>
        <w:spacing w:line="360" w:lineRule="auto"/>
        <w:jc w:val="both"/>
        <w:rPr>
          <w:rFonts w:ascii="FrankRuehl" w:hAnsi="FrankRuehl" w:cs="FrankRuehl"/>
          <w:sz w:val="28"/>
          <w:szCs w:val="28"/>
          <w:rtl/>
        </w:rPr>
      </w:pPr>
      <w:r w:rsidRPr="004C06B0">
        <w:rPr>
          <w:rFonts w:ascii="FrankRuehl" w:hAnsi="FrankRuehl" w:cs="FrankRuehl"/>
          <w:sz w:val="28"/>
          <w:szCs w:val="28"/>
          <w:rtl/>
        </w:rPr>
        <w:t>אשר לנזק שנגרם או צפו היה להיגרם מביצוע העבירה, הרי שבפועל, מקום בו הסם נתפס בטרם הופץ, לא נגרם כל נזק קונרקטי. עם זאת, ושוב, בשים לב לכמות הסם שנתפסה, ברור כי פוטנציאל הנזק, לו היה הסם מופץ, הינו גבוה.</w:t>
      </w:r>
    </w:p>
    <w:p w14:paraId="56BADDDC" w14:textId="77777777" w:rsidR="00A72763" w:rsidRPr="004C06B0" w:rsidRDefault="00A72763" w:rsidP="00A72763">
      <w:pPr>
        <w:spacing w:line="360" w:lineRule="auto"/>
        <w:jc w:val="both"/>
        <w:rPr>
          <w:rFonts w:ascii="FrankRuehl" w:hAnsi="FrankRuehl" w:cs="FrankRuehl"/>
          <w:sz w:val="28"/>
          <w:szCs w:val="28"/>
          <w:rtl/>
        </w:rPr>
      </w:pPr>
    </w:p>
    <w:p w14:paraId="59DE1F7B" w14:textId="77777777" w:rsidR="00A72763" w:rsidRPr="00AF461E" w:rsidRDefault="00A72763" w:rsidP="00A72763">
      <w:pPr>
        <w:spacing w:line="360" w:lineRule="auto"/>
        <w:jc w:val="both"/>
        <w:rPr>
          <w:rFonts w:ascii="Miriam" w:hAnsi="Miriam" w:cs="Miriam"/>
          <w:rtl/>
        </w:rPr>
      </w:pPr>
      <w:r w:rsidRPr="00AF461E">
        <w:rPr>
          <w:rFonts w:ascii="Miriam" w:hAnsi="Miriam" w:cs="Miriam"/>
          <w:rtl/>
        </w:rPr>
        <w:t>מדיניות הענישה הנוהגת</w:t>
      </w:r>
    </w:p>
    <w:p w14:paraId="396A945D" w14:textId="77777777" w:rsidR="00A72763" w:rsidRPr="004C06B0" w:rsidRDefault="00A72763" w:rsidP="00A72763">
      <w:pPr>
        <w:spacing w:line="360" w:lineRule="auto"/>
        <w:jc w:val="both"/>
        <w:rPr>
          <w:rFonts w:ascii="FrankRuehl" w:hAnsi="FrankRuehl" w:cs="FrankRuehl"/>
          <w:sz w:val="28"/>
          <w:szCs w:val="28"/>
          <w:rtl/>
        </w:rPr>
      </w:pPr>
    </w:p>
    <w:p w14:paraId="48CA9617" w14:textId="77777777" w:rsidR="00A72763" w:rsidRPr="004C06B0" w:rsidRDefault="00A72763" w:rsidP="00A72763">
      <w:pPr>
        <w:spacing w:line="360" w:lineRule="auto"/>
        <w:jc w:val="both"/>
        <w:rPr>
          <w:rFonts w:ascii="FrankRuehl" w:hAnsi="FrankRuehl" w:cs="FrankRuehl"/>
          <w:sz w:val="28"/>
          <w:szCs w:val="28"/>
          <w:rtl/>
        </w:rPr>
      </w:pPr>
      <w:r w:rsidRPr="004C06B0">
        <w:rPr>
          <w:rFonts w:ascii="FrankRuehl" w:hAnsi="FrankRuehl" w:cs="FrankRuehl"/>
          <w:sz w:val="28"/>
          <w:szCs w:val="28"/>
          <w:rtl/>
        </w:rPr>
        <w:t>11.         על חומרתן של עבירות הסמים, ובפרט על חומרתה של עבירות הייצור, ההכנה וההפקה של סמים מסוכנים, אשר העונש הקבוע בצדה עומד על 20 שנות מאסר, לא צריך להכביר מילים. בית המשפט העליון הדגיש לא פעם את החשיבות הטמונה בניתוק שרשרת אספקת הסם, בין היתר באמצעות הטלת ענישה משמעותית ומרתיעה. לעניין זה יפים הדברים שנאמרו ב</w:t>
      </w:r>
      <w:hyperlink r:id="rId18" w:history="1">
        <w:r w:rsidR="00C13DF6" w:rsidRPr="00C13DF6">
          <w:rPr>
            <w:rFonts w:ascii="FrankRuehl" w:hAnsi="FrankRuehl" w:cs="FrankRuehl"/>
            <w:color w:val="0000FF"/>
            <w:sz w:val="28"/>
            <w:szCs w:val="28"/>
            <w:u w:val="single"/>
            <w:rtl/>
          </w:rPr>
          <w:t>ע"פ 4387/20</w:t>
        </w:r>
      </w:hyperlink>
      <w:r w:rsidRPr="004C06B0">
        <w:rPr>
          <w:rFonts w:ascii="FrankRuehl" w:hAnsi="FrankRuehl" w:cs="FrankRuehl"/>
          <w:sz w:val="28"/>
          <w:szCs w:val="28"/>
          <w:rtl/>
        </w:rPr>
        <w:t xml:space="preserve"> </w:t>
      </w:r>
      <w:r w:rsidRPr="00AF461E">
        <w:rPr>
          <w:rFonts w:ascii="Miriam" w:hAnsi="Miriam" w:cs="Miriam"/>
          <w:rtl/>
        </w:rPr>
        <w:t>מדינת ישראל נ' דרור</w:t>
      </w:r>
      <w:r w:rsidRPr="004C06B0">
        <w:rPr>
          <w:rFonts w:ascii="FrankRuehl" w:hAnsi="FrankRuehl" w:cs="FrankRuehl"/>
          <w:sz w:val="28"/>
          <w:szCs w:val="28"/>
          <w:rtl/>
        </w:rPr>
        <w:t xml:space="preserve"> (8.2.2021):</w:t>
      </w:r>
    </w:p>
    <w:p w14:paraId="1EECD62F" w14:textId="77777777" w:rsidR="00A72763" w:rsidRPr="004C06B0" w:rsidRDefault="00A72763" w:rsidP="00A72763">
      <w:pPr>
        <w:spacing w:line="360" w:lineRule="auto"/>
        <w:jc w:val="both"/>
        <w:rPr>
          <w:rFonts w:ascii="FrankRuehl" w:hAnsi="FrankRuehl" w:cs="FrankRuehl"/>
          <w:sz w:val="28"/>
          <w:szCs w:val="28"/>
          <w:rtl/>
        </w:rPr>
      </w:pPr>
    </w:p>
    <w:p w14:paraId="7EE19D24" w14:textId="77777777" w:rsidR="00A72763" w:rsidRPr="00433E60" w:rsidRDefault="00A72763" w:rsidP="00A72763">
      <w:pPr>
        <w:spacing w:line="360" w:lineRule="auto"/>
        <w:ind w:left="1418" w:right="1418"/>
        <w:jc w:val="both"/>
        <w:rPr>
          <w:rFonts w:ascii="FrankRuehl" w:hAnsi="FrankRuehl" w:cs="FrankRuehl"/>
          <w:sz w:val="28"/>
          <w:szCs w:val="28"/>
          <w:rtl/>
        </w:rPr>
      </w:pPr>
      <w:r w:rsidRPr="00433E60">
        <w:rPr>
          <w:rFonts w:ascii="FrankRuehl" w:hAnsi="FrankRuehl" w:cs="FrankRuehl"/>
          <w:sz w:val="28"/>
          <w:szCs w:val="28"/>
          <w:rtl/>
        </w:rPr>
        <w:t>"בית משפט זה עמד לא אחת על חומרתן של עבירות הסמים והדגיש כי יש צורך בהטלת ענישה ממשית אשר תרתיע עבריינים פוטנציאליים מביצוען. זאת, בין היתר במטרה למגר את מעבדות הסמים הפועלות במדינה, המתפשטות כאש בשדה קוצים. רמת ענישה זו, כפי שמשתקפת במדיניות הענישה הנוהגת, אף יש בה כדי להביע מסר חד וברור כי ניסיונות להקמת מיזמים מן הסוג כבמקרה דנן, אינן בעלות תוחלת כלכלית..."</w:t>
      </w:r>
    </w:p>
    <w:p w14:paraId="305666A4" w14:textId="77777777" w:rsidR="00A72763" w:rsidRPr="004C06B0" w:rsidRDefault="00A72763" w:rsidP="00A72763">
      <w:pPr>
        <w:spacing w:line="360" w:lineRule="auto"/>
        <w:jc w:val="both"/>
        <w:rPr>
          <w:rFonts w:ascii="FrankRuehl" w:hAnsi="FrankRuehl" w:cs="FrankRuehl"/>
          <w:b/>
          <w:bCs/>
          <w:sz w:val="28"/>
          <w:szCs w:val="28"/>
          <w:rtl/>
        </w:rPr>
      </w:pPr>
    </w:p>
    <w:p w14:paraId="7DAC5F17" w14:textId="77777777" w:rsidR="00A72763" w:rsidRDefault="00A72763" w:rsidP="00A72763">
      <w:pPr>
        <w:pStyle w:val="Ruller4"/>
        <w:tabs>
          <w:tab w:val="clear" w:pos="907"/>
        </w:tabs>
      </w:pPr>
      <w:r>
        <w:rPr>
          <w:rFonts w:ascii="FrankRuehl" w:hAnsi="FrankRuehl" w:hint="cs"/>
          <w:sz w:val="28"/>
          <w:rtl/>
        </w:rPr>
        <w:t>12</w:t>
      </w:r>
      <w:r w:rsidRPr="004C06B0">
        <w:rPr>
          <w:rFonts w:ascii="FrankRuehl" w:hAnsi="FrankRuehl"/>
          <w:sz w:val="28"/>
          <w:rtl/>
        </w:rPr>
        <w:t>.       ב</w:t>
      </w:r>
      <w:hyperlink r:id="rId19" w:history="1">
        <w:r w:rsidR="00C13DF6" w:rsidRPr="00C13DF6">
          <w:rPr>
            <w:rFonts w:ascii="FrankRuehl" w:hAnsi="FrankRuehl"/>
            <w:color w:val="0000FF"/>
            <w:sz w:val="28"/>
            <w:u w:val="single"/>
            <w:rtl/>
          </w:rPr>
          <w:t>ע"פ 126/22</w:t>
        </w:r>
      </w:hyperlink>
      <w:r w:rsidRPr="004C06B0">
        <w:rPr>
          <w:rFonts w:ascii="FrankRuehl" w:hAnsi="FrankRuehl"/>
          <w:sz w:val="28"/>
          <w:rtl/>
        </w:rPr>
        <w:t xml:space="preserve"> </w:t>
      </w:r>
      <w:r w:rsidRPr="00E750CF">
        <w:rPr>
          <w:rFonts w:ascii="Miriam" w:hAnsi="Miriam" w:cs="Miriam"/>
          <w:sz w:val="22"/>
          <w:szCs w:val="24"/>
          <w:rtl/>
        </w:rPr>
        <w:t>מדינת ישראל</w:t>
      </w:r>
      <w:r w:rsidRPr="00E750CF">
        <w:rPr>
          <w:rFonts w:ascii="Miriam" w:hAnsi="Miriam" w:cs="Miriam"/>
          <w:szCs w:val="24"/>
          <w:rtl/>
        </w:rPr>
        <w:t xml:space="preserve"> נ' פלוני</w:t>
      </w:r>
      <w:r w:rsidRPr="00E750CF">
        <w:rPr>
          <w:rFonts w:ascii="FrankRuehl" w:hAnsi="FrankRuehl"/>
          <w:szCs w:val="24"/>
          <w:rtl/>
        </w:rPr>
        <w:t xml:space="preserve"> </w:t>
      </w:r>
      <w:r w:rsidRPr="004C06B0">
        <w:rPr>
          <w:rFonts w:ascii="FrankRuehl" w:hAnsi="FrankRuehl"/>
          <w:sz w:val="28"/>
          <w:rtl/>
        </w:rPr>
        <w:t>(</w:t>
      </w:r>
      <w:r>
        <w:rPr>
          <w:rFonts w:ascii="FrankRuehl" w:hAnsi="FrankRuehl" w:hint="cs"/>
          <w:sz w:val="28"/>
          <w:rtl/>
        </w:rPr>
        <w:t>2</w:t>
      </w:r>
      <w:r w:rsidRPr="004C06B0">
        <w:rPr>
          <w:rFonts w:ascii="FrankRuehl" w:hAnsi="FrankRuehl"/>
          <w:sz w:val="28"/>
          <w:rtl/>
        </w:rPr>
        <w:t>7.</w:t>
      </w:r>
      <w:r>
        <w:rPr>
          <w:rFonts w:ascii="FrankRuehl" w:hAnsi="FrankRuehl" w:hint="cs"/>
          <w:sz w:val="28"/>
          <w:rtl/>
        </w:rPr>
        <w:t>4</w:t>
      </w:r>
      <w:r w:rsidRPr="004C06B0">
        <w:rPr>
          <w:rFonts w:ascii="FrankRuehl" w:hAnsi="FrankRuehl"/>
          <w:sz w:val="28"/>
          <w:rtl/>
        </w:rPr>
        <w:t>.2022)</w:t>
      </w:r>
      <w:r>
        <w:rPr>
          <w:rFonts w:hint="cs"/>
          <w:rtl/>
        </w:rPr>
        <w:t xml:space="preserve">, </w:t>
      </w:r>
      <w:r w:rsidRPr="004C06B0">
        <w:rPr>
          <w:rFonts w:ascii="FrankRuehl" w:hAnsi="FrankRuehl"/>
          <w:sz w:val="28"/>
          <w:rtl/>
        </w:rPr>
        <w:t>נדון עניינו של נאשם אשר הורשע בביצוע עבירות של ייצור</w:t>
      </w:r>
      <w:r>
        <w:rPr>
          <w:rFonts w:ascii="FrankRuehl" w:hAnsi="FrankRuehl" w:hint="cs"/>
          <w:sz w:val="28"/>
          <w:rtl/>
        </w:rPr>
        <w:t>,</w:t>
      </w:r>
      <w:r w:rsidRPr="004C06B0">
        <w:rPr>
          <w:rFonts w:ascii="FrankRuehl" w:hAnsi="FrankRuehl"/>
          <w:sz w:val="28"/>
          <w:rtl/>
        </w:rPr>
        <w:t xml:space="preserve"> הכנה והפקה</w:t>
      </w:r>
      <w:r>
        <w:rPr>
          <w:rFonts w:ascii="FrankRuehl" w:hAnsi="FrankRuehl" w:hint="cs"/>
          <w:sz w:val="28"/>
          <w:rtl/>
        </w:rPr>
        <w:t xml:space="preserve"> של סם מסוכן</w:t>
      </w:r>
      <w:r w:rsidRPr="004C06B0">
        <w:rPr>
          <w:rFonts w:ascii="FrankRuehl" w:hAnsi="FrankRuehl"/>
          <w:sz w:val="28"/>
          <w:rtl/>
        </w:rPr>
        <w:t>, החזקת סם מסוכן שלא לצריכה עצמית, החזקת כלים, וגניבת חשמל, לאחר שגידל בדירה ששכר 2</w:t>
      </w:r>
      <w:r>
        <w:rPr>
          <w:rFonts w:ascii="FrankRuehl" w:hAnsi="FrankRuehl" w:hint="cs"/>
          <w:sz w:val="28"/>
          <w:rtl/>
        </w:rPr>
        <w:t>86</w:t>
      </w:r>
      <w:r w:rsidRPr="004C06B0">
        <w:rPr>
          <w:rFonts w:ascii="FrankRuehl" w:hAnsi="FrankRuehl"/>
          <w:sz w:val="28"/>
          <w:rtl/>
        </w:rPr>
        <w:t xml:space="preserve"> שתילים של סם מסוכן מסוג קנבוס, במשקל של כ-6</w:t>
      </w:r>
      <w:r>
        <w:rPr>
          <w:rFonts w:ascii="FrankRuehl" w:hAnsi="FrankRuehl" w:hint="cs"/>
          <w:sz w:val="28"/>
          <w:rtl/>
        </w:rPr>
        <w:t>3</w:t>
      </w:r>
      <w:r w:rsidRPr="004C06B0">
        <w:rPr>
          <w:rFonts w:ascii="FrankRuehl" w:hAnsi="FrankRuehl"/>
          <w:sz w:val="28"/>
          <w:rtl/>
        </w:rPr>
        <w:t xml:space="preserve"> ק"ג נטו</w:t>
      </w:r>
      <w:r>
        <w:rPr>
          <w:rFonts w:ascii="FrankRuehl" w:hAnsi="FrankRuehl" w:hint="cs"/>
          <w:sz w:val="28"/>
          <w:rtl/>
        </w:rPr>
        <w:t>.</w:t>
      </w:r>
      <w:r w:rsidRPr="00E87B73">
        <w:rPr>
          <w:rFonts w:ascii="FrankRuehl" w:hAnsi="FrankRuehl"/>
          <w:sz w:val="28"/>
          <w:rtl/>
        </w:rPr>
        <w:t xml:space="preserve"> </w:t>
      </w:r>
      <w:r w:rsidRPr="004C06B0">
        <w:rPr>
          <w:rFonts w:ascii="FrankRuehl" w:hAnsi="FrankRuehl"/>
          <w:sz w:val="28"/>
          <w:rtl/>
        </w:rPr>
        <w:t xml:space="preserve">בית המשפט המחוזי קבע מתחם עונש הולם הנע בין </w:t>
      </w:r>
      <w:r>
        <w:rPr>
          <w:rFonts w:ascii="FrankRuehl" w:hAnsi="FrankRuehl" w:hint="cs"/>
          <w:sz w:val="28"/>
          <w:rtl/>
        </w:rPr>
        <w:t xml:space="preserve">18 ל- 48 </w:t>
      </w:r>
      <w:r w:rsidRPr="004C06B0">
        <w:rPr>
          <w:rFonts w:ascii="FrankRuehl" w:hAnsi="FrankRuehl"/>
          <w:sz w:val="28"/>
          <w:rtl/>
        </w:rPr>
        <w:t>חודשי מאסר</w:t>
      </w:r>
      <w:r>
        <w:rPr>
          <w:rFonts w:ascii="FrankRuehl" w:hAnsi="FrankRuehl" w:hint="cs"/>
          <w:sz w:val="28"/>
          <w:rtl/>
        </w:rPr>
        <w:t xml:space="preserve"> בפועל וסטה לקולא ממתחם הענישה, וגזר את דינו של הנאשם ל- 9 חודשי מאסר בפועל שירוצו בעבודות שירות. בית המשפט העליון קיבל את ערעור המדינה וקבע כי הרף התחתון של מתחם הענישה שקבע בית המשפט המחוזי, 18 חודשי מאסר, נמוך ביחס לנהוג בפסיקה. יחד עם זאת ומאחר ובית המשפט בוחן את התוצאה העונשית הסופית ובהתחשב בכך שאין</w:t>
      </w:r>
      <w:r>
        <w:rPr>
          <w:rtl/>
        </w:rPr>
        <w:t xml:space="preserve"> זה מדרכה של ערכאת הערעור למצות את הדין</w:t>
      </w:r>
      <w:r>
        <w:rPr>
          <w:rFonts w:hint="cs"/>
          <w:rtl/>
        </w:rPr>
        <w:t xml:space="preserve">, </w:t>
      </w:r>
      <w:r>
        <w:rPr>
          <w:rFonts w:ascii="FrankRuehl" w:hAnsi="FrankRuehl" w:hint="cs"/>
          <w:sz w:val="28"/>
          <w:rtl/>
        </w:rPr>
        <w:t>החמיר בית המשפט את עונשו של הנאשם ל-</w:t>
      </w:r>
      <w:r w:rsidRPr="004C06B0">
        <w:rPr>
          <w:rFonts w:ascii="FrankRuehl" w:hAnsi="FrankRuehl"/>
          <w:sz w:val="28"/>
          <w:rtl/>
        </w:rPr>
        <w:t xml:space="preserve"> </w:t>
      </w:r>
      <w:r>
        <w:rPr>
          <w:rFonts w:ascii="FrankRuehl" w:hAnsi="FrankRuehl" w:hint="cs"/>
          <w:b/>
          <w:bCs/>
          <w:sz w:val="28"/>
          <w:rtl/>
        </w:rPr>
        <w:t>18</w:t>
      </w:r>
      <w:r w:rsidRPr="00D97356">
        <w:rPr>
          <w:rFonts w:ascii="FrankRuehl" w:hAnsi="FrankRuehl"/>
          <w:b/>
          <w:bCs/>
          <w:sz w:val="28"/>
          <w:rtl/>
        </w:rPr>
        <w:t xml:space="preserve"> חודשי מאסר בפועל</w:t>
      </w:r>
      <w:r>
        <w:rPr>
          <w:rFonts w:ascii="FrankRuehl" w:hAnsi="FrankRuehl" w:hint="cs"/>
          <w:b/>
          <w:bCs/>
          <w:sz w:val="28"/>
          <w:rtl/>
        </w:rPr>
        <w:t xml:space="preserve"> בלבד</w:t>
      </w:r>
      <w:r>
        <w:rPr>
          <w:rFonts w:ascii="FrankRuehl" w:hAnsi="FrankRuehl" w:hint="cs"/>
          <w:sz w:val="28"/>
          <w:rtl/>
        </w:rPr>
        <w:t>.</w:t>
      </w:r>
    </w:p>
    <w:p w14:paraId="58C8FA6D" w14:textId="77777777" w:rsidR="00A72763" w:rsidRDefault="00A72763" w:rsidP="00A72763">
      <w:pPr>
        <w:spacing w:line="360" w:lineRule="auto"/>
        <w:jc w:val="both"/>
        <w:rPr>
          <w:rFonts w:ascii="FrankRuehl" w:hAnsi="FrankRuehl" w:cs="FrankRuehl"/>
          <w:sz w:val="28"/>
          <w:szCs w:val="28"/>
          <w:rtl/>
        </w:rPr>
      </w:pPr>
    </w:p>
    <w:p w14:paraId="313C1837" w14:textId="77777777" w:rsidR="00A72763" w:rsidRDefault="00A72763" w:rsidP="00A72763">
      <w:pPr>
        <w:spacing w:line="360" w:lineRule="auto"/>
        <w:jc w:val="both"/>
        <w:rPr>
          <w:rFonts w:ascii="FrankRuehl" w:hAnsi="FrankRuehl" w:cs="FrankRuehl"/>
          <w:sz w:val="28"/>
          <w:szCs w:val="28"/>
          <w:rtl/>
        </w:rPr>
      </w:pPr>
      <w:r w:rsidRPr="004C06B0">
        <w:rPr>
          <w:rFonts w:ascii="FrankRuehl" w:hAnsi="FrankRuehl" w:cs="FrankRuehl"/>
          <w:sz w:val="28"/>
          <w:szCs w:val="28"/>
          <w:rtl/>
        </w:rPr>
        <w:t xml:space="preserve"> </w:t>
      </w:r>
      <w:r>
        <w:rPr>
          <w:rFonts w:ascii="FrankRuehl" w:hAnsi="FrankRuehl" w:cs="FrankRuehl" w:hint="cs"/>
          <w:sz w:val="28"/>
          <w:szCs w:val="28"/>
          <w:rtl/>
        </w:rPr>
        <w:t>13.</w:t>
      </w:r>
      <w:r>
        <w:rPr>
          <w:rFonts w:ascii="FrankRuehl" w:hAnsi="FrankRuehl" w:cs="FrankRuehl" w:hint="cs"/>
          <w:sz w:val="28"/>
          <w:szCs w:val="28"/>
          <w:rtl/>
        </w:rPr>
        <w:tab/>
      </w:r>
      <w:r w:rsidRPr="004C06B0">
        <w:rPr>
          <w:rFonts w:ascii="FrankRuehl" w:hAnsi="FrankRuehl" w:cs="FrankRuehl"/>
          <w:sz w:val="28"/>
          <w:szCs w:val="28"/>
          <w:rtl/>
        </w:rPr>
        <w:t>ב</w:t>
      </w:r>
      <w:hyperlink r:id="rId20" w:history="1">
        <w:r w:rsidR="00C13DF6" w:rsidRPr="00C13DF6">
          <w:rPr>
            <w:rFonts w:ascii="FrankRuehl" w:hAnsi="FrankRuehl" w:cs="FrankRuehl"/>
            <w:color w:val="0000FF"/>
            <w:sz w:val="28"/>
            <w:szCs w:val="28"/>
            <w:u w:val="single"/>
            <w:rtl/>
          </w:rPr>
          <w:t>ע"פ 3398/22</w:t>
        </w:r>
      </w:hyperlink>
      <w:r w:rsidRPr="004C06B0">
        <w:rPr>
          <w:rFonts w:ascii="FrankRuehl" w:hAnsi="FrankRuehl" w:cs="FrankRuehl"/>
          <w:sz w:val="28"/>
          <w:szCs w:val="28"/>
          <w:rtl/>
        </w:rPr>
        <w:t xml:space="preserve"> </w:t>
      </w:r>
      <w:r w:rsidRPr="00AF461E">
        <w:rPr>
          <w:rFonts w:ascii="Miriam" w:hAnsi="Miriam" w:cs="Miriam"/>
          <w:rtl/>
        </w:rPr>
        <w:t>גמליאל נ' מדינת ישראל</w:t>
      </w:r>
      <w:r w:rsidRPr="004C06B0">
        <w:rPr>
          <w:rFonts w:ascii="FrankRuehl" w:hAnsi="FrankRuehl" w:cs="FrankRuehl"/>
          <w:sz w:val="28"/>
          <w:szCs w:val="28"/>
          <w:rtl/>
        </w:rPr>
        <w:t xml:space="preserve"> (17.7.2022), נדון עניינו של נאשם אשר הורשע בביצוע עבירות של ייצור הכנה והפקה, החזקת סם מסוכן שלא לצריכה עצמית, החזקת כלים, וגניבת חשמל, לאחר שגידל בדירה ששכר 202 שתילים של סם מסוכן מסוג קנבוס, במשקל של כ-65 ק"ג נטו. בית המשפט המחוזי קבע מתחם עונש הולם הנע בין 22-48 חודשי מאסר, והשית על הנאשם, צעיר ללא עבר פלילי, </w:t>
      </w:r>
      <w:r w:rsidRPr="00D97356">
        <w:rPr>
          <w:rFonts w:ascii="FrankRuehl" w:hAnsi="FrankRuehl" w:cs="FrankRuehl"/>
          <w:b/>
          <w:bCs/>
          <w:sz w:val="28"/>
          <w:szCs w:val="28"/>
          <w:rtl/>
        </w:rPr>
        <w:t>22 חודשי מאסר בפועל</w:t>
      </w:r>
      <w:r w:rsidRPr="004C06B0">
        <w:rPr>
          <w:rFonts w:ascii="FrankRuehl" w:hAnsi="FrankRuehl" w:cs="FrankRuehl"/>
          <w:sz w:val="28"/>
          <w:szCs w:val="28"/>
          <w:rtl/>
        </w:rPr>
        <w:t>, לצד עונשים נלווים. ערעור הנאשם על חומרת העונש נדחה.</w:t>
      </w:r>
      <w:r>
        <w:rPr>
          <w:rFonts w:ascii="FrankRuehl" w:hAnsi="FrankRuehl" w:cs="FrankRuehl" w:hint="cs"/>
          <w:sz w:val="28"/>
          <w:szCs w:val="28"/>
          <w:rtl/>
        </w:rPr>
        <w:t xml:space="preserve"> </w:t>
      </w:r>
    </w:p>
    <w:p w14:paraId="6979D00B" w14:textId="77777777" w:rsidR="00A72763" w:rsidRDefault="00A72763" w:rsidP="00A72763">
      <w:pPr>
        <w:spacing w:line="360" w:lineRule="auto"/>
        <w:jc w:val="both"/>
        <w:rPr>
          <w:rFonts w:ascii="FrankRuehl" w:hAnsi="FrankRuehl" w:cs="FrankRuehl"/>
          <w:sz w:val="28"/>
          <w:szCs w:val="28"/>
          <w:rtl/>
        </w:rPr>
      </w:pPr>
    </w:p>
    <w:p w14:paraId="012F1C94" w14:textId="77777777" w:rsidR="00A72763" w:rsidRPr="004C06B0" w:rsidRDefault="00A72763" w:rsidP="00A72763">
      <w:pPr>
        <w:spacing w:line="360" w:lineRule="auto"/>
        <w:jc w:val="both"/>
        <w:rPr>
          <w:rFonts w:ascii="FrankRuehl" w:hAnsi="FrankRuehl" w:cs="FrankRuehl"/>
          <w:sz w:val="28"/>
          <w:szCs w:val="28"/>
          <w:rtl/>
        </w:rPr>
      </w:pPr>
      <w:r>
        <w:rPr>
          <w:rFonts w:ascii="FrankRuehl" w:hAnsi="FrankRuehl" w:cs="FrankRuehl" w:hint="cs"/>
          <w:sz w:val="28"/>
          <w:szCs w:val="28"/>
          <w:rtl/>
        </w:rPr>
        <w:t>14.</w:t>
      </w:r>
      <w:r>
        <w:rPr>
          <w:rFonts w:ascii="FrankRuehl" w:hAnsi="FrankRuehl" w:cs="FrankRuehl"/>
          <w:sz w:val="28"/>
          <w:szCs w:val="28"/>
          <w:rtl/>
        </w:rPr>
        <w:tab/>
      </w:r>
      <w:r w:rsidRPr="004C06B0">
        <w:rPr>
          <w:rFonts w:ascii="FrankRuehl" w:hAnsi="FrankRuehl" w:cs="FrankRuehl"/>
          <w:sz w:val="28"/>
          <w:szCs w:val="28"/>
          <w:rtl/>
        </w:rPr>
        <w:t>ב</w:t>
      </w:r>
      <w:hyperlink r:id="rId21" w:history="1">
        <w:r w:rsidR="00C13DF6" w:rsidRPr="00C13DF6">
          <w:rPr>
            <w:rFonts w:ascii="FrankRuehl" w:hAnsi="FrankRuehl" w:cs="FrankRuehl"/>
            <w:color w:val="0000FF"/>
            <w:sz w:val="28"/>
            <w:szCs w:val="28"/>
            <w:u w:val="single"/>
            <w:rtl/>
          </w:rPr>
          <w:t>ע"פ 871/20</w:t>
        </w:r>
      </w:hyperlink>
      <w:r w:rsidRPr="004C06B0">
        <w:rPr>
          <w:rFonts w:ascii="FrankRuehl" w:hAnsi="FrankRuehl" w:cs="FrankRuehl"/>
          <w:sz w:val="28"/>
          <w:szCs w:val="28"/>
          <w:rtl/>
        </w:rPr>
        <w:t xml:space="preserve"> </w:t>
      </w:r>
      <w:r w:rsidRPr="00AF461E">
        <w:rPr>
          <w:rFonts w:ascii="Miriam" w:hAnsi="Miriam" w:cs="Miriam"/>
          <w:rtl/>
        </w:rPr>
        <w:t>אברג'יל נ' מדינת ישראל</w:t>
      </w:r>
      <w:r w:rsidRPr="004C06B0">
        <w:rPr>
          <w:rFonts w:ascii="FrankRuehl" w:hAnsi="FrankRuehl" w:cs="FrankRuehl"/>
          <w:b/>
          <w:bCs/>
          <w:sz w:val="28"/>
          <w:szCs w:val="28"/>
          <w:rtl/>
        </w:rPr>
        <w:t xml:space="preserve"> </w:t>
      </w:r>
      <w:r w:rsidRPr="004C06B0">
        <w:rPr>
          <w:rFonts w:ascii="FrankRuehl" w:hAnsi="FrankRuehl" w:cs="FrankRuehl"/>
          <w:sz w:val="28"/>
          <w:szCs w:val="28"/>
          <w:rtl/>
        </w:rPr>
        <w:t>(30</w:t>
      </w:r>
      <w:r>
        <w:rPr>
          <w:rFonts w:ascii="FrankRuehl" w:hAnsi="FrankRuehl" w:cs="FrankRuehl" w:hint="cs"/>
          <w:sz w:val="28"/>
          <w:szCs w:val="28"/>
          <w:rtl/>
        </w:rPr>
        <w:t>.</w:t>
      </w:r>
      <w:r w:rsidRPr="004C06B0">
        <w:rPr>
          <w:rFonts w:ascii="FrankRuehl" w:hAnsi="FrankRuehl" w:cs="FrankRuehl"/>
          <w:sz w:val="28"/>
          <w:szCs w:val="28"/>
          <w:rtl/>
        </w:rPr>
        <w:t>3</w:t>
      </w:r>
      <w:r>
        <w:rPr>
          <w:rFonts w:ascii="FrankRuehl" w:hAnsi="FrankRuehl" w:cs="FrankRuehl" w:hint="cs"/>
          <w:sz w:val="28"/>
          <w:szCs w:val="28"/>
          <w:rtl/>
        </w:rPr>
        <w:t>.</w:t>
      </w:r>
      <w:r w:rsidRPr="004C06B0">
        <w:rPr>
          <w:rFonts w:ascii="FrankRuehl" w:hAnsi="FrankRuehl" w:cs="FrankRuehl"/>
          <w:sz w:val="28"/>
          <w:szCs w:val="28"/>
          <w:rtl/>
        </w:rPr>
        <w:t>2020), נדון עניינו של נאשם אשר הורשע בעבירות של ייצור, הכנה והפקה של סם מסוגן מסוג קנבוס, ובהחזקת סם מסוכן שלא לצריכה עצמית, לאחר שהקים מעבדה וגידל בה מאות שתילים במשקל של 80 ק"ג. בית המשפט המחוזי קבע מתחם עונש הולם הנע בין 22-46 חודשי מאסר</w:t>
      </w:r>
      <w:r>
        <w:rPr>
          <w:rFonts w:ascii="FrankRuehl" w:hAnsi="FrankRuehl" w:cs="FrankRuehl" w:hint="cs"/>
          <w:sz w:val="28"/>
          <w:szCs w:val="28"/>
          <w:rtl/>
        </w:rPr>
        <w:t xml:space="preserve"> בפועל</w:t>
      </w:r>
      <w:r w:rsidRPr="004C06B0">
        <w:rPr>
          <w:rFonts w:ascii="FrankRuehl" w:hAnsi="FrankRuehl" w:cs="FrankRuehl"/>
          <w:sz w:val="28"/>
          <w:szCs w:val="28"/>
          <w:rtl/>
        </w:rPr>
        <w:t xml:space="preserve">, והשית על הנאשם, בעל עבר פלילי שהתיישן, </w:t>
      </w:r>
      <w:r w:rsidRPr="00D97356">
        <w:rPr>
          <w:rFonts w:ascii="FrankRuehl" w:hAnsi="FrankRuehl" w:cs="FrankRuehl"/>
          <w:b/>
          <w:bCs/>
          <w:sz w:val="28"/>
          <w:szCs w:val="28"/>
          <w:rtl/>
        </w:rPr>
        <w:t>26 חודשי מאסר בפועל</w:t>
      </w:r>
      <w:r w:rsidRPr="004C06B0">
        <w:rPr>
          <w:rFonts w:ascii="FrankRuehl" w:hAnsi="FrankRuehl" w:cs="FrankRuehl"/>
          <w:sz w:val="28"/>
          <w:szCs w:val="28"/>
          <w:rtl/>
        </w:rPr>
        <w:t>, לצד עונשים נלווים. ערעור הנאשם על חומרת העונש נדחה.</w:t>
      </w:r>
    </w:p>
    <w:p w14:paraId="0768006F" w14:textId="77777777" w:rsidR="00A72763" w:rsidRPr="004C06B0" w:rsidRDefault="00A72763" w:rsidP="00A72763">
      <w:pPr>
        <w:spacing w:line="360" w:lineRule="auto"/>
        <w:jc w:val="both"/>
        <w:rPr>
          <w:rFonts w:ascii="FrankRuehl" w:hAnsi="FrankRuehl" w:cs="FrankRuehl"/>
          <w:sz w:val="28"/>
          <w:szCs w:val="28"/>
          <w:rtl/>
        </w:rPr>
      </w:pPr>
    </w:p>
    <w:p w14:paraId="3BE54B50" w14:textId="77777777" w:rsidR="00A72763" w:rsidRPr="004C06B0" w:rsidRDefault="00A72763" w:rsidP="00A72763">
      <w:pPr>
        <w:spacing w:line="360" w:lineRule="auto"/>
        <w:jc w:val="both"/>
        <w:rPr>
          <w:rFonts w:ascii="FrankRuehl" w:hAnsi="FrankRuehl" w:cs="FrankRuehl"/>
          <w:sz w:val="28"/>
          <w:szCs w:val="28"/>
          <w:rtl/>
        </w:rPr>
      </w:pPr>
      <w:r w:rsidRPr="004C06B0">
        <w:rPr>
          <w:rFonts w:ascii="FrankRuehl" w:hAnsi="FrankRuehl" w:cs="FrankRuehl"/>
          <w:sz w:val="28"/>
          <w:szCs w:val="28"/>
          <w:rtl/>
        </w:rPr>
        <w:t>1</w:t>
      </w:r>
      <w:r>
        <w:rPr>
          <w:rFonts w:ascii="FrankRuehl" w:hAnsi="FrankRuehl" w:cs="FrankRuehl" w:hint="cs"/>
          <w:sz w:val="28"/>
          <w:szCs w:val="28"/>
          <w:rtl/>
        </w:rPr>
        <w:t>5</w:t>
      </w:r>
      <w:r w:rsidRPr="004C06B0">
        <w:rPr>
          <w:rFonts w:ascii="FrankRuehl" w:hAnsi="FrankRuehl" w:cs="FrankRuehl"/>
          <w:sz w:val="28"/>
          <w:szCs w:val="28"/>
          <w:rtl/>
        </w:rPr>
        <w:t>.         ב</w:t>
      </w:r>
      <w:hyperlink r:id="rId22" w:history="1">
        <w:r w:rsidR="00C13DF6" w:rsidRPr="00C13DF6">
          <w:rPr>
            <w:rFonts w:ascii="FrankRuehl" w:hAnsi="FrankRuehl" w:cs="FrankRuehl"/>
            <w:color w:val="0000FF"/>
            <w:sz w:val="28"/>
            <w:szCs w:val="28"/>
            <w:u w:val="single"/>
            <w:rtl/>
          </w:rPr>
          <w:t>ע"פ 5807/17</w:t>
        </w:r>
      </w:hyperlink>
      <w:r w:rsidRPr="004C06B0">
        <w:rPr>
          <w:rFonts w:ascii="FrankRuehl" w:hAnsi="FrankRuehl" w:cs="FrankRuehl"/>
          <w:sz w:val="28"/>
          <w:szCs w:val="28"/>
          <w:rtl/>
        </w:rPr>
        <w:t xml:space="preserve"> </w:t>
      </w:r>
      <w:r w:rsidRPr="00AF461E">
        <w:rPr>
          <w:rFonts w:ascii="Miriam" w:hAnsi="Miriam" w:cs="Miriam"/>
          <w:rtl/>
        </w:rPr>
        <w:t>דרחי נ' מדינת ישראל</w:t>
      </w:r>
      <w:r w:rsidRPr="004C06B0">
        <w:rPr>
          <w:rFonts w:ascii="FrankRuehl" w:hAnsi="FrankRuehl" w:cs="FrankRuehl"/>
          <w:sz w:val="28"/>
          <w:szCs w:val="28"/>
          <w:rtl/>
        </w:rPr>
        <w:t xml:space="preserve"> (18.6.2018), נדון עניינו של נאשם אשר הורשע בביצוע עבירות של גידול סם מסוכן והחזקת סם שלא לצריכה עצמית, לאחר שגידל בדירה שהייתה בחזקתו סמים מסוג קנאביס במשקל של 76.85 ק"ג. בית המשפט המחוזי קבע מתחם עונש הולם הנע בין 24-48 חודשי מאסר, והשית על הנאשם </w:t>
      </w:r>
      <w:r w:rsidRPr="00D97356">
        <w:rPr>
          <w:rFonts w:ascii="FrankRuehl" w:hAnsi="FrankRuehl" w:cs="FrankRuehl"/>
          <w:b/>
          <w:bCs/>
          <w:sz w:val="28"/>
          <w:szCs w:val="28"/>
          <w:rtl/>
        </w:rPr>
        <w:t>30 חודשי מאסר בפועל</w:t>
      </w:r>
      <w:r w:rsidRPr="004C06B0">
        <w:rPr>
          <w:rFonts w:ascii="FrankRuehl" w:hAnsi="FrankRuehl" w:cs="FrankRuehl"/>
          <w:sz w:val="28"/>
          <w:szCs w:val="28"/>
          <w:rtl/>
        </w:rPr>
        <w:t>, לצד עונשים נלווים. ערעור הנאשם על חומרת העונש נדחה.</w:t>
      </w:r>
    </w:p>
    <w:p w14:paraId="668708C0" w14:textId="77777777" w:rsidR="00A72763" w:rsidRPr="004C06B0" w:rsidRDefault="00A72763" w:rsidP="00A72763">
      <w:pPr>
        <w:spacing w:line="360" w:lineRule="auto"/>
        <w:jc w:val="both"/>
        <w:rPr>
          <w:rFonts w:ascii="FrankRuehl" w:hAnsi="FrankRuehl" w:cs="FrankRuehl"/>
          <w:sz w:val="28"/>
          <w:szCs w:val="28"/>
          <w:rtl/>
        </w:rPr>
      </w:pPr>
    </w:p>
    <w:p w14:paraId="6567973F" w14:textId="77777777" w:rsidR="00A72763" w:rsidRPr="004C06B0" w:rsidRDefault="00A72763" w:rsidP="00A72763">
      <w:pPr>
        <w:spacing w:line="360" w:lineRule="auto"/>
        <w:jc w:val="both"/>
        <w:rPr>
          <w:rFonts w:ascii="FrankRuehl" w:hAnsi="FrankRuehl" w:cs="FrankRuehl"/>
          <w:sz w:val="28"/>
          <w:szCs w:val="28"/>
          <w:rtl/>
        </w:rPr>
      </w:pPr>
      <w:r w:rsidRPr="004C06B0">
        <w:rPr>
          <w:rFonts w:ascii="FrankRuehl" w:hAnsi="FrankRuehl" w:cs="FrankRuehl"/>
          <w:sz w:val="28"/>
          <w:szCs w:val="28"/>
          <w:rtl/>
        </w:rPr>
        <w:t>1</w:t>
      </w:r>
      <w:r>
        <w:rPr>
          <w:rFonts w:ascii="FrankRuehl" w:hAnsi="FrankRuehl" w:cs="FrankRuehl" w:hint="cs"/>
          <w:sz w:val="28"/>
          <w:szCs w:val="28"/>
          <w:rtl/>
        </w:rPr>
        <w:t>6</w:t>
      </w:r>
      <w:r w:rsidRPr="00AF461E">
        <w:rPr>
          <w:rFonts w:ascii="FrankRuehl" w:hAnsi="FrankRuehl" w:cs="FrankRuehl"/>
          <w:sz w:val="28"/>
          <w:szCs w:val="28"/>
          <w:rtl/>
        </w:rPr>
        <w:t>.         בנסיבות העניין, תוך בחינת הערכים החברתיים המוגנים שנפגעו מהעבירה שביצע הנאשם ומידת הפגיעה בהם, בחינת הנסיבות הקשורות בביצ</w:t>
      </w:r>
      <w:r>
        <w:rPr>
          <w:rFonts w:ascii="FrankRuehl" w:hAnsi="FrankRuehl" w:cs="FrankRuehl"/>
          <w:sz w:val="28"/>
          <w:szCs w:val="28"/>
          <w:rtl/>
        </w:rPr>
        <w:t>וע העבירה ומדיניות הענישה הנהוג</w:t>
      </w:r>
      <w:r>
        <w:rPr>
          <w:rFonts w:ascii="FrankRuehl" w:hAnsi="FrankRuehl" w:cs="FrankRuehl" w:hint="cs"/>
          <w:sz w:val="28"/>
          <w:szCs w:val="28"/>
          <w:rtl/>
        </w:rPr>
        <w:t xml:space="preserve">ה, </w:t>
      </w:r>
      <w:r w:rsidRPr="00EE1A3C">
        <w:rPr>
          <w:rFonts w:ascii="FrankRuehl" w:hAnsi="FrankRuehl" w:cs="FrankRuehl"/>
          <w:sz w:val="28"/>
          <w:szCs w:val="28"/>
          <w:rtl/>
        </w:rPr>
        <w:t xml:space="preserve">סבור אני כי </w:t>
      </w:r>
      <w:r w:rsidRPr="004C06B0">
        <w:rPr>
          <w:rFonts w:ascii="FrankRuehl" w:hAnsi="FrankRuehl" w:cs="FrankRuehl"/>
          <w:b/>
          <w:bCs/>
          <w:sz w:val="28"/>
          <w:szCs w:val="28"/>
          <w:rtl/>
        </w:rPr>
        <w:t xml:space="preserve">מתחם העונש ההולם במקרה דנן נע בין </w:t>
      </w:r>
      <w:r>
        <w:rPr>
          <w:rFonts w:ascii="FrankRuehl" w:hAnsi="FrankRuehl" w:cs="FrankRuehl" w:hint="cs"/>
          <w:b/>
          <w:bCs/>
          <w:sz w:val="28"/>
          <w:szCs w:val="28"/>
          <w:rtl/>
        </w:rPr>
        <w:t>22</w:t>
      </w:r>
      <w:r w:rsidRPr="004C06B0">
        <w:rPr>
          <w:rFonts w:ascii="FrankRuehl" w:hAnsi="FrankRuehl" w:cs="FrankRuehl"/>
          <w:b/>
          <w:bCs/>
          <w:sz w:val="28"/>
          <w:szCs w:val="28"/>
          <w:rtl/>
        </w:rPr>
        <w:t xml:space="preserve"> ל- 4</w:t>
      </w:r>
      <w:r>
        <w:rPr>
          <w:rFonts w:ascii="FrankRuehl" w:hAnsi="FrankRuehl" w:cs="FrankRuehl" w:hint="cs"/>
          <w:b/>
          <w:bCs/>
          <w:sz w:val="28"/>
          <w:szCs w:val="28"/>
          <w:rtl/>
        </w:rPr>
        <w:t>4</w:t>
      </w:r>
      <w:r w:rsidRPr="004C06B0">
        <w:rPr>
          <w:rFonts w:ascii="FrankRuehl" w:hAnsi="FrankRuehl" w:cs="FrankRuehl"/>
          <w:b/>
          <w:bCs/>
          <w:sz w:val="28"/>
          <w:szCs w:val="28"/>
          <w:rtl/>
        </w:rPr>
        <w:t xml:space="preserve"> חודשי מאסר בפועל, לצד ענישה נלווית.</w:t>
      </w:r>
    </w:p>
    <w:p w14:paraId="5222427F" w14:textId="77777777" w:rsidR="00A72763" w:rsidRPr="004C06B0" w:rsidRDefault="00A72763" w:rsidP="00A72763">
      <w:pPr>
        <w:spacing w:line="360" w:lineRule="auto"/>
        <w:jc w:val="both"/>
        <w:rPr>
          <w:rFonts w:ascii="FrankRuehl" w:hAnsi="FrankRuehl" w:cs="FrankRuehl"/>
          <w:sz w:val="28"/>
          <w:szCs w:val="28"/>
          <w:rtl/>
        </w:rPr>
      </w:pPr>
    </w:p>
    <w:p w14:paraId="075DF096" w14:textId="77777777" w:rsidR="00A72763" w:rsidRPr="00AF461E" w:rsidRDefault="00A72763" w:rsidP="00A72763">
      <w:pPr>
        <w:spacing w:line="360" w:lineRule="auto"/>
        <w:jc w:val="both"/>
        <w:rPr>
          <w:rFonts w:ascii="Miriam" w:hAnsi="Miriam" w:cs="Miriam"/>
          <w:rtl/>
        </w:rPr>
      </w:pPr>
      <w:r w:rsidRPr="00AF461E">
        <w:rPr>
          <w:rFonts w:ascii="Miriam" w:hAnsi="Miriam" w:cs="Miriam"/>
          <w:rtl/>
        </w:rPr>
        <w:t>חריגה ממתחם העונש</w:t>
      </w:r>
    </w:p>
    <w:p w14:paraId="39E353EE" w14:textId="77777777" w:rsidR="00A72763" w:rsidRPr="004C06B0" w:rsidRDefault="00A72763" w:rsidP="00A72763">
      <w:pPr>
        <w:spacing w:line="360" w:lineRule="auto"/>
        <w:jc w:val="both"/>
        <w:rPr>
          <w:rFonts w:ascii="FrankRuehl" w:hAnsi="FrankRuehl" w:cs="FrankRuehl"/>
          <w:b/>
          <w:bCs/>
          <w:sz w:val="28"/>
          <w:szCs w:val="28"/>
          <w:rtl/>
        </w:rPr>
      </w:pPr>
    </w:p>
    <w:p w14:paraId="61179618" w14:textId="77777777" w:rsidR="00A72763" w:rsidRPr="004C06B0" w:rsidRDefault="00A72763" w:rsidP="00A72763">
      <w:pPr>
        <w:spacing w:line="360" w:lineRule="auto"/>
        <w:jc w:val="both"/>
        <w:rPr>
          <w:rFonts w:ascii="FrankRuehl" w:hAnsi="FrankRuehl" w:cs="FrankRuehl"/>
          <w:sz w:val="28"/>
          <w:szCs w:val="28"/>
          <w:rtl/>
        </w:rPr>
      </w:pPr>
      <w:r w:rsidRPr="004C06B0">
        <w:rPr>
          <w:rFonts w:ascii="FrankRuehl" w:hAnsi="FrankRuehl" w:cs="FrankRuehl"/>
          <w:sz w:val="28"/>
          <w:szCs w:val="28"/>
          <w:rtl/>
        </w:rPr>
        <w:t>1</w:t>
      </w:r>
      <w:r>
        <w:rPr>
          <w:rFonts w:ascii="FrankRuehl" w:hAnsi="FrankRuehl" w:cs="FrankRuehl" w:hint="cs"/>
          <w:sz w:val="28"/>
          <w:szCs w:val="28"/>
          <w:rtl/>
        </w:rPr>
        <w:t>7</w:t>
      </w:r>
      <w:r>
        <w:rPr>
          <w:rFonts w:ascii="FrankRuehl" w:hAnsi="FrankRuehl" w:cs="FrankRuehl"/>
          <w:sz w:val="28"/>
          <w:szCs w:val="28"/>
          <w:rtl/>
        </w:rPr>
        <w:t xml:space="preserve">.          </w:t>
      </w:r>
      <w:r w:rsidRPr="004C06B0">
        <w:rPr>
          <w:rFonts w:ascii="FrankRuehl" w:hAnsi="FrankRuehl" w:cs="FrankRuehl"/>
          <w:sz w:val="28"/>
          <w:szCs w:val="28"/>
          <w:rtl/>
        </w:rPr>
        <w:t>במסגרת טיעניו לעונש, טען בא-כוח הנאשם כי ראוי לחרוג ממתחם העונש ההולם בעניינו של הנאשם וזאת נוכח נסיבותיו האישיות הייחודיות העומדות בבסיס ביצוע העבירות, הכוללות את היותו אדם חולה, הסובל מכאבים קשים בגינם כיום הוא מחזי</w:t>
      </w:r>
      <w:r>
        <w:rPr>
          <w:rFonts w:ascii="FrankRuehl" w:hAnsi="FrankRuehl" w:cs="FrankRuehl"/>
          <w:sz w:val="28"/>
          <w:szCs w:val="28"/>
          <w:rtl/>
        </w:rPr>
        <w:t>ק</w:t>
      </w:r>
      <w:r w:rsidRPr="004C06B0">
        <w:rPr>
          <w:rFonts w:ascii="FrankRuehl" w:hAnsi="FrankRuehl" w:cs="FrankRuehl"/>
          <w:sz w:val="28"/>
          <w:szCs w:val="28"/>
          <w:rtl/>
        </w:rPr>
        <w:t xml:space="preserve"> ברישיון לשימוש בקנאביס רפואי. בא-כוח הנא</w:t>
      </w:r>
      <w:r>
        <w:rPr>
          <w:rFonts w:ascii="FrankRuehl" w:hAnsi="FrankRuehl" w:cs="FrankRuehl"/>
          <w:sz w:val="28"/>
          <w:szCs w:val="28"/>
          <w:rtl/>
        </w:rPr>
        <w:t>שם הוסיף והפנה להשתלבותו</w:t>
      </w:r>
      <w:r w:rsidRPr="004C06B0">
        <w:rPr>
          <w:rFonts w:ascii="FrankRuehl" w:hAnsi="FrankRuehl" w:cs="FrankRuehl"/>
          <w:sz w:val="28"/>
          <w:szCs w:val="28"/>
          <w:rtl/>
        </w:rPr>
        <w:t xml:space="preserve"> של הנאשם בהליכי הטיפול של שירות המבחן, אשר לטענתו מלמדת על נכונות ומוטיבציה לשנות את חייו.</w:t>
      </w:r>
    </w:p>
    <w:p w14:paraId="60E5FF3E" w14:textId="77777777" w:rsidR="00A72763" w:rsidRPr="004C06B0" w:rsidRDefault="00A72763" w:rsidP="00A72763">
      <w:pPr>
        <w:spacing w:line="360" w:lineRule="auto"/>
        <w:jc w:val="both"/>
        <w:rPr>
          <w:rFonts w:ascii="FrankRuehl" w:hAnsi="FrankRuehl" w:cs="FrankRuehl"/>
          <w:sz w:val="28"/>
          <w:szCs w:val="28"/>
          <w:rtl/>
        </w:rPr>
      </w:pPr>
    </w:p>
    <w:p w14:paraId="727DD645" w14:textId="77777777" w:rsidR="00A72763" w:rsidRPr="004C06B0" w:rsidRDefault="00A72763" w:rsidP="00A72763">
      <w:pPr>
        <w:spacing w:line="360" w:lineRule="auto"/>
        <w:jc w:val="both"/>
        <w:rPr>
          <w:rFonts w:ascii="FrankRuehl" w:hAnsi="FrankRuehl" w:cs="FrankRuehl"/>
          <w:color w:val="000000"/>
          <w:sz w:val="28"/>
          <w:szCs w:val="28"/>
          <w:rtl/>
        </w:rPr>
      </w:pPr>
      <w:r>
        <w:rPr>
          <w:rFonts w:ascii="FrankRuehl" w:hAnsi="FrankRuehl" w:cs="FrankRuehl" w:hint="cs"/>
          <w:sz w:val="28"/>
          <w:szCs w:val="28"/>
          <w:rtl/>
        </w:rPr>
        <w:t>18</w:t>
      </w:r>
      <w:r>
        <w:rPr>
          <w:rFonts w:ascii="FrankRuehl" w:hAnsi="FrankRuehl" w:cs="FrankRuehl"/>
          <w:sz w:val="28"/>
          <w:szCs w:val="28"/>
          <w:rtl/>
        </w:rPr>
        <w:t xml:space="preserve">.       </w:t>
      </w:r>
      <w:r>
        <w:rPr>
          <w:rFonts w:ascii="FrankRuehl" w:eastAsia="David" w:hAnsi="FrankRuehl" w:cs="FrankRuehl"/>
          <w:color w:val="000000"/>
          <w:sz w:val="28"/>
          <w:szCs w:val="28"/>
          <w:rtl/>
        </w:rPr>
        <w:t xml:space="preserve">כידוע, בית המשפט רשאי לחרוג לקולה ממתחם העונש ההולם משיקולי שיקום. בהקשר זה נקבע בפסיקה "ששילוב בין </w:t>
      </w:r>
      <w:r>
        <w:rPr>
          <w:rFonts w:ascii="Miriam" w:eastAsia="David" w:hAnsi="Miriam" w:cs="Miriam"/>
          <w:color w:val="000000"/>
          <w:rtl/>
        </w:rPr>
        <w:t>שינוי מהותי בהתייחסות הרגשית</w:t>
      </w:r>
      <w:r>
        <w:rPr>
          <w:rFonts w:ascii="FrankRuehl" w:eastAsia="David" w:hAnsi="FrankRuehl" w:cs="FrankRuehl"/>
          <w:color w:val="000000"/>
          <w:rtl/>
        </w:rPr>
        <w:t xml:space="preserve"> </w:t>
      </w:r>
      <w:r>
        <w:rPr>
          <w:rFonts w:ascii="FrankRuehl" w:eastAsia="David" w:hAnsi="FrankRuehl" w:cs="FrankRuehl"/>
          <w:color w:val="000000"/>
          <w:sz w:val="28"/>
          <w:szCs w:val="28"/>
          <w:rtl/>
        </w:rPr>
        <w:t xml:space="preserve">לאירוע העבירה המתבטא בנטילת אחריות, כפרה והבעת אמפתיה לנפגעי העבירה לבין </w:t>
      </w:r>
      <w:r>
        <w:rPr>
          <w:rFonts w:ascii="Miriam" w:eastAsia="David" w:hAnsi="Miriam" w:cs="Miriam"/>
          <w:color w:val="000000"/>
          <w:rtl/>
        </w:rPr>
        <w:t xml:space="preserve">אינדיקציות אובייקטיביות לקיומו של תהליך שיקומי-טיפולי מוצלח </w:t>
      </w:r>
      <w:r>
        <w:rPr>
          <w:rFonts w:ascii="FrankRuehl" w:eastAsia="David" w:hAnsi="FrankRuehl" w:cs="FrankRuehl"/>
          <w:color w:val="000000"/>
          <w:sz w:val="28"/>
          <w:szCs w:val="28"/>
          <w:rtl/>
        </w:rPr>
        <w:t>וחזרה לדרך הישר, עשוי להצביע על 'סיכוי של ממש לשיקום' כלשונו של סעיף 40ד(א) ל</w:t>
      </w:r>
      <w:hyperlink r:id="rId23" w:history="1">
        <w:r w:rsidR="00C13DF6" w:rsidRPr="00C13DF6">
          <w:rPr>
            <w:rFonts w:ascii="FrankRuehl" w:eastAsia="David" w:hAnsi="FrankRuehl" w:cs="FrankRuehl"/>
            <w:color w:val="0000FF"/>
            <w:sz w:val="28"/>
            <w:szCs w:val="28"/>
            <w:u w:val="single"/>
            <w:rtl/>
          </w:rPr>
          <w:t>חוק העונשין</w:t>
        </w:r>
      </w:hyperlink>
      <w:r>
        <w:rPr>
          <w:rFonts w:ascii="FrankRuehl" w:eastAsia="David" w:hAnsi="FrankRuehl" w:cs="FrankRuehl"/>
          <w:color w:val="000000"/>
          <w:sz w:val="28"/>
          <w:szCs w:val="28"/>
          <w:rtl/>
        </w:rPr>
        <w:t xml:space="preserve">" (ההדגשה במקור </w:t>
      </w:r>
      <w:r>
        <w:rPr>
          <w:rFonts w:ascii="Miriam" w:eastAsia="David" w:hAnsi="Miriam" w:cs="Miriam"/>
          <w:color w:val="000000"/>
          <w:rtl/>
        </w:rPr>
        <w:t>ח.ס</w:t>
      </w:r>
      <w:r>
        <w:rPr>
          <w:rFonts w:ascii="FrankRuehl" w:eastAsia="David" w:hAnsi="FrankRuehl" w:cs="FrankRuehl"/>
          <w:color w:val="000000"/>
          <w:sz w:val="28"/>
          <w:szCs w:val="28"/>
          <w:rtl/>
        </w:rPr>
        <w:t xml:space="preserve">). פרמטרים אלו אף זוכים למשקל מוגבר מקום בו מדובר באדם צעיר ונעדר עבר פלילי (ראו </w:t>
      </w:r>
      <w:hyperlink r:id="rId24" w:history="1">
        <w:r w:rsidR="00C13DF6" w:rsidRPr="00C13DF6">
          <w:rPr>
            <w:rFonts w:ascii="FrankRuehl" w:eastAsia="David" w:hAnsi="FrankRuehl" w:cs="FrankRuehl"/>
            <w:color w:val="0000FF"/>
            <w:sz w:val="28"/>
            <w:szCs w:val="28"/>
            <w:u w:val="single"/>
            <w:rtl/>
          </w:rPr>
          <w:t>ע"פ 6637/17</w:t>
        </w:r>
      </w:hyperlink>
      <w:r>
        <w:rPr>
          <w:rFonts w:ascii="FrankRuehl" w:eastAsia="David" w:hAnsi="FrankRuehl" w:cs="FrankRuehl"/>
          <w:color w:val="000000"/>
          <w:sz w:val="28"/>
          <w:szCs w:val="28"/>
          <w:rtl/>
        </w:rPr>
        <w:t xml:space="preserve"> </w:t>
      </w:r>
      <w:r>
        <w:rPr>
          <w:rFonts w:ascii="Miriam" w:eastAsia="David" w:hAnsi="Miriam" w:cs="Miriam"/>
          <w:color w:val="000000"/>
          <w:rtl/>
        </w:rPr>
        <w:t>קרנדל נ' מדינת ישראל</w:t>
      </w:r>
      <w:r>
        <w:rPr>
          <w:rFonts w:ascii="FrankRuehl" w:eastAsia="David" w:hAnsi="FrankRuehl" w:cs="FrankRuehl"/>
          <w:b/>
          <w:bCs/>
          <w:color w:val="000000"/>
          <w:rtl/>
        </w:rPr>
        <w:t xml:space="preserve"> </w:t>
      </w:r>
      <w:r>
        <w:rPr>
          <w:rFonts w:ascii="FrankRuehl" w:eastAsia="David" w:hAnsi="FrankRuehl" w:cs="FrankRuehl"/>
          <w:color w:val="000000"/>
          <w:sz w:val="28"/>
          <w:szCs w:val="28"/>
          <w:rtl/>
        </w:rPr>
        <w:t>(18.4.2018)).</w:t>
      </w:r>
      <w:r w:rsidRPr="004C06B0">
        <w:rPr>
          <w:rFonts w:ascii="FrankRuehl" w:hAnsi="FrankRuehl" w:cs="FrankRuehl"/>
          <w:sz w:val="28"/>
          <w:szCs w:val="28"/>
          <w:rtl/>
        </w:rPr>
        <w:t xml:space="preserve"> </w:t>
      </w:r>
    </w:p>
    <w:p w14:paraId="609212B8" w14:textId="77777777" w:rsidR="00A72763" w:rsidRPr="004C06B0" w:rsidRDefault="00A72763" w:rsidP="00A72763">
      <w:pPr>
        <w:spacing w:line="360" w:lineRule="auto"/>
        <w:jc w:val="both"/>
        <w:rPr>
          <w:rFonts w:ascii="FrankRuehl" w:hAnsi="FrankRuehl" w:cs="FrankRuehl"/>
          <w:color w:val="000000"/>
          <w:sz w:val="28"/>
          <w:szCs w:val="28"/>
          <w:rtl/>
        </w:rPr>
      </w:pPr>
    </w:p>
    <w:p w14:paraId="5EE50E35" w14:textId="77777777" w:rsidR="00A72763" w:rsidRPr="00A301D9" w:rsidRDefault="00A72763" w:rsidP="00A72763">
      <w:pPr>
        <w:spacing w:line="360" w:lineRule="auto"/>
        <w:jc w:val="both"/>
        <w:rPr>
          <w:rFonts w:ascii="FrankRuehl" w:eastAsia="David" w:hAnsi="FrankRuehl" w:cs="FrankRuehl"/>
          <w:color w:val="000000"/>
          <w:sz w:val="28"/>
          <w:szCs w:val="28"/>
        </w:rPr>
      </w:pPr>
      <w:r>
        <w:rPr>
          <w:rFonts w:ascii="FrankRuehl" w:hAnsi="FrankRuehl" w:cs="FrankRuehl" w:hint="cs"/>
          <w:color w:val="000000"/>
          <w:sz w:val="28"/>
          <w:szCs w:val="28"/>
          <w:rtl/>
        </w:rPr>
        <w:t>19</w:t>
      </w:r>
      <w:r w:rsidRPr="004C06B0">
        <w:rPr>
          <w:rFonts w:ascii="FrankRuehl" w:hAnsi="FrankRuehl" w:cs="FrankRuehl"/>
          <w:color w:val="000000"/>
          <w:sz w:val="28"/>
          <w:szCs w:val="28"/>
          <w:rtl/>
        </w:rPr>
        <w:t xml:space="preserve">.       </w:t>
      </w:r>
      <w:r w:rsidRPr="00A301D9">
        <w:rPr>
          <w:rFonts w:ascii="FrankRuehl" w:eastAsia="David" w:hAnsi="FrankRuehl" w:cs="FrankRuehl"/>
          <w:color w:val="000000"/>
          <w:sz w:val="28"/>
          <w:szCs w:val="28"/>
          <w:rtl/>
        </w:rPr>
        <w:t xml:space="preserve">לצד זאת, נקבע כי לא בכל מקרה של תהליך טיפולי חיובי יש להפעיל את הסמכות הקבועה </w:t>
      </w:r>
      <w:hyperlink r:id="rId25" w:history="1">
        <w:r w:rsidR="007F3A09" w:rsidRPr="007F3A09">
          <w:rPr>
            <w:rStyle w:val="Hyperlink"/>
            <w:rFonts w:ascii="FrankRuehl" w:eastAsia="David" w:hAnsi="FrankRuehl" w:cs="FrankRuehl"/>
            <w:sz w:val="28"/>
            <w:szCs w:val="28"/>
            <w:rtl/>
          </w:rPr>
          <w:t>בסעיף 40ד</w:t>
        </w:r>
      </w:hyperlink>
      <w:r w:rsidRPr="00A301D9">
        <w:rPr>
          <w:rFonts w:ascii="FrankRuehl" w:eastAsia="David" w:hAnsi="FrankRuehl" w:cs="FrankRuehl"/>
          <w:color w:val="000000"/>
          <w:sz w:val="28"/>
          <w:szCs w:val="28"/>
          <w:rtl/>
        </w:rPr>
        <w:t xml:space="preserve"> ל</w:t>
      </w:r>
      <w:hyperlink r:id="rId26" w:history="1">
        <w:r w:rsidR="00C13DF6" w:rsidRPr="00C13DF6">
          <w:rPr>
            <w:rFonts w:ascii="FrankRuehl" w:eastAsia="David" w:hAnsi="FrankRuehl" w:cs="FrankRuehl"/>
            <w:color w:val="0000FF"/>
            <w:sz w:val="28"/>
            <w:szCs w:val="28"/>
            <w:u w:val="single"/>
            <w:rtl/>
          </w:rPr>
          <w:t>חוק העונשין</w:t>
        </w:r>
      </w:hyperlink>
      <w:r w:rsidRPr="00A301D9">
        <w:rPr>
          <w:rFonts w:ascii="FrankRuehl" w:eastAsia="David" w:hAnsi="FrankRuehl" w:cs="FrankRuehl"/>
          <w:color w:val="000000"/>
          <w:sz w:val="28"/>
          <w:szCs w:val="28"/>
          <w:rtl/>
        </w:rPr>
        <w:t xml:space="preserve">, כאשר החריגה ממתחם העונש תעשה במקרים חריגים בלבד. לעניין זה נקבע כי חרף חשיבותו של אינטרס השיקום הוא אינו עומד לבדו, ובעת גזירת העונש יש לראות את מכלול שיקולי הענישה (ראו </w:t>
      </w:r>
      <w:hyperlink r:id="rId27" w:history="1">
        <w:r w:rsidR="00C13DF6" w:rsidRPr="00C13DF6">
          <w:rPr>
            <w:rFonts w:ascii="FrankRuehl" w:eastAsia="David" w:hAnsi="FrankRuehl" w:cs="FrankRuehl"/>
            <w:color w:val="0000FF"/>
            <w:sz w:val="28"/>
            <w:szCs w:val="28"/>
            <w:u w:val="single"/>
            <w:rtl/>
          </w:rPr>
          <w:t>ע"פ 126/22</w:t>
        </w:r>
      </w:hyperlink>
      <w:r w:rsidRPr="00A301D9">
        <w:rPr>
          <w:rFonts w:ascii="FrankRuehl" w:eastAsia="David" w:hAnsi="FrankRuehl" w:cs="FrankRuehl"/>
          <w:color w:val="000000"/>
          <w:sz w:val="28"/>
          <w:szCs w:val="28"/>
          <w:rtl/>
        </w:rPr>
        <w:t xml:space="preserve">  </w:t>
      </w:r>
      <w:r w:rsidRPr="00A301D9">
        <w:rPr>
          <w:rFonts w:ascii="Miriam" w:eastAsia="David" w:hAnsi="Miriam" w:cs="Miriam"/>
          <w:color w:val="000000"/>
          <w:rtl/>
        </w:rPr>
        <w:t>מדינת ישראל נ' פלוני</w:t>
      </w:r>
      <w:r w:rsidRPr="00A301D9">
        <w:rPr>
          <w:rFonts w:ascii="FrankRuehl" w:eastAsia="David" w:hAnsi="FrankRuehl" w:cs="FrankRuehl"/>
          <w:color w:val="000000"/>
          <w:rtl/>
        </w:rPr>
        <w:t xml:space="preserve"> </w:t>
      </w:r>
      <w:r w:rsidRPr="00A301D9">
        <w:rPr>
          <w:rFonts w:ascii="FrankRuehl" w:eastAsia="David" w:hAnsi="FrankRuehl" w:cs="FrankRuehl"/>
          <w:color w:val="000000"/>
          <w:sz w:val="28"/>
          <w:szCs w:val="28"/>
          <w:rtl/>
        </w:rPr>
        <w:t>(27.4.2022)).</w:t>
      </w:r>
    </w:p>
    <w:p w14:paraId="145F00A4" w14:textId="77777777" w:rsidR="00A72763" w:rsidRPr="004C06B0" w:rsidRDefault="00A72763" w:rsidP="00A72763">
      <w:pPr>
        <w:spacing w:line="360" w:lineRule="auto"/>
        <w:jc w:val="both"/>
        <w:rPr>
          <w:rFonts w:ascii="FrankRuehl" w:hAnsi="FrankRuehl" w:cs="FrankRuehl"/>
          <w:color w:val="000000"/>
          <w:sz w:val="28"/>
          <w:szCs w:val="28"/>
          <w:rtl/>
        </w:rPr>
      </w:pPr>
      <w:r w:rsidRPr="004C06B0">
        <w:rPr>
          <w:rFonts w:ascii="FrankRuehl" w:hAnsi="FrankRuehl" w:cs="FrankRuehl"/>
          <w:color w:val="000000"/>
          <w:sz w:val="28"/>
          <w:szCs w:val="28"/>
          <w:rtl/>
        </w:rPr>
        <w:t xml:space="preserve">   </w:t>
      </w:r>
    </w:p>
    <w:p w14:paraId="1BA850F2" w14:textId="77777777" w:rsidR="00A72763" w:rsidRPr="004C06B0" w:rsidRDefault="00A72763" w:rsidP="00A72763">
      <w:pPr>
        <w:pStyle w:val="a8"/>
        <w:spacing w:line="360" w:lineRule="auto"/>
        <w:jc w:val="both"/>
        <w:rPr>
          <w:rFonts w:ascii="FrankRuehl" w:hAnsi="FrankRuehl" w:cs="FrankRuehl"/>
          <w:sz w:val="28"/>
          <w:szCs w:val="28"/>
          <w:rtl/>
        </w:rPr>
      </w:pPr>
      <w:r>
        <w:rPr>
          <w:rFonts w:ascii="FrankRuehl" w:hAnsi="FrankRuehl" w:cs="FrankRuehl" w:hint="cs"/>
          <w:color w:val="000000"/>
          <w:sz w:val="28"/>
          <w:szCs w:val="28"/>
          <w:rtl/>
        </w:rPr>
        <w:t>20</w:t>
      </w:r>
      <w:r w:rsidRPr="004C06B0">
        <w:rPr>
          <w:rFonts w:ascii="FrankRuehl" w:hAnsi="FrankRuehl" w:cs="FrankRuehl"/>
          <w:color w:val="000000"/>
          <w:sz w:val="28"/>
          <w:szCs w:val="28"/>
          <w:rtl/>
        </w:rPr>
        <w:t xml:space="preserve">.     במקרה הנוכחי, התרשם שירות המבחן כי הנאשם </w:t>
      </w:r>
      <w:r w:rsidRPr="004C06B0">
        <w:rPr>
          <w:rFonts w:ascii="FrankRuehl" w:hAnsi="FrankRuehl" w:cs="FrankRuehl"/>
          <w:sz w:val="28"/>
          <w:szCs w:val="28"/>
          <w:rtl/>
        </w:rPr>
        <w:t xml:space="preserve">נוטה לטשטש ולמזער מהתנהלותו, כמו גם להשליך את האחריות למעשיו על גורמים חיצוניים כגון מצבו הכלכלי והבריאותי. בנוסף, הנאשם עצמו ציין כי אינו רואה צורך במעורבות טיפולית כלשהי והכחיש קיומם של דפוסי התנהגות בעייתיים. בהתאם, התרשם שירות המבחן כי קיים סיכון להישנות עבירה דומה ולא בא בהמלצה טיפולית בעניינו של הנאשם. </w:t>
      </w:r>
    </w:p>
    <w:p w14:paraId="233624B0" w14:textId="77777777" w:rsidR="00A72763" w:rsidRPr="004C06B0" w:rsidRDefault="00A72763" w:rsidP="00A72763">
      <w:pPr>
        <w:spacing w:line="360" w:lineRule="auto"/>
        <w:jc w:val="both"/>
        <w:rPr>
          <w:rFonts w:ascii="FrankRuehl" w:hAnsi="FrankRuehl" w:cs="FrankRuehl"/>
          <w:color w:val="000000"/>
          <w:sz w:val="28"/>
          <w:szCs w:val="28"/>
          <w:rtl/>
        </w:rPr>
      </w:pPr>
    </w:p>
    <w:p w14:paraId="6F2A466E" w14:textId="77777777" w:rsidR="00A72763" w:rsidRPr="004C06B0" w:rsidRDefault="00A72763" w:rsidP="00A72763">
      <w:pPr>
        <w:spacing w:line="360" w:lineRule="auto"/>
        <w:jc w:val="both"/>
        <w:rPr>
          <w:rFonts w:ascii="FrankRuehl" w:hAnsi="FrankRuehl" w:cs="FrankRuehl"/>
          <w:color w:val="000000"/>
          <w:sz w:val="28"/>
          <w:szCs w:val="28"/>
          <w:rtl/>
        </w:rPr>
      </w:pPr>
      <w:r w:rsidRPr="004C06B0">
        <w:rPr>
          <w:rFonts w:ascii="FrankRuehl" w:hAnsi="FrankRuehl" w:cs="FrankRuehl"/>
          <w:color w:val="000000"/>
          <w:sz w:val="28"/>
          <w:szCs w:val="28"/>
          <w:rtl/>
        </w:rPr>
        <w:t>2</w:t>
      </w:r>
      <w:r>
        <w:rPr>
          <w:rFonts w:ascii="FrankRuehl" w:hAnsi="FrankRuehl" w:cs="FrankRuehl" w:hint="cs"/>
          <w:color w:val="000000"/>
          <w:sz w:val="28"/>
          <w:szCs w:val="28"/>
          <w:rtl/>
        </w:rPr>
        <w:t>1</w:t>
      </w:r>
      <w:r w:rsidRPr="004C06B0">
        <w:rPr>
          <w:rFonts w:ascii="FrankRuehl" w:hAnsi="FrankRuehl" w:cs="FrankRuehl"/>
          <w:color w:val="000000"/>
          <w:sz w:val="28"/>
          <w:szCs w:val="28"/>
          <w:rtl/>
        </w:rPr>
        <w:t xml:space="preserve">.           לנוכח המפורט, ברור כי בעניינו של הנאשם אין בשעה זו אינדיקציות ברורות לשינוי עמוק בדרך חשיבתו והתנהלותו, מכוחן ניתן יהיה לקבוע כי השתקם או שיש סיכוי של ממש שישתקם, באופן שיצדיק חריגה מהמתחם. </w:t>
      </w:r>
    </w:p>
    <w:p w14:paraId="43DCE9A4" w14:textId="77777777" w:rsidR="00A72763" w:rsidRPr="004C06B0" w:rsidRDefault="00A72763" w:rsidP="00A72763">
      <w:pPr>
        <w:spacing w:line="360" w:lineRule="auto"/>
        <w:jc w:val="both"/>
        <w:rPr>
          <w:rFonts w:ascii="FrankRuehl" w:hAnsi="FrankRuehl" w:cs="FrankRuehl"/>
          <w:color w:val="000000"/>
          <w:sz w:val="28"/>
          <w:szCs w:val="28"/>
          <w:rtl/>
        </w:rPr>
      </w:pPr>
    </w:p>
    <w:p w14:paraId="0CFBFFD7" w14:textId="77777777" w:rsidR="00A72763" w:rsidRPr="004C06B0" w:rsidRDefault="00A72763" w:rsidP="00A72763">
      <w:pPr>
        <w:spacing w:line="360" w:lineRule="auto"/>
        <w:jc w:val="both"/>
        <w:rPr>
          <w:rFonts w:ascii="FrankRuehl" w:hAnsi="FrankRuehl" w:cs="FrankRuehl"/>
          <w:color w:val="000000"/>
          <w:sz w:val="28"/>
          <w:szCs w:val="28"/>
          <w:rtl/>
        </w:rPr>
      </w:pPr>
      <w:r w:rsidRPr="004C06B0">
        <w:rPr>
          <w:rFonts w:ascii="FrankRuehl" w:hAnsi="FrankRuehl" w:cs="FrankRuehl"/>
          <w:color w:val="000000"/>
          <w:sz w:val="28"/>
          <w:szCs w:val="28"/>
          <w:rtl/>
        </w:rPr>
        <w:t>2</w:t>
      </w:r>
      <w:r>
        <w:rPr>
          <w:rFonts w:ascii="FrankRuehl" w:hAnsi="FrankRuehl" w:cs="FrankRuehl" w:hint="cs"/>
          <w:color w:val="000000"/>
          <w:sz w:val="28"/>
          <w:szCs w:val="28"/>
          <w:rtl/>
        </w:rPr>
        <w:t>2</w:t>
      </w:r>
      <w:r w:rsidRPr="004C06B0">
        <w:rPr>
          <w:rFonts w:ascii="FrankRuehl" w:hAnsi="FrankRuehl" w:cs="FrankRuehl"/>
          <w:color w:val="000000"/>
          <w:sz w:val="28"/>
          <w:szCs w:val="28"/>
          <w:rtl/>
        </w:rPr>
        <w:t xml:space="preserve">.         אוסיף, כי מהנתונים והמסמכים שהוצגו בפני דומה שמצבו הרפואי של הנאשם אכן אינו מיטבי. עם זאת וכפי שכבר קבעתי, נוכח התכנון וההכנה שקדמו לביצוע העבירות וכמות הסם שנתפסה, לא ניתן לקבל את הטענה כי מצבו הרפואי של הנאשם הוא שהביא אותו לבצע את העבירות מושא כתב האישום. בהתאם, דינה של נסיבה זו להיבחן בין יתר הנסיבות שאינן קשורות בביצוע העבירה והיא אינה מצדיקה, כשלעצמה, חריגה ממתחם העונש ההולם.  </w:t>
      </w:r>
    </w:p>
    <w:p w14:paraId="3A92849E" w14:textId="77777777" w:rsidR="00A72763" w:rsidRPr="004C06B0" w:rsidRDefault="00A72763" w:rsidP="00A72763">
      <w:pPr>
        <w:spacing w:line="360" w:lineRule="auto"/>
        <w:jc w:val="both"/>
        <w:rPr>
          <w:rFonts w:ascii="FrankRuehl" w:hAnsi="FrankRuehl" w:cs="FrankRuehl"/>
          <w:color w:val="000000"/>
          <w:sz w:val="28"/>
          <w:szCs w:val="28"/>
          <w:rtl/>
        </w:rPr>
      </w:pPr>
    </w:p>
    <w:p w14:paraId="21F66D01" w14:textId="77777777" w:rsidR="00A72763" w:rsidRPr="00AF461E" w:rsidRDefault="00A72763" w:rsidP="00A72763">
      <w:pPr>
        <w:spacing w:line="360" w:lineRule="auto"/>
        <w:jc w:val="both"/>
        <w:rPr>
          <w:rFonts w:ascii="Miriam" w:hAnsi="Miriam" w:cs="Miriam"/>
          <w:color w:val="000000"/>
          <w:rtl/>
        </w:rPr>
      </w:pPr>
      <w:r w:rsidRPr="00AF461E">
        <w:rPr>
          <w:rFonts w:ascii="Miriam" w:hAnsi="Miriam" w:cs="Miriam"/>
          <w:color w:val="000000"/>
          <w:rtl/>
        </w:rPr>
        <w:t>קביעת העונש בתוך המתחם</w:t>
      </w:r>
    </w:p>
    <w:p w14:paraId="05C07D68" w14:textId="77777777" w:rsidR="00A72763" w:rsidRPr="004C06B0" w:rsidRDefault="00A72763" w:rsidP="00A72763">
      <w:pPr>
        <w:spacing w:line="360" w:lineRule="auto"/>
        <w:jc w:val="both"/>
        <w:rPr>
          <w:rFonts w:ascii="FrankRuehl" w:hAnsi="FrankRuehl" w:cs="FrankRuehl"/>
          <w:b/>
          <w:bCs/>
          <w:color w:val="000000"/>
          <w:sz w:val="28"/>
          <w:szCs w:val="28"/>
          <w:rtl/>
        </w:rPr>
      </w:pPr>
    </w:p>
    <w:p w14:paraId="4497C18B" w14:textId="77777777" w:rsidR="00A72763" w:rsidRPr="004C06B0" w:rsidRDefault="00A72763" w:rsidP="00A72763">
      <w:pPr>
        <w:spacing w:line="360" w:lineRule="auto"/>
        <w:jc w:val="both"/>
        <w:rPr>
          <w:rFonts w:ascii="FrankRuehl" w:hAnsi="FrankRuehl" w:cs="FrankRuehl"/>
          <w:color w:val="000000"/>
          <w:sz w:val="28"/>
          <w:szCs w:val="28"/>
          <w:rtl/>
        </w:rPr>
      </w:pPr>
      <w:r w:rsidRPr="004C06B0">
        <w:rPr>
          <w:rFonts w:ascii="FrankRuehl" w:hAnsi="FrankRuehl" w:cs="FrankRuehl"/>
          <w:color w:val="000000"/>
          <w:sz w:val="28"/>
          <w:szCs w:val="28"/>
          <w:rtl/>
        </w:rPr>
        <w:t>2</w:t>
      </w:r>
      <w:r>
        <w:rPr>
          <w:rFonts w:ascii="FrankRuehl" w:hAnsi="FrankRuehl" w:cs="FrankRuehl" w:hint="cs"/>
          <w:color w:val="000000"/>
          <w:sz w:val="28"/>
          <w:szCs w:val="28"/>
          <w:rtl/>
        </w:rPr>
        <w:t>3</w:t>
      </w:r>
      <w:r w:rsidRPr="004C06B0">
        <w:rPr>
          <w:rFonts w:ascii="FrankRuehl" w:hAnsi="FrankRuehl" w:cs="FrankRuehl"/>
          <w:color w:val="000000"/>
          <w:sz w:val="28"/>
          <w:szCs w:val="28"/>
          <w:rtl/>
        </w:rPr>
        <w:t xml:space="preserve">.          </w:t>
      </w:r>
      <w:r w:rsidRPr="00A72763">
        <w:rPr>
          <w:rFonts w:ascii="FrankRuehl" w:eastAsia="Calibri" w:hAnsi="FrankRuehl" w:cs="FrankRuehl"/>
          <w:sz w:val="28"/>
          <w:szCs w:val="28"/>
          <w:rtl/>
        </w:rPr>
        <w:t>העונש הראוי לנאשם נקבע על פי הנסיבות שאינן קשורות בביצוע העבירות.</w:t>
      </w:r>
      <w:r w:rsidRPr="004C06B0">
        <w:rPr>
          <w:rFonts w:ascii="FrankRuehl" w:hAnsi="FrankRuehl" w:cs="FrankRuehl"/>
          <w:sz w:val="28"/>
          <w:szCs w:val="28"/>
          <w:rtl/>
        </w:rPr>
        <w:t xml:space="preserve"> </w:t>
      </w:r>
      <w:r w:rsidRPr="00A72763">
        <w:rPr>
          <w:rFonts w:ascii="FrankRuehl" w:eastAsia="Calibri" w:hAnsi="FrankRuehl" w:cs="FrankRuehl"/>
          <w:sz w:val="28"/>
          <w:szCs w:val="28"/>
          <w:rtl/>
        </w:rPr>
        <w:t>בהקשר זה, על בית המשפט לבחון בין היתר, את נתוניו האישיים של הנאשם, מידת הפגיעה של העונש בנאשם, לרבות בשל גילו, הפגיעה של העונש במשפחתו של הנאשם, עברו הפלילי וכיוצ"ב.</w:t>
      </w:r>
      <w:r w:rsidRPr="004C06B0">
        <w:rPr>
          <w:rFonts w:ascii="FrankRuehl" w:hAnsi="FrankRuehl" w:cs="FrankRuehl"/>
          <w:color w:val="000000"/>
          <w:sz w:val="28"/>
          <w:szCs w:val="28"/>
          <w:rtl/>
        </w:rPr>
        <w:t xml:space="preserve"> </w:t>
      </w:r>
    </w:p>
    <w:p w14:paraId="0CE8C545" w14:textId="77777777" w:rsidR="00A72763" w:rsidRPr="004C06B0" w:rsidRDefault="00A72763" w:rsidP="00A72763">
      <w:pPr>
        <w:spacing w:line="360" w:lineRule="auto"/>
        <w:jc w:val="both"/>
        <w:rPr>
          <w:rFonts w:ascii="FrankRuehl" w:hAnsi="FrankRuehl" w:cs="FrankRuehl"/>
          <w:color w:val="000000"/>
          <w:sz w:val="28"/>
          <w:szCs w:val="28"/>
          <w:rtl/>
        </w:rPr>
      </w:pPr>
    </w:p>
    <w:p w14:paraId="58E49E63" w14:textId="77777777" w:rsidR="00A72763" w:rsidRPr="004C06B0" w:rsidRDefault="00A72763" w:rsidP="00A72763">
      <w:pPr>
        <w:spacing w:line="360" w:lineRule="auto"/>
        <w:jc w:val="both"/>
        <w:rPr>
          <w:rFonts w:ascii="FrankRuehl" w:hAnsi="FrankRuehl" w:cs="FrankRuehl"/>
          <w:noProof/>
          <w:sz w:val="28"/>
          <w:szCs w:val="28"/>
          <w:rtl/>
          <w:lang w:eastAsia="he-IL"/>
        </w:rPr>
      </w:pPr>
      <w:r w:rsidRPr="004C06B0">
        <w:rPr>
          <w:rFonts w:ascii="FrankRuehl" w:hAnsi="FrankRuehl" w:cs="FrankRuehl"/>
          <w:color w:val="000000"/>
          <w:sz w:val="28"/>
          <w:szCs w:val="28"/>
          <w:rtl/>
        </w:rPr>
        <w:t>2</w:t>
      </w:r>
      <w:r>
        <w:rPr>
          <w:rFonts w:ascii="FrankRuehl" w:hAnsi="FrankRuehl" w:cs="FrankRuehl" w:hint="cs"/>
          <w:color w:val="000000"/>
          <w:sz w:val="28"/>
          <w:szCs w:val="28"/>
          <w:rtl/>
        </w:rPr>
        <w:t>4</w:t>
      </w:r>
      <w:r w:rsidRPr="004C06B0">
        <w:rPr>
          <w:rFonts w:ascii="FrankRuehl" w:hAnsi="FrankRuehl" w:cs="FrankRuehl"/>
          <w:color w:val="000000"/>
          <w:sz w:val="28"/>
          <w:szCs w:val="28"/>
          <w:rtl/>
        </w:rPr>
        <w:t xml:space="preserve">.        לזכותו של הנאשם ניתן </w:t>
      </w:r>
      <w:r w:rsidRPr="004C06B0">
        <w:rPr>
          <w:rFonts w:ascii="FrankRuehl" w:hAnsi="FrankRuehl" w:cs="FrankRuehl"/>
          <w:sz w:val="28"/>
          <w:szCs w:val="28"/>
          <w:rtl/>
        </w:rPr>
        <w:t xml:space="preserve">לציין כי הוא הודה בביצוע העבירה בשלב מוקדם וחסך מזמנו של בית המשפט. </w:t>
      </w:r>
      <w:r w:rsidRPr="004C06B0">
        <w:rPr>
          <w:rFonts w:ascii="FrankRuehl" w:hAnsi="FrankRuehl" w:cs="FrankRuehl"/>
          <w:sz w:val="28"/>
          <w:szCs w:val="28"/>
          <w:rtl/>
          <w:lang w:eastAsia="he-IL"/>
        </w:rPr>
        <w:t>מהודאתו של נאשם נודעת, על דרך הכלל, גם קבלת הדין, ובחובה היא טומנת קבלת אחריות למעשים והבעת חרטה עליהם. במקרה שלפנינו באו דברי החרטה וקבלת האחריות גם מפי הנאשם לפני.</w:t>
      </w:r>
    </w:p>
    <w:p w14:paraId="559D3041" w14:textId="77777777" w:rsidR="00A72763" w:rsidRPr="004C06B0" w:rsidRDefault="00A72763" w:rsidP="00A72763">
      <w:pPr>
        <w:spacing w:line="360" w:lineRule="auto"/>
        <w:jc w:val="both"/>
        <w:rPr>
          <w:rFonts w:ascii="FrankRuehl" w:hAnsi="FrankRuehl" w:cs="FrankRuehl"/>
          <w:sz w:val="28"/>
          <w:szCs w:val="28"/>
          <w:rtl/>
          <w:lang w:eastAsia="he-IL"/>
        </w:rPr>
      </w:pPr>
    </w:p>
    <w:p w14:paraId="0A5103DC" w14:textId="77777777" w:rsidR="00A72763" w:rsidRPr="004C06B0" w:rsidRDefault="00A72763" w:rsidP="00A72763">
      <w:pPr>
        <w:spacing w:line="360" w:lineRule="auto"/>
        <w:jc w:val="both"/>
        <w:rPr>
          <w:rFonts w:ascii="FrankRuehl" w:hAnsi="FrankRuehl" w:cs="FrankRuehl"/>
          <w:color w:val="000000"/>
          <w:sz w:val="28"/>
          <w:szCs w:val="28"/>
          <w:rtl/>
        </w:rPr>
      </w:pPr>
      <w:r w:rsidRPr="004C06B0">
        <w:rPr>
          <w:rFonts w:ascii="FrankRuehl" w:hAnsi="FrankRuehl" w:cs="FrankRuehl"/>
          <w:sz w:val="28"/>
          <w:szCs w:val="28"/>
          <w:rtl/>
          <w:lang w:eastAsia="he-IL"/>
        </w:rPr>
        <w:t>2</w:t>
      </w:r>
      <w:r>
        <w:rPr>
          <w:rFonts w:ascii="FrankRuehl" w:hAnsi="FrankRuehl" w:cs="FrankRuehl" w:hint="cs"/>
          <w:sz w:val="28"/>
          <w:szCs w:val="28"/>
          <w:rtl/>
          <w:lang w:eastAsia="he-IL"/>
        </w:rPr>
        <w:t>5</w:t>
      </w:r>
      <w:r w:rsidRPr="004C06B0">
        <w:rPr>
          <w:rFonts w:ascii="FrankRuehl" w:hAnsi="FrankRuehl" w:cs="FrankRuehl"/>
          <w:sz w:val="28"/>
          <w:szCs w:val="28"/>
          <w:rtl/>
          <w:lang w:eastAsia="he-IL"/>
        </w:rPr>
        <w:t xml:space="preserve">.       עוד </w:t>
      </w:r>
      <w:r w:rsidRPr="004C06B0">
        <w:rPr>
          <w:rFonts w:ascii="FrankRuehl" w:hAnsi="FrankRuehl" w:cs="FrankRuehl"/>
          <w:color w:val="000000"/>
          <w:sz w:val="28"/>
          <w:szCs w:val="28"/>
          <w:rtl/>
        </w:rPr>
        <w:t xml:space="preserve">ניתן לציין לזכות הנאשם את העובדה שחרף גילו המבוגר אין לחובתו כל עבר פלילי, ודומה כי עסקינן באדם אשר עד לביצוע העבירות משוא כתב האישום ניהל אורח חיים נורמטיבי. כן יש לתת משקל לעובדה כי הנאשם היה עצור </w:t>
      </w:r>
      <w:r w:rsidRPr="004C06B0">
        <w:rPr>
          <w:rFonts w:ascii="FrankRuehl" w:hAnsi="FrankRuehl" w:cs="FrankRuehl"/>
          <w:sz w:val="28"/>
          <w:szCs w:val="28"/>
          <w:rtl/>
        </w:rPr>
        <w:t xml:space="preserve">מאחורי סורג ובריח למשך כחודשיים ולהיותו משחורר בתנאים למשך שנה, ללא הפרות ותוך שיתוף </w:t>
      </w:r>
      <w:r>
        <w:rPr>
          <w:rFonts w:ascii="FrankRuehl" w:hAnsi="FrankRuehl" w:cs="FrankRuehl"/>
          <w:sz w:val="28"/>
          <w:szCs w:val="28"/>
          <w:rtl/>
        </w:rPr>
        <w:t>פעולה עם מסגרת הטיפול הקבוצתי ב</w:t>
      </w:r>
      <w:r>
        <w:rPr>
          <w:rFonts w:ascii="FrankRuehl" w:hAnsi="FrankRuehl" w:cs="FrankRuehl" w:hint="cs"/>
          <w:sz w:val="28"/>
          <w:szCs w:val="28"/>
          <w:rtl/>
        </w:rPr>
        <w:t>ה</w:t>
      </w:r>
      <w:r w:rsidRPr="004C06B0">
        <w:rPr>
          <w:rFonts w:ascii="FrankRuehl" w:hAnsi="FrankRuehl" w:cs="FrankRuehl"/>
          <w:sz w:val="28"/>
          <w:szCs w:val="28"/>
          <w:rtl/>
        </w:rPr>
        <w:t xml:space="preserve"> שולב.</w:t>
      </w:r>
      <w:r w:rsidRPr="004C06B0">
        <w:rPr>
          <w:rFonts w:ascii="FrankRuehl" w:hAnsi="FrankRuehl" w:cs="FrankRuehl"/>
          <w:color w:val="000000"/>
          <w:sz w:val="28"/>
          <w:szCs w:val="28"/>
          <w:rtl/>
        </w:rPr>
        <w:t xml:space="preserve"> </w:t>
      </w:r>
    </w:p>
    <w:p w14:paraId="610DC505" w14:textId="77777777" w:rsidR="00A72763" w:rsidRPr="004C06B0" w:rsidRDefault="00A72763" w:rsidP="00A72763">
      <w:pPr>
        <w:spacing w:line="360" w:lineRule="auto"/>
        <w:jc w:val="both"/>
        <w:rPr>
          <w:rFonts w:ascii="FrankRuehl" w:hAnsi="FrankRuehl" w:cs="FrankRuehl"/>
          <w:color w:val="000000"/>
          <w:sz w:val="28"/>
          <w:szCs w:val="28"/>
          <w:rtl/>
        </w:rPr>
      </w:pPr>
    </w:p>
    <w:p w14:paraId="684C3033" w14:textId="77777777" w:rsidR="00A72763" w:rsidRPr="004C06B0" w:rsidRDefault="00A72763" w:rsidP="00A72763">
      <w:pPr>
        <w:spacing w:line="360" w:lineRule="auto"/>
        <w:jc w:val="both"/>
        <w:rPr>
          <w:rFonts w:ascii="FrankRuehl" w:hAnsi="FrankRuehl" w:cs="FrankRuehl"/>
          <w:color w:val="000000"/>
          <w:sz w:val="28"/>
          <w:szCs w:val="28"/>
          <w:rtl/>
        </w:rPr>
      </w:pPr>
      <w:r w:rsidRPr="004C06B0">
        <w:rPr>
          <w:rFonts w:ascii="FrankRuehl" w:hAnsi="FrankRuehl" w:cs="FrankRuehl"/>
          <w:color w:val="000000"/>
          <w:sz w:val="28"/>
          <w:szCs w:val="28"/>
          <w:rtl/>
        </w:rPr>
        <w:t>2</w:t>
      </w:r>
      <w:r>
        <w:rPr>
          <w:rFonts w:ascii="FrankRuehl" w:hAnsi="FrankRuehl" w:cs="FrankRuehl" w:hint="cs"/>
          <w:color w:val="000000"/>
          <w:sz w:val="28"/>
          <w:szCs w:val="28"/>
          <w:rtl/>
        </w:rPr>
        <w:t>6</w:t>
      </w:r>
      <w:r w:rsidRPr="004C06B0">
        <w:rPr>
          <w:rFonts w:ascii="FrankRuehl" w:hAnsi="FrankRuehl" w:cs="FrankRuehl"/>
          <w:color w:val="000000"/>
          <w:sz w:val="28"/>
          <w:szCs w:val="28"/>
          <w:rtl/>
        </w:rPr>
        <w:t xml:space="preserve">.        לכל האמור ניתן להוסיף ולהפנות למצבו הרפואי של הנאשם, כפי שזה משתקף ממסמכים שהוצגו בעניינו, מהם עולה כי מאז עבר תאונת דרכים הוא סובל מכאבים שונים, בין היתר בגב, נוכח פריצת דיסק, בחזה וביד שמאל. בשל כאביו ולצורך הקלה על מצבו הרפואי, אף קיבל הנאשם רישיון להחזקה ושימוש בסם מסוג קנביס. </w:t>
      </w:r>
    </w:p>
    <w:p w14:paraId="4DE1F722" w14:textId="77777777" w:rsidR="00A72763" w:rsidRPr="004C06B0" w:rsidRDefault="00A72763" w:rsidP="00A72763">
      <w:pPr>
        <w:spacing w:line="360" w:lineRule="auto"/>
        <w:jc w:val="both"/>
        <w:rPr>
          <w:rFonts w:ascii="FrankRuehl" w:hAnsi="FrankRuehl" w:cs="FrankRuehl"/>
          <w:color w:val="000000"/>
          <w:sz w:val="28"/>
          <w:szCs w:val="28"/>
          <w:rtl/>
        </w:rPr>
      </w:pPr>
    </w:p>
    <w:p w14:paraId="70D2AEB0" w14:textId="77777777" w:rsidR="00A72763" w:rsidRPr="004C06B0" w:rsidRDefault="00A72763" w:rsidP="00A72763">
      <w:pPr>
        <w:spacing w:line="360" w:lineRule="auto"/>
        <w:jc w:val="both"/>
        <w:rPr>
          <w:rFonts w:ascii="FrankRuehl" w:hAnsi="FrankRuehl" w:cs="FrankRuehl"/>
          <w:color w:val="000000"/>
          <w:sz w:val="28"/>
          <w:szCs w:val="28"/>
          <w:rtl/>
        </w:rPr>
      </w:pPr>
      <w:r w:rsidRPr="004C06B0">
        <w:rPr>
          <w:rFonts w:ascii="FrankRuehl" w:hAnsi="FrankRuehl" w:cs="FrankRuehl"/>
          <w:color w:val="000000"/>
          <w:sz w:val="28"/>
          <w:szCs w:val="28"/>
          <w:rtl/>
        </w:rPr>
        <w:t>2</w:t>
      </w:r>
      <w:r>
        <w:rPr>
          <w:rFonts w:ascii="FrankRuehl" w:hAnsi="FrankRuehl" w:cs="FrankRuehl" w:hint="cs"/>
          <w:color w:val="000000"/>
          <w:sz w:val="28"/>
          <w:szCs w:val="28"/>
          <w:rtl/>
        </w:rPr>
        <w:t>7</w:t>
      </w:r>
      <w:r w:rsidRPr="004C06B0">
        <w:rPr>
          <w:rFonts w:ascii="FrankRuehl" w:hAnsi="FrankRuehl" w:cs="FrankRuehl"/>
          <w:color w:val="000000"/>
          <w:sz w:val="28"/>
          <w:szCs w:val="28"/>
          <w:rtl/>
        </w:rPr>
        <w:t xml:space="preserve">.      מצאתי לתת משקל מסוים גם לעדות אמו של הנאשם בשלב הטיעונים לעונש, בכל הנוגע למצבה הרפואי ולעזרה אותה היא מקבלת מהנאשם, כאשר לטענתה, אין בנמצא אדם אחר אשר יכול לסייע לה.    </w:t>
      </w:r>
    </w:p>
    <w:p w14:paraId="5D847FE2" w14:textId="77777777" w:rsidR="00A72763" w:rsidRPr="004C06B0" w:rsidRDefault="00A72763" w:rsidP="00A72763">
      <w:pPr>
        <w:spacing w:line="360" w:lineRule="auto"/>
        <w:jc w:val="both"/>
        <w:rPr>
          <w:rFonts w:ascii="FrankRuehl" w:hAnsi="FrankRuehl" w:cs="FrankRuehl"/>
          <w:color w:val="000000"/>
          <w:sz w:val="28"/>
          <w:szCs w:val="28"/>
          <w:rtl/>
        </w:rPr>
      </w:pPr>
    </w:p>
    <w:p w14:paraId="3F2AFB4F" w14:textId="77777777" w:rsidR="00A72763" w:rsidRPr="004C06B0" w:rsidRDefault="00A72763" w:rsidP="00A72763">
      <w:pPr>
        <w:pStyle w:val="a8"/>
        <w:spacing w:line="360" w:lineRule="auto"/>
        <w:jc w:val="both"/>
        <w:rPr>
          <w:rFonts w:ascii="FrankRuehl" w:hAnsi="FrankRuehl" w:cs="FrankRuehl"/>
          <w:sz w:val="28"/>
          <w:szCs w:val="28"/>
          <w:rtl/>
        </w:rPr>
      </w:pPr>
      <w:r>
        <w:rPr>
          <w:rFonts w:ascii="FrankRuehl" w:hAnsi="FrankRuehl" w:cs="FrankRuehl" w:hint="cs"/>
          <w:color w:val="000000"/>
          <w:sz w:val="28"/>
          <w:szCs w:val="28"/>
          <w:rtl/>
        </w:rPr>
        <w:t>28</w:t>
      </w:r>
      <w:r w:rsidRPr="004C06B0">
        <w:rPr>
          <w:rFonts w:ascii="FrankRuehl" w:hAnsi="FrankRuehl" w:cs="FrankRuehl"/>
          <w:color w:val="000000"/>
          <w:sz w:val="28"/>
          <w:szCs w:val="28"/>
          <w:rtl/>
        </w:rPr>
        <w:t xml:space="preserve">.       מנגד, התסקיר בעניינו של הנאשם העלה תמונה בעייתית, ממנה עולה כי הנאשם </w:t>
      </w:r>
      <w:r w:rsidRPr="004C06B0">
        <w:rPr>
          <w:rFonts w:ascii="FrankRuehl" w:hAnsi="FrankRuehl" w:cs="FrankRuehl"/>
          <w:sz w:val="28"/>
          <w:szCs w:val="28"/>
          <w:rtl/>
        </w:rPr>
        <w:t xml:space="preserve">נוטה כאמור לטשטש ולמזער מהתנהלותו ולהשליך את האחריות למעשיו על גורמים חיצוניים. </w:t>
      </w:r>
      <w:r w:rsidRPr="004C06B0">
        <w:rPr>
          <w:rFonts w:ascii="FrankRuehl" w:hAnsi="FrankRuehl" w:cs="FrankRuehl"/>
          <w:color w:val="000000"/>
          <w:sz w:val="28"/>
          <w:szCs w:val="28"/>
          <w:rtl/>
        </w:rPr>
        <w:t>בסופו של יום ולאחר בחינת גורמי הסיכון והסיכוי, התרשם כאמור שירות המבחן כי בעניינו של הנאשם</w:t>
      </w:r>
      <w:r w:rsidRPr="004C06B0">
        <w:rPr>
          <w:rFonts w:ascii="FrankRuehl" w:hAnsi="FrankRuehl" w:cs="FrankRuehl"/>
          <w:sz w:val="28"/>
          <w:szCs w:val="28"/>
          <w:u w:val="single"/>
          <w:rtl/>
        </w:rPr>
        <w:t xml:space="preserve"> </w:t>
      </w:r>
      <w:r w:rsidRPr="00230380">
        <w:rPr>
          <w:rFonts w:ascii="FrankRuehl" w:hAnsi="FrankRuehl" w:cs="FrankRuehl"/>
          <w:sz w:val="28"/>
          <w:szCs w:val="28"/>
          <w:rtl/>
        </w:rPr>
        <w:t>קיים סיכון להישנות עבירה דומה.</w:t>
      </w:r>
      <w:r w:rsidRPr="004C06B0">
        <w:rPr>
          <w:rFonts w:ascii="FrankRuehl" w:hAnsi="FrankRuehl" w:cs="FrankRuehl"/>
          <w:sz w:val="28"/>
          <w:szCs w:val="28"/>
          <w:rtl/>
        </w:rPr>
        <w:t xml:space="preserve"> </w:t>
      </w:r>
    </w:p>
    <w:p w14:paraId="6EF7E95A" w14:textId="77777777" w:rsidR="00A72763" w:rsidRPr="004C06B0" w:rsidRDefault="00A72763" w:rsidP="00A72763">
      <w:pPr>
        <w:pStyle w:val="a8"/>
        <w:spacing w:line="360" w:lineRule="auto"/>
        <w:jc w:val="both"/>
        <w:rPr>
          <w:rFonts w:ascii="FrankRuehl" w:hAnsi="FrankRuehl" w:cs="FrankRuehl"/>
          <w:sz w:val="28"/>
          <w:szCs w:val="28"/>
          <w:rtl/>
        </w:rPr>
      </w:pPr>
    </w:p>
    <w:p w14:paraId="37C011DD" w14:textId="77777777" w:rsidR="00A72763" w:rsidRPr="004C06B0" w:rsidRDefault="00A72763" w:rsidP="00A72763">
      <w:pPr>
        <w:pStyle w:val="a8"/>
        <w:spacing w:line="360" w:lineRule="auto"/>
        <w:jc w:val="both"/>
        <w:rPr>
          <w:rFonts w:ascii="FrankRuehl" w:hAnsi="FrankRuehl" w:cs="FrankRuehl"/>
          <w:sz w:val="28"/>
          <w:szCs w:val="28"/>
          <w:rtl/>
        </w:rPr>
      </w:pPr>
      <w:r w:rsidRPr="004C06B0">
        <w:rPr>
          <w:rFonts w:ascii="FrankRuehl" w:hAnsi="FrankRuehl" w:cs="FrankRuehl"/>
          <w:sz w:val="28"/>
          <w:szCs w:val="28"/>
          <w:rtl/>
        </w:rPr>
        <w:t xml:space="preserve">אכן, בשורה התחתונה המליץ שירות מבחן להטיל על הנאשם עונש מאסר שירוצה בעבודות שירות, אולם כידוע, </w:t>
      </w:r>
      <w:r w:rsidRPr="004C06B0">
        <w:rPr>
          <w:rFonts w:ascii="FrankRuehl" w:hAnsi="FrankRuehl" w:cs="FrankRuehl"/>
          <w:spacing w:val="10"/>
          <w:sz w:val="28"/>
          <w:szCs w:val="28"/>
          <w:rtl/>
        </w:rPr>
        <w:t xml:space="preserve">המלצת שירות המבחן אינה מחייבת את בית המשפט, והוא רשאי לסטות ממנה כאשר מתקיימים טעמים המצדיקים זאת. לעניין זה הובהר לא פעם כי בעת גיבוש המלצותיו, עומדים מול עיני שירות המבחן שיקולים אשר אינם חופפים, בהכרח, לשיקולים שבית המשפט נדרש לאזן ביניהם במסגרת גזירת העונש (ראו </w:t>
      </w:r>
      <w:hyperlink r:id="rId28" w:history="1">
        <w:r w:rsidR="00C13DF6" w:rsidRPr="00C13DF6">
          <w:rPr>
            <w:rFonts w:ascii="FrankRuehl" w:hAnsi="FrankRuehl" w:cs="FrankRuehl"/>
            <w:color w:val="0000FF"/>
            <w:spacing w:val="10"/>
            <w:sz w:val="28"/>
            <w:szCs w:val="28"/>
            <w:u w:val="single"/>
            <w:rtl/>
          </w:rPr>
          <w:t>ע"פ 4678/18</w:t>
        </w:r>
      </w:hyperlink>
      <w:r w:rsidRPr="004C06B0">
        <w:rPr>
          <w:rFonts w:ascii="FrankRuehl" w:hAnsi="FrankRuehl" w:cs="FrankRuehl"/>
          <w:spacing w:val="10"/>
          <w:sz w:val="28"/>
          <w:szCs w:val="28"/>
          <w:rtl/>
        </w:rPr>
        <w:t xml:space="preserve"> </w:t>
      </w:r>
      <w:r w:rsidRPr="00AF461E">
        <w:rPr>
          <w:rFonts w:ascii="Miriam" w:hAnsi="Miriam" w:cs="Miriam"/>
          <w:spacing w:val="10"/>
          <w:sz w:val="24"/>
          <w:szCs w:val="24"/>
          <w:rtl/>
        </w:rPr>
        <w:t xml:space="preserve">אנופרייב נ' מדינת ישראל </w:t>
      </w:r>
      <w:r w:rsidRPr="004C06B0">
        <w:rPr>
          <w:rFonts w:ascii="FrankRuehl" w:hAnsi="FrankRuehl" w:cs="FrankRuehl"/>
          <w:spacing w:val="10"/>
          <w:sz w:val="28"/>
          <w:szCs w:val="28"/>
          <w:rtl/>
        </w:rPr>
        <w:t>(23.1.2019)).</w:t>
      </w:r>
    </w:p>
    <w:p w14:paraId="5E7A21FA" w14:textId="77777777" w:rsidR="00A72763" w:rsidRPr="004C06B0" w:rsidRDefault="00A72763" w:rsidP="00A72763">
      <w:pPr>
        <w:pStyle w:val="a8"/>
        <w:spacing w:line="360" w:lineRule="auto"/>
        <w:jc w:val="both"/>
        <w:rPr>
          <w:rFonts w:ascii="FrankRuehl" w:hAnsi="FrankRuehl" w:cs="FrankRuehl"/>
          <w:sz w:val="28"/>
          <w:szCs w:val="28"/>
          <w:rtl/>
        </w:rPr>
      </w:pPr>
    </w:p>
    <w:p w14:paraId="0E7653BB" w14:textId="77777777" w:rsidR="00A72763" w:rsidRPr="004C06B0" w:rsidRDefault="00A72763" w:rsidP="00A72763">
      <w:pPr>
        <w:spacing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29</w:t>
      </w:r>
      <w:r w:rsidRPr="004C06B0">
        <w:rPr>
          <w:rFonts w:ascii="FrankRuehl" w:hAnsi="FrankRuehl" w:cs="FrankRuehl"/>
          <w:color w:val="000000"/>
          <w:sz w:val="28"/>
          <w:szCs w:val="28"/>
          <w:rtl/>
        </w:rPr>
        <w:t xml:space="preserve">.       </w:t>
      </w:r>
      <w:r w:rsidRPr="004C06B0">
        <w:rPr>
          <w:rFonts w:ascii="FrankRuehl" w:hAnsi="FrankRuehl" w:cs="FrankRuehl"/>
          <w:sz w:val="28"/>
          <w:szCs w:val="28"/>
          <w:rtl/>
        </w:rPr>
        <w:t xml:space="preserve">לאור המפורט לעיל, סבור אני כי נכון יהא </w:t>
      </w:r>
      <w:r>
        <w:rPr>
          <w:rFonts w:ascii="FrankRuehl" w:hAnsi="FrankRuehl" w:cs="FrankRuehl" w:hint="cs"/>
          <w:sz w:val="28"/>
          <w:szCs w:val="28"/>
          <w:rtl/>
        </w:rPr>
        <w:t>למקם את</w:t>
      </w:r>
      <w:r w:rsidRPr="004C06B0">
        <w:rPr>
          <w:rFonts w:ascii="FrankRuehl" w:hAnsi="FrankRuehl" w:cs="FrankRuehl"/>
          <w:sz w:val="28"/>
          <w:szCs w:val="28"/>
          <w:rtl/>
        </w:rPr>
        <w:t xml:space="preserve"> עונשו של הנאשם </w:t>
      </w:r>
      <w:r>
        <w:rPr>
          <w:rFonts w:ascii="FrankRuehl" w:hAnsi="FrankRuehl" w:cs="FrankRuehl" w:hint="cs"/>
          <w:sz w:val="28"/>
          <w:szCs w:val="28"/>
          <w:rtl/>
        </w:rPr>
        <w:t>קרוב לחלק</w:t>
      </w:r>
      <w:r w:rsidRPr="004C06B0">
        <w:rPr>
          <w:rFonts w:ascii="FrankRuehl" w:hAnsi="FrankRuehl" w:cs="FrankRuehl"/>
          <w:sz w:val="28"/>
          <w:szCs w:val="28"/>
          <w:rtl/>
        </w:rPr>
        <w:t xml:space="preserve">  התחתון של מתחם העונש ההולם. עוד ראוי להשית על הנאשם מאסר מותנה, קנס כספי וחילוט הרכוש ששימש לביצוע העבירות, בהתאם להסדר הטיעון בין הצדדים. </w:t>
      </w:r>
    </w:p>
    <w:p w14:paraId="6C76F397" w14:textId="77777777" w:rsidR="00A72763" w:rsidRPr="004C06B0" w:rsidRDefault="00A72763" w:rsidP="00A72763">
      <w:pPr>
        <w:spacing w:line="360" w:lineRule="auto"/>
        <w:jc w:val="both"/>
        <w:rPr>
          <w:rFonts w:ascii="FrankRuehl" w:hAnsi="FrankRuehl" w:cs="FrankRuehl"/>
          <w:noProof/>
          <w:sz w:val="28"/>
          <w:szCs w:val="28"/>
          <w:rtl/>
        </w:rPr>
      </w:pPr>
    </w:p>
    <w:p w14:paraId="2A6BCCB6" w14:textId="77777777" w:rsidR="00A72763" w:rsidRPr="00AF461E" w:rsidRDefault="00A72763" w:rsidP="00A72763">
      <w:pPr>
        <w:spacing w:line="360" w:lineRule="auto"/>
        <w:jc w:val="both"/>
        <w:rPr>
          <w:rFonts w:ascii="Miriam" w:hAnsi="Miriam" w:cs="Miriam"/>
          <w:rtl/>
        </w:rPr>
      </w:pPr>
      <w:r>
        <w:rPr>
          <w:rFonts w:ascii="Miriam" w:hAnsi="Miriam" w:cs="Miriam" w:hint="cs"/>
          <w:rtl/>
        </w:rPr>
        <w:t>העונש</w:t>
      </w:r>
    </w:p>
    <w:p w14:paraId="0499287B" w14:textId="77777777" w:rsidR="00A72763" w:rsidRPr="004C06B0" w:rsidRDefault="00A72763" w:rsidP="00A72763">
      <w:pPr>
        <w:spacing w:line="360" w:lineRule="auto"/>
        <w:jc w:val="both"/>
        <w:rPr>
          <w:rFonts w:ascii="FrankRuehl" w:hAnsi="FrankRuehl" w:cs="FrankRuehl"/>
          <w:b/>
          <w:bCs/>
          <w:sz w:val="28"/>
          <w:szCs w:val="28"/>
          <w:u w:val="single"/>
          <w:rtl/>
        </w:rPr>
      </w:pPr>
    </w:p>
    <w:p w14:paraId="02B2994E" w14:textId="77777777" w:rsidR="00A72763" w:rsidRPr="004C06B0" w:rsidRDefault="00A72763" w:rsidP="00A72763">
      <w:pPr>
        <w:spacing w:line="360" w:lineRule="auto"/>
        <w:jc w:val="both"/>
        <w:rPr>
          <w:rFonts w:ascii="FrankRuehl" w:hAnsi="FrankRuehl" w:cs="FrankRuehl"/>
          <w:sz w:val="28"/>
          <w:szCs w:val="28"/>
          <w:rtl/>
        </w:rPr>
      </w:pPr>
      <w:r>
        <w:rPr>
          <w:rFonts w:ascii="FrankRuehl" w:hAnsi="FrankRuehl" w:cs="FrankRuehl" w:hint="cs"/>
          <w:sz w:val="28"/>
          <w:szCs w:val="28"/>
          <w:rtl/>
        </w:rPr>
        <w:t>30</w:t>
      </w:r>
      <w:r w:rsidRPr="004C06B0">
        <w:rPr>
          <w:rFonts w:ascii="FrankRuehl" w:hAnsi="FrankRuehl" w:cs="FrankRuehl"/>
          <w:sz w:val="28"/>
          <w:szCs w:val="28"/>
          <w:rtl/>
        </w:rPr>
        <w:t>.     נוכח כל האמור לעיל, אני גוזר על הנאשם את העונשים הבאים:</w:t>
      </w:r>
    </w:p>
    <w:p w14:paraId="18AFF5AB" w14:textId="77777777" w:rsidR="00A72763" w:rsidRPr="004C06B0" w:rsidRDefault="00A72763" w:rsidP="00A72763">
      <w:pPr>
        <w:spacing w:line="360" w:lineRule="auto"/>
        <w:jc w:val="both"/>
        <w:rPr>
          <w:rFonts w:ascii="FrankRuehl" w:hAnsi="FrankRuehl" w:cs="FrankRuehl"/>
          <w:sz w:val="28"/>
          <w:szCs w:val="28"/>
          <w:rtl/>
        </w:rPr>
      </w:pPr>
    </w:p>
    <w:p w14:paraId="31705AAB" w14:textId="77777777" w:rsidR="00A72763" w:rsidRPr="001943D4" w:rsidRDefault="00A72763" w:rsidP="00A72763">
      <w:pPr>
        <w:pStyle w:val="a9"/>
        <w:numPr>
          <w:ilvl w:val="0"/>
          <w:numId w:val="1"/>
        </w:numPr>
        <w:spacing w:line="360" w:lineRule="auto"/>
        <w:jc w:val="both"/>
        <w:rPr>
          <w:rFonts w:ascii="FrankRuehl" w:hAnsi="FrankRuehl" w:cs="FrankRuehl"/>
          <w:sz w:val="28"/>
          <w:szCs w:val="28"/>
        </w:rPr>
      </w:pPr>
      <w:r w:rsidRPr="001943D4">
        <w:rPr>
          <w:rFonts w:ascii="FrankRuehl" w:hAnsi="FrankRuehl" w:cs="FrankRuehl"/>
          <w:sz w:val="28"/>
          <w:szCs w:val="28"/>
          <w:rtl/>
        </w:rPr>
        <w:t>אני מטיל על הנאשם</w:t>
      </w:r>
      <w:r w:rsidRPr="004C06B0">
        <w:rPr>
          <w:rFonts w:ascii="FrankRuehl" w:hAnsi="FrankRuehl" w:cs="FrankRuehl"/>
          <w:b/>
          <w:bCs/>
          <w:sz w:val="28"/>
          <w:szCs w:val="28"/>
          <w:rtl/>
        </w:rPr>
        <w:t xml:space="preserve"> מאסר בפועל של 2</w:t>
      </w:r>
      <w:r>
        <w:rPr>
          <w:rFonts w:ascii="FrankRuehl" w:hAnsi="FrankRuehl" w:cs="FrankRuehl" w:hint="cs"/>
          <w:b/>
          <w:bCs/>
          <w:sz w:val="28"/>
          <w:szCs w:val="28"/>
          <w:rtl/>
        </w:rPr>
        <w:t>4</w:t>
      </w:r>
      <w:r w:rsidRPr="004C06B0">
        <w:rPr>
          <w:rFonts w:ascii="FrankRuehl" w:hAnsi="FrankRuehl" w:cs="FrankRuehl"/>
          <w:b/>
          <w:bCs/>
          <w:sz w:val="28"/>
          <w:szCs w:val="28"/>
          <w:rtl/>
        </w:rPr>
        <w:t xml:space="preserve"> חודשים, </w:t>
      </w:r>
      <w:r w:rsidRPr="001943D4">
        <w:rPr>
          <w:rFonts w:ascii="FrankRuehl" w:hAnsi="FrankRuehl" w:cs="FrankRuehl"/>
          <w:sz w:val="28"/>
          <w:szCs w:val="28"/>
          <w:rtl/>
        </w:rPr>
        <w:t>בניכוי ימי מעצרו מיום 3.5.2022 ועד ליום 4.7.2022.</w:t>
      </w:r>
    </w:p>
    <w:p w14:paraId="3E532FC8" w14:textId="77777777" w:rsidR="00A72763" w:rsidRPr="004C06B0" w:rsidRDefault="00A72763" w:rsidP="00A72763">
      <w:pPr>
        <w:pStyle w:val="a9"/>
        <w:spacing w:line="360" w:lineRule="auto"/>
        <w:jc w:val="both"/>
        <w:rPr>
          <w:rFonts w:ascii="FrankRuehl" w:hAnsi="FrankRuehl" w:cs="FrankRuehl"/>
          <w:b/>
          <w:bCs/>
          <w:sz w:val="28"/>
          <w:szCs w:val="28"/>
          <w:rtl/>
        </w:rPr>
      </w:pPr>
    </w:p>
    <w:p w14:paraId="185CE772" w14:textId="77777777" w:rsidR="00A72763" w:rsidRDefault="00A72763" w:rsidP="00A72763">
      <w:pPr>
        <w:pStyle w:val="a9"/>
        <w:numPr>
          <w:ilvl w:val="0"/>
          <w:numId w:val="1"/>
        </w:numPr>
        <w:spacing w:line="360" w:lineRule="auto"/>
        <w:jc w:val="both"/>
        <w:rPr>
          <w:rFonts w:ascii="FrankRuehl" w:hAnsi="FrankRuehl" w:cs="FrankRuehl"/>
          <w:b/>
          <w:bCs/>
          <w:sz w:val="28"/>
          <w:szCs w:val="28"/>
        </w:rPr>
      </w:pPr>
      <w:r w:rsidRPr="004C06B0">
        <w:rPr>
          <w:rFonts w:ascii="FrankRuehl" w:hAnsi="FrankRuehl" w:cs="FrankRuehl"/>
          <w:sz w:val="28"/>
          <w:szCs w:val="28"/>
          <w:rtl/>
        </w:rPr>
        <w:t>אני מטיל על הנאשם מאסר על תנאי של 1</w:t>
      </w:r>
      <w:r>
        <w:rPr>
          <w:rFonts w:ascii="FrankRuehl" w:hAnsi="FrankRuehl" w:cs="FrankRuehl" w:hint="cs"/>
          <w:sz w:val="28"/>
          <w:szCs w:val="28"/>
          <w:rtl/>
        </w:rPr>
        <w:t>2</w:t>
      </w:r>
      <w:r w:rsidRPr="004C06B0">
        <w:rPr>
          <w:rFonts w:ascii="FrankRuehl" w:hAnsi="FrankRuehl" w:cs="FrankRuehl"/>
          <w:sz w:val="28"/>
          <w:szCs w:val="28"/>
          <w:rtl/>
        </w:rPr>
        <w:t xml:space="preserve"> חודשים, למשך 3 שנים, שלא יעבור כל </w:t>
      </w:r>
      <w:r>
        <w:rPr>
          <w:rFonts w:ascii="FrankRuehl" w:hAnsi="FrankRuehl" w:cs="FrankRuehl"/>
          <w:sz w:val="28"/>
          <w:szCs w:val="28"/>
          <w:rtl/>
        </w:rPr>
        <w:t>עביר</w:t>
      </w:r>
      <w:r>
        <w:rPr>
          <w:rFonts w:ascii="FrankRuehl" w:hAnsi="FrankRuehl" w:cs="FrankRuehl" w:hint="cs"/>
          <w:sz w:val="28"/>
          <w:szCs w:val="28"/>
          <w:rtl/>
        </w:rPr>
        <w:t>ת</w:t>
      </w:r>
      <w:r w:rsidRPr="004C06B0">
        <w:rPr>
          <w:rFonts w:ascii="FrankRuehl" w:hAnsi="FrankRuehl" w:cs="FrankRuehl"/>
          <w:sz w:val="28"/>
          <w:szCs w:val="28"/>
          <w:rtl/>
        </w:rPr>
        <w:t xml:space="preserve"> </w:t>
      </w:r>
      <w:r>
        <w:rPr>
          <w:rFonts w:ascii="FrankRuehl" w:hAnsi="FrankRuehl" w:cs="FrankRuehl" w:hint="cs"/>
          <w:sz w:val="28"/>
          <w:szCs w:val="28"/>
          <w:rtl/>
        </w:rPr>
        <w:t xml:space="preserve">סמים </w:t>
      </w:r>
      <w:r w:rsidRPr="004C06B0">
        <w:rPr>
          <w:rFonts w:ascii="FrankRuehl" w:hAnsi="FrankRuehl" w:cs="FrankRuehl"/>
          <w:sz w:val="28"/>
          <w:szCs w:val="28"/>
          <w:rtl/>
        </w:rPr>
        <w:t>מסוג פשע.</w:t>
      </w:r>
    </w:p>
    <w:p w14:paraId="3F27C772" w14:textId="77777777" w:rsidR="00A72763" w:rsidRPr="00230380" w:rsidRDefault="00A72763" w:rsidP="00A72763">
      <w:pPr>
        <w:pStyle w:val="a9"/>
        <w:rPr>
          <w:rFonts w:ascii="FrankRuehl" w:hAnsi="FrankRuehl" w:cs="FrankRuehl"/>
          <w:b/>
          <w:bCs/>
          <w:sz w:val="28"/>
          <w:szCs w:val="28"/>
          <w:rtl/>
        </w:rPr>
      </w:pPr>
    </w:p>
    <w:p w14:paraId="741B41BE" w14:textId="77777777" w:rsidR="00A72763" w:rsidRPr="004C06B0" w:rsidRDefault="00A72763" w:rsidP="00A72763">
      <w:pPr>
        <w:pStyle w:val="a9"/>
        <w:numPr>
          <w:ilvl w:val="0"/>
          <w:numId w:val="1"/>
        </w:numPr>
        <w:spacing w:line="360" w:lineRule="auto"/>
        <w:jc w:val="both"/>
        <w:rPr>
          <w:rFonts w:ascii="FrankRuehl" w:hAnsi="FrankRuehl" w:cs="FrankRuehl"/>
          <w:b/>
          <w:bCs/>
          <w:sz w:val="28"/>
          <w:szCs w:val="28"/>
        </w:rPr>
      </w:pPr>
      <w:r w:rsidRPr="004C06B0">
        <w:rPr>
          <w:rFonts w:ascii="FrankRuehl" w:hAnsi="FrankRuehl" w:cs="FrankRuehl"/>
          <w:sz w:val="28"/>
          <w:szCs w:val="28"/>
          <w:rtl/>
        </w:rPr>
        <w:t xml:space="preserve">אני מטיל על הנאשם מאסר על תנאי של </w:t>
      </w:r>
      <w:r>
        <w:rPr>
          <w:rFonts w:ascii="FrankRuehl" w:hAnsi="FrankRuehl" w:cs="FrankRuehl" w:hint="cs"/>
          <w:sz w:val="28"/>
          <w:szCs w:val="28"/>
          <w:rtl/>
        </w:rPr>
        <w:t>6</w:t>
      </w:r>
      <w:r w:rsidRPr="004C06B0">
        <w:rPr>
          <w:rFonts w:ascii="FrankRuehl" w:hAnsi="FrankRuehl" w:cs="FrankRuehl"/>
          <w:sz w:val="28"/>
          <w:szCs w:val="28"/>
          <w:rtl/>
        </w:rPr>
        <w:t xml:space="preserve"> חודשים, למשך 3 שנים, שלא יעבור כל </w:t>
      </w:r>
      <w:r>
        <w:rPr>
          <w:rFonts w:ascii="FrankRuehl" w:hAnsi="FrankRuehl" w:cs="FrankRuehl"/>
          <w:sz w:val="28"/>
          <w:szCs w:val="28"/>
          <w:rtl/>
        </w:rPr>
        <w:t>עביר</w:t>
      </w:r>
      <w:r>
        <w:rPr>
          <w:rFonts w:ascii="FrankRuehl" w:hAnsi="FrankRuehl" w:cs="FrankRuehl" w:hint="cs"/>
          <w:sz w:val="28"/>
          <w:szCs w:val="28"/>
          <w:rtl/>
        </w:rPr>
        <w:t>ת</w:t>
      </w:r>
      <w:r w:rsidRPr="004C06B0">
        <w:rPr>
          <w:rFonts w:ascii="FrankRuehl" w:hAnsi="FrankRuehl" w:cs="FrankRuehl"/>
          <w:sz w:val="28"/>
          <w:szCs w:val="28"/>
          <w:rtl/>
        </w:rPr>
        <w:t xml:space="preserve"> </w:t>
      </w:r>
      <w:r>
        <w:rPr>
          <w:rFonts w:ascii="FrankRuehl" w:hAnsi="FrankRuehl" w:cs="FrankRuehl" w:hint="cs"/>
          <w:sz w:val="28"/>
          <w:szCs w:val="28"/>
          <w:rtl/>
        </w:rPr>
        <w:t xml:space="preserve">סמים </w:t>
      </w:r>
      <w:r w:rsidRPr="004C06B0">
        <w:rPr>
          <w:rFonts w:ascii="FrankRuehl" w:hAnsi="FrankRuehl" w:cs="FrankRuehl"/>
          <w:sz w:val="28"/>
          <w:szCs w:val="28"/>
          <w:rtl/>
        </w:rPr>
        <w:t xml:space="preserve">מסוג </w:t>
      </w:r>
      <w:r>
        <w:rPr>
          <w:rFonts w:ascii="FrankRuehl" w:hAnsi="FrankRuehl" w:cs="FrankRuehl" w:hint="cs"/>
          <w:sz w:val="28"/>
          <w:szCs w:val="28"/>
          <w:rtl/>
        </w:rPr>
        <w:t>עוון</w:t>
      </w:r>
      <w:r w:rsidRPr="004C06B0">
        <w:rPr>
          <w:rFonts w:ascii="FrankRuehl" w:hAnsi="FrankRuehl" w:cs="FrankRuehl"/>
          <w:sz w:val="28"/>
          <w:szCs w:val="28"/>
          <w:rtl/>
        </w:rPr>
        <w:t>.</w:t>
      </w:r>
    </w:p>
    <w:p w14:paraId="54B6145A" w14:textId="77777777" w:rsidR="00A72763" w:rsidRPr="004C06B0" w:rsidRDefault="00A72763" w:rsidP="00A72763">
      <w:pPr>
        <w:pStyle w:val="a9"/>
        <w:rPr>
          <w:rFonts w:ascii="FrankRuehl" w:hAnsi="FrankRuehl" w:cs="FrankRuehl"/>
          <w:b/>
          <w:bCs/>
          <w:sz w:val="28"/>
          <w:szCs w:val="28"/>
          <w:rtl/>
        </w:rPr>
      </w:pPr>
    </w:p>
    <w:p w14:paraId="6837A41F" w14:textId="77777777" w:rsidR="00A72763" w:rsidRPr="00FE6CBD" w:rsidRDefault="00A72763" w:rsidP="00A72763">
      <w:pPr>
        <w:pStyle w:val="a9"/>
        <w:numPr>
          <w:ilvl w:val="0"/>
          <w:numId w:val="1"/>
        </w:numPr>
        <w:spacing w:line="360" w:lineRule="auto"/>
        <w:jc w:val="both"/>
        <w:rPr>
          <w:rFonts w:ascii="FrankRuehl" w:hAnsi="FrankRuehl" w:cs="FrankRuehl"/>
          <w:b/>
          <w:bCs/>
          <w:sz w:val="28"/>
          <w:szCs w:val="28"/>
        </w:rPr>
      </w:pPr>
      <w:r w:rsidRPr="00FE6CBD">
        <w:rPr>
          <w:rFonts w:ascii="FrankRuehl" w:hAnsi="FrankRuehl" w:cs="FrankRuehl"/>
          <w:sz w:val="28"/>
          <w:szCs w:val="28"/>
          <w:rtl/>
        </w:rPr>
        <w:t xml:space="preserve">אני מטיל על הנאשם קנס בסך 10,000 ₪ או </w:t>
      </w:r>
      <w:r w:rsidRPr="00FE6CBD">
        <w:rPr>
          <w:rFonts w:ascii="FrankRuehl" w:hAnsi="FrankRuehl" w:cs="FrankRuehl" w:hint="cs"/>
          <w:sz w:val="28"/>
          <w:szCs w:val="28"/>
          <w:rtl/>
        </w:rPr>
        <w:t>60</w:t>
      </w:r>
      <w:r w:rsidRPr="00FE6CBD">
        <w:rPr>
          <w:rFonts w:ascii="FrankRuehl" w:hAnsi="FrankRuehl" w:cs="FrankRuehl"/>
          <w:sz w:val="28"/>
          <w:szCs w:val="28"/>
          <w:rtl/>
        </w:rPr>
        <w:t xml:space="preserve"> ימי מאסר תמורתו. </w:t>
      </w:r>
    </w:p>
    <w:p w14:paraId="39A03AE3" w14:textId="77777777" w:rsidR="00A72763" w:rsidRPr="00FE6CBD" w:rsidRDefault="00A72763" w:rsidP="00A72763">
      <w:pPr>
        <w:spacing w:line="360" w:lineRule="auto"/>
        <w:jc w:val="both"/>
        <w:rPr>
          <w:rFonts w:ascii="FrankRuehl" w:hAnsi="FrankRuehl" w:cs="FrankRuehl"/>
          <w:b/>
          <w:bCs/>
          <w:sz w:val="28"/>
          <w:szCs w:val="28"/>
        </w:rPr>
      </w:pPr>
    </w:p>
    <w:p w14:paraId="52FFF972" w14:textId="77777777" w:rsidR="00A72763" w:rsidRDefault="00A72763" w:rsidP="00A72763">
      <w:pPr>
        <w:pStyle w:val="a9"/>
        <w:numPr>
          <w:ilvl w:val="0"/>
          <w:numId w:val="1"/>
        </w:numPr>
        <w:spacing w:line="360" w:lineRule="auto"/>
        <w:jc w:val="both"/>
        <w:rPr>
          <w:rFonts w:ascii="FrankRuehl" w:hAnsi="FrankRuehl" w:cs="FrankRuehl"/>
          <w:b/>
          <w:bCs/>
          <w:sz w:val="28"/>
          <w:szCs w:val="28"/>
        </w:rPr>
      </w:pPr>
      <w:r w:rsidRPr="004C06B0">
        <w:rPr>
          <w:rFonts w:ascii="FrankRuehl" w:hAnsi="FrankRuehl" w:cs="FrankRuehl"/>
          <w:sz w:val="28"/>
          <w:szCs w:val="28"/>
          <w:rtl/>
        </w:rPr>
        <w:t>אני מורה על חילוט</w:t>
      </w:r>
      <w:r w:rsidRPr="004C06B0">
        <w:rPr>
          <w:rFonts w:ascii="FrankRuehl" w:hAnsi="FrankRuehl" w:cs="FrankRuehl"/>
          <w:b/>
          <w:bCs/>
          <w:sz w:val="28"/>
          <w:szCs w:val="28"/>
          <w:rtl/>
        </w:rPr>
        <w:t xml:space="preserve"> </w:t>
      </w:r>
      <w:r w:rsidRPr="004C06B0">
        <w:rPr>
          <w:rFonts w:ascii="FrankRuehl" w:hAnsi="FrankRuehl" w:cs="FrankRuehl"/>
          <w:sz w:val="28"/>
          <w:szCs w:val="28"/>
          <w:rtl/>
        </w:rPr>
        <w:t>הציוד ששימש לגידול הסמים</w:t>
      </w:r>
      <w:r w:rsidRPr="004C06B0">
        <w:rPr>
          <w:rFonts w:ascii="FrankRuehl" w:hAnsi="FrankRuehl" w:cs="FrankRuehl"/>
          <w:b/>
          <w:bCs/>
          <w:sz w:val="28"/>
          <w:szCs w:val="28"/>
          <w:rtl/>
        </w:rPr>
        <w:t xml:space="preserve">, </w:t>
      </w:r>
      <w:r>
        <w:rPr>
          <w:rFonts w:ascii="FrankRuehl" w:hAnsi="FrankRuehl" w:cs="FrankRuehl" w:hint="cs"/>
          <w:sz w:val="28"/>
          <w:szCs w:val="28"/>
          <w:rtl/>
        </w:rPr>
        <w:t xml:space="preserve">לטובת קרן החילוט שהוקמה לפי </w:t>
      </w:r>
      <w:hyperlink r:id="rId29" w:history="1">
        <w:r w:rsidR="00C13DF6" w:rsidRPr="00C13DF6">
          <w:rPr>
            <w:rFonts w:ascii="FrankRuehl" w:hAnsi="FrankRuehl" w:cs="FrankRuehl"/>
            <w:color w:val="0000FF"/>
            <w:sz w:val="28"/>
            <w:szCs w:val="28"/>
            <w:u w:val="single"/>
            <w:rtl/>
          </w:rPr>
          <w:t>פקודת הסמים המסוכנים</w:t>
        </w:r>
      </w:hyperlink>
      <w:r w:rsidRPr="004C06B0">
        <w:rPr>
          <w:rFonts w:ascii="FrankRuehl" w:hAnsi="FrankRuehl" w:cs="FrankRuehl"/>
          <w:b/>
          <w:bCs/>
          <w:sz w:val="28"/>
          <w:szCs w:val="28"/>
          <w:rtl/>
        </w:rPr>
        <w:t xml:space="preserve">. </w:t>
      </w:r>
    </w:p>
    <w:p w14:paraId="4111623B" w14:textId="77777777" w:rsidR="00A72763" w:rsidRPr="006426E5" w:rsidRDefault="00A72763" w:rsidP="00A72763">
      <w:pPr>
        <w:pStyle w:val="a9"/>
        <w:rPr>
          <w:rFonts w:ascii="FrankRuehl" w:hAnsi="FrankRuehl" w:cs="FrankRuehl"/>
          <w:sz w:val="28"/>
          <w:szCs w:val="28"/>
          <w:rtl/>
        </w:rPr>
      </w:pPr>
    </w:p>
    <w:p w14:paraId="52F246C7" w14:textId="77777777" w:rsidR="00A72763" w:rsidRPr="006426E5" w:rsidRDefault="00A72763" w:rsidP="00A72763">
      <w:pPr>
        <w:pStyle w:val="a9"/>
        <w:spacing w:line="360" w:lineRule="auto"/>
        <w:jc w:val="both"/>
        <w:rPr>
          <w:rFonts w:ascii="FrankRuehl" w:hAnsi="FrankRuehl" w:cs="FrankRuehl"/>
          <w:b/>
          <w:bCs/>
          <w:sz w:val="28"/>
          <w:szCs w:val="28"/>
        </w:rPr>
      </w:pPr>
      <w:r>
        <w:rPr>
          <w:rFonts w:ascii="FrankRuehl" w:hAnsi="FrankRuehl" w:cs="FrankRuehl" w:hint="cs"/>
          <w:sz w:val="28"/>
          <w:szCs w:val="28"/>
          <w:rtl/>
        </w:rPr>
        <w:t xml:space="preserve">בהתאם להסכמות בהסדר הטיעון, </w:t>
      </w:r>
      <w:r>
        <w:rPr>
          <w:rFonts w:ascii="FrankRuehl" w:hAnsi="FrankRuehl" w:cs="FrankRuehl"/>
          <w:sz w:val="28"/>
          <w:szCs w:val="28"/>
          <w:rtl/>
        </w:rPr>
        <w:t xml:space="preserve">רכב </w:t>
      </w:r>
      <w:r w:rsidRPr="006426E5">
        <w:rPr>
          <w:rFonts w:ascii="FrankRuehl" w:hAnsi="FrankRuehl" w:cs="FrankRuehl"/>
          <w:sz w:val="28"/>
          <w:szCs w:val="28"/>
          <w:rtl/>
        </w:rPr>
        <w:t>טיוטה מ.ר 83</w:t>
      </w:r>
      <w:r>
        <w:rPr>
          <w:rFonts w:ascii="FrankRuehl" w:hAnsi="FrankRuehl" w:cs="FrankRuehl" w:hint="cs"/>
          <w:sz w:val="28"/>
          <w:szCs w:val="28"/>
          <w:rtl/>
        </w:rPr>
        <w:t>-</w:t>
      </w:r>
      <w:r w:rsidRPr="006426E5">
        <w:rPr>
          <w:rFonts w:ascii="FrankRuehl" w:hAnsi="FrankRuehl" w:cs="FrankRuehl"/>
          <w:sz w:val="28"/>
          <w:szCs w:val="28"/>
          <w:rtl/>
        </w:rPr>
        <w:t>190</w:t>
      </w:r>
      <w:r>
        <w:rPr>
          <w:rFonts w:ascii="FrankRuehl" w:hAnsi="FrankRuehl" w:cs="FrankRuehl" w:hint="cs"/>
          <w:sz w:val="28"/>
          <w:szCs w:val="28"/>
          <w:rtl/>
        </w:rPr>
        <w:t>-</w:t>
      </w:r>
      <w:r w:rsidRPr="006426E5">
        <w:rPr>
          <w:rFonts w:ascii="FrankRuehl" w:hAnsi="FrankRuehl" w:cs="FrankRuehl"/>
          <w:sz w:val="28"/>
          <w:szCs w:val="28"/>
          <w:rtl/>
        </w:rPr>
        <w:t>66, המפורט בהודעת החילוט בכתב האישום המ</w:t>
      </w:r>
      <w:r>
        <w:rPr>
          <w:rFonts w:ascii="FrankRuehl" w:hAnsi="FrankRuehl" w:cs="FrankRuehl"/>
          <w:sz w:val="28"/>
          <w:szCs w:val="28"/>
          <w:rtl/>
        </w:rPr>
        <w:t>קורי, וכן טלפון נייד ומחשב נייח</w:t>
      </w:r>
      <w:r>
        <w:rPr>
          <w:rFonts w:ascii="FrankRuehl" w:hAnsi="FrankRuehl" w:cs="FrankRuehl" w:hint="cs"/>
          <w:sz w:val="28"/>
          <w:szCs w:val="28"/>
          <w:rtl/>
        </w:rPr>
        <w:t xml:space="preserve"> -</w:t>
      </w:r>
      <w:r w:rsidRPr="006426E5">
        <w:rPr>
          <w:rFonts w:ascii="FrankRuehl" w:hAnsi="FrankRuehl" w:cs="FrankRuehl"/>
          <w:sz w:val="28"/>
          <w:szCs w:val="28"/>
          <w:rtl/>
        </w:rPr>
        <w:t xml:space="preserve"> יוחזרו לנאשם.  </w:t>
      </w:r>
    </w:p>
    <w:p w14:paraId="339215DD" w14:textId="77777777" w:rsidR="00A72763" w:rsidRPr="009E3E80" w:rsidRDefault="00A72763" w:rsidP="00A72763">
      <w:pPr>
        <w:spacing w:line="360" w:lineRule="auto"/>
        <w:jc w:val="both"/>
        <w:rPr>
          <w:rFonts w:ascii="David" w:hAnsi="David"/>
          <w:b/>
          <w:bCs/>
          <w:sz w:val="28"/>
          <w:szCs w:val="28"/>
          <w:rtl/>
        </w:rPr>
      </w:pPr>
    </w:p>
    <w:p w14:paraId="065D8366" w14:textId="77777777" w:rsidR="00A72763" w:rsidRPr="00AF461E" w:rsidRDefault="00A72763" w:rsidP="00A72763">
      <w:pPr>
        <w:pStyle w:val="a8"/>
        <w:spacing w:line="360" w:lineRule="auto"/>
        <w:jc w:val="both"/>
        <w:rPr>
          <w:rFonts w:ascii="David" w:hAnsi="David" w:cs="David"/>
          <w:b/>
          <w:bCs/>
          <w:sz w:val="24"/>
          <w:szCs w:val="24"/>
        </w:rPr>
      </w:pPr>
      <w:r w:rsidRPr="00AF461E">
        <w:rPr>
          <w:rFonts w:ascii="David" w:hAnsi="David" w:cs="David"/>
          <w:b/>
          <w:bCs/>
          <w:sz w:val="24"/>
          <w:szCs w:val="24"/>
          <w:rtl/>
        </w:rPr>
        <w:t>החוב מועבר למרכז לגביית קנסות, אגרות והוצאות ברשות האכיפה והגבייה, בהתאם למועדים והתשלומים שקבע בית המשפט.</w:t>
      </w:r>
    </w:p>
    <w:p w14:paraId="4C8697CD" w14:textId="77777777" w:rsidR="00A72763" w:rsidRPr="00AF461E" w:rsidRDefault="00A72763" w:rsidP="00A72763">
      <w:pPr>
        <w:pStyle w:val="a8"/>
        <w:spacing w:line="360" w:lineRule="auto"/>
        <w:jc w:val="both"/>
        <w:rPr>
          <w:rFonts w:ascii="David" w:hAnsi="David" w:cs="David"/>
          <w:b/>
          <w:bCs/>
          <w:sz w:val="24"/>
          <w:szCs w:val="24"/>
        </w:rPr>
      </w:pPr>
      <w:r w:rsidRPr="00AF461E">
        <w:rPr>
          <w:rFonts w:ascii="David" w:hAnsi="David" w:cs="David"/>
          <w:b/>
          <w:bCs/>
          <w:sz w:val="24"/>
          <w:szCs w:val="24"/>
          <w:rtl/>
        </w:rPr>
        <w:t>ניתן יהיה לשלם את הקנס/ פיצוי/ ההוצאות כעבור שלושה ימים מיום מתן ההחלטה/</w:t>
      </w:r>
      <w:r w:rsidR="00C13DF6">
        <w:rPr>
          <w:rFonts w:ascii="David" w:hAnsi="David" w:cs="David"/>
          <w:b/>
          <w:bCs/>
          <w:sz w:val="24"/>
          <w:szCs w:val="24"/>
          <w:rtl/>
        </w:rPr>
        <w:t xml:space="preserve"> </w:t>
      </w:r>
      <w:r w:rsidRPr="00AF461E">
        <w:rPr>
          <w:rFonts w:ascii="David" w:hAnsi="David" w:cs="David"/>
          <w:b/>
          <w:bCs/>
          <w:sz w:val="24"/>
          <w:szCs w:val="24"/>
          <w:rtl/>
        </w:rPr>
        <w:t xml:space="preserve"> גזר הדין לחשבון המרכז לגביית קנסות, אגרות והוצאות ברשות האכיפה והגבייה באחת מהדרכים הבאות:</w:t>
      </w:r>
    </w:p>
    <w:p w14:paraId="627A72B4" w14:textId="77777777" w:rsidR="00A72763" w:rsidRPr="00AF461E" w:rsidRDefault="00A72763" w:rsidP="00A72763">
      <w:pPr>
        <w:pStyle w:val="a8"/>
        <w:spacing w:line="360" w:lineRule="auto"/>
        <w:jc w:val="both"/>
        <w:rPr>
          <w:rFonts w:ascii="David" w:hAnsi="David" w:cs="David"/>
          <w:b/>
          <w:bCs/>
          <w:sz w:val="24"/>
          <w:szCs w:val="24"/>
        </w:rPr>
      </w:pPr>
      <w:r w:rsidRPr="00AF461E">
        <w:rPr>
          <w:rFonts w:ascii="David" w:hAnsi="David" w:cs="David"/>
          <w:b/>
          <w:bCs/>
          <w:sz w:val="24"/>
          <w:szCs w:val="24"/>
          <w:rtl/>
        </w:rPr>
        <w:t xml:space="preserve">בכרטיס אשראי – באתר המקוון של רשות האכיפה והגבייה, </w:t>
      </w:r>
      <w:hyperlink r:id="rId30" w:history="1">
        <w:r w:rsidRPr="00AF461E">
          <w:rPr>
            <w:rStyle w:val="Hyperlink"/>
            <w:rFonts w:ascii="David" w:hAnsi="David" w:cs="David"/>
            <w:b/>
            <w:bCs/>
            <w:i/>
            <w:iCs/>
            <w:sz w:val="24"/>
            <w:szCs w:val="24"/>
          </w:rPr>
          <w:t>www.eca.gov.il</w:t>
        </w:r>
      </w:hyperlink>
      <w:r w:rsidRPr="00AF461E">
        <w:rPr>
          <w:rFonts w:ascii="David" w:hAnsi="David" w:cs="David"/>
          <w:b/>
          <w:bCs/>
          <w:sz w:val="24"/>
          <w:szCs w:val="24"/>
        </w:rPr>
        <w:t xml:space="preserve"> </w:t>
      </w:r>
      <w:r w:rsidR="00C13DF6">
        <w:rPr>
          <w:rFonts w:ascii="David" w:hAnsi="David" w:cs="David"/>
          <w:b/>
          <w:bCs/>
          <w:sz w:val="24"/>
          <w:szCs w:val="24"/>
          <w:rtl/>
        </w:rPr>
        <w:t xml:space="preserve"> </w:t>
      </w:r>
    </w:p>
    <w:p w14:paraId="0E8F5E6D" w14:textId="77777777" w:rsidR="00A72763" w:rsidRPr="00AF461E" w:rsidRDefault="00A72763" w:rsidP="00A72763">
      <w:pPr>
        <w:pStyle w:val="a8"/>
        <w:spacing w:line="360" w:lineRule="auto"/>
        <w:jc w:val="both"/>
        <w:rPr>
          <w:rFonts w:ascii="David" w:hAnsi="David" w:cs="David"/>
          <w:b/>
          <w:bCs/>
          <w:sz w:val="24"/>
          <w:szCs w:val="24"/>
        </w:rPr>
      </w:pPr>
      <w:r w:rsidRPr="00AF461E">
        <w:rPr>
          <w:rFonts w:ascii="David" w:hAnsi="David" w:cs="David"/>
          <w:b/>
          <w:bCs/>
          <w:sz w:val="24"/>
          <w:szCs w:val="24"/>
          <w:rtl/>
        </w:rPr>
        <w:t>מוקד שירות טלפוני בשרות עצמי (מרכז גבייה)</w:t>
      </w:r>
      <w:r w:rsidR="00C13DF6">
        <w:rPr>
          <w:rFonts w:ascii="David" w:hAnsi="David" w:cs="David"/>
          <w:b/>
          <w:bCs/>
          <w:sz w:val="24"/>
          <w:szCs w:val="24"/>
          <w:rtl/>
        </w:rPr>
        <w:t xml:space="preserve"> </w:t>
      </w:r>
      <w:r w:rsidRPr="00AF461E">
        <w:rPr>
          <w:rFonts w:ascii="David" w:hAnsi="David" w:cs="David"/>
          <w:b/>
          <w:bCs/>
          <w:sz w:val="24"/>
          <w:szCs w:val="24"/>
          <w:rtl/>
        </w:rPr>
        <w:t xml:space="preserve"> – בטלפון 35592* או בטלפון 073-2055000</w:t>
      </w:r>
    </w:p>
    <w:p w14:paraId="2D2638D1" w14:textId="77777777" w:rsidR="00A72763" w:rsidRPr="00AF461E" w:rsidRDefault="00C13DF6" w:rsidP="00A72763">
      <w:pPr>
        <w:rPr>
          <w:rFonts w:ascii="David" w:hAnsi="David"/>
        </w:rPr>
      </w:pPr>
      <w:r w:rsidRPr="00C13DF6">
        <w:rPr>
          <w:rFonts w:ascii="David" w:hAnsi="David"/>
          <w:b/>
          <w:bCs/>
          <w:color w:val="FFFFFF"/>
          <w:sz w:val="2"/>
          <w:szCs w:val="2"/>
          <w:rtl/>
        </w:rPr>
        <w:t>5129371</w:t>
      </w:r>
      <w:r w:rsidR="00A72763" w:rsidRPr="00AF461E">
        <w:rPr>
          <w:rFonts w:ascii="David" w:hAnsi="David"/>
          <w:b/>
          <w:bCs/>
          <w:rtl/>
        </w:rPr>
        <w:t>במזומן בכל סניף של בנק הדואר – בהצגת תעודת זהות בלבד (אין צורך בשוברי תשלום).</w:t>
      </w:r>
    </w:p>
    <w:p w14:paraId="2E5E6CC3" w14:textId="77777777" w:rsidR="00A72763" w:rsidRPr="00C13DF6" w:rsidRDefault="00C13DF6" w:rsidP="00A72763">
      <w:pPr>
        <w:spacing w:line="360" w:lineRule="auto"/>
        <w:jc w:val="both"/>
        <w:rPr>
          <w:rFonts w:ascii="David" w:hAnsi="David"/>
          <w:color w:val="FFFFFF"/>
          <w:sz w:val="2"/>
          <w:szCs w:val="2"/>
          <w:rtl/>
        </w:rPr>
      </w:pPr>
      <w:r w:rsidRPr="00C13DF6">
        <w:rPr>
          <w:rFonts w:ascii="David" w:hAnsi="David"/>
          <w:color w:val="FFFFFF"/>
          <w:sz w:val="2"/>
          <w:szCs w:val="2"/>
          <w:rtl/>
        </w:rPr>
        <w:t>54678313</w:t>
      </w:r>
    </w:p>
    <w:p w14:paraId="777F4F93" w14:textId="77777777" w:rsidR="00A72763" w:rsidRDefault="00A72763" w:rsidP="00A72763">
      <w:pPr>
        <w:spacing w:line="360" w:lineRule="auto"/>
        <w:jc w:val="both"/>
        <w:rPr>
          <w:rFonts w:ascii="David" w:hAnsi="David"/>
          <w:b/>
          <w:bCs/>
          <w:u w:val="single"/>
          <w:rtl/>
        </w:rPr>
      </w:pPr>
      <w:r w:rsidRPr="00AF461E">
        <w:rPr>
          <w:rFonts w:ascii="David" w:hAnsi="David"/>
          <w:b/>
          <w:bCs/>
          <w:u w:val="single"/>
          <w:rtl/>
        </w:rPr>
        <w:t>זכות ערעור תוך 45 יום מהיום לבית המשפט העליון.</w:t>
      </w:r>
    </w:p>
    <w:p w14:paraId="6A1CB954" w14:textId="77777777" w:rsidR="00A72763" w:rsidRPr="00AF461E" w:rsidRDefault="00A72763" w:rsidP="00A72763">
      <w:pPr>
        <w:spacing w:line="360" w:lineRule="auto"/>
        <w:jc w:val="both"/>
        <w:rPr>
          <w:rFonts w:ascii="David" w:hAnsi="David"/>
          <w:b/>
          <w:bCs/>
          <w:u w:val="single"/>
          <w:rtl/>
        </w:rPr>
      </w:pPr>
    </w:p>
    <w:p w14:paraId="6AFEC054" w14:textId="77777777" w:rsidR="00A72763" w:rsidRPr="009E3E80" w:rsidRDefault="00C13DF6" w:rsidP="00C13DF6">
      <w:bookmarkStart w:id="8" w:name="Nitan"/>
      <w:r>
        <w:rPr>
          <w:rFonts w:ascii="David" w:hAnsi="David"/>
          <w:sz w:val="28"/>
          <w:szCs w:val="28"/>
          <w:rtl/>
        </w:rPr>
        <w:t xml:space="preserve">ניתן היום,  ט' תמוז תשפ"ג, 28 יוני 2023, במעמד הצדדים. </w:t>
      </w:r>
      <w:bookmarkEnd w:id="8"/>
    </w:p>
    <w:p w14:paraId="4A25372C" w14:textId="77777777" w:rsidR="00A72763" w:rsidRPr="009E3E80" w:rsidRDefault="00A72763" w:rsidP="00A72763">
      <w:pPr>
        <w:rPr>
          <w:rFonts w:ascii="David" w:hAnsi="David"/>
          <w:sz w:val="28"/>
          <w:szCs w:val="28"/>
          <w:rtl/>
        </w:rPr>
      </w:pPr>
    </w:p>
    <w:p w14:paraId="10C2791D" w14:textId="77777777" w:rsidR="004F5CF0" w:rsidRPr="00C13DF6" w:rsidRDefault="004F5CF0" w:rsidP="00C13DF6">
      <w:pPr>
        <w:keepNext/>
        <w:rPr>
          <w:rFonts w:ascii="David" w:hAnsi="David"/>
          <w:color w:val="000000"/>
          <w:sz w:val="22"/>
          <w:szCs w:val="22"/>
          <w:rtl/>
        </w:rPr>
      </w:pPr>
    </w:p>
    <w:p w14:paraId="0FAD171E" w14:textId="77777777" w:rsidR="00C13DF6" w:rsidRPr="00C13DF6" w:rsidRDefault="00C13DF6" w:rsidP="00C13DF6">
      <w:pPr>
        <w:keepNext/>
        <w:rPr>
          <w:rFonts w:ascii="David" w:hAnsi="David"/>
          <w:color w:val="000000"/>
          <w:sz w:val="22"/>
          <w:szCs w:val="22"/>
          <w:rtl/>
        </w:rPr>
      </w:pPr>
      <w:r w:rsidRPr="00C13DF6">
        <w:rPr>
          <w:rFonts w:ascii="David" w:hAnsi="David"/>
          <w:color w:val="000000"/>
          <w:sz w:val="22"/>
          <w:szCs w:val="22"/>
          <w:rtl/>
        </w:rPr>
        <w:t>חנא סבאג 54678313</w:t>
      </w:r>
    </w:p>
    <w:p w14:paraId="7E5C9B9B" w14:textId="77777777" w:rsidR="00C13DF6" w:rsidRDefault="00C13DF6" w:rsidP="00C13DF6">
      <w:r w:rsidRPr="00C13DF6">
        <w:rPr>
          <w:color w:val="000000"/>
          <w:rtl/>
        </w:rPr>
        <w:t>נוסח מסמך זה כפוף לשינויי ניסוח ועריכה</w:t>
      </w:r>
    </w:p>
    <w:p w14:paraId="41CA94FA" w14:textId="77777777" w:rsidR="00C13DF6" w:rsidRDefault="00C13DF6" w:rsidP="00C13DF6">
      <w:pPr>
        <w:rPr>
          <w:rtl/>
        </w:rPr>
      </w:pPr>
    </w:p>
    <w:p w14:paraId="13C2047A" w14:textId="77777777" w:rsidR="00C13DF6" w:rsidRDefault="00C13DF6" w:rsidP="00C13DF6">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15328501" w14:textId="77777777" w:rsidR="00C13DF6" w:rsidRPr="00C13DF6" w:rsidRDefault="00C13DF6" w:rsidP="00C13DF6">
      <w:pPr>
        <w:jc w:val="center"/>
        <w:rPr>
          <w:color w:val="0000FF"/>
          <w:u w:val="single"/>
        </w:rPr>
      </w:pPr>
    </w:p>
    <w:sectPr w:rsidR="00C13DF6" w:rsidRPr="00C13DF6" w:rsidSect="00C13DF6">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8235DF" w14:textId="77777777" w:rsidR="00D75449" w:rsidRDefault="00D75449" w:rsidP="00346185">
      <w:r>
        <w:separator/>
      </w:r>
    </w:p>
  </w:endnote>
  <w:endnote w:type="continuationSeparator" w:id="0">
    <w:p w14:paraId="025C57E8" w14:textId="77777777" w:rsidR="00D75449" w:rsidRDefault="00D75449" w:rsidP="00346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30896" w14:textId="77777777" w:rsidR="00C13DF6" w:rsidRDefault="00C13DF6" w:rsidP="00C13DF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76D524A" w14:textId="77777777" w:rsidR="00C13DF6" w:rsidRPr="00C13DF6" w:rsidRDefault="00C13DF6" w:rsidP="00C13DF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5DE94" w14:textId="77777777" w:rsidR="00C13DF6" w:rsidRDefault="00C13DF6" w:rsidP="00C13DF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5760E">
      <w:rPr>
        <w:rFonts w:ascii="FrankRuehl" w:hAnsi="FrankRuehl" w:cs="FrankRuehl"/>
        <w:noProof/>
        <w:rtl/>
      </w:rPr>
      <w:t>1</w:t>
    </w:r>
    <w:r>
      <w:rPr>
        <w:rFonts w:ascii="FrankRuehl" w:hAnsi="FrankRuehl" w:cs="FrankRuehl"/>
        <w:rtl/>
      </w:rPr>
      <w:fldChar w:fldCharType="end"/>
    </w:r>
  </w:p>
  <w:p w14:paraId="4ED89CAC" w14:textId="77777777" w:rsidR="00C13DF6" w:rsidRPr="00C13DF6" w:rsidRDefault="00C13DF6" w:rsidP="00C13DF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96BE9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02FF1B" w14:textId="77777777" w:rsidR="00D75449" w:rsidRDefault="00D75449" w:rsidP="00346185">
      <w:r>
        <w:separator/>
      </w:r>
    </w:p>
  </w:footnote>
  <w:footnote w:type="continuationSeparator" w:id="0">
    <w:p w14:paraId="0CCABDAD" w14:textId="77777777" w:rsidR="00D75449" w:rsidRDefault="00D75449" w:rsidP="003461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38F50" w14:textId="77777777" w:rsidR="00C13DF6" w:rsidRPr="00C13DF6" w:rsidRDefault="00C13DF6" w:rsidP="00C13DF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(נצ') 41870-05-22</w:t>
    </w:r>
    <w:r>
      <w:rPr>
        <w:rFonts w:ascii="David" w:hAnsi="David"/>
        <w:color w:val="000000"/>
        <w:sz w:val="22"/>
        <w:szCs w:val="22"/>
        <w:rtl/>
      </w:rPr>
      <w:tab/>
      <w:t xml:space="preserve"> מדינת ישראל נ' פיני חן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7CFF0" w14:textId="77777777" w:rsidR="00C13DF6" w:rsidRPr="00C13DF6" w:rsidRDefault="00C13DF6" w:rsidP="00C13DF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(נצ') 41870-05-22</w:t>
    </w:r>
    <w:r>
      <w:rPr>
        <w:rFonts w:ascii="David" w:hAnsi="David"/>
        <w:color w:val="000000"/>
        <w:sz w:val="22"/>
        <w:szCs w:val="22"/>
        <w:rtl/>
      </w:rPr>
      <w:tab/>
      <w:t xml:space="preserve"> מדינת ישראל נ' פיני חן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225BFC"/>
    <w:multiLevelType w:val="hybridMultilevel"/>
    <w:tmpl w:val="79CAC9F0"/>
    <w:lvl w:ilvl="0" w:tplc="4B30EA36">
      <w:start w:val="1"/>
      <w:numFmt w:val="hebrew1"/>
      <w:lvlText w:val="%1."/>
      <w:lvlJc w:val="left"/>
      <w:pPr>
        <w:ind w:left="785"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097590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72763"/>
    <w:rsid w:val="0012025B"/>
    <w:rsid w:val="001B5A3B"/>
    <w:rsid w:val="003060CF"/>
    <w:rsid w:val="00346185"/>
    <w:rsid w:val="004F5CF0"/>
    <w:rsid w:val="005022A2"/>
    <w:rsid w:val="007F3A09"/>
    <w:rsid w:val="0085760E"/>
    <w:rsid w:val="00A72763"/>
    <w:rsid w:val="00BD111F"/>
    <w:rsid w:val="00BF3BBE"/>
    <w:rsid w:val="00C13DF6"/>
    <w:rsid w:val="00D75449"/>
    <w:rsid w:val="00D92B75"/>
    <w:rsid w:val="00E001E7"/>
    <w:rsid w:val="00E70E54"/>
    <w:rsid w:val="00EF36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8570A5"/>
  <w15:chartTrackingRefBased/>
  <w15:docId w15:val="{06E1385F-0CFC-455B-ACB3-D52826C03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7276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72763"/>
    <w:pPr>
      <w:tabs>
        <w:tab w:val="center" w:pos="4153"/>
        <w:tab w:val="right" w:pos="8306"/>
      </w:tabs>
    </w:pPr>
  </w:style>
  <w:style w:type="character" w:customStyle="1" w:styleId="a4">
    <w:name w:val="כותרת עליונה תו"/>
    <w:link w:val="a3"/>
    <w:rsid w:val="00A72763"/>
    <w:rPr>
      <w:rFonts w:ascii="Times New Roman" w:eastAsia="Times New Roman" w:hAnsi="Times New Roman" w:cs="David"/>
      <w:sz w:val="24"/>
      <w:szCs w:val="24"/>
    </w:rPr>
  </w:style>
  <w:style w:type="paragraph" w:styleId="a5">
    <w:name w:val="footer"/>
    <w:basedOn w:val="a"/>
    <w:link w:val="a6"/>
    <w:rsid w:val="00A72763"/>
    <w:pPr>
      <w:tabs>
        <w:tab w:val="center" w:pos="4153"/>
        <w:tab w:val="right" w:pos="8306"/>
      </w:tabs>
    </w:pPr>
  </w:style>
  <w:style w:type="character" w:customStyle="1" w:styleId="a6">
    <w:name w:val="כותרת תחתונה תו"/>
    <w:link w:val="a5"/>
    <w:rsid w:val="00A72763"/>
    <w:rPr>
      <w:rFonts w:ascii="Times New Roman" w:eastAsia="Times New Roman" w:hAnsi="Times New Roman" w:cs="David"/>
      <w:sz w:val="24"/>
      <w:szCs w:val="24"/>
    </w:rPr>
  </w:style>
  <w:style w:type="table" w:styleId="a7">
    <w:name w:val="Table Grid"/>
    <w:basedOn w:val="a1"/>
    <w:rsid w:val="00A7276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qFormat/>
    <w:rsid w:val="00A72763"/>
    <w:pPr>
      <w:bidi/>
    </w:pPr>
    <w:rPr>
      <w:sz w:val="22"/>
      <w:szCs w:val="22"/>
    </w:rPr>
  </w:style>
  <w:style w:type="paragraph" w:styleId="a9">
    <w:name w:val="List Paragraph"/>
    <w:basedOn w:val="a"/>
    <w:qFormat/>
    <w:rsid w:val="00A72763"/>
    <w:pPr>
      <w:ind w:left="720"/>
      <w:contextualSpacing/>
    </w:pPr>
  </w:style>
  <w:style w:type="character" w:styleId="Hyperlink">
    <w:name w:val="Hyperlink"/>
    <w:rsid w:val="00A72763"/>
    <w:rPr>
      <w:rFonts w:ascii="Times New Roman" w:hAnsi="Times New Roman" w:cs="Times New Roman" w:hint="default"/>
      <w:noProof w:val="0"/>
      <w:color w:val="0000FF"/>
      <w:u w:val="single"/>
      <w:lang w:bidi="he-IL"/>
    </w:rPr>
  </w:style>
  <w:style w:type="paragraph" w:customStyle="1" w:styleId="Ruller4">
    <w:name w:val="Ruller 4 ממוספר"/>
    <w:basedOn w:val="a"/>
    <w:next w:val="a"/>
    <w:rsid w:val="00A72763"/>
    <w:pPr>
      <w:tabs>
        <w:tab w:val="left" w:pos="800"/>
        <w:tab w:val="num" w:pos="907"/>
      </w:tabs>
      <w:overflowPunct w:val="0"/>
      <w:autoSpaceDE w:val="0"/>
      <w:autoSpaceDN w:val="0"/>
      <w:adjustRightInd w:val="0"/>
      <w:spacing w:line="360" w:lineRule="auto"/>
      <w:jc w:val="both"/>
    </w:pPr>
    <w:rPr>
      <w:rFonts w:ascii="Garamond" w:hAnsi="Garamond" w:cs="FrankRuehl"/>
      <w:spacing w:val="10"/>
      <w:szCs w:val="28"/>
    </w:rPr>
  </w:style>
  <w:style w:type="character" w:styleId="aa">
    <w:name w:val="page number"/>
    <w:rsid w:val="00C13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6" TargetMode="External"/><Relationship Id="rId18" Type="http://schemas.openxmlformats.org/officeDocument/2006/relationships/hyperlink" Target="http://www.nevo.co.il/case/26797877" TargetMode="External"/><Relationship Id="rId26" Type="http://schemas.openxmlformats.org/officeDocument/2006/relationships/hyperlink" Target="http://www.nevo.co.il/law/70301" TargetMode="External"/><Relationship Id="rId21" Type="http://schemas.openxmlformats.org/officeDocument/2006/relationships/hyperlink" Target="http://www.nevo.co.il/case/26418332" TargetMode="External"/><Relationship Id="rId34"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70301/40d" TargetMode="External"/><Relationship Id="rId17" Type="http://schemas.openxmlformats.org/officeDocument/2006/relationships/hyperlink" Target="http://www.nevo.co.il/case/244246" TargetMode="External"/><Relationship Id="rId25" Type="http://schemas.openxmlformats.org/officeDocument/2006/relationships/hyperlink" Target="http://www.nevo.co.il/law/70301/40d"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5738608" TargetMode="External"/><Relationship Id="rId20" Type="http://schemas.openxmlformats.org/officeDocument/2006/relationships/hyperlink" Target="http://www.nevo.co.il/case/28623297" TargetMode="Externa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2938500"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7.a.;7.c"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4307831" TargetMode="External"/><Relationship Id="rId36" Type="http://schemas.openxmlformats.org/officeDocument/2006/relationships/fontTable" Target="fontTable.xml"/><Relationship Id="rId10" Type="http://schemas.openxmlformats.org/officeDocument/2006/relationships/hyperlink" Target="http://www.nevo.co.il/law/4216/7.c" TargetMode="External"/><Relationship Id="rId19" Type="http://schemas.openxmlformats.org/officeDocument/2006/relationships/hyperlink" Target="http://www.nevo.co.il/case/28226828"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2841413" TargetMode="External"/><Relationship Id="rId27" Type="http://schemas.openxmlformats.org/officeDocument/2006/relationships/hyperlink" Target="http://www.nevo.co.il/case/28226828" TargetMode="External"/><Relationship Id="rId30" Type="http://schemas.openxmlformats.org/officeDocument/2006/relationships/hyperlink" Target="http://www.eca.gov.il/" TargetMode="External"/><Relationship Id="rId35" Type="http://schemas.openxmlformats.org/officeDocument/2006/relationships/footer" Target="footer2.xml"/><Relationship Id="rId8" Type="http://schemas.openxmlformats.org/officeDocument/2006/relationships/hyperlink" Target="http://www.nevo.co.il/law/4216/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3439</Words>
  <Characters>17200</Characters>
  <Application>Microsoft Office Word</Application>
  <DocSecurity>0</DocSecurity>
  <Lines>143</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20598</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7864368</vt:i4>
      </vt:variant>
      <vt:variant>
        <vt:i4>69</vt:i4>
      </vt:variant>
      <vt:variant>
        <vt:i4>0</vt:i4>
      </vt:variant>
      <vt:variant>
        <vt:i4>5</vt:i4>
      </vt:variant>
      <vt:variant>
        <vt:lpwstr>http://www.eca.gov.il/</vt:lpwstr>
      </vt:variant>
      <vt:variant>
        <vt:lpwstr/>
      </vt:variant>
      <vt:variant>
        <vt:i4>8257637</vt:i4>
      </vt:variant>
      <vt:variant>
        <vt:i4>66</vt:i4>
      </vt:variant>
      <vt:variant>
        <vt:i4>0</vt:i4>
      </vt:variant>
      <vt:variant>
        <vt:i4>5</vt:i4>
      </vt:variant>
      <vt:variant>
        <vt:lpwstr>http://www.nevo.co.il/law/4216</vt:lpwstr>
      </vt:variant>
      <vt:variant>
        <vt:lpwstr/>
      </vt:variant>
      <vt:variant>
        <vt:i4>3473528</vt:i4>
      </vt:variant>
      <vt:variant>
        <vt:i4>63</vt:i4>
      </vt:variant>
      <vt:variant>
        <vt:i4>0</vt:i4>
      </vt:variant>
      <vt:variant>
        <vt:i4>5</vt:i4>
      </vt:variant>
      <vt:variant>
        <vt:lpwstr>http://www.nevo.co.il/case/24307831</vt:lpwstr>
      </vt:variant>
      <vt:variant>
        <vt:lpwstr/>
      </vt:variant>
      <vt:variant>
        <vt:i4>3407990</vt:i4>
      </vt:variant>
      <vt:variant>
        <vt:i4>60</vt:i4>
      </vt:variant>
      <vt:variant>
        <vt:i4>0</vt:i4>
      </vt:variant>
      <vt:variant>
        <vt:i4>5</vt:i4>
      </vt:variant>
      <vt:variant>
        <vt:lpwstr>http://www.nevo.co.il/case/28226828</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http://www.nevo.co.il/law/70301/40d</vt:lpwstr>
      </vt:variant>
      <vt:variant>
        <vt:lpwstr/>
      </vt:variant>
      <vt:variant>
        <vt:i4>3342448</vt:i4>
      </vt:variant>
      <vt:variant>
        <vt:i4>51</vt:i4>
      </vt:variant>
      <vt:variant>
        <vt:i4>0</vt:i4>
      </vt:variant>
      <vt:variant>
        <vt:i4>5</vt:i4>
      </vt:variant>
      <vt:variant>
        <vt:lpwstr>http://www.nevo.co.il/case/22938500</vt:lpwstr>
      </vt:variant>
      <vt:variant>
        <vt:lpwstr/>
      </vt:variant>
      <vt:variant>
        <vt:i4>7995492</vt:i4>
      </vt:variant>
      <vt:variant>
        <vt:i4>48</vt:i4>
      </vt:variant>
      <vt:variant>
        <vt:i4>0</vt:i4>
      </vt:variant>
      <vt:variant>
        <vt:i4>5</vt:i4>
      </vt:variant>
      <vt:variant>
        <vt:lpwstr>http://www.nevo.co.il/law/70301</vt:lpwstr>
      </vt:variant>
      <vt:variant>
        <vt:lpwstr/>
      </vt:variant>
      <vt:variant>
        <vt:i4>3801206</vt:i4>
      </vt:variant>
      <vt:variant>
        <vt:i4>45</vt:i4>
      </vt:variant>
      <vt:variant>
        <vt:i4>0</vt:i4>
      </vt:variant>
      <vt:variant>
        <vt:i4>5</vt:i4>
      </vt:variant>
      <vt:variant>
        <vt:lpwstr>http://www.nevo.co.il/case/22841413</vt:lpwstr>
      </vt:variant>
      <vt:variant>
        <vt:lpwstr/>
      </vt:variant>
      <vt:variant>
        <vt:i4>3997808</vt:i4>
      </vt:variant>
      <vt:variant>
        <vt:i4>42</vt:i4>
      </vt:variant>
      <vt:variant>
        <vt:i4>0</vt:i4>
      </vt:variant>
      <vt:variant>
        <vt:i4>5</vt:i4>
      </vt:variant>
      <vt:variant>
        <vt:lpwstr>http://www.nevo.co.il/case/26418332</vt:lpwstr>
      </vt:variant>
      <vt:variant>
        <vt:lpwstr/>
      </vt:variant>
      <vt:variant>
        <vt:i4>4063356</vt:i4>
      </vt:variant>
      <vt:variant>
        <vt:i4>39</vt:i4>
      </vt:variant>
      <vt:variant>
        <vt:i4>0</vt:i4>
      </vt:variant>
      <vt:variant>
        <vt:i4>5</vt:i4>
      </vt:variant>
      <vt:variant>
        <vt:lpwstr>http://www.nevo.co.il/case/28623297</vt:lpwstr>
      </vt:variant>
      <vt:variant>
        <vt:lpwstr/>
      </vt:variant>
      <vt:variant>
        <vt:i4>3407990</vt:i4>
      </vt:variant>
      <vt:variant>
        <vt:i4>36</vt:i4>
      </vt:variant>
      <vt:variant>
        <vt:i4>0</vt:i4>
      </vt:variant>
      <vt:variant>
        <vt:i4>5</vt:i4>
      </vt:variant>
      <vt:variant>
        <vt:lpwstr>http://www.nevo.co.il/case/28226828</vt:lpwstr>
      </vt:variant>
      <vt:variant>
        <vt:lpwstr/>
      </vt:variant>
      <vt:variant>
        <vt:i4>3473523</vt:i4>
      </vt:variant>
      <vt:variant>
        <vt:i4>33</vt:i4>
      </vt:variant>
      <vt:variant>
        <vt:i4>0</vt:i4>
      </vt:variant>
      <vt:variant>
        <vt:i4>5</vt:i4>
      </vt:variant>
      <vt:variant>
        <vt:lpwstr>http://www.nevo.co.il/case/26797877</vt:lpwstr>
      </vt:variant>
      <vt:variant>
        <vt:lpwstr/>
      </vt:variant>
      <vt:variant>
        <vt:i4>131138</vt:i4>
      </vt:variant>
      <vt:variant>
        <vt:i4>30</vt:i4>
      </vt:variant>
      <vt:variant>
        <vt:i4>0</vt:i4>
      </vt:variant>
      <vt:variant>
        <vt:i4>5</vt:i4>
      </vt:variant>
      <vt:variant>
        <vt:lpwstr>http://www.nevo.co.il/case/244246</vt:lpwstr>
      </vt:variant>
      <vt:variant>
        <vt:lpwstr/>
      </vt:variant>
      <vt:variant>
        <vt:i4>3670139</vt:i4>
      </vt:variant>
      <vt:variant>
        <vt:i4>27</vt:i4>
      </vt:variant>
      <vt:variant>
        <vt:i4>0</vt:i4>
      </vt:variant>
      <vt:variant>
        <vt:i4>5</vt:i4>
      </vt:variant>
      <vt:variant>
        <vt:lpwstr>http://www.nevo.co.il/case/5738608</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2025-04-22T21:21:00Z</dcterms:created>
  <dcterms:modified xsi:type="dcterms:W3CDTF">2025-04-22T21:21:00Z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41870</vt:lpwstr>
  </property>
  <property fmtid="{D5CDD505-2E9C-101B-9397-08002B2CF9AE}" pid="6" name="NEWPARTB">
    <vt:lpwstr>05</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פיני חן</vt:lpwstr>
  </property>
  <property fmtid="{D5CDD505-2E9C-101B-9397-08002B2CF9AE}" pid="10" name="JUDGE">
    <vt:lpwstr>חנא סבאג</vt:lpwstr>
  </property>
  <property fmtid="{D5CDD505-2E9C-101B-9397-08002B2CF9AE}" pid="11" name="CITY">
    <vt:lpwstr>נצ'</vt:lpwstr>
  </property>
  <property fmtid="{D5CDD505-2E9C-101B-9397-08002B2CF9AE}" pid="12" name="DATE">
    <vt:lpwstr>20230628</vt:lpwstr>
  </property>
  <property fmtid="{D5CDD505-2E9C-101B-9397-08002B2CF9AE}" pid="13" name="TYPE_N_DATE">
    <vt:lpwstr>39020230628</vt:lpwstr>
  </property>
  <property fmtid="{D5CDD505-2E9C-101B-9397-08002B2CF9AE}" pid="14" name="WORDNUMPAGES">
    <vt:lpwstr>13</vt:lpwstr>
  </property>
  <property fmtid="{D5CDD505-2E9C-101B-9397-08002B2CF9AE}" pid="15" name="TYPE_ABS_DATE">
    <vt:lpwstr>390020230628</vt:lpwstr>
  </property>
  <property fmtid="{D5CDD505-2E9C-101B-9397-08002B2CF9AE}" pid="16" name="ISABSTRACT">
    <vt:lpwstr>Y</vt:lpwstr>
  </property>
  <property fmtid="{D5CDD505-2E9C-101B-9397-08002B2CF9AE}" pid="17" name="CASESLISTTMP1">
    <vt:lpwstr>5738608;244246;26797877;28226828:2;28623297;26418332;22841413;22938500;24307831</vt:lpwstr>
  </property>
  <property fmtid="{D5CDD505-2E9C-101B-9397-08002B2CF9AE}" pid="18" name="LAWLISTTMP1">
    <vt:lpwstr>4216/006;007.a;007.c</vt:lpwstr>
  </property>
  <property fmtid="{D5CDD505-2E9C-101B-9397-08002B2CF9AE}" pid="19" name="LAWLISTTMP2">
    <vt:lpwstr>70301/040d</vt:lpwstr>
  </property>
</Properties>
</file>