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AE4869" w:rsidRPr="00377100" w14:paraId="67E4AFA6" w14:textId="77777777" w:rsidTr="00FE5E2C">
        <w:trPr>
          <w:trHeight w:val="418"/>
          <w:jc w:val="center"/>
        </w:trPr>
        <w:tc>
          <w:tcPr>
            <w:tcW w:w="8504" w:type="dxa"/>
            <w:gridSpan w:val="3"/>
          </w:tcPr>
          <w:p w14:paraId="27F7C8F2" w14:textId="77777777" w:rsidR="00AE4869" w:rsidRPr="00377100" w:rsidRDefault="00A539C8" w:rsidP="00FE5E2C">
            <w:pPr>
              <w:pStyle w:val="a3"/>
              <w:jc w:val="center"/>
              <w:rPr>
                <w:rtl/>
              </w:rPr>
            </w:pPr>
            <w:r>
              <w:rPr>
                <w:rFonts w:ascii="Tahoma" w:hAnsi="Tahoma" w:cs="Tahoma" w:hint="cs"/>
                <w:b/>
                <w:bCs/>
                <w:color w:val="000080"/>
                <w:sz w:val="20"/>
                <w:szCs w:val="20"/>
              </w:rPr>
              <w:t xml:space="preserve"> </w:t>
            </w:r>
            <w:r w:rsidR="00AE4869" w:rsidRPr="00377100">
              <w:rPr>
                <w:rFonts w:ascii="Tahoma" w:hAnsi="Tahoma" w:cs="Tahoma"/>
                <w:b/>
                <w:bCs/>
                <w:color w:val="000080"/>
                <w:sz w:val="20"/>
                <w:szCs w:val="20"/>
                <w:rtl/>
              </w:rPr>
              <w:t>בית המשפט המחוזי בבאר שבע</w:t>
            </w:r>
          </w:p>
        </w:tc>
      </w:tr>
      <w:tr w:rsidR="00AE4869" w:rsidRPr="00377100" w14:paraId="6632BA87" w14:textId="77777777" w:rsidTr="00FE5E2C">
        <w:trPr>
          <w:trHeight w:val="337"/>
          <w:jc w:val="center"/>
        </w:trPr>
        <w:tc>
          <w:tcPr>
            <w:tcW w:w="4676" w:type="dxa"/>
          </w:tcPr>
          <w:p w14:paraId="4B3354F0" w14:textId="77777777" w:rsidR="00AE4869" w:rsidRPr="00377100" w:rsidRDefault="00AE4869" w:rsidP="00FE5E2C">
            <w:pPr>
              <w:spacing w:line="360" w:lineRule="auto"/>
              <w:jc w:val="both"/>
              <w:rPr>
                <w:b/>
                <w:bCs/>
                <w:rtl/>
              </w:rPr>
            </w:pPr>
            <w:r w:rsidRPr="00377100">
              <w:rPr>
                <w:rFonts w:hint="cs"/>
                <w:b/>
                <w:bCs/>
                <w:rtl/>
              </w:rPr>
              <w:t>לפני כבוד סגן הנשיאה, השופט אליהו ביתן</w:t>
            </w:r>
          </w:p>
        </w:tc>
        <w:tc>
          <w:tcPr>
            <w:tcW w:w="241" w:type="dxa"/>
          </w:tcPr>
          <w:p w14:paraId="0B4E48AB" w14:textId="77777777" w:rsidR="00AE4869" w:rsidRPr="00377100" w:rsidRDefault="00AE4869" w:rsidP="00FE5E2C">
            <w:pPr>
              <w:pStyle w:val="a3"/>
              <w:jc w:val="right"/>
              <w:rPr>
                <w:b/>
                <w:bCs/>
                <w:rtl/>
              </w:rPr>
            </w:pPr>
          </w:p>
        </w:tc>
        <w:tc>
          <w:tcPr>
            <w:tcW w:w="3587" w:type="dxa"/>
          </w:tcPr>
          <w:p w14:paraId="5546748D" w14:textId="77777777" w:rsidR="00AE4869" w:rsidRPr="00377100" w:rsidRDefault="00AE4869" w:rsidP="00FE5E2C">
            <w:pPr>
              <w:pStyle w:val="a3"/>
              <w:tabs>
                <w:tab w:val="clear" w:pos="4153"/>
              </w:tabs>
              <w:jc w:val="right"/>
              <w:rPr>
                <w:rtl/>
              </w:rPr>
            </w:pPr>
            <w:r w:rsidRPr="00377100">
              <w:rPr>
                <w:rFonts w:hint="cs"/>
                <w:b/>
                <w:bCs/>
                <w:rtl/>
              </w:rPr>
              <w:t>22 ינואר 2023</w:t>
            </w:r>
          </w:p>
          <w:p w14:paraId="0AF23A6A" w14:textId="77777777" w:rsidR="00AE4869" w:rsidRPr="00377100" w:rsidRDefault="00AE4869" w:rsidP="00FE5E2C">
            <w:pPr>
              <w:pStyle w:val="a3"/>
              <w:tabs>
                <w:tab w:val="clear" w:pos="4153"/>
              </w:tabs>
              <w:rPr>
                <w:b/>
                <w:bCs/>
                <w:rtl/>
              </w:rPr>
            </w:pPr>
          </w:p>
          <w:p w14:paraId="09B7AB49" w14:textId="77777777" w:rsidR="00AE4869" w:rsidRPr="00377100" w:rsidRDefault="00AE4869" w:rsidP="00FE5E2C">
            <w:pPr>
              <w:jc w:val="right"/>
              <w:rPr>
                <w:rtl/>
              </w:rPr>
            </w:pPr>
            <w:r w:rsidRPr="00377100">
              <w:rPr>
                <w:rFonts w:hint="cs"/>
                <w:b/>
                <w:bCs/>
                <w:rtl/>
              </w:rPr>
              <w:t>ת"פ 25594-07-22 מדינת ישראל נ' ט' 9182078(עציר)</w:t>
            </w:r>
          </w:p>
        </w:tc>
      </w:tr>
    </w:tbl>
    <w:p w14:paraId="432AB0EC" w14:textId="77777777" w:rsidR="00AE4869" w:rsidRPr="00377100" w:rsidRDefault="00AE4869" w:rsidP="00AE4869">
      <w:pPr>
        <w:pStyle w:val="a3"/>
        <w:rPr>
          <w:rtl/>
        </w:rPr>
      </w:pPr>
      <w:bookmarkStart w:id="0" w:name="LastJudge"/>
      <w:bookmarkEnd w:id="0"/>
    </w:p>
    <w:p w14:paraId="57D22C71" w14:textId="77777777" w:rsidR="00AE4869" w:rsidRPr="00377100" w:rsidRDefault="00AE4869" w:rsidP="00AE4869">
      <w:pPr>
        <w:spacing w:line="360" w:lineRule="auto"/>
        <w:jc w:val="both"/>
        <w:rPr>
          <w:sz w:val="6"/>
          <w:szCs w:val="6"/>
          <w:rtl/>
        </w:rPr>
      </w:pPr>
    </w:p>
    <w:p w14:paraId="34FFDBAB" w14:textId="77777777" w:rsidR="00AE4869" w:rsidRPr="00377100" w:rsidRDefault="00AE4869" w:rsidP="00AE4869">
      <w:pPr>
        <w:spacing w:line="360" w:lineRule="auto"/>
        <w:jc w:val="both"/>
        <w:rPr>
          <w:sz w:val="6"/>
          <w:szCs w:val="6"/>
          <w:rtl/>
        </w:rPr>
      </w:pPr>
    </w:p>
    <w:tbl>
      <w:tblPr>
        <w:bidiVisual/>
        <w:tblW w:w="8532" w:type="dxa"/>
        <w:tblInd w:w="242" w:type="dxa"/>
        <w:tblLook w:val="01E0" w:firstRow="1" w:lastRow="1" w:firstColumn="1" w:lastColumn="1" w:noHBand="0" w:noVBand="0"/>
      </w:tblPr>
      <w:tblGrid>
        <w:gridCol w:w="2250"/>
        <w:gridCol w:w="6226"/>
        <w:gridCol w:w="56"/>
      </w:tblGrid>
      <w:tr w:rsidR="00AE4869" w:rsidRPr="00377100" w14:paraId="14BC36A7" w14:textId="77777777" w:rsidTr="00AE4869">
        <w:trPr>
          <w:gridAfter w:val="1"/>
          <w:wAfter w:w="56" w:type="dxa"/>
        </w:trPr>
        <w:tc>
          <w:tcPr>
            <w:tcW w:w="8476" w:type="dxa"/>
            <w:gridSpan w:val="2"/>
            <w:shd w:val="clear" w:color="auto" w:fill="auto"/>
          </w:tcPr>
          <w:p w14:paraId="569B092F" w14:textId="77777777" w:rsidR="00AE4869" w:rsidRPr="00377100" w:rsidRDefault="00AE4869" w:rsidP="00AE4869">
            <w:pPr>
              <w:spacing w:line="360" w:lineRule="auto"/>
              <w:jc w:val="both"/>
              <w:rPr>
                <w:rFonts w:ascii="David" w:hAnsi="David"/>
                <w:b/>
                <w:bCs/>
                <w:rtl/>
              </w:rPr>
            </w:pPr>
            <w:r w:rsidRPr="00377100">
              <w:rPr>
                <w:rFonts w:ascii="David" w:hAnsi="David" w:hint="cs"/>
                <w:b/>
                <w:bCs/>
                <w:rtl/>
              </w:rPr>
              <w:t>בעניין:</w:t>
            </w:r>
          </w:p>
        </w:tc>
      </w:tr>
      <w:tr w:rsidR="00AE4869" w:rsidRPr="00377100" w14:paraId="73241FA3" w14:textId="77777777" w:rsidTr="00AE4869">
        <w:tc>
          <w:tcPr>
            <w:tcW w:w="2250" w:type="dxa"/>
            <w:shd w:val="clear" w:color="auto" w:fill="auto"/>
          </w:tcPr>
          <w:p w14:paraId="138971B3" w14:textId="77777777" w:rsidR="00AE4869" w:rsidRPr="00377100" w:rsidRDefault="00AE4869" w:rsidP="00AE4869">
            <w:pPr>
              <w:spacing w:line="360" w:lineRule="auto"/>
              <w:ind w:left="26"/>
              <w:rPr>
                <w:rFonts w:ascii="David" w:hAnsi="David"/>
                <w:b/>
                <w:bCs/>
                <w:rtl/>
              </w:rPr>
            </w:pPr>
            <w:bookmarkStart w:id="1" w:name="FirstAppellant"/>
            <w:r w:rsidRPr="00377100">
              <w:rPr>
                <w:rFonts w:ascii="David" w:hAnsi="David" w:hint="cs"/>
                <w:b/>
                <w:bCs/>
                <w:rtl/>
              </w:rPr>
              <w:t>המאשימה:</w:t>
            </w:r>
          </w:p>
        </w:tc>
        <w:tc>
          <w:tcPr>
            <w:tcW w:w="6282" w:type="dxa"/>
            <w:gridSpan w:val="2"/>
            <w:shd w:val="clear" w:color="auto" w:fill="auto"/>
          </w:tcPr>
          <w:p w14:paraId="1ADB8904" w14:textId="77777777" w:rsidR="00AE4869" w:rsidRPr="00377100" w:rsidRDefault="00AE4869" w:rsidP="00AE4869">
            <w:pPr>
              <w:spacing w:line="360" w:lineRule="auto"/>
              <w:rPr>
                <w:rFonts w:ascii="David" w:hAnsi="David"/>
                <w:b/>
                <w:bCs/>
                <w:rtl/>
              </w:rPr>
            </w:pPr>
            <w:r w:rsidRPr="00377100">
              <w:rPr>
                <w:rFonts w:ascii="David" w:hAnsi="David" w:hint="cs"/>
                <w:b/>
                <w:bCs/>
                <w:rtl/>
              </w:rPr>
              <w:t>מדינת ישראל</w:t>
            </w:r>
          </w:p>
        </w:tc>
      </w:tr>
      <w:bookmarkEnd w:id="1"/>
      <w:tr w:rsidR="00AE4869" w:rsidRPr="00377100" w14:paraId="394B08CF" w14:textId="77777777" w:rsidTr="00AE4869">
        <w:tc>
          <w:tcPr>
            <w:tcW w:w="8532" w:type="dxa"/>
            <w:gridSpan w:val="3"/>
            <w:shd w:val="clear" w:color="auto" w:fill="auto"/>
          </w:tcPr>
          <w:p w14:paraId="4BDEB177" w14:textId="77777777" w:rsidR="00AE4869" w:rsidRPr="00377100" w:rsidRDefault="00AE4869" w:rsidP="00AE4869">
            <w:pPr>
              <w:spacing w:line="360" w:lineRule="auto"/>
              <w:jc w:val="center"/>
              <w:rPr>
                <w:rFonts w:ascii="David" w:hAnsi="David"/>
                <w:b/>
                <w:bCs/>
                <w:sz w:val="28"/>
                <w:szCs w:val="28"/>
                <w:rtl/>
              </w:rPr>
            </w:pPr>
            <w:r w:rsidRPr="00377100">
              <w:rPr>
                <w:rFonts w:ascii="David" w:hAnsi="David" w:hint="cs"/>
                <w:b/>
                <w:bCs/>
                <w:sz w:val="28"/>
                <w:szCs w:val="28"/>
                <w:rtl/>
              </w:rPr>
              <w:t>נגד</w:t>
            </w:r>
          </w:p>
        </w:tc>
      </w:tr>
      <w:tr w:rsidR="00AE4869" w:rsidRPr="00377100" w14:paraId="55157A6C" w14:textId="77777777" w:rsidTr="00AE4869">
        <w:tc>
          <w:tcPr>
            <w:tcW w:w="2250" w:type="dxa"/>
            <w:shd w:val="clear" w:color="auto" w:fill="auto"/>
          </w:tcPr>
          <w:p w14:paraId="0E9DBA3B" w14:textId="77777777" w:rsidR="00AE4869" w:rsidRPr="00377100" w:rsidRDefault="00AE4869" w:rsidP="00AE4869">
            <w:pPr>
              <w:spacing w:line="360" w:lineRule="auto"/>
              <w:ind w:left="26"/>
              <w:rPr>
                <w:rFonts w:ascii="David" w:hAnsi="David"/>
                <w:b/>
                <w:bCs/>
              </w:rPr>
            </w:pPr>
            <w:r w:rsidRPr="00377100">
              <w:rPr>
                <w:rFonts w:ascii="David" w:hAnsi="David" w:hint="cs"/>
                <w:b/>
                <w:bCs/>
                <w:rtl/>
              </w:rPr>
              <w:t>הנאשם:</w:t>
            </w:r>
          </w:p>
        </w:tc>
        <w:tc>
          <w:tcPr>
            <w:tcW w:w="6282" w:type="dxa"/>
            <w:gridSpan w:val="2"/>
            <w:shd w:val="clear" w:color="auto" w:fill="auto"/>
          </w:tcPr>
          <w:p w14:paraId="53FE126B" w14:textId="77777777" w:rsidR="00AE4869" w:rsidRPr="00377100" w:rsidRDefault="00AE4869" w:rsidP="00AE4869">
            <w:pPr>
              <w:spacing w:line="360" w:lineRule="auto"/>
              <w:rPr>
                <w:rFonts w:ascii="David" w:hAnsi="David"/>
                <w:b/>
                <w:bCs/>
                <w:rtl/>
              </w:rPr>
            </w:pPr>
            <w:r w:rsidRPr="00377100">
              <w:rPr>
                <w:rFonts w:ascii="David" w:hAnsi="David"/>
                <w:b/>
                <w:bCs/>
              </w:rPr>
              <w:t>LUKSUB PUCHONG</w:t>
            </w:r>
            <w:r w:rsidRPr="00377100">
              <w:rPr>
                <w:rFonts w:ascii="David" w:hAnsi="David"/>
                <w:b/>
                <w:bCs/>
                <w:rtl/>
              </w:rPr>
              <w:t xml:space="preserve"> ט' 9182078 (עציר)</w:t>
            </w:r>
          </w:p>
        </w:tc>
      </w:tr>
    </w:tbl>
    <w:p w14:paraId="34065C20" w14:textId="77777777" w:rsidR="00AE4869" w:rsidRPr="00377100" w:rsidRDefault="00AE4869" w:rsidP="00AE4869">
      <w:pPr>
        <w:spacing w:line="360" w:lineRule="auto"/>
        <w:jc w:val="both"/>
        <w:rPr>
          <w:rFonts w:ascii="David" w:hAnsi="David"/>
          <w:sz w:val="6"/>
          <w:szCs w:val="6"/>
          <w:rtl/>
        </w:rPr>
      </w:pPr>
      <w:r w:rsidRPr="00377100">
        <w:rPr>
          <w:rFonts w:hint="cs"/>
          <w:sz w:val="6"/>
          <w:szCs w:val="6"/>
          <w:rtl/>
        </w:rPr>
        <w:t>&lt;#1#&gt;</w:t>
      </w:r>
    </w:p>
    <w:p w14:paraId="7308F7C3" w14:textId="77777777" w:rsidR="00AE4869" w:rsidRPr="00377100" w:rsidRDefault="00AE4869" w:rsidP="00AE4869">
      <w:pPr>
        <w:pStyle w:val="12"/>
        <w:spacing w:line="360" w:lineRule="auto"/>
        <w:rPr>
          <w:u w:val="none"/>
          <w:rtl/>
        </w:rPr>
      </w:pPr>
      <w:r w:rsidRPr="00377100">
        <w:rPr>
          <w:u w:val="none"/>
          <w:rtl/>
        </w:rPr>
        <w:t>נוכחים:</w:t>
      </w:r>
    </w:p>
    <w:p w14:paraId="3A15E043" w14:textId="77777777" w:rsidR="00AE4869" w:rsidRPr="00377100" w:rsidRDefault="00AE4869" w:rsidP="00AE4869">
      <w:pPr>
        <w:pStyle w:val="12"/>
        <w:spacing w:line="360" w:lineRule="auto"/>
        <w:rPr>
          <w:b w:val="0"/>
          <w:bCs w:val="0"/>
          <w:u w:val="none"/>
          <w:rtl/>
        </w:rPr>
      </w:pPr>
      <w:bookmarkStart w:id="2" w:name="FirstLawyer"/>
      <w:r w:rsidRPr="00377100">
        <w:rPr>
          <w:b w:val="0"/>
          <w:bCs w:val="0"/>
          <w:u w:val="none"/>
          <w:rtl/>
        </w:rPr>
        <w:t>ב"כ</w:t>
      </w:r>
      <w:bookmarkEnd w:id="2"/>
      <w:r w:rsidRPr="00377100">
        <w:rPr>
          <w:b w:val="0"/>
          <w:bCs w:val="0"/>
          <w:u w:val="none"/>
          <w:rtl/>
        </w:rPr>
        <w:t xml:space="preserve"> המאשימה, עו"ד ערן צרויה</w:t>
      </w:r>
    </w:p>
    <w:p w14:paraId="74493DE2" w14:textId="77777777" w:rsidR="00AE4869" w:rsidRPr="00377100" w:rsidRDefault="00AE4869" w:rsidP="00AE4869">
      <w:pPr>
        <w:pStyle w:val="12"/>
        <w:spacing w:line="360" w:lineRule="auto"/>
        <w:rPr>
          <w:b w:val="0"/>
          <w:bCs w:val="0"/>
          <w:u w:val="none"/>
          <w:rtl/>
        </w:rPr>
      </w:pPr>
      <w:r w:rsidRPr="00377100">
        <w:rPr>
          <w:b w:val="0"/>
          <w:bCs w:val="0"/>
          <w:u w:val="none"/>
          <w:rtl/>
        </w:rPr>
        <w:t>הנאשם ובא-כוחו, עו"ד רן אבינועם</w:t>
      </w:r>
    </w:p>
    <w:p w14:paraId="38D7F53F" w14:textId="77777777" w:rsidR="00AE4869" w:rsidRPr="00377100" w:rsidRDefault="00AE4869" w:rsidP="00AE4869">
      <w:pPr>
        <w:pStyle w:val="12"/>
        <w:spacing w:line="360" w:lineRule="auto"/>
        <w:rPr>
          <w:b w:val="0"/>
          <w:bCs w:val="0"/>
          <w:u w:val="none"/>
          <w:rtl/>
        </w:rPr>
      </w:pPr>
      <w:r w:rsidRPr="00377100">
        <w:rPr>
          <w:b w:val="0"/>
          <w:bCs w:val="0"/>
          <w:u w:val="none"/>
          <w:rtl/>
        </w:rPr>
        <w:t>מתורגמנית לשפה התאית, הגב' קניארט ארז</w:t>
      </w:r>
    </w:p>
    <w:p w14:paraId="4FE84C53" w14:textId="77777777" w:rsidR="00AE4869" w:rsidRPr="00377100" w:rsidRDefault="00AE4869" w:rsidP="00AE4869">
      <w:pPr>
        <w:pStyle w:val="12"/>
        <w:spacing w:line="360" w:lineRule="auto"/>
        <w:rPr>
          <w:b w:val="0"/>
          <w:bCs w:val="0"/>
          <w:u w:val="none"/>
          <w:rtl/>
        </w:rPr>
      </w:pPr>
    </w:p>
    <w:p w14:paraId="1DC4EF36" w14:textId="77777777" w:rsidR="00272F63" w:rsidRPr="00272F63" w:rsidRDefault="00272F63" w:rsidP="00272F63">
      <w:pPr>
        <w:spacing w:after="120" w:line="240" w:lineRule="exact"/>
        <w:ind w:left="283" w:hanging="283"/>
        <w:jc w:val="both"/>
        <w:rPr>
          <w:rFonts w:ascii="FrankRuehl" w:hAnsi="FrankRuehl" w:cs="FrankRuehl"/>
          <w:rtl/>
        </w:rPr>
      </w:pPr>
    </w:p>
    <w:p w14:paraId="2719A30A" w14:textId="77777777" w:rsidR="00397DF9" w:rsidRPr="00397DF9" w:rsidRDefault="00397DF9" w:rsidP="00397DF9">
      <w:pPr>
        <w:spacing w:before="120" w:after="120" w:line="240" w:lineRule="exact"/>
        <w:ind w:left="283" w:hanging="283"/>
        <w:jc w:val="both"/>
        <w:rPr>
          <w:rFonts w:ascii="FrankRuehl" w:hAnsi="FrankRuehl" w:cs="FrankRuehl"/>
          <w:rtl/>
        </w:rPr>
      </w:pPr>
    </w:p>
    <w:p w14:paraId="1D9087DC" w14:textId="77777777" w:rsidR="00397DF9" w:rsidRPr="00397DF9" w:rsidRDefault="00397DF9" w:rsidP="00397DF9">
      <w:pPr>
        <w:spacing w:before="120" w:after="120" w:line="240" w:lineRule="exact"/>
        <w:ind w:left="283" w:hanging="283"/>
        <w:jc w:val="both"/>
        <w:rPr>
          <w:rFonts w:ascii="FrankRuehl" w:hAnsi="FrankRuehl" w:cs="FrankRuehl"/>
          <w:rtl/>
        </w:rPr>
      </w:pPr>
    </w:p>
    <w:p w14:paraId="4CB8B280" w14:textId="77777777" w:rsidR="006C0ACA" w:rsidRDefault="006C0ACA" w:rsidP="006C0ACA">
      <w:pPr>
        <w:spacing w:line="360" w:lineRule="auto"/>
        <w:jc w:val="center"/>
        <w:rPr>
          <w:rFonts w:ascii="Arial" w:hAnsi="Arial"/>
          <w:sz w:val="28"/>
          <w:szCs w:val="28"/>
          <w:rtl/>
        </w:rPr>
      </w:pPr>
      <w:bookmarkStart w:id="3" w:name="LawTable"/>
      <w:bookmarkEnd w:id="3"/>
    </w:p>
    <w:p w14:paraId="64A4BF73" w14:textId="77777777" w:rsidR="006C0ACA" w:rsidRPr="006C0ACA" w:rsidRDefault="006C0ACA" w:rsidP="006C0ACA">
      <w:pPr>
        <w:spacing w:before="120" w:after="120" w:line="240" w:lineRule="exact"/>
        <w:ind w:left="283" w:hanging="283"/>
        <w:jc w:val="both"/>
        <w:rPr>
          <w:rFonts w:ascii="FrankRuehl" w:hAnsi="FrankRuehl" w:cs="FrankRuehl"/>
          <w:rtl/>
        </w:rPr>
      </w:pPr>
    </w:p>
    <w:p w14:paraId="1F518EA6" w14:textId="77777777" w:rsidR="006C0ACA" w:rsidRPr="006C0ACA" w:rsidRDefault="006C0ACA" w:rsidP="006C0ACA">
      <w:pPr>
        <w:spacing w:before="120" w:after="120" w:line="240" w:lineRule="exact"/>
        <w:ind w:left="283" w:hanging="283"/>
        <w:jc w:val="both"/>
        <w:rPr>
          <w:rFonts w:ascii="FrankRuehl" w:hAnsi="FrankRuehl" w:cs="FrankRuehl"/>
          <w:rtl/>
        </w:rPr>
      </w:pPr>
    </w:p>
    <w:p w14:paraId="16DA310D" w14:textId="77777777" w:rsidR="006C0ACA" w:rsidRPr="006C0ACA" w:rsidRDefault="006C0ACA" w:rsidP="006C0ACA">
      <w:pPr>
        <w:spacing w:before="120" w:after="120" w:line="240" w:lineRule="exact"/>
        <w:ind w:left="283" w:hanging="283"/>
        <w:jc w:val="both"/>
        <w:rPr>
          <w:rFonts w:ascii="FrankRuehl" w:hAnsi="FrankRuehl" w:cs="FrankRuehl"/>
          <w:rtl/>
        </w:rPr>
      </w:pPr>
      <w:r w:rsidRPr="006C0ACA">
        <w:rPr>
          <w:rFonts w:ascii="FrankRuehl" w:hAnsi="FrankRuehl" w:cs="FrankRuehl"/>
          <w:rtl/>
        </w:rPr>
        <w:t xml:space="preserve">חקיקה שאוזכרה: </w:t>
      </w:r>
    </w:p>
    <w:p w14:paraId="4B9882C8" w14:textId="77777777" w:rsidR="006C0ACA" w:rsidRPr="006C0ACA" w:rsidRDefault="006C0ACA" w:rsidP="006C0ACA">
      <w:pPr>
        <w:spacing w:before="120" w:after="120" w:line="240" w:lineRule="exact"/>
        <w:ind w:left="283" w:hanging="283"/>
        <w:jc w:val="both"/>
        <w:rPr>
          <w:rFonts w:ascii="FrankRuehl" w:hAnsi="FrankRuehl" w:cs="FrankRuehl"/>
          <w:rtl/>
        </w:rPr>
      </w:pPr>
      <w:hyperlink r:id="rId6" w:history="1">
        <w:r w:rsidRPr="006C0ACA">
          <w:rPr>
            <w:rFonts w:ascii="FrankRuehl" w:hAnsi="FrankRuehl" w:cs="FrankRuehl"/>
            <w:color w:val="0000FF"/>
            <w:rtl/>
          </w:rPr>
          <w:t>פקודת הסמים המסוכנים [נוסח חדש], תשל"ג-1973</w:t>
        </w:r>
      </w:hyperlink>
      <w:r w:rsidRPr="006C0ACA">
        <w:rPr>
          <w:rFonts w:ascii="FrankRuehl" w:hAnsi="FrankRuehl" w:cs="FrankRuehl"/>
          <w:rtl/>
        </w:rPr>
        <w:t xml:space="preserve">: סע'  </w:t>
      </w:r>
      <w:hyperlink r:id="rId7" w:history="1">
        <w:r w:rsidRPr="006C0ACA">
          <w:rPr>
            <w:rFonts w:ascii="FrankRuehl" w:hAnsi="FrankRuehl" w:cs="FrankRuehl"/>
            <w:color w:val="0000FF"/>
            <w:rtl/>
          </w:rPr>
          <w:t>7.א.</w:t>
        </w:r>
      </w:hyperlink>
      <w:r w:rsidRPr="006C0ACA">
        <w:rPr>
          <w:rFonts w:ascii="FrankRuehl" w:hAnsi="FrankRuehl" w:cs="FrankRuehl"/>
          <w:rtl/>
        </w:rPr>
        <w:t xml:space="preserve">, </w:t>
      </w:r>
      <w:hyperlink r:id="rId8" w:history="1">
        <w:r w:rsidRPr="006C0ACA">
          <w:rPr>
            <w:rFonts w:ascii="FrankRuehl" w:hAnsi="FrankRuehl" w:cs="FrankRuehl"/>
            <w:color w:val="0000FF"/>
            <w:rtl/>
          </w:rPr>
          <w:t>7.ג</w:t>
        </w:r>
      </w:hyperlink>
      <w:r w:rsidRPr="006C0ACA">
        <w:rPr>
          <w:rFonts w:ascii="FrankRuehl" w:hAnsi="FrankRuehl" w:cs="FrankRuehl"/>
          <w:rtl/>
        </w:rPr>
        <w:t xml:space="preserve">, </w:t>
      </w:r>
      <w:hyperlink r:id="rId9" w:history="1">
        <w:r w:rsidRPr="006C0ACA">
          <w:rPr>
            <w:rFonts w:ascii="FrankRuehl" w:hAnsi="FrankRuehl" w:cs="FrankRuehl"/>
            <w:color w:val="0000FF"/>
            <w:rtl/>
          </w:rPr>
          <w:t>13</w:t>
        </w:r>
      </w:hyperlink>
      <w:r w:rsidRPr="006C0ACA">
        <w:rPr>
          <w:rFonts w:ascii="FrankRuehl" w:hAnsi="FrankRuehl" w:cs="FrankRuehl"/>
          <w:rtl/>
        </w:rPr>
        <w:t xml:space="preserve">, </w:t>
      </w:r>
      <w:hyperlink r:id="rId10" w:history="1">
        <w:r w:rsidRPr="006C0ACA">
          <w:rPr>
            <w:rFonts w:ascii="FrankRuehl" w:hAnsi="FrankRuehl" w:cs="FrankRuehl"/>
            <w:color w:val="0000FF"/>
            <w:rtl/>
          </w:rPr>
          <w:t>31(3)</w:t>
        </w:r>
      </w:hyperlink>
    </w:p>
    <w:p w14:paraId="34DE224D" w14:textId="77777777" w:rsidR="006C0ACA" w:rsidRPr="006C0ACA" w:rsidRDefault="006C0ACA" w:rsidP="006C0ACA">
      <w:pPr>
        <w:spacing w:before="120" w:after="120" w:line="240" w:lineRule="exact"/>
        <w:ind w:left="283" w:hanging="283"/>
        <w:jc w:val="both"/>
        <w:rPr>
          <w:rFonts w:ascii="FrankRuehl" w:hAnsi="FrankRuehl" w:cs="FrankRuehl"/>
          <w:rtl/>
        </w:rPr>
      </w:pPr>
      <w:hyperlink r:id="rId11" w:history="1">
        <w:r w:rsidRPr="006C0ACA">
          <w:rPr>
            <w:rFonts w:ascii="FrankRuehl" w:hAnsi="FrankRuehl" w:cs="FrankRuehl"/>
            <w:color w:val="0000FF"/>
            <w:rtl/>
          </w:rPr>
          <w:t>חוק העונשין, תשל"ז-1977</w:t>
        </w:r>
      </w:hyperlink>
      <w:r w:rsidRPr="006C0ACA">
        <w:rPr>
          <w:rFonts w:ascii="FrankRuehl" w:hAnsi="FrankRuehl" w:cs="FrankRuehl"/>
          <w:rtl/>
        </w:rPr>
        <w:t xml:space="preserve">: סע'  </w:t>
      </w:r>
      <w:hyperlink r:id="rId12" w:history="1">
        <w:r w:rsidRPr="006C0ACA">
          <w:rPr>
            <w:rFonts w:ascii="FrankRuehl" w:hAnsi="FrankRuehl" w:cs="FrankRuehl"/>
            <w:color w:val="0000FF"/>
            <w:rtl/>
          </w:rPr>
          <w:t>25</w:t>
        </w:r>
      </w:hyperlink>
    </w:p>
    <w:p w14:paraId="48D6B02D" w14:textId="77777777" w:rsidR="006C0ACA" w:rsidRPr="006C0ACA" w:rsidRDefault="006C0ACA" w:rsidP="006C0ACA">
      <w:pPr>
        <w:spacing w:line="360" w:lineRule="auto"/>
        <w:jc w:val="center"/>
        <w:rPr>
          <w:rFonts w:ascii="Arial" w:hAnsi="Arial" w:hint="cs"/>
          <w:sz w:val="28"/>
          <w:szCs w:val="28"/>
          <w:rtl/>
        </w:rPr>
      </w:pPr>
      <w:bookmarkStart w:id="4" w:name="LawTable_End"/>
      <w:bookmarkEnd w:id="4"/>
    </w:p>
    <w:p w14:paraId="6F317DC5" w14:textId="77777777" w:rsidR="00377100" w:rsidRPr="00397DF9" w:rsidRDefault="00377100" w:rsidP="00397DF9">
      <w:pPr>
        <w:spacing w:line="360" w:lineRule="auto"/>
        <w:jc w:val="center"/>
        <w:rPr>
          <w:rFonts w:ascii="Arial" w:hAnsi="Arial" w:hint="cs"/>
          <w:sz w:val="28"/>
          <w:szCs w:val="28"/>
          <w:rtl/>
        </w:rPr>
      </w:pPr>
    </w:p>
    <w:p w14:paraId="58B2DD16" w14:textId="77777777" w:rsidR="00377100" w:rsidRPr="00377100" w:rsidRDefault="00377100" w:rsidP="00377100">
      <w:pPr>
        <w:autoSpaceDE w:val="0"/>
        <w:autoSpaceDN w:val="0"/>
        <w:adjustRightInd w:val="0"/>
        <w:spacing w:line="360" w:lineRule="auto"/>
        <w:jc w:val="center"/>
        <w:rPr>
          <w:rFonts w:ascii="Arial" w:hAnsi="Arial"/>
          <w:b/>
          <w:bCs/>
          <w:sz w:val="28"/>
          <w:szCs w:val="28"/>
          <w:u w:val="single"/>
          <w:rtl/>
        </w:rPr>
      </w:pPr>
      <w:bookmarkStart w:id="5" w:name="PsakDin"/>
      <w:r w:rsidRPr="00377100">
        <w:rPr>
          <w:rFonts w:ascii="Arial" w:hAnsi="Arial"/>
          <w:b/>
          <w:bCs/>
          <w:sz w:val="28"/>
          <w:szCs w:val="28"/>
          <w:u w:val="single"/>
          <w:rtl/>
        </w:rPr>
        <w:t>גזר דין</w:t>
      </w:r>
    </w:p>
    <w:bookmarkEnd w:id="5"/>
    <w:p w14:paraId="60D86BD5" w14:textId="77777777" w:rsidR="00AE4869" w:rsidRPr="009024C5" w:rsidRDefault="00AE4869" w:rsidP="00AE4869">
      <w:pPr>
        <w:autoSpaceDE w:val="0"/>
        <w:autoSpaceDN w:val="0"/>
        <w:adjustRightInd w:val="0"/>
        <w:spacing w:line="360" w:lineRule="auto"/>
        <w:jc w:val="both"/>
        <w:rPr>
          <w:rFonts w:hAnsi="David"/>
          <w:b/>
          <w:bCs/>
          <w:u w:val="single"/>
          <w:rtl/>
        </w:rPr>
      </w:pPr>
      <w:r w:rsidRPr="009024C5">
        <w:rPr>
          <w:rFonts w:hint="cs"/>
          <w:b/>
          <w:bCs/>
          <w:u w:val="single"/>
          <w:rtl/>
        </w:rPr>
        <w:t>כללי</w:t>
      </w:r>
    </w:p>
    <w:p w14:paraId="69ADB839" w14:textId="77777777" w:rsidR="00AE4869" w:rsidRPr="009024C5" w:rsidRDefault="00AE4869" w:rsidP="00AE4869">
      <w:pPr>
        <w:spacing w:line="360" w:lineRule="auto"/>
        <w:ind w:left="720" w:hanging="720"/>
        <w:jc w:val="both"/>
        <w:rPr>
          <w:rFonts w:ascii="David"/>
        </w:rPr>
      </w:pPr>
      <w:r w:rsidRPr="009024C5">
        <w:rPr>
          <w:rFonts w:hint="cs"/>
          <w:rtl/>
        </w:rPr>
        <w:t>1.</w:t>
      </w:r>
      <w:r w:rsidRPr="009024C5">
        <w:rPr>
          <w:rFonts w:hint="cs"/>
          <w:rtl/>
        </w:rPr>
        <w:tab/>
      </w:r>
      <w:bookmarkStart w:id="6" w:name="ABSTRACT_START"/>
      <w:bookmarkEnd w:id="6"/>
      <w:r w:rsidRPr="009024C5">
        <w:rPr>
          <w:rFonts w:hint="cs"/>
          <w:rtl/>
        </w:rPr>
        <w:t xml:space="preserve">בטרם שמיעת הראיות, הצדדים הגיעו להסדר במסגרתו, כתב האישום המקורי שהוגש נגד הנאשם תוקן והנאשם הודה בעובדות כתב האישום המתוקן, שאלה הם עיקריהן - </w:t>
      </w:r>
    </w:p>
    <w:p w14:paraId="4881477C" w14:textId="77777777" w:rsidR="00AE4869" w:rsidRPr="009024C5" w:rsidRDefault="00AE4869" w:rsidP="00AE4869">
      <w:pPr>
        <w:spacing w:line="360" w:lineRule="auto"/>
        <w:ind w:left="720" w:hanging="720"/>
        <w:jc w:val="both"/>
        <w:rPr>
          <w:rtl/>
          <w:lang w:eastAsia="he-IL"/>
        </w:rPr>
      </w:pPr>
      <w:r w:rsidRPr="009024C5">
        <w:rPr>
          <w:rFonts w:hint="cs"/>
          <w:rtl/>
        </w:rPr>
        <w:t xml:space="preserve"> </w:t>
      </w:r>
      <w:r w:rsidRPr="009024C5">
        <w:rPr>
          <w:rFonts w:hint="cs"/>
          <w:rtl/>
        </w:rPr>
        <w:tab/>
        <w:t>הנאשם, אזרח תאילנד אשר בזמן הרלוונטי החזיק באשרת עבודה בישראל ועבד במושב ישע, קשר קשר עם אחר לייבא לישראל סם מסוכן מסוג מתאמפטמין (להלן: "הסם"). במסגרת הקשר, נשלחה לנאשם חבילה בדואר מתאילנד לישראל, ובה אריזות קפה נמס בהן הוסתר סם במשקל של 120 גרם</w:t>
      </w:r>
      <w:bookmarkStart w:id="7" w:name="ABSTRACT_END"/>
      <w:bookmarkEnd w:id="7"/>
      <w:r w:rsidRPr="009024C5">
        <w:rPr>
          <w:rFonts w:hint="cs"/>
          <w:rtl/>
        </w:rPr>
        <w:t xml:space="preserve">. המשלוח מוען עבור </w:t>
      </w:r>
      <w:r w:rsidRPr="009024C5">
        <w:t>Nittha Knemananyothin</w:t>
      </w:r>
      <w:r w:rsidRPr="009024C5">
        <w:rPr>
          <w:rtl/>
        </w:rPr>
        <w:t xml:space="preserve"> </w:t>
      </w:r>
      <w:r w:rsidRPr="009024C5">
        <w:rPr>
          <w:rFonts w:hint="cs"/>
          <w:rtl/>
        </w:rPr>
        <w:t xml:space="preserve">במושב ישע. החבילה הגיעה לישראל, רשויות המכס גילו את הסם והעבירו את החבילה עם הסמים </w:t>
      </w:r>
      <w:r w:rsidRPr="009024C5">
        <w:rPr>
          <w:rFonts w:hint="cs"/>
          <w:rtl/>
        </w:rPr>
        <w:lastRenderedPageBreak/>
        <w:t>למשטרת ישראל. המשטרה הוציאה מהחבילה סם במשקל 10.15 גרם והכניסה אותו לחבילה חדשה, וביום 27.06.22 החבילה החדשה הונחה על ידי המשטרה במקום המיועד לאיסוף חבילות במזכירות מושב ישע. בהמשך היום, הנאשם הגיע למקום האיסוף ונטל את החבילה, ואז נעצר על ידי השוטרים.</w:t>
      </w:r>
    </w:p>
    <w:p w14:paraId="22A045A7" w14:textId="77777777" w:rsidR="00AE4869" w:rsidRPr="009024C5" w:rsidRDefault="00AE4869" w:rsidP="00AE4869">
      <w:pPr>
        <w:spacing w:line="360" w:lineRule="auto"/>
        <w:ind w:left="720" w:hanging="720"/>
        <w:jc w:val="both"/>
        <w:rPr>
          <w:rtl/>
        </w:rPr>
      </w:pPr>
      <w:r w:rsidRPr="009024C5">
        <w:rPr>
          <w:rFonts w:hint="cs"/>
          <w:rtl/>
        </w:rPr>
        <w:t xml:space="preserve"> </w:t>
      </w:r>
    </w:p>
    <w:p w14:paraId="799CD6D4" w14:textId="77777777" w:rsidR="00AE4869" w:rsidRPr="009024C5" w:rsidRDefault="00AE4869" w:rsidP="00AE4869">
      <w:pPr>
        <w:autoSpaceDE w:val="0"/>
        <w:autoSpaceDN w:val="0"/>
        <w:adjustRightInd w:val="0"/>
        <w:spacing w:line="360" w:lineRule="auto"/>
        <w:ind w:left="720" w:hanging="720"/>
        <w:jc w:val="both"/>
        <w:rPr>
          <w:rtl/>
        </w:rPr>
      </w:pPr>
      <w:r w:rsidRPr="009024C5">
        <w:rPr>
          <w:rFonts w:hint="cs"/>
          <w:rtl/>
        </w:rPr>
        <w:t>2.</w:t>
      </w:r>
      <w:r w:rsidRPr="009024C5">
        <w:rPr>
          <w:rFonts w:hint="cs"/>
          <w:rtl/>
        </w:rPr>
        <w:tab/>
        <w:t xml:space="preserve">על יסוד הודאתו בעובדות כאמור, הנאשם הורשע בעבירות של ייבוא סם מסוכן, לפי </w:t>
      </w:r>
      <w:hyperlink r:id="rId13" w:history="1">
        <w:r w:rsidR="00272F63" w:rsidRPr="00272F63">
          <w:rPr>
            <w:rStyle w:val="Hyperlink"/>
            <w:rFonts w:hint="eastAsia"/>
            <w:rtl/>
          </w:rPr>
          <w:t>סעיף</w:t>
        </w:r>
        <w:r w:rsidR="00272F63" w:rsidRPr="00272F63">
          <w:rPr>
            <w:rStyle w:val="Hyperlink"/>
            <w:rtl/>
          </w:rPr>
          <w:t xml:space="preserve"> 13</w:t>
        </w:r>
      </w:hyperlink>
      <w:r w:rsidRPr="009024C5">
        <w:rPr>
          <w:rFonts w:hint="cs"/>
          <w:rtl/>
        </w:rPr>
        <w:t xml:space="preserve">  ב</w:t>
      </w:r>
      <w:hyperlink r:id="rId14" w:history="1">
        <w:r w:rsidR="00377100" w:rsidRPr="00377100">
          <w:rPr>
            <w:color w:val="0000FF"/>
            <w:u w:val="single"/>
            <w:rtl/>
          </w:rPr>
          <w:t>פקודת הסמים המסוכנים</w:t>
        </w:r>
      </w:hyperlink>
      <w:r w:rsidRPr="009024C5">
        <w:rPr>
          <w:rFonts w:hint="cs"/>
          <w:rtl/>
        </w:rPr>
        <w:t xml:space="preserve"> [נוסח חדש], התשל"ג-1973 (להלן: "פקודת הסמים"); וניסיון להחזקת סם מסוכן שלא לצריכה עצמית, לפי סעיף </w:t>
      </w:r>
      <w:hyperlink r:id="rId15" w:history="1">
        <w:r w:rsidR="00272F63" w:rsidRPr="00272F63">
          <w:rPr>
            <w:rStyle w:val="Hyperlink"/>
            <w:rtl/>
          </w:rPr>
          <w:t>7(א) ו- (ג)</w:t>
        </w:r>
      </w:hyperlink>
      <w:r w:rsidRPr="009024C5">
        <w:rPr>
          <w:rFonts w:hint="cs"/>
          <w:rtl/>
        </w:rPr>
        <w:t xml:space="preserve"> רישא בפקודת הסמים וסעיף </w:t>
      </w:r>
      <w:hyperlink r:id="rId16" w:history="1">
        <w:r w:rsidR="00272F63" w:rsidRPr="00272F63">
          <w:rPr>
            <w:rStyle w:val="Hyperlink"/>
            <w:rtl/>
          </w:rPr>
          <w:t>25</w:t>
        </w:r>
      </w:hyperlink>
      <w:r w:rsidRPr="009024C5">
        <w:rPr>
          <w:rFonts w:hint="cs"/>
          <w:rtl/>
        </w:rPr>
        <w:t xml:space="preserve"> ב</w:t>
      </w:r>
      <w:hyperlink r:id="rId17" w:history="1">
        <w:r w:rsidR="00377100" w:rsidRPr="00377100">
          <w:rPr>
            <w:color w:val="0000FF"/>
            <w:u w:val="single"/>
            <w:rtl/>
          </w:rPr>
          <w:t>חוק העונשין</w:t>
        </w:r>
      </w:hyperlink>
      <w:r w:rsidRPr="009024C5">
        <w:rPr>
          <w:rFonts w:hint="cs"/>
          <w:rtl/>
        </w:rPr>
        <w:t>, התשל"ז-1977.</w:t>
      </w:r>
    </w:p>
    <w:p w14:paraId="10EA87F1" w14:textId="77777777" w:rsidR="00AE4869" w:rsidRPr="009024C5" w:rsidRDefault="00AE4869" w:rsidP="00AE4869">
      <w:pPr>
        <w:autoSpaceDE w:val="0"/>
        <w:autoSpaceDN w:val="0"/>
        <w:adjustRightInd w:val="0"/>
        <w:spacing w:line="360" w:lineRule="auto"/>
        <w:ind w:left="720" w:hanging="720"/>
        <w:jc w:val="both"/>
        <w:rPr>
          <w:rtl/>
        </w:rPr>
      </w:pPr>
    </w:p>
    <w:p w14:paraId="106DE505" w14:textId="77777777" w:rsidR="00AE4869" w:rsidRPr="009024C5" w:rsidRDefault="00AE4869" w:rsidP="00AE4869">
      <w:pPr>
        <w:autoSpaceDE w:val="0"/>
        <w:autoSpaceDN w:val="0"/>
        <w:adjustRightInd w:val="0"/>
        <w:spacing w:line="360" w:lineRule="auto"/>
        <w:ind w:left="720" w:hanging="720"/>
        <w:jc w:val="both"/>
        <w:rPr>
          <w:rtl/>
        </w:rPr>
      </w:pPr>
      <w:r w:rsidRPr="009024C5">
        <w:rPr>
          <w:rFonts w:hint="cs"/>
          <w:rtl/>
        </w:rPr>
        <w:t>3.</w:t>
      </w:r>
      <w:r w:rsidRPr="009024C5">
        <w:rPr>
          <w:rFonts w:hint="cs"/>
          <w:rtl/>
        </w:rPr>
        <w:tab/>
        <w:t xml:space="preserve">ההסדר בין הצדדים לא כלל הסכמה לעניין העונש. </w:t>
      </w:r>
    </w:p>
    <w:p w14:paraId="62F7BAB2" w14:textId="77777777" w:rsidR="00AE4869" w:rsidRPr="009024C5" w:rsidRDefault="00AE4869" w:rsidP="00AE4869">
      <w:pPr>
        <w:autoSpaceDE w:val="0"/>
        <w:autoSpaceDN w:val="0"/>
        <w:adjustRightInd w:val="0"/>
        <w:spacing w:line="360" w:lineRule="auto"/>
        <w:jc w:val="both"/>
        <w:rPr>
          <w:b/>
          <w:bCs/>
          <w:u w:val="single"/>
          <w:rtl/>
        </w:rPr>
      </w:pPr>
    </w:p>
    <w:p w14:paraId="54C21C40" w14:textId="77777777" w:rsidR="00AE4869" w:rsidRPr="009024C5" w:rsidRDefault="00AE4869" w:rsidP="00AE4869">
      <w:pPr>
        <w:autoSpaceDE w:val="0"/>
        <w:autoSpaceDN w:val="0"/>
        <w:adjustRightInd w:val="0"/>
        <w:spacing w:line="360" w:lineRule="auto"/>
        <w:jc w:val="both"/>
        <w:rPr>
          <w:b/>
          <w:bCs/>
          <w:u w:val="single"/>
          <w:rtl/>
        </w:rPr>
      </w:pPr>
    </w:p>
    <w:p w14:paraId="35C29812" w14:textId="77777777" w:rsidR="00AE4869" w:rsidRPr="009024C5" w:rsidRDefault="00AE4869" w:rsidP="00AE4869">
      <w:pPr>
        <w:autoSpaceDE w:val="0"/>
        <w:autoSpaceDN w:val="0"/>
        <w:adjustRightInd w:val="0"/>
        <w:spacing w:line="360" w:lineRule="auto"/>
        <w:jc w:val="both"/>
        <w:rPr>
          <w:b/>
          <w:bCs/>
          <w:u w:val="single"/>
          <w:rtl/>
        </w:rPr>
      </w:pPr>
      <w:r w:rsidRPr="009024C5">
        <w:rPr>
          <w:rFonts w:hint="cs"/>
          <w:b/>
          <w:bCs/>
          <w:u w:val="single"/>
          <w:rtl/>
        </w:rPr>
        <w:t>טיעוני הצדדים</w:t>
      </w:r>
    </w:p>
    <w:p w14:paraId="0550B5B2" w14:textId="77777777" w:rsidR="00AE4869" w:rsidRPr="009024C5" w:rsidRDefault="00AE4869" w:rsidP="00AE4869">
      <w:pPr>
        <w:autoSpaceDE w:val="0"/>
        <w:autoSpaceDN w:val="0"/>
        <w:adjustRightInd w:val="0"/>
        <w:spacing w:line="360" w:lineRule="auto"/>
        <w:ind w:left="720" w:hanging="720"/>
        <w:jc w:val="both"/>
        <w:rPr>
          <w:rtl/>
        </w:rPr>
      </w:pPr>
      <w:r w:rsidRPr="009024C5">
        <w:rPr>
          <w:rFonts w:hint="cs"/>
          <w:rtl/>
        </w:rPr>
        <w:t>4.</w:t>
      </w:r>
      <w:r w:rsidRPr="009024C5">
        <w:rPr>
          <w:rFonts w:hint="cs"/>
          <w:rtl/>
        </w:rPr>
        <w:tab/>
        <w:t xml:space="preserve">המאשימה עמדה על הערכים החברתיים המוגנים בעבירות הסמים ועל מידת הפגיעה בהם כאן; התייחסה למדיניות הענישה הנוהגת ולנסיבות ביצוע העבירות; ועתרה לקביעת מתחם עונש הולם הנע בין 24 ל- 48 חודשי מאסר. אשר לעונש הראוי לנאשם בגדרי המתחם, ציינה את הודאת הנאשם, ומנגד את הצורך בהרתעת היחיד והרבים. וביקשה להטיל על הנאשם עונש מאסר הממוקם בשליש התחתון של המתחם, מאסר על תנאי, קנס משמעותי ופסילת רישיון נהיגה בפועל ועל  תנאי. </w:t>
      </w:r>
    </w:p>
    <w:p w14:paraId="04572843" w14:textId="77777777" w:rsidR="00AE4869" w:rsidRPr="009024C5" w:rsidRDefault="00AE4869" w:rsidP="00AE4869">
      <w:pPr>
        <w:autoSpaceDE w:val="0"/>
        <w:autoSpaceDN w:val="0"/>
        <w:adjustRightInd w:val="0"/>
        <w:spacing w:line="360" w:lineRule="auto"/>
        <w:ind w:left="720" w:hanging="720"/>
        <w:jc w:val="both"/>
        <w:rPr>
          <w:rtl/>
        </w:rPr>
      </w:pPr>
    </w:p>
    <w:p w14:paraId="1EB04777" w14:textId="77777777" w:rsidR="00AE4869" w:rsidRPr="009024C5" w:rsidRDefault="00AE4869" w:rsidP="00AE4869">
      <w:pPr>
        <w:autoSpaceDE w:val="0"/>
        <w:autoSpaceDN w:val="0"/>
        <w:adjustRightInd w:val="0"/>
        <w:spacing w:line="360" w:lineRule="auto"/>
        <w:ind w:left="720" w:hanging="720"/>
        <w:jc w:val="both"/>
        <w:rPr>
          <w:rtl/>
        </w:rPr>
      </w:pPr>
      <w:r w:rsidRPr="009024C5">
        <w:rPr>
          <w:rFonts w:hint="cs"/>
          <w:rtl/>
        </w:rPr>
        <w:t>5.</w:t>
      </w:r>
      <w:r w:rsidRPr="009024C5">
        <w:rPr>
          <w:rFonts w:hint="cs"/>
          <w:rtl/>
        </w:rPr>
        <w:tab/>
        <w:t xml:space="preserve">ב"כ הנאשם טען כי מתחם העונש ההולם למעשי הנאשם נע בין 15 ל- 30 חודשי מאסר בפועל. הגיש פסיקה. ציין שהנאשם הגיע לישראל במטרה לעבוד ולפרנס את משפחתו והוא נמצא בארץ לבדו. ציין שהנאשם הודה במיוחס לו, לקח אחריות על מעשיו, הבין את הפסול בהם, וחסך זמן שיפוטי. ומאז מעצרו הוא אינו יכול לסייע כלכלית למשפחתו. טען, שבתור אזרח זר, תנאי מאסרו של הנאשם צפויים להיות קשים יותר. וביקש להטיל על הנאשם 15 חודשי מאסר בפועל, וקנס מתון. </w:t>
      </w:r>
    </w:p>
    <w:p w14:paraId="6BB271C0" w14:textId="77777777" w:rsidR="00AE4869" w:rsidRPr="009024C5" w:rsidRDefault="00AE4869" w:rsidP="00AE4869">
      <w:pPr>
        <w:autoSpaceDE w:val="0"/>
        <w:autoSpaceDN w:val="0"/>
        <w:adjustRightInd w:val="0"/>
        <w:spacing w:line="360" w:lineRule="auto"/>
        <w:ind w:left="720" w:hanging="720"/>
        <w:jc w:val="both"/>
        <w:rPr>
          <w:rtl/>
        </w:rPr>
      </w:pPr>
    </w:p>
    <w:p w14:paraId="37C2C491" w14:textId="77777777" w:rsidR="00AE4869" w:rsidRPr="009024C5" w:rsidRDefault="00AE4869" w:rsidP="00AE4869">
      <w:pPr>
        <w:autoSpaceDE w:val="0"/>
        <w:autoSpaceDN w:val="0"/>
        <w:adjustRightInd w:val="0"/>
        <w:spacing w:line="360" w:lineRule="auto"/>
        <w:ind w:left="720" w:hanging="720"/>
        <w:jc w:val="both"/>
        <w:rPr>
          <w:rtl/>
        </w:rPr>
      </w:pPr>
      <w:r w:rsidRPr="009024C5">
        <w:rPr>
          <w:rFonts w:hint="cs"/>
          <w:rtl/>
        </w:rPr>
        <w:t>6.</w:t>
      </w:r>
      <w:r w:rsidRPr="009024C5">
        <w:rPr>
          <w:rFonts w:hint="cs"/>
          <w:rtl/>
        </w:rPr>
        <w:tab/>
        <w:t>הנאשם הביע צער על מעשיו.</w:t>
      </w:r>
    </w:p>
    <w:p w14:paraId="45FBC538" w14:textId="77777777" w:rsidR="00AE4869" w:rsidRPr="009024C5" w:rsidRDefault="00AE4869" w:rsidP="00AE4869">
      <w:pPr>
        <w:autoSpaceDE w:val="0"/>
        <w:autoSpaceDN w:val="0"/>
        <w:adjustRightInd w:val="0"/>
        <w:spacing w:line="360" w:lineRule="auto"/>
        <w:ind w:left="720" w:hanging="720"/>
        <w:jc w:val="both"/>
        <w:rPr>
          <w:rtl/>
        </w:rPr>
      </w:pPr>
    </w:p>
    <w:p w14:paraId="66C9C750" w14:textId="77777777" w:rsidR="00AE4869" w:rsidRPr="009024C5" w:rsidRDefault="00AE4869" w:rsidP="00AE4869">
      <w:pPr>
        <w:autoSpaceDE w:val="0"/>
        <w:autoSpaceDN w:val="0"/>
        <w:adjustRightInd w:val="0"/>
        <w:spacing w:line="360" w:lineRule="auto"/>
        <w:ind w:left="720" w:hanging="720"/>
        <w:jc w:val="both"/>
        <w:rPr>
          <w:b/>
          <w:bCs/>
          <w:u w:val="single"/>
          <w:rtl/>
        </w:rPr>
      </w:pPr>
      <w:r w:rsidRPr="009024C5">
        <w:rPr>
          <w:rFonts w:hint="cs"/>
          <w:b/>
          <w:bCs/>
          <w:u w:val="single"/>
          <w:rtl/>
        </w:rPr>
        <w:t>דיון והכרעה</w:t>
      </w:r>
    </w:p>
    <w:p w14:paraId="65F03D53" w14:textId="77777777" w:rsidR="00AE4869" w:rsidRPr="009024C5" w:rsidRDefault="00AE4869" w:rsidP="00AE4869">
      <w:pPr>
        <w:spacing w:line="360" w:lineRule="auto"/>
        <w:ind w:left="720" w:hanging="720"/>
        <w:jc w:val="both"/>
        <w:rPr>
          <w:rtl/>
        </w:rPr>
      </w:pPr>
      <w:r w:rsidRPr="009024C5">
        <w:rPr>
          <w:rFonts w:hint="cs"/>
          <w:rtl/>
        </w:rPr>
        <w:t>7.</w:t>
      </w:r>
      <w:r w:rsidRPr="009024C5">
        <w:rPr>
          <w:rFonts w:hint="cs"/>
          <w:rtl/>
        </w:rPr>
        <w:tab/>
        <w:t>הנאשם הורשע בשתי עבירות, שבוצעו במסגרת פרשה אחת והן כרוכות זו בזו. ובנסיבות יש לראות בהן אירוע אחד, לקבוע מתחם עונש הולם לאירוע כולו ולגזור עונש כולל לשתי העבירות.</w:t>
      </w:r>
    </w:p>
    <w:p w14:paraId="4C6D7D42" w14:textId="77777777" w:rsidR="00AE4869" w:rsidRPr="009024C5" w:rsidRDefault="00AE4869" w:rsidP="00AE4869">
      <w:pPr>
        <w:spacing w:line="360" w:lineRule="auto"/>
        <w:ind w:left="720" w:hanging="720"/>
        <w:jc w:val="both"/>
        <w:rPr>
          <w:rtl/>
        </w:rPr>
      </w:pPr>
    </w:p>
    <w:p w14:paraId="1F6B1A3B" w14:textId="77777777" w:rsidR="00AE4869" w:rsidRPr="009024C5" w:rsidRDefault="00AE4869" w:rsidP="00AE4869">
      <w:pPr>
        <w:spacing w:line="360" w:lineRule="auto"/>
        <w:ind w:left="720" w:hanging="720"/>
        <w:jc w:val="both"/>
        <w:rPr>
          <w:rtl/>
        </w:rPr>
      </w:pPr>
      <w:r w:rsidRPr="009024C5">
        <w:rPr>
          <w:rFonts w:hint="cs"/>
          <w:rtl/>
        </w:rPr>
        <w:lastRenderedPageBreak/>
        <w:t>8.</w:t>
      </w:r>
      <w:r w:rsidRPr="009024C5">
        <w:rPr>
          <w:rFonts w:hint="cs"/>
          <w:rtl/>
        </w:rPr>
        <w:tab/>
      </w:r>
      <w:r w:rsidRPr="009024C5">
        <w:rPr>
          <w:rFonts w:hint="cs"/>
          <w:sz w:val="28"/>
          <w:rtl/>
        </w:rPr>
        <w:t xml:space="preserve">סם המתאמפטמין הוא </w:t>
      </w:r>
      <w:r w:rsidRPr="009024C5">
        <w:rPr>
          <w:rFonts w:hint="cs"/>
          <w:rtl/>
        </w:rPr>
        <w:t xml:space="preserve">סם פסיכואקטיבי סינתטי ממריץ וממכר מאד. השפעותיו לטווח הקצר הן </w:t>
      </w:r>
      <w:r w:rsidRPr="009024C5">
        <w:rPr>
          <w:rFonts w:hint="cs"/>
          <w:sz w:val="28"/>
          <w:rtl/>
        </w:rPr>
        <w:t xml:space="preserve">ערנות ופעילות פיזית מוגברת, ירידה בתיאבון, עלייה בנשימה, בקצב הלב, בלחץ הדם ובחום הגוף, והפרעות בקצב הלב. ובטווח הארוך הוא גורם לחרדה, בלבול, נדודי שינה, בעיות מצב רוח, התנהגות אלימה, פרנויה, הזיות, דלוזיות, אובדן משקל, בעיות שיניים חמורות, גירוד אינטנסיבי המוביל לפצעים על העור ועוד. ( מתוך האתר של </w:t>
      </w:r>
      <w:r w:rsidRPr="009024C5">
        <w:rPr>
          <w:rFonts w:hint="cs"/>
          <w:rtl/>
        </w:rPr>
        <w:t xml:space="preserve">הרשות הלאומית לביטחון קהילתי במשרד הפנים). </w:t>
      </w:r>
    </w:p>
    <w:p w14:paraId="6ADA0752" w14:textId="77777777" w:rsidR="00AE4869" w:rsidRPr="009024C5" w:rsidRDefault="00AE4869" w:rsidP="00AE4869">
      <w:pPr>
        <w:spacing w:line="360" w:lineRule="auto"/>
        <w:ind w:left="720" w:hanging="720"/>
        <w:jc w:val="both"/>
        <w:rPr>
          <w:rtl/>
        </w:rPr>
      </w:pPr>
      <w:r w:rsidRPr="009024C5">
        <w:rPr>
          <w:rFonts w:hint="cs"/>
          <w:rtl/>
        </w:rPr>
        <w:t>10.</w:t>
      </w:r>
      <w:r w:rsidRPr="009024C5">
        <w:rPr>
          <w:rFonts w:hint="cs"/>
          <w:rtl/>
        </w:rPr>
        <w:tab/>
        <w:t>ייבוא סמים לישראל שופך שמן על מדורת הסמים המתלהטת ותורם ליצירתם ולהתגברותם של הנזקים הנגרמים מהשימוש בסמים.</w:t>
      </w:r>
    </w:p>
    <w:p w14:paraId="4957D657" w14:textId="77777777" w:rsidR="00AE4869" w:rsidRPr="009024C5" w:rsidRDefault="00AE4869" w:rsidP="00AE4869">
      <w:pPr>
        <w:spacing w:line="360" w:lineRule="auto"/>
        <w:ind w:left="720" w:hanging="720"/>
        <w:jc w:val="both"/>
        <w:rPr>
          <w:rtl/>
        </w:rPr>
      </w:pPr>
    </w:p>
    <w:p w14:paraId="49C6A3B1" w14:textId="77777777" w:rsidR="00AE4869" w:rsidRPr="009024C5" w:rsidRDefault="00AE4869" w:rsidP="00AE4869">
      <w:pPr>
        <w:spacing w:line="360" w:lineRule="auto"/>
        <w:ind w:left="720" w:hanging="720"/>
        <w:jc w:val="both"/>
        <w:rPr>
          <w:rtl/>
        </w:rPr>
      </w:pPr>
      <w:r w:rsidRPr="009024C5">
        <w:rPr>
          <w:rFonts w:hint="cs"/>
          <w:rtl/>
        </w:rPr>
        <w:t>11.</w:t>
      </w:r>
      <w:r w:rsidRPr="009024C5">
        <w:rPr>
          <w:rFonts w:hint="cs"/>
          <w:rtl/>
        </w:rPr>
        <w:tab/>
        <w:t xml:space="preserve">הערכים החברתיים המוגנים בעבירות הסמים הם בעיקר שמירת החיים והגוף, בריאות הציבור, ושלום הציבור ובטחונו. </w:t>
      </w:r>
    </w:p>
    <w:p w14:paraId="6482A034" w14:textId="77777777" w:rsidR="00AE4869" w:rsidRPr="009024C5" w:rsidRDefault="00AE4869" w:rsidP="00AE4869">
      <w:pPr>
        <w:spacing w:line="360" w:lineRule="auto"/>
        <w:ind w:left="720" w:hanging="720"/>
        <w:jc w:val="both"/>
        <w:rPr>
          <w:rStyle w:val="a8"/>
          <w:b/>
          <w:rtl/>
        </w:rPr>
      </w:pPr>
    </w:p>
    <w:p w14:paraId="0248E21B" w14:textId="77777777" w:rsidR="00AE4869" w:rsidRPr="009024C5" w:rsidRDefault="00AE4869" w:rsidP="00AE4869">
      <w:pPr>
        <w:spacing w:line="360" w:lineRule="auto"/>
        <w:ind w:left="720" w:hanging="720"/>
        <w:jc w:val="both"/>
        <w:rPr>
          <w:rFonts w:ascii="David" w:hAnsi="David"/>
          <w:sz w:val="28"/>
          <w:rtl/>
        </w:rPr>
      </w:pPr>
      <w:r w:rsidRPr="009024C5">
        <w:rPr>
          <w:rStyle w:val="a8"/>
          <w:b/>
          <w:rtl/>
        </w:rPr>
        <w:t>12.</w:t>
      </w:r>
      <w:r w:rsidRPr="009024C5">
        <w:rPr>
          <w:rStyle w:val="a8"/>
          <w:b/>
          <w:rtl/>
        </w:rPr>
        <w:tab/>
        <w:t xml:space="preserve">מטבע הדברים, ככל שסוג הסם קשה יותר וכמותו רבה יותר, כך פוטנציאל הפגיעה של המעשה בציבור גדול ורב יותר, ובנגזר מכך גם חומרת המעשה רבה יותר. </w:t>
      </w:r>
    </w:p>
    <w:p w14:paraId="4116D8E9" w14:textId="77777777" w:rsidR="00AE4869" w:rsidRPr="009024C5" w:rsidRDefault="00AE4869" w:rsidP="00AE4869">
      <w:pPr>
        <w:spacing w:line="360" w:lineRule="auto"/>
        <w:ind w:left="720" w:hanging="720"/>
        <w:jc w:val="both"/>
        <w:rPr>
          <w:rtl/>
        </w:rPr>
      </w:pPr>
    </w:p>
    <w:p w14:paraId="248C37D8" w14:textId="77777777" w:rsidR="00AE4869" w:rsidRPr="009024C5" w:rsidRDefault="00AE4869" w:rsidP="00AE4869">
      <w:pPr>
        <w:spacing w:line="360" w:lineRule="auto"/>
        <w:ind w:left="720" w:hanging="720"/>
        <w:jc w:val="both"/>
        <w:rPr>
          <w:rtl/>
        </w:rPr>
      </w:pPr>
      <w:r w:rsidRPr="009024C5">
        <w:rPr>
          <w:rFonts w:hint="cs"/>
          <w:rtl/>
        </w:rPr>
        <w:t>13.</w:t>
      </w:r>
      <w:r w:rsidRPr="009024C5">
        <w:rPr>
          <w:rFonts w:hint="cs"/>
          <w:rtl/>
        </w:rPr>
        <w:tab/>
        <w:t xml:space="preserve">הנאשם ייבא 120 גרם של סם המתאמפטמין. כמות כזו מספיקה להכנת מאות רבות של מנות סם, אם לא למעלה מכך. </w:t>
      </w:r>
    </w:p>
    <w:p w14:paraId="324711BE" w14:textId="77777777" w:rsidR="00AE4869" w:rsidRPr="009024C5" w:rsidRDefault="00AE4869" w:rsidP="00AE4869">
      <w:pPr>
        <w:spacing w:line="360" w:lineRule="auto"/>
        <w:ind w:left="720"/>
        <w:jc w:val="both"/>
        <w:rPr>
          <w:sz w:val="28"/>
          <w:rtl/>
        </w:rPr>
      </w:pPr>
      <w:r w:rsidRPr="009024C5">
        <w:rPr>
          <w:rFonts w:hint="cs"/>
          <w:sz w:val="28"/>
          <w:rtl/>
        </w:rPr>
        <w:t xml:space="preserve">לסיבור האוזן אציין, כי על פי הקבוע </w:t>
      </w:r>
      <w:hyperlink r:id="rId18" w:history="1">
        <w:r w:rsidR="00272F63" w:rsidRPr="00272F63">
          <w:rPr>
            <w:rStyle w:val="Hyperlink"/>
            <w:rFonts w:hint="eastAsia"/>
            <w:sz w:val="28"/>
            <w:rtl/>
          </w:rPr>
          <w:t>בסעיף</w:t>
        </w:r>
        <w:r w:rsidR="00272F63" w:rsidRPr="00272F63">
          <w:rPr>
            <w:rStyle w:val="Hyperlink"/>
            <w:sz w:val="28"/>
            <w:rtl/>
          </w:rPr>
          <w:t xml:space="preserve"> 31(3)</w:t>
        </w:r>
      </w:hyperlink>
      <w:r w:rsidRPr="009024C5">
        <w:rPr>
          <w:rFonts w:hint="cs"/>
          <w:sz w:val="28"/>
          <w:rtl/>
        </w:rPr>
        <w:t xml:space="preserve"> ב</w:t>
      </w:r>
      <w:hyperlink r:id="rId19" w:history="1">
        <w:r w:rsidR="00377100" w:rsidRPr="00377100">
          <w:rPr>
            <w:color w:val="0000FF"/>
            <w:sz w:val="28"/>
            <w:u w:val="single"/>
            <w:rtl/>
          </w:rPr>
          <w:t>פקודת הסמים המסוכנים</w:t>
        </w:r>
      </w:hyperlink>
      <w:r w:rsidRPr="009024C5">
        <w:rPr>
          <w:rFonts w:hint="cs"/>
          <w:sz w:val="28"/>
          <w:rtl/>
        </w:rPr>
        <w:t xml:space="preserve"> ובתוספת השניה בה, חזקה על מי שמחזיק מתאמפטמין במשקל העולה על 0.2 גרם נטו כי הוא מחזיק בסם שלא לצורך צריכתו העצמית. לשם השוואה, כשמדובר בסמים מסוג קוקאין והרואין המשקל שמעבר לו קמה חזקה שהסם מוחזק שלא לצריכה עצמית הינו 0.3 גרם. </w:t>
      </w:r>
    </w:p>
    <w:p w14:paraId="6B80694F" w14:textId="77777777" w:rsidR="00AE4869" w:rsidRPr="009024C5" w:rsidRDefault="00AE4869" w:rsidP="00AE4869">
      <w:pPr>
        <w:spacing w:line="360" w:lineRule="auto"/>
        <w:ind w:left="720"/>
        <w:jc w:val="both"/>
        <w:rPr>
          <w:sz w:val="28"/>
          <w:rtl/>
        </w:rPr>
      </w:pPr>
    </w:p>
    <w:p w14:paraId="3854D9E3" w14:textId="77777777" w:rsidR="00AE4869" w:rsidRPr="009024C5" w:rsidRDefault="00AE4869" w:rsidP="00AE4869">
      <w:pPr>
        <w:spacing w:line="360" w:lineRule="auto"/>
        <w:ind w:left="720"/>
        <w:jc w:val="both"/>
        <w:rPr>
          <w:sz w:val="28"/>
          <w:rtl/>
        </w:rPr>
      </w:pPr>
      <w:r w:rsidRPr="009024C5">
        <w:rPr>
          <w:rFonts w:hint="cs"/>
          <w:sz w:val="28"/>
          <w:rtl/>
        </w:rPr>
        <w:t xml:space="preserve">נוכח הנתונים האמורים, מידת הפגיעה של מעשי הנאשם בערכים המוגנים הינה משמעותית. </w:t>
      </w:r>
    </w:p>
    <w:p w14:paraId="2A379961" w14:textId="77777777" w:rsidR="00AE4869" w:rsidRPr="009024C5" w:rsidRDefault="00AE4869" w:rsidP="00AE4869">
      <w:pPr>
        <w:spacing w:line="360" w:lineRule="auto"/>
        <w:ind w:left="720" w:hanging="720"/>
        <w:jc w:val="both"/>
        <w:rPr>
          <w:sz w:val="28"/>
          <w:rtl/>
        </w:rPr>
      </w:pPr>
    </w:p>
    <w:p w14:paraId="3203F5C1" w14:textId="77777777" w:rsidR="00AE4869" w:rsidRPr="009024C5" w:rsidRDefault="00AE4869" w:rsidP="00AE4869">
      <w:pPr>
        <w:spacing w:line="360" w:lineRule="auto"/>
        <w:ind w:left="720" w:hanging="720"/>
        <w:jc w:val="both"/>
        <w:rPr>
          <w:rStyle w:val="a8"/>
        </w:rPr>
      </w:pPr>
      <w:r w:rsidRPr="009024C5">
        <w:rPr>
          <w:rFonts w:hint="cs"/>
          <w:sz w:val="28"/>
          <w:rtl/>
        </w:rPr>
        <w:t>14.</w:t>
      </w:r>
      <w:r w:rsidRPr="009024C5">
        <w:rPr>
          <w:rFonts w:hint="cs"/>
          <w:sz w:val="28"/>
          <w:rtl/>
        </w:rPr>
        <w:tab/>
      </w:r>
      <w:r w:rsidRPr="009024C5">
        <w:rPr>
          <w:rStyle w:val="a8"/>
          <w:sz w:val="28"/>
          <w:rtl/>
        </w:rPr>
        <w:t xml:space="preserve">מעשי הנאשם היו יזומים ומתוכננים וחלקו היחסי של הנאשם בביצוע העבירה היה משמעותי ומרכזי. </w:t>
      </w:r>
    </w:p>
    <w:p w14:paraId="5CF7CCF2" w14:textId="77777777" w:rsidR="00AE4869" w:rsidRPr="009024C5" w:rsidRDefault="00AE4869" w:rsidP="00AE4869">
      <w:pPr>
        <w:spacing w:line="360" w:lineRule="auto"/>
        <w:ind w:left="720"/>
        <w:jc w:val="both"/>
        <w:rPr>
          <w:rStyle w:val="a8"/>
          <w:sz w:val="28"/>
          <w:rtl/>
        </w:rPr>
      </w:pPr>
    </w:p>
    <w:p w14:paraId="297E45F8" w14:textId="77777777" w:rsidR="00AE4869" w:rsidRPr="009024C5" w:rsidRDefault="00AE4869" w:rsidP="00AE4869">
      <w:pPr>
        <w:spacing w:line="360" w:lineRule="auto"/>
        <w:ind w:left="720"/>
        <w:jc w:val="both"/>
        <w:rPr>
          <w:rStyle w:val="a8"/>
          <w:sz w:val="28"/>
          <w:rtl/>
        </w:rPr>
      </w:pPr>
      <w:r w:rsidRPr="009024C5">
        <w:rPr>
          <w:rStyle w:val="a8"/>
          <w:sz w:val="28"/>
          <w:rtl/>
        </w:rPr>
        <w:t xml:space="preserve">סמים נועדו לצריכה והדעת נותנת שגם במקרה זה הסם יובא לישראל במטרה לסחור בו. </w:t>
      </w:r>
    </w:p>
    <w:p w14:paraId="6C4EFDB4" w14:textId="77777777" w:rsidR="00AE4869" w:rsidRPr="009024C5" w:rsidRDefault="00AE4869" w:rsidP="00AE4869">
      <w:pPr>
        <w:spacing w:line="360" w:lineRule="auto"/>
        <w:ind w:left="720"/>
        <w:jc w:val="both"/>
        <w:rPr>
          <w:rStyle w:val="a8"/>
          <w:sz w:val="28"/>
          <w:rtl/>
        </w:rPr>
      </w:pPr>
    </w:p>
    <w:p w14:paraId="2D67CE97" w14:textId="77777777" w:rsidR="00AE4869" w:rsidRPr="009024C5" w:rsidRDefault="00AE4869" w:rsidP="00AE4869">
      <w:pPr>
        <w:spacing w:line="360" w:lineRule="auto"/>
        <w:ind w:left="720"/>
        <w:jc w:val="both"/>
        <w:rPr>
          <w:rStyle w:val="a8"/>
          <w:sz w:val="28"/>
          <w:rtl/>
        </w:rPr>
      </w:pPr>
      <w:r w:rsidRPr="009024C5">
        <w:rPr>
          <w:rStyle w:val="a8"/>
          <w:sz w:val="28"/>
          <w:rtl/>
        </w:rPr>
        <w:t>הסם שהנאשם ייבא נתפס ע"י המשטרה טרם הפצתו, כך שהוא לא הגיע לצרכנים והנזק מהשימוש בו נמנע. אולם, הנזק שהיה צפוי להיגרם מהפצתו, משמעותי מאוד.</w:t>
      </w:r>
    </w:p>
    <w:p w14:paraId="026D356D" w14:textId="77777777" w:rsidR="00AE4869" w:rsidRPr="009024C5" w:rsidRDefault="00AE4869" w:rsidP="00AE4869">
      <w:pPr>
        <w:spacing w:line="360" w:lineRule="auto"/>
        <w:ind w:left="720"/>
        <w:jc w:val="both"/>
        <w:rPr>
          <w:rStyle w:val="a8"/>
          <w:sz w:val="28"/>
          <w:rtl/>
        </w:rPr>
      </w:pPr>
    </w:p>
    <w:p w14:paraId="32A73D69" w14:textId="77777777" w:rsidR="00AE4869" w:rsidRPr="009024C5" w:rsidRDefault="00AE4869" w:rsidP="00AE4869">
      <w:pPr>
        <w:spacing w:line="360" w:lineRule="auto"/>
        <w:ind w:left="720"/>
        <w:jc w:val="both"/>
        <w:rPr>
          <w:rStyle w:val="a8"/>
          <w:sz w:val="28"/>
          <w:rtl/>
        </w:rPr>
      </w:pPr>
      <w:r w:rsidRPr="009024C5">
        <w:rPr>
          <w:rStyle w:val="a8"/>
          <w:sz w:val="28"/>
          <w:rtl/>
        </w:rPr>
        <w:t xml:space="preserve">הנאשם ביצע את העבירות בהיותו תושב זר השוהה בישראל באשרת עבודה. </w:t>
      </w:r>
    </w:p>
    <w:p w14:paraId="54EBC26F" w14:textId="77777777" w:rsidR="00AE4869" w:rsidRPr="009024C5" w:rsidRDefault="00AE4869" w:rsidP="00AE4869">
      <w:pPr>
        <w:spacing w:line="360" w:lineRule="auto"/>
        <w:ind w:left="720"/>
        <w:jc w:val="both"/>
        <w:rPr>
          <w:rStyle w:val="a8"/>
          <w:sz w:val="28"/>
          <w:rtl/>
        </w:rPr>
      </w:pPr>
    </w:p>
    <w:p w14:paraId="738EEC45" w14:textId="77777777" w:rsidR="00AE4869" w:rsidRPr="009024C5" w:rsidRDefault="00AE4869" w:rsidP="00AE4869">
      <w:pPr>
        <w:spacing w:line="360" w:lineRule="auto"/>
        <w:ind w:left="720"/>
        <w:jc w:val="both"/>
        <w:rPr>
          <w:rFonts w:ascii="David" w:hAnsi="David"/>
          <w:b/>
          <w:rtl/>
          <w:lang w:eastAsia="he-IL"/>
        </w:rPr>
      </w:pPr>
      <w:r w:rsidRPr="009024C5">
        <w:rPr>
          <w:rFonts w:hint="cs"/>
          <w:b/>
          <w:rtl/>
        </w:rPr>
        <w:t xml:space="preserve">ויש להניח שהנאשם עשה את מעשיו מתוך רצון להשיג רווח כספי. </w:t>
      </w:r>
    </w:p>
    <w:p w14:paraId="4D0B0C00" w14:textId="77777777" w:rsidR="00AE4869" w:rsidRPr="009024C5" w:rsidRDefault="00AE4869" w:rsidP="00AE4869">
      <w:pPr>
        <w:spacing w:line="360" w:lineRule="auto"/>
        <w:ind w:left="720"/>
        <w:jc w:val="both"/>
        <w:rPr>
          <w:rStyle w:val="a8"/>
          <w:sz w:val="28"/>
          <w:rtl/>
        </w:rPr>
      </w:pPr>
    </w:p>
    <w:p w14:paraId="3BD83C6F" w14:textId="77777777" w:rsidR="00AE4869" w:rsidRPr="009024C5" w:rsidRDefault="00AE4869" w:rsidP="00AE4869">
      <w:pPr>
        <w:spacing w:line="360" w:lineRule="auto"/>
        <w:ind w:left="720" w:hanging="720"/>
        <w:jc w:val="both"/>
        <w:rPr>
          <w:rStyle w:val="a8"/>
          <w:sz w:val="28"/>
          <w:rtl/>
        </w:rPr>
      </w:pPr>
      <w:r w:rsidRPr="009024C5">
        <w:rPr>
          <w:rStyle w:val="a8"/>
          <w:sz w:val="28"/>
          <w:rtl/>
        </w:rPr>
        <w:t>15.</w:t>
      </w:r>
      <w:r w:rsidRPr="009024C5">
        <w:rPr>
          <w:rStyle w:val="a8"/>
          <w:sz w:val="28"/>
          <w:rtl/>
        </w:rPr>
        <w:tab/>
        <w:t xml:space="preserve">מדיניות הענישה הנהוגה בעבירות הסמים החמורות, הינה, מימים ימימה, של חומרה מובהקת, הנותנת בכורה לשיקולי הגמול וההרתעה. </w:t>
      </w:r>
    </w:p>
    <w:p w14:paraId="71933F65" w14:textId="77777777" w:rsidR="00AE4869" w:rsidRPr="009024C5" w:rsidRDefault="00AE4869" w:rsidP="00AE4869">
      <w:pPr>
        <w:spacing w:line="360" w:lineRule="auto"/>
        <w:ind w:left="720" w:hanging="720"/>
        <w:jc w:val="both"/>
        <w:rPr>
          <w:rStyle w:val="a8"/>
          <w:sz w:val="28"/>
          <w:rtl/>
        </w:rPr>
      </w:pPr>
      <w:r w:rsidRPr="009024C5">
        <w:rPr>
          <w:rStyle w:val="a8"/>
          <w:sz w:val="28"/>
          <w:rtl/>
        </w:rPr>
        <w:tab/>
      </w:r>
    </w:p>
    <w:p w14:paraId="38F3F410" w14:textId="77777777" w:rsidR="00AE4869" w:rsidRPr="009024C5" w:rsidRDefault="00AE4869" w:rsidP="00AE4869">
      <w:pPr>
        <w:spacing w:line="360" w:lineRule="auto"/>
        <w:ind w:left="720" w:hanging="720"/>
        <w:jc w:val="both"/>
        <w:rPr>
          <w:rStyle w:val="a8"/>
          <w:sz w:val="28"/>
          <w:rtl/>
        </w:rPr>
      </w:pPr>
      <w:r w:rsidRPr="009024C5">
        <w:rPr>
          <w:rStyle w:val="a8"/>
          <w:sz w:val="28"/>
          <w:rtl/>
        </w:rPr>
        <w:t>16.</w:t>
      </w:r>
      <w:r w:rsidRPr="009024C5">
        <w:rPr>
          <w:rStyle w:val="a8"/>
          <w:sz w:val="28"/>
          <w:rtl/>
        </w:rPr>
        <w:tab/>
        <w:t xml:space="preserve">הלכה למעשה, בתי המשפט מטילים על מעשים מהסוג שהנאשם ביצע, עונשי מאסר משמעותיים. </w:t>
      </w:r>
    </w:p>
    <w:p w14:paraId="01E6D2B9" w14:textId="77777777" w:rsidR="00AE4869" w:rsidRPr="009024C5" w:rsidRDefault="00AE4869" w:rsidP="00AE4869">
      <w:pPr>
        <w:spacing w:line="360" w:lineRule="auto"/>
        <w:ind w:left="720" w:hanging="720"/>
        <w:jc w:val="both"/>
        <w:rPr>
          <w:rStyle w:val="a8"/>
          <w:sz w:val="28"/>
          <w:rtl/>
        </w:rPr>
      </w:pPr>
      <w:r w:rsidRPr="009024C5">
        <w:rPr>
          <w:rStyle w:val="a8"/>
          <w:sz w:val="28"/>
          <w:rtl/>
        </w:rPr>
        <w:tab/>
      </w:r>
    </w:p>
    <w:p w14:paraId="0F2EAC92" w14:textId="77777777" w:rsidR="00AE4869" w:rsidRPr="009024C5" w:rsidRDefault="00AE4869" w:rsidP="00AE4869">
      <w:pPr>
        <w:spacing w:line="360" w:lineRule="auto"/>
        <w:ind w:left="720" w:hanging="720"/>
        <w:jc w:val="both"/>
        <w:rPr>
          <w:rFonts w:ascii="David" w:hAnsi="David"/>
          <w:rtl/>
        </w:rPr>
      </w:pPr>
      <w:r w:rsidRPr="009024C5">
        <w:rPr>
          <w:rStyle w:val="a8"/>
          <w:sz w:val="28"/>
          <w:rtl/>
        </w:rPr>
        <w:tab/>
        <w:t>ב</w:t>
      </w:r>
      <w:hyperlink r:id="rId20" w:history="1">
        <w:r w:rsidR="00377100" w:rsidRPr="00377100">
          <w:rPr>
            <w:rStyle w:val="a8"/>
            <w:color w:val="0000FF"/>
            <w:sz w:val="28"/>
            <w:u w:val="single"/>
            <w:rtl/>
          </w:rPr>
          <w:t>ע"פ 5918-22</w:t>
        </w:r>
      </w:hyperlink>
      <w:r w:rsidRPr="009024C5">
        <w:rPr>
          <w:rFonts w:hint="cs"/>
          <w:sz w:val="28"/>
          <w:rtl/>
        </w:rPr>
        <w:t xml:space="preserve"> </w:t>
      </w:r>
      <w:r w:rsidRPr="009024C5">
        <w:rPr>
          <w:rFonts w:hint="cs"/>
          <w:b/>
          <w:bCs/>
          <w:sz w:val="28"/>
          <w:rtl/>
        </w:rPr>
        <w:t>מונטרי סאלי</w:t>
      </w:r>
      <w:r w:rsidRPr="009024C5">
        <w:rPr>
          <w:rFonts w:hint="cs"/>
          <w:sz w:val="28"/>
          <w:rtl/>
        </w:rPr>
        <w:t xml:space="preserve"> </w:t>
      </w:r>
      <w:r w:rsidRPr="009024C5">
        <w:rPr>
          <w:rFonts w:hint="cs"/>
          <w:b/>
          <w:bCs/>
          <w:sz w:val="28"/>
          <w:rtl/>
        </w:rPr>
        <w:t>נ' מדינת ישראל</w:t>
      </w:r>
      <w:r w:rsidRPr="009024C5">
        <w:rPr>
          <w:rStyle w:val="a8"/>
          <w:sz w:val="28"/>
          <w:rtl/>
        </w:rPr>
        <w:t xml:space="preserve"> (02.01.23) המערער, </w:t>
      </w:r>
      <w:r w:rsidRPr="009024C5">
        <w:rPr>
          <w:rFonts w:hint="cs"/>
          <w:sz w:val="28"/>
          <w:rtl/>
        </w:rPr>
        <w:t xml:space="preserve">אזרח תאילנד שהחזיק באשרת עבודה בישראל, ייבא מתאילנד לישראל סם מסוג מתאמפטאמין במשקל </w:t>
      </w:r>
      <w:r w:rsidRPr="009024C5">
        <w:rPr>
          <w:rFonts w:hint="cs"/>
          <w:b/>
          <w:bCs/>
          <w:sz w:val="28"/>
          <w:rtl/>
        </w:rPr>
        <w:t>415 גרם</w:t>
      </w:r>
      <w:r w:rsidRPr="009024C5">
        <w:rPr>
          <w:rFonts w:hint="cs"/>
          <w:sz w:val="28"/>
          <w:rtl/>
        </w:rPr>
        <w:t xml:space="preserve">. </w:t>
      </w:r>
    </w:p>
    <w:p w14:paraId="0C9F1AB6" w14:textId="77777777" w:rsidR="00AE4869" w:rsidRPr="009024C5" w:rsidRDefault="00AE4869" w:rsidP="00AE4869">
      <w:pPr>
        <w:spacing w:line="360" w:lineRule="auto"/>
        <w:ind w:left="720"/>
        <w:jc w:val="both"/>
        <w:rPr>
          <w:rStyle w:val="a8"/>
          <w:rtl/>
        </w:rPr>
      </w:pPr>
      <w:r w:rsidRPr="009024C5">
        <w:rPr>
          <w:rFonts w:hint="cs"/>
          <w:sz w:val="28"/>
          <w:rtl/>
        </w:rPr>
        <w:t>בית המשפט המחוזי קבע ש</w:t>
      </w:r>
      <w:r w:rsidRPr="009024C5">
        <w:rPr>
          <w:rStyle w:val="a8"/>
          <w:sz w:val="28"/>
          <w:rtl/>
        </w:rPr>
        <w:t xml:space="preserve">מתחם העונש ההולם למעשה העבירה נע בין 24 ל- 48 חודשי מאסר בפועל והטיל על המערער </w:t>
      </w:r>
      <w:r w:rsidRPr="009024C5">
        <w:rPr>
          <w:rStyle w:val="a8"/>
          <w:b/>
          <w:bCs/>
          <w:sz w:val="28"/>
          <w:rtl/>
        </w:rPr>
        <w:t>30</w:t>
      </w:r>
      <w:r w:rsidRPr="009024C5">
        <w:rPr>
          <w:rStyle w:val="a8"/>
          <w:sz w:val="28"/>
          <w:rtl/>
        </w:rPr>
        <w:t xml:space="preserve"> חודשי מאסר בפועל. ערעורו על חומרת העונש נדחה. </w:t>
      </w:r>
    </w:p>
    <w:p w14:paraId="4ED06F0A" w14:textId="77777777" w:rsidR="00AE4869" w:rsidRPr="009024C5" w:rsidRDefault="00AE4869" w:rsidP="00AE4869">
      <w:pPr>
        <w:spacing w:line="360" w:lineRule="auto"/>
        <w:ind w:left="1440"/>
        <w:jc w:val="both"/>
        <w:rPr>
          <w:rFonts w:ascii="David" w:hAnsi="David"/>
          <w:rtl/>
        </w:rPr>
      </w:pPr>
    </w:p>
    <w:p w14:paraId="2D40B1F1" w14:textId="77777777" w:rsidR="00AE4869" w:rsidRPr="009024C5" w:rsidRDefault="00AE4869" w:rsidP="00AE4869">
      <w:pPr>
        <w:spacing w:line="360" w:lineRule="auto"/>
        <w:ind w:left="720"/>
        <w:jc w:val="both"/>
        <w:rPr>
          <w:sz w:val="28"/>
          <w:rtl/>
        </w:rPr>
      </w:pPr>
      <w:r w:rsidRPr="009024C5">
        <w:rPr>
          <w:rFonts w:hint="cs"/>
          <w:sz w:val="28"/>
          <w:u w:val="single"/>
          <w:rtl/>
        </w:rPr>
        <w:t>ב</w:t>
      </w:r>
      <w:hyperlink r:id="rId21" w:history="1">
        <w:r w:rsidR="00377100" w:rsidRPr="00377100">
          <w:rPr>
            <w:color w:val="0000FF"/>
            <w:sz w:val="28"/>
            <w:u w:val="single"/>
            <w:rtl/>
          </w:rPr>
          <w:t>רע"פ 3569/20</w:t>
        </w:r>
      </w:hyperlink>
      <w:r w:rsidRPr="009024C5">
        <w:rPr>
          <w:sz w:val="28"/>
          <w:rtl/>
        </w:rPr>
        <w:t xml:space="preserve"> </w:t>
      </w:r>
      <w:r w:rsidRPr="009024C5">
        <w:rPr>
          <w:rFonts w:hint="cs"/>
          <w:b/>
          <w:bCs/>
          <w:sz w:val="28"/>
          <w:rtl/>
        </w:rPr>
        <w:t>ארנל אלטאראוס נ' מדינת ישראל</w:t>
      </w:r>
      <w:r w:rsidRPr="009024C5">
        <w:rPr>
          <w:rFonts w:hint="cs"/>
          <w:sz w:val="28"/>
          <w:rtl/>
        </w:rPr>
        <w:t xml:space="preserve"> (07.06.20), המבקש, אזרח הפיליפינים שעבד בשגרירות הפיליפינים בישראל, הורשע בקשירת קשר ובייבוא סם מסוג מתאמפטאמין במשקל של </w:t>
      </w:r>
      <w:r w:rsidRPr="009024C5">
        <w:rPr>
          <w:rFonts w:hint="cs"/>
          <w:b/>
          <w:bCs/>
          <w:sz w:val="28"/>
          <w:rtl/>
        </w:rPr>
        <w:t>כ- 50 גרם.</w:t>
      </w:r>
      <w:r w:rsidRPr="009024C5">
        <w:rPr>
          <w:rFonts w:hint="cs"/>
          <w:sz w:val="28"/>
          <w:rtl/>
        </w:rPr>
        <w:t xml:space="preserve"> בית משפט השלום קבע מתחם ענישה הנע בין 18 ל-36 חודשי מאסר והשית עליו </w:t>
      </w:r>
      <w:r w:rsidRPr="009024C5">
        <w:rPr>
          <w:rFonts w:hint="cs"/>
          <w:b/>
          <w:bCs/>
          <w:sz w:val="28"/>
          <w:rtl/>
        </w:rPr>
        <w:t>22 חודשי</w:t>
      </w:r>
      <w:r w:rsidRPr="009024C5">
        <w:rPr>
          <w:rFonts w:hint="cs"/>
          <w:sz w:val="28"/>
          <w:rtl/>
        </w:rPr>
        <w:t xml:space="preserve"> מאסר בפועל ועונשים נלווים, ובהם </w:t>
      </w:r>
      <w:r w:rsidRPr="009024C5">
        <w:rPr>
          <w:rFonts w:hint="cs"/>
          <w:b/>
          <w:bCs/>
          <w:sz w:val="28"/>
          <w:rtl/>
        </w:rPr>
        <w:t>קנס בסך 7,500 ₪</w:t>
      </w:r>
      <w:r w:rsidRPr="009024C5">
        <w:rPr>
          <w:rFonts w:hint="cs"/>
          <w:sz w:val="28"/>
          <w:rtl/>
        </w:rPr>
        <w:t>. בית המשפט המחוזי ובית המשפט העליון קבעו שהעונש ראוי ודחו את הערעור ואת הרע"פ.</w:t>
      </w:r>
    </w:p>
    <w:p w14:paraId="25F74631" w14:textId="77777777" w:rsidR="00AE4869" w:rsidRPr="009024C5" w:rsidRDefault="00AE4869" w:rsidP="00AE4869">
      <w:pPr>
        <w:spacing w:line="360" w:lineRule="auto"/>
        <w:ind w:left="720"/>
        <w:jc w:val="both"/>
        <w:rPr>
          <w:sz w:val="28"/>
          <w:rtl/>
        </w:rPr>
      </w:pPr>
    </w:p>
    <w:p w14:paraId="1A4C7EE6" w14:textId="77777777" w:rsidR="00AE4869" w:rsidRPr="009024C5" w:rsidRDefault="00AE4869" w:rsidP="00AE4869">
      <w:pPr>
        <w:spacing w:line="360" w:lineRule="auto"/>
        <w:ind w:left="720"/>
        <w:jc w:val="both"/>
        <w:rPr>
          <w:sz w:val="28"/>
          <w:rtl/>
        </w:rPr>
      </w:pPr>
      <w:r w:rsidRPr="009024C5">
        <w:rPr>
          <w:rFonts w:hint="cs"/>
          <w:sz w:val="28"/>
          <w:rtl/>
        </w:rPr>
        <w:t>ב</w:t>
      </w:r>
      <w:hyperlink r:id="rId22" w:history="1">
        <w:r w:rsidR="00377100" w:rsidRPr="00377100">
          <w:rPr>
            <w:color w:val="0000FF"/>
            <w:sz w:val="28"/>
            <w:u w:val="single"/>
            <w:rtl/>
          </w:rPr>
          <w:t>ת.פ. 58605-05-19</w:t>
        </w:r>
      </w:hyperlink>
      <w:r w:rsidRPr="009024C5">
        <w:rPr>
          <w:rFonts w:hint="cs"/>
          <w:sz w:val="28"/>
          <w:rtl/>
        </w:rPr>
        <w:t xml:space="preserve"> </w:t>
      </w:r>
      <w:r w:rsidRPr="009024C5">
        <w:rPr>
          <w:rFonts w:hint="cs"/>
          <w:b/>
          <w:bCs/>
          <w:sz w:val="28"/>
          <w:rtl/>
        </w:rPr>
        <w:t xml:space="preserve">מדינת ישראל נ' </w:t>
      </w:r>
      <w:r w:rsidRPr="009024C5">
        <w:rPr>
          <w:b/>
          <w:bCs/>
          <w:sz w:val="28"/>
        </w:rPr>
        <w:t>Danh minh tran</w:t>
      </w:r>
      <w:r w:rsidRPr="009024C5">
        <w:rPr>
          <w:b/>
          <w:bCs/>
          <w:sz w:val="28"/>
          <w:rtl/>
        </w:rPr>
        <w:t xml:space="preserve"> </w:t>
      </w:r>
      <w:r w:rsidRPr="009024C5">
        <w:rPr>
          <w:rFonts w:hint="cs"/>
          <w:sz w:val="28"/>
          <w:rtl/>
        </w:rPr>
        <w:t xml:space="preserve">(02.01.2020) הנאשם, נתין ויטנאם, החזיק בסם מסוכן מסוג מתאמפטאמין במשקל </w:t>
      </w:r>
      <w:r w:rsidRPr="009024C5">
        <w:rPr>
          <w:rFonts w:hint="cs"/>
          <w:b/>
          <w:bCs/>
          <w:sz w:val="28"/>
          <w:rtl/>
        </w:rPr>
        <w:t>140 גרם</w:t>
      </w:r>
      <w:r w:rsidRPr="009024C5">
        <w:rPr>
          <w:rFonts w:hint="cs"/>
          <w:sz w:val="28"/>
          <w:rtl/>
        </w:rPr>
        <w:t xml:space="preserve"> ובכלים, וכן שהה בישראל לאחר שתוקף אשרת השהייה שלו פג. ונדון ל-</w:t>
      </w:r>
      <w:r w:rsidRPr="009024C5">
        <w:rPr>
          <w:rFonts w:hint="cs"/>
          <w:b/>
          <w:bCs/>
          <w:sz w:val="28"/>
          <w:rtl/>
        </w:rPr>
        <w:t>24 חודשי מאסר בפועל</w:t>
      </w:r>
      <w:r w:rsidRPr="009024C5">
        <w:rPr>
          <w:rFonts w:hint="cs"/>
          <w:sz w:val="28"/>
          <w:rtl/>
        </w:rPr>
        <w:t xml:space="preserve"> וענישה נלווית. </w:t>
      </w:r>
    </w:p>
    <w:p w14:paraId="03AD00C5" w14:textId="77777777" w:rsidR="00AE4869" w:rsidRPr="009024C5" w:rsidRDefault="00AE4869" w:rsidP="00AE4869">
      <w:pPr>
        <w:spacing w:line="360" w:lineRule="auto"/>
        <w:ind w:left="720"/>
        <w:jc w:val="both"/>
        <w:rPr>
          <w:sz w:val="28"/>
          <w:rtl/>
        </w:rPr>
      </w:pPr>
    </w:p>
    <w:p w14:paraId="1F03366C" w14:textId="77777777" w:rsidR="00AE4869" w:rsidRPr="009024C5" w:rsidRDefault="00AE4869" w:rsidP="00AE4869">
      <w:pPr>
        <w:spacing w:line="360" w:lineRule="auto"/>
        <w:ind w:left="720"/>
        <w:jc w:val="both"/>
        <w:rPr>
          <w:sz w:val="28"/>
          <w:rtl/>
        </w:rPr>
      </w:pPr>
      <w:r w:rsidRPr="009024C5">
        <w:rPr>
          <w:rFonts w:hint="cs"/>
          <w:sz w:val="28"/>
          <w:rtl/>
        </w:rPr>
        <w:t>ב</w:t>
      </w:r>
      <w:hyperlink r:id="rId23" w:history="1">
        <w:r w:rsidR="00377100" w:rsidRPr="00377100">
          <w:rPr>
            <w:color w:val="0000FF"/>
            <w:sz w:val="28"/>
            <w:u w:val="single"/>
            <w:rtl/>
          </w:rPr>
          <w:t>ת.פ. 1050-12-15</w:t>
        </w:r>
      </w:hyperlink>
      <w:r w:rsidRPr="009024C5">
        <w:rPr>
          <w:rFonts w:hint="cs"/>
          <w:sz w:val="28"/>
          <w:rtl/>
        </w:rPr>
        <w:t xml:space="preserve"> </w:t>
      </w:r>
      <w:r w:rsidRPr="009024C5">
        <w:rPr>
          <w:rFonts w:hint="cs"/>
          <w:b/>
          <w:bCs/>
          <w:sz w:val="28"/>
          <w:rtl/>
        </w:rPr>
        <w:t xml:space="preserve">מדינת ישראל נ' פראטומקט סאנטאן </w:t>
      </w:r>
      <w:r w:rsidRPr="009024C5">
        <w:rPr>
          <w:rFonts w:hint="cs"/>
          <w:sz w:val="28"/>
          <w:rtl/>
        </w:rPr>
        <w:t>(21.12.2015), הנאשם, תושב תאילנד, החזיק 37 טבליות סם מתאמפטאמין ואבקת מתאמפטאמין במשקל של כ- 100 גרם, ונדון ל-</w:t>
      </w:r>
      <w:r w:rsidRPr="009024C5">
        <w:rPr>
          <w:rFonts w:hint="cs"/>
          <w:b/>
          <w:bCs/>
          <w:sz w:val="28"/>
          <w:rtl/>
        </w:rPr>
        <w:t xml:space="preserve"> 24 חודשי מאסר בפועל</w:t>
      </w:r>
      <w:r w:rsidRPr="009024C5">
        <w:rPr>
          <w:rFonts w:hint="cs"/>
          <w:sz w:val="28"/>
          <w:rtl/>
        </w:rPr>
        <w:t xml:space="preserve">. </w:t>
      </w:r>
    </w:p>
    <w:p w14:paraId="594B9131" w14:textId="77777777" w:rsidR="00AE4869" w:rsidRPr="009024C5" w:rsidRDefault="00AE4869" w:rsidP="00AE4869">
      <w:pPr>
        <w:spacing w:line="360" w:lineRule="auto"/>
        <w:ind w:left="720"/>
        <w:jc w:val="both"/>
        <w:rPr>
          <w:sz w:val="28"/>
          <w:rtl/>
        </w:rPr>
      </w:pPr>
    </w:p>
    <w:p w14:paraId="430DFB56" w14:textId="77777777" w:rsidR="00AE4869" w:rsidRPr="009024C5" w:rsidRDefault="00AE4869" w:rsidP="00AE4869">
      <w:pPr>
        <w:spacing w:line="360" w:lineRule="auto"/>
        <w:ind w:left="720" w:hanging="720"/>
        <w:jc w:val="both"/>
        <w:rPr>
          <w:rStyle w:val="a8"/>
          <w:rtl/>
        </w:rPr>
      </w:pPr>
      <w:r w:rsidRPr="009024C5">
        <w:rPr>
          <w:rStyle w:val="a8"/>
          <w:sz w:val="28"/>
          <w:rtl/>
        </w:rPr>
        <w:t xml:space="preserve">17. </w:t>
      </w:r>
      <w:r w:rsidRPr="009024C5">
        <w:rPr>
          <w:rStyle w:val="a8"/>
          <w:sz w:val="28"/>
          <w:rtl/>
        </w:rPr>
        <w:tab/>
      </w:r>
      <w:r w:rsidRPr="009024C5">
        <w:rPr>
          <w:rFonts w:hint="cs"/>
          <w:rtl/>
        </w:rPr>
        <w:t>בהתאם לצורך לקיים יחס הולם בין חומרת מעשי העבירות בנסיבותיהם ומידת אשמו של הנאשם ובין העונש שיוטל; ובהתחשב בערכים החברתיים שנפגעו מביצוע העבירות; במידת הפגיעה בהם; במדיניות הענישה הנהוגה; ובנסיבות הקשורות בביצוע העבירות; אני קובע כי מתחם העונש ההולם לעבירות שהנאשם ביצע הוא בין 24 ל- 42 חודשי מאסר בפועל.</w:t>
      </w:r>
    </w:p>
    <w:p w14:paraId="0A6FF9B9" w14:textId="77777777" w:rsidR="00AE4869" w:rsidRPr="009024C5" w:rsidRDefault="00AE4869" w:rsidP="00AE4869">
      <w:pPr>
        <w:spacing w:line="360" w:lineRule="auto"/>
        <w:ind w:left="720" w:hanging="720"/>
        <w:jc w:val="both"/>
        <w:rPr>
          <w:rStyle w:val="a8"/>
          <w:sz w:val="28"/>
          <w:rtl/>
        </w:rPr>
      </w:pPr>
    </w:p>
    <w:p w14:paraId="04CBDBC4" w14:textId="77777777" w:rsidR="00AE4869" w:rsidRPr="009024C5" w:rsidRDefault="00AE4869" w:rsidP="00AE4869">
      <w:pPr>
        <w:spacing w:line="360" w:lineRule="auto"/>
        <w:ind w:left="720" w:hanging="720"/>
        <w:jc w:val="both"/>
        <w:rPr>
          <w:rStyle w:val="a8"/>
          <w:sz w:val="28"/>
          <w:rtl/>
        </w:rPr>
      </w:pPr>
      <w:r w:rsidRPr="009024C5">
        <w:rPr>
          <w:rStyle w:val="a8"/>
          <w:sz w:val="28"/>
          <w:rtl/>
        </w:rPr>
        <w:t>18.</w:t>
      </w:r>
      <w:r w:rsidRPr="009024C5">
        <w:rPr>
          <w:rStyle w:val="a8"/>
          <w:sz w:val="28"/>
          <w:rtl/>
        </w:rPr>
        <w:tab/>
        <w:t xml:space="preserve">העובדים התאילנדים בישראל הם קהל יעד בולט לשימוש בסם מסוג מתאמפטמין וגם רבים מאלה המייבאים את הסם, נמנים עליהם. האזרחים הזרים העובדים בישראל מגיעים בדרך כלל ממדינות שההכנסה הממוצעת בהן, נמוכה מאוד. הכנסתם בישראל, למרות שהיא עולה על ההכנסה שיכלו להשיג בארצם, איננה גבוהה במיוחד. והרווחים הכספיים שניתן להפיק מעיסוק בייבוא סם והפצתו, גדולים בהרבה מההכנסה שניתן להשיג מעבודה. </w:t>
      </w:r>
    </w:p>
    <w:p w14:paraId="1BBAB277" w14:textId="77777777" w:rsidR="00AE4869" w:rsidRPr="009024C5" w:rsidRDefault="00AE4869" w:rsidP="00AE4869">
      <w:pPr>
        <w:spacing w:line="360" w:lineRule="auto"/>
        <w:ind w:left="720"/>
        <w:jc w:val="both"/>
        <w:rPr>
          <w:rStyle w:val="a8"/>
          <w:sz w:val="28"/>
          <w:rtl/>
        </w:rPr>
      </w:pPr>
      <w:r w:rsidRPr="009024C5">
        <w:rPr>
          <w:rStyle w:val="a8"/>
          <w:sz w:val="28"/>
          <w:rtl/>
        </w:rPr>
        <w:t>הפיתוי גדול והסיכון להיתפס קטן, והעונשים המוטלים בישראל קלים לאין ערוך מאלה המוטלים בארצותיהם. בנסיבות אלה, יש להטיל עונש שיהיה בו כדי להרתיע, ולהבהיר כי אזרחות זרה אינה מהווה מגן מפני ענישה משמעותית. (ראה ע"פ 226/89זפה נ' מדינ"י, פ"ד מג(2) 543, 544)</w:t>
      </w:r>
    </w:p>
    <w:p w14:paraId="645D44E9" w14:textId="77777777" w:rsidR="00AE4869" w:rsidRPr="009024C5" w:rsidRDefault="00AE4869" w:rsidP="00AE4869">
      <w:pPr>
        <w:spacing w:line="360" w:lineRule="auto"/>
        <w:jc w:val="both"/>
        <w:rPr>
          <w:rStyle w:val="a8"/>
          <w:sz w:val="28"/>
          <w:rtl/>
        </w:rPr>
      </w:pPr>
    </w:p>
    <w:p w14:paraId="69299BFF" w14:textId="77777777" w:rsidR="00AE4869" w:rsidRPr="009024C5" w:rsidRDefault="00AE4869" w:rsidP="00AE4869">
      <w:pPr>
        <w:spacing w:line="360" w:lineRule="auto"/>
        <w:ind w:left="720" w:hanging="720"/>
        <w:jc w:val="both"/>
        <w:rPr>
          <w:rStyle w:val="a8"/>
          <w:sz w:val="28"/>
          <w:rtl/>
        </w:rPr>
      </w:pPr>
      <w:r w:rsidRPr="009024C5">
        <w:rPr>
          <w:rStyle w:val="a8"/>
          <w:sz w:val="28"/>
          <w:rtl/>
        </w:rPr>
        <w:t>19.</w:t>
      </w:r>
      <w:r w:rsidRPr="009024C5">
        <w:rPr>
          <w:rStyle w:val="a8"/>
          <w:sz w:val="28"/>
          <w:rtl/>
        </w:rPr>
        <w:tab/>
        <w:t xml:space="preserve">לטובת הנאשם אני מביא בחשבון את נסיבותיו האישיות; את הודאתו- על משמעויותיה; את העובדה שאין לו עבר פלילי ושזהו מאסרו הראשון; את הפגיעה שתיגרם לו ולמשפחתו ממאסרו; את העובדה שכאזרח זר, שאיננו דובר עברית ושאין לו קרובי משפחה בישראל, מאסרו כרוך בקשיים מיוחדים הנוספים על הקשיים הרגילים הכרוכים במאסר; ואת העובדה שבתום מאסרו הוא ככל הנראה יגורש מישראל. </w:t>
      </w:r>
    </w:p>
    <w:p w14:paraId="7C52816A" w14:textId="77777777" w:rsidR="00AE4869" w:rsidRPr="009024C5" w:rsidRDefault="00AE4869" w:rsidP="00AE4869">
      <w:pPr>
        <w:spacing w:line="360" w:lineRule="auto"/>
        <w:ind w:left="720" w:hanging="720"/>
        <w:jc w:val="both"/>
        <w:rPr>
          <w:rStyle w:val="a8"/>
          <w:sz w:val="28"/>
          <w:rtl/>
        </w:rPr>
      </w:pPr>
    </w:p>
    <w:p w14:paraId="043BC269" w14:textId="77777777" w:rsidR="00AE4869" w:rsidRPr="009024C5" w:rsidRDefault="00AE4869" w:rsidP="00AE4869">
      <w:pPr>
        <w:spacing w:line="360" w:lineRule="auto"/>
        <w:ind w:left="720" w:hanging="720"/>
        <w:jc w:val="both"/>
        <w:rPr>
          <w:rStyle w:val="a8"/>
          <w:sz w:val="28"/>
          <w:rtl/>
        </w:rPr>
      </w:pPr>
      <w:r w:rsidRPr="009024C5">
        <w:rPr>
          <w:rStyle w:val="a8"/>
          <w:sz w:val="28"/>
          <w:rtl/>
        </w:rPr>
        <w:t>20.</w:t>
      </w:r>
      <w:r w:rsidRPr="009024C5">
        <w:rPr>
          <w:rStyle w:val="a8"/>
          <w:sz w:val="28"/>
          <w:rtl/>
        </w:rPr>
        <w:tab/>
      </w:r>
      <w:r w:rsidRPr="009024C5">
        <w:rPr>
          <w:rFonts w:hint="cs"/>
          <w:sz w:val="28"/>
          <w:rtl/>
        </w:rPr>
        <w:t>באופן כללי, עבירות הסמים החמורות מבוצעות לשם השגת רווח כלכלי ובעבירות שמטרתן השגת רווח כלכלי יש טעם לחייב את מי שהורשע בהן בתשלום קנס</w:t>
      </w:r>
      <w:r w:rsidRPr="009024C5">
        <w:rPr>
          <w:rFonts w:ascii="Arimo" w:hAnsi="Arimo" w:hint="cs"/>
          <w:sz w:val="21"/>
          <w:szCs w:val="21"/>
          <w:rtl/>
        </w:rPr>
        <w:t xml:space="preserve"> </w:t>
      </w:r>
      <w:r w:rsidRPr="009024C5">
        <w:rPr>
          <w:rFonts w:hint="cs"/>
          <w:sz w:val="28"/>
          <w:rtl/>
        </w:rPr>
        <w:t>המוציא את שכרו של העבריין בהפסדו ותורם להרתעה. והלכה למעשה בתי המשפט מטילים קנסות על נאשמים המורשעים בעבירת יבוא סם בנסיבות הדומות לענייננו.</w:t>
      </w:r>
      <w:r w:rsidRPr="009024C5">
        <w:rPr>
          <w:rStyle w:val="a8"/>
          <w:sz w:val="28"/>
          <w:rtl/>
        </w:rPr>
        <w:t xml:space="preserve"> עיון בפסיקה מעלה כי במקרים דומים הוטלו קנסות הנעים בטווח שבין 2,000 ל- 10,000 ₪. </w:t>
      </w:r>
    </w:p>
    <w:p w14:paraId="039DF636" w14:textId="77777777" w:rsidR="00AE4869" w:rsidRPr="009024C5" w:rsidRDefault="00AE4869" w:rsidP="00AE4869">
      <w:pPr>
        <w:spacing w:line="360" w:lineRule="auto"/>
        <w:ind w:left="720" w:hanging="720"/>
        <w:jc w:val="both"/>
        <w:rPr>
          <w:rFonts w:ascii="David" w:hAnsi="David"/>
          <w:rtl/>
        </w:rPr>
      </w:pPr>
    </w:p>
    <w:p w14:paraId="5DFB34B5" w14:textId="77777777" w:rsidR="00AE4869" w:rsidRPr="009024C5" w:rsidRDefault="00AE4869" w:rsidP="00AE4869">
      <w:pPr>
        <w:spacing w:line="360" w:lineRule="auto"/>
        <w:ind w:left="720" w:hanging="720"/>
        <w:jc w:val="both"/>
        <w:rPr>
          <w:rStyle w:val="a8"/>
          <w:rtl/>
        </w:rPr>
      </w:pPr>
      <w:r w:rsidRPr="009024C5">
        <w:rPr>
          <w:rStyle w:val="a8"/>
          <w:sz w:val="28"/>
          <w:rtl/>
        </w:rPr>
        <w:t>21.</w:t>
      </w:r>
      <w:r w:rsidRPr="009024C5">
        <w:rPr>
          <w:rStyle w:val="a8"/>
          <w:sz w:val="28"/>
          <w:rtl/>
        </w:rPr>
        <w:tab/>
        <w:t>בהתחשב בכל האמור, אני דן את הנאשם לעונשים הבאים:</w:t>
      </w:r>
    </w:p>
    <w:p w14:paraId="0921DB59" w14:textId="77777777" w:rsidR="00AE4869" w:rsidRPr="009024C5" w:rsidRDefault="00AE4869" w:rsidP="00AE4869">
      <w:pPr>
        <w:spacing w:line="360" w:lineRule="auto"/>
        <w:ind w:left="720" w:hanging="720"/>
        <w:jc w:val="both"/>
        <w:rPr>
          <w:rStyle w:val="a8"/>
          <w:sz w:val="28"/>
          <w:rtl/>
        </w:rPr>
      </w:pPr>
      <w:r w:rsidRPr="009024C5">
        <w:rPr>
          <w:rStyle w:val="a8"/>
          <w:sz w:val="28"/>
          <w:rtl/>
        </w:rPr>
        <w:tab/>
      </w:r>
      <w:r w:rsidRPr="009024C5">
        <w:rPr>
          <w:rStyle w:val="a8"/>
          <w:sz w:val="28"/>
          <w:rtl/>
        </w:rPr>
        <w:tab/>
        <w:t>א.</w:t>
      </w:r>
      <w:r w:rsidRPr="009024C5">
        <w:rPr>
          <w:rStyle w:val="a8"/>
          <w:sz w:val="28"/>
          <w:rtl/>
        </w:rPr>
        <w:tab/>
        <w:t>24 חודשי מאסר בפועל, בניכוי ימי מעצרו.</w:t>
      </w:r>
    </w:p>
    <w:p w14:paraId="72E8A5C5" w14:textId="77777777" w:rsidR="00AE4869" w:rsidRPr="009024C5" w:rsidRDefault="00AE4869" w:rsidP="00AE4869">
      <w:pPr>
        <w:spacing w:line="360" w:lineRule="auto"/>
        <w:ind w:left="2160" w:hanging="720"/>
        <w:jc w:val="both"/>
        <w:rPr>
          <w:rStyle w:val="a8"/>
          <w:sz w:val="28"/>
          <w:rtl/>
        </w:rPr>
      </w:pPr>
      <w:r w:rsidRPr="009024C5">
        <w:rPr>
          <w:rStyle w:val="a8"/>
          <w:sz w:val="28"/>
          <w:rtl/>
        </w:rPr>
        <w:t>ב.</w:t>
      </w:r>
      <w:r w:rsidRPr="009024C5">
        <w:rPr>
          <w:rStyle w:val="a8"/>
          <w:sz w:val="28"/>
          <w:rtl/>
        </w:rPr>
        <w:tab/>
        <w:t>12 חודשי מאסר על תנאי, למשך שלוש שנים מיום שחרורו מהמאסר, שלא יעבור עבירת סמים שהיא פשע.</w:t>
      </w:r>
    </w:p>
    <w:p w14:paraId="622C587F" w14:textId="77777777" w:rsidR="00AE4869" w:rsidRPr="009024C5" w:rsidRDefault="00AE4869" w:rsidP="00AE4869">
      <w:pPr>
        <w:spacing w:line="360" w:lineRule="auto"/>
        <w:ind w:left="1440"/>
        <w:jc w:val="both"/>
        <w:rPr>
          <w:rFonts w:ascii="David" w:hAnsi="David"/>
          <w:rtl/>
          <w:lang w:eastAsia="he-IL"/>
        </w:rPr>
      </w:pPr>
      <w:r w:rsidRPr="009024C5">
        <w:rPr>
          <w:rStyle w:val="a8"/>
          <w:sz w:val="28"/>
          <w:rtl/>
        </w:rPr>
        <w:t>ג.</w:t>
      </w:r>
      <w:r w:rsidRPr="009024C5">
        <w:rPr>
          <w:rStyle w:val="a8"/>
          <w:sz w:val="28"/>
          <w:rtl/>
        </w:rPr>
        <w:tab/>
      </w:r>
      <w:r w:rsidRPr="009024C5">
        <w:rPr>
          <w:rFonts w:hint="cs"/>
          <w:rtl/>
        </w:rPr>
        <w:t xml:space="preserve">קנס בסך 5,000 שקלים או 20 ימי מאסר תחתיו. </w:t>
      </w:r>
    </w:p>
    <w:p w14:paraId="5A4BE98F" w14:textId="77777777" w:rsidR="00AE4869" w:rsidRPr="009024C5" w:rsidRDefault="00AE4869" w:rsidP="00AE4869">
      <w:pPr>
        <w:spacing w:line="360" w:lineRule="auto"/>
        <w:ind w:left="1440" w:firstLine="720"/>
        <w:jc w:val="both"/>
        <w:rPr>
          <w:rtl/>
        </w:rPr>
      </w:pPr>
      <w:r w:rsidRPr="009024C5">
        <w:rPr>
          <w:rFonts w:hint="cs"/>
          <w:rtl/>
        </w:rPr>
        <w:t xml:space="preserve">הקנס ישולם בתוך 45 יום מהיום. </w:t>
      </w:r>
    </w:p>
    <w:p w14:paraId="2D4C0298" w14:textId="77777777" w:rsidR="00AE4869" w:rsidRPr="009024C5" w:rsidRDefault="00AE4869" w:rsidP="00AE4869">
      <w:pPr>
        <w:spacing w:line="360" w:lineRule="auto"/>
        <w:ind w:left="720" w:firstLine="720"/>
        <w:jc w:val="both"/>
        <w:rPr>
          <w:rtl/>
        </w:rPr>
      </w:pPr>
    </w:p>
    <w:p w14:paraId="580C4D6B" w14:textId="77777777" w:rsidR="00AE4869" w:rsidRPr="009024C5" w:rsidRDefault="00AE4869" w:rsidP="00AE4869">
      <w:pPr>
        <w:spacing w:line="360" w:lineRule="auto"/>
        <w:ind w:left="720" w:hanging="720"/>
        <w:jc w:val="both"/>
        <w:rPr>
          <w:rtl/>
        </w:rPr>
      </w:pPr>
      <w:r w:rsidRPr="009024C5">
        <w:rPr>
          <w:rFonts w:hint="cs"/>
          <w:rtl/>
        </w:rPr>
        <w:t>22.</w:t>
      </w:r>
      <w:r w:rsidRPr="009024C5">
        <w:rPr>
          <w:rFonts w:hint="cs"/>
          <w:rtl/>
        </w:rPr>
        <w:tab/>
        <w:t xml:space="preserve">בשולי גזר הדין אני מוצא לנכון להעיר על כך שהעונשים המוטלים על עבירות הסמים החמורות – החזקת סם שלא לצריכה עצמית, סחר בסמים, וייבוא סמים – המבוצעות בסם המתאמפטאמין, קלים במובהק מאלה המוטלים בנסיבות דומות כשמדובר בסמים קשים אחרים כמו הרואין וקוקאין. </w:t>
      </w:r>
    </w:p>
    <w:p w14:paraId="6B02F7A8" w14:textId="77777777" w:rsidR="00AE4869" w:rsidRPr="009024C5" w:rsidRDefault="00AE4869" w:rsidP="00AE4869">
      <w:pPr>
        <w:spacing w:line="360" w:lineRule="auto"/>
        <w:ind w:left="720" w:hanging="720"/>
        <w:jc w:val="both"/>
        <w:rPr>
          <w:rtl/>
        </w:rPr>
      </w:pPr>
    </w:p>
    <w:p w14:paraId="6BE3D68C" w14:textId="77777777" w:rsidR="00AE4869" w:rsidRPr="009024C5" w:rsidRDefault="00AE4869" w:rsidP="00AE4869">
      <w:pPr>
        <w:spacing w:line="360" w:lineRule="auto"/>
        <w:ind w:left="720"/>
        <w:jc w:val="both"/>
        <w:rPr>
          <w:rtl/>
        </w:rPr>
      </w:pPr>
      <w:r w:rsidRPr="009024C5">
        <w:rPr>
          <w:rFonts w:hint="cs"/>
          <w:rtl/>
        </w:rPr>
        <w:t xml:space="preserve">עונשי המאסר המוטלים על החזקת עשרות גרם הרואין או קוקאין שלא לצריכה עצמית נעים בין 3 ל- 5 שנות מאסר (ראה </w:t>
      </w:r>
      <w:hyperlink r:id="rId24" w:history="1">
        <w:r w:rsidR="00377100" w:rsidRPr="00377100">
          <w:rPr>
            <w:color w:val="0000FF"/>
            <w:u w:val="single"/>
            <w:rtl/>
          </w:rPr>
          <w:t>ע"פ 4592/15</w:t>
        </w:r>
      </w:hyperlink>
      <w:r w:rsidRPr="009024C5">
        <w:rPr>
          <w:rFonts w:hint="cs"/>
          <w:b/>
          <w:bCs/>
          <w:rtl/>
        </w:rPr>
        <w:t xml:space="preserve"> ‏ אשר מסעוד פדידה ואמיר אבו חמדה </w:t>
      </w:r>
      <w:r w:rsidRPr="009024C5">
        <w:rPr>
          <w:rFonts w:hint="cs"/>
          <w:rtl/>
        </w:rPr>
        <w:t>נ'</w:t>
      </w:r>
      <w:r w:rsidRPr="009024C5">
        <w:rPr>
          <w:rFonts w:hint="cs"/>
          <w:b/>
          <w:bCs/>
          <w:rtl/>
        </w:rPr>
        <w:t xml:space="preserve"> מדינת ישראל</w:t>
      </w:r>
      <w:r w:rsidRPr="009024C5">
        <w:rPr>
          <w:rFonts w:hint="cs"/>
          <w:rtl/>
        </w:rPr>
        <w:t xml:space="preserve">  (13.01.16)</w:t>
      </w:r>
      <w:r w:rsidRPr="009024C5">
        <w:rPr>
          <w:rFonts w:hint="cs"/>
          <w:b/>
          <w:rtl/>
        </w:rPr>
        <w:t xml:space="preserve"> ו</w:t>
      </w:r>
      <w:hyperlink r:id="rId25" w:history="1">
        <w:r w:rsidR="00377100" w:rsidRPr="00377100">
          <w:rPr>
            <w:b/>
            <w:color w:val="0000FF"/>
            <w:u w:val="single"/>
            <w:rtl/>
          </w:rPr>
          <w:t>ע"פ 1932/15</w:t>
        </w:r>
      </w:hyperlink>
      <w:r w:rsidRPr="009024C5">
        <w:rPr>
          <w:rFonts w:hint="cs"/>
          <w:b/>
          <w:rtl/>
        </w:rPr>
        <w:t xml:space="preserve"> </w:t>
      </w:r>
      <w:r w:rsidRPr="009024C5">
        <w:rPr>
          <w:rFonts w:hint="cs"/>
          <w:bCs/>
          <w:rtl/>
        </w:rPr>
        <w:t>פיליפ סעדון</w:t>
      </w:r>
      <w:r w:rsidRPr="009024C5">
        <w:rPr>
          <w:rFonts w:hint="cs"/>
          <w:b/>
          <w:rtl/>
        </w:rPr>
        <w:t xml:space="preserve"> נ' </w:t>
      </w:r>
      <w:r w:rsidRPr="009024C5">
        <w:rPr>
          <w:rFonts w:hint="cs"/>
          <w:bCs/>
          <w:rtl/>
        </w:rPr>
        <w:t>מדינת ישראל</w:t>
      </w:r>
      <w:r w:rsidRPr="009024C5">
        <w:rPr>
          <w:rFonts w:hint="cs"/>
          <w:b/>
          <w:rtl/>
        </w:rPr>
        <w:t xml:space="preserve"> (17.04.16))</w:t>
      </w:r>
      <w:r w:rsidRPr="009024C5">
        <w:rPr>
          <w:rFonts w:hint="cs"/>
          <w:rtl/>
        </w:rPr>
        <w:t xml:space="preserve">, בעוד עבירת ייבוא סם, הנתפסת כחמורה יותר מעבירת החזקת סם שלא לצריכה עצמית, המבוצעת בסם מתאמפטאמין, נענשת בעונשים קלים משמעותית מאלה. </w:t>
      </w:r>
    </w:p>
    <w:p w14:paraId="1EAAB611" w14:textId="77777777" w:rsidR="00AE4869" w:rsidRPr="009024C5" w:rsidRDefault="00AE4869" w:rsidP="00AE4869">
      <w:pPr>
        <w:spacing w:line="360" w:lineRule="auto"/>
        <w:ind w:left="720"/>
        <w:jc w:val="both"/>
        <w:rPr>
          <w:rtl/>
        </w:rPr>
      </w:pPr>
      <w:r w:rsidRPr="009024C5">
        <w:rPr>
          <w:rFonts w:hint="cs"/>
          <w:rtl/>
        </w:rPr>
        <w:t xml:space="preserve">יתכן שהדבר מושפע מכך שטיב הסמים הקשים האחרים כמו ההרואין והקוקאין, מוכר היטב לבתי המשפט ולגבי סמים אלה ישנה אינטואיציה משפטית מבוססת בנוגע לחומרתם, בעוד שטיבו המדויק של סם המתאמפטמין לוט בערפל מסוים והסם עצמו נתפס כסם המצוי בשימוש במגזר קטן יחסית ומוגדר. </w:t>
      </w:r>
    </w:p>
    <w:p w14:paraId="161771BC" w14:textId="77777777" w:rsidR="00AE4869" w:rsidRPr="009024C5" w:rsidRDefault="00AE4869" w:rsidP="00AE4869">
      <w:pPr>
        <w:spacing w:line="360" w:lineRule="auto"/>
        <w:ind w:left="720"/>
        <w:jc w:val="both"/>
        <w:rPr>
          <w:rtl/>
        </w:rPr>
      </w:pPr>
    </w:p>
    <w:p w14:paraId="1C72FEAF" w14:textId="77777777" w:rsidR="00AE4869" w:rsidRPr="009024C5" w:rsidRDefault="00AE4869" w:rsidP="00AE4869">
      <w:pPr>
        <w:spacing w:line="360" w:lineRule="auto"/>
        <w:ind w:left="720"/>
        <w:jc w:val="both"/>
        <w:rPr>
          <w:rtl/>
        </w:rPr>
      </w:pPr>
      <w:r w:rsidRPr="009024C5">
        <w:rPr>
          <w:rFonts w:hint="cs"/>
          <w:rtl/>
        </w:rPr>
        <w:t xml:space="preserve">כידוע, אופי הסם והפגיעות שהוא מביא אתו הם בעלי חשיבות בקביעת חומרת מעשה העבירה בנסיבותיו, המשפיעה בתורה על מידת העונש במקרה נתון. </w:t>
      </w:r>
    </w:p>
    <w:p w14:paraId="02A13AB2" w14:textId="77777777" w:rsidR="00AE4869" w:rsidRPr="009024C5" w:rsidRDefault="00AE4869" w:rsidP="00AE4869">
      <w:pPr>
        <w:spacing w:line="360" w:lineRule="auto"/>
        <w:ind w:left="720"/>
        <w:jc w:val="both"/>
        <w:rPr>
          <w:rtl/>
        </w:rPr>
      </w:pPr>
    </w:p>
    <w:p w14:paraId="7E557E33" w14:textId="77777777" w:rsidR="00AE4869" w:rsidRPr="009024C5" w:rsidRDefault="00AE4869" w:rsidP="00AE4869">
      <w:pPr>
        <w:spacing w:line="360" w:lineRule="auto"/>
        <w:ind w:left="720"/>
        <w:jc w:val="both"/>
        <w:rPr>
          <w:rtl/>
        </w:rPr>
      </w:pPr>
      <w:r w:rsidRPr="009024C5">
        <w:rPr>
          <w:rFonts w:hint="cs"/>
          <w:rtl/>
        </w:rPr>
        <w:t xml:space="preserve">סוגיית טיב הסם והשפעותיו, בהשוואה לסמים אחרים, מחייבת חוות דעת מקצועית סדורה ומבוססת, והתביעה, ואולי גם הסנגוריה הציבורית, מוזמנות לבחון את הנושא. אם אכן קיים הבדל מהותי בין הסמים, יש הצדקה לשימור הפער העונשי המתואר. אולם אם אין לכך הצדקה, יש להתאים את הענישה בעבירות המבוצעות בסם המתאמפטמין לענישת העבירות המבוצעות בסמים הקשים האחרים. </w:t>
      </w:r>
    </w:p>
    <w:p w14:paraId="30D76BEF" w14:textId="77777777" w:rsidR="00AE4869" w:rsidRPr="009024C5" w:rsidRDefault="00AE4869" w:rsidP="00AE4869">
      <w:pPr>
        <w:spacing w:line="360" w:lineRule="auto"/>
        <w:ind w:left="720" w:hanging="720"/>
        <w:jc w:val="both"/>
        <w:rPr>
          <w:rFonts w:cs="Times New Roman"/>
          <w:rtl/>
        </w:rPr>
      </w:pPr>
    </w:p>
    <w:p w14:paraId="53546E8A" w14:textId="77777777" w:rsidR="00AE4869" w:rsidRPr="009024C5" w:rsidRDefault="00AE4869" w:rsidP="00AE4869">
      <w:pPr>
        <w:spacing w:line="360" w:lineRule="auto"/>
        <w:ind w:left="1440" w:hanging="720"/>
        <w:jc w:val="both"/>
        <w:rPr>
          <w:rStyle w:val="a8"/>
          <w:rFonts w:ascii="David" w:hAnsi="David"/>
          <w:sz w:val="28"/>
          <w:rtl/>
        </w:rPr>
      </w:pPr>
      <w:r w:rsidRPr="009024C5">
        <w:rPr>
          <w:rFonts w:hint="cs"/>
          <w:rtl/>
        </w:rPr>
        <w:t>זכות ערעור בתוך 45 יום.</w:t>
      </w:r>
      <w:r w:rsidRPr="009024C5">
        <w:rPr>
          <w:rStyle w:val="a8"/>
          <w:sz w:val="28"/>
          <w:rtl/>
        </w:rPr>
        <w:t xml:space="preserve"> </w:t>
      </w:r>
    </w:p>
    <w:p w14:paraId="69217F3E" w14:textId="77777777" w:rsidR="00AE4869" w:rsidRPr="009024C5" w:rsidRDefault="00AE4869" w:rsidP="00AE4869">
      <w:pPr>
        <w:spacing w:line="360" w:lineRule="auto"/>
        <w:jc w:val="both"/>
      </w:pPr>
    </w:p>
    <w:p w14:paraId="451B68EE" w14:textId="77777777" w:rsidR="00AE4869" w:rsidRPr="009024C5" w:rsidRDefault="00AE4869" w:rsidP="00AE4869">
      <w:pPr>
        <w:spacing w:line="360" w:lineRule="auto"/>
        <w:jc w:val="both"/>
        <w:rPr>
          <w:sz w:val="6"/>
          <w:szCs w:val="6"/>
          <w:rtl/>
        </w:rPr>
      </w:pPr>
      <w:r w:rsidRPr="009024C5">
        <w:rPr>
          <w:rFonts w:hint="cs"/>
          <w:sz w:val="6"/>
          <w:szCs w:val="6"/>
          <w:rtl/>
        </w:rPr>
        <w:t>&lt;#4#&gt;</w:t>
      </w:r>
    </w:p>
    <w:p w14:paraId="47955285" w14:textId="77777777" w:rsidR="00AE4869" w:rsidRPr="009024C5" w:rsidRDefault="00AE4869" w:rsidP="00AE4869">
      <w:pPr>
        <w:jc w:val="right"/>
        <w:rPr>
          <w:rtl/>
        </w:rPr>
      </w:pPr>
    </w:p>
    <w:p w14:paraId="468B8CE9" w14:textId="77777777" w:rsidR="00AE4869" w:rsidRPr="009024C5" w:rsidRDefault="00377100" w:rsidP="00AE4869">
      <w:pPr>
        <w:jc w:val="center"/>
        <w:rPr>
          <w:rtl/>
        </w:rPr>
      </w:pPr>
      <w:bookmarkStart w:id="8" w:name="Nitan"/>
      <w:r>
        <w:rPr>
          <w:b/>
          <w:bCs/>
          <w:rtl/>
        </w:rPr>
        <w:t xml:space="preserve">ניתנה והודעה היום כ"ט טבת תשפ"ג, 22/01/2023 במעמד הנוכחים. </w:t>
      </w:r>
      <w:bookmarkEnd w:id="8"/>
    </w:p>
    <w:p w14:paraId="72A9A341" w14:textId="77777777" w:rsidR="00AE4869" w:rsidRPr="00377100" w:rsidRDefault="00377100" w:rsidP="00AE4869">
      <w:pPr>
        <w:jc w:val="right"/>
        <w:rPr>
          <w:rFonts w:ascii="David" w:hAnsi="David"/>
          <w:color w:val="FFFFFF"/>
          <w:sz w:val="2"/>
          <w:szCs w:val="2"/>
          <w:rtl/>
        </w:rPr>
      </w:pPr>
      <w:r w:rsidRPr="00377100">
        <w:rPr>
          <w:rFonts w:ascii="David" w:hAnsi="David"/>
          <w:color w:val="FFFFFF"/>
          <w:sz w:val="2"/>
          <w:szCs w:val="2"/>
          <w:rtl/>
        </w:rPr>
        <w:t>5129371</w:t>
      </w:r>
    </w:p>
    <w:tbl>
      <w:tblPr>
        <w:bidiVisual/>
        <w:tblW w:w="0" w:type="auto"/>
        <w:tblInd w:w="5089" w:type="dxa"/>
        <w:tblBorders>
          <w:insideH w:val="single" w:sz="4" w:space="0" w:color="auto"/>
          <w:insideV w:val="single" w:sz="4" w:space="0" w:color="auto"/>
        </w:tblBorders>
        <w:tblLook w:val="01E0" w:firstRow="1" w:lastRow="1" w:firstColumn="1" w:lastColumn="1" w:noHBand="0" w:noVBand="0"/>
      </w:tblPr>
      <w:tblGrid>
        <w:gridCol w:w="3402"/>
      </w:tblGrid>
      <w:tr w:rsidR="00AE4869" w:rsidRPr="009024C5" w14:paraId="291CB579" w14:textId="77777777" w:rsidTr="00AE4869">
        <w:trPr>
          <w:trHeight w:val="316"/>
        </w:trPr>
        <w:tc>
          <w:tcPr>
            <w:tcW w:w="3402" w:type="dxa"/>
            <w:tcBorders>
              <w:top w:val="nil"/>
              <w:left w:val="nil"/>
              <w:bottom w:val="single" w:sz="4" w:space="0" w:color="auto"/>
              <w:right w:val="nil"/>
            </w:tcBorders>
            <w:shd w:val="clear" w:color="auto" w:fill="auto"/>
          </w:tcPr>
          <w:p w14:paraId="70E8E1EE" w14:textId="77777777" w:rsidR="00AE4869" w:rsidRPr="00377100" w:rsidRDefault="00377100" w:rsidP="00AE4869">
            <w:pPr>
              <w:jc w:val="center"/>
              <w:rPr>
                <w:color w:val="FFFFFF"/>
                <w:sz w:val="2"/>
                <w:szCs w:val="2"/>
                <w:rtl/>
              </w:rPr>
            </w:pPr>
            <w:r w:rsidRPr="00377100">
              <w:rPr>
                <w:color w:val="FFFFFF"/>
                <w:sz w:val="2"/>
                <w:szCs w:val="2"/>
                <w:rtl/>
              </w:rPr>
              <w:t>54678313</w:t>
            </w:r>
          </w:p>
          <w:p w14:paraId="31306844" w14:textId="77777777" w:rsidR="00AE4869" w:rsidRPr="009024C5" w:rsidRDefault="00AE4869" w:rsidP="00AE4869">
            <w:pPr>
              <w:jc w:val="center"/>
            </w:pPr>
          </w:p>
        </w:tc>
      </w:tr>
      <w:tr w:rsidR="00AE4869" w:rsidRPr="009024C5" w14:paraId="352161A5" w14:textId="77777777" w:rsidTr="00AE4869">
        <w:trPr>
          <w:trHeight w:val="361"/>
        </w:trPr>
        <w:tc>
          <w:tcPr>
            <w:tcW w:w="3402" w:type="dxa"/>
            <w:tcBorders>
              <w:top w:val="single" w:sz="4" w:space="0" w:color="auto"/>
              <w:left w:val="nil"/>
              <w:bottom w:val="nil"/>
              <w:right w:val="nil"/>
            </w:tcBorders>
            <w:shd w:val="clear" w:color="auto" w:fill="auto"/>
          </w:tcPr>
          <w:p w14:paraId="4D6AA259" w14:textId="77777777" w:rsidR="00AE4869" w:rsidRPr="00AE4869" w:rsidRDefault="00AE4869" w:rsidP="00AE4869">
            <w:pPr>
              <w:jc w:val="center"/>
              <w:rPr>
                <w:b/>
                <w:bCs/>
                <w:rtl/>
              </w:rPr>
            </w:pPr>
            <w:r w:rsidRPr="00AE4869">
              <w:rPr>
                <w:rFonts w:hint="cs"/>
                <w:b/>
                <w:bCs/>
                <w:rtl/>
              </w:rPr>
              <w:t>אליהו ביתן, שופט</w:t>
            </w:r>
          </w:p>
          <w:p w14:paraId="0EE2FD70" w14:textId="77777777" w:rsidR="00AE4869" w:rsidRPr="00AE4869" w:rsidRDefault="00AE4869" w:rsidP="00AE4869">
            <w:pPr>
              <w:jc w:val="center"/>
              <w:rPr>
                <w:b/>
                <w:bCs/>
                <w:rtl/>
              </w:rPr>
            </w:pPr>
            <w:r w:rsidRPr="00AE4869">
              <w:rPr>
                <w:rFonts w:hint="cs"/>
                <w:b/>
                <w:bCs/>
                <w:rtl/>
              </w:rPr>
              <w:t>סגן הנשיאה</w:t>
            </w:r>
          </w:p>
        </w:tc>
      </w:tr>
    </w:tbl>
    <w:p w14:paraId="5CABB402" w14:textId="77777777" w:rsidR="00AE4869" w:rsidRPr="00272F63" w:rsidRDefault="00272F63" w:rsidP="00AE4869">
      <w:pPr>
        <w:jc w:val="right"/>
        <w:rPr>
          <w:rFonts w:ascii="David" w:hAnsi="David"/>
          <w:color w:val="FFFFFF"/>
          <w:sz w:val="2"/>
          <w:szCs w:val="2"/>
          <w:rtl/>
        </w:rPr>
      </w:pPr>
      <w:r w:rsidRPr="00272F63">
        <w:rPr>
          <w:rFonts w:ascii="David" w:hAnsi="David"/>
          <w:color w:val="FFFFFF"/>
          <w:sz w:val="2"/>
          <w:szCs w:val="2"/>
          <w:rtl/>
        </w:rPr>
        <w:t>5129371</w:t>
      </w:r>
    </w:p>
    <w:p w14:paraId="42258BFD" w14:textId="77777777" w:rsidR="00BA2C6F" w:rsidRPr="00272F63" w:rsidRDefault="00272F63" w:rsidP="00377100">
      <w:pPr>
        <w:keepNext/>
        <w:rPr>
          <w:rFonts w:ascii="David" w:hAnsi="David"/>
          <w:color w:val="FFFFFF"/>
          <w:sz w:val="2"/>
          <w:szCs w:val="2"/>
          <w:rtl/>
        </w:rPr>
      </w:pPr>
      <w:r w:rsidRPr="00272F63">
        <w:rPr>
          <w:rFonts w:ascii="David" w:hAnsi="David"/>
          <w:color w:val="FFFFFF"/>
          <w:sz w:val="2"/>
          <w:szCs w:val="2"/>
          <w:rtl/>
        </w:rPr>
        <w:t>54678313</w:t>
      </w:r>
    </w:p>
    <w:p w14:paraId="35784BE4" w14:textId="77777777" w:rsidR="00377100" w:rsidRDefault="00377100" w:rsidP="00377100">
      <w:pPr>
        <w:rPr>
          <w:rtl/>
        </w:rPr>
      </w:pPr>
    </w:p>
    <w:p w14:paraId="630441A4" w14:textId="77777777" w:rsidR="00377100" w:rsidRDefault="00377100" w:rsidP="00377100">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5572C49" w14:textId="77777777" w:rsidR="00272F63" w:rsidRPr="00272F63" w:rsidRDefault="00272F63" w:rsidP="00272F63">
      <w:pPr>
        <w:keepNext/>
        <w:rPr>
          <w:rFonts w:ascii="David" w:hAnsi="David"/>
          <w:color w:val="000000"/>
          <w:sz w:val="22"/>
          <w:szCs w:val="22"/>
          <w:rtl/>
        </w:rPr>
      </w:pPr>
    </w:p>
    <w:p w14:paraId="6C4AC216" w14:textId="77777777" w:rsidR="00272F63" w:rsidRPr="00272F63" w:rsidRDefault="00272F63" w:rsidP="00272F63">
      <w:pPr>
        <w:keepNext/>
        <w:rPr>
          <w:rFonts w:ascii="David" w:hAnsi="David"/>
          <w:color w:val="000000"/>
          <w:sz w:val="22"/>
          <w:szCs w:val="22"/>
          <w:rtl/>
        </w:rPr>
      </w:pPr>
      <w:r w:rsidRPr="00272F63">
        <w:rPr>
          <w:rFonts w:ascii="David" w:hAnsi="David"/>
          <w:color w:val="000000"/>
          <w:sz w:val="22"/>
          <w:szCs w:val="22"/>
          <w:rtl/>
        </w:rPr>
        <w:t>אליהו ביתן 54678313-/</w:t>
      </w:r>
    </w:p>
    <w:p w14:paraId="0B04B078" w14:textId="77777777" w:rsidR="00377100" w:rsidRPr="00377100" w:rsidRDefault="00272F63" w:rsidP="00272F63">
      <w:pPr>
        <w:rPr>
          <w:color w:val="0000FF"/>
          <w:u w:val="single"/>
        </w:rPr>
      </w:pPr>
      <w:r w:rsidRPr="00272F63">
        <w:rPr>
          <w:color w:val="000000"/>
          <w:u w:val="single"/>
          <w:rtl/>
        </w:rPr>
        <w:t>נוסח מסמך זה כפוף לשינויי ניסוח ועריכה</w:t>
      </w:r>
    </w:p>
    <w:sectPr w:rsidR="00377100" w:rsidRPr="00377100" w:rsidSect="00272F63">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80322" w14:textId="77777777" w:rsidR="00133F5B" w:rsidRDefault="00133F5B" w:rsidP="000B50CC">
      <w:r>
        <w:separator/>
      </w:r>
    </w:p>
  </w:endnote>
  <w:endnote w:type="continuationSeparator" w:id="0">
    <w:p w14:paraId="111EACAA" w14:textId="77777777" w:rsidR="00133F5B" w:rsidRDefault="00133F5B" w:rsidP="000B5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3825A" w14:textId="77777777" w:rsidR="00272F63" w:rsidRDefault="00272F63" w:rsidP="00272F6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2C7569" w14:textId="77777777" w:rsidR="00FE5E2C" w:rsidRPr="00272F63" w:rsidRDefault="00272F63" w:rsidP="00272F63">
    <w:pPr>
      <w:pStyle w:val="a5"/>
      <w:pBdr>
        <w:top w:val="single" w:sz="4" w:space="1" w:color="auto"/>
        <w:between w:val="single" w:sz="4" w:space="0" w:color="auto"/>
      </w:pBdr>
      <w:spacing w:after="60"/>
      <w:jc w:val="center"/>
      <w:rPr>
        <w:rFonts w:ascii="FrankRuehl" w:hAnsi="FrankRuehl" w:cs="FrankRuehl"/>
        <w:color w:val="000000"/>
      </w:rPr>
    </w:pPr>
    <w:r w:rsidRPr="00272F6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C7105" w14:textId="77777777" w:rsidR="00272F63" w:rsidRDefault="00272F63" w:rsidP="00272F6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51BF">
      <w:rPr>
        <w:rFonts w:ascii="FrankRuehl" w:hAnsi="FrankRuehl" w:cs="FrankRuehl"/>
        <w:noProof/>
        <w:rtl/>
      </w:rPr>
      <w:t>1</w:t>
    </w:r>
    <w:r>
      <w:rPr>
        <w:rFonts w:ascii="FrankRuehl" w:hAnsi="FrankRuehl" w:cs="FrankRuehl"/>
        <w:rtl/>
      </w:rPr>
      <w:fldChar w:fldCharType="end"/>
    </w:r>
  </w:p>
  <w:p w14:paraId="54F8ACE0" w14:textId="77777777" w:rsidR="00FE5E2C" w:rsidRPr="00272F63" w:rsidRDefault="00272F63" w:rsidP="00272F63">
    <w:pPr>
      <w:pStyle w:val="a5"/>
      <w:pBdr>
        <w:top w:val="single" w:sz="4" w:space="1" w:color="auto"/>
        <w:between w:val="single" w:sz="4" w:space="0" w:color="auto"/>
      </w:pBdr>
      <w:spacing w:after="60"/>
      <w:jc w:val="center"/>
      <w:rPr>
        <w:rFonts w:ascii="FrankRuehl" w:hAnsi="FrankRuehl" w:cs="FrankRuehl"/>
        <w:color w:val="000000"/>
      </w:rPr>
    </w:pPr>
    <w:r w:rsidRPr="00272F63">
      <w:rPr>
        <w:rFonts w:ascii="FrankRuehl" w:hAnsi="FrankRuehl" w:cs="FrankRuehl"/>
        <w:color w:val="000000"/>
      </w:rPr>
      <w:pict w14:anchorId="0F71B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3FFB5" w14:textId="77777777" w:rsidR="00133F5B" w:rsidRDefault="00133F5B" w:rsidP="000B50CC">
      <w:r>
        <w:separator/>
      </w:r>
    </w:p>
  </w:footnote>
  <w:footnote w:type="continuationSeparator" w:id="0">
    <w:p w14:paraId="1B5092CA" w14:textId="77777777" w:rsidR="00133F5B" w:rsidRDefault="00133F5B" w:rsidP="000B5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466" w14:textId="77777777" w:rsidR="00377100" w:rsidRPr="00272F63" w:rsidRDefault="00272F63" w:rsidP="00272F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25594-07-22</w:t>
    </w:r>
    <w:r>
      <w:rPr>
        <w:rFonts w:ascii="David" w:hAnsi="David"/>
        <w:color w:val="000000"/>
        <w:sz w:val="22"/>
        <w:szCs w:val="22"/>
        <w:rtl/>
      </w:rPr>
      <w:tab/>
      <w:t xml:space="preserve"> מדינת ישראל נ' </w:t>
    </w:r>
    <w:r>
      <w:rPr>
        <w:rFonts w:ascii="David" w:hAnsi="David"/>
        <w:color w:val="000000"/>
        <w:sz w:val="22"/>
        <w:szCs w:val="22"/>
      </w:rPr>
      <w:t>LUKSUB PUCHONG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31C0F" w14:textId="77777777" w:rsidR="00377100" w:rsidRPr="00272F63" w:rsidRDefault="00272F63" w:rsidP="00272F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25594-07-22</w:t>
    </w:r>
    <w:r>
      <w:rPr>
        <w:rFonts w:ascii="David" w:hAnsi="David"/>
        <w:color w:val="000000"/>
        <w:sz w:val="22"/>
        <w:szCs w:val="22"/>
        <w:rtl/>
      </w:rPr>
      <w:tab/>
      <w:t xml:space="preserve"> מדינת ישראל נ' </w:t>
    </w:r>
    <w:r>
      <w:rPr>
        <w:rFonts w:ascii="David" w:hAnsi="David"/>
        <w:color w:val="000000"/>
        <w:sz w:val="22"/>
        <w:szCs w:val="22"/>
      </w:rPr>
      <w:t>LUKSUB PUCHONG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4869"/>
    <w:rsid w:val="000B50CC"/>
    <w:rsid w:val="00133F5B"/>
    <w:rsid w:val="001B5A3B"/>
    <w:rsid w:val="00272F63"/>
    <w:rsid w:val="00291E5B"/>
    <w:rsid w:val="00377100"/>
    <w:rsid w:val="00397DF9"/>
    <w:rsid w:val="006651BF"/>
    <w:rsid w:val="006C0ACA"/>
    <w:rsid w:val="00A539C8"/>
    <w:rsid w:val="00AE4869"/>
    <w:rsid w:val="00B34392"/>
    <w:rsid w:val="00BA2C6F"/>
    <w:rsid w:val="00D66C3F"/>
    <w:rsid w:val="00DA117C"/>
    <w:rsid w:val="00EF125F"/>
    <w:rsid w:val="00FE5E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495E24"/>
  <w15:chartTrackingRefBased/>
  <w15:docId w15:val="{932A04F1-C664-4D3C-B664-D0299139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48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E4869"/>
    <w:pPr>
      <w:tabs>
        <w:tab w:val="center" w:pos="4153"/>
        <w:tab w:val="right" w:pos="8306"/>
      </w:tabs>
    </w:pPr>
  </w:style>
  <w:style w:type="character" w:customStyle="1" w:styleId="a4">
    <w:name w:val="כותרת עליונה תו"/>
    <w:link w:val="a3"/>
    <w:rsid w:val="00AE4869"/>
    <w:rPr>
      <w:rFonts w:ascii="Times New Roman" w:eastAsia="Times New Roman" w:hAnsi="Times New Roman" w:cs="David"/>
      <w:sz w:val="24"/>
      <w:szCs w:val="24"/>
    </w:rPr>
  </w:style>
  <w:style w:type="paragraph" w:styleId="a5">
    <w:name w:val="footer"/>
    <w:basedOn w:val="a"/>
    <w:link w:val="a6"/>
    <w:rsid w:val="00AE4869"/>
    <w:pPr>
      <w:tabs>
        <w:tab w:val="center" w:pos="4153"/>
        <w:tab w:val="right" w:pos="8306"/>
      </w:tabs>
    </w:pPr>
  </w:style>
  <w:style w:type="character" w:customStyle="1" w:styleId="a6">
    <w:name w:val="כותרת תחתונה תו"/>
    <w:link w:val="a5"/>
    <w:rsid w:val="00AE4869"/>
    <w:rPr>
      <w:rFonts w:ascii="Times New Roman" w:eastAsia="Times New Roman" w:hAnsi="Times New Roman" w:cs="David"/>
      <w:sz w:val="24"/>
      <w:szCs w:val="24"/>
    </w:rPr>
  </w:style>
  <w:style w:type="table" w:styleId="a7">
    <w:name w:val="Table Grid"/>
    <w:basedOn w:val="a1"/>
    <w:rsid w:val="00AE48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4869"/>
  </w:style>
  <w:style w:type="character" w:styleId="Hyperlink">
    <w:name w:val="Hyperlink"/>
    <w:rsid w:val="00AE4869"/>
    <w:rPr>
      <w:color w:val="0000FF"/>
      <w:u w:val="single"/>
    </w:rPr>
  </w:style>
  <w:style w:type="paragraph" w:customStyle="1" w:styleId="12">
    <w:name w:val="רגיל + ‏12 נק'"/>
    <w:aliases w:val="מיושר לשני הצדדים,מרווח בין שורות:  שורה וחצי"/>
    <w:basedOn w:val="a"/>
    <w:rsid w:val="00AE4869"/>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4216/31.3"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6728182" TargetMode="External"/><Relationship Id="rId7" Type="http://schemas.openxmlformats.org/officeDocument/2006/relationships/hyperlink" Target="http://www.nevo.co.il/law/4216/7.a." TargetMode="External"/><Relationship Id="rId12" Type="http://schemas.openxmlformats.org/officeDocument/2006/relationships/hyperlink" Target="http://www.nevo.co.il/law/70301/25"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118363" TargetMode="External"/><Relationship Id="rId2" Type="http://schemas.openxmlformats.org/officeDocument/2006/relationships/settings" Target="settings.xml"/><Relationship Id="rId16" Type="http://schemas.openxmlformats.org/officeDocument/2006/relationships/hyperlink" Target="http://www.nevo.co.il/law/70301/25" TargetMode="External"/><Relationship Id="rId20" Type="http://schemas.openxmlformats.org/officeDocument/2006/relationships/hyperlink" Target="http://www.nevo.co.il/case/28920874"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412551"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20764067" TargetMode="External"/><Relationship Id="rId28" Type="http://schemas.openxmlformats.org/officeDocument/2006/relationships/header" Target="header2.xml"/><Relationship Id="rId10" Type="http://schemas.openxmlformats.org/officeDocument/2006/relationships/hyperlink" Target="http://www.nevo.co.il/law/4216/31.3" TargetMode="External"/><Relationship Id="rId19" Type="http://schemas.openxmlformats.org/officeDocument/2006/relationships/hyperlink" Target="http://www.nevo.co.il/law/4216"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726064"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1713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10262</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3997814</vt:i4>
      </vt:variant>
      <vt:variant>
        <vt:i4>57</vt:i4>
      </vt:variant>
      <vt:variant>
        <vt:i4>0</vt:i4>
      </vt:variant>
      <vt:variant>
        <vt:i4>5</vt:i4>
      </vt:variant>
      <vt:variant>
        <vt:lpwstr>http://www.nevo.co.il/case/20118363</vt:lpwstr>
      </vt:variant>
      <vt:variant>
        <vt:lpwstr/>
      </vt:variant>
      <vt:variant>
        <vt:i4>3211376</vt:i4>
      </vt:variant>
      <vt:variant>
        <vt:i4>54</vt:i4>
      </vt:variant>
      <vt:variant>
        <vt:i4>0</vt:i4>
      </vt:variant>
      <vt:variant>
        <vt:i4>5</vt:i4>
      </vt:variant>
      <vt:variant>
        <vt:lpwstr>http://www.nevo.co.il/case/20412551</vt:lpwstr>
      </vt:variant>
      <vt:variant>
        <vt:lpwstr/>
      </vt:variant>
      <vt:variant>
        <vt:i4>3604594</vt:i4>
      </vt:variant>
      <vt:variant>
        <vt:i4>51</vt:i4>
      </vt:variant>
      <vt:variant>
        <vt:i4>0</vt:i4>
      </vt:variant>
      <vt:variant>
        <vt:i4>5</vt:i4>
      </vt:variant>
      <vt:variant>
        <vt:lpwstr>http://www.nevo.co.il/case/20764067</vt:lpwstr>
      </vt:variant>
      <vt:variant>
        <vt:lpwstr/>
      </vt:variant>
      <vt:variant>
        <vt:i4>3473523</vt:i4>
      </vt:variant>
      <vt:variant>
        <vt:i4>48</vt:i4>
      </vt:variant>
      <vt:variant>
        <vt:i4>0</vt:i4>
      </vt:variant>
      <vt:variant>
        <vt:i4>5</vt:i4>
      </vt:variant>
      <vt:variant>
        <vt:lpwstr>http://www.nevo.co.il/case/25726064</vt:lpwstr>
      </vt:variant>
      <vt:variant>
        <vt:lpwstr/>
      </vt:variant>
      <vt:variant>
        <vt:i4>3473521</vt:i4>
      </vt:variant>
      <vt:variant>
        <vt:i4>45</vt:i4>
      </vt:variant>
      <vt:variant>
        <vt:i4>0</vt:i4>
      </vt:variant>
      <vt:variant>
        <vt:i4>5</vt:i4>
      </vt:variant>
      <vt:variant>
        <vt:lpwstr>http://www.nevo.co.il/case/26728182</vt:lpwstr>
      </vt:variant>
      <vt:variant>
        <vt:lpwstr/>
      </vt:variant>
      <vt:variant>
        <vt:i4>3932278</vt:i4>
      </vt:variant>
      <vt:variant>
        <vt:i4>42</vt:i4>
      </vt:variant>
      <vt:variant>
        <vt:i4>0</vt:i4>
      </vt:variant>
      <vt:variant>
        <vt:i4>5</vt:i4>
      </vt:variant>
      <vt:variant>
        <vt:lpwstr>http://www.nevo.co.il/case/28920874</vt:lpwstr>
      </vt:variant>
      <vt:variant>
        <vt:lpwstr/>
      </vt:variant>
      <vt:variant>
        <vt:i4>8257637</vt:i4>
      </vt:variant>
      <vt:variant>
        <vt:i4>39</vt:i4>
      </vt:variant>
      <vt:variant>
        <vt:i4>0</vt:i4>
      </vt:variant>
      <vt:variant>
        <vt:i4>5</vt:i4>
      </vt:variant>
      <vt:variant>
        <vt:lpwstr>http://www.nevo.co.il/law/4216</vt:lpwstr>
      </vt:variant>
      <vt:variant>
        <vt:lpwstr/>
      </vt:variant>
      <vt:variant>
        <vt:i4>6488187</vt:i4>
      </vt:variant>
      <vt:variant>
        <vt:i4>36</vt:i4>
      </vt:variant>
      <vt:variant>
        <vt:i4>0</vt:i4>
      </vt:variant>
      <vt:variant>
        <vt:i4>5</vt:i4>
      </vt:variant>
      <vt:variant>
        <vt:lpwstr>http://www.nevo.co.il/law/4216/31.3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6488187</vt:i4>
      </vt:variant>
      <vt:variant>
        <vt:i4>12</vt:i4>
      </vt:variant>
      <vt:variant>
        <vt:i4>0</vt:i4>
      </vt:variant>
      <vt:variant>
        <vt:i4>5</vt:i4>
      </vt:variant>
      <vt:variant>
        <vt:lpwstr>http://www.nevo.co.il/law/4216/31.3</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2025-04-22T21:23:00Z</dcterms:created>
  <dcterms:modified xsi:type="dcterms:W3CDTF">2025-04-22T21:23:00Z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25594</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LUKSUB PUCHONG</vt:lpwstr>
  </property>
  <property fmtid="{D5CDD505-2E9C-101B-9397-08002B2CF9AE}" pid="10" name="LAWYER">
    <vt:lpwstr>ערן צרויה;רן אבינועם</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20230122</vt:lpwstr>
  </property>
  <property fmtid="{D5CDD505-2E9C-101B-9397-08002B2CF9AE}" pid="14" name="TYPE_N_DATE">
    <vt:lpwstr>39020230122</vt:lpwstr>
  </property>
  <property fmtid="{D5CDD505-2E9C-101B-9397-08002B2CF9AE}" pid="15" name="WORDNUMPAGES">
    <vt:lpwstr>6</vt:lpwstr>
  </property>
  <property fmtid="{D5CDD505-2E9C-101B-9397-08002B2CF9AE}" pid="16" name="TYPE_ABS_DATE">
    <vt:lpwstr>390020230122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28920874;26728182;25726064;20764067;20412551;20118363</vt:lpwstr>
  </property>
  <property fmtid="{D5CDD505-2E9C-101B-9397-08002B2CF9AE}" pid="36" name="LAWLISTTMP1">
    <vt:lpwstr>4216/013;007.a;007.c;031.3</vt:lpwstr>
  </property>
  <property fmtid="{D5CDD505-2E9C-101B-9397-08002B2CF9AE}" pid="37" name="LAWLISTTMP2">
    <vt:lpwstr>70301/025</vt:lpwstr>
  </property>
</Properties>
</file>