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38082F" w:rsidRPr="007D51D3" w14:paraId="076DF0DE" w14:textId="77777777" w:rsidTr="00BC5D91">
        <w:trPr>
          <w:trHeight w:hRule="exact" w:val="418"/>
          <w:jc w:val="center"/>
        </w:trPr>
        <w:tc>
          <w:tcPr>
            <w:tcW w:w="8721" w:type="dxa"/>
            <w:gridSpan w:val="2"/>
          </w:tcPr>
          <w:p w14:paraId="2C7E6178" w14:textId="77777777" w:rsidR="0038082F" w:rsidRPr="007D51D3" w:rsidRDefault="0038082F" w:rsidP="004D0C90">
            <w:pPr>
              <w:pStyle w:val="a3"/>
              <w:jc w:val="center"/>
              <w:rPr>
                <w:rFonts w:ascii="Tahoma" w:hAnsi="Tahoma"/>
                <w:color w:val="000080"/>
                <w:sz w:val="32"/>
                <w:szCs w:val="32"/>
                <w:rtl/>
              </w:rPr>
            </w:pPr>
            <w:bookmarkStart w:id="0" w:name="LastJudge"/>
            <w:r w:rsidRPr="007D51D3">
              <w:rPr>
                <w:rFonts w:ascii="Tahoma" w:hAnsi="Tahoma"/>
                <w:b/>
                <w:bCs/>
                <w:color w:val="000080"/>
                <w:sz w:val="32"/>
                <w:szCs w:val="32"/>
                <w:rtl/>
              </w:rPr>
              <w:t>בית המשפט המחוזי בתל אביב -יפו</w:t>
            </w:r>
          </w:p>
        </w:tc>
      </w:tr>
      <w:tr w:rsidR="0038082F" w:rsidRPr="007D51D3" w14:paraId="4E831F02" w14:textId="77777777" w:rsidTr="00BC5D91">
        <w:trPr>
          <w:trHeight w:val="337"/>
          <w:jc w:val="center"/>
        </w:trPr>
        <w:tc>
          <w:tcPr>
            <w:tcW w:w="5057" w:type="dxa"/>
          </w:tcPr>
          <w:p w14:paraId="1FBE37F0" w14:textId="77777777" w:rsidR="0038082F" w:rsidRPr="007D51D3" w:rsidRDefault="0038082F" w:rsidP="004D0C90">
            <w:pPr>
              <w:rPr>
                <w:sz w:val="26"/>
                <w:szCs w:val="26"/>
                <w:rtl/>
              </w:rPr>
            </w:pPr>
            <w:r w:rsidRPr="007D51D3">
              <w:rPr>
                <w:sz w:val="26"/>
                <w:szCs w:val="26"/>
                <w:rtl/>
              </w:rPr>
              <w:t>ת"פ</w:t>
            </w:r>
            <w:r w:rsidRPr="007D51D3">
              <w:rPr>
                <w:rFonts w:hint="cs"/>
                <w:sz w:val="26"/>
                <w:szCs w:val="26"/>
                <w:rtl/>
              </w:rPr>
              <w:t xml:space="preserve"> </w:t>
            </w:r>
            <w:r w:rsidRPr="007D51D3">
              <w:rPr>
                <w:sz w:val="26"/>
                <w:szCs w:val="26"/>
                <w:rtl/>
              </w:rPr>
              <w:t>61841-07-22</w:t>
            </w:r>
            <w:r w:rsidRPr="007D51D3">
              <w:rPr>
                <w:rFonts w:hint="cs"/>
                <w:sz w:val="26"/>
                <w:szCs w:val="26"/>
                <w:rtl/>
              </w:rPr>
              <w:t xml:space="preserve"> </w:t>
            </w:r>
            <w:r w:rsidRPr="007D51D3">
              <w:rPr>
                <w:sz w:val="26"/>
                <w:szCs w:val="26"/>
                <w:rtl/>
              </w:rPr>
              <w:t>מדינת ישראל נ' חכם(עציר)</w:t>
            </w:r>
          </w:p>
          <w:p w14:paraId="5F74AA02" w14:textId="77777777" w:rsidR="0038082F" w:rsidRPr="007D51D3" w:rsidRDefault="0038082F" w:rsidP="004D0C90">
            <w:pPr>
              <w:pStyle w:val="a3"/>
              <w:rPr>
                <w:rFonts w:cs="FrankRuehl"/>
                <w:sz w:val="28"/>
                <w:szCs w:val="28"/>
                <w:rtl/>
              </w:rPr>
            </w:pPr>
          </w:p>
        </w:tc>
        <w:tc>
          <w:tcPr>
            <w:tcW w:w="3664" w:type="dxa"/>
          </w:tcPr>
          <w:p w14:paraId="19AAF4EE" w14:textId="77777777" w:rsidR="0038082F" w:rsidRPr="007D51D3" w:rsidRDefault="0038082F" w:rsidP="004D0C90">
            <w:pPr>
              <w:pStyle w:val="a3"/>
              <w:jc w:val="right"/>
              <w:rPr>
                <w:rFonts w:cs="FrankRuehl"/>
                <w:sz w:val="28"/>
                <w:szCs w:val="28"/>
                <w:rtl/>
              </w:rPr>
            </w:pPr>
          </w:p>
        </w:tc>
      </w:tr>
    </w:tbl>
    <w:p w14:paraId="174973AF" w14:textId="77777777" w:rsidR="0038082F" w:rsidRPr="007D51D3" w:rsidRDefault="0038082F" w:rsidP="0038082F">
      <w:pPr>
        <w:pStyle w:val="a3"/>
        <w:rPr>
          <w:rtl/>
        </w:rPr>
      </w:pPr>
      <w:r w:rsidRPr="007D51D3">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7589"/>
      </w:tblGrid>
      <w:tr w:rsidR="0038082F" w:rsidRPr="007D51D3" w14:paraId="1554749E" w14:textId="77777777" w:rsidTr="00BC5D91">
        <w:trPr>
          <w:trHeight w:val="295"/>
          <w:jc w:val="center"/>
        </w:trPr>
        <w:tc>
          <w:tcPr>
            <w:tcW w:w="1231" w:type="dxa"/>
            <w:tcBorders>
              <w:top w:val="nil"/>
              <w:left w:val="nil"/>
              <w:bottom w:val="nil"/>
              <w:right w:val="nil"/>
            </w:tcBorders>
            <w:shd w:val="clear" w:color="auto" w:fill="auto"/>
          </w:tcPr>
          <w:p w14:paraId="77E7BFE3" w14:textId="77777777" w:rsidR="0038082F" w:rsidRPr="007D51D3" w:rsidRDefault="0038082F" w:rsidP="0038082F">
            <w:pPr>
              <w:jc w:val="both"/>
              <w:rPr>
                <w:rFonts w:ascii="Arial" w:hAnsi="Arial"/>
                <w:b/>
                <w:bCs/>
                <w:sz w:val="26"/>
                <w:szCs w:val="26"/>
              </w:rPr>
            </w:pPr>
            <w:r w:rsidRPr="007D51D3">
              <w:rPr>
                <w:rFonts w:ascii="Arial" w:hAnsi="Arial" w:hint="cs"/>
                <w:b/>
                <w:bCs/>
                <w:sz w:val="26"/>
                <w:szCs w:val="26"/>
                <w:rtl/>
              </w:rPr>
              <w:t>ל</w:t>
            </w:r>
            <w:r w:rsidRPr="007D51D3">
              <w:rPr>
                <w:rFonts w:ascii="Arial" w:hAnsi="Arial"/>
                <w:b/>
                <w:bCs/>
                <w:sz w:val="26"/>
                <w:szCs w:val="26"/>
                <w:rtl/>
              </w:rPr>
              <w:t xml:space="preserve">פני </w:t>
            </w:r>
          </w:p>
        </w:tc>
        <w:tc>
          <w:tcPr>
            <w:tcW w:w="7589" w:type="dxa"/>
            <w:tcBorders>
              <w:top w:val="nil"/>
              <w:left w:val="nil"/>
              <w:bottom w:val="nil"/>
              <w:right w:val="nil"/>
            </w:tcBorders>
            <w:shd w:val="clear" w:color="auto" w:fill="auto"/>
          </w:tcPr>
          <w:p w14:paraId="10B953F7" w14:textId="77777777" w:rsidR="0038082F" w:rsidRPr="007D51D3" w:rsidRDefault="0038082F" w:rsidP="004D0C90">
            <w:pPr>
              <w:rPr>
                <w:rFonts w:ascii="Arial" w:hAnsi="Arial"/>
                <w:b/>
                <w:bCs/>
                <w:sz w:val="26"/>
                <w:szCs w:val="26"/>
                <w:rtl/>
              </w:rPr>
            </w:pPr>
            <w:r w:rsidRPr="007D51D3">
              <w:rPr>
                <w:rFonts w:ascii="Arial" w:hAnsi="Arial" w:hint="cs"/>
                <w:b/>
                <w:bCs/>
                <w:sz w:val="26"/>
                <w:szCs w:val="26"/>
                <w:rtl/>
              </w:rPr>
              <w:t>כבוד ה</w:t>
            </w:r>
            <w:r w:rsidRPr="007D51D3">
              <w:rPr>
                <w:rFonts w:ascii="Arial" w:hAnsi="Arial"/>
                <w:b/>
                <w:bCs/>
                <w:sz w:val="26"/>
                <w:szCs w:val="26"/>
                <w:rtl/>
              </w:rPr>
              <w:t>שופט בכיר</w:t>
            </w:r>
            <w:r w:rsidRPr="007D51D3">
              <w:rPr>
                <w:rFonts w:ascii="Arial" w:hAnsi="Arial" w:hint="cs"/>
                <w:b/>
                <w:bCs/>
                <w:sz w:val="26"/>
                <w:szCs w:val="26"/>
                <w:rtl/>
              </w:rPr>
              <w:t xml:space="preserve">  </w:t>
            </w:r>
            <w:r w:rsidRPr="007D51D3">
              <w:rPr>
                <w:rFonts w:ascii="Arial" w:hAnsi="Arial"/>
                <w:b/>
                <w:bCs/>
                <w:sz w:val="26"/>
                <w:szCs w:val="26"/>
                <w:rtl/>
              </w:rPr>
              <w:t>ירון לוי</w:t>
            </w:r>
          </w:p>
          <w:p w14:paraId="30D6DECF" w14:textId="77777777" w:rsidR="0038082F" w:rsidRPr="007D51D3" w:rsidRDefault="0038082F" w:rsidP="004D0C90">
            <w:pPr>
              <w:rPr>
                <w:rFonts w:ascii="Arial" w:hAnsi="Arial"/>
                <w:b/>
                <w:bCs/>
                <w:sz w:val="26"/>
                <w:szCs w:val="26"/>
                <w:rtl/>
              </w:rPr>
            </w:pPr>
          </w:p>
          <w:p w14:paraId="3E2E67E4" w14:textId="77777777" w:rsidR="0038082F" w:rsidRPr="007D51D3" w:rsidRDefault="0038082F" w:rsidP="0038082F">
            <w:pPr>
              <w:jc w:val="both"/>
              <w:rPr>
                <w:rFonts w:ascii="Arial" w:hAnsi="Arial"/>
                <w:sz w:val="26"/>
                <w:szCs w:val="26"/>
              </w:rPr>
            </w:pPr>
          </w:p>
        </w:tc>
      </w:tr>
      <w:tr w:rsidR="0038082F" w:rsidRPr="007D51D3" w14:paraId="1A2035A4" w14:textId="77777777" w:rsidTr="00BC5D91">
        <w:trPr>
          <w:trHeight w:val="355"/>
          <w:jc w:val="center"/>
        </w:trPr>
        <w:tc>
          <w:tcPr>
            <w:tcW w:w="1231" w:type="dxa"/>
            <w:tcBorders>
              <w:top w:val="nil"/>
              <w:left w:val="nil"/>
              <w:bottom w:val="nil"/>
              <w:right w:val="nil"/>
            </w:tcBorders>
            <w:shd w:val="clear" w:color="auto" w:fill="auto"/>
          </w:tcPr>
          <w:p w14:paraId="640A7C41" w14:textId="77777777" w:rsidR="0038082F" w:rsidRPr="007D51D3" w:rsidRDefault="0038082F" w:rsidP="0038082F">
            <w:pPr>
              <w:jc w:val="both"/>
              <w:rPr>
                <w:rFonts w:ascii="Arial" w:hAnsi="Arial"/>
                <w:b/>
                <w:bCs/>
                <w:sz w:val="26"/>
                <w:szCs w:val="26"/>
              </w:rPr>
            </w:pPr>
            <w:bookmarkStart w:id="1" w:name="FirstAppellant"/>
            <w:bookmarkStart w:id="2" w:name="FirstLawyer"/>
            <w:r w:rsidRPr="007D51D3">
              <w:rPr>
                <w:rFonts w:ascii="Arial" w:hAnsi="Arial" w:hint="cs"/>
                <w:b/>
                <w:bCs/>
                <w:sz w:val="26"/>
                <w:szCs w:val="26"/>
                <w:rtl/>
              </w:rPr>
              <w:t>ה</w:t>
            </w:r>
            <w:r w:rsidRPr="007D51D3">
              <w:rPr>
                <w:rFonts w:ascii="Arial" w:hAnsi="Arial"/>
                <w:b/>
                <w:bCs/>
                <w:sz w:val="26"/>
                <w:szCs w:val="26"/>
                <w:rtl/>
              </w:rPr>
              <w:t>מאשימה</w:t>
            </w:r>
          </w:p>
        </w:tc>
        <w:tc>
          <w:tcPr>
            <w:tcW w:w="7589" w:type="dxa"/>
            <w:tcBorders>
              <w:top w:val="nil"/>
              <w:left w:val="nil"/>
              <w:bottom w:val="nil"/>
              <w:right w:val="nil"/>
            </w:tcBorders>
            <w:shd w:val="clear" w:color="auto" w:fill="auto"/>
          </w:tcPr>
          <w:p w14:paraId="014DC5EC" w14:textId="77777777" w:rsidR="0038082F" w:rsidRPr="007D51D3" w:rsidRDefault="0038082F" w:rsidP="004D0C90">
            <w:pPr>
              <w:rPr>
                <w:b/>
                <w:bCs/>
                <w:sz w:val="26"/>
                <w:szCs w:val="26"/>
                <w:rtl/>
              </w:rPr>
            </w:pPr>
            <w:r w:rsidRPr="007D51D3">
              <w:rPr>
                <w:rFonts w:ascii="Arial" w:hAnsi="Arial"/>
                <w:b/>
                <w:bCs/>
                <w:sz w:val="26"/>
                <w:szCs w:val="26"/>
                <w:rtl/>
              </w:rPr>
              <w:t>מדינת ישראל</w:t>
            </w:r>
          </w:p>
          <w:p w14:paraId="1FAEAF53" w14:textId="77777777" w:rsidR="0038082F" w:rsidRPr="007D51D3" w:rsidRDefault="0038082F" w:rsidP="004D0C90">
            <w:pPr>
              <w:rPr>
                <w:sz w:val="26"/>
                <w:szCs w:val="26"/>
                <w:rtl/>
              </w:rPr>
            </w:pPr>
            <w:r w:rsidRPr="007D51D3">
              <w:rPr>
                <w:rFonts w:hint="cs"/>
                <w:sz w:val="26"/>
                <w:szCs w:val="26"/>
                <w:rtl/>
              </w:rPr>
              <w:t>ע"י פרקליטות מחוז תל אביב פלילי</w:t>
            </w:r>
          </w:p>
          <w:p w14:paraId="0B88CCA9" w14:textId="77777777" w:rsidR="0038082F" w:rsidRPr="007D51D3" w:rsidRDefault="0038082F" w:rsidP="0038082F">
            <w:pPr>
              <w:jc w:val="both"/>
              <w:rPr>
                <w:sz w:val="26"/>
                <w:szCs w:val="26"/>
              </w:rPr>
            </w:pPr>
            <w:r w:rsidRPr="007D51D3">
              <w:rPr>
                <w:rFonts w:hint="cs"/>
                <w:sz w:val="26"/>
                <w:szCs w:val="26"/>
                <w:rtl/>
              </w:rPr>
              <w:t xml:space="preserve">באמצעות ב"כ עו"ד דליה וייסברג </w:t>
            </w:r>
          </w:p>
        </w:tc>
      </w:tr>
      <w:bookmarkEnd w:id="1"/>
      <w:bookmarkEnd w:id="2"/>
      <w:tr w:rsidR="0038082F" w:rsidRPr="007D51D3" w14:paraId="1A374493" w14:textId="77777777" w:rsidTr="00BC5D91">
        <w:trPr>
          <w:trHeight w:val="355"/>
          <w:jc w:val="center"/>
        </w:trPr>
        <w:tc>
          <w:tcPr>
            <w:tcW w:w="1231" w:type="dxa"/>
            <w:tcBorders>
              <w:top w:val="nil"/>
              <w:left w:val="nil"/>
              <w:bottom w:val="nil"/>
              <w:right w:val="nil"/>
            </w:tcBorders>
            <w:shd w:val="clear" w:color="auto" w:fill="auto"/>
          </w:tcPr>
          <w:p w14:paraId="60B6A649" w14:textId="77777777" w:rsidR="0038082F" w:rsidRPr="007D51D3" w:rsidRDefault="0038082F" w:rsidP="0038082F">
            <w:pPr>
              <w:jc w:val="both"/>
              <w:rPr>
                <w:rFonts w:ascii="Arial" w:hAnsi="Arial"/>
                <w:sz w:val="26"/>
                <w:szCs w:val="26"/>
                <w:rtl/>
              </w:rPr>
            </w:pPr>
          </w:p>
        </w:tc>
        <w:tc>
          <w:tcPr>
            <w:tcW w:w="7589" w:type="dxa"/>
            <w:tcBorders>
              <w:top w:val="nil"/>
              <w:left w:val="nil"/>
              <w:bottom w:val="nil"/>
              <w:right w:val="nil"/>
            </w:tcBorders>
            <w:shd w:val="clear" w:color="auto" w:fill="auto"/>
          </w:tcPr>
          <w:p w14:paraId="5A162E93" w14:textId="77777777" w:rsidR="0038082F" w:rsidRPr="007D51D3" w:rsidRDefault="0038082F" w:rsidP="0038082F">
            <w:pPr>
              <w:jc w:val="center"/>
              <w:rPr>
                <w:rFonts w:ascii="Arial" w:hAnsi="Arial"/>
                <w:b/>
                <w:bCs/>
                <w:sz w:val="26"/>
                <w:szCs w:val="26"/>
                <w:rtl/>
              </w:rPr>
            </w:pPr>
          </w:p>
          <w:p w14:paraId="20059CB7" w14:textId="77777777" w:rsidR="0038082F" w:rsidRPr="007D51D3" w:rsidRDefault="0038082F" w:rsidP="0038082F">
            <w:pPr>
              <w:jc w:val="center"/>
              <w:rPr>
                <w:rFonts w:ascii="Arial" w:hAnsi="Arial"/>
                <w:b/>
                <w:bCs/>
                <w:sz w:val="26"/>
                <w:szCs w:val="26"/>
                <w:rtl/>
              </w:rPr>
            </w:pPr>
            <w:r w:rsidRPr="007D51D3">
              <w:rPr>
                <w:rFonts w:ascii="Arial" w:hAnsi="Arial"/>
                <w:b/>
                <w:bCs/>
                <w:sz w:val="26"/>
                <w:szCs w:val="26"/>
                <w:rtl/>
              </w:rPr>
              <w:t>נגד</w:t>
            </w:r>
          </w:p>
          <w:p w14:paraId="1259CDC2" w14:textId="77777777" w:rsidR="0038082F" w:rsidRPr="007D51D3" w:rsidRDefault="0038082F" w:rsidP="0038082F">
            <w:pPr>
              <w:jc w:val="both"/>
              <w:rPr>
                <w:rFonts w:ascii="Arial" w:hAnsi="Arial"/>
                <w:sz w:val="26"/>
                <w:szCs w:val="26"/>
              </w:rPr>
            </w:pPr>
          </w:p>
        </w:tc>
      </w:tr>
      <w:tr w:rsidR="0038082F" w:rsidRPr="007D51D3" w14:paraId="6B61F893" w14:textId="77777777" w:rsidTr="00BC5D91">
        <w:trPr>
          <w:trHeight w:val="355"/>
          <w:jc w:val="center"/>
        </w:trPr>
        <w:tc>
          <w:tcPr>
            <w:tcW w:w="1231" w:type="dxa"/>
            <w:tcBorders>
              <w:top w:val="nil"/>
              <w:left w:val="nil"/>
              <w:bottom w:val="nil"/>
              <w:right w:val="nil"/>
            </w:tcBorders>
            <w:shd w:val="clear" w:color="auto" w:fill="auto"/>
          </w:tcPr>
          <w:p w14:paraId="554E7E9D" w14:textId="77777777" w:rsidR="0038082F" w:rsidRPr="007D51D3" w:rsidRDefault="0038082F" w:rsidP="004D0C90">
            <w:pPr>
              <w:rPr>
                <w:rFonts w:ascii="Arial" w:hAnsi="Arial"/>
                <w:sz w:val="26"/>
                <w:szCs w:val="26"/>
                <w:rtl/>
              </w:rPr>
            </w:pPr>
            <w:r w:rsidRPr="007D51D3">
              <w:rPr>
                <w:rFonts w:ascii="Arial" w:hAnsi="Arial" w:hint="cs"/>
                <w:b/>
                <w:bCs/>
                <w:sz w:val="26"/>
                <w:szCs w:val="26"/>
                <w:rtl/>
              </w:rPr>
              <w:t>ה</w:t>
            </w:r>
            <w:r w:rsidRPr="007D51D3">
              <w:rPr>
                <w:rFonts w:ascii="Arial" w:hAnsi="Arial"/>
                <w:b/>
                <w:bCs/>
                <w:sz w:val="26"/>
                <w:szCs w:val="26"/>
                <w:rtl/>
              </w:rPr>
              <w:t>נאשם</w:t>
            </w:r>
          </w:p>
        </w:tc>
        <w:tc>
          <w:tcPr>
            <w:tcW w:w="7589" w:type="dxa"/>
            <w:tcBorders>
              <w:top w:val="nil"/>
              <w:left w:val="nil"/>
              <w:bottom w:val="nil"/>
              <w:right w:val="nil"/>
            </w:tcBorders>
            <w:shd w:val="clear" w:color="auto" w:fill="auto"/>
          </w:tcPr>
          <w:p w14:paraId="3F5C2441" w14:textId="77777777" w:rsidR="0038082F" w:rsidRPr="007D51D3" w:rsidRDefault="0038082F" w:rsidP="004D0C90">
            <w:pPr>
              <w:rPr>
                <w:sz w:val="26"/>
                <w:szCs w:val="26"/>
                <w:rtl/>
              </w:rPr>
            </w:pPr>
            <w:r w:rsidRPr="007D51D3">
              <w:rPr>
                <w:rFonts w:ascii="Arial" w:hAnsi="Arial"/>
                <w:b/>
                <w:bCs/>
                <w:sz w:val="26"/>
                <w:szCs w:val="26"/>
                <w:rtl/>
              </w:rPr>
              <w:t>ליאור חכם (עציר)</w:t>
            </w:r>
            <w:r w:rsidRPr="007D51D3">
              <w:rPr>
                <w:b/>
                <w:bCs/>
                <w:sz w:val="26"/>
                <w:szCs w:val="26"/>
                <w:rtl/>
              </w:rPr>
              <w:t xml:space="preserve"> – נוכח </w:t>
            </w:r>
            <w:r w:rsidRPr="007D51D3">
              <w:rPr>
                <w:rFonts w:hint="cs"/>
                <w:b/>
                <w:bCs/>
                <w:sz w:val="26"/>
                <w:szCs w:val="26"/>
                <w:rtl/>
              </w:rPr>
              <w:t>באמצעות היוועדות חזותית [הנאשם רואה ושומע את הדיון]</w:t>
            </w:r>
          </w:p>
          <w:p w14:paraId="4CE79593" w14:textId="77777777" w:rsidR="0038082F" w:rsidRPr="007D51D3" w:rsidRDefault="0038082F" w:rsidP="004D0C90">
            <w:pPr>
              <w:rPr>
                <w:rFonts w:ascii="Arial" w:hAnsi="Arial"/>
                <w:sz w:val="26"/>
                <w:szCs w:val="26"/>
              </w:rPr>
            </w:pPr>
            <w:r w:rsidRPr="007D51D3">
              <w:rPr>
                <w:rFonts w:hint="cs"/>
                <w:sz w:val="26"/>
                <w:szCs w:val="26"/>
                <w:rtl/>
              </w:rPr>
              <w:t>ע"י ב"כ עו"ד עמית שלף ושרון רבינוביץ'</w:t>
            </w:r>
          </w:p>
        </w:tc>
      </w:tr>
    </w:tbl>
    <w:p w14:paraId="288A06E1" w14:textId="77777777" w:rsidR="0038082F" w:rsidRPr="007D51D3" w:rsidRDefault="0038082F" w:rsidP="0038082F"/>
    <w:p w14:paraId="5236B9BB" w14:textId="77777777" w:rsidR="00BC5D91" w:rsidRPr="00BC5D91" w:rsidRDefault="00BC5D91" w:rsidP="00BC5D91">
      <w:pPr>
        <w:spacing w:before="120" w:after="120" w:line="240" w:lineRule="exact"/>
        <w:ind w:left="283" w:hanging="283"/>
        <w:jc w:val="both"/>
        <w:rPr>
          <w:rFonts w:ascii="FrankRuehl" w:hAnsi="FrankRuehl" w:cs="FrankRuehl"/>
          <w:rtl/>
        </w:rPr>
      </w:pPr>
    </w:p>
    <w:p w14:paraId="18802C87" w14:textId="77777777" w:rsidR="00346A62" w:rsidRPr="00346A62" w:rsidRDefault="00346A62" w:rsidP="00346A62">
      <w:pPr>
        <w:spacing w:before="120" w:after="120" w:line="240" w:lineRule="exact"/>
        <w:ind w:left="283" w:hanging="283"/>
        <w:jc w:val="both"/>
        <w:rPr>
          <w:rFonts w:ascii="FrankRuehl" w:hAnsi="FrankRuehl" w:cs="FrankRuehl"/>
          <w:rtl/>
        </w:rPr>
      </w:pPr>
    </w:p>
    <w:p w14:paraId="0838F89C" w14:textId="77777777" w:rsidR="00130F2C" w:rsidRDefault="00130F2C" w:rsidP="00130F2C">
      <w:pPr>
        <w:rPr>
          <w:rFonts w:ascii="Arial" w:hAnsi="Arial"/>
          <w:rtl/>
        </w:rPr>
      </w:pPr>
      <w:bookmarkStart w:id="3" w:name="LawTable"/>
      <w:bookmarkEnd w:id="3"/>
    </w:p>
    <w:p w14:paraId="0CA629AE" w14:textId="77777777" w:rsidR="00130F2C" w:rsidRPr="00130F2C" w:rsidRDefault="00130F2C" w:rsidP="00130F2C">
      <w:pPr>
        <w:spacing w:before="120" w:after="120" w:line="240" w:lineRule="exact"/>
        <w:ind w:left="283" w:hanging="283"/>
        <w:jc w:val="both"/>
        <w:rPr>
          <w:rFonts w:ascii="FrankRuehl" w:hAnsi="FrankRuehl" w:cs="FrankRuehl"/>
          <w:rtl/>
        </w:rPr>
      </w:pPr>
    </w:p>
    <w:p w14:paraId="5D99A3BE" w14:textId="77777777" w:rsidR="00130F2C" w:rsidRPr="00130F2C" w:rsidRDefault="00130F2C" w:rsidP="00130F2C">
      <w:pPr>
        <w:spacing w:before="120" w:after="120" w:line="240" w:lineRule="exact"/>
        <w:ind w:left="283" w:hanging="283"/>
        <w:jc w:val="both"/>
        <w:rPr>
          <w:rFonts w:ascii="FrankRuehl" w:hAnsi="FrankRuehl" w:cs="FrankRuehl"/>
          <w:rtl/>
        </w:rPr>
      </w:pPr>
    </w:p>
    <w:p w14:paraId="6A2B9E51" w14:textId="77777777" w:rsidR="00130F2C" w:rsidRPr="00130F2C" w:rsidRDefault="00130F2C" w:rsidP="00130F2C">
      <w:pPr>
        <w:spacing w:before="120" w:after="120" w:line="240" w:lineRule="exact"/>
        <w:ind w:left="283" w:hanging="283"/>
        <w:jc w:val="both"/>
        <w:rPr>
          <w:rFonts w:ascii="FrankRuehl" w:hAnsi="FrankRuehl" w:cs="FrankRuehl"/>
          <w:rtl/>
        </w:rPr>
      </w:pPr>
      <w:r w:rsidRPr="00130F2C">
        <w:rPr>
          <w:rFonts w:ascii="FrankRuehl" w:hAnsi="FrankRuehl" w:cs="FrankRuehl"/>
          <w:rtl/>
        </w:rPr>
        <w:t xml:space="preserve">חקיקה שאוזכרה: </w:t>
      </w:r>
    </w:p>
    <w:p w14:paraId="266571A7" w14:textId="77777777" w:rsidR="00130F2C" w:rsidRPr="00130F2C" w:rsidRDefault="00130F2C" w:rsidP="00130F2C">
      <w:pPr>
        <w:spacing w:before="120" w:after="120" w:line="240" w:lineRule="exact"/>
        <w:ind w:left="283" w:hanging="283"/>
        <w:jc w:val="both"/>
        <w:rPr>
          <w:rFonts w:ascii="FrankRuehl" w:hAnsi="FrankRuehl" w:cs="FrankRuehl"/>
          <w:rtl/>
        </w:rPr>
      </w:pPr>
      <w:hyperlink r:id="rId7" w:history="1">
        <w:r w:rsidRPr="00130F2C">
          <w:rPr>
            <w:rFonts w:ascii="FrankRuehl" w:hAnsi="FrankRuehl" w:cs="FrankRuehl"/>
            <w:color w:val="0000FF"/>
            <w:rtl/>
          </w:rPr>
          <w:t>חוק העונשין, תשל"ז-1977</w:t>
        </w:r>
      </w:hyperlink>
      <w:r w:rsidRPr="00130F2C">
        <w:rPr>
          <w:rFonts w:ascii="FrankRuehl" w:hAnsi="FrankRuehl" w:cs="FrankRuehl"/>
          <w:rtl/>
        </w:rPr>
        <w:t xml:space="preserve">: סע'  </w:t>
      </w:r>
      <w:hyperlink r:id="rId8" w:history="1">
        <w:r w:rsidRPr="00130F2C">
          <w:rPr>
            <w:rFonts w:ascii="FrankRuehl" w:hAnsi="FrankRuehl" w:cs="FrankRuehl"/>
            <w:color w:val="0000FF"/>
            <w:rtl/>
          </w:rPr>
          <w:t>144(א)</w:t>
        </w:r>
      </w:hyperlink>
      <w:r w:rsidRPr="00130F2C">
        <w:rPr>
          <w:rFonts w:ascii="FrankRuehl" w:hAnsi="FrankRuehl" w:cs="FrankRuehl"/>
          <w:rtl/>
        </w:rPr>
        <w:t xml:space="preserve">, </w:t>
      </w:r>
      <w:hyperlink r:id="rId9" w:history="1">
        <w:r w:rsidRPr="00130F2C">
          <w:rPr>
            <w:rFonts w:ascii="FrankRuehl" w:hAnsi="FrankRuehl" w:cs="FrankRuehl"/>
            <w:color w:val="0000FF"/>
            <w:rtl/>
          </w:rPr>
          <w:t>144(ז)</w:t>
        </w:r>
      </w:hyperlink>
      <w:r w:rsidRPr="00130F2C">
        <w:rPr>
          <w:rFonts w:ascii="FrankRuehl" w:hAnsi="FrankRuehl" w:cs="FrankRuehl"/>
          <w:rtl/>
        </w:rPr>
        <w:t xml:space="preserve">, </w:t>
      </w:r>
      <w:hyperlink r:id="rId10" w:history="1">
        <w:r w:rsidRPr="00130F2C">
          <w:rPr>
            <w:rFonts w:ascii="FrankRuehl" w:hAnsi="FrankRuehl" w:cs="FrankRuehl"/>
            <w:color w:val="0000FF"/>
            <w:rtl/>
          </w:rPr>
          <w:t>40יג</w:t>
        </w:r>
      </w:hyperlink>
    </w:p>
    <w:p w14:paraId="1CC5E08C" w14:textId="77777777" w:rsidR="00130F2C" w:rsidRPr="00130F2C" w:rsidRDefault="00130F2C" w:rsidP="00130F2C">
      <w:pPr>
        <w:spacing w:before="120" w:after="120" w:line="240" w:lineRule="exact"/>
        <w:ind w:left="283" w:hanging="283"/>
        <w:jc w:val="both"/>
        <w:rPr>
          <w:rFonts w:ascii="FrankRuehl" w:hAnsi="FrankRuehl" w:cs="FrankRuehl"/>
          <w:rtl/>
        </w:rPr>
      </w:pPr>
      <w:hyperlink r:id="rId11" w:history="1">
        <w:r w:rsidRPr="00130F2C">
          <w:rPr>
            <w:rFonts w:ascii="FrankRuehl" w:hAnsi="FrankRuehl" w:cs="FrankRuehl"/>
            <w:color w:val="0000FF"/>
            <w:rtl/>
          </w:rPr>
          <w:t>פקודת הסמים המסוכנים [נוסח חדש], תשל"ג-1973</w:t>
        </w:r>
      </w:hyperlink>
      <w:r w:rsidRPr="00130F2C">
        <w:rPr>
          <w:rFonts w:ascii="FrankRuehl" w:hAnsi="FrankRuehl" w:cs="FrankRuehl"/>
          <w:rtl/>
        </w:rPr>
        <w:t xml:space="preserve">: סע'  </w:t>
      </w:r>
      <w:hyperlink r:id="rId12" w:history="1">
        <w:r w:rsidRPr="00130F2C">
          <w:rPr>
            <w:rFonts w:ascii="FrankRuehl" w:hAnsi="FrankRuehl" w:cs="FrankRuehl"/>
            <w:color w:val="0000FF"/>
            <w:rtl/>
          </w:rPr>
          <w:t>7.א.</w:t>
        </w:r>
      </w:hyperlink>
      <w:r w:rsidRPr="00130F2C">
        <w:rPr>
          <w:rFonts w:ascii="FrankRuehl" w:hAnsi="FrankRuehl" w:cs="FrankRuehl"/>
          <w:rtl/>
        </w:rPr>
        <w:t xml:space="preserve">, </w:t>
      </w:r>
      <w:hyperlink r:id="rId13" w:history="1">
        <w:r w:rsidRPr="00130F2C">
          <w:rPr>
            <w:rFonts w:ascii="FrankRuehl" w:hAnsi="FrankRuehl" w:cs="FrankRuehl"/>
            <w:color w:val="0000FF"/>
            <w:rtl/>
          </w:rPr>
          <w:t>7.ג</w:t>
        </w:r>
      </w:hyperlink>
      <w:r w:rsidRPr="00130F2C">
        <w:rPr>
          <w:rFonts w:ascii="FrankRuehl" w:hAnsi="FrankRuehl" w:cs="FrankRuehl"/>
          <w:rtl/>
        </w:rPr>
        <w:t xml:space="preserve">, </w:t>
      </w:r>
      <w:hyperlink r:id="rId14" w:history="1">
        <w:r w:rsidRPr="00130F2C">
          <w:rPr>
            <w:rFonts w:ascii="FrankRuehl" w:hAnsi="FrankRuehl" w:cs="FrankRuehl"/>
            <w:color w:val="0000FF"/>
            <w:rtl/>
          </w:rPr>
          <w:t>13</w:t>
        </w:r>
      </w:hyperlink>
    </w:p>
    <w:p w14:paraId="6E441C45" w14:textId="77777777" w:rsidR="00130F2C" w:rsidRPr="00130F2C" w:rsidRDefault="00130F2C" w:rsidP="00130F2C">
      <w:pPr>
        <w:rPr>
          <w:rFonts w:ascii="Arial" w:hAnsi="Arial"/>
          <w:rtl/>
        </w:rPr>
      </w:pPr>
      <w:bookmarkStart w:id="4" w:name="LawTable_End"/>
      <w:bookmarkEnd w:id="4"/>
    </w:p>
    <w:p w14:paraId="45FD72DC" w14:textId="77777777" w:rsidR="00BC5D91" w:rsidRPr="00346A62" w:rsidRDefault="00BC5D91" w:rsidP="00346A62">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8082F" w14:paraId="5E45178A" w14:textId="77777777" w:rsidTr="0038082F">
        <w:trPr>
          <w:trHeight w:val="355"/>
          <w:jc w:val="center"/>
        </w:trPr>
        <w:tc>
          <w:tcPr>
            <w:tcW w:w="8820" w:type="dxa"/>
            <w:tcBorders>
              <w:top w:val="nil"/>
              <w:left w:val="nil"/>
              <w:bottom w:val="nil"/>
              <w:right w:val="nil"/>
            </w:tcBorders>
            <w:shd w:val="clear" w:color="auto" w:fill="auto"/>
          </w:tcPr>
          <w:p w14:paraId="272C3C10" w14:textId="77777777" w:rsidR="007D51D3" w:rsidRPr="007D51D3" w:rsidRDefault="007D51D3" w:rsidP="007D51D3">
            <w:pPr>
              <w:jc w:val="center"/>
              <w:rPr>
                <w:rFonts w:ascii="Arial" w:hAnsi="Arial"/>
                <w:b/>
                <w:bCs/>
                <w:sz w:val="28"/>
                <w:szCs w:val="28"/>
                <w:u w:val="single"/>
                <w:rtl/>
              </w:rPr>
            </w:pPr>
            <w:bookmarkStart w:id="5" w:name="PsakDin" w:colFirst="0" w:colLast="0"/>
            <w:bookmarkEnd w:id="0"/>
            <w:r w:rsidRPr="007D51D3">
              <w:rPr>
                <w:rFonts w:ascii="Arial" w:hAnsi="Arial"/>
                <w:b/>
                <w:bCs/>
                <w:sz w:val="28"/>
                <w:szCs w:val="28"/>
                <w:u w:val="single"/>
                <w:rtl/>
              </w:rPr>
              <w:t>גזר דין</w:t>
            </w:r>
          </w:p>
          <w:p w14:paraId="6708F8FE" w14:textId="77777777" w:rsidR="0038082F" w:rsidRPr="007D51D3" w:rsidRDefault="0038082F" w:rsidP="007D51D3">
            <w:pPr>
              <w:jc w:val="center"/>
              <w:rPr>
                <w:rFonts w:ascii="Arial" w:hAnsi="Arial"/>
                <w:bCs/>
                <w:sz w:val="28"/>
                <w:szCs w:val="28"/>
                <w:u w:val="single"/>
                <w:rtl/>
              </w:rPr>
            </w:pPr>
          </w:p>
        </w:tc>
      </w:tr>
      <w:bookmarkEnd w:id="5"/>
    </w:tbl>
    <w:p w14:paraId="1BA4FF39" w14:textId="77777777" w:rsidR="0038082F" w:rsidRPr="00B05847" w:rsidRDefault="0038082F" w:rsidP="0038082F">
      <w:pPr>
        <w:rPr>
          <w:rFonts w:ascii="Arial" w:hAnsi="Arial"/>
          <w:rtl/>
        </w:rPr>
      </w:pPr>
    </w:p>
    <w:p w14:paraId="23DFEB60" w14:textId="77777777" w:rsidR="0038082F" w:rsidRPr="00B05847" w:rsidRDefault="0038082F" w:rsidP="0038082F">
      <w:pPr>
        <w:spacing w:line="360" w:lineRule="auto"/>
        <w:rPr>
          <w:rFonts w:ascii="Arial" w:hAnsi="Arial"/>
          <w:rtl/>
        </w:rPr>
      </w:pPr>
    </w:p>
    <w:p w14:paraId="60558828" w14:textId="77777777" w:rsidR="0038082F" w:rsidRPr="00A809AA" w:rsidRDefault="0038082F" w:rsidP="0038082F">
      <w:pPr>
        <w:spacing w:line="360" w:lineRule="auto"/>
        <w:jc w:val="both"/>
        <w:rPr>
          <w:rFonts w:ascii="David" w:eastAsia="Calibri" w:hAnsi="David"/>
          <w:b/>
          <w:bCs/>
          <w:sz w:val="28"/>
          <w:szCs w:val="28"/>
          <w:u w:val="single"/>
        </w:rPr>
      </w:pPr>
      <w:r w:rsidRPr="00A809AA">
        <w:rPr>
          <w:rFonts w:ascii="David" w:eastAsia="Calibri" w:hAnsi="David"/>
          <w:b/>
          <w:bCs/>
          <w:sz w:val="28"/>
          <w:szCs w:val="28"/>
          <w:u w:val="single"/>
          <w:rtl/>
        </w:rPr>
        <w:t>פתח דבר</w:t>
      </w:r>
    </w:p>
    <w:p w14:paraId="4C554EE8" w14:textId="77777777" w:rsidR="0038082F" w:rsidRPr="00A809AA" w:rsidRDefault="0038082F" w:rsidP="0038082F">
      <w:pPr>
        <w:numPr>
          <w:ilvl w:val="0"/>
          <w:numId w:val="1"/>
        </w:numPr>
        <w:spacing w:after="160" w:line="360" w:lineRule="auto"/>
        <w:contextualSpacing/>
        <w:jc w:val="both"/>
        <w:rPr>
          <w:rFonts w:ascii="David" w:eastAsia="Calibri" w:hAnsi="David"/>
        </w:rPr>
      </w:pPr>
      <w:bookmarkStart w:id="6" w:name="ABSTRACT_START"/>
      <w:bookmarkEnd w:id="6"/>
      <w:r w:rsidRPr="00A809AA">
        <w:rPr>
          <w:rFonts w:ascii="David" w:eastAsia="Calibri" w:hAnsi="David"/>
          <w:rtl/>
        </w:rPr>
        <w:t xml:space="preserve">הנאשם הורשע, לאחר שמיעת הראיות, בעבירה של החזקת נשק בלא רשות על פי דין, לפי </w:t>
      </w:r>
      <w:hyperlink r:id="rId15" w:history="1">
        <w:r w:rsidR="00BC5D91" w:rsidRPr="00BC5D91">
          <w:rPr>
            <w:rStyle w:val="Hyperlink"/>
            <w:rFonts w:ascii="David" w:eastAsia="Calibri" w:hAnsi="David"/>
            <w:rtl/>
          </w:rPr>
          <w:t>סעיף 144(א)</w:t>
        </w:r>
      </w:hyperlink>
      <w:r w:rsidRPr="00A809AA">
        <w:rPr>
          <w:rFonts w:ascii="David" w:eastAsia="Calibri" w:hAnsi="David"/>
          <w:rtl/>
        </w:rPr>
        <w:t xml:space="preserve"> רישא ל</w:t>
      </w:r>
      <w:hyperlink r:id="rId16" w:history="1">
        <w:r w:rsidR="007D51D3" w:rsidRPr="007D51D3">
          <w:rPr>
            <w:rFonts w:ascii="David" w:eastAsia="Calibri" w:hAnsi="David"/>
            <w:color w:val="0000FF"/>
            <w:u w:val="single"/>
            <w:rtl/>
          </w:rPr>
          <w:t>חוק העונשין</w:t>
        </w:r>
      </w:hyperlink>
      <w:r w:rsidRPr="00A809AA">
        <w:rPr>
          <w:rFonts w:ascii="David" w:eastAsia="Calibri" w:hAnsi="David"/>
          <w:rtl/>
        </w:rPr>
        <w:t xml:space="preserve"> התשל"ז-1977 (להלן: "</w:t>
      </w:r>
      <w:r w:rsidRPr="00A809AA">
        <w:rPr>
          <w:rFonts w:ascii="David" w:eastAsia="Calibri" w:hAnsi="David"/>
          <w:b/>
          <w:bCs/>
          <w:rtl/>
        </w:rPr>
        <w:t>חוק העונשין</w:t>
      </w:r>
      <w:r w:rsidRPr="00A809AA">
        <w:rPr>
          <w:rFonts w:ascii="David" w:eastAsia="Calibri" w:hAnsi="David"/>
          <w:rtl/>
        </w:rPr>
        <w:t xml:space="preserve">"). על יסוד הודאתו הורשע הנאשם בעבירות הבאות: שתי עבירות החזקת סם מסוכן שלא לצריכה עצמית, לפי </w:t>
      </w:r>
      <w:hyperlink r:id="rId17" w:history="1">
        <w:r w:rsidR="00BC5D91" w:rsidRPr="00BC5D91">
          <w:rPr>
            <w:rStyle w:val="Hyperlink"/>
            <w:rFonts w:ascii="David" w:eastAsia="Calibri" w:hAnsi="David"/>
            <w:rtl/>
          </w:rPr>
          <w:t>סעיפים 7(א)+(ג)</w:t>
        </w:r>
      </w:hyperlink>
      <w:r w:rsidRPr="00A809AA">
        <w:rPr>
          <w:rFonts w:ascii="David" w:eastAsia="Calibri" w:hAnsi="David"/>
          <w:rtl/>
        </w:rPr>
        <w:t xml:space="preserve"> רישא ל</w:t>
      </w:r>
      <w:hyperlink r:id="rId18" w:history="1">
        <w:r w:rsidR="007D51D3" w:rsidRPr="007D51D3">
          <w:rPr>
            <w:rFonts w:ascii="David" w:eastAsia="Calibri" w:hAnsi="David"/>
            <w:color w:val="0000FF"/>
            <w:u w:val="single"/>
            <w:rtl/>
          </w:rPr>
          <w:t>פקודת הסמים המסוכנים</w:t>
        </w:r>
      </w:hyperlink>
      <w:r w:rsidRPr="00A809AA">
        <w:rPr>
          <w:rFonts w:ascii="David" w:eastAsia="Calibri" w:hAnsi="David"/>
          <w:rtl/>
        </w:rPr>
        <w:t xml:space="preserve"> [נוסח חדש], התשל"ג-1973 (להלן: "</w:t>
      </w:r>
      <w:r w:rsidRPr="00A809AA">
        <w:rPr>
          <w:rFonts w:ascii="David" w:eastAsia="Calibri" w:hAnsi="David"/>
          <w:b/>
          <w:bCs/>
          <w:rtl/>
        </w:rPr>
        <w:t>פקודת הסמים</w:t>
      </w:r>
      <w:r w:rsidRPr="00A809AA">
        <w:rPr>
          <w:rFonts w:ascii="David" w:eastAsia="Calibri" w:hAnsi="David"/>
          <w:rtl/>
        </w:rPr>
        <w:t xml:space="preserve">"); ועבירה של סחר בסמים מסוכנים (ריבוי מקרים), לפי </w:t>
      </w:r>
      <w:hyperlink r:id="rId19" w:history="1">
        <w:r w:rsidR="00BC5D91" w:rsidRPr="00BC5D91">
          <w:rPr>
            <w:rStyle w:val="Hyperlink"/>
            <w:rFonts w:ascii="David" w:eastAsia="Calibri" w:hAnsi="David"/>
            <w:rtl/>
          </w:rPr>
          <w:t>סעיף 13</w:t>
        </w:r>
      </w:hyperlink>
      <w:r w:rsidRPr="00A809AA">
        <w:rPr>
          <w:rFonts w:ascii="David" w:eastAsia="Calibri" w:hAnsi="David"/>
          <w:rtl/>
        </w:rPr>
        <w:t xml:space="preserve"> לפקודת הסמים.</w:t>
      </w:r>
    </w:p>
    <w:p w14:paraId="7FC0F517" w14:textId="77777777" w:rsidR="0038082F" w:rsidRPr="00A809AA" w:rsidRDefault="0038082F" w:rsidP="0038082F">
      <w:pPr>
        <w:spacing w:line="360" w:lineRule="auto"/>
        <w:ind w:left="720"/>
        <w:contextualSpacing/>
        <w:jc w:val="both"/>
        <w:rPr>
          <w:rFonts w:ascii="David" w:eastAsia="Calibri" w:hAnsi="David"/>
        </w:rPr>
      </w:pPr>
      <w:bookmarkStart w:id="7" w:name="ABSTRACT_END"/>
      <w:bookmarkEnd w:id="7"/>
    </w:p>
    <w:p w14:paraId="28877941" w14:textId="77777777" w:rsidR="0038082F" w:rsidRPr="00A809AA" w:rsidRDefault="0038082F" w:rsidP="0038082F">
      <w:pPr>
        <w:numPr>
          <w:ilvl w:val="0"/>
          <w:numId w:val="1"/>
        </w:numPr>
        <w:spacing w:after="160" w:line="360" w:lineRule="auto"/>
        <w:contextualSpacing/>
        <w:jc w:val="both"/>
        <w:rPr>
          <w:rFonts w:ascii="David" w:eastAsia="Calibri" w:hAnsi="David"/>
          <w:rtl/>
        </w:rPr>
      </w:pPr>
      <w:r w:rsidRPr="00A809AA">
        <w:rPr>
          <w:rFonts w:ascii="David" w:eastAsia="Calibri" w:hAnsi="David"/>
          <w:rtl/>
        </w:rPr>
        <w:lastRenderedPageBreak/>
        <w:t>נסיבות העבירות פורטו בהרחבה בהכרעת הדין ואין צורך לחזור עליהן. יאמר בתמצית, כי הנאשם הורשע בכך שהחזיק במחסן שבשליטתו את אמצעי הלחימה הבאים: חפץ דמוי תת מקלע מאולתר יורה, אשר בכוחו להמית אדם; פצצת מרגמה 60 מ"מ; ארבעה רימוני יד מס' 26; ורימון הלם סנוור 7290 (להלן כולם יחד: "</w:t>
      </w:r>
      <w:r w:rsidRPr="00A809AA">
        <w:rPr>
          <w:rFonts w:ascii="David" w:eastAsia="Calibri" w:hAnsi="David"/>
          <w:b/>
          <w:bCs/>
          <w:rtl/>
        </w:rPr>
        <w:t>אמצעי הלחימה</w:t>
      </w:r>
      <w:r w:rsidRPr="00A809AA">
        <w:rPr>
          <w:rFonts w:ascii="David" w:eastAsia="Calibri" w:hAnsi="David"/>
          <w:rtl/>
        </w:rPr>
        <w:t>"). בנוסף, על פי הודאתו, הורשע הנאשם בכך שהחזיק סם מסוג קנבוס במשקל 6,287.8 גרם; סם מסוג חשיש במשקל 151.56 גרם; ותשע מעטפות שהכילו סם מסוג קנבוס במשקל כולל של 451.74 גרם, וכן בכך שסחר בשמונה הזדמנויות שונות בסם מסוג קנבוס, במשקלים שונים (בין 5 ל-20 גרם).</w:t>
      </w:r>
    </w:p>
    <w:p w14:paraId="70437CDD" w14:textId="77777777" w:rsidR="0038082F" w:rsidRPr="00A809AA" w:rsidRDefault="0038082F" w:rsidP="0038082F">
      <w:pPr>
        <w:spacing w:line="360" w:lineRule="auto"/>
        <w:jc w:val="both"/>
        <w:rPr>
          <w:rFonts w:ascii="David" w:eastAsia="Calibri" w:hAnsi="David"/>
          <w:rtl/>
        </w:rPr>
      </w:pPr>
    </w:p>
    <w:p w14:paraId="681A2AB6" w14:textId="77777777" w:rsidR="0038082F" w:rsidRPr="00A809AA" w:rsidRDefault="0038082F" w:rsidP="0038082F">
      <w:pPr>
        <w:spacing w:line="360" w:lineRule="auto"/>
        <w:jc w:val="both"/>
        <w:rPr>
          <w:rFonts w:ascii="David" w:eastAsia="Calibri" w:hAnsi="David"/>
          <w:b/>
          <w:bCs/>
          <w:sz w:val="28"/>
          <w:szCs w:val="28"/>
          <w:u w:val="single"/>
        </w:rPr>
      </w:pPr>
      <w:r w:rsidRPr="00A809AA">
        <w:rPr>
          <w:rFonts w:ascii="David" w:eastAsia="Calibri" w:hAnsi="David"/>
          <w:b/>
          <w:bCs/>
          <w:sz w:val="28"/>
          <w:szCs w:val="28"/>
          <w:u w:val="single"/>
          <w:rtl/>
        </w:rPr>
        <w:t xml:space="preserve">טענות הצדדים </w:t>
      </w:r>
    </w:p>
    <w:p w14:paraId="4EE56ED8" w14:textId="77777777" w:rsidR="0038082F" w:rsidRPr="00A809AA" w:rsidRDefault="0038082F" w:rsidP="0038082F">
      <w:pPr>
        <w:spacing w:line="360" w:lineRule="auto"/>
        <w:jc w:val="both"/>
        <w:rPr>
          <w:rFonts w:ascii="David" w:eastAsia="Calibri" w:hAnsi="David"/>
          <w:rtl/>
        </w:rPr>
      </w:pPr>
    </w:p>
    <w:p w14:paraId="52DA2F6E" w14:textId="77777777" w:rsidR="0038082F" w:rsidRPr="00A809AA" w:rsidRDefault="0038082F" w:rsidP="0038082F">
      <w:pPr>
        <w:spacing w:line="360" w:lineRule="auto"/>
        <w:ind w:left="720"/>
        <w:contextualSpacing/>
        <w:rPr>
          <w:rFonts w:ascii="David" w:eastAsia="Calibri" w:hAnsi="David"/>
          <w:b/>
          <w:bCs/>
          <w:u w:val="single"/>
          <w:rtl/>
        </w:rPr>
      </w:pPr>
      <w:r w:rsidRPr="00A809AA">
        <w:rPr>
          <w:rFonts w:ascii="David" w:eastAsia="Calibri" w:hAnsi="David"/>
          <w:b/>
          <w:bCs/>
          <w:u w:val="single"/>
          <w:rtl/>
        </w:rPr>
        <w:t>טענות ב"כ המאשימה</w:t>
      </w:r>
    </w:p>
    <w:p w14:paraId="175A7C6F" w14:textId="77777777" w:rsidR="0038082F" w:rsidRPr="00A809AA" w:rsidRDefault="0038082F" w:rsidP="0038082F">
      <w:pPr>
        <w:numPr>
          <w:ilvl w:val="0"/>
          <w:numId w:val="1"/>
        </w:numPr>
        <w:spacing w:after="160" w:line="360" w:lineRule="auto"/>
        <w:contextualSpacing/>
        <w:jc w:val="both"/>
        <w:rPr>
          <w:rFonts w:ascii="David" w:eastAsia="Calibri" w:hAnsi="David"/>
        </w:rPr>
      </w:pPr>
      <w:r w:rsidRPr="00A809AA">
        <w:rPr>
          <w:rFonts w:ascii="David" w:eastAsia="Calibri" w:hAnsi="David"/>
          <w:rtl/>
        </w:rPr>
        <w:t>בשים לב לחומרת המעשים ולמידת הפגיעה בערכים המוגנים – ובהתבסס על העקרונות המותווים בהנחיית פרקליט המדינה מס' 9.16 בעניין מדיניות הענישה בעבירות נשק ומטעני חבלה – עתרה ב"כ המאשימה, עו"ד דליה וייסברג, לקבוע כי מתחם הענישה בעניינו של הנאשם נע בין 74 ל-90 חודשי מאסר בפועל, ולהשית על הנאשם עונש מאסר בן 6.5 שנים לפחות, לצד מאסר מותנה וקנס כספי משמעותי.</w:t>
      </w:r>
    </w:p>
    <w:p w14:paraId="05647044" w14:textId="77777777" w:rsidR="0038082F" w:rsidRPr="00A809AA" w:rsidRDefault="0038082F" w:rsidP="0038082F">
      <w:pPr>
        <w:spacing w:line="360" w:lineRule="auto"/>
        <w:ind w:left="720"/>
        <w:contextualSpacing/>
        <w:jc w:val="both"/>
        <w:rPr>
          <w:rFonts w:ascii="David" w:eastAsia="Calibri" w:hAnsi="David"/>
        </w:rPr>
      </w:pPr>
    </w:p>
    <w:p w14:paraId="79338E2E" w14:textId="77777777" w:rsidR="0038082F" w:rsidRPr="00A809AA" w:rsidRDefault="0038082F" w:rsidP="0038082F">
      <w:pPr>
        <w:numPr>
          <w:ilvl w:val="0"/>
          <w:numId w:val="1"/>
        </w:numPr>
        <w:spacing w:after="160" w:line="360" w:lineRule="auto"/>
        <w:contextualSpacing/>
        <w:jc w:val="both"/>
        <w:rPr>
          <w:rFonts w:ascii="David" w:eastAsia="Calibri" w:hAnsi="David"/>
          <w:rtl/>
        </w:rPr>
      </w:pPr>
      <w:r w:rsidRPr="00A809AA">
        <w:rPr>
          <w:rFonts w:ascii="David" w:eastAsia="Calibri" w:hAnsi="David"/>
          <w:rtl/>
        </w:rPr>
        <w:t>ב"כ המאשימה נימקה עתירתה העונשית בנימוקים הבאים: חומרת העבירות שבהן הורשע הנאשם ומידת פגיעתן בערכים המוגנים; בעבירות החזקת נשק יש מקום ליתן משקל בכורה לעקרון ההרתעה על פני עקרונות אחרים כמו נסיבותיו האישיות של הנאשם; כמות אמצעי הלחימה שהחזיק הנאשם ופוטנציאל הנזק המשמעותי העלול להיגרם מהם, בשים לב למאפייניהם הקטלניים; מסוכנות הנאשם הנלמדת מהחזקתם של אמצעי הלחימה; הנאשם החזיק באמצעי הלחימה במחסן המצוי בבניין מגורים, באופן שסיכן את הבאים בשעריו; כמות הסמים שהחזיק הנאשם ופוטנציאל הנזק לבריאות כתוצאה מהחזקתם ומן הסחר בהם; המניע לביצוע העבירות – בצע כסף; הנאשם נעדר עבר פלילי אך בעל עבר תעבורתי עשיר ומרצה עונש של 4 חודשי מאסר בגין הרשעה בתיק תעבורה; נסיבותיו האישיות של הנאשם, ובפרט היותו אב לארבעה ילדים קטנים, כשהצעיר בהם נולד במהלך ההליך המשפטי.</w:t>
      </w:r>
    </w:p>
    <w:p w14:paraId="49E284BB" w14:textId="77777777" w:rsidR="0038082F" w:rsidRDefault="0038082F" w:rsidP="0038082F">
      <w:pPr>
        <w:spacing w:after="160" w:line="256" w:lineRule="auto"/>
        <w:ind w:left="720"/>
        <w:contextualSpacing/>
        <w:rPr>
          <w:rFonts w:ascii="David" w:eastAsia="Calibri" w:hAnsi="David"/>
          <w:rtl/>
        </w:rPr>
      </w:pPr>
    </w:p>
    <w:p w14:paraId="120AC3E4" w14:textId="77777777" w:rsidR="0038082F" w:rsidRPr="00A809AA" w:rsidRDefault="0038082F" w:rsidP="0038082F">
      <w:pPr>
        <w:spacing w:after="160" w:line="256" w:lineRule="auto"/>
        <w:ind w:left="720"/>
        <w:contextualSpacing/>
        <w:rPr>
          <w:rFonts w:ascii="David" w:eastAsia="Calibri" w:hAnsi="David"/>
        </w:rPr>
      </w:pPr>
    </w:p>
    <w:p w14:paraId="4209C005" w14:textId="77777777" w:rsidR="0038082F" w:rsidRPr="00A809AA" w:rsidRDefault="0038082F" w:rsidP="0038082F">
      <w:pPr>
        <w:spacing w:line="360" w:lineRule="auto"/>
        <w:ind w:left="720"/>
        <w:contextualSpacing/>
        <w:rPr>
          <w:rFonts w:ascii="David" w:eastAsia="Calibri" w:hAnsi="David"/>
          <w:b/>
          <w:bCs/>
          <w:u w:val="single"/>
          <w:rtl/>
        </w:rPr>
      </w:pPr>
      <w:r w:rsidRPr="00A809AA">
        <w:rPr>
          <w:rFonts w:ascii="David" w:eastAsia="Calibri" w:hAnsi="David"/>
          <w:b/>
          <w:bCs/>
          <w:u w:val="single"/>
          <w:rtl/>
        </w:rPr>
        <w:t>טענות ההגנה</w:t>
      </w:r>
    </w:p>
    <w:p w14:paraId="0B185085" w14:textId="77777777" w:rsidR="0038082F" w:rsidRPr="00A809AA" w:rsidRDefault="0038082F" w:rsidP="0038082F">
      <w:pPr>
        <w:numPr>
          <w:ilvl w:val="0"/>
          <w:numId w:val="1"/>
        </w:numPr>
        <w:spacing w:after="160" w:line="360" w:lineRule="auto"/>
        <w:contextualSpacing/>
        <w:jc w:val="both"/>
        <w:rPr>
          <w:rFonts w:ascii="David" w:eastAsia="Calibri" w:hAnsi="David"/>
        </w:rPr>
      </w:pPr>
      <w:r w:rsidRPr="00A809AA">
        <w:rPr>
          <w:rFonts w:ascii="David" w:eastAsia="Calibri" w:hAnsi="David"/>
          <w:rtl/>
        </w:rPr>
        <w:t>הסניגור, עו"ד עמית שלף, עתר כי בית המשפט יעמיד את מתחם הענישה בעניינו של הנאשם על 36 עד 65 חודשי מאסר ויגזור את ע</w:t>
      </w:r>
      <w:r>
        <w:rPr>
          <w:rFonts w:ascii="David" w:eastAsia="Calibri" w:hAnsi="David" w:hint="cs"/>
          <w:rtl/>
        </w:rPr>
        <w:t>ו</w:t>
      </w:r>
      <w:r w:rsidRPr="00A809AA">
        <w:rPr>
          <w:rFonts w:ascii="David" w:eastAsia="Calibri" w:hAnsi="David"/>
          <w:rtl/>
        </w:rPr>
        <w:t>נשו בתחתית מתחם זה.</w:t>
      </w:r>
    </w:p>
    <w:p w14:paraId="3ED5A37B" w14:textId="77777777" w:rsidR="0038082F" w:rsidRPr="00A809AA" w:rsidRDefault="0038082F" w:rsidP="0038082F">
      <w:pPr>
        <w:spacing w:line="360" w:lineRule="auto"/>
        <w:ind w:left="720"/>
        <w:contextualSpacing/>
        <w:jc w:val="both"/>
        <w:rPr>
          <w:rFonts w:ascii="David" w:eastAsia="Calibri" w:hAnsi="David"/>
        </w:rPr>
      </w:pPr>
      <w:r w:rsidRPr="00A809AA">
        <w:rPr>
          <w:rFonts w:ascii="David" w:eastAsia="Calibri" w:hAnsi="David"/>
          <w:rtl/>
        </w:rPr>
        <w:t xml:space="preserve">הסניגור נימק עתירתו העונשית בנימוקים הבאים: רמת אמצעי הלחימה אותם החזיק הנאשם אינה ברף גבוה כפי שטענה ב"כ המאשימה ופוטנציאל הנזק הטמון בהם נמוך </w:t>
      </w:r>
      <w:r w:rsidRPr="00A809AA">
        <w:rPr>
          <w:rFonts w:ascii="David" w:eastAsia="Calibri" w:hAnsi="David"/>
          <w:rtl/>
        </w:rPr>
        <w:lastRenderedPageBreak/>
        <w:t>משנטען על ידי ב"כ המאשימה; לפי הטענה, המרגמה שהחזיק הנאשם אינה ניתנת לשימוש ללא מטול, שלא הוחזק על ידי הנאשם, באופן שלטענת הסניגור יש להתייחס אל המרגמה כאל תחמושת, דוגמת כדורי רובה, בהתאם לכמות אבק השריפה שבמרגמה; נשק ה"קרלו" שהחזיק הנאשם היה ללא תחמושת לצדו באופן שלא ניתן היה לעשות בנשק שימוש מיידי; אמצעי הלחימה הוחזקו במחסן בקומה 1- בבניין, באופן שפוטנציאל הסכנה לתושבי הבניין נמוך בהשוואה להחזקת אמצעי הלחימה בדירת מגורים; עבירות החזקת הסמים שבהן הורשע הנאשם, הן מבחינת סוג הסם, קנאביס, והן מבחינת משקלו, כ-7 ק"ג, אינן ברמת חומרה גבוהה במיוחד; עבירות הסחר בסמים בהן הורשע הנאשם הן בסמים במשקל של גרמים בודדים בלבד והרווח הכספי שהופק מהן אינו גבוה; הנאשם נטול עבר פלילי; נסיבותיו האישיות, כפי שפרטה ההגנה, מצדיקות התחשבות בנאשם בגזירת ענשו; הנאשם אב ל-4 ילדים קטנים; ריצוי עונש מאסר בתקופת מלחמה קשה יותר מריצוי מאסר בתקופת שיגרה; לבסוף, בשים לב למצבו הכלכלי של הנאשם, עתר הסניגור שהקנס שיושת עליו לא יהיה מכביד.</w:t>
      </w:r>
    </w:p>
    <w:p w14:paraId="24ED831F" w14:textId="77777777" w:rsidR="0038082F" w:rsidRPr="00A809AA" w:rsidRDefault="0038082F" w:rsidP="0038082F">
      <w:pPr>
        <w:spacing w:line="360" w:lineRule="auto"/>
        <w:jc w:val="both"/>
        <w:rPr>
          <w:rFonts w:ascii="David" w:eastAsia="Calibri" w:hAnsi="David"/>
          <w:b/>
          <w:bCs/>
          <w:sz w:val="28"/>
          <w:szCs w:val="28"/>
          <w:u w:val="single"/>
          <w:rtl/>
        </w:rPr>
      </w:pPr>
      <w:r w:rsidRPr="00A809AA">
        <w:rPr>
          <w:rFonts w:ascii="David" w:eastAsia="Calibri" w:hAnsi="David"/>
          <w:b/>
          <w:bCs/>
          <w:sz w:val="28"/>
          <w:szCs w:val="28"/>
          <w:u w:val="single"/>
          <w:rtl/>
        </w:rPr>
        <w:t>דברו האחרון של הנאשם</w:t>
      </w:r>
    </w:p>
    <w:p w14:paraId="46CC0325" w14:textId="77777777" w:rsidR="0038082F" w:rsidRPr="00A809AA" w:rsidRDefault="0038082F" w:rsidP="0038082F">
      <w:pPr>
        <w:numPr>
          <w:ilvl w:val="0"/>
          <w:numId w:val="1"/>
        </w:numPr>
        <w:spacing w:after="160" w:line="360" w:lineRule="auto"/>
        <w:contextualSpacing/>
        <w:jc w:val="both"/>
        <w:rPr>
          <w:rFonts w:ascii="David" w:eastAsia="Calibri" w:hAnsi="David"/>
        </w:rPr>
      </w:pPr>
      <w:r w:rsidRPr="00A809AA">
        <w:rPr>
          <w:rFonts w:ascii="David" w:eastAsia="Calibri" w:hAnsi="David"/>
          <w:rtl/>
        </w:rPr>
        <w:t>בדברו האחרון מסר הנאשם שהוא מכבד את החלטת בית המשפט, וביקש להתחשב בו ככל הניתן, שכן הוא אב לארבעה ילדים קטנים. הנאשם הוסיף שהוא עוסק בפעילות חינוכיות במסגרת מעצרו.</w:t>
      </w:r>
    </w:p>
    <w:p w14:paraId="1BA175D7" w14:textId="77777777" w:rsidR="0038082F" w:rsidRPr="00A809AA" w:rsidRDefault="0038082F" w:rsidP="0038082F">
      <w:pPr>
        <w:spacing w:line="360" w:lineRule="auto"/>
        <w:ind w:left="360"/>
        <w:rPr>
          <w:rFonts w:ascii="David" w:eastAsia="Calibri" w:hAnsi="David"/>
          <w:rtl/>
        </w:rPr>
      </w:pPr>
    </w:p>
    <w:p w14:paraId="1C3272F4" w14:textId="77777777" w:rsidR="0038082F" w:rsidRPr="00A809AA" w:rsidRDefault="0038082F" w:rsidP="0038082F">
      <w:pPr>
        <w:spacing w:line="360" w:lineRule="auto"/>
        <w:jc w:val="both"/>
        <w:rPr>
          <w:rFonts w:ascii="David" w:eastAsia="Calibri" w:hAnsi="David"/>
          <w:b/>
          <w:bCs/>
          <w:sz w:val="28"/>
          <w:szCs w:val="28"/>
          <w:u w:val="single"/>
          <w:rtl/>
        </w:rPr>
      </w:pPr>
      <w:r w:rsidRPr="00A809AA">
        <w:rPr>
          <w:rFonts w:ascii="David" w:eastAsia="Calibri" w:hAnsi="David"/>
          <w:b/>
          <w:bCs/>
          <w:sz w:val="28"/>
          <w:szCs w:val="28"/>
          <w:u w:val="single"/>
          <w:rtl/>
        </w:rPr>
        <w:t xml:space="preserve">דיון והכרעה </w:t>
      </w:r>
    </w:p>
    <w:p w14:paraId="5670B6CF" w14:textId="77777777" w:rsidR="0038082F" w:rsidRPr="00A809AA" w:rsidRDefault="0038082F" w:rsidP="0038082F">
      <w:pPr>
        <w:spacing w:line="360" w:lineRule="auto"/>
        <w:rPr>
          <w:rFonts w:ascii="David" w:eastAsia="Calibri" w:hAnsi="David"/>
          <w:b/>
          <w:bCs/>
          <w:u w:val="single"/>
          <w:rtl/>
        </w:rPr>
      </w:pPr>
    </w:p>
    <w:p w14:paraId="3D21F792" w14:textId="77777777" w:rsidR="0038082F" w:rsidRPr="00A809AA" w:rsidRDefault="0038082F" w:rsidP="0038082F">
      <w:pPr>
        <w:spacing w:line="360" w:lineRule="auto"/>
        <w:rPr>
          <w:rFonts w:ascii="David" w:eastAsia="Calibri" w:hAnsi="David"/>
          <w:b/>
          <w:bCs/>
          <w:u w:val="single"/>
          <w:rtl/>
        </w:rPr>
      </w:pPr>
      <w:r w:rsidRPr="00A809AA">
        <w:rPr>
          <w:rFonts w:ascii="David" w:eastAsia="Calibri" w:hAnsi="David"/>
          <w:b/>
          <w:bCs/>
          <w:u w:val="single"/>
          <w:rtl/>
        </w:rPr>
        <w:t>מתחם העונש ההולם</w:t>
      </w:r>
    </w:p>
    <w:p w14:paraId="5B2363BE" w14:textId="77777777" w:rsidR="0038082F" w:rsidRPr="00A809AA" w:rsidRDefault="0038082F" w:rsidP="0038082F">
      <w:pPr>
        <w:spacing w:line="360" w:lineRule="auto"/>
        <w:rPr>
          <w:rFonts w:ascii="David" w:eastAsia="Calibri" w:hAnsi="David"/>
          <w:b/>
          <w:bCs/>
          <w:u w:val="single"/>
          <w:rtl/>
        </w:rPr>
      </w:pPr>
    </w:p>
    <w:p w14:paraId="77B669B4" w14:textId="77777777" w:rsidR="0038082F" w:rsidRPr="00A809AA" w:rsidRDefault="0038082F" w:rsidP="0038082F">
      <w:pPr>
        <w:numPr>
          <w:ilvl w:val="0"/>
          <w:numId w:val="1"/>
        </w:numPr>
        <w:spacing w:after="160" w:line="360" w:lineRule="auto"/>
        <w:contextualSpacing/>
        <w:jc w:val="both"/>
        <w:rPr>
          <w:rFonts w:ascii="David" w:eastAsia="Calibri" w:hAnsi="David"/>
          <w:rtl/>
        </w:rPr>
      </w:pPr>
      <w:r w:rsidRPr="00A809AA">
        <w:rPr>
          <w:rFonts w:ascii="David" w:eastAsia="Calibri" w:hAnsi="David"/>
          <w:rtl/>
        </w:rPr>
        <w:t xml:space="preserve">ב"כ הצדדים אינם חולקים על-כך שכלל מעשי הנאשם עולים כדי אירוע אחד, בהתאם </w:t>
      </w:r>
      <w:hyperlink r:id="rId20" w:history="1">
        <w:r w:rsidR="00BC5D91" w:rsidRPr="00BC5D91">
          <w:rPr>
            <w:rStyle w:val="Hyperlink"/>
            <w:rFonts w:ascii="David" w:eastAsia="Calibri" w:hAnsi="David"/>
            <w:rtl/>
          </w:rPr>
          <w:t>לסעיף 40יג</w:t>
        </w:r>
      </w:hyperlink>
      <w:r w:rsidRPr="00A809AA">
        <w:rPr>
          <w:rFonts w:ascii="David" w:eastAsia="Calibri" w:hAnsi="David"/>
          <w:rtl/>
        </w:rPr>
        <w:t xml:space="preserve"> לחוק (ראו: </w:t>
      </w:r>
      <w:hyperlink r:id="rId21" w:history="1">
        <w:r w:rsidR="007D51D3" w:rsidRPr="007D51D3">
          <w:rPr>
            <w:rFonts w:ascii="David" w:eastAsia="Calibri" w:hAnsi="David"/>
            <w:color w:val="0000FF"/>
            <w:u w:val="single"/>
            <w:rtl/>
          </w:rPr>
          <w:t>ע"פ 4910/13</w:t>
        </w:r>
      </w:hyperlink>
      <w:r w:rsidRPr="00A809AA">
        <w:rPr>
          <w:rFonts w:ascii="David" w:eastAsia="Calibri" w:hAnsi="David"/>
          <w:rtl/>
        </w:rPr>
        <w:t xml:space="preserve"> </w:t>
      </w:r>
      <w:r w:rsidRPr="00A809AA">
        <w:rPr>
          <w:rFonts w:ascii="David" w:eastAsia="Calibri" w:hAnsi="David"/>
          <w:b/>
          <w:bCs/>
          <w:rtl/>
        </w:rPr>
        <w:t>ג'אבר נ' מדינת ישראל</w:t>
      </w:r>
      <w:r w:rsidRPr="00A809AA">
        <w:rPr>
          <w:rFonts w:ascii="David" w:eastAsia="Calibri" w:hAnsi="David"/>
          <w:rtl/>
        </w:rPr>
        <w:t xml:space="preserve"> (29.10.2014)).</w:t>
      </w:r>
    </w:p>
    <w:p w14:paraId="2C021DFF" w14:textId="77777777" w:rsidR="0038082F" w:rsidRPr="00A809AA" w:rsidRDefault="0038082F" w:rsidP="0038082F">
      <w:pPr>
        <w:spacing w:line="360" w:lineRule="auto"/>
        <w:ind w:left="720"/>
        <w:contextualSpacing/>
        <w:jc w:val="both"/>
        <w:rPr>
          <w:rFonts w:ascii="David" w:eastAsia="Calibri" w:hAnsi="David"/>
        </w:rPr>
      </w:pPr>
    </w:p>
    <w:p w14:paraId="68457FFF" w14:textId="77777777" w:rsidR="0038082F" w:rsidRPr="00A809AA" w:rsidRDefault="0038082F" w:rsidP="0038082F">
      <w:pPr>
        <w:numPr>
          <w:ilvl w:val="0"/>
          <w:numId w:val="1"/>
        </w:numPr>
        <w:spacing w:after="160" w:line="360" w:lineRule="auto"/>
        <w:contextualSpacing/>
        <w:jc w:val="both"/>
        <w:rPr>
          <w:rFonts w:ascii="David" w:eastAsia="Calibri" w:hAnsi="David"/>
        </w:rPr>
      </w:pPr>
      <w:r w:rsidRPr="00A809AA">
        <w:rPr>
          <w:rFonts w:ascii="David" w:eastAsia="Calibri" w:hAnsi="David"/>
          <w:rtl/>
        </w:rPr>
        <w:t>הערכים החברתיים המוגנים העומדים בבסיס עבירת הנשק בה הורשע הנאשם הם קדושת החיים, ההגנה על שלום הציבור ועל ביטחונו, וכן השמירה על הסדר הציבורי ועל אפשרות הקיום של אורח חיים בטוח. בית המשפט העליון עמד לא אחת על חומרתן היתרה של עבירות נשק, בין היתר, בשל הסכנה כי הנשק המוחזק יועבר בסופו של דבר למי שמתכוון לעשות בו שימוש לפעילות עבריינית או לפעילות טרור (</w:t>
      </w:r>
      <w:hyperlink r:id="rId22" w:history="1">
        <w:r w:rsidR="007D51D3" w:rsidRPr="007D51D3">
          <w:rPr>
            <w:rFonts w:ascii="David" w:eastAsia="Calibri" w:hAnsi="David"/>
            <w:color w:val="0000FF"/>
            <w:u w:val="single"/>
            <w:rtl/>
          </w:rPr>
          <w:t>ע"פ 4945/13</w:t>
        </w:r>
      </w:hyperlink>
      <w:r w:rsidRPr="00A809AA">
        <w:rPr>
          <w:rFonts w:ascii="David" w:eastAsia="Calibri" w:hAnsi="David"/>
          <w:rtl/>
        </w:rPr>
        <w:t xml:space="preserve"> </w:t>
      </w:r>
      <w:r w:rsidRPr="00A809AA">
        <w:rPr>
          <w:rFonts w:ascii="David" w:eastAsia="Calibri" w:hAnsi="David"/>
          <w:b/>
          <w:bCs/>
          <w:rtl/>
        </w:rPr>
        <w:t>מדינת ישראל נ' סלימאן</w:t>
      </w:r>
      <w:r w:rsidRPr="00A809AA">
        <w:rPr>
          <w:rFonts w:ascii="David" w:eastAsia="Calibri" w:hAnsi="David"/>
          <w:rtl/>
        </w:rPr>
        <w:t xml:space="preserve"> (19.1.2014); </w:t>
      </w:r>
      <w:hyperlink r:id="rId23" w:history="1">
        <w:r w:rsidR="007D51D3" w:rsidRPr="007D51D3">
          <w:rPr>
            <w:rFonts w:ascii="David" w:eastAsia="Calibri" w:hAnsi="David"/>
            <w:color w:val="0000FF"/>
            <w:u w:val="single"/>
            <w:rtl/>
          </w:rPr>
          <w:t>ע"פ 2251/11</w:t>
        </w:r>
      </w:hyperlink>
      <w:r w:rsidRPr="00A809AA">
        <w:rPr>
          <w:rFonts w:ascii="David" w:eastAsia="Calibri" w:hAnsi="David"/>
          <w:rtl/>
        </w:rPr>
        <w:t xml:space="preserve"> </w:t>
      </w:r>
      <w:r w:rsidRPr="00A809AA">
        <w:rPr>
          <w:rFonts w:ascii="David" w:eastAsia="Calibri" w:hAnsi="David"/>
          <w:b/>
          <w:bCs/>
          <w:rtl/>
        </w:rPr>
        <w:t>נפאע נ' מדינת ישראל</w:t>
      </w:r>
      <w:r w:rsidRPr="00A809AA">
        <w:rPr>
          <w:rFonts w:ascii="David" w:eastAsia="Calibri" w:hAnsi="David"/>
          <w:rtl/>
        </w:rPr>
        <w:t xml:space="preserve"> פסקה 5 (4.12.2011)).</w:t>
      </w:r>
    </w:p>
    <w:p w14:paraId="4D4C5AF6" w14:textId="77777777" w:rsidR="0038082F" w:rsidRPr="00A809AA" w:rsidRDefault="0038082F" w:rsidP="0038082F">
      <w:pPr>
        <w:spacing w:after="160" w:line="256" w:lineRule="auto"/>
        <w:rPr>
          <w:rFonts w:ascii="David" w:eastAsia="Calibri" w:hAnsi="David"/>
        </w:rPr>
      </w:pPr>
    </w:p>
    <w:p w14:paraId="054A7CD7" w14:textId="77777777" w:rsidR="0038082F" w:rsidRPr="00A809AA" w:rsidRDefault="0038082F" w:rsidP="0038082F">
      <w:pPr>
        <w:numPr>
          <w:ilvl w:val="0"/>
          <w:numId w:val="1"/>
        </w:numPr>
        <w:spacing w:after="160" w:line="360" w:lineRule="auto"/>
        <w:contextualSpacing/>
        <w:jc w:val="both"/>
        <w:rPr>
          <w:rFonts w:ascii="David" w:eastAsia="Calibri" w:hAnsi="David"/>
          <w:rtl/>
        </w:rPr>
      </w:pPr>
      <w:r w:rsidRPr="00A809AA">
        <w:rPr>
          <w:rFonts w:ascii="David" w:eastAsia="Calibri" w:hAnsi="David"/>
          <w:rtl/>
        </w:rPr>
        <w:t xml:space="preserve">בשנים האחרונות אנו עדים חדשות לבקרים לתוצאותיהן המסוכנות, ולעיתים קרובות אף קטלניות, של עבירות נשק, שהפכו בשנים האחרונות למכת מדינה, שהיא בגדר רעה חולה. נוכח חשיבות והיקף התופעה הפסולה, המחוקק נדרש אף הוא לסוגיה וחוקק ביום 8.12.2021 את </w:t>
      </w:r>
      <w:r w:rsidR="007D51D3" w:rsidRPr="00BC5D91">
        <w:rPr>
          <w:rFonts w:ascii="David" w:eastAsia="Calibri" w:hAnsi="David"/>
          <w:rtl/>
        </w:rPr>
        <w:t>חוק העונשין</w:t>
      </w:r>
      <w:r w:rsidRPr="00A809AA">
        <w:rPr>
          <w:rFonts w:ascii="David" w:eastAsia="Calibri" w:hAnsi="David"/>
          <w:rtl/>
        </w:rPr>
        <w:t xml:space="preserve"> (תיקון מס' 140 – הוראת שעה), התשפ"ב-2021 (להלן: "</w:t>
      </w:r>
      <w:r w:rsidRPr="00A809AA">
        <w:rPr>
          <w:rFonts w:ascii="David" w:eastAsia="Calibri" w:hAnsi="David"/>
          <w:b/>
          <w:bCs/>
          <w:rtl/>
        </w:rPr>
        <w:t>התיקון לחוק</w:t>
      </w:r>
      <w:r w:rsidRPr="00A809AA">
        <w:rPr>
          <w:rFonts w:ascii="David" w:eastAsia="Calibri" w:hAnsi="David"/>
          <w:rtl/>
        </w:rPr>
        <w:t>"), הקובע עונש מזערי בעבירות נשק מסוימות, ובכללן גם זו בה הורשע הנאשם, של רבע מהעונש המרבי הקבוע לעבירה (</w:t>
      </w:r>
      <w:hyperlink r:id="rId24" w:history="1">
        <w:r w:rsidR="00BC5D91" w:rsidRPr="00BC5D91">
          <w:rPr>
            <w:rStyle w:val="Hyperlink"/>
            <w:rFonts w:ascii="David" w:eastAsia="Calibri" w:hAnsi="David"/>
            <w:rtl/>
          </w:rPr>
          <w:t>סעיף 144(ז)</w:t>
        </w:r>
      </w:hyperlink>
      <w:r w:rsidRPr="00A809AA">
        <w:rPr>
          <w:rFonts w:ascii="David" w:eastAsia="Calibri" w:hAnsi="David"/>
          <w:rtl/>
        </w:rPr>
        <w:t xml:space="preserve"> לחוק העונשין). יש בחקיקה זו, הגם שנעשתה על דרך הוראת שעה, ללמד על מגמת המחוקק להחמיר בענישה </w:t>
      </w:r>
      <w:r w:rsidRPr="00A809AA">
        <w:rPr>
          <w:rFonts w:ascii="David" w:hAnsi="David"/>
          <w:noProof/>
          <w:color w:val="000000"/>
          <w:rtl/>
        </w:rPr>
        <w:t>בעבירות אלו, לאור מסוכנותן הרבה לחברה, לצד הצורך בהרתעת רבים נוכח מימדי התופעה וחומרתה.</w:t>
      </w:r>
    </w:p>
    <w:p w14:paraId="15A4060C" w14:textId="77777777" w:rsidR="0038082F" w:rsidRPr="00A809AA" w:rsidRDefault="0038082F" w:rsidP="0038082F">
      <w:pPr>
        <w:spacing w:after="160" w:line="256" w:lineRule="auto"/>
        <w:ind w:left="720"/>
        <w:contextualSpacing/>
        <w:rPr>
          <w:rFonts w:ascii="David" w:eastAsia="Calibri" w:hAnsi="David"/>
        </w:rPr>
      </w:pPr>
    </w:p>
    <w:p w14:paraId="5088A7D7" w14:textId="77777777" w:rsidR="0038082F" w:rsidRPr="00A809AA" w:rsidRDefault="0038082F" w:rsidP="0038082F">
      <w:pPr>
        <w:numPr>
          <w:ilvl w:val="0"/>
          <w:numId w:val="1"/>
        </w:numPr>
        <w:spacing w:after="160" w:line="360" w:lineRule="auto"/>
        <w:contextualSpacing/>
        <w:jc w:val="both"/>
        <w:rPr>
          <w:rFonts w:ascii="David" w:eastAsia="Calibri" w:hAnsi="David"/>
          <w:rtl/>
        </w:rPr>
      </w:pPr>
      <w:r w:rsidRPr="00A809AA">
        <w:rPr>
          <w:rFonts w:ascii="David" w:eastAsia="Calibri" w:hAnsi="David"/>
          <w:rtl/>
        </w:rPr>
        <w:t>בית המשפט העליון עמד גם הוא על החומרה שבעבירות נשק, שהיקפן רק ממשיך להתרבות בעת האחרונה, ועל הצורך בענישתן בחומרה:</w:t>
      </w:r>
    </w:p>
    <w:p w14:paraId="259BC6C3" w14:textId="77777777" w:rsidR="0038082F" w:rsidRPr="00A809AA" w:rsidRDefault="0038082F" w:rsidP="0038082F">
      <w:pPr>
        <w:spacing w:after="160" w:line="256" w:lineRule="auto"/>
        <w:ind w:left="720"/>
        <w:contextualSpacing/>
        <w:rPr>
          <w:rFonts w:ascii="David" w:eastAsia="Calibri" w:hAnsi="David"/>
        </w:rPr>
      </w:pPr>
    </w:p>
    <w:p w14:paraId="6424F0A4" w14:textId="77777777" w:rsidR="0038082F" w:rsidRPr="00A809AA" w:rsidRDefault="0038082F" w:rsidP="0038082F">
      <w:pPr>
        <w:spacing w:line="360" w:lineRule="auto"/>
        <w:ind w:left="1360" w:right="426"/>
        <w:contextualSpacing/>
        <w:jc w:val="both"/>
        <w:rPr>
          <w:rFonts w:ascii="David" w:eastAsia="Calibri" w:hAnsi="David"/>
          <w:rtl/>
        </w:rPr>
      </w:pPr>
      <w:r w:rsidRPr="00A809AA">
        <w:rPr>
          <w:rFonts w:ascii="David" w:eastAsia="Calibri" w:hAnsi="David"/>
          <w:rtl/>
        </w:rPr>
        <w:t>"</w:t>
      </w:r>
      <w:r w:rsidRPr="00A809AA">
        <w:rPr>
          <w:rFonts w:ascii="David" w:eastAsia="Calibri" w:hAnsi="David"/>
          <w:b/>
          <w:bCs/>
          <w:rtl/>
        </w:rPr>
        <w:t>...</w:t>
      </w:r>
      <w:r w:rsidRPr="00A809AA">
        <w:rPr>
          <w:rFonts w:ascii="Calibri" w:eastAsia="Calibri" w:hAnsi="Calibri" w:cs="Arial"/>
          <w:b/>
          <w:bCs/>
          <w:sz w:val="22"/>
          <w:szCs w:val="22"/>
          <w:rtl/>
        </w:rPr>
        <w:t xml:space="preserve"> </w:t>
      </w:r>
      <w:r w:rsidRPr="00A809AA">
        <w:rPr>
          <w:rFonts w:ascii="David" w:eastAsia="Calibri" w:hAnsi="David"/>
          <w:b/>
          <w:bCs/>
          <w:rtl/>
        </w:rPr>
        <w:t>אין צורך להכביר במילים על אודות החומרה הנלווית לעבירות נשק. אין היום חולקין כי עבירות מסוג זה הפכו ל"מכת מדינה" של ממש...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5" w:history="1">
        <w:r w:rsidR="007D51D3" w:rsidRPr="007D51D3">
          <w:rPr>
            <w:rFonts w:ascii="David" w:eastAsia="Calibri" w:hAnsi="David"/>
            <w:b/>
            <w:bCs/>
            <w:color w:val="0000FF"/>
            <w:u w:val="single"/>
            <w:rtl/>
          </w:rPr>
          <w:t>חוק העונשין</w:t>
        </w:r>
      </w:hyperlink>
      <w:r w:rsidRPr="00A809AA">
        <w:rPr>
          <w:rFonts w:ascii="David" w:eastAsia="Calibri" w:hAnsi="David"/>
          <w:b/>
          <w:bCs/>
          <w:rtl/>
        </w:rPr>
        <w:t xml:space="preserve"> (חוק העונשין (תיקון מס' 140 – הוראת שעה), התשפ"ב-2021)... הקובע עונשי מינימום לעבירות נשק...</w:t>
      </w:r>
      <w:r w:rsidRPr="00A809AA">
        <w:rPr>
          <w:rFonts w:ascii="David" w:eastAsia="Calibri" w:hAnsi="David"/>
          <w:rtl/>
        </w:rPr>
        <w:t>" (</w:t>
      </w:r>
      <w:hyperlink r:id="rId26" w:history="1">
        <w:r w:rsidR="007D51D3" w:rsidRPr="007D51D3">
          <w:rPr>
            <w:rFonts w:ascii="David" w:eastAsia="Calibri" w:hAnsi="David"/>
            <w:color w:val="0000FF"/>
            <w:u w:val="single"/>
            <w:rtl/>
          </w:rPr>
          <w:t>ע"פ 7473/20</w:t>
        </w:r>
      </w:hyperlink>
      <w:r w:rsidRPr="00A809AA">
        <w:rPr>
          <w:rFonts w:ascii="David" w:eastAsia="Calibri" w:hAnsi="David"/>
          <w:rtl/>
        </w:rPr>
        <w:t xml:space="preserve"> </w:t>
      </w:r>
      <w:r w:rsidRPr="00A809AA">
        <w:rPr>
          <w:rFonts w:ascii="David" w:eastAsia="Calibri" w:hAnsi="David"/>
          <w:b/>
          <w:bCs/>
          <w:rtl/>
        </w:rPr>
        <w:t>מדינת ישראל נ' מחאמיד</w:t>
      </w:r>
      <w:r w:rsidRPr="00A809AA">
        <w:rPr>
          <w:rFonts w:ascii="David" w:eastAsia="Calibri" w:hAnsi="David"/>
          <w:rtl/>
        </w:rPr>
        <w:t xml:space="preserve"> (29.6.2021), פס' 25; וראו גם </w:t>
      </w:r>
      <w:hyperlink r:id="rId27" w:history="1">
        <w:r w:rsidR="007D51D3" w:rsidRPr="007D51D3">
          <w:rPr>
            <w:rFonts w:ascii="David" w:eastAsia="Calibri" w:hAnsi="David"/>
            <w:color w:val="0000FF"/>
            <w:u w:val="single"/>
            <w:rtl/>
          </w:rPr>
          <w:t>ע"פ 5993/21</w:t>
        </w:r>
      </w:hyperlink>
      <w:r w:rsidRPr="00A809AA">
        <w:rPr>
          <w:rFonts w:ascii="David" w:eastAsia="Calibri" w:hAnsi="David"/>
          <w:rtl/>
        </w:rPr>
        <w:t xml:space="preserve"> </w:t>
      </w:r>
      <w:r w:rsidRPr="00A809AA">
        <w:rPr>
          <w:rFonts w:ascii="David" w:eastAsia="Calibri" w:hAnsi="David"/>
          <w:b/>
          <w:bCs/>
          <w:rtl/>
        </w:rPr>
        <w:t>אבו סאלח נ' מדינת ישראל</w:t>
      </w:r>
      <w:r w:rsidRPr="00A809AA">
        <w:rPr>
          <w:rFonts w:ascii="David" w:eastAsia="Calibri" w:hAnsi="David"/>
          <w:rtl/>
        </w:rPr>
        <w:t xml:space="preserve"> (29.11.2021), פס' 8).</w:t>
      </w:r>
    </w:p>
    <w:p w14:paraId="7830C08E" w14:textId="77777777" w:rsidR="0038082F" w:rsidRPr="00A809AA" w:rsidRDefault="0038082F" w:rsidP="0038082F">
      <w:pPr>
        <w:spacing w:line="360" w:lineRule="auto"/>
        <w:ind w:left="720"/>
        <w:contextualSpacing/>
        <w:jc w:val="both"/>
        <w:rPr>
          <w:rFonts w:ascii="David" w:eastAsia="Calibri" w:hAnsi="David"/>
        </w:rPr>
      </w:pPr>
    </w:p>
    <w:p w14:paraId="015806E5" w14:textId="77777777" w:rsidR="0038082F" w:rsidRPr="00A809AA" w:rsidRDefault="0038082F" w:rsidP="0038082F">
      <w:pPr>
        <w:numPr>
          <w:ilvl w:val="0"/>
          <w:numId w:val="1"/>
        </w:numPr>
        <w:spacing w:after="160" w:line="360" w:lineRule="auto"/>
        <w:contextualSpacing/>
        <w:jc w:val="both"/>
        <w:rPr>
          <w:rFonts w:ascii="David" w:eastAsia="Calibri" w:hAnsi="David"/>
        </w:rPr>
      </w:pPr>
      <w:r w:rsidRPr="00A809AA">
        <w:rPr>
          <w:rFonts w:ascii="David" w:eastAsia="Calibri" w:hAnsi="David"/>
          <w:rtl/>
        </w:rPr>
        <w:t xml:space="preserve">פגיעת הנאשם בערכים המוגנים עוצמתית וחמורה, כשיש במעשיו מצבור בלתי מבוטל של מאפייני חומרה. ראשית, </w:t>
      </w:r>
      <w:r>
        <w:rPr>
          <w:rFonts w:ascii="David" w:eastAsia="Calibri" w:hAnsi="David" w:hint="cs"/>
          <w:rtl/>
        </w:rPr>
        <w:t xml:space="preserve">פוטנציאל הנזק במעשי הנאשם משמעותי ביותר. </w:t>
      </w:r>
      <w:r w:rsidRPr="00A809AA">
        <w:rPr>
          <w:rFonts w:ascii="David" w:eastAsia="Calibri" w:hAnsi="David"/>
          <w:rtl/>
        </w:rPr>
        <w:t>הנאשם החזיק מספר לא מועט של אמצעי לחימה, כאשר חלקם עלולים לגרום לנזק רב גם ללא שימוש מכוון בהם לשם מטרה זו. כך לדוגמה, לא בלתי מתקבל על הדעת שטיפול לא מקצועי ובטיחותי ברימוני היד או בפצצת המרגמה, שאוחסנו בתיק שאינו מתאים לאחסון אמצעי לחימה, עלול היה לגרום לנזק רב. זאת ועוד. אמצעי הלחימה אוחסנו במחסן הנמצא בחניון בית דירות שהיה נגיש לכל באי הבניין. אחסון אמצעי הלחימה המסוכנים במחסן שעל-פניו עוברים כל היוצאים והנכנסים לבניין דרך החניון, הגדילו עד מאוד את הסכנ</w:t>
      </w:r>
      <w:r>
        <w:rPr>
          <w:rFonts w:ascii="David" w:eastAsia="Calibri" w:hAnsi="David"/>
          <w:rtl/>
        </w:rPr>
        <w:t>ה שעוברי אורח תמימים י</w:t>
      </w:r>
      <w:r>
        <w:rPr>
          <w:rFonts w:ascii="David" w:eastAsia="Calibri" w:hAnsi="David" w:hint="cs"/>
          <w:rtl/>
        </w:rPr>
        <w:t>י</w:t>
      </w:r>
      <w:r>
        <w:rPr>
          <w:rFonts w:ascii="David" w:eastAsia="Calibri" w:hAnsi="David"/>
          <w:rtl/>
        </w:rPr>
        <w:t>פגעו ב</w:t>
      </w:r>
      <w:r>
        <w:rPr>
          <w:rFonts w:ascii="David" w:eastAsia="Calibri" w:hAnsi="David" w:hint="cs"/>
          <w:rtl/>
        </w:rPr>
        <w:t>אורח</w:t>
      </w:r>
      <w:r w:rsidRPr="00A809AA">
        <w:rPr>
          <w:rFonts w:ascii="David" w:eastAsia="Calibri" w:hAnsi="David"/>
          <w:rtl/>
        </w:rPr>
        <w:t xml:space="preserve"> קשה. החזקת אמצעי הלחימה במחסן, ביחד עם כמות לא מבוטלת של סמים – כשכאמור הנאשם הורשע בעבירת סחר בסמים – ובשים לב לכך שההגנה לא הצביעה על סיבה אחרת בגינה החזיק הנאשם באמצעי הלחימה, מצביעה על כך שאמצעי הלחימה הוחזקו על ידי הנאשם, לכל הפחות, למטרות בצע כסף. תעוזת הנאשם המתבטאת בהחזקת מגוון אמצעי לחימה מסוכנים כמתואר, מעידה על מסוכנותו הרבה ועל זלזול עמוק בחוק, ולמצער אדישותו לשלומם ולביטחונם של נפגעים פוטנציאליים מאותם אמצעי לחימה. </w:t>
      </w:r>
    </w:p>
    <w:p w14:paraId="290D23AF" w14:textId="77777777" w:rsidR="0038082F" w:rsidRPr="00A809AA" w:rsidRDefault="0038082F" w:rsidP="0038082F">
      <w:pPr>
        <w:spacing w:after="160" w:line="256" w:lineRule="auto"/>
        <w:ind w:left="720"/>
        <w:contextualSpacing/>
        <w:rPr>
          <w:rFonts w:ascii="David" w:eastAsia="Calibri" w:hAnsi="David"/>
        </w:rPr>
      </w:pPr>
    </w:p>
    <w:p w14:paraId="781EB5A8" w14:textId="77777777" w:rsidR="0038082F" w:rsidRPr="00A809AA" w:rsidRDefault="0038082F" w:rsidP="0038082F">
      <w:pPr>
        <w:numPr>
          <w:ilvl w:val="0"/>
          <w:numId w:val="1"/>
        </w:numPr>
        <w:spacing w:after="160" w:line="360" w:lineRule="auto"/>
        <w:contextualSpacing/>
        <w:jc w:val="both"/>
        <w:rPr>
          <w:rFonts w:ascii="David" w:eastAsia="Calibri" w:hAnsi="David"/>
          <w:rtl/>
        </w:rPr>
      </w:pPr>
      <w:r w:rsidRPr="00A809AA">
        <w:rPr>
          <w:rFonts w:ascii="David" w:eastAsia="Calibri" w:hAnsi="David"/>
          <w:rtl/>
        </w:rPr>
        <w:t>בעבירות הסמים בהן הורשע פגע הנאשם בסדר החברתי, בשלטון החוק, בשלום הציבור ובבריאותו. חומרת פגיעת הנאשם בערכים המוגנים ממשית ביותר, בשים לב לסוג הסמים ולכמותם.</w:t>
      </w:r>
    </w:p>
    <w:p w14:paraId="4D2BE581" w14:textId="77777777" w:rsidR="0038082F" w:rsidRPr="00A809AA" w:rsidRDefault="0038082F" w:rsidP="0038082F">
      <w:pPr>
        <w:spacing w:line="360" w:lineRule="auto"/>
        <w:contextualSpacing/>
        <w:jc w:val="both"/>
        <w:rPr>
          <w:rFonts w:ascii="David" w:eastAsia="Calibri" w:hAnsi="David"/>
        </w:rPr>
      </w:pPr>
    </w:p>
    <w:p w14:paraId="281064A6" w14:textId="77777777" w:rsidR="0038082F" w:rsidRPr="00A809AA" w:rsidRDefault="0038082F" w:rsidP="0038082F">
      <w:pPr>
        <w:spacing w:line="360" w:lineRule="auto"/>
        <w:rPr>
          <w:rFonts w:ascii="David" w:eastAsia="Calibri" w:hAnsi="David"/>
          <w:b/>
          <w:bCs/>
          <w:u w:val="single"/>
          <w:rtl/>
        </w:rPr>
      </w:pPr>
      <w:r w:rsidRPr="00A809AA">
        <w:rPr>
          <w:rFonts w:ascii="David" w:eastAsia="Calibri" w:hAnsi="David"/>
          <w:b/>
          <w:bCs/>
          <w:u w:val="single"/>
          <w:rtl/>
        </w:rPr>
        <w:t>מדיניות הענישה הנוהגת</w:t>
      </w:r>
    </w:p>
    <w:p w14:paraId="17F20588" w14:textId="77777777" w:rsidR="0038082F" w:rsidRPr="00A809AA" w:rsidRDefault="0038082F" w:rsidP="0038082F">
      <w:pPr>
        <w:numPr>
          <w:ilvl w:val="0"/>
          <w:numId w:val="1"/>
        </w:numPr>
        <w:spacing w:after="160" w:line="360" w:lineRule="auto"/>
        <w:contextualSpacing/>
        <w:jc w:val="both"/>
        <w:rPr>
          <w:rFonts w:ascii="David" w:eastAsia="Calibri" w:hAnsi="David"/>
          <w:rtl/>
        </w:rPr>
      </w:pPr>
      <w:r w:rsidRPr="00A809AA">
        <w:rPr>
          <w:rFonts w:ascii="David" w:eastAsia="Calibri" w:hAnsi="David"/>
          <w:rtl/>
        </w:rPr>
        <w:t>בחינת מדיניות הענישה הנוהגת, כפי שהיא עולה, בין היתר, מהפסיקה שהוגשה על ידי באי כוח הצדדים, מלמדת שבתי המשפט נוהגים לגזור, בנסיבות דומות, עונשי מאסר ממושכים, לתקופות משתנות, והכל בהתאם לנסיבות הקונקרטיות. יוטעם כי בחינת הפסיקה מגלה קושי באיתור מקרים דומים בהם הורשע נאשם בעבירת החזקה של אמצעי לחימה מסוכנים בכמות ובסוגים שהחזיק הנאשם, שלא הייתה מלווה בהרשעה בעבירות חמורות נוספות. לפיכך, בחינת הפסיקה המובאת תעשה בשים לב להבדלים בנסיבות העבירות.</w:t>
      </w:r>
    </w:p>
    <w:p w14:paraId="3ACAE1FD" w14:textId="77777777" w:rsidR="0038082F" w:rsidRPr="00A809AA" w:rsidRDefault="0038082F" w:rsidP="0038082F">
      <w:pPr>
        <w:spacing w:line="360" w:lineRule="auto"/>
        <w:ind w:left="720"/>
        <w:contextualSpacing/>
        <w:jc w:val="both"/>
        <w:rPr>
          <w:rFonts w:ascii="David" w:eastAsia="Calibri" w:hAnsi="David"/>
        </w:rPr>
      </w:pPr>
    </w:p>
    <w:p w14:paraId="144C6780" w14:textId="77777777" w:rsidR="0038082F" w:rsidRPr="00A809AA" w:rsidRDefault="0038082F" w:rsidP="0038082F">
      <w:pPr>
        <w:numPr>
          <w:ilvl w:val="0"/>
          <w:numId w:val="2"/>
        </w:numPr>
        <w:spacing w:after="160" w:line="360" w:lineRule="auto"/>
        <w:contextualSpacing/>
        <w:jc w:val="both"/>
        <w:rPr>
          <w:rFonts w:ascii="David" w:eastAsia="Calibri" w:hAnsi="David"/>
        </w:rPr>
      </w:pPr>
      <w:r w:rsidRPr="00A809AA">
        <w:rPr>
          <w:rFonts w:ascii="David" w:eastAsia="Calibri" w:hAnsi="David"/>
          <w:rtl/>
        </w:rPr>
        <w:t>ב</w:t>
      </w:r>
      <w:hyperlink r:id="rId28" w:history="1">
        <w:r w:rsidR="007D51D3" w:rsidRPr="007D51D3">
          <w:rPr>
            <w:rFonts w:ascii="David" w:eastAsia="Calibri" w:hAnsi="David"/>
            <w:color w:val="0000FF"/>
            <w:u w:val="single"/>
            <w:rtl/>
          </w:rPr>
          <w:t>ע"פ 2482/22</w:t>
        </w:r>
      </w:hyperlink>
      <w:r w:rsidRPr="00A809AA">
        <w:rPr>
          <w:rFonts w:ascii="David" w:eastAsia="Calibri" w:hAnsi="David"/>
          <w:rtl/>
        </w:rPr>
        <w:t xml:space="preserve"> </w:t>
      </w:r>
      <w:r w:rsidRPr="00A809AA">
        <w:rPr>
          <w:rFonts w:ascii="David" w:eastAsia="Calibri" w:hAnsi="David"/>
          <w:b/>
          <w:bCs/>
          <w:rtl/>
        </w:rPr>
        <w:t>מדינת ישראל נ' קדורה</w:t>
      </w:r>
      <w:r w:rsidRPr="00A809AA">
        <w:rPr>
          <w:rFonts w:ascii="David" w:eastAsia="Calibri" w:hAnsi="David"/>
          <w:rtl/>
        </w:rPr>
        <w:t xml:space="preserve"> (14.4.2022) קיבל בית המשפט העליון את ערעור המדינה וגזר על המשיב עונש 18 חודשי מאסר בפועל, חלף 10 חודשי מאסר שגזר עליו בית המשפט המחוזי. בית המשפט העליון הדגיש את חומרת עבירת החזקת הנשק, המצדיקה עונש מאסר ממושך אף בעניינו של צעיר נעדר עבר פלילי, והבהיר בקביעת העונש שזה נפסק לאור העיקרון לפיו אין דרכה של ערכאת הערעור למצות את הדין. בית המשפט העליון לא התערב ביתר רכיבי הענישה, לרבות עונש מאסר מותנה וקנס בסך 5,000 ₪.  </w:t>
      </w:r>
    </w:p>
    <w:p w14:paraId="522B6301" w14:textId="77777777" w:rsidR="0038082F" w:rsidRPr="00A809AA" w:rsidRDefault="0038082F" w:rsidP="0038082F">
      <w:pPr>
        <w:spacing w:line="360" w:lineRule="auto"/>
        <w:ind w:left="720"/>
        <w:contextualSpacing/>
        <w:jc w:val="both"/>
        <w:rPr>
          <w:rFonts w:ascii="David" w:eastAsia="Calibri" w:hAnsi="David"/>
        </w:rPr>
      </w:pPr>
      <w:r w:rsidRPr="00A809AA">
        <w:rPr>
          <w:rFonts w:ascii="David" w:eastAsia="Calibri" w:hAnsi="David"/>
          <w:rtl/>
        </w:rPr>
        <w:t xml:space="preserve">המשיב הורשע, לפי הודאתו, בהחזקת נשק, בכך שהסתיר אקדח מחסנית וכדורים יחד עם רימון הלם על גג ביתו. בית המשפט המחוזי קבע כי מתחם הענישה בעניינו של המשיב נע בין 36-10 חודשי מאסר בפועל. </w:t>
      </w:r>
    </w:p>
    <w:p w14:paraId="6581FE78" w14:textId="77777777" w:rsidR="0038082F" w:rsidRPr="00A809AA" w:rsidRDefault="0038082F" w:rsidP="0038082F">
      <w:pPr>
        <w:spacing w:line="360" w:lineRule="auto"/>
        <w:ind w:left="720"/>
        <w:contextualSpacing/>
        <w:jc w:val="both"/>
        <w:rPr>
          <w:rFonts w:ascii="David" w:eastAsia="Calibri" w:hAnsi="David"/>
          <w:rtl/>
        </w:rPr>
      </w:pPr>
      <w:r w:rsidRPr="00A809AA">
        <w:rPr>
          <w:rFonts w:ascii="David" w:eastAsia="Calibri" w:hAnsi="David"/>
          <w:rtl/>
        </w:rPr>
        <w:t xml:space="preserve">עניינו של הנאשם חמור באופן משמעותי מעניינו של המשיב, בשל כמות אמצעי הלחימה שהוחזקו, סוגם ופוטנציאל הסיכון הנשקף מהם – בעוד שהמשיב החזיק באקדח, תחמושת ורימון הלם אחד, הנאשם החזיק במרגמה, תת מקלע מאולתר (ללא תחמושת), בארבעה רימוני יד וברימון הלם. </w:t>
      </w:r>
    </w:p>
    <w:p w14:paraId="470C2B05" w14:textId="77777777" w:rsidR="0038082F" w:rsidRPr="00A809AA" w:rsidRDefault="0038082F" w:rsidP="0038082F">
      <w:pPr>
        <w:spacing w:line="360" w:lineRule="auto"/>
        <w:ind w:left="720"/>
        <w:contextualSpacing/>
        <w:jc w:val="both"/>
        <w:rPr>
          <w:rFonts w:ascii="David" w:eastAsia="Calibri" w:hAnsi="David"/>
          <w:rtl/>
        </w:rPr>
      </w:pPr>
      <w:r w:rsidRPr="00A809AA">
        <w:rPr>
          <w:rFonts w:ascii="David" w:eastAsia="Calibri" w:hAnsi="David"/>
          <w:rtl/>
        </w:rPr>
        <w:t>כמו-כן, הנאשם החזיק באמצעי הלחימה המסוכנים במחסן המצוי בשטח ציבורי, באופן שהיו עלולים לגרום לנזק רב יותר לזולת, מאשר בהחזקתם על גג בית פרטי כפי שעשה המשיב. לצד זאת, בדומה לנאשם, גם המשיב היה נעדר עבר פלילי באופן שהיה בו כדי להקל עונשו. בשונה מהנאשם המשיב היה צעיר (בן 19), הודה ולא ניהל הוכחות, בנוסף, העבירה בוצעה קודם לכניסתו לתוקף של התיקון לחוק.</w:t>
      </w:r>
    </w:p>
    <w:p w14:paraId="38DB2819" w14:textId="77777777" w:rsidR="0038082F" w:rsidRPr="00A809AA" w:rsidRDefault="0038082F" w:rsidP="0038082F">
      <w:pPr>
        <w:spacing w:line="360" w:lineRule="auto"/>
        <w:ind w:left="720"/>
        <w:contextualSpacing/>
        <w:jc w:val="both"/>
        <w:rPr>
          <w:rFonts w:ascii="David" w:eastAsia="Calibri" w:hAnsi="David"/>
          <w:rtl/>
        </w:rPr>
      </w:pPr>
    </w:p>
    <w:p w14:paraId="4A9E1349" w14:textId="77777777" w:rsidR="0038082F" w:rsidRPr="00A809AA" w:rsidRDefault="0038082F" w:rsidP="0038082F">
      <w:pPr>
        <w:numPr>
          <w:ilvl w:val="0"/>
          <w:numId w:val="2"/>
        </w:numPr>
        <w:spacing w:after="160" w:line="360" w:lineRule="auto"/>
        <w:contextualSpacing/>
        <w:jc w:val="both"/>
        <w:rPr>
          <w:rFonts w:ascii="David" w:eastAsia="Calibri" w:hAnsi="David"/>
          <w:rtl/>
        </w:rPr>
      </w:pPr>
      <w:r w:rsidRPr="00A809AA">
        <w:rPr>
          <w:rFonts w:ascii="David" w:eastAsia="Calibri" w:hAnsi="David"/>
          <w:rtl/>
        </w:rPr>
        <w:t>ב</w:t>
      </w:r>
      <w:hyperlink r:id="rId29" w:history="1">
        <w:r w:rsidR="007D51D3" w:rsidRPr="007D51D3">
          <w:rPr>
            <w:rFonts w:ascii="David" w:eastAsia="Calibri" w:hAnsi="David"/>
            <w:color w:val="0000FF"/>
            <w:u w:val="single"/>
            <w:rtl/>
          </w:rPr>
          <w:t>ע"פ 3811/21</w:t>
        </w:r>
      </w:hyperlink>
      <w:r w:rsidRPr="00A809AA">
        <w:rPr>
          <w:rFonts w:ascii="David" w:eastAsia="Calibri" w:hAnsi="David"/>
          <w:rtl/>
        </w:rPr>
        <w:t xml:space="preserve"> </w:t>
      </w:r>
      <w:r w:rsidRPr="00A809AA">
        <w:rPr>
          <w:rFonts w:ascii="David" w:eastAsia="Calibri" w:hAnsi="David"/>
          <w:b/>
          <w:bCs/>
          <w:rtl/>
        </w:rPr>
        <w:t>כהן נ' מדינת ישראל</w:t>
      </w:r>
      <w:r w:rsidRPr="00A809AA">
        <w:rPr>
          <w:rFonts w:ascii="David" w:eastAsia="Calibri" w:hAnsi="David"/>
          <w:rtl/>
        </w:rPr>
        <w:t xml:space="preserve"> (13.1.2022) הותיר בית המשפט העליון על כנו עונש 3 שנות מאסר שגזר על המערער בית המשפט המחוזי. המערער הורשע בנשיאת נשק בכך שהטמין בהוראתו של אדם אחר מטען חבלה בין השיחים, וזאת בהמשך לרצונו של סוכן סמוי לקנות מטען חבלה מהאחר. הסוכן והאחר קבעו להיפגש במקום מסוים, ועובר למועד המפגש הטמין המערער, כאמור, את המטען, שבו תערובת נפץ ומשדר אלחוטי שלא היה מחובר למטען. לאחר הטמנת המטען חבר המערער לאחר, שניהם הגיעו יחד לפגישה עם הסוכן. המערער הצביע אל עבר המקום שבו הוטמן מטען החבלה, והאחר הסביר לסוכן כיצד להפעילו.</w:t>
      </w:r>
    </w:p>
    <w:p w14:paraId="2D56A6F2" w14:textId="77777777" w:rsidR="0038082F" w:rsidRPr="00A809AA" w:rsidRDefault="0038082F" w:rsidP="0038082F">
      <w:pPr>
        <w:spacing w:line="360" w:lineRule="auto"/>
        <w:ind w:left="720"/>
        <w:contextualSpacing/>
        <w:jc w:val="both"/>
        <w:rPr>
          <w:rFonts w:ascii="David" w:eastAsia="Calibri" w:hAnsi="David"/>
        </w:rPr>
      </w:pPr>
      <w:r w:rsidRPr="00A809AA">
        <w:rPr>
          <w:rFonts w:ascii="David" w:eastAsia="Calibri" w:hAnsi="David"/>
          <w:rtl/>
        </w:rPr>
        <w:t>בשונה מעניינו של הנאשם הורשע המערער בעבירה של נשיאת נשק, כשאמצעי הלחימה אותו נשא, מטען, הוא אמצעי לוחמה בעל פוטנציאל נזק הרסני וקטלני ביותר. הנאשם לעומת זאת, הורשע בהחזקת נשק, אך של מספר אמצעי לחימה. אחד מהם, פצצת המרגמה, כלי נשק בעל פוטנציאל נזק חמור ועצמתי אף הוא, גם אם בדרגה פחותה מעט ממטען חבלה.</w:t>
      </w:r>
    </w:p>
    <w:p w14:paraId="704F5A11" w14:textId="77777777" w:rsidR="0038082F" w:rsidRPr="00A809AA" w:rsidRDefault="0038082F" w:rsidP="0038082F">
      <w:pPr>
        <w:spacing w:line="360" w:lineRule="auto"/>
        <w:ind w:left="720"/>
        <w:contextualSpacing/>
        <w:jc w:val="both"/>
        <w:rPr>
          <w:rFonts w:ascii="David" w:eastAsia="Calibri" w:hAnsi="David"/>
          <w:rtl/>
        </w:rPr>
      </w:pPr>
      <w:r w:rsidRPr="00A809AA">
        <w:rPr>
          <w:rFonts w:ascii="David" w:eastAsia="Calibri" w:hAnsi="David"/>
          <w:rtl/>
        </w:rPr>
        <w:t xml:space="preserve">בשונה מהנאשם, למערער עבר פלילי לא מבוטל. עוד בשונה מהנאשם הורשע המערער במסגרת הסדר ולא ניהל הוכחות. </w:t>
      </w:r>
    </w:p>
    <w:p w14:paraId="2F3F3B4F" w14:textId="77777777" w:rsidR="0038082F" w:rsidRPr="00A809AA" w:rsidRDefault="0038082F" w:rsidP="0038082F">
      <w:pPr>
        <w:spacing w:line="360" w:lineRule="auto"/>
        <w:ind w:left="720"/>
        <w:contextualSpacing/>
        <w:jc w:val="both"/>
        <w:rPr>
          <w:rFonts w:ascii="David" w:eastAsia="Calibri" w:hAnsi="David"/>
          <w:rtl/>
        </w:rPr>
      </w:pPr>
    </w:p>
    <w:p w14:paraId="27D3065D" w14:textId="77777777" w:rsidR="0038082F" w:rsidRPr="00A809AA" w:rsidRDefault="0038082F" w:rsidP="0038082F">
      <w:pPr>
        <w:numPr>
          <w:ilvl w:val="0"/>
          <w:numId w:val="2"/>
        </w:numPr>
        <w:spacing w:after="160" w:line="360" w:lineRule="auto"/>
        <w:contextualSpacing/>
        <w:jc w:val="both"/>
        <w:rPr>
          <w:rFonts w:ascii="David" w:eastAsia="Calibri" w:hAnsi="David"/>
        </w:rPr>
      </w:pPr>
      <w:r w:rsidRPr="00A809AA">
        <w:rPr>
          <w:rFonts w:ascii="David" w:eastAsia="Calibri" w:hAnsi="David"/>
          <w:rtl/>
        </w:rPr>
        <w:t>ב</w:t>
      </w:r>
      <w:hyperlink r:id="rId30" w:history="1">
        <w:r w:rsidR="007D51D3" w:rsidRPr="007D51D3">
          <w:rPr>
            <w:rFonts w:ascii="David" w:eastAsia="Calibri" w:hAnsi="David"/>
            <w:color w:val="0000FF"/>
            <w:u w:val="single"/>
            <w:rtl/>
          </w:rPr>
          <w:t>ע"פ 3336/18</w:t>
        </w:r>
      </w:hyperlink>
      <w:r w:rsidRPr="00A809AA">
        <w:rPr>
          <w:rFonts w:ascii="David" w:eastAsia="Calibri" w:hAnsi="David"/>
          <w:rtl/>
        </w:rPr>
        <w:t xml:space="preserve"> </w:t>
      </w:r>
      <w:r w:rsidRPr="00A809AA">
        <w:rPr>
          <w:rFonts w:ascii="David" w:eastAsia="Calibri" w:hAnsi="David"/>
          <w:b/>
          <w:bCs/>
          <w:rtl/>
        </w:rPr>
        <w:t>מדינת ישראל נ' סמארה</w:t>
      </w:r>
      <w:r w:rsidRPr="00A809AA">
        <w:rPr>
          <w:rFonts w:ascii="David" w:eastAsia="Calibri" w:hAnsi="David"/>
          <w:rtl/>
        </w:rPr>
        <w:t xml:space="preserve"> (29.11.2018) העמיד בית המשפט העליון את עונשו של המשיב על 24 חודשי מאסר בפועל, חלף 18 חודשי מאסר שגזר עליו בית המשפט המחוזי, שקבע את מתחם הענישה בעניינו על 16 עד 40 חודשי מאסר בפועל.</w:t>
      </w:r>
    </w:p>
    <w:p w14:paraId="65A7EE42" w14:textId="77777777" w:rsidR="0038082F" w:rsidRPr="00A809AA" w:rsidRDefault="0038082F" w:rsidP="0038082F">
      <w:pPr>
        <w:spacing w:line="360" w:lineRule="auto"/>
        <w:ind w:left="720"/>
        <w:contextualSpacing/>
        <w:jc w:val="both"/>
        <w:rPr>
          <w:rFonts w:ascii="David" w:eastAsia="Calibri" w:hAnsi="David"/>
        </w:rPr>
      </w:pPr>
      <w:r w:rsidRPr="00A809AA">
        <w:rPr>
          <w:rFonts w:ascii="David" w:eastAsia="Calibri" w:hAnsi="David"/>
          <w:rtl/>
        </w:rPr>
        <w:t>המשיב הורשע בהובלת ובהחזקת נשק בכך שנתפסו ברכבו שני רובי "קרל ג</w:t>
      </w:r>
      <w:r>
        <w:rPr>
          <w:rFonts w:ascii="David" w:eastAsia="Calibri" w:hAnsi="David"/>
          <w:rtl/>
        </w:rPr>
        <w:t>וסטב" מאולתרים עם מחסניות בתוכם</w:t>
      </w:r>
      <w:r w:rsidRPr="00A809AA">
        <w:rPr>
          <w:rFonts w:ascii="David" w:eastAsia="Calibri" w:hAnsi="David"/>
          <w:rtl/>
        </w:rPr>
        <w:t>. עוד נתפסו 39 כדורי 9 מ"מ, ובנפרד 8 כדורים נוספים.</w:t>
      </w:r>
    </w:p>
    <w:p w14:paraId="766C36F6" w14:textId="77777777" w:rsidR="0038082F" w:rsidRPr="00A809AA" w:rsidRDefault="0038082F" w:rsidP="0038082F">
      <w:pPr>
        <w:spacing w:line="360" w:lineRule="auto"/>
        <w:ind w:left="720"/>
        <w:contextualSpacing/>
        <w:jc w:val="both"/>
        <w:rPr>
          <w:rFonts w:ascii="David" w:eastAsia="Calibri" w:hAnsi="David"/>
          <w:rtl/>
        </w:rPr>
      </w:pPr>
      <w:r w:rsidRPr="00A809AA">
        <w:rPr>
          <w:rFonts w:ascii="David" w:eastAsia="Calibri" w:hAnsi="David"/>
          <w:rtl/>
        </w:rPr>
        <w:t xml:space="preserve">עניינו של הנאשם חמור מזה של המשיב בשים לב לכמותם וסוגם של אמצעי הלחימה שהחזיק. מנגד, הנאשם הורשע בהחזקת אמצעי הלחימה בעוד שהמשיב הורשע אף בהובלת אמצעי הלחימה ונשא לצד הנשק גם תחמושת באופן שאפשר שימוש מיידי בנשק. </w:t>
      </w:r>
    </w:p>
    <w:p w14:paraId="3085652B" w14:textId="77777777" w:rsidR="0038082F" w:rsidRPr="00A809AA" w:rsidRDefault="0038082F" w:rsidP="0038082F">
      <w:pPr>
        <w:spacing w:line="360" w:lineRule="auto"/>
        <w:ind w:left="720"/>
        <w:contextualSpacing/>
        <w:jc w:val="both"/>
        <w:rPr>
          <w:rFonts w:ascii="David" w:eastAsia="Calibri" w:hAnsi="David"/>
          <w:rtl/>
        </w:rPr>
      </w:pPr>
      <w:r w:rsidRPr="00A809AA">
        <w:rPr>
          <w:rFonts w:ascii="David" w:eastAsia="Calibri" w:hAnsi="David"/>
          <w:rtl/>
        </w:rPr>
        <w:t>בשונה מהנאשם, המשיב היה בעל עבר פלילי ישן, בן למעלה מ-19 שנים, בגינו ריצה עונשי מאסר, הגם שבשנים האחרונות השתקם. עוד בשונה מהנאשם המשיב הודה ולא ניהל הוכחות, וביצע את העבירה קודם לתיקון החוק.</w:t>
      </w:r>
    </w:p>
    <w:p w14:paraId="0886E862" w14:textId="77777777" w:rsidR="0038082F" w:rsidRPr="00A809AA" w:rsidRDefault="0038082F" w:rsidP="0038082F">
      <w:pPr>
        <w:spacing w:line="360" w:lineRule="auto"/>
        <w:ind w:left="720"/>
        <w:contextualSpacing/>
        <w:jc w:val="both"/>
        <w:rPr>
          <w:rFonts w:ascii="David" w:eastAsia="Calibri" w:hAnsi="David"/>
        </w:rPr>
      </w:pPr>
    </w:p>
    <w:p w14:paraId="3A8DAF33" w14:textId="77777777" w:rsidR="0038082F" w:rsidRPr="00A809AA" w:rsidRDefault="0038082F" w:rsidP="0038082F">
      <w:pPr>
        <w:numPr>
          <w:ilvl w:val="0"/>
          <w:numId w:val="2"/>
        </w:numPr>
        <w:spacing w:after="160" w:line="360" w:lineRule="auto"/>
        <w:contextualSpacing/>
        <w:jc w:val="both"/>
        <w:rPr>
          <w:rFonts w:ascii="David" w:eastAsia="Calibri" w:hAnsi="David"/>
          <w:rtl/>
        </w:rPr>
      </w:pPr>
      <w:r w:rsidRPr="00A809AA">
        <w:rPr>
          <w:rFonts w:ascii="David" w:eastAsia="Calibri" w:hAnsi="David"/>
          <w:rtl/>
        </w:rPr>
        <w:t>ב</w:t>
      </w:r>
      <w:hyperlink r:id="rId31" w:history="1">
        <w:r w:rsidR="007D51D3" w:rsidRPr="007D51D3">
          <w:rPr>
            <w:rFonts w:ascii="David" w:eastAsia="Calibri" w:hAnsi="David"/>
            <w:color w:val="0000FF"/>
            <w:u w:val="single"/>
            <w:rtl/>
          </w:rPr>
          <w:t>ע"פ 5813/21</w:t>
        </w:r>
      </w:hyperlink>
      <w:r w:rsidRPr="00A809AA">
        <w:rPr>
          <w:rFonts w:ascii="David" w:eastAsia="Calibri" w:hAnsi="David"/>
          <w:rtl/>
        </w:rPr>
        <w:t xml:space="preserve"> 5896/21 </w:t>
      </w:r>
      <w:r w:rsidRPr="00A809AA">
        <w:rPr>
          <w:rFonts w:ascii="David" w:eastAsia="Calibri" w:hAnsi="David"/>
          <w:b/>
          <w:bCs/>
          <w:rtl/>
        </w:rPr>
        <w:t>ג'בארין נ' מדינת ישראל</w:t>
      </w:r>
      <w:r w:rsidRPr="00A809AA">
        <w:rPr>
          <w:rFonts w:ascii="David" w:eastAsia="Calibri" w:hAnsi="David"/>
          <w:rtl/>
        </w:rPr>
        <w:t xml:space="preserve"> (31.5.2022) הותיר בית המשפט העליון על כנו עונשים של 21 ו-18 חודשי מאסר בפועל, שגזר על שני המערערים בית המשפט המחוזי. שני המערערים הורשעו בכך שהחזיקו ברכב בצוותא, שלא כדין, ברובה ציד דו קני, המסוגל לירות כדור שבכוחו להמית אדם, ושהיה טעון בשני כדורי תחמושת תואמים. עוד נמצאה ברכב חגורה ייעודית לתחמושת ובתוכה 17 כדורים המתאימים לרובה. </w:t>
      </w:r>
    </w:p>
    <w:p w14:paraId="688708D3" w14:textId="77777777" w:rsidR="0038082F" w:rsidRPr="00A809AA" w:rsidRDefault="0038082F" w:rsidP="0038082F">
      <w:pPr>
        <w:spacing w:line="360" w:lineRule="auto"/>
        <w:ind w:left="720"/>
        <w:contextualSpacing/>
        <w:jc w:val="both"/>
        <w:rPr>
          <w:rFonts w:ascii="David" w:eastAsia="Calibri" w:hAnsi="David"/>
        </w:rPr>
      </w:pPr>
      <w:r w:rsidRPr="00A809AA">
        <w:rPr>
          <w:rFonts w:ascii="David" w:eastAsia="Calibri" w:hAnsi="David"/>
          <w:rtl/>
        </w:rPr>
        <w:t xml:space="preserve">בית המשפט העליון עמד באריכות על חומרתה של עבירת החזקת הנשק, אף כשמדובר ברובה ציד "בלבד". </w:t>
      </w:r>
    </w:p>
    <w:p w14:paraId="1F6A6391" w14:textId="77777777" w:rsidR="0038082F" w:rsidRPr="00A809AA" w:rsidRDefault="0038082F" w:rsidP="0038082F">
      <w:pPr>
        <w:spacing w:line="360" w:lineRule="auto"/>
        <w:ind w:left="720"/>
        <w:contextualSpacing/>
        <w:jc w:val="both"/>
        <w:rPr>
          <w:rFonts w:ascii="David" w:eastAsia="Calibri" w:hAnsi="David"/>
          <w:rtl/>
        </w:rPr>
      </w:pPr>
      <w:r w:rsidRPr="00A809AA">
        <w:rPr>
          <w:rFonts w:ascii="David" w:eastAsia="Calibri" w:hAnsi="David"/>
          <w:rtl/>
        </w:rPr>
        <w:t>עניינו של הנאשם חמור עשרות מונים מעניינם של המערערים, בשים לב לכמות ולסוג הנשק שהחזיק הנאשם. הנאשם החזיק, בין היתר, בפצצת מרגמה ובתת מקלע מאולתר, אמצעי לחימה שנועדו לתקיפה והם בעלי פוטנציאל נזק חמור ועצמתי. זאת בהשוואה למערערים שהחזיקו ברובה ציד, שהגם שבכוחו להמית אדם אין זה ייעודו הבלעדי. בנוסף החזיק הנאשם בארבעה רימוני יד וברימון הלם.</w:t>
      </w:r>
    </w:p>
    <w:p w14:paraId="4F7A6E24" w14:textId="77777777" w:rsidR="0038082F" w:rsidRPr="00A809AA" w:rsidRDefault="0038082F" w:rsidP="0038082F">
      <w:pPr>
        <w:spacing w:line="360" w:lineRule="auto"/>
        <w:ind w:left="720"/>
        <w:contextualSpacing/>
        <w:jc w:val="both"/>
        <w:rPr>
          <w:rFonts w:ascii="David" w:eastAsia="Calibri" w:hAnsi="David"/>
          <w:rtl/>
        </w:rPr>
      </w:pPr>
      <w:r w:rsidRPr="00A809AA">
        <w:rPr>
          <w:rFonts w:ascii="David" w:eastAsia="Calibri" w:hAnsi="David"/>
          <w:rtl/>
        </w:rPr>
        <w:t xml:space="preserve">בשונה מהנאשם היו המערערים בעלי עבר פלילי לא מבוטל שבא לביטוי בעונשם. </w:t>
      </w:r>
    </w:p>
    <w:p w14:paraId="26E04B53" w14:textId="77777777" w:rsidR="0038082F" w:rsidRPr="00A809AA" w:rsidRDefault="0038082F" w:rsidP="0038082F">
      <w:pPr>
        <w:spacing w:line="360" w:lineRule="auto"/>
        <w:ind w:left="720"/>
        <w:contextualSpacing/>
        <w:jc w:val="both"/>
        <w:rPr>
          <w:rFonts w:ascii="David" w:eastAsia="Calibri" w:hAnsi="David"/>
          <w:highlight w:val="yellow"/>
          <w:rtl/>
        </w:rPr>
      </w:pPr>
    </w:p>
    <w:p w14:paraId="05B66661" w14:textId="77777777" w:rsidR="0038082F" w:rsidRPr="00A809AA" w:rsidRDefault="0038082F" w:rsidP="0038082F">
      <w:pPr>
        <w:numPr>
          <w:ilvl w:val="0"/>
          <w:numId w:val="2"/>
        </w:numPr>
        <w:spacing w:after="160" w:line="360" w:lineRule="auto"/>
        <w:contextualSpacing/>
        <w:jc w:val="both"/>
        <w:rPr>
          <w:rFonts w:ascii="David" w:eastAsia="Calibri" w:hAnsi="David"/>
        </w:rPr>
      </w:pPr>
      <w:r w:rsidRPr="00A809AA">
        <w:rPr>
          <w:rFonts w:ascii="David" w:eastAsia="Calibri" w:hAnsi="David"/>
          <w:rtl/>
        </w:rPr>
        <w:t xml:space="preserve">במסגרת </w:t>
      </w:r>
      <w:hyperlink r:id="rId32" w:history="1">
        <w:r w:rsidR="007D51D3" w:rsidRPr="007D51D3">
          <w:rPr>
            <w:rFonts w:ascii="David" w:eastAsia="Calibri" w:hAnsi="David"/>
            <w:color w:val="0000FF"/>
            <w:u w:val="single"/>
            <w:rtl/>
          </w:rPr>
          <w:t>רע"פ 2406/16</w:t>
        </w:r>
      </w:hyperlink>
      <w:r w:rsidRPr="00A809AA">
        <w:rPr>
          <w:rFonts w:ascii="David" w:eastAsia="Calibri" w:hAnsi="David"/>
          <w:rtl/>
        </w:rPr>
        <w:t xml:space="preserve"> </w:t>
      </w:r>
      <w:r w:rsidRPr="00A809AA">
        <w:rPr>
          <w:rFonts w:ascii="David" w:eastAsia="Calibri" w:hAnsi="David"/>
          <w:b/>
          <w:bCs/>
          <w:rtl/>
        </w:rPr>
        <w:t>יונגר נ' מדינת ישראל</w:t>
      </w:r>
      <w:r w:rsidRPr="00A809AA">
        <w:rPr>
          <w:rFonts w:ascii="David" w:eastAsia="Calibri" w:hAnsi="David"/>
          <w:rtl/>
        </w:rPr>
        <w:t xml:space="preserve"> (29.9.2016) </w:t>
      </w:r>
      <w:r>
        <w:rPr>
          <w:rFonts w:ascii="David" w:eastAsia="Calibri" w:hAnsi="David" w:hint="cs"/>
          <w:rtl/>
        </w:rPr>
        <w:t>דחה</w:t>
      </w:r>
      <w:r w:rsidRPr="00A809AA">
        <w:rPr>
          <w:rFonts w:ascii="David" w:eastAsia="Calibri" w:hAnsi="David"/>
          <w:rtl/>
        </w:rPr>
        <w:t xml:space="preserve"> בית המשפט העליון</w:t>
      </w:r>
      <w:r>
        <w:rPr>
          <w:rFonts w:ascii="David" w:eastAsia="Calibri" w:hAnsi="David" w:hint="cs"/>
          <w:rtl/>
        </w:rPr>
        <w:t xml:space="preserve"> בקשת רשות ערעור על</w:t>
      </w:r>
      <w:r>
        <w:rPr>
          <w:rFonts w:ascii="David" w:eastAsia="Calibri" w:hAnsi="David"/>
          <w:rtl/>
        </w:rPr>
        <w:t xml:space="preserve"> </w:t>
      </w:r>
      <w:r w:rsidRPr="00A809AA">
        <w:rPr>
          <w:rFonts w:ascii="David" w:eastAsia="Calibri" w:hAnsi="David"/>
          <w:rtl/>
        </w:rPr>
        <w:t>החלטת בית המשפט המחוזי, שדחה את עתירתו של המערער, עליו גזר בית משפט השלום 48 חודשי מאסר בפועל, לצד מאסר מותנה וקנס בסך 3,000 ₪. זאת, לאחר שקבע שמתחם הענישה בעניינו נע בין 24 ל-60 חודשי מאסר בפועל.</w:t>
      </w:r>
    </w:p>
    <w:p w14:paraId="418245B2" w14:textId="77777777" w:rsidR="0038082F" w:rsidRPr="00A809AA" w:rsidRDefault="0038082F" w:rsidP="0038082F">
      <w:pPr>
        <w:spacing w:line="360" w:lineRule="auto"/>
        <w:ind w:left="720"/>
        <w:contextualSpacing/>
        <w:jc w:val="both"/>
        <w:rPr>
          <w:rFonts w:ascii="David" w:eastAsia="Calibri" w:hAnsi="David"/>
        </w:rPr>
      </w:pPr>
      <w:r w:rsidRPr="00A809AA">
        <w:rPr>
          <w:rFonts w:ascii="David" w:eastAsia="Calibri" w:hAnsi="David"/>
          <w:rtl/>
        </w:rPr>
        <w:t>המערער הורשע לאחר שמיעת ראיות בעבירות החזקת נשק וסמים לצריכה עצמית, בכך שהחזיק מטען חבלה אלחוטי מאולתר וקנביס במחסן ששימש אותו ואשר נמצא מתחת ליציע של אולם ספורט בבית ספר בו עבד. אולם הספורט שימש, בין היתר, את תלמידיו וכן ילדים המשתתפים בחוגים המתקיימים באולם.</w:t>
      </w:r>
    </w:p>
    <w:p w14:paraId="3DB888D1" w14:textId="77777777" w:rsidR="0038082F" w:rsidRPr="00A809AA" w:rsidRDefault="0038082F" w:rsidP="0038082F">
      <w:pPr>
        <w:spacing w:line="360" w:lineRule="auto"/>
        <w:ind w:left="720"/>
        <w:contextualSpacing/>
        <w:jc w:val="both"/>
        <w:rPr>
          <w:rFonts w:ascii="David" w:eastAsia="Calibri" w:hAnsi="David"/>
          <w:rtl/>
        </w:rPr>
      </w:pPr>
      <w:r w:rsidRPr="00A809AA">
        <w:rPr>
          <w:rFonts w:ascii="David" w:eastAsia="Calibri" w:hAnsi="David"/>
          <w:rtl/>
        </w:rPr>
        <w:t>בדומה למערער, גם הנאשם סיכן את העוברים והשבים באזור המחסן שבו החזיק באמצעי הלחימה, אם כי במידה פחותה קמעה נוכח היקף הפעילות המתקיימת בכל אחד מהשטחים הציבוריים הסמוכים למחסנים בהם הוחזקו אמצעי הלחימה. זאת ועוד, לחובתו של המשיב נזקפה עובדת היותו עובד בית הספר שאת הבאים בשעריו סיכן בעוד שהיה מופקד על שלומם וביטחונם. לצד זאת, בהשוואה למערער בהקשר זה, הנאשם החזיק כמות רבה יותר של אמצעי לחימה במחסן. עוד יוער כי מעשיו של המערער בוצעו לפני התיקון לחוק ולהעמקת המגמה בהחמרת הענישה בעבירות נשק.</w:t>
      </w:r>
    </w:p>
    <w:p w14:paraId="6B659AE1" w14:textId="77777777" w:rsidR="0038082F" w:rsidRPr="00A809AA" w:rsidRDefault="0038082F" w:rsidP="0038082F">
      <w:pPr>
        <w:spacing w:line="360" w:lineRule="auto"/>
        <w:ind w:left="720"/>
        <w:contextualSpacing/>
        <w:jc w:val="both"/>
        <w:rPr>
          <w:rFonts w:ascii="David" w:eastAsia="Calibri" w:hAnsi="David"/>
          <w:rtl/>
        </w:rPr>
      </w:pPr>
    </w:p>
    <w:p w14:paraId="33F3AB97" w14:textId="77777777" w:rsidR="0038082F" w:rsidRPr="00A809AA" w:rsidRDefault="0038082F" w:rsidP="0038082F">
      <w:pPr>
        <w:numPr>
          <w:ilvl w:val="0"/>
          <w:numId w:val="2"/>
        </w:numPr>
        <w:spacing w:after="160" w:line="360" w:lineRule="auto"/>
        <w:contextualSpacing/>
        <w:jc w:val="both"/>
        <w:rPr>
          <w:rFonts w:ascii="David" w:eastAsia="Calibri" w:hAnsi="David"/>
        </w:rPr>
      </w:pPr>
      <w:r w:rsidRPr="00A809AA">
        <w:rPr>
          <w:rFonts w:ascii="David" w:eastAsia="Calibri" w:hAnsi="David"/>
          <w:rtl/>
        </w:rPr>
        <w:t>ב</w:t>
      </w:r>
      <w:hyperlink r:id="rId33" w:history="1">
        <w:r w:rsidR="007D51D3" w:rsidRPr="007D51D3">
          <w:rPr>
            <w:rFonts w:ascii="David" w:eastAsia="Calibri" w:hAnsi="David"/>
            <w:color w:val="0000FF"/>
            <w:u w:val="single"/>
            <w:rtl/>
          </w:rPr>
          <w:t>ע"פ 7386/13</w:t>
        </w:r>
      </w:hyperlink>
      <w:r w:rsidRPr="00A809AA">
        <w:rPr>
          <w:rFonts w:ascii="David" w:eastAsia="Calibri" w:hAnsi="David"/>
          <w:rtl/>
        </w:rPr>
        <w:t xml:space="preserve"> </w:t>
      </w:r>
      <w:r w:rsidRPr="00A809AA">
        <w:rPr>
          <w:rFonts w:ascii="David" w:eastAsia="Calibri" w:hAnsi="David"/>
          <w:b/>
          <w:bCs/>
          <w:rtl/>
        </w:rPr>
        <w:t>חוסיין עווד נ' מדינת ישראל</w:t>
      </w:r>
      <w:r>
        <w:rPr>
          <w:rFonts w:ascii="David" w:eastAsia="Calibri" w:hAnsi="David"/>
          <w:rtl/>
        </w:rPr>
        <w:t xml:space="preserve"> (23.3.2014) הותיר </w:t>
      </w:r>
      <w:r w:rsidRPr="00A809AA">
        <w:rPr>
          <w:rFonts w:ascii="David" w:eastAsia="Calibri" w:hAnsi="David"/>
          <w:rtl/>
        </w:rPr>
        <w:t>בית המשפט העליון</w:t>
      </w:r>
      <w:r>
        <w:rPr>
          <w:rFonts w:ascii="David" w:eastAsia="Calibri" w:hAnsi="David" w:hint="cs"/>
          <w:rtl/>
        </w:rPr>
        <w:t xml:space="preserve"> על כנו</w:t>
      </w:r>
      <w:r w:rsidRPr="00A809AA">
        <w:rPr>
          <w:rFonts w:ascii="David" w:eastAsia="Calibri" w:hAnsi="David"/>
          <w:rtl/>
        </w:rPr>
        <w:t xml:space="preserve"> עונש 18 חודשי מאסר בפועל שגזר על המערער בית המשפט המחוזי. המערער הורשע בכך שביחד עם מעורבים נוס</w:t>
      </w:r>
      <w:r>
        <w:rPr>
          <w:rFonts w:ascii="David" w:eastAsia="Calibri" w:hAnsi="David"/>
          <w:rtl/>
        </w:rPr>
        <w:t>פים, החזיק וביצע עסקה ברימון הל</w:t>
      </w:r>
      <w:r>
        <w:rPr>
          <w:rFonts w:ascii="David" w:eastAsia="Calibri" w:hAnsi="David" w:hint="cs"/>
          <w:rtl/>
        </w:rPr>
        <w:t>ם</w:t>
      </w:r>
      <w:r w:rsidRPr="00A809AA">
        <w:rPr>
          <w:rFonts w:ascii="David" w:eastAsia="Calibri" w:hAnsi="David"/>
          <w:rtl/>
        </w:rPr>
        <w:t xml:space="preserve">, בכך שמסר את הרימון לאחר. </w:t>
      </w:r>
    </w:p>
    <w:p w14:paraId="260A9174" w14:textId="77777777" w:rsidR="0038082F" w:rsidRPr="00A809AA" w:rsidRDefault="0038082F" w:rsidP="0038082F">
      <w:pPr>
        <w:spacing w:line="360" w:lineRule="auto"/>
        <w:ind w:left="720"/>
        <w:contextualSpacing/>
        <w:jc w:val="both"/>
        <w:rPr>
          <w:rFonts w:ascii="David" w:eastAsia="Calibri" w:hAnsi="David"/>
        </w:rPr>
      </w:pPr>
      <w:r w:rsidRPr="00A809AA">
        <w:rPr>
          <w:rFonts w:ascii="David" w:eastAsia="Calibri" w:hAnsi="David"/>
          <w:rtl/>
        </w:rPr>
        <w:t xml:space="preserve">המערער הורשע, בנוסף לעבירת החזקה, גם בביצוע עסקה בנשק, עבירה חמורה מזו שבה הורשע הנאשם. עם זאת, </w:t>
      </w:r>
      <w:r>
        <w:rPr>
          <w:rFonts w:ascii="David" w:eastAsia="Calibri" w:hAnsi="David" w:hint="cs"/>
          <w:rtl/>
        </w:rPr>
        <w:t>ההחזקה ו</w:t>
      </w:r>
      <w:r>
        <w:rPr>
          <w:rFonts w:ascii="David" w:eastAsia="Calibri" w:hAnsi="David"/>
          <w:rtl/>
        </w:rPr>
        <w:t xml:space="preserve">העסקה </w:t>
      </w:r>
      <w:r>
        <w:rPr>
          <w:rFonts w:ascii="David" w:eastAsia="Calibri" w:hAnsi="David" w:hint="cs"/>
          <w:rtl/>
        </w:rPr>
        <w:t>נעשו</w:t>
      </w:r>
      <w:r w:rsidRPr="00A809AA">
        <w:rPr>
          <w:rFonts w:ascii="David" w:eastAsia="Calibri" w:hAnsi="David"/>
          <w:rtl/>
        </w:rPr>
        <w:t xml:space="preserve"> ברימון הלם אחד בלבד, בעוד שהנאשם החזיק בנוסף על רימון ההלם אמצעי לחימה נוספים, שעוצמת מסוכנותם ופוטנציאל הנזק הקטלני הטמון בהם משמעותי בהרבה – פצצת מרגמה, תת מקלע מאולתר וארבעה רימוני יד.</w:t>
      </w:r>
    </w:p>
    <w:p w14:paraId="7E7AE18F" w14:textId="77777777" w:rsidR="0038082F" w:rsidRPr="00A809AA" w:rsidRDefault="0038082F" w:rsidP="0038082F">
      <w:pPr>
        <w:spacing w:line="360" w:lineRule="auto"/>
        <w:ind w:left="720"/>
        <w:contextualSpacing/>
        <w:jc w:val="both"/>
        <w:rPr>
          <w:rFonts w:ascii="David" w:eastAsia="Calibri" w:hAnsi="David"/>
          <w:rtl/>
        </w:rPr>
      </w:pPr>
    </w:p>
    <w:p w14:paraId="4B2C23A9" w14:textId="77777777" w:rsidR="0038082F" w:rsidRPr="00A809AA" w:rsidRDefault="0038082F" w:rsidP="0038082F">
      <w:pPr>
        <w:numPr>
          <w:ilvl w:val="0"/>
          <w:numId w:val="1"/>
        </w:numPr>
        <w:spacing w:after="160" w:line="360" w:lineRule="auto"/>
        <w:contextualSpacing/>
        <w:jc w:val="both"/>
        <w:rPr>
          <w:rFonts w:ascii="David" w:eastAsia="Calibri" w:hAnsi="David"/>
          <w:strike/>
        </w:rPr>
      </w:pPr>
      <w:r w:rsidRPr="00A809AA">
        <w:rPr>
          <w:rFonts w:ascii="David" w:eastAsia="Calibri" w:hAnsi="David"/>
          <w:rtl/>
        </w:rPr>
        <w:t>קראתי בעיון את מכלול הפסיקה שהגישו ב"כ המאשימה וההגנה לרבות פסקי הדין שנסיבותיהם – בשים לב לנסיבות ביצוע העבירות, מועד מתן פסק הדין, חומרת, סוג ומניין העבירות – קרובות פחות לענייננו.</w:t>
      </w:r>
    </w:p>
    <w:p w14:paraId="7760D5D8" w14:textId="77777777" w:rsidR="0038082F" w:rsidRPr="00A809AA" w:rsidRDefault="0038082F" w:rsidP="0038082F">
      <w:pPr>
        <w:spacing w:line="360" w:lineRule="auto"/>
        <w:ind w:left="720"/>
        <w:contextualSpacing/>
        <w:jc w:val="both"/>
        <w:rPr>
          <w:rFonts w:ascii="David" w:eastAsia="Calibri" w:hAnsi="David"/>
        </w:rPr>
      </w:pPr>
    </w:p>
    <w:p w14:paraId="58F8BC4C" w14:textId="77777777" w:rsidR="0038082F" w:rsidRPr="00A809AA" w:rsidRDefault="0038082F" w:rsidP="0038082F">
      <w:pPr>
        <w:numPr>
          <w:ilvl w:val="0"/>
          <w:numId w:val="1"/>
        </w:numPr>
        <w:spacing w:after="160" w:line="360" w:lineRule="auto"/>
        <w:contextualSpacing/>
        <w:jc w:val="both"/>
        <w:rPr>
          <w:rFonts w:ascii="David" w:eastAsia="Calibri" w:hAnsi="David"/>
          <w:rtl/>
        </w:rPr>
      </w:pPr>
      <w:r w:rsidRPr="00A809AA">
        <w:rPr>
          <w:rFonts w:ascii="David" w:eastAsia="Calibri" w:hAnsi="David"/>
          <w:rtl/>
        </w:rPr>
        <w:t>בבחינת הפסיקה הנוהגת נבחנה גם מדיניות הענישה הנוהגת ביחס לעבירות הסמים החמורות שביצע הנאשם, בנסיבותיהן, ובמיוחד סוג הסמים וכמותם. בחינת הפסיקה מלמדת כי בתי המשפט נוהגים לגזור, בנסיבות דומות, עונשי מאסר ממשיים, לתקופות משתנות (ראו:</w:t>
      </w:r>
      <w:r w:rsidRPr="00A809AA">
        <w:rPr>
          <w:rFonts w:ascii="Calibri" w:eastAsia="Calibri" w:hAnsi="Calibri" w:cs="Arial"/>
          <w:sz w:val="22"/>
          <w:szCs w:val="22"/>
          <w:rtl/>
        </w:rPr>
        <w:t xml:space="preserve"> </w:t>
      </w:r>
      <w:r w:rsidRPr="00A809AA">
        <w:rPr>
          <w:rFonts w:ascii="David" w:eastAsia="Calibri" w:hAnsi="David"/>
          <w:rtl/>
        </w:rPr>
        <w:t xml:space="preserve">רשע"פ </w:t>
      </w:r>
      <w:hyperlink r:id="rId34" w:history="1">
        <w:r w:rsidR="00346A62" w:rsidRPr="00346A62">
          <w:rPr>
            <w:rFonts w:ascii="David" w:eastAsia="Calibri" w:hAnsi="David"/>
            <w:color w:val="0000FF"/>
            <w:u w:val="single"/>
            <w:rtl/>
          </w:rPr>
          <w:t xml:space="preserve">6160/18 </w:t>
        </w:r>
      </w:hyperlink>
      <w:r w:rsidRPr="00A809AA">
        <w:rPr>
          <w:rFonts w:ascii="David" w:eastAsia="Calibri" w:hAnsi="David"/>
          <w:rtl/>
        </w:rPr>
        <w:t xml:space="preserve"> </w:t>
      </w:r>
      <w:r w:rsidRPr="00A809AA">
        <w:rPr>
          <w:rFonts w:ascii="David" w:eastAsia="Calibri" w:hAnsi="David"/>
          <w:b/>
          <w:bCs/>
          <w:rtl/>
        </w:rPr>
        <w:t>מרואין נ' מדינת ישראל</w:t>
      </w:r>
      <w:r w:rsidRPr="00A809AA">
        <w:rPr>
          <w:rFonts w:ascii="David" w:eastAsia="Calibri" w:hAnsi="David"/>
          <w:rtl/>
        </w:rPr>
        <w:t xml:space="preserve"> (5.9.2018); </w:t>
      </w:r>
      <w:hyperlink r:id="rId35" w:history="1">
        <w:r w:rsidR="007D51D3" w:rsidRPr="007D51D3">
          <w:rPr>
            <w:rFonts w:ascii="David" w:eastAsia="Calibri" w:hAnsi="David"/>
            <w:color w:val="0000FF"/>
            <w:u w:val="single"/>
            <w:rtl/>
          </w:rPr>
          <w:t>רע"פ 5731/21</w:t>
        </w:r>
      </w:hyperlink>
      <w:r w:rsidRPr="00A809AA">
        <w:rPr>
          <w:rFonts w:ascii="David" w:eastAsia="Calibri" w:hAnsi="David"/>
          <w:rtl/>
        </w:rPr>
        <w:t xml:space="preserve"> </w:t>
      </w:r>
      <w:r w:rsidRPr="00A809AA">
        <w:rPr>
          <w:rFonts w:ascii="David" w:eastAsia="Calibri" w:hAnsi="David"/>
          <w:b/>
          <w:bCs/>
          <w:rtl/>
        </w:rPr>
        <w:t xml:space="preserve">אבו סרחאן נ' מדינת ישראל </w:t>
      </w:r>
      <w:r w:rsidRPr="00A809AA">
        <w:rPr>
          <w:rFonts w:ascii="David" w:eastAsia="Calibri" w:hAnsi="David"/>
          <w:rtl/>
        </w:rPr>
        <w:t>(22.8.2021);</w:t>
      </w:r>
      <w:r w:rsidRPr="00A809AA">
        <w:rPr>
          <w:rFonts w:ascii="Calibri" w:eastAsia="Calibri" w:hAnsi="Calibri" w:cs="Arial"/>
          <w:sz w:val="22"/>
          <w:szCs w:val="22"/>
          <w:rtl/>
        </w:rPr>
        <w:t xml:space="preserve"> </w:t>
      </w:r>
      <w:hyperlink r:id="rId36" w:history="1">
        <w:r w:rsidR="007D51D3" w:rsidRPr="007D51D3">
          <w:rPr>
            <w:rFonts w:ascii="David" w:eastAsia="Calibri" w:hAnsi="David"/>
            <w:color w:val="0000FF"/>
            <w:u w:val="single"/>
            <w:rtl/>
          </w:rPr>
          <w:t>רע"פ 1830/16</w:t>
        </w:r>
      </w:hyperlink>
      <w:r w:rsidRPr="00A809AA">
        <w:rPr>
          <w:rFonts w:ascii="David" w:eastAsia="Calibri" w:hAnsi="David"/>
          <w:rtl/>
        </w:rPr>
        <w:t xml:space="preserve"> </w:t>
      </w:r>
      <w:r w:rsidRPr="00A809AA">
        <w:rPr>
          <w:rFonts w:ascii="David" w:eastAsia="Calibri" w:hAnsi="David"/>
          <w:b/>
          <w:bCs/>
          <w:rtl/>
        </w:rPr>
        <w:t xml:space="preserve">רקיבי נ' מדינת ישראל </w:t>
      </w:r>
      <w:r w:rsidRPr="00A809AA">
        <w:rPr>
          <w:rFonts w:ascii="David" w:eastAsia="Calibri" w:hAnsi="David"/>
          <w:rtl/>
        </w:rPr>
        <w:t>(11.4.2016);</w:t>
      </w:r>
      <w:r w:rsidRPr="00A809AA">
        <w:rPr>
          <w:rFonts w:ascii="Calibri" w:eastAsia="Calibri" w:hAnsi="Calibri" w:cs="Arial"/>
          <w:sz w:val="22"/>
          <w:szCs w:val="22"/>
          <w:rtl/>
        </w:rPr>
        <w:t xml:space="preserve"> </w:t>
      </w:r>
      <w:hyperlink r:id="rId37" w:history="1">
        <w:r w:rsidR="007D51D3" w:rsidRPr="007D51D3">
          <w:rPr>
            <w:rFonts w:ascii="David" w:eastAsia="Calibri" w:hAnsi="David"/>
            <w:color w:val="0000FF"/>
            <w:u w:val="single"/>
            <w:rtl/>
          </w:rPr>
          <w:t>רע"פ 5712/16</w:t>
        </w:r>
      </w:hyperlink>
      <w:r w:rsidRPr="00A809AA">
        <w:rPr>
          <w:rFonts w:ascii="David" w:eastAsia="Calibri" w:hAnsi="David"/>
          <w:rtl/>
        </w:rPr>
        <w:t xml:space="preserve"> </w:t>
      </w:r>
      <w:r w:rsidRPr="00A809AA">
        <w:rPr>
          <w:rFonts w:ascii="David" w:eastAsia="Calibri" w:hAnsi="David"/>
          <w:b/>
          <w:bCs/>
          <w:rtl/>
        </w:rPr>
        <w:t xml:space="preserve">יצחק אייזנבאך נ' מדינת ישראל </w:t>
      </w:r>
      <w:r w:rsidRPr="00A809AA">
        <w:rPr>
          <w:rFonts w:ascii="David" w:eastAsia="Calibri" w:hAnsi="David"/>
          <w:rtl/>
        </w:rPr>
        <w:t xml:space="preserve">(17.08.2016); </w:t>
      </w:r>
      <w:hyperlink r:id="rId38" w:history="1">
        <w:r w:rsidR="007D51D3" w:rsidRPr="007D51D3">
          <w:rPr>
            <w:rFonts w:ascii="David" w:eastAsia="Calibri" w:hAnsi="David"/>
            <w:color w:val="0000FF"/>
            <w:u w:val="single"/>
            <w:rtl/>
          </w:rPr>
          <w:t>ת"פ 38478-03-19</w:t>
        </w:r>
      </w:hyperlink>
      <w:r w:rsidRPr="00A809AA">
        <w:rPr>
          <w:rFonts w:ascii="David" w:eastAsia="Calibri" w:hAnsi="David"/>
          <w:rtl/>
        </w:rPr>
        <w:t xml:space="preserve"> </w:t>
      </w:r>
      <w:r w:rsidRPr="00A809AA">
        <w:rPr>
          <w:rFonts w:ascii="David" w:eastAsia="Calibri" w:hAnsi="David"/>
          <w:b/>
          <w:bCs/>
          <w:rtl/>
        </w:rPr>
        <w:t>מדינת ישראל נ' בדיחי</w:t>
      </w:r>
      <w:r w:rsidRPr="00A809AA">
        <w:rPr>
          <w:rFonts w:ascii="David" w:eastAsia="Calibri" w:hAnsi="David"/>
          <w:rtl/>
        </w:rPr>
        <w:t xml:space="preserve"> (3.11.2019); </w:t>
      </w:r>
      <w:hyperlink r:id="rId39" w:history="1">
        <w:r w:rsidR="007D51D3" w:rsidRPr="007D51D3">
          <w:rPr>
            <w:rFonts w:ascii="David" w:eastAsia="Calibri" w:hAnsi="David"/>
            <w:color w:val="0000FF"/>
            <w:u w:val="single"/>
            <w:rtl/>
          </w:rPr>
          <w:t>עפ"ג 51345-12-11</w:t>
        </w:r>
      </w:hyperlink>
      <w:r w:rsidRPr="00A809AA">
        <w:rPr>
          <w:rFonts w:ascii="David" w:eastAsia="Calibri" w:hAnsi="David"/>
          <w:rtl/>
        </w:rPr>
        <w:t xml:space="preserve"> </w:t>
      </w:r>
      <w:r w:rsidRPr="00A809AA">
        <w:rPr>
          <w:rFonts w:ascii="David" w:eastAsia="Calibri" w:hAnsi="David"/>
          <w:b/>
          <w:bCs/>
          <w:rtl/>
        </w:rPr>
        <w:t>מדינת ישראל נ' תמם</w:t>
      </w:r>
      <w:r w:rsidRPr="00A809AA">
        <w:rPr>
          <w:rFonts w:ascii="David" w:eastAsia="Calibri" w:hAnsi="David"/>
          <w:rtl/>
        </w:rPr>
        <w:t xml:space="preserve"> (7.3.2012)). </w:t>
      </w:r>
    </w:p>
    <w:p w14:paraId="595CA120" w14:textId="77777777" w:rsidR="0038082F" w:rsidRPr="00A809AA" w:rsidRDefault="0038082F" w:rsidP="0038082F">
      <w:pPr>
        <w:spacing w:line="360" w:lineRule="auto"/>
        <w:jc w:val="both"/>
        <w:rPr>
          <w:rFonts w:ascii="David" w:eastAsia="Calibri" w:hAnsi="David"/>
        </w:rPr>
      </w:pPr>
    </w:p>
    <w:p w14:paraId="519E2995" w14:textId="77777777" w:rsidR="0038082F" w:rsidRPr="00A809AA" w:rsidRDefault="0038082F" w:rsidP="0038082F">
      <w:pPr>
        <w:numPr>
          <w:ilvl w:val="0"/>
          <w:numId w:val="1"/>
        </w:numPr>
        <w:spacing w:after="160" w:line="360" w:lineRule="auto"/>
        <w:contextualSpacing/>
        <w:jc w:val="both"/>
        <w:rPr>
          <w:rFonts w:ascii="David" w:eastAsia="Calibri" w:hAnsi="David"/>
          <w:rtl/>
        </w:rPr>
      </w:pPr>
      <w:r w:rsidRPr="00A809AA">
        <w:rPr>
          <w:rFonts w:ascii="David" w:eastAsia="Calibri" w:hAnsi="David"/>
          <w:rtl/>
        </w:rPr>
        <w:t>לאור כל האמור לעיל, בשים לב לערכים החברתיים המוגנים ולעוצמת הפגיעה בהם, תוך מתן משקל למכלול נסיבות האירוע, ובהתאם למדיניות הענישה הנוהגת, אני קובע כי מתחם העונש ההולם באירוע זה, בהתייחס לעבירות הנשק והסמים גם יחד, נע בין 4</w:t>
      </w:r>
      <w:r>
        <w:rPr>
          <w:rFonts w:ascii="David" w:eastAsia="Calibri" w:hAnsi="David" w:hint="cs"/>
          <w:rtl/>
        </w:rPr>
        <w:t>6</w:t>
      </w:r>
      <w:r w:rsidRPr="00A809AA">
        <w:rPr>
          <w:rFonts w:ascii="David" w:eastAsia="Calibri" w:hAnsi="David"/>
          <w:rtl/>
        </w:rPr>
        <w:t xml:space="preserve"> ל-60 חודשי מאסר בפועל.</w:t>
      </w:r>
    </w:p>
    <w:p w14:paraId="3BAE149E" w14:textId="77777777" w:rsidR="0038082F" w:rsidRPr="00A809AA" w:rsidRDefault="0038082F" w:rsidP="0038082F">
      <w:pPr>
        <w:spacing w:line="360" w:lineRule="auto"/>
        <w:jc w:val="both"/>
        <w:rPr>
          <w:rFonts w:ascii="David" w:eastAsia="Calibri" w:hAnsi="David"/>
          <w:rtl/>
        </w:rPr>
      </w:pPr>
    </w:p>
    <w:p w14:paraId="2059C2EC" w14:textId="77777777" w:rsidR="0038082F" w:rsidRPr="00A809AA" w:rsidRDefault="0038082F" w:rsidP="0038082F">
      <w:pPr>
        <w:spacing w:line="360" w:lineRule="auto"/>
        <w:rPr>
          <w:rFonts w:ascii="David" w:eastAsia="Calibri" w:hAnsi="David"/>
          <w:b/>
          <w:bCs/>
          <w:u w:val="single"/>
          <w:rtl/>
        </w:rPr>
      </w:pPr>
      <w:r w:rsidRPr="00A809AA">
        <w:rPr>
          <w:rFonts w:ascii="David" w:eastAsia="Calibri" w:hAnsi="David"/>
          <w:b/>
          <w:bCs/>
          <w:u w:val="single"/>
          <w:rtl/>
        </w:rPr>
        <w:t>גזירת העונש ההולם בתוך המתחם</w:t>
      </w:r>
    </w:p>
    <w:p w14:paraId="2E97A330" w14:textId="77777777" w:rsidR="0038082F" w:rsidRPr="00A809AA" w:rsidRDefault="0038082F" w:rsidP="0038082F">
      <w:pPr>
        <w:spacing w:line="360" w:lineRule="auto"/>
        <w:rPr>
          <w:rFonts w:ascii="David" w:eastAsia="Calibri" w:hAnsi="David"/>
          <w:rtl/>
        </w:rPr>
      </w:pPr>
    </w:p>
    <w:p w14:paraId="0A5C3EE9" w14:textId="77777777" w:rsidR="0038082F" w:rsidRPr="00A809AA" w:rsidRDefault="0038082F" w:rsidP="0038082F">
      <w:pPr>
        <w:numPr>
          <w:ilvl w:val="0"/>
          <w:numId w:val="1"/>
        </w:numPr>
        <w:spacing w:after="160" w:line="360" w:lineRule="auto"/>
        <w:contextualSpacing/>
        <w:rPr>
          <w:rFonts w:ascii="David" w:eastAsia="Calibri" w:hAnsi="David"/>
          <w:rtl/>
        </w:rPr>
      </w:pPr>
      <w:r w:rsidRPr="00A809AA">
        <w:rPr>
          <w:rFonts w:ascii="David" w:eastAsia="Calibri" w:hAnsi="David"/>
          <w:rtl/>
        </w:rPr>
        <w:t>במקרה דנן איני מוצא הצדקה לחריגה ממתחם העונש ההולם. לא לחומרה, בגין הגנה על שלום הציבור, ולא לקולה, בשל שיקולי שיקום.</w:t>
      </w:r>
    </w:p>
    <w:p w14:paraId="0FE6154A" w14:textId="77777777" w:rsidR="0038082F" w:rsidRPr="00A809AA" w:rsidRDefault="0038082F" w:rsidP="0038082F">
      <w:pPr>
        <w:spacing w:line="360" w:lineRule="auto"/>
        <w:ind w:left="720"/>
        <w:contextualSpacing/>
        <w:rPr>
          <w:rFonts w:ascii="David" w:eastAsia="Calibri" w:hAnsi="David"/>
        </w:rPr>
      </w:pPr>
    </w:p>
    <w:p w14:paraId="08CB648B" w14:textId="77777777" w:rsidR="0038082F" w:rsidRPr="00A809AA" w:rsidRDefault="0038082F" w:rsidP="0038082F">
      <w:pPr>
        <w:numPr>
          <w:ilvl w:val="0"/>
          <w:numId w:val="1"/>
        </w:numPr>
        <w:spacing w:after="160" w:line="360" w:lineRule="auto"/>
        <w:contextualSpacing/>
        <w:rPr>
          <w:rFonts w:ascii="David" w:eastAsia="Calibri" w:hAnsi="David"/>
        </w:rPr>
      </w:pPr>
      <w:r w:rsidRPr="00A809AA">
        <w:rPr>
          <w:rFonts w:ascii="David" w:eastAsia="Calibri" w:hAnsi="David"/>
          <w:rtl/>
        </w:rPr>
        <w:t xml:space="preserve">בגזירת העונש במסגרת המתחם יינתן משקל למכלול נסיבותיו האישיות של הנאשם. </w:t>
      </w:r>
    </w:p>
    <w:p w14:paraId="7DDCE5DC" w14:textId="77777777" w:rsidR="0038082F" w:rsidRPr="00A809AA" w:rsidRDefault="0038082F" w:rsidP="0038082F">
      <w:pPr>
        <w:spacing w:line="360" w:lineRule="auto"/>
        <w:ind w:left="720"/>
        <w:contextualSpacing/>
        <w:jc w:val="both"/>
        <w:rPr>
          <w:rFonts w:ascii="David" w:eastAsia="Calibri" w:hAnsi="David"/>
        </w:rPr>
      </w:pPr>
      <w:r w:rsidRPr="00A809AA">
        <w:rPr>
          <w:rFonts w:ascii="David" w:eastAsia="Calibri" w:hAnsi="David"/>
          <w:rtl/>
        </w:rPr>
        <w:t>הנאשם, יליד 1988, בעל עבר פלילי נקי. משקל הולם לקולה יינתן למצבו הרפואי והכלכלי, כפי שפורט על ידי ההגנה, ולנזק שיגרם למשפחתו, בפרט לארבעת ילדיו הקטינים, כתוצאה מריצוי עונשו.</w:t>
      </w:r>
    </w:p>
    <w:p w14:paraId="1E6B200F" w14:textId="77777777" w:rsidR="0038082F" w:rsidRPr="00A809AA" w:rsidRDefault="0038082F" w:rsidP="0038082F">
      <w:pPr>
        <w:spacing w:line="360" w:lineRule="auto"/>
        <w:ind w:left="720"/>
        <w:contextualSpacing/>
        <w:jc w:val="both"/>
        <w:rPr>
          <w:rFonts w:ascii="David" w:eastAsia="Calibri" w:hAnsi="David"/>
        </w:rPr>
      </w:pPr>
      <w:r w:rsidRPr="00A809AA">
        <w:rPr>
          <w:rFonts w:ascii="David" w:eastAsia="Calibri" w:hAnsi="David"/>
          <w:rtl/>
        </w:rPr>
        <w:t>אמנם אין בעובדה שהנאשם ניהל את משפטו כדי להחמיר עמו את הדין לעניין עבירת הנשק, אך אין מקום להקל בעונשו כפי שנהוג לעשות כאשר נאשם נוטל אחריות למעשיו בראשית ההליך באופן שמאפשר חיסכון במשאבים ציבוריים.</w:t>
      </w:r>
      <w:r>
        <w:rPr>
          <w:rFonts w:ascii="David" w:eastAsia="Calibri" w:hAnsi="David" w:hint="cs"/>
          <w:rtl/>
        </w:rPr>
        <w:t xml:space="preserve"> לצד זאת,</w:t>
      </w:r>
      <w:r w:rsidRPr="00A809AA">
        <w:rPr>
          <w:rFonts w:ascii="David" w:eastAsia="Calibri" w:hAnsi="David"/>
          <w:rtl/>
        </w:rPr>
        <w:t xml:space="preserve"> משקל הולם לקולה יינתן להודאת הנאשם בעבירות הסמים. </w:t>
      </w:r>
    </w:p>
    <w:p w14:paraId="0EB9B219" w14:textId="77777777" w:rsidR="0038082F" w:rsidRPr="00A809AA" w:rsidRDefault="0038082F" w:rsidP="0038082F">
      <w:pPr>
        <w:spacing w:after="160" w:line="256" w:lineRule="auto"/>
        <w:ind w:left="720"/>
        <w:contextualSpacing/>
        <w:rPr>
          <w:rFonts w:ascii="David" w:eastAsia="Calibri" w:hAnsi="David"/>
          <w:highlight w:val="yellow"/>
        </w:rPr>
      </w:pPr>
    </w:p>
    <w:p w14:paraId="04F229F9" w14:textId="77777777" w:rsidR="0038082F" w:rsidRPr="00A809AA" w:rsidRDefault="0038082F" w:rsidP="0038082F">
      <w:pPr>
        <w:spacing w:line="360" w:lineRule="auto"/>
        <w:rPr>
          <w:rFonts w:ascii="David" w:eastAsia="Calibri" w:hAnsi="David"/>
          <w:b/>
          <w:bCs/>
          <w:sz w:val="28"/>
          <w:szCs w:val="28"/>
          <w:u w:val="single"/>
          <w:rtl/>
        </w:rPr>
      </w:pPr>
      <w:r w:rsidRPr="00A809AA">
        <w:rPr>
          <w:rFonts w:ascii="David" w:eastAsia="Calibri" w:hAnsi="David"/>
          <w:b/>
          <w:bCs/>
          <w:sz w:val="28"/>
          <w:szCs w:val="28"/>
          <w:u w:val="single"/>
          <w:rtl/>
        </w:rPr>
        <w:t>הוצאות</w:t>
      </w:r>
    </w:p>
    <w:p w14:paraId="5940F478" w14:textId="77777777" w:rsidR="0038082F" w:rsidRPr="00A809AA" w:rsidRDefault="0038082F" w:rsidP="0038082F">
      <w:pPr>
        <w:numPr>
          <w:ilvl w:val="0"/>
          <w:numId w:val="1"/>
        </w:numPr>
        <w:spacing w:after="160" w:line="360" w:lineRule="auto"/>
        <w:contextualSpacing/>
        <w:jc w:val="both"/>
        <w:rPr>
          <w:rFonts w:ascii="David" w:eastAsia="Calibri" w:hAnsi="David"/>
          <w:rtl/>
        </w:rPr>
      </w:pPr>
      <w:r w:rsidRPr="00A809AA">
        <w:rPr>
          <w:rFonts w:ascii="David" w:eastAsia="Calibri" w:hAnsi="David"/>
          <w:rtl/>
        </w:rPr>
        <w:t xml:space="preserve">מבוטלות ההוצאות שהוטלו על ב"כ הנאשם בהחלטה מיום 24.5.2023. </w:t>
      </w:r>
    </w:p>
    <w:p w14:paraId="2BEF9695" w14:textId="77777777" w:rsidR="0038082F" w:rsidRPr="00A809AA" w:rsidRDefault="0038082F" w:rsidP="0038082F">
      <w:pPr>
        <w:spacing w:line="360" w:lineRule="auto"/>
        <w:rPr>
          <w:rFonts w:ascii="David" w:eastAsia="Calibri" w:hAnsi="David"/>
        </w:rPr>
      </w:pPr>
    </w:p>
    <w:p w14:paraId="217096B1" w14:textId="77777777" w:rsidR="0038082F" w:rsidRPr="00A809AA" w:rsidRDefault="0038082F" w:rsidP="0038082F">
      <w:pPr>
        <w:spacing w:line="360" w:lineRule="auto"/>
        <w:rPr>
          <w:rFonts w:ascii="David" w:eastAsia="Calibri" w:hAnsi="David"/>
          <w:b/>
          <w:bCs/>
          <w:sz w:val="28"/>
          <w:szCs w:val="28"/>
          <w:u w:val="single"/>
          <w:rtl/>
        </w:rPr>
      </w:pPr>
      <w:r w:rsidRPr="00A809AA">
        <w:rPr>
          <w:rFonts w:ascii="David" w:eastAsia="Calibri" w:hAnsi="David"/>
          <w:b/>
          <w:bCs/>
          <w:sz w:val="28"/>
          <w:szCs w:val="28"/>
          <w:u w:val="single"/>
          <w:rtl/>
        </w:rPr>
        <w:t>סוף דבר</w:t>
      </w:r>
    </w:p>
    <w:p w14:paraId="7751BF7E" w14:textId="77777777" w:rsidR="0038082F" w:rsidRPr="00A809AA" w:rsidRDefault="0038082F" w:rsidP="0038082F">
      <w:pPr>
        <w:spacing w:line="360" w:lineRule="auto"/>
        <w:rPr>
          <w:rFonts w:ascii="David" w:eastAsia="Calibri" w:hAnsi="David"/>
          <w:rtl/>
        </w:rPr>
      </w:pPr>
    </w:p>
    <w:p w14:paraId="162C31A6" w14:textId="77777777" w:rsidR="0038082F" w:rsidRPr="00A809AA" w:rsidRDefault="0038082F" w:rsidP="0038082F">
      <w:pPr>
        <w:numPr>
          <w:ilvl w:val="0"/>
          <w:numId w:val="1"/>
        </w:numPr>
        <w:spacing w:after="160" w:line="360" w:lineRule="auto"/>
        <w:contextualSpacing/>
        <w:rPr>
          <w:rFonts w:ascii="David" w:eastAsia="Calibri" w:hAnsi="David"/>
          <w:rtl/>
        </w:rPr>
      </w:pPr>
      <w:r w:rsidRPr="00A809AA">
        <w:rPr>
          <w:rFonts w:ascii="David" w:eastAsia="Calibri" w:hAnsi="David"/>
          <w:rtl/>
        </w:rPr>
        <w:t>לאחר ששקלתי את מכלול השיקולים, כמפורט לעיל, אני גוזר על הנאשם את העונשים הבאים:</w:t>
      </w:r>
    </w:p>
    <w:p w14:paraId="38795DEF" w14:textId="77777777" w:rsidR="0038082F" w:rsidRPr="00A809AA" w:rsidRDefault="0038082F" w:rsidP="0038082F">
      <w:pPr>
        <w:spacing w:line="360" w:lineRule="auto"/>
        <w:rPr>
          <w:rFonts w:ascii="David" w:eastAsia="Calibri" w:hAnsi="David"/>
          <w:rtl/>
        </w:rPr>
      </w:pPr>
    </w:p>
    <w:p w14:paraId="23156F3F" w14:textId="77777777" w:rsidR="0038082F" w:rsidRPr="00A809AA" w:rsidRDefault="0038082F" w:rsidP="0038082F">
      <w:pPr>
        <w:numPr>
          <w:ilvl w:val="0"/>
          <w:numId w:val="3"/>
        </w:numPr>
        <w:spacing w:after="160" w:line="360" w:lineRule="auto"/>
        <w:contextualSpacing/>
        <w:jc w:val="both"/>
        <w:rPr>
          <w:rFonts w:ascii="David" w:eastAsia="Calibri" w:hAnsi="David"/>
          <w:rtl/>
        </w:rPr>
      </w:pPr>
      <w:r w:rsidRPr="00A809AA">
        <w:rPr>
          <w:rFonts w:ascii="David" w:eastAsia="Calibri" w:hAnsi="David"/>
          <w:rtl/>
        </w:rPr>
        <w:t>5</w:t>
      </w:r>
      <w:r>
        <w:rPr>
          <w:rFonts w:ascii="David" w:eastAsia="Calibri" w:hAnsi="David" w:hint="cs"/>
          <w:rtl/>
        </w:rPr>
        <w:t>0</w:t>
      </w:r>
      <w:r w:rsidRPr="00A809AA">
        <w:rPr>
          <w:rFonts w:ascii="David" w:eastAsia="Calibri" w:hAnsi="David"/>
          <w:rtl/>
        </w:rPr>
        <w:t xml:space="preserve"> חודשי מאסר לריצוי בפועל, בניכוי ימי מעצרו מיום 12.7.2022. לא תנוכה התקופה שבה ריצה </w:t>
      </w:r>
      <w:r>
        <w:rPr>
          <w:rFonts w:ascii="David" w:eastAsia="Calibri" w:hAnsi="David" w:hint="cs"/>
          <w:rtl/>
        </w:rPr>
        <w:t xml:space="preserve">הנאשם </w:t>
      </w:r>
      <w:r w:rsidRPr="00A809AA">
        <w:rPr>
          <w:rFonts w:ascii="David" w:eastAsia="Calibri" w:hAnsi="David"/>
          <w:rtl/>
        </w:rPr>
        <w:t xml:space="preserve">עונש מאסר בן 4 חודשים בגין הרשעתו בעבירת תעבורה. </w:t>
      </w:r>
    </w:p>
    <w:p w14:paraId="08597A10" w14:textId="77777777" w:rsidR="0038082F" w:rsidRPr="00A809AA" w:rsidRDefault="0038082F" w:rsidP="0038082F">
      <w:pPr>
        <w:numPr>
          <w:ilvl w:val="0"/>
          <w:numId w:val="3"/>
        </w:numPr>
        <w:spacing w:after="160" w:line="360" w:lineRule="auto"/>
        <w:contextualSpacing/>
        <w:jc w:val="both"/>
        <w:rPr>
          <w:rFonts w:ascii="David" w:eastAsia="Calibri" w:hAnsi="David"/>
        </w:rPr>
      </w:pPr>
      <w:r w:rsidRPr="00A809AA">
        <w:rPr>
          <w:rFonts w:ascii="David" w:eastAsia="Calibri" w:hAnsi="David"/>
          <w:rtl/>
        </w:rPr>
        <w:t xml:space="preserve">12 חודשי מאסר מותנים למשך 3 שנים מיום שחרורו ממאסר והתנאי הוא שהנאשם לא יעבור עבירת נשק או </w:t>
      </w:r>
      <w:r>
        <w:rPr>
          <w:rFonts w:ascii="David" w:eastAsia="Calibri" w:hAnsi="David" w:hint="cs"/>
          <w:rtl/>
        </w:rPr>
        <w:t xml:space="preserve">עבירת </w:t>
      </w:r>
      <w:r w:rsidRPr="00A809AA">
        <w:rPr>
          <w:rFonts w:ascii="David" w:eastAsia="Calibri" w:hAnsi="David"/>
          <w:rtl/>
        </w:rPr>
        <w:t>סמים מסוג פשע.</w:t>
      </w:r>
    </w:p>
    <w:p w14:paraId="6BAC77CD" w14:textId="77777777" w:rsidR="0038082F" w:rsidRPr="00A809AA" w:rsidRDefault="0038082F" w:rsidP="0038082F">
      <w:pPr>
        <w:numPr>
          <w:ilvl w:val="0"/>
          <w:numId w:val="3"/>
        </w:numPr>
        <w:spacing w:after="160" w:line="360" w:lineRule="auto"/>
        <w:contextualSpacing/>
        <w:jc w:val="both"/>
        <w:rPr>
          <w:rFonts w:ascii="David" w:eastAsia="Calibri" w:hAnsi="David"/>
        </w:rPr>
      </w:pPr>
      <w:r w:rsidRPr="00A809AA">
        <w:rPr>
          <w:rFonts w:ascii="David" w:eastAsia="Calibri" w:hAnsi="David"/>
          <w:rtl/>
        </w:rPr>
        <w:t xml:space="preserve">6 חודשי מאסר מותנים למשך 3 שנים מיום שחרורו ממאסר והתנאי </w:t>
      </w:r>
      <w:r>
        <w:rPr>
          <w:rFonts w:ascii="David" w:eastAsia="Calibri" w:hAnsi="David"/>
          <w:rtl/>
        </w:rPr>
        <w:t>הוא שהנאשם לא יעבור עבירת</w:t>
      </w:r>
      <w:r w:rsidRPr="00A809AA">
        <w:rPr>
          <w:rFonts w:ascii="David" w:eastAsia="Calibri" w:hAnsi="David"/>
          <w:rtl/>
        </w:rPr>
        <w:t xml:space="preserve"> סמים מסוג עוון.</w:t>
      </w:r>
    </w:p>
    <w:p w14:paraId="527CD1F5" w14:textId="77777777" w:rsidR="0038082F" w:rsidRPr="00A809AA" w:rsidRDefault="0038082F" w:rsidP="0038082F">
      <w:pPr>
        <w:numPr>
          <w:ilvl w:val="0"/>
          <w:numId w:val="3"/>
        </w:numPr>
        <w:spacing w:after="160" w:line="360" w:lineRule="auto"/>
        <w:contextualSpacing/>
        <w:jc w:val="both"/>
        <w:rPr>
          <w:rFonts w:ascii="David" w:eastAsia="Calibri" w:hAnsi="David"/>
        </w:rPr>
      </w:pPr>
      <w:r w:rsidRPr="00A809AA">
        <w:rPr>
          <w:rFonts w:ascii="David" w:eastAsia="Calibri" w:hAnsi="David"/>
          <w:rtl/>
        </w:rPr>
        <w:t xml:space="preserve">קנס בסך 10,000 ₪ או </w:t>
      </w:r>
      <w:r>
        <w:rPr>
          <w:rFonts w:ascii="David" w:eastAsia="Calibri" w:hAnsi="David" w:hint="cs"/>
          <w:rtl/>
        </w:rPr>
        <w:t xml:space="preserve">50 </w:t>
      </w:r>
      <w:r w:rsidRPr="00A809AA">
        <w:rPr>
          <w:rFonts w:ascii="David" w:eastAsia="Calibri" w:hAnsi="David"/>
          <w:rtl/>
        </w:rPr>
        <w:t>ימי מאסר תמורתו.</w:t>
      </w:r>
    </w:p>
    <w:p w14:paraId="198F7FCB" w14:textId="77777777" w:rsidR="0038082F" w:rsidRPr="00A809AA" w:rsidRDefault="0038082F" w:rsidP="0038082F">
      <w:pPr>
        <w:spacing w:line="360" w:lineRule="auto"/>
        <w:ind w:left="1709"/>
        <w:contextualSpacing/>
        <w:jc w:val="both"/>
        <w:rPr>
          <w:rFonts w:ascii="David" w:eastAsia="Calibri" w:hAnsi="David"/>
        </w:rPr>
      </w:pPr>
      <w:r>
        <w:rPr>
          <w:rFonts w:ascii="David" w:eastAsia="Calibri" w:hAnsi="David"/>
          <w:rtl/>
        </w:rPr>
        <w:t xml:space="preserve">הקנס ישולם </w:t>
      </w:r>
      <w:r w:rsidRPr="00A809AA">
        <w:rPr>
          <w:rFonts w:ascii="David" w:eastAsia="Calibri" w:hAnsi="David"/>
          <w:rtl/>
        </w:rPr>
        <w:t>לא יאוחר מיום 1.</w:t>
      </w:r>
      <w:r>
        <w:rPr>
          <w:rFonts w:ascii="David" w:eastAsia="Calibri" w:hAnsi="David" w:hint="cs"/>
          <w:rtl/>
        </w:rPr>
        <w:t>3</w:t>
      </w:r>
      <w:r w:rsidRPr="00A809AA">
        <w:rPr>
          <w:rFonts w:ascii="David" w:eastAsia="Calibri" w:hAnsi="David"/>
          <w:rtl/>
        </w:rPr>
        <w:t xml:space="preserve">.2024. </w:t>
      </w:r>
    </w:p>
    <w:p w14:paraId="312655C8" w14:textId="77777777" w:rsidR="0038082F" w:rsidRPr="00A809AA" w:rsidRDefault="0038082F" w:rsidP="0038082F">
      <w:pPr>
        <w:spacing w:line="360" w:lineRule="auto"/>
        <w:rPr>
          <w:rFonts w:ascii="David" w:eastAsia="Calibri" w:hAnsi="David"/>
          <w:rtl/>
        </w:rPr>
      </w:pPr>
    </w:p>
    <w:p w14:paraId="26B594A0" w14:textId="77777777" w:rsidR="0038082F" w:rsidRPr="00A809AA" w:rsidRDefault="0038082F" w:rsidP="0038082F">
      <w:pPr>
        <w:spacing w:line="360" w:lineRule="auto"/>
        <w:jc w:val="both"/>
        <w:rPr>
          <w:rFonts w:ascii="David" w:eastAsia="Calibri" w:hAnsi="David"/>
          <w:rtl/>
        </w:rPr>
      </w:pPr>
      <w:r w:rsidRPr="00A809AA">
        <w:rPr>
          <w:rFonts w:ascii="David" w:eastAsia="Calibri" w:hAnsi="David"/>
          <w:rtl/>
        </w:rPr>
        <w:t>זכות ערעור לבית המשפט העליון בתוך 45 ימים מהיום.</w:t>
      </w:r>
    </w:p>
    <w:p w14:paraId="1F139618" w14:textId="77777777" w:rsidR="0038082F" w:rsidRPr="00B05847" w:rsidRDefault="0038082F" w:rsidP="0038082F">
      <w:pPr>
        <w:rPr>
          <w:rtl/>
        </w:rPr>
      </w:pPr>
    </w:p>
    <w:p w14:paraId="4D71D3A3" w14:textId="77777777" w:rsidR="0038082F" w:rsidRPr="007D51D3" w:rsidRDefault="007D51D3" w:rsidP="0038082F">
      <w:pPr>
        <w:rPr>
          <w:color w:val="FFFFFF"/>
          <w:sz w:val="2"/>
          <w:szCs w:val="2"/>
          <w:rtl/>
        </w:rPr>
      </w:pPr>
      <w:r w:rsidRPr="007D51D3">
        <w:rPr>
          <w:color w:val="FFFFFF"/>
          <w:sz w:val="2"/>
          <w:szCs w:val="2"/>
          <w:rtl/>
        </w:rPr>
        <w:t>5129371</w:t>
      </w:r>
    </w:p>
    <w:tbl>
      <w:tblPr>
        <w:bidiVisual/>
        <w:tblW w:w="3936" w:type="dxa"/>
        <w:tblInd w:w="4584" w:type="dxa"/>
        <w:tblBorders>
          <w:insideH w:val="single" w:sz="4" w:space="0" w:color="auto"/>
          <w:insideV w:val="single" w:sz="4" w:space="0" w:color="auto"/>
        </w:tblBorders>
        <w:tblLook w:val="01E0" w:firstRow="1" w:lastRow="1" w:firstColumn="1" w:lastColumn="1" w:noHBand="0" w:noVBand="0"/>
      </w:tblPr>
      <w:tblGrid>
        <w:gridCol w:w="3936"/>
      </w:tblGrid>
      <w:tr w:rsidR="0038082F" w14:paraId="5E22B820" w14:textId="77777777" w:rsidTr="0038082F">
        <w:trPr>
          <w:trHeight w:val="316"/>
        </w:trPr>
        <w:tc>
          <w:tcPr>
            <w:tcW w:w="3936" w:type="dxa"/>
            <w:tcBorders>
              <w:top w:val="nil"/>
              <w:left w:val="nil"/>
              <w:bottom w:val="single" w:sz="4" w:space="0" w:color="auto"/>
              <w:right w:val="nil"/>
            </w:tcBorders>
            <w:shd w:val="clear" w:color="auto" w:fill="auto"/>
            <w:vAlign w:val="center"/>
          </w:tcPr>
          <w:p w14:paraId="22D0E18B" w14:textId="77777777" w:rsidR="0038082F" w:rsidRPr="0038082F" w:rsidRDefault="007D51D3" w:rsidP="007D51D3">
            <w:pPr>
              <w:jc w:val="center"/>
              <w:rPr>
                <w:rFonts w:cs="Times New Roman"/>
              </w:rPr>
            </w:pPr>
            <w:bookmarkStart w:id="8" w:name="Nitan"/>
            <w:r w:rsidRPr="007D51D3">
              <w:rPr>
                <w:rFonts w:ascii="Arial" w:hAnsi="Arial"/>
                <w:color w:val="FFFFFF"/>
                <w:sz w:val="2"/>
                <w:szCs w:val="2"/>
                <w:rtl/>
              </w:rPr>
              <w:t>54678313</w:t>
            </w:r>
            <w:r>
              <w:rPr>
                <w:rFonts w:ascii="Arial" w:hAnsi="Arial"/>
                <w:rtl/>
              </w:rPr>
              <w:t xml:space="preserve">ניתן היום,  כ"ה חשוון תשפ"ד, 09 נובמבר 2023, במעמד הצדדים. </w:t>
            </w:r>
            <w:bookmarkEnd w:id="8"/>
          </w:p>
          <w:p w14:paraId="4269565B" w14:textId="77777777" w:rsidR="0038082F" w:rsidRDefault="0038082F" w:rsidP="0038082F">
            <w:pPr>
              <w:jc w:val="center"/>
            </w:pPr>
          </w:p>
        </w:tc>
      </w:tr>
      <w:tr w:rsidR="0038082F" w14:paraId="6281CB81" w14:textId="77777777" w:rsidTr="0038082F">
        <w:trPr>
          <w:trHeight w:val="361"/>
        </w:trPr>
        <w:tc>
          <w:tcPr>
            <w:tcW w:w="3936" w:type="dxa"/>
            <w:tcBorders>
              <w:top w:val="single" w:sz="4" w:space="0" w:color="auto"/>
              <w:left w:val="nil"/>
              <w:bottom w:val="nil"/>
              <w:right w:val="nil"/>
            </w:tcBorders>
            <w:shd w:val="clear" w:color="auto" w:fill="auto"/>
            <w:vAlign w:val="center"/>
          </w:tcPr>
          <w:p w14:paraId="74FE8002" w14:textId="77777777" w:rsidR="0038082F" w:rsidRPr="0038082F" w:rsidRDefault="0038082F" w:rsidP="0038082F">
            <w:pPr>
              <w:jc w:val="center"/>
              <w:rPr>
                <w:b/>
                <w:bCs/>
                <w:rtl/>
              </w:rPr>
            </w:pPr>
            <w:r w:rsidRPr="0038082F">
              <w:rPr>
                <w:b/>
                <w:bCs/>
                <w:rtl/>
              </w:rPr>
              <w:t>ירון</w:t>
            </w:r>
            <w:r w:rsidRPr="0038082F">
              <w:rPr>
                <w:rFonts w:hint="cs"/>
                <w:b/>
                <w:bCs/>
                <w:rtl/>
              </w:rPr>
              <w:t xml:space="preserve"> </w:t>
            </w:r>
            <w:r w:rsidRPr="0038082F">
              <w:rPr>
                <w:b/>
                <w:bCs/>
                <w:rtl/>
              </w:rPr>
              <w:t>לוי</w:t>
            </w:r>
            <w:r w:rsidRPr="0038082F">
              <w:rPr>
                <w:rFonts w:hint="cs"/>
                <w:b/>
                <w:bCs/>
                <w:rtl/>
              </w:rPr>
              <w:t xml:space="preserve">, </w:t>
            </w:r>
            <w:r w:rsidRPr="0038082F">
              <w:rPr>
                <w:b/>
                <w:bCs/>
                <w:rtl/>
              </w:rPr>
              <w:t>שופט בכיר</w:t>
            </w:r>
          </w:p>
        </w:tc>
      </w:tr>
    </w:tbl>
    <w:p w14:paraId="2868FA97" w14:textId="77777777" w:rsidR="0038082F" w:rsidRDefault="0038082F" w:rsidP="0038082F">
      <w:pPr>
        <w:rPr>
          <w:rFonts w:ascii="David" w:hAnsi="David"/>
          <w:rtl/>
        </w:rPr>
      </w:pPr>
    </w:p>
    <w:p w14:paraId="5E624DD1" w14:textId="77777777" w:rsidR="007D51D3" w:rsidRDefault="0038082F" w:rsidP="007D51D3">
      <w:r w:rsidRPr="00250B83">
        <w:rPr>
          <w:rtl/>
        </w:rPr>
        <w:t xml:space="preserve"> </w:t>
      </w:r>
    </w:p>
    <w:p w14:paraId="7C503865" w14:textId="77777777" w:rsidR="007D51D3" w:rsidRDefault="007D51D3" w:rsidP="007D51D3">
      <w:pPr>
        <w:rPr>
          <w:rtl/>
        </w:rPr>
      </w:pPr>
    </w:p>
    <w:p w14:paraId="2C9062FE" w14:textId="77777777" w:rsidR="007D51D3" w:rsidRDefault="007D51D3" w:rsidP="007D51D3">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3A327E1E" w14:textId="77777777" w:rsidR="00BC5D91" w:rsidRPr="00BC5D91" w:rsidRDefault="00BC5D91" w:rsidP="00BC5D91">
      <w:pPr>
        <w:keepNext/>
        <w:rPr>
          <w:rFonts w:ascii="David" w:hAnsi="David"/>
          <w:color w:val="000000"/>
          <w:sz w:val="22"/>
          <w:szCs w:val="22"/>
          <w:rtl/>
        </w:rPr>
      </w:pPr>
    </w:p>
    <w:p w14:paraId="3E1D288E" w14:textId="77777777" w:rsidR="00BC5D91" w:rsidRPr="00BC5D91" w:rsidRDefault="00BC5D91" w:rsidP="00BC5D91">
      <w:pPr>
        <w:keepNext/>
        <w:rPr>
          <w:rFonts w:ascii="David" w:hAnsi="David"/>
          <w:color w:val="000000"/>
          <w:sz w:val="22"/>
          <w:szCs w:val="22"/>
          <w:rtl/>
        </w:rPr>
      </w:pPr>
      <w:r w:rsidRPr="00BC5D91">
        <w:rPr>
          <w:rFonts w:ascii="David" w:hAnsi="David"/>
          <w:color w:val="000000"/>
          <w:sz w:val="22"/>
          <w:szCs w:val="22"/>
          <w:rtl/>
        </w:rPr>
        <w:t>ירון לוי 54678313-/</w:t>
      </w:r>
    </w:p>
    <w:p w14:paraId="7FA99963" w14:textId="77777777" w:rsidR="007D51D3" w:rsidRPr="007D51D3" w:rsidRDefault="00BC5D91" w:rsidP="00BC5D91">
      <w:pPr>
        <w:rPr>
          <w:color w:val="0000FF"/>
          <w:u w:val="single"/>
        </w:rPr>
      </w:pPr>
      <w:r w:rsidRPr="00BC5D91">
        <w:rPr>
          <w:color w:val="000000"/>
          <w:u w:val="single"/>
          <w:rtl/>
        </w:rPr>
        <w:t>נוסח מסמך זה כפוף לשינויי ניסוח ועריכה</w:t>
      </w:r>
    </w:p>
    <w:sectPr w:rsidR="007D51D3" w:rsidRPr="007D51D3" w:rsidSect="00BC5D91">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582D5" w14:textId="77777777" w:rsidR="008A1AEF" w:rsidRDefault="008A1AEF" w:rsidP="001E03A3">
      <w:r>
        <w:separator/>
      </w:r>
    </w:p>
  </w:endnote>
  <w:endnote w:type="continuationSeparator" w:id="0">
    <w:p w14:paraId="1AF21130" w14:textId="77777777" w:rsidR="008A1AEF" w:rsidRDefault="008A1AEF" w:rsidP="001E0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FB68C" w14:textId="77777777" w:rsidR="00BC5D91" w:rsidRDefault="00BC5D91" w:rsidP="00BC5D9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CDB0AE6" w14:textId="77777777" w:rsidR="004D0C90" w:rsidRPr="00BC5D91" w:rsidRDefault="00BC5D91" w:rsidP="00BC5D91">
    <w:pPr>
      <w:pStyle w:val="a5"/>
      <w:pBdr>
        <w:top w:val="single" w:sz="4" w:space="1" w:color="auto"/>
        <w:between w:val="single" w:sz="4" w:space="0" w:color="auto"/>
      </w:pBdr>
      <w:spacing w:after="60"/>
      <w:jc w:val="center"/>
      <w:rPr>
        <w:rFonts w:ascii="FrankRuehl" w:hAnsi="FrankRuehl" w:cs="FrankRuehl"/>
        <w:color w:val="000000"/>
      </w:rPr>
    </w:pPr>
    <w:r w:rsidRPr="00BC5D9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FDD2D" w14:textId="77777777" w:rsidR="00BC5D91" w:rsidRDefault="00BC5D91" w:rsidP="00BC5D9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E6BEC">
      <w:rPr>
        <w:rFonts w:ascii="FrankRuehl" w:hAnsi="FrankRuehl" w:cs="FrankRuehl"/>
        <w:noProof/>
        <w:rtl/>
      </w:rPr>
      <w:t>1</w:t>
    </w:r>
    <w:r>
      <w:rPr>
        <w:rFonts w:ascii="FrankRuehl" w:hAnsi="FrankRuehl" w:cs="FrankRuehl"/>
        <w:rtl/>
      </w:rPr>
      <w:fldChar w:fldCharType="end"/>
    </w:r>
  </w:p>
  <w:p w14:paraId="1AE4E277" w14:textId="77777777" w:rsidR="004D0C90" w:rsidRPr="00BC5D91" w:rsidRDefault="00BC5D91" w:rsidP="00BC5D91">
    <w:pPr>
      <w:pStyle w:val="a5"/>
      <w:pBdr>
        <w:top w:val="single" w:sz="4" w:space="1" w:color="auto"/>
        <w:between w:val="single" w:sz="4" w:space="0" w:color="auto"/>
      </w:pBdr>
      <w:spacing w:after="60"/>
      <w:jc w:val="center"/>
      <w:rPr>
        <w:rFonts w:ascii="FrankRuehl" w:hAnsi="FrankRuehl" w:cs="FrankRuehl"/>
        <w:color w:val="000000"/>
      </w:rPr>
    </w:pPr>
    <w:r w:rsidRPr="00BC5D91">
      <w:rPr>
        <w:rFonts w:ascii="FrankRuehl" w:hAnsi="FrankRuehl" w:cs="FrankRuehl"/>
        <w:color w:val="000000"/>
      </w:rPr>
      <w:pict w14:anchorId="3F3474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687DB" w14:textId="77777777" w:rsidR="008A1AEF" w:rsidRDefault="008A1AEF" w:rsidP="001E03A3">
      <w:r>
        <w:separator/>
      </w:r>
    </w:p>
  </w:footnote>
  <w:footnote w:type="continuationSeparator" w:id="0">
    <w:p w14:paraId="2EAE72B9" w14:textId="77777777" w:rsidR="008A1AEF" w:rsidRDefault="008A1AEF" w:rsidP="001E0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A9252" w14:textId="77777777" w:rsidR="007D51D3" w:rsidRPr="00BC5D91" w:rsidRDefault="00BC5D91" w:rsidP="00BC5D9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61841-07-22</w:t>
    </w:r>
    <w:r>
      <w:rPr>
        <w:rFonts w:ascii="David" w:hAnsi="David"/>
        <w:color w:val="000000"/>
        <w:sz w:val="22"/>
        <w:szCs w:val="22"/>
        <w:rtl/>
      </w:rPr>
      <w:tab/>
      <w:t xml:space="preserve"> מדינת ישראל נ' ליאור חכם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8332" w14:textId="77777777" w:rsidR="007D51D3" w:rsidRPr="00BC5D91" w:rsidRDefault="00BC5D91" w:rsidP="00BC5D9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61841-07-22</w:t>
    </w:r>
    <w:r>
      <w:rPr>
        <w:rFonts w:ascii="David" w:hAnsi="David"/>
        <w:color w:val="000000"/>
        <w:sz w:val="22"/>
        <w:szCs w:val="22"/>
        <w:rtl/>
      </w:rPr>
      <w:tab/>
      <w:t xml:space="preserve"> מדינת ישראל נ' ליאור חכם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E6663"/>
    <w:multiLevelType w:val="hybridMultilevel"/>
    <w:tmpl w:val="50DEDE60"/>
    <w:lvl w:ilvl="0" w:tplc="04090013">
      <w:start w:val="1"/>
      <w:numFmt w:val="hebrew1"/>
      <w:lvlText w:val="%1."/>
      <w:lvlJc w:val="center"/>
      <w:pPr>
        <w:ind w:left="1709" w:hanging="360"/>
      </w:pPr>
    </w:lvl>
    <w:lvl w:ilvl="1" w:tplc="04090019">
      <w:start w:val="1"/>
      <w:numFmt w:val="lowerLetter"/>
      <w:lvlText w:val="%2."/>
      <w:lvlJc w:val="left"/>
      <w:pPr>
        <w:ind w:left="2429" w:hanging="360"/>
      </w:pPr>
    </w:lvl>
    <w:lvl w:ilvl="2" w:tplc="0409001B">
      <w:start w:val="1"/>
      <w:numFmt w:val="lowerRoman"/>
      <w:lvlText w:val="%3."/>
      <w:lvlJc w:val="right"/>
      <w:pPr>
        <w:ind w:left="3149" w:hanging="180"/>
      </w:pPr>
    </w:lvl>
    <w:lvl w:ilvl="3" w:tplc="0409000F">
      <w:start w:val="1"/>
      <w:numFmt w:val="decimal"/>
      <w:lvlText w:val="%4."/>
      <w:lvlJc w:val="left"/>
      <w:pPr>
        <w:ind w:left="3869" w:hanging="360"/>
      </w:pPr>
    </w:lvl>
    <w:lvl w:ilvl="4" w:tplc="04090019">
      <w:start w:val="1"/>
      <w:numFmt w:val="lowerLetter"/>
      <w:lvlText w:val="%5."/>
      <w:lvlJc w:val="left"/>
      <w:pPr>
        <w:ind w:left="4589" w:hanging="360"/>
      </w:pPr>
    </w:lvl>
    <w:lvl w:ilvl="5" w:tplc="0409001B">
      <w:start w:val="1"/>
      <w:numFmt w:val="lowerRoman"/>
      <w:lvlText w:val="%6."/>
      <w:lvlJc w:val="right"/>
      <w:pPr>
        <w:ind w:left="5309" w:hanging="180"/>
      </w:pPr>
    </w:lvl>
    <w:lvl w:ilvl="6" w:tplc="0409000F">
      <w:start w:val="1"/>
      <w:numFmt w:val="decimal"/>
      <w:lvlText w:val="%7."/>
      <w:lvlJc w:val="left"/>
      <w:pPr>
        <w:ind w:left="6029" w:hanging="360"/>
      </w:pPr>
    </w:lvl>
    <w:lvl w:ilvl="7" w:tplc="04090019">
      <w:start w:val="1"/>
      <w:numFmt w:val="lowerLetter"/>
      <w:lvlText w:val="%8."/>
      <w:lvlJc w:val="left"/>
      <w:pPr>
        <w:ind w:left="6749" w:hanging="360"/>
      </w:pPr>
    </w:lvl>
    <w:lvl w:ilvl="8" w:tplc="0409001B">
      <w:start w:val="1"/>
      <w:numFmt w:val="lowerRoman"/>
      <w:lvlText w:val="%9."/>
      <w:lvlJc w:val="right"/>
      <w:pPr>
        <w:ind w:left="7469" w:hanging="180"/>
      </w:pPr>
    </w:lvl>
  </w:abstractNum>
  <w:abstractNum w:abstractNumId="1" w15:restartNumberingAfterBreak="0">
    <w:nsid w:val="6ECC6984"/>
    <w:multiLevelType w:val="hybridMultilevel"/>
    <w:tmpl w:val="1ECC017A"/>
    <w:lvl w:ilvl="0" w:tplc="217C0F00">
      <w:start w:val="1"/>
      <w:numFmt w:val="decimal"/>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E79340C"/>
    <w:multiLevelType w:val="hybridMultilevel"/>
    <w:tmpl w:val="07CC83D2"/>
    <w:lvl w:ilvl="0" w:tplc="4A54F58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923096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073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7032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8082F"/>
    <w:rsid w:val="00130F2C"/>
    <w:rsid w:val="001B5A3B"/>
    <w:rsid w:val="001E03A3"/>
    <w:rsid w:val="00346A62"/>
    <w:rsid w:val="0038082F"/>
    <w:rsid w:val="004D0C90"/>
    <w:rsid w:val="004E6BEC"/>
    <w:rsid w:val="007D51D3"/>
    <w:rsid w:val="007D5BBF"/>
    <w:rsid w:val="008A1AEF"/>
    <w:rsid w:val="008B62C8"/>
    <w:rsid w:val="00B85515"/>
    <w:rsid w:val="00BC5D91"/>
    <w:rsid w:val="00D426D8"/>
    <w:rsid w:val="00EB73F4"/>
    <w:rsid w:val="00FE18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0A1FDA"/>
  <w15:chartTrackingRefBased/>
  <w15:docId w15:val="{C0B11AB2-ADA9-42D5-AB61-E1690FE6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8082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8082F"/>
    <w:pPr>
      <w:tabs>
        <w:tab w:val="center" w:pos="4153"/>
        <w:tab w:val="right" w:pos="8306"/>
      </w:tabs>
    </w:pPr>
  </w:style>
  <w:style w:type="character" w:customStyle="1" w:styleId="a4">
    <w:name w:val="כותרת עליונה תו"/>
    <w:link w:val="a3"/>
    <w:rsid w:val="0038082F"/>
    <w:rPr>
      <w:rFonts w:ascii="Times New Roman" w:eastAsia="Times New Roman" w:hAnsi="Times New Roman" w:cs="David"/>
      <w:sz w:val="24"/>
      <w:szCs w:val="24"/>
    </w:rPr>
  </w:style>
  <w:style w:type="paragraph" w:styleId="a5">
    <w:name w:val="footer"/>
    <w:basedOn w:val="a"/>
    <w:link w:val="a6"/>
    <w:rsid w:val="0038082F"/>
    <w:pPr>
      <w:tabs>
        <w:tab w:val="center" w:pos="4153"/>
        <w:tab w:val="right" w:pos="8306"/>
      </w:tabs>
    </w:pPr>
  </w:style>
  <w:style w:type="character" w:customStyle="1" w:styleId="a6">
    <w:name w:val="כותרת תחתונה תו"/>
    <w:link w:val="a5"/>
    <w:rsid w:val="0038082F"/>
    <w:rPr>
      <w:rFonts w:ascii="Times New Roman" w:eastAsia="Times New Roman" w:hAnsi="Times New Roman" w:cs="David"/>
      <w:sz w:val="24"/>
      <w:szCs w:val="24"/>
    </w:rPr>
  </w:style>
  <w:style w:type="table" w:styleId="a7">
    <w:name w:val="Table Grid"/>
    <w:basedOn w:val="a1"/>
    <w:rsid w:val="0038082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8082F"/>
  </w:style>
  <w:style w:type="character" w:styleId="a9">
    <w:name w:val="line number"/>
    <w:rsid w:val="0038082F"/>
  </w:style>
  <w:style w:type="character" w:styleId="Hyperlink">
    <w:name w:val="Hyperlink"/>
    <w:rsid w:val="007D51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7115374" TargetMode="External"/><Relationship Id="rId39" Type="http://schemas.openxmlformats.org/officeDocument/2006/relationships/hyperlink" Target="http://www.nevo.co.il/case/5070658" TargetMode="External"/><Relationship Id="rId21" Type="http://schemas.openxmlformats.org/officeDocument/2006/relationships/hyperlink" Target="http://www.nevo.co.il/case/13093721" TargetMode="External"/><Relationship Id="rId34" Type="http://schemas.openxmlformats.org/officeDocument/2006/relationships/hyperlink" Target="http://www.nevo.co.il/case/24943632"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766525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law/70301/144.g" TargetMode="External"/><Relationship Id="rId32" Type="http://schemas.openxmlformats.org/officeDocument/2006/relationships/hyperlink" Target="http://www.nevo.co.il/case/21055840" TargetMode="External"/><Relationship Id="rId37" Type="http://schemas.openxmlformats.org/officeDocument/2006/relationships/hyperlink" Target="http://www.nevo.co.il/case/21477472"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5821327" TargetMode="External"/><Relationship Id="rId28" Type="http://schemas.openxmlformats.org/officeDocument/2006/relationships/hyperlink" Target="http://www.nevo.co.il/case/28513828" TargetMode="External"/><Relationship Id="rId36" Type="http://schemas.openxmlformats.org/officeDocument/2006/relationships/hyperlink" Target="http://www.nevo.co.il/case/21017469" TargetMode="External"/><Relationship Id="rId10" Type="http://schemas.openxmlformats.org/officeDocument/2006/relationships/hyperlink" Target="http://www.nevo.co.il/law/70301/40jc" TargetMode="External"/><Relationship Id="rId19" Type="http://schemas.openxmlformats.org/officeDocument/2006/relationships/hyperlink" Target="http://www.nevo.co.il/law/4216/13" TargetMode="External"/><Relationship Id="rId31" Type="http://schemas.openxmlformats.org/officeDocument/2006/relationships/hyperlink" Target="http://www.nevo.co.il/case/27894608"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g"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27907602" TargetMode="External"/><Relationship Id="rId30" Type="http://schemas.openxmlformats.org/officeDocument/2006/relationships/hyperlink" Target="http://www.nevo.co.il/case/24140726" TargetMode="External"/><Relationship Id="rId35" Type="http://schemas.openxmlformats.org/officeDocument/2006/relationships/hyperlink" Target="http://www.nevo.co.il/case/27881040" TargetMode="External"/><Relationship Id="rId43" Type="http://schemas.openxmlformats.org/officeDocument/2006/relationships/footer" Target="footer1.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4216/7.a.;7.c"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0443017" TargetMode="External"/><Relationship Id="rId38" Type="http://schemas.openxmlformats.org/officeDocument/2006/relationships/hyperlink" Target="http://www.nevo.co.il/case/25545142" TargetMode="External"/><Relationship Id="rId46" Type="http://schemas.openxmlformats.org/officeDocument/2006/relationships/theme" Target="theme/theme1.xml"/><Relationship Id="rId20" Type="http://schemas.openxmlformats.org/officeDocument/2006/relationships/hyperlink" Target="http://www.nevo.co.il/law/70301/40jc"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2864</Words>
  <Characters>14324</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17154</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3932273</vt:i4>
      </vt:variant>
      <vt:variant>
        <vt:i4>96</vt:i4>
      </vt:variant>
      <vt:variant>
        <vt:i4>0</vt:i4>
      </vt:variant>
      <vt:variant>
        <vt:i4>5</vt:i4>
      </vt:variant>
      <vt:variant>
        <vt:lpwstr>http://www.nevo.co.il/case/5070658</vt:lpwstr>
      </vt:variant>
      <vt:variant>
        <vt:lpwstr/>
      </vt:variant>
      <vt:variant>
        <vt:i4>3539060</vt:i4>
      </vt:variant>
      <vt:variant>
        <vt:i4>93</vt:i4>
      </vt:variant>
      <vt:variant>
        <vt:i4>0</vt:i4>
      </vt:variant>
      <vt:variant>
        <vt:i4>5</vt:i4>
      </vt:variant>
      <vt:variant>
        <vt:lpwstr>http://www.nevo.co.il/case/25545142</vt:lpwstr>
      </vt:variant>
      <vt:variant>
        <vt:lpwstr/>
      </vt:variant>
      <vt:variant>
        <vt:i4>3539062</vt:i4>
      </vt:variant>
      <vt:variant>
        <vt:i4>90</vt:i4>
      </vt:variant>
      <vt:variant>
        <vt:i4>0</vt:i4>
      </vt:variant>
      <vt:variant>
        <vt:i4>5</vt:i4>
      </vt:variant>
      <vt:variant>
        <vt:lpwstr>http://www.nevo.co.il/case/21477472</vt:lpwstr>
      </vt:variant>
      <vt:variant>
        <vt:lpwstr/>
      </vt:variant>
      <vt:variant>
        <vt:i4>3342448</vt:i4>
      </vt:variant>
      <vt:variant>
        <vt:i4>87</vt:i4>
      </vt:variant>
      <vt:variant>
        <vt:i4>0</vt:i4>
      </vt:variant>
      <vt:variant>
        <vt:i4>5</vt:i4>
      </vt:variant>
      <vt:variant>
        <vt:lpwstr>http://www.nevo.co.il/case/21017469</vt:lpwstr>
      </vt:variant>
      <vt:variant>
        <vt:lpwstr/>
      </vt:variant>
      <vt:variant>
        <vt:i4>4128891</vt:i4>
      </vt:variant>
      <vt:variant>
        <vt:i4>84</vt:i4>
      </vt:variant>
      <vt:variant>
        <vt:i4>0</vt:i4>
      </vt:variant>
      <vt:variant>
        <vt:i4>5</vt:i4>
      </vt:variant>
      <vt:variant>
        <vt:lpwstr>http://www.nevo.co.il/case/27881040</vt:lpwstr>
      </vt:variant>
      <vt:variant>
        <vt:lpwstr/>
      </vt:variant>
      <vt:variant>
        <vt:i4>3866738</vt:i4>
      </vt:variant>
      <vt:variant>
        <vt:i4>81</vt:i4>
      </vt:variant>
      <vt:variant>
        <vt:i4>0</vt:i4>
      </vt:variant>
      <vt:variant>
        <vt:i4>5</vt:i4>
      </vt:variant>
      <vt:variant>
        <vt:lpwstr>http://www.nevo.co.il/case/24943632</vt:lpwstr>
      </vt:variant>
      <vt:variant>
        <vt:lpwstr/>
      </vt:variant>
      <vt:variant>
        <vt:i4>3604592</vt:i4>
      </vt:variant>
      <vt:variant>
        <vt:i4>78</vt:i4>
      </vt:variant>
      <vt:variant>
        <vt:i4>0</vt:i4>
      </vt:variant>
      <vt:variant>
        <vt:i4>5</vt:i4>
      </vt:variant>
      <vt:variant>
        <vt:lpwstr>http://www.nevo.co.il/case/10443017</vt:lpwstr>
      </vt:variant>
      <vt:variant>
        <vt:lpwstr/>
      </vt:variant>
      <vt:variant>
        <vt:i4>3342456</vt:i4>
      </vt:variant>
      <vt:variant>
        <vt:i4>75</vt:i4>
      </vt:variant>
      <vt:variant>
        <vt:i4>0</vt:i4>
      </vt:variant>
      <vt:variant>
        <vt:i4>5</vt:i4>
      </vt:variant>
      <vt:variant>
        <vt:lpwstr>http://www.nevo.co.il/case/21055840</vt:lpwstr>
      </vt:variant>
      <vt:variant>
        <vt:lpwstr/>
      </vt:variant>
      <vt:variant>
        <vt:i4>4063356</vt:i4>
      </vt:variant>
      <vt:variant>
        <vt:i4>72</vt:i4>
      </vt:variant>
      <vt:variant>
        <vt:i4>0</vt:i4>
      </vt:variant>
      <vt:variant>
        <vt:i4>5</vt:i4>
      </vt:variant>
      <vt:variant>
        <vt:lpwstr>http://www.nevo.co.il/case/27894608</vt:lpwstr>
      </vt:variant>
      <vt:variant>
        <vt:lpwstr/>
      </vt:variant>
      <vt:variant>
        <vt:i4>3211379</vt:i4>
      </vt:variant>
      <vt:variant>
        <vt:i4>69</vt:i4>
      </vt:variant>
      <vt:variant>
        <vt:i4>0</vt:i4>
      </vt:variant>
      <vt:variant>
        <vt:i4>5</vt:i4>
      </vt:variant>
      <vt:variant>
        <vt:lpwstr>http://www.nevo.co.il/case/24140726</vt:lpwstr>
      </vt:variant>
      <vt:variant>
        <vt:lpwstr/>
      </vt:variant>
      <vt:variant>
        <vt:i4>3407991</vt:i4>
      </vt:variant>
      <vt:variant>
        <vt:i4>66</vt:i4>
      </vt:variant>
      <vt:variant>
        <vt:i4>0</vt:i4>
      </vt:variant>
      <vt:variant>
        <vt:i4>5</vt:i4>
      </vt:variant>
      <vt:variant>
        <vt:lpwstr>http://www.nevo.co.il/case/27665256</vt:lpwstr>
      </vt:variant>
      <vt:variant>
        <vt:lpwstr/>
      </vt:variant>
      <vt:variant>
        <vt:i4>3539061</vt:i4>
      </vt:variant>
      <vt:variant>
        <vt:i4>63</vt:i4>
      </vt:variant>
      <vt:variant>
        <vt:i4>0</vt:i4>
      </vt:variant>
      <vt:variant>
        <vt:i4>5</vt:i4>
      </vt:variant>
      <vt:variant>
        <vt:lpwstr>http://www.nevo.co.il/case/28513828</vt:lpwstr>
      </vt:variant>
      <vt:variant>
        <vt:lpwstr/>
      </vt:variant>
      <vt:variant>
        <vt:i4>3932277</vt:i4>
      </vt:variant>
      <vt:variant>
        <vt:i4>60</vt:i4>
      </vt:variant>
      <vt:variant>
        <vt:i4>0</vt:i4>
      </vt:variant>
      <vt:variant>
        <vt:i4>5</vt:i4>
      </vt:variant>
      <vt:variant>
        <vt:lpwstr>http://www.nevo.co.il/case/27907602</vt:lpwstr>
      </vt:variant>
      <vt:variant>
        <vt:lpwstr/>
      </vt:variant>
      <vt:variant>
        <vt:i4>3211377</vt:i4>
      </vt:variant>
      <vt:variant>
        <vt:i4>57</vt:i4>
      </vt:variant>
      <vt:variant>
        <vt:i4>0</vt:i4>
      </vt:variant>
      <vt:variant>
        <vt:i4>5</vt:i4>
      </vt:variant>
      <vt:variant>
        <vt:lpwstr>http://www.nevo.co.il/case/27115374</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http://www.nevo.co.il/law/70301/144.g</vt:lpwstr>
      </vt:variant>
      <vt:variant>
        <vt:lpwstr/>
      </vt:variant>
      <vt:variant>
        <vt:i4>3342463</vt:i4>
      </vt:variant>
      <vt:variant>
        <vt:i4>48</vt:i4>
      </vt:variant>
      <vt:variant>
        <vt:i4>0</vt:i4>
      </vt:variant>
      <vt:variant>
        <vt:i4>5</vt:i4>
      </vt:variant>
      <vt:variant>
        <vt:lpwstr>http://www.nevo.co.il/case/5821327</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393227</vt:i4>
      </vt:variant>
      <vt:variant>
        <vt:i4>39</vt:i4>
      </vt:variant>
      <vt:variant>
        <vt:i4>0</vt:i4>
      </vt:variant>
      <vt:variant>
        <vt:i4>5</vt:i4>
      </vt:variant>
      <vt:variant>
        <vt:lpwstr>http://www.nevo.co.il/law/70301/40jc</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393227</vt:i4>
      </vt:variant>
      <vt:variant>
        <vt:i4>9</vt:i4>
      </vt:variant>
      <vt:variant>
        <vt:i4>0</vt:i4>
      </vt:variant>
      <vt:variant>
        <vt:i4>5</vt:i4>
      </vt:variant>
      <vt:variant>
        <vt:lpwstr>http://www.nevo.co.il/law/70301/40jc</vt:lpwstr>
      </vt:variant>
      <vt:variant>
        <vt:lpwstr/>
      </vt:variant>
      <vt:variant>
        <vt:i4>5177424</vt:i4>
      </vt:variant>
      <vt:variant>
        <vt:i4>6</vt:i4>
      </vt:variant>
      <vt:variant>
        <vt:i4>0</vt:i4>
      </vt:variant>
      <vt:variant>
        <vt:i4>5</vt:i4>
      </vt:variant>
      <vt:variant>
        <vt:lpwstr>http://www.nevo.co.il/law/70301/144.g</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2025-04-22T21:23:00Z</dcterms:created>
  <dcterms:modified xsi:type="dcterms:W3CDTF">2025-04-22T21:23:00Z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61841</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ליאור חכם  </vt:lpwstr>
  </property>
  <property fmtid="{D5CDD505-2E9C-101B-9397-08002B2CF9AE}" pid="10" name="LAWYER">
    <vt:lpwstr>דליה וייסברג;עמית שלף;שרון רבינוביץ</vt:lpwstr>
  </property>
  <property fmtid="{D5CDD505-2E9C-101B-9397-08002B2CF9AE}" pid="11" name="JUDGE">
    <vt:lpwstr>ירון לוי</vt:lpwstr>
  </property>
  <property fmtid="{D5CDD505-2E9C-101B-9397-08002B2CF9AE}" pid="12" name="CITY">
    <vt:lpwstr>ת"א</vt:lpwstr>
  </property>
  <property fmtid="{D5CDD505-2E9C-101B-9397-08002B2CF9AE}" pid="13" name="DATE">
    <vt:lpwstr>20231109</vt:lpwstr>
  </property>
  <property fmtid="{D5CDD505-2E9C-101B-9397-08002B2CF9AE}" pid="14" name="TYPE_N_DATE">
    <vt:lpwstr>39020231109</vt:lpwstr>
  </property>
  <property fmtid="{D5CDD505-2E9C-101B-9397-08002B2CF9AE}" pid="15" name="WORDNUMPAGES">
    <vt:lpwstr>9</vt:lpwstr>
  </property>
  <property fmtid="{D5CDD505-2E9C-101B-9397-08002B2CF9AE}" pid="16" name="TYPE_ABS_DATE">
    <vt:lpwstr>390020231109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13093721;7791493;5821327;27115374;27907602;28513828;27665256;24140726;27894608;21055840;10443017;24943632;27881040;21017469;21477472;25545142;5070658</vt:lpwstr>
  </property>
  <property fmtid="{D5CDD505-2E9C-101B-9397-08002B2CF9AE}" pid="36" name="LAWLISTTMP1">
    <vt:lpwstr>70301/144.a;40jc;144.g</vt:lpwstr>
  </property>
  <property fmtid="{D5CDD505-2E9C-101B-9397-08002B2CF9AE}" pid="37" name="LAWLISTTMP2">
    <vt:lpwstr>4216/007.a;007.c;013</vt:lpwstr>
  </property>
</Properties>
</file>