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35"/>
        <w:gridCol w:w="2065"/>
        <w:gridCol w:w="1598"/>
        <w:gridCol w:w="99"/>
      </w:tblGrid>
      <w:tr w:rsidR="00375E7B" w:rsidRPr="00252171" w14:paraId="1E454AAD" w14:textId="77777777" w:rsidTr="00C13BE0">
        <w:trPr>
          <w:gridAfter w:val="1"/>
          <w:wAfter w:w="99" w:type="dxa"/>
          <w:trHeight w:hRule="exact" w:val="418"/>
          <w:jc w:val="center"/>
        </w:trPr>
        <w:tc>
          <w:tcPr>
            <w:tcW w:w="8721" w:type="dxa"/>
            <w:gridSpan w:val="4"/>
          </w:tcPr>
          <w:p w14:paraId="233408E0" w14:textId="77777777" w:rsidR="00375E7B" w:rsidRPr="00252171" w:rsidRDefault="00375E7B" w:rsidP="0022735F">
            <w:pPr>
              <w:pStyle w:val="a3"/>
              <w:jc w:val="center"/>
              <w:rPr>
                <w:rFonts w:ascii="Tahoma" w:hAnsi="Tahoma" w:cs="Tahoma"/>
                <w:color w:val="000080"/>
                <w:rtl/>
              </w:rPr>
            </w:pPr>
            <w:bookmarkStart w:id="0" w:name="FirstLawyer"/>
            <w:bookmarkStart w:id="1" w:name="LastJudge"/>
            <w:r w:rsidRPr="00252171">
              <w:rPr>
                <w:rFonts w:ascii="Tahoma" w:hAnsi="Tahoma" w:cs="Tahoma"/>
                <w:b/>
                <w:bCs/>
                <w:color w:val="000080"/>
                <w:rtl/>
              </w:rPr>
              <w:t>בית המשפט המחוזי בירושלים</w:t>
            </w:r>
          </w:p>
        </w:tc>
      </w:tr>
      <w:tr w:rsidR="00375E7B" w:rsidRPr="00252171" w14:paraId="48E41C8F" w14:textId="77777777" w:rsidTr="00C13BE0">
        <w:trPr>
          <w:gridAfter w:val="1"/>
          <w:wAfter w:w="99" w:type="dxa"/>
          <w:trHeight w:val="337"/>
          <w:jc w:val="center"/>
        </w:trPr>
        <w:tc>
          <w:tcPr>
            <w:tcW w:w="5058" w:type="dxa"/>
            <w:gridSpan w:val="2"/>
          </w:tcPr>
          <w:p w14:paraId="634E8565" w14:textId="77777777" w:rsidR="00375E7B" w:rsidRPr="00252171" w:rsidRDefault="00375E7B" w:rsidP="0022735F">
            <w:pPr>
              <w:rPr>
                <w:rFonts w:cs="FrankRuehl"/>
                <w:sz w:val="28"/>
                <w:szCs w:val="28"/>
                <w:rtl/>
              </w:rPr>
            </w:pPr>
            <w:r w:rsidRPr="00252171">
              <w:rPr>
                <w:rFonts w:cs="FrankRuehl"/>
                <w:sz w:val="28"/>
                <w:szCs w:val="28"/>
                <w:rtl/>
              </w:rPr>
              <w:t>ת"פ</w:t>
            </w:r>
            <w:r w:rsidRPr="00252171">
              <w:rPr>
                <w:rFonts w:cs="FrankRuehl" w:hint="cs"/>
                <w:sz w:val="28"/>
                <w:szCs w:val="28"/>
                <w:rtl/>
              </w:rPr>
              <w:t xml:space="preserve"> </w:t>
            </w:r>
            <w:r w:rsidRPr="00252171">
              <w:rPr>
                <w:rFonts w:cs="FrankRuehl"/>
                <w:sz w:val="28"/>
                <w:szCs w:val="28"/>
                <w:rtl/>
              </w:rPr>
              <w:t>10639-08-22</w:t>
            </w:r>
            <w:r w:rsidRPr="00252171">
              <w:rPr>
                <w:rFonts w:cs="FrankRuehl" w:hint="cs"/>
                <w:sz w:val="28"/>
                <w:szCs w:val="28"/>
                <w:rtl/>
              </w:rPr>
              <w:t xml:space="preserve"> </w:t>
            </w:r>
            <w:r w:rsidRPr="00252171">
              <w:rPr>
                <w:rFonts w:cs="FrankRuehl"/>
                <w:sz w:val="28"/>
                <w:szCs w:val="28"/>
                <w:rtl/>
              </w:rPr>
              <w:t>מדינת ישראל נ' מלכה(עציר)</w:t>
            </w:r>
          </w:p>
        </w:tc>
        <w:tc>
          <w:tcPr>
            <w:tcW w:w="3663" w:type="dxa"/>
            <w:gridSpan w:val="2"/>
          </w:tcPr>
          <w:p w14:paraId="56605685" w14:textId="77777777" w:rsidR="00375E7B" w:rsidRPr="00252171" w:rsidRDefault="00375E7B" w:rsidP="0022735F">
            <w:pPr>
              <w:pStyle w:val="a3"/>
              <w:jc w:val="right"/>
              <w:rPr>
                <w:rFonts w:cs="FrankRuehl"/>
                <w:sz w:val="28"/>
                <w:szCs w:val="28"/>
                <w:rtl/>
              </w:rPr>
            </w:pPr>
          </w:p>
        </w:tc>
      </w:tr>
      <w:tr w:rsidR="00375E7B" w:rsidRPr="00252171" w14:paraId="339B2D10" w14:textId="77777777" w:rsidTr="00C13B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2287788" w14:textId="77777777" w:rsidR="00375E7B" w:rsidRPr="00252171" w:rsidRDefault="00375E7B" w:rsidP="00375E7B">
            <w:pPr>
              <w:jc w:val="both"/>
              <w:rPr>
                <w:rFonts w:ascii="FrankRuehl" w:hAnsi="FrankRuehl" w:cs="FrankRuehl"/>
                <w:sz w:val="30"/>
                <w:szCs w:val="30"/>
              </w:rPr>
            </w:pPr>
            <w:r w:rsidRPr="00252171">
              <w:rPr>
                <w:rFonts w:ascii="FrankRuehl" w:hAnsi="FrankRuehl" w:cs="FrankRuehl"/>
                <w:sz w:val="30"/>
                <w:szCs w:val="30"/>
                <w:rtl/>
              </w:rPr>
              <w:t xml:space="preserve">בפני </w:t>
            </w:r>
          </w:p>
        </w:tc>
        <w:tc>
          <w:tcPr>
            <w:tcW w:w="7897" w:type="dxa"/>
            <w:gridSpan w:val="4"/>
            <w:tcBorders>
              <w:top w:val="nil"/>
              <w:left w:val="nil"/>
              <w:bottom w:val="nil"/>
              <w:right w:val="nil"/>
            </w:tcBorders>
            <w:shd w:val="clear" w:color="auto" w:fill="auto"/>
          </w:tcPr>
          <w:p w14:paraId="157E9797" w14:textId="77777777" w:rsidR="00375E7B" w:rsidRPr="00252171" w:rsidRDefault="00375E7B" w:rsidP="0022735F">
            <w:pPr>
              <w:rPr>
                <w:rFonts w:ascii="FrankRuehl" w:hAnsi="FrankRuehl" w:cs="FrankRuehl"/>
                <w:b/>
                <w:bCs/>
                <w:sz w:val="30"/>
                <w:szCs w:val="30"/>
                <w:rtl/>
              </w:rPr>
            </w:pPr>
            <w:r w:rsidRPr="00252171">
              <w:rPr>
                <w:rFonts w:ascii="FrankRuehl" w:hAnsi="FrankRuehl" w:cs="FrankRuehl"/>
                <w:b/>
                <w:bCs/>
                <w:sz w:val="30"/>
                <w:szCs w:val="30"/>
                <w:rtl/>
              </w:rPr>
              <w:t>כב</w:t>
            </w:r>
            <w:r w:rsidRPr="00252171">
              <w:rPr>
                <w:rFonts w:ascii="FrankRuehl" w:hAnsi="FrankRuehl" w:cs="FrankRuehl" w:hint="cs"/>
                <w:b/>
                <w:bCs/>
                <w:sz w:val="30"/>
                <w:szCs w:val="30"/>
                <w:rtl/>
              </w:rPr>
              <w:t>'</w:t>
            </w:r>
            <w:r w:rsidRPr="00252171">
              <w:rPr>
                <w:rFonts w:ascii="FrankRuehl" w:hAnsi="FrankRuehl" w:cs="FrankRuehl"/>
                <w:b/>
                <w:bCs/>
                <w:sz w:val="30"/>
                <w:szCs w:val="30"/>
                <w:rtl/>
              </w:rPr>
              <w:t xml:space="preserve"> השופט  אילן סלע</w:t>
            </w:r>
          </w:p>
          <w:p w14:paraId="348A4702" w14:textId="77777777" w:rsidR="00375E7B" w:rsidRPr="00252171" w:rsidRDefault="00375E7B" w:rsidP="0022735F">
            <w:pPr>
              <w:rPr>
                <w:rFonts w:ascii="FrankRuehl" w:hAnsi="FrankRuehl" w:cs="FrankRuehl"/>
                <w:sz w:val="30"/>
                <w:szCs w:val="30"/>
                <w:rtl/>
              </w:rPr>
            </w:pPr>
          </w:p>
          <w:p w14:paraId="37D2F8AF" w14:textId="77777777" w:rsidR="00375E7B" w:rsidRPr="00252171" w:rsidRDefault="00375E7B" w:rsidP="00375E7B">
            <w:pPr>
              <w:jc w:val="both"/>
              <w:rPr>
                <w:rFonts w:ascii="FrankRuehl" w:hAnsi="FrankRuehl" w:cs="FrankRuehl"/>
                <w:sz w:val="30"/>
                <w:szCs w:val="30"/>
              </w:rPr>
            </w:pPr>
          </w:p>
        </w:tc>
      </w:tr>
      <w:tr w:rsidR="00375E7B" w:rsidRPr="00252171" w14:paraId="1A694F69" w14:textId="77777777" w:rsidTr="00C13B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31C9055" w14:textId="77777777" w:rsidR="00375E7B" w:rsidRPr="00252171" w:rsidRDefault="00375E7B" w:rsidP="00375E7B">
            <w:pPr>
              <w:jc w:val="both"/>
              <w:rPr>
                <w:rFonts w:ascii="FrankRuehl" w:hAnsi="FrankRuehl" w:cs="FrankRuehl"/>
                <w:sz w:val="30"/>
                <w:szCs w:val="30"/>
              </w:rPr>
            </w:pPr>
            <w:bookmarkStart w:id="2" w:name="FirstAppellant"/>
            <w:r w:rsidRPr="00252171">
              <w:rPr>
                <w:rFonts w:ascii="FrankRuehl" w:hAnsi="FrankRuehl" w:cs="FrankRuehl"/>
                <w:sz w:val="30"/>
                <w:szCs w:val="30"/>
                <w:rtl/>
              </w:rPr>
              <w:t>בעניין:</w:t>
            </w:r>
          </w:p>
        </w:tc>
        <w:tc>
          <w:tcPr>
            <w:tcW w:w="6200" w:type="dxa"/>
            <w:gridSpan w:val="2"/>
            <w:tcBorders>
              <w:top w:val="nil"/>
              <w:left w:val="nil"/>
              <w:bottom w:val="nil"/>
              <w:right w:val="nil"/>
            </w:tcBorders>
            <w:shd w:val="clear" w:color="auto" w:fill="auto"/>
          </w:tcPr>
          <w:p w14:paraId="59D9FEB2" w14:textId="77777777" w:rsidR="00375E7B" w:rsidRPr="00252171" w:rsidRDefault="00375E7B" w:rsidP="00375E7B">
            <w:pPr>
              <w:suppressLineNumbers/>
              <w:rPr>
                <w:rFonts w:ascii="FrankRuehl" w:hAnsi="FrankRuehl" w:cs="FrankRuehl"/>
                <w:b/>
                <w:bCs/>
                <w:sz w:val="30"/>
                <w:szCs w:val="30"/>
                <w:rtl/>
              </w:rPr>
            </w:pPr>
            <w:r w:rsidRPr="00252171">
              <w:rPr>
                <w:rFonts w:ascii="FrankRuehl" w:hAnsi="FrankRuehl" w:cs="FrankRuehl" w:hint="cs"/>
                <w:b/>
                <w:bCs/>
                <w:sz w:val="30"/>
                <w:szCs w:val="30"/>
                <w:rtl/>
              </w:rPr>
              <w:t>מדינת ישראל</w:t>
            </w:r>
          </w:p>
          <w:p w14:paraId="1B0CC922" w14:textId="77777777" w:rsidR="00375E7B" w:rsidRPr="00252171" w:rsidRDefault="00375E7B" w:rsidP="00375E7B">
            <w:pPr>
              <w:suppressLineNumbers/>
              <w:rPr>
                <w:rFonts w:ascii="FrankRuehl" w:hAnsi="FrankRuehl" w:cs="FrankRuehl"/>
                <w:b/>
                <w:bCs/>
                <w:sz w:val="30"/>
                <w:szCs w:val="30"/>
                <w:rtl/>
              </w:rPr>
            </w:pPr>
            <w:r w:rsidRPr="00252171">
              <w:rPr>
                <w:rFonts w:ascii="FrankRuehl" w:hAnsi="FrankRuehl" w:cs="FrankRuehl" w:hint="cs"/>
                <w:b/>
                <w:bCs/>
                <w:sz w:val="30"/>
                <w:szCs w:val="30"/>
                <w:rtl/>
              </w:rPr>
              <w:t>באמצעות פרקליטות מחוז ירושלים (פלילי),</w:t>
            </w:r>
          </w:p>
          <w:p w14:paraId="548CE85B" w14:textId="77777777" w:rsidR="00375E7B" w:rsidRPr="00252171" w:rsidRDefault="00375E7B" w:rsidP="00375E7B">
            <w:pPr>
              <w:suppressLineNumbers/>
              <w:rPr>
                <w:rFonts w:ascii="FrankRuehl" w:hAnsi="FrankRuehl" w:cs="FrankRuehl"/>
                <w:b/>
                <w:bCs/>
                <w:sz w:val="30"/>
                <w:szCs w:val="30"/>
              </w:rPr>
            </w:pPr>
            <w:r w:rsidRPr="00252171">
              <w:rPr>
                <w:rFonts w:ascii="FrankRuehl" w:hAnsi="FrankRuehl" w:cs="FrankRuehl" w:hint="cs"/>
                <w:b/>
                <w:bCs/>
                <w:sz w:val="30"/>
                <w:szCs w:val="30"/>
                <w:rtl/>
              </w:rPr>
              <w:t>ע"י עו"ד בני ליבסקינד</w:t>
            </w:r>
          </w:p>
          <w:p w14:paraId="3CBABE14" w14:textId="77777777" w:rsidR="00375E7B" w:rsidRPr="00252171" w:rsidRDefault="00375E7B" w:rsidP="0022735F">
            <w:pPr>
              <w:rPr>
                <w:rFonts w:ascii="FrankRuehl" w:hAnsi="FrankRuehl" w:cs="FrankRuehl"/>
                <w:sz w:val="30"/>
                <w:szCs w:val="30"/>
              </w:rPr>
            </w:pPr>
          </w:p>
        </w:tc>
        <w:tc>
          <w:tcPr>
            <w:tcW w:w="1697" w:type="dxa"/>
            <w:gridSpan w:val="2"/>
            <w:tcBorders>
              <w:top w:val="nil"/>
              <w:left w:val="nil"/>
              <w:bottom w:val="nil"/>
              <w:right w:val="nil"/>
            </w:tcBorders>
            <w:shd w:val="clear" w:color="auto" w:fill="auto"/>
            <w:vAlign w:val="center"/>
          </w:tcPr>
          <w:p w14:paraId="631AE8FE" w14:textId="77777777" w:rsidR="00375E7B" w:rsidRPr="00252171" w:rsidRDefault="00375E7B" w:rsidP="00375E7B">
            <w:pPr>
              <w:suppressLineNumbers/>
              <w:rPr>
                <w:rFonts w:ascii="FrankRuehl" w:hAnsi="FrankRuehl" w:cs="FrankRuehl"/>
                <w:sz w:val="30"/>
                <w:szCs w:val="30"/>
              </w:rPr>
            </w:pPr>
            <w:r w:rsidRPr="00252171">
              <w:rPr>
                <w:rFonts w:ascii="FrankRuehl" w:hAnsi="FrankRuehl" w:cs="FrankRuehl"/>
                <w:b/>
                <w:bCs/>
                <w:sz w:val="30"/>
                <w:szCs w:val="30"/>
                <w:rtl/>
              </w:rPr>
              <w:br/>
            </w:r>
            <w:r w:rsidRPr="00252171">
              <w:rPr>
                <w:rFonts w:ascii="FrankRuehl" w:hAnsi="FrankRuehl" w:cs="FrankRuehl"/>
                <w:b/>
                <w:bCs/>
                <w:sz w:val="30"/>
                <w:szCs w:val="30"/>
                <w:rtl/>
              </w:rPr>
              <w:br/>
            </w:r>
            <w:r w:rsidRPr="00252171">
              <w:rPr>
                <w:rFonts w:ascii="FrankRuehl" w:hAnsi="FrankRuehl" w:cs="FrankRuehl" w:hint="cs"/>
                <w:b/>
                <w:bCs/>
                <w:sz w:val="30"/>
                <w:szCs w:val="30"/>
                <w:rtl/>
              </w:rPr>
              <w:t>המאשימה</w:t>
            </w:r>
          </w:p>
        </w:tc>
      </w:tr>
      <w:bookmarkEnd w:id="2"/>
      <w:tr w:rsidR="00375E7B" w:rsidRPr="00252171" w14:paraId="1272D646" w14:textId="77777777" w:rsidTr="00C13B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51841A4" w14:textId="77777777" w:rsidR="00375E7B" w:rsidRPr="00252171" w:rsidRDefault="00375E7B" w:rsidP="00375E7B">
            <w:pPr>
              <w:jc w:val="both"/>
              <w:rPr>
                <w:rFonts w:ascii="FrankRuehl" w:hAnsi="FrankRuehl" w:cs="FrankRuehl"/>
                <w:sz w:val="30"/>
                <w:szCs w:val="30"/>
                <w:rtl/>
              </w:rPr>
            </w:pPr>
          </w:p>
        </w:tc>
        <w:tc>
          <w:tcPr>
            <w:tcW w:w="7897" w:type="dxa"/>
            <w:gridSpan w:val="4"/>
            <w:tcBorders>
              <w:top w:val="nil"/>
              <w:left w:val="nil"/>
              <w:bottom w:val="nil"/>
              <w:right w:val="nil"/>
            </w:tcBorders>
            <w:shd w:val="clear" w:color="auto" w:fill="auto"/>
          </w:tcPr>
          <w:p w14:paraId="1E9B09E5" w14:textId="77777777" w:rsidR="00375E7B" w:rsidRPr="00252171" w:rsidRDefault="00375E7B" w:rsidP="00375E7B">
            <w:pPr>
              <w:jc w:val="center"/>
              <w:rPr>
                <w:rFonts w:ascii="FrankRuehl" w:hAnsi="FrankRuehl" w:cs="FrankRuehl"/>
                <w:b/>
                <w:bCs/>
                <w:sz w:val="30"/>
                <w:szCs w:val="30"/>
                <w:rtl/>
              </w:rPr>
            </w:pPr>
          </w:p>
          <w:p w14:paraId="3CD75D73" w14:textId="77777777" w:rsidR="00375E7B" w:rsidRPr="00252171" w:rsidRDefault="00375E7B" w:rsidP="00375E7B">
            <w:pPr>
              <w:jc w:val="center"/>
              <w:rPr>
                <w:rFonts w:ascii="FrankRuehl" w:hAnsi="FrankRuehl" w:cs="FrankRuehl"/>
                <w:b/>
                <w:bCs/>
                <w:sz w:val="30"/>
                <w:szCs w:val="30"/>
                <w:rtl/>
              </w:rPr>
            </w:pPr>
            <w:r w:rsidRPr="00252171">
              <w:rPr>
                <w:rFonts w:ascii="FrankRuehl" w:hAnsi="FrankRuehl" w:cs="FrankRuehl"/>
                <w:b/>
                <w:bCs/>
                <w:sz w:val="30"/>
                <w:szCs w:val="30"/>
                <w:rtl/>
              </w:rPr>
              <w:t>נגד</w:t>
            </w:r>
          </w:p>
          <w:p w14:paraId="2D28D4A7" w14:textId="77777777" w:rsidR="00375E7B" w:rsidRPr="00252171" w:rsidRDefault="00375E7B" w:rsidP="00375E7B">
            <w:pPr>
              <w:jc w:val="both"/>
              <w:rPr>
                <w:rFonts w:ascii="FrankRuehl" w:hAnsi="FrankRuehl" w:cs="FrankRuehl"/>
                <w:sz w:val="30"/>
                <w:szCs w:val="30"/>
              </w:rPr>
            </w:pPr>
          </w:p>
        </w:tc>
      </w:tr>
      <w:tr w:rsidR="00375E7B" w:rsidRPr="00252171" w14:paraId="67FF5135" w14:textId="77777777" w:rsidTr="00C13B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A92F978" w14:textId="77777777" w:rsidR="00375E7B" w:rsidRPr="00252171" w:rsidRDefault="00375E7B" w:rsidP="0022735F">
            <w:pPr>
              <w:rPr>
                <w:rFonts w:ascii="FrankRuehl" w:hAnsi="FrankRuehl" w:cs="FrankRuehl"/>
                <w:sz w:val="30"/>
                <w:szCs w:val="30"/>
                <w:rtl/>
              </w:rPr>
            </w:pPr>
          </w:p>
        </w:tc>
        <w:tc>
          <w:tcPr>
            <w:tcW w:w="6200" w:type="dxa"/>
            <w:gridSpan w:val="2"/>
            <w:tcBorders>
              <w:top w:val="nil"/>
              <w:left w:val="nil"/>
              <w:bottom w:val="nil"/>
              <w:right w:val="nil"/>
            </w:tcBorders>
            <w:shd w:val="clear" w:color="auto" w:fill="auto"/>
          </w:tcPr>
          <w:p w14:paraId="537959B8" w14:textId="77777777" w:rsidR="00375E7B" w:rsidRPr="00252171" w:rsidRDefault="00375E7B" w:rsidP="0022735F">
            <w:pPr>
              <w:rPr>
                <w:rFonts w:ascii="FrankRuehl" w:hAnsi="FrankRuehl" w:cs="FrankRuehl"/>
                <w:b/>
                <w:bCs/>
                <w:sz w:val="30"/>
                <w:szCs w:val="30"/>
                <w:rtl/>
              </w:rPr>
            </w:pPr>
            <w:r w:rsidRPr="00252171">
              <w:rPr>
                <w:rFonts w:ascii="FrankRuehl" w:hAnsi="FrankRuehl" w:cs="FrankRuehl" w:hint="cs"/>
                <w:b/>
                <w:bCs/>
                <w:sz w:val="30"/>
                <w:szCs w:val="30"/>
                <w:rtl/>
              </w:rPr>
              <w:t>נאור מלכה</w:t>
            </w:r>
            <w:r w:rsidRPr="00252171">
              <w:rPr>
                <w:rFonts w:ascii="FrankRuehl" w:hAnsi="FrankRuehl" w:cs="FrankRuehl"/>
                <w:b/>
                <w:bCs/>
                <w:sz w:val="30"/>
                <w:szCs w:val="30"/>
                <w:rtl/>
              </w:rPr>
              <w:br/>
            </w:r>
            <w:r w:rsidRPr="00252171">
              <w:rPr>
                <w:rFonts w:ascii="FrankRuehl" w:hAnsi="FrankRuehl" w:cs="FrankRuehl" w:hint="cs"/>
                <w:b/>
                <w:bCs/>
                <w:sz w:val="30"/>
                <w:szCs w:val="30"/>
                <w:rtl/>
              </w:rPr>
              <w:t>ע"י ב"כ עו"ד גבי טראנשווילי</w:t>
            </w:r>
          </w:p>
        </w:tc>
        <w:tc>
          <w:tcPr>
            <w:tcW w:w="1697" w:type="dxa"/>
            <w:gridSpan w:val="2"/>
            <w:tcBorders>
              <w:top w:val="nil"/>
              <w:left w:val="nil"/>
              <w:bottom w:val="nil"/>
              <w:right w:val="nil"/>
            </w:tcBorders>
            <w:shd w:val="clear" w:color="auto" w:fill="auto"/>
            <w:vAlign w:val="center"/>
          </w:tcPr>
          <w:p w14:paraId="7173BB9C" w14:textId="77777777" w:rsidR="00375E7B" w:rsidRPr="00252171" w:rsidRDefault="00375E7B" w:rsidP="00375E7B">
            <w:pPr>
              <w:suppressLineNumbers/>
              <w:rPr>
                <w:rFonts w:ascii="FrankRuehl" w:hAnsi="FrankRuehl" w:cs="FrankRuehl"/>
                <w:b/>
                <w:bCs/>
                <w:sz w:val="30"/>
                <w:szCs w:val="30"/>
                <w:rtl/>
              </w:rPr>
            </w:pPr>
          </w:p>
          <w:p w14:paraId="7FF152B8" w14:textId="77777777" w:rsidR="00375E7B" w:rsidRPr="00252171" w:rsidRDefault="00375E7B" w:rsidP="00375E7B">
            <w:pPr>
              <w:suppressLineNumbers/>
              <w:rPr>
                <w:rFonts w:ascii="FrankRuehl" w:hAnsi="FrankRuehl" w:cs="FrankRuehl"/>
                <w:sz w:val="30"/>
                <w:szCs w:val="30"/>
              </w:rPr>
            </w:pPr>
            <w:r w:rsidRPr="00252171">
              <w:rPr>
                <w:rFonts w:ascii="FrankRuehl" w:hAnsi="FrankRuehl" w:cs="FrankRuehl" w:hint="cs"/>
                <w:b/>
                <w:bCs/>
                <w:sz w:val="30"/>
                <w:szCs w:val="30"/>
                <w:rtl/>
              </w:rPr>
              <w:t>הנאשם</w:t>
            </w:r>
          </w:p>
        </w:tc>
      </w:tr>
      <w:tr w:rsidR="00375E7B" w:rsidRPr="00252171" w14:paraId="79C67D65" w14:textId="77777777" w:rsidTr="00C13B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8DB3B8A" w14:textId="77777777" w:rsidR="00375E7B" w:rsidRPr="00252171" w:rsidRDefault="00375E7B" w:rsidP="00375E7B">
            <w:pPr>
              <w:jc w:val="both"/>
              <w:rPr>
                <w:rFonts w:ascii="FrankRuehl" w:hAnsi="FrankRuehl" w:cs="FrankRuehl"/>
                <w:sz w:val="30"/>
                <w:szCs w:val="30"/>
                <w:rtl/>
              </w:rPr>
            </w:pPr>
          </w:p>
        </w:tc>
        <w:tc>
          <w:tcPr>
            <w:tcW w:w="6200" w:type="dxa"/>
            <w:gridSpan w:val="2"/>
            <w:tcBorders>
              <w:top w:val="nil"/>
              <w:left w:val="nil"/>
              <w:bottom w:val="nil"/>
              <w:right w:val="nil"/>
            </w:tcBorders>
            <w:shd w:val="clear" w:color="auto" w:fill="auto"/>
          </w:tcPr>
          <w:p w14:paraId="1D87FC72" w14:textId="77777777" w:rsidR="00375E7B" w:rsidRPr="00252171" w:rsidRDefault="00375E7B" w:rsidP="00375E7B">
            <w:pPr>
              <w:jc w:val="both"/>
              <w:rPr>
                <w:rFonts w:ascii="FrankRuehl" w:hAnsi="FrankRuehl" w:cs="FrankRuehl"/>
                <w:sz w:val="30"/>
                <w:szCs w:val="30"/>
                <w:rtl/>
              </w:rPr>
            </w:pPr>
          </w:p>
        </w:tc>
        <w:tc>
          <w:tcPr>
            <w:tcW w:w="1697" w:type="dxa"/>
            <w:gridSpan w:val="2"/>
            <w:tcBorders>
              <w:top w:val="nil"/>
              <w:left w:val="nil"/>
              <w:bottom w:val="nil"/>
              <w:right w:val="nil"/>
            </w:tcBorders>
            <w:shd w:val="clear" w:color="auto" w:fill="auto"/>
          </w:tcPr>
          <w:p w14:paraId="04EC56B1" w14:textId="77777777" w:rsidR="00375E7B" w:rsidRPr="00252171" w:rsidRDefault="00375E7B" w:rsidP="00375E7B">
            <w:pPr>
              <w:jc w:val="right"/>
              <w:rPr>
                <w:rFonts w:ascii="FrankRuehl" w:hAnsi="FrankRuehl" w:cs="FrankRuehl"/>
                <w:sz w:val="30"/>
                <w:szCs w:val="30"/>
              </w:rPr>
            </w:pPr>
          </w:p>
        </w:tc>
      </w:tr>
    </w:tbl>
    <w:p w14:paraId="4EC57544" w14:textId="77777777" w:rsidR="00C13BE0" w:rsidRDefault="00C13BE0" w:rsidP="00252171">
      <w:pPr>
        <w:rPr>
          <w:rFonts w:ascii="Arial" w:hAnsi="Arial"/>
          <w:sz w:val="26"/>
          <w:szCs w:val="26"/>
          <w:rtl/>
        </w:rPr>
      </w:pPr>
    </w:p>
    <w:p w14:paraId="08308900" w14:textId="77777777" w:rsidR="00C13BE0" w:rsidRPr="00C13BE0" w:rsidRDefault="00C13BE0" w:rsidP="00C13BE0">
      <w:pPr>
        <w:spacing w:after="120" w:line="240" w:lineRule="exact"/>
        <w:ind w:left="283" w:hanging="283"/>
        <w:jc w:val="both"/>
        <w:rPr>
          <w:rFonts w:ascii="FrankRuehl" w:hAnsi="FrankRuehl" w:cs="FrankRuehl"/>
          <w:rtl/>
        </w:rPr>
      </w:pPr>
    </w:p>
    <w:p w14:paraId="49046991" w14:textId="77777777" w:rsidR="00686EA7" w:rsidRPr="00686EA7" w:rsidRDefault="00686EA7" w:rsidP="00686EA7">
      <w:pPr>
        <w:spacing w:before="120" w:after="120" w:line="240" w:lineRule="exact"/>
        <w:ind w:left="283" w:hanging="283"/>
        <w:jc w:val="both"/>
        <w:rPr>
          <w:rFonts w:ascii="FrankRuehl" w:hAnsi="FrankRuehl" w:cs="FrankRuehl"/>
          <w:rtl/>
        </w:rPr>
      </w:pPr>
    </w:p>
    <w:p w14:paraId="4952ABBA" w14:textId="77777777" w:rsidR="00FB5DB7" w:rsidRDefault="00FB5DB7" w:rsidP="00FB5DB7">
      <w:pPr>
        <w:rPr>
          <w:rFonts w:ascii="Arial" w:hAnsi="Arial"/>
          <w:sz w:val="26"/>
          <w:szCs w:val="26"/>
          <w:rtl/>
        </w:rPr>
      </w:pPr>
      <w:bookmarkStart w:id="3" w:name="LawTable"/>
      <w:bookmarkEnd w:id="3"/>
    </w:p>
    <w:p w14:paraId="0392E66D" w14:textId="77777777" w:rsidR="00FB5DB7" w:rsidRPr="00FB5DB7" w:rsidRDefault="00FB5DB7" w:rsidP="00FB5DB7">
      <w:pPr>
        <w:spacing w:before="120" w:after="120" w:line="240" w:lineRule="exact"/>
        <w:ind w:left="283" w:hanging="283"/>
        <w:jc w:val="both"/>
        <w:rPr>
          <w:rFonts w:ascii="FrankRuehl" w:hAnsi="FrankRuehl" w:cs="FrankRuehl"/>
          <w:rtl/>
        </w:rPr>
      </w:pPr>
    </w:p>
    <w:p w14:paraId="359E8DA2" w14:textId="77777777" w:rsidR="00FB5DB7" w:rsidRPr="00FB5DB7" w:rsidRDefault="00FB5DB7" w:rsidP="00FB5DB7">
      <w:pPr>
        <w:spacing w:before="120" w:after="120" w:line="240" w:lineRule="exact"/>
        <w:ind w:left="283" w:hanging="283"/>
        <w:jc w:val="both"/>
        <w:rPr>
          <w:rFonts w:ascii="FrankRuehl" w:hAnsi="FrankRuehl" w:cs="FrankRuehl"/>
          <w:rtl/>
        </w:rPr>
      </w:pPr>
    </w:p>
    <w:p w14:paraId="1EAC55DF" w14:textId="77777777" w:rsidR="00FB5DB7" w:rsidRPr="00FB5DB7" w:rsidRDefault="00FB5DB7" w:rsidP="00FB5DB7">
      <w:pPr>
        <w:spacing w:before="120" w:after="120" w:line="240" w:lineRule="exact"/>
        <w:ind w:left="283" w:hanging="283"/>
        <w:jc w:val="both"/>
        <w:rPr>
          <w:rFonts w:ascii="FrankRuehl" w:hAnsi="FrankRuehl" w:cs="FrankRuehl"/>
          <w:rtl/>
        </w:rPr>
      </w:pPr>
      <w:r w:rsidRPr="00FB5DB7">
        <w:rPr>
          <w:rFonts w:ascii="FrankRuehl" w:hAnsi="FrankRuehl" w:cs="FrankRuehl"/>
          <w:rtl/>
        </w:rPr>
        <w:t xml:space="preserve">חקיקה שאוזכרה: </w:t>
      </w:r>
    </w:p>
    <w:p w14:paraId="54671391" w14:textId="77777777" w:rsidR="00FB5DB7" w:rsidRPr="00FB5DB7" w:rsidRDefault="00FB5DB7" w:rsidP="00FB5DB7">
      <w:pPr>
        <w:spacing w:before="120" w:after="120" w:line="240" w:lineRule="exact"/>
        <w:ind w:left="283" w:hanging="283"/>
        <w:jc w:val="both"/>
        <w:rPr>
          <w:rFonts w:ascii="FrankRuehl" w:hAnsi="FrankRuehl" w:cs="FrankRuehl"/>
          <w:rtl/>
        </w:rPr>
      </w:pPr>
      <w:hyperlink r:id="rId7" w:history="1">
        <w:r w:rsidRPr="00FB5DB7">
          <w:rPr>
            <w:rFonts w:ascii="FrankRuehl" w:hAnsi="FrankRuehl" w:cs="FrankRuehl"/>
            <w:color w:val="0000FF"/>
            <w:rtl/>
          </w:rPr>
          <w:t>חוק העונשין, תשל"ז-1977</w:t>
        </w:r>
      </w:hyperlink>
      <w:r w:rsidRPr="00FB5DB7">
        <w:rPr>
          <w:rFonts w:ascii="FrankRuehl" w:hAnsi="FrankRuehl" w:cs="FrankRuehl"/>
          <w:rtl/>
        </w:rPr>
        <w:t xml:space="preserve">: סע'  </w:t>
      </w:r>
      <w:hyperlink r:id="rId8" w:history="1">
        <w:r w:rsidRPr="00FB5DB7">
          <w:rPr>
            <w:rFonts w:ascii="FrankRuehl" w:hAnsi="FrankRuehl" w:cs="FrankRuehl"/>
            <w:color w:val="0000FF"/>
            <w:rtl/>
          </w:rPr>
          <w:t>29</w:t>
        </w:r>
      </w:hyperlink>
      <w:r w:rsidRPr="00FB5DB7">
        <w:rPr>
          <w:rFonts w:ascii="FrankRuehl" w:hAnsi="FrankRuehl" w:cs="FrankRuehl"/>
          <w:rtl/>
        </w:rPr>
        <w:t xml:space="preserve">, </w:t>
      </w:r>
      <w:hyperlink r:id="rId9" w:history="1">
        <w:r w:rsidRPr="00FB5DB7">
          <w:rPr>
            <w:rFonts w:ascii="FrankRuehl" w:hAnsi="FrankRuehl" w:cs="FrankRuehl"/>
            <w:color w:val="0000FF"/>
            <w:rtl/>
          </w:rPr>
          <w:t>186(א)</w:t>
        </w:r>
      </w:hyperlink>
      <w:r w:rsidRPr="00FB5DB7">
        <w:rPr>
          <w:rFonts w:ascii="FrankRuehl" w:hAnsi="FrankRuehl" w:cs="FrankRuehl"/>
          <w:rtl/>
        </w:rPr>
        <w:t xml:space="preserve">, </w:t>
      </w:r>
      <w:hyperlink r:id="rId10" w:history="1">
        <w:r w:rsidRPr="00FB5DB7">
          <w:rPr>
            <w:rFonts w:ascii="FrankRuehl" w:hAnsi="FrankRuehl" w:cs="FrankRuehl"/>
            <w:color w:val="0000FF"/>
            <w:rtl/>
          </w:rPr>
          <w:t>384</w:t>
        </w:r>
      </w:hyperlink>
      <w:r w:rsidRPr="00FB5DB7">
        <w:rPr>
          <w:rFonts w:ascii="FrankRuehl" w:hAnsi="FrankRuehl" w:cs="FrankRuehl"/>
          <w:rtl/>
        </w:rPr>
        <w:t xml:space="preserve">, </w:t>
      </w:r>
      <w:hyperlink r:id="rId11" w:history="1">
        <w:r w:rsidRPr="00FB5DB7">
          <w:rPr>
            <w:rFonts w:ascii="FrankRuehl" w:hAnsi="FrankRuehl" w:cs="FrankRuehl"/>
            <w:color w:val="0000FF"/>
            <w:rtl/>
          </w:rPr>
          <w:t>409</w:t>
        </w:r>
      </w:hyperlink>
      <w:r w:rsidRPr="00FB5DB7">
        <w:rPr>
          <w:rFonts w:ascii="FrankRuehl" w:hAnsi="FrankRuehl" w:cs="FrankRuehl"/>
          <w:rtl/>
        </w:rPr>
        <w:t xml:space="preserve">, </w:t>
      </w:r>
      <w:hyperlink r:id="rId12" w:history="1">
        <w:r w:rsidRPr="00FB5DB7">
          <w:rPr>
            <w:rFonts w:ascii="FrankRuehl" w:hAnsi="FrankRuehl" w:cs="FrankRuehl"/>
            <w:color w:val="0000FF"/>
            <w:rtl/>
          </w:rPr>
          <w:t>413ג'</w:t>
        </w:r>
      </w:hyperlink>
      <w:r w:rsidRPr="00FB5DB7">
        <w:rPr>
          <w:rFonts w:ascii="FrankRuehl" w:hAnsi="FrankRuehl" w:cs="FrankRuehl"/>
          <w:rtl/>
        </w:rPr>
        <w:t xml:space="preserve">, </w:t>
      </w:r>
      <w:hyperlink r:id="rId13" w:history="1">
        <w:r w:rsidRPr="00FB5DB7">
          <w:rPr>
            <w:rFonts w:ascii="FrankRuehl" w:hAnsi="FrankRuehl" w:cs="FrankRuehl"/>
            <w:color w:val="0000FF"/>
            <w:rtl/>
          </w:rPr>
          <w:t>448(א)</w:t>
        </w:r>
      </w:hyperlink>
    </w:p>
    <w:p w14:paraId="11668D6D" w14:textId="77777777" w:rsidR="00FB5DB7" w:rsidRPr="00FB5DB7" w:rsidRDefault="00FB5DB7" w:rsidP="00FB5DB7">
      <w:pPr>
        <w:spacing w:before="120" w:after="120" w:line="240" w:lineRule="exact"/>
        <w:ind w:left="283" w:hanging="283"/>
        <w:jc w:val="both"/>
        <w:rPr>
          <w:rFonts w:ascii="FrankRuehl" w:hAnsi="FrankRuehl" w:cs="FrankRuehl"/>
          <w:rtl/>
        </w:rPr>
      </w:pPr>
      <w:hyperlink r:id="rId14" w:history="1">
        <w:r w:rsidRPr="00FB5DB7">
          <w:rPr>
            <w:rFonts w:ascii="FrankRuehl" w:hAnsi="FrankRuehl" w:cs="FrankRuehl"/>
            <w:color w:val="0000FF"/>
            <w:rtl/>
          </w:rPr>
          <w:t>פקודת הסמים המסוכנים [נוסח חדש], תשל"ג-1973</w:t>
        </w:r>
      </w:hyperlink>
      <w:r w:rsidRPr="00FB5DB7">
        <w:rPr>
          <w:rFonts w:ascii="FrankRuehl" w:hAnsi="FrankRuehl" w:cs="FrankRuehl"/>
          <w:rtl/>
        </w:rPr>
        <w:t xml:space="preserve">: סע'  </w:t>
      </w:r>
      <w:hyperlink r:id="rId15" w:history="1">
        <w:r w:rsidRPr="00FB5DB7">
          <w:rPr>
            <w:rFonts w:ascii="FrankRuehl" w:hAnsi="FrankRuehl" w:cs="FrankRuehl"/>
            <w:color w:val="0000FF"/>
            <w:rtl/>
          </w:rPr>
          <w:t>7(א)</w:t>
        </w:r>
      </w:hyperlink>
      <w:r w:rsidRPr="00FB5DB7">
        <w:rPr>
          <w:rFonts w:ascii="FrankRuehl" w:hAnsi="FrankRuehl" w:cs="FrankRuehl"/>
          <w:rtl/>
        </w:rPr>
        <w:t xml:space="preserve">, </w:t>
      </w:r>
      <w:hyperlink r:id="rId16" w:history="1">
        <w:r w:rsidRPr="00FB5DB7">
          <w:rPr>
            <w:rFonts w:ascii="FrankRuehl" w:hAnsi="FrankRuehl" w:cs="FrankRuehl"/>
            <w:color w:val="0000FF"/>
            <w:rtl/>
          </w:rPr>
          <w:t>7(ג)</w:t>
        </w:r>
      </w:hyperlink>
    </w:p>
    <w:p w14:paraId="264C49B8" w14:textId="77777777" w:rsidR="00FB5DB7" w:rsidRPr="00FB5DB7" w:rsidRDefault="00FB5DB7" w:rsidP="00FB5DB7">
      <w:pPr>
        <w:rPr>
          <w:rFonts w:ascii="Arial" w:hAnsi="Arial"/>
          <w:sz w:val="26"/>
          <w:szCs w:val="26"/>
          <w:rtl/>
        </w:rPr>
      </w:pPr>
      <w:bookmarkStart w:id="4" w:name="LawTable_End"/>
      <w:bookmarkEnd w:id="4"/>
    </w:p>
    <w:p w14:paraId="57B4D762" w14:textId="77777777" w:rsidR="00375E7B" w:rsidRPr="00686EA7" w:rsidRDefault="00375E7B" w:rsidP="00686EA7">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75E7B" w14:paraId="4B21B4D9" w14:textId="77777777" w:rsidTr="00375E7B">
        <w:trPr>
          <w:trHeight w:val="355"/>
          <w:jc w:val="center"/>
        </w:trPr>
        <w:tc>
          <w:tcPr>
            <w:tcW w:w="8820" w:type="dxa"/>
            <w:tcBorders>
              <w:top w:val="nil"/>
              <w:left w:val="nil"/>
              <w:bottom w:val="nil"/>
              <w:right w:val="nil"/>
            </w:tcBorders>
            <w:shd w:val="clear" w:color="auto" w:fill="auto"/>
          </w:tcPr>
          <w:p w14:paraId="4FB7A5A4" w14:textId="77777777" w:rsidR="00252171" w:rsidRPr="00252171" w:rsidRDefault="00252171" w:rsidP="00252171">
            <w:pPr>
              <w:jc w:val="center"/>
              <w:rPr>
                <w:rFonts w:ascii="FrankRuehl" w:hAnsi="FrankRuehl" w:cs="FrankRuehl"/>
                <w:b/>
                <w:bCs/>
                <w:sz w:val="36"/>
                <w:szCs w:val="36"/>
                <w:u w:val="single"/>
                <w:rtl/>
              </w:rPr>
            </w:pPr>
            <w:bookmarkStart w:id="5" w:name="PsakDin" w:colFirst="0" w:colLast="0"/>
            <w:bookmarkEnd w:id="0"/>
            <w:bookmarkEnd w:id="1"/>
            <w:r w:rsidRPr="00252171">
              <w:rPr>
                <w:rFonts w:ascii="FrankRuehl" w:hAnsi="FrankRuehl" w:cs="FrankRuehl"/>
                <w:b/>
                <w:bCs/>
                <w:sz w:val="36"/>
                <w:szCs w:val="36"/>
                <w:u w:val="single"/>
                <w:rtl/>
              </w:rPr>
              <w:t>גזר דין</w:t>
            </w:r>
          </w:p>
          <w:p w14:paraId="535A52A7" w14:textId="77777777" w:rsidR="00375E7B" w:rsidRPr="00252171" w:rsidRDefault="00375E7B" w:rsidP="00252171">
            <w:pPr>
              <w:jc w:val="center"/>
              <w:rPr>
                <w:rFonts w:ascii="FrankRuehl" w:hAnsi="FrankRuehl" w:cs="FrankRuehl"/>
                <w:bCs/>
                <w:sz w:val="36"/>
                <w:szCs w:val="36"/>
                <w:u w:val="single"/>
                <w:rtl/>
              </w:rPr>
            </w:pPr>
          </w:p>
        </w:tc>
      </w:tr>
      <w:bookmarkEnd w:id="5"/>
    </w:tbl>
    <w:p w14:paraId="6723BD0D" w14:textId="77777777" w:rsidR="00375E7B" w:rsidRPr="000F2247" w:rsidRDefault="00375E7B" w:rsidP="00375E7B">
      <w:pPr>
        <w:rPr>
          <w:rFonts w:ascii="Arial" w:hAnsi="Arial"/>
          <w:b/>
          <w:bCs/>
          <w:sz w:val="26"/>
          <w:szCs w:val="26"/>
          <w:rtl/>
        </w:rPr>
      </w:pPr>
    </w:p>
    <w:p w14:paraId="61187BDB" w14:textId="77777777" w:rsidR="00375E7B" w:rsidRPr="000F2247" w:rsidRDefault="00375E7B" w:rsidP="00375E7B">
      <w:pPr>
        <w:rPr>
          <w:rFonts w:ascii="Arial" w:hAnsi="Arial"/>
          <w:b/>
          <w:bCs/>
          <w:sz w:val="26"/>
          <w:szCs w:val="26"/>
          <w:rtl/>
        </w:rPr>
      </w:pPr>
    </w:p>
    <w:p w14:paraId="03545C20" w14:textId="77777777" w:rsidR="00375E7B" w:rsidRPr="00BC7CD8" w:rsidRDefault="00375E7B" w:rsidP="00375E7B">
      <w:pPr>
        <w:spacing w:line="360" w:lineRule="auto"/>
        <w:jc w:val="both"/>
        <w:rPr>
          <w:rFonts w:ascii="FrankRuehl" w:hAnsi="FrankRuehl" w:cs="FrankRuehl"/>
          <w:b/>
          <w:bCs/>
          <w:sz w:val="28"/>
          <w:szCs w:val="28"/>
          <w:u w:val="single"/>
          <w:rtl/>
        </w:rPr>
      </w:pPr>
      <w:r w:rsidRPr="00BC7CD8">
        <w:rPr>
          <w:rFonts w:ascii="FrankRuehl" w:hAnsi="FrankRuehl" w:cs="FrankRuehl" w:hint="cs"/>
          <w:b/>
          <w:bCs/>
          <w:sz w:val="28"/>
          <w:szCs w:val="28"/>
          <w:u w:val="single"/>
          <w:rtl/>
        </w:rPr>
        <w:t>העבירות בהן הורשע הנאשם</w:t>
      </w:r>
    </w:p>
    <w:p w14:paraId="565EE9C0" w14:textId="77777777" w:rsidR="00375E7B" w:rsidRDefault="00375E7B" w:rsidP="00375E7B">
      <w:pPr>
        <w:spacing w:line="360" w:lineRule="auto"/>
        <w:jc w:val="both"/>
        <w:rPr>
          <w:rFonts w:ascii="FrankRuehl" w:hAnsi="FrankRuehl" w:cs="FrankRuehl"/>
          <w:sz w:val="28"/>
          <w:szCs w:val="28"/>
          <w:rtl/>
        </w:rPr>
      </w:pPr>
      <w:r>
        <w:rPr>
          <w:rFonts w:ascii="FrankRuehl" w:hAnsi="FrankRuehl" w:cs="FrankRuehl" w:hint="cs"/>
          <w:sz w:val="28"/>
          <w:szCs w:val="28"/>
          <w:rtl/>
        </w:rPr>
        <w:t>1.</w:t>
      </w:r>
      <w:r>
        <w:rPr>
          <w:rFonts w:ascii="FrankRuehl" w:hAnsi="FrankRuehl" w:cs="FrankRuehl" w:hint="cs"/>
          <w:sz w:val="28"/>
          <w:szCs w:val="28"/>
          <w:rtl/>
        </w:rPr>
        <w:tab/>
      </w:r>
      <w:bookmarkStart w:id="6" w:name="ABSTRACT_START"/>
      <w:bookmarkEnd w:id="6"/>
      <w:r w:rsidRPr="00F8249D">
        <w:rPr>
          <w:rFonts w:ascii="FrankRuehl" w:hAnsi="FrankRuehl" w:cs="FrankRuehl" w:hint="cs"/>
          <w:sz w:val="28"/>
          <w:szCs w:val="28"/>
          <w:rtl/>
        </w:rPr>
        <w:t>הנאשם הורשע על פי הודאתו</w:t>
      </w:r>
      <w:r>
        <w:rPr>
          <w:rFonts w:ascii="FrankRuehl" w:hAnsi="FrankRuehl" w:cs="FrankRuehl" w:hint="cs"/>
          <w:sz w:val="28"/>
          <w:szCs w:val="28"/>
          <w:rtl/>
        </w:rPr>
        <w:t>, שניתנה במסגרת הסדר טיעון,</w:t>
      </w:r>
      <w:r w:rsidRPr="00F8249D">
        <w:rPr>
          <w:rFonts w:ascii="FrankRuehl" w:hAnsi="FrankRuehl" w:cs="FrankRuehl" w:hint="cs"/>
          <w:sz w:val="28"/>
          <w:szCs w:val="28"/>
          <w:rtl/>
        </w:rPr>
        <w:t xml:space="preserve"> </w:t>
      </w:r>
      <w:r>
        <w:rPr>
          <w:rFonts w:ascii="FrankRuehl" w:hAnsi="FrankRuehl" w:cs="FrankRuehl" w:hint="cs"/>
          <w:sz w:val="28"/>
          <w:szCs w:val="28"/>
          <w:rtl/>
        </w:rPr>
        <w:t xml:space="preserve">בעבירה של הצתה לפי </w:t>
      </w:r>
      <w:hyperlink r:id="rId17" w:history="1">
        <w:r w:rsidR="00C13BE0" w:rsidRPr="00C13BE0">
          <w:rPr>
            <w:rStyle w:val="Hyperlink"/>
            <w:rFonts w:ascii="FrankRuehl" w:hAnsi="FrankRuehl" w:cs="FrankRuehl" w:hint="eastAsia"/>
            <w:sz w:val="28"/>
            <w:szCs w:val="28"/>
            <w:rtl/>
          </w:rPr>
          <w:t>סעיף</w:t>
        </w:r>
        <w:r w:rsidR="00C13BE0" w:rsidRPr="00C13BE0">
          <w:rPr>
            <w:rStyle w:val="Hyperlink"/>
            <w:rFonts w:ascii="FrankRuehl" w:hAnsi="FrankRuehl" w:cs="FrankRuehl"/>
            <w:sz w:val="28"/>
            <w:szCs w:val="28"/>
            <w:rtl/>
          </w:rPr>
          <w:t xml:space="preserve"> 448(א)</w:t>
        </w:r>
      </w:hyperlink>
      <w:r>
        <w:rPr>
          <w:rFonts w:ascii="FrankRuehl" w:hAnsi="FrankRuehl" w:cs="FrankRuehl" w:hint="cs"/>
          <w:sz w:val="28"/>
          <w:szCs w:val="28"/>
          <w:rtl/>
        </w:rPr>
        <w:t xml:space="preserve"> רישא ל</w:t>
      </w:r>
      <w:hyperlink r:id="rId18" w:history="1">
        <w:r w:rsidR="00252171" w:rsidRPr="00252171">
          <w:rPr>
            <w:rFonts w:ascii="FrankRuehl" w:hAnsi="FrankRuehl" w:cs="FrankRuehl"/>
            <w:color w:val="0000FF"/>
            <w:sz w:val="28"/>
            <w:szCs w:val="28"/>
            <w:u w:val="single"/>
            <w:rtl/>
          </w:rPr>
          <w:t>חוק העונשין</w:t>
        </w:r>
      </w:hyperlink>
      <w:r>
        <w:rPr>
          <w:rFonts w:ascii="FrankRuehl" w:hAnsi="FrankRuehl" w:cs="FrankRuehl" w:hint="cs"/>
          <w:sz w:val="28"/>
          <w:szCs w:val="28"/>
          <w:rtl/>
        </w:rPr>
        <w:t xml:space="preserve">, התשל"ז-1977 (להלן: "החוק") יחד עם </w:t>
      </w:r>
      <w:hyperlink r:id="rId19" w:history="1">
        <w:r w:rsidR="00C13BE0" w:rsidRPr="00C13BE0">
          <w:rPr>
            <w:rStyle w:val="Hyperlink"/>
            <w:rFonts w:ascii="FrankRuehl" w:hAnsi="FrankRuehl" w:cs="FrankRuehl" w:hint="eastAsia"/>
            <w:sz w:val="28"/>
            <w:szCs w:val="28"/>
            <w:rtl/>
          </w:rPr>
          <w:t>סעיף</w:t>
        </w:r>
        <w:r w:rsidR="00C13BE0" w:rsidRPr="00C13BE0">
          <w:rPr>
            <w:rStyle w:val="Hyperlink"/>
            <w:rFonts w:ascii="FrankRuehl" w:hAnsi="FrankRuehl" w:cs="FrankRuehl"/>
            <w:sz w:val="28"/>
            <w:szCs w:val="28"/>
            <w:rtl/>
          </w:rPr>
          <w:t xml:space="preserve"> 29</w:t>
        </w:r>
      </w:hyperlink>
      <w:r>
        <w:rPr>
          <w:rFonts w:ascii="FrankRuehl" w:hAnsi="FrankRuehl" w:cs="FrankRuehl" w:hint="cs"/>
          <w:sz w:val="28"/>
          <w:szCs w:val="28"/>
          <w:rtl/>
        </w:rPr>
        <w:t xml:space="preserve"> לחוק. </w:t>
      </w:r>
    </w:p>
    <w:p w14:paraId="123A5873" w14:textId="77777777" w:rsidR="00375E7B" w:rsidRDefault="00375E7B" w:rsidP="00375E7B">
      <w:pPr>
        <w:spacing w:line="360" w:lineRule="auto"/>
        <w:jc w:val="both"/>
        <w:rPr>
          <w:rFonts w:ascii="FrankRuehl" w:hAnsi="FrankRuehl" w:cs="FrankRuehl"/>
          <w:sz w:val="28"/>
          <w:szCs w:val="28"/>
          <w:rtl/>
        </w:rPr>
      </w:pPr>
    </w:p>
    <w:p w14:paraId="635FFB42" w14:textId="77777777" w:rsidR="00375E7B" w:rsidRDefault="00375E7B" w:rsidP="00375E7B">
      <w:pPr>
        <w:spacing w:line="360" w:lineRule="auto"/>
        <w:jc w:val="both"/>
        <w:rPr>
          <w:rFonts w:ascii="FrankRuehl" w:hAnsi="FrankRuehl" w:cs="FrankRuehl"/>
          <w:sz w:val="28"/>
          <w:szCs w:val="28"/>
          <w:rtl/>
        </w:rPr>
      </w:pPr>
      <w:r>
        <w:rPr>
          <w:rFonts w:ascii="FrankRuehl" w:hAnsi="FrankRuehl" w:cs="FrankRuehl" w:hint="cs"/>
          <w:sz w:val="28"/>
          <w:szCs w:val="28"/>
          <w:rtl/>
        </w:rPr>
        <w:t>2.</w:t>
      </w:r>
      <w:r>
        <w:rPr>
          <w:rFonts w:ascii="FrankRuehl" w:hAnsi="FrankRuehl" w:cs="FrankRuehl" w:hint="cs"/>
          <w:sz w:val="28"/>
          <w:szCs w:val="28"/>
          <w:rtl/>
        </w:rPr>
        <w:tab/>
        <w:t xml:space="preserve">לפי המתואר בכתב האישום המתוקן, הנאשם פעל בשליחותו של נתנאל גולדנברג, להלך אימים על שימי מימרם בעל מסעדה ברח' בן יועזר בירושלים, בדרך של הצתת המסעדה, בשל חובות כספיים של מימרם לאנשים שונים. גולדנברג הציע לנאשם לבצע את ההצתה תמורת </w:t>
      </w:r>
      <w:r>
        <w:rPr>
          <w:rFonts w:ascii="FrankRuehl" w:hAnsi="FrankRuehl" w:cs="FrankRuehl" w:hint="cs"/>
          <w:sz w:val="28"/>
          <w:szCs w:val="28"/>
          <w:rtl/>
        </w:rPr>
        <w:lastRenderedPageBreak/>
        <w:t>10,000 ₪, הסביר לו כיצד לשפוך דלק על מנדף העשן המצוי על גג המבנה ולהצית באמצעותו את המסעדה, וצייד אותו בכסף עבור רכישת הדלק.</w:t>
      </w:r>
    </w:p>
    <w:p w14:paraId="7436F7C1" w14:textId="77777777" w:rsidR="00375E7B" w:rsidRDefault="00375E7B" w:rsidP="00375E7B">
      <w:pPr>
        <w:spacing w:line="360" w:lineRule="auto"/>
        <w:jc w:val="both"/>
        <w:rPr>
          <w:rFonts w:ascii="FrankRuehl" w:hAnsi="FrankRuehl" w:cs="FrankRuehl"/>
          <w:sz w:val="28"/>
          <w:szCs w:val="28"/>
          <w:rtl/>
        </w:rPr>
      </w:pPr>
    </w:p>
    <w:p w14:paraId="7BCB8CB6" w14:textId="77777777" w:rsidR="00375E7B" w:rsidRDefault="00375E7B" w:rsidP="00375E7B">
      <w:pPr>
        <w:spacing w:line="360" w:lineRule="auto"/>
        <w:jc w:val="both"/>
        <w:rPr>
          <w:rFonts w:ascii="FrankRuehl" w:hAnsi="FrankRuehl" w:cs="FrankRuehl"/>
          <w:sz w:val="28"/>
          <w:szCs w:val="28"/>
          <w:rtl/>
        </w:rPr>
      </w:pPr>
      <w:bookmarkStart w:id="7" w:name="ABSTRACT_END"/>
      <w:bookmarkEnd w:id="7"/>
      <w:r>
        <w:rPr>
          <w:rFonts w:ascii="FrankRuehl" w:hAnsi="FrankRuehl" w:cs="FrankRuehl" w:hint="cs"/>
          <w:sz w:val="28"/>
          <w:szCs w:val="28"/>
          <w:rtl/>
        </w:rPr>
        <w:t>3.</w:t>
      </w:r>
      <w:r>
        <w:rPr>
          <w:rFonts w:ascii="FrankRuehl" w:hAnsi="FrankRuehl" w:cs="FrankRuehl" w:hint="cs"/>
          <w:sz w:val="28"/>
          <w:szCs w:val="28"/>
          <w:rtl/>
        </w:rPr>
        <w:tab/>
        <w:t xml:space="preserve">הנאשם נסע לתחנת דלק, רכש דלק עבור ההצתה, ולאחר הפצרות מצדו של גולדנברג, הגיע הנאשם ביום 26.10.11, סמוך לשעה 03:30 למסעדה, עלה על גג המבנה, שפך דלק על מנדף העשן בהתאם להנחיית גולדנברג, שילח בו אש ונמלט מהמקום. כתוצאה מההצתה פרצה שריפה על הגג ושבעה צוותי כיבוי הוזנקו למקום על מנת לכבותה. כתוצאה מהשריפה נגרם נזק רב למנדף העשן שנשרף כליל, נגרם נזק למדחסי המזגנים הסמוכים למנדף, והמסעדה נסגרה. </w:t>
      </w:r>
    </w:p>
    <w:p w14:paraId="4AE22E02" w14:textId="77777777" w:rsidR="00375E7B" w:rsidRDefault="00375E7B" w:rsidP="00375E7B">
      <w:pPr>
        <w:spacing w:line="360" w:lineRule="auto"/>
        <w:jc w:val="both"/>
        <w:rPr>
          <w:rFonts w:ascii="FrankRuehl" w:hAnsi="FrankRuehl" w:cs="FrankRuehl"/>
          <w:sz w:val="28"/>
          <w:szCs w:val="28"/>
          <w:rtl/>
        </w:rPr>
      </w:pPr>
    </w:p>
    <w:p w14:paraId="620BE15C" w14:textId="77777777" w:rsidR="00375E7B" w:rsidRDefault="00375E7B" w:rsidP="00375E7B">
      <w:pPr>
        <w:spacing w:line="360" w:lineRule="auto"/>
        <w:jc w:val="both"/>
        <w:rPr>
          <w:rFonts w:ascii="FrankRuehl" w:hAnsi="FrankRuehl" w:cs="FrankRuehl"/>
          <w:sz w:val="28"/>
          <w:szCs w:val="28"/>
          <w:rtl/>
        </w:rPr>
      </w:pPr>
      <w:r>
        <w:rPr>
          <w:rFonts w:ascii="FrankRuehl" w:hAnsi="FrankRuehl" w:cs="FrankRuehl" w:hint="cs"/>
          <w:sz w:val="28"/>
          <w:szCs w:val="28"/>
          <w:rtl/>
        </w:rPr>
        <w:t>4.</w:t>
      </w:r>
      <w:r>
        <w:rPr>
          <w:rFonts w:ascii="FrankRuehl" w:hAnsi="FrankRuehl" w:cs="FrankRuehl" w:hint="cs"/>
          <w:sz w:val="28"/>
          <w:szCs w:val="28"/>
          <w:rtl/>
        </w:rPr>
        <w:tab/>
        <w:t>הנאשם ביקש לצרף שלושה הליכים נוספים שמתנהלים כנגדו, והוא הודה גם בהם. מאחר והליכים אלו עניינם במעשים שביצע הנאשם בהיותו קטין, נקבעה אשמתו על פי הודאתו, ולאחר שבמסגרת הטיעונים לעונש הייתה הסכמה כי הוא יורשע גם בהם, ובשים לב לחומרתם ולמכלול העבירות, אני מרשיע אותו גם בעבירות שיוחסו לו בשלושת ההליכים הנוספים, שהם:</w:t>
      </w:r>
    </w:p>
    <w:p w14:paraId="7CD17011" w14:textId="77777777" w:rsidR="00375E7B" w:rsidRDefault="00375E7B" w:rsidP="00375E7B">
      <w:pPr>
        <w:spacing w:line="360" w:lineRule="auto"/>
        <w:jc w:val="both"/>
        <w:rPr>
          <w:rFonts w:ascii="FrankRuehl" w:hAnsi="FrankRuehl" w:cs="FrankRuehl"/>
          <w:sz w:val="28"/>
          <w:szCs w:val="28"/>
          <w:rtl/>
        </w:rPr>
      </w:pPr>
    </w:p>
    <w:p w14:paraId="09C540BA" w14:textId="77777777" w:rsidR="00375E7B" w:rsidRPr="003B4C02" w:rsidRDefault="00375E7B" w:rsidP="00375E7B">
      <w:pPr>
        <w:pStyle w:val="a9"/>
        <w:numPr>
          <w:ilvl w:val="0"/>
          <w:numId w:val="1"/>
        </w:numPr>
        <w:spacing w:line="360" w:lineRule="auto"/>
        <w:jc w:val="both"/>
        <w:rPr>
          <w:rFonts w:ascii="FrankRuehl" w:hAnsi="FrankRuehl" w:cs="FrankRuehl"/>
          <w:sz w:val="28"/>
          <w:szCs w:val="28"/>
          <w:rtl/>
        </w:rPr>
      </w:pPr>
      <w:r w:rsidRPr="003B4C02">
        <w:rPr>
          <w:rFonts w:ascii="FrankRuehl" w:hAnsi="FrankRuehl" w:cs="FrankRuehl" w:hint="cs"/>
          <w:sz w:val="28"/>
          <w:szCs w:val="28"/>
          <w:rtl/>
        </w:rPr>
        <w:t>ב</w:t>
      </w:r>
      <w:hyperlink r:id="rId20" w:history="1">
        <w:r w:rsidR="00252171" w:rsidRPr="00252171">
          <w:rPr>
            <w:rFonts w:ascii="FrankRuehl" w:hAnsi="FrankRuehl" w:cs="FrankRuehl"/>
            <w:color w:val="0000FF"/>
            <w:sz w:val="28"/>
            <w:szCs w:val="28"/>
            <w:u w:val="single"/>
            <w:rtl/>
          </w:rPr>
          <w:t>ת"פ 5069-06-21</w:t>
        </w:r>
      </w:hyperlink>
      <w:r w:rsidRPr="003B4C02">
        <w:rPr>
          <w:rFonts w:ascii="FrankRuehl" w:hAnsi="FrankRuehl" w:cs="FrankRuehl" w:hint="cs"/>
          <w:sz w:val="28"/>
          <w:szCs w:val="28"/>
          <w:rtl/>
        </w:rPr>
        <w:t xml:space="preserve"> בעבירת שבל"ר לפי </w:t>
      </w:r>
      <w:hyperlink r:id="rId21" w:history="1">
        <w:r w:rsidR="00C13BE0" w:rsidRPr="00C13BE0">
          <w:rPr>
            <w:rStyle w:val="Hyperlink"/>
            <w:rFonts w:ascii="FrankRuehl" w:hAnsi="FrankRuehl" w:cs="FrankRuehl" w:hint="eastAsia"/>
            <w:sz w:val="28"/>
            <w:szCs w:val="28"/>
            <w:rtl/>
          </w:rPr>
          <w:t>סעיף</w:t>
        </w:r>
        <w:r w:rsidR="00C13BE0" w:rsidRPr="00C13BE0">
          <w:rPr>
            <w:rStyle w:val="Hyperlink"/>
            <w:rFonts w:ascii="FrankRuehl" w:hAnsi="FrankRuehl" w:cs="FrankRuehl"/>
            <w:sz w:val="28"/>
            <w:szCs w:val="28"/>
            <w:rtl/>
          </w:rPr>
          <w:t xml:space="preserve"> 413ג'</w:t>
        </w:r>
      </w:hyperlink>
      <w:r w:rsidRPr="003B4C02">
        <w:rPr>
          <w:rFonts w:ascii="FrankRuehl" w:hAnsi="FrankRuehl" w:cs="FrankRuehl" w:hint="cs"/>
          <w:sz w:val="28"/>
          <w:szCs w:val="28"/>
          <w:rtl/>
        </w:rPr>
        <w:t xml:space="preserve"> סיפא לחוק ועבירה של החזקת מכשירי פריצה לפי </w:t>
      </w:r>
      <w:hyperlink r:id="rId22" w:history="1">
        <w:r w:rsidR="00C13BE0" w:rsidRPr="00C13BE0">
          <w:rPr>
            <w:rStyle w:val="Hyperlink"/>
            <w:rFonts w:ascii="FrankRuehl" w:hAnsi="FrankRuehl" w:cs="FrankRuehl" w:hint="eastAsia"/>
            <w:sz w:val="28"/>
            <w:szCs w:val="28"/>
            <w:rtl/>
          </w:rPr>
          <w:t>סעיף</w:t>
        </w:r>
        <w:r w:rsidR="00C13BE0" w:rsidRPr="00C13BE0">
          <w:rPr>
            <w:rStyle w:val="Hyperlink"/>
            <w:rFonts w:ascii="FrankRuehl" w:hAnsi="FrankRuehl" w:cs="FrankRuehl"/>
            <w:sz w:val="28"/>
            <w:szCs w:val="28"/>
            <w:rtl/>
          </w:rPr>
          <w:t xml:space="preserve"> 409</w:t>
        </w:r>
      </w:hyperlink>
      <w:r w:rsidRPr="003B4C02">
        <w:rPr>
          <w:rFonts w:ascii="FrankRuehl" w:hAnsi="FrankRuehl" w:cs="FrankRuehl" w:hint="cs"/>
          <w:sz w:val="28"/>
          <w:szCs w:val="28"/>
          <w:rtl/>
        </w:rPr>
        <w:t xml:space="preserve"> לחוק. בשל כך, שביום 13.06.20 סמוך לחצות הלילה הגיע הנאשם יחד עם קטין אחר לרח' הכלנית בירושלים ותצפתו על שני קטנועים שהיו במקום. לאחר שבעל הקטנועים נסע מהמקום באחד הקטנועים, ניגשו הנאשם והאחר לקטנוע שנותר במקום. הנאשם הניע אותו במפתח שמסר לו הקטין האחר, והשניים נסעו מהמקום עם הקטנוע.</w:t>
      </w:r>
    </w:p>
    <w:p w14:paraId="6F50DF7B" w14:textId="77777777" w:rsidR="00375E7B" w:rsidRDefault="00375E7B" w:rsidP="00375E7B">
      <w:pPr>
        <w:spacing w:line="360" w:lineRule="auto"/>
        <w:jc w:val="both"/>
        <w:rPr>
          <w:rFonts w:ascii="FrankRuehl" w:hAnsi="FrankRuehl" w:cs="FrankRuehl"/>
          <w:sz w:val="28"/>
          <w:szCs w:val="28"/>
          <w:rtl/>
        </w:rPr>
      </w:pPr>
    </w:p>
    <w:p w14:paraId="0C9A6F91" w14:textId="77777777" w:rsidR="00375E7B" w:rsidRPr="003B4C02" w:rsidRDefault="00375E7B" w:rsidP="00375E7B">
      <w:pPr>
        <w:pStyle w:val="a9"/>
        <w:numPr>
          <w:ilvl w:val="0"/>
          <w:numId w:val="1"/>
        </w:numPr>
        <w:spacing w:line="360" w:lineRule="auto"/>
        <w:jc w:val="both"/>
        <w:rPr>
          <w:rFonts w:ascii="FrankRuehl" w:hAnsi="FrankRuehl" w:cs="FrankRuehl"/>
          <w:sz w:val="28"/>
          <w:szCs w:val="28"/>
          <w:rtl/>
        </w:rPr>
      </w:pPr>
      <w:r w:rsidRPr="003B4C02">
        <w:rPr>
          <w:rFonts w:ascii="FrankRuehl" w:hAnsi="FrankRuehl" w:cs="FrankRuehl" w:hint="cs"/>
          <w:sz w:val="28"/>
          <w:szCs w:val="28"/>
          <w:rtl/>
        </w:rPr>
        <w:t xml:space="preserve">בת"פ 58209-12-21 בעבירה של החזקה ושימוש בסמים לצריכה עצמית לפי </w:t>
      </w:r>
      <w:hyperlink r:id="rId23" w:history="1">
        <w:r w:rsidR="00C13BE0" w:rsidRPr="00C13BE0">
          <w:rPr>
            <w:rStyle w:val="Hyperlink"/>
            <w:rFonts w:ascii="FrankRuehl" w:hAnsi="FrankRuehl" w:cs="FrankRuehl" w:hint="eastAsia"/>
            <w:sz w:val="28"/>
            <w:szCs w:val="28"/>
            <w:rtl/>
          </w:rPr>
          <w:t>סעיף</w:t>
        </w:r>
        <w:r w:rsidR="00C13BE0" w:rsidRPr="00C13BE0">
          <w:rPr>
            <w:rStyle w:val="Hyperlink"/>
            <w:rFonts w:ascii="FrankRuehl" w:hAnsi="FrankRuehl" w:cs="FrankRuehl"/>
            <w:sz w:val="28"/>
            <w:szCs w:val="28"/>
            <w:rtl/>
          </w:rPr>
          <w:t xml:space="preserve"> 7(א)</w:t>
        </w:r>
      </w:hyperlink>
      <w:r w:rsidRPr="003B4C02">
        <w:rPr>
          <w:rFonts w:ascii="FrankRuehl" w:hAnsi="FrankRuehl" w:cs="FrankRuehl" w:hint="cs"/>
          <w:sz w:val="28"/>
          <w:szCs w:val="28"/>
          <w:rtl/>
        </w:rPr>
        <w:t xml:space="preserve"> ו-</w:t>
      </w:r>
      <w:hyperlink r:id="rId24" w:history="1">
        <w:r w:rsidR="00C13BE0" w:rsidRPr="00C13BE0">
          <w:rPr>
            <w:rStyle w:val="Hyperlink"/>
            <w:rFonts w:ascii="FrankRuehl" w:hAnsi="FrankRuehl" w:cs="FrankRuehl"/>
            <w:sz w:val="28"/>
            <w:szCs w:val="28"/>
            <w:rtl/>
          </w:rPr>
          <w:t>7(ג)</w:t>
        </w:r>
      </w:hyperlink>
      <w:r w:rsidRPr="003B4C02">
        <w:rPr>
          <w:rFonts w:ascii="FrankRuehl" w:hAnsi="FrankRuehl" w:cs="FrankRuehl" w:hint="cs"/>
          <w:sz w:val="28"/>
          <w:szCs w:val="28"/>
          <w:rtl/>
        </w:rPr>
        <w:t xml:space="preserve"> סיפא ל</w:t>
      </w:r>
      <w:hyperlink r:id="rId25" w:history="1">
        <w:r w:rsidR="00252171" w:rsidRPr="00252171">
          <w:rPr>
            <w:rFonts w:ascii="FrankRuehl" w:hAnsi="FrankRuehl" w:cs="FrankRuehl"/>
            <w:color w:val="0000FF"/>
            <w:sz w:val="28"/>
            <w:szCs w:val="28"/>
            <w:u w:val="single"/>
            <w:rtl/>
          </w:rPr>
          <w:t>פקודת הסמים המסוכנים</w:t>
        </w:r>
      </w:hyperlink>
      <w:r w:rsidRPr="003B4C02">
        <w:rPr>
          <w:rFonts w:ascii="FrankRuehl" w:hAnsi="FrankRuehl" w:cs="FrankRuehl" w:hint="cs"/>
          <w:sz w:val="28"/>
          <w:szCs w:val="28"/>
          <w:rtl/>
        </w:rPr>
        <w:t xml:space="preserve"> [נוסח חדש], התשל"ג-1973, בשל כך שנמצא על הנאשם סם מסוכן מסוג קנאביס במשקל 0.99 גרם, וכן בעבירה של החזקת סכין שלא כדין לפי </w:t>
      </w:r>
      <w:hyperlink r:id="rId26" w:history="1">
        <w:r w:rsidR="00C13BE0" w:rsidRPr="00C13BE0">
          <w:rPr>
            <w:rStyle w:val="Hyperlink"/>
            <w:rFonts w:ascii="FrankRuehl" w:hAnsi="FrankRuehl" w:cs="FrankRuehl" w:hint="eastAsia"/>
            <w:sz w:val="28"/>
            <w:szCs w:val="28"/>
            <w:rtl/>
          </w:rPr>
          <w:t>סעיף</w:t>
        </w:r>
        <w:r w:rsidR="00C13BE0" w:rsidRPr="00C13BE0">
          <w:rPr>
            <w:rStyle w:val="Hyperlink"/>
            <w:rFonts w:ascii="FrankRuehl" w:hAnsi="FrankRuehl" w:cs="FrankRuehl"/>
            <w:sz w:val="28"/>
            <w:szCs w:val="28"/>
            <w:rtl/>
          </w:rPr>
          <w:t xml:space="preserve"> 186(א)</w:t>
        </w:r>
      </w:hyperlink>
      <w:r w:rsidRPr="003B4C02">
        <w:rPr>
          <w:rFonts w:ascii="FrankRuehl" w:hAnsi="FrankRuehl" w:cs="FrankRuehl" w:hint="cs"/>
          <w:sz w:val="28"/>
          <w:szCs w:val="28"/>
          <w:rtl/>
        </w:rPr>
        <w:t xml:space="preserve"> לחוק, בשל סכין באורך 10 ס"מ שנתפסה בכליו. </w:t>
      </w:r>
    </w:p>
    <w:p w14:paraId="1BB6C726" w14:textId="77777777" w:rsidR="00375E7B" w:rsidRDefault="00375E7B" w:rsidP="00375E7B">
      <w:pPr>
        <w:spacing w:line="360" w:lineRule="auto"/>
        <w:jc w:val="both"/>
        <w:rPr>
          <w:rFonts w:ascii="FrankRuehl" w:hAnsi="FrankRuehl" w:cs="FrankRuehl"/>
          <w:sz w:val="28"/>
          <w:szCs w:val="28"/>
          <w:rtl/>
        </w:rPr>
      </w:pPr>
    </w:p>
    <w:p w14:paraId="4E02BC7E" w14:textId="77777777" w:rsidR="00375E7B" w:rsidRPr="003B4C02" w:rsidRDefault="00375E7B" w:rsidP="00375E7B">
      <w:pPr>
        <w:pStyle w:val="a9"/>
        <w:numPr>
          <w:ilvl w:val="0"/>
          <w:numId w:val="1"/>
        </w:numPr>
        <w:spacing w:line="360" w:lineRule="auto"/>
        <w:jc w:val="both"/>
        <w:rPr>
          <w:rFonts w:ascii="FrankRuehl" w:hAnsi="FrankRuehl" w:cs="FrankRuehl"/>
          <w:sz w:val="28"/>
          <w:szCs w:val="28"/>
          <w:rtl/>
        </w:rPr>
      </w:pPr>
      <w:r w:rsidRPr="003B4C02">
        <w:rPr>
          <w:rFonts w:ascii="FrankRuehl" w:hAnsi="FrankRuehl" w:cs="FrankRuehl" w:hint="cs"/>
          <w:sz w:val="28"/>
          <w:szCs w:val="28"/>
          <w:rtl/>
        </w:rPr>
        <w:t xml:space="preserve">בת"פ 66383-03-22 בעבירה של גניבה לפי </w:t>
      </w:r>
      <w:hyperlink r:id="rId27" w:history="1">
        <w:r w:rsidR="00C13BE0" w:rsidRPr="00C13BE0">
          <w:rPr>
            <w:rStyle w:val="Hyperlink"/>
            <w:rFonts w:ascii="FrankRuehl" w:hAnsi="FrankRuehl" w:cs="FrankRuehl" w:hint="eastAsia"/>
            <w:sz w:val="28"/>
            <w:szCs w:val="28"/>
            <w:rtl/>
          </w:rPr>
          <w:t>סעיף</w:t>
        </w:r>
        <w:r w:rsidR="00C13BE0" w:rsidRPr="00C13BE0">
          <w:rPr>
            <w:rStyle w:val="Hyperlink"/>
            <w:rFonts w:ascii="FrankRuehl" w:hAnsi="FrankRuehl" w:cs="FrankRuehl"/>
            <w:sz w:val="28"/>
            <w:szCs w:val="28"/>
            <w:rtl/>
          </w:rPr>
          <w:t xml:space="preserve"> 384</w:t>
        </w:r>
      </w:hyperlink>
      <w:r w:rsidRPr="003B4C02">
        <w:rPr>
          <w:rFonts w:ascii="FrankRuehl" w:hAnsi="FrankRuehl" w:cs="FrankRuehl" w:hint="cs"/>
          <w:sz w:val="28"/>
          <w:szCs w:val="28"/>
          <w:rtl/>
        </w:rPr>
        <w:t xml:space="preserve"> לחוק, בשל כך שביום 28.09.21 נטל הנאשם אופניים חשמליים בשווי 6,200 ₪ השייכות לרפאל פדידה, שהיו מוצמדות </w:t>
      </w:r>
      <w:r w:rsidRPr="003B4C02">
        <w:rPr>
          <w:rFonts w:ascii="FrankRuehl" w:hAnsi="FrankRuehl" w:cs="FrankRuehl" w:hint="cs"/>
          <w:sz w:val="28"/>
          <w:szCs w:val="28"/>
          <w:rtl/>
        </w:rPr>
        <w:lastRenderedPageBreak/>
        <w:t xml:space="preserve">לגדר באמצעות מנעול. למחרת היום, פרסם הנאשם את האופניים למכירה בקבוצת טלגרם ומכר אותם לאחר תמורת 2,200 ₪. </w:t>
      </w:r>
    </w:p>
    <w:p w14:paraId="5A0616BF" w14:textId="77777777" w:rsidR="00375E7B" w:rsidRDefault="00375E7B" w:rsidP="00375E7B">
      <w:pPr>
        <w:spacing w:line="360" w:lineRule="auto"/>
        <w:jc w:val="both"/>
        <w:rPr>
          <w:rFonts w:ascii="FrankRuehl" w:hAnsi="FrankRuehl" w:cs="FrankRuehl"/>
          <w:sz w:val="28"/>
          <w:szCs w:val="28"/>
          <w:rtl/>
        </w:rPr>
      </w:pPr>
      <w:r>
        <w:rPr>
          <w:rFonts w:ascii="FrankRuehl" w:hAnsi="FrankRuehl" w:cs="FrankRuehl" w:hint="cs"/>
          <w:sz w:val="28"/>
          <w:szCs w:val="28"/>
          <w:rtl/>
        </w:rPr>
        <w:t xml:space="preserve">   </w:t>
      </w:r>
    </w:p>
    <w:p w14:paraId="36A38996" w14:textId="77777777" w:rsidR="00375E7B" w:rsidRPr="00BC7CD8" w:rsidRDefault="00375E7B" w:rsidP="00375E7B">
      <w:pPr>
        <w:spacing w:line="360" w:lineRule="auto"/>
        <w:jc w:val="both"/>
        <w:rPr>
          <w:rFonts w:ascii="FrankRuehl" w:hAnsi="FrankRuehl" w:cs="FrankRuehl"/>
          <w:b/>
          <w:bCs/>
          <w:sz w:val="28"/>
          <w:szCs w:val="28"/>
          <w:u w:val="single"/>
          <w:rtl/>
        </w:rPr>
      </w:pPr>
      <w:r w:rsidRPr="00BC7CD8">
        <w:rPr>
          <w:rFonts w:ascii="FrankRuehl" w:hAnsi="FrankRuehl" w:cs="FrankRuehl" w:hint="cs"/>
          <w:b/>
          <w:bCs/>
          <w:sz w:val="28"/>
          <w:szCs w:val="28"/>
          <w:u w:val="single"/>
          <w:rtl/>
        </w:rPr>
        <w:t>תסקיר שירות המבחן</w:t>
      </w:r>
    </w:p>
    <w:p w14:paraId="3AE1FE0F" w14:textId="77777777" w:rsidR="00375E7B" w:rsidRDefault="00375E7B" w:rsidP="00375E7B">
      <w:pPr>
        <w:spacing w:line="360" w:lineRule="auto"/>
        <w:jc w:val="both"/>
        <w:rPr>
          <w:rFonts w:ascii="FrankRuehl" w:hAnsi="FrankRuehl" w:cs="FrankRuehl"/>
          <w:sz w:val="28"/>
          <w:szCs w:val="28"/>
          <w:rtl/>
        </w:rPr>
      </w:pPr>
      <w:r>
        <w:rPr>
          <w:rFonts w:ascii="FrankRuehl" w:hAnsi="FrankRuehl" w:cs="FrankRuehl" w:hint="cs"/>
          <w:sz w:val="28"/>
          <w:szCs w:val="28"/>
          <w:rtl/>
        </w:rPr>
        <w:t>5.</w:t>
      </w:r>
      <w:r>
        <w:rPr>
          <w:rFonts w:ascii="FrankRuehl" w:hAnsi="FrankRuehl" w:cs="FrankRuehl" w:hint="cs"/>
          <w:sz w:val="28"/>
          <w:szCs w:val="28"/>
          <w:rtl/>
        </w:rPr>
        <w:tab/>
        <w:t xml:space="preserve">הוגש תסקיר שירות מבחן בעניינו של הנאשם ממנו נלמד אודות הנאשם. התסקיר מתאר נסיבות חיים קשות מאוד מגיל צעיר מאוד, בכללן הוצאה למרכז חירום בגיל צעיר מאוד, התדרדרות לשימוש בסמים ובצריכת אלכוהול בגיל צעיר מאוד, ובהמשך התדרדרות למעורבות בפלילים. ניסיון לשלב את הנאשם בטיפול גמילה מסמים בקהילה טיפולית כשל בשל מעצרו בגין מעורבות בפלילים. ניסיונות נוספים כשלו בשל אי שיתוף פעולה. </w:t>
      </w:r>
    </w:p>
    <w:p w14:paraId="0ADC52A1" w14:textId="77777777" w:rsidR="00375E7B" w:rsidRDefault="00375E7B" w:rsidP="00375E7B">
      <w:pPr>
        <w:spacing w:line="360" w:lineRule="auto"/>
        <w:jc w:val="both"/>
        <w:rPr>
          <w:rFonts w:ascii="FrankRuehl" w:hAnsi="FrankRuehl" w:cs="FrankRuehl"/>
          <w:sz w:val="28"/>
          <w:szCs w:val="28"/>
          <w:rtl/>
        </w:rPr>
      </w:pPr>
    </w:p>
    <w:p w14:paraId="415AA169" w14:textId="77777777" w:rsidR="00375E7B" w:rsidRDefault="00375E7B" w:rsidP="00375E7B">
      <w:pPr>
        <w:spacing w:line="360" w:lineRule="auto"/>
        <w:jc w:val="both"/>
        <w:rPr>
          <w:rFonts w:ascii="FrankRuehl" w:hAnsi="FrankRuehl" w:cs="FrankRuehl"/>
          <w:sz w:val="28"/>
          <w:szCs w:val="28"/>
          <w:rtl/>
        </w:rPr>
      </w:pPr>
      <w:r>
        <w:rPr>
          <w:rFonts w:ascii="FrankRuehl" w:hAnsi="FrankRuehl" w:cs="FrankRuehl" w:hint="cs"/>
          <w:sz w:val="28"/>
          <w:szCs w:val="28"/>
          <w:rtl/>
        </w:rPr>
        <w:t>6.</w:t>
      </w:r>
      <w:r>
        <w:rPr>
          <w:rFonts w:ascii="FrankRuehl" w:hAnsi="FrankRuehl" w:cs="FrankRuehl" w:hint="cs"/>
          <w:sz w:val="28"/>
          <w:szCs w:val="28"/>
          <w:rtl/>
        </w:rPr>
        <w:tab/>
        <w:t xml:space="preserve">לצד זאת, קצינת המבחן ציינה בתסקיר כי הנאשם מבטא רצון להשתלב במסגרת טיפולית לגמילה, כי הוא הצליח לגייס כוחות רבים לשיתוף פעולה עם שירות המבחן על אף הקשיים הרבים איתם הוא מתמודד, והוא הביע רצון לחולל שינוי בחייו ולנהל מכאן ולהבא אורח חיים נורמטיבי. ואולם, גם בפעם זו, הוא לא שיתף פעולה עם בחינת אפשרות השתלבותו בקהילת "מלכישוע". </w:t>
      </w:r>
    </w:p>
    <w:p w14:paraId="4CEF1874" w14:textId="77777777" w:rsidR="00375E7B" w:rsidRDefault="00375E7B" w:rsidP="00375E7B">
      <w:pPr>
        <w:spacing w:line="360" w:lineRule="auto"/>
        <w:jc w:val="both"/>
        <w:rPr>
          <w:rFonts w:ascii="FrankRuehl" w:hAnsi="FrankRuehl" w:cs="FrankRuehl"/>
          <w:sz w:val="28"/>
          <w:szCs w:val="28"/>
          <w:rtl/>
        </w:rPr>
      </w:pPr>
    </w:p>
    <w:p w14:paraId="0B89F5C8" w14:textId="77777777" w:rsidR="00375E7B" w:rsidRDefault="00375E7B" w:rsidP="00375E7B">
      <w:pPr>
        <w:spacing w:line="360" w:lineRule="auto"/>
        <w:jc w:val="both"/>
        <w:rPr>
          <w:rFonts w:ascii="FrankRuehl" w:hAnsi="FrankRuehl" w:cs="FrankRuehl"/>
          <w:sz w:val="28"/>
          <w:szCs w:val="28"/>
          <w:rtl/>
        </w:rPr>
      </w:pPr>
      <w:r>
        <w:rPr>
          <w:rFonts w:ascii="FrankRuehl" w:hAnsi="FrankRuehl" w:cs="FrankRuehl" w:hint="cs"/>
          <w:sz w:val="28"/>
          <w:szCs w:val="28"/>
          <w:rtl/>
        </w:rPr>
        <w:t>7.</w:t>
      </w:r>
      <w:r>
        <w:rPr>
          <w:rFonts w:ascii="FrankRuehl" w:hAnsi="FrankRuehl" w:cs="FrankRuehl" w:hint="cs"/>
          <w:sz w:val="28"/>
          <w:szCs w:val="28"/>
          <w:rtl/>
        </w:rPr>
        <w:tab/>
        <w:t xml:space="preserve">קצינת המבחן ציינה כי הנאשם בעל דפוסי חשיבה עברייניים שההליכים המשפטיים הקודמים בעניינו לא היוו עבורו גורם הרתעתי, דבר שיש בו כדי להצביע על כך, שבהעדר השתלבות בהליך טיפולי, ישנו סיכון גבוה להישנות עבירות על ידו. בשולי התסקיר, באה קצינת המבחן בהמלצה להשית על הנאשם עונש מאסר ומאסר מותנה מרתיע. </w:t>
      </w:r>
    </w:p>
    <w:p w14:paraId="46A6B2C0" w14:textId="77777777" w:rsidR="00375E7B" w:rsidRDefault="00375E7B" w:rsidP="00375E7B">
      <w:pPr>
        <w:spacing w:line="360" w:lineRule="auto"/>
        <w:jc w:val="both"/>
        <w:rPr>
          <w:rFonts w:ascii="FrankRuehl" w:hAnsi="FrankRuehl" w:cs="FrankRuehl"/>
          <w:sz w:val="28"/>
          <w:szCs w:val="28"/>
          <w:rtl/>
        </w:rPr>
      </w:pPr>
    </w:p>
    <w:p w14:paraId="04245954" w14:textId="77777777" w:rsidR="00375E7B" w:rsidRPr="003B4C02" w:rsidRDefault="00375E7B" w:rsidP="00375E7B">
      <w:pPr>
        <w:spacing w:line="360" w:lineRule="auto"/>
        <w:jc w:val="both"/>
        <w:rPr>
          <w:rFonts w:ascii="FrankRuehl" w:hAnsi="FrankRuehl" w:cs="FrankRuehl"/>
          <w:b/>
          <w:bCs/>
          <w:sz w:val="28"/>
          <w:szCs w:val="28"/>
          <w:u w:val="single"/>
          <w:rtl/>
        </w:rPr>
      </w:pPr>
      <w:r w:rsidRPr="003B4C02">
        <w:rPr>
          <w:rFonts w:ascii="FrankRuehl" w:hAnsi="FrankRuehl" w:cs="FrankRuehl" w:hint="cs"/>
          <w:b/>
          <w:bCs/>
          <w:sz w:val="28"/>
          <w:szCs w:val="28"/>
          <w:u w:val="single"/>
          <w:rtl/>
        </w:rPr>
        <w:t>טיעוני ב"כ הצדדים לעונש</w:t>
      </w:r>
    </w:p>
    <w:p w14:paraId="01839C5F" w14:textId="77777777" w:rsidR="00375E7B" w:rsidRPr="00913D76" w:rsidRDefault="00375E7B" w:rsidP="00375E7B">
      <w:pPr>
        <w:spacing w:line="360" w:lineRule="auto"/>
        <w:jc w:val="both"/>
        <w:rPr>
          <w:rFonts w:ascii="FrankRuehl" w:hAnsi="FrankRuehl" w:cs="FrankRuehl"/>
          <w:sz w:val="28"/>
          <w:szCs w:val="28"/>
          <w:rtl/>
        </w:rPr>
      </w:pPr>
      <w:r>
        <w:rPr>
          <w:rFonts w:ascii="FrankRuehl" w:hAnsi="FrankRuehl" w:cs="FrankRuehl" w:hint="cs"/>
          <w:sz w:val="28"/>
          <w:szCs w:val="28"/>
          <w:rtl/>
        </w:rPr>
        <w:t>8.</w:t>
      </w:r>
      <w:r>
        <w:rPr>
          <w:rFonts w:ascii="FrankRuehl" w:hAnsi="FrankRuehl" w:cs="FrankRuehl" w:hint="cs"/>
          <w:sz w:val="28"/>
          <w:szCs w:val="28"/>
          <w:rtl/>
        </w:rPr>
        <w:tab/>
      </w:r>
      <w:r w:rsidRPr="00913D76">
        <w:rPr>
          <w:rFonts w:ascii="FrankRuehl" w:hAnsi="FrankRuehl" w:cs="FrankRuehl" w:hint="cs"/>
          <w:sz w:val="28"/>
          <w:szCs w:val="28"/>
          <w:rtl/>
        </w:rPr>
        <w:t>בט</w:t>
      </w:r>
      <w:r>
        <w:rPr>
          <w:rFonts w:ascii="FrankRuehl" w:hAnsi="FrankRuehl" w:cs="FrankRuehl" w:hint="cs"/>
          <w:sz w:val="28"/>
          <w:szCs w:val="28"/>
          <w:rtl/>
        </w:rPr>
        <w:t>יעוניו לעונש עמד ב"כ המאשימה על</w:t>
      </w:r>
      <w:r w:rsidRPr="00913D76">
        <w:rPr>
          <w:rFonts w:ascii="FrankRuehl" w:hAnsi="FrankRuehl" w:cs="FrankRuehl" w:hint="cs"/>
          <w:sz w:val="28"/>
          <w:szCs w:val="28"/>
          <w:rtl/>
        </w:rPr>
        <w:t xml:space="preserve"> הערכים המוגנים שנפגעו ממעשיו של הנאשם, ביניהם שלמות הגוף, בטחונו ורווחתו של הפרט, כמו גם זכות הקניין שלו, וכן ערכים הנוגעים לשלום הציבור ובטחונו. הוא עמד על החומרה הרבה שבעבירת ההצתה, אשר המשלח את האש מכיר בתחילת מעשיו, אך את אחריתם הוא אינו יודע, ואלו יכולים להיות פגיעה בנפש וברכוש. </w:t>
      </w:r>
    </w:p>
    <w:p w14:paraId="3112AC79" w14:textId="77777777" w:rsidR="00375E7B" w:rsidRPr="00913D76" w:rsidRDefault="00375E7B" w:rsidP="00375E7B">
      <w:pPr>
        <w:spacing w:line="360" w:lineRule="auto"/>
        <w:jc w:val="both"/>
        <w:rPr>
          <w:rFonts w:ascii="FrankRuehl" w:hAnsi="FrankRuehl" w:cs="FrankRuehl"/>
          <w:sz w:val="28"/>
          <w:szCs w:val="28"/>
          <w:rtl/>
        </w:rPr>
      </w:pPr>
    </w:p>
    <w:p w14:paraId="346F6E22" w14:textId="77777777" w:rsidR="00375E7B" w:rsidRPr="00913D76" w:rsidRDefault="00375E7B" w:rsidP="00375E7B">
      <w:pPr>
        <w:spacing w:line="360" w:lineRule="auto"/>
        <w:jc w:val="both"/>
        <w:rPr>
          <w:rFonts w:ascii="FrankRuehl" w:hAnsi="FrankRuehl" w:cs="FrankRuehl"/>
          <w:sz w:val="28"/>
          <w:szCs w:val="28"/>
          <w:rtl/>
        </w:rPr>
      </w:pPr>
      <w:r>
        <w:rPr>
          <w:rFonts w:ascii="FrankRuehl" w:hAnsi="FrankRuehl" w:cs="FrankRuehl" w:hint="cs"/>
          <w:sz w:val="28"/>
          <w:szCs w:val="28"/>
          <w:rtl/>
        </w:rPr>
        <w:t>9.</w:t>
      </w:r>
      <w:r>
        <w:rPr>
          <w:rFonts w:ascii="FrankRuehl" w:hAnsi="FrankRuehl" w:cs="FrankRuehl" w:hint="cs"/>
          <w:sz w:val="28"/>
          <w:szCs w:val="28"/>
          <w:rtl/>
        </w:rPr>
        <w:tab/>
      </w:r>
      <w:r w:rsidRPr="00913D76">
        <w:rPr>
          <w:rFonts w:ascii="FrankRuehl" w:hAnsi="FrankRuehl" w:cs="FrankRuehl" w:hint="cs"/>
          <w:sz w:val="28"/>
          <w:szCs w:val="28"/>
          <w:rtl/>
        </w:rPr>
        <w:t xml:space="preserve">ב"כ המאשימה הפנה לגזרי דין של בית המשפט מהם ביקש להצביע על </w:t>
      </w:r>
      <w:r>
        <w:rPr>
          <w:rFonts w:ascii="FrankRuehl" w:hAnsi="FrankRuehl" w:cs="FrankRuehl" w:hint="cs"/>
          <w:sz w:val="28"/>
          <w:szCs w:val="28"/>
          <w:rtl/>
        </w:rPr>
        <w:t xml:space="preserve">מנעד רחב </w:t>
      </w:r>
      <w:r w:rsidRPr="00913D76">
        <w:rPr>
          <w:rFonts w:ascii="FrankRuehl" w:hAnsi="FrankRuehl" w:cs="FrankRuehl" w:hint="cs"/>
          <w:sz w:val="28"/>
          <w:szCs w:val="28"/>
          <w:rtl/>
        </w:rPr>
        <w:t>של ענישה בעבירות ההצתה, בהתאם לנסיבות השונות, ועמד על מגמת ההחמרה בענישה בגין עבירה זו, בפרט במקרים בהם ההצתה נעשית על רקע סכסוכים כספיים. הוא הוסיף, כי לאחרונה ציין בית המשפט, כי "החומרה היתרה הטמונה בעבירת ההצתה נובעת לא רק מהסכנה האינהרנטית הטבועה בה אלא גם מתוקף המסר העברייני האלים, העולה ממנה, לצורך הטלת אימה בציבור"</w:t>
      </w:r>
      <w:r>
        <w:rPr>
          <w:rFonts w:ascii="FrankRuehl" w:hAnsi="FrankRuehl" w:cs="FrankRuehl" w:hint="cs"/>
          <w:sz w:val="28"/>
          <w:szCs w:val="28"/>
          <w:rtl/>
        </w:rPr>
        <w:t xml:space="preserve"> (</w:t>
      </w:r>
      <w:hyperlink r:id="rId28" w:history="1">
        <w:r w:rsidR="00252171" w:rsidRPr="00252171">
          <w:rPr>
            <w:rFonts w:ascii="FrankRuehl" w:hAnsi="FrankRuehl" w:cs="FrankRuehl"/>
            <w:color w:val="0000FF"/>
            <w:sz w:val="28"/>
            <w:szCs w:val="28"/>
            <w:u w:val="single"/>
            <w:rtl/>
          </w:rPr>
          <w:t>ע"פ 5953/22</w:t>
        </w:r>
      </w:hyperlink>
      <w:r w:rsidRPr="00240A84">
        <w:rPr>
          <w:rFonts w:ascii="FrankRuehl" w:hAnsi="FrankRuehl" w:cs="FrankRuehl"/>
          <w:sz w:val="28"/>
          <w:szCs w:val="28"/>
          <w:rtl/>
        </w:rPr>
        <w:t xml:space="preserve"> </w:t>
      </w:r>
      <w:r>
        <w:rPr>
          <w:rFonts w:ascii="FrankRuehl" w:hAnsi="FrankRuehl" w:cs="FrankRuehl"/>
          <w:b/>
          <w:bCs/>
          <w:sz w:val="28"/>
          <w:szCs w:val="28"/>
          <w:rtl/>
        </w:rPr>
        <w:t xml:space="preserve">מדינת ישראל נ' </w:t>
      </w:r>
      <w:r w:rsidRPr="00B64469">
        <w:rPr>
          <w:rFonts w:ascii="FrankRuehl" w:hAnsi="FrankRuehl" w:cs="FrankRuehl"/>
          <w:b/>
          <w:bCs/>
          <w:sz w:val="28"/>
          <w:szCs w:val="28"/>
          <w:rtl/>
        </w:rPr>
        <w:t>עדוי</w:t>
      </w:r>
      <w:r w:rsidRPr="00240A84">
        <w:rPr>
          <w:rFonts w:ascii="FrankRuehl" w:hAnsi="FrankRuehl" w:cs="FrankRuehl" w:hint="cs"/>
          <w:sz w:val="28"/>
          <w:szCs w:val="28"/>
          <w:rtl/>
        </w:rPr>
        <w:t xml:space="preserve"> (2.02.23)</w:t>
      </w:r>
      <w:r>
        <w:rPr>
          <w:rFonts w:ascii="FrankRuehl" w:hAnsi="FrankRuehl" w:cs="FrankRuehl" w:hint="cs"/>
          <w:sz w:val="28"/>
          <w:szCs w:val="28"/>
          <w:rtl/>
        </w:rPr>
        <w:t>).</w:t>
      </w:r>
    </w:p>
    <w:p w14:paraId="31E0DAF8" w14:textId="77777777" w:rsidR="00375E7B" w:rsidRDefault="00375E7B" w:rsidP="00375E7B">
      <w:pPr>
        <w:spacing w:line="360" w:lineRule="auto"/>
        <w:jc w:val="both"/>
        <w:rPr>
          <w:rFonts w:ascii="FrankRuehl" w:hAnsi="FrankRuehl" w:cs="FrankRuehl"/>
          <w:sz w:val="28"/>
          <w:szCs w:val="28"/>
          <w:rtl/>
        </w:rPr>
      </w:pPr>
    </w:p>
    <w:p w14:paraId="1A3D184D" w14:textId="77777777" w:rsidR="00375E7B" w:rsidRPr="00913D76" w:rsidRDefault="00375E7B" w:rsidP="00375E7B">
      <w:pPr>
        <w:spacing w:line="360" w:lineRule="auto"/>
        <w:jc w:val="both"/>
        <w:rPr>
          <w:rFonts w:ascii="FrankRuehl" w:hAnsi="FrankRuehl" w:cs="FrankRuehl"/>
          <w:sz w:val="28"/>
          <w:szCs w:val="28"/>
          <w:rtl/>
        </w:rPr>
      </w:pPr>
      <w:r>
        <w:rPr>
          <w:rFonts w:ascii="FrankRuehl" w:hAnsi="FrankRuehl" w:cs="FrankRuehl" w:hint="cs"/>
          <w:sz w:val="28"/>
          <w:szCs w:val="28"/>
          <w:rtl/>
        </w:rPr>
        <w:t>10.</w:t>
      </w:r>
      <w:r>
        <w:rPr>
          <w:rFonts w:ascii="FrankRuehl" w:hAnsi="FrankRuehl" w:cs="FrankRuehl" w:hint="cs"/>
          <w:sz w:val="28"/>
          <w:szCs w:val="28"/>
          <w:rtl/>
        </w:rPr>
        <w:tab/>
      </w:r>
      <w:r w:rsidRPr="00913D76">
        <w:rPr>
          <w:rFonts w:ascii="FrankRuehl" w:hAnsi="FrankRuehl" w:cs="FrankRuehl" w:hint="cs"/>
          <w:sz w:val="28"/>
          <w:szCs w:val="28"/>
          <w:rtl/>
        </w:rPr>
        <w:t>בהמשך הצביע ב"כ המאשימה על הנסיבות המיוחדות של מקרה זה, בין היתר העובדה כי הנאשם פעל כ"חייל" של אחר לבצע את המעשה כנגד מי שלו עצמו לא היה עמו כל דין ודברים, והכל בשל בצע כסף. כן הצביע על הנזק שנגרם, שעה שעד היום המסעדה לא נפתחה מחדש, ועל פוטנציאל הנזק הרב שיכול היה להיגרם, שכן המסעדה ממוקמת בבניין בו יש מספר עסקים. הוא הפנה לפסיקה הנוהגת ועתר לקביעת מתחם של 24 עד 48 חודשי מאסר בגין עבירת ההצתה.</w:t>
      </w:r>
    </w:p>
    <w:p w14:paraId="34DA06A5" w14:textId="77777777" w:rsidR="00375E7B" w:rsidRPr="00913D76" w:rsidRDefault="00375E7B" w:rsidP="00375E7B">
      <w:pPr>
        <w:spacing w:line="360" w:lineRule="auto"/>
        <w:jc w:val="both"/>
        <w:rPr>
          <w:rFonts w:ascii="FrankRuehl" w:hAnsi="FrankRuehl" w:cs="FrankRuehl"/>
          <w:sz w:val="28"/>
          <w:szCs w:val="28"/>
          <w:rtl/>
        </w:rPr>
      </w:pPr>
    </w:p>
    <w:p w14:paraId="2B3DC0C5" w14:textId="77777777" w:rsidR="00375E7B" w:rsidRPr="00913D76" w:rsidRDefault="00375E7B" w:rsidP="00375E7B">
      <w:pPr>
        <w:spacing w:line="360" w:lineRule="auto"/>
        <w:jc w:val="both"/>
        <w:rPr>
          <w:rFonts w:ascii="FrankRuehl" w:hAnsi="FrankRuehl" w:cs="FrankRuehl"/>
          <w:sz w:val="28"/>
          <w:szCs w:val="28"/>
          <w:rtl/>
        </w:rPr>
      </w:pPr>
      <w:r>
        <w:rPr>
          <w:rFonts w:ascii="FrankRuehl" w:hAnsi="FrankRuehl" w:cs="FrankRuehl" w:hint="cs"/>
          <w:sz w:val="28"/>
          <w:szCs w:val="28"/>
          <w:rtl/>
        </w:rPr>
        <w:t>11.</w:t>
      </w:r>
      <w:r>
        <w:rPr>
          <w:rFonts w:ascii="FrankRuehl" w:hAnsi="FrankRuehl" w:cs="FrankRuehl" w:hint="cs"/>
          <w:sz w:val="28"/>
          <w:szCs w:val="28"/>
          <w:rtl/>
        </w:rPr>
        <w:tab/>
      </w:r>
      <w:r w:rsidRPr="00913D76">
        <w:rPr>
          <w:rFonts w:ascii="FrankRuehl" w:hAnsi="FrankRuehl" w:cs="FrankRuehl" w:hint="cs"/>
          <w:sz w:val="28"/>
          <w:szCs w:val="28"/>
          <w:rtl/>
        </w:rPr>
        <w:t>באשר להליכים הנוספים ציין ב"כ המאשימה</w:t>
      </w:r>
      <w:r>
        <w:rPr>
          <w:rFonts w:ascii="FrankRuehl" w:hAnsi="FrankRuehl" w:cs="FrankRuehl" w:hint="cs"/>
          <w:sz w:val="28"/>
          <w:szCs w:val="28"/>
          <w:rtl/>
        </w:rPr>
        <w:t>,</w:t>
      </w:r>
      <w:r w:rsidRPr="00913D76">
        <w:rPr>
          <w:rFonts w:ascii="FrankRuehl" w:hAnsi="FrankRuehl" w:cs="FrankRuehl" w:hint="cs"/>
          <w:sz w:val="28"/>
          <w:szCs w:val="28"/>
          <w:rtl/>
        </w:rPr>
        <w:t xml:space="preserve"> כי מדובר במעשים שנעשו על ידי הנאשם בהיותו קטין, אך מאידך מדובר במי שמורא הדין ממנו והלאה, והוא ביצע עבירות תוך כדי ניהול משפט ב</w:t>
      </w:r>
      <w:r>
        <w:rPr>
          <w:rFonts w:ascii="FrankRuehl" w:hAnsi="FrankRuehl" w:cs="FrankRuehl" w:hint="cs"/>
          <w:sz w:val="28"/>
          <w:szCs w:val="28"/>
          <w:rtl/>
        </w:rPr>
        <w:t xml:space="preserve">גין </w:t>
      </w:r>
      <w:r w:rsidRPr="00913D76">
        <w:rPr>
          <w:rFonts w:ascii="FrankRuehl" w:hAnsi="FrankRuehl" w:cs="FrankRuehl" w:hint="cs"/>
          <w:sz w:val="28"/>
          <w:szCs w:val="28"/>
          <w:rtl/>
        </w:rPr>
        <w:t>עבירות שביצע קודם לכן. לצד זאת, ציין ב"כ המאשימה</w:t>
      </w:r>
      <w:r>
        <w:rPr>
          <w:rFonts w:ascii="FrankRuehl" w:hAnsi="FrankRuehl" w:cs="FrankRuehl" w:hint="cs"/>
          <w:sz w:val="28"/>
          <w:szCs w:val="28"/>
          <w:rtl/>
        </w:rPr>
        <w:t>,</w:t>
      </w:r>
      <w:r w:rsidRPr="00913D76">
        <w:rPr>
          <w:rFonts w:ascii="FrankRuehl" w:hAnsi="FrankRuehl" w:cs="FrankRuehl" w:hint="cs"/>
          <w:sz w:val="28"/>
          <w:szCs w:val="28"/>
          <w:rtl/>
        </w:rPr>
        <w:t xml:space="preserve"> לזכותו של הנאשם</w:t>
      </w:r>
      <w:r>
        <w:rPr>
          <w:rFonts w:ascii="FrankRuehl" w:hAnsi="FrankRuehl" w:cs="FrankRuehl" w:hint="cs"/>
          <w:sz w:val="28"/>
          <w:szCs w:val="28"/>
          <w:rtl/>
        </w:rPr>
        <w:t>,</w:t>
      </w:r>
      <w:r w:rsidRPr="00913D76">
        <w:rPr>
          <w:rFonts w:ascii="FrankRuehl" w:hAnsi="FrankRuehl" w:cs="FrankRuehl" w:hint="cs"/>
          <w:sz w:val="28"/>
          <w:szCs w:val="28"/>
          <w:rtl/>
        </w:rPr>
        <w:t xml:space="preserve"> את שיתוף הפעולה שלו בחקירת המשטרה, הודאתו כבר במהלך החקירה, ונט</w:t>
      </w:r>
      <w:r>
        <w:rPr>
          <w:rFonts w:ascii="FrankRuehl" w:hAnsi="FrankRuehl" w:cs="FrankRuehl" w:hint="cs"/>
          <w:sz w:val="28"/>
          <w:szCs w:val="28"/>
          <w:rtl/>
        </w:rPr>
        <w:t>י</w:t>
      </w:r>
      <w:r w:rsidRPr="00913D76">
        <w:rPr>
          <w:rFonts w:ascii="FrankRuehl" w:hAnsi="FrankRuehl" w:cs="FrankRuehl" w:hint="cs"/>
          <w:sz w:val="28"/>
          <w:szCs w:val="28"/>
          <w:rtl/>
        </w:rPr>
        <w:t>ל</w:t>
      </w:r>
      <w:r>
        <w:rPr>
          <w:rFonts w:ascii="FrankRuehl" w:hAnsi="FrankRuehl" w:cs="FrankRuehl" w:hint="cs"/>
          <w:sz w:val="28"/>
          <w:szCs w:val="28"/>
          <w:rtl/>
        </w:rPr>
        <w:t>ת</w:t>
      </w:r>
      <w:r w:rsidRPr="00913D76">
        <w:rPr>
          <w:rFonts w:ascii="FrankRuehl" w:hAnsi="FrankRuehl" w:cs="FrankRuehl" w:hint="cs"/>
          <w:sz w:val="28"/>
          <w:szCs w:val="28"/>
          <w:rtl/>
        </w:rPr>
        <w:t xml:space="preserve"> אחריות מלאה על מעשיו. הוא ציין כי נסיבות חייו של הנאשם הן אכן קשות</w:t>
      </w:r>
      <w:r>
        <w:rPr>
          <w:rFonts w:ascii="FrankRuehl" w:hAnsi="FrankRuehl" w:cs="FrankRuehl" w:hint="cs"/>
          <w:sz w:val="28"/>
          <w:szCs w:val="28"/>
          <w:rtl/>
        </w:rPr>
        <w:t>, אך חרף</w:t>
      </w:r>
      <w:r w:rsidRPr="00913D76">
        <w:rPr>
          <w:rFonts w:ascii="FrankRuehl" w:hAnsi="FrankRuehl" w:cs="FrankRuehl" w:hint="cs"/>
          <w:sz w:val="28"/>
          <w:szCs w:val="28"/>
          <w:rtl/>
        </w:rPr>
        <w:t xml:space="preserve"> הניסיונות החוזרים ונשנים של הרשויות השונות להושיט לו יד ולהוציאו מהמעגל שבו הוא נמצא, הוא </w:t>
      </w:r>
      <w:r>
        <w:rPr>
          <w:rFonts w:ascii="FrankRuehl" w:hAnsi="FrankRuehl" w:cs="FrankRuehl" w:hint="cs"/>
          <w:sz w:val="28"/>
          <w:szCs w:val="28"/>
          <w:rtl/>
        </w:rPr>
        <w:t>ל</w:t>
      </w:r>
      <w:r w:rsidRPr="00913D76">
        <w:rPr>
          <w:rFonts w:ascii="FrankRuehl" w:hAnsi="FrankRuehl" w:cs="FrankRuehl" w:hint="cs"/>
          <w:sz w:val="28"/>
          <w:szCs w:val="28"/>
          <w:rtl/>
        </w:rPr>
        <w:t>א נענה</w:t>
      </w:r>
      <w:r>
        <w:rPr>
          <w:rFonts w:ascii="FrankRuehl" w:hAnsi="FrankRuehl" w:cs="FrankRuehl" w:hint="cs"/>
          <w:sz w:val="28"/>
          <w:szCs w:val="28"/>
          <w:rtl/>
        </w:rPr>
        <w:t xml:space="preserve"> להם</w:t>
      </w:r>
      <w:r w:rsidRPr="00913D76">
        <w:rPr>
          <w:rFonts w:ascii="FrankRuehl" w:hAnsi="FrankRuehl" w:cs="FrankRuehl" w:hint="cs"/>
          <w:sz w:val="28"/>
          <w:szCs w:val="28"/>
          <w:rtl/>
        </w:rPr>
        <w:t xml:space="preserve">. מכאן, סיכון גדול להישנות עבירות בעתיד. </w:t>
      </w:r>
    </w:p>
    <w:p w14:paraId="7B191912" w14:textId="77777777" w:rsidR="00375E7B" w:rsidRPr="00913D76" w:rsidRDefault="00375E7B" w:rsidP="00375E7B">
      <w:pPr>
        <w:spacing w:line="360" w:lineRule="auto"/>
        <w:jc w:val="both"/>
        <w:rPr>
          <w:rFonts w:ascii="FrankRuehl" w:hAnsi="FrankRuehl" w:cs="FrankRuehl"/>
          <w:sz w:val="28"/>
          <w:szCs w:val="28"/>
          <w:rtl/>
        </w:rPr>
      </w:pPr>
    </w:p>
    <w:p w14:paraId="0CE3C562" w14:textId="77777777" w:rsidR="00375E7B" w:rsidRPr="00913D76" w:rsidRDefault="00375E7B" w:rsidP="00375E7B">
      <w:pPr>
        <w:spacing w:line="360" w:lineRule="auto"/>
        <w:jc w:val="both"/>
        <w:rPr>
          <w:rFonts w:ascii="FrankRuehl" w:hAnsi="FrankRuehl" w:cs="FrankRuehl"/>
          <w:sz w:val="28"/>
          <w:szCs w:val="28"/>
          <w:rtl/>
        </w:rPr>
      </w:pPr>
      <w:r>
        <w:rPr>
          <w:rFonts w:ascii="FrankRuehl" w:hAnsi="FrankRuehl" w:cs="FrankRuehl" w:hint="cs"/>
          <w:sz w:val="28"/>
          <w:szCs w:val="28"/>
          <w:rtl/>
        </w:rPr>
        <w:t>12.</w:t>
      </w:r>
      <w:r>
        <w:rPr>
          <w:rFonts w:ascii="FrankRuehl" w:hAnsi="FrankRuehl" w:cs="FrankRuehl" w:hint="cs"/>
          <w:sz w:val="28"/>
          <w:szCs w:val="28"/>
          <w:rtl/>
        </w:rPr>
        <w:tab/>
      </w:r>
      <w:r w:rsidRPr="00913D76">
        <w:rPr>
          <w:rFonts w:ascii="FrankRuehl" w:hAnsi="FrankRuehl" w:cs="FrankRuehl" w:hint="cs"/>
          <w:sz w:val="28"/>
          <w:szCs w:val="28"/>
          <w:rtl/>
        </w:rPr>
        <w:t xml:space="preserve">בסופו של יום, עתר ב"כ המאשימה לקבוע את עונשו של הנאשם במחצית המתחם בכל הנוגע לעבירת ההצתה ולהוסיף על כך מספר חודשי מאסר בודדים בגין העבירות הנוספות. הוא ביקש להשית על הנאשם עונש של 40 חודשי מאסר ולהפעיל את עונש המאסר על תנאי של ארבעה חודשים התלוי ועומד כנגדו במצטבר. כן ביקש להטיל על הנאשם מאסר מותנה ולחייבו בפיצוי לבעל המסעדה ולבעל הקטנוע. </w:t>
      </w:r>
    </w:p>
    <w:p w14:paraId="191809CF" w14:textId="77777777" w:rsidR="00375E7B" w:rsidRPr="00913D76" w:rsidRDefault="00375E7B" w:rsidP="00375E7B">
      <w:pPr>
        <w:spacing w:line="360" w:lineRule="auto"/>
        <w:jc w:val="both"/>
        <w:rPr>
          <w:rFonts w:ascii="FrankRuehl" w:hAnsi="FrankRuehl" w:cs="FrankRuehl"/>
          <w:sz w:val="28"/>
          <w:szCs w:val="28"/>
          <w:rtl/>
        </w:rPr>
      </w:pPr>
    </w:p>
    <w:p w14:paraId="4A3D0F6F" w14:textId="77777777" w:rsidR="00375E7B" w:rsidRPr="00913D76" w:rsidRDefault="00375E7B" w:rsidP="00375E7B">
      <w:pPr>
        <w:spacing w:line="360" w:lineRule="auto"/>
        <w:jc w:val="both"/>
        <w:rPr>
          <w:rFonts w:ascii="FrankRuehl" w:hAnsi="FrankRuehl" w:cs="FrankRuehl"/>
          <w:sz w:val="28"/>
          <w:szCs w:val="28"/>
          <w:rtl/>
        </w:rPr>
      </w:pPr>
      <w:r>
        <w:rPr>
          <w:rFonts w:ascii="FrankRuehl" w:hAnsi="FrankRuehl" w:cs="FrankRuehl" w:hint="cs"/>
          <w:sz w:val="28"/>
          <w:szCs w:val="28"/>
          <w:rtl/>
        </w:rPr>
        <w:t>13.</w:t>
      </w:r>
      <w:r>
        <w:rPr>
          <w:rFonts w:ascii="FrankRuehl" w:hAnsi="FrankRuehl" w:cs="FrankRuehl" w:hint="cs"/>
          <w:sz w:val="28"/>
          <w:szCs w:val="28"/>
          <w:rtl/>
        </w:rPr>
        <w:tab/>
      </w:r>
      <w:r w:rsidRPr="00913D76">
        <w:rPr>
          <w:rFonts w:ascii="FrankRuehl" w:hAnsi="FrankRuehl" w:cs="FrankRuehl" w:hint="cs"/>
          <w:sz w:val="28"/>
          <w:szCs w:val="28"/>
          <w:rtl/>
        </w:rPr>
        <w:t xml:space="preserve">מנגד טען ב"כ הנאשם כי בקביעת מתחם העונש יש לתת משקל להפצרות של גולדנברג בנאשם עד שהנאשם הסכים לעשות עבורו את ההצתה. מדובר היה בבית עסק שממוקם בתוך מרכז מסחרי, ללא קרבה לבנייני מגורים, באופן שלא היה במעשה כדי לסכן חיי אדם באופן ממשי. בפועל ניזוק רק המנדף כשנגרם נזק למדחסים. </w:t>
      </w:r>
      <w:r>
        <w:rPr>
          <w:rFonts w:ascii="FrankRuehl" w:hAnsi="FrankRuehl" w:cs="FrankRuehl" w:hint="cs"/>
          <w:sz w:val="28"/>
          <w:szCs w:val="28"/>
          <w:rtl/>
        </w:rPr>
        <w:t>מדובר בנזק קטן יחסית. סגירת המסעדה</w:t>
      </w:r>
      <w:r w:rsidRPr="00913D76">
        <w:rPr>
          <w:rFonts w:ascii="FrankRuehl" w:hAnsi="FrankRuehl" w:cs="FrankRuehl" w:hint="cs"/>
          <w:sz w:val="28"/>
          <w:szCs w:val="28"/>
          <w:rtl/>
        </w:rPr>
        <w:t xml:space="preserve">, כך טען, אינה אך בשל ההצתה. לדבריו, מתחם העונש ההולם מקרה זה בנסיבותיו, מתחיל ממספר בודד של חודשי מאסר שיכול וירוצו </w:t>
      </w:r>
      <w:r>
        <w:rPr>
          <w:rFonts w:ascii="FrankRuehl" w:hAnsi="FrankRuehl" w:cs="FrankRuehl" w:hint="cs"/>
          <w:sz w:val="28"/>
          <w:szCs w:val="28"/>
          <w:rtl/>
        </w:rPr>
        <w:t xml:space="preserve">בדרך של </w:t>
      </w:r>
      <w:r w:rsidRPr="00913D76">
        <w:rPr>
          <w:rFonts w:ascii="FrankRuehl" w:hAnsi="FrankRuehl" w:cs="FrankRuehl" w:hint="cs"/>
          <w:sz w:val="28"/>
          <w:szCs w:val="28"/>
          <w:rtl/>
        </w:rPr>
        <w:t xml:space="preserve">עבודות שירות ועד ל-20 חודשי מאסר, והוא תמך את טיעוניו בפסיקה. </w:t>
      </w:r>
    </w:p>
    <w:p w14:paraId="2385E8DF" w14:textId="77777777" w:rsidR="00375E7B" w:rsidRPr="00913D76" w:rsidRDefault="00375E7B" w:rsidP="00375E7B">
      <w:pPr>
        <w:spacing w:line="360" w:lineRule="auto"/>
        <w:jc w:val="both"/>
        <w:rPr>
          <w:rFonts w:ascii="FrankRuehl" w:hAnsi="FrankRuehl" w:cs="FrankRuehl"/>
          <w:sz w:val="28"/>
          <w:szCs w:val="28"/>
          <w:rtl/>
        </w:rPr>
      </w:pPr>
    </w:p>
    <w:p w14:paraId="63437ACB" w14:textId="77777777" w:rsidR="00375E7B" w:rsidRPr="00913D76" w:rsidRDefault="00375E7B" w:rsidP="00375E7B">
      <w:pPr>
        <w:spacing w:line="360" w:lineRule="auto"/>
        <w:jc w:val="both"/>
        <w:rPr>
          <w:rFonts w:ascii="FrankRuehl" w:hAnsi="FrankRuehl" w:cs="FrankRuehl"/>
          <w:sz w:val="28"/>
          <w:szCs w:val="28"/>
          <w:rtl/>
        </w:rPr>
      </w:pPr>
      <w:r>
        <w:rPr>
          <w:rFonts w:ascii="FrankRuehl" w:hAnsi="FrankRuehl" w:cs="FrankRuehl" w:hint="cs"/>
          <w:sz w:val="28"/>
          <w:szCs w:val="28"/>
          <w:rtl/>
        </w:rPr>
        <w:t>14.</w:t>
      </w:r>
      <w:r>
        <w:rPr>
          <w:rFonts w:ascii="FrankRuehl" w:hAnsi="FrankRuehl" w:cs="FrankRuehl" w:hint="cs"/>
          <w:sz w:val="28"/>
          <w:szCs w:val="28"/>
          <w:rtl/>
        </w:rPr>
        <w:tab/>
      </w:r>
      <w:r w:rsidRPr="00913D76">
        <w:rPr>
          <w:rFonts w:ascii="FrankRuehl" w:hAnsi="FrankRuehl" w:cs="FrankRuehl" w:hint="cs"/>
          <w:sz w:val="28"/>
          <w:szCs w:val="28"/>
          <w:rtl/>
        </w:rPr>
        <w:t>ב"כ הנאשם טען גם, כי העונש לו עותרת המאשימה אינו נותן את המשקל הראוי לנ</w:t>
      </w:r>
      <w:r>
        <w:rPr>
          <w:rFonts w:ascii="FrankRuehl" w:hAnsi="FrankRuehl" w:cs="FrankRuehl" w:hint="cs"/>
          <w:sz w:val="28"/>
          <w:szCs w:val="28"/>
          <w:rtl/>
        </w:rPr>
        <w:t>טילת האחריות של הנאשם, ובפרט לכך</w:t>
      </w:r>
      <w:r w:rsidRPr="00913D76">
        <w:rPr>
          <w:rFonts w:ascii="FrankRuehl" w:hAnsi="FrankRuehl" w:cs="FrankRuehl" w:hint="cs"/>
          <w:sz w:val="28"/>
          <w:szCs w:val="28"/>
          <w:rtl/>
        </w:rPr>
        <w:t xml:space="preserve"> שרק הודאתו של הנאשם ושיתוף הפעולה שלו הביא לחשיפת מבצעי ההצתה, בפרט את המידע אודות מחולל ויוזם ההצתה, שהפציר וניצל את הנאשם לקידום מטרותיו. שיתוף פעולה זה מצדו של הנאשם מעיד כשלעצמו על נכונותו לשנות את דרכיו, מה גם שמדובר בנטילת סיכון של ממש. </w:t>
      </w:r>
    </w:p>
    <w:p w14:paraId="2ECA9809" w14:textId="77777777" w:rsidR="00375E7B" w:rsidRPr="00913D76" w:rsidRDefault="00375E7B" w:rsidP="00375E7B">
      <w:pPr>
        <w:spacing w:line="360" w:lineRule="auto"/>
        <w:jc w:val="both"/>
        <w:rPr>
          <w:rFonts w:ascii="FrankRuehl" w:hAnsi="FrankRuehl" w:cs="FrankRuehl"/>
          <w:sz w:val="28"/>
          <w:szCs w:val="28"/>
          <w:rtl/>
        </w:rPr>
      </w:pPr>
    </w:p>
    <w:p w14:paraId="2D376664" w14:textId="77777777" w:rsidR="00375E7B" w:rsidRPr="00913D76" w:rsidRDefault="00375E7B" w:rsidP="00375E7B">
      <w:pPr>
        <w:spacing w:line="360" w:lineRule="auto"/>
        <w:jc w:val="both"/>
        <w:rPr>
          <w:rFonts w:ascii="FrankRuehl" w:hAnsi="FrankRuehl" w:cs="FrankRuehl"/>
          <w:sz w:val="28"/>
          <w:szCs w:val="28"/>
          <w:rtl/>
        </w:rPr>
      </w:pPr>
      <w:r>
        <w:rPr>
          <w:rFonts w:ascii="FrankRuehl" w:hAnsi="FrankRuehl" w:cs="FrankRuehl" w:hint="cs"/>
          <w:sz w:val="28"/>
          <w:szCs w:val="28"/>
          <w:rtl/>
        </w:rPr>
        <w:t>15.</w:t>
      </w:r>
      <w:r>
        <w:rPr>
          <w:rFonts w:ascii="FrankRuehl" w:hAnsi="FrankRuehl" w:cs="FrankRuehl" w:hint="cs"/>
          <w:sz w:val="28"/>
          <w:szCs w:val="28"/>
          <w:rtl/>
        </w:rPr>
        <w:tab/>
      </w:r>
      <w:r w:rsidRPr="00913D76">
        <w:rPr>
          <w:rFonts w:ascii="FrankRuehl" w:hAnsi="FrankRuehl" w:cs="FrankRuehl" w:hint="cs"/>
          <w:sz w:val="28"/>
          <w:szCs w:val="28"/>
          <w:rtl/>
        </w:rPr>
        <w:t>עוד ציין ב"כ הנאשם, כי העבירות בוצעו בתקופה קשה מאוד של הנאשם, בה פעילותו העבריינית הייתה משמעותית, ונעשתה כדי לשרוד בשים לב לנסיבות חייו הקשות</w:t>
      </w:r>
      <w:r>
        <w:rPr>
          <w:rFonts w:ascii="FrankRuehl" w:hAnsi="FrankRuehl" w:cs="FrankRuehl" w:hint="cs"/>
          <w:sz w:val="28"/>
          <w:szCs w:val="28"/>
          <w:rtl/>
        </w:rPr>
        <w:t>. נסיבות</w:t>
      </w:r>
      <w:r w:rsidRPr="00913D76">
        <w:rPr>
          <w:rFonts w:ascii="FrankRuehl" w:hAnsi="FrankRuehl" w:cs="FrankRuehl" w:hint="cs"/>
          <w:sz w:val="28"/>
          <w:szCs w:val="28"/>
          <w:rtl/>
        </w:rPr>
        <w:t>, שהביאו אותו לחובות כספיים</w:t>
      </w:r>
      <w:r>
        <w:rPr>
          <w:rFonts w:ascii="FrankRuehl" w:hAnsi="FrankRuehl" w:cs="FrankRuehl" w:hint="cs"/>
          <w:sz w:val="28"/>
          <w:szCs w:val="28"/>
          <w:rtl/>
        </w:rPr>
        <w:t>,</w:t>
      </w:r>
      <w:r w:rsidRPr="00913D76">
        <w:rPr>
          <w:rFonts w:ascii="FrankRuehl" w:hAnsi="FrankRuehl" w:cs="FrankRuehl" w:hint="cs"/>
          <w:sz w:val="28"/>
          <w:szCs w:val="28"/>
          <w:rtl/>
        </w:rPr>
        <w:t xml:space="preserve"> שלשם סילוקם הוא הסכים לפעול כשליחו של גולדנברג. כל אלו מצדיקים את גזירת עונשו של הנאשם בתחתיתו של כל מתחם</w:t>
      </w:r>
      <w:r>
        <w:rPr>
          <w:rFonts w:ascii="FrankRuehl" w:hAnsi="FrankRuehl" w:cs="FrankRuehl" w:hint="cs"/>
          <w:sz w:val="28"/>
          <w:szCs w:val="28"/>
          <w:rtl/>
        </w:rPr>
        <w:t xml:space="preserve"> שייקבע</w:t>
      </w:r>
      <w:r w:rsidRPr="00913D76">
        <w:rPr>
          <w:rFonts w:ascii="FrankRuehl" w:hAnsi="FrankRuehl" w:cs="FrankRuehl" w:hint="cs"/>
          <w:sz w:val="28"/>
          <w:szCs w:val="28"/>
          <w:rtl/>
        </w:rPr>
        <w:t xml:space="preserve">. כן טען, כי נוכח נטילת האחריות, בכל ההליכים, יש לקבוע כי המאסר המותנה ירוצה בחופף ולא במצטבר. </w:t>
      </w:r>
    </w:p>
    <w:p w14:paraId="415FCAFE" w14:textId="77777777" w:rsidR="00375E7B" w:rsidRPr="00913D76" w:rsidRDefault="00375E7B" w:rsidP="00375E7B">
      <w:pPr>
        <w:spacing w:line="360" w:lineRule="auto"/>
        <w:jc w:val="both"/>
        <w:rPr>
          <w:rFonts w:ascii="FrankRuehl" w:hAnsi="FrankRuehl" w:cs="FrankRuehl"/>
          <w:sz w:val="28"/>
          <w:szCs w:val="28"/>
          <w:rtl/>
        </w:rPr>
      </w:pPr>
    </w:p>
    <w:p w14:paraId="12FB42C0" w14:textId="77777777" w:rsidR="00375E7B" w:rsidRPr="00913D76" w:rsidRDefault="00375E7B" w:rsidP="00375E7B">
      <w:pPr>
        <w:spacing w:line="360" w:lineRule="auto"/>
        <w:jc w:val="both"/>
        <w:rPr>
          <w:rFonts w:ascii="FrankRuehl" w:hAnsi="FrankRuehl" w:cs="FrankRuehl"/>
          <w:sz w:val="28"/>
          <w:szCs w:val="28"/>
          <w:rtl/>
        </w:rPr>
      </w:pPr>
      <w:r>
        <w:rPr>
          <w:rFonts w:ascii="FrankRuehl" w:hAnsi="FrankRuehl" w:cs="FrankRuehl" w:hint="cs"/>
          <w:sz w:val="28"/>
          <w:szCs w:val="28"/>
          <w:rtl/>
        </w:rPr>
        <w:t>16.</w:t>
      </w:r>
      <w:r>
        <w:rPr>
          <w:rFonts w:ascii="FrankRuehl" w:hAnsi="FrankRuehl" w:cs="FrankRuehl" w:hint="cs"/>
          <w:sz w:val="28"/>
          <w:szCs w:val="28"/>
          <w:rtl/>
        </w:rPr>
        <w:tab/>
      </w:r>
      <w:r w:rsidRPr="00913D76">
        <w:rPr>
          <w:rFonts w:ascii="FrankRuehl" w:hAnsi="FrankRuehl" w:cs="FrankRuehl" w:hint="cs"/>
          <w:sz w:val="28"/>
          <w:szCs w:val="28"/>
          <w:rtl/>
        </w:rPr>
        <w:t>הנאשם ציין</w:t>
      </w:r>
      <w:r>
        <w:rPr>
          <w:rFonts w:ascii="FrankRuehl" w:hAnsi="FrankRuehl" w:cs="FrankRuehl" w:hint="cs"/>
          <w:sz w:val="28"/>
          <w:szCs w:val="28"/>
          <w:rtl/>
        </w:rPr>
        <w:t>,</w:t>
      </w:r>
      <w:r w:rsidRPr="00913D76">
        <w:rPr>
          <w:rFonts w:ascii="FrankRuehl" w:hAnsi="FrankRuehl" w:cs="FrankRuehl" w:hint="cs"/>
          <w:sz w:val="28"/>
          <w:szCs w:val="28"/>
          <w:rtl/>
        </w:rPr>
        <w:t xml:space="preserve"> כי הוא מצטער על מעשיו. הוא עשה טע</w:t>
      </w:r>
      <w:r>
        <w:rPr>
          <w:rFonts w:ascii="FrankRuehl" w:hAnsi="FrankRuehl" w:cs="FrankRuehl" w:hint="cs"/>
          <w:sz w:val="28"/>
          <w:szCs w:val="28"/>
          <w:rtl/>
        </w:rPr>
        <w:t>ו</w:t>
      </w:r>
      <w:r w:rsidRPr="00913D76">
        <w:rPr>
          <w:rFonts w:ascii="FrankRuehl" w:hAnsi="FrankRuehl" w:cs="FrankRuehl" w:hint="cs"/>
          <w:sz w:val="28"/>
          <w:szCs w:val="28"/>
          <w:rtl/>
        </w:rPr>
        <w:t>יות בתור נער, אך אינו עבריין ואינו רוצה להיות עבריין. הוא מבקש שתינתן לו האפשרות להתחיל את חייו מחדש ולהקים משפחה.</w:t>
      </w:r>
    </w:p>
    <w:p w14:paraId="4C3C765F" w14:textId="77777777" w:rsidR="00375E7B" w:rsidRPr="00913D76" w:rsidRDefault="00375E7B" w:rsidP="00375E7B">
      <w:pPr>
        <w:spacing w:line="360" w:lineRule="auto"/>
        <w:jc w:val="both"/>
        <w:rPr>
          <w:rFonts w:ascii="FrankRuehl" w:hAnsi="FrankRuehl" w:cs="FrankRuehl"/>
          <w:sz w:val="28"/>
          <w:szCs w:val="28"/>
          <w:rtl/>
        </w:rPr>
      </w:pPr>
    </w:p>
    <w:p w14:paraId="4696044F" w14:textId="77777777" w:rsidR="00375E7B" w:rsidRPr="00240A84" w:rsidRDefault="00375E7B" w:rsidP="00375E7B">
      <w:pPr>
        <w:spacing w:line="360" w:lineRule="auto"/>
        <w:jc w:val="both"/>
        <w:rPr>
          <w:rFonts w:ascii="FrankRuehl" w:hAnsi="FrankRuehl" w:cs="FrankRuehl"/>
          <w:b/>
          <w:bCs/>
          <w:sz w:val="28"/>
          <w:szCs w:val="28"/>
          <w:u w:val="single"/>
          <w:rtl/>
        </w:rPr>
      </w:pPr>
      <w:r w:rsidRPr="00240A84">
        <w:rPr>
          <w:rFonts w:ascii="FrankRuehl" w:hAnsi="FrankRuehl" w:cs="FrankRuehl" w:hint="cs"/>
          <w:b/>
          <w:bCs/>
          <w:sz w:val="28"/>
          <w:szCs w:val="28"/>
          <w:u w:val="single"/>
          <w:rtl/>
        </w:rPr>
        <w:t>דיון והכרעה</w:t>
      </w:r>
    </w:p>
    <w:p w14:paraId="043036D3" w14:textId="77777777" w:rsidR="00375E7B" w:rsidRPr="00240A84" w:rsidRDefault="00375E7B" w:rsidP="00375E7B">
      <w:pPr>
        <w:spacing w:line="360" w:lineRule="auto"/>
        <w:jc w:val="both"/>
        <w:rPr>
          <w:rFonts w:ascii="FrankRuehl" w:hAnsi="FrankRuehl" w:cs="FrankRuehl"/>
          <w:sz w:val="28"/>
          <w:szCs w:val="28"/>
        </w:rPr>
      </w:pPr>
      <w:r w:rsidRPr="003B4C02">
        <w:rPr>
          <w:rFonts w:ascii="FrankRuehl" w:hAnsi="FrankRuehl" w:cs="FrankRuehl" w:hint="cs"/>
          <w:sz w:val="28"/>
          <w:szCs w:val="28"/>
          <w:rtl/>
        </w:rPr>
        <w:t>17.</w:t>
      </w:r>
      <w:r w:rsidRPr="003B4C02">
        <w:rPr>
          <w:rFonts w:ascii="FrankRuehl" w:hAnsi="FrankRuehl" w:cs="FrankRuehl"/>
          <w:sz w:val="28"/>
          <w:szCs w:val="28"/>
          <w:rtl/>
        </w:rPr>
        <w:tab/>
      </w:r>
      <w:r w:rsidRPr="00CF0411">
        <w:rPr>
          <w:rFonts w:ascii="FrankRuehl" w:hAnsi="FrankRuehl" w:cs="FrankRuehl"/>
          <w:sz w:val="28"/>
          <w:szCs w:val="28"/>
          <w:rtl/>
        </w:rPr>
        <w:t>מעשיו של הנאשם פגעו בערכים חברתיים מוגנים של שלום הציבור, בטחונו, שלומו וקניינו של המתלונן וסביבתו. חומרתה</w:t>
      </w:r>
      <w:r>
        <w:rPr>
          <w:rFonts w:ascii="FrankRuehl" w:hAnsi="FrankRuehl" w:cs="FrankRuehl"/>
          <w:sz w:val="28"/>
          <w:szCs w:val="28"/>
          <w:rtl/>
        </w:rPr>
        <w:t xml:space="preserve"> של עביר</w:t>
      </w:r>
      <w:r w:rsidRPr="00CF0411">
        <w:rPr>
          <w:rFonts w:ascii="FrankRuehl" w:hAnsi="FrankRuehl" w:cs="FrankRuehl"/>
          <w:sz w:val="28"/>
          <w:szCs w:val="28"/>
          <w:rtl/>
        </w:rPr>
        <w:t>ת ההצתה נעוצה בחוסר היכולת לשלוט בתוצאותיה או לצפותן</w:t>
      </w:r>
      <w:r w:rsidRPr="00240A84">
        <w:rPr>
          <w:rFonts w:ascii="FrankRuehl" w:hAnsi="FrankRuehl" w:cs="FrankRuehl" w:hint="cs"/>
          <w:sz w:val="28"/>
          <w:szCs w:val="28"/>
          <w:rtl/>
        </w:rPr>
        <w:t xml:space="preserve">. </w:t>
      </w:r>
      <w:r w:rsidRPr="00240A84">
        <w:rPr>
          <w:rFonts w:ascii="FrankRuehl" w:hAnsi="FrankRuehl" w:cs="FrankRuehl"/>
          <w:sz w:val="28"/>
          <w:szCs w:val="28"/>
          <w:rtl/>
        </w:rPr>
        <w:t xml:space="preserve">"טבעה של הצתה שראשיתה ידוע, אולם כיצד תתפשט ומה יהיה היקף הנזק הכרוך בה, הוא ענין שלמצית, בדרך כלל, אין שליטה עליו" (ע"פ </w:t>
      </w:r>
      <w:hyperlink r:id="rId29" w:history="1">
        <w:r w:rsidR="00686EA7" w:rsidRPr="00686EA7">
          <w:rPr>
            <w:rFonts w:ascii="FrankRuehl" w:hAnsi="FrankRuehl" w:cs="FrankRuehl"/>
            <w:color w:val="0000FF"/>
            <w:sz w:val="28"/>
            <w:szCs w:val="28"/>
            <w:u w:val="single"/>
            <w:rtl/>
          </w:rPr>
          <w:t>2599/07</w:t>
        </w:r>
      </w:hyperlink>
      <w:r w:rsidR="00252171">
        <w:rPr>
          <w:rFonts w:ascii="FrankRuehl" w:hAnsi="FrankRuehl" w:cs="FrankRuehl"/>
          <w:sz w:val="28"/>
          <w:szCs w:val="28"/>
          <w:rtl/>
        </w:rPr>
        <w:t xml:space="preserve"> </w:t>
      </w:r>
      <w:r w:rsidRPr="00240A84">
        <w:rPr>
          <w:rFonts w:ascii="FrankRuehl" w:hAnsi="FrankRuehl" w:cs="FrankRuehl"/>
          <w:b/>
          <w:bCs/>
          <w:sz w:val="28"/>
          <w:szCs w:val="28"/>
          <w:rtl/>
        </w:rPr>
        <w:t>קריין נ' מדינת ישראל</w:t>
      </w:r>
      <w:r w:rsidR="00252171">
        <w:rPr>
          <w:rFonts w:ascii="FrankRuehl" w:hAnsi="FrankRuehl" w:cs="FrankRuehl"/>
          <w:sz w:val="28"/>
          <w:szCs w:val="28"/>
          <w:rtl/>
        </w:rPr>
        <w:t xml:space="preserve"> </w:t>
      </w:r>
      <w:r w:rsidRPr="00240A84">
        <w:rPr>
          <w:rFonts w:ascii="FrankRuehl" w:hAnsi="FrankRuehl" w:cs="FrankRuehl"/>
          <w:sz w:val="28"/>
          <w:szCs w:val="28"/>
          <w:rtl/>
        </w:rPr>
        <w:t xml:space="preserve">(30.04.07). וראו גם: </w:t>
      </w:r>
      <w:hyperlink r:id="rId30" w:history="1">
        <w:r w:rsidR="00252171" w:rsidRPr="00252171">
          <w:rPr>
            <w:rFonts w:ascii="FrankRuehl" w:hAnsi="FrankRuehl" w:cs="FrankRuehl"/>
            <w:color w:val="0000FF"/>
            <w:sz w:val="28"/>
            <w:szCs w:val="28"/>
            <w:u w:val="single"/>
            <w:rtl/>
          </w:rPr>
          <w:t>ע"פ 7496/12</w:t>
        </w:r>
      </w:hyperlink>
      <w:r w:rsidR="00252171">
        <w:rPr>
          <w:rFonts w:ascii="FrankRuehl" w:hAnsi="FrankRuehl" w:cs="FrankRuehl"/>
          <w:sz w:val="28"/>
          <w:szCs w:val="28"/>
          <w:rtl/>
        </w:rPr>
        <w:t xml:space="preserve"> </w:t>
      </w:r>
      <w:r w:rsidRPr="00240A84">
        <w:rPr>
          <w:rFonts w:ascii="FrankRuehl" w:hAnsi="FrankRuehl" w:cs="FrankRuehl"/>
          <w:b/>
          <w:bCs/>
          <w:sz w:val="28"/>
          <w:szCs w:val="28"/>
          <w:rtl/>
        </w:rPr>
        <w:t>זיתוני נ' מדינת ישראל</w:t>
      </w:r>
      <w:r w:rsidR="00252171">
        <w:rPr>
          <w:rFonts w:ascii="FrankRuehl" w:hAnsi="FrankRuehl" w:cs="FrankRuehl"/>
          <w:sz w:val="28"/>
          <w:szCs w:val="28"/>
          <w:rtl/>
        </w:rPr>
        <w:t xml:space="preserve"> </w:t>
      </w:r>
      <w:r w:rsidRPr="00240A84">
        <w:rPr>
          <w:rFonts w:ascii="FrankRuehl" w:hAnsi="FrankRuehl" w:cs="FrankRuehl"/>
          <w:sz w:val="28"/>
          <w:szCs w:val="28"/>
          <w:rtl/>
        </w:rPr>
        <w:t xml:space="preserve">(24.06.13); </w:t>
      </w:r>
      <w:hyperlink r:id="rId31" w:history="1">
        <w:r w:rsidR="00252171" w:rsidRPr="00252171">
          <w:rPr>
            <w:rFonts w:ascii="FrankRuehl" w:hAnsi="FrankRuehl" w:cs="FrankRuehl"/>
            <w:color w:val="0000FF"/>
            <w:sz w:val="28"/>
            <w:szCs w:val="28"/>
            <w:u w:val="single"/>
            <w:rtl/>
          </w:rPr>
          <w:t>ע"פ 5960/13</w:t>
        </w:r>
      </w:hyperlink>
      <w:r w:rsidR="00252171">
        <w:rPr>
          <w:rFonts w:ascii="FrankRuehl" w:hAnsi="FrankRuehl" w:cs="FrankRuehl"/>
          <w:sz w:val="28"/>
          <w:szCs w:val="28"/>
          <w:rtl/>
        </w:rPr>
        <w:t xml:space="preserve"> </w:t>
      </w:r>
      <w:r w:rsidRPr="00240A84">
        <w:rPr>
          <w:rFonts w:ascii="FrankRuehl" w:hAnsi="FrankRuehl" w:cs="FrankRuehl"/>
          <w:b/>
          <w:bCs/>
          <w:sz w:val="28"/>
          <w:szCs w:val="28"/>
          <w:rtl/>
        </w:rPr>
        <w:t>מדינת ישראל נ' עון</w:t>
      </w:r>
      <w:r w:rsidR="00252171">
        <w:rPr>
          <w:rFonts w:ascii="FrankRuehl" w:hAnsi="FrankRuehl" w:cs="FrankRuehl"/>
          <w:sz w:val="28"/>
          <w:szCs w:val="28"/>
          <w:rtl/>
        </w:rPr>
        <w:t xml:space="preserve"> </w:t>
      </w:r>
      <w:r w:rsidRPr="00240A84">
        <w:rPr>
          <w:rFonts w:ascii="FrankRuehl" w:hAnsi="FrankRuehl" w:cs="FrankRuehl"/>
          <w:sz w:val="28"/>
          <w:szCs w:val="28"/>
          <w:rtl/>
        </w:rPr>
        <w:t>(23.04.14)).</w:t>
      </w:r>
      <w:r w:rsidR="00252171">
        <w:rPr>
          <w:rFonts w:ascii="FrankRuehl" w:hAnsi="FrankRuehl" w:cs="FrankRuehl"/>
          <w:sz w:val="28"/>
          <w:szCs w:val="28"/>
          <w:rtl/>
        </w:rPr>
        <w:t xml:space="preserve"> </w:t>
      </w:r>
      <w:r w:rsidRPr="00CF0411">
        <w:rPr>
          <w:rFonts w:ascii="FrankRuehl" w:hAnsi="FrankRuehl" w:cs="FrankRuehl"/>
          <w:sz w:val="28"/>
          <w:szCs w:val="28"/>
          <w:rtl/>
        </w:rPr>
        <w:t>ב</w:t>
      </w:r>
      <w:r>
        <w:rPr>
          <w:rFonts w:ascii="FrankRuehl" w:hAnsi="FrankRuehl" w:cs="FrankRuehl" w:hint="cs"/>
          <w:sz w:val="28"/>
          <w:szCs w:val="28"/>
          <w:rtl/>
        </w:rPr>
        <w:t>של פ</w:t>
      </w:r>
      <w:r w:rsidRPr="00CF0411">
        <w:rPr>
          <w:rFonts w:ascii="FrankRuehl" w:hAnsi="FrankRuehl" w:cs="FrankRuehl"/>
          <w:sz w:val="28"/>
          <w:szCs w:val="28"/>
          <w:rtl/>
        </w:rPr>
        <w:t xml:space="preserve">וטנציאל </w:t>
      </w:r>
      <w:r>
        <w:rPr>
          <w:rFonts w:ascii="FrankRuehl" w:hAnsi="FrankRuehl" w:cs="FrankRuehl" w:hint="cs"/>
          <w:sz w:val="28"/>
          <w:szCs w:val="28"/>
          <w:rtl/>
        </w:rPr>
        <w:t>הה</w:t>
      </w:r>
      <w:r w:rsidRPr="00CF0411">
        <w:rPr>
          <w:rFonts w:ascii="FrankRuehl" w:hAnsi="FrankRuehl" w:cs="FrankRuehl"/>
          <w:sz w:val="28"/>
          <w:szCs w:val="28"/>
          <w:rtl/>
        </w:rPr>
        <w:t>רס ו</w:t>
      </w:r>
      <w:r>
        <w:rPr>
          <w:rFonts w:ascii="FrankRuehl" w:hAnsi="FrankRuehl" w:cs="FrankRuehl" w:hint="cs"/>
          <w:sz w:val="28"/>
          <w:szCs w:val="28"/>
          <w:rtl/>
        </w:rPr>
        <w:t>ה</w:t>
      </w:r>
      <w:r w:rsidRPr="00CF0411">
        <w:rPr>
          <w:rFonts w:ascii="FrankRuehl" w:hAnsi="FrankRuehl" w:cs="FrankRuehl"/>
          <w:sz w:val="28"/>
          <w:szCs w:val="28"/>
          <w:rtl/>
        </w:rPr>
        <w:t>חורבן</w:t>
      </w:r>
      <w:r>
        <w:rPr>
          <w:rFonts w:ascii="FrankRuehl" w:hAnsi="FrankRuehl" w:cs="FrankRuehl" w:hint="cs"/>
          <w:sz w:val="28"/>
          <w:szCs w:val="28"/>
          <w:rtl/>
        </w:rPr>
        <w:t xml:space="preserve"> שיש באש, "</w:t>
      </w:r>
      <w:r w:rsidRPr="00CF0411">
        <w:rPr>
          <w:rFonts w:ascii="FrankRuehl" w:hAnsi="FrankRuehl" w:cs="FrankRuehl"/>
          <w:sz w:val="28"/>
          <w:szCs w:val="28"/>
          <w:rtl/>
        </w:rPr>
        <w:t>מי שמבצע את עבירת ההצתה, למעשה לוקח בחשבון שמרגע השלכת הגפרור, הגחל, או</w:t>
      </w:r>
      <w:r w:rsidRPr="00240A84">
        <w:rPr>
          <w:rFonts w:ascii="FrankRuehl" w:hAnsi="FrankRuehl" w:cs="FrankRuehl" w:hint="cs"/>
          <w:sz w:val="28"/>
          <w:szCs w:val="28"/>
          <w:rtl/>
        </w:rPr>
        <w:t xml:space="preserve"> </w:t>
      </w:r>
      <w:r w:rsidRPr="00CF0411">
        <w:rPr>
          <w:rFonts w:ascii="FrankRuehl" w:hAnsi="FrankRuehl" w:cs="FrankRuehl"/>
          <w:sz w:val="28"/>
          <w:szCs w:val="28"/>
          <w:rtl/>
        </w:rPr>
        <w:t>הסיגר, משתנה נוסף נכנס לתמונה, עליו אין לו שליטה, ושהנזק הפוטנציאלי ממנו הוא רחב היקף"</w:t>
      </w:r>
      <w:r w:rsidR="00252171">
        <w:rPr>
          <w:rFonts w:ascii="FrankRuehl" w:hAnsi="FrankRuehl" w:cs="FrankRuehl"/>
          <w:sz w:val="28"/>
          <w:szCs w:val="28"/>
          <w:rtl/>
        </w:rPr>
        <w:t xml:space="preserve"> </w:t>
      </w:r>
      <w:r w:rsidRPr="00CF0411">
        <w:rPr>
          <w:rFonts w:ascii="FrankRuehl" w:hAnsi="FrankRuehl" w:cs="FrankRuehl"/>
          <w:sz w:val="28"/>
          <w:szCs w:val="28"/>
          <w:rtl/>
        </w:rPr>
        <w:t>(</w:t>
      </w:r>
      <w:hyperlink r:id="rId32" w:history="1">
        <w:r w:rsidR="00252171" w:rsidRPr="00252171">
          <w:rPr>
            <w:rFonts w:ascii="FrankRuehl" w:hAnsi="FrankRuehl" w:cs="FrankRuehl"/>
            <w:color w:val="0000FF"/>
            <w:sz w:val="28"/>
            <w:szCs w:val="28"/>
            <w:u w:val="single"/>
            <w:rtl/>
          </w:rPr>
          <w:t>ע"פ 4743/22</w:t>
        </w:r>
      </w:hyperlink>
      <w:r w:rsidR="00252171">
        <w:rPr>
          <w:rFonts w:ascii="FrankRuehl" w:hAnsi="FrankRuehl" w:cs="FrankRuehl"/>
          <w:sz w:val="28"/>
          <w:szCs w:val="28"/>
          <w:rtl/>
        </w:rPr>
        <w:t xml:space="preserve"> </w:t>
      </w:r>
      <w:r w:rsidRPr="00CF0411">
        <w:rPr>
          <w:rFonts w:ascii="FrankRuehl" w:hAnsi="FrankRuehl" w:cs="FrankRuehl"/>
          <w:b/>
          <w:bCs/>
          <w:sz w:val="28"/>
          <w:szCs w:val="28"/>
          <w:rtl/>
        </w:rPr>
        <w:t>מדינת ישראל נ' פלוני</w:t>
      </w:r>
      <w:r>
        <w:rPr>
          <w:rFonts w:ascii="FrankRuehl" w:hAnsi="FrankRuehl" w:cs="FrankRuehl" w:hint="cs"/>
          <w:sz w:val="28"/>
          <w:szCs w:val="28"/>
          <w:rtl/>
        </w:rPr>
        <w:t xml:space="preserve"> </w:t>
      </w:r>
      <w:r w:rsidRPr="00CF0411">
        <w:rPr>
          <w:rFonts w:ascii="FrankRuehl" w:hAnsi="FrankRuehl" w:cs="FrankRuehl"/>
          <w:sz w:val="28"/>
          <w:szCs w:val="28"/>
          <w:rtl/>
        </w:rPr>
        <w:t>(17.</w:t>
      </w:r>
      <w:r>
        <w:rPr>
          <w:rFonts w:ascii="FrankRuehl" w:hAnsi="FrankRuehl" w:cs="FrankRuehl" w:hint="cs"/>
          <w:sz w:val="28"/>
          <w:szCs w:val="28"/>
          <w:rtl/>
        </w:rPr>
        <w:t>0</w:t>
      </w:r>
      <w:r w:rsidRPr="00CF0411">
        <w:rPr>
          <w:rFonts w:ascii="FrankRuehl" w:hAnsi="FrankRuehl" w:cs="FrankRuehl"/>
          <w:sz w:val="28"/>
          <w:szCs w:val="28"/>
          <w:rtl/>
        </w:rPr>
        <w:t>8.22);</w:t>
      </w:r>
      <w:r w:rsidR="00252171">
        <w:rPr>
          <w:rFonts w:ascii="FrankRuehl" w:hAnsi="FrankRuehl" w:cs="FrankRuehl"/>
          <w:sz w:val="28"/>
          <w:szCs w:val="28"/>
          <w:rtl/>
        </w:rPr>
        <w:t xml:space="preserve"> </w:t>
      </w:r>
      <w:hyperlink r:id="rId33" w:history="1">
        <w:r w:rsidR="00252171" w:rsidRPr="00252171">
          <w:rPr>
            <w:rFonts w:ascii="FrankRuehl" w:hAnsi="FrankRuehl" w:cs="FrankRuehl"/>
            <w:color w:val="0000FF"/>
            <w:sz w:val="28"/>
            <w:szCs w:val="28"/>
            <w:u w:val="single"/>
            <w:rtl/>
          </w:rPr>
          <w:t>ע"פ 559/22</w:t>
        </w:r>
      </w:hyperlink>
      <w:r w:rsidR="00252171">
        <w:rPr>
          <w:rFonts w:ascii="FrankRuehl" w:hAnsi="FrankRuehl" w:cs="FrankRuehl"/>
          <w:sz w:val="28"/>
          <w:szCs w:val="28"/>
          <w:rtl/>
        </w:rPr>
        <w:t xml:space="preserve"> </w:t>
      </w:r>
      <w:r w:rsidRPr="00CF0411">
        <w:rPr>
          <w:rFonts w:ascii="FrankRuehl" w:hAnsi="FrankRuehl" w:cs="FrankRuehl"/>
          <w:b/>
          <w:bCs/>
          <w:sz w:val="28"/>
          <w:szCs w:val="28"/>
          <w:rtl/>
        </w:rPr>
        <w:t>מדינת ישראל נ' לואי יחיא</w:t>
      </w:r>
      <w:r w:rsidRPr="00CF0411">
        <w:rPr>
          <w:rFonts w:ascii="FrankRuehl" w:hAnsi="FrankRuehl" w:cs="FrankRuehl"/>
          <w:sz w:val="28"/>
          <w:szCs w:val="28"/>
          <w:rtl/>
        </w:rPr>
        <w:t xml:space="preserve"> (14.</w:t>
      </w:r>
      <w:r>
        <w:rPr>
          <w:rFonts w:ascii="FrankRuehl" w:hAnsi="FrankRuehl" w:cs="FrankRuehl" w:hint="cs"/>
          <w:sz w:val="28"/>
          <w:szCs w:val="28"/>
          <w:rtl/>
        </w:rPr>
        <w:t>0</w:t>
      </w:r>
      <w:r w:rsidRPr="00CF0411">
        <w:rPr>
          <w:rFonts w:ascii="FrankRuehl" w:hAnsi="FrankRuehl" w:cs="FrankRuehl"/>
          <w:sz w:val="28"/>
          <w:szCs w:val="28"/>
          <w:rtl/>
        </w:rPr>
        <w:t>3.22)).</w:t>
      </w:r>
      <w:r w:rsidRPr="00240A84">
        <w:rPr>
          <w:rFonts w:ascii="FrankRuehl" w:hAnsi="FrankRuehl" w:cs="FrankRuehl" w:hint="cs"/>
          <w:sz w:val="28"/>
          <w:szCs w:val="28"/>
          <w:rtl/>
        </w:rPr>
        <w:t xml:space="preserve"> בית המשפט הוסיף כי "</w:t>
      </w:r>
      <w:r w:rsidRPr="00240A84">
        <w:rPr>
          <w:rFonts w:ascii="FrankRuehl" w:hAnsi="FrankRuehl" w:cs="FrankRuehl"/>
          <w:sz w:val="28"/>
          <w:szCs w:val="28"/>
          <w:rtl/>
        </w:rPr>
        <w:t>החומרה היתרה הטמונה בעבירת ההצתה נובעת לא רק מן הסכנה האינהרנטית הטבועה בה, אלא גם מתוקף המסר העברייני האלים העולה ממנה, לצורך הטלת אימה בציבו</w:t>
      </w:r>
      <w:r w:rsidRPr="00240A84">
        <w:rPr>
          <w:rFonts w:ascii="FrankRuehl" w:hAnsi="FrankRuehl" w:cs="FrankRuehl" w:hint="cs"/>
          <w:sz w:val="28"/>
          <w:szCs w:val="28"/>
          <w:rtl/>
        </w:rPr>
        <w:t>ר" (</w:t>
      </w:r>
      <w:hyperlink r:id="rId34" w:history="1">
        <w:r w:rsidR="00252171" w:rsidRPr="00252171">
          <w:rPr>
            <w:rFonts w:ascii="FrankRuehl" w:hAnsi="FrankRuehl" w:cs="FrankRuehl"/>
            <w:color w:val="0000FF"/>
            <w:sz w:val="28"/>
            <w:szCs w:val="28"/>
            <w:u w:val="single"/>
            <w:rtl/>
          </w:rPr>
          <w:t>ע"פ 4311/12</w:t>
        </w:r>
      </w:hyperlink>
      <w:r w:rsidR="00252171">
        <w:rPr>
          <w:rFonts w:ascii="FrankRuehl" w:hAnsi="FrankRuehl" w:cs="FrankRuehl"/>
          <w:sz w:val="28"/>
          <w:szCs w:val="28"/>
        </w:rPr>
        <w:t xml:space="preserve"> </w:t>
      </w:r>
      <w:r w:rsidRPr="00DA56EC">
        <w:rPr>
          <w:rFonts w:ascii="FrankRuehl" w:hAnsi="FrankRuehl" w:cs="FrankRuehl"/>
          <w:b/>
          <w:bCs/>
          <w:sz w:val="28"/>
          <w:szCs w:val="28"/>
          <w:rtl/>
        </w:rPr>
        <w:t>סורי נ' מדינת ישראל</w:t>
      </w:r>
      <w:r>
        <w:rPr>
          <w:rFonts w:ascii="FrankRuehl" w:hAnsi="FrankRuehl" w:cs="FrankRuehl" w:hint="cs"/>
          <w:b/>
          <w:bCs/>
          <w:sz w:val="28"/>
          <w:szCs w:val="28"/>
          <w:rtl/>
        </w:rPr>
        <w:t xml:space="preserve"> </w:t>
      </w:r>
      <w:r w:rsidRPr="00DA56EC">
        <w:rPr>
          <w:rFonts w:ascii="FrankRuehl" w:hAnsi="FrankRuehl" w:cs="FrankRuehl" w:hint="cs"/>
          <w:sz w:val="28"/>
          <w:szCs w:val="28"/>
          <w:rtl/>
        </w:rPr>
        <w:t xml:space="preserve">(8.11.12)). </w:t>
      </w:r>
    </w:p>
    <w:p w14:paraId="48B3F440" w14:textId="77777777" w:rsidR="00375E7B" w:rsidRPr="00240A84" w:rsidRDefault="00375E7B" w:rsidP="00375E7B">
      <w:pPr>
        <w:spacing w:line="360" w:lineRule="auto"/>
        <w:jc w:val="both"/>
        <w:rPr>
          <w:rFonts w:ascii="FrankRuehl" w:hAnsi="FrankRuehl" w:cs="FrankRuehl"/>
          <w:sz w:val="28"/>
          <w:szCs w:val="28"/>
          <w:rtl/>
        </w:rPr>
      </w:pPr>
    </w:p>
    <w:p w14:paraId="3AAE0C8C" w14:textId="77777777" w:rsidR="00375E7B" w:rsidRDefault="00375E7B" w:rsidP="00375E7B">
      <w:pPr>
        <w:spacing w:line="360" w:lineRule="auto"/>
        <w:jc w:val="both"/>
        <w:rPr>
          <w:rFonts w:ascii="FrankRuehl" w:hAnsi="FrankRuehl" w:cs="FrankRuehl"/>
          <w:sz w:val="28"/>
          <w:szCs w:val="28"/>
          <w:rtl/>
        </w:rPr>
      </w:pPr>
      <w:r>
        <w:rPr>
          <w:rFonts w:ascii="FrankRuehl" w:hAnsi="FrankRuehl" w:cs="FrankRuehl" w:hint="cs"/>
          <w:sz w:val="28"/>
          <w:szCs w:val="28"/>
          <w:rtl/>
        </w:rPr>
        <w:t>18.</w:t>
      </w:r>
      <w:r>
        <w:rPr>
          <w:rFonts w:ascii="FrankRuehl" w:hAnsi="FrankRuehl" w:cs="FrankRuehl" w:hint="cs"/>
          <w:sz w:val="28"/>
          <w:szCs w:val="28"/>
          <w:rtl/>
        </w:rPr>
        <w:tab/>
      </w:r>
      <w:r w:rsidRPr="00240A84">
        <w:rPr>
          <w:rFonts w:ascii="FrankRuehl" w:hAnsi="FrankRuehl" w:cs="FrankRuehl" w:hint="cs"/>
          <w:sz w:val="28"/>
          <w:szCs w:val="28"/>
          <w:rtl/>
        </w:rPr>
        <w:t>בית המשפט הע</w:t>
      </w:r>
      <w:r>
        <w:rPr>
          <w:rFonts w:ascii="FrankRuehl" w:hAnsi="FrankRuehl" w:cs="FrankRuehl" w:hint="cs"/>
          <w:sz w:val="28"/>
          <w:szCs w:val="28"/>
          <w:rtl/>
        </w:rPr>
        <w:t xml:space="preserve">ליון אף ציין לאחרונה, מספר פעמים, </w:t>
      </w:r>
      <w:r w:rsidRPr="00240A84">
        <w:rPr>
          <w:rFonts w:ascii="FrankRuehl" w:hAnsi="FrankRuehl" w:cs="FrankRuehl" w:hint="cs"/>
          <w:sz w:val="28"/>
          <w:szCs w:val="28"/>
          <w:rtl/>
        </w:rPr>
        <w:t>כי על אף ש</w:t>
      </w:r>
      <w:r w:rsidRPr="00240A84">
        <w:rPr>
          <w:rFonts w:ascii="FrankRuehl" w:hAnsi="FrankRuehl" w:cs="FrankRuehl"/>
          <w:sz w:val="28"/>
          <w:szCs w:val="28"/>
          <w:rtl/>
        </w:rPr>
        <w:t>רף הענישה בעבירות הצתה אינו אחיד</w:t>
      </w:r>
      <w:r w:rsidRPr="00240A84">
        <w:rPr>
          <w:rFonts w:ascii="FrankRuehl" w:hAnsi="FrankRuehl" w:cs="FrankRuehl" w:hint="cs"/>
          <w:sz w:val="28"/>
          <w:szCs w:val="28"/>
          <w:rtl/>
        </w:rPr>
        <w:t xml:space="preserve"> </w:t>
      </w:r>
      <w:r w:rsidRPr="00240A84">
        <w:rPr>
          <w:rFonts w:ascii="FrankRuehl" w:hAnsi="FrankRuehl" w:cs="FrankRuehl"/>
          <w:sz w:val="28"/>
          <w:szCs w:val="28"/>
          <w:rtl/>
        </w:rPr>
        <w:t>וניתן למצוא מנעד רחב של עונשים, בהתאם לטיבו של המעשה ולנסיבותיו האישיות של העושה</w:t>
      </w:r>
      <w:r w:rsidRPr="00240A84">
        <w:rPr>
          <w:rFonts w:ascii="FrankRuehl" w:hAnsi="FrankRuehl" w:cs="FrankRuehl" w:hint="cs"/>
          <w:sz w:val="28"/>
          <w:szCs w:val="28"/>
          <w:rtl/>
        </w:rPr>
        <w:t xml:space="preserve">, </w:t>
      </w:r>
      <w:r w:rsidRPr="00240A84">
        <w:rPr>
          <w:rFonts w:ascii="FrankRuehl" w:hAnsi="FrankRuehl" w:cs="FrankRuehl"/>
          <w:sz w:val="28"/>
          <w:szCs w:val="28"/>
          <w:rtl/>
        </w:rPr>
        <w:t>המגמה המסתמנת בשנים האחרונות הינה של החמרה בענישה</w:t>
      </w:r>
      <w:r w:rsidRPr="00240A84">
        <w:rPr>
          <w:rFonts w:ascii="FrankRuehl" w:hAnsi="FrankRuehl" w:cs="FrankRuehl" w:hint="cs"/>
          <w:sz w:val="28"/>
          <w:szCs w:val="28"/>
          <w:rtl/>
        </w:rPr>
        <w:t xml:space="preserve">, </w:t>
      </w:r>
      <w:r w:rsidRPr="00240A84">
        <w:rPr>
          <w:rFonts w:ascii="FrankRuehl" w:hAnsi="FrankRuehl" w:cs="FrankRuehl"/>
          <w:sz w:val="28"/>
          <w:szCs w:val="28"/>
          <w:rtl/>
        </w:rPr>
        <w:t>בעיקר נו</w:t>
      </w:r>
      <w:r>
        <w:rPr>
          <w:rFonts w:ascii="FrankRuehl" w:hAnsi="FrankRuehl" w:cs="FrankRuehl"/>
          <w:sz w:val="28"/>
          <w:szCs w:val="28"/>
          <w:rtl/>
        </w:rPr>
        <w:t xml:space="preserve">כח ריבוי ההצתות והפיכתן לפעולה </w:t>
      </w:r>
      <w:r>
        <w:rPr>
          <w:rFonts w:ascii="FrankRuehl" w:hAnsi="FrankRuehl" w:cs="FrankRuehl" w:hint="cs"/>
          <w:sz w:val="28"/>
          <w:szCs w:val="28"/>
          <w:rtl/>
        </w:rPr>
        <w:t>ש</w:t>
      </w:r>
      <w:r w:rsidRPr="00240A84">
        <w:rPr>
          <w:rFonts w:ascii="FrankRuehl" w:hAnsi="FrankRuehl" w:cs="FrankRuehl"/>
          <w:sz w:val="28"/>
          <w:szCs w:val="28"/>
          <w:rtl/>
        </w:rPr>
        <w:t>נועדה להטיל מורא ולהעביר מסרים מאיימים</w:t>
      </w:r>
      <w:r w:rsidRPr="00240A84">
        <w:rPr>
          <w:rFonts w:ascii="FrankRuehl" w:hAnsi="FrankRuehl" w:cs="FrankRuehl" w:hint="cs"/>
          <w:sz w:val="28"/>
          <w:szCs w:val="28"/>
          <w:rtl/>
        </w:rPr>
        <w:t xml:space="preserve"> (</w:t>
      </w:r>
      <w:hyperlink r:id="rId35" w:history="1">
        <w:r w:rsidR="00252171" w:rsidRPr="00252171">
          <w:rPr>
            <w:rFonts w:ascii="FrankRuehl" w:hAnsi="FrankRuehl" w:cs="FrankRuehl"/>
            <w:color w:val="0000FF"/>
            <w:sz w:val="28"/>
            <w:szCs w:val="28"/>
            <w:u w:val="single"/>
            <w:rtl/>
          </w:rPr>
          <w:t>ע"פ 4743/22</w:t>
        </w:r>
      </w:hyperlink>
      <w:r>
        <w:rPr>
          <w:rFonts w:ascii="FrankRuehl" w:hAnsi="FrankRuehl" w:cs="FrankRuehl" w:hint="cs"/>
          <w:sz w:val="28"/>
          <w:szCs w:val="28"/>
          <w:rtl/>
        </w:rPr>
        <w:t xml:space="preserve"> בעניין </w:t>
      </w:r>
      <w:r w:rsidRPr="00B64469">
        <w:rPr>
          <w:rFonts w:ascii="FrankRuehl" w:hAnsi="FrankRuehl" w:cs="FrankRuehl"/>
          <w:b/>
          <w:bCs/>
          <w:sz w:val="28"/>
          <w:szCs w:val="28"/>
          <w:rtl/>
        </w:rPr>
        <w:t>פלוני</w:t>
      </w:r>
      <w:r>
        <w:rPr>
          <w:rFonts w:ascii="FrankRuehl" w:hAnsi="FrankRuehl" w:cs="FrankRuehl" w:hint="cs"/>
          <w:sz w:val="28"/>
          <w:szCs w:val="28"/>
          <w:rtl/>
        </w:rPr>
        <w:t xml:space="preserve">; </w:t>
      </w:r>
      <w:hyperlink r:id="rId36" w:history="1">
        <w:r w:rsidR="00252171" w:rsidRPr="00252171">
          <w:rPr>
            <w:rFonts w:ascii="FrankRuehl" w:hAnsi="FrankRuehl" w:cs="FrankRuehl"/>
            <w:color w:val="0000FF"/>
            <w:sz w:val="28"/>
            <w:szCs w:val="28"/>
            <w:u w:val="single"/>
            <w:rtl/>
          </w:rPr>
          <w:t>ע"פ 5953/22</w:t>
        </w:r>
      </w:hyperlink>
      <w:r>
        <w:rPr>
          <w:rFonts w:ascii="FrankRuehl" w:hAnsi="FrankRuehl" w:cs="FrankRuehl" w:hint="cs"/>
          <w:sz w:val="28"/>
          <w:szCs w:val="28"/>
          <w:rtl/>
        </w:rPr>
        <w:t xml:space="preserve"> בעניין</w:t>
      </w:r>
      <w:r>
        <w:rPr>
          <w:rFonts w:ascii="FrankRuehl" w:hAnsi="FrankRuehl" w:cs="FrankRuehl" w:hint="cs"/>
          <w:b/>
          <w:bCs/>
          <w:sz w:val="28"/>
          <w:szCs w:val="28"/>
          <w:rtl/>
        </w:rPr>
        <w:t xml:space="preserve"> </w:t>
      </w:r>
      <w:r w:rsidRPr="00B64469">
        <w:rPr>
          <w:rFonts w:ascii="FrankRuehl" w:hAnsi="FrankRuehl" w:cs="FrankRuehl"/>
          <w:b/>
          <w:bCs/>
          <w:sz w:val="28"/>
          <w:szCs w:val="28"/>
          <w:rtl/>
        </w:rPr>
        <w:t>עדוי</w:t>
      </w:r>
      <w:r>
        <w:rPr>
          <w:rFonts w:ascii="FrankRuehl" w:hAnsi="FrankRuehl" w:cs="FrankRuehl" w:hint="cs"/>
          <w:sz w:val="28"/>
          <w:szCs w:val="28"/>
          <w:rtl/>
        </w:rPr>
        <w:t xml:space="preserve">; </w:t>
      </w:r>
      <w:hyperlink r:id="rId37" w:history="1">
        <w:r w:rsidR="00252171" w:rsidRPr="00252171">
          <w:rPr>
            <w:rFonts w:ascii="FrankRuehl" w:hAnsi="FrankRuehl" w:cs="FrankRuehl"/>
            <w:color w:val="0000FF"/>
            <w:sz w:val="28"/>
            <w:szCs w:val="28"/>
            <w:u w:val="single"/>
            <w:rtl/>
          </w:rPr>
          <w:t>ע"פ 510/22</w:t>
        </w:r>
      </w:hyperlink>
      <w:r w:rsidR="00252171">
        <w:rPr>
          <w:rFonts w:ascii="FrankRuehl" w:hAnsi="FrankRuehl" w:cs="FrankRuehl"/>
          <w:sz w:val="28"/>
          <w:szCs w:val="28"/>
        </w:rPr>
        <w:t xml:space="preserve"> </w:t>
      </w:r>
      <w:r w:rsidRPr="00B64469">
        <w:rPr>
          <w:rFonts w:ascii="FrankRuehl" w:hAnsi="FrankRuehl" w:cs="FrankRuehl"/>
          <w:b/>
          <w:bCs/>
          <w:sz w:val="28"/>
          <w:szCs w:val="28"/>
          <w:rtl/>
        </w:rPr>
        <w:t>טויטו נ' מדינת ישראל</w:t>
      </w:r>
      <w:r>
        <w:rPr>
          <w:rFonts w:ascii="FrankRuehl" w:hAnsi="FrankRuehl" w:cs="FrankRuehl" w:hint="cs"/>
          <w:sz w:val="28"/>
          <w:szCs w:val="28"/>
          <w:rtl/>
        </w:rPr>
        <w:t xml:space="preserve"> (</w:t>
      </w:r>
      <w:r w:rsidRPr="00240A84">
        <w:rPr>
          <w:rFonts w:ascii="FrankRuehl" w:hAnsi="FrankRuehl" w:cs="FrankRuehl"/>
          <w:sz w:val="28"/>
          <w:szCs w:val="28"/>
        </w:rPr>
        <w:t>27.12.22</w:t>
      </w:r>
      <w:r>
        <w:rPr>
          <w:rFonts w:ascii="FrankRuehl" w:hAnsi="FrankRuehl" w:cs="FrankRuehl" w:hint="cs"/>
          <w:sz w:val="28"/>
          <w:szCs w:val="28"/>
          <w:rtl/>
        </w:rPr>
        <w:t xml:space="preserve">)). </w:t>
      </w:r>
      <w:r w:rsidRPr="00240A84">
        <w:rPr>
          <w:rFonts w:ascii="FrankRuehl" w:hAnsi="FrankRuehl" w:cs="FrankRuehl" w:hint="cs"/>
          <w:sz w:val="28"/>
          <w:szCs w:val="28"/>
          <w:rtl/>
        </w:rPr>
        <w:t>לצד זאת</w:t>
      </w:r>
      <w:r>
        <w:rPr>
          <w:rFonts w:ascii="FrankRuehl" w:hAnsi="FrankRuehl" w:cs="FrankRuehl" w:hint="cs"/>
          <w:sz w:val="28"/>
          <w:szCs w:val="28"/>
          <w:rtl/>
        </w:rPr>
        <w:t xml:space="preserve"> נקבע כי</w:t>
      </w:r>
      <w:r w:rsidRPr="00240A84">
        <w:rPr>
          <w:rFonts w:ascii="FrankRuehl" w:hAnsi="FrankRuehl" w:cs="FrankRuehl" w:hint="cs"/>
          <w:sz w:val="28"/>
          <w:szCs w:val="28"/>
          <w:rtl/>
        </w:rPr>
        <w:t xml:space="preserve"> "</w:t>
      </w:r>
      <w:r w:rsidRPr="00240A84">
        <w:rPr>
          <w:rFonts w:ascii="FrankRuehl" w:hAnsi="FrankRuehl" w:cs="FrankRuehl"/>
          <w:sz w:val="28"/>
          <w:szCs w:val="28"/>
          <w:rtl/>
        </w:rPr>
        <w:t>החמרה של רף הענישה צריכה להיעשות במתינות ובהדרגתיות תוך שמירה על עקרון אחידות הענישה ומדרג חומרת ענישה בין המקרים השונים...</w:t>
      </w:r>
      <w:r w:rsidRPr="00240A84">
        <w:rPr>
          <w:rFonts w:ascii="FrankRuehl" w:hAnsi="FrankRuehl" w:cs="FrankRuehl" w:hint="cs"/>
          <w:sz w:val="28"/>
          <w:szCs w:val="28"/>
          <w:rtl/>
        </w:rPr>
        <w:t xml:space="preserve"> </w:t>
      </w:r>
      <w:r w:rsidRPr="00240A84">
        <w:rPr>
          <w:rFonts w:ascii="FrankRuehl" w:hAnsi="FrankRuehl" w:cs="FrankRuehl"/>
          <w:sz w:val="28"/>
          <w:szCs w:val="28"/>
          <w:rtl/>
        </w:rPr>
        <w:t>יש לבחון כל מקרה לגופו לאור נסיבותיו ולהחמיר בענישה הנוגעת לעבירות ההצתה באופן מדורג ומידתי</w:t>
      </w:r>
      <w:r w:rsidRPr="00240A84">
        <w:rPr>
          <w:rFonts w:ascii="FrankRuehl" w:hAnsi="FrankRuehl" w:cs="FrankRuehl" w:hint="cs"/>
          <w:sz w:val="28"/>
          <w:szCs w:val="28"/>
          <w:rtl/>
        </w:rPr>
        <w:t xml:space="preserve">" </w:t>
      </w:r>
      <w:r>
        <w:rPr>
          <w:rFonts w:ascii="FrankRuehl" w:hAnsi="FrankRuehl" w:cs="FrankRuehl" w:hint="cs"/>
          <w:sz w:val="28"/>
          <w:szCs w:val="28"/>
          <w:rtl/>
        </w:rPr>
        <w:t>(</w:t>
      </w:r>
      <w:hyperlink r:id="rId38" w:history="1">
        <w:r w:rsidR="00252171" w:rsidRPr="00252171">
          <w:rPr>
            <w:rFonts w:ascii="FrankRuehl" w:hAnsi="FrankRuehl" w:cs="FrankRuehl"/>
            <w:color w:val="0000FF"/>
            <w:sz w:val="28"/>
            <w:szCs w:val="28"/>
            <w:u w:val="single"/>
            <w:rtl/>
          </w:rPr>
          <w:t>ע"פ 510/22</w:t>
        </w:r>
      </w:hyperlink>
      <w:r>
        <w:rPr>
          <w:rFonts w:ascii="FrankRuehl" w:hAnsi="FrankRuehl" w:cs="FrankRuehl" w:hint="cs"/>
          <w:sz w:val="28"/>
          <w:szCs w:val="28"/>
          <w:rtl/>
        </w:rPr>
        <w:t xml:space="preserve"> בעניין </w:t>
      </w:r>
      <w:r w:rsidRPr="000360D5">
        <w:rPr>
          <w:rFonts w:ascii="FrankRuehl" w:hAnsi="FrankRuehl" w:cs="FrankRuehl" w:hint="cs"/>
          <w:b/>
          <w:bCs/>
          <w:sz w:val="28"/>
          <w:szCs w:val="28"/>
          <w:rtl/>
        </w:rPr>
        <w:t>טויטו</w:t>
      </w:r>
      <w:r>
        <w:rPr>
          <w:rFonts w:ascii="FrankRuehl" w:hAnsi="FrankRuehl" w:cs="FrankRuehl" w:hint="cs"/>
          <w:sz w:val="28"/>
          <w:szCs w:val="28"/>
          <w:rtl/>
        </w:rPr>
        <w:t>).</w:t>
      </w:r>
    </w:p>
    <w:p w14:paraId="422433C5" w14:textId="77777777" w:rsidR="00375E7B" w:rsidRPr="00240A84" w:rsidRDefault="00375E7B" w:rsidP="00375E7B">
      <w:pPr>
        <w:spacing w:line="360" w:lineRule="auto"/>
        <w:jc w:val="both"/>
        <w:rPr>
          <w:rFonts w:ascii="FrankRuehl" w:hAnsi="FrankRuehl" w:cs="FrankRuehl"/>
          <w:sz w:val="28"/>
          <w:szCs w:val="28"/>
          <w:rtl/>
        </w:rPr>
      </w:pPr>
    </w:p>
    <w:p w14:paraId="01E2EF67" w14:textId="77777777" w:rsidR="00375E7B" w:rsidRPr="00240A84" w:rsidRDefault="00375E7B" w:rsidP="00375E7B">
      <w:pPr>
        <w:spacing w:line="360" w:lineRule="auto"/>
        <w:jc w:val="both"/>
        <w:rPr>
          <w:rFonts w:ascii="FrankRuehl" w:hAnsi="FrankRuehl" w:cs="FrankRuehl"/>
          <w:sz w:val="28"/>
          <w:szCs w:val="28"/>
          <w:rtl/>
        </w:rPr>
      </w:pPr>
      <w:r>
        <w:rPr>
          <w:rFonts w:ascii="FrankRuehl" w:hAnsi="FrankRuehl" w:cs="FrankRuehl" w:hint="cs"/>
          <w:sz w:val="28"/>
          <w:szCs w:val="28"/>
          <w:rtl/>
        </w:rPr>
        <w:t>19.</w:t>
      </w:r>
      <w:r>
        <w:rPr>
          <w:rFonts w:ascii="FrankRuehl" w:hAnsi="FrankRuehl" w:cs="FrankRuehl" w:hint="cs"/>
          <w:sz w:val="28"/>
          <w:szCs w:val="28"/>
          <w:rtl/>
        </w:rPr>
        <w:tab/>
      </w:r>
      <w:r w:rsidRPr="00240A84">
        <w:rPr>
          <w:rFonts w:ascii="FrankRuehl" w:hAnsi="FrankRuehl" w:cs="FrankRuehl" w:hint="cs"/>
          <w:sz w:val="28"/>
          <w:szCs w:val="28"/>
          <w:rtl/>
        </w:rPr>
        <w:t>במקרה זה מדובר במעשה שנעשה על ידי הנאשם בשל בצע כסף. לא היה לו דבר עם המתלונן, והוא בבחינת "מתעבר על ריב לא לו" (</w:t>
      </w:r>
      <w:r w:rsidRPr="00B64469">
        <w:rPr>
          <w:rFonts w:ascii="FrankRuehl" w:hAnsi="FrankRuehl" w:cs="FrankRuehl" w:hint="cs"/>
          <w:b/>
          <w:bCs/>
          <w:sz w:val="28"/>
          <w:szCs w:val="28"/>
          <w:rtl/>
        </w:rPr>
        <w:t>משלי</w:t>
      </w:r>
      <w:r>
        <w:rPr>
          <w:rFonts w:ascii="FrankRuehl" w:hAnsi="FrankRuehl" w:cs="FrankRuehl" w:hint="cs"/>
          <w:sz w:val="28"/>
          <w:szCs w:val="28"/>
          <w:rtl/>
        </w:rPr>
        <w:t xml:space="preserve"> כו, יז</w:t>
      </w:r>
      <w:r w:rsidRPr="00240A84">
        <w:rPr>
          <w:rFonts w:ascii="FrankRuehl" w:hAnsi="FrankRuehl" w:cs="FrankRuehl" w:hint="cs"/>
          <w:sz w:val="28"/>
          <w:szCs w:val="28"/>
          <w:rtl/>
        </w:rPr>
        <w:t xml:space="preserve">). בדיוק למקרים מעין אלו כיוון בית המשפט העליון כשציין את החומרה הגלומה במעשה הצתה שנועד </w:t>
      </w:r>
      <w:r w:rsidRPr="00240A84">
        <w:rPr>
          <w:rFonts w:ascii="FrankRuehl" w:hAnsi="FrankRuehl" w:cs="FrankRuehl"/>
          <w:sz w:val="28"/>
          <w:szCs w:val="28"/>
          <w:rtl/>
        </w:rPr>
        <w:t>להטיל מורא ולהעביר מסרים מאיימים</w:t>
      </w:r>
      <w:r w:rsidRPr="00240A84">
        <w:rPr>
          <w:rFonts w:ascii="FrankRuehl" w:hAnsi="FrankRuehl" w:cs="FrankRuehl" w:hint="cs"/>
          <w:sz w:val="28"/>
          <w:szCs w:val="28"/>
          <w:rtl/>
        </w:rPr>
        <w:t>. מדובר במעשה מתוכנן, כשהנאשם פעל להצטייד מראש עם חומר תבערה. לצד זאת</w:t>
      </w:r>
      <w:r>
        <w:rPr>
          <w:rFonts w:ascii="FrankRuehl" w:hAnsi="FrankRuehl" w:cs="FrankRuehl" w:hint="cs"/>
          <w:sz w:val="28"/>
          <w:szCs w:val="28"/>
          <w:rtl/>
        </w:rPr>
        <w:t>,</w:t>
      </w:r>
      <w:r w:rsidRPr="00240A84">
        <w:rPr>
          <w:rFonts w:ascii="FrankRuehl" w:hAnsi="FrankRuehl" w:cs="FrankRuehl" w:hint="cs"/>
          <w:sz w:val="28"/>
          <w:szCs w:val="28"/>
          <w:rtl/>
        </w:rPr>
        <w:t xml:space="preserve"> יש להביא בחשבון את העובדה שהנאשם הושפע</w:t>
      </w:r>
      <w:r>
        <w:rPr>
          <w:rFonts w:ascii="FrankRuehl" w:hAnsi="FrankRuehl" w:cs="FrankRuehl" w:hint="cs"/>
          <w:sz w:val="28"/>
          <w:szCs w:val="28"/>
          <w:rtl/>
        </w:rPr>
        <w:t xml:space="preserve"> מ</w:t>
      </w:r>
      <w:r w:rsidRPr="00240A84">
        <w:rPr>
          <w:rFonts w:ascii="FrankRuehl" w:hAnsi="FrankRuehl" w:cs="FrankRuehl" w:hint="cs"/>
          <w:sz w:val="28"/>
          <w:szCs w:val="28"/>
          <w:rtl/>
        </w:rPr>
        <w:t>אחר, שכפי שעולה מכתב האישום נ</w:t>
      </w:r>
      <w:r>
        <w:rPr>
          <w:rFonts w:ascii="FrankRuehl" w:hAnsi="FrankRuehl" w:cs="FrankRuehl" w:hint="cs"/>
          <w:sz w:val="28"/>
          <w:szCs w:val="28"/>
          <w:rtl/>
        </w:rPr>
        <w:t>דרש</w:t>
      </w:r>
      <w:r w:rsidRPr="00240A84">
        <w:rPr>
          <w:rFonts w:ascii="FrankRuehl" w:hAnsi="FrankRuehl" w:cs="FrankRuehl" w:hint="cs"/>
          <w:sz w:val="28"/>
          <w:szCs w:val="28"/>
          <w:rtl/>
        </w:rPr>
        <w:t xml:space="preserve"> להפציר הרבה בנאשם שיאות לבצע את ההצתה</w:t>
      </w:r>
      <w:r>
        <w:rPr>
          <w:rFonts w:ascii="FrankRuehl" w:hAnsi="FrankRuehl" w:cs="FrankRuehl" w:hint="cs"/>
          <w:sz w:val="28"/>
          <w:szCs w:val="28"/>
          <w:rtl/>
        </w:rPr>
        <w:t xml:space="preserve">. </w:t>
      </w:r>
      <w:r w:rsidRPr="00240A84">
        <w:rPr>
          <w:rFonts w:ascii="FrankRuehl" w:hAnsi="FrankRuehl" w:cs="FrankRuehl" w:hint="cs"/>
          <w:sz w:val="28"/>
          <w:szCs w:val="28"/>
          <w:rtl/>
        </w:rPr>
        <w:t>יש לזכור</w:t>
      </w:r>
      <w:r>
        <w:rPr>
          <w:rFonts w:ascii="FrankRuehl" w:hAnsi="FrankRuehl" w:cs="FrankRuehl" w:hint="cs"/>
          <w:sz w:val="28"/>
          <w:szCs w:val="28"/>
          <w:rtl/>
        </w:rPr>
        <w:t xml:space="preserve"> גם,</w:t>
      </w:r>
      <w:r w:rsidRPr="00240A84">
        <w:rPr>
          <w:rFonts w:ascii="FrankRuehl" w:hAnsi="FrankRuehl" w:cs="FrankRuehl" w:hint="cs"/>
          <w:sz w:val="28"/>
          <w:szCs w:val="28"/>
          <w:rtl/>
        </w:rPr>
        <w:t xml:space="preserve"> שמדובר בנאשם צעיר לימים שההשפעה של גולדנברג עליו היא משמעותית. כמו כן, בפועל נגרם נזק לא רב. לטענה כי המסעדה נותרה סגורה אך בשל תוצאות השריפה לא הובאה ראיה, ובשים לב לנזק הקל שנגרם מחוץ למסעדה קשה לקב</w:t>
      </w:r>
      <w:r>
        <w:rPr>
          <w:rFonts w:ascii="FrankRuehl" w:hAnsi="FrankRuehl" w:cs="FrankRuehl" w:hint="cs"/>
          <w:sz w:val="28"/>
          <w:szCs w:val="28"/>
          <w:rtl/>
        </w:rPr>
        <w:t xml:space="preserve">ל, בוודאי בלא ראיה, כי זו הסיבה, למצער היחידה, </w:t>
      </w:r>
      <w:r w:rsidRPr="00240A84">
        <w:rPr>
          <w:rFonts w:ascii="FrankRuehl" w:hAnsi="FrankRuehl" w:cs="FrankRuehl" w:hint="cs"/>
          <w:sz w:val="28"/>
          <w:szCs w:val="28"/>
          <w:rtl/>
        </w:rPr>
        <w:t xml:space="preserve">לסגירת המסעדה. אכן, פוטנציאל הנזק הוא משמעותי, אך גם הוא היה בעיקרו לרכוש ולא לגוף בשים לב לכך שמדובר היה בשריפת עסק בשעת לילה מאוחרת </w:t>
      </w:r>
      <w:r>
        <w:rPr>
          <w:rFonts w:ascii="FrankRuehl" w:hAnsi="FrankRuehl" w:cs="FrankRuehl" w:hint="cs"/>
          <w:sz w:val="28"/>
          <w:szCs w:val="28"/>
          <w:rtl/>
        </w:rPr>
        <w:t>כ</w:t>
      </w:r>
      <w:r w:rsidRPr="00240A84">
        <w:rPr>
          <w:rFonts w:ascii="FrankRuehl" w:hAnsi="FrankRuehl" w:cs="FrankRuehl" w:hint="cs"/>
          <w:sz w:val="28"/>
          <w:szCs w:val="28"/>
          <w:rtl/>
        </w:rPr>
        <w:t xml:space="preserve">שאין אנשים באזור. </w:t>
      </w:r>
    </w:p>
    <w:p w14:paraId="7A06E5EE" w14:textId="77777777" w:rsidR="00375E7B" w:rsidRPr="00240A84" w:rsidRDefault="00375E7B" w:rsidP="00375E7B">
      <w:pPr>
        <w:spacing w:line="360" w:lineRule="auto"/>
        <w:jc w:val="both"/>
        <w:rPr>
          <w:rFonts w:ascii="FrankRuehl" w:hAnsi="FrankRuehl" w:cs="FrankRuehl"/>
          <w:sz w:val="28"/>
          <w:szCs w:val="28"/>
          <w:rtl/>
        </w:rPr>
      </w:pPr>
    </w:p>
    <w:p w14:paraId="75AFDF69" w14:textId="77777777" w:rsidR="00375E7B" w:rsidRPr="00240A84" w:rsidRDefault="00375E7B" w:rsidP="00375E7B">
      <w:pPr>
        <w:spacing w:line="360" w:lineRule="auto"/>
        <w:jc w:val="both"/>
        <w:rPr>
          <w:rFonts w:ascii="FrankRuehl" w:hAnsi="FrankRuehl" w:cs="FrankRuehl"/>
          <w:sz w:val="28"/>
          <w:szCs w:val="28"/>
          <w:rtl/>
        </w:rPr>
      </w:pPr>
      <w:r>
        <w:rPr>
          <w:rFonts w:ascii="FrankRuehl" w:hAnsi="FrankRuehl" w:cs="FrankRuehl" w:hint="cs"/>
          <w:sz w:val="28"/>
          <w:szCs w:val="28"/>
          <w:rtl/>
        </w:rPr>
        <w:t>20.</w:t>
      </w:r>
      <w:r>
        <w:rPr>
          <w:rFonts w:ascii="FrankRuehl" w:hAnsi="FrankRuehl" w:cs="FrankRuehl" w:hint="cs"/>
          <w:sz w:val="28"/>
          <w:szCs w:val="28"/>
          <w:rtl/>
        </w:rPr>
        <w:tab/>
      </w:r>
      <w:r w:rsidRPr="00240A84">
        <w:rPr>
          <w:rFonts w:ascii="FrankRuehl" w:hAnsi="FrankRuehl" w:cs="FrankRuehl" w:hint="cs"/>
          <w:sz w:val="28"/>
          <w:szCs w:val="28"/>
          <w:rtl/>
        </w:rPr>
        <w:t xml:space="preserve">בחינת הנסיבות, על יסוד עקרון ההלימה, תוך השוואה לפסיקה הנוהגת בנסיבות דומות מלמדת כי מתחם העונש ההולם מקרה זה בנסיבותיו, ובשים לב שמדובר בבית עסק ולא ברכב, נע מ-15 ועד 36 חודשי מאסר. </w:t>
      </w:r>
    </w:p>
    <w:p w14:paraId="771AAAF7" w14:textId="77777777" w:rsidR="00375E7B" w:rsidRPr="00240A84" w:rsidRDefault="00375E7B" w:rsidP="00375E7B">
      <w:pPr>
        <w:spacing w:line="360" w:lineRule="auto"/>
        <w:jc w:val="both"/>
        <w:rPr>
          <w:rFonts w:ascii="FrankRuehl" w:hAnsi="FrankRuehl" w:cs="FrankRuehl"/>
          <w:sz w:val="28"/>
          <w:szCs w:val="28"/>
          <w:rtl/>
        </w:rPr>
      </w:pPr>
    </w:p>
    <w:p w14:paraId="551DAE41" w14:textId="77777777" w:rsidR="00375E7B" w:rsidRDefault="00375E7B" w:rsidP="00375E7B">
      <w:pPr>
        <w:spacing w:line="360" w:lineRule="auto"/>
        <w:jc w:val="both"/>
        <w:rPr>
          <w:rFonts w:ascii="FrankRuehl" w:hAnsi="FrankRuehl" w:cs="FrankRuehl"/>
          <w:sz w:val="28"/>
          <w:szCs w:val="28"/>
          <w:rtl/>
        </w:rPr>
      </w:pPr>
      <w:r>
        <w:rPr>
          <w:rFonts w:ascii="FrankRuehl" w:hAnsi="FrankRuehl" w:cs="FrankRuehl" w:hint="cs"/>
          <w:sz w:val="28"/>
          <w:szCs w:val="28"/>
          <w:rtl/>
        </w:rPr>
        <w:t>21.</w:t>
      </w:r>
      <w:r>
        <w:rPr>
          <w:rFonts w:ascii="FrankRuehl" w:hAnsi="FrankRuehl" w:cs="FrankRuehl" w:hint="cs"/>
          <w:sz w:val="28"/>
          <w:szCs w:val="28"/>
          <w:rtl/>
        </w:rPr>
        <w:tab/>
      </w:r>
      <w:r w:rsidRPr="00240A84">
        <w:rPr>
          <w:rFonts w:ascii="FrankRuehl" w:hAnsi="FrankRuehl" w:cs="FrankRuehl" w:hint="cs"/>
          <w:sz w:val="28"/>
          <w:szCs w:val="28"/>
          <w:rtl/>
        </w:rPr>
        <w:t>בעניין זה נכון לציין את פסקי הדין הבאים:</w:t>
      </w:r>
    </w:p>
    <w:p w14:paraId="6EB2DC6F" w14:textId="77777777" w:rsidR="00375E7B" w:rsidRPr="009146E0" w:rsidRDefault="00375E7B" w:rsidP="00375E7B">
      <w:pPr>
        <w:pStyle w:val="a9"/>
        <w:numPr>
          <w:ilvl w:val="0"/>
          <w:numId w:val="1"/>
        </w:numPr>
        <w:spacing w:line="360" w:lineRule="auto"/>
        <w:jc w:val="both"/>
        <w:rPr>
          <w:rFonts w:ascii="FrankRuehl" w:hAnsi="FrankRuehl" w:cs="FrankRuehl"/>
          <w:sz w:val="28"/>
          <w:szCs w:val="28"/>
          <w:rtl/>
        </w:rPr>
      </w:pPr>
      <w:r w:rsidRPr="009146E0">
        <w:rPr>
          <w:rFonts w:ascii="FrankRuehl" w:hAnsi="FrankRuehl" w:cs="FrankRuehl" w:hint="cs"/>
          <w:sz w:val="28"/>
          <w:szCs w:val="28"/>
          <w:rtl/>
        </w:rPr>
        <w:t>ב</w:t>
      </w:r>
      <w:hyperlink r:id="rId39" w:history="1">
        <w:r w:rsidR="00252171" w:rsidRPr="00252171">
          <w:rPr>
            <w:rFonts w:ascii="FrankRuehl" w:hAnsi="FrankRuehl" w:cs="FrankRuehl"/>
            <w:color w:val="0000FF"/>
            <w:sz w:val="28"/>
            <w:szCs w:val="28"/>
            <w:u w:val="single"/>
            <w:rtl/>
          </w:rPr>
          <w:t>ע"פ 8622/21</w:t>
        </w:r>
      </w:hyperlink>
      <w:r w:rsidR="00252171">
        <w:rPr>
          <w:rFonts w:ascii="FrankRuehl" w:hAnsi="FrankRuehl" w:cs="FrankRuehl"/>
          <w:sz w:val="28"/>
          <w:szCs w:val="28"/>
          <w:rtl/>
        </w:rPr>
        <w:t xml:space="preserve"> </w:t>
      </w:r>
      <w:r w:rsidRPr="009146E0">
        <w:rPr>
          <w:rFonts w:ascii="FrankRuehl" w:hAnsi="FrankRuehl" w:cs="FrankRuehl"/>
          <w:b/>
          <w:bCs/>
          <w:sz w:val="28"/>
          <w:szCs w:val="28"/>
          <w:rtl/>
        </w:rPr>
        <w:t>הולר נ' מדינת ישראל</w:t>
      </w:r>
      <w:r w:rsidR="00252171">
        <w:rPr>
          <w:rFonts w:ascii="FrankRuehl" w:hAnsi="FrankRuehl" w:cs="FrankRuehl"/>
          <w:sz w:val="28"/>
          <w:szCs w:val="28"/>
          <w:rtl/>
        </w:rPr>
        <w:t xml:space="preserve"> </w:t>
      </w:r>
      <w:r w:rsidRPr="009146E0">
        <w:rPr>
          <w:rFonts w:ascii="FrankRuehl" w:hAnsi="FrankRuehl" w:cs="FrankRuehl"/>
          <w:sz w:val="28"/>
          <w:szCs w:val="28"/>
          <w:rtl/>
        </w:rPr>
        <w:t xml:space="preserve">(15.05.22) נדחה ערעור </w:t>
      </w:r>
      <w:r w:rsidRPr="009146E0">
        <w:rPr>
          <w:rFonts w:ascii="FrankRuehl" w:hAnsi="FrankRuehl" w:cs="FrankRuehl" w:hint="cs"/>
          <w:sz w:val="28"/>
          <w:szCs w:val="28"/>
          <w:rtl/>
        </w:rPr>
        <w:t xml:space="preserve">של נאשם </w:t>
      </w:r>
      <w:r w:rsidRPr="009146E0">
        <w:rPr>
          <w:rFonts w:ascii="FrankRuehl" w:hAnsi="FrankRuehl" w:cs="FrankRuehl"/>
          <w:sz w:val="28"/>
          <w:szCs w:val="28"/>
          <w:rtl/>
        </w:rPr>
        <w:t>שהורשע בעבירת הצתה</w:t>
      </w:r>
      <w:r w:rsidRPr="009146E0">
        <w:rPr>
          <w:rFonts w:ascii="FrankRuehl" w:hAnsi="FrankRuehl" w:cs="FrankRuehl" w:hint="cs"/>
          <w:sz w:val="28"/>
          <w:szCs w:val="28"/>
          <w:rtl/>
        </w:rPr>
        <w:t xml:space="preserve"> של אופנוע בחניון בית מגורים </w:t>
      </w:r>
      <w:r w:rsidRPr="009146E0">
        <w:rPr>
          <w:rFonts w:ascii="FrankRuehl" w:hAnsi="FrankRuehl" w:cs="FrankRuehl"/>
          <w:sz w:val="28"/>
          <w:szCs w:val="28"/>
          <w:rtl/>
        </w:rPr>
        <w:t xml:space="preserve">בצוותא, </w:t>
      </w:r>
      <w:r w:rsidRPr="009146E0">
        <w:rPr>
          <w:rFonts w:ascii="FrankRuehl" w:hAnsi="FrankRuehl" w:cs="FrankRuehl" w:hint="cs"/>
          <w:sz w:val="28"/>
          <w:szCs w:val="28"/>
          <w:rtl/>
        </w:rPr>
        <w:t xml:space="preserve">ובית המשפט לא התערב בפסק דינו של בית המשפט המחוזי אשר </w:t>
      </w:r>
      <w:r w:rsidRPr="009146E0">
        <w:rPr>
          <w:rFonts w:ascii="FrankRuehl" w:hAnsi="FrankRuehl" w:cs="FrankRuehl"/>
          <w:sz w:val="28"/>
          <w:szCs w:val="28"/>
          <w:rtl/>
        </w:rPr>
        <w:t xml:space="preserve">קבע מתחם ענישה הנע </w:t>
      </w:r>
      <w:r w:rsidRPr="009146E0">
        <w:rPr>
          <w:rFonts w:ascii="FrankRuehl" w:hAnsi="FrankRuehl" w:cs="FrankRuehl" w:hint="cs"/>
          <w:sz w:val="28"/>
          <w:szCs w:val="28"/>
          <w:rtl/>
        </w:rPr>
        <w:t xml:space="preserve">בין 15 ל-35 </w:t>
      </w:r>
      <w:r w:rsidRPr="009146E0">
        <w:rPr>
          <w:rFonts w:ascii="FrankRuehl" w:hAnsi="FrankRuehl" w:cs="FrankRuehl"/>
          <w:sz w:val="28"/>
          <w:szCs w:val="28"/>
          <w:rtl/>
        </w:rPr>
        <w:t xml:space="preserve">חודשי מאסר. </w:t>
      </w:r>
    </w:p>
    <w:p w14:paraId="5EBF92F2" w14:textId="77777777" w:rsidR="00375E7B" w:rsidRPr="009146E0" w:rsidRDefault="00375E7B" w:rsidP="00375E7B">
      <w:pPr>
        <w:pStyle w:val="a9"/>
        <w:numPr>
          <w:ilvl w:val="0"/>
          <w:numId w:val="1"/>
        </w:numPr>
        <w:spacing w:line="360" w:lineRule="auto"/>
        <w:jc w:val="both"/>
        <w:rPr>
          <w:rFonts w:ascii="FrankRuehl" w:hAnsi="FrankRuehl" w:cs="FrankRuehl"/>
          <w:sz w:val="28"/>
          <w:szCs w:val="28"/>
          <w:rtl/>
        </w:rPr>
      </w:pPr>
      <w:r w:rsidRPr="009146E0">
        <w:rPr>
          <w:rFonts w:ascii="FrankRuehl" w:hAnsi="FrankRuehl" w:cs="FrankRuehl" w:hint="cs"/>
          <w:sz w:val="28"/>
          <w:szCs w:val="28"/>
          <w:rtl/>
        </w:rPr>
        <w:t>ב</w:t>
      </w:r>
      <w:hyperlink r:id="rId40" w:history="1">
        <w:r w:rsidR="00252171" w:rsidRPr="00252171">
          <w:rPr>
            <w:rFonts w:ascii="FrankRuehl" w:hAnsi="FrankRuehl" w:cs="FrankRuehl"/>
            <w:color w:val="0000FF"/>
            <w:sz w:val="28"/>
            <w:szCs w:val="28"/>
            <w:u w:val="single"/>
            <w:rtl/>
          </w:rPr>
          <w:t>ת"פ (מחוזי-מרכז) 776-01-20</w:t>
        </w:r>
      </w:hyperlink>
      <w:r w:rsidR="00252171">
        <w:rPr>
          <w:rFonts w:ascii="FrankRuehl" w:hAnsi="FrankRuehl" w:cs="FrankRuehl"/>
          <w:sz w:val="28"/>
          <w:szCs w:val="28"/>
          <w:rtl/>
        </w:rPr>
        <w:t xml:space="preserve"> </w:t>
      </w:r>
      <w:r w:rsidRPr="009146E0">
        <w:rPr>
          <w:rFonts w:ascii="FrankRuehl" w:hAnsi="FrankRuehl" w:cs="FrankRuehl"/>
          <w:b/>
          <w:bCs/>
          <w:sz w:val="28"/>
          <w:szCs w:val="28"/>
          <w:rtl/>
        </w:rPr>
        <w:t>מדינת ישראל נ' עוטר</w:t>
      </w:r>
      <w:r w:rsidR="00252171">
        <w:rPr>
          <w:rFonts w:ascii="FrankRuehl" w:hAnsi="FrankRuehl" w:cs="FrankRuehl"/>
          <w:sz w:val="28"/>
          <w:szCs w:val="28"/>
          <w:rtl/>
        </w:rPr>
        <w:t xml:space="preserve"> </w:t>
      </w:r>
      <w:r w:rsidRPr="009146E0">
        <w:rPr>
          <w:rFonts w:ascii="FrankRuehl" w:hAnsi="FrankRuehl" w:cs="FrankRuehl"/>
          <w:sz w:val="28"/>
          <w:szCs w:val="28"/>
          <w:rtl/>
        </w:rPr>
        <w:t>(14.</w:t>
      </w:r>
      <w:r>
        <w:rPr>
          <w:rFonts w:ascii="FrankRuehl" w:hAnsi="FrankRuehl" w:cs="FrankRuehl" w:hint="cs"/>
          <w:sz w:val="28"/>
          <w:szCs w:val="28"/>
          <w:rtl/>
        </w:rPr>
        <w:t>0</w:t>
      </w:r>
      <w:r w:rsidRPr="009146E0">
        <w:rPr>
          <w:rFonts w:ascii="FrankRuehl" w:hAnsi="FrankRuehl" w:cs="FrankRuehl"/>
          <w:sz w:val="28"/>
          <w:szCs w:val="28"/>
          <w:rtl/>
        </w:rPr>
        <w:t>9.21) הנאשם הורשע בהצתת כלי רכב על רקע סכסוך כספי וגרימת נזק קל</w:t>
      </w:r>
      <w:r w:rsidRPr="009146E0">
        <w:rPr>
          <w:rFonts w:ascii="FrankRuehl" w:hAnsi="FrankRuehl" w:cs="FrankRuehl" w:hint="cs"/>
          <w:sz w:val="28"/>
          <w:szCs w:val="28"/>
          <w:rtl/>
        </w:rPr>
        <w:t xml:space="preserve">, ונקבע </w:t>
      </w:r>
      <w:r w:rsidRPr="009146E0">
        <w:rPr>
          <w:rFonts w:ascii="FrankRuehl" w:hAnsi="FrankRuehl" w:cs="FrankRuehl"/>
          <w:sz w:val="28"/>
          <w:szCs w:val="28"/>
          <w:rtl/>
        </w:rPr>
        <w:t>מתחם ענישה הנע בין</w:t>
      </w:r>
      <w:r w:rsidRPr="009146E0">
        <w:rPr>
          <w:rFonts w:ascii="FrankRuehl" w:hAnsi="FrankRuehl" w:cs="FrankRuehl" w:hint="cs"/>
          <w:sz w:val="28"/>
          <w:szCs w:val="28"/>
          <w:rtl/>
        </w:rPr>
        <w:t xml:space="preserve"> 14 ל-34 </w:t>
      </w:r>
      <w:r w:rsidRPr="009146E0">
        <w:rPr>
          <w:rFonts w:ascii="FrankRuehl" w:hAnsi="FrankRuehl" w:cs="FrankRuehl"/>
          <w:sz w:val="28"/>
          <w:szCs w:val="28"/>
          <w:rtl/>
        </w:rPr>
        <w:t xml:space="preserve">חודשי מאסר. </w:t>
      </w:r>
    </w:p>
    <w:p w14:paraId="76753B3B" w14:textId="77777777" w:rsidR="00375E7B" w:rsidRPr="009146E0" w:rsidRDefault="00375E7B" w:rsidP="00375E7B">
      <w:pPr>
        <w:pStyle w:val="a9"/>
        <w:numPr>
          <w:ilvl w:val="0"/>
          <w:numId w:val="1"/>
        </w:numPr>
        <w:spacing w:line="360" w:lineRule="auto"/>
        <w:jc w:val="both"/>
        <w:rPr>
          <w:rFonts w:ascii="FrankRuehl" w:hAnsi="FrankRuehl" w:cs="FrankRuehl"/>
          <w:sz w:val="28"/>
          <w:szCs w:val="28"/>
          <w:rtl/>
        </w:rPr>
      </w:pPr>
      <w:r w:rsidRPr="009146E0">
        <w:rPr>
          <w:rFonts w:ascii="FrankRuehl" w:hAnsi="FrankRuehl" w:cs="FrankRuehl" w:hint="cs"/>
          <w:sz w:val="28"/>
          <w:szCs w:val="28"/>
          <w:rtl/>
        </w:rPr>
        <w:t>ב</w:t>
      </w:r>
      <w:hyperlink r:id="rId41" w:history="1">
        <w:r w:rsidR="00252171" w:rsidRPr="00252171">
          <w:rPr>
            <w:rFonts w:ascii="FrankRuehl" w:hAnsi="FrankRuehl" w:cs="FrankRuehl"/>
            <w:color w:val="0000FF"/>
            <w:sz w:val="28"/>
            <w:szCs w:val="28"/>
            <w:u w:val="single"/>
            <w:rtl/>
          </w:rPr>
          <w:t>ת"פ (מחוזי-מרכז) 59416-05-18</w:t>
        </w:r>
      </w:hyperlink>
      <w:r w:rsidR="00252171">
        <w:rPr>
          <w:rFonts w:ascii="FrankRuehl" w:hAnsi="FrankRuehl" w:cs="FrankRuehl"/>
          <w:sz w:val="28"/>
          <w:szCs w:val="28"/>
          <w:rtl/>
        </w:rPr>
        <w:t xml:space="preserve"> </w:t>
      </w:r>
      <w:r w:rsidRPr="009146E0">
        <w:rPr>
          <w:rFonts w:ascii="FrankRuehl" w:hAnsi="FrankRuehl" w:cs="FrankRuehl"/>
          <w:b/>
          <w:bCs/>
          <w:sz w:val="28"/>
          <w:szCs w:val="28"/>
          <w:rtl/>
        </w:rPr>
        <w:t>מדינת ישראל נ' קרינאוי</w:t>
      </w:r>
      <w:r w:rsidRPr="009146E0">
        <w:rPr>
          <w:rFonts w:ascii="FrankRuehl" w:hAnsi="FrankRuehl" w:cs="FrankRuehl"/>
          <w:sz w:val="28"/>
          <w:szCs w:val="28"/>
          <w:rtl/>
        </w:rPr>
        <w:t xml:space="preserve"> (22.</w:t>
      </w:r>
      <w:r>
        <w:rPr>
          <w:rFonts w:ascii="FrankRuehl" w:hAnsi="FrankRuehl" w:cs="FrankRuehl" w:hint="cs"/>
          <w:sz w:val="28"/>
          <w:szCs w:val="28"/>
          <w:rtl/>
        </w:rPr>
        <w:t>0</w:t>
      </w:r>
      <w:r w:rsidRPr="009146E0">
        <w:rPr>
          <w:rFonts w:ascii="FrankRuehl" w:hAnsi="FrankRuehl" w:cs="FrankRuehl"/>
          <w:sz w:val="28"/>
          <w:szCs w:val="28"/>
          <w:rtl/>
        </w:rPr>
        <w:t xml:space="preserve">1.20) </w:t>
      </w:r>
      <w:r w:rsidRPr="009146E0">
        <w:rPr>
          <w:rFonts w:ascii="FrankRuehl" w:hAnsi="FrankRuehl" w:cs="FrankRuehl" w:hint="cs"/>
          <w:sz w:val="28"/>
          <w:szCs w:val="28"/>
          <w:rtl/>
        </w:rPr>
        <w:t xml:space="preserve">נקבע מתחם שנע מ-14 ל-42 חודשי מאסר במקרה של </w:t>
      </w:r>
      <w:r w:rsidRPr="009146E0">
        <w:rPr>
          <w:rFonts w:ascii="FrankRuehl" w:hAnsi="FrankRuehl" w:cs="FrankRuehl"/>
          <w:sz w:val="28"/>
          <w:szCs w:val="28"/>
          <w:rtl/>
        </w:rPr>
        <w:t xml:space="preserve">נאשם </w:t>
      </w:r>
      <w:r w:rsidRPr="009146E0">
        <w:rPr>
          <w:rFonts w:ascii="FrankRuehl" w:hAnsi="FrankRuehl" w:cs="FrankRuehl" w:hint="cs"/>
          <w:sz w:val="28"/>
          <w:szCs w:val="28"/>
          <w:rtl/>
        </w:rPr>
        <w:t>ש</w:t>
      </w:r>
      <w:r w:rsidRPr="009146E0">
        <w:rPr>
          <w:rFonts w:ascii="FrankRuehl" w:hAnsi="FrankRuehl" w:cs="FrankRuehl"/>
          <w:sz w:val="28"/>
          <w:szCs w:val="28"/>
          <w:rtl/>
        </w:rPr>
        <w:t xml:space="preserve">הורשע בהצתת רכב בסביבת מגורים. </w:t>
      </w:r>
    </w:p>
    <w:p w14:paraId="0A6E472A" w14:textId="77777777" w:rsidR="00375E7B" w:rsidRPr="009146E0" w:rsidRDefault="00375E7B" w:rsidP="00375E7B">
      <w:pPr>
        <w:pStyle w:val="a9"/>
        <w:numPr>
          <w:ilvl w:val="0"/>
          <w:numId w:val="1"/>
        </w:numPr>
        <w:spacing w:line="360" w:lineRule="auto"/>
        <w:jc w:val="both"/>
        <w:rPr>
          <w:rFonts w:ascii="FrankRuehl" w:hAnsi="FrankRuehl" w:cs="FrankRuehl"/>
          <w:sz w:val="28"/>
          <w:szCs w:val="28"/>
          <w:rtl/>
        </w:rPr>
      </w:pPr>
      <w:r w:rsidRPr="009146E0">
        <w:rPr>
          <w:rFonts w:ascii="FrankRuehl" w:hAnsi="FrankRuehl" w:cs="FrankRuehl" w:hint="cs"/>
          <w:sz w:val="28"/>
          <w:szCs w:val="28"/>
          <w:rtl/>
        </w:rPr>
        <w:t xml:space="preserve">מתחם דומה נקבע גם </w:t>
      </w:r>
      <w:r w:rsidRPr="009146E0">
        <w:rPr>
          <w:rFonts w:ascii="FrankRuehl" w:hAnsi="FrankRuehl" w:cs="FrankRuehl"/>
          <w:sz w:val="28"/>
          <w:szCs w:val="28"/>
          <w:rtl/>
        </w:rPr>
        <w:t>ב</w:t>
      </w:r>
      <w:hyperlink r:id="rId42" w:history="1">
        <w:r w:rsidR="00252171" w:rsidRPr="00252171">
          <w:rPr>
            <w:rFonts w:ascii="FrankRuehl" w:hAnsi="FrankRuehl" w:cs="FrankRuehl"/>
            <w:color w:val="0000FF"/>
            <w:sz w:val="28"/>
            <w:szCs w:val="28"/>
            <w:u w:val="single"/>
            <w:rtl/>
          </w:rPr>
          <w:t>ת"פ (מחוזי-מרכז) 4534-04-19</w:t>
        </w:r>
      </w:hyperlink>
      <w:r w:rsidRPr="009146E0">
        <w:rPr>
          <w:rFonts w:ascii="FrankRuehl" w:hAnsi="FrankRuehl" w:cs="FrankRuehl" w:hint="cs"/>
          <w:sz w:val="28"/>
          <w:szCs w:val="28"/>
          <w:rtl/>
        </w:rPr>
        <w:t xml:space="preserve"> </w:t>
      </w:r>
      <w:r w:rsidRPr="009146E0">
        <w:rPr>
          <w:rFonts w:ascii="FrankRuehl" w:hAnsi="FrankRuehl" w:cs="FrankRuehl"/>
          <w:b/>
          <w:bCs/>
          <w:sz w:val="28"/>
          <w:szCs w:val="28"/>
          <w:rtl/>
        </w:rPr>
        <w:t>מדינת ישראל נ' שמילה</w:t>
      </w:r>
      <w:r w:rsidR="00252171">
        <w:rPr>
          <w:rFonts w:ascii="FrankRuehl" w:hAnsi="FrankRuehl" w:cs="FrankRuehl"/>
          <w:sz w:val="28"/>
          <w:szCs w:val="28"/>
          <w:rtl/>
        </w:rPr>
        <w:t xml:space="preserve"> </w:t>
      </w:r>
      <w:r w:rsidRPr="009146E0">
        <w:rPr>
          <w:rFonts w:ascii="FrankRuehl" w:hAnsi="FrankRuehl" w:cs="FrankRuehl"/>
          <w:sz w:val="28"/>
          <w:szCs w:val="28"/>
          <w:rtl/>
        </w:rPr>
        <w:t>(10.</w:t>
      </w:r>
      <w:r>
        <w:rPr>
          <w:rFonts w:ascii="FrankRuehl" w:hAnsi="FrankRuehl" w:cs="FrankRuehl" w:hint="cs"/>
          <w:sz w:val="28"/>
          <w:szCs w:val="28"/>
          <w:rtl/>
        </w:rPr>
        <w:t>0</w:t>
      </w:r>
      <w:r w:rsidRPr="009146E0">
        <w:rPr>
          <w:rFonts w:ascii="FrankRuehl" w:hAnsi="FrankRuehl" w:cs="FrankRuehl"/>
          <w:sz w:val="28"/>
          <w:szCs w:val="28"/>
          <w:rtl/>
        </w:rPr>
        <w:t>3.20)</w:t>
      </w:r>
      <w:r w:rsidRPr="009146E0">
        <w:rPr>
          <w:rFonts w:ascii="FrankRuehl" w:hAnsi="FrankRuehl" w:cs="FrankRuehl" w:hint="cs"/>
          <w:sz w:val="28"/>
          <w:szCs w:val="28"/>
          <w:rtl/>
        </w:rPr>
        <w:t xml:space="preserve">, שם נקבע מתחם הנע מ-14 ל-40 חודשי מאסר, במקרה של </w:t>
      </w:r>
      <w:r w:rsidRPr="009146E0">
        <w:rPr>
          <w:rFonts w:ascii="FrankRuehl" w:hAnsi="FrankRuehl" w:cs="FrankRuehl"/>
          <w:sz w:val="28"/>
          <w:szCs w:val="28"/>
          <w:rtl/>
        </w:rPr>
        <w:t xml:space="preserve">נאשם </w:t>
      </w:r>
      <w:r w:rsidRPr="009146E0">
        <w:rPr>
          <w:rFonts w:ascii="FrankRuehl" w:hAnsi="FrankRuehl" w:cs="FrankRuehl" w:hint="cs"/>
          <w:sz w:val="28"/>
          <w:szCs w:val="28"/>
          <w:rtl/>
        </w:rPr>
        <w:t>ש</w:t>
      </w:r>
      <w:r w:rsidRPr="009146E0">
        <w:rPr>
          <w:rFonts w:ascii="FrankRuehl" w:hAnsi="FrankRuehl" w:cs="FrankRuehl"/>
          <w:sz w:val="28"/>
          <w:szCs w:val="28"/>
          <w:rtl/>
        </w:rPr>
        <w:t xml:space="preserve">הורשע בהצתת רכבה של בת זוגו לשעבר בסמיכות למגורים ולעמוד חשמל. </w:t>
      </w:r>
    </w:p>
    <w:p w14:paraId="43ACCC22" w14:textId="77777777" w:rsidR="00375E7B" w:rsidRPr="009146E0" w:rsidRDefault="00375E7B" w:rsidP="00375E7B">
      <w:pPr>
        <w:pStyle w:val="a9"/>
        <w:numPr>
          <w:ilvl w:val="0"/>
          <w:numId w:val="1"/>
        </w:numPr>
        <w:spacing w:line="360" w:lineRule="auto"/>
        <w:jc w:val="both"/>
        <w:rPr>
          <w:rFonts w:ascii="FrankRuehl" w:hAnsi="FrankRuehl" w:cs="FrankRuehl"/>
          <w:sz w:val="28"/>
          <w:szCs w:val="28"/>
          <w:rtl/>
        </w:rPr>
      </w:pPr>
      <w:r w:rsidRPr="009146E0">
        <w:rPr>
          <w:rFonts w:ascii="FrankRuehl" w:hAnsi="FrankRuehl" w:cs="FrankRuehl" w:hint="cs"/>
          <w:sz w:val="28"/>
          <w:szCs w:val="28"/>
          <w:rtl/>
        </w:rPr>
        <w:t>ב</w:t>
      </w:r>
      <w:hyperlink r:id="rId43" w:history="1">
        <w:r w:rsidR="00252171" w:rsidRPr="00252171">
          <w:rPr>
            <w:rFonts w:ascii="FrankRuehl" w:hAnsi="FrankRuehl" w:cs="FrankRuehl"/>
            <w:color w:val="0000FF"/>
            <w:sz w:val="28"/>
            <w:szCs w:val="28"/>
            <w:u w:val="single"/>
            <w:rtl/>
          </w:rPr>
          <w:t>ע"פ 8435/17</w:t>
        </w:r>
      </w:hyperlink>
      <w:r w:rsidRPr="009146E0">
        <w:rPr>
          <w:rFonts w:ascii="FrankRuehl" w:hAnsi="FrankRuehl" w:cs="FrankRuehl" w:hint="cs"/>
          <w:sz w:val="28"/>
          <w:szCs w:val="28"/>
          <w:rtl/>
        </w:rPr>
        <w:t xml:space="preserve"> </w:t>
      </w:r>
      <w:r w:rsidRPr="009146E0">
        <w:rPr>
          <w:rFonts w:ascii="FrankRuehl" w:hAnsi="FrankRuehl" w:cs="FrankRuehl" w:hint="cs"/>
          <w:b/>
          <w:bCs/>
          <w:sz w:val="28"/>
          <w:szCs w:val="28"/>
          <w:rtl/>
        </w:rPr>
        <w:t>נפתלי נ' מדינת ישראל</w:t>
      </w:r>
      <w:r w:rsidRPr="009146E0">
        <w:rPr>
          <w:rFonts w:ascii="FrankRuehl" w:hAnsi="FrankRuehl" w:cs="FrankRuehl" w:hint="cs"/>
          <w:sz w:val="28"/>
          <w:szCs w:val="28"/>
          <w:rtl/>
        </w:rPr>
        <w:t xml:space="preserve"> (7.04.19) מדובר היה בהצתה של רכב של מי שהנאשם חשד בו כי הוא קיים קשר רומנטי עם גרושתו, הצתה שגרמה לרכב נזק כבד. שם נקבע מתחם הנע מ-8 ל-22 חודשי מאסר והערעור שהוגש על גזר הדין על ידי הנאשם, נדחה.</w:t>
      </w:r>
    </w:p>
    <w:p w14:paraId="571FFED4" w14:textId="77777777" w:rsidR="00375E7B" w:rsidRPr="009146E0" w:rsidRDefault="00375E7B" w:rsidP="00375E7B">
      <w:pPr>
        <w:pStyle w:val="a9"/>
        <w:numPr>
          <w:ilvl w:val="0"/>
          <w:numId w:val="1"/>
        </w:numPr>
        <w:spacing w:line="360" w:lineRule="auto"/>
        <w:jc w:val="both"/>
        <w:rPr>
          <w:rFonts w:ascii="FrankRuehl" w:hAnsi="FrankRuehl" w:cs="FrankRuehl"/>
          <w:sz w:val="28"/>
          <w:szCs w:val="28"/>
          <w:rtl/>
        </w:rPr>
      </w:pPr>
      <w:r w:rsidRPr="009146E0">
        <w:rPr>
          <w:rFonts w:ascii="FrankRuehl" w:hAnsi="FrankRuehl" w:cs="FrankRuehl" w:hint="cs"/>
          <w:sz w:val="28"/>
          <w:szCs w:val="28"/>
          <w:rtl/>
        </w:rPr>
        <w:t>ב</w:t>
      </w:r>
      <w:hyperlink r:id="rId44" w:history="1">
        <w:r w:rsidR="00252171" w:rsidRPr="00252171">
          <w:rPr>
            <w:rFonts w:ascii="FrankRuehl" w:hAnsi="FrankRuehl" w:cs="FrankRuehl"/>
            <w:color w:val="0000FF"/>
            <w:sz w:val="28"/>
            <w:szCs w:val="28"/>
            <w:u w:val="single"/>
            <w:rtl/>
          </w:rPr>
          <w:t>ע"פ 6466/18</w:t>
        </w:r>
      </w:hyperlink>
      <w:r w:rsidRPr="009146E0">
        <w:rPr>
          <w:rFonts w:ascii="FrankRuehl" w:hAnsi="FrankRuehl" w:cs="FrankRuehl" w:hint="cs"/>
          <w:sz w:val="28"/>
          <w:szCs w:val="28"/>
          <w:rtl/>
        </w:rPr>
        <w:t xml:space="preserve"> </w:t>
      </w:r>
      <w:r w:rsidRPr="009146E0">
        <w:rPr>
          <w:rFonts w:ascii="FrankRuehl" w:hAnsi="FrankRuehl" w:cs="FrankRuehl" w:hint="cs"/>
          <w:b/>
          <w:bCs/>
          <w:sz w:val="28"/>
          <w:szCs w:val="28"/>
          <w:rtl/>
        </w:rPr>
        <w:t>ראגאבי נ' מדינת ישראל</w:t>
      </w:r>
      <w:r w:rsidRPr="009146E0">
        <w:rPr>
          <w:rFonts w:ascii="FrankRuehl" w:hAnsi="FrankRuehl" w:cs="FrankRuehl" w:hint="cs"/>
          <w:sz w:val="28"/>
          <w:szCs w:val="28"/>
          <w:rtl/>
        </w:rPr>
        <w:t xml:space="preserve"> (1.05.19) מדובר היה בהצתת רכב, גם כן על רקע רומנטי, הפעם באמצעות בקבוקי תבערה, ונקבע מתחם עונש הנע מ-6 ועד 20 חודשי מאסר. הערעור שהוגש על ידי הנאשם התקבל בשל שיקולים של אחידות בענישה, כשבית המשפט העליון מציין כי המתחם שנקבע אינו חורג לחומרה והולם את חומרת המעשים. </w:t>
      </w:r>
    </w:p>
    <w:p w14:paraId="017FF9FD" w14:textId="77777777" w:rsidR="00375E7B" w:rsidRPr="00240A84" w:rsidRDefault="00375E7B" w:rsidP="00375E7B">
      <w:pPr>
        <w:spacing w:line="360" w:lineRule="auto"/>
        <w:jc w:val="both"/>
        <w:rPr>
          <w:rFonts w:ascii="FrankRuehl" w:hAnsi="FrankRuehl" w:cs="FrankRuehl"/>
          <w:sz w:val="28"/>
          <w:szCs w:val="28"/>
          <w:rtl/>
        </w:rPr>
      </w:pPr>
    </w:p>
    <w:p w14:paraId="25A612C3" w14:textId="77777777" w:rsidR="00375E7B" w:rsidRPr="00240A84" w:rsidRDefault="00375E7B" w:rsidP="00375E7B">
      <w:pPr>
        <w:spacing w:line="360" w:lineRule="auto"/>
        <w:jc w:val="both"/>
        <w:rPr>
          <w:rFonts w:ascii="FrankRuehl" w:hAnsi="FrankRuehl" w:cs="FrankRuehl"/>
          <w:sz w:val="28"/>
          <w:szCs w:val="28"/>
          <w:rtl/>
        </w:rPr>
      </w:pPr>
      <w:r>
        <w:rPr>
          <w:rFonts w:ascii="FrankRuehl" w:hAnsi="FrankRuehl" w:cs="FrankRuehl" w:hint="cs"/>
          <w:sz w:val="28"/>
          <w:szCs w:val="28"/>
          <w:rtl/>
        </w:rPr>
        <w:t>22.</w:t>
      </w:r>
      <w:r>
        <w:rPr>
          <w:rFonts w:ascii="FrankRuehl" w:hAnsi="FrankRuehl" w:cs="FrankRuehl" w:hint="cs"/>
          <w:sz w:val="28"/>
          <w:szCs w:val="28"/>
          <w:rtl/>
        </w:rPr>
        <w:tab/>
      </w:r>
      <w:r w:rsidRPr="00240A84">
        <w:rPr>
          <w:rFonts w:ascii="FrankRuehl" w:hAnsi="FrankRuehl" w:cs="FrankRuehl" w:hint="cs"/>
          <w:sz w:val="28"/>
          <w:szCs w:val="28"/>
          <w:rtl/>
        </w:rPr>
        <w:t>המאשימה הפנתה לגזר הדין ב</w:t>
      </w:r>
      <w:hyperlink r:id="rId45" w:history="1">
        <w:r w:rsidR="00252171" w:rsidRPr="00252171">
          <w:rPr>
            <w:rFonts w:ascii="FrankRuehl" w:hAnsi="FrankRuehl" w:cs="FrankRuehl"/>
            <w:color w:val="0000FF"/>
            <w:sz w:val="28"/>
            <w:szCs w:val="28"/>
            <w:u w:val="single"/>
            <w:rtl/>
          </w:rPr>
          <w:t>ת"פ (מרכז) 54597-05-20</w:t>
        </w:r>
      </w:hyperlink>
      <w:r w:rsidR="00252171">
        <w:rPr>
          <w:rFonts w:ascii="FrankRuehl" w:hAnsi="FrankRuehl" w:cs="FrankRuehl"/>
          <w:sz w:val="28"/>
          <w:szCs w:val="28"/>
          <w:rtl/>
        </w:rPr>
        <w:t xml:space="preserve"> </w:t>
      </w:r>
      <w:r w:rsidRPr="00240A84">
        <w:rPr>
          <w:rFonts w:ascii="FrankRuehl" w:hAnsi="FrankRuehl" w:cs="FrankRuehl"/>
          <w:sz w:val="28"/>
          <w:szCs w:val="28"/>
          <w:rtl/>
        </w:rPr>
        <w:t xml:space="preserve"> </w:t>
      </w:r>
      <w:r>
        <w:rPr>
          <w:rFonts w:ascii="FrankRuehl" w:hAnsi="FrankRuehl" w:cs="FrankRuehl"/>
          <w:b/>
          <w:bCs/>
          <w:sz w:val="28"/>
          <w:szCs w:val="28"/>
          <w:rtl/>
        </w:rPr>
        <w:t xml:space="preserve">מדינת ישראל נ' </w:t>
      </w:r>
      <w:r w:rsidRPr="009146E0">
        <w:rPr>
          <w:rFonts w:ascii="FrankRuehl" w:hAnsi="FrankRuehl" w:cs="FrankRuehl"/>
          <w:b/>
          <w:bCs/>
          <w:sz w:val="28"/>
          <w:szCs w:val="28"/>
          <w:rtl/>
        </w:rPr>
        <w:t>יונס</w:t>
      </w:r>
      <w:r w:rsidRPr="00240A84">
        <w:rPr>
          <w:rFonts w:ascii="FrankRuehl" w:hAnsi="FrankRuehl" w:cs="FrankRuehl" w:hint="cs"/>
          <w:sz w:val="28"/>
          <w:szCs w:val="28"/>
          <w:rtl/>
        </w:rPr>
        <w:t xml:space="preserve"> (30.01.23), שם נקבע מתחם הנע מ-20 ועד 42 חודשי מאסר, אך שם מדובר היה מדובר בהצתת משאית, כשבפועל נגרם לה נזק רב</w:t>
      </w:r>
      <w:r w:rsidRPr="00CF0411">
        <w:rPr>
          <w:rFonts w:ascii="FrankRuehl" w:hAnsi="FrankRuehl" w:cs="FrankRuehl"/>
          <w:sz w:val="28"/>
          <w:szCs w:val="28"/>
          <w:rtl/>
        </w:rPr>
        <w:t xml:space="preserve"> ו</w:t>
      </w:r>
      <w:r w:rsidRPr="00240A84">
        <w:rPr>
          <w:rFonts w:ascii="FrankRuehl" w:hAnsi="FrankRuehl" w:cs="FrankRuehl" w:hint="cs"/>
          <w:sz w:val="28"/>
          <w:szCs w:val="28"/>
          <w:rtl/>
        </w:rPr>
        <w:t xml:space="preserve">היא הושבתה </w:t>
      </w:r>
      <w:r w:rsidRPr="00CF0411">
        <w:rPr>
          <w:rFonts w:ascii="FrankRuehl" w:hAnsi="FrankRuehl" w:cs="FrankRuehl"/>
          <w:sz w:val="28"/>
          <w:szCs w:val="28"/>
          <w:rtl/>
        </w:rPr>
        <w:t xml:space="preserve">מפעילות. </w:t>
      </w:r>
      <w:r w:rsidRPr="00240A84">
        <w:rPr>
          <w:rFonts w:ascii="FrankRuehl" w:hAnsi="FrankRuehl" w:cs="FrankRuehl" w:hint="cs"/>
          <w:sz w:val="28"/>
          <w:szCs w:val="28"/>
          <w:rtl/>
        </w:rPr>
        <w:t xml:space="preserve">בדומה גם </w:t>
      </w:r>
      <w:r w:rsidRPr="00CF0411">
        <w:rPr>
          <w:rFonts w:ascii="FrankRuehl" w:hAnsi="FrankRuehl" w:cs="FrankRuehl"/>
          <w:sz w:val="28"/>
          <w:szCs w:val="28"/>
          <w:rtl/>
        </w:rPr>
        <w:t>ב</w:t>
      </w:r>
      <w:hyperlink r:id="rId46" w:history="1">
        <w:r w:rsidR="00252171" w:rsidRPr="00252171">
          <w:rPr>
            <w:rFonts w:ascii="FrankRuehl" w:hAnsi="FrankRuehl" w:cs="FrankRuehl"/>
            <w:color w:val="0000FF"/>
            <w:sz w:val="28"/>
            <w:szCs w:val="28"/>
            <w:u w:val="single"/>
            <w:rtl/>
          </w:rPr>
          <w:t>ע"פ 8347/19</w:t>
        </w:r>
      </w:hyperlink>
      <w:r w:rsidR="00252171">
        <w:rPr>
          <w:rFonts w:ascii="FrankRuehl" w:hAnsi="FrankRuehl" w:cs="FrankRuehl"/>
          <w:sz w:val="28"/>
          <w:szCs w:val="28"/>
          <w:rtl/>
        </w:rPr>
        <w:t xml:space="preserve"> </w:t>
      </w:r>
      <w:r w:rsidRPr="00CF0411">
        <w:rPr>
          <w:rFonts w:ascii="FrankRuehl" w:hAnsi="FrankRuehl" w:cs="FrankRuehl"/>
          <w:b/>
          <w:bCs/>
          <w:sz w:val="28"/>
          <w:szCs w:val="28"/>
          <w:rtl/>
        </w:rPr>
        <w:t>מיהרט נ' מדינת ישראל</w:t>
      </w:r>
      <w:r w:rsidR="00252171">
        <w:rPr>
          <w:rFonts w:ascii="FrankRuehl" w:hAnsi="FrankRuehl" w:cs="FrankRuehl"/>
          <w:sz w:val="28"/>
          <w:szCs w:val="28"/>
          <w:rtl/>
        </w:rPr>
        <w:t xml:space="preserve"> </w:t>
      </w:r>
      <w:r w:rsidRPr="00240A84">
        <w:rPr>
          <w:rFonts w:ascii="FrankRuehl" w:hAnsi="FrankRuehl" w:cs="FrankRuehl"/>
          <w:sz w:val="28"/>
          <w:szCs w:val="28"/>
          <w:rtl/>
        </w:rPr>
        <w:t>(17.</w:t>
      </w:r>
      <w:r>
        <w:rPr>
          <w:rFonts w:ascii="FrankRuehl" w:hAnsi="FrankRuehl" w:cs="FrankRuehl" w:hint="cs"/>
          <w:sz w:val="28"/>
          <w:szCs w:val="28"/>
          <w:rtl/>
        </w:rPr>
        <w:t>0</w:t>
      </w:r>
      <w:r w:rsidRPr="00240A84">
        <w:rPr>
          <w:rFonts w:ascii="FrankRuehl" w:hAnsi="FrankRuehl" w:cs="FrankRuehl"/>
          <w:sz w:val="28"/>
          <w:szCs w:val="28"/>
          <w:rtl/>
        </w:rPr>
        <w:t>3.</w:t>
      </w:r>
      <w:r w:rsidRPr="00CF0411">
        <w:rPr>
          <w:rFonts w:ascii="FrankRuehl" w:hAnsi="FrankRuehl" w:cs="FrankRuehl"/>
          <w:sz w:val="28"/>
          <w:szCs w:val="28"/>
          <w:rtl/>
        </w:rPr>
        <w:t>20)</w:t>
      </w:r>
      <w:r w:rsidRPr="00240A84">
        <w:rPr>
          <w:rFonts w:ascii="FrankRuehl" w:hAnsi="FrankRuehl" w:cs="FrankRuehl" w:hint="cs"/>
          <w:sz w:val="28"/>
          <w:szCs w:val="28"/>
          <w:rtl/>
        </w:rPr>
        <w:t>, שם נקבע מתחם הנע מ-24 ועד 48 חודשי מאסר, מדובר היה במקרה חמור יותר, בו נגרם נזק רב ל</w:t>
      </w:r>
      <w:r w:rsidRPr="00CF0411">
        <w:rPr>
          <w:rFonts w:ascii="FrankRuehl" w:hAnsi="FrankRuehl" w:cs="FrankRuehl"/>
          <w:sz w:val="28"/>
          <w:szCs w:val="28"/>
          <w:rtl/>
        </w:rPr>
        <w:t>חנות בגדים</w:t>
      </w:r>
      <w:r w:rsidRPr="00240A84">
        <w:rPr>
          <w:rFonts w:ascii="FrankRuehl" w:hAnsi="FrankRuehl" w:cs="FrankRuehl" w:hint="cs"/>
          <w:sz w:val="28"/>
          <w:szCs w:val="28"/>
          <w:rtl/>
        </w:rPr>
        <w:t>.</w:t>
      </w:r>
      <w:r>
        <w:rPr>
          <w:rFonts w:ascii="FrankRuehl" w:hAnsi="FrankRuehl" w:cs="FrankRuehl" w:hint="cs"/>
          <w:sz w:val="28"/>
          <w:szCs w:val="28"/>
          <w:rtl/>
        </w:rPr>
        <w:t xml:space="preserve"> </w:t>
      </w:r>
      <w:r w:rsidRPr="00240A84">
        <w:rPr>
          <w:rFonts w:ascii="FrankRuehl" w:hAnsi="FrankRuehl" w:cs="FrankRuehl" w:hint="cs"/>
          <w:sz w:val="28"/>
          <w:szCs w:val="28"/>
          <w:rtl/>
        </w:rPr>
        <w:t>המאשימה גם הפנתה לגזר הדין ב</w:t>
      </w:r>
      <w:hyperlink r:id="rId47" w:history="1">
        <w:r w:rsidR="00252171" w:rsidRPr="00252171">
          <w:rPr>
            <w:rFonts w:ascii="FrankRuehl" w:hAnsi="FrankRuehl" w:cs="FrankRuehl"/>
            <w:color w:val="0000FF"/>
            <w:sz w:val="28"/>
            <w:szCs w:val="28"/>
            <w:u w:val="single"/>
            <w:rtl/>
          </w:rPr>
          <w:t>ת"פ (מחוזי-י-ם) 64303-01-22</w:t>
        </w:r>
      </w:hyperlink>
      <w:r w:rsidR="00252171">
        <w:rPr>
          <w:rFonts w:ascii="FrankRuehl" w:hAnsi="FrankRuehl" w:cs="FrankRuehl"/>
          <w:sz w:val="28"/>
          <w:szCs w:val="28"/>
          <w:rtl/>
        </w:rPr>
        <w:t xml:space="preserve"> </w:t>
      </w:r>
      <w:r w:rsidRPr="009146E0">
        <w:rPr>
          <w:rFonts w:ascii="FrankRuehl" w:hAnsi="FrankRuehl" w:cs="FrankRuehl" w:hint="cs"/>
          <w:b/>
          <w:bCs/>
          <w:sz w:val="28"/>
          <w:szCs w:val="28"/>
          <w:rtl/>
        </w:rPr>
        <w:t>מ</w:t>
      </w:r>
      <w:r>
        <w:rPr>
          <w:rFonts w:ascii="FrankRuehl" w:hAnsi="FrankRuehl" w:cs="FrankRuehl"/>
          <w:b/>
          <w:bCs/>
          <w:sz w:val="28"/>
          <w:szCs w:val="28"/>
          <w:rtl/>
        </w:rPr>
        <w:t xml:space="preserve">דינת ישראל נ' </w:t>
      </w:r>
      <w:r w:rsidRPr="009146E0">
        <w:rPr>
          <w:rFonts w:ascii="FrankRuehl" w:hAnsi="FrankRuehl" w:cs="FrankRuehl"/>
          <w:b/>
          <w:bCs/>
          <w:sz w:val="28"/>
          <w:szCs w:val="28"/>
          <w:rtl/>
        </w:rPr>
        <w:t>חמאדה</w:t>
      </w:r>
      <w:r w:rsidRPr="00240A84">
        <w:rPr>
          <w:rFonts w:ascii="FrankRuehl" w:hAnsi="FrankRuehl" w:cs="FrankRuehl" w:hint="cs"/>
          <w:sz w:val="28"/>
          <w:szCs w:val="28"/>
          <w:rtl/>
        </w:rPr>
        <w:t xml:space="preserve"> (28.09.22)), שם נקבע מתחם ענישה הולם </w:t>
      </w:r>
      <w:r w:rsidRPr="00240A84">
        <w:rPr>
          <w:rFonts w:ascii="FrankRuehl" w:hAnsi="FrankRuehl" w:cs="FrankRuehl"/>
          <w:sz w:val="28"/>
          <w:szCs w:val="28"/>
          <w:rtl/>
        </w:rPr>
        <w:t>הנע בין 24 ל-50 חודשי מאסר</w:t>
      </w:r>
      <w:r w:rsidRPr="00240A84">
        <w:rPr>
          <w:rFonts w:ascii="FrankRuehl" w:hAnsi="FrankRuehl" w:cs="FrankRuehl"/>
          <w:sz w:val="28"/>
          <w:szCs w:val="28"/>
        </w:rPr>
        <w:t>.</w:t>
      </w:r>
      <w:r w:rsidRPr="00240A84">
        <w:rPr>
          <w:rFonts w:ascii="FrankRuehl" w:hAnsi="FrankRuehl" w:cs="FrankRuehl" w:hint="cs"/>
          <w:sz w:val="28"/>
          <w:szCs w:val="28"/>
          <w:rtl/>
        </w:rPr>
        <w:t xml:space="preserve"> ואולם, באותו מקרה לצד עבירת ניסיון ההצתה בה הורשע הנאשם הוא גם הורשע בעבירות חמורות הרבה יותר של ייצור נשק. כך גם ב</w:t>
      </w:r>
      <w:hyperlink r:id="rId48" w:history="1">
        <w:r w:rsidR="00252171" w:rsidRPr="00252171">
          <w:rPr>
            <w:rFonts w:ascii="FrankRuehl" w:hAnsi="FrankRuehl" w:cs="FrankRuehl"/>
            <w:color w:val="0000FF"/>
            <w:sz w:val="28"/>
            <w:szCs w:val="28"/>
            <w:u w:val="single"/>
            <w:rtl/>
          </w:rPr>
          <w:t>ת"פ (מחוזי-חי') 66385-03-22</w:t>
        </w:r>
      </w:hyperlink>
      <w:r w:rsidR="00252171">
        <w:rPr>
          <w:rFonts w:ascii="FrankRuehl" w:hAnsi="FrankRuehl" w:cs="FrankRuehl"/>
          <w:sz w:val="28"/>
          <w:szCs w:val="28"/>
          <w:rtl/>
        </w:rPr>
        <w:t xml:space="preserve"> </w:t>
      </w:r>
      <w:r w:rsidRPr="009146E0">
        <w:rPr>
          <w:rFonts w:ascii="FrankRuehl" w:hAnsi="FrankRuehl" w:cs="FrankRuehl" w:hint="cs"/>
          <w:b/>
          <w:bCs/>
          <w:sz w:val="28"/>
          <w:szCs w:val="28"/>
          <w:rtl/>
        </w:rPr>
        <w:t>מ</w:t>
      </w:r>
      <w:r w:rsidRPr="009146E0">
        <w:rPr>
          <w:rFonts w:ascii="FrankRuehl" w:hAnsi="FrankRuehl" w:cs="FrankRuehl"/>
          <w:b/>
          <w:bCs/>
          <w:sz w:val="28"/>
          <w:szCs w:val="28"/>
          <w:rtl/>
        </w:rPr>
        <w:t>דינת ישראל נ' זאודה</w:t>
      </w:r>
      <w:r w:rsidRPr="00240A84">
        <w:rPr>
          <w:rFonts w:ascii="FrankRuehl" w:hAnsi="FrankRuehl" w:cs="FrankRuehl" w:hint="cs"/>
          <w:sz w:val="28"/>
          <w:szCs w:val="28"/>
          <w:rtl/>
        </w:rPr>
        <w:t xml:space="preserve"> (10.01.23)), שם נקבע </w:t>
      </w:r>
      <w:r w:rsidRPr="00240A84">
        <w:rPr>
          <w:rFonts w:ascii="FrankRuehl" w:hAnsi="FrankRuehl" w:cs="FrankRuehl"/>
          <w:sz w:val="28"/>
          <w:szCs w:val="28"/>
          <w:rtl/>
        </w:rPr>
        <w:t xml:space="preserve">מתחם הענישה ההולם </w:t>
      </w:r>
      <w:r w:rsidRPr="00240A84">
        <w:rPr>
          <w:rFonts w:ascii="FrankRuehl" w:hAnsi="FrankRuehl" w:cs="FrankRuehl" w:hint="cs"/>
          <w:sz w:val="28"/>
          <w:szCs w:val="28"/>
          <w:rtl/>
        </w:rPr>
        <w:t>ה</w:t>
      </w:r>
      <w:r w:rsidRPr="00240A84">
        <w:rPr>
          <w:rFonts w:ascii="FrankRuehl" w:hAnsi="FrankRuehl" w:cs="FrankRuehl"/>
          <w:sz w:val="28"/>
          <w:szCs w:val="28"/>
          <w:rtl/>
        </w:rPr>
        <w:t xml:space="preserve">נע בין 20 ל-45 חודשי מאסר בפועל, </w:t>
      </w:r>
      <w:r>
        <w:rPr>
          <w:rFonts w:ascii="FrankRuehl" w:hAnsi="FrankRuehl" w:cs="FrankRuehl" w:hint="cs"/>
          <w:sz w:val="28"/>
          <w:szCs w:val="28"/>
          <w:rtl/>
        </w:rPr>
        <w:t>מדובר היה בעבירות נשק.</w:t>
      </w:r>
    </w:p>
    <w:p w14:paraId="6F2A90FD" w14:textId="77777777" w:rsidR="00375E7B" w:rsidRDefault="00375E7B" w:rsidP="00375E7B">
      <w:pPr>
        <w:spacing w:line="360" w:lineRule="auto"/>
        <w:jc w:val="both"/>
        <w:rPr>
          <w:rFonts w:ascii="FrankRuehl" w:hAnsi="FrankRuehl" w:cs="FrankRuehl"/>
          <w:sz w:val="28"/>
          <w:szCs w:val="28"/>
          <w:rtl/>
        </w:rPr>
      </w:pPr>
    </w:p>
    <w:p w14:paraId="4F09308F" w14:textId="77777777" w:rsidR="00375E7B" w:rsidRDefault="00375E7B" w:rsidP="00375E7B">
      <w:pPr>
        <w:spacing w:line="360" w:lineRule="auto"/>
        <w:jc w:val="both"/>
        <w:rPr>
          <w:rFonts w:ascii="FrankRuehl" w:hAnsi="FrankRuehl" w:cs="FrankRuehl"/>
          <w:sz w:val="28"/>
          <w:szCs w:val="28"/>
          <w:rtl/>
        </w:rPr>
      </w:pPr>
      <w:r>
        <w:rPr>
          <w:rFonts w:ascii="FrankRuehl" w:hAnsi="FrankRuehl" w:cs="FrankRuehl" w:hint="cs"/>
          <w:sz w:val="28"/>
          <w:szCs w:val="28"/>
          <w:rtl/>
        </w:rPr>
        <w:t>23.</w:t>
      </w:r>
      <w:r>
        <w:rPr>
          <w:rFonts w:ascii="FrankRuehl" w:hAnsi="FrankRuehl" w:cs="FrankRuehl" w:hint="cs"/>
          <w:sz w:val="28"/>
          <w:szCs w:val="28"/>
          <w:rtl/>
        </w:rPr>
        <w:tab/>
        <w:t xml:space="preserve">באשר לעבירות שהנאשם הורשע בהן בהליכים הנוספים, מדובר בעבירות שנועדו להגן על קניינו של הפרט, כעבירת הגניבה; עבירות שנועדו להגן על בטחון הציבור, חייו ושלמות גופו של הפרט, כעבירת החזקת סכין; ועבירות שנועדו להגן על החברה מפני הסכנות הרבות הטמונות בשימוש בסמים. </w:t>
      </w:r>
    </w:p>
    <w:p w14:paraId="2E98BCBC" w14:textId="77777777" w:rsidR="00375E7B" w:rsidRDefault="00375E7B" w:rsidP="00375E7B">
      <w:pPr>
        <w:spacing w:line="360" w:lineRule="auto"/>
        <w:jc w:val="both"/>
        <w:rPr>
          <w:rFonts w:ascii="FrankRuehl" w:hAnsi="FrankRuehl" w:cs="FrankRuehl"/>
          <w:sz w:val="28"/>
          <w:szCs w:val="28"/>
          <w:rtl/>
        </w:rPr>
      </w:pPr>
    </w:p>
    <w:p w14:paraId="348D4985" w14:textId="77777777" w:rsidR="00375E7B" w:rsidRDefault="00375E7B" w:rsidP="00375E7B">
      <w:pPr>
        <w:spacing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24.</w:t>
      </w:r>
      <w:r>
        <w:rPr>
          <w:rFonts w:ascii="FrankRuehl" w:hAnsi="FrankRuehl" w:cs="FrankRuehl" w:hint="cs"/>
          <w:color w:val="000000"/>
          <w:sz w:val="28"/>
          <w:szCs w:val="28"/>
          <w:rtl/>
        </w:rPr>
        <w:tab/>
        <w:t>לא</w:t>
      </w:r>
      <w:r>
        <w:rPr>
          <w:rFonts w:ascii="FrankRuehl" w:hAnsi="FrankRuehl" w:cs="FrankRuehl"/>
          <w:color w:val="000000"/>
          <w:sz w:val="28"/>
          <w:szCs w:val="28"/>
          <w:rtl/>
        </w:rPr>
        <w:t xml:space="preserve"> ניתן להפריז במסוכנות הנשקפת ליחיד ולחברה מהשימוש בסמים. תופעת השימוש בסמים מסוכנ</w:t>
      </w:r>
      <w:r>
        <w:rPr>
          <w:rFonts w:ascii="FrankRuehl" w:hAnsi="FrankRuehl" w:cs="FrankRuehl" w:hint="cs"/>
          <w:color w:val="000000"/>
          <w:sz w:val="28"/>
          <w:szCs w:val="28"/>
          <w:rtl/>
        </w:rPr>
        <w:t xml:space="preserve">ת והרסנית </w:t>
      </w:r>
      <w:r>
        <w:rPr>
          <w:rFonts w:ascii="FrankRuehl" w:hAnsi="FrankRuehl" w:cs="FrankRuehl"/>
          <w:color w:val="000000"/>
          <w:sz w:val="28"/>
          <w:szCs w:val="28"/>
          <w:rtl/>
        </w:rPr>
        <w:t xml:space="preserve">לחברה </w:t>
      </w:r>
      <w:r>
        <w:rPr>
          <w:rFonts w:ascii="FrankRuehl" w:hAnsi="FrankRuehl" w:cs="FrankRuehl" w:hint="cs"/>
          <w:color w:val="000000"/>
          <w:sz w:val="28"/>
          <w:szCs w:val="28"/>
          <w:rtl/>
        </w:rPr>
        <w:t>ולבריאות הציבור שלומ</w:t>
      </w:r>
      <w:r>
        <w:rPr>
          <w:rFonts w:ascii="FrankRuehl" w:hAnsi="FrankRuehl" w:cs="FrankRuehl"/>
          <w:color w:val="000000"/>
          <w:sz w:val="28"/>
          <w:szCs w:val="28"/>
          <w:rtl/>
        </w:rPr>
        <w:t xml:space="preserve">ו ובטחונו. </w:t>
      </w:r>
      <w:r>
        <w:rPr>
          <w:rFonts w:ascii="FrankRuehl" w:hAnsi="FrankRuehl" w:cs="FrankRuehl" w:hint="cs"/>
          <w:sz w:val="28"/>
          <w:szCs w:val="28"/>
          <w:rtl/>
        </w:rPr>
        <w:t xml:space="preserve">לא פעם כרוכות בשימוש בסמים גם עבירות רכוש, בשל הצורך של המשתמש להשיג כסף לרכישת הסמים. מקרה זה הוא דוגמה למקרים אלו. הנאשם פגע ברכושם של אחרים בנטילת כלי תחבורה שלהם, דבר שיש בו גם כדי </w:t>
      </w:r>
      <w:r>
        <w:rPr>
          <w:rFonts w:ascii="FrankRuehl" w:hAnsi="FrankRuehl" w:cs="FrankRuehl"/>
          <w:color w:val="000000"/>
          <w:sz w:val="28"/>
          <w:szCs w:val="28"/>
          <w:rtl/>
        </w:rPr>
        <w:t>לגרום</w:t>
      </w:r>
      <w:r w:rsidR="00252171">
        <w:rPr>
          <w:rFonts w:ascii="Arial" w:hAnsi="Arial" w:cs="Arial"/>
          <w:color w:val="000000"/>
          <w:sz w:val="28"/>
          <w:szCs w:val="28"/>
        </w:rPr>
        <w:t xml:space="preserve"> </w:t>
      </w:r>
      <w:r>
        <w:rPr>
          <w:rFonts w:ascii="FrankRuehl" w:hAnsi="FrankRuehl" w:cs="FrankRuehl"/>
          <w:color w:val="000000"/>
          <w:sz w:val="28"/>
          <w:szCs w:val="28"/>
          <w:rtl/>
        </w:rPr>
        <w:t>לעגמת</w:t>
      </w:r>
      <w:r w:rsidR="00252171">
        <w:rPr>
          <w:rFonts w:ascii="Arial" w:hAnsi="Arial" w:cs="Arial"/>
          <w:color w:val="000000"/>
          <w:sz w:val="28"/>
          <w:szCs w:val="28"/>
        </w:rPr>
        <w:t xml:space="preserve"> </w:t>
      </w:r>
      <w:r>
        <w:rPr>
          <w:rFonts w:ascii="FrankRuehl" w:hAnsi="FrankRuehl" w:cs="FrankRuehl"/>
          <w:color w:val="000000"/>
          <w:sz w:val="28"/>
          <w:szCs w:val="28"/>
          <w:rtl/>
        </w:rPr>
        <w:t>נפש</w:t>
      </w:r>
      <w:r w:rsidR="00252171">
        <w:rPr>
          <w:rFonts w:ascii="Arial" w:hAnsi="Arial" w:cs="Arial"/>
          <w:color w:val="000000"/>
          <w:sz w:val="28"/>
          <w:szCs w:val="28"/>
        </w:rPr>
        <w:t xml:space="preserve"> </w:t>
      </w:r>
      <w:r>
        <w:rPr>
          <w:rFonts w:ascii="FrankRuehl" w:hAnsi="FrankRuehl" w:cs="FrankRuehl"/>
          <w:color w:val="000000"/>
          <w:sz w:val="28"/>
          <w:szCs w:val="28"/>
          <w:rtl/>
        </w:rPr>
        <w:t>של ממש ופגיעה</w:t>
      </w:r>
      <w:r w:rsidR="00252171">
        <w:rPr>
          <w:rFonts w:ascii="Arial" w:hAnsi="Arial" w:cs="Arial"/>
          <w:color w:val="000000"/>
          <w:sz w:val="28"/>
          <w:szCs w:val="28"/>
        </w:rPr>
        <w:t xml:space="preserve"> </w:t>
      </w:r>
      <w:r>
        <w:rPr>
          <w:rFonts w:ascii="FrankRuehl" w:hAnsi="FrankRuehl" w:cs="FrankRuehl"/>
          <w:color w:val="000000"/>
          <w:sz w:val="28"/>
          <w:szCs w:val="28"/>
          <w:rtl/>
        </w:rPr>
        <w:t>בתחושת</w:t>
      </w:r>
      <w:r w:rsidR="00252171">
        <w:rPr>
          <w:rFonts w:ascii="Arial" w:hAnsi="Arial" w:cs="Arial"/>
          <w:color w:val="000000"/>
          <w:sz w:val="28"/>
          <w:szCs w:val="28"/>
        </w:rPr>
        <w:t xml:space="preserve"> </w:t>
      </w:r>
      <w:r>
        <w:rPr>
          <w:rFonts w:ascii="FrankRuehl" w:hAnsi="FrankRuehl" w:cs="FrankRuehl"/>
          <w:color w:val="000000"/>
          <w:sz w:val="28"/>
          <w:szCs w:val="28"/>
          <w:rtl/>
        </w:rPr>
        <w:t>הביטחון</w:t>
      </w:r>
      <w:r w:rsidR="00252171">
        <w:rPr>
          <w:rFonts w:ascii="Arial" w:hAnsi="Arial" w:cs="Arial"/>
          <w:color w:val="000000"/>
          <w:sz w:val="28"/>
          <w:szCs w:val="28"/>
        </w:rPr>
        <w:t xml:space="preserve"> </w:t>
      </w:r>
      <w:r>
        <w:rPr>
          <w:rFonts w:ascii="FrankRuehl" w:hAnsi="FrankRuehl" w:cs="FrankRuehl"/>
          <w:color w:val="000000"/>
          <w:sz w:val="28"/>
          <w:szCs w:val="28"/>
          <w:rtl/>
        </w:rPr>
        <w:t>האיש</w:t>
      </w:r>
      <w:r>
        <w:rPr>
          <w:rFonts w:ascii="FrankRuehl" w:hAnsi="FrankRuehl" w:cs="FrankRuehl" w:hint="cs"/>
          <w:color w:val="000000"/>
          <w:sz w:val="28"/>
          <w:szCs w:val="28"/>
          <w:rtl/>
        </w:rPr>
        <w:t xml:space="preserve">י. גם </w:t>
      </w:r>
      <w:r>
        <w:rPr>
          <w:rFonts w:ascii="FrankRuehl" w:hAnsi="FrankRuehl" w:cs="FrankRuehl"/>
          <w:color w:val="000000"/>
          <w:sz w:val="28"/>
          <w:szCs w:val="28"/>
          <w:rtl/>
        </w:rPr>
        <w:t>על חומרת העבירה של החזקת סכין</w:t>
      </w:r>
      <w:r>
        <w:rPr>
          <w:rFonts w:ascii="FrankRuehl" w:hAnsi="FrankRuehl" w:cs="FrankRuehl" w:hint="cs"/>
          <w:color w:val="000000"/>
          <w:sz w:val="28"/>
          <w:szCs w:val="28"/>
          <w:rtl/>
        </w:rPr>
        <w:t xml:space="preserve"> אין צורך להכביר מילים</w:t>
      </w:r>
      <w:r>
        <w:rPr>
          <w:rFonts w:ascii="FrankRuehl" w:hAnsi="FrankRuehl" w:cs="FrankRuehl"/>
          <w:color w:val="000000"/>
          <w:sz w:val="28"/>
          <w:szCs w:val="28"/>
          <w:rtl/>
        </w:rPr>
        <w:t xml:space="preserve">. בתי המשפט עמדו לא פעם על הצורך במיגור תופעת "תרבות הסכינאות", נוכח הרצון להגן על הציבור מפני האלימות שעלולה לנבוע מנשיאת סכין שלא למטרה כשרה. </w:t>
      </w:r>
    </w:p>
    <w:p w14:paraId="2B4A4943" w14:textId="77777777" w:rsidR="00375E7B" w:rsidRDefault="00375E7B" w:rsidP="00375E7B">
      <w:pPr>
        <w:spacing w:line="360" w:lineRule="auto"/>
        <w:jc w:val="both"/>
        <w:rPr>
          <w:rFonts w:ascii="FrankRuehl" w:hAnsi="FrankRuehl" w:cs="FrankRuehl"/>
          <w:color w:val="000000"/>
          <w:sz w:val="28"/>
          <w:szCs w:val="28"/>
          <w:rtl/>
        </w:rPr>
      </w:pPr>
    </w:p>
    <w:p w14:paraId="5BE94FED" w14:textId="77777777" w:rsidR="00375E7B" w:rsidRDefault="00375E7B" w:rsidP="00375E7B">
      <w:pPr>
        <w:spacing w:line="360" w:lineRule="auto"/>
        <w:jc w:val="both"/>
        <w:rPr>
          <w:rFonts w:ascii="FrankRuehl" w:hAnsi="FrankRuehl" w:cs="FrankRuehl"/>
          <w:sz w:val="28"/>
          <w:szCs w:val="28"/>
          <w:rtl/>
        </w:rPr>
      </w:pPr>
      <w:r>
        <w:rPr>
          <w:rFonts w:ascii="FrankRuehl" w:hAnsi="FrankRuehl" w:cs="FrankRuehl" w:hint="cs"/>
          <w:color w:val="000000"/>
          <w:sz w:val="28"/>
          <w:szCs w:val="28"/>
          <w:rtl/>
        </w:rPr>
        <w:t>25.</w:t>
      </w:r>
      <w:r>
        <w:rPr>
          <w:rFonts w:ascii="FrankRuehl" w:hAnsi="FrankRuehl" w:cs="FrankRuehl" w:hint="cs"/>
          <w:color w:val="000000"/>
          <w:sz w:val="28"/>
          <w:szCs w:val="28"/>
          <w:rtl/>
        </w:rPr>
        <w:tab/>
        <w:t>אכן, ישנם מקרים בהם על אף שמדובר בעבירות חמורות לא מושת בגינן עונש מאסר בפועל, כאשר מדובר בקטינים. ואולם, מקרה זה שונה. מדובר במי שביצע מספר עבירות, במספר</w:t>
      </w:r>
      <w:r>
        <w:rPr>
          <w:rFonts w:ascii="FrankRuehl" w:hAnsi="FrankRuehl" w:cs="FrankRuehl" w:hint="cs"/>
          <w:sz w:val="28"/>
          <w:szCs w:val="28"/>
          <w:rtl/>
        </w:rPr>
        <w:t xml:space="preserve"> אירועים, כשיש לו הרשעות קודמות בעבירות דומות, ולמעשה הוא אף לא השכיל ליטול חלק בהליך טיפולי. נהיר, כי במקרה זה, עתירת המאשימה לכלול במסגרת הענישה, מספר חודשי מאסר מועטים לריצוי בפועל בגין עבירות אלו, היא מידתית וראויה. </w:t>
      </w:r>
    </w:p>
    <w:p w14:paraId="20AC26F8" w14:textId="77777777" w:rsidR="00375E7B" w:rsidRPr="00240A84" w:rsidRDefault="00375E7B" w:rsidP="00375E7B">
      <w:pPr>
        <w:spacing w:line="360" w:lineRule="auto"/>
        <w:jc w:val="both"/>
        <w:rPr>
          <w:rFonts w:ascii="FrankRuehl" w:hAnsi="FrankRuehl" w:cs="FrankRuehl"/>
          <w:sz w:val="28"/>
          <w:szCs w:val="28"/>
          <w:rtl/>
        </w:rPr>
      </w:pPr>
    </w:p>
    <w:p w14:paraId="075FB2D7" w14:textId="77777777" w:rsidR="00375E7B" w:rsidRDefault="00375E7B" w:rsidP="00375E7B">
      <w:pPr>
        <w:spacing w:line="360" w:lineRule="auto"/>
        <w:jc w:val="both"/>
        <w:rPr>
          <w:rFonts w:ascii="FrankRuehl" w:hAnsi="FrankRuehl" w:cs="FrankRuehl"/>
          <w:sz w:val="28"/>
          <w:szCs w:val="28"/>
          <w:rtl/>
        </w:rPr>
      </w:pPr>
      <w:r>
        <w:rPr>
          <w:rFonts w:ascii="FrankRuehl" w:hAnsi="FrankRuehl" w:cs="FrankRuehl" w:hint="cs"/>
          <w:sz w:val="28"/>
          <w:szCs w:val="28"/>
          <w:rtl/>
        </w:rPr>
        <w:t>ומכאן ל</w:t>
      </w:r>
      <w:r w:rsidRPr="00240A84">
        <w:rPr>
          <w:rFonts w:ascii="FrankRuehl" w:hAnsi="FrankRuehl" w:cs="FrankRuehl" w:hint="cs"/>
          <w:sz w:val="28"/>
          <w:szCs w:val="28"/>
          <w:rtl/>
        </w:rPr>
        <w:t>נאשם</w:t>
      </w:r>
      <w:r>
        <w:rPr>
          <w:rFonts w:ascii="FrankRuehl" w:hAnsi="FrankRuehl" w:cs="FrankRuehl" w:hint="cs"/>
          <w:sz w:val="28"/>
          <w:szCs w:val="28"/>
          <w:rtl/>
        </w:rPr>
        <w:t>.</w:t>
      </w:r>
    </w:p>
    <w:p w14:paraId="7D5CA52A" w14:textId="77777777" w:rsidR="00375E7B" w:rsidRDefault="00375E7B" w:rsidP="00375E7B">
      <w:pPr>
        <w:spacing w:line="360" w:lineRule="auto"/>
        <w:jc w:val="both"/>
        <w:rPr>
          <w:rFonts w:ascii="FrankRuehl" w:hAnsi="FrankRuehl" w:cs="FrankRuehl"/>
          <w:sz w:val="28"/>
          <w:szCs w:val="28"/>
          <w:rtl/>
        </w:rPr>
      </w:pPr>
    </w:p>
    <w:p w14:paraId="66392BE6" w14:textId="77777777" w:rsidR="00375E7B" w:rsidRDefault="00375E7B" w:rsidP="00375E7B">
      <w:pPr>
        <w:spacing w:line="360" w:lineRule="auto"/>
        <w:jc w:val="both"/>
        <w:rPr>
          <w:rFonts w:ascii="FrankRuehl" w:hAnsi="FrankRuehl" w:cs="FrankRuehl"/>
          <w:sz w:val="28"/>
          <w:szCs w:val="28"/>
          <w:rtl/>
        </w:rPr>
      </w:pPr>
      <w:r>
        <w:rPr>
          <w:rFonts w:ascii="FrankRuehl" w:hAnsi="FrankRuehl" w:cs="FrankRuehl" w:hint="cs"/>
          <w:sz w:val="28"/>
          <w:szCs w:val="28"/>
          <w:rtl/>
        </w:rPr>
        <w:t>26.</w:t>
      </w:r>
      <w:r>
        <w:rPr>
          <w:rFonts w:ascii="FrankRuehl" w:hAnsi="FrankRuehl" w:cs="FrankRuehl" w:hint="cs"/>
          <w:sz w:val="28"/>
          <w:szCs w:val="28"/>
          <w:rtl/>
        </w:rPr>
        <w:tab/>
        <w:t xml:space="preserve">הנאשם יליד 2003, כיום בן 19. חרף גילו הצעיר, בעברו מספר הרשעות בעבירות רכוש רבות ועבירות אלימות, ואף נסיעה ללא רישיון נהיגה, שביצע בעודו קטין. </w:t>
      </w:r>
    </w:p>
    <w:p w14:paraId="3A560945" w14:textId="77777777" w:rsidR="00375E7B" w:rsidRDefault="00375E7B" w:rsidP="00375E7B">
      <w:pPr>
        <w:spacing w:line="360" w:lineRule="auto"/>
        <w:jc w:val="both"/>
        <w:rPr>
          <w:rFonts w:ascii="FrankRuehl" w:hAnsi="FrankRuehl" w:cs="FrankRuehl"/>
          <w:sz w:val="28"/>
          <w:szCs w:val="28"/>
          <w:rtl/>
        </w:rPr>
      </w:pPr>
    </w:p>
    <w:p w14:paraId="11AE796E" w14:textId="77777777" w:rsidR="00375E7B" w:rsidRDefault="00375E7B" w:rsidP="00375E7B">
      <w:pPr>
        <w:spacing w:line="360" w:lineRule="auto"/>
        <w:jc w:val="both"/>
        <w:rPr>
          <w:rFonts w:ascii="FrankRuehl" w:hAnsi="FrankRuehl" w:cs="FrankRuehl"/>
          <w:sz w:val="28"/>
          <w:szCs w:val="28"/>
          <w:rtl/>
        </w:rPr>
      </w:pPr>
      <w:r>
        <w:rPr>
          <w:rFonts w:ascii="FrankRuehl" w:hAnsi="FrankRuehl" w:cs="FrankRuehl" w:hint="cs"/>
          <w:sz w:val="28"/>
          <w:szCs w:val="28"/>
          <w:rtl/>
        </w:rPr>
        <w:t>27.</w:t>
      </w:r>
      <w:r>
        <w:rPr>
          <w:rFonts w:ascii="FrankRuehl" w:hAnsi="FrankRuehl" w:cs="FrankRuehl" w:hint="cs"/>
          <w:sz w:val="28"/>
          <w:szCs w:val="28"/>
          <w:rtl/>
        </w:rPr>
        <w:tab/>
        <w:t xml:space="preserve">לזכותו יש לזקוף את הודאתו בכלל המעשים שיוחסו לו, נטילת האחריות ושיתוף הפעולה בחקירה, שסייע בפיענוח אירוע ההצתה במסעדה. בנוסף, כפי שפורט בתסקיר שירות המבחן וצוין לעיל, נסיבות חייו של הנאשם קשות כבר מגיל צעיר מאוד, ובגיל שכזה הוא התדרדר לשימוש בסמים ולעבירות פליליות. יש לקחת זאת בחשבון. </w:t>
      </w:r>
    </w:p>
    <w:p w14:paraId="6D7530DF" w14:textId="77777777" w:rsidR="00375E7B" w:rsidRDefault="00375E7B" w:rsidP="00375E7B">
      <w:pPr>
        <w:spacing w:line="360" w:lineRule="auto"/>
        <w:jc w:val="both"/>
        <w:rPr>
          <w:rFonts w:ascii="FrankRuehl" w:hAnsi="FrankRuehl" w:cs="FrankRuehl"/>
          <w:sz w:val="28"/>
          <w:szCs w:val="28"/>
          <w:rtl/>
        </w:rPr>
      </w:pPr>
    </w:p>
    <w:p w14:paraId="43E0D8E4" w14:textId="77777777" w:rsidR="00375E7B" w:rsidRDefault="00375E7B" w:rsidP="00375E7B">
      <w:pPr>
        <w:spacing w:line="360" w:lineRule="auto"/>
        <w:jc w:val="both"/>
        <w:rPr>
          <w:rFonts w:ascii="FrankRuehl" w:hAnsi="FrankRuehl" w:cs="FrankRuehl"/>
          <w:sz w:val="28"/>
          <w:szCs w:val="28"/>
          <w:rtl/>
        </w:rPr>
      </w:pPr>
      <w:r>
        <w:rPr>
          <w:rFonts w:ascii="FrankRuehl" w:hAnsi="FrankRuehl" w:cs="FrankRuehl" w:hint="cs"/>
          <w:sz w:val="28"/>
          <w:szCs w:val="28"/>
          <w:rtl/>
        </w:rPr>
        <w:t>28.</w:t>
      </w:r>
      <w:r>
        <w:rPr>
          <w:rFonts w:ascii="FrankRuehl" w:hAnsi="FrankRuehl" w:cs="FrankRuehl" w:hint="cs"/>
          <w:sz w:val="28"/>
          <w:szCs w:val="28"/>
          <w:rtl/>
        </w:rPr>
        <w:tab/>
        <w:t xml:space="preserve">לצד זאת, הוא לא הושיט יד לעבר היד שהושטה לו על ידי הרשויות השונות, בניסיונות שונים לשלבו בתהליכי גמילה. </w:t>
      </w:r>
    </w:p>
    <w:p w14:paraId="23ED82AA" w14:textId="77777777" w:rsidR="00375E7B" w:rsidRDefault="00375E7B" w:rsidP="00375E7B">
      <w:pPr>
        <w:spacing w:line="360" w:lineRule="auto"/>
        <w:jc w:val="both"/>
        <w:rPr>
          <w:rFonts w:ascii="FrankRuehl" w:hAnsi="FrankRuehl" w:cs="FrankRuehl"/>
          <w:sz w:val="28"/>
          <w:szCs w:val="28"/>
          <w:rtl/>
        </w:rPr>
      </w:pPr>
    </w:p>
    <w:p w14:paraId="69BA7372" w14:textId="77777777" w:rsidR="00375E7B" w:rsidRDefault="00375E7B" w:rsidP="00375E7B">
      <w:pPr>
        <w:spacing w:line="360" w:lineRule="auto"/>
        <w:jc w:val="both"/>
        <w:rPr>
          <w:rFonts w:ascii="FrankRuehl" w:hAnsi="FrankRuehl" w:cs="FrankRuehl"/>
          <w:sz w:val="28"/>
          <w:szCs w:val="28"/>
          <w:rtl/>
        </w:rPr>
      </w:pPr>
      <w:r>
        <w:rPr>
          <w:rFonts w:ascii="FrankRuehl" w:hAnsi="FrankRuehl" w:cs="FrankRuehl" w:hint="cs"/>
          <w:sz w:val="28"/>
          <w:szCs w:val="28"/>
          <w:rtl/>
        </w:rPr>
        <w:t>29.</w:t>
      </w:r>
      <w:r>
        <w:rPr>
          <w:rFonts w:ascii="FrankRuehl" w:hAnsi="FrankRuehl" w:cs="FrankRuehl" w:hint="cs"/>
          <w:sz w:val="28"/>
          <w:szCs w:val="28"/>
          <w:rtl/>
        </w:rPr>
        <w:tab/>
        <w:t xml:space="preserve">כאמור, קצינת המבחן ציינה כי הנאשם בעל דפוסי חשיבה עברייניים שההליכים המשפטיים הקודמים בעניינו לא היוו עבורו גורם הרתעתי, דבר שיש בו כדי להצביע על כך, שבהעדר השתלבות בהליך טיפולי, ישנו סיכון גבוה להישנות עבירות על ידו. לצד זאת, מדובר בנער צעיר לימים, ודווקא עתה כשהגיע לגיל בגרות, לא נכון למצות עמו את מלוא חומר הדין, באופן שלא יותיר בפניו צוהר לדרך אחרת, לשיקום ולשינוי אורחותיו. כל אלו מצדיקים את גזירת עונשו בשליש המתחם, ותוך מתן משקל ליתר העבירות בהן הורשע ושבוצעו כאמור בהיותו קטין. לצד זאת יש להשית עליו עונש מאסר מתונה מרתיע על מנת לאיין את הסכנה הנשקפת מהנאשם, ולהציב עונש זה כתמרור אזהרה בפניו, למקרה שישקול שלא לשנות את דרכיו. </w:t>
      </w:r>
    </w:p>
    <w:p w14:paraId="30EBC564" w14:textId="77777777" w:rsidR="00375E7B" w:rsidRDefault="00375E7B" w:rsidP="00375E7B">
      <w:pPr>
        <w:spacing w:line="360" w:lineRule="auto"/>
        <w:jc w:val="both"/>
        <w:rPr>
          <w:rFonts w:ascii="FrankRuehl" w:hAnsi="FrankRuehl" w:cs="FrankRuehl"/>
          <w:sz w:val="28"/>
          <w:szCs w:val="28"/>
          <w:rtl/>
        </w:rPr>
      </w:pPr>
    </w:p>
    <w:p w14:paraId="60005329" w14:textId="77777777" w:rsidR="00375E7B" w:rsidRDefault="00375E7B" w:rsidP="00375E7B">
      <w:pPr>
        <w:spacing w:line="360" w:lineRule="auto"/>
        <w:jc w:val="both"/>
        <w:rPr>
          <w:rFonts w:ascii="FrankRuehl" w:hAnsi="FrankRuehl" w:cs="FrankRuehl"/>
          <w:sz w:val="28"/>
          <w:szCs w:val="28"/>
          <w:rtl/>
        </w:rPr>
      </w:pPr>
      <w:r>
        <w:rPr>
          <w:rFonts w:ascii="FrankRuehl" w:hAnsi="FrankRuehl" w:cs="FrankRuehl" w:hint="cs"/>
          <w:sz w:val="28"/>
          <w:szCs w:val="28"/>
          <w:rtl/>
        </w:rPr>
        <w:t>30.</w:t>
      </w:r>
      <w:r>
        <w:rPr>
          <w:rFonts w:ascii="FrankRuehl" w:hAnsi="FrankRuehl" w:cs="FrankRuehl"/>
          <w:sz w:val="28"/>
          <w:szCs w:val="28"/>
          <w:rtl/>
        </w:rPr>
        <w:tab/>
      </w:r>
      <w:r>
        <w:rPr>
          <w:rFonts w:ascii="FrankRuehl" w:hAnsi="FrankRuehl" w:cs="FrankRuehl" w:hint="cs"/>
          <w:sz w:val="28"/>
          <w:szCs w:val="28"/>
          <w:rtl/>
        </w:rPr>
        <w:t xml:space="preserve">בשים לב לכל האמור, אני משית על הנאשם את העונשים הבאים: </w:t>
      </w:r>
    </w:p>
    <w:p w14:paraId="078330D4" w14:textId="77777777" w:rsidR="00375E7B" w:rsidRPr="0094787C" w:rsidRDefault="00375E7B" w:rsidP="00375E7B">
      <w:pPr>
        <w:spacing w:line="360" w:lineRule="auto"/>
        <w:ind w:left="720"/>
        <w:jc w:val="both"/>
        <w:rPr>
          <w:rFonts w:ascii="FrankRuehl" w:hAnsi="FrankRuehl" w:cs="FrankRuehl"/>
          <w:sz w:val="28"/>
          <w:szCs w:val="28"/>
          <w:rtl/>
        </w:rPr>
      </w:pPr>
      <w:r>
        <w:rPr>
          <w:rFonts w:ascii="FrankRuehl" w:hAnsi="FrankRuehl" w:cs="FrankRuehl" w:hint="cs"/>
          <w:sz w:val="28"/>
          <w:szCs w:val="28"/>
          <w:rtl/>
        </w:rPr>
        <w:t xml:space="preserve">א. </w:t>
      </w:r>
      <w:r>
        <w:rPr>
          <w:rFonts w:ascii="FrankRuehl" w:hAnsi="FrankRuehl" w:cs="FrankRuehl"/>
          <w:sz w:val="28"/>
          <w:szCs w:val="28"/>
          <w:rtl/>
        </w:rPr>
        <w:tab/>
      </w:r>
      <w:r>
        <w:rPr>
          <w:rFonts w:ascii="FrankRuehl" w:hAnsi="FrankRuehl" w:cs="FrankRuehl" w:hint="cs"/>
          <w:sz w:val="28"/>
          <w:szCs w:val="28"/>
          <w:rtl/>
        </w:rPr>
        <w:t xml:space="preserve">26 </w:t>
      </w:r>
      <w:r w:rsidRPr="0094787C">
        <w:rPr>
          <w:rFonts w:ascii="FrankRuehl" w:hAnsi="FrankRuehl" w:cs="FrankRuehl" w:hint="cs"/>
          <w:sz w:val="28"/>
          <w:szCs w:val="28"/>
          <w:rtl/>
        </w:rPr>
        <w:t xml:space="preserve">חודשי מאסר בפועל שיימנו החל מיום מעצרו 17.07.22. </w:t>
      </w:r>
    </w:p>
    <w:p w14:paraId="4EF4DBD4" w14:textId="77777777" w:rsidR="00375E7B" w:rsidRDefault="00375E7B" w:rsidP="00375E7B">
      <w:pPr>
        <w:spacing w:line="360" w:lineRule="auto"/>
        <w:ind w:left="1440" w:hanging="720"/>
        <w:jc w:val="both"/>
        <w:rPr>
          <w:rFonts w:ascii="FrankRuehl" w:hAnsi="FrankRuehl" w:cs="FrankRuehl"/>
          <w:sz w:val="28"/>
          <w:szCs w:val="28"/>
          <w:rtl/>
        </w:rPr>
      </w:pPr>
      <w:r w:rsidRPr="0094787C">
        <w:rPr>
          <w:rFonts w:ascii="FrankRuehl" w:hAnsi="FrankRuehl" w:cs="FrankRuehl" w:hint="cs"/>
          <w:sz w:val="28"/>
          <w:szCs w:val="28"/>
          <w:rtl/>
        </w:rPr>
        <w:t xml:space="preserve">ב. </w:t>
      </w:r>
      <w:r w:rsidRPr="0094787C">
        <w:rPr>
          <w:rFonts w:ascii="FrankRuehl" w:hAnsi="FrankRuehl" w:cs="FrankRuehl"/>
          <w:sz w:val="28"/>
          <w:szCs w:val="28"/>
          <w:rtl/>
        </w:rPr>
        <w:tab/>
      </w:r>
      <w:r w:rsidRPr="0094787C">
        <w:rPr>
          <w:rFonts w:ascii="FrankRuehl" w:hAnsi="FrankRuehl" w:cs="FrankRuehl" w:hint="cs"/>
          <w:sz w:val="28"/>
          <w:szCs w:val="28"/>
          <w:rtl/>
        </w:rPr>
        <w:t>אני מפע</w:t>
      </w:r>
      <w:r>
        <w:rPr>
          <w:rFonts w:ascii="FrankRuehl" w:hAnsi="FrankRuehl" w:cs="FrankRuehl" w:hint="cs"/>
          <w:sz w:val="28"/>
          <w:szCs w:val="28"/>
          <w:rtl/>
        </w:rPr>
        <w:t xml:space="preserve">יל את המאסר על תנאי של ארבעה חודשים שהושת על הנאשם במסגרת </w:t>
      </w:r>
      <w:hyperlink r:id="rId49" w:history="1">
        <w:r w:rsidR="00252171" w:rsidRPr="00252171">
          <w:rPr>
            <w:rFonts w:ascii="FrankRuehl" w:hAnsi="FrankRuehl" w:cs="FrankRuehl"/>
            <w:color w:val="0000FF"/>
            <w:sz w:val="28"/>
            <w:szCs w:val="28"/>
            <w:u w:val="single"/>
            <w:rtl/>
          </w:rPr>
          <w:t>ת"פ 36294-04-19</w:t>
        </w:r>
      </w:hyperlink>
      <w:r>
        <w:rPr>
          <w:rFonts w:ascii="FrankRuehl" w:hAnsi="FrankRuehl" w:cs="FrankRuehl" w:hint="cs"/>
          <w:sz w:val="28"/>
          <w:szCs w:val="28"/>
          <w:rtl/>
        </w:rPr>
        <w:t>, 38440-07-19 מיום 29.12.20. חצי מעונש מאסר זה ירוצה בחופף לעונש שהושת עליו בהליך זה בס"ק א' וחציו במצטבר. כך שהנאשם ירצה בסך הכל 28 חודשי מאסר שיימנו החל מיום מעצרו.</w:t>
      </w:r>
    </w:p>
    <w:p w14:paraId="22A2314E" w14:textId="77777777" w:rsidR="00375E7B" w:rsidRDefault="00375E7B" w:rsidP="00375E7B">
      <w:pPr>
        <w:spacing w:line="360" w:lineRule="auto"/>
        <w:ind w:left="1440" w:hanging="720"/>
        <w:jc w:val="both"/>
        <w:rPr>
          <w:rFonts w:ascii="FrankRuehl" w:hAnsi="FrankRuehl" w:cs="FrankRuehl"/>
          <w:sz w:val="28"/>
          <w:szCs w:val="28"/>
          <w:rtl/>
        </w:rPr>
      </w:pPr>
      <w:r>
        <w:rPr>
          <w:rFonts w:ascii="FrankRuehl" w:hAnsi="FrankRuehl" w:cs="FrankRuehl" w:hint="cs"/>
          <w:sz w:val="28"/>
          <w:szCs w:val="28"/>
          <w:rtl/>
        </w:rPr>
        <w:t xml:space="preserve">ג. </w:t>
      </w:r>
      <w:r>
        <w:rPr>
          <w:rFonts w:ascii="FrankRuehl" w:hAnsi="FrankRuehl" w:cs="FrankRuehl"/>
          <w:sz w:val="28"/>
          <w:szCs w:val="28"/>
          <w:rtl/>
        </w:rPr>
        <w:tab/>
      </w:r>
      <w:r>
        <w:rPr>
          <w:rFonts w:ascii="FrankRuehl" w:hAnsi="FrankRuehl" w:cs="FrankRuehl" w:hint="cs"/>
          <w:sz w:val="28"/>
          <w:szCs w:val="28"/>
          <w:rtl/>
        </w:rPr>
        <w:t xml:space="preserve">9 חודשי מאסר על תנאי אשר לא ירוצו אלא אם כן הנאשם יעבור עבירה של החזקת סכין, עבירת הצתה או עבירת רכוש אחרת מסוג פשע או עבירת סמים מסוג פשע בתקופה של שלוש שנים מיום שחרורו ממאסר. </w:t>
      </w:r>
    </w:p>
    <w:p w14:paraId="434A3648" w14:textId="77777777" w:rsidR="00375E7B" w:rsidRDefault="00375E7B" w:rsidP="00375E7B">
      <w:pPr>
        <w:spacing w:line="360" w:lineRule="auto"/>
        <w:ind w:left="1440" w:hanging="720"/>
        <w:jc w:val="both"/>
        <w:rPr>
          <w:rFonts w:ascii="FrankRuehl" w:hAnsi="FrankRuehl" w:cs="FrankRuehl"/>
          <w:sz w:val="28"/>
          <w:szCs w:val="28"/>
          <w:rtl/>
        </w:rPr>
      </w:pPr>
      <w:r>
        <w:rPr>
          <w:rFonts w:ascii="FrankRuehl" w:hAnsi="FrankRuehl" w:cs="FrankRuehl" w:hint="cs"/>
          <w:sz w:val="28"/>
          <w:szCs w:val="28"/>
          <w:rtl/>
        </w:rPr>
        <w:t xml:space="preserve">ד.  </w:t>
      </w:r>
      <w:r>
        <w:rPr>
          <w:rFonts w:ascii="FrankRuehl" w:hAnsi="FrankRuehl" w:cs="FrankRuehl"/>
          <w:sz w:val="28"/>
          <w:szCs w:val="28"/>
          <w:rtl/>
        </w:rPr>
        <w:tab/>
      </w:r>
      <w:r>
        <w:rPr>
          <w:rFonts w:ascii="FrankRuehl" w:hAnsi="FrankRuehl" w:cs="FrankRuehl" w:hint="cs"/>
          <w:sz w:val="28"/>
          <w:szCs w:val="28"/>
          <w:rtl/>
        </w:rPr>
        <w:t>6 חודשי מאסר על תנאי אשר לא ירוצו אלא אם כן הנאשם יעבור עבירת רכוש אחרת מסוג עוון או עבירת סמים מסוג עוון בתקופה של שלוש שנים מיום שחרורו ממאסר.</w:t>
      </w:r>
    </w:p>
    <w:p w14:paraId="111143CC" w14:textId="77777777" w:rsidR="00375E7B" w:rsidRDefault="00375E7B" w:rsidP="00375E7B">
      <w:pPr>
        <w:spacing w:line="360" w:lineRule="auto"/>
        <w:ind w:left="720"/>
        <w:jc w:val="both"/>
        <w:rPr>
          <w:rFonts w:ascii="FrankRuehl" w:hAnsi="FrankRuehl" w:cs="FrankRuehl"/>
          <w:sz w:val="28"/>
          <w:szCs w:val="28"/>
          <w:rtl/>
        </w:rPr>
      </w:pPr>
      <w:r>
        <w:rPr>
          <w:rFonts w:ascii="FrankRuehl" w:hAnsi="FrankRuehl" w:cs="FrankRuehl" w:hint="cs"/>
          <w:sz w:val="28"/>
          <w:szCs w:val="28"/>
          <w:rtl/>
        </w:rPr>
        <w:t xml:space="preserve">ה. </w:t>
      </w:r>
      <w:r>
        <w:rPr>
          <w:rFonts w:ascii="FrankRuehl" w:hAnsi="FrankRuehl" w:cs="FrankRuehl"/>
          <w:sz w:val="28"/>
          <w:szCs w:val="28"/>
          <w:rtl/>
        </w:rPr>
        <w:tab/>
      </w:r>
      <w:r>
        <w:rPr>
          <w:rFonts w:ascii="FrankRuehl" w:hAnsi="FrankRuehl" w:cs="FrankRuehl" w:hint="cs"/>
          <w:sz w:val="28"/>
          <w:szCs w:val="28"/>
          <w:rtl/>
        </w:rPr>
        <w:t>פיצוי בסך של 2,000 ₪ לבעל המסעדה, המתלונן ב</w:t>
      </w:r>
      <w:hyperlink r:id="rId50" w:history="1">
        <w:r w:rsidR="00252171" w:rsidRPr="00252171">
          <w:rPr>
            <w:rFonts w:ascii="FrankRuehl" w:hAnsi="FrankRuehl" w:cs="FrankRuehl"/>
            <w:color w:val="0000FF"/>
            <w:sz w:val="28"/>
            <w:szCs w:val="28"/>
            <w:u w:val="single"/>
            <w:rtl/>
          </w:rPr>
          <w:t>ת"פ 10639-08-22</w:t>
        </w:r>
      </w:hyperlink>
      <w:r>
        <w:rPr>
          <w:rFonts w:ascii="FrankRuehl" w:hAnsi="FrankRuehl" w:cs="FrankRuehl" w:hint="cs"/>
          <w:sz w:val="28"/>
          <w:szCs w:val="28"/>
          <w:rtl/>
        </w:rPr>
        <w:t xml:space="preserve">. </w:t>
      </w:r>
    </w:p>
    <w:p w14:paraId="5E62A234" w14:textId="77777777" w:rsidR="00375E7B" w:rsidRDefault="00375E7B" w:rsidP="00375E7B">
      <w:pPr>
        <w:spacing w:line="360" w:lineRule="auto"/>
        <w:ind w:firstLine="720"/>
        <w:jc w:val="both"/>
        <w:rPr>
          <w:rFonts w:ascii="FrankRuehl" w:hAnsi="FrankRuehl" w:cs="FrankRuehl"/>
          <w:sz w:val="28"/>
          <w:szCs w:val="28"/>
          <w:rtl/>
        </w:rPr>
      </w:pPr>
      <w:r>
        <w:rPr>
          <w:rFonts w:ascii="FrankRuehl" w:hAnsi="FrankRuehl" w:cs="FrankRuehl" w:hint="cs"/>
          <w:sz w:val="28"/>
          <w:szCs w:val="28"/>
          <w:rtl/>
        </w:rPr>
        <w:t xml:space="preserve">ו. </w:t>
      </w:r>
      <w:r>
        <w:rPr>
          <w:rFonts w:ascii="FrankRuehl" w:hAnsi="FrankRuehl" w:cs="FrankRuehl"/>
          <w:sz w:val="28"/>
          <w:szCs w:val="28"/>
          <w:rtl/>
        </w:rPr>
        <w:tab/>
      </w:r>
      <w:r>
        <w:rPr>
          <w:rFonts w:ascii="FrankRuehl" w:hAnsi="FrankRuehl" w:cs="FrankRuehl" w:hint="cs"/>
          <w:sz w:val="28"/>
          <w:szCs w:val="28"/>
          <w:rtl/>
        </w:rPr>
        <w:t>פיצוי בסך של 500 ₪ לבעל הקטנוע, המתלונן ב</w:t>
      </w:r>
      <w:hyperlink r:id="rId51" w:history="1">
        <w:r w:rsidR="00252171" w:rsidRPr="00252171">
          <w:rPr>
            <w:rFonts w:ascii="FrankRuehl" w:hAnsi="FrankRuehl" w:cs="FrankRuehl"/>
            <w:color w:val="0000FF"/>
            <w:sz w:val="28"/>
            <w:szCs w:val="28"/>
            <w:u w:val="single"/>
            <w:rtl/>
          </w:rPr>
          <w:t>ת"פ 5069-06-21</w:t>
        </w:r>
      </w:hyperlink>
      <w:r>
        <w:rPr>
          <w:rFonts w:ascii="FrankRuehl" w:hAnsi="FrankRuehl" w:cs="FrankRuehl" w:hint="cs"/>
          <w:sz w:val="28"/>
          <w:szCs w:val="28"/>
          <w:rtl/>
        </w:rPr>
        <w:t xml:space="preserve">. </w:t>
      </w:r>
    </w:p>
    <w:p w14:paraId="08F58E78" w14:textId="77777777" w:rsidR="00375E7B" w:rsidRDefault="00375E7B" w:rsidP="00375E7B">
      <w:pPr>
        <w:spacing w:line="360" w:lineRule="auto"/>
        <w:jc w:val="both"/>
        <w:rPr>
          <w:rFonts w:ascii="FrankRuehl" w:hAnsi="FrankRuehl" w:cs="FrankRuehl"/>
          <w:sz w:val="28"/>
          <w:szCs w:val="28"/>
          <w:rtl/>
        </w:rPr>
      </w:pPr>
      <w:r>
        <w:rPr>
          <w:rFonts w:ascii="FrankRuehl" w:hAnsi="FrankRuehl" w:cs="FrankRuehl" w:hint="cs"/>
          <w:sz w:val="28"/>
          <w:szCs w:val="28"/>
          <w:rtl/>
        </w:rPr>
        <w:t xml:space="preserve">    </w:t>
      </w:r>
      <w:r>
        <w:rPr>
          <w:rFonts w:ascii="FrankRuehl" w:hAnsi="FrankRuehl" w:cs="FrankRuehl"/>
          <w:sz w:val="28"/>
          <w:szCs w:val="28"/>
          <w:rtl/>
        </w:rPr>
        <w:tab/>
      </w:r>
      <w:r>
        <w:rPr>
          <w:rFonts w:ascii="FrankRuehl" w:hAnsi="FrankRuehl" w:cs="FrankRuehl"/>
          <w:sz w:val="28"/>
          <w:szCs w:val="28"/>
          <w:rtl/>
        </w:rPr>
        <w:tab/>
      </w:r>
      <w:r>
        <w:rPr>
          <w:rFonts w:ascii="FrankRuehl" w:hAnsi="FrankRuehl" w:cs="FrankRuehl" w:hint="cs"/>
          <w:sz w:val="28"/>
          <w:szCs w:val="28"/>
          <w:rtl/>
        </w:rPr>
        <w:t xml:space="preserve">הפיצויים יופקדו בקופת בית המשפט עד ליום 1.06.23. </w:t>
      </w:r>
    </w:p>
    <w:p w14:paraId="4F674272" w14:textId="77777777" w:rsidR="00375E7B" w:rsidRPr="00880288" w:rsidRDefault="00375E7B" w:rsidP="00375E7B">
      <w:pPr>
        <w:spacing w:line="360" w:lineRule="auto"/>
        <w:jc w:val="both"/>
        <w:rPr>
          <w:rFonts w:ascii="FrankRuehl" w:hAnsi="FrankRuehl" w:cs="FrankRuehl"/>
          <w:sz w:val="4"/>
          <w:szCs w:val="4"/>
          <w:rtl/>
        </w:rPr>
      </w:pPr>
    </w:p>
    <w:p w14:paraId="476CF9BD" w14:textId="77777777" w:rsidR="00375E7B" w:rsidRDefault="00252171" w:rsidP="00375E7B">
      <w:pPr>
        <w:spacing w:line="360" w:lineRule="auto"/>
        <w:jc w:val="both"/>
        <w:rPr>
          <w:rFonts w:ascii="FrankRuehl" w:hAnsi="FrankRuehl" w:cs="FrankRuehl"/>
          <w:sz w:val="28"/>
          <w:szCs w:val="28"/>
          <w:rtl/>
        </w:rPr>
      </w:pPr>
      <w:r w:rsidRPr="00252171">
        <w:rPr>
          <w:rFonts w:ascii="FrankRuehl" w:hAnsi="FrankRuehl" w:cs="FrankRuehl"/>
          <w:color w:val="FFFFFF"/>
          <w:sz w:val="2"/>
          <w:szCs w:val="2"/>
          <w:rtl/>
        </w:rPr>
        <w:t>5129371</w:t>
      </w:r>
      <w:r w:rsidR="00375E7B" w:rsidRPr="003B4C02">
        <w:rPr>
          <w:rFonts w:ascii="FrankRuehl" w:hAnsi="FrankRuehl" w:cs="FrankRuehl" w:hint="cs"/>
          <w:sz w:val="28"/>
          <w:szCs w:val="28"/>
          <w:rtl/>
        </w:rPr>
        <w:t xml:space="preserve">זכות ערעור לבית המשפט העליון בתוך 45 יום מהיום. </w:t>
      </w:r>
    </w:p>
    <w:p w14:paraId="3AB597D6" w14:textId="77777777" w:rsidR="00375E7B" w:rsidRPr="00252171" w:rsidRDefault="00252171" w:rsidP="00375E7B">
      <w:pPr>
        <w:spacing w:line="360" w:lineRule="auto"/>
        <w:jc w:val="both"/>
        <w:rPr>
          <w:rFonts w:ascii="FrankRuehl" w:hAnsi="FrankRuehl" w:cs="FrankRuehl"/>
          <w:color w:val="FFFFFF"/>
          <w:sz w:val="2"/>
          <w:szCs w:val="2"/>
          <w:rtl/>
        </w:rPr>
      </w:pPr>
      <w:r w:rsidRPr="00252171">
        <w:rPr>
          <w:rFonts w:ascii="FrankRuehl" w:hAnsi="FrankRuehl" w:cs="FrankRuehl"/>
          <w:color w:val="FFFFFF"/>
          <w:sz w:val="2"/>
          <w:szCs w:val="2"/>
          <w:rtl/>
        </w:rPr>
        <w:t>54678313</w:t>
      </w:r>
    </w:p>
    <w:p w14:paraId="638EADDA" w14:textId="77777777" w:rsidR="00375E7B" w:rsidRPr="00880288" w:rsidRDefault="00375E7B" w:rsidP="00375E7B">
      <w:pPr>
        <w:spacing w:line="360" w:lineRule="auto"/>
        <w:jc w:val="both"/>
        <w:rPr>
          <w:rFonts w:ascii="FrankRuehl" w:hAnsi="FrankRuehl" w:cs="FrankRuehl"/>
          <w:sz w:val="4"/>
          <w:szCs w:val="4"/>
          <w:rtl/>
        </w:rPr>
      </w:pPr>
    </w:p>
    <w:p w14:paraId="73B07E7A" w14:textId="77777777" w:rsidR="00375E7B" w:rsidRPr="000F2247" w:rsidRDefault="00252171" w:rsidP="00375E7B">
      <w:pPr>
        <w:spacing w:line="360" w:lineRule="auto"/>
        <w:jc w:val="both"/>
        <w:rPr>
          <w:rFonts w:ascii="Arial" w:hAnsi="Arial"/>
          <w:b/>
          <w:bCs/>
          <w:sz w:val="26"/>
          <w:szCs w:val="26"/>
          <w:rtl/>
        </w:rPr>
      </w:pPr>
      <w:bookmarkStart w:id="8" w:name="Nitan"/>
      <w:r>
        <w:rPr>
          <w:rFonts w:ascii="FrankRuehl" w:hAnsi="FrankRuehl" w:cs="FrankRuehl"/>
          <w:b/>
          <w:bCs/>
          <w:sz w:val="28"/>
          <w:szCs w:val="28"/>
          <w:rtl/>
        </w:rPr>
        <w:t xml:space="preserve">ניתן היום,  כ"ט אדר תשפ"ג, 22 מרץ 2023, במעמד המתייצבים. </w:t>
      </w:r>
      <w:bookmarkEnd w:id="8"/>
      <w:r w:rsidR="00375E7B">
        <w:rPr>
          <w:rFonts w:ascii="Arial" w:hAnsi="Arial"/>
          <w:b/>
          <w:bCs/>
          <w:sz w:val="26"/>
          <w:szCs w:val="26"/>
          <w:rtl/>
        </w:rPr>
        <w:tab/>
      </w:r>
      <w:r w:rsidR="00375E7B">
        <w:rPr>
          <w:rFonts w:ascii="Arial" w:hAnsi="Arial"/>
          <w:b/>
          <w:bCs/>
          <w:sz w:val="26"/>
          <w:szCs w:val="26"/>
          <w:rtl/>
        </w:rPr>
        <w:tab/>
      </w:r>
      <w:r w:rsidR="00375E7B">
        <w:rPr>
          <w:rFonts w:ascii="Arial" w:hAnsi="Arial"/>
          <w:b/>
          <w:bCs/>
          <w:sz w:val="26"/>
          <w:szCs w:val="26"/>
          <w:rtl/>
        </w:rPr>
        <w:tab/>
      </w:r>
      <w:r w:rsidR="00375E7B">
        <w:rPr>
          <w:rFonts w:ascii="Arial" w:hAnsi="Arial"/>
          <w:b/>
          <w:bCs/>
          <w:sz w:val="26"/>
          <w:szCs w:val="26"/>
          <w:rtl/>
        </w:rPr>
        <w:tab/>
      </w:r>
      <w:r w:rsidR="00375E7B">
        <w:rPr>
          <w:rFonts w:ascii="Arial" w:hAnsi="Arial"/>
          <w:b/>
          <w:bCs/>
          <w:sz w:val="26"/>
          <w:szCs w:val="26"/>
          <w:rtl/>
        </w:rPr>
        <w:tab/>
      </w:r>
      <w:r w:rsidR="00375E7B">
        <w:rPr>
          <w:rFonts w:ascii="Arial" w:hAnsi="Arial"/>
          <w:b/>
          <w:bCs/>
          <w:sz w:val="26"/>
          <w:szCs w:val="26"/>
          <w:rtl/>
        </w:rPr>
        <w:tab/>
      </w:r>
      <w:r w:rsidR="00375E7B">
        <w:rPr>
          <w:rFonts w:ascii="Arial" w:hAnsi="Arial"/>
          <w:b/>
          <w:bCs/>
          <w:sz w:val="26"/>
          <w:szCs w:val="26"/>
          <w:rtl/>
        </w:rPr>
        <w:tab/>
      </w:r>
      <w:r w:rsidR="00375E7B">
        <w:rPr>
          <w:rFonts w:ascii="Arial" w:hAnsi="Arial" w:hint="cs"/>
          <w:b/>
          <w:bCs/>
          <w:sz w:val="26"/>
          <w:szCs w:val="26"/>
          <w:rtl/>
        </w:rPr>
        <w:t xml:space="preserve">         </w:t>
      </w:r>
    </w:p>
    <w:p w14:paraId="54F0F8F1" w14:textId="77777777" w:rsidR="00375E7B" w:rsidRPr="000F2247" w:rsidRDefault="00375E7B" w:rsidP="00252171">
      <w:pPr>
        <w:jc w:val="right"/>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B8B21AC" w14:textId="77777777" w:rsidR="00252171" w:rsidRDefault="00C13BE0" w:rsidP="00252171">
      <w:r w:rsidRPr="00C13BE0">
        <w:rPr>
          <w:rFonts w:ascii="Arial" w:hAnsi="Arial"/>
          <w:b/>
          <w:bCs/>
          <w:color w:val="FFFFFF"/>
          <w:sz w:val="2"/>
          <w:szCs w:val="2"/>
          <w:rtl/>
        </w:rPr>
        <w:t>5129371</w:t>
      </w:r>
    </w:p>
    <w:p w14:paraId="6397A171" w14:textId="77777777" w:rsidR="00252171" w:rsidRDefault="00252171" w:rsidP="00252171">
      <w:pPr>
        <w:rPr>
          <w:rtl/>
        </w:rPr>
      </w:pPr>
    </w:p>
    <w:p w14:paraId="4B1963B6" w14:textId="77777777" w:rsidR="00252171" w:rsidRDefault="00252171" w:rsidP="00252171">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28131A08" w14:textId="77777777" w:rsidR="00C13BE0" w:rsidRPr="00C13BE0" w:rsidRDefault="00C13BE0" w:rsidP="00C13BE0">
      <w:pPr>
        <w:keepNext/>
        <w:rPr>
          <w:rFonts w:ascii="David" w:hAnsi="David"/>
          <w:color w:val="000000"/>
          <w:sz w:val="22"/>
          <w:szCs w:val="22"/>
          <w:rtl/>
        </w:rPr>
      </w:pPr>
    </w:p>
    <w:p w14:paraId="7FDA615F" w14:textId="77777777" w:rsidR="00C13BE0" w:rsidRPr="00C13BE0" w:rsidRDefault="00C13BE0" w:rsidP="00C13BE0">
      <w:pPr>
        <w:keepNext/>
        <w:rPr>
          <w:rFonts w:ascii="David" w:hAnsi="David"/>
          <w:color w:val="000000"/>
          <w:sz w:val="22"/>
          <w:szCs w:val="22"/>
          <w:rtl/>
        </w:rPr>
      </w:pPr>
      <w:r w:rsidRPr="00C13BE0">
        <w:rPr>
          <w:rFonts w:ascii="David" w:hAnsi="David"/>
          <w:color w:val="000000"/>
          <w:sz w:val="22"/>
          <w:szCs w:val="22"/>
          <w:rtl/>
        </w:rPr>
        <w:t>אילן סלע 54678313-/</w:t>
      </w:r>
    </w:p>
    <w:p w14:paraId="77D669C0" w14:textId="77777777" w:rsidR="00252171" w:rsidRPr="00252171" w:rsidRDefault="00C13BE0" w:rsidP="00C13BE0">
      <w:pPr>
        <w:rPr>
          <w:color w:val="0000FF"/>
          <w:u w:val="single"/>
        </w:rPr>
      </w:pPr>
      <w:r w:rsidRPr="00C13BE0">
        <w:rPr>
          <w:color w:val="000000"/>
          <w:u w:val="single"/>
          <w:rtl/>
        </w:rPr>
        <w:t>נוסח מסמך זה כפוף לשינויי ניסוח ועריכה</w:t>
      </w:r>
    </w:p>
    <w:sectPr w:rsidR="00252171" w:rsidRPr="00252171" w:rsidSect="00C13BE0">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3267AD" w14:textId="77777777" w:rsidR="00421764" w:rsidRDefault="00421764" w:rsidP="00291FBA">
      <w:r>
        <w:separator/>
      </w:r>
    </w:p>
  </w:endnote>
  <w:endnote w:type="continuationSeparator" w:id="0">
    <w:p w14:paraId="3ED44C60" w14:textId="77777777" w:rsidR="00421764" w:rsidRDefault="00421764" w:rsidP="00291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81F47" w14:textId="77777777" w:rsidR="00C13BE0" w:rsidRDefault="00C13BE0" w:rsidP="00C13BE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1D4CCD9" w14:textId="77777777" w:rsidR="0022735F" w:rsidRPr="00C13BE0" w:rsidRDefault="00C13BE0" w:rsidP="00C13BE0">
    <w:pPr>
      <w:pStyle w:val="a5"/>
      <w:pBdr>
        <w:top w:val="single" w:sz="4" w:space="1" w:color="auto"/>
        <w:between w:val="single" w:sz="4" w:space="0" w:color="auto"/>
      </w:pBdr>
      <w:spacing w:after="60"/>
      <w:jc w:val="center"/>
      <w:rPr>
        <w:rFonts w:ascii="FrankRuehl" w:hAnsi="FrankRuehl" w:cs="FrankRuehl"/>
        <w:color w:val="000000"/>
      </w:rPr>
    </w:pPr>
    <w:r w:rsidRPr="00C13BE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AD240" w14:textId="77777777" w:rsidR="00C13BE0" w:rsidRDefault="00C13BE0" w:rsidP="00C13BE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C5B47">
      <w:rPr>
        <w:rFonts w:ascii="FrankRuehl" w:hAnsi="FrankRuehl" w:cs="FrankRuehl"/>
        <w:noProof/>
        <w:rtl/>
      </w:rPr>
      <w:t>1</w:t>
    </w:r>
    <w:r>
      <w:rPr>
        <w:rFonts w:ascii="FrankRuehl" w:hAnsi="FrankRuehl" w:cs="FrankRuehl"/>
        <w:rtl/>
      </w:rPr>
      <w:fldChar w:fldCharType="end"/>
    </w:r>
  </w:p>
  <w:p w14:paraId="5CF09FD0" w14:textId="77777777" w:rsidR="0022735F" w:rsidRPr="00C13BE0" w:rsidRDefault="00C13BE0" w:rsidP="00C13BE0">
    <w:pPr>
      <w:pStyle w:val="a5"/>
      <w:pBdr>
        <w:top w:val="single" w:sz="4" w:space="1" w:color="auto"/>
        <w:between w:val="single" w:sz="4" w:space="0" w:color="auto"/>
      </w:pBdr>
      <w:spacing w:after="60"/>
      <w:jc w:val="center"/>
      <w:rPr>
        <w:rFonts w:ascii="FrankRuehl" w:hAnsi="FrankRuehl" w:cs="FrankRuehl"/>
        <w:color w:val="000000"/>
      </w:rPr>
    </w:pPr>
    <w:r w:rsidRPr="00C13BE0">
      <w:rPr>
        <w:rFonts w:ascii="FrankRuehl" w:hAnsi="FrankRuehl" w:cs="FrankRuehl"/>
        <w:color w:val="000000"/>
      </w:rPr>
      <w:pict w14:anchorId="53F049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0EDDA9" w14:textId="77777777" w:rsidR="00421764" w:rsidRDefault="00421764" w:rsidP="00291FBA">
      <w:r>
        <w:separator/>
      </w:r>
    </w:p>
  </w:footnote>
  <w:footnote w:type="continuationSeparator" w:id="0">
    <w:p w14:paraId="6CD506AB" w14:textId="77777777" w:rsidR="00421764" w:rsidRDefault="00421764" w:rsidP="00291F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7E0A1" w14:textId="77777777" w:rsidR="00252171" w:rsidRPr="00C13BE0" w:rsidRDefault="00C13BE0" w:rsidP="00C13BE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10639-08-22</w:t>
    </w:r>
    <w:r>
      <w:rPr>
        <w:rFonts w:ascii="David" w:hAnsi="David"/>
        <w:color w:val="000000"/>
        <w:sz w:val="22"/>
        <w:szCs w:val="22"/>
        <w:rtl/>
      </w:rPr>
      <w:tab/>
      <w:t xml:space="preserve"> מדינת ישראל נ' נאור מלכה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CEE9E" w14:textId="77777777" w:rsidR="00252171" w:rsidRPr="00C13BE0" w:rsidRDefault="00C13BE0" w:rsidP="00C13BE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10639-08-22</w:t>
    </w:r>
    <w:r>
      <w:rPr>
        <w:rFonts w:ascii="David" w:hAnsi="David"/>
        <w:color w:val="000000"/>
        <w:sz w:val="22"/>
        <w:szCs w:val="22"/>
        <w:rtl/>
      </w:rPr>
      <w:tab/>
      <w:t xml:space="preserve"> מדינת ישראל נ' נאור מלכה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9C78AA"/>
    <w:multiLevelType w:val="hybridMultilevel"/>
    <w:tmpl w:val="F4309F50"/>
    <w:lvl w:ilvl="0" w:tplc="FBDCE006">
      <w:start w:val="5"/>
      <w:numFmt w:val="bullet"/>
      <w:lvlText w:val=""/>
      <w:lvlJc w:val="left"/>
      <w:pPr>
        <w:ind w:left="720" w:hanging="360"/>
      </w:pPr>
      <w:rPr>
        <w:rFonts w:ascii="Symbol" w:eastAsia="Times New Roman" w:hAnsi="Symbol" w:cs="FrankRueh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6669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75E7B"/>
    <w:rsid w:val="000C1863"/>
    <w:rsid w:val="001B5A3B"/>
    <w:rsid w:val="002200FE"/>
    <w:rsid w:val="0022735F"/>
    <w:rsid w:val="00252171"/>
    <w:rsid w:val="00291FBA"/>
    <w:rsid w:val="0036672F"/>
    <w:rsid w:val="00375E7B"/>
    <w:rsid w:val="003B2C31"/>
    <w:rsid w:val="00421764"/>
    <w:rsid w:val="00686EA7"/>
    <w:rsid w:val="009514D3"/>
    <w:rsid w:val="00C13BE0"/>
    <w:rsid w:val="00F031EF"/>
    <w:rsid w:val="00FB5DB7"/>
    <w:rsid w:val="00FC5B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5D199A"/>
  <w15:chartTrackingRefBased/>
  <w15:docId w15:val="{3DDBE98E-F562-4083-AC2C-D9318583B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75E7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75E7B"/>
    <w:pPr>
      <w:tabs>
        <w:tab w:val="center" w:pos="4153"/>
        <w:tab w:val="right" w:pos="8306"/>
      </w:tabs>
    </w:pPr>
  </w:style>
  <w:style w:type="character" w:customStyle="1" w:styleId="a4">
    <w:name w:val="כותרת עליונה תו"/>
    <w:link w:val="a3"/>
    <w:rsid w:val="00375E7B"/>
    <w:rPr>
      <w:rFonts w:ascii="Times New Roman" w:eastAsia="Times New Roman" w:hAnsi="Times New Roman" w:cs="David"/>
      <w:sz w:val="24"/>
      <w:szCs w:val="24"/>
    </w:rPr>
  </w:style>
  <w:style w:type="paragraph" w:styleId="a5">
    <w:name w:val="footer"/>
    <w:basedOn w:val="a"/>
    <w:link w:val="a6"/>
    <w:rsid w:val="00375E7B"/>
    <w:pPr>
      <w:tabs>
        <w:tab w:val="center" w:pos="4153"/>
        <w:tab w:val="right" w:pos="8306"/>
      </w:tabs>
    </w:pPr>
  </w:style>
  <w:style w:type="character" w:customStyle="1" w:styleId="a6">
    <w:name w:val="כותרת תחתונה תו"/>
    <w:link w:val="a5"/>
    <w:rsid w:val="00375E7B"/>
    <w:rPr>
      <w:rFonts w:ascii="Times New Roman" w:eastAsia="Times New Roman" w:hAnsi="Times New Roman" w:cs="David"/>
      <w:sz w:val="24"/>
      <w:szCs w:val="24"/>
    </w:rPr>
  </w:style>
  <w:style w:type="table" w:styleId="a7">
    <w:name w:val="Table Grid"/>
    <w:basedOn w:val="a1"/>
    <w:rsid w:val="00375E7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75E7B"/>
  </w:style>
  <w:style w:type="paragraph" w:styleId="a9">
    <w:name w:val="List Paragraph"/>
    <w:basedOn w:val="a"/>
    <w:qFormat/>
    <w:rsid w:val="00375E7B"/>
    <w:pPr>
      <w:ind w:left="720"/>
      <w:contextualSpacing/>
    </w:pPr>
  </w:style>
  <w:style w:type="character" w:styleId="Hyperlink">
    <w:name w:val="Hyperlink"/>
    <w:rsid w:val="002521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48.a"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186.a" TargetMode="External"/><Relationship Id="rId39" Type="http://schemas.openxmlformats.org/officeDocument/2006/relationships/hyperlink" Target="http://www.nevo.co.il/case/28180190" TargetMode="External"/><Relationship Id="rId21" Type="http://schemas.openxmlformats.org/officeDocument/2006/relationships/hyperlink" Target="http://www.nevo.co.il/law/70301/413c" TargetMode="External"/><Relationship Id="rId34" Type="http://schemas.openxmlformats.org/officeDocument/2006/relationships/hyperlink" Target="http://www.nevo.co.il/case/5587202" TargetMode="External"/><Relationship Id="rId42" Type="http://schemas.openxmlformats.org/officeDocument/2006/relationships/hyperlink" Target="http://www.nevo.co.il/case/25589445" TargetMode="External"/><Relationship Id="rId47" Type="http://schemas.openxmlformats.org/officeDocument/2006/relationships/hyperlink" Target="http://www.nevo.co.il/case/28279783" TargetMode="External"/><Relationship Id="rId50" Type="http://schemas.openxmlformats.org/officeDocument/2006/relationships/hyperlink" Target="http://www.nevo.co.il/case/28830701" TargetMode="External"/><Relationship Id="rId55"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case/5845414" TargetMode="External"/><Relationship Id="rId11" Type="http://schemas.openxmlformats.org/officeDocument/2006/relationships/hyperlink" Target="http://www.nevo.co.il/law/70301/409" TargetMode="External"/><Relationship Id="rId24" Type="http://schemas.openxmlformats.org/officeDocument/2006/relationships/hyperlink" Target="http://www.nevo.co.il/law/4216/7.c" TargetMode="External"/><Relationship Id="rId32" Type="http://schemas.openxmlformats.org/officeDocument/2006/relationships/hyperlink" Target="http://www.nevo.co.il/case/28770694" TargetMode="External"/><Relationship Id="rId37" Type="http://schemas.openxmlformats.org/officeDocument/2006/relationships/hyperlink" Target="http://www.nevo.co.il/case/28262326" TargetMode="External"/><Relationship Id="rId40" Type="http://schemas.openxmlformats.org/officeDocument/2006/relationships/hyperlink" Target="http://www.nevo.co.il/case/26323289" TargetMode="External"/><Relationship Id="rId45" Type="http://schemas.openxmlformats.org/officeDocument/2006/relationships/hyperlink" Target="http://www.nevo.co.il/case/26699666"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70301/29" TargetMode="External"/><Relationship Id="rId4" Type="http://schemas.openxmlformats.org/officeDocument/2006/relationships/webSettings" Target="webSettings.xml"/><Relationship Id="rId9" Type="http://schemas.openxmlformats.org/officeDocument/2006/relationships/hyperlink" Target="http://www.nevo.co.il/law/70301/186.a"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409" TargetMode="External"/><Relationship Id="rId27" Type="http://schemas.openxmlformats.org/officeDocument/2006/relationships/hyperlink" Target="http://www.nevo.co.il/law/70301/384" TargetMode="External"/><Relationship Id="rId30" Type="http://schemas.openxmlformats.org/officeDocument/2006/relationships/hyperlink" Target="http://www.nevo.co.il/case/5601467" TargetMode="External"/><Relationship Id="rId35" Type="http://schemas.openxmlformats.org/officeDocument/2006/relationships/hyperlink" Target="http://www.nevo.co.il/case/28770694" TargetMode="External"/><Relationship Id="rId43" Type="http://schemas.openxmlformats.org/officeDocument/2006/relationships/hyperlink" Target="http://www.nevo.co.il/case/23226247" TargetMode="External"/><Relationship Id="rId48" Type="http://schemas.openxmlformats.org/officeDocument/2006/relationships/hyperlink" Target="http://www.nevo.co.il/case/28442197" TargetMode="External"/><Relationship Id="rId56" Type="http://schemas.openxmlformats.org/officeDocument/2006/relationships/footer" Target="footer2.xml"/><Relationship Id="rId8" Type="http://schemas.openxmlformats.org/officeDocument/2006/relationships/hyperlink" Target="http://www.nevo.co.il/law/70301/29" TargetMode="External"/><Relationship Id="rId51" Type="http://schemas.openxmlformats.org/officeDocument/2006/relationships/hyperlink" Target="http://www.nevo.co.il/case/27671554" TargetMode="External"/><Relationship Id="rId3" Type="http://schemas.openxmlformats.org/officeDocument/2006/relationships/settings" Target="settings.xml"/><Relationship Id="rId12" Type="http://schemas.openxmlformats.org/officeDocument/2006/relationships/hyperlink" Target="http://www.nevo.co.il/law/70301/413c" TargetMode="External"/><Relationship Id="rId17" Type="http://schemas.openxmlformats.org/officeDocument/2006/relationships/hyperlink" Target="http://www.nevo.co.il/law/70301/448.a" TargetMode="External"/><Relationship Id="rId25" Type="http://schemas.openxmlformats.org/officeDocument/2006/relationships/hyperlink" Target="http://www.nevo.co.il/law/4216" TargetMode="External"/><Relationship Id="rId33" Type="http://schemas.openxmlformats.org/officeDocument/2006/relationships/hyperlink" Target="http://www.nevo.co.il/case/28266102" TargetMode="External"/><Relationship Id="rId38" Type="http://schemas.openxmlformats.org/officeDocument/2006/relationships/hyperlink" Target="http://www.nevo.co.il/case/28262326" TargetMode="External"/><Relationship Id="rId46" Type="http://schemas.openxmlformats.org/officeDocument/2006/relationships/hyperlink" Target="http://www.nevo.co.il/case/26280650" TargetMode="External"/><Relationship Id="rId20" Type="http://schemas.openxmlformats.org/officeDocument/2006/relationships/hyperlink" Target="http://www.nevo.co.il/case/27671554" TargetMode="External"/><Relationship Id="rId41" Type="http://schemas.openxmlformats.org/officeDocument/2006/relationships/hyperlink" Target="http://www.nevo.co.il/case/24212088"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a" TargetMode="External"/><Relationship Id="rId23" Type="http://schemas.openxmlformats.org/officeDocument/2006/relationships/hyperlink" Target="http://www.nevo.co.il/law/4216/7.a" TargetMode="External"/><Relationship Id="rId28" Type="http://schemas.openxmlformats.org/officeDocument/2006/relationships/hyperlink" Target="http://www.nevo.co.il/case/28920896" TargetMode="External"/><Relationship Id="rId36" Type="http://schemas.openxmlformats.org/officeDocument/2006/relationships/hyperlink" Target="http://www.nevo.co.il/case/28920896" TargetMode="External"/><Relationship Id="rId49" Type="http://schemas.openxmlformats.org/officeDocument/2006/relationships/hyperlink" Target="http://www.nevo.co.il/case/25627718" TargetMode="External"/><Relationship Id="rId57" Type="http://schemas.openxmlformats.org/officeDocument/2006/relationships/fontTable" Target="fontTable.xml"/><Relationship Id="rId10" Type="http://schemas.openxmlformats.org/officeDocument/2006/relationships/hyperlink" Target="http://www.nevo.co.il/law/70301/384" TargetMode="External"/><Relationship Id="rId31" Type="http://schemas.openxmlformats.org/officeDocument/2006/relationships/hyperlink" Target="http://www.nevo.co.il/case/7980175" TargetMode="External"/><Relationship Id="rId44" Type="http://schemas.openxmlformats.org/officeDocument/2006/relationships/hyperlink" Target="http://www.nevo.co.il/case/24975721"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2970</Words>
  <Characters>14852</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17787</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3145841</vt:i4>
      </vt:variant>
      <vt:variant>
        <vt:i4>132</vt:i4>
      </vt:variant>
      <vt:variant>
        <vt:i4>0</vt:i4>
      </vt:variant>
      <vt:variant>
        <vt:i4>5</vt:i4>
      </vt:variant>
      <vt:variant>
        <vt:lpwstr>http://www.nevo.co.il/case/27671554</vt:lpwstr>
      </vt:variant>
      <vt:variant>
        <vt:lpwstr/>
      </vt:variant>
      <vt:variant>
        <vt:i4>3801208</vt:i4>
      </vt:variant>
      <vt:variant>
        <vt:i4>129</vt:i4>
      </vt:variant>
      <vt:variant>
        <vt:i4>0</vt:i4>
      </vt:variant>
      <vt:variant>
        <vt:i4>5</vt:i4>
      </vt:variant>
      <vt:variant>
        <vt:lpwstr>http://www.nevo.co.il/case/28830701</vt:lpwstr>
      </vt:variant>
      <vt:variant>
        <vt:lpwstr/>
      </vt:variant>
      <vt:variant>
        <vt:i4>3276916</vt:i4>
      </vt:variant>
      <vt:variant>
        <vt:i4>126</vt:i4>
      </vt:variant>
      <vt:variant>
        <vt:i4>0</vt:i4>
      </vt:variant>
      <vt:variant>
        <vt:i4>5</vt:i4>
      </vt:variant>
      <vt:variant>
        <vt:lpwstr>http://www.nevo.co.il/case/25627718</vt:lpwstr>
      </vt:variant>
      <vt:variant>
        <vt:lpwstr/>
      </vt:variant>
      <vt:variant>
        <vt:i4>3997817</vt:i4>
      </vt:variant>
      <vt:variant>
        <vt:i4>123</vt:i4>
      </vt:variant>
      <vt:variant>
        <vt:i4>0</vt:i4>
      </vt:variant>
      <vt:variant>
        <vt:i4>5</vt:i4>
      </vt:variant>
      <vt:variant>
        <vt:lpwstr>http://www.nevo.co.il/case/28442197</vt:lpwstr>
      </vt:variant>
      <vt:variant>
        <vt:lpwstr/>
      </vt:variant>
      <vt:variant>
        <vt:i4>3211388</vt:i4>
      </vt:variant>
      <vt:variant>
        <vt:i4>120</vt:i4>
      </vt:variant>
      <vt:variant>
        <vt:i4>0</vt:i4>
      </vt:variant>
      <vt:variant>
        <vt:i4>5</vt:i4>
      </vt:variant>
      <vt:variant>
        <vt:lpwstr>http://www.nevo.co.il/case/28279783</vt:lpwstr>
      </vt:variant>
      <vt:variant>
        <vt:lpwstr/>
      </vt:variant>
      <vt:variant>
        <vt:i4>3473532</vt:i4>
      </vt:variant>
      <vt:variant>
        <vt:i4>117</vt:i4>
      </vt:variant>
      <vt:variant>
        <vt:i4>0</vt:i4>
      </vt:variant>
      <vt:variant>
        <vt:i4>5</vt:i4>
      </vt:variant>
      <vt:variant>
        <vt:lpwstr>http://www.nevo.co.il/case/26280650</vt:lpwstr>
      </vt:variant>
      <vt:variant>
        <vt:lpwstr/>
      </vt:variant>
      <vt:variant>
        <vt:i4>3866749</vt:i4>
      </vt:variant>
      <vt:variant>
        <vt:i4>114</vt:i4>
      </vt:variant>
      <vt:variant>
        <vt:i4>0</vt:i4>
      </vt:variant>
      <vt:variant>
        <vt:i4>5</vt:i4>
      </vt:variant>
      <vt:variant>
        <vt:lpwstr>http://www.nevo.co.il/case/26699666</vt:lpwstr>
      </vt:variant>
      <vt:variant>
        <vt:lpwstr/>
      </vt:variant>
      <vt:variant>
        <vt:i4>3932272</vt:i4>
      </vt:variant>
      <vt:variant>
        <vt:i4>111</vt:i4>
      </vt:variant>
      <vt:variant>
        <vt:i4>0</vt:i4>
      </vt:variant>
      <vt:variant>
        <vt:i4>5</vt:i4>
      </vt:variant>
      <vt:variant>
        <vt:lpwstr>http://www.nevo.co.il/case/24975721</vt:lpwstr>
      </vt:variant>
      <vt:variant>
        <vt:lpwstr/>
      </vt:variant>
      <vt:variant>
        <vt:i4>3276919</vt:i4>
      </vt:variant>
      <vt:variant>
        <vt:i4>108</vt:i4>
      </vt:variant>
      <vt:variant>
        <vt:i4>0</vt:i4>
      </vt:variant>
      <vt:variant>
        <vt:i4>5</vt:i4>
      </vt:variant>
      <vt:variant>
        <vt:lpwstr>http://www.nevo.co.il/case/23226247</vt:lpwstr>
      </vt:variant>
      <vt:variant>
        <vt:lpwstr/>
      </vt:variant>
      <vt:variant>
        <vt:i4>3801213</vt:i4>
      </vt:variant>
      <vt:variant>
        <vt:i4>105</vt:i4>
      </vt:variant>
      <vt:variant>
        <vt:i4>0</vt:i4>
      </vt:variant>
      <vt:variant>
        <vt:i4>5</vt:i4>
      </vt:variant>
      <vt:variant>
        <vt:lpwstr>http://www.nevo.co.il/case/25589445</vt:lpwstr>
      </vt:variant>
      <vt:variant>
        <vt:lpwstr/>
      </vt:variant>
      <vt:variant>
        <vt:i4>3801201</vt:i4>
      </vt:variant>
      <vt:variant>
        <vt:i4>102</vt:i4>
      </vt:variant>
      <vt:variant>
        <vt:i4>0</vt:i4>
      </vt:variant>
      <vt:variant>
        <vt:i4>5</vt:i4>
      </vt:variant>
      <vt:variant>
        <vt:lpwstr>http://www.nevo.co.il/case/24212088</vt:lpwstr>
      </vt:variant>
      <vt:variant>
        <vt:lpwstr/>
      </vt:variant>
      <vt:variant>
        <vt:i4>3801202</vt:i4>
      </vt:variant>
      <vt:variant>
        <vt:i4>99</vt:i4>
      </vt:variant>
      <vt:variant>
        <vt:i4>0</vt:i4>
      </vt:variant>
      <vt:variant>
        <vt:i4>5</vt:i4>
      </vt:variant>
      <vt:variant>
        <vt:lpwstr>http://www.nevo.co.il/case/26323289</vt:lpwstr>
      </vt:variant>
      <vt:variant>
        <vt:lpwstr/>
      </vt:variant>
      <vt:variant>
        <vt:i4>3801205</vt:i4>
      </vt:variant>
      <vt:variant>
        <vt:i4>96</vt:i4>
      </vt:variant>
      <vt:variant>
        <vt:i4>0</vt:i4>
      </vt:variant>
      <vt:variant>
        <vt:i4>5</vt:i4>
      </vt:variant>
      <vt:variant>
        <vt:lpwstr>http://www.nevo.co.il/case/28180190</vt:lpwstr>
      </vt:variant>
      <vt:variant>
        <vt:lpwstr/>
      </vt:variant>
      <vt:variant>
        <vt:i4>3145849</vt:i4>
      </vt:variant>
      <vt:variant>
        <vt:i4>93</vt:i4>
      </vt:variant>
      <vt:variant>
        <vt:i4>0</vt:i4>
      </vt:variant>
      <vt:variant>
        <vt:i4>5</vt:i4>
      </vt:variant>
      <vt:variant>
        <vt:lpwstr>http://www.nevo.co.il/case/28262326</vt:lpwstr>
      </vt:variant>
      <vt:variant>
        <vt:lpwstr/>
      </vt:variant>
      <vt:variant>
        <vt:i4>3145849</vt:i4>
      </vt:variant>
      <vt:variant>
        <vt:i4>90</vt:i4>
      </vt:variant>
      <vt:variant>
        <vt:i4>0</vt:i4>
      </vt:variant>
      <vt:variant>
        <vt:i4>5</vt:i4>
      </vt:variant>
      <vt:variant>
        <vt:lpwstr>http://www.nevo.co.il/case/28262326</vt:lpwstr>
      </vt:variant>
      <vt:variant>
        <vt:lpwstr/>
      </vt:variant>
      <vt:variant>
        <vt:i4>3276918</vt:i4>
      </vt:variant>
      <vt:variant>
        <vt:i4>87</vt:i4>
      </vt:variant>
      <vt:variant>
        <vt:i4>0</vt:i4>
      </vt:variant>
      <vt:variant>
        <vt:i4>5</vt:i4>
      </vt:variant>
      <vt:variant>
        <vt:lpwstr>http://www.nevo.co.il/case/28920896</vt:lpwstr>
      </vt:variant>
      <vt:variant>
        <vt:lpwstr/>
      </vt:variant>
      <vt:variant>
        <vt:i4>3932285</vt:i4>
      </vt:variant>
      <vt:variant>
        <vt:i4>84</vt:i4>
      </vt:variant>
      <vt:variant>
        <vt:i4>0</vt:i4>
      </vt:variant>
      <vt:variant>
        <vt:i4>5</vt:i4>
      </vt:variant>
      <vt:variant>
        <vt:lpwstr>http://www.nevo.co.il/case/28770694</vt:lpwstr>
      </vt:variant>
      <vt:variant>
        <vt:lpwstr/>
      </vt:variant>
      <vt:variant>
        <vt:i4>3997814</vt:i4>
      </vt:variant>
      <vt:variant>
        <vt:i4>81</vt:i4>
      </vt:variant>
      <vt:variant>
        <vt:i4>0</vt:i4>
      </vt:variant>
      <vt:variant>
        <vt:i4>5</vt:i4>
      </vt:variant>
      <vt:variant>
        <vt:lpwstr>http://www.nevo.co.il/case/5587202</vt:lpwstr>
      </vt:variant>
      <vt:variant>
        <vt:lpwstr/>
      </vt:variant>
      <vt:variant>
        <vt:i4>3539067</vt:i4>
      </vt:variant>
      <vt:variant>
        <vt:i4>78</vt:i4>
      </vt:variant>
      <vt:variant>
        <vt:i4>0</vt:i4>
      </vt:variant>
      <vt:variant>
        <vt:i4>5</vt:i4>
      </vt:variant>
      <vt:variant>
        <vt:lpwstr>http://www.nevo.co.il/case/28266102</vt:lpwstr>
      </vt:variant>
      <vt:variant>
        <vt:lpwstr/>
      </vt:variant>
      <vt:variant>
        <vt:i4>3932285</vt:i4>
      </vt:variant>
      <vt:variant>
        <vt:i4>75</vt:i4>
      </vt:variant>
      <vt:variant>
        <vt:i4>0</vt:i4>
      </vt:variant>
      <vt:variant>
        <vt:i4>5</vt:i4>
      </vt:variant>
      <vt:variant>
        <vt:lpwstr>http://www.nevo.co.il/case/28770694</vt:lpwstr>
      </vt:variant>
      <vt:variant>
        <vt:lpwstr/>
      </vt:variant>
      <vt:variant>
        <vt:i4>3866746</vt:i4>
      </vt:variant>
      <vt:variant>
        <vt:i4>72</vt:i4>
      </vt:variant>
      <vt:variant>
        <vt:i4>0</vt:i4>
      </vt:variant>
      <vt:variant>
        <vt:i4>5</vt:i4>
      </vt:variant>
      <vt:variant>
        <vt:lpwstr>http://www.nevo.co.il/case/7980175</vt:lpwstr>
      </vt:variant>
      <vt:variant>
        <vt:lpwstr/>
      </vt:variant>
      <vt:variant>
        <vt:i4>3539061</vt:i4>
      </vt:variant>
      <vt:variant>
        <vt:i4>69</vt:i4>
      </vt:variant>
      <vt:variant>
        <vt:i4>0</vt:i4>
      </vt:variant>
      <vt:variant>
        <vt:i4>5</vt:i4>
      </vt:variant>
      <vt:variant>
        <vt:lpwstr>http://www.nevo.co.il/case/5601467</vt:lpwstr>
      </vt:variant>
      <vt:variant>
        <vt:lpwstr/>
      </vt:variant>
      <vt:variant>
        <vt:i4>3211384</vt:i4>
      </vt:variant>
      <vt:variant>
        <vt:i4>66</vt:i4>
      </vt:variant>
      <vt:variant>
        <vt:i4>0</vt:i4>
      </vt:variant>
      <vt:variant>
        <vt:i4>5</vt:i4>
      </vt:variant>
      <vt:variant>
        <vt:lpwstr>http://www.nevo.co.il/case/5845414</vt:lpwstr>
      </vt:variant>
      <vt:variant>
        <vt:lpwstr/>
      </vt:variant>
      <vt:variant>
        <vt:i4>3276918</vt:i4>
      </vt:variant>
      <vt:variant>
        <vt:i4>63</vt:i4>
      </vt:variant>
      <vt:variant>
        <vt:i4>0</vt:i4>
      </vt:variant>
      <vt:variant>
        <vt:i4>5</vt:i4>
      </vt:variant>
      <vt:variant>
        <vt:lpwstr>http://www.nevo.co.il/case/28920896</vt:lpwstr>
      </vt:variant>
      <vt:variant>
        <vt:lpwstr/>
      </vt:variant>
      <vt:variant>
        <vt:i4>7143526</vt:i4>
      </vt:variant>
      <vt:variant>
        <vt:i4>60</vt:i4>
      </vt:variant>
      <vt:variant>
        <vt:i4>0</vt:i4>
      </vt:variant>
      <vt:variant>
        <vt:i4>5</vt:i4>
      </vt:variant>
      <vt:variant>
        <vt:lpwstr>http://www.nevo.co.il/law/70301/384</vt:lpwstr>
      </vt:variant>
      <vt:variant>
        <vt:lpwstr/>
      </vt:variant>
      <vt:variant>
        <vt:i4>4390994</vt:i4>
      </vt:variant>
      <vt:variant>
        <vt:i4>57</vt:i4>
      </vt:variant>
      <vt:variant>
        <vt:i4>0</vt:i4>
      </vt:variant>
      <vt:variant>
        <vt:i4>5</vt:i4>
      </vt:variant>
      <vt:variant>
        <vt:lpwstr>http://www.nevo.co.il/law/70301/186.a</vt:lpwstr>
      </vt:variant>
      <vt:variant>
        <vt:lpwstr/>
      </vt:variant>
      <vt:variant>
        <vt:i4>8257637</vt:i4>
      </vt:variant>
      <vt:variant>
        <vt:i4>54</vt:i4>
      </vt:variant>
      <vt:variant>
        <vt:i4>0</vt:i4>
      </vt:variant>
      <vt:variant>
        <vt:i4>5</vt:i4>
      </vt:variant>
      <vt:variant>
        <vt:lpwstr>http://www.nevo.co.il/law/4216</vt:lpwstr>
      </vt:variant>
      <vt:variant>
        <vt:lpwstr/>
      </vt:variant>
      <vt:variant>
        <vt:i4>2752612</vt:i4>
      </vt:variant>
      <vt:variant>
        <vt:i4>51</vt:i4>
      </vt:variant>
      <vt:variant>
        <vt:i4>0</vt:i4>
      </vt:variant>
      <vt:variant>
        <vt:i4>5</vt:i4>
      </vt:variant>
      <vt:variant>
        <vt:lpwstr>http://www.nevo.co.il/law/4216/7.c</vt:lpwstr>
      </vt:variant>
      <vt:variant>
        <vt:lpwstr/>
      </vt:variant>
      <vt:variant>
        <vt:i4>2621540</vt:i4>
      </vt:variant>
      <vt:variant>
        <vt:i4>48</vt:i4>
      </vt:variant>
      <vt:variant>
        <vt:i4>0</vt:i4>
      </vt:variant>
      <vt:variant>
        <vt:i4>5</vt:i4>
      </vt:variant>
      <vt:variant>
        <vt:lpwstr>http://www.nevo.co.il/law/4216/7.a</vt:lpwstr>
      </vt:variant>
      <vt:variant>
        <vt:lpwstr/>
      </vt:variant>
      <vt:variant>
        <vt:i4>6619233</vt:i4>
      </vt:variant>
      <vt:variant>
        <vt:i4>45</vt:i4>
      </vt:variant>
      <vt:variant>
        <vt:i4>0</vt:i4>
      </vt:variant>
      <vt:variant>
        <vt:i4>5</vt:i4>
      </vt:variant>
      <vt:variant>
        <vt:lpwstr>http://www.nevo.co.il/law/70301/409</vt:lpwstr>
      </vt:variant>
      <vt:variant>
        <vt:lpwstr/>
      </vt:variant>
      <vt:variant>
        <vt:i4>458834</vt:i4>
      </vt:variant>
      <vt:variant>
        <vt:i4>42</vt:i4>
      </vt:variant>
      <vt:variant>
        <vt:i4>0</vt:i4>
      </vt:variant>
      <vt:variant>
        <vt:i4>5</vt:i4>
      </vt:variant>
      <vt:variant>
        <vt:lpwstr>http://www.nevo.co.il/law/70301/413c</vt:lpwstr>
      </vt:variant>
      <vt:variant>
        <vt:lpwstr/>
      </vt:variant>
      <vt:variant>
        <vt:i4>3145841</vt:i4>
      </vt:variant>
      <vt:variant>
        <vt:i4>39</vt:i4>
      </vt:variant>
      <vt:variant>
        <vt:i4>0</vt:i4>
      </vt:variant>
      <vt:variant>
        <vt:i4>5</vt:i4>
      </vt:variant>
      <vt:variant>
        <vt:lpwstr>http://www.nevo.co.il/case/27671554</vt:lpwstr>
      </vt:variant>
      <vt:variant>
        <vt:lpwstr/>
      </vt:variant>
      <vt:variant>
        <vt:i4>7077991</vt:i4>
      </vt:variant>
      <vt:variant>
        <vt:i4>36</vt:i4>
      </vt:variant>
      <vt:variant>
        <vt:i4>0</vt:i4>
      </vt:variant>
      <vt:variant>
        <vt:i4>5</vt:i4>
      </vt:variant>
      <vt:variant>
        <vt:lpwstr>http://www.nevo.co.il/law/70301/29</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5177433</vt:i4>
      </vt:variant>
      <vt:variant>
        <vt:i4>30</vt:i4>
      </vt:variant>
      <vt:variant>
        <vt:i4>0</vt:i4>
      </vt:variant>
      <vt:variant>
        <vt:i4>5</vt:i4>
      </vt:variant>
      <vt:variant>
        <vt:lpwstr>http://www.nevo.co.il/law/70301/448.a</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5177433</vt:i4>
      </vt:variant>
      <vt:variant>
        <vt:i4>18</vt:i4>
      </vt:variant>
      <vt:variant>
        <vt:i4>0</vt:i4>
      </vt:variant>
      <vt:variant>
        <vt:i4>5</vt:i4>
      </vt:variant>
      <vt:variant>
        <vt:lpwstr>http://www.nevo.co.il/law/70301/448.a</vt:lpwstr>
      </vt:variant>
      <vt:variant>
        <vt:lpwstr/>
      </vt:variant>
      <vt:variant>
        <vt:i4>458834</vt:i4>
      </vt:variant>
      <vt:variant>
        <vt:i4>15</vt:i4>
      </vt:variant>
      <vt:variant>
        <vt:i4>0</vt:i4>
      </vt:variant>
      <vt:variant>
        <vt:i4>5</vt:i4>
      </vt:variant>
      <vt:variant>
        <vt:lpwstr>http://www.nevo.co.il/law/70301/413c</vt:lpwstr>
      </vt:variant>
      <vt:variant>
        <vt:lpwstr/>
      </vt:variant>
      <vt:variant>
        <vt:i4>6619233</vt:i4>
      </vt:variant>
      <vt:variant>
        <vt:i4>12</vt:i4>
      </vt:variant>
      <vt:variant>
        <vt:i4>0</vt:i4>
      </vt:variant>
      <vt:variant>
        <vt:i4>5</vt:i4>
      </vt:variant>
      <vt:variant>
        <vt:lpwstr>http://www.nevo.co.il/law/70301/409</vt:lpwstr>
      </vt:variant>
      <vt:variant>
        <vt:lpwstr/>
      </vt:variant>
      <vt:variant>
        <vt:i4>7143526</vt:i4>
      </vt:variant>
      <vt:variant>
        <vt:i4>9</vt:i4>
      </vt:variant>
      <vt:variant>
        <vt:i4>0</vt:i4>
      </vt:variant>
      <vt:variant>
        <vt:i4>5</vt:i4>
      </vt:variant>
      <vt:variant>
        <vt:lpwstr>http://www.nevo.co.il/law/70301/384</vt:lpwstr>
      </vt:variant>
      <vt:variant>
        <vt:lpwstr/>
      </vt:variant>
      <vt:variant>
        <vt:i4>4390994</vt:i4>
      </vt:variant>
      <vt:variant>
        <vt:i4>6</vt:i4>
      </vt:variant>
      <vt:variant>
        <vt:i4>0</vt:i4>
      </vt:variant>
      <vt:variant>
        <vt:i4>5</vt:i4>
      </vt:variant>
      <vt:variant>
        <vt:lpwstr>http://www.nevo.co.il/law/70301/186.a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2025-04-22T21:24:00Z</dcterms:created>
  <dcterms:modified xsi:type="dcterms:W3CDTF">2025-04-22T21:24:00Z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10639</vt:lpwstr>
  </property>
  <property fmtid="{D5CDD505-2E9C-101B-9397-08002B2CF9AE}" pid="6" name="NEWPARTB">
    <vt:lpwstr>08</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נאור מלכה</vt:lpwstr>
  </property>
  <property fmtid="{D5CDD505-2E9C-101B-9397-08002B2CF9AE}" pid="10" name="LAWYER">
    <vt:lpwstr>גבי טראנשווילי;בני ליבסקינד</vt:lpwstr>
  </property>
  <property fmtid="{D5CDD505-2E9C-101B-9397-08002B2CF9AE}" pid="11" name="JUDGE">
    <vt:lpwstr>אילן סלע</vt:lpwstr>
  </property>
  <property fmtid="{D5CDD505-2E9C-101B-9397-08002B2CF9AE}" pid="12" name="CITY">
    <vt:lpwstr>י-ם</vt:lpwstr>
  </property>
  <property fmtid="{D5CDD505-2E9C-101B-9397-08002B2CF9AE}" pid="13" name="DATE">
    <vt:lpwstr>20230322</vt:lpwstr>
  </property>
  <property fmtid="{D5CDD505-2E9C-101B-9397-08002B2CF9AE}" pid="14" name="TYPE_N_DATE">
    <vt:lpwstr>39020230322</vt:lpwstr>
  </property>
  <property fmtid="{D5CDD505-2E9C-101B-9397-08002B2CF9AE}" pid="15" name="WORDNUMPAGES">
    <vt:lpwstr>10</vt:lpwstr>
  </property>
  <property fmtid="{D5CDD505-2E9C-101B-9397-08002B2CF9AE}" pid="16" name="TYPE_ABS_DATE">
    <vt:lpwstr>390020230322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27671554:2;28920896:2;5845414;5601467;7980175;28770694:2;28266102;5587202;28262326:2;28180190;26323289;24212088;25589445;23226247;24975721;26699666;26280650;28279783;28442197;25627718;28830701</vt:lpwstr>
  </property>
  <property fmtid="{D5CDD505-2E9C-101B-9397-08002B2CF9AE}" pid="36" name="LAWLISTTMP1">
    <vt:lpwstr>70301/448.a;029;413c;409;186.a;384</vt:lpwstr>
  </property>
  <property fmtid="{D5CDD505-2E9C-101B-9397-08002B2CF9AE}" pid="37" name="LAWLISTTMP2">
    <vt:lpwstr>4216/007.a;007.c</vt:lpwstr>
  </property>
</Properties>
</file>