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02" w:type="dxa"/>
        <w:jc w:val="center"/>
        <w:tblLook w:val="0000" w:firstRow="0" w:lastRow="0" w:firstColumn="0" w:lastColumn="0" w:noHBand="0" w:noVBand="0"/>
      </w:tblPr>
      <w:tblGrid>
        <w:gridCol w:w="28"/>
        <w:gridCol w:w="3212"/>
        <w:gridCol w:w="1842"/>
        <w:gridCol w:w="3667"/>
        <w:gridCol w:w="53"/>
      </w:tblGrid>
      <w:tr w:rsidR="00184D68" w:rsidRPr="00785C36" w14:paraId="2AC113B7" w14:textId="77777777" w:rsidTr="00F30310">
        <w:trPr>
          <w:gridBefore w:val="1"/>
          <w:gridAfter w:val="1"/>
          <w:wBefore w:w="28" w:type="dxa"/>
          <w:wAfter w:w="53" w:type="dxa"/>
          <w:trHeight w:hRule="exact" w:val="418"/>
          <w:jc w:val="center"/>
        </w:trPr>
        <w:tc>
          <w:tcPr>
            <w:tcW w:w="8721" w:type="dxa"/>
            <w:gridSpan w:val="3"/>
          </w:tcPr>
          <w:p w14:paraId="17581F9A" w14:textId="77777777" w:rsidR="00184D68" w:rsidRPr="00785C36" w:rsidRDefault="00184D68" w:rsidP="008856FA">
            <w:pPr>
              <w:pStyle w:val="a3"/>
              <w:jc w:val="center"/>
              <w:rPr>
                <w:rFonts w:ascii="Tahoma" w:hAnsi="Tahoma" w:cs="Tahoma"/>
                <w:color w:val="000080"/>
                <w:rtl/>
              </w:rPr>
            </w:pPr>
            <w:bookmarkStart w:id="0" w:name="LastJudge"/>
            <w:r w:rsidRPr="00785C36">
              <w:rPr>
                <w:rFonts w:ascii="Tahoma" w:hAnsi="Tahoma" w:cs="Tahoma"/>
                <w:b/>
                <w:bCs/>
                <w:color w:val="000080"/>
                <w:rtl/>
              </w:rPr>
              <w:t>בית המשפט המחוזי בחיפה</w:t>
            </w:r>
          </w:p>
        </w:tc>
      </w:tr>
      <w:tr w:rsidR="00184D68" w:rsidRPr="00785C36" w14:paraId="3C11A8DA" w14:textId="77777777" w:rsidTr="00F30310">
        <w:trPr>
          <w:gridBefore w:val="1"/>
          <w:gridAfter w:val="1"/>
          <w:wBefore w:w="28" w:type="dxa"/>
          <w:wAfter w:w="53" w:type="dxa"/>
          <w:trHeight w:val="337"/>
          <w:jc w:val="center"/>
        </w:trPr>
        <w:tc>
          <w:tcPr>
            <w:tcW w:w="5054" w:type="dxa"/>
            <w:gridSpan w:val="2"/>
          </w:tcPr>
          <w:p w14:paraId="4C1E12DF" w14:textId="77777777" w:rsidR="00184D68" w:rsidRPr="00785C36" w:rsidRDefault="00184D68" w:rsidP="008856FA">
            <w:pPr>
              <w:rPr>
                <w:b/>
                <w:bCs/>
                <w:rtl/>
              </w:rPr>
            </w:pPr>
            <w:r w:rsidRPr="00785C36">
              <w:rPr>
                <w:b/>
                <w:bCs/>
                <w:rtl/>
              </w:rPr>
              <w:t>ת"פ</w:t>
            </w:r>
            <w:r w:rsidRPr="00785C36">
              <w:rPr>
                <w:rFonts w:hint="cs"/>
                <w:b/>
                <w:bCs/>
                <w:rtl/>
              </w:rPr>
              <w:t xml:space="preserve"> </w:t>
            </w:r>
            <w:r w:rsidRPr="00785C36">
              <w:rPr>
                <w:b/>
                <w:bCs/>
                <w:rtl/>
              </w:rPr>
              <w:t>4261-09-22</w:t>
            </w:r>
            <w:r w:rsidRPr="00785C36">
              <w:rPr>
                <w:rFonts w:hint="cs"/>
                <w:b/>
                <w:bCs/>
                <w:rtl/>
              </w:rPr>
              <w:t xml:space="preserve"> </w:t>
            </w:r>
            <w:r w:rsidRPr="00785C36">
              <w:rPr>
                <w:b/>
                <w:bCs/>
                <w:rtl/>
              </w:rPr>
              <w:t>מדינת ישראל נ' אבו זיד</w:t>
            </w:r>
            <w:r w:rsidRPr="00785C36">
              <w:rPr>
                <w:rFonts w:hint="cs"/>
                <w:b/>
                <w:bCs/>
                <w:rtl/>
              </w:rPr>
              <w:t xml:space="preserve"> </w:t>
            </w:r>
            <w:r w:rsidRPr="00785C36">
              <w:rPr>
                <w:b/>
                <w:bCs/>
                <w:rtl/>
              </w:rPr>
              <w:t>(עציר)</w:t>
            </w:r>
          </w:p>
        </w:tc>
        <w:tc>
          <w:tcPr>
            <w:tcW w:w="3667" w:type="dxa"/>
          </w:tcPr>
          <w:p w14:paraId="38C6C21D" w14:textId="77777777" w:rsidR="00184D68" w:rsidRPr="00785C36" w:rsidRDefault="00184D68" w:rsidP="008856FA">
            <w:pPr>
              <w:pStyle w:val="a3"/>
              <w:jc w:val="right"/>
              <w:rPr>
                <w:rFonts w:cs="FrankRuehl"/>
                <w:sz w:val="28"/>
                <w:szCs w:val="28"/>
                <w:rtl/>
              </w:rPr>
            </w:pPr>
          </w:p>
        </w:tc>
      </w:tr>
      <w:tr w:rsidR="00184D68" w:rsidRPr="00785C36" w14:paraId="48AA5363" w14:textId="77777777" w:rsidTr="00F30310">
        <w:tblPrEx>
          <w:jc w:val="left"/>
          <w:tblInd w:w="-28" w:type="dxa"/>
          <w:tblLook w:val="01E0" w:firstRow="1" w:lastRow="1" w:firstColumn="1" w:lastColumn="1" w:noHBand="0" w:noVBand="0"/>
        </w:tblPrEx>
        <w:tc>
          <w:tcPr>
            <w:tcW w:w="8802" w:type="dxa"/>
            <w:gridSpan w:val="5"/>
            <w:shd w:val="clear" w:color="auto" w:fill="auto"/>
          </w:tcPr>
          <w:p w14:paraId="0C8796A1" w14:textId="77777777" w:rsidR="00184D68" w:rsidRPr="00785C36" w:rsidRDefault="00184D68" w:rsidP="008856FA">
            <w:pPr>
              <w:rPr>
                <w:b/>
                <w:bCs/>
              </w:rPr>
            </w:pPr>
            <w:r w:rsidRPr="00785C36">
              <w:rPr>
                <w:rFonts w:hint="cs"/>
                <w:rtl/>
              </w:rPr>
              <w:t xml:space="preserve"> </w:t>
            </w:r>
            <w:r w:rsidRPr="00785C36">
              <w:rPr>
                <w:rFonts w:hint="cs"/>
                <w:b/>
                <w:bCs/>
                <w:rtl/>
              </w:rPr>
              <w:t>לפני כבוד השופט אמיר טובי, שופט בכיר</w:t>
            </w:r>
          </w:p>
        </w:tc>
      </w:tr>
      <w:tr w:rsidR="00184D68" w:rsidRPr="00785C36" w14:paraId="03B431E6" w14:textId="77777777" w:rsidTr="00F30310">
        <w:tblPrEx>
          <w:jc w:val="left"/>
          <w:tblInd w:w="-28" w:type="dxa"/>
          <w:tblLook w:val="01E0" w:firstRow="1" w:lastRow="1" w:firstColumn="1" w:lastColumn="1" w:noHBand="0" w:noVBand="0"/>
        </w:tblPrEx>
        <w:tc>
          <w:tcPr>
            <w:tcW w:w="3240" w:type="dxa"/>
            <w:gridSpan w:val="2"/>
            <w:shd w:val="clear" w:color="auto" w:fill="auto"/>
          </w:tcPr>
          <w:p w14:paraId="494DDFF2" w14:textId="77777777" w:rsidR="00184D68" w:rsidRPr="00785C36" w:rsidRDefault="00184D68" w:rsidP="00184D68">
            <w:pPr>
              <w:ind w:left="26"/>
              <w:rPr>
                <w:b/>
                <w:bCs/>
                <w:rtl/>
              </w:rPr>
            </w:pPr>
            <w:bookmarkStart w:id="1" w:name="FirstAppellant"/>
          </w:p>
          <w:p w14:paraId="4B951EBB" w14:textId="77777777" w:rsidR="00184D68" w:rsidRPr="00785C36" w:rsidRDefault="00184D68" w:rsidP="00184D68">
            <w:pPr>
              <w:ind w:left="26"/>
              <w:rPr>
                <w:b/>
                <w:bCs/>
                <w:rtl/>
              </w:rPr>
            </w:pPr>
            <w:r w:rsidRPr="00785C36">
              <w:rPr>
                <w:rFonts w:hint="cs"/>
                <w:b/>
                <w:bCs/>
                <w:rtl/>
              </w:rPr>
              <w:t>המאשימה</w:t>
            </w:r>
          </w:p>
        </w:tc>
        <w:tc>
          <w:tcPr>
            <w:tcW w:w="5562" w:type="dxa"/>
            <w:gridSpan w:val="3"/>
            <w:shd w:val="clear" w:color="auto" w:fill="auto"/>
          </w:tcPr>
          <w:p w14:paraId="32C8C147" w14:textId="77777777" w:rsidR="00184D68" w:rsidRPr="00785C36" w:rsidRDefault="00184D68" w:rsidP="008856FA">
            <w:pPr>
              <w:rPr>
                <w:b/>
                <w:bCs/>
                <w:rtl/>
              </w:rPr>
            </w:pPr>
          </w:p>
          <w:p w14:paraId="5AAB965C" w14:textId="77777777" w:rsidR="00184D68" w:rsidRPr="00785C36" w:rsidRDefault="00184D68" w:rsidP="008856FA">
            <w:pPr>
              <w:rPr>
                <w:b/>
                <w:bCs/>
                <w:rtl/>
              </w:rPr>
            </w:pPr>
            <w:r w:rsidRPr="00785C36">
              <w:rPr>
                <w:rFonts w:hint="cs"/>
                <w:b/>
                <w:bCs/>
                <w:rtl/>
              </w:rPr>
              <w:t>מדינת ישראל</w:t>
            </w:r>
          </w:p>
        </w:tc>
      </w:tr>
      <w:bookmarkEnd w:id="1"/>
      <w:tr w:rsidR="00184D68" w:rsidRPr="00785C36" w14:paraId="71202F76" w14:textId="77777777" w:rsidTr="00F30310">
        <w:tblPrEx>
          <w:jc w:val="left"/>
          <w:tblInd w:w="-28" w:type="dxa"/>
          <w:tblLook w:val="01E0" w:firstRow="1" w:lastRow="1" w:firstColumn="1" w:lastColumn="1" w:noHBand="0" w:noVBand="0"/>
        </w:tblPrEx>
        <w:tc>
          <w:tcPr>
            <w:tcW w:w="8802" w:type="dxa"/>
            <w:gridSpan w:val="5"/>
            <w:shd w:val="clear" w:color="auto" w:fill="auto"/>
          </w:tcPr>
          <w:p w14:paraId="32EAFC4D" w14:textId="77777777" w:rsidR="00184D68" w:rsidRPr="00785C36" w:rsidRDefault="00184D68" w:rsidP="00184D68">
            <w:pPr>
              <w:jc w:val="both"/>
              <w:rPr>
                <w:rFonts w:ascii="Arial" w:hAnsi="Arial"/>
                <w:b/>
                <w:bCs/>
                <w:rtl/>
              </w:rPr>
            </w:pPr>
          </w:p>
          <w:p w14:paraId="7BDDF534" w14:textId="77777777" w:rsidR="00184D68" w:rsidRPr="00785C36" w:rsidRDefault="00184D68" w:rsidP="00184D68">
            <w:pPr>
              <w:jc w:val="center"/>
              <w:rPr>
                <w:rFonts w:ascii="Arial" w:hAnsi="Arial"/>
                <w:b/>
                <w:bCs/>
                <w:rtl/>
              </w:rPr>
            </w:pPr>
            <w:r w:rsidRPr="00785C36">
              <w:rPr>
                <w:rFonts w:ascii="Arial" w:hAnsi="Arial" w:hint="cs"/>
                <w:b/>
                <w:bCs/>
                <w:rtl/>
              </w:rPr>
              <w:t>נגד</w:t>
            </w:r>
          </w:p>
          <w:p w14:paraId="0D14C6ED" w14:textId="77777777" w:rsidR="00184D68" w:rsidRPr="00785C36" w:rsidRDefault="00184D68" w:rsidP="00184D68">
            <w:pPr>
              <w:jc w:val="center"/>
              <w:rPr>
                <w:rFonts w:ascii="Arial" w:hAnsi="Arial"/>
                <w:b/>
                <w:bCs/>
                <w:rtl/>
              </w:rPr>
            </w:pPr>
          </w:p>
        </w:tc>
      </w:tr>
      <w:tr w:rsidR="00184D68" w:rsidRPr="00785C36" w14:paraId="38B0EA0E" w14:textId="77777777" w:rsidTr="00F30310">
        <w:tblPrEx>
          <w:jc w:val="left"/>
          <w:tblInd w:w="-28" w:type="dxa"/>
          <w:tblLook w:val="01E0" w:firstRow="1" w:lastRow="1" w:firstColumn="1" w:lastColumn="1" w:noHBand="0" w:noVBand="0"/>
        </w:tblPrEx>
        <w:tc>
          <w:tcPr>
            <w:tcW w:w="3240" w:type="dxa"/>
            <w:gridSpan w:val="2"/>
            <w:shd w:val="clear" w:color="auto" w:fill="auto"/>
          </w:tcPr>
          <w:p w14:paraId="7AC9B900" w14:textId="77777777" w:rsidR="00184D68" w:rsidRPr="00785C36" w:rsidRDefault="00184D68" w:rsidP="00184D68">
            <w:pPr>
              <w:ind w:left="26"/>
              <w:rPr>
                <w:b/>
                <w:bCs/>
              </w:rPr>
            </w:pPr>
            <w:r w:rsidRPr="00785C36">
              <w:rPr>
                <w:rFonts w:hint="cs"/>
                <w:b/>
                <w:bCs/>
                <w:rtl/>
              </w:rPr>
              <w:t>הנאשם</w:t>
            </w:r>
          </w:p>
        </w:tc>
        <w:tc>
          <w:tcPr>
            <w:tcW w:w="5562" w:type="dxa"/>
            <w:gridSpan w:val="3"/>
            <w:shd w:val="clear" w:color="auto" w:fill="auto"/>
          </w:tcPr>
          <w:p w14:paraId="27CB2E03" w14:textId="77777777" w:rsidR="00184D68" w:rsidRPr="00785C36" w:rsidRDefault="00184D68" w:rsidP="008856FA">
            <w:pPr>
              <w:rPr>
                <w:b/>
                <w:bCs/>
                <w:rtl/>
              </w:rPr>
            </w:pPr>
            <w:r w:rsidRPr="00785C36">
              <w:rPr>
                <w:rFonts w:hint="cs"/>
                <w:b/>
                <w:bCs/>
                <w:rtl/>
              </w:rPr>
              <w:t xml:space="preserve">קאסם אבו זיד, ת"ז </w:t>
            </w:r>
            <w:r w:rsidR="00785C36">
              <w:rPr>
                <w:b/>
                <w:bCs/>
              </w:rPr>
              <w:t>xxxxxxxx</w:t>
            </w:r>
          </w:p>
        </w:tc>
      </w:tr>
    </w:tbl>
    <w:p w14:paraId="760FE111" w14:textId="77777777" w:rsidR="00184D68" w:rsidRPr="00785C36" w:rsidRDefault="00184D68" w:rsidP="00184D68">
      <w:pPr>
        <w:rPr>
          <w:rtl/>
        </w:rPr>
      </w:pPr>
    </w:p>
    <w:p w14:paraId="5A3A3C0A" w14:textId="77777777" w:rsidR="00184D68" w:rsidRPr="00785C36" w:rsidRDefault="00184D68" w:rsidP="00184D68">
      <w:pPr>
        <w:rPr>
          <w:b/>
          <w:bCs/>
          <w:rtl/>
        </w:rPr>
      </w:pPr>
      <w:r w:rsidRPr="00785C36">
        <w:rPr>
          <w:rFonts w:hint="cs"/>
          <w:b/>
          <w:bCs/>
          <w:rtl/>
        </w:rPr>
        <w:t>נוכחים:</w:t>
      </w:r>
    </w:p>
    <w:p w14:paraId="071E3702" w14:textId="77777777" w:rsidR="00184D68" w:rsidRPr="00785C36" w:rsidRDefault="00184D68" w:rsidP="00184D68">
      <w:pPr>
        <w:rPr>
          <w:rtl/>
        </w:rPr>
      </w:pPr>
      <w:bookmarkStart w:id="2" w:name="FirstLawyer"/>
      <w:r w:rsidRPr="00785C36">
        <w:rPr>
          <w:rFonts w:hint="cs"/>
          <w:rtl/>
        </w:rPr>
        <w:t>ב"כ</w:t>
      </w:r>
      <w:bookmarkEnd w:id="2"/>
      <w:r w:rsidRPr="00785C36">
        <w:rPr>
          <w:rFonts w:hint="cs"/>
          <w:rtl/>
        </w:rPr>
        <w:t xml:space="preserve"> המאשימה: עו"ד גדיר ברהום</w:t>
      </w:r>
    </w:p>
    <w:p w14:paraId="2D31065E" w14:textId="77777777" w:rsidR="00184D68" w:rsidRPr="00785C36" w:rsidRDefault="00184D68" w:rsidP="00184D68">
      <w:pPr>
        <w:rPr>
          <w:rtl/>
        </w:rPr>
      </w:pPr>
      <w:r w:rsidRPr="00785C36">
        <w:rPr>
          <w:rFonts w:hint="cs"/>
          <w:rtl/>
        </w:rPr>
        <w:t>ב"כ הנאשם: עו"ד יאיר נדשי (מטעם הסנגוריה הציבורית)</w:t>
      </w:r>
    </w:p>
    <w:p w14:paraId="4CCE184B" w14:textId="77777777" w:rsidR="00184D68" w:rsidRPr="00785C36" w:rsidRDefault="00184D68" w:rsidP="00184D68">
      <w:pPr>
        <w:rPr>
          <w:rtl/>
        </w:rPr>
      </w:pPr>
      <w:r w:rsidRPr="00785C36">
        <w:rPr>
          <w:rFonts w:hint="cs"/>
          <w:rtl/>
        </w:rPr>
        <w:t>הנאשם באמצעות הליווי</w:t>
      </w:r>
    </w:p>
    <w:p w14:paraId="1986CE6A" w14:textId="77777777" w:rsidR="00184D68" w:rsidRPr="00785C36" w:rsidRDefault="00184D68" w:rsidP="00184D68"/>
    <w:p w14:paraId="63A971D3" w14:textId="77777777" w:rsidR="00F30310" w:rsidRPr="00F30310" w:rsidRDefault="00F30310" w:rsidP="00F30310">
      <w:pPr>
        <w:spacing w:before="120" w:after="120" w:line="240" w:lineRule="exact"/>
        <w:ind w:left="283" w:hanging="283"/>
        <w:jc w:val="both"/>
        <w:rPr>
          <w:rFonts w:ascii="FrankRuehl" w:hAnsi="FrankRuehl" w:cs="FrankRuehl"/>
          <w:rtl/>
        </w:rPr>
      </w:pPr>
    </w:p>
    <w:p w14:paraId="7680AA21" w14:textId="77777777" w:rsidR="001A0AE3" w:rsidRPr="001A0AE3" w:rsidRDefault="001A0AE3" w:rsidP="001A0AE3">
      <w:pPr>
        <w:spacing w:before="120" w:after="120" w:line="240" w:lineRule="exact"/>
        <w:ind w:left="283" w:hanging="283"/>
        <w:jc w:val="both"/>
        <w:rPr>
          <w:rFonts w:ascii="FrankRuehl" w:hAnsi="FrankRuehl" w:cs="FrankRuehl"/>
          <w:rtl/>
        </w:rPr>
      </w:pPr>
    </w:p>
    <w:p w14:paraId="410BA535" w14:textId="77777777" w:rsidR="006F1A48" w:rsidRDefault="006F1A48" w:rsidP="006F1A48">
      <w:pPr>
        <w:rPr>
          <w:rFonts w:ascii="Arial" w:hAnsi="Arial"/>
          <w:rtl/>
        </w:rPr>
      </w:pPr>
      <w:bookmarkStart w:id="3" w:name="LawTable"/>
      <w:bookmarkEnd w:id="3"/>
    </w:p>
    <w:p w14:paraId="76CDA769" w14:textId="77777777" w:rsidR="006F1A48" w:rsidRPr="006F1A48" w:rsidRDefault="006F1A48" w:rsidP="006F1A48">
      <w:pPr>
        <w:spacing w:before="120" w:after="120" w:line="240" w:lineRule="exact"/>
        <w:ind w:left="283" w:hanging="283"/>
        <w:jc w:val="both"/>
        <w:rPr>
          <w:rFonts w:ascii="FrankRuehl" w:hAnsi="FrankRuehl" w:cs="FrankRuehl"/>
          <w:rtl/>
        </w:rPr>
      </w:pPr>
    </w:p>
    <w:p w14:paraId="4A9C5A16" w14:textId="77777777" w:rsidR="006F1A48" w:rsidRPr="006F1A48" w:rsidRDefault="006F1A48" w:rsidP="006F1A48">
      <w:pPr>
        <w:spacing w:before="120" w:after="120" w:line="240" w:lineRule="exact"/>
        <w:ind w:left="283" w:hanging="283"/>
        <w:jc w:val="both"/>
        <w:rPr>
          <w:rFonts w:ascii="FrankRuehl" w:hAnsi="FrankRuehl" w:cs="FrankRuehl"/>
          <w:rtl/>
        </w:rPr>
      </w:pPr>
    </w:p>
    <w:p w14:paraId="6B38CA0B" w14:textId="77777777" w:rsidR="006F1A48" w:rsidRPr="006F1A48" w:rsidRDefault="006F1A48" w:rsidP="006F1A48">
      <w:pPr>
        <w:spacing w:before="120" w:after="120" w:line="240" w:lineRule="exact"/>
        <w:ind w:left="283" w:hanging="283"/>
        <w:jc w:val="both"/>
        <w:rPr>
          <w:rFonts w:ascii="FrankRuehl" w:hAnsi="FrankRuehl" w:cs="FrankRuehl"/>
          <w:rtl/>
        </w:rPr>
      </w:pPr>
      <w:r w:rsidRPr="006F1A48">
        <w:rPr>
          <w:rFonts w:ascii="FrankRuehl" w:hAnsi="FrankRuehl" w:cs="FrankRuehl"/>
          <w:rtl/>
        </w:rPr>
        <w:t xml:space="preserve">חקיקה שאוזכרה: </w:t>
      </w:r>
    </w:p>
    <w:p w14:paraId="7CABEFD8" w14:textId="77777777" w:rsidR="006F1A48" w:rsidRPr="006F1A48" w:rsidRDefault="006F1A48" w:rsidP="006F1A48">
      <w:pPr>
        <w:spacing w:before="120" w:after="120" w:line="240" w:lineRule="exact"/>
        <w:ind w:left="283" w:hanging="283"/>
        <w:jc w:val="both"/>
        <w:rPr>
          <w:rFonts w:ascii="FrankRuehl" w:hAnsi="FrankRuehl" w:cs="FrankRuehl"/>
          <w:rtl/>
        </w:rPr>
      </w:pPr>
      <w:hyperlink r:id="rId6" w:history="1">
        <w:r w:rsidRPr="006F1A48">
          <w:rPr>
            <w:rFonts w:ascii="FrankRuehl" w:hAnsi="FrankRuehl" w:cs="FrankRuehl"/>
            <w:color w:val="0000FF"/>
            <w:rtl/>
          </w:rPr>
          <w:t>חוק העונשין, תשל"ז-1977</w:t>
        </w:r>
      </w:hyperlink>
      <w:r w:rsidRPr="006F1A48">
        <w:rPr>
          <w:rFonts w:ascii="FrankRuehl" w:hAnsi="FrankRuehl" w:cs="FrankRuehl"/>
          <w:rtl/>
        </w:rPr>
        <w:t xml:space="preserve">: סע'  </w:t>
      </w:r>
      <w:hyperlink r:id="rId7" w:history="1">
        <w:r w:rsidRPr="006F1A48">
          <w:rPr>
            <w:rFonts w:ascii="FrankRuehl" w:hAnsi="FrankRuehl" w:cs="FrankRuehl"/>
            <w:color w:val="0000FF"/>
            <w:rtl/>
          </w:rPr>
          <w:t>384</w:t>
        </w:r>
      </w:hyperlink>
      <w:r w:rsidRPr="006F1A48">
        <w:rPr>
          <w:rFonts w:ascii="FrankRuehl" w:hAnsi="FrankRuehl" w:cs="FrankRuehl"/>
          <w:rtl/>
        </w:rPr>
        <w:t xml:space="preserve">, </w:t>
      </w:r>
      <w:hyperlink r:id="rId8" w:history="1">
        <w:r w:rsidRPr="006F1A48">
          <w:rPr>
            <w:rFonts w:ascii="FrankRuehl" w:hAnsi="FrankRuehl" w:cs="FrankRuehl"/>
            <w:color w:val="0000FF"/>
            <w:rtl/>
          </w:rPr>
          <w:t>402(א)</w:t>
        </w:r>
      </w:hyperlink>
      <w:r w:rsidRPr="006F1A48">
        <w:rPr>
          <w:rFonts w:ascii="FrankRuehl" w:hAnsi="FrankRuehl" w:cs="FrankRuehl"/>
          <w:rtl/>
        </w:rPr>
        <w:t xml:space="preserve">, </w:t>
      </w:r>
      <w:hyperlink r:id="rId9" w:history="1">
        <w:r w:rsidRPr="006F1A48">
          <w:rPr>
            <w:rFonts w:ascii="FrankRuehl" w:hAnsi="FrankRuehl" w:cs="FrankRuehl"/>
            <w:color w:val="0000FF"/>
            <w:rtl/>
          </w:rPr>
          <w:t>407(א)</w:t>
        </w:r>
      </w:hyperlink>
      <w:r w:rsidRPr="006F1A48">
        <w:rPr>
          <w:rFonts w:ascii="FrankRuehl" w:hAnsi="FrankRuehl" w:cs="FrankRuehl"/>
          <w:rtl/>
        </w:rPr>
        <w:t xml:space="preserve">, </w:t>
      </w:r>
      <w:hyperlink r:id="rId10" w:history="1">
        <w:r w:rsidRPr="006F1A48">
          <w:rPr>
            <w:rFonts w:ascii="FrankRuehl" w:hAnsi="FrankRuehl" w:cs="FrankRuehl"/>
            <w:color w:val="0000FF"/>
            <w:rtl/>
          </w:rPr>
          <w:t>40יג</w:t>
        </w:r>
      </w:hyperlink>
      <w:r w:rsidRPr="006F1A48">
        <w:rPr>
          <w:rFonts w:ascii="FrankRuehl" w:hAnsi="FrankRuehl" w:cs="FrankRuehl"/>
          <w:rtl/>
        </w:rPr>
        <w:t xml:space="preserve">, </w:t>
      </w:r>
      <w:hyperlink r:id="rId11" w:history="1">
        <w:r w:rsidRPr="006F1A48">
          <w:rPr>
            <w:rFonts w:ascii="FrankRuehl" w:hAnsi="FrankRuehl" w:cs="FrankRuehl"/>
            <w:color w:val="0000FF"/>
            <w:rtl/>
          </w:rPr>
          <w:t>447(א)</w:t>
        </w:r>
      </w:hyperlink>
    </w:p>
    <w:p w14:paraId="6B1D2861" w14:textId="77777777" w:rsidR="006F1A48" w:rsidRPr="006F1A48" w:rsidRDefault="006F1A48" w:rsidP="006F1A48">
      <w:pPr>
        <w:spacing w:before="120" w:after="120" w:line="240" w:lineRule="exact"/>
        <w:ind w:left="283" w:hanging="283"/>
        <w:jc w:val="both"/>
        <w:rPr>
          <w:rFonts w:ascii="FrankRuehl" w:hAnsi="FrankRuehl" w:cs="FrankRuehl"/>
          <w:rtl/>
        </w:rPr>
      </w:pPr>
      <w:hyperlink r:id="rId12" w:history="1">
        <w:r w:rsidRPr="006F1A48">
          <w:rPr>
            <w:rFonts w:ascii="FrankRuehl" w:hAnsi="FrankRuehl" w:cs="FrankRuehl"/>
            <w:color w:val="0000FF"/>
            <w:rtl/>
          </w:rPr>
          <w:t>פקודת הסמים המסוכנים [נוסח חדש], תשל"ג-1973</w:t>
        </w:r>
      </w:hyperlink>
      <w:r w:rsidRPr="006F1A48">
        <w:rPr>
          <w:rFonts w:ascii="FrankRuehl" w:hAnsi="FrankRuehl" w:cs="FrankRuehl"/>
          <w:rtl/>
        </w:rPr>
        <w:t xml:space="preserve">: סע'  </w:t>
      </w:r>
      <w:hyperlink r:id="rId13" w:history="1">
        <w:r w:rsidRPr="006F1A48">
          <w:rPr>
            <w:rFonts w:ascii="FrankRuehl" w:hAnsi="FrankRuehl" w:cs="FrankRuehl"/>
            <w:color w:val="0000FF"/>
            <w:rtl/>
          </w:rPr>
          <w:t>7.א.</w:t>
        </w:r>
      </w:hyperlink>
      <w:r w:rsidRPr="006F1A48">
        <w:rPr>
          <w:rFonts w:ascii="FrankRuehl" w:hAnsi="FrankRuehl" w:cs="FrankRuehl"/>
          <w:rtl/>
        </w:rPr>
        <w:t xml:space="preserve">, </w:t>
      </w:r>
      <w:hyperlink r:id="rId14" w:history="1">
        <w:r w:rsidRPr="006F1A48">
          <w:rPr>
            <w:rFonts w:ascii="FrankRuehl" w:hAnsi="FrankRuehl" w:cs="FrankRuehl"/>
            <w:color w:val="0000FF"/>
            <w:rtl/>
          </w:rPr>
          <w:t>7.ג</w:t>
        </w:r>
      </w:hyperlink>
    </w:p>
    <w:p w14:paraId="58A2F544" w14:textId="77777777" w:rsidR="006F1A48" w:rsidRPr="006F1A48" w:rsidRDefault="006F1A48" w:rsidP="006F1A48">
      <w:pPr>
        <w:rPr>
          <w:rFonts w:ascii="Arial" w:hAnsi="Arial"/>
          <w:rtl/>
        </w:rPr>
      </w:pPr>
      <w:bookmarkStart w:id="4" w:name="LawTable_End"/>
      <w:bookmarkEnd w:id="4"/>
    </w:p>
    <w:p w14:paraId="7EA81E6C" w14:textId="77777777" w:rsidR="00F30310" w:rsidRPr="001A0AE3" w:rsidRDefault="00F30310" w:rsidP="001A0AE3">
      <w:pPr>
        <w:rPr>
          <w:rFonts w:ascii="Arial" w:hAnsi="Arial"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84D68" w14:paraId="5F2FC027" w14:textId="77777777" w:rsidTr="00184D68">
        <w:trPr>
          <w:trHeight w:val="355"/>
          <w:jc w:val="center"/>
        </w:trPr>
        <w:tc>
          <w:tcPr>
            <w:tcW w:w="8820" w:type="dxa"/>
            <w:tcBorders>
              <w:top w:val="nil"/>
              <w:left w:val="nil"/>
              <w:bottom w:val="nil"/>
              <w:right w:val="nil"/>
            </w:tcBorders>
            <w:shd w:val="clear" w:color="auto" w:fill="auto"/>
          </w:tcPr>
          <w:p w14:paraId="12A40495" w14:textId="77777777" w:rsidR="00785C36" w:rsidRPr="00785C36" w:rsidRDefault="00785C36" w:rsidP="00785C36">
            <w:pPr>
              <w:jc w:val="center"/>
              <w:rPr>
                <w:rFonts w:ascii="Arial" w:hAnsi="Arial"/>
                <w:b/>
                <w:bCs/>
                <w:sz w:val="32"/>
                <w:szCs w:val="32"/>
                <w:u w:val="single"/>
                <w:rtl/>
              </w:rPr>
            </w:pPr>
            <w:bookmarkStart w:id="5" w:name="PsakDin" w:colFirst="0" w:colLast="0"/>
            <w:bookmarkEnd w:id="0"/>
            <w:r w:rsidRPr="00785C36">
              <w:rPr>
                <w:rFonts w:ascii="Arial" w:hAnsi="Arial"/>
                <w:b/>
                <w:bCs/>
                <w:sz w:val="32"/>
                <w:szCs w:val="32"/>
                <w:u w:val="single"/>
                <w:rtl/>
              </w:rPr>
              <w:t>גזר דין</w:t>
            </w:r>
          </w:p>
          <w:p w14:paraId="3950789C" w14:textId="77777777" w:rsidR="00184D68" w:rsidRPr="00785C36" w:rsidRDefault="00184D68" w:rsidP="00785C36">
            <w:pPr>
              <w:jc w:val="center"/>
              <w:rPr>
                <w:rFonts w:ascii="Arial" w:hAnsi="Arial"/>
                <w:bCs/>
                <w:sz w:val="32"/>
                <w:szCs w:val="32"/>
                <w:u w:val="single"/>
                <w:rtl/>
              </w:rPr>
            </w:pPr>
          </w:p>
        </w:tc>
      </w:tr>
      <w:bookmarkEnd w:id="5"/>
    </w:tbl>
    <w:p w14:paraId="45EB7CF2" w14:textId="77777777" w:rsidR="00184D68" w:rsidRPr="00B05847" w:rsidRDefault="00184D68" w:rsidP="00184D68">
      <w:pPr>
        <w:rPr>
          <w:rFonts w:ascii="Arial" w:hAnsi="Arial"/>
          <w:rtl/>
        </w:rPr>
      </w:pPr>
    </w:p>
    <w:p w14:paraId="76253584" w14:textId="77777777" w:rsidR="00184D68" w:rsidRPr="008666D5" w:rsidRDefault="00184D68" w:rsidP="00184D68">
      <w:pPr>
        <w:tabs>
          <w:tab w:val="left" w:pos="567"/>
          <w:tab w:val="left" w:pos="1134"/>
          <w:tab w:val="left" w:pos="1701"/>
        </w:tabs>
        <w:spacing w:line="360" w:lineRule="auto"/>
        <w:jc w:val="both"/>
        <w:rPr>
          <w:rFonts w:ascii="David" w:eastAsia="Calibri" w:hAnsi="David"/>
          <w:u w:val="single"/>
          <w:rtl/>
        </w:rPr>
      </w:pPr>
      <w:r w:rsidRPr="008666D5">
        <w:rPr>
          <w:rFonts w:ascii="David" w:eastAsia="Calibri" w:hAnsi="David" w:hint="cs"/>
          <w:u w:val="single"/>
          <w:rtl/>
        </w:rPr>
        <w:t>ההליך וכתב האישום</w:t>
      </w:r>
    </w:p>
    <w:p w14:paraId="0C82EE7C" w14:textId="77777777" w:rsidR="00184D68" w:rsidRPr="008666D5" w:rsidRDefault="00184D68" w:rsidP="00184D68">
      <w:pPr>
        <w:tabs>
          <w:tab w:val="left" w:pos="567"/>
          <w:tab w:val="left" w:pos="1134"/>
          <w:tab w:val="left" w:pos="1701"/>
        </w:tabs>
        <w:spacing w:line="360" w:lineRule="auto"/>
        <w:jc w:val="both"/>
        <w:rPr>
          <w:rFonts w:ascii="David" w:eastAsia="Calibri" w:hAnsi="David"/>
          <w:u w:val="single"/>
          <w:rtl/>
        </w:rPr>
      </w:pPr>
    </w:p>
    <w:p w14:paraId="1603C352"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r w:rsidRPr="008666D5">
        <w:rPr>
          <w:rFonts w:ascii="David" w:eastAsia="Calibri" w:hAnsi="David" w:hint="cs"/>
          <w:rtl/>
        </w:rPr>
        <w:t>1.</w:t>
      </w:r>
      <w:r w:rsidRPr="008666D5">
        <w:rPr>
          <w:rFonts w:ascii="David" w:eastAsia="Calibri" w:hAnsi="David" w:hint="cs"/>
          <w:rtl/>
        </w:rPr>
        <w:tab/>
      </w:r>
      <w:bookmarkStart w:id="6" w:name="ABSTRACT_START"/>
      <w:bookmarkEnd w:id="6"/>
      <w:r w:rsidRPr="008666D5">
        <w:rPr>
          <w:rFonts w:ascii="David" w:eastAsia="Calibri" w:hAnsi="David" w:hint="cs"/>
          <w:rtl/>
        </w:rPr>
        <w:t xml:space="preserve">הצדדים הגיעו להסדר טיעון, במסגרתו צורפו לתיק העיקרי שני כתבי אישום שהיו תלויים ועומדים כנגד הנאשם בבית משפט השלום באילת, האחד </w:t>
      </w:r>
      <w:hyperlink r:id="rId15" w:history="1">
        <w:r w:rsidR="00785C36" w:rsidRPr="00785C36">
          <w:rPr>
            <w:rFonts w:ascii="David" w:eastAsia="Calibri" w:hAnsi="David"/>
            <w:color w:val="0000FF"/>
            <w:u w:val="single"/>
            <w:rtl/>
          </w:rPr>
          <w:t>ת"פ 29646-10-22</w:t>
        </w:r>
      </w:hyperlink>
      <w:r w:rsidRPr="008666D5">
        <w:rPr>
          <w:rFonts w:ascii="David" w:eastAsia="Calibri" w:hAnsi="David" w:hint="cs"/>
          <w:rtl/>
        </w:rPr>
        <w:t xml:space="preserve"> והאחר </w:t>
      </w:r>
      <w:hyperlink r:id="rId16" w:history="1">
        <w:r w:rsidR="00785C36" w:rsidRPr="00785C36">
          <w:rPr>
            <w:rFonts w:ascii="David" w:eastAsia="Calibri" w:hAnsi="David"/>
            <w:color w:val="0000FF"/>
            <w:u w:val="single"/>
            <w:rtl/>
          </w:rPr>
          <w:t>ת"פ 62666-09-23</w:t>
        </w:r>
      </w:hyperlink>
      <w:r w:rsidRPr="008666D5">
        <w:rPr>
          <w:rFonts w:ascii="David" w:eastAsia="Calibri" w:hAnsi="David" w:hint="cs"/>
          <w:rtl/>
        </w:rPr>
        <w:t>. הנאשם הורשע על סמך הודאתו בשלושת התיקים, לאחר שכתב האישום בתיק העיקרי שבפניי תוקן במסגרת הסדר הטיעון, מבלי שהושגה הסכמה עונשית. נקבע כי לעניין העונש יוכל כל צד לטעון את טענותיו באופן חופשי.</w:t>
      </w:r>
    </w:p>
    <w:p w14:paraId="2968E414"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bookmarkStart w:id="7" w:name="ABSTRACT_END"/>
      <w:bookmarkEnd w:id="7"/>
    </w:p>
    <w:p w14:paraId="38028B17"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r w:rsidRPr="008666D5">
        <w:rPr>
          <w:rFonts w:ascii="David" w:eastAsia="Calibri" w:hAnsi="David" w:hint="cs"/>
          <w:rtl/>
        </w:rPr>
        <w:t>2.</w:t>
      </w:r>
      <w:r w:rsidRPr="008666D5">
        <w:rPr>
          <w:rFonts w:ascii="David" w:eastAsia="Calibri" w:hAnsi="David" w:hint="cs"/>
          <w:rtl/>
        </w:rPr>
        <w:tab/>
        <w:t xml:space="preserve">בתיק העיקרי הורשע הנאשם בעבירות שוד לפי </w:t>
      </w:r>
      <w:hyperlink r:id="rId17" w:history="1">
        <w:r w:rsidR="00F30310" w:rsidRPr="00F30310">
          <w:rPr>
            <w:rStyle w:val="Hyperlink"/>
            <w:rFonts w:ascii="David" w:eastAsia="Calibri" w:hAnsi="David" w:hint="eastAsia"/>
            <w:rtl/>
          </w:rPr>
          <w:t>סעיף</w:t>
        </w:r>
        <w:r w:rsidR="00F30310" w:rsidRPr="00F30310">
          <w:rPr>
            <w:rStyle w:val="Hyperlink"/>
            <w:rFonts w:ascii="David" w:eastAsia="Calibri" w:hAnsi="David"/>
            <w:rtl/>
          </w:rPr>
          <w:t xml:space="preserve"> 402(א)</w:t>
        </w:r>
      </w:hyperlink>
      <w:r w:rsidRPr="008666D5">
        <w:rPr>
          <w:rFonts w:ascii="David" w:eastAsia="Calibri" w:hAnsi="David" w:hint="cs"/>
          <w:rtl/>
        </w:rPr>
        <w:t xml:space="preserve"> ל</w:t>
      </w:r>
      <w:hyperlink r:id="rId18" w:history="1">
        <w:r w:rsidR="00785C36" w:rsidRPr="00785C36">
          <w:rPr>
            <w:rFonts w:ascii="David" w:eastAsia="Calibri" w:hAnsi="David"/>
            <w:color w:val="0000FF"/>
            <w:u w:val="single"/>
            <w:rtl/>
          </w:rPr>
          <w:t>חוק העונשין</w:t>
        </w:r>
      </w:hyperlink>
      <w:r w:rsidRPr="008666D5">
        <w:rPr>
          <w:rFonts w:ascii="David" w:eastAsia="Calibri" w:hAnsi="David" w:hint="cs"/>
          <w:rtl/>
        </w:rPr>
        <w:t xml:space="preserve">, התשל"ז-1977 (להלן: "חוק העונשין"), והחזקת סמים לצריכה עצמית, עבירה לפי </w:t>
      </w:r>
      <w:hyperlink r:id="rId19" w:history="1">
        <w:r w:rsidR="00F30310" w:rsidRPr="00F30310">
          <w:rPr>
            <w:rStyle w:val="Hyperlink"/>
            <w:rFonts w:ascii="David" w:eastAsia="Calibri" w:hAnsi="David" w:hint="eastAsia"/>
            <w:rtl/>
          </w:rPr>
          <w:t>סעיף</w:t>
        </w:r>
        <w:r w:rsidR="00F30310" w:rsidRPr="00F30310">
          <w:rPr>
            <w:rStyle w:val="Hyperlink"/>
            <w:rFonts w:ascii="David" w:eastAsia="Calibri" w:hAnsi="David"/>
            <w:rtl/>
          </w:rPr>
          <w:t xml:space="preserve"> 7(א)+7(ג)</w:t>
        </w:r>
      </w:hyperlink>
      <w:r w:rsidRPr="008666D5">
        <w:rPr>
          <w:rFonts w:ascii="David" w:eastAsia="Calibri" w:hAnsi="David" w:hint="cs"/>
          <w:rtl/>
        </w:rPr>
        <w:t xml:space="preserve"> סיפא ל</w:t>
      </w:r>
      <w:hyperlink r:id="rId20" w:history="1">
        <w:r w:rsidR="00785C36" w:rsidRPr="00785C36">
          <w:rPr>
            <w:rFonts w:ascii="David" w:eastAsia="Calibri" w:hAnsi="David"/>
            <w:color w:val="0000FF"/>
            <w:u w:val="single"/>
            <w:rtl/>
          </w:rPr>
          <w:t>פקודת הסמים המסוכנים</w:t>
        </w:r>
      </w:hyperlink>
      <w:r w:rsidRPr="008666D5">
        <w:rPr>
          <w:rFonts w:ascii="David" w:eastAsia="Calibri" w:hAnsi="David" w:hint="cs"/>
          <w:rtl/>
        </w:rPr>
        <w:t xml:space="preserve"> [נוסח חדש], התשל"ג-1973.</w:t>
      </w:r>
    </w:p>
    <w:p w14:paraId="549EB132"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p>
    <w:p w14:paraId="67009BB6"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r w:rsidRPr="008666D5">
        <w:rPr>
          <w:rFonts w:ascii="David" w:eastAsia="Calibri" w:hAnsi="David" w:hint="cs"/>
          <w:rtl/>
        </w:rPr>
        <w:t>3.</w:t>
      </w:r>
      <w:r w:rsidRPr="008666D5">
        <w:rPr>
          <w:rFonts w:ascii="David" w:eastAsia="Calibri" w:hAnsi="David" w:hint="cs"/>
          <w:rtl/>
        </w:rPr>
        <w:tab/>
        <w:t xml:space="preserve">בעובדות כתב האישום המתוקן בתיק העיקרי נאמר כי ביום 17.8.2022, סמוך לשעה 14:46, עמדה שושנה בן נון (להלן: "המתלוננת") בתחנת אוטובוס באחד הרחובות בעיר כרמיאל, </w:t>
      </w:r>
      <w:r w:rsidRPr="008666D5">
        <w:rPr>
          <w:rFonts w:ascii="David" w:eastAsia="Calibri" w:hAnsi="David" w:hint="cs"/>
          <w:rtl/>
        </w:rPr>
        <w:lastRenderedPageBreak/>
        <w:t>כשהיא נושאת תיק שרצועתו כרוכה על ידה הימנית. בתוך התיק היה ארנק שהכיל, בין היתר, כסף מזומן בסך 370 ₪.</w:t>
      </w:r>
    </w:p>
    <w:p w14:paraId="1D627913"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p>
    <w:p w14:paraId="65CB8D37"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r w:rsidRPr="008666D5">
        <w:rPr>
          <w:rFonts w:ascii="David" w:eastAsia="Calibri" w:hAnsi="David" w:hint="cs"/>
          <w:rtl/>
        </w:rPr>
        <w:tab/>
        <w:t>אותה עת חצה הנאשם את מעבר החציה ממול לתחנת האוטובוס, נעמד תחילה בקרבת התחנה ובהמשך נכנס אל תוך התחנה המקורה. בשעה 14:49 או בסמוך לכך, הגיע הנאשם סמוך למתלוננת, ששוחחה אותה עת בטלפון הנייד, משך את התיק מידה הימנית ונמלט מהתחנה בריצה כשהוא נושא עמו את התיק בכוונה לשלול אותו מהמתלוננת שלילת קבע שלא בהסכמתה. כתוצאה מהמשיכה, נקרעה רצועת הנשיאה של התיק ונגרמה חבלה למתלוננת.</w:t>
      </w:r>
    </w:p>
    <w:p w14:paraId="4CF5637A"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p>
    <w:p w14:paraId="7CF619C1"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r w:rsidRPr="008666D5">
        <w:rPr>
          <w:rFonts w:ascii="David" w:eastAsia="Calibri" w:hAnsi="David" w:hint="cs"/>
          <w:rtl/>
        </w:rPr>
        <w:tab/>
        <w:t>בהמשך אותו יום, סמוך לשעה 18:00, נעצר הנאשם בביתו בדיר אל אסד כשהוא מחזיק על גופו סם מסוכן מסוג קוקאין במשקל 1.3932 גרם נטו שארוז בחמש אריזות, וזאת לצריכתו העצמית וללא היתר כדין.</w:t>
      </w:r>
    </w:p>
    <w:p w14:paraId="08470A89"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p>
    <w:p w14:paraId="286BE258"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r w:rsidRPr="008666D5">
        <w:rPr>
          <w:rFonts w:ascii="David" w:eastAsia="Calibri" w:hAnsi="David" w:hint="cs"/>
          <w:rtl/>
        </w:rPr>
        <w:t>4.</w:t>
      </w:r>
      <w:r w:rsidRPr="008666D5">
        <w:rPr>
          <w:rFonts w:ascii="David" w:eastAsia="Calibri" w:hAnsi="David" w:hint="cs"/>
          <w:rtl/>
        </w:rPr>
        <w:tab/>
        <w:t>בעובדות כתב האישום ב</w:t>
      </w:r>
      <w:hyperlink r:id="rId21" w:history="1">
        <w:r w:rsidR="00785C36" w:rsidRPr="00785C36">
          <w:rPr>
            <w:rFonts w:ascii="David" w:eastAsia="Calibri" w:hAnsi="David"/>
            <w:color w:val="0000FF"/>
            <w:u w:val="single"/>
            <w:rtl/>
          </w:rPr>
          <w:t>ת"פ 29646-10-22</w:t>
        </w:r>
      </w:hyperlink>
      <w:r w:rsidRPr="008666D5">
        <w:rPr>
          <w:rFonts w:ascii="David" w:eastAsia="Calibri" w:hAnsi="David" w:hint="cs"/>
          <w:rtl/>
        </w:rPr>
        <w:t xml:space="preserve"> נאמר כי ביום 8.4.2022, בשעה 21:03 או בסמוך לכך, הסיג הנאשם גבול אל מלון "אסטרל נירוונה" באילת כדי לבצע גניבה. הנאשם נכנס אל חדר האוכל שבמלון וגנב את תיקה של אלנה מינקין, ובו טלפון נייד, כרטיס אשראי וכסף מזומן בסך 870 ₪. בגין מעשיו אלה יוחסו לנאשם עבירת גניבה לפי </w:t>
      </w:r>
      <w:hyperlink r:id="rId22" w:history="1">
        <w:r w:rsidR="00F30310" w:rsidRPr="00F30310">
          <w:rPr>
            <w:rStyle w:val="Hyperlink"/>
            <w:rFonts w:ascii="David" w:eastAsia="Calibri" w:hAnsi="David" w:hint="eastAsia"/>
            <w:rtl/>
          </w:rPr>
          <w:t>סעיף</w:t>
        </w:r>
        <w:r w:rsidR="00F30310" w:rsidRPr="00F30310">
          <w:rPr>
            <w:rStyle w:val="Hyperlink"/>
            <w:rFonts w:ascii="David" w:eastAsia="Calibri" w:hAnsi="David"/>
            <w:rtl/>
          </w:rPr>
          <w:t xml:space="preserve"> 384</w:t>
        </w:r>
      </w:hyperlink>
      <w:r w:rsidRPr="008666D5">
        <w:rPr>
          <w:rFonts w:ascii="David" w:eastAsia="Calibri" w:hAnsi="David" w:hint="cs"/>
          <w:rtl/>
        </w:rPr>
        <w:t xml:space="preserve"> ל</w:t>
      </w:r>
      <w:hyperlink r:id="rId23" w:history="1">
        <w:r w:rsidR="00785C36" w:rsidRPr="00785C36">
          <w:rPr>
            <w:rFonts w:ascii="David" w:eastAsia="Calibri" w:hAnsi="David"/>
            <w:color w:val="0000FF"/>
            <w:u w:val="single"/>
            <w:rtl/>
          </w:rPr>
          <w:t>חוק העונשין</w:t>
        </w:r>
      </w:hyperlink>
      <w:r w:rsidRPr="008666D5">
        <w:rPr>
          <w:rFonts w:ascii="David" w:eastAsia="Calibri" w:hAnsi="David" w:hint="cs"/>
          <w:rtl/>
        </w:rPr>
        <w:t xml:space="preserve"> ועבירה של הסגת גבול פלילית לפי </w:t>
      </w:r>
      <w:hyperlink r:id="rId24" w:history="1">
        <w:r w:rsidR="00F30310" w:rsidRPr="00F30310">
          <w:rPr>
            <w:rStyle w:val="Hyperlink"/>
            <w:rFonts w:ascii="David" w:eastAsia="Calibri" w:hAnsi="David" w:hint="eastAsia"/>
            <w:rtl/>
          </w:rPr>
          <w:t>סעיף</w:t>
        </w:r>
        <w:r w:rsidR="00F30310" w:rsidRPr="00F30310">
          <w:rPr>
            <w:rStyle w:val="Hyperlink"/>
            <w:rFonts w:ascii="David" w:eastAsia="Calibri" w:hAnsi="David"/>
            <w:rtl/>
          </w:rPr>
          <w:t xml:space="preserve"> 447(א)</w:t>
        </w:r>
      </w:hyperlink>
      <w:r w:rsidRPr="008666D5">
        <w:rPr>
          <w:rFonts w:ascii="David" w:eastAsia="Calibri" w:hAnsi="David" w:hint="cs"/>
          <w:rtl/>
        </w:rPr>
        <w:t xml:space="preserve"> לחוק העונשין.</w:t>
      </w:r>
    </w:p>
    <w:p w14:paraId="4DD702C4"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p>
    <w:p w14:paraId="4C91E6E7"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r w:rsidRPr="008666D5">
        <w:rPr>
          <w:rFonts w:ascii="David" w:eastAsia="Calibri" w:hAnsi="David" w:hint="cs"/>
          <w:rtl/>
        </w:rPr>
        <w:t>5.</w:t>
      </w:r>
      <w:r w:rsidRPr="008666D5">
        <w:rPr>
          <w:rFonts w:ascii="David" w:eastAsia="Calibri" w:hAnsi="David" w:hint="cs"/>
          <w:rtl/>
        </w:rPr>
        <w:tab/>
        <w:t>בעובדות כתב האישום ב</w:t>
      </w:r>
      <w:hyperlink r:id="rId25" w:history="1">
        <w:r w:rsidR="00785C36" w:rsidRPr="00785C36">
          <w:rPr>
            <w:rFonts w:ascii="David" w:eastAsia="Calibri" w:hAnsi="David"/>
            <w:color w:val="0000FF"/>
            <w:u w:val="single"/>
            <w:rtl/>
          </w:rPr>
          <w:t>ת"פ 62666-09-23</w:t>
        </w:r>
      </w:hyperlink>
      <w:r w:rsidRPr="008666D5">
        <w:rPr>
          <w:rFonts w:ascii="David" w:eastAsia="Calibri" w:hAnsi="David" w:hint="cs"/>
          <w:rtl/>
        </w:rPr>
        <w:t xml:space="preserve"> נאמר כי ביום 4.8.2022, בשעה 19:19 או בסמוך לכך, ניגש הנאשם לתחנה המרכזית באילת, פתח בכוח את דלת הכניסה, ניגש לאשנב הכרטיסים, שבר את התריס והפיל את החלון בעזרת רגליו. כתוצאה מכך, התנפץ החלון על הרצפה. בהמשך, נכנס הנאשם לאשנב ותר אחר רכוש לגנוב בתוכו, תוך שפתח שתי מגירות, שאחת מהן הייתה נעולה. הנאשם נכנס למשרדי המקום, ומשלא מצא דבר ברח מהזירה. בגין מעשיו אלה יוחסה לו עבירה של פריצה לבניין שאינו דירה או בית תפילה לפי </w:t>
      </w:r>
      <w:hyperlink r:id="rId26" w:history="1">
        <w:r w:rsidR="00F30310" w:rsidRPr="00F30310">
          <w:rPr>
            <w:rStyle w:val="Hyperlink"/>
            <w:rFonts w:ascii="David" w:eastAsia="Calibri" w:hAnsi="David" w:hint="eastAsia"/>
            <w:rtl/>
          </w:rPr>
          <w:t>סעיף</w:t>
        </w:r>
        <w:r w:rsidR="00F30310" w:rsidRPr="00F30310">
          <w:rPr>
            <w:rStyle w:val="Hyperlink"/>
            <w:rFonts w:ascii="David" w:eastAsia="Calibri" w:hAnsi="David"/>
            <w:rtl/>
          </w:rPr>
          <w:t xml:space="preserve"> 407(א)</w:t>
        </w:r>
      </w:hyperlink>
      <w:r w:rsidRPr="008666D5">
        <w:rPr>
          <w:rFonts w:ascii="David" w:eastAsia="Calibri" w:hAnsi="David" w:hint="cs"/>
          <w:rtl/>
        </w:rPr>
        <w:t xml:space="preserve"> ל</w:t>
      </w:r>
      <w:hyperlink r:id="rId27" w:history="1">
        <w:r w:rsidR="00785C36" w:rsidRPr="00785C36">
          <w:rPr>
            <w:rFonts w:ascii="David" w:eastAsia="Calibri" w:hAnsi="David"/>
            <w:color w:val="0000FF"/>
            <w:u w:val="single"/>
            <w:rtl/>
          </w:rPr>
          <w:t>חוק העונשין</w:t>
        </w:r>
      </w:hyperlink>
      <w:r w:rsidRPr="008666D5">
        <w:rPr>
          <w:rFonts w:ascii="David" w:eastAsia="Calibri" w:hAnsi="David" w:hint="cs"/>
          <w:rtl/>
        </w:rPr>
        <w:t>.</w:t>
      </w:r>
    </w:p>
    <w:p w14:paraId="1454139F"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p>
    <w:p w14:paraId="78817D38"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r w:rsidRPr="008666D5">
        <w:rPr>
          <w:rFonts w:ascii="David" w:eastAsia="Calibri" w:hAnsi="David" w:hint="cs"/>
          <w:rtl/>
        </w:rPr>
        <w:t>6.</w:t>
      </w:r>
      <w:r w:rsidRPr="008666D5">
        <w:rPr>
          <w:rFonts w:ascii="David" w:eastAsia="Calibri" w:hAnsi="David" w:hint="cs"/>
          <w:rtl/>
        </w:rPr>
        <w:tab/>
        <w:t>הנאשם הורשע כאמור, על סמך הודאתו, בעבירות שיוחסו לו בשלושת התיקים.</w:t>
      </w:r>
    </w:p>
    <w:p w14:paraId="1AADD1F8"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p>
    <w:p w14:paraId="195CDE0E"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r w:rsidRPr="008666D5">
        <w:rPr>
          <w:rFonts w:ascii="David" w:eastAsia="Calibri" w:hAnsi="David" w:hint="cs"/>
          <w:rtl/>
        </w:rPr>
        <w:tab/>
        <w:t>לאחר הרשעתו בתיק העיקרי, נעתרתי לבקשת סנגורו והוריתי על הפנייתו של הנאשם לשירות המבחן לצורך עריכת תסקיר בעניינו.</w:t>
      </w:r>
    </w:p>
    <w:p w14:paraId="1ABF7317"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p>
    <w:p w14:paraId="3DAEEF14"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u w:val="single"/>
          <w:rtl/>
        </w:rPr>
      </w:pPr>
      <w:r w:rsidRPr="008666D5">
        <w:rPr>
          <w:rFonts w:ascii="David" w:eastAsia="Calibri" w:hAnsi="David" w:hint="cs"/>
          <w:u w:val="single"/>
          <w:rtl/>
        </w:rPr>
        <w:t>תסקיר שירות המבחן</w:t>
      </w:r>
      <w:r w:rsidRPr="008666D5">
        <w:rPr>
          <w:rFonts w:ascii="David" w:eastAsia="Calibri" w:hAnsi="David" w:hint="cs"/>
          <w:rtl/>
        </w:rPr>
        <w:tab/>
      </w:r>
    </w:p>
    <w:p w14:paraId="7B16B52B"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p>
    <w:p w14:paraId="313129D5"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r w:rsidRPr="008666D5">
        <w:rPr>
          <w:rFonts w:ascii="David" w:eastAsia="Calibri" w:hAnsi="David" w:hint="cs"/>
          <w:rtl/>
        </w:rPr>
        <w:t>7.</w:t>
      </w:r>
      <w:r w:rsidRPr="008666D5">
        <w:rPr>
          <w:rFonts w:ascii="David" w:eastAsia="Calibri" w:hAnsi="David" w:hint="cs"/>
          <w:rtl/>
        </w:rPr>
        <w:tab/>
        <w:t xml:space="preserve">ביום 19.3.2023 הודיע שירות המבחן כי הנאשם נקלט בקהילה הטיפולית "אילנות" לטיפול בנפגעי התמכרויות, וזאת עוד ביום 28.11.2022. נאמר כי מדיווח שהתקבל מגורמי הטיפול בקהילה עולה כי התהליך הטיפולי אורך כ-12 חודשים, כשהמטופלים שוהים במקום 24 שעות במסגרת של סדר יום מהודק. עוד ציין שירות המבחן כי מדיווח עדכני שהתקבל מגורמי </w:t>
      </w:r>
      <w:r w:rsidRPr="008666D5">
        <w:rPr>
          <w:rFonts w:ascii="David" w:eastAsia="Calibri" w:hAnsi="David" w:hint="cs"/>
          <w:rtl/>
        </w:rPr>
        <w:lastRenderedPageBreak/>
        <w:t>הטיפול בקהילה עולה כי הנאשם משתף פעולה באופן מלא עם ההליך הטיפולי ומקבל את כללי ותנאי המסגרת. נוכח האמור, התבקשה דחייה של שלושה חודשים לצורך הגשת תסקיר, כאשר במהלך תקופה זו יקיים שירות המבחן מעקב אחר התקדמות ההליך הטיפולי של הנאשם.</w:t>
      </w:r>
    </w:p>
    <w:p w14:paraId="461EA9EB"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p>
    <w:p w14:paraId="21697889"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r w:rsidRPr="008666D5">
        <w:rPr>
          <w:rFonts w:ascii="David" w:eastAsia="Calibri" w:hAnsi="David" w:hint="cs"/>
          <w:rtl/>
        </w:rPr>
        <w:t>8.</w:t>
      </w:r>
      <w:r w:rsidRPr="008666D5">
        <w:rPr>
          <w:rFonts w:ascii="David" w:eastAsia="Calibri" w:hAnsi="David" w:hint="cs"/>
          <w:rtl/>
        </w:rPr>
        <w:tab/>
        <w:t>בתסקיר מיום 9.7.2023 נאמר כי מדיווח שהתקבל מהצוות הטיפולי בקהילת "אילנות" עולה כי הנאשם התקשה לאורך הדרך למצוא את מקומו, להשתלב ולהסתגל לנורמות, לחוקים ולכללי ההתנהגות בקהילה. בתקופה האחרונה הוא אף פעל באופן לא מותאם וחריג תוך שפגע בכלל דיירי הקהילה ושיבש את שגרת החיים התקינה במקום. עוד נאמר כי במסגרת הטיפול בו היה עיסוק בבעיות משמעת וניסיון לווסת ולאזן את התנהגותו, תוך שהוא משולב במעקב פסיכיאטרי ונוטל טיפול תרופתי בהתאם. במהלך שהותו בקהילה נערכו עמו מספר שיחות וועדות משמעת בניסיון לקדם אותו ולעזור לו, אך לא חלה כל התקדמות בהתנהלותו. לאחר תקרית נוספת בה היה הנאשם מעורב, הוחלט שעקב חוסר התאמה והתנהגות לא מסתגלת הוא יורחק מהקהילה. בעקבות כך, חזר הנאשם תחילה לבית אמו בתנאי מעצר בית, אך על רקע מצבה הבריאותי וקשייה למלא את משימת הפיקוח עליו, הוחזר הנאשם למעצר. שירות המבחן ציין כי לאור הרחקתו של הנאשם מהקהילה הטיפולית, במידה ובית המשפט רואה מקום להגיש תסקיר מלא בעניינו, מתבקשת דחייה בת שלושה חודשים נוספים על מנת להגיש תסקיר סופי.</w:t>
      </w:r>
    </w:p>
    <w:p w14:paraId="6641E347"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p>
    <w:p w14:paraId="08B90DE3"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r w:rsidRPr="008666D5">
        <w:rPr>
          <w:rFonts w:ascii="David" w:eastAsia="Calibri" w:hAnsi="David" w:hint="cs"/>
          <w:rtl/>
        </w:rPr>
        <w:t>9.</w:t>
      </w:r>
      <w:r w:rsidRPr="008666D5">
        <w:rPr>
          <w:rFonts w:ascii="David" w:eastAsia="Calibri" w:hAnsi="David" w:hint="cs"/>
          <w:rtl/>
        </w:rPr>
        <w:tab/>
        <w:t>בהחלטתי מיום 17.7.2023, לאחר שבחנתי את בקשת שירות המבחן ואת טענות הצדדים לגביה, הוריתי על קבלת תסקיר סופי בטרם שמיעת הטיעונים לעונש. צוין באותה החלטה כי ראוי שהתמונה במלואה לגבי ההליך הטיפולי בו שולב הנאשם, תיפרש בפני בית המשפט, וכך גם נסיבותיו האישיות והמשפחתיות.</w:t>
      </w:r>
    </w:p>
    <w:p w14:paraId="3E5670F1"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p>
    <w:p w14:paraId="15379F3A"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r w:rsidRPr="008666D5">
        <w:rPr>
          <w:rFonts w:ascii="David" w:eastAsia="Calibri" w:hAnsi="David" w:hint="cs"/>
          <w:rtl/>
        </w:rPr>
        <w:t>10.</w:t>
      </w:r>
      <w:r w:rsidRPr="008666D5">
        <w:rPr>
          <w:rFonts w:ascii="David" w:eastAsia="Calibri" w:hAnsi="David" w:hint="cs"/>
          <w:rtl/>
        </w:rPr>
        <w:tab/>
        <w:t>בתסקיר המסכם מיום 9.10.2023 נאמר כי מדובר בנאשם בן 38, נשוי ללא ילדים, אשר עבד טרם מעצרו בעבודות מזדמנות וניהל אורח חיים התמכרותי. הנאשם סיים 12 שנות לימוד ללא תעודת בגרות, אותה השלים במסגרת שירותו הצבאי. לדבריו, בהיותו כבן 13 הוא נאלץ לעזוב את בית הספר על רקע קושי כלכלי בבית וצורך בסיוע בפרנסת המשפחה. בהגיעו לגיל 18 התגייס הנאשם לצבא, ולאחר שסיים את שירותו הסדיר שירת שש שנים נוספות בשירות קבע, שלאחריהן נאמר לו כי אין תקן קבוע בעבורו ועל כן בגיל 26 הוא השתחרר מהצבא. עם סיום שירותו הצבאי עבד הנאשם כמאבטח במתקנים רגישים במשך ארבע שנים. בגיל 32 נישא לאשתו, ולדבריו על רקע בעיות בריאות מהן היא סובלת, אין הם יכולים להביא ילדים לעולם, דבר המטריד אותו וגורם למתחים בינו לבין בני משפחתו. שירות המבחן ציין כי במהלך השנים לא הצליח הנאשם לשמור על יציבות תעסוקתית, צבר חובות לבנק ולמוסדות המדינה בסך של כמיליון ₪, ולדבריו לפני תקופה הוא החל אף בהליך של פשיטת רגל והגיע להסדרים עם נושיו. עקב השימוש בסמים לא עמד הנאשם בתשלום חיוביו עד שההליך הופסק. הנאשם תיאר כי החל לצרוך אלכוהול בגיל 26 עם סיום שירותו הצבאי. תחילה הוא צרך אלכוהול בערבים ובסופי שבוע, אך בהמשך, הצריכה הפכה ליום-יומית. באשר לשימוש בסמים, שיתף הנאשם כי לפני כשנתיים אחד מאחיו שכנע אותו לצרוך עמו סם מסוג קריסטל והוא התנסה בכך לראשונה. לדבריו, השימוש בחומר גרם לו להרגשה טובה ואפשר לו לברוח מהתמודדות עם בעיותיו. תחילה נהג לרכוש חומר על בסיס שבועי אך בהדרגה הקנייה הפכה ליום-יומית, תוך שימוש בכספי הקצבה אותה מקבלת אשתו מהמוסד לביטוח לאומי בגין נכותה וכן בכסף שהיה מרוויח מעבודות מזדמנות.</w:t>
      </w:r>
    </w:p>
    <w:p w14:paraId="11E4271A"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p>
    <w:p w14:paraId="78BCB84E"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r w:rsidRPr="008666D5">
        <w:rPr>
          <w:rFonts w:ascii="David" w:eastAsia="Calibri" w:hAnsi="David" w:hint="cs"/>
          <w:rtl/>
        </w:rPr>
        <w:t>11.</w:t>
      </w:r>
      <w:r w:rsidRPr="008666D5">
        <w:rPr>
          <w:rFonts w:ascii="David" w:eastAsia="Calibri" w:hAnsi="David" w:hint="cs"/>
          <w:rtl/>
        </w:rPr>
        <w:tab/>
        <w:t>שירות המבחן ציין כי מעיון בגיליון רישומו הפלילי של הנאשם עולה כי לחובתו שתי הרשעות קודמות. האחת, משנת 2014 בגין עבירות הצתה, הפרת הוראה חוקית ואיומים, בגינה נידון למאסר בפועל בן 12 חודשים, והשנייה, משנת 2015 בגין שתי עבירות איומים, בגינה נדון למאסר בפועל בן 9 חודשים.</w:t>
      </w:r>
    </w:p>
    <w:p w14:paraId="7AF77A73"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p>
    <w:p w14:paraId="03218032" w14:textId="77777777" w:rsidR="00184D68" w:rsidRDefault="00184D68" w:rsidP="00184D68">
      <w:pPr>
        <w:tabs>
          <w:tab w:val="left" w:pos="567"/>
          <w:tab w:val="left" w:pos="1134"/>
          <w:tab w:val="left" w:pos="1701"/>
        </w:tabs>
        <w:spacing w:line="360" w:lineRule="auto"/>
        <w:ind w:left="567" w:hanging="567"/>
        <w:jc w:val="both"/>
        <w:rPr>
          <w:rFonts w:ascii="David" w:eastAsia="Calibri" w:hAnsi="David"/>
          <w:rtl/>
        </w:rPr>
      </w:pPr>
      <w:r w:rsidRPr="008666D5">
        <w:rPr>
          <w:rFonts w:ascii="David" w:eastAsia="Calibri" w:hAnsi="David" w:hint="cs"/>
          <w:rtl/>
        </w:rPr>
        <w:t>12.</w:t>
      </w:r>
      <w:r w:rsidRPr="008666D5">
        <w:rPr>
          <w:rFonts w:ascii="David" w:eastAsia="Calibri" w:hAnsi="David" w:hint="cs"/>
          <w:rtl/>
        </w:rPr>
        <w:tab/>
        <w:t>שירות המבחן ציין כי הנאשם מוכר לו משנת 2013, שאז הופנה אליו במסגרת תיק המעצר הראשון שהתנהל נגדו. בתסקיר נסקרו ההליכים הטיפוליים והמפגשים שהתקיימו עם הנאשם לאורך השנים עד לשלב שבו הוא הורחק מהקהילה הטיפולית בחודש יוני החולף. בשיחה האחרונה עמו התקשה הנאשם לבחון את דפוסי התנהלותו במסגרת הטיפולית ונטה להשליך את רוב האחריות וכן את הרחקתו על גורמים חיצוניים.</w:t>
      </w:r>
    </w:p>
    <w:p w14:paraId="373FBFBA"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p>
    <w:p w14:paraId="23AB19F1"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r w:rsidRPr="008666D5">
        <w:rPr>
          <w:rFonts w:ascii="David" w:eastAsia="Calibri" w:hAnsi="David" w:hint="cs"/>
          <w:rtl/>
        </w:rPr>
        <w:tab/>
        <w:t>בהתייחס לעבירה הנוכחית, לקח הנאשם אחריות על מעשיו, תוך שטען כי ברקע לביצועה עמדו תסכול גדול ותחושה של חוסר אונים על רקע הבעיות הכלכליות אליהן נקלע. לדבריו, עובר לביצוע עבירת השוד הוא צרך כ-12 בקבוקי בירה ועישן פקט של קריסטל ולכן אינו זוכר את רגע ביצוע העבירה.</w:t>
      </w:r>
    </w:p>
    <w:p w14:paraId="760EF516"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p>
    <w:p w14:paraId="36DD3239"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r w:rsidRPr="008666D5">
        <w:rPr>
          <w:rFonts w:ascii="David" w:eastAsia="Calibri" w:hAnsi="David" w:hint="cs"/>
          <w:rtl/>
        </w:rPr>
        <w:t>13.</w:t>
      </w:r>
      <w:r w:rsidRPr="008666D5">
        <w:rPr>
          <w:rFonts w:ascii="David" w:eastAsia="Calibri" w:hAnsi="David" w:hint="cs"/>
          <w:rtl/>
        </w:rPr>
        <w:tab/>
        <w:t>בבואו להעריך את הסיכון לעבריינות חוזרת אל מול סיכויי השיקום של הנאשם, מנה שירות המבחן בין גורמי הסיכון את אופי העבירה הנדונה ואת עברו הפלילי של הנאשם, כשניכר כי לסנקציות משפטיות שננקטו כנגדו עד כה, הייתה השפעה מוגבלת עליו ותרומה מועטה להימנעות מביצוע עבירות. בנוסף, דיווחיו על שימוש יום-יומי באלכוהול וסמים, תוך ניהול אורח חיים לא יציב והיעדר פנייה לטיפול מסודר בתחום ההתמכרות, נמנים אף הם על גורמי הסיכון.</w:t>
      </w:r>
    </w:p>
    <w:p w14:paraId="5EDC7777"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p>
    <w:p w14:paraId="4AE00A5D"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r w:rsidRPr="008666D5">
        <w:rPr>
          <w:rFonts w:ascii="David" w:eastAsia="Calibri" w:hAnsi="David" w:hint="cs"/>
          <w:rtl/>
        </w:rPr>
        <w:tab/>
        <w:t>לצד זאת, בין גורמי הסיכוי לשיקום הביא שירות המבחן בחשבון את שיתוף הפעולה של הנאשם עמו, את התובנה שהוא מביע באשר למצבו והכרתו בנזקקות טיפולית והמוטיבציה להמשך טיפול.</w:t>
      </w:r>
    </w:p>
    <w:p w14:paraId="0FFA6E7A"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p>
    <w:p w14:paraId="156CE5E3"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r w:rsidRPr="008666D5">
        <w:rPr>
          <w:rFonts w:ascii="David" w:eastAsia="Calibri" w:hAnsi="David" w:hint="cs"/>
          <w:rtl/>
        </w:rPr>
        <w:tab/>
        <w:t>בסיכום האבחון ובהתבסס על מכלול הנתונים, העריך שירות המבחן כי לא ניתן לשלול סיכון להישנות עבירות דומות בעתיד.</w:t>
      </w:r>
    </w:p>
    <w:p w14:paraId="0DBBE559"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p>
    <w:p w14:paraId="7C5A3D6D"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r w:rsidRPr="008666D5">
        <w:rPr>
          <w:rFonts w:ascii="David" w:eastAsia="Calibri" w:hAnsi="David" w:hint="cs"/>
          <w:rtl/>
        </w:rPr>
        <w:t>14.</w:t>
      </w:r>
      <w:r w:rsidRPr="008666D5">
        <w:rPr>
          <w:rFonts w:ascii="David" w:eastAsia="Calibri" w:hAnsi="David" w:hint="cs"/>
          <w:rtl/>
        </w:rPr>
        <w:tab/>
        <w:t xml:space="preserve">בבואו להמליץ על דרכי שיקומו של הנאשם, ונוכח הנזקקות הטיפולית בתחום ההתמכרויות אותה הביע, כמו גם מאפייני אישיותו והערכת הסיכון בעניינו, הומלץ להטיל על הנאשם ענישה מוחשית מציבת גבול. כמו כן, הומלץ על שילובו בטיפול מותאם להתמכרויות במסגרת בית הכלא. </w:t>
      </w:r>
    </w:p>
    <w:p w14:paraId="2CF38459"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p>
    <w:p w14:paraId="152906A7"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u w:val="single"/>
          <w:rtl/>
        </w:rPr>
      </w:pPr>
      <w:r w:rsidRPr="008666D5">
        <w:rPr>
          <w:rFonts w:ascii="David" w:eastAsia="Calibri" w:hAnsi="David" w:hint="cs"/>
          <w:u w:val="single"/>
          <w:rtl/>
        </w:rPr>
        <w:t>הראיות לעונש</w:t>
      </w:r>
    </w:p>
    <w:p w14:paraId="61F0F09C"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u w:val="single"/>
          <w:rtl/>
        </w:rPr>
      </w:pPr>
    </w:p>
    <w:p w14:paraId="734B767F"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r w:rsidRPr="008666D5">
        <w:rPr>
          <w:rFonts w:ascii="David" w:eastAsia="Calibri" w:hAnsi="David" w:hint="cs"/>
          <w:rtl/>
        </w:rPr>
        <w:t>15.</w:t>
      </w:r>
      <w:r w:rsidRPr="008666D5">
        <w:rPr>
          <w:rFonts w:ascii="David" w:eastAsia="Calibri" w:hAnsi="David" w:hint="cs"/>
          <w:rtl/>
        </w:rPr>
        <w:tab/>
        <w:t>במסגרת הראיות לעונש הגישה המאשימה את תדפיס רישומו הפלילי של הנאשם (מע/1), ממנו עולה כי לחובתו שתי הרשעות, האחת משנת 2015 בגין שתי עבירות איומים, והשנייה בעבירות הצתה, הפרת הוראה חוקית ואיומים.</w:t>
      </w:r>
    </w:p>
    <w:p w14:paraId="310DE092"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p>
    <w:p w14:paraId="7C6D1362"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r w:rsidRPr="008666D5">
        <w:rPr>
          <w:rFonts w:ascii="David" w:eastAsia="Calibri" w:hAnsi="David" w:hint="cs"/>
          <w:rtl/>
        </w:rPr>
        <w:t>16.</w:t>
      </w:r>
      <w:r w:rsidRPr="008666D5">
        <w:rPr>
          <w:rFonts w:ascii="David" w:eastAsia="Calibri" w:hAnsi="David" w:hint="cs"/>
          <w:rtl/>
        </w:rPr>
        <w:tab/>
        <w:t>מטעם ההגנה הוגשו תעודות הוקרה והערכה שניתנו לנאשם במסגרת שירותו הצבאי וכן מסמכים רפואיים.</w:t>
      </w:r>
    </w:p>
    <w:p w14:paraId="7F8D8857" w14:textId="77777777" w:rsidR="00184D68" w:rsidRDefault="00184D68" w:rsidP="00184D68">
      <w:pPr>
        <w:tabs>
          <w:tab w:val="left" w:pos="567"/>
          <w:tab w:val="left" w:pos="1134"/>
          <w:tab w:val="left" w:pos="1701"/>
        </w:tabs>
        <w:spacing w:line="360" w:lineRule="auto"/>
        <w:ind w:left="567" w:hanging="567"/>
        <w:jc w:val="both"/>
        <w:rPr>
          <w:rFonts w:ascii="David" w:eastAsia="Calibri" w:hAnsi="David"/>
          <w:rtl/>
        </w:rPr>
      </w:pPr>
    </w:p>
    <w:p w14:paraId="73B4679D" w14:textId="77777777" w:rsidR="00184D68" w:rsidRDefault="00184D68" w:rsidP="00184D68">
      <w:pPr>
        <w:tabs>
          <w:tab w:val="left" w:pos="567"/>
          <w:tab w:val="left" w:pos="1134"/>
          <w:tab w:val="left" w:pos="1701"/>
        </w:tabs>
        <w:spacing w:line="360" w:lineRule="auto"/>
        <w:ind w:left="567" w:hanging="567"/>
        <w:jc w:val="both"/>
        <w:rPr>
          <w:rFonts w:ascii="David" w:eastAsia="Calibri" w:hAnsi="David"/>
          <w:rtl/>
        </w:rPr>
      </w:pPr>
    </w:p>
    <w:p w14:paraId="6AF7F588"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p>
    <w:p w14:paraId="45935A37"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u w:val="single"/>
          <w:rtl/>
        </w:rPr>
      </w:pPr>
      <w:r w:rsidRPr="008666D5">
        <w:rPr>
          <w:rFonts w:ascii="David" w:eastAsia="Calibri" w:hAnsi="David" w:hint="cs"/>
          <w:u w:val="single"/>
          <w:rtl/>
        </w:rPr>
        <w:t>טיעוני הצדדים לעונש</w:t>
      </w:r>
    </w:p>
    <w:p w14:paraId="40F8DAE7"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u w:val="single"/>
          <w:rtl/>
        </w:rPr>
      </w:pPr>
    </w:p>
    <w:p w14:paraId="25F2B17A"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r w:rsidRPr="008666D5">
        <w:rPr>
          <w:rFonts w:ascii="David" w:eastAsia="Calibri" w:hAnsi="David" w:hint="cs"/>
          <w:rtl/>
        </w:rPr>
        <w:t>17.</w:t>
      </w:r>
      <w:r w:rsidRPr="008666D5">
        <w:rPr>
          <w:rFonts w:ascii="David" w:eastAsia="Calibri" w:hAnsi="David" w:hint="cs"/>
          <w:rtl/>
        </w:rPr>
        <w:tab/>
        <w:t>בטיעוניה לעונש ציינה המאשימה כי הערכים החברתיים שנפגעו כתוצאה מביצועה של עבירת השוד הם זכות הקניין, הזכות לשלמות הגוף וביטחון הציבור. נאמר כי מדובר במעשים הפוגעים פגיעה קשה בתחושת הביטחון של האזרח וכי מעשי השוד הפכו לנפוצים עד מאוד, דבר המעניק ממד חומרה נוסף למעשים.</w:t>
      </w:r>
    </w:p>
    <w:p w14:paraId="6A8F5BD3"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p>
    <w:p w14:paraId="18C2AAEF"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r w:rsidRPr="008666D5">
        <w:rPr>
          <w:rFonts w:ascii="David" w:eastAsia="Calibri" w:hAnsi="David" w:hint="cs"/>
          <w:rtl/>
        </w:rPr>
        <w:t>18.</w:t>
      </w:r>
      <w:r w:rsidRPr="008666D5">
        <w:rPr>
          <w:rFonts w:ascii="David" w:eastAsia="Calibri" w:hAnsi="David" w:hint="cs"/>
          <w:rtl/>
        </w:rPr>
        <w:tab/>
        <w:t>לאחר שהפנתה לנסיבות הקשורות בביצוע העבירה ולמדיניות הענישה הנלמדת מהפסיקה עליה הצביעה, עתרה המאשימה לקבוע כי מתחם העונש ההולם בגין עבירת השוד מצוי בטווח שבין 2-4 שנות מאסר לריצוי בפועל. בגין עבירת הסמים, שהיא עבירה נפרדת, ביקשה המאשימה לקבוע מתחם שנע בין 6-3 חודשי מאסר לריצוי בפועל במצטבר. בגין שני התיקים שצורפו מבית משפט השלום באילת ביקשה המאשימה להטיל שנת מאסר נוספת במצטבר.</w:t>
      </w:r>
    </w:p>
    <w:p w14:paraId="7F246145"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p>
    <w:p w14:paraId="31B49B17"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r w:rsidRPr="008666D5">
        <w:rPr>
          <w:rFonts w:ascii="David" w:eastAsia="Calibri" w:hAnsi="David" w:hint="cs"/>
          <w:rtl/>
        </w:rPr>
        <w:t>19.</w:t>
      </w:r>
      <w:r w:rsidRPr="008666D5">
        <w:rPr>
          <w:rFonts w:ascii="David" w:eastAsia="Calibri" w:hAnsi="David" w:hint="cs"/>
          <w:rtl/>
        </w:rPr>
        <w:tab/>
        <w:t>בשים לב להודאתו של הנאשם במיוחס לו מחד, ולעברו הפלילי וכן לתסקיר שירות המבחן מאידך, ביקשה המאשימה לגזור את עונשו ברף האמצעי-תחתון של המתחמים וכן להשית עליו מאסר מותנה ופיצוי למתלוננות.</w:t>
      </w:r>
    </w:p>
    <w:p w14:paraId="78AE811E"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p>
    <w:p w14:paraId="599C4BD7"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r w:rsidRPr="008666D5">
        <w:rPr>
          <w:rFonts w:ascii="David" w:eastAsia="Calibri" w:hAnsi="David" w:hint="cs"/>
          <w:rtl/>
        </w:rPr>
        <w:t>20.</w:t>
      </w:r>
      <w:r w:rsidRPr="008666D5">
        <w:rPr>
          <w:rFonts w:ascii="David" w:eastAsia="Calibri" w:hAnsi="David" w:hint="cs"/>
          <w:rtl/>
        </w:rPr>
        <w:tab/>
        <w:t>הסנגור טען בסיכומיו כי הנאשם נותן את הדין בשלושת התיקים, על ביצוע עבירות שונות במקומות שונים ובמועדים שונים, ולכן ניתן היה לקבוע מתחם נפרד לכל אירוע. מנגד, קיימת בין המעשים זיקה הדוקה מפאת אופיים ונסיבותיהם, שכן בכולם מדובר בעבירות "הזדמנות". לפיכך, סבורה ההגנה כי יש לקבוע מתחם כולל בגין כלל המעשים, המקיימים אירוע עברייני אחד על פי המבחנים שנקבעו בפסיקה.</w:t>
      </w:r>
    </w:p>
    <w:p w14:paraId="5C165F54"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p>
    <w:p w14:paraId="61540CC1"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r w:rsidRPr="008666D5">
        <w:rPr>
          <w:rFonts w:ascii="David" w:eastAsia="Calibri" w:hAnsi="David" w:hint="cs"/>
          <w:rtl/>
        </w:rPr>
        <w:t>21.</w:t>
      </w:r>
      <w:r w:rsidRPr="008666D5">
        <w:rPr>
          <w:rFonts w:ascii="David" w:eastAsia="Calibri" w:hAnsi="David" w:hint="cs"/>
          <w:rtl/>
        </w:rPr>
        <w:tab/>
        <w:t>בהתייחס לנסיבות ביצוע עבירת השוד, טען הסנגור כי הפגיעה בערכים המוגנים לא הייתה חמורה. זאת, בשים לב לכך שהתיק אותו נשאה המתלוננת, ותכולתו, למעט הכסף, נמצאו בסמוך למקום ביצוע העבירה והוחזרו לידה. בנוסף, רמת האלימות שהופעלה כלפי המתלוננת היא ברף התחתון והסתכמה במשיכת התיק בכוח מידה. כתוצאה מכך נגרמה אמנם למתלוננת אדמומיות ביד ימין, אך היא לא נזקקה לקבלת טיפול רפואי כלשהו. ב"כ הנאשם ציין כי מעובדות כתב האישום ברור כי מדובר באירוע שהוא בבחינת "עבירת הזדמנות", שעה שהנאשם הבחין במתלוננת והחליט לחטוף את תיקה. לא מדובר במעשה שהוא פרי תכנון מוקדם או כזה שהיה כרוך בתחכום מיוחד. הנאשם ביצע את העבירה לאור יום, כאשר פניו גלויות לעין ובתחנת האוטובוס בה עמדה המתלוננת נמצא אדם נוסף מלבדה.</w:t>
      </w:r>
    </w:p>
    <w:p w14:paraId="707A2FE3"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p>
    <w:p w14:paraId="1A8C0743"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r w:rsidRPr="008666D5">
        <w:rPr>
          <w:rFonts w:ascii="David" w:eastAsia="Calibri" w:hAnsi="David" w:hint="cs"/>
          <w:rtl/>
        </w:rPr>
        <w:t>22.</w:t>
      </w:r>
      <w:r w:rsidRPr="008666D5">
        <w:rPr>
          <w:rFonts w:ascii="David" w:eastAsia="Calibri" w:hAnsi="David" w:hint="cs"/>
          <w:rtl/>
        </w:rPr>
        <w:tab/>
        <w:t>לאחר שהפנה למדיניות הענישה הנוהגת ביחס לעבירות שוד, עתר הסנגור לקבוע מתחם עונש הנע בין 24-6 חודשי מאסר לריצוי בפועל.</w:t>
      </w:r>
    </w:p>
    <w:p w14:paraId="08FF491E"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p>
    <w:p w14:paraId="44A4CB15"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r w:rsidRPr="008666D5">
        <w:rPr>
          <w:rFonts w:ascii="David" w:eastAsia="Calibri" w:hAnsi="David" w:hint="cs"/>
          <w:rtl/>
        </w:rPr>
        <w:t>23.</w:t>
      </w:r>
      <w:r w:rsidRPr="008666D5">
        <w:rPr>
          <w:rFonts w:ascii="David" w:eastAsia="Calibri" w:hAnsi="David" w:hint="cs"/>
          <w:rtl/>
        </w:rPr>
        <w:tab/>
        <w:t>לעניין עבירת הסמים, נאמר כי עיון בפסיקה מלמד כי בגין עבירה של החזקת סמים לצריכה עצמית מתחם הענישה אינו כולל לרוב מאסר לריצוי בפועל, וכי גם במקרים קיצוניים בהם הושת מאסר לריצוי בפועל מדובר במאסר קצר שניתן לרצותו בדרך של עבודות שירות.</w:t>
      </w:r>
    </w:p>
    <w:p w14:paraId="010FAD8A"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p>
    <w:p w14:paraId="5181307E"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r w:rsidRPr="008666D5">
        <w:rPr>
          <w:rFonts w:ascii="David" w:eastAsia="Calibri" w:hAnsi="David" w:hint="cs"/>
          <w:rtl/>
        </w:rPr>
        <w:t>24.</w:t>
      </w:r>
      <w:r w:rsidRPr="008666D5">
        <w:rPr>
          <w:rFonts w:ascii="David" w:eastAsia="Calibri" w:hAnsi="David" w:hint="cs"/>
          <w:rtl/>
        </w:rPr>
        <w:tab/>
        <w:t>באשר לתיקים המצורפים טען ב"כ הנאשם כי הערכים החברתיים המוגנים שנפגעו כתוצאה מביצוע העבירות באותם תיקים אף הם עניינם פגיעה בקניינם של המתלוננים, אם כי מידת הפגיעה אינה מרובה.</w:t>
      </w:r>
    </w:p>
    <w:p w14:paraId="642E35CD"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p>
    <w:p w14:paraId="5BD2F195"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r w:rsidRPr="008666D5">
        <w:rPr>
          <w:rFonts w:ascii="David" w:eastAsia="Calibri" w:hAnsi="David" w:hint="cs"/>
          <w:rtl/>
        </w:rPr>
        <w:tab/>
        <w:t>בחינת נסיבות ביצוען של העבירות בתיקים המצורפים מעלה כי מדובר בעבירות רכוש ברף חומרה תחתון.</w:t>
      </w:r>
    </w:p>
    <w:p w14:paraId="468AC17D"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p>
    <w:p w14:paraId="542DA283"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r w:rsidRPr="008666D5">
        <w:rPr>
          <w:rFonts w:ascii="David" w:eastAsia="Calibri" w:hAnsi="David" w:hint="cs"/>
          <w:rtl/>
        </w:rPr>
        <w:t>25.</w:t>
      </w:r>
      <w:r w:rsidRPr="008666D5">
        <w:rPr>
          <w:rFonts w:ascii="David" w:eastAsia="Calibri" w:hAnsi="David" w:hint="cs"/>
          <w:rtl/>
        </w:rPr>
        <w:tab/>
        <w:t>לאחר שהפנה למדיניות הענישה הנוהגת בעבירות מושא התיקים המצורפים, עתר הסנגור לקבוע מתחם עונש הולם כולל לגביהם, הנע בין 6 חודשי מאסר שניתן לרצותם בעבודות שירות ועד 24 חודשי מאסר בפועל.</w:t>
      </w:r>
    </w:p>
    <w:p w14:paraId="75C06E14"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p>
    <w:p w14:paraId="724BE415"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r w:rsidRPr="008666D5">
        <w:rPr>
          <w:rFonts w:ascii="David" w:eastAsia="Calibri" w:hAnsi="David" w:hint="cs"/>
          <w:rtl/>
        </w:rPr>
        <w:t>26.</w:t>
      </w:r>
      <w:r w:rsidRPr="008666D5">
        <w:rPr>
          <w:rFonts w:ascii="David" w:eastAsia="Calibri" w:hAnsi="David" w:hint="cs"/>
          <w:rtl/>
        </w:rPr>
        <w:tab/>
        <w:t xml:space="preserve">בהתייחס לנסיבות שאינן קשורות בביצוע העבירה, הפנה הסנגור לנסיבות חייו הקשות של הנאשם, כפי שהן משתקפות מתסקירי שירות המבחן שהוגשו בעניינו וכן להליכים הטיפוליים בהם שולב ולניסיונות השיקום שלדאבון הלב לא צלחו בסופו של דבר. ב"כ הנאשם הוסיף כי על אף שהנאשם הורחק מהקהילה הטיפולית והוחזר למעצר, הרי שהוא לא השליך את התובנות שרכש בקהילה ועד היום שומר על ניקיון מסמים ושוהה באגף טיפולי המיועד למכורים בתהליכי גמילה. בנסיבות, נטען כי קיים סיכוי לשיקומו של הנאשם, המצדיק חריגה לקולא ממתחם העונש ההולם. </w:t>
      </w:r>
    </w:p>
    <w:p w14:paraId="6479EC58"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p>
    <w:p w14:paraId="346CC968"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r w:rsidRPr="008666D5">
        <w:rPr>
          <w:rFonts w:ascii="David" w:eastAsia="Calibri" w:hAnsi="David" w:hint="cs"/>
          <w:rtl/>
        </w:rPr>
        <w:t>27.</w:t>
      </w:r>
      <w:r w:rsidRPr="008666D5">
        <w:rPr>
          <w:rFonts w:ascii="David" w:eastAsia="Calibri" w:hAnsi="David" w:hint="cs"/>
          <w:rtl/>
        </w:rPr>
        <w:tab/>
        <w:t>בסיכומו של דבר, ביקש הסנגור להסתפק בתקופת המעצר בה נתון הנאשם, העומדת על 7.5 חודשים, ולהשית עליו בנוסף עונש מרתיע צופה פני עתיד. לעניין פיצוי המתלוננים נאמר כי מדובר בנאשם נעדר כל, שאין לו כל מקור הכנסה.</w:t>
      </w:r>
    </w:p>
    <w:p w14:paraId="4C7761AA"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p>
    <w:p w14:paraId="1AEA8A28"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u w:val="single"/>
          <w:rtl/>
        </w:rPr>
      </w:pPr>
      <w:r w:rsidRPr="008666D5">
        <w:rPr>
          <w:rFonts w:ascii="David" w:eastAsia="Calibri" w:hAnsi="David" w:hint="cs"/>
          <w:u w:val="single"/>
          <w:rtl/>
        </w:rPr>
        <w:t>דברו האחרון של הנאשם</w:t>
      </w:r>
    </w:p>
    <w:p w14:paraId="32C2DA61"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u w:val="single"/>
          <w:rtl/>
        </w:rPr>
      </w:pPr>
    </w:p>
    <w:p w14:paraId="78407767"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r w:rsidRPr="008666D5">
        <w:rPr>
          <w:rFonts w:ascii="David" w:eastAsia="Calibri" w:hAnsi="David" w:hint="cs"/>
          <w:rtl/>
        </w:rPr>
        <w:t>28.</w:t>
      </w:r>
      <w:r w:rsidRPr="008666D5">
        <w:rPr>
          <w:rFonts w:ascii="David" w:eastAsia="Calibri" w:hAnsi="David" w:hint="cs"/>
          <w:rtl/>
        </w:rPr>
        <w:tab/>
        <w:t xml:space="preserve">בדברו האחרון הביע הנאשם צער וחרטה על מעשיו, תוך שציין כי הוא הבין את הטעות שעשה ומבקש סליחה ורחמים. לדבריו, הוא למד דברים רבים במהלך שהותו בבית הסוהר, לרבות טיפולי גמילה מסמים, וכי הוא פותח כל בוקר בתפילה לאלוהים על כך שהוא נקי מסמים ומבטיח לעצמו שבחיים לא יסתבך שוב עם החוק. </w:t>
      </w:r>
    </w:p>
    <w:p w14:paraId="5C31A526" w14:textId="77777777" w:rsidR="00184D68" w:rsidRDefault="00184D68" w:rsidP="00184D68">
      <w:pPr>
        <w:tabs>
          <w:tab w:val="left" w:pos="567"/>
          <w:tab w:val="left" w:pos="1134"/>
          <w:tab w:val="left" w:pos="1701"/>
        </w:tabs>
        <w:spacing w:line="360" w:lineRule="auto"/>
        <w:ind w:left="567" w:hanging="567"/>
        <w:jc w:val="both"/>
        <w:rPr>
          <w:rFonts w:ascii="David" w:eastAsia="Calibri" w:hAnsi="David"/>
          <w:rtl/>
        </w:rPr>
      </w:pPr>
    </w:p>
    <w:p w14:paraId="77999105" w14:textId="77777777" w:rsidR="00184D68" w:rsidRDefault="00184D68" w:rsidP="00184D68">
      <w:pPr>
        <w:tabs>
          <w:tab w:val="left" w:pos="567"/>
          <w:tab w:val="left" w:pos="1134"/>
          <w:tab w:val="left" w:pos="1701"/>
        </w:tabs>
        <w:spacing w:line="360" w:lineRule="auto"/>
        <w:ind w:left="567" w:hanging="567"/>
        <w:jc w:val="both"/>
        <w:rPr>
          <w:rFonts w:ascii="David" w:eastAsia="Calibri" w:hAnsi="David"/>
          <w:rtl/>
        </w:rPr>
      </w:pPr>
    </w:p>
    <w:p w14:paraId="595D746F" w14:textId="77777777" w:rsidR="00184D68" w:rsidRDefault="00184D68" w:rsidP="00184D68">
      <w:pPr>
        <w:tabs>
          <w:tab w:val="left" w:pos="567"/>
          <w:tab w:val="left" w:pos="1134"/>
          <w:tab w:val="left" w:pos="1701"/>
        </w:tabs>
        <w:spacing w:line="360" w:lineRule="auto"/>
        <w:ind w:left="567" w:hanging="567"/>
        <w:jc w:val="both"/>
        <w:rPr>
          <w:rFonts w:ascii="David" w:eastAsia="Calibri" w:hAnsi="David"/>
          <w:rtl/>
        </w:rPr>
      </w:pPr>
    </w:p>
    <w:p w14:paraId="7148BDD5" w14:textId="77777777" w:rsidR="00184D68" w:rsidRDefault="00184D68" w:rsidP="00184D68">
      <w:pPr>
        <w:tabs>
          <w:tab w:val="left" w:pos="567"/>
          <w:tab w:val="left" w:pos="1134"/>
          <w:tab w:val="left" w:pos="1701"/>
        </w:tabs>
        <w:spacing w:line="360" w:lineRule="auto"/>
        <w:ind w:left="567" w:hanging="567"/>
        <w:jc w:val="both"/>
        <w:rPr>
          <w:rFonts w:ascii="David" w:eastAsia="Calibri" w:hAnsi="David"/>
          <w:rtl/>
        </w:rPr>
      </w:pPr>
    </w:p>
    <w:p w14:paraId="0EA789B8"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p>
    <w:p w14:paraId="4C5B1CB4"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u w:val="single"/>
          <w:rtl/>
        </w:rPr>
      </w:pPr>
      <w:r w:rsidRPr="008666D5">
        <w:rPr>
          <w:rFonts w:ascii="David" w:eastAsia="Calibri" w:hAnsi="David" w:hint="cs"/>
          <w:u w:val="single"/>
          <w:rtl/>
        </w:rPr>
        <w:t>דיון והכרעה</w:t>
      </w:r>
    </w:p>
    <w:p w14:paraId="5E68FC75"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u w:val="single"/>
          <w:rtl/>
        </w:rPr>
      </w:pPr>
      <w:r w:rsidRPr="008666D5">
        <w:rPr>
          <w:rFonts w:ascii="David" w:eastAsia="Calibri" w:hAnsi="David" w:hint="cs"/>
          <w:u w:val="single"/>
          <w:rtl/>
        </w:rPr>
        <w:t>מתחם ענישה אחד או שני מתחמים</w:t>
      </w:r>
    </w:p>
    <w:p w14:paraId="7CA9F0E3"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u w:val="single"/>
        </w:rPr>
      </w:pPr>
    </w:p>
    <w:p w14:paraId="1E8B333F"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r w:rsidRPr="008666D5">
        <w:rPr>
          <w:rFonts w:ascii="David" w:eastAsia="Calibri" w:hAnsi="David" w:hint="cs"/>
          <w:rtl/>
        </w:rPr>
        <w:t>29.</w:t>
      </w:r>
      <w:r w:rsidRPr="008666D5">
        <w:rPr>
          <w:rFonts w:ascii="David" w:eastAsia="Calibri" w:hAnsi="David" w:hint="cs"/>
          <w:rtl/>
        </w:rPr>
        <w:tab/>
        <w:t xml:space="preserve">בהתאם </w:t>
      </w:r>
      <w:hyperlink r:id="rId28" w:history="1">
        <w:r w:rsidR="00F30310" w:rsidRPr="00F30310">
          <w:rPr>
            <w:rStyle w:val="Hyperlink"/>
            <w:rFonts w:ascii="David" w:eastAsia="Calibri" w:hAnsi="David" w:hint="eastAsia"/>
            <w:rtl/>
          </w:rPr>
          <w:t>לסעיף</w:t>
        </w:r>
        <w:r w:rsidR="00F30310" w:rsidRPr="00F30310">
          <w:rPr>
            <w:rStyle w:val="Hyperlink"/>
            <w:rFonts w:ascii="David" w:eastAsia="Calibri" w:hAnsi="David"/>
            <w:rtl/>
          </w:rPr>
          <w:t xml:space="preserve"> 40יג</w:t>
        </w:r>
      </w:hyperlink>
      <w:r w:rsidRPr="008666D5">
        <w:rPr>
          <w:rFonts w:ascii="David" w:eastAsia="Calibri" w:hAnsi="David" w:hint="cs"/>
          <w:rtl/>
        </w:rPr>
        <w:t xml:space="preserve"> ל</w:t>
      </w:r>
      <w:hyperlink r:id="rId29" w:history="1">
        <w:r w:rsidR="00785C36" w:rsidRPr="00785C36">
          <w:rPr>
            <w:rFonts w:ascii="David" w:eastAsia="Calibri" w:hAnsi="David"/>
            <w:color w:val="0000FF"/>
            <w:u w:val="single"/>
            <w:rtl/>
          </w:rPr>
          <w:t>חוק העונשין</w:t>
        </w:r>
      </w:hyperlink>
      <w:r w:rsidRPr="008666D5">
        <w:rPr>
          <w:rFonts w:ascii="David" w:eastAsia="Calibri" w:hAnsi="David" w:hint="cs"/>
          <w:rtl/>
        </w:rPr>
        <w:t xml:space="preserve">, מקום בו הרשיע בית המשפט נאשם בכמה עבירות המהוות אירוע אחד, ייקבע עונש הולם אחד. לעומת זאת, מקום שנקבע כי העבירות מקימות כמה אירועים, ייקבע עונש הולם לכל אירוע בנפרד, ולאחר מכן רשאי בית המשפט לגזור עונש נפרד לכל אירוע או עונש כולל לכל האירועים. מקום שנגזר עונש נפרד לכל אירוע, יקבע בית המשפט את מידת החפיפה בין העונשים או הצטברותם. </w:t>
      </w:r>
    </w:p>
    <w:p w14:paraId="5D39B840"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p>
    <w:p w14:paraId="0A5E4A37" w14:textId="77777777" w:rsidR="00184D68" w:rsidRPr="008666D5" w:rsidRDefault="00184D68" w:rsidP="00184D68">
      <w:pPr>
        <w:tabs>
          <w:tab w:val="left" w:pos="567"/>
          <w:tab w:val="left" w:pos="1134"/>
          <w:tab w:val="left" w:pos="1701"/>
        </w:tabs>
        <w:spacing w:line="360" w:lineRule="auto"/>
        <w:ind w:left="567" w:hanging="567"/>
        <w:jc w:val="both"/>
        <w:rPr>
          <w:rtl/>
        </w:rPr>
      </w:pPr>
      <w:r w:rsidRPr="008666D5">
        <w:rPr>
          <w:rFonts w:ascii="David" w:eastAsia="Calibri" w:hAnsi="David" w:hint="cs"/>
          <w:rtl/>
        </w:rPr>
        <w:t>30.</w:t>
      </w:r>
      <w:r w:rsidRPr="008666D5">
        <w:rPr>
          <w:rFonts w:ascii="David" w:eastAsia="Calibri" w:hAnsi="David" w:hint="cs"/>
          <w:rtl/>
        </w:rPr>
        <w:tab/>
        <w:t>פסק הדין המנחה בסוגיה זו ניתן ב</w:t>
      </w:r>
      <w:hyperlink r:id="rId30" w:history="1">
        <w:r w:rsidR="00785C36" w:rsidRPr="00785C36">
          <w:rPr>
            <w:rFonts w:ascii="David" w:eastAsia="Calibri" w:hAnsi="David"/>
            <w:color w:val="0000FF"/>
            <w:u w:val="single"/>
            <w:rtl/>
          </w:rPr>
          <w:t>ע"פ 4910/13</w:t>
        </w:r>
      </w:hyperlink>
      <w:r w:rsidR="00785C36">
        <w:rPr>
          <w:rFonts w:ascii="David" w:eastAsia="Calibri" w:hAnsi="David" w:hint="cs"/>
          <w:rtl/>
        </w:rPr>
        <w:t xml:space="preserve"> </w:t>
      </w:r>
      <w:r w:rsidRPr="008666D5">
        <w:rPr>
          <w:rFonts w:ascii="David" w:eastAsia="Calibri" w:hAnsi="David" w:hint="cs"/>
          <w:b/>
          <w:bCs/>
          <w:rtl/>
        </w:rPr>
        <w:t>ג'אבר נ' מדינת ישראל</w:t>
      </w:r>
      <w:r w:rsidR="00785C36">
        <w:rPr>
          <w:rFonts w:ascii="David" w:eastAsia="Calibri" w:hAnsi="David" w:hint="cs"/>
          <w:rtl/>
        </w:rPr>
        <w:t xml:space="preserve"> </w:t>
      </w:r>
      <w:r w:rsidRPr="008666D5">
        <w:rPr>
          <w:rFonts w:ascii="David" w:eastAsia="Calibri" w:hAnsi="David" w:hint="cs"/>
          <w:rtl/>
        </w:rPr>
        <w:t>(29.10.2014) שם נקבע כי:</w:t>
      </w:r>
    </w:p>
    <w:p w14:paraId="5E51E716" w14:textId="77777777" w:rsidR="00184D68" w:rsidRPr="008666D5" w:rsidRDefault="00184D68" w:rsidP="00184D68">
      <w:pPr>
        <w:tabs>
          <w:tab w:val="left" w:pos="567"/>
          <w:tab w:val="left" w:pos="1134"/>
          <w:tab w:val="left" w:pos="1701"/>
        </w:tabs>
        <w:spacing w:line="360" w:lineRule="atLeast"/>
        <w:ind w:left="720" w:hanging="720"/>
        <w:jc w:val="both"/>
        <w:rPr>
          <w:rFonts w:ascii="David" w:eastAsia="Calibri" w:hAnsi="David"/>
          <w:rtl/>
        </w:rPr>
      </w:pPr>
    </w:p>
    <w:p w14:paraId="071B1F4C" w14:textId="77777777" w:rsidR="00184D68" w:rsidRDefault="00184D68" w:rsidP="00184D68">
      <w:pPr>
        <w:tabs>
          <w:tab w:val="left" w:pos="567"/>
          <w:tab w:val="left" w:pos="1134"/>
          <w:tab w:val="left" w:pos="1701"/>
        </w:tabs>
        <w:spacing w:line="360" w:lineRule="auto"/>
        <w:ind w:left="1418" w:right="1429"/>
        <w:jc w:val="both"/>
        <w:rPr>
          <w:rFonts w:ascii="David" w:eastAsia="Calibri" w:hAnsi="David"/>
          <w:rtl/>
        </w:rPr>
      </w:pPr>
      <w:r w:rsidRPr="008666D5">
        <w:rPr>
          <w:rFonts w:ascii="David" w:eastAsia="Calibri" w:hAnsi="David" w:hint="cs"/>
          <w:i/>
          <w:rtl/>
        </w:rPr>
        <w:t xml:space="preserve">"בעיקרו של דבר, התשובה לשאלה מהם גדרי ה"אירוע" תיגזר מניסיון החיים, כך שעבירות שיש ביניהן קשר הדוק ייחשבו לאירוע אחד. המובן שיינתן למונח "קשר הדוק" יתפתח ממקרה למקרה ואין צורך לקבוע אותו באופן קשיח כבר כעת. עם זאת, ניתן לומר כי ברגיל קשר כזה בין עבירות יימצא כאשר תהיה ביניהן סמיכות זמנים או כאשר הן תהיינה חלק מאותה תוכנית עבריינית אף כאשר הן </w:t>
      </w:r>
      <w:r w:rsidRPr="001A5E96">
        <w:rPr>
          <w:rFonts w:ascii="David" w:eastAsia="Calibri" w:hAnsi="David" w:hint="cs"/>
          <w:rtl/>
        </w:rPr>
        <w:t>בוצעו לאורך תקופת זמן שאינה קצרה (אך מבלי שפרמטרים אלה ימצו את מבחני העזר האפשריים לבחינת עוצמתו של הקשר בין העבירות)".</w:t>
      </w:r>
    </w:p>
    <w:p w14:paraId="368C5417" w14:textId="77777777" w:rsidR="00184D68" w:rsidRDefault="00184D68" w:rsidP="00184D68">
      <w:pPr>
        <w:tabs>
          <w:tab w:val="left" w:pos="567"/>
          <w:tab w:val="left" w:pos="1134"/>
          <w:tab w:val="left" w:pos="1701"/>
        </w:tabs>
        <w:spacing w:line="360" w:lineRule="auto"/>
        <w:ind w:left="1418" w:right="1429"/>
        <w:jc w:val="both"/>
        <w:rPr>
          <w:rFonts w:ascii="David" w:eastAsia="Calibri" w:hAnsi="David"/>
          <w:rtl/>
        </w:rPr>
      </w:pPr>
    </w:p>
    <w:p w14:paraId="4082DA03" w14:textId="77777777" w:rsidR="00184D68" w:rsidRPr="001A5E96" w:rsidRDefault="00184D68" w:rsidP="00184D68">
      <w:pPr>
        <w:tabs>
          <w:tab w:val="left" w:pos="567"/>
          <w:tab w:val="left" w:pos="1134"/>
          <w:tab w:val="left" w:pos="1701"/>
        </w:tabs>
        <w:spacing w:line="360" w:lineRule="auto"/>
        <w:ind w:left="567"/>
        <w:jc w:val="both"/>
        <w:rPr>
          <w:rFonts w:ascii="David" w:eastAsia="Calibri" w:hAnsi="David"/>
          <w:rtl/>
        </w:rPr>
      </w:pPr>
      <w:r>
        <w:rPr>
          <w:rFonts w:ascii="David" w:eastAsia="Calibri" w:hAnsi="David" w:hint="cs"/>
          <w:rtl/>
        </w:rPr>
        <w:t>כן ראו דברי בית המשפט ב</w:t>
      </w:r>
      <w:hyperlink r:id="rId31" w:history="1">
        <w:r w:rsidR="00785C36" w:rsidRPr="00785C36">
          <w:rPr>
            <w:rFonts w:ascii="David" w:eastAsia="Calibri" w:hAnsi="David"/>
            <w:color w:val="0000FF"/>
            <w:u w:val="single"/>
            <w:rtl/>
          </w:rPr>
          <w:t>ע"פ 1261/15</w:t>
        </w:r>
      </w:hyperlink>
      <w:r>
        <w:rPr>
          <w:rFonts w:ascii="David" w:eastAsia="Calibri" w:hAnsi="David" w:hint="cs"/>
          <w:rtl/>
        </w:rPr>
        <w:t xml:space="preserve"> </w:t>
      </w:r>
      <w:r>
        <w:rPr>
          <w:rFonts w:ascii="David" w:eastAsia="Calibri" w:hAnsi="David" w:hint="cs"/>
          <w:b/>
          <w:bCs/>
          <w:rtl/>
        </w:rPr>
        <w:t xml:space="preserve">מדינת ישראל נ' דלאל </w:t>
      </w:r>
      <w:r>
        <w:rPr>
          <w:rFonts w:ascii="David" w:eastAsia="Calibri" w:hAnsi="David" w:hint="cs"/>
          <w:rtl/>
        </w:rPr>
        <w:t>(3.9.2015), שם נקבע:</w:t>
      </w:r>
    </w:p>
    <w:p w14:paraId="76F26EE4" w14:textId="77777777" w:rsidR="00184D68" w:rsidRPr="008666D5" w:rsidRDefault="00184D68" w:rsidP="00184D68">
      <w:pPr>
        <w:tabs>
          <w:tab w:val="left" w:pos="567"/>
          <w:tab w:val="left" w:pos="1134"/>
          <w:tab w:val="left" w:pos="1701"/>
        </w:tabs>
        <w:spacing w:line="330" w:lineRule="atLeast"/>
        <w:ind w:left="720"/>
        <w:jc w:val="both"/>
        <w:rPr>
          <w:rFonts w:ascii="Calibri" w:eastAsia="Calibri" w:hAnsi="Calibri" w:cs="Calibri"/>
          <w:color w:val="000000"/>
          <w:sz w:val="22"/>
          <w:szCs w:val="22"/>
          <w:rtl/>
        </w:rPr>
      </w:pPr>
    </w:p>
    <w:p w14:paraId="4D951DCF" w14:textId="77777777" w:rsidR="00184D68" w:rsidRPr="008666D5" w:rsidRDefault="00184D68" w:rsidP="00184D68">
      <w:pPr>
        <w:tabs>
          <w:tab w:val="left" w:pos="567"/>
          <w:tab w:val="left" w:pos="1134"/>
          <w:tab w:val="left" w:pos="1701"/>
        </w:tabs>
        <w:spacing w:line="360" w:lineRule="auto"/>
        <w:ind w:left="1418" w:right="1429"/>
        <w:jc w:val="both"/>
        <w:rPr>
          <w:rFonts w:eastAsia="Calibri"/>
          <w:i/>
          <w:rtl/>
        </w:rPr>
      </w:pPr>
      <w:r w:rsidRPr="008666D5">
        <w:rPr>
          <w:rFonts w:ascii="David" w:eastAsia="Calibri" w:hAnsi="David" w:hint="cs"/>
          <w:i/>
          <w:rtl/>
        </w:rPr>
        <w:t>"כדי לעמוד על עוצמת הקשר שבין העבירות שוּמה על בית המשפט לעמוד על נסיבותיו העובדתיות של העניין שלפניו, ולבחון אם יש בהן כדי להצביע על קשר הדוק בין העבירות. נסיבות עובדתיות אלה מהוות "מבחני עזר" לקביעת עוצמת הקשר. במסגרת זו ניתן לבחון, למשל, האם ביצוען של העבירות מאופיין בתכנון; האם ניתן להצביע על שיטתיות בביצוע העבירות;</w:t>
      </w:r>
      <w:r w:rsidR="00785C36">
        <w:rPr>
          <w:rFonts w:ascii="David" w:eastAsia="Calibri" w:hAnsi="David" w:hint="cs"/>
          <w:i/>
          <w:rtl/>
        </w:rPr>
        <w:t xml:space="preserve"> </w:t>
      </w:r>
      <w:r w:rsidRPr="008666D5">
        <w:rPr>
          <w:rFonts w:ascii="David" w:eastAsia="Calibri" w:hAnsi="David" w:hint="cs"/>
          <w:i/>
          <w:rtl/>
        </w:rPr>
        <w:t>האם העבירות התרחשו בסמיכות של זמן או מקום; האם</w:t>
      </w:r>
      <w:r w:rsidRPr="008666D5">
        <w:rPr>
          <w:rFonts w:ascii="David" w:eastAsia="Calibri" w:hAnsi="David" w:cs="Times New Roman"/>
          <w:i/>
          <w:rtl/>
        </w:rPr>
        <w:t xml:space="preserve"> </w:t>
      </w:r>
      <w:r w:rsidRPr="008666D5">
        <w:rPr>
          <w:rFonts w:ascii="David" w:eastAsia="Calibri" w:hAnsi="David" w:hint="cs"/>
          <w:i/>
          <w:rtl/>
        </w:rPr>
        <w:t>ביצועה של עבירה אחת נועד לאפשר את ביצועה של העבירה האחרת או את ההימלטות לאחר ביצועה, וכיוצא באלו נסיבות עובדתיות. קיומה של נסיבה אחת או יותר מנסיבות אלו (ואין זו רשימה סגורה) עשוי להעיד על קשר הדוק בין העבירות השונות, המלמד כי באירוע אחד עסקינן. בבחינת הנסיבות העובדתיות, מן ההכרח לבית המשפט להעמיד לנגד עיניו את השאלה האם השקפה על העבירות כעל כמה אירועים תהא מלאכותית, באופן שיגרע ממהות העניין בכללותו, או שלא ישקף את סיפור המעשה כהווייתו".</w:t>
      </w:r>
      <w:r w:rsidR="00785C36">
        <w:rPr>
          <w:rFonts w:ascii="David" w:eastAsia="Calibri" w:hAnsi="David" w:hint="cs"/>
          <w:i/>
          <w:rtl/>
        </w:rPr>
        <w:t xml:space="preserve"> </w:t>
      </w:r>
    </w:p>
    <w:p w14:paraId="6CA56723"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p>
    <w:p w14:paraId="20729ADC"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r w:rsidRPr="008666D5">
        <w:rPr>
          <w:rFonts w:ascii="David" w:eastAsia="Calibri" w:hAnsi="David" w:hint="cs"/>
          <w:rtl/>
        </w:rPr>
        <w:t>31.</w:t>
      </w:r>
      <w:r w:rsidRPr="008666D5">
        <w:rPr>
          <w:rFonts w:ascii="David" w:eastAsia="Calibri" w:hAnsi="David" w:hint="cs"/>
          <w:rtl/>
        </w:rPr>
        <w:tab/>
        <w:t>בענייננו מדובר בעבירות שנעשו במועדים שונים, בזירות שונות וכלפי נפגעי עבירה שונים. לא ניכרת כל שיטתיות בביצוען, אין בהן אותו "קשר הדוק" הדרוש על מנת להביא לסיווגן כאירוע עברייני אחד. בנסיבות, לא מצאתי כל מקום להתייחס אליהן כאל מעשים המהווים פרשה אחת. משכך, יש בדעתי לקבוע מתחמי ענישה נפרדים ולגזור בסופו של דבר עונש כולל אחד לכלל האירועים.</w:t>
      </w:r>
    </w:p>
    <w:p w14:paraId="67ABA82F"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p>
    <w:p w14:paraId="3F60111B"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r w:rsidRPr="008666D5">
        <w:rPr>
          <w:rFonts w:ascii="David" w:eastAsia="Calibri" w:hAnsi="David" w:hint="cs"/>
          <w:u w:val="single"/>
          <w:rtl/>
        </w:rPr>
        <w:t>קביעת מתחם העונש ההולם בעבירת השוד</w:t>
      </w:r>
    </w:p>
    <w:p w14:paraId="637D0037"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p>
    <w:p w14:paraId="4D7E1BCA"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r w:rsidRPr="008666D5">
        <w:rPr>
          <w:rFonts w:ascii="David" w:eastAsia="Calibri" w:hAnsi="David" w:hint="cs"/>
          <w:rtl/>
        </w:rPr>
        <w:t>32.</w:t>
      </w:r>
      <w:r w:rsidRPr="008666D5">
        <w:rPr>
          <w:rFonts w:ascii="David" w:eastAsia="Calibri" w:hAnsi="David" w:hint="cs"/>
          <w:rtl/>
        </w:rPr>
        <w:tab/>
        <w:t>הערכים המוגנים שנפגעו כתוצאה מביצוע עבירת השוד הם שלמות גופה ורכושה של המתלוננת, כמו גם האוטונומיה שלה ושלמות ביטחונו ורכושו של הציבור בכללותו. על חומרת הפגיעה בערכים המוגנים של שלום הציבור וביטחונו כתוצאה מביצוע עבירות שוד, עמד בית המשפט במספר הזדמנויות. כך ב</w:t>
      </w:r>
      <w:hyperlink r:id="rId32" w:history="1">
        <w:r w:rsidR="00785C36" w:rsidRPr="00785C36">
          <w:rPr>
            <w:rFonts w:ascii="David" w:eastAsia="Calibri" w:hAnsi="David"/>
            <w:color w:val="0000FF"/>
            <w:u w:val="single"/>
            <w:rtl/>
          </w:rPr>
          <w:t>ע"פ 6862/13</w:t>
        </w:r>
      </w:hyperlink>
      <w:r w:rsidRPr="008666D5">
        <w:rPr>
          <w:rFonts w:ascii="David" w:eastAsia="Calibri" w:hAnsi="David" w:hint="cs"/>
          <w:rtl/>
        </w:rPr>
        <w:t xml:space="preserve"> </w:t>
      </w:r>
      <w:r w:rsidRPr="008666D5">
        <w:rPr>
          <w:rFonts w:ascii="David" w:eastAsia="Calibri" w:hAnsi="David" w:hint="cs"/>
          <w:b/>
          <w:bCs/>
          <w:rtl/>
        </w:rPr>
        <w:t>חיג'אזי</w:t>
      </w:r>
      <w:r w:rsidRPr="008666D5">
        <w:rPr>
          <w:rFonts w:ascii="David" w:eastAsia="Calibri" w:hAnsi="David" w:hint="cs"/>
          <w:rtl/>
        </w:rPr>
        <w:t xml:space="preserve"> </w:t>
      </w:r>
      <w:r w:rsidRPr="008666D5">
        <w:rPr>
          <w:rFonts w:ascii="David" w:eastAsia="Calibri" w:hAnsi="David" w:hint="cs"/>
          <w:b/>
          <w:bCs/>
          <w:rtl/>
        </w:rPr>
        <w:t>נ' מדינת ישראל</w:t>
      </w:r>
      <w:r w:rsidRPr="008666D5">
        <w:rPr>
          <w:rFonts w:ascii="David" w:eastAsia="Calibri" w:hAnsi="David" w:hint="cs"/>
          <w:rtl/>
        </w:rPr>
        <w:t xml:space="preserve"> (7.7.2014), נאמר:</w:t>
      </w:r>
    </w:p>
    <w:p w14:paraId="79FCFE1A"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Pr>
      </w:pPr>
    </w:p>
    <w:p w14:paraId="79AD36F5" w14:textId="77777777" w:rsidR="00184D68" w:rsidRPr="008666D5" w:rsidRDefault="00184D68" w:rsidP="00184D68">
      <w:pPr>
        <w:tabs>
          <w:tab w:val="left" w:pos="567"/>
          <w:tab w:val="left" w:pos="1134"/>
          <w:tab w:val="left" w:pos="1701"/>
        </w:tabs>
        <w:spacing w:line="360" w:lineRule="auto"/>
        <w:ind w:left="1429" w:right="1429"/>
        <w:jc w:val="both"/>
        <w:rPr>
          <w:rFonts w:ascii="David" w:eastAsia="Calibri" w:hAnsi="David"/>
          <w:i/>
          <w:rtl/>
        </w:rPr>
      </w:pPr>
      <w:r w:rsidRPr="008666D5">
        <w:rPr>
          <w:rFonts w:ascii="David" w:eastAsia="Calibri" w:hAnsi="David" w:hint="cs"/>
          <w:i/>
          <w:rtl/>
        </w:rPr>
        <w:t>"עבירות של שוד על דרך תקיפה ברחוב פוגעות לא רק בקורבן אלא בתחושת הביטחון האזרחית הכללית. אחת הציפיות הראשונות של אנשים היוצאים מביתם לרחובות העיר כי היכולת להתנהל בביטחון וללא אימה, ולא כל שכן בסביבה היומיומית המוכרת. על כן, אין מקום לראות את העבירה שבה נכשל המערער כעבירה קלה, גם אם קיימים מעשי שוד הנעברים בנסיבות מחמירות יותר".</w:t>
      </w:r>
    </w:p>
    <w:p w14:paraId="05225D9A" w14:textId="77777777" w:rsidR="00184D68" w:rsidRPr="008666D5" w:rsidRDefault="00184D68" w:rsidP="00184D68">
      <w:pPr>
        <w:tabs>
          <w:tab w:val="left" w:pos="567"/>
          <w:tab w:val="left" w:pos="1134"/>
          <w:tab w:val="left" w:pos="1701"/>
        </w:tabs>
        <w:spacing w:line="360" w:lineRule="auto"/>
        <w:jc w:val="both"/>
        <w:rPr>
          <w:rFonts w:ascii="David" w:eastAsia="Calibri" w:hAnsi="David"/>
        </w:rPr>
      </w:pPr>
    </w:p>
    <w:p w14:paraId="126D9585" w14:textId="77777777" w:rsidR="00184D68" w:rsidRPr="008666D5" w:rsidRDefault="00184D68" w:rsidP="00184D68">
      <w:pPr>
        <w:tabs>
          <w:tab w:val="left" w:pos="567"/>
          <w:tab w:val="left" w:pos="1134"/>
          <w:tab w:val="left" w:pos="1701"/>
        </w:tabs>
        <w:spacing w:line="360" w:lineRule="auto"/>
        <w:ind w:left="567" w:hanging="567"/>
        <w:jc w:val="both"/>
        <w:rPr>
          <w:rFonts w:ascii="Calibri" w:eastAsia="Calibri" w:hAnsi="Calibri"/>
          <w:rtl/>
        </w:rPr>
      </w:pPr>
      <w:r w:rsidRPr="008666D5">
        <w:rPr>
          <w:rFonts w:ascii="David" w:eastAsia="Calibri" w:hAnsi="David" w:hint="cs"/>
          <w:rtl/>
        </w:rPr>
        <w:tab/>
      </w:r>
      <w:r w:rsidRPr="008666D5">
        <w:rPr>
          <w:rFonts w:ascii="Calibri" w:eastAsia="Calibri" w:hAnsi="Calibri" w:hint="cs"/>
          <w:rtl/>
        </w:rPr>
        <w:t>ב</w:t>
      </w:r>
      <w:hyperlink r:id="rId33" w:history="1">
        <w:r w:rsidR="00785C36" w:rsidRPr="00785C36">
          <w:rPr>
            <w:rFonts w:ascii="Calibri" w:eastAsia="Calibri" w:hAnsi="Calibri" w:hint="cs"/>
            <w:color w:val="0000FF"/>
            <w:u w:val="single"/>
            <w:rtl/>
          </w:rPr>
          <w:t>ע</w:t>
        </w:r>
        <w:r w:rsidR="00785C36" w:rsidRPr="00785C36">
          <w:rPr>
            <w:rFonts w:ascii="Calibri" w:eastAsia="Calibri" w:hAnsi="Calibri"/>
            <w:color w:val="0000FF"/>
            <w:u w:val="single"/>
            <w:rtl/>
          </w:rPr>
          <w:t>"</w:t>
        </w:r>
        <w:r w:rsidR="00785C36" w:rsidRPr="00785C36">
          <w:rPr>
            <w:rFonts w:ascii="Calibri" w:eastAsia="Calibri" w:hAnsi="Calibri" w:hint="cs"/>
            <w:color w:val="0000FF"/>
            <w:u w:val="single"/>
            <w:rtl/>
          </w:rPr>
          <w:t>פ</w:t>
        </w:r>
        <w:r w:rsidR="00785C36" w:rsidRPr="00785C36">
          <w:rPr>
            <w:rFonts w:ascii="Calibri" w:eastAsia="Calibri" w:hAnsi="Calibri"/>
            <w:color w:val="0000FF"/>
            <w:u w:val="single"/>
            <w:rtl/>
          </w:rPr>
          <w:t xml:space="preserve"> 4442/19</w:t>
        </w:r>
      </w:hyperlink>
      <w:r w:rsidRPr="008666D5">
        <w:rPr>
          <w:rFonts w:ascii="Calibri" w:eastAsia="Calibri" w:hAnsi="Calibri" w:hint="cs"/>
          <w:rtl/>
        </w:rPr>
        <w:t xml:space="preserve"> </w:t>
      </w:r>
      <w:r w:rsidRPr="008666D5">
        <w:rPr>
          <w:rFonts w:ascii="Calibri" w:eastAsia="Calibri" w:hAnsi="Calibri" w:hint="cs"/>
          <w:b/>
          <w:bCs/>
          <w:rtl/>
        </w:rPr>
        <w:t>מדינת ישראל נ' שווץ</w:t>
      </w:r>
      <w:r w:rsidRPr="008666D5">
        <w:rPr>
          <w:rFonts w:ascii="Calibri" w:eastAsia="Calibri" w:hAnsi="Calibri" w:hint="cs"/>
          <w:rtl/>
        </w:rPr>
        <w:t xml:space="preserve"> (13.11.2019) עמד בית המשפט על הערכים המוגנים הנפגעים מביצוע עבירות שוד, בציינו כי:</w:t>
      </w:r>
    </w:p>
    <w:p w14:paraId="110DC81E" w14:textId="77777777" w:rsidR="00184D68" w:rsidRPr="008666D5" w:rsidRDefault="00184D68" w:rsidP="00184D68">
      <w:pPr>
        <w:tabs>
          <w:tab w:val="left" w:pos="567"/>
          <w:tab w:val="left" w:pos="1134"/>
          <w:tab w:val="left" w:pos="1701"/>
        </w:tabs>
        <w:spacing w:line="360" w:lineRule="auto"/>
        <w:ind w:left="567" w:hanging="567"/>
        <w:jc w:val="both"/>
        <w:rPr>
          <w:rFonts w:ascii="Calibri" w:eastAsia="Calibri" w:hAnsi="Calibri"/>
        </w:rPr>
      </w:pPr>
    </w:p>
    <w:p w14:paraId="58C2CE3C" w14:textId="77777777" w:rsidR="00184D68" w:rsidRPr="008666D5" w:rsidRDefault="00184D68" w:rsidP="00184D68">
      <w:pPr>
        <w:tabs>
          <w:tab w:val="left" w:pos="567"/>
          <w:tab w:val="left" w:pos="1134"/>
          <w:tab w:val="left" w:pos="1701"/>
        </w:tabs>
        <w:spacing w:line="360" w:lineRule="auto"/>
        <w:ind w:left="1418" w:right="1418"/>
        <w:jc w:val="both"/>
        <w:rPr>
          <w:rFonts w:ascii="Calibri" w:eastAsia="Calibri" w:hAnsi="Calibri"/>
          <w:rtl/>
        </w:rPr>
      </w:pPr>
      <w:r w:rsidRPr="008666D5">
        <w:rPr>
          <w:rFonts w:ascii="Calibri" w:eastAsia="Calibri" w:hAnsi="Calibri" w:hint="cs"/>
          <w:rtl/>
        </w:rPr>
        <w:t>"בית משפט זה עמד לא פעם על חומרתה של עבירת השוד בנסיבות מחמירות, שיש בה כדי לפגוע הן בביטחונו האישי של קורבן העבירה וברכושו והן בתחושת הביטחון של הציבור בכללותו, בשלומו וברווחתו (</w:t>
      </w:r>
      <w:hyperlink r:id="rId34" w:history="1">
        <w:r w:rsidR="00785C36" w:rsidRPr="00785C36">
          <w:rPr>
            <w:rFonts w:ascii="Calibri" w:eastAsia="Calibri" w:hAnsi="Calibri" w:hint="cs"/>
            <w:color w:val="0000FF"/>
            <w:u w:val="single"/>
            <w:rtl/>
          </w:rPr>
          <w:t>ע</w:t>
        </w:r>
        <w:r w:rsidR="00785C36" w:rsidRPr="00785C36">
          <w:rPr>
            <w:rFonts w:ascii="Calibri" w:eastAsia="Calibri" w:hAnsi="Calibri"/>
            <w:color w:val="0000FF"/>
            <w:u w:val="single"/>
            <w:rtl/>
          </w:rPr>
          <w:t>"</w:t>
        </w:r>
        <w:r w:rsidR="00785C36" w:rsidRPr="00785C36">
          <w:rPr>
            <w:rFonts w:ascii="Calibri" w:eastAsia="Calibri" w:hAnsi="Calibri" w:hint="cs"/>
            <w:color w:val="0000FF"/>
            <w:u w:val="single"/>
            <w:rtl/>
          </w:rPr>
          <w:t>פ</w:t>
        </w:r>
        <w:r w:rsidR="00785C36" w:rsidRPr="00785C36">
          <w:rPr>
            <w:rFonts w:ascii="Calibri" w:eastAsia="Calibri" w:hAnsi="Calibri"/>
            <w:color w:val="0000FF"/>
            <w:u w:val="single"/>
            <w:rtl/>
          </w:rPr>
          <w:t xml:space="preserve"> 8696/18</w:t>
        </w:r>
      </w:hyperlink>
      <w:r w:rsidRPr="008666D5">
        <w:rPr>
          <w:rFonts w:ascii="Calibri" w:eastAsia="Calibri" w:hAnsi="Calibri" w:hint="cs"/>
          <w:rtl/>
        </w:rPr>
        <w:t xml:space="preserve"> מדינת ישראל נ' מני, [פורסם בנבו] פסקה 8 (18.4.2019); </w:t>
      </w:r>
      <w:hyperlink r:id="rId35" w:history="1">
        <w:r w:rsidR="00785C36" w:rsidRPr="00785C36">
          <w:rPr>
            <w:rFonts w:ascii="Calibri" w:eastAsia="Calibri" w:hAnsi="Calibri" w:hint="cs"/>
            <w:color w:val="0000FF"/>
            <w:u w:val="single"/>
            <w:rtl/>
          </w:rPr>
          <w:t>ע</w:t>
        </w:r>
        <w:r w:rsidR="00785C36" w:rsidRPr="00785C36">
          <w:rPr>
            <w:rFonts w:ascii="Calibri" w:eastAsia="Calibri" w:hAnsi="Calibri"/>
            <w:color w:val="0000FF"/>
            <w:u w:val="single"/>
            <w:rtl/>
          </w:rPr>
          <w:t>"</w:t>
        </w:r>
        <w:r w:rsidR="00785C36" w:rsidRPr="00785C36">
          <w:rPr>
            <w:rFonts w:ascii="Calibri" w:eastAsia="Calibri" w:hAnsi="Calibri" w:hint="cs"/>
            <w:color w:val="0000FF"/>
            <w:u w:val="single"/>
            <w:rtl/>
          </w:rPr>
          <w:t>פ</w:t>
        </w:r>
        <w:r w:rsidR="00785C36" w:rsidRPr="00785C36">
          <w:rPr>
            <w:rFonts w:ascii="Calibri" w:eastAsia="Calibri" w:hAnsi="Calibri"/>
            <w:color w:val="0000FF"/>
            <w:u w:val="single"/>
            <w:rtl/>
          </w:rPr>
          <w:t xml:space="preserve"> 2805/15</w:t>
        </w:r>
      </w:hyperlink>
      <w:r w:rsidRPr="008666D5">
        <w:rPr>
          <w:rFonts w:ascii="Calibri" w:eastAsia="Calibri" w:hAnsi="Calibri" w:hint="cs"/>
          <w:rtl/>
        </w:rPr>
        <w:t xml:space="preserve"> סגייר נ' מדינת ישראל, [פורסם בנבו] פסקה 11 והאסמכתאות שם (24.7.2017))".</w:t>
      </w:r>
    </w:p>
    <w:p w14:paraId="446EBB7F" w14:textId="77777777" w:rsidR="00184D68" w:rsidRPr="008666D5" w:rsidRDefault="00184D68" w:rsidP="00184D68">
      <w:pPr>
        <w:tabs>
          <w:tab w:val="left" w:pos="567"/>
          <w:tab w:val="left" w:pos="1134"/>
          <w:tab w:val="left" w:pos="1701"/>
        </w:tabs>
        <w:spacing w:line="360" w:lineRule="auto"/>
        <w:jc w:val="both"/>
        <w:rPr>
          <w:rFonts w:ascii="David" w:eastAsia="Calibri" w:hAnsi="David"/>
          <w:rtl/>
        </w:rPr>
      </w:pPr>
    </w:p>
    <w:p w14:paraId="671BDFF6" w14:textId="77777777" w:rsidR="00184D68" w:rsidRPr="008666D5" w:rsidRDefault="00184D68" w:rsidP="00184D68">
      <w:pPr>
        <w:tabs>
          <w:tab w:val="left" w:pos="567"/>
          <w:tab w:val="left" w:pos="1134"/>
          <w:tab w:val="left" w:pos="1701"/>
        </w:tabs>
        <w:spacing w:line="360" w:lineRule="auto"/>
        <w:jc w:val="both"/>
        <w:rPr>
          <w:rFonts w:ascii="David" w:eastAsia="Calibri" w:hAnsi="David"/>
          <w:rtl/>
        </w:rPr>
      </w:pPr>
      <w:r w:rsidRPr="008666D5">
        <w:rPr>
          <w:rFonts w:ascii="David" w:eastAsia="Calibri" w:hAnsi="David" w:hint="cs"/>
          <w:rtl/>
        </w:rPr>
        <w:tab/>
        <w:t xml:space="preserve">ראו עוד בנדון: </w:t>
      </w:r>
      <w:hyperlink r:id="rId36" w:history="1">
        <w:r w:rsidR="00785C36" w:rsidRPr="00785C36">
          <w:rPr>
            <w:rFonts w:ascii="David" w:eastAsia="Calibri" w:hAnsi="David"/>
            <w:color w:val="0000FF"/>
            <w:u w:val="single"/>
            <w:rtl/>
          </w:rPr>
          <w:t>ע"פ 2163/05</w:t>
        </w:r>
      </w:hyperlink>
      <w:r w:rsidRPr="008666D5">
        <w:rPr>
          <w:rFonts w:ascii="David" w:eastAsia="Calibri" w:hAnsi="David" w:hint="cs"/>
          <w:rtl/>
        </w:rPr>
        <w:t xml:space="preserve"> </w:t>
      </w:r>
      <w:r w:rsidRPr="008666D5">
        <w:rPr>
          <w:rFonts w:ascii="David" w:eastAsia="Calibri" w:hAnsi="David" w:hint="cs"/>
          <w:b/>
          <w:bCs/>
          <w:rtl/>
        </w:rPr>
        <w:t>אלייב נ' מדינת ישראל</w:t>
      </w:r>
      <w:r w:rsidRPr="008666D5">
        <w:rPr>
          <w:rFonts w:ascii="David" w:eastAsia="Calibri" w:hAnsi="David" w:hint="cs"/>
          <w:rtl/>
        </w:rPr>
        <w:t xml:space="preserve"> (12.12.2005).</w:t>
      </w:r>
    </w:p>
    <w:p w14:paraId="336BBEA1"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p>
    <w:p w14:paraId="477CED4C"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r w:rsidRPr="008666D5">
        <w:rPr>
          <w:rFonts w:ascii="David" w:eastAsia="Calibri" w:hAnsi="David" w:hint="cs"/>
          <w:rtl/>
        </w:rPr>
        <w:t>33.</w:t>
      </w:r>
      <w:r w:rsidRPr="008666D5">
        <w:rPr>
          <w:rFonts w:ascii="David" w:eastAsia="Calibri" w:hAnsi="David" w:hint="cs"/>
          <w:rtl/>
        </w:rPr>
        <w:tab/>
        <w:t>בבואי לבחון את הנסיבות הקשורות בביצוע עבירת השוד, נתתי דעתי לכך שמעשיו של הנאשם לא התאפיינו בתכנון מוקדם או תחכום מיוחד. ניתן להניח כי בחירתו במתלוננת הייתה אקראית ומתוך החלטה רגעית וספונטנית לנצל הזדמנות שנקרתה בדרכו.</w:t>
      </w:r>
    </w:p>
    <w:p w14:paraId="1EA8490A"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p>
    <w:p w14:paraId="3906C299" w14:textId="77777777" w:rsidR="00184D68" w:rsidRPr="008666D5" w:rsidRDefault="00184D68" w:rsidP="00184D68">
      <w:pPr>
        <w:tabs>
          <w:tab w:val="left" w:pos="567"/>
          <w:tab w:val="left" w:pos="1134"/>
          <w:tab w:val="left" w:pos="1701"/>
        </w:tabs>
        <w:spacing w:line="360" w:lineRule="auto"/>
        <w:ind w:left="567" w:hanging="567"/>
        <w:jc w:val="both"/>
        <w:rPr>
          <w:rFonts w:ascii="Calibri" w:eastAsia="Calibri" w:hAnsi="Calibri"/>
          <w:rtl/>
        </w:rPr>
      </w:pPr>
      <w:r w:rsidRPr="008666D5">
        <w:rPr>
          <w:rFonts w:ascii="David" w:eastAsia="Calibri" w:hAnsi="David" w:hint="cs"/>
          <w:rtl/>
        </w:rPr>
        <w:t>34.</w:t>
      </w:r>
      <w:r w:rsidRPr="008666D5">
        <w:rPr>
          <w:rFonts w:ascii="David" w:eastAsia="Calibri" w:hAnsi="David" w:hint="cs"/>
          <w:rtl/>
        </w:rPr>
        <w:tab/>
        <w:t>הנזק הממוני שנגרם בפועל כתוצאה מביצוע עבירת השוד אמנם אינו רב וכך גם הפגיעה הפיזית במתלוננת אינה ברף חומרה גבוה. יחד עם זאת, ניתן להניח כי למתלוננת נגרם נזק נפשי המתבטא באימה ובפחד שאחזו בה שעה שהנאשם חטף מידה את תיקה בצהרי היום, במקום ציבורי, בטבורה של העיר כרמיאל. יפים לעניין זה דברי בית המשפט ב</w:t>
      </w:r>
      <w:hyperlink r:id="rId37" w:history="1">
        <w:r w:rsidR="00785C36" w:rsidRPr="00785C36">
          <w:rPr>
            <w:rFonts w:ascii="David" w:eastAsia="Calibri" w:hAnsi="David"/>
            <w:color w:val="0000FF"/>
            <w:u w:val="single"/>
            <w:rtl/>
          </w:rPr>
          <w:t>ע"פ 1261/15</w:t>
        </w:r>
      </w:hyperlink>
      <w:r w:rsidRPr="008666D5">
        <w:rPr>
          <w:rFonts w:ascii="David" w:eastAsia="Calibri" w:hAnsi="David" w:hint="cs"/>
          <w:rtl/>
        </w:rPr>
        <w:t xml:space="preserve"> </w:t>
      </w:r>
      <w:r w:rsidRPr="008666D5">
        <w:rPr>
          <w:rFonts w:ascii="Calibri" w:eastAsia="Calibri" w:hAnsi="Calibri" w:hint="cs"/>
          <w:b/>
          <w:bCs/>
          <w:rtl/>
        </w:rPr>
        <w:t xml:space="preserve">מדינת ישראל נ' דלאל </w:t>
      </w:r>
      <w:r w:rsidRPr="008666D5">
        <w:rPr>
          <w:rFonts w:ascii="Calibri" w:eastAsia="Calibri" w:hAnsi="Calibri" w:hint="cs"/>
          <w:rtl/>
        </w:rPr>
        <w:t>(3.9.2015), שנאמרו אמנם ביחס לשוד קשישים, אך יפים גם לענייננו בכל הקשור לאבדן תחושת הביטחון של אדם בעודו מהלך במרחב הציבורי. באותו מקרה נאמר כי:</w:t>
      </w:r>
    </w:p>
    <w:p w14:paraId="536449BD" w14:textId="77777777" w:rsidR="00184D68" w:rsidRPr="008666D5" w:rsidRDefault="00184D68" w:rsidP="00184D68">
      <w:pPr>
        <w:tabs>
          <w:tab w:val="left" w:pos="567"/>
          <w:tab w:val="left" w:pos="1134"/>
          <w:tab w:val="left" w:pos="1701"/>
        </w:tabs>
        <w:spacing w:line="360" w:lineRule="auto"/>
        <w:ind w:left="567" w:hanging="567"/>
        <w:jc w:val="both"/>
        <w:rPr>
          <w:rFonts w:ascii="Calibri" w:eastAsia="Calibri" w:hAnsi="Calibri"/>
        </w:rPr>
      </w:pPr>
    </w:p>
    <w:p w14:paraId="496DAF8D" w14:textId="77777777" w:rsidR="00184D68" w:rsidRPr="008666D5" w:rsidRDefault="00184D68" w:rsidP="00184D68">
      <w:pPr>
        <w:tabs>
          <w:tab w:val="left" w:pos="567"/>
          <w:tab w:val="left" w:pos="1134"/>
          <w:tab w:val="left" w:pos="1701"/>
        </w:tabs>
        <w:spacing w:line="360" w:lineRule="auto"/>
        <w:ind w:left="1418" w:right="1418"/>
        <w:jc w:val="both"/>
        <w:rPr>
          <w:rFonts w:ascii="David" w:eastAsia="Calibri" w:hAnsi="David"/>
        </w:rPr>
      </w:pPr>
      <w:r w:rsidRPr="008666D5">
        <w:rPr>
          <w:rFonts w:ascii="David" w:eastAsia="Calibri" w:hAnsi="David" w:hint="cs"/>
          <w:rtl/>
        </w:rPr>
        <w:t>"בצד הנזק הכלכלי, נגרם לא אחת גם נזק פיזי, רגשי ותפקודי. הבטחון העצמי מתערער, האֵמון בזולת נגרע, עד כי לעיתים הפגיעה היא חסרת תקנה. אנו מצוּוים לגמול ולהרתיע: "בית משפט זה רואה בענישה המחמירה בנושאים אלו את תרומתו להגנה על קשישים וביטוי לרצונו להבטיח כי גם בערוב ימיהם לא יהפכו מי שאינם עוד בשיא כוחם הפקר למעשי בריונות, ולא תיפגע איכות חייהם" (</w:t>
      </w:r>
      <w:hyperlink r:id="rId38" w:history="1">
        <w:r w:rsidR="00785C36" w:rsidRPr="00785C36">
          <w:rPr>
            <w:rFonts w:ascii="David" w:eastAsia="Calibri" w:hAnsi="David"/>
            <w:color w:val="0000FF"/>
            <w:u w:val="single"/>
            <w:rtl/>
          </w:rPr>
          <w:t>ע"פ 1044/13</w:t>
        </w:r>
      </w:hyperlink>
      <w:r w:rsidRPr="008666D5">
        <w:rPr>
          <w:rFonts w:ascii="David" w:eastAsia="Calibri" w:hAnsi="David" w:hint="cs"/>
          <w:rtl/>
        </w:rPr>
        <w:t xml:space="preserve"> זידאן נ' מדינת ישראל [פורסם בנבו] (29.10.2013), פסקה 20 לחוות דעתו של השופט י' דנציגר (להלן: עניין זידאן); </w:t>
      </w:r>
      <w:hyperlink r:id="rId39" w:history="1">
        <w:r w:rsidR="00785C36" w:rsidRPr="00785C36">
          <w:rPr>
            <w:rFonts w:ascii="David" w:eastAsia="Calibri" w:hAnsi="David"/>
            <w:color w:val="0000FF"/>
            <w:u w:val="single"/>
            <w:rtl/>
          </w:rPr>
          <w:t>ע"פ 2309/07</w:t>
        </w:r>
      </w:hyperlink>
      <w:r w:rsidRPr="008666D5">
        <w:rPr>
          <w:rFonts w:ascii="David" w:eastAsia="Calibri" w:hAnsi="David" w:hint="cs"/>
          <w:rtl/>
        </w:rPr>
        <w:t xml:space="preserve"> בושרי נ' מדינת ישראל [פורסם בנבו] פסקה ד(1) לדברי השופט (כתוארו אז) א' רובינשטיין </w:t>
      </w:r>
      <w:r w:rsidRPr="008666D5">
        <w:rPr>
          <w:rFonts w:ascii="David" w:eastAsia="Calibri" w:hAnsi="David"/>
        </w:rPr>
        <w:t>(7.11.2007)</w:t>
      </w:r>
      <w:r w:rsidRPr="008666D5">
        <w:rPr>
          <w:rFonts w:ascii="David" w:eastAsia="Calibri" w:hAnsi="David" w:hint="cs"/>
          <w:rtl/>
        </w:rPr>
        <w:t>). ידיעתו של קשיש, קרבן מעשה שוד – בין בפועל, בין בכוח – כי רשויות האכיפה והמשפט ניצבות לימינו, וכי השודד עתיד להימצא שנים ארוכות מאחורי סורג ובריח, תורמת את תרומתה לעידוד הקרבן לחזור לתִפקוד ולשגרה, לבטוֹח בעצמו ובזולתו</w:t>
      </w:r>
      <w:r w:rsidRPr="008666D5">
        <w:rPr>
          <w:rFonts w:ascii="David" w:eastAsia="Calibri" w:hAnsi="David"/>
        </w:rPr>
        <w:t>."</w:t>
      </w:r>
    </w:p>
    <w:p w14:paraId="0FF4908A" w14:textId="77777777" w:rsidR="00184D68" w:rsidRPr="008666D5" w:rsidRDefault="00184D68" w:rsidP="00184D68">
      <w:pPr>
        <w:tabs>
          <w:tab w:val="left" w:pos="567"/>
          <w:tab w:val="left" w:pos="1134"/>
          <w:tab w:val="left" w:pos="1701"/>
        </w:tabs>
        <w:spacing w:line="360" w:lineRule="auto"/>
        <w:ind w:left="567" w:hanging="567"/>
        <w:jc w:val="both"/>
        <w:rPr>
          <w:rFonts w:ascii="Calibri" w:eastAsia="Calibri" w:hAnsi="Calibri"/>
          <w:rtl/>
        </w:rPr>
      </w:pPr>
    </w:p>
    <w:p w14:paraId="3459A938" w14:textId="77777777" w:rsidR="00184D68" w:rsidRPr="008666D5" w:rsidRDefault="00184D68" w:rsidP="00184D68">
      <w:pPr>
        <w:tabs>
          <w:tab w:val="left" w:pos="567"/>
          <w:tab w:val="left" w:pos="1134"/>
          <w:tab w:val="left" w:pos="1701"/>
        </w:tabs>
        <w:spacing w:line="360" w:lineRule="auto"/>
        <w:ind w:left="567" w:hanging="567"/>
        <w:jc w:val="both"/>
        <w:rPr>
          <w:rFonts w:ascii="David" w:eastAsia="David" w:hAnsi="David"/>
          <w:rtl/>
        </w:rPr>
      </w:pPr>
      <w:r w:rsidRPr="008666D5">
        <w:rPr>
          <w:rFonts w:ascii="Calibri" w:eastAsia="Calibri" w:hAnsi="Calibri" w:hint="cs"/>
          <w:rtl/>
        </w:rPr>
        <w:tab/>
        <w:t xml:space="preserve">ראו עוד בנדון: </w:t>
      </w:r>
      <w:hyperlink r:id="rId40" w:history="1">
        <w:r w:rsidR="00785C36" w:rsidRPr="00785C36">
          <w:rPr>
            <w:rFonts w:ascii="Calibri" w:eastAsia="Calibri" w:hAnsi="Calibri" w:hint="cs"/>
            <w:color w:val="0000FF"/>
            <w:u w:val="single"/>
            <w:rtl/>
          </w:rPr>
          <w:t>ע</w:t>
        </w:r>
        <w:r w:rsidR="00785C36" w:rsidRPr="00785C36">
          <w:rPr>
            <w:rFonts w:ascii="Calibri" w:eastAsia="Calibri" w:hAnsi="Calibri"/>
            <w:color w:val="0000FF"/>
            <w:u w:val="single"/>
            <w:rtl/>
          </w:rPr>
          <w:t>"</w:t>
        </w:r>
        <w:r w:rsidR="00785C36" w:rsidRPr="00785C36">
          <w:rPr>
            <w:rFonts w:ascii="Calibri" w:eastAsia="Calibri" w:hAnsi="Calibri" w:hint="cs"/>
            <w:color w:val="0000FF"/>
            <w:u w:val="single"/>
            <w:rtl/>
          </w:rPr>
          <w:t>פ</w:t>
        </w:r>
        <w:r w:rsidR="00785C36" w:rsidRPr="00785C36">
          <w:rPr>
            <w:rFonts w:ascii="Calibri" w:eastAsia="Calibri" w:hAnsi="Calibri"/>
            <w:color w:val="0000FF"/>
            <w:u w:val="single"/>
            <w:rtl/>
          </w:rPr>
          <w:t xml:space="preserve"> 9978/04</w:t>
        </w:r>
      </w:hyperlink>
      <w:r w:rsidRPr="008666D5">
        <w:rPr>
          <w:rFonts w:ascii="Calibri" w:eastAsia="Calibri" w:hAnsi="Calibri" w:hint="cs"/>
          <w:rtl/>
        </w:rPr>
        <w:t xml:space="preserve"> </w:t>
      </w:r>
      <w:r w:rsidRPr="008666D5">
        <w:rPr>
          <w:rFonts w:ascii="Calibri" w:eastAsia="Calibri" w:hAnsi="Calibri" w:hint="cs"/>
          <w:b/>
          <w:bCs/>
          <w:rtl/>
        </w:rPr>
        <w:t>שבתייב נ' מדינת ישראל</w:t>
      </w:r>
      <w:r w:rsidRPr="008666D5">
        <w:rPr>
          <w:rFonts w:ascii="Calibri" w:eastAsia="Calibri" w:hAnsi="Calibri" w:hint="cs"/>
          <w:rtl/>
        </w:rPr>
        <w:t xml:space="preserve"> (28.03.05); </w:t>
      </w:r>
      <w:hyperlink r:id="rId41" w:history="1">
        <w:r w:rsidR="00785C36" w:rsidRPr="00785C36">
          <w:rPr>
            <w:rFonts w:ascii="David" w:eastAsia="Calibri" w:hAnsi="David"/>
            <w:color w:val="0000FF"/>
            <w:u w:val="single"/>
            <w:rtl/>
          </w:rPr>
          <w:t>ע"פ 4152/13</w:t>
        </w:r>
      </w:hyperlink>
      <w:r w:rsidRPr="008666D5">
        <w:rPr>
          <w:rFonts w:ascii="David" w:eastAsia="Calibri" w:hAnsi="David" w:hint="cs"/>
          <w:rtl/>
        </w:rPr>
        <w:t xml:space="preserve"> </w:t>
      </w:r>
      <w:r w:rsidRPr="008666D5">
        <w:rPr>
          <w:rFonts w:ascii="David" w:eastAsia="Calibri" w:hAnsi="David" w:hint="cs"/>
          <w:b/>
          <w:bCs/>
          <w:rtl/>
        </w:rPr>
        <w:t>ישראלי נ' מדינת ישראל</w:t>
      </w:r>
      <w:r w:rsidRPr="008666D5">
        <w:rPr>
          <w:rFonts w:ascii="David" w:eastAsia="Calibri" w:hAnsi="David" w:hint="cs"/>
          <w:rtl/>
        </w:rPr>
        <w:t xml:space="preserve"> (13.08.14)</w:t>
      </w:r>
      <w:r w:rsidRPr="008666D5">
        <w:rPr>
          <w:rFonts w:ascii="Calibri" w:eastAsia="Calibri" w:hAnsi="Calibri" w:hint="cs"/>
          <w:rtl/>
        </w:rPr>
        <w:t xml:space="preserve">; </w:t>
      </w:r>
      <w:r w:rsidRPr="008666D5">
        <w:rPr>
          <w:rFonts w:ascii="David" w:eastAsia="Calibri" w:hAnsi="David" w:hint="cs"/>
          <w:rtl/>
        </w:rPr>
        <w:t xml:space="preserve">ע"פ </w:t>
      </w:r>
      <w:hyperlink r:id="rId42" w:history="1">
        <w:r w:rsidR="001A0AE3" w:rsidRPr="001A0AE3">
          <w:rPr>
            <w:rFonts w:ascii="David" w:eastAsia="Calibri" w:hAnsi="David"/>
            <w:color w:val="0000FF"/>
            <w:u w:val="single"/>
            <w:rtl/>
          </w:rPr>
          <w:t xml:space="preserve">588/13 </w:t>
        </w:r>
      </w:hyperlink>
      <w:r w:rsidRPr="008666D5">
        <w:rPr>
          <w:rFonts w:ascii="David" w:eastAsia="Calibri" w:hAnsi="David" w:hint="cs"/>
          <w:rtl/>
        </w:rPr>
        <w:t xml:space="preserve"> </w:t>
      </w:r>
      <w:r w:rsidRPr="008666D5">
        <w:rPr>
          <w:rFonts w:ascii="David" w:eastAsia="Calibri" w:hAnsi="David" w:hint="cs"/>
          <w:b/>
          <w:bCs/>
          <w:rtl/>
        </w:rPr>
        <w:t xml:space="preserve">פלוני נ' מדינת ישראל </w:t>
      </w:r>
      <w:r w:rsidRPr="008666D5">
        <w:rPr>
          <w:rFonts w:ascii="David" w:eastAsia="Calibri" w:hAnsi="David" w:hint="cs"/>
          <w:rtl/>
        </w:rPr>
        <w:t>(27.8.13).</w:t>
      </w:r>
    </w:p>
    <w:p w14:paraId="6EBD8DD3"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p>
    <w:p w14:paraId="78F6D89A"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r w:rsidRPr="008666D5">
        <w:rPr>
          <w:rFonts w:ascii="David" w:eastAsia="Calibri" w:hAnsi="David" w:hint="cs"/>
          <w:rtl/>
        </w:rPr>
        <w:t>35.</w:t>
      </w:r>
      <w:r w:rsidRPr="008666D5">
        <w:rPr>
          <w:rFonts w:ascii="David" w:eastAsia="Calibri" w:hAnsi="David" w:hint="cs"/>
          <w:rtl/>
        </w:rPr>
        <w:tab/>
        <w:t>אין להקל ראש גם בפוטנציאל הנזק שעלול היה להיגרם כתוצאה מביצוע עבירת השוד בה הורשע הנאשם. די בכך שהמתלוננת הייתה מגלה התנגדות פיזית למעשה השוד כדי ליצור סיכון לנזק גדול מזה שנגרם בפועל.</w:t>
      </w:r>
    </w:p>
    <w:p w14:paraId="30E07D03"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rtl/>
        </w:rPr>
      </w:pPr>
    </w:p>
    <w:p w14:paraId="2F28B9AD" w14:textId="77777777" w:rsidR="00184D68" w:rsidRPr="008666D5" w:rsidRDefault="00184D68" w:rsidP="00184D68">
      <w:pPr>
        <w:tabs>
          <w:tab w:val="left" w:pos="567"/>
          <w:tab w:val="left" w:pos="1134"/>
          <w:tab w:val="left" w:pos="1701"/>
        </w:tabs>
        <w:spacing w:line="360" w:lineRule="auto"/>
        <w:ind w:left="567" w:hanging="567"/>
        <w:jc w:val="both"/>
        <w:rPr>
          <w:rFonts w:ascii="Calibri" w:eastAsia="Calibri" w:hAnsi="Calibri"/>
          <w:rtl/>
        </w:rPr>
      </w:pPr>
      <w:r w:rsidRPr="008666D5">
        <w:rPr>
          <w:rFonts w:ascii="David" w:eastAsia="Calibri" w:hAnsi="David" w:hint="cs"/>
          <w:rtl/>
        </w:rPr>
        <w:t>36.</w:t>
      </w:r>
      <w:r w:rsidRPr="008666D5">
        <w:rPr>
          <w:rFonts w:ascii="David" w:eastAsia="Calibri" w:hAnsi="David" w:hint="cs"/>
          <w:rtl/>
        </w:rPr>
        <w:tab/>
      </w:r>
      <w:r w:rsidRPr="008666D5">
        <w:rPr>
          <w:rFonts w:ascii="David" w:eastAsia="David" w:hAnsi="David" w:hint="cs"/>
          <w:rtl/>
        </w:rPr>
        <w:t>בחינת מדיניות הענישה הנוהגת לגבי עבירות שוד מלמדת על מנעד רחב של עונשים התלויים מטבע הדברים בנסיבות המעשה ובנסיבותיו של העושה. ב</w:t>
      </w:r>
      <w:hyperlink r:id="rId43" w:history="1">
        <w:r w:rsidR="00785C36" w:rsidRPr="00785C36">
          <w:rPr>
            <w:rFonts w:ascii="Calibri" w:eastAsia="Calibri" w:hAnsi="Calibri" w:hint="cs"/>
            <w:color w:val="0000FF"/>
            <w:u w:val="single"/>
            <w:rtl/>
          </w:rPr>
          <w:t>ע</w:t>
        </w:r>
        <w:r w:rsidR="00785C36" w:rsidRPr="00785C36">
          <w:rPr>
            <w:rFonts w:ascii="Calibri" w:eastAsia="Calibri" w:hAnsi="Calibri"/>
            <w:color w:val="0000FF"/>
            <w:u w:val="single"/>
            <w:rtl/>
          </w:rPr>
          <w:t>"</w:t>
        </w:r>
        <w:r w:rsidR="00785C36" w:rsidRPr="00785C36">
          <w:rPr>
            <w:rFonts w:ascii="Calibri" w:eastAsia="Calibri" w:hAnsi="Calibri" w:hint="cs"/>
            <w:color w:val="0000FF"/>
            <w:u w:val="single"/>
            <w:rtl/>
          </w:rPr>
          <w:t>פ</w:t>
        </w:r>
        <w:r w:rsidR="00785C36" w:rsidRPr="00785C36">
          <w:rPr>
            <w:rFonts w:ascii="Calibri" w:eastAsia="Calibri" w:hAnsi="Calibri"/>
            <w:color w:val="0000FF"/>
            <w:u w:val="single"/>
            <w:rtl/>
          </w:rPr>
          <w:t xml:space="preserve"> 4841/13</w:t>
        </w:r>
      </w:hyperlink>
      <w:r w:rsidRPr="008666D5">
        <w:rPr>
          <w:rFonts w:ascii="Calibri" w:eastAsia="Calibri" w:hAnsi="Calibri" w:hint="cs"/>
          <w:rtl/>
        </w:rPr>
        <w:t xml:space="preserve"> </w:t>
      </w:r>
      <w:r w:rsidRPr="008666D5">
        <w:rPr>
          <w:rFonts w:ascii="Calibri" w:eastAsia="Calibri" w:hAnsi="Calibri" w:hint="cs"/>
          <w:b/>
          <w:bCs/>
          <w:rtl/>
        </w:rPr>
        <w:t>ספי נ' מדינת ישראל</w:t>
      </w:r>
      <w:r w:rsidRPr="008666D5">
        <w:rPr>
          <w:rFonts w:ascii="Calibri" w:eastAsia="Calibri" w:hAnsi="Calibri" w:hint="cs"/>
          <w:rtl/>
        </w:rPr>
        <w:t xml:space="preserve"> (6.2.2014) נאמר כי:</w:t>
      </w:r>
    </w:p>
    <w:p w14:paraId="4867F6AB" w14:textId="77777777" w:rsidR="00184D68" w:rsidRPr="008666D5" w:rsidRDefault="00184D68" w:rsidP="00184D68">
      <w:pPr>
        <w:tabs>
          <w:tab w:val="left" w:pos="567"/>
          <w:tab w:val="left" w:pos="1134"/>
          <w:tab w:val="left" w:pos="1701"/>
        </w:tabs>
        <w:spacing w:line="360" w:lineRule="auto"/>
        <w:ind w:left="567" w:hanging="567"/>
        <w:jc w:val="both"/>
        <w:rPr>
          <w:rFonts w:ascii="Calibri" w:eastAsia="Calibri" w:hAnsi="Calibri"/>
        </w:rPr>
      </w:pPr>
    </w:p>
    <w:p w14:paraId="576EC946" w14:textId="77777777" w:rsidR="00184D68" w:rsidRPr="008666D5" w:rsidRDefault="00184D68" w:rsidP="00184D68">
      <w:pPr>
        <w:tabs>
          <w:tab w:val="left" w:pos="567"/>
          <w:tab w:val="left" w:pos="1134"/>
          <w:tab w:val="left" w:pos="1701"/>
        </w:tabs>
        <w:spacing w:line="360" w:lineRule="auto"/>
        <w:ind w:left="1429" w:right="1429"/>
        <w:jc w:val="both"/>
        <w:rPr>
          <w:rFonts w:ascii="David" w:eastAsia="David" w:hAnsi="David"/>
          <w:rtl/>
        </w:rPr>
      </w:pPr>
      <w:r w:rsidRPr="008666D5">
        <w:rPr>
          <w:rFonts w:ascii="Calibri" w:eastAsia="Calibri" w:hAnsi="Calibri" w:hint="cs"/>
          <w:rtl/>
        </w:rPr>
        <w:t>"באשר לקביעת מתחם העונש ההולם – כנודע, לובשת עבירת השוד פנים וצורות רבות וקביעת מתחמי הענישה ההולמים בגינה מגוונת; אך פטור בלא כלום אי אפשר (בבלי, חולין כז ע"ב), ואת המסגרת קבע כמובן המחוקק בקביעת "תג העונש" לעבירה זו – אין זהה דינה של עבירה שנעברה תוך פגיעה פיסית אלימה לעבירה שבוצעה על דרך הפחדה בלבד; אין זהה דינה של עבירה שנעברה לאחר תכנון והכנה מוקדמים לעבירה אקראית-ספונטנית; אין זהה דינה של עבירה שנעברה בחבורה לדינה של עבירת אדם יחיד; אין זהה דינה של עבירה שנעשתה תוך שימוש בנשק, חם או קר, לעבירה שנעשתה ללא שימוש בנשק; אין זהה דינה של עבירה חד פעמית למסכת שיטתית של עבירות".</w:t>
      </w:r>
    </w:p>
    <w:p w14:paraId="502C6363" w14:textId="77777777" w:rsidR="00184D68" w:rsidRPr="008666D5" w:rsidRDefault="00184D68" w:rsidP="00184D68">
      <w:pPr>
        <w:tabs>
          <w:tab w:val="left" w:pos="567"/>
          <w:tab w:val="left" w:pos="1134"/>
          <w:tab w:val="left" w:pos="1701"/>
        </w:tabs>
        <w:spacing w:line="360" w:lineRule="auto"/>
        <w:ind w:left="567" w:hanging="567"/>
        <w:jc w:val="both"/>
        <w:rPr>
          <w:rFonts w:ascii="Calibri" w:eastAsia="Calibri" w:hAnsi="Calibri"/>
        </w:rPr>
      </w:pPr>
    </w:p>
    <w:p w14:paraId="51EDA874" w14:textId="77777777" w:rsidR="00184D68" w:rsidRPr="008666D5" w:rsidRDefault="00184D68" w:rsidP="00184D68">
      <w:pPr>
        <w:tabs>
          <w:tab w:val="left" w:pos="567"/>
          <w:tab w:val="left" w:pos="1134"/>
          <w:tab w:val="left" w:pos="1701"/>
        </w:tabs>
        <w:spacing w:line="360" w:lineRule="auto"/>
        <w:ind w:left="567" w:hanging="567"/>
        <w:jc w:val="both"/>
        <w:rPr>
          <w:rFonts w:ascii="Calibri" w:eastAsia="Calibri" w:hAnsi="Calibri"/>
          <w:b/>
          <w:bCs/>
        </w:rPr>
      </w:pPr>
      <w:r w:rsidRPr="008666D5">
        <w:rPr>
          <w:rFonts w:ascii="Calibri" w:eastAsia="Calibri" w:hAnsi="Calibri" w:hint="cs"/>
          <w:rtl/>
        </w:rPr>
        <w:tab/>
        <w:t xml:space="preserve">ראו עוד: </w:t>
      </w:r>
      <w:hyperlink r:id="rId44" w:history="1">
        <w:r w:rsidR="00785C36" w:rsidRPr="00785C36">
          <w:rPr>
            <w:rFonts w:ascii="Calibri" w:eastAsia="Calibri" w:hAnsi="Calibri" w:hint="cs"/>
            <w:color w:val="0000FF"/>
            <w:u w:val="single"/>
            <w:rtl/>
          </w:rPr>
          <w:t>ע</w:t>
        </w:r>
        <w:r w:rsidR="00785C36" w:rsidRPr="00785C36">
          <w:rPr>
            <w:rFonts w:ascii="Calibri" w:eastAsia="Calibri" w:hAnsi="Calibri"/>
            <w:color w:val="0000FF"/>
            <w:u w:val="single"/>
            <w:rtl/>
          </w:rPr>
          <w:t>"</w:t>
        </w:r>
        <w:r w:rsidR="00785C36" w:rsidRPr="00785C36">
          <w:rPr>
            <w:rFonts w:ascii="Calibri" w:eastAsia="Calibri" w:hAnsi="Calibri" w:hint="cs"/>
            <w:color w:val="0000FF"/>
            <w:u w:val="single"/>
            <w:rtl/>
          </w:rPr>
          <w:t>פ</w:t>
        </w:r>
        <w:r w:rsidR="00785C36" w:rsidRPr="00785C36">
          <w:rPr>
            <w:rFonts w:ascii="Calibri" w:eastAsia="Calibri" w:hAnsi="Calibri"/>
            <w:color w:val="0000FF"/>
            <w:u w:val="single"/>
            <w:rtl/>
          </w:rPr>
          <w:t xml:space="preserve"> 1167/21</w:t>
        </w:r>
      </w:hyperlink>
      <w:r w:rsidRPr="008666D5">
        <w:rPr>
          <w:rFonts w:ascii="Calibri" w:eastAsia="Calibri" w:hAnsi="Calibri" w:hint="cs"/>
          <w:rtl/>
        </w:rPr>
        <w:t xml:space="preserve"> </w:t>
      </w:r>
      <w:r w:rsidRPr="008666D5">
        <w:rPr>
          <w:rFonts w:ascii="Calibri" w:eastAsia="Calibri" w:hAnsi="Calibri" w:hint="cs"/>
          <w:b/>
          <w:bCs/>
          <w:rtl/>
        </w:rPr>
        <w:t>חוג'יראת נ' מדינת ישראל</w:t>
      </w:r>
      <w:r w:rsidRPr="008666D5">
        <w:rPr>
          <w:rFonts w:ascii="Calibri" w:eastAsia="Calibri" w:hAnsi="Calibri" w:hint="cs"/>
          <w:rtl/>
        </w:rPr>
        <w:t xml:space="preserve"> (31.5.2021); </w:t>
      </w:r>
      <w:hyperlink r:id="rId45" w:history="1">
        <w:r w:rsidR="00785C36" w:rsidRPr="00785C36">
          <w:rPr>
            <w:rFonts w:ascii="Calibri" w:eastAsia="Calibri" w:hAnsi="Calibri" w:hint="cs"/>
            <w:color w:val="0000FF"/>
            <w:u w:val="single"/>
            <w:rtl/>
          </w:rPr>
          <w:t>ע</w:t>
        </w:r>
        <w:r w:rsidR="00785C36" w:rsidRPr="00785C36">
          <w:rPr>
            <w:rFonts w:ascii="Calibri" w:eastAsia="Calibri" w:hAnsi="Calibri"/>
            <w:color w:val="0000FF"/>
            <w:u w:val="single"/>
            <w:rtl/>
          </w:rPr>
          <w:t>"</w:t>
        </w:r>
        <w:r w:rsidR="00785C36" w:rsidRPr="00785C36">
          <w:rPr>
            <w:rFonts w:ascii="Calibri" w:eastAsia="Calibri" w:hAnsi="Calibri" w:hint="cs"/>
            <w:color w:val="0000FF"/>
            <w:u w:val="single"/>
            <w:rtl/>
          </w:rPr>
          <w:t>פ</w:t>
        </w:r>
        <w:r w:rsidR="00785C36" w:rsidRPr="00785C36">
          <w:rPr>
            <w:rFonts w:ascii="Calibri" w:eastAsia="Calibri" w:hAnsi="Calibri"/>
            <w:color w:val="0000FF"/>
            <w:u w:val="single"/>
            <w:rtl/>
          </w:rPr>
          <w:t xml:space="preserve"> 9053/20</w:t>
        </w:r>
      </w:hyperlink>
      <w:r w:rsidRPr="008666D5">
        <w:rPr>
          <w:rFonts w:ascii="Calibri" w:eastAsia="Calibri" w:hAnsi="Calibri" w:hint="cs"/>
          <w:rtl/>
        </w:rPr>
        <w:t xml:space="preserve"> </w:t>
      </w:r>
      <w:r w:rsidRPr="008666D5">
        <w:rPr>
          <w:rFonts w:ascii="Calibri" w:eastAsia="Calibri" w:hAnsi="Calibri" w:hint="cs"/>
          <w:b/>
          <w:bCs/>
          <w:rtl/>
        </w:rPr>
        <w:t xml:space="preserve">כהן נ' מדינת ישראל </w:t>
      </w:r>
      <w:r w:rsidRPr="008666D5">
        <w:rPr>
          <w:rFonts w:ascii="Calibri" w:eastAsia="Calibri" w:hAnsi="Calibri" w:hint="cs"/>
          <w:rtl/>
        </w:rPr>
        <w:t>(22.3.2021).</w:t>
      </w:r>
    </w:p>
    <w:p w14:paraId="25643BAA" w14:textId="77777777" w:rsidR="00184D68" w:rsidRPr="008666D5" w:rsidRDefault="00184D68" w:rsidP="00184D68">
      <w:pPr>
        <w:tabs>
          <w:tab w:val="left" w:pos="567"/>
          <w:tab w:val="left" w:pos="1134"/>
          <w:tab w:val="left" w:pos="1701"/>
        </w:tabs>
        <w:spacing w:line="360" w:lineRule="auto"/>
        <w:ind w:left="567" w:hanging="567"/>
        <w:jc w:val="both"/>
        <w:rPr>
          <w:rFonts w:ascii="Calibri" w:eastAsia="Calibri" w:hAnsi="Calibri"/>
          <w:b/>
          <w:bCs/>
          <w:rtl/>
        </w:rPr>
      </w:pPr>
    </w:p>
    <w:p w14:paraId="1151B437"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i/>
          <w:rtl/>
        </w:rPr>
      </w:pPr>
      <w:r w:rsidRPr="008666D5">
        <w:rPr>
          <w:rFonts w:ascii="David" w:eastAsia="Calibri" w:hAnsi="David" w:hint="cs"/>
          <w:rtl/>
        </w:rPr>
        <w:t>37.</w:t>
      </w:r>
      <w:r w:rsidRPr="008666D5">
        <w:rPr>
          <w:rFonts w:ascii="David" w:eastAsia="Calibri" w:hAnsi="David" w:hint="cs"/>
          <w:rtl/>
        </w:rPr>
        <w:tab/>
      </w:r>
      <w:r w:rsidRPr="008666D5">
        <w:rPr>
          <w:rFonts w:ascii="David" w:eastAsia="Calibri" w:hAnsi="David" w:hint="cs"/>
          <w:i/>
          <w:rtl/>
        </w:rPr>
        <w:t>להלן דוגמאות אחדות מן הפסיקה מהשנים האחרונות שדנו במקרים שנסיבותיהם דומות לענייננו:</w:t>
      </w:r>
    </w:p>
    <w:p w14:paraId="067B5217"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i/>
          <w:rtl/>
        </w:rPr>
      </w:pPr>
    </w:p>
    <w:p w14:paraId="4408E0FF"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i/>
          <w:rtl/>
        </w:rPr>
      </w:pPr>
      <w:r w:rsidRPr="008666D5">
        <w:rPr>
          <w:rFonts w:ascii="David" w:eastAsia="Calibri" w:hAnsi="David" w:hint="cs"/>
          <w:i/>
          <w:rtl/>
        </w:rPr>
        <w:tab/>
        <w:t xml:space="preserve">בע"פ 7328/22 </w:t>
      </w:r>
      <w:r w:rsidRPr="008666D5">
        <w:rPr>
          <w:rFonts w:ascii="David" w:eastAsia="Calibri" w:hAnsi="David" w:hint="cs"/>
          <w:b/>
          <w:bCs/>
          <w:i/>
          <w:rtl/>
        </w:rPr>
        <w:t xml:space="preserve">עמאש נ' מדינת ישראל </w:t>
      </w:r>
      <w:r w:rsidRPr="008666D5">
        <w:rPr>
          <w:rFonts w:ascii="David" w:eastAsia="Calibri" w:hAnsi="David" w:hint="cs"/>
          <w:i/>
          <w:rtl/>
        </w:rPr>
        <w:t xml:space="preserve">(14.12.2022) נדון עניינו של מי שהורשע בשוד לפי </w:t>
      </w:r>
      <w:hyperlink r:id="rId46" w:history="1">
        <w:r w:rsidR="00F30310" w:rsidRPr="00F30310">
          <w:rPr>
            <w:rStyle w:val="Hyperlink"/>
            <w:rFonts w:ascii="David" w:eastAsia="Calibri" w:hAnsi="David" w:hint="eastAsia"/>
            <w:i/>
            <w:rtl/>
          </w:rPr>
          <w:t>סעיף</w:t>
        </w:r>
        <w:r w:rsidR="00F30310" w:rsidRPr="00F30310">
          <w:rPr>
            <w:rStyle w:val="Hyperlink"/>
            <w:rFonts w:ascii="David" w:eastAsia="Calibri" w:hAnsi="David"/>
            <w:i/>
            <w:rtl/>
          </w:rPr>
          <w:t xml:space="preserve"> 402(א)</w:t>
        </w:r>
      </w:hyperlink>
      <w:r w:rsidRPr="008666D5">
        <w:rPr>
          <w:rFonts w:ascii="David" w:eastAsia="Calibri" w:hAnsi="David" w:hint="cs"/>
          <w:i/>
          <w:rtl/>
        </w:rPr>
        <w:t xml:space="preserve"> ל</w:t>
      </w:r>
      <w:hyperlink r:id="rId47" w:history="1">
        <w:r w:rsidR="00785C36" w:rsidRPr="00785C36">
          <w:rPr>
            <w:rFonts w:ascii="David" w:eastAsia="Calibri" w:hAnsi="David"/>
            <w:i/>
            <w:color w:val="0000FF"/>
            <w:u w:val="single"/>
            <w:rtl/>
          </w:rPr>
          <w:t>חוק העונשין</w:t>
        </w:r>
      </w:hyperlink>
      <w:r w:rsidRPr="008666D5">
        <w:rPr>
          <w:rFonts w:ascii="David" w:eastAsia="Calibri" w:hAnsi="David" w:hint="cs"/>
          <w:i/>
          <w:rtl/>
        </w:rPr>
        <w:t xml:space="preserve">. באותו מקרה שדד המערער מאת המתלוננת את תיקה שהכיל בין היתר את הטלפון הנייד שלה וסכום כסף זעום. בית המשפט המחוזי קבע מתחם עונש שנע בין 18 עד 48 חודשי מאסר והשית על המערער 18 חודשי מאסר לריצוי בפועל. ערעור על חומרת העונש נדחה על ידי בית המשפט העליון. </w:t>
      </w:r>
    </w:p>
    <w:p w14:paraId="23AC69A9"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i/>
          <w:rtl/>
        </w:rPr>
      </w:pPr>
    </w:p>
    <w:p w14:paraId="285E35C3"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i/>
          <w:rtl/>
        </w:rPr>
      </w:pPr>
      <w:r w:rsidRPr="008666D5">
        <w:rPr>
          <w:rFonts w:ascii="David" w:eastAsia="Calibri" w:hAnsi="David" w:hint="cs"/>
          <w:i/>
          <w:rtl/>
        </w:rPr>
        <w:tab/>
        <w:t xml:space="preserve">ע"פ 6056/17 </w:t>
      </w:r>
      <w:r w:rsidRPr="008666D5">
        <w:rPr>
          <w:rFonts w:ascii="David" w:eastAsia="Calibri" w:hAnsi="David" w:hint="cs"/>
          <w:b/>
          <w:bCs/>
          <w:i/>
          <w:rtl/>
        </w:rPr>
        <w:t xml:space="preserve">אדרי נ' מדינת ישראל </w:t>
      </w:r>
      <w:r w:rsidRPr="008666D5">
        <w:rPr>
          <w:rFonts w:ascii="David" w:eastAsia="Calibri" w:hAnsi="David" w:hint="cs"/>
          <w:i/>
          <w:rtl/>
        </w:rPr>
        <w:t xml:space="preserve">(16.5.2019) עסק בעניינו של מי שהורשע בשוד לפי סעיף </w:t>
      </w:r>
      <w:hyperlink r:id="rId48" w:history="1">
        <w:r w:rsidR="00F30310" w:rsidRPr="00F30310">
          <w:rPr>
            <w:rStyle w:val="Hyperlink"/>
            <w:rFonts w:ascii="David" w:eastAsia="Calibri" w:hAnsi="David"/>
            <w:i/>
            <w:rtl/>
          </w:rPr>
          <w:t>402 (א)</w:t>
        </w:r>
      </w:hyperlink>
      <w:r w:rsidRPr="008666D5">
        <w:rPr>
          <w:rFonts w:ascii="David" w:eastAsia="Calibri" w:hAnsi="David" w:hint="cs"/>
          <w:i/>
          <w:rtl/>
        </w:rPr>
        <w:t xml:space="preserve"> ל</w:t>
      </w:r>
      <w:hyperlink r:id="rId49" w:history="1">
        <w:r w:rsidR="00785C36" w:rsidRPr="00785C36">
          <w:rPr>
            <w:rFonts w:ascii="David" w:eastAsia="Calibri" w:hAnsi="David"/>
            <w:i/>
            <w:color w:val="0000FF"/>
            <w:u w:val="single"/>
            <w:rtl/>
          </w:rPr>
          <w:t>חוק העונשין</w:t>
        </w:r>
      </w:hyperlink>
      <w:r w:rsidRPr="008666D5">
        <w:rPr>
          <w:rFonts w:ascii="David" w:eastAsia="Calibri" w:hAnsi="David" w:hint="cs"/>
          <w:i/>
          <w:rtl/>
        </w:rPr>
        <w:t xml:space="preserve">, לאחר שגנב מידי קשישה בת 90 את השקית בה אחזה שבתוכה היו מצרכים שרכשה וכן ארנקה שהכיל 200 ₪. כתוצאה ממעשה זה נפלה הקשישה ארצה, נחבלה בראשה ונזקקה לטיפול רפואי. בית המשפט המחוזי קבע מתחם שנע בין 50-24 חודשי מאסר לצד עונשים נלווים. בית המשפט העליון קבע כי לא מצא כל פגם במתחם העונש הנ"ל שנקבע. </w:t>
      </w:r>
    </w:p>
    <w:p w14:paraId="41414A9D"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i/>
          <w:rtl/>
        </w:rPr>
      </w:pPr>
    </w:p>
    <w:p w14:paraId="00D83B89"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i/>
          <w:rtl/>
        </w:rPr>
      </w:pPr>
      <w:r w:rsidRPr="008666D5">
        <w:rPr>
          <w:rFonts w:ascii="David" w:eastAsia="Calibri" w:hAnsi="David" w:hint="cs"/>
          <w:i/>
          <w:rtl/>
        </w:rPr>
        <w:tab/>
        <w:t>ב</w:t>
      </w:r>
      <w:hyperlink r:id="rId50" w:history="1">
        <w:r w:rsidR="00785C36" w:rsidRPr="00785C36">
          <w:rPr>
            <w:rFonts w:ascii="David" w:eastAsia="Calibri" w:hAnsi="David"/>
            <w:i/>
            <w:color w:val="0000FF"/>
            <w:u w:val="single"/>
            <w:rtl/>
          </w:rPr>
          <w:t>ע"פ 5881/14</w:t>
        </w:r>
      </w:hyperlink>
      <w:r w:rsidRPr="008666D5">
        <w:rPr>
          <w:rFonts w:ascii="David" w:eastAsia="Calibri" w:hAnsi="David" w:hint="cs"/>
          <w:i/>
          <w:rtl/>
        </w:rPr>
        <w:t xml:space="preserve"> </w:t>
      </w:r>
      <w:r w:rsidRPr="008666D5">
        <w:rPr>
          <w:rFonts w:ascii="David" w:eastAsia="Calibri" w:hAnsi="David" w:hint="cs"/>
          <w:b/>
          <w:bCs/>
          <w:i/>
          <w:rtl/>
        </w:rPr>
        <w:t xml:space="preserve">ביארי נ' מדינת ישראל </w:t>
      </w:r>
      <w:r w:rsidRPr="008666D5">
        <w:rPr>
          <w:rFonts w:ascii="David" w:eastAsia="Calibri" w:hAnsi="David" w:hint="cs"/>
          <w:i/>
          <w:rtl/>
        </w:rPr>
        <w:t xml:space="preserve">(26.7.2015) נדון עניינו של מי שעקב אחר קשישה לאחר שיצאה מחנות תכשיטים, שם מכרה שני צמידים תמורת 7,200 ₪ אותם הכניסה לתיקה. המערער עקב אחריה עד שהגיעה לחדר המדרגות של ביתה ושם חטף את התיק מידה, דחף אותה ונמלט מהמקום. הקשישה נפלה לרצפה והחלה לצעוק. בגין מעשים אלה הורשע המערער בעבירת שוד לפי </w:t>
      </w:r>
      <w:hyperlink r:id="rId51" w:history="1">
        <w:r w:rsidR="00F30310" w:rsidRPr="00F30310">
          <w:rPr>
            <w:rStyle w:val="Hyperlink"/>
            <w:rFonts w:ascii="David" w:eastAsia="Calibri" w:hAnsi="David" w:hint="eastAsia"/>
            <w:i/>
            <w:rtl/>
          </w:rPr>
          <w:t>סעיף</w:t>
        </w:r>
        <w:r w:rsidR="00F30310" w:rsidRPr="00F30310">
          <w:rPr>
            <w:rStyle w:val="Hyperlink"/>
            <w:rFonts w:ascii="David" w:eastAsia="Calibri" w:hAnsi="David"/>
            <w:i/>
            <w:rtl/>
          </w:rPr>
          <w:t xml:space="preserve"> 402(א)</w:t>
        </w:r>
      </w:hyperlink>
      <w:r w:rsidRPr="008666D5">
        <w:rPr>
          <w:rFonts w:ascii="David" w:eastAsia="Calibri" w:hAnsi="David" w:hint="cs"/>
          <w:i/>
          <w:rtl/>
        </w:rPr>
        <w:t xml:space="preserve"> ל</w:t>
      </w:r>
      <w:hyperlink r:id="rId52" w:history="1">
        <w:r w:rsidR="00785C36" w:rsidRPr="00785C36">
          <w:rPr>
            <w:rFonts w:ascii="David" w:eastAsia="Calibri" w:hAnsi="David"/>
            <w:i/>
            <w:color w:val="0000FF"/>
            <w:u w:val="single"/>
            <w:rtl/>
          </w:rPr>
          <w:t>חוק העונשין</w:t>
        </w:r>
      </w:hyperlink>
      <w:r w:rsidRPr="008666D5">
        <w:rPr>
          <w:rFonts w:ascii="David" w:eastAsia="Calibri" w:hAnsi="David" w:hint="cs"/>
          <w:i/>
          <w:rtl/>
        </w:rPr>
        <w:t xml:space="preserve">. בית המשפט המחוזי קבע מתחם ענישה הנע בין שנת מאסר אחת  ועד חמש שנות מאסר. בית המשפט העליון אישר מתחם זה וקבע כי לא נפל בו כל פגם. </w:t>
      </w:r>
    </w:p>
    <w:p w14:paraId="0270A9BA"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i/>
          <w:rtl/>
        </w:rPr>
      </w:pPr>
    </w:p>
    <w:p w14:paraId="372BE577"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i/>
          <w:rtl/>
        </w:rPr>
      </w:pPr>
      <w:r w:rsidRPr="008666D5">
        <w:rPr>
          <w:rFonts w:ascii="David" w:eastAsia="Calibri" w:hAnsi="David" w:hint="cs"/>
          <w:i/>
          <w:rtl/>
        </w:rPr>
        <w:t>38.</w:t>
      </w:r>
      <w:r w:rsidRPr="008666D5">
        <w:rPr>
          <w:rFonts w:ascii="David" w:eastAsia="Calibri" w:hAnsi="David" w:hint="cs"/>
          <w:i/>
          <w:rtl/>
        </w:rPr>
        <w:tab/>
        <w:t>בשים לב לנסיבות ביצוע עבירת השוד, לערכים המוגנים שנפגעו כתוצאה מביצועה ולמדיניות הענישה הנוהגת, אני קובע כי מתחם העונש ההולם בגינה נע בין 36-18 חודשי מאסר לריצוי בפועל.</w:t>
      </w:r>
    </w:p>
    <w:p w14:paraId="2A0EE19B"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i/>
          <w:rtl/>
        </w:rPr>
      </w:pPr>
    </w:p>
    <w:p w14:paraId="17F1BA99"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i/>
          <w:rtl/>
        </w:rPr>
      </w:pPr>
      <w:r w:rsidRPr="008666D5">
        <w:rPr>
          <w:rFonts w:ascii="David" w:eastAsia="Calibri" w:hAnsi="David" w:hint="cs"/>
          <w:i/>
          <w:rtl/>
        </w:rPr>
        <w:t>39.</w:t>
      </w:r>
      <w:r w:rsidRPr="008666D5">
        <w:rPr>
          <w:rFonts w:ascii="David" w:eastAsia="Calibri" w:hAnsi="David" w:hint="cs"/>
          <w:i/>
          <w:rtl/>
        </w:rPr>
        <w:tab/>
        <w:t xml:space="preserve">באשר לעבירת הסמים, הערכים המוגנים שנפגעו כתוצאה מביצועה הם שלומו, בטחונו ובריאותו של הציבור. אין צורך להרבות במלים לגבי תפקידו של בית המשפט במלחמה למיגור נגע הסמים בחברה. </w:t>
      </w:r>
    </w:p>
    <w:p w14:paraId="2F903768"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i/>
          <w:rtl/>
        </w:rPr>
      </w:pPr>
    </w:p>
    <w:p w14:paraId="4AAA509F"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i/>
          <w:rtl/>
        </w:rPr>
      </w:pPr>
      <w:r w:rsidRPr="008666D5">
        <w:rPr>
          <w:rFonts w:ascii="David" w:eastAsia="Calibri" w:hAnsi="David" w:hint="cs"/>
          <w:i/>
          <w:rtl/>
        </w:rPr>
        <w:tab/>
        <w:t xml:space="preserve">בבחינת הנסיבות הקשורות בביצוע העבירה, יש ליתן את הדעת לכך שמדובר בכמות קטנה של סמים. יחד עם זאת, מדובר בסם מסוג קוקאין הנחשב לאחד הסמים הקשים. עוד יש להתחשב בעובדה שהסם נתפס על גופו של הנאשם בעודו בביתו. </w:t>
      </w:r>
    </w:p>
    <w:p w14:paraId="02E3B450"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i/>
          <w:rtl/>
        </w:rPr>
      </w:pPr>
    </w:p>
    <w:p w14:paraId="74891EA7"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i/>
          <w:rtl/>
        </w:rPr>
      </w:pPr>
      <w:r w:rsidRPr="008666D5">
        <w:rPr>
          <w:rFonts w:ascii="David" w:eastAsia="Calibri" w:hAnsi="David" w:hint="cs"/>
          <w:i/>
          <w:rtl/>
        </w:rPr>
        <w:t>40.</w:t>
      </w:r>
      <w:r w:rsidRPr="008666D5">
        <w:rPr>
          <w:rFonts w:ascii="David" w:eastAsia="Calibri" w:hAnsi="David" w:hint="cs"/>
          <w:i/>
          <w:rtl/>
        </w:rPr>
        <w:tab/>
        <w:t xml:space="preserve">נוכח נסיבות ביצוע עבירת הסמים, הערכים המוגנים שנפגעו מביצועה ומדיניות הענישה הנוהגת במקרים דומים, אני קובע כי מתחם העונש ההולם בגינה נע בין 3-6 חודשי מאסר. </w:t>
      </w:r>
    </w:p>
    <w:p w14:paraId="4B69D259"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i/>
          <w:rtl/>
        </w:rPr>
      </w:pPr>
    </w:p>
    <w:p w14:paraId="35B77D78"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i/>
          <w:rtl/>
        </w:rPr>
      </w:pPr>
      <w:r w:rsidRPr="008666D5">
        <w:rPr>
          <w:rFonts w:ascii="David" w:eastAsia="Calibri" w:hAnsi="David" w:hint="cs"/>
          <w:i/>
          <w:rtl/>
        </w:rPr>
        <w:t>41.</w:t>
      </w:r>
      <w:r w:rsidRPr="008666D5">
        <w:rPr>
          <w:rFonts w:ascii="David" w:eastAsia="Calibri" w:hAnsi="David" w:hint="cs"/>
          <w:i/>
          <w:rtl/>
        </w:rPr>
        <w:tab/>
        <w:t xml:space="preserve">הערכים המוגנים שנפגעו מביצוע העבירות בתיקים שצורפו הם אותם ערכים שנפגעו מביצוע עבירת השוד מושא התיק העיקרי, ובראשם זכות האדם והציבור לרכושו וקניינו ושמירת הסדר הציבורי ושלטון החוק. בתיק 29464-10-22 הורשע הנאשם בגניבה והסגת גבול פלילית, בגין כך שהוא נכנס לחדר אוכל באחד המלונות בעיר אילת וגנב את תיקה של אחת הנשים שהיו במקום. בתיק 62666-09-23 התפרץ הנאשם לאשנב המצוי בתחנה המרכזית באילת, בכך שפתח בכוח את דלת הכניסה, ניגש לאשנב, שבר את התריס, הפיל את החלון בעזרת רגליו ונכנס לתוך האשנב בחיפוש אחר רכוש לגנבו. </w:t>
      </w:r>
    </w:p>
    <w:p w14:paraId="5B5535F7"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i/>
          <w:rtl/>
        </w:rPr>
      </w:pPr>
    </w:p>
    <w:p w14:paraId="6F04289B"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i/>
          <w:rtl/>
        </w:rPr>
      </w:pPr>
      <w:r w:rsidRPr="008666D5">
        <w:rPr>
          <w:rFonts w:ascii="David" w:eastAsia="Calibri" w:hAnsi="David" w:hint="cs"/>
          <w:i/>
          <w:rtl/>
        </w:rPr>
        <w:t>42.</w:t>
      </w:r>
      <w:r w:rsidRPr="008666D5">
        <w:rPr>
          <w:rFonts w:ascii="David" w:eastAsia="Calibri" w:hAnsi="David" w:hint="cs"/>
          <w:i/>
          <w:rtl/>
        </w:rPr>
        <w:tab/>
        <w:t xml:space="preserve">מעשיו של הנאשם מושא שני התיקים דלעיל מתאפיינים בתעוזה, העדר גבולות וחוסר מורא מפני החוק. ניכר כי העבירות לא נעשו אגב תחכום רב ולא היו כרוכות בתכנון או התארגנות מיוחדים, והרושם הוא שהן נעשו מתוך החלטה רגעית וניצול הזדמנות שנקרתה בדרכו של הנאשם, מבלי לייחד מחשבה רבה להשלכות מעשיו. </w:t>
      </w:r>
    </w:p>
    <w:p w14:paraId="0D96C762"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i/>
          <w:rtl/>
        </w:rPr>
      </w:pPr>
    </w:p>
    <w:p w14:paraId="6C6BC4DA"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i/>
          <w:rtl/>
        </w:rPr>
      </w:pPr>
      <w:r w:rsidRPr="008666D5">
        <w:rPr>
          <w:rFonts w:ascii="David" w:eastAsia="Calibri" w:hAnsi="David" w:hint="cs"/>
          <w:i/>
          <w:rtl/>
        </w:rPr>
        <w:t>43.</w:t>
      </w:r>
      <w:r w:rsidRPr="008666D5">
        <w:rPr>
          <w:rFonts w:ascii="David" w:eastAsia="Calibri" w:hAnsi="David" w:hint="cs"/>
          <w:i/>
          <w:rtl/>
        </w:rPr>
        <w:tab/>
        <w:t xml:space="preserve">בשים לב לנסיבות ביצוע העבירות מושא התיקים שצורפו, ובהתחשב בערכים המוגנים שנפגעו מביצוען ובמדיניות הענישה הנוהגת, אני קובע את מתחם העונש ההולם בגין כל אחד מהתיקים בטווח שבין 6 עד 15 חודשי מאסר. </w:t>
      </w:r>
    </w:p>
    <w:p w14:paraId="7D6BDF9E"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i/>
          <w:rtl/>
        </w:rPr>
      </w:pPr>
    </w:p>
    <w:p w14:paraId="2E6EBD7D"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i/>
          <w:u w:val="single"/>
          <w:rtl/>
        </w:rPr>
      </w:pPr>
      <w:r w:rsidRPr="008666D5">
        <w:rPr>
          <w:rFonts w:ascii="David" w:eastAsia="Calibri" w:hAnsi="David" w:hint="cs"/>
          <w:i/>
          <w:u w:val="single"/>
          <w:rtl/>
        </w:rPr>
        <w:t>גזירת העונש בתוך המתחמים</w:t>
      </w:r>
    </w:p>
    <w:p w14:paraId="69683F72"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i/>
          <w:u w:val="single"/>
          <w:rtl/>
        </w:rPr>
      </w:pPr>
    </w:p>
    <w:p w14:paraId="5F56ECDA"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i/>
          <w:rtl/>
        </w:rPr>
      </w:pPr>
      <w:r w:rsidRPr="008666D5">
        <w:rPr>
          <w:rFonts w:ascii="David" w:eastAsia="Calibri" w:hAnsi="David" w:hint="cs"/>
          <w:i/>
          <w:rtl/>
        </w:rPr>
        <w:t>44.</w:t>
      </w:r>
      <w:r w:rsidRPr="008666D5">
        <w:rPr>
          <w:rFonts w:ascii="David" w:eastAsia="Calibri" w:hAnsi="David" w:hint="cs"/>
          <w:i/>
          <w:rtl/>
        </w:rPr>
        <w:tab/>
        <w:t xml:space="preserve">בבואי לגזור את עונשו של הנאשם בתוך המתחמים שנקבעו לעיל, ראיתי להביא בחשבון את הודאתו במיוחס לו בשלב מוקדם של ההליך. הודאה זו מגלמת בחובה לא רק נטילת אחריות מצדו על מעשיו אלא הביאה לחסכון בזמן שיפוטי יקר. </w:t>
      </w:r>
    </w:p>
    <w:p w14:paraId="24C94B60"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i/>
          <w:rtl/>
        </w:rPr>
      </w:pPr>
    </w:p>
    <w:p w14:paraId="595D7618"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i/>
          <w:rtl/>
        </w:rPr>
      </w:pPr>
      <w:r w:rsidRPr="008666D5">
        <w:rPr>
          <w:rFonts w:ascii="David" w:eastAsia="Calibri" w:hAnsi="David" w:hint="cs"/>
          <w:i/>
          <w:rtl/>
        </w:rPr>
        <w:t>45.</w:t>
      </w:r>
      <w:r w:rsidRPr="008666D5">
        <w:rPr>
          <w:rFonts w:ascii="David" w:eastAsia="Calibri" w:hAnsi="David" w:hint="cs"/>
          <w:i/>
          <w:rtl/>
        </w:rPr>
        <w:tab/>
        <w:t xml:space="preserve">עוד הבאתי בחשבון את העובדה שמדובר במי שלחובתו הרשעות קודמות וזו אינה הסתבכותו הראשונה עם החוק. יחד עם זאת, מדובר בשתי הרשעות מלפני שנים רבות, כשהאחרונה שבהן היא משנת 2015. נתתי דעתי גם לנסיבות חייו המורכבות של הנאשם, כפי שפורטו בהרחבה בתסקיר שירות המבחן וכן לניסיונות השיקום שנעשו לגביו ואשר למרבה הצער לא צלחו. </w:t>
      </w:r>
    </w:p>
    <w:p w14:paraId="718856D9"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i/>
          <w:rtl/>
        </w:rPr>
      </w:pPr>
    </w:p>
    <w:p w14:paraId="1678C4C3"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i/>
          <w:rtl/>
        </w:rPr>
      </w:pPr>
      <w:r w:rsidRPr="008666D5">
        <w:rPr>
          <w:rFonts w:ascii="David" w:eastAsia="Calibri" w:hAnsi="David" w:hint="cs"/>
          <w:i/>
          <w:rtl/>
        </w:rPr>
        <w:t>46.</w:t>
      </w:r>
      <w:r w:rsidRPr="008666D5">
        <w:rPr>
          <w:rFonts w:ascii="David" w:eastAsia="Calibri" w:hAnsi="David" w:hint="cs"/>
          <w:i/>
          <w:rtl/>
        </w:rPr>
        <w:tab/>
        <w:t>על יסוד מקבץ האמור, אני גוזר על הנאשם את העונשים הבאים:</w:t>
      </w:r>
    </w:p>
    <w:p w14:paraId="32211F1E"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i/>
          <w:rtl/>
        </w:rPr>
      </w:pPr>
    </w:p>
    <w:p w14:paraId="3BB3972B" w14:textId="77777777" w:rsidR="00184D68" w:rsidRPr="008666D5" w:rsidRDefault="00184D68" w:rsidP="00184D68">
      <w:pPr>
        <w:tabs>
          <w:tab w:val="left" w:pos="567"/>
          <w:tab w:val="left" w:pos="1134"/>
          <w:tab w:val="left" w:pos="1701"/>
        </w:tabs>
        <w:spacing w:line="360" w:lineRule="auto"/>
        <w:ind w:left="1134" w:hanging="1134"/>
        <w:jc w:val="both"/>
        <w:rPr>
          <w:rFonts w:ascii="David" w:eastAsia="Calibri" w:hAnsi="David"/>
          <w:i/>
          <w:rtl/>
        </w:rPr>
      </w:pPr>
      <w:r w:rsidRPr="008666D5">
        <w:rPr>
          <w:rFonts w:ascii="David" w:eastAsia="Calibri" w:hAnsi="David" w:hint="cs"/>
          <w:i/>
          <w:rtl/>
        </w:rPr>
        <w:tab/>
        <w:t>א.</w:t>
      </w:r>
      <w:r w:rsidRPr="008666D5">
        <w:rPr>
          <w:rFonts w:ascii="David" w:eastAsia="Calibri" w:hAnsi="David" w:hint="cs"/>
          <w:i/>
          <w:rtl/>
        </w:rPr>
        <w:tab/>
        <w:t xml:space="preserve">30 חודשי מאסר לריצוי בפועל בניכוי תקופת מעצרו מיום 17.8.2022 ועד 24.11.22 וכן מיום 22.6.2023 ועד היום. </w:t>
      </w:r>
    </w:p>
    <w:p w14:paraId="73BB1B38" w14:textId="77777777" w:rsidR="00184D68" w:rsidRPr="008666D5" w:rsidRDefault="00184D68" w:rsidP="00184D68">
      <w:pPr>
        <w:tabs>
          <w:tab w:val="left" w:pos="567"/>
          <w:tab w:val="left" w:pos="1134"/>
          <w:tab w:val="left" w:pos="1701"/>
        </w:tabs>
        <w:spacing w:line="360" w:lineRule="auto"/>
        <w:ind w:left="1134" w:hanging="1134"/>
        <w:jc w:val="both"/>
        <w:rPr>
          <w:rFonts w:ascii="David" w:eastAsia="Calibri" w:hAnsi="David"/>
          <w:i/>
          <w:rtl/>
        </w:rPr>
      </w:pPr>
    </w:p>
    <w:p w14:paraId="6C1021EF" w14:textId="77777777" w:rsidR="00184D68" w:rsidRPr="008666D5" w:rsidRDefault="00184D68" w:rsidP="00184D68">
      <w:pPr>
        <w:tabs>
          <w:tab w:val="left" w:pos="567"/>
          <w:tab w:val="left" w:pos="1134"/>
          <w:tab w:val="left" w:pos="1701"/>
        </w:tabs>
        <w:spacing w:line="360" w:lineRule="auto"/>
        <w:ind w:left="1134" w:hanging="1134"/>
        <w:jc w:val="both"/>
        <w:rPr>
          <w:rFonts w:ascii="David" w:eastAsia="Calibri" w:hAnsi="David"/>
          <w:i/>
          <w:rtl/>
        </w:rPr>
      </w:pPr>
      <w:r w:rsidRPr="008666D5">
        <w:rPr>
          <w:rFonts w:ascii="David" w:eastAsia="Calibri" w:hAnsi="David" w:hint="cs"/>
          <w:i/>
          <w:rtl/>
        </w:rPr>
        <w:tab/>
        <w:t>ב.</w:t>
      </w:r>
      <w:r w:rsidRPr="008666D5">
        <w:rPr>
          <w:rFonts w:ascii="David" w:eastAsia="Calibri" w:hAnsi="David" w:hint="cs"/>
          <w:i/>
          <w:rtl/>
        </w:rPr>
        <w:tab/>
        <w:t xml:space="preserve">9 חודשי מאסר על תנאי לבל יעבור משך שלוש שנים כל עבירת רכוש מסוג פשע ויורשע בגינה. </w:t>
      </w:r>
    </w:p>
    <w:p w14:paraId="41F2D1EC" w14:textId="77777777" w:rsidR="00184D68" w:rsidRPr="008666D5" w:rsidRDefault="00184D68" w:rsidP="00184D68">
      <w:pPr>
        <w:tabs>
          <w:tab w:val="left" w:pos="567"/>
          <w:tab w:val="left" w:pos="1134"/>
          <w:tab w:val="left" w:pos="1701"/>
        </w:tabs>
        <w:spacing w:line="360" w:lineRule="auto"/>
        <w:ind w:left="1134" w:hanging="1134"/>
        <w:jc w:val="both"/>
        <w:rPr>
          <w:rFonts w:ascii="David" w:eastAsia="Calibri" w:hAnsi="David"/>
          <w:i/>
          <w:rtl/>
        </w:rPr>
      </w:pPr>
    </w:p>
    <w:p w14:paraId="1B6C2D91" w14:textId="77777777" w:rsidR="00184D68" w:rsidRPr="008666D5" w:rsidRDefault="00184D68" w:rsidP="00184D68">
      <w:pPr>
        <w:tabs>
          <w:tab w:val="left" w:pos="567"/>
          <w:tab w:val="left" w:pos="1134"/>
          <w:tab w:val="left" w:pos="1701"/>
        </w:tabs>
        <w:spacing w:line="360" w:lineRule="auto"/>
        <w:ind w:left="1134" w:hanging="1134"/>
        <w:jc w:val="both"/>
        <w:rPr>
          <w:rFonts w:ascii="David" w:eastAsia="Calibri" w:hAnsi="David"/>
          <w:i/>
          <w:rtl/>
        </w:rPr>
      </w:pPr>
      <w:r w:rsidRPr="008666D5">
        <w:rPr>
          <w:rFonts w:ascii="David" w:eastAsia="Calibri" w:hAnsi="David" w:hint="cs"/>
          <w:i/>
          <w:rtl/>
        </w:rPr>
        <w:tab/>
        <w:t>ג.</w:t>
      </w:r>
      <w:r w:rsidRPr="008666D5">
        <w:rPr>
          <w:rFonts w:ascii="David" w:eastAsia="Calibri" w:hAnsi="David" w:hint="cs"/>
          <w:i/>
          <w:rtl/>
        </w:rPr>
        <w:tab/>
        <w:t xml:space="preserve">5 חודשי מאסר על תנאי לבל יעבור משך שלוש שנים כל עבירת רכוש מסוג עוון ויורשע בגינה. </w:t>
      </w:r>
    </w:p>
    <w:p w14:paraId="201CDD8F" w14:textId="77777777" w:rsidR="00184D68" w:rsidRPr="008666D5" w:rsidRDefault="00184D68" w:rsidP="00184D68">
      <w:pPr>
        <w:tabs>
          <w:tab w:val="left" w:pos="567"/>
          <w:tab w:val="left" w:pos="1134"/>
          <w:tab w:val="left" w:pos="1701"/>
        </w:tabs>
        <w:spacing w:line="360" w:lineRule="auto"/>
        <w:ind w:left="1134" w:hanging="1134"/>
        <w:jc w:val="both"/>
        <w:rPr>
          <w:rFonts w:ascii="David" w:eastAsia="Calibri" w:hAnsi="David"/>
          <w:i/>
          <w:rtl/>
        </w:rPr>
      </w:pPr>
    </w:p>
    <w:p w14:paraId="0E6C6E2D" w14:textId="77777777" w:rsidR="00184D68" w:rsidRPr="008666D5" w:rsidRDefault="00184D68" w:rsidP="00184D68">
      <w:pPr>
        <w:tabs>
          <w:tab w:val="left" w:pos="567"/>
          <w:tab w:val="left" w:pos="1134"/>
          <w:tab w:val="left" w:pos="1701"/>
        </w:tabs>
        <w:spacing w:line="360" w:lineRule="auto"/>
        <w:ind w:left="1134" w:hanging="1134"/>
        <w:jc w:val="both"/>
        <w:rPr>
          <w:rFonts w:ascii="David" w:eastAsia="Calibri" w:hAnsi="David"/>
          <w:i/>
          <w:rtl/>
        </w:rPr>
      </w:pPr>
      <w:r w:rsidRPr="008666D5">
        <w:rPr>
          <w:rFonts w:ascii="David" w:eastAsia="Calibri" w:hAnsi="David" w:hint="cs"/>
          <w:i/>
          <w:rtl/>
        </w:rPr>
        <w:tab/>
        <w:t>ד.</w:t>
      </w:r>
      <w:r w:rsidRPr="008666D5">
        <w:rPr>
          <w:rFonts w:ascii="David" w:eastAsia="Calibri" w:hAnsi="David" w:hint="cs"/>
          <w:i/>
          <w:rtl/>
        </w:rPr>
        <w:tab/>
        <w:t xml:space="preserve">3 חודשי מאסר על תנאי לבל יעבור משך שנתיים עבירה על </w:t>
      </w:r>
      <w:hyperlink r:id="rId53" w:history="1">
        <w:r w:rsidR="00785C36" w:rsidRPr="00785C36">
          <w:rPr>
            <w:rFonts w:ascii="David" w:eastAsia="Calibri" w:hAnsi="David"/>
            <w:i/>
            <w:color w:val="0000FF"/>
            <w:u w:val="single"/>
            <w:rtl/>
          </w:rPr>
          <w:t>פקודת הסמים המסוכנים</w:t>
        </w:r>
      </w:hyperlink>
      <w:r w:rsidRPr="008666D5">
        <w:rPr>
          <w:rFonts w:ascii="David" w:eastAsia="Calibri" w:hAnsi="David" w:hint="cs"/>
          <w:i/>
          <w:rtl/>
        </w:rPr>
        <w:t xml:space="preserve">. </w:t>
      </w:r>
    </w:p>
    <w:p w14:paraId="70CB62CD" w14:textId="77777777" w:rsidR="00184D68" w:rsidRPr="008666D5" w:rsidRDefault="00184D68" w:rsidP="00184D68">
      <w:pPr>
        <w:tabs>
          <w:tab w:val="left" w:pos="567"/>
          <w:tab w:val="left" w:pos="1134"/>
          <w:tab w:val="left" w:pos="1701"/>
        </w:tabs>
        <w:spacing w:line="360" w:lineRule="auto"/>
        <w:ind w:left="1134" w:hanging="1134"/>
        <w:jc w:val="both"/>
        <w:rPr>
          <w:rFonts w:ascii="David" w:eastAsia="Calibri" w:hAnsi="David"/>
          <w:i/>
          <w:rtl/>
        </w:rPr>
      </w:pPr>
      <w:r w:rsidRPr="008666D5">
        <w:rPr>
          <w:rFonts w:ascii="David" w:eastAsia="Calibri" w:hAnsi="David" w:hint="cs"/>
          <w:i/>
          <w:rtl/>
        </w:rPr>
        <w:tab/>
      </w:r>
    </w:p>
    <w:p w14:paraId="459A43FD" w14:textId="77777777" w:rsidR="00184D68" w:rsidRPr="008666D5" w:rsidRDefault="00184D68" w:rsidP="00184D68">
      <w:pPr>
        <w:tabs>
          <w:tab w:val="left" w:pos="567"/>
          <w:tab w:val="left" w:pos="1134"/>
          <w:tab w:val="left" w:pos="1701"/>
        </w:tabs>
        <w:spacing w:line="360" w:lineRule="auto"/>
        <w:ind w:left="567" w:hanging="567"/>
        <w:jc w:val="both"/>
        <w:rPr>
          <w:rFonts w:ascii="David" w:eastAsia="Calibri" w:hAnsi="David"/>
          <w:i/>
          <w:rtl/>
        </w:rPr>
      </w:pPr>
      <w:r w:rsidRPr="008666D5">
        <w:rPr>
          <w:rFonts w:ascii="David" w:eastAsia="Calibri" w:hAnsi="David" w:hint="cs"/>
          <w:i/>
          <w:rtl/>
        </w:rPr>
        <w:tab/>
        <w:t xml:space="preserve">הואיל והנאשם הביע רצונו להמשיך בהליכי השיקום והטיפול בין כותלי בית הכלא, ישקלו רשויות שב"ס בקשתו זו בחיוב. נותר רק לקוות כי הנאשם, שדווח על ניקיונו מסמים, יתמיד במאמציו וייפתח, עם שחרורו, דף חדש בחייו. </w:t>
      </w:r>
    </w:p>
    <w:p w14:paraId="4A2F21F1" w14:textId="77777777" w:rsidR="00184D68" w:rsidRPr="008666D5" w:rsidRDefault="00184D68" w:rsidP="00184D68">
      <w:pPr>
        <w:tabs>
          <w:tab w:val="left" w:pos="567"/>
          <w:tab w:val="left" w:pos="1134"/>
          <w:tab w:val="left" w:pos="1701"/>
        </w:tabs>
        <w:spacing w:line="360" w:lineRule="auto"/>
        <w:ind w:left="1134" w:hanging="1134"/>
        <w:jc w:val="both"/>
        <w:rPr>
          <w:rFonts w:ascii="David" w:eastAsia="Calibri" w:hAnsi="David"/>
          <w:i/>
          <w:rtl/>
        </w:rPr>
      </w:pPr>
    </w:p>
    <w:p w14:paraId="0D35FD03" w14:textId="77777777" w:rsidR="00184D68" w:rsidRPr="008666D5" w:rsidRDefault="00184D68" w:rsidP="00184D68">
      <w:pPr>
        <w:tabs>
          <w:tab w:val="left" w:pos="567"/>
          <w:tab w:val="left" w:pos="1134"/>
          <w:tab w:val="left" w:pos="1701"/>
        </w:tabs>
        <w:spacing w:line="360" w:lineRule="auto"/>
        <w:ind w:left="1134" w:hanging="1134"/>
        <w:jc w:val="both"/>
        <w:rPr>
          <w:rFonts w:ascii="David" w:eastAsia="Calibri" w:hAnsi="David"/>
          <w:i/>
          <w:rtl/>
        </w:rPr>
      </w:pPr>
      <w:r w:rsidRPr="008666D5">
        <w:rPr>
          <w:rFonts w:ascii="David" w:eastAsia="Calibri" w:hAnsi="David" w:hint="cs"/>
          <w:i/>
          <w:rtl/>
        </w:rPr>
        <w:t xml:space="preserve">זכות ערעור לבית המשפט העליון תוך 45 ימים. </w:t>
      </w:r>
    </w:p>
    <w:p w14:paraId="6B380320" w14:textId="77777777" w:rsidR="00184D68" w:rsidRPr="00785C36" w:rsidRDefault="00785C36" w:rsidP="00184D68">
      <w:pPr>
        <w:rPr>
          <w:color w:val="FFFFFF"/>
          <w:sz w:val="2"/>
          <w:szCs w:val="2"/>
          <w:rtl/>
        </w:rPr>
      </w:pPr>
      <w:r w:rsidRPr="00785C36">
        <w:rPr>
          <w:color w:val="FFFFFF"/>
          <w:sz w:val="2"/>
          <w:szCs w:val="2"/>
          <w:rtl/>
        </w:rPr>
        <w:t>5129371</w:t>
      </w:r>
    </w:p>
    <w:p w14:paraId="5EDCD4D0" w14:textId="77777777" w:rsidR="00184D68" w:rsidRDefault="00785C36" w:rsidP="00184D68">
      <w:pPr>
        <w:rPr>
          <w:rFonts w:cs="FrankRuehl"/>
          <w:sz w:val="28"/>
          <w:szCs w:val="28"/>
          <w:rtl/>
        </w:rPr>
      </w:pPr>
      <w:bookmarkStart w:id="8" w:name="Nitan"/>
      <w:r w:rsidRPr="00785C36">
        <w:rPr>
          <w:rFonts w:ascii="Arial" w:hAnsi="Arial"/>
          <w:color w:val="FFFFFF"/>
          <w:sz w:val="2"/>
          <w:szCs w:val="2"/>
          <w:rtl/>
        </w:rPr>
        <w:t>54678313</w:t>
      </w:r>
      <w:r>
        <w:rPr>
          <w:rFonts w:ascii="Arial" w:hAnsi="Arial"/>
          <w:rtl/>
        </w:rPr>
        <w:t xml:space="preserve">ניתן היום,  כ"ז טבת תשפ"ד, 08 ינואר 2024, במעמד הנוכחים. </w:t>
      </w:r>
      <w:bookmarkEnd w:id="8"/>
    </w:p>
    <w:p w14:paraId="58DD28DF" w14:textId="77777777" w:rsidR="00184D68" w:rsidRDefault="00184D68" w:rsidP="00785C3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775CFC6" w14:textId="77777777" w:rsidR="00184D68" w:rsidRDefault="00184D68" w:rsidP="00184D68">
      <w:pPr>
        <w:jc w:val="center"/>
        <w:rPr>
          <w:rFonts w:ascii="Arial" w:hAnsi="Arial" w:cs="FrankRuehl"/>
          <w:sz w:val="28"/>
          <w:szCs w:val="28"/>
          <w:rtl/>
        </w:rPr>
      </w:pPr>
    </w:p>
    <w:p w14:paraId="3DB0B3D3" w14:textId="77777777" w:rsidR="00184D68" w:rsidRDefault="00184D68" w:rsidP="00184D68">
      <w:pPr>
        <w:rPr>
          <w:rFonts w:cs="FrankRuehl"/>
          <w:sz w:val="28"/>
          <w:szCs w:val="28"/>
          <w:rtl/>
        </w:rPr>
      </w:pPr>
    </w:p>
    <w:p w14:paraId="3EEF77C6" w14:textId="77777777" w:rsidR="00785C36" w:rsidRPr="00785C36" w:rsidRDefault="00F30310" w:rsidP="00785C36">
      <w:pPr>
        <w:keepNext/>
        <w:rPr>
          <w:rFonts w:ascii="David" w:hAnsi="David"/>
          <w:color w:val="000000"/>
          <w:sz w:val="22"/>
          <w:szCs w:val="22"/>
          <w:rtl/>
        </w:rPr>
      </w:pPr>
      <w:r w:rsidRPr="00F30310">
        <w:rPr>
          <w:color w:val="FFFFFF"/>
          <w:sz w:val="2"/>
          <w:szCs w:val="2"/>
          <w:rtl/>
        </w:rPr>
        <w:t>5129371</w:t>
      </w:r>
    </w:p>
    <w:p w14:paraId="03D2C3C5" w14:textId="77777777" w:rsidR="00785C36" w:rsidRDefault="00785C36" w:rsidP="00785C36">
      <w:pPr>
        <w:rPr>
          <w:rtl/>
        </w:rPr>
      </w:pPr>
    </w:p>
    <w:p w14:paraId="47AD1211" w14:textId="77777777" w:rsidR="00785C36" w:rsidRDefault="00785C36" w:rsidP="00785C36">
      <w:pPr>
        <w:jc w:val="center"/>
        <w:rPr>
          <w:color w:val="0000FF"/>
          <w:u w:val="single"/>
        </w:rPr>
      </w:pPr>
      <w:hyperlink r:id="rId54" w:history="1">
        <w:r>
          <w:rPr>
            <w:color w:val="0000FF"/>
            <w:u w:val="single"/>
            <w:rtl/>
          </w:rPr>
          <w:t>בעניין עריכה ושינויים במסמכי פסיקה, חקיקה ועוד באתר נבו – הקש כאן</w:t>
        </w:r>
      </w:hyperlink>
    </w:p>
    <w:p w14:paraId="559AE42D" w14:textId="77777777" w:rsidR="00F30310" w:rsidRPr="00F30310" w:rsidRDefault="00F30310" w:rsidP="00F30310">
      <w:pPr>
        <w:keepNext/>
        <w:rPr>
          <w:rFonts w:ascii="David" w:hAnsi="David"/>
          <w:color w:val="000000"/>
          <w:sz w:val="22"/>
          <w:szCs w:val="22"/>
          <w:rtl/>
        </w:rPr>
      </w:pPr>
    </w:p>
    <w:p w14:paraId="32306F8F" w14:textId="77777777" w:rsidR="00F30310" w:rsidRPr="00F30310" w:rsidRDefault="00F30310" w:rsidP="00F30310">
      <w:pPr>
        <w:keepNext/>
        <w:rPr>
          <w:rFonts w:ascii="David" w:hAnsi="David"/>
          <w:color w:val="000000"/>
          <w:sz w:val="22"/>
          <w:szCs w:val="22"/>
          <w:rtl/>
        </w:rPr>
      </w:pPr>
      <w:r w:rsidRPr="00F30310">
        <w:rPr>
          <w:rFonts w:ascii="David" w:hAnsi="David"/>
          <w:color w:val="000000"/>
          <w:sz w:val="22"/>
          <w:szCs w:val="22"/>
          <w:rtl/>
        </w:rPr>
        <w:t>אמיר טובי 54678313-/</w:t>
      </w:r>
    </w:p>
    <w:p w14:paraId="0734994B" w14:textId="77777777" w:rsidR="00785C36" w:rsidRPr="00785C36" w:rsidRDefault="00F30310" w:rsidP="00F30310">
      <w:pPr>
        <w:rPr>
          <w:color w:val="0000FF"/>
          <w:u w:val="single"/>
        </w:rPr>
      </w:pPr>
      <w:r w:rsidRPr="00F30310">
        <w:rPr>
          <w:color w:val="000000"/>
          <w:u w:val="single"/>
          <w:rtl/>
        </w:rPr>
        <w:t>נוסח מסמך זה כפוף לשינויי ניסוח ועריכה</w:t>
      </w:r>
    </w:p>
    <w:sectPr w:rsidR="00785C36" w:rsidRPr="00785C36" w:rsidSect="00F30310">
      <w:headerReference w:type="even" r:id="rId55"/>
      <w:headerReference w:type="default" r:id="rId56"/>
      <w:footerReference w:type="even" r:id="rId57"/>
      <w:footerReference w:type="default" r:id="rId58"/>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0D42E2" w14:textId="77777777" w:rsidR="005A18B8" w:rsidRDefault="005A18B8" w:rsidP="00D51ACE">
      <w:r>
        <w:separator/>
      </w:r>
    </w:p>
  </w:endnote>
  <w:endnote w:type="continuationSeparator" w:id="0">
    <w:p w14:paraId="37B2B083" w14:textId="77777777" w:rsidR="005A18B8" w:rsidRDefault="005A18B8" w:rsidP="00D51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4083B8" w14:textId="77777777" w:rsidR="00F30310" w:rsidRDefault="00F30310" w:rsidP="00F3031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60A11EC" w14:textId="77777777" w:rsidR="008856FA" w:rsidRPr="00F30310" w:rsidRDefault="00F30310" w:rsidP="00F30310">
    <w:pPr>
      <w:pStyle w:val="a5"/>
      <w:pBdr>
        <w:top w:val="single" w:sz="4" w:space="1" w:color="auto"/>
        <w:between w:val="single" w:sz="4" w:space="0" w:color="auto"/>
      </w:pBdr>
      <w:spacing w:after="60"/>
      <w:jc w:val="center"/>
      <w:rPr>
        <w:rFonts w:ascii="FrankRuehl" w:hAnsi="FrankRuehl" w:cs="FrankRuehl"/>
        <w:color w:val="000000"/>
      </w:rPr>
    </w:pPr>
    <w:r w:rsidRPr="00F3031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D3B80" w14:textId="77777777" w:rsidR="00F30310" w:rsidRDefault="00F30310" w:rsidP="00F3031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A359E">
      <w:rPr>
        <w:rFonts w:ascii="FrankRuehl" w:hAnsi="FrankRuehl" w:cs="FrankRuehl"/>
        <w:noProof/>
        <w:rtl/>
      </w:rPr>
      <w:t>1</w:t>
    </w:r>
    <w:r>
      <w:rPr>
        <w:rFonts w:ascii="FrankRuehl" w:hAnsi="FrankRuehl" w:cs="FrankRuehl"/>
        <w:rtl/>
      </w:rPr>
      <w:fldChar w:fldCharType="end"/>
    </w:r>
  </w:p>
  <w:p w14:paraId="77208C8A" w14:textId="77777777" w:rsidR="008856FA" w:rsidRPr="00F30310" w:rsidRDefault="00F30310" w:rsidP="00F30310">
    <w:pPr>
      <w:pStyle w:val="a5"/>
      <w:pBdr>
        <w:top w:val="single" w:sz="4" w:space="1" w:color="auto"/>
        <w:between w:val="single" w:sz="4" w:space="0" w:color="auto"/>
      </w:pBdr>
      <w:spacing w:after="60"/>
      <w:jc w:val="center"/>
      <w:rPr>
        <w:rFonts w:ascii="FrankRuehl" w:hAnsi="FrankRuehl" w:cs="FrankRuehl"/>
        <w:color w:val="000000"/>
      </w:rPr>
    </w:pPr>
    <w:r w:rsidRPr="00F30310">
      <w:rPr>
        <w:rFonts w:ascii="FrankRuehl" w:hAnsi="FrankRuehl" w:cs="FrankRuehl"/>
        <w:color w:val="000000"/>
      </w:rPr>
      <w:pict w14:anchorId="79ACE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9EF1AA" w14:textId="77777777" w:rsidR="005A18B8" w:rsidRDefault="005A18B8" w:rsidP="00D51ACE">
      <w:r>
        <w:separator/>
      </w:r>
    </w:p>
  </w:footnote>
  <w:footnote w:type="continuationSeparator" w:id="0">
    <w:p w14:paraId="563D203B" w14:textId="77777777" w:rsidR="005A18B8" w:rsidRDefault="005A18B8" w:rsidP="00D51A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28E00" w14:textId="77777777" w:rsidR="00785C36" w:rsidRPr="00F30310" w:rsidRDefault="00F30310" w:rsidP="00F3031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4261-09-22</w:t>
    </w:r>
    <w:r>
      <w:rPr>
        <w:rFonts w:ascii="David" w:hAnsi="David"/>
        <w:color w:val="000000"/>
        <w:sz w:val="22"/>
        <w:szCs w:val="22"/>
        <w:rtl/>
      </w:rPr>
      <w:tab/>
      <w:t xml:space="preserve"> מדינת ישראל נ' קאסם אבו זיד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07070" w14:textId="77777777" w:rsidR="00785C36" w:rsidRPr="00F30310" w:rsidRDefault="00F30310" w:rsidP="00F3031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4261-09-22</w:t>
    </w:r>
    <w:r>
      <w:rPr>
        <w:rFonts w:ascii="David" w:hAnsi="David"/>
        <w:color w:val="000000"/>
        <w:sz w:val="22"/>
        <w:szCs w:val="22"/>
        <w:rtl/>
      </w:rPr>
      <w:tab/>
      <w:t xml:space="preserve"> מדינת ישראל נ' קאסם אבו זיד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84D68"/>
    <w:rsid w:val="0018368F"/>
    <w:rsid w:val="00184D68"/>
    <w:rsid w:val="001A0AE3"/>
    <w:rsid w:val="001A2056"/>
    <w:rsid w:val="001B5A3B"/>
    <w:rsid w:val="003A359E"/>
    <w:rsid w:val="0053601E"/>
    <w:rsid w:val="005A18B8"/>
    <w:rsid w:val="006F1A48"/>
    <w:rsid w:val="00785C36"/>
    <w:rsid w:val="008856FA"/>
    <w:rsid w:val="009D31E3"/>
    <w:rsid w:val="00B70FED"/>
    <w:rsid w:val="00D51ACE"/>
    <w:rsid w:val="00DE0CBB"/>
    <w:rsid w:val="00F30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D009D4"/>
  <w15:chartTrackingRefBased/>
  <w15:docId w15:val="{41A7685F-9152-4900-B2DA-50AE0FD3E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84D6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84D68"/>
    <w:pPr>
      <w:tabs>
        <w:tab w:val="center" w:pos="4153"/>
        <w:tab w:val="right" w:pos="8306"/>
      </w:tabs>
    </w:pPr>
  </w:style>
  <w:style w:type="character" w:customStyle="1" w:styleId="a4">
    <w:name w:val="כותרת עליונה תו"/>
    <w:link w:val="a3"/>
    <w:rsid w:val="00184D68"/>
    <w:rPr>
      <w:rFonts w:ascii="Times New Roman" w:eastAsia="Times New Roman" w:hAnsi="Times New Roman" w:cs="David"/>
      <w:sz w:val="24"/>
      <w:szCs w:val="24"/>
    </w:rPr>
  </w:style>
  <w:style w:type="paragraph" w:styleId="a5">
    <w:name w:val="footer"/>
    <w:basedOn w:val="a"/>
    <w:link w:val="a6"/>
    <w:rsid w:val="00184D68"/>
    <w:pPr>
      <w:tabs>
        <w:tab w:val="center" w:pos="4153"/>
        <w:tab w:val="right" w:pos="8306"/>
      </w:tabs>
    </w:pPr>
  </w:style>
  <w:style w:type="character" w:customStyle="1" w:styleId="a6">
    <w:name w:val="כותרת תחתונה תו"/>
    <w:link w:val="a5"/>
    <w:rsid w:val="00184D68"/>
    <w:rPr>
      <w:rFonts w:ascii="Times New Roman" w:eastAsia="Times New Roman" w:hAnsi="Times New Roman" w:cs="David"/>
      <w:sz w:val="24"/>
      <w:szCs w:val="24"/>
    </w:rPr>
  </w:style>
  <w:style w:type="table" w:styleId="a7">
    <w:name w:val="Table Grid"/>
    <w:basedOn w:val="a1"/>
    <w:rsid w:val="00184D6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84D68"/>
  </w:style>
  <w:style w:type="character" w:styleId="Hyperlink">
    <w:name w:val="Hyperlink"/>
    <w:rsid w:val="00785C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407.a" TargetMode="External"/><Relationship Id="rId39" Type="http://schemas.openxmlformats.org/officeDocument/2006/relationships/hyperlink" Target="http://www.nevo.co.il/case/5825620" TargetMode="External"/><Relationship Id="rId21" Type="http://schemas.openxmlformats.org/officeDocument/2006/relationships/hyperlink" Target="http://www.nevo.co.il/case/29063792" TargetMode="External"/><Relationship Id="rId34" Type="http://schemas.openxmlformats.org/officeDocument/2006/relationships/hyperlink" Target="http://www.nevo.co.il/case/25214219" TargetMode="External"/><Relationship Id="rId42" Type="http://schemas.openxmlformats.org/officeDocument/2006/relationships/hyperlink" Target="http://www.nevo.co.il/case/5569378" TargetMode="External"/><Relationship Id="rId47" Type="http://schemas.openxmlformats.org/officeDocument/2006/relationships/hyperlink" Target="http://www.nevo.co.il/law/70301" TargetMode="External"/><Relationship Id="rId50" Type="http://schemas.openxmlformats.org/officeDocument/2006/relationships/hyperlink" Target="http://www.nevo.co.il/case/17948114" TargetMode="External"/><Relationship Id="rId55" Type="http://schemas.openxmlformats.org/officeDocument/2006/relationships/header" Target="header1.xml"/><Relationship Id="rId7" Type="http://schemas.openxmlformats.org/officeDocument/2006/relationships/hyperlink" Target="http://www.nevo.co.il/law/70301/384" TargetMode="External"/><Relationship Id="rId2" Type="http://schemas.openxmlformats.org/officeDocument/2006/relationships/settings" Target="settings.xml"/><Relationship Id="rId16" Type="http://schemas.openxmlformats.org/officeDocument/2006/relationships/hyperlink" Target="http://www.nevo.co.il/case/30072042"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447.a" TargetMode="External"/><Relationship Id="rId24" Type="http://schemas.openxmlformats.org/officeDocument/2006/relationships/hyperlink" Target="http://www.nevo.co.il/law/70301/447.a" TargetMode="External"/><Relationship Id="rId32" Type="http://schemas.openxmlformats.org/officeDocument/2006/relationships/hyperlink" Target="http://www.nevo.co.il/case/16921206" TargetMode="External"/><Relationship Id="rId37" Type="http://schemas.openxmlformats.org/officeDocument/2006/relationships/hyperlink" Target="http://www.nevo.co.il/case/20033641" TargetMode="External"/><Relationship Id="rId40" Type="http://schemas.openxmlformats.org/officeDocument/2006/relationships/hyperlink" Target="http://www.nevo.co.il/case/6162977" TargetMode="External"/><Relationship Id="rId45" Type="http://schemas.openxmlformats.org/officeDocument/2006/relationships/hyperlink" Target="http://www.nevo.co.il/case/27268002" TargetMode="External"/><Relationship Id="rId53" Type="http://schemas.openxmlformats.org/officeDocument/2006/relationships/hyperlink" Target="http://www.nevo.co.il/law/4216" TargetMode="External"/><Relationship Id="rId58" Type="http://schemas.openxmlformats.org/officeDocument/2006/relationships/footer" Target="footer2.xml"/><Relationship Id="rId5" Type="http://schemas.openxmlformats.org/officeDocument/2006/relationships/endnotes" Target="endnotes.xml"/><Relationship Id="rId19" Type="http://schemas.openxmlformats.org/officeDocument/2006/relationships/hyperlink" Target="http://www.nevo.co.il/law/4216/7.a.;7.c" TargetMode="External"/><Relationship Id="rId4" Type="http://schemas.openxmlformats.org/officeDocument/2006/relationships/footnotes" Target="footnotes.xml"/><Relationship Id="rId9" Type="http://schemas.openxmlformats.org/officeDocument/2006/relationships/hyperlink" Target="http://www.nevo.co.il/law/70301/407.a" TargetMode="External"/><Relationship Id="rId14" Type="http://schemas.openxmlformats.org/officeDocument/2006/relationships/hyperlink" Target="http://www.nevo.co.il/law/4216/7.c" TargetMode="External"/><Relationship Id="rId22" Type="http://schemas.openxmlformats.org/officeDocument/2006/relationships/hyperlink" Target="http://www.nevo.co.il/law/70301/384"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13093721" TargetMode="External"/><Relationship Id="rId35" Type="http://schemas.openxmlformats.org/officeDocument/2006/relationships/hyperlink" Target="http://www.nevo.co.il/case/20244332" TargetMode="External"/><Relationship Id="rId43" Type="http://schemas.openxmlformats.org/officeDocument/2006/relationships/hyperlink" Target="http://www.nevo.co.il/case/7773349" TargetMode="External"/><Relationship Id="rId48" Type="http://schemas.openxmlformats.org/officeDocument/2006/relationships/hyperlink" Target="http://www.nevo.co.il/law/70301/402.a" TargetMode="External"/><Relationship Id="rId56" Type="http://schemas.openxmlformats.org/officeDocument/2006/relationships/header" Target="header2.xml"/><Relationship Id="rId8" Type="http://schemas.openxmlformats.org/officeDocument/2006/relationships/hyperlink" Target="http://www.nevo.co.il/law/70301/402.a" TargetMode="External"/><Relationship Id="rId51" Type="http://schemas.openxmlformats.org/officeDocument/2006/relationships/hyperlink" Target="http://www.nevo.co.il/law/70301/402.a" TargetMode="External"/><Relationship Id="rId3" Type="http://schemas.openxmlformats.org/officeDocument/2006/relationships/webSettings" Target="webSettings.xml"/><Relationship Id="rId12" Type="http://schemas.openxmlformats.org/officeDocument/2006/relationships/hyperlink" Target="http://www.nevo.co.il/law/4216" TargetMode="External"/><Relationship Id="rId17" Type="http://schemas.openxmlformats.org/officeDocument/2006/relationships/hyperlink" Target="http://www.nevo.co.il/law/70301/402.a" TargetMode="External"/><Relationship Id="rId25" Type="http://schemas.openxmlformats.org/officeDocument/2006/relationships/hyperlink" Target="http://www.nevo.co.il/case/30072042" TargetMode="External"/><Relationship Id="rId33" Type="http://schemas.openxmlformats.org/officeDocument/2006/relationships/hyperlink" Target="http://www.nevo.co.il/case/25824898" TargetMode="External"/><Relationship Id="rId38" Type="http://schemas.openxmlformats.org/officeDocument/2006/relationships/hyperlink" Target="http://www.nevo.co.il/case/5841695" TargetMode="External"/><Relationship Id="rId46" Type="http://schemas.openxmlformats.org/officeDocument/2006/relationships/hyperlink" Target="http://www.nevo.co.il/law/70301/402.a" TargetMode="External"/><Relationship Id="rId59" Type="http://schemas.openxmlformats.org/officeDocument/2006/relationships/fontTable" Target="fontTable.xml"/><Relationship Id="rId20" Type="http://schemas.openxmlformats.org/officeDocument/2006/relationships/hyperlink" Target="http://www.nevo.co.il/law/4216" TargetMode="External"/><Relationship Id="rId41" Type="http://schemas.openxmlformats.org/officeDocument/2006/relationships/hyperlink" Target="http://www.nevo.co.il/case/7678466" TargetMode="External"/><Relationship Id="rId54"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case/29063792"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40jc" TargetMode="External"/><Relationship Id="rId36" Type="http://schemas.openxmlformats.org/officeDocument/2006/relationships/hyperlink" Target="http://www.nevo.co.il/case/5815848" TargetMode="External"/><Relationship Id="rId49" Type="http://schemas.openxmlformats.org/officeDocument/2006/relationships/hyperlink" Target="http://www.nevo.co.il/law/70301" TargetMode="External"/><Relationship Id="rId57" Type="http://schemas.openxmlformats.org/officeDocument/2006/relationships/footer" Target="footer1.xml"/><Relationship Id="rId10" Type="http://schemas.openxmlformats.org/officeDocument/2006/relationships/hyperlink" Target="http://www.nevo.co.il/law/70301/40jc" TargetMode="External"/><Relationship Id="rId31" Type="http://schemas.openxmlformats.org/officeDocument/2006/relationships/hyperlink" Target="http://www.nevo.co.il/case/20033641" TargetMode="External"/><Relationship Id="rId44" Type="http://schemas.openxmlformats.org/officeDocument/2006/relationships/hyperlink" Target="http://www.nevo.co.il/case/27414229" TargetMode="External"/><Relationship Id="rId52" Type="http://schemas.openxmlformats.org/officeDocument/2006/relationships/hyperlink" Target="http://www.nevo.co.il/law/70301"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4202</Words>
  <Characters>21012</Characters>
  <Application>Microsoft Office Word</Application>
  <DocSecurity>0</DocSecurity>
  <Lines>175</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25164</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8257637</vt:i4>
      </vt:variant>
      <vt:variant>
        <vt:i4>141</vt:i4>
      </vt:variant>
      <vt:variant>
        <vt:i4>0</vt:i4>
      </vt:variant>
      <vt:variant>
        <vt:i4>5</vt:i4>
      </vt:variant>
      <vt:variant>
        <vt:lpwstr>http://www.nevo.co.il/law/4216</vt:lpwstr>
      </vt:variant>
      <vt:variant>
        <vt:lpwstr/>
      </vt:variant>
      <vt:variant>
        <vt:i4>7995492</vt:i4>
      </vt:variant>
      <vt:variant>
        <vt:i4>138</vt:i4>
      </vt:variant>
      <vt:variant>
        <vt:i4>0</vt:i4>
      </vt:variant>
      <vt:variant>
        <vt:i4>5</vt:i4>
      </vt:variant>
      <vt:variant>
        <vt:lpwstr>http://www.nevo.co.il/law/70301</vt:lpwstr>
      </vt:variant>
      <vt:variant>
        <vt:lpwstr/>
      </vt:variant>
      <vt:variant>
        <vt:i4>4915283</vt:i4>
      </vt:variant>
      <vt:variant>
        <vt:i4>135</vt:i4>
      </vt:variant>
      <vt:variant>
        <vt:i4>0</vt:i4>
      </vt:variant>
      <vt:variant>
        <vt:i4>5</vt:i4>
      </vt:variant>
      <vt:variant>
        <vt:lpwstr>http://www.nevo.co.il/law/70301/402.a</vt:lpwstr>
      </vt:variant>
      <vt:variant>
        <vt:lpwstr/>
      </vt:variant>
      <vt:variant>
        <vt:i4>3211382</vt:i4>
      </vt:variant>
      <vt:variant>
        <vt:i4>132</vt:i4>
      </vt:variant>
      <vt:variant>
        <vt:i4>0</vt:i4>
      </vt:variant>
      <vt:variant>
        <vt:i4>5</vt:i4>
      </vt:variant>
      <vt:variant>
        <vt:lpwstr>http://www.nevo.co.il/case/17948114</vt:lpwstr>
      </vt:variant>
      <vt:variant>
        <vt:lpwstr/>
      </vt:variant>
      <vt:variant>
        <vt:i4>7995492</vt:i4>
      </vt:variant>
      <vt:variant>
        <vt:i4>129</vt:i4>
      </vt:variant>
      <vt:variant>
        <vt:i4>0</vt:i4>
      </vt:variant>
      <vt:variant>
        <vt:i4>5</vt:i4>
      </vt:variant>
      <vt:variant>
        <vt:lpwstr>http://www.nevo.co.il/law/70301</vt:lpwstr>
      </vt:variant>
      <vt:variant>
        <vt:lpwstr/>
      </vt:variant>
      <vt:variant>
        <vt:i4>4915283</vt:i4>
      </vt:variant>
      <vt:variant>
        <vt:i4>126</vt:i4>
      </vt:variant>
      <vt:variant>
        <vt:i4>0</vt:i4>
      </vt:variant>
      <vt:variant>
        <vt:i4>5</vt:i4>
      </vt:variant>
      <vt:variant>
        <vt:lpwstr>http://www.nevo.co.il/law/70301/402.a</vt:lpwstr>
      </vt:variant>
      <vt:variant>
        <vt:lpwstr/>
      </vt:variant>
      <vt:variant>
        <vt:i4>7995492</vt:i4>
      </vt:variant>
      <vt:variant>
        <vt:i4>123</vt:i4>
      </vt:variant>
      <vt:variant>
        <vt:i4>0</vt:i4>
      </vt:variant>
      <vt:variant>
        <vt:i4>5</vt:i4>
      </vt:variant>
      <vt:variant>
        <vt:lpwstr>http://www.nevo.co.il/law/70301</vt:lpwstr>
      </vt:variant>
      <vt:variant>
        <vt:lpwstr/>
      </vt:variant>
      <vt:variant>
        <vt:i4>4915283</vt:i4>
      </vt:variant>
      <vt:variant>
        <vt:i4>120</vt:i4>
      </vt:variant>
      <vt:variant>
        <vt:i4>0</vt:i4>
      </vt:variant>
      <vt:variant>
        <vt:i4>5</vt:i4>
      </vt:variant>
      <vt:variant>
        <vt:lpwstr>http://www.nevo.co.il/law/70301/402.a</vt:lpwstr>
      </vt:variant>
      <vt:variant>
        <vt:lpwstr/>
      </vt:variant>
      <vt:variant>
        <vt:i4>3670133</vt:i4>
      </vt:variant>
      <vt:variant>
        <vt:i4>117</vt:i4>
      </vt:variant>
      <vt:variant>
        <vt:i4>0</vt:i4>
      </vt:variant>
      <vt:variant>
        <vt:i4>5</vt:i4>
      </vt:variant>
      <vt:variant>
        <vt:lpwstr>http://www.nevo.co.il/case/27268002</vt:lpwstr>
      </vt:variant>
      <vt:variant>
        <vt:lpwstr/>
      </vt:variant>
      <vt:variant>
        <vt:i4>3145840</vt:i4>
      </vt:variant>
      <vt:variant>
        <vt:i4>114</vt:i4>
      </vt:variant>
      <vt:variant>
        <vt:i4>0</vt:i4>
      </vt:variant>
      <vt:variant>
        <vt:i4>5</vt:i4>
      </vt:variant>
      <vt:variant>
        <vt:lpwstr>http://www.nevo.co.il/case/27414229</vt:lpwstr>
      </vt:variant>
      <vt:variant>
        <vt:lpwstr/>
      </vt:variant>
      <vt:variant>
        <vt:i4>3801204</vt:i4>
      </vt:variant>
      <vt:variant>
        <vt:i4>111</vt:i4>
      </vt:variant>
      <vt:variant>
        <vt:i4>0</vt:i4>
      </vt:variant>
      <vt:variant>
        <vt:i4>5</vt:i4>
      </vt:variant>
      <vt:variant>
        <vt:lpwstr>http://www.nevo.co.il/case/7773349</vt:lpwstr>
      </vt:variant>
      <vt:variant>
        <vt:lpwstr/>
      </vt:variant>
      <vt:variant>
        <vt:i4>3670143</vt:i4>
      </vt:variant>
      <vt:variant>
        <vt:i4>108</vt:i4>
      </vt:variant>
      <vt:variant>
        <vt:i4>0</vt:i4>
      </vt:variant>
      <vt:variant>
        <vt:i4>5</vt:i4>
      </vt:variant>
      <vt:variant>
        <vt:lpwstr>http://www.nevo.co.il/case/5569378</vt:lpwstr>
      </vt:variant>
      <vt:variant>
        <vt:lpwstr/>
      </vt:variant>
      <vt:variant>
        <vt:i4>3276924</vt:i4>
      </vt:variant>
      <vt:variant>
        <vt:i4>105</vt:i4>
      </vt:variant>
      <vt:variant>
        <vt:i4>0</vt:i4>
      </vt:variant>
      <vt:variant>
        <vt:i4>5</vt:i4>
      </vt:variant>
      <vt:variant>
        <vt:lpwstr>http://www.nevo.co.il/case/7678466</vt:lpwstr>
      </vt:variant>
      <vt:variant>
        <vt:lpwstr/>
      </vt:variant>
      <vt:variant>
        <vt:i4>4063344</vt:i4>
      </vt:variant>
      <vt:variant>
        <vt:i4>102</vt:i4>
      </vt:variant>
      <vt:variant>
        <vt:i4>0</vt:i4>
      </vt:variant>
      <vt:variant>
        <vt:i4>5</vt:i4>
      </vt:variant>
      <vt:variant>
        <vt:lpwstr>http://www.nevo.co.il/case/6162977</vt:lpwstr>
      </vt:variant>
      <vt:variant>
        <vt:lpwstr/>
      </vt:variant>
      <vt:variant>
        <vt:i4>3211387</vt:i4>
      </vt:variant>
      <vt:variant>
        <vt:i4>99</vt:i4>
      </vt:variant>
      <vt:variant>
        <vt:i4>0</vt:i4>
      </vt:variant>
      <vt:variant>
        <vt:i4>5</vt:i4>
      </vt:variant>
      <vt:variant>
        <vt:lpwstr>http://www.nevo.co.il/case/5825620</vt:lpwstr>
      </vt:variant>
      <vt:variant>
        <vt:lpwstr/>
      </vt:variant>
      <vt:variant>
        <vt:i4>3276916</vt:i4>
      </vt:variant>
      <vt:variant>
        <vt:i4>96</vt:i4>
      </vt:variant>
      <vt:variant>
        <vt:i4>0</vt:i4>
      </vt:variant>
      <vt:variant>
        <vt:i4>5</vt:i4>
      </vt:variant>
      <vt:variant>
        <vt:lpwstr>http://www.nevo.co.il/case/5841695</vt:lpwstr>
      </vt:variant>
      <vt:variant>
        <vt:lpwstr/>
      </vt:variant>
      <vt:variant>
        <vt:i4>3473521</vt:i4>
      </vt:variant>
      <vt:variant>
        <vt:i4>93</vt:i4>
      </vt:variant>
      <vt:variant>
        <vt:i4>0</vt:i4>
      </vt:variant>
      <vt:variant>
        <vt:i4>5</vt:i4>
      </vt:variant>
      <vt:variant>
        <vt:lpwstr>http://www.nevo.co.il/case/20033641</vt:lpwstr>
      </vt:variant>
      <vt:variant>
        <vt:lpwstr/>
      </vt:variant>
      <vt:variant>
        <vt:i4>3407997</vt:i4>
      </vt:variant>
      <vt:variant>
        <vt:i4>90</vt:i4>
      </vt:variant>
      <vt:variant>
        <vt:i4>0</vt:i4>
      </vt:variant>
      <vt:variant>
        <vt:i4>5</vt:i4>
      </vt:variant>
      <vt:variant>
        <vt:lpwstr>http://www.nevo.co.il/case/5815848</vt:lpwstr>
      </vt:variant>
      <vt:variant>
        <vt:lpwstr/>
      </vt:variant>
      <vt:variant>
        <vt:i4>3604595</vt:i4>
      </vt:variant>
      <vt:variant>
        <vt:i4>87</vt:i4>
      </vt:variant>
      <vt:variant>
        <vt:i4>0</vt:i4>
      </vt:variant>
      <vt:variant>
        <vt:i4>5</vt:i4>
      </vt:variant>
      <vt:variant>
        <vt:lpwstr>http://www.nevo.co.il/case/20244332</vt:lpwstr>
      </vt:variant>
      <vt:variant>
        <vt:lpwstr/>
      </vt:variant>
      <vt:variant>
        <vt:i4>3473522</vt:i4>
      </vt:variant>
      <vt:variant>
        <vt:i4>84</vt:i4>
      </vt:variant>
      <vt:variant>
        <vt:i4>0</vt:i4>
      </vt:variant>
      <vt:variant>
        <vt:i4>5</vt:i4>
      </vt:variant>
      <vt:variant>
        <vt:lpwstr>http://www.nevo.co.il/case/25214219</vt:lpwstr>
      </vt:variant>
      <vt:variant>
        <vt:lpwstr/>
      </vt:variant>
      <vt:variant>
        <vt:i4>3604603</vt:i4>
      </vt:variant>
      <vt:variant>
        <vt:i4>81</vt:i4>
      </vt:variant>
      <vt:variant>
        <vt:i4>0</vt:i4>
      </vt:variant>
      <vt:variant>
        <vt:i4>5</vt:i4>
      </vt:variant>
      <vt:variant>
        <vt:lpwstr>http://www.nevo.co.il/case/25824898</vt:lpwstr>
      </vt:variant>
      <vt:variant>
        <vt:lpwstr/>
      </vt:variant>
      <vt:variant>
        <vt:i4>3735666</vt:i4>
      </vt:variant>
      <vt:variant>
        <vt:i4>78</vt:i4>
      </vt:variant>
      <vt:variant>
        <vt:i4>0</vt:i4>
      </vt:variant>
      <vt:variant>
        <vt:i4>5</vt:i4>
      </vt:variant>
      <vt:variant>
        <vt:lpwstr>http://www.nevo.co.il/case/16921206</vt:lpwstr>
      </vt:variant>
      <vt:variant>
        <vt:lpwstr/>
      </vt:variant>
      <vt:variant>
        <vt:i4>3473521</vt:i4>
      </vt:variant>
      <vt:variant>
        <vt:i4>75</vt:i4>
      </vt:variant>
      <vt:variant>
        <vt:i4>0</vt:i4>
      </vt:variant>
      <vt:variant>
        <vt:i4>5</vt:i4>
      </vt:variant>
      <vt:variant>
        <vt:lpwstr>http://www.nevo.co.il/case/20033641</vt:lpwstr>
      </vt:variant>
      <vt:variant>
        <vt:lpwstr/>
      </vt:variant>
      <vt:variant>
        <vt:i4>3145849</vt:i4>
      </vt:variant>
      <vt:variant>
        <vt:i4>72</vt:i4>
      </vt:variant>
      <vt:variant>
        <vt:i4>0</vt:i4>
      </vt:variant>
      <vt:variant>
        <vt:i4>5</vt:i4>
      </vt:variant>
      <vt:variant>
        <vt:lpwstr>http://www.nevo.co.il/case/13093721</vt:lpwstr>
      </vt:variant>
      <vt:variant>
        <vt:lpwstr/>
      </vt:variant>
      <vt:variant>
        <vt:i4>7995492</vt:i4>
      </vt:variant>
      <vt:variant>
        <vt:i4>69</vt:i4>
      </vt:variant>
      <vt:variant>
        <vt:i4>0</vt:i4>
      </vt:variant>
      <vt:variant>
        <vt:i4>5</vt:i4>
      </vt:variant>
      <vt:variant>
        <vt:lpwstr>http://www.nevo.co.il/law/70301</vt:lpwstr>
      </vt:variant>
      <vt:variant>
        <vt:lpwstr/>
      </vt:variant>
      <vt:variant>
        <vt:i4>393227</vt:i4>
      </vt:variant>
      <vt:variant>
        <vt:i4>66</vt:i4>
      </vt:variant>
      <vt:variant>
        <vt:i4>0</vt:i4>
      </vt:variant>
      <vt:variant>
        <vt:i4>5</vt:i4>
      </vt:variant>
      <vt:variant>
        <vt:lpwstr>http://www.nevo.co.il/law/70301/40jc</vt:lpwstr>
      </vt:variant>
      <vt:variant>
        <vt:lpwstr/>
      </vt:variant>
      <vt:variant>
        <vt:i4>7995492</vt:i4>
      </vt:variant>
      <vt:variant>
        <vt:i4>63</vt:i4>
      </vt:variant>
      <vt:variant>
        <vt:i4>0</vt:i4>
      </vt:variant>
      <vt:variant>
        <vt:i4>5</vt:i4>
      </vt:variant>
      <vt:variant>
        <vt:lpwstr>http://www.nevo.co.il/law/70301</vt:lpwstr>
      </vt:variant>
      <vt:variant>
        <vt:lpwstr/>
      </vt:variant>
      <vt:variant>
        <vt:i4>4915286</vt:i4>
      </vt:variant>
      <vt:variant>
        <vt:i4>60</vt:i4>
      </vt:variant>
      <vt:variant>
        <vt:i4>0</vt:i4>
      </vt:variant>
      <vt:variant>
        <vt:i4>5</vt:i4>
      </vt:variant>
      <vt:variant>
        <vt:lpwstr>http://www.nevo.co.il/law/70301/407.a</vt:lpwstr>
      </vt:variant>
      <vt:variant>
        <vt:lpwstr/>
      </vt:variant>
      <vt:variant>
        <vt:i4>3473523</vt:i4>
      </vt:variant>
      <vt:variant>
        <vt:i4>57</vt:i4>
      </vt:variant>
      <vt:variant>
        <vt:i4>0</vt:i4>
      </vt:variant>
      <vt:variant>
        <vt:i4>5</vt:i4>
      </vt:variant>
      <vt:variant>
        <vt:lpwstr>http://www.nevo.co.il/case/30072042</vt:lpwstr>
      </vt:variant>
      <vt:variant>
        <vt:lpwstr/>
      </vt:variant>
      <vt:variant>
        <vt:i4>5177430</vt:i4>
      </vt:variant>
      <vt:variant>
        <vt:i4>54</vt:i4>
      </vt:variant>
      <vt:variant>
        <vt:i4>0</vt:i4>
      </vt:variant>
      <vt:variant>
        <vt:i4>5</vt:i4>
      </vt:variant>
      <vt:variant>
        <vt:lpwstr>http://www.nevo.co.il/law/70301/447.a</vt:lpwstr>
      </vt:variant>
      <vt:variant>
        <vt:lpwstr/>
      </vt:variant>
      <vt:variant>
        <vt:i4>7995492</vt:i4>
      </vt:variant>
      <vt:variant>
        <vt:i4>51</vt:i4>
      </vt:variant>
      <vt:variant>
        <vt:i4>0</vt:i4>
      </vt:variant>
      <vt:variant>
        <vt:i4>5</vt:i4>
      </vt:variant>
      <vt:variant>
        <vt:lpwstr>http://www.nevo.co.il/law/70301</vt:lpwstr>
      </vt:variant>
      <vt:variant>
        <vt:lpwstr/>
      </vt:variant>
      <vt:variant>
        <vt:i4>7143526</vt:i4>
      </vt:variant>
      <vt:variant>
        <vt:i4>48</vt:i4>
      </vt:variant>
      <vt:variant>
        <vt:i4>0</vt:i4>
      </vt:variant>
      <vt:variant>
        <vt:i4>5</vt:i4>
      </vt:variant>
      <vt:variant>
        <vt:lpwstr>http://www.nevo.co.il/law/70301/384</vt:lpwstr>
      </vt:variant>
      <vt:variant>
        <vt:lpwstr/>
      </vt:variant>
      <vt:variant>
        <vt:i4>3670140</vt:i4>
      </vt:variant>
      <vt:variant>
        <vt:i4>45</vt:i4>
      </vt:variant>
      <vt:variant>
        <vt:i4>0</vt:i4>
      </vt:variant>
      <vt:variant>
        <vt:i4>5</vt:i4>
      </vt:variant>
      <vt:variant>
        <vt:lpwstr>http://www.nevo.co.il/case/29063792</vt:lpwstr>
      </vt:variant>
      <vt:variant>
        <vt:lpwstr/>
      </vt:variant>
      <vt:variant>
        <vt:i4>8257637</vt:i4>
      </vt:variant>
      <vt:variant>
        <vt:i4>42</vt:i4>
      </vt:variant>
      <vt:variant>
        <vt:i4>0</vt:i4>
      </vt:variant>
      <vt:variant>
        <vt:i4>5</vt:i4>
      </vt:variant>
      <vt:variant>
        <vt:lpwstr>http://www.nevo.co.il/law/4216</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7995492</vt:i4>
      </vt:variant>
      <vt:variant>
        <vt:i4>36</vt:i4>
      </vt:variant>
      <vt:variant>
        <vt:i4>0</vt:i4>
      </vt:variant>
      <vt:variant>
        <vt:i4>5</vt:i4>
      </vt:variant>
      <vt:variant>
        <vt:lpwstr>http://www.nevo.co.il/law/70301</vt:lpwstr>
      </vt:variant>
      <vt:variant>
        <vt:lpwstr/>
      </vt:variant>
      <vt:variant>
        <vt:i4>4915283</vt:i4>
      </vt:variant>
      <vt:variant>
        <vt:i4>33</vt:i4>
      </vt:variant>
      <vt:variant>
        <vt:i4>0</vt:i4>
      </vt:variant>
      <vt:variant>
        <vt:i4>5</vt:i4>
      </vt:variant>
      <vt:variant>
        <vt:lpwstr>http://www.nevo.co.il/law/70301/402.a</vt:lpwstr>
      </vt:variant>
      <vt:variant>
        <vt:lpwstr/>
      </vt:variant>
      <vt:variant>
        <vt:i4>3473523</vt:i4>
      </vt:variant>
      <vt:variant>
        <vt:i4>30</vt:i4>
      </vt:variant>
      <vt:variant>
        <vt:i4>0</vt:i4>
      </vt:variant>
      <vt:variant>
        <vt:i4>5</vt:i4>
      </vt:variant>
      <vt:variant>
        <vt:lpwstr>http://www.nevo.co.il/case/30072042</vt:lpwstr>
      </vt:variant>
      <vt:variant>
        <vt:lpwstr/>
      </vt:variant>
      <vt:variant>
        <vt:i4>3670140</vt:i4>
      </vt:variant>
      <vt:variant>
        <vt:i4>27</vt:i4>
      </vt:variant>
      <vt:variant>
        <vt:i4>0</vt:i4>
      </vt:variant>
      <vt:variant>
        <vt:i4>5</vt:i4>
      </vt:variant>
      <vt:variant>
        <vt:lpwstr>http://www.nevo.co.il/case/29063792</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5177430</vt:i4>
      </vt:variant>
      <vt:variant>
        <vt:i4>15</vt:i4>
      </vt:variant>
      <vt:variant>
        <vt:i4>0</vt:i4>
      </vt:variant>
      <vt:variant>
        <vt:i4>5</vt:i4>
      </vt:variant>
      <vt:variant>
        <vt:lpwstr>http://www.nevo.co.il/law/70301/447.a</vt:lpwstr>
      </vt:variant>
      <vt:variant>
        <vt:lpwstr/>
      </vt:variant>
      <vt:variant>
        <vt:i4>393227</vt:i4>
      </vt:variant>
      <vt:variant>
        <vt:i4>12</vt:i4>
      </vt:variant>
      <vt:variant>
        <vt:i4>0</vt:i4>
      </vt:variant>
      <vt:variant>
        <vt:i4>5</vt:i4>
      </vt:variant>
      <vt:variant>
        <vt:lpwstr>http://www.nevo.co.il/law/70301/40jc</vt:lpwstr>
      </vt:variant>
      <vt:variant>
        <vt:lpwstr/>
      </vt:variant>
      <vt:variant>
        <vt:i4>4915286</vt:i4>
      </vt:variant>
      <vt:variant>
        <vt:i4>9</vt:i4>
      </vt:variant>
      <vt:variant>
        <vt:i4>0</vt:i4>
      </vt:variant>
      <vt:variant>
        <vt:i4>5</vt:i4>
      </vt:variant>
      <vt:variant>
        <vt:lpwstr>http://www.nevo.co.il/law/70301/407.a</vt:lpwstr>
      </vt:variant>
      <vt:variant>
        <vt:lpwstr/>
      </vt:variant>
      <vt:variant>
        <vt:i4>4915283</vt:i4>
      </vt:variant>
      <vt:variant>
        <vt:i4>6</vt:i4>
      </vt:variant>
      <vt:variant>
        <vt:i4>0</vt:i4>
      </vt:variant>
      <vt:variant>
        <vt:i4>5</vt:i4>
      </vt:variant>
      <vt:variant>
        <vt:lpwstr>http://www.nevo.co.il/law/70301/402.a</vt:lpwstr>
      </vt:variant>
      <vt:variant>
        <vt:lpwstr/>
      </vt:variant>
      <vt:variant>
        <vt:i4>7143526</vt:i4>
      </vt:variant>
      <vt:variant>
        <vt:i4>3</vt:i4>
      </vt:variant>
      <vt:variant>
        <vt:i4>0</vt:i4>
      </vt:variant>
      <vt:variant>
        <vt:i4>5</vt:i4>
      </vt:variant>
      <vt:variant>
        <vt:lpwstr>http://www.nevo.co.il/law/70301/384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2025-04-22T21:25:00Z</dcterms:created>
  <dcterms:modified xsi:type="dcterms:W3CDTF">2025-04-22T21:25:00Z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4261</vt:lpwstr>
  </property>
  <property fmtid="{D5CDD505-2E9C-101B-9397-08002B2CF9AE}" pid="6" name="NEWPARTB">
    <vt:lpwstr>09</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קאסם אבו זיד</vt:lpwstr>
  </property>
  <property fmtid="{D5CDD505-2E9C-101B-9397-08002B2CF9AE}" pid="10" name="LAWYER">
    <vt:lpwstr>גדיר ברהום;יאיר נדשי </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20240108</vt:lpwstr>
  </property>
  <property fmtid="{D5CDD505-2E9C-101B-9397-08002B2CF9AE}" pid="14" name="TYPE_N_DATE">
    <vt:lpwstr>39020240108</vt:lpwstr>
  </property>
  <property fmtid="{D5CDD505-2E9C-101B-9397-08002B2CF9AE}" pid="15" name="WORDNUMPAGES">
    <vt:lpwstr>12</vt:lpwstr>
  </property>
  <property fmtid="{D5CDD505-2E9C-101B-9397-08002B2CF9AE}" pid="16" name="TYPE_ABS_DATE">
    <vt:lpwstr>390020240108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29063792:2;30072042:2;13093721;20033641:2;16921206;25824898;25214219;20244332;5815848;5841695;5825620;6162977;7678466;5569378;7773349;27414229;27268002;17948114</vt:lpwstr>
  </property>
  <property fmtid="{D5CDD505-2E9C-101B-9397-08002B2CF9AE}" pid="36" name="LAWLISTTMP1">
    <vt:lpwstr>70301/402.a:4;384;447.a;407.a;40jc</vt:lpwstr>
  </property>
  <property fmtid="{D5CDD505-2E9C-101B-9397-08002B2CF9AE}" pid="37" name="LAWLISTTMP2">
    <vt:lpwstr>4216/007.a;007.c</vt:lpwstr>
  </property>
</Properties>
</file>