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857446" w:rsidRPr="004C41EA" w14:paraId="5133370F" w14:textId="77777777" w:rsidTr="00875186">
        <w:trPr>
          <w:trHeight w:hRule="exact" w:val="418"/>
          <w:jc w:val="center"/>
        </w:trPr>
        <w:tc>
          <w:tcPr>
            <w:tcW w:w="8721" w:type="dxa"/>
            <w:gridSpan w:val="2"/>
          </w:tcPr>
          <w:p w14:paraId="7A9214C1" w14:textId="77777777" w:rsidR="00857446" w:rsidRPr="004C41EA" w:rsidRDefault="00857446" w:rsidP="00152938">
            <w:pPr>
              <w:pStyle w:val="a3"/>
              <w:jc w:val="center"/>
              <w:rPr>
                <w:rFonts w:ascii="David" w:hAnsi="David"/>
                <w:b/>
                <w:bCs/>
                <w:color w:val="000080"/>
                <w:rtl/>
              </w:rPr>
            </w:pPr>
            <w:bookmarkStart w:id="0" w:name="LastJudge"/>
            <w:r w:rsidRPr="004C41EA">
              <w:rPr>
                <w:rFonts w:ascii="David" w:hAnsi="David"/>
                <w:b/>
                <w:bCs/>
                <w:color w:val="000080"/>
                <w:rtl/>
              </w:rPr>
              <w:t>בית המשפט המחוזי בבאר שבע</w:t>
            </w:r>
          </w:p>
        </w:tc>
      </w:tr>
      <w:tr w:rsidR="00857446" w:rsidRPr="004C41EA" w14:paraId="26075F3E" w14:textId="77777777" w:rsidTr="00875186">
        <w:trPr>
          <w:trHeight w:val="337"/>
          <w:jc w:val="center"/>
        </w:trPr>
        <w:tc>
          <w:tcPr>
            <w:tcW w:w="5056" w:type="dxa"/>
          </w:tcPr>
          <w:p w14:paraId="34D41989" w14:textId="77777777" w:rsidR="00857446" w:rsidRPr="004C41EA" w:rsidRDefault="00857446" w:rsidP="00152938">
            <w:pPr>
              <w:rPr>
                <w:rFonts w:ascii="David" w:hAnsi="David"/>
                <w:b/>
                <w:bCs/>
                <w:sz w:val="28"/>
                <w:szCs w:val="28"/>
                <w:rtl/>
              </w:rPr>
            </w:pPr>
            <w:r w:rsidRPr="004C41EA">
              <w:rPr>
                <w:rFonts w:ascii="David" w:hAnsi="David"/>
                <w:b/>
                <w:bCs/>
                <w:sz w:val="28"/>
                <w:szCs w:val="28"/>
                <w:rtl/>
              </w:rPr>
              <w:t>ת"פ 31812-10-22 מדינת ישראל נ' אלקרעאן</w:t>
            </w:r>
          </w:p>
          <w:p w14:paraId="47E46380" w14:textId="77777777" w:rsidR="00857446" w:rsidRPr="004C41EA" w:rsidRDefault="00857446" w:rsidP="00152938">
            <w:pPr>
              <w:pStyle w:val="a3"/>
              <w:rPr>
                <w:rFonts w:ascii="David" w:hAnsi="David"/>
                <w:b/>
                <w:bCs/>
                <w:sz w:val="28"/>
                <w:szCs w:val="28"/>
                <w:rtl/>
              </w:rPr>
            </w:pPr>
          </w:p>
        </w:tc>
        <w:tc>
          <w:tcPr>
            <w:tcW w:w="3665" w:type="dxa"/>
          </w:tcPr>
          <w:p w14:paraId="1FCA1153" w14:textId="77777777" w:rsidR="00857446" w:rsidRPr="004C41EA" w:rsidRDefault="00857446" w:rsidP="00152938">
            <w:pPr>
              <w:pStyle w:val="a3"/>
              <w:jc w:val="right"/>
              <w:rPr>
                <w:rFonts w:cs="FrankRuehl"/>
                <w:sz w:val="28"/>
                <w:szCs w:val="28"/>
                <w:rtl/>
              </w:rPr>
            </w:pPr>
          </w:p>
        </w:tc>
      </w:tr>
    </w:tbl>
    <w:p w14:paraId="03DD88F2" w14:textId="77777777" w:rsidR="00857446" w:rsidRDefault="00857446" w:rsidP="00857446">
      <w:pPr>
        <w:pStyle w:val="a3"/>
        <w:rPr>
          <w:rFonts w:hint="cs"/>
          <w:rtl/>
        </w:rPr>
      </w:pPr>
      <w:r w:rsidRPr="004C41EA">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57446" w:rsidRPr="004C41EA" w14:paraId="44801616" w14:textId="77777777" w:rsidTr="00857446">
        <w:trPr>
          <w:trHeight w:val="295"/>
          <w:jc w:val="center"/>
        </w:trPr>
        <w:tc>
          <w:tcPr>
            <w:tcW w:w="923" w:type="dxa"/>
            <w:tcBorders>
              <w:top w:val="nil"/>
              <w:left w:val="nil"/>
              <w:bottom w:val="nil"/>
              <w:right w:val="nil"/>
            </w:tcBorders>
            <w:shd w:val="clear" w:color="auto" w:fill="auto"/>
          </w:tcPr>
          <w:p w14:paraId="64DB60F6" w14:textId="77777777" w:rsidR="00857446" w:rsidRPr="004C41EA" w:rsidRDefault="00857446" w:rsidP="00857446">
            <w:pPr>
              <w:jc w:val="both"/>
              <w:rPr>
                <w:rFonts w:ascii="David" w:hAnsi="David"/>
                <w:b/>
                <w:bCs/>
                <w:sz w:val="26"/>
                <w:szCs w:val="26"/>
              </w:rPr>
            </w:pPr>
            <w:r w:rsidRPr="004C41EA">
              <w:rPr>
                <w:rFonts w:ascii="David" w:hAnsi="David" w:hint="cs"/>
                <w:b/>
                <w:bCs/>
                <w:sz w:val="26"/>
                <w:szCs w:val="26"/>
                <w:rtl/>
              </w:rPr>
              <w:t>ל</w:t>
            </w:r>
            <w:r w:rsidRPr="004C41EA">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4F23AE49" w14:textId="77777777" w:rsidR="00857446" w:rsidRPr="004C41EA" w:rsidRDefault="00857446" w:rsidP="00152938">
            <w:pPr>
              <w:rPr>
                <w:rFonts w:ascii="David" w:hAnsi="David"/>
                <w:b/>
                <w:bCs/>
                <w:sz w:val="26"/>
                <w:szCs w:val="26"/>
                <w:rtl/>
              </w:rPr>
            </w:pPr>
            <w:r w:rsidRPr="004C41EA">
              <w:rPr>
                <w:rFonts w:ascii="David" w:hAnsi="David"/>
                <w:b/>
                <w:bCs/>
                <w:sz w:val="26"/>
                <w:szCs w:val="26"/>
                <w:rtl/>
              </w:rPr>
              <w:t>כבוד השופט  יואל עדן</w:t>
            </w:r>
          </w:p>
          <w:p w14:paraId="26E1F618" w14:textId="77777777" w:rsidR="00857446" w:rsidRPr="004C41EA" w:rsidRDefault="00857446" w:rsidP="00152938">
            <w:pPr>
              <w:rPr>
                <w:rFonts w:ascii="David" w:hAnsi="David"/>
                <w:sz w:val="26"/>
                <w:szCs w:val="26"/>
                <w:rtl/>
              </w:rPr>
            </w:pPr>
          </w:p>
          <w:p w14:paraId="45AACCD0" w14:textId="77777777" w:rsidR="00857446" w:rsidRPr="004C41EA" w:rsidRDefault="00857446" w:rsidP="00857446">
            <w:pPr>
              <w:jc w:val="both"/>
              <w:rPr>
                <w:rFonts w:ascii="David" w:hAnsi="David"/>
                <w:sz w:val="26"/>
                <w:szCs w:val="26"/>
              </w:rPr>
            </w:pPr>
          </w:p>
        </w:tc>
      </w:tr>
      <w:tr w:rsidR="00857446" w:rsidRPr="004C41EA" w14:paraId="06667AE5" w14:textId="77777777" w:rsidTr="00857446">
        <w:trPr>
          <w:trHeight w:val="355"/>
          <w:jc w:val="center"/>
        </w:trPr>
        <w:tc>
          <w:tcPr>
            <w:tcW w:w="923" w:type="dxa"/>
            <w:tcBorders>
              <w:top w:val="nil"/>
              <w:left w:val="nil"/>
              <w:bottom w:val="nil"/>
              <w:right w:val="nil"/>
            </w:tcBorders>
            <w:shd w:val="clear" w:color="auto" w:fill="auto"/>
          </w:tcPr>
          <w:p w14:paraId="00DC319F" w14:textId="77777777" w:rsidR="00857446" w:rsidRPr="004C41EA" w:rsidRDefault="00857446" w:rsidP="00857446">
            <w:pPr>
              <w:jc w:val="both"/>
              <w:rPr>
                <w:rFonts w:ascii="David" w:hAnsi="David"/>
                <w:b/>
                <w:bCs/>
                <w:sz w:val="26"/>
                <w:szCs w:val="26"/>
              </w:rPr>
            </w:pPr>
            <w:bookmarkStart w:id="1" w:name="FirstAppellant"/>
            <w:bookmarkStart w:id="2" w:name="FirstLawyer"/>
            <w:r w:rsidRPr="004C41EA">
              <w:rPr>
                <w:rFonts w:ascii="David" w:hAnsi="David"/>
                <w:b/>
                <w:bCs/>
                <w:sz w:val="26"/>
                <w:szCs w:val="26"/>
                <w:rtl/>
              </w:rPr>
              <w:t>בעניין:</w:t>
            </w:r>
          </w:p>
        </w:tc>
        <w:tc>
          <w:tcPr>
            <w:tcW w:w="3219" w:type="dxa"/>
            <w:tcBorders>
              <w:top w:val="nil"/>
              <w:left w:val="nil"/>
              <w:bottom w:val="nil"/>
              <w:right w:val="nil"/>
            </w:tcBorders>
            <w:shd w:val="clear" w:color="auto" w:fill="auto"/>
          </w:tcPr>
          <w:p w14:paraId="1A685C42" w14:textId="77777777" w:rsidR="00857446" w:rsidRPr="004C41EA" w:rsidRDefault="00857446" w:rsidP="00857446">
            <w:pPr>
              <w:suppressLineNumbers/>
            </w:pPr>
            <w:r w:rsidRPr="004C41EA">
              <w:rPr>
                <w:rFonts w:ascii="Arial" w:hAnsi="Arial" w:hint="cs"/>
                <w:b/>
                <w:bCs/>
                <w:sz w:val="26"/>
                <w:szCs w:val="26"/>
                <w:rtl/>
              </w:rPr>
              <w:t>ה</w:t>
            </w:r>
            <w:r w:rsidRPr="004C41EA">
              <w:rPr>
                <w:rFonts w:ascii="Arial" w:hAnsi="Arial"/>
                <w:b/>
                <w:bCs/>
                <w:sz w:val="26"/>
                <w:szCs w:val="26"/>
                <w:rtl/>
              </w:rPr>
              <w:t>מאשימה</w:t>
            </w:r>
            <w:r w:rsidRPr="004C41EA">
              <w:rPr>
                <w:rFonts w:hint="cs"/>
                <w:rtl/>
              </w:rPr>
              <w:t>:</w:t>
            </w:r>
          </w:p>
          <w:p w14:paraId="30A80BFF" w14:textId="77777777" w:rsidR="00857446" w:rsidRPr="004C41EA" w:rsidRDefault="00857446" w:rsidP="00152938">
            <w:pPr>
              <w:rPr>
                <w:rFonts w:ascii="David" w:hAnsi="David"/>
                <w:sz w:val="26"/>
                <w:szCs w:val="26"/>
              </w:rPr>
            </w:pPr>
          </w:p>
        </w:tc>
        <w:tc>
          <w:tcPr>
            <w:tcW w:w="4678" w:type="dxa"/>
            <w:tcBorders>
              <w:top w:val="nil"/>
              <w:left w:val="nil"/>
              <w:bottom w:val="nil"/>
              <w:right w:val="nil"/>
            </w:tcBorders>
            <w:shd w:val="clear" w:color="auto" w:fill="auto"/>
            <w:vAlign w:val="center"/>
          </w:tcPr>
          <w:p w14:paraId="39E10792" w14:textId="77777777" w:rsidR="00857446" w:rsidRPr="004C41EA" w:rsidRDefault="00857446" w:rsidP="00857446">
            <w:pPr>
              <w:suppressLineNumbers/>
              <w:rPr>
                <w:rFonts w:ascii="Arial" w:hAnsi="Arial"/>
                <w:b/>
                <w:bCs/>
                <w:sz w:val="26"/>
                <w:szCs w:val="26"/>
                <w:rtl/>
              </w:rPr>
            </w:pPr>
            <w:r w:rsidRPr="004C41EA">
              <w:rPr>
                <w:rFonts w:ascii="Arial" w:hAnsi="Arial"/>
                <w:b/>
                <w:bCs/>
                <w:sz w:val="26"/>
                <w:szCs w:val="26"/>
                <w:rtl/>
              </w:rPr>
              <w:t>מדינת ישראל</w:t>
            </w:r>
            <w:r w:rsidRPr="004C41EA">
              <w:rPr>
                <w:rFonts w:ascii="Arial" w:hAnsi="Arial" w:hint="cs"/>
                <w:b/>
                <w:bCs/>
                <w:sz w:val="26"/>
                <w:szCs w:val="26"/>
                <w:rtl/>
              </w:rPr>
              <w:t xml:space="preserve"> </w:t>
            </w:r>
          </w:p>
          <w:p w14:paraId="08EC4AA4" w14:textId="77777777" w:rsidR="00857446" w:rsidRPr="004C41EA" w:rsidRDefault="00857446" w:rsidP="00857446">
            <w:pPr>
              <w:suppressLineNumbers/>
              <w:rPr>
                <w:rFonts w:ascii="Arial" w:hAnsi="Arial"/>
                <w:b/>
                <w:bCs/>
                <w:sz w:val="26"/>
                <w:szCs w:val="26"/>
                <w:rtl/>
              </w:rPr>
            </w:pPr>
          </w:p>
          <w:p w14:paraId="6BF8223C" w14:textId="77777777" w:rsidR="00857446" w:rsidRPr="004C41EA" w:rsidRDefault="00857446" w:rsidP="00857446">
            <w:pPr>
              <w:suppressLineNumbers/>
            </w:pPr>
            <w:r w:rsidRPr="004C41EA">
              <w:rPr>
                <w:rFonts w:ascii="Arial" w:hAnsi="Arial"/>
                <w:sz w:val="26"/>
                <w:szCs w:val="26"/>
                <w:rtl/>
              </w:rPr>
              <w:t>ע"י ב"כ עו"</w:t>
            </w:r>
            <w:r w:rsidRPr="004C41EA">
              <w:rPr>
                <w:rFonts w:ascii="Arial" w:hAnsi="Arial" w:hint="cs"/>
                <w:sz w:val="26"/>
                <w:szCs w:val="26"/>
                <w:rtl/>
              </w:rPr>
              <w:t xml:space="preserve">ד אבי ביטון </w:t>
            </w:r>
            <w:r w:rsidRPr="004C41EA">
              <w:rPr>
                <w:rFonts w:ascii="Arial" w:hAnsi="Arial"/>
                <w:sz w:val="26"/>
                <w:szCs w:val="26"/>
                <w:rtl/>
              </w:rPr>
              <w:t>–</w:t>
            </w:r>
            <w:r w:rsidRPr="004C41EA">
              <w:rPr>
                <w:rFonts w:ascii="Arial" w:hAnsi="Arial" w:hint="cs"/>
                <w:sz w:val="26"/>
                <w:szCs w:val="26"/>
                <w:rtl/>
              </w:rPr>
              <w:t xml:space="preserve"> פמ"ד </w:t>
            </w:r>
          </w:p>
          <w:p w14:paraId="29463B87" w14:textId="77777777" w:rsidR="00857446" w:rsidRPr="004C41EA" w:rsidRDefault="00857446" w:rsidP="00152938">
            <w:pPr>
              <w:rPr>
                <w:rFonts w:ascii="David" w:hAnsi="David"/>
                <w:sz w:val="26"/>
                <w:szCs w:val="26"/>
              </w:rPr>
            </w:pPr>
          </w:p>
        </w:tc>
      </w:tr>
      <w:bookmarkEnd w:id="1"/>
      <w:bookmarkEnd w:id="2"/>
      <w:tr w:rsidR="00857446" w:rsidRPr="004C41EA" w14:paraId="28CAA876" w14:textId="77777777" w:rsidTr="00857446">
        <w:trPr>
          <w:trHeight w:val="355"/>
          <w:jc w:val="center"/>
        </w:trPr>
        <w:tc>
          <w:tcPr>
            <w:tcW w:w="923" w:type="dxa"/>
            <w:tcBorders>
              <w:top w:val="nil"/>
              <w:left w:val="nil"/>
              <w:bottom w:val="nil"/>
              <w:right w:val="nil"/>
            </w:tcBorders>
            <w:shd w:val="clear" w:color="auto" w:fill="auto"/>
          </w:tcPr>
          <w:p w14:paraId="2485564B" w14:textId="77777777" w:rsidR="00857446" w:rsidRPr="004C41EA" w:rsidRDefault="00857446" w:rsidP="0085744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A4C5071" w14:textId="77777777" w:rsidR="00857446" w:rsidRPr="004C41EA" w:rsidRDefault="00857446" w:rsidP="00857446">
            <w:pPr>
              <w:jc w:val="center"/>
              <w:rPr>
                <w:rFonts w:ascii="David" w:hAnsi="David"/>
                <w:b/>
                <w:bCs/>
                <w:sz w:val="26"/>
                <w:szCs w:val="26"/>
                <w:rtl/>
              </w:rPr>
            </w:pPr>
          </w:p>
          <w:p w14:paraId="4CB6C6AF" w14:textId="77777777" w:rsidR="00857446" w:rsidRPr="004C41EA" w:rsidRDefault="00857446" w:rsidP="00857446">
            <w:pPr>
              <w:jc w:val="center"/>
              <w:rPr>
                <w:rFonts w:ascii="David" w:hAnsi="David"/>
                <w:b/>
                <w:bCs/>
                <w:sz w:val="26"/>
                <w:szCs w:val="26"/>
                <w:rtl/>
              </w:rPr>
            </w:pPr>
            <w:r w:rsidRPr="004C41EA">
              <w:rPr>
                <w:rFonts w:ascii="David" w:hAnsi="David"/>
                <w:b/>
                <w:bCs/>
                <w:sz w:val="26"/>
                <w:szCs w:val="26"/>
                <w:rtl/>
              </w:rPr>
              <w:t>נגד</w:t>
            </w:r>
          </w:p>
          <w:p w14:paraId="1AF0F3EE" w14:textId="77777777" w:rsidR="00857446" w:rsidRPr="004C41EA" w:rsidRDefault="00857446" w:rsidP="00857446">
            <w:pPr>
              <w:jc w:val="both"/>
              <w:rPr>
                <w:rFonts w:ascii="David" w:hAnsi="David"/>
                <w:sz w:val="26"/>
                <w:szCs w:val="26"/>
              </w:rPr>
            </w:pPr>
          </w:p>
        </w:tc>
      </w:tr>
      <w:tr w:rsidR="00857446" w:rsidRPr="004C41EA" w14:paraId="4B6FA817" w14:textId="77777777" w:rsidTr="00857446">
        <w:trPr>
          <w:trHeight w:val="355"/>
          <w:jc w:val="center"/>
        </w:trPr>
        <w:tc>
          <w:tcPr>
            <w:tcW w:w="923" w:type="dxa"/>
            <w:tcBorders>
              <w:top w:val="nil"/>
              <w:left w:val="nil"/>
              <w:bottom w:val="nil"/>
              <w:right w:val="nil"/>
            </w:tcBorders>
            <w:shd w:val="clear" w:color="auto" w:fill="auto"/>
          </w:tcPr>
          <w:p w14:paraId="01AD76C9" w14:textId="77777777" w:rsidR="00857446" w:rsidRPr="004C41EA" w:rsidRDefault="00857446" w:rsidP="00152938">
            <w:pPr>
              <w:rPr>
                <w:rFonts w:ascii="David" w:hAnsi="David"/>
                <w:sz w:val="26"/>
                <w:szCs w:val="26"/>
                <w:rtl/>
              </w:rPr>
            </w:pPr>
          </w:p>
        </w:tc>
        <w:tc>
          <w:tcPr>
            <w:tcW w:w="3219" w:type="dxa"/>
            <w:tcBorders>
              <w:top w:val="nil"/>
              <w:left w:val="nil"/>
              <w:bottom w:val="nil"/>
              <w:right w:val="nil"/>
            </w:tcBorders>
            <w:shd w:val="clear" w:color="auto" w:fill="auto"/>
          </w:tcPr>
          <w:p w14:paraId="76B2AE2B" w14:textId="77777777" w:rsidR="00857446" w:rsidRPr="004C41EA" w:rsidRDefault="00857446" w:rsidP="00152938">
            <w:pPr>
              <w:rPr>
                <w:rFonts w:ascii="Arial" w:hAnsi="Arial"/>
                <w:b/>
                <w:bCs/>
                <w:sz w:val="26"/>
                <w:szCs w:val="26"/>
                <w:rtl/>
              </w:rPr>
            </w:pPr>
            <w:r w:rsidRPr="004C41EA">
              <w:rPr>
                <w:rFonts w:ascii="Arial" w:hAnsi="Arial"/>
                <w:b/>
                <w:bCs/>
                <w:sz w:val="26"/>
                <w:szCs w:val="26"/>
                <w:rtl/>
              </w:rPr>
              <w:t>הנאשם</w:t>
            </w:r>
            <w:r w:rsidRPr="004C41EA">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3FD0ADD2" w14:textId="77777777" w:rsidR="00857446" w:rsidRPr="004C41EA" w:rsidRDefault="00857446" w:rsidP="00857446">
            <w:pPr>
              <w:suppressLineNumbers/>
            </w:pPr>
            <w:r w:rsidRPr="004C41EA">
              <w:rPr>
                <w:rFonts w:ascii="Arial" w:hAnsi="Arial"/>
                <w:b/>
                <w:bCs/>
                <w:sz w:val="26"/>
                <w:szCs w:val="26"/>
                <w:rtl/>
              </w:rPr>
              <w:t xml:space="preserve">סנאד אלקרעאן </w:t>
            </w:r>
            <w:r w:rsidRPr="004C41EA">
              <w:rPr>
                <w:rFonts w:ascii="Arial" w:hAnsi="Arial"/>
                <w:b/>
                <w:bCs/>
                <w:sz w:val="26"/>
                <w:szCs w:val="26"/>
                <w:rtl/>
              </w:rPr>
              <w:br/>
            </w:r>
            <w:r w:rsidRPr="004C41EA">
              <w:rPr>
                <w:rFonts w:ascii="Arial" w:hAnsi="Arial"/>
                <w:b/>
                <w:bCs/>
                <w:sz w:val="26"/>
                <w:szCs w:val="26"/>
                <w:rtl/>
              </w:rPr>
              <w:br/>
              <w:t>ע</w:t>
            </w:r>
            <w:r w:rsidRPr="004C41EA">
              <w:rPr>
                <w:rFonts w:ascii="Arial" w:hAnsi="Arial"/>
                <w:sz w:val="26"/>
                <w:szCs w:val="26"/>
                <w:rtl/>
              </w:rPr>
              <w:t>"י ב"כ עו"</w:t>
            </w:r>
            <w:r w:rsidRPr="004C41EA">
              <w:rPr>
                <w:rFonts w:ascii="Arial" w:hAnsi="Arial" w:hint="cs"/>
                <w:sz w:val="26"/>
                <w:szCs w:val="26"/>
                <w:rtl/>
              </w:rPr>
              <w:t>ד יאיר דרייגור</w:t>
            </w:r>
          </w:p>
          <w:p w14:paraId="43A927FB" w14:textId="77777777" w:rsidR="00857446" w:rsidRPr="004C41EA" w:rsidRDefault="00857446" w:rsidP="00152938">
            <w:pPr>
              <w:rPr>
                <w:rFonts w:ascii="David" w:hAnsi="David"/>
                <w:sz w:val="26"/>
                <w:szCs w:val="26"/>
              </w:rPr>
            </w:pPr>
          </w:p>
        </w:tc>
      </w:tr>
    </w:tbl>
    <w:p w14:paraId="15906761" w14:textId="77777777" w:rsidR="004C41EA" w:rsidRPr="004C41EA" w:rsidRDefault="004C41EA" w:rsidP="004C41EA">
      <w:pPr>
        <w:spacing w:before="120" w:after="120" w:line="240" w:lineRule="exact"/>
        <w:ind w:left="283" w:hanging="283"/>
        <w:jc w:val="both"/>
        <w:rPr>
          <w:rFonts w:ascii="FrankRuehl" w:hAnsi="FrankRuehl" w:cs="FrankRuehl"/>
          <w:rtl/>
        </w:rPr>
      </w:pPr>
    </w:p>
    <w:p w14:paraId="5FDAB2BA" w14:textId="77777777" w:rsidR="004C41EA" w:rsidRPr="004C41EA" w:rsidRDefault="004C41EA" w:rsidP="004C41EA">
      <w:pPr>
        <w:rPr>
          <w:sz w:val="26"/>
          <w:szCs w:val="26"/>
          <w:rtl/>
        </w:rPr>
      </w:pPr>
    </w:p>
    <w:p w14:paraId="64077624" w14:textId="77777777" w:rsidR="00875186" w:rsidRPr="00875186" w:rsidRDefault="00875186" w:rsidP="00875186">
      <w:pPr>
        <w:spacing w:before="120" w:after="120" w:line="240" w:lineRule="exact"/>
        <w:ind w:left="283" w:hanging="283"/>
        <w:jc w:val="both"/>
        <w:rPr>
          <w:rFonts w:ascii="FrankRuehl" w:hAnsi="FrankRuehl" w:cs="FrankRuehl"/>
          <w:rtl/>
        </w:rPr>
      </w:pPr>
    </w:p>
    <w:p w14:paraId="0D4C247D" w14:textId="77777777" w:rsidR="00037D59" w:rsidRPr="00037D59" w:rsidRDefault="00037D59" w:rsidP="00037D59">
      <w:pPr>
        <w:spacing w:before="120" w:after="120" w:line="240" w:lineRule="exact"/>
        <w:ind w:left="283" w:hanging="283"/>
        <w:jc w:val="both"/>
        <w:rPr>
          <w:rFonts w:ascii="FrankRuehl" w:hAnsi="FrankRuehl" w:cs="FrankRuehl"/>
          <w:rtl/>
        </w:rPr>
      </w:pPr>
    </w:p>
    <w:p w14:paraId="3D2087FB" w14:textId="77777777" w:rsidR="001B50ED" w:rsidRDefault="001B50ED" w:rsidP="001B50ED">
      <w:pPr>
        <w:rPr>
          <w:sz w:val="26"/>
          <w:szCs w:val="26"/>
          <w:rtl/>
        </w:rPr>
      </w:pPr>
      <w:bookmarkStart w:id="3" w:name="LawTable"/>
      <w:bookmarkEnd w:id="3"/>
    </w:p>
    <w:p w14:paraId="240D8758" w14:textId="77777777" w:rsidR="001B50ED" w:rsidRPr="001B50ED" w:rsidRDefault="001B50ED" w:rsidP="001B50ED">
      <w:pPr>
        <w:spacing w:before="120" w:after="120" w:line="240" w:lineRule="exact"/>
        <w:ind w:left="283" w:hanging="283"/>
        <w:jc w:val="both"/>
        <w:rPr>
          <w:rFonts w:ascii="FrankRuehl" w:hAnsi="FrankRuehl" w:cs="FrankRuehl"/>
          <w:rtl/>
        </w:rPr>
      </w:pPr>
    </w:p>
    <w:p w14:paraId="360E08AC" w14:textId="77777777" w:rsidR="001B50ED" w:rsidRPr="001B50ED" w:rsidRDefault="001B50ED" w:rsidP="001B50ED">
      <w:pPr>
        <w:spacing w:before="120" w:after="120" w:line="240" w:lineRule="exact"/>
        <w:ind w:left="283" w:hanging="283"/>
        <w:jc w:val="both"/>
        <w:rPr>
          <w:rFonts w:ascii="FrankRuehl" w:hAnsi="FrankRuehl" w:cs="FrankRuehl"/>
          <w:rtl/>
        </w:rPr>
      </w:pPr>
    </w:p>
    <w:p w14:paraId="536F6FD2" w14:textId="77777777" w:rsidR="001B50ED" w:rsidRPr="001B50ED" w:rsidRDefault="001B50ED" w:rsidP="001B50ED">
      <w:pPr>
        <w:spacing w:before="120" w:after="120" w:line="240" w:lineRule="exact"/>
        <w:ind w:left="283" w:hanging="283"/>
        <w:jc w:val="both"/>
        <w:rPr>
          <w:rFonts w:ascii="FrankRuehl" w:hAnsi="FrankRuehl" w:cs="FrankRuehl"/>
          <w:rtl/>
        </w:rPr>
      </w:pPr>
      <w:r w:rsidRPr="001B50ED">
        <w:rPr>
          <w:rFonts w:ascii="FrankRuehl" w:hAnsi="FrankRuehl" w:cs="FrankRuehl"/>
          <w:rtl/>
        </w:rPr>
        <w:t xml:space="preserve">חקיקה שאוזכרה: </w:t>
      </w:r>
    </w:p>
    <w:p w14:paraId="7521B41C" w14:textId="77777777" w:rsidR="001B50ED" w:rsidRPr="001B50ED" w:rsidRDefault="001B50ED" w:rsidP="001B50ED">
      <w:pPr>
        <w:spacing w:before="120" w:after="120" w:line="240" w:lineRule="exact"/>
        <w:ind w:left="283" w:hanging="283"/>
        <w:jc w:val="both"/>
        <w:rPr>
          <w:rFonts w:ascii="FrankRuehl" w:hAnsi="FrankRuehl" w:cs="FrankRuehl"/>
          <w:rtl/>
        </w:rPr>
      </w:pPr>
      <w:hyperlink r:id="rId6" w:history="1">
        <w:r w:rsidRPr="001B50ED">
          <w:rPr>
            <w:rFonts w:ascii="FrankRuehl" w:hAnsi="FrankRuehl" w:cs="FrankRuehl"/>
            <w:color w:val="0000FF"/>
            <w:rtl/>
          </w:rPr>
          <w:t>פקודת התעבורה [נוסח חדש]</w:t>
        </w:r>
      </w:hyperlink>
      <w:r w:rsidRPr="001B50ED">
        <w:rPr>
          <w:rFonts w:ascii="FrankRuehl" w:hAnsi="FrankRuehl" w:cs="FrankRuehl"/>
          <w:rtl/>
        </w:rPr>
        <w:t xml:space="preserve">: סע'  </w:t>
      </w:r>
      <w:hyperlink r:id="rId7" w:history="1">
        <w:r w:rsidRPr="001B50ED">
          <w:rPr>
            <w:rFonts w:ascii="FrankRuehl" w:hAnsi="FrankRuehl" w:cs="FrankRuehl"/>
            <w:color w:val="0000FF"/>
            <w:rtl/>
          </w:rPr>
          <w:t>62(2)</w:t>
        </w:r>
      </w:hyperlink>
      <w:r w:rsidRPr="001B50ED">
        <w:rPr>
          <w:rFonts w:ascii="FrankRuehl" w:hAnsi="FrankRuehl" w:cs="FrankRuehl"/>
          <w:rtl/>
        </w:rPr>
        <w:t xml:space="preserve">, </w:t>
      </w:r>
      <w:hyperlink r:id="rId8" w:history="1">
        <w:r w:rsidRPr="001B50ED">
          <w:rPr>
            <w:rFonts w:ascii="FrankRuehl" w:hAnsi="FrankRuehl" w:cs="FrankRuehl"/>
            <w:color w:val="0000FF"/>
            <w:rtl/>
          </w:rPr>
          <w:t>64א(ג)</w:t>
        </w:r>
      </w:hyperlink>
      <w:r w:rsidRPr="001B50ED">
        <w:rPr>
          <w:rFonts w:ascii="FrankRuehl" w:hAnsi="FrankRuehl" w:cs="FrankRuehl"/>
          <w:rtl/>
        </w:rPr>
        <w:t xml:space="preserve">, </w:t>
      </w:r>
      <w:hyperlink r:id="rId9" w:history="1">
        <w:r w:rsidRPr="001B50ED">
          <w:rPr>
            <w:rFonts w:ascii="FrankRuehl" w:hAnsi="FrankRuehl" w:cs="FrankRuehl"/>
            <w:color w:val="0000FF"/>
            <w:rtl/>
          </w:rPr>
          <w:t>64א(ד)</w:t>
        </w:r>
      </w:hyperlink>
    </w:p>
    <w:p w14:paraId="29079ACC" w14:textId="77777777" w:rsidR="001B50ED" w:rsidRPr="001B50ED" w:rsidRDefault="001B50ED" w:rsidP="001B50ED">
      <w:pPr>
        <w:spacing w:before="120" w:after="120" w:line="240" w:lineRule="exact"/>
        <w:ind w:left="283" w:hanging="283"/>
        <w:jc w:val="both"/>
        <w:rPr>
          <w:rFonts w:ascii="FrankRuehl" w:hAnsi="FrankRuehl" w:cs="FrankRuehl"/>
          <w:rtl/>
        </w:rPr>
      </w:pPr>
      <w:hyperlink r:id="rId10" w:history="1">
        <w:r w:rsidRPr="001B50ED">
          <w:rPr>
            <w:rFonts w:ascii="FrankRuehl" w:hAnsi="FrankRuehl" w:cs="FrankRuehl"/>
            <w:color w:val="0000FF"/>
            <w:rtl/>
          </w:rPr>
          <w:t>פקודת הסמים המסוכנים [נוסח חדש], תשל"ג-1973</w:t>
        </w:r>
      </w:hyperlink>
      <w:r w:rsidRPr="001B50ED">
        <w:rPr>
          <w:rFonts w:ascii="FrankRuehl" w:hAnsi="FrankRuehl" w:cs="FrankRuehl"/>
          <w:rtl/>
        </w:rPr>
        <w:t xml:space="preserve">: סע'  </w:t>
      </w:r>
      <w:hyperlink r:id="rId11" w:history="1">
        <w:r w:rsidRPr="001B50ED">
          <w:rPr>
            <w:rFonts w:ascii="FrankRuehl" w:hAnsi="FrankRuehl" w:cs="FrankRuehl"/>
            <w:color w:val="0000FF"/>
            <w:rtl/>
          </w:rPr>
          <w:t>13</w:t>
        </w:r>
      </w:hyperlink>
    </w:p>
    <w:p w14:paraId="23CA4B12" w14:textId="77777777" w:rsidR="001B50ED" w:rsidRPr="001B50ED" w:rsidRDefault="001B50ED" w:rsidP="001B50ED">
      <w:pPr>
        <w:spacing w:before="120" w:after="120" w:line="240" w:lineRule="exact"/>
        <w:ind w:left="283" w:hanging="283"/>
        <w:jc w:val="both"/>
        <w:rPr>
          <w:rFonts w:ascii="FrankRuehl" w:hAnsi="FrankRuehl" w:cs="FrankRuehl"/>
          <w:rtl/>
        </w:rPr>
      </w:pPr>
      <w:hyperlink r:id="rId12" w:history="1">
        <w:r w:rsidRPr="001B50ED">
          <w:rPr>
            <w:rFonts w:ascii="FrankRuehl" w:hAnsi="FrankRuehl" w:cs="FrankRuehl"/>
            <w:color w:val="0000FF"/>
            <w:rtl/>
          </w:rPr>
          <w:t>תקנות התעבורה, תשכ"א-1961 - לא מרובדות</w:t>
        </w:r>
      </w:hyperlink>
      <w:r w:rsidRPr="001B50ED">
        <w:rPr>
          <w:rFonts w:ascii="FrankRuehl" w:hAnsi="FrankRuehl" w:cs="FrankRuehl"/>
          <w:rtl/>
        </w:rPr>
        <w:t xml:space="preserve">: סע'  </w:t>
      </w:r>
      <w:hyperlink r:id="rId13" w:history="1">
        <w:r w:rsidRPr="001B50ED">
          <w:rPr>
            <w:rFonts w:ascii="FrankRuehl" w:hAnsi="FrankRuehl" w:cs="FrankRuehl"/>
            <w:color w:val="0000FF"/>
            <w:rtl/>
          </w:rPr>
          <w:t>128</w:t>
        </w:r>
      </w:hyperlink>
      <w:r w:rsidRPr="001B50ED">
        <w:rPr>
          <w:rFonts w:ascii="FrankRuehl" w:hAnsi="FrankRuehl" w:cs="FrankRuehl"/>
          <w:rtl/>
        </w:rPr>
        <w:t xml:space="preserve">, </w:t>
      </w:r>
      <w:hyperlink r:id="rId14" w:history="1">
        <w:r w:rsidRPr="001B50ED">
          <w:rPr>
            <w:rFonts w:ascii="FrankRuehl" w:hAnsi="FrankRuehl" w:cs="FrankRuehl"/>
            <w:color w:val="0000FF"/>
            <w:rtl/>
          </w:rPr>
          <w:t>129</w:t>
        </w:r>
      </w:hyperlink>
      <w:r w:rsidRPr="001B50ED">
        <w:rPr>
          <w:rFonts w:ascii="FrankRuehl" w:hAnsi="FrankRuehl" w:cs="FrankRuehl"/>
          <w:rtl/>
        </w:rPr>
        <w:t xml:space="preserve">, </w:t>
      </w:r>
      <w:hyperlink r:id="rId15" w:history="1">
        <w:r w:rsidRPr="001B50ED">
          <w:rPr>
            <w:rFonts w:ascii="FrankRuehl" w:hAnsi="FrankRuehl" w:cs="FrankRuehl"/>
            <w:color w:val="0000FF"/>
            <w:rtl/>
          </w:rPr>
          <w:t>129 (ה)</w:t>
        </w:r>
      </w:hyperlink>
    </w:p>
    <w:p w14:paraId="22AEA58B" w14:textId="77777777" w:rsidR="001B50ED" w:rsidRPr="001B50ED" w:rsidRDefault="001B50ED" w:rsidP="001B50ED">
      <w:pPr>
        <w:spacing w:before="120" w:after="120" w:line="240" w:lineRule="exact"/>
        <w:ind w:left="283" w:hanging="283"/>
        <w:jc w:val="both"/>
        <w:rPr>
          <w:rFonts w:ascii="FrankRuehl" w:hAnsi="FrankRuehl" w:cs="FrankRuehl"/>
          <w:rtl/>
        </w:rPr>
      </w:pPr>
      <w:hyperlink r:id="rId16" w:history="1">
        <w:r w:rsidRPr="001B50ED">
          <w:rPr>
            <w:rFonts w:ascii="FrankRuehl" w:hAnsi="FrankRuehl" w:cs="FrankRuehl"/>
            <w:color w:val="0000FF"/>
            <w:rtl/>
          </w:rPr>
          <w:t>חוק העונשין, תשל"ז-1977</w:t>
        </w:r>
      </w:hyperlink>
      <w:r w:rsidRPr="001B50ED">
        <w:rPr>
          <w:rFonts w:ascii="FrankRuehl" w:hAnsi="FrankRuehl" w:cs="FrankRuehl"/>
          <w:rtl/>
        </w:rPr>
        <w:t xml:space="preserve">: סע'  </w:t>
      </w:r>
      <w:hyperlink r:id="rId17" w:history="1">
        <w:r w:rsidRPr="001B50ED">
          <w:rPr>
            <w:rFonts w:ascii="FrankRuehl" w:hAnsi="FrankRuehl" w:cs="FrankRuehl"/>
            <w:color w:val="0000FF"/>
            <w:rtl/>
          </w:rPr>
          <w:t>40ד'</w:t>
        </w:r>
      </w:hyperlink>
      <w:r w:rsidRPr="001B50ED">
        <w:rPr>
          <w:rFonts w:ascii="FrankRuehl" w:hAnsi="FrankRuehl" w:cs="FrankRuehl"/>
          <w:rtl/>
        </w:rPr>
        <w:t xml:space="preserve">, </w:t>
      </w:r>
      <w:hyperlink r:id="rId18" w:history="1">
        <w:r w:rsidRPr="001B50ED">
          <w:rPr>
            <w:rFonts w:ascii="FrankRuehl" w:hAnsi="FrankRuehl" w:cs="FrankRuehl"/>
            <w:color w:val="0000FF"/>
            <w:rtl/>
          </w:rPr>
          <w:t>40ד(א)</w:t>
        </w:r>
      </w:hyperlink>
    </w:p>
    <w:p w14:paraId="21117B39" w14:textId="77777777" w:rsidR="001B50ED" w:rsidRPr="001B50ED" w:rsidRDefault="001B50ED" w:rsidP="001B50ED">
      <w:pPr>
        <w:rPr>
          <w:sz w:val="26"/>
          <w:szCs w:val="26"/>
          <w:rtl/>
        </w:rPr>
      </w:pPr>
      <w:bookmarkStart w:id="4" w:name="LawTable_End"/>
      <w:bookmarkEnd w:id="4"/>
    </w:p>
    <w:p w14:paraId="36B0F640" w14:textId="77777777" w:rsidR="00857446" w:rsidRPr="00037D59" w:rsidRDefault="00857446" w:rsidP="00037D5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57446" w14:paraId="61BD7E0D" w14:textId="77777777" w:rsidTr="00857446">
        <w:trPr>
          <w:trHeight w:val="355"/>
          <w:jc w:val="center"/>
        </w:trPr>
        <w:tc>
          <w:tcPr>
            <w:tcW w:w="8820" w:type="dxa"/>
            <w:tcBorders>
              <w:top w:val="nil"/>
              <w:left w:val="nil"/>
              <w:bottom w:val="nil"/>
              <w:right w:val="nil"/>
            </w:tcBorders>
            <w:shd w:val="clear" w:color="auto" w:fill="auto"/>
          </w:tcPr>
          <w:p w14:paraId="3DE3C619" w14:textId="77777777" w:rsidR="004C41EA" w:rsidRPr="004C41EA" w:rsidRDefault="004C41EA" w:rsidP="004C41EA">
            <w:pPr>
              <w:jc w:val="center"/>
              <w:rPr>
                <w:rFonts w:ascii="David" w:hAnsi="David"/>
                <w:b/>
                <w:bCs/>
                <w:sz w:val="32"/>
                <w:szCs w:val="32"/>
                <w:u w:val="single"/>
                <w:rtl/>
              </w:rPr>
            </w:pPr>
            <w:bookmarkStart w:id="5" w:name="PsakDin" w:colFirst="0" w:colLast="0"/>
            <w:bookmarkEnd w:id="0"/>
            <w:r w:rsidRPr="004C41EA">
              <w:rPr>
                <w:rFonts w:ascii="David" w:hAnsi="David"/>
                <w:b/>
                <w:bCs/>
                <w:sz w:val="32"/>
                <w:szCs w:val="32"/>
                <w:u w:val="single"/>
                <w:rtl/>
              </w:rPr>
              <w:t>גזר דין</w:t>
            </w:r>
          </w:p>
          <w:p w14:paraId="6633868B" w14:textId="77777777" w:rsidR="00857446" w:rsidRPr="004C41EA" w:rsidRDefault="00857446" w:rsidP="004C41EA">
            <w:pPr>
              <w:jc w:val="center"/>
              <w:rPr>
                <w:rFonts w:ascii="David" w:hAnsi="David"/>
                <w:bCs/>
                <w:sz w:val="32"/>
                <w:szCs w:val="32"/>
                <w:u w:val="single"/>
                <w:rtl/>
              </w:rPr>
            </w:pPr>
          </w:p>
        </w:tc>
      </w:tr>
      <w:bookmarkEnd w:id="5"/>
    </w:tbl>
    <w:p w14:paraId="3D99A6B8" w14:textId="77777777" w:rsidR="00857446" w:rsidRPr="000F2247" w:rsidRDefault="00857446" w:rsidP="00857446">
      <w:pPr>
        <w:rPr>
          <w:rFonts w:ascii="Arial" w:hAnsi="Arial"/>
          <w:b/>
          <w:bCs/>
          <w:sz w:val="26"/>
          <w:szCs w:val="26"/>
          <w:rtl/>
        </w:rPr>
      </w:pPr>
    </w:p>
    <w:p w14:paraId="4A9DAD32" w14:textId="77777777" w:rsidR="00857446" w:rsidRDefault="00857446" w:rsidP="00857446">
      <w:pPr>
        <w:spacing w:line="360" w:lineRule="auto"/>
        <w:jc w:val="both"/>
        <w:rPr>
          <w:rtl/>
          <w:lang w:eastAsia="he-IL"/>
        </w:rPr>
      </w:pPr>
      <w:r>
        <w:rPr>
          <w:b/>
          <w:bCs/>
          <w:u w:val="single"/>
          <w:rtl/>
          <w:lang w:eastAsia="he-IL"/>
        </w:rPr>
        <w:t>האישום והסדר הטיעון</w:t>
      </w:r>
    </w:p>
    <w:p w14:paraId="1E0A3487" w14:textId="77777777" w:rsidR="00857446" w:rsidRDefault="00857446" w:rsidP="00857446">
      <w:pPr>
        <w:spacing w:line="360" w:lineRule="auto"/>
        <w:jc w:val="both"/>
        <w:rPr>
          <w:rtl/>
          <w:lang w:eastAsia="he-IL"/>
        </w:rPr>
      </w:pPr>
      <w:bookmarkStart w:id="6" w:name="ABSTRACT_START"/>
      <w:bookmarkEnd w:id="6"/>
    </w:p>
    <w:p w14:paraId="088DDEF6" w14:textId="77777777" w:rsidR="00857446" w:rsidRDefault="00857446" w:rsidP="00857446">
      <w:pPr>
        <w:spacing w:line="360" w:lineRule="auto"/>
        <w:jc w:val="both"/>
        <w:rPr>
          <w:rFonts w:ascii="David" w:eastAsia="David" w:hAnsi="David"/>
          <w:rtl/>
        </w:rPr>
      </w:pPr>
      <w:r>
        <w:rPr>
          <w:rtl/>
          <w:lang w:eastAsia="he-IL"/>
        </w:rPr>
        <w:t>1.</w:t>
      </w:r>
      <w:r>
        <w:rPr>
          <w:rtl/>
          <w:lang w:eastAsia="he-IL"/>
        </w:rPr>
        <w:tab/>
      </w:r>
      <w:r>
        <w:rPr>
          <w:rFonts w:ascii="David" w:hAnsi="David"/>
          <w:rtl/>
        </w:rPr>
        <w:t xml:space="preserve">הנאשם הורשע על פי הודאתו בכתב </w:t>
      </w:r>
      <w:r>
        <w:rPr>
          <w:rFonts w:ascii="David" w:eastAsia="David" w:hAnsi="David"/>
          <w:rtl/>
        </w:rPr>
        <w:t xml:space="preserve">אישום </w:t>
      </w:r>
      <w:r>
        <w:rPr>
          <w:rtl/>
          <w:lang w:eastAsia="he-IL"/>
        </w:rPr>
        <w:t>מתוקן בעבירות</w:t>
      </w:r>
      <w:r>
        <w:rPr>
          <w:rFonts w:ascii="David" w:eastAsia="David" w:hAnsi="David"/>
          <w:rtl/>
        </w:rPr>
        <w:t xml:space="preserve"> של הפקרה לפי </w:t>
      </w:r>
      <w:hyperlink r:id="rId19" w:history="1">
        <w:r w:rsidR="00875186" w:rsidRPr="00875186">
          <w:rPr>
            <w:rStyle w:val="Hyperlink"/>
            <w:rFonts w:ascii="David" w:eastAsia="David" w:hAnsi="David"/>
            <w:rtl/>
          </w:rPr>
          <w:t>סעיף 64א(ג)</w:t>
        </w:r>
      </w:hyperlink>
      <w:r>
        <w:rPr>
          <w:rFonts w:ascii="David" w:eastAsia="David" w:hAnsi="David"/>
          <w:rtl/>
        </w:rPr>
        <w:t xml:space="preserve"> ל</w:t>
      </w:r>
      <w:hyperlink r:id="rId20" w:history="1">
        <w:r w:rsidR="004C41EA" w:rsidRPr="004C41EA">
          <w:rPr>
            <w:rFonts w:ascii="David" w:eastAsia="David" w:hAnsi="David"/>
            <w:color w:val="0000FF"/>
            <w:u w:val="single"/>
            <w:rtl/>
          </w:rPr>
          <w:t>פקודת התעבורה</w:t>
        </w:r>
      </w:hyperlink>
      <w:r>
        <w:rPr>
          <w:rFonts w:ascii="David" w:eastAsia="David" w:hAnsi="David"/>
          <w:rtl/>
        </w:rPr>
        <w:t xml:space="preserve"> (נוסח חדש), ונהיגה בקלות ראש או רשלנות לפי </w:t>
      </w:r>
      <w:hyperlink r:id="rId21" w:history="1">
        <w:r w:rsidR="00875186" w:rsidRPr="00875186">
          <w:rPr>
            <w:rStyle w:val="Hyperlink"/>
            <w:rFonts w:ascii="David" w:eastAsia="David" w:hAnsi="David"/>
            <w:rtl/>
          </w:rPr>
          <w:t>סעיף 62(2)</w:t>
        </w:r>
      </w:hyperlink>
      <w:r>
        <w:rPr>
          <w:rFonts w:ascii="David" w:eastAsia="David" w:hAnsi="David"/>
          <w:rtl/>
        </w:rPr>
        <w:t xml:space="preserve"> לפקודת התעבורה (נוסח חדש). </w:t>
      </w:r>
    </w:p>
    <w:p w14:paraId="45AF3485" w14:textId="77777777" w:rsidR="00857446" w:rsidRDefault="00857446" w:rsidP="00857446">
      <w:pPr>
        <w:spacing w:line="360" w:lineRule="auto"/>
        <w:jc w:val="both"/>
        <w:rPr>
          <w:rFonts w:ascii="David" w:eastAsia="David" w:hAnsi="David"/>
        </w:rPr>
      </w:pPr>
    </w:p>
    <w:p w14:paraId="6D7EB226" w14:textId="77777777" w:rsidR="00857446" w:rsidRDefault="00857446" w:rsidP="00857446">
      <w:pPr>
        <w:spacing w:line="360" w:lineRule="auto"/>
        <w:jc w:val="both"/>
        <w:rPr>
          <w:rFonts w:ascii="David" w:hAnsi="David"/>
        </w:rPr>
      </w:pPr>
      <w:r>
        <w:rPr>
          <w:rFonts w:ascii="David" w:hAnsi="David"/>
          <w:rtl/>
        </w:rPr>
        <w:t>על פי עובדות כתב האישום המתוקן, בתאריך 8.10.22 בסמוך לשעה 07:00, נהג הנאשם ברכב מסוג סקודה, בכביש מס' 4 שהינו כביש בו עירוני בו המהירות המותרת היא עד 90 קמ"ש, מכיוון צפון לכיוון דרום.</w:t>
      </w:r>
    </w:p>
    <w:p w14:paraId="308541DC" w14:textId="77777777" w:rsidR="00857446" w:rsidRDefault="00857446" w:rsidP="00857446">
      <w:pPr>
        <w:spacing w:line="360" w:lineRule="auto"/>
        <w:jc w:val="both"/>
        <w:rPr>
          <w:rFonts w:ascii="David" w:hAnsi="David"/>
          <w:rtl/>
        </w:rPr>
      </w:pPr>
      <w:bookmarkStart w:id="7" w:name="ABSTRACT_END"/>
      <w:bookmarkEnd w:id="7"/>
    </w:p>
    <w:p w14:paraId="033C57B0" w14:textId="77777777" w:rsidR="00857446" w:rsidRDefault="00857446" w:rsidP="00857446">
      <w:pPr>
        <w:spacing w:line="360" w:lineRule="auto"/>
        <w:jc w:val="both"/>
        <w:rPr>
          <w:rFonts w:ascii="David" w:hAnsi="David"/>
          <w:rtl/>
        </w:rPr>
      </w:pPr>
      <w:r>
        <w:rPr>
          <w:rFonts w:ascii="David" w:hAnsi="David"/>
          <w:rtl/>
        </w:rPr>
        <w:t xml:space="preserve">מזג האוויר היה נאה וראות טובה, כביש אספלט תקין בעל 2 נתיבי נסיעה במסלול לכיוון דרום, כיוון נסיעת הנאשם. </w:t>
      </w:r>
    </w:p>
    <w:p w14:paraId="3CFCA858" w14:textId="77777777" w:rsidR="00857446" w:rsidRDefault="00857446" w:rsidP="00857446">
      <w:pPr>
        <w:spacing w:line="360" w:lineRule="auto"/>
        <w:jc w:val="both"/>
        <w:rPr>
          <w:rFonts w:ascii="David" w:hAnsi="David"/>
          <w:rtl/>
        </w:rPr>
      </w:pPr>
    </w:p>
    <w:p w14:paraId="43D314A8" w14:textId="77777777" w:rsidR="00857446" w:rsidRDefault="00857446" w:rsidP="00857446">
      <w:pPr>
        <w:spacing w:line="360" w:lineRule="auto"/>
        <w:jc w:val="both"/>
        <w:rPr>
          <w:rFonts w:ascii="David" w:hAnsi="David"/>
          <w:rtl/>
        </w:rPr>
      </w:pPr>
      <w:r>
        <w:rPr>
          <w:rFonts w:ascii="David" w:hAnsi="David"/>
          <w:rtl/>
        </w:rPr>
        <w:t xml:space="preserve">אותה העת, רכבה דבוקת רוכבי אופניים של מספר אנשים בכביש הנ"ל ב-2 טורים. הטור האחד בשול מימין לפס הצהוב והטור השני בנתיב הימין של הכביש משמאל לפס הצהוב. הנפגעת אשר רכבה באופניה בדבוקה זו, נסעה בנתיב הימני בטור אשר נסע משמאל לפס הצהוב (כמטר אל תוך הנתיב מהפס הצהוב), בכיוון נסיעת רכב הנאשם לאחר צומת סילבר. </w:t>
      </w:r>
    </w:p>
    <w:p w14:paraId="13CC55F6" w14:textId="77777777" w:rsidR="00857446" w:rsidRDefault="00857446" w:rsidP="00857446">
      <w:pPr>
        <w:spacing w:line="360" w:lineRule="auto"/>
        <w:jc w:val="both"/>
        <w:rPr>
          <w:rFonts w:ascii="David" w:hAnsi="David"/>
          <w:rtl/>
        </w:rPr>
      </w:pPr>
    </w:p>
    <w:p w14:paraId="210A8B8C" w14:textId="77777777" w:rsidR="00857446" w:rsidRDefault="00857446" w:rsidP="00857446">
      <w:pPr>
        <w:spacing w:line="360" w:lineRule="auto"/>
        <w:jc w:val="both"/>
        <w:rPr>
          <w:rFonts w:ascii="David" w:hAnsi="David"/>
          <w:rtl/>
        </w:rPr>
      </w:pPr>
      <w:r>
        <w:rPr>
          <w:rFonts w:ascii="David" w:hAnsi="David"/>
          <w:rtl/>
        </w:rPr>
        <w:t>הנאשם שנסע מאחורי אותה דבוקה, עבר את צומת סילבר כשלפניו שדה ראיה של 200  מטרים. הנאשם נהג בקלות ראש או ברשלנות כשלא שם ליבו לנפגעת אשר רכבה אותה עת לפניו בנתיב ופגע עם חזית רכבו באחורי אופניה.</w:t>
      </w:r>
    </w:p>
    <w:p w14:paraId="2C9830C9" w14:textId="77777777" w:rsidR="00857446" w:rsidRDefault="00857446" w:rsidP="00857446">
      <w:pPr>
        <w:spacing w:line="360" w:lineRule="auto"/>
        <w:jc w:val="both"/>
        <w:rPr>
          <w:rFonts w:ascii="David" w:hAnsi="David"/>
          <w:rtl/>
        </w:rPr>
      </w:pPr>
    </w:p>
    <w:p w14:paraId="659447F7" w14:textId="77777777" w:rsidR="00857446" w:rsidRDefault="00857446" w:rsidP="00857446">
      <w:pPr>
        <w:spacing w:line="360" w:lineRule="auto"/>
        <w:jc w:val="both"/>
        <w:rPr>
          <w:rFonts w:ascii="David" w:hAnsi="David"/>
          <w:rtl/>
        </w:rPr>
      </w:pPr>
      <w:r>
        <w:rPr>
          <w:rFonts w:ascii="David" w:hAnsi="David"/>
          <w:rtl/>
        </w:rPr>
        <w:t xml:space="preserve">כתוצאה מהתאונה, הנפגעת נפגעה בחבלות חמורות בחלקי גופה, התקבלה לבית החולים כשהיא בפירכוס, מורדמת ומונשמת עם דימום תת עכבישי פרונטאלי ד"צ וכן קונטוזיה דימומית פרונטאלית משמאל עם שברים בראשה. </w:t>
      </w:r>
    </w:p>
    <w:p w14:paraId="0499AA5F" w14:textId="77777777" w:rsidR="00857446" w:rsidRDefault="00857446" w:rsidP="00857446">
      <w:pPr>
        <w:spacing w:line="360" w:lineRule="auto"/>
        <w:jc w:val="both"/>
        <w:rPr>
          <w:rFonts w:ascii="David" w:hAnsi="David"/>
          <w:rtl/>
        </w:rPr>
      </w:pPr>
    </w:p>
    <w:p w14:paraId="1629B79C" w14:textId="77777777" w:rsidR="00857446" w:rsidRDefault="00857446" w:rsidP="00857446">
      <w:pPr>
        <w:spacing w:line="360" w:lineRule="auto"/>
        <w:jc w:val="both"/>
        <w:rPr>
          <w:rFonts w:ascii="David" w:hAnsi="David"/>
          <w:rtl/>
        </w:rPr>
      </w:pPr>
      <w:r>
        <w:rPr>
          <w:rFonts w:ascii="David" w:hAnsi="David"/>
          <w:rtl/>
        </w:rPr>
        <w:t>לאחר התאונה, הנאשם עצר רכבו למספר שניות, לא יצא מרכבו ולאחר מכן, עזב את המקום כשלא עמד על תוצאות התאונה ולא הזעיק עזרה. הנאשם נסע לאזור 'שקף' שם עזב את רכבו ונסע למקום מגוריו עם אחר אשר לקחו משם.</w:t>
      </w:r>
    </w:p>
    <w:p w14:paraId="59759EE2" w14:textId="77777777" w:rsidR="00857446" w:rsidRDefault="00857446" w:rsidP="00857446">
      <w:pPr>
        <w:spacing w:line="360" w:lineRule="auto"/>
        <w:jc w:val="both"/>
        <w:rPr>
          <w:rFonts w:ascii="David" w:hAnsi="David"/>
          <w:rtl/>
        </w:rPr>
      </w:pPr>
    </w:p>
    <w:p w14:paraId="105D1B52" w14:textId="77777777" w:rsidR="00857446" w:rsidRDefault="00857446" w:rsidP="00857446">
      <w:pPr>
        <w:spacing w:line="360" w:lineRule="auto"/>
        <w:jc w:val="both"/>
        <w:rPr>
          <w:rFonts w:ascii="David" w:hAnsi="David"/>
          <w:rtl/>
        </w:rPr>
      </w:pPr>
      <w:r>
        <w:rPr>
          <w:rFonts w:ascii="David" w:hAnsi="David"/>
          <w:rtl/>
        </w:rPr>
        <w:t>הנאשם במעשיו הנ"ל, נהג בדרך בקלות דעת או ברשלנות, גרם לתאונה בה נפגעה הנפגעת והפקיר אותה לאחר הפגיעה בה מבלי לעמוד על תוצאות התאונה ומבלי להזעיק עזרה.</w:t>
      </w:r>
    </w:p>
    <w:p w14:paraId="5EEDDCBF" w14:textId="77777777" w:rsidR="00857446" w:rsidRDefault="00857446" w:rsidP="00857446">
      <w:pPr>
        <w:spacing w:line="360" w:lineRule="auto"/>
        <w:jc w:val="both"/>
        <w:rPr>
          <w:rFonts w:ascii="David" w:hAnsi="David"/>
          <w:rtl/>
        </w:rPr>
      </w:pPr>
    </w:p>
    <w:p w14:paraId="663A81EC" w14:textId="77777777" w:rsidR="00857446" w:rsidRDefault="00857446" w:rsidP="00857446">
      <w:pPr>
        <w:spacing w:line="360" w:lineRule="auto"/>
        <w:jc w:val="both"/>
        <w:rPr>
          <w:rFonts w:ascii="David" w:eastAsia="David" w:hAnsi="David"/>
          <w:rtl/>
        </w:rPr>
      </w:pPr>
      <w:r>
        <w:rPr>
          <w:rFonts w:ascii="David" w:eastAsia="David" w:hAnsi="David"/>
          <w:rtl/>
        </w:rPr>
        <w:t>2.</w:t>
      </w:r>
      <w:r>
        <w:rPr>
          <w:rFonts w:ascii="David" w:eastAsia="David" w:hAnsi="David"/>
          <w:rtl/>
        </w:rPr>
        <w:tab/>
        <w:t>הצדדים הגיעו להסדר טיעון לפיו הנאשם יודה בעובדות כתב האישום המתוקן ויורשע בעבירות המפורטות בו. אין הסכמה לעניין העונש.</w:t>
      </w:r>
    </w:p>
    <w:p w14:paraId="6D972235" w14:textId="77777777" w:rsidR="00857446" w:rsidRDefault="00857446" w:rsidP="00857446">
      <w:pPr>
        <w:spacing w:line="360" w:lineRule="auto"/>
        <w:jc w:val="both"/>
        <w:rPr>
          <w:rFonts w:ascii="David" w:eastAsia="David" w:hAnsi="David"/>
        </w:rPr>
      </w:pPr>
    </w:p>
    <w:p w14:paraId="5A084589" w14:textId="77777777" w:rsidR="00857446" w:rsidRDefault="00857446" w:rsidP="00857446">
      <w:pPr>
        <w:spacing w:line="360" w:lineRule="auto"/>
        <w:jc w:val="both"/>
        <w:rPr>
          <w:b/>
          <w:bCs/>
          <w:u w:val="single"/>
          <w:rtl/>
          <w:lang w:eastAsia="he-IL"/>
        </w:rPr>
      </w:pPr>
      <w:r>
        <w:rPr>
          <w:b/>
          <w:bCs/>
          <w:u w:val="single"/>
          <w:rtl/>
          <w:lang w:eastAsia="he-IL"/>
        </w:rPr>
        <w:t>הראיות לעונש</w:t>
      </w:r>
    </w:p>
    <w:p w14:paraId="0A608365" w14:textId="77777777" w:rsidR="00857446" w:rsidRDefault="00857446" w:rsidP="00857446">
      <w:pPr>
        <w:spacing w:line="360" w:lineRule="auto"/>
        <w:jc w:val="both"/>
        <w:rPr>
          <w:b/>
          <w:bCs/>
          <w:u w:val="single"/>
          <w:rtl/>
          <w:lang w:eastAsia="he-IL"/>
        </w:rPr>
      </w:pPr>
    </w:p>
    <w:p w14:paraId="339D7F60" w14:textId="77777777" w:rsidR="00857446" w:rsidRDefault="00857446" w:rsidP="00857446">
      <w:pPr>
        <w:spacing w:line="360" w:lineRule="auto"/>
        <w:jc w:val="both"/>
        <w:rPr>
          <w:rFonts w:ascii="David" w:hAnsi="David"/>
          <w:rtl/>
        </w:rPr>
      </w:pPr>
      <w:r>
        <w:rPr>
          <w:rtl/>
          <w:lang w:eastAsia="he-IL"/>
        </w:rPr>
        <w:t>3.</w:t>
      </w:r>
      <w:r>
        <w:rPr>
          <w:rtl/>
          <w:lang w:eastAsia="he-IL"/>
        </w:rPr>
        <w:tab/>
      </w:r>
      <w:r>
        <w:rPr>
          <w:rFonts w:ascii="David" w:hAnsi="David"/>
          <w:rtl/>
        </w:rPr>
        <w:t xml:space="preserve">מטעם המאשימה הוגשו הרישום הפלילי של הנאשם (ת/1), לפיו הנאשם הורשע בעבירה מ – 2019 לפי </w:t>
      </w:r>
      <w:hyperlink r:id="rId22" w:history="1">
        <w:r w:rsidR="00875186" w:rsidRPr="00875186">
          <w:rPr>
            <w:rStyle w:val="Hyperlink"/>
            <w:rFonts w:ascii="David" w:hAnsi="David"/>
            <w:rtl/>
          </w:rPr>
          <w:t>סעיף 13</w:t>
        </w:r>
      </w:hyperlink>
      <w:r>
        <w:rPr>
          <w:rFonts w:ascii="David" w:hAnsi="David"/>
          <w:rtl/>
        </w:rPr>
        <w:t xml:space="preserve"> ל</w:t>
      </w:r>
      <w:hyperlink r:id="rId23" w:history="1">
        <w:r w:rsidR="004C41EA" w:rsidRPr="004C41EA">
          <w:rPr>
            <w:rFonts w:ascii="David" w:hAnsi="David"/>
            <w:color w:val="0000FF"/>
            <w:u w:val="single"/>
            <w:rtl/>
          </w:rPr>
          <w:t>פקודת הסמים המסוכנים</w:t>
        </w:r>
      </w:hyperlink>
      <w:r>
        <w:rPr>
          <w:rFonts w:ascii="David" w:hAnsi="David"/>
          <w:rtl/>
        </w:rPr>
        <w:t xml:space="preserve"> (נוסח חדש) ונדון בגינה בבי"ד צבאי ל – 16 חודשי </w:t>
      </w:r>
      <w:r>
        <w:rPr>
          <w:rFonts w:ascii="David" w:hAnsi="David"/>
          <w:rtl/>
        </w:rPr>
        <w:lastRenderedPageBreak/>
        <w:t xml:space="preserve">מאסר, והרישום התעבורתי של הנאשם (ת/2), הכולל 13 רישומים בעבירות מהירות, אי החזקת ההגה בשתי ידיים, התנהגות ללא זהירות בדרך, ועבירות קנס נוספות.  </w:t>
      </w:r>
    </w:p>
    <w:p w14:paraId="3C2C5CDE" w14:textId="77777777" w:rsidR="00857446" w:rsidRDefault="00857446" w:rsidP="00857446">
      <w:pPr>
        <w:spacing w:line="360" w:lineRule="auto"/>
        <w:jc w:val="both"/>
        <w:rPr>
          <w:rFonts w:ascii="David" w:hAnsi="David"/>
          <w:rtl/>
        </w:rPr>
      </w:pPr>
    </w:p>
    <w:p w14:paraId="0CF38612" w14:textId="77777777" w:rsidR="00857446" w:rsidRDefault="00857446" w:rsidP="00857446">
      <w:pPr>
        <w:spacing w:line="360" w:lineRule="auto"/>
        <w:jc w:val="both"/>
        <w:rPr>
          <w:rFonts w:ascii="David" w:hAnsi="David"/>
          <w:rtl/>
        </w:rPr>
      </w:pPr>
      <w:r>
        <w:rPr>
          <w:rFonts w:ascii="David" w:hAnsi="David"/>
          <w:rtl/>
        </w:rPr>
        <w:t>מטעם ההגנה הוגש כאמור נ/1 שהינו מסמך אשר הוצא ע"י הרלב"ד וכותרתו "כללי בטיחות בדרכים – רוכבי אופניים".  מסמך זה כולל, בין היתר, את הכלל הבא: "... אם יש שול דרך סלול, רוכבים עליו, קרוב ככל האפשר לשפתו הימנית"</w:t>
      </w:r>
    </w:p>
    <w:p w14:paraId="756B16B6" w14:textId="77777777" w:rsidR="00857446" w:rsidRDefault="00857446" w:rsidP="00857446">
      <w:pPr>
        <w:spacing w:line="360" w:lineRule="auto"/>
        <w:jc w:val="both"/>
        <w:rPr>
          <w:rFonts w:ascii="David" w:hAnsi="David"/>
          <w:rtl/>
        </w:rPr>
      </w:pPr>
    </w:p>
    <w:p w14:paraId="28532A79" w14:textId="77777777" w:rsidR="00857446" w:rsidRDefault="00857446" w:rsidP="00857446">
      <w:pPr>
        <w:spacing w:line="360" w:lineRule="auto"/>
        <w:jc w:val="both"/>
        <w:rPr>
          <w:b/>
          <w:bCs/>
          <w:u w:val="single"/>
          <w:rtl/>
          <w:lang w:eastAsia="he-IL"/>
        </w:rPr>
      </w:pPr>
      <w:r>
        <w:rPr>
          <w:b/>
          <w:bCs/>
          <w:u w:val="single"/>
          <w:rtl/>
          <w:lang w:eastAsia="he-IL"/>
        </w:rPr>
        <w:t>תסקירי שירות מבחן</w:t>
      </w:r>
    </w:p>
    <w:p w14:paraId="19911C3B" w14:textId="77777777" w:rsidR="00857446" w:rsidRDefault="00857446" w:rsidP="00857446">
      <w:pPr>
        <w:spacing w:line="360" w:lineRule="auto"/>
        <w:jc w:val="both"/>
        <w:rPr>
          <w:b/>
          <w:bCs/>
          <w:rtl/>
          <w:lang w:eastAsia="he-IL"/>
        </w:rPr>
      </w:pPr>
    </w:p>
    <w:p w14:paraId="6EF4C6B7" w14:textId="77777777" w:rsidR="00857446" w:rsidRDefault="00857446" w:rsidP="00857446">
      <w:pPr>
        <w:spacing w:line="360" w:lineRule="auto"/>
        <w:jc w:val="both"/>
        <w:rPr>
          <w:rtl/>
          <w:lang w:eastAsia="he-IL"/>
        </w:rPr>
      </w:pPr>
      <w:r>
        <w:rPr>
          <w:rtl/>
          <w:lang w:eastAsia="he-IL"/>
        </w:rPr>
        <w:t>4.</w:t>
      </w:r>
      <w:r>
        <w:rPr>
          <w:rtl/>
          <w:lang w:eastAsia="he-IL"/>
        </w:rPr>
        <w:tab/>
        <w:t xml:space="preserve">בעניינו של הנאשם הוגש שני תסקירי שירות מבחן אשר יפורטו אך בחלקם לאור צנעת הפרט. </w:t>
      </w:r>
    </w:p>
    <w:p w14:paraId="3F785F07" w14:textId="77777777" w:rsidR="00857446" w:rsidRDefault="00857446" w:rsidP="00857446">
      <w:pPr>
        <w:spacing w:line="360" w:lineRule="auto"/>
        <w:jc w:val="both"/>
        <w:rPr>
          <w:rtl/>
          <w:lang w:eastAsia="he-IL"/>
        </w:rPr>
      </w:pPr>
    </w:p>
    <w:p w14:paraId="07E275D3" w14:textId="77777777" w:rsidR="00857446" w:rsidRDefault="00857446" w:rsidP="00857446">
      <w:pPr>
        <w:spacing w:line="360" w:lineRule="auto"/>
        <w:jc w:val="both"/>
        <w:rPr>
          <w:rFonts w:ascii="David" w:hAnsi="David"/>
          <w:rtl/>
        </w:rPr>
      </w:pPr>
      <w:r>
        <w:rPr>
          <w:rFonts w:ascii="David" w:hAnsi="David"/>
          <w:b/>
          <w:bCs/>
          <w:rtl/>
        </w:rPr>
        <w:t xml:space="preserve">ע"פ התסקיר הראשון מיום 20.6.23, </w:t>
      </w:r>
      <w:r>
        <w:rPr>
          <w:rFonts w:ascii="David" w:hAnsi="David"/>
          <w:rtl/>
        </w:rPr>
        <w:t xml:space="preserve">הנאשם נשוי, אב לארבעה ילדים ועובד במפעל, התנדב לשירות הצבאי במהלכו שירת בגדס"ר הבדואי בפלוגה מבצעית, בהמשך שירת בקבע ביחידת הגששים, והשתתף במבצעי לחימה. במהלך שירותו הצבאי נפתח כנגדו הליך פלילי בעבירת סמים במהלכו הורשע ונידון ל-16 ח' מאסר בפועל שקטעו את המשך שירותו, ועבר הליך שיקומי ברש"א. </w:t>
      </w:r>
    </w:p>
    <w:p w14:paraId="15CED0CF" w14:textId="77777777" w:rsidR="00857446" w:rsidRDefault="00857446" w:rsidP="00857446">
      <w:pPr>
        <w:spacing w:line="360" w:lineRule="auto"/>
        <w:jc w:val="both"/>
        <w:rPr>
          <w:rFonts w:ascii="David" w:hAnsi="David"/>
          <w:rtl/>
        </w:rPr>
      </w:pPr>
    </w:p>
    <w:p w14:paraId="3A2D4EAB" w14:textId="77777777" w:rsidR="00857446" w:rsidRDefault="00857446" w:rsidP="00857446">
      <w:pPr>
        <w:spacing w:line="360" w:lineRule="auto"/>
        <w:jc w:val="both"/>
        <w:rPr>
          <w:rFonts w:ascii="David" w:hAnsi="David"/>
          <w:rtl/>
        </w:rPr>
      </w:pPr>
      <w:r>
        <w:rPr>
          <w:rFonts w:ascii="David" w:hAnsi="David"/>
          <w:rtl/>
        </w:rPr>
        <w:t xml:space="preserve">הנאשם מודה בביצוע העבירה ומביע צער וחרטה על התנהלותו ובחירותיו ועל הפגיעה בנפגעת העבירה. </w:t>
      </w:r>
    </w:p>
    <w:p w14:paraId="772FDC2C" w14:textId="77777777" w:rsidR="00857446" w:rsidRDefault="00857446" w:rsidP="00857446">
      <w:pPr>
        <w:spacing w:line="360" w:lineRule="auto"/>
        <w:jc w:val="both"/>
        <w:rPr>
          <w:rFonts w:ascii="David" w:hAnsi="David"/>
          <w:rtl/>
        </w:rPr>
      </w:pPr>
    </w:p>
    <w:p w14:paraId="021E6CF7" w14:textId="77777777" w:rsidR="00857446" w:rsidRDefault="00857446" w:rsidP="00857446">
      <w:pPr>
        <w:spacing w:line="360" w:lineRule="auto"/>
        <w:jc w:val="both"/>
        <w:rPr>
          <w:rFonts w:ascii="David" w:hAnsi="David"/>
          <w:rtl/>
        </w:rPr>
      </w:pPr>
      <w:r>
        <w:rPr>
          <w:rFonts w:ascii="David" w:hAnsi="David"/>
          <w:rtl/>
        </w:rPr>
        <w:t>הנאשם תיאר תחושת בהלה וחרדה באותם רגעים וקושי להתמודד עם תוצאות מעשיו, חש מבולבל וחסר אונים ועל כן נסע מהמקום ולאחר כעשרים דקות רכבו נעצר, לדבריו, כתוצאה מהתאונה. הוא התקשר לחבר כדי שיאסוף אותו והם התכוונו לנסוע יחד לתחנת המשטרה, כאשר נעצר בדרך לשם, ובדרכו לתחנת המשטרה דיווח למשטרה אודות מעשיו.</w:t>
      </w:r>
    </w:p>
    <w:p w14:paraId="6446DF46" w14:textId="77777777" w:rsidR="00857446" w:rsidRDefault="00857446" w:rsidP="00857446">
      <w:pPr>
        <w:spacing w:line="360" w:lineRule="auto"/>
        <w:jc w:val="both"/>
        <w:rPr>
          <w:rFonts w:ascii="David" w:hAnsi="David"/>
          <w:rtl/>
        </w:rPr>
      </w:pPr>
      <w:r>
        <w:rPr>
          <w:rFonts w:ascii="David" w:hAnsi="David"/>
          <w:rtl/>
        </w:rPr>
        <w:t xml:space="preserve"> </w:t>
      </w:r>
    </w:p>
    <w:p w14:paraId="0DF06C55" w14:textId="77777777" w:rsidR="00857446" w:rsidRDefault="00857446" w:rsidP="00857446">
      <w:pPr>
        <w:spacing w:line="360" w:lineRule="auto"/>
        <w:jc w:val="both"/>
        <w:rPr>
          <w:rFonts w:ascii="David" w:hAnsi="David"/>
          <w:rtl/>
        </w:rPr>
      </w:pPr>
      <w:r>
        <w:rPr>
          <w:rFonts w:ascii="David" w:hAnsi="David"/>
          <w:rtl/>
        </w:rPr>
        <w:t xml:space="preserve">שירות המבחן התרשם כי הנאשם מצליח לקחת אחריות על מעשיו ומביע אמפטיה למצבה של נפגעת העבירה, ואמר כי מעוניין להביע חרטה בפניה. </w:t>
      </w:r>
    </w:p>
    <w:p w14:paraId="5B78B293" w14:textId="77777777" w:rsidR="00857446" w:rsidRDefault="00857446" w:rsidP="00857446">
      <w:pPr>
        <w:spacing w:line="360" w:lineRule="auto"/>
        <w:jc w:val="both"/>
        <w:rPr>
          <w:rFonts w:ascii="David" w:hAnsi="David"/>
          <w:rtl/>
        </w:rPr>
      </w:pPr>
    </w:p>
    <w:p w14:paraId="406785FF" w14:textId="77777777" w:rsidR="00857446" w:rsidRDefault="00857446" w:rsidP="00857446">
      <w:pPr>
        <w:spacing w:line="360" w:lineRule="auto"/>
        <w:jc w:val="both"/>
        <w:rPr>
          <w:rFonts w:ascii="David" w:hAnsi="David"/>
          <w:rtl/>
        </w:rPr>
      </w:pPr>
      <w:r>
        <w:rPr>
          <w:rFonts w:ascii="David" w:hAnsi="David"/>
          <w:rtl/>
        </w:rPr>
        <w:t>צויין כי הנאשם נמצא בשלב התחלתי בתהליך הטיפולי בו השתלב, לוקח חלק פעיל ומשתף.</w:t>
      </w:r>
    </w:p>
    <w:p w14:paraId="5E8C643F" w14:textId="77777777" w:rsidR="00857446" w:rsidRDefault="00857446" w:rsidP="00857446">
      <w:pPr>
        <w:spacing w:line="360" w:lineRule="auto"/>
        <w:jc w:val="both"/>
        <w:rPr>
          <w:rFonts w:ascii="David" w:hAnsi="David"/>
          <w:rtl/>
        </w:rPr>
      </w:pPr>
    </w:p>
    <w:p w14:paraId="4AEEB235" w14:textId="77777777" w:rsidR="00857446" w:rsidRDefault="00857446" w:rsidP="00857446">
      <w:pPr>
        <w:spacing w:line="360" w:lineRule="auto"/>
        <w:jc w:val="both"/>
        <w:rPr>
          <w:rFonts w:ascii="David" w:hAnsi="David"/>
          <w:rtl/>
        </w:rPr>
      </w:pPr>
      <w:r>
        <w:rPr>
          <w:rFonts w:ascii="David" w:hAnsi="David"/>
          <w:rtl/>
        </w:rPr>
        <w:t>באשר לגורמי הסיכון הביא שירות המבחן את מאפייני אישיותו של הנאשם ועברו הפלילי בתחום הסמים. באשר לסיכוי לשיקום, התרשם שירות המבחן כי הנאשם אינו מאופיין בדפוסי חשיבה והתנהגות עוברת חוק, ניהל אורח חיים מתפקד ונורמטיבי, בעל כוחות ויכולות לקידום חייו ומטרותיו בתחומים שונים ושאיפות נורמטיביות, בעל מוטיבציה להימנע ממעורבות בפלילים בעתיד, וההליכים הפליליים מהווים גורם מרתיע עבורו.</w:t>
      </w:r>
    </w:p>
    <w:p w14:paraId="4237759E" w14:textId="77777777" w:rsidR="00857446" w:rsidRDefault="00857446" w:rsidP="00857446">
      <w:pPr>
        <w:spacing w:line="360" w:lineRule="auto"/>
        <w:jc w:val="both"/>
        <w:rPr>
          <w:rFonts w:ascii="David" w:hAnsi="David"/>
          <w:rtl/>
        </w:rPr>
      </w:pPr>
      <w:r>
        <w:rPr>
          <w:rFonts w:ascii="David" w:hAnsi="David"/>
          <w:rtl/>
        </w:rPr>
        <w:t xml:space="preserve"> </w:t>
      </w:r>
    </w:p>
    <w:p w14:paraId="64A80A7C" w14:textId="77777777" w:rsidR="00857446" w:rsidRDefault="00857446" w:rsidP="00857446">
      <w:pPr>
        <w:spacing w:line="360" w:lineRule="auto"/>
        <w:jc w:val="both"/>
        <w:rPr>
          <w:rFonts w:ascii="David" w:hAnsi="David"/>
          <w:rtl/>
        </w:rPr>
      </w:pPr>
      <w:r>
        <w:rPr>
          <w:rFonts w:ascii="David" w:hAnsi="David"/>
          <w:rtl/>
        </w:rPr>
        <w:t>שירות המבחן מציין כי בהמשך שילובו של הנאשם בטיפול יהיה כדי לתת מענה לסיכון הקיים מהמשך התנהגות עוברת חוק, והמליץ לדחות את הדיון לצורך מעקב אחר הטיפול, לרבות טיפול נוסף בקבוצת ערב בה הוא אמור להשתלב.</w:t>
      </w:r>
    </w:p>
    <w:p w14:paraId="1DA719F4" w14:textId="77777777" w:rsidR="00857446" w:rsidRDefault="00857446" w:rsidP="00857446">
      <w:pPr>
        <w:spacing w:line="360" w:lineRule="auto"/>
        <w:jc w:val="both"/>
        <w:rPr>
          <w:rFonts w:ascii="David" w:hAnsi="David"/>
          <w:rtl/>
        </w:rPr>
      </w:pPr>
    </w:p>
    <w:p w14:paraId="2E9B767D" w14:textId="77777777" w:rsidR="00857446" w:rsidRDefault="00857446" w:rsidP="00857446">
      <w:pPr>
        <w:spacing w:line="360" w:lineRule="auto"/>
        <w:jc w:val="both"/>
        <w:rPr>
          <w:rFonts w:ascii="David" w:hAnsi="David"/>
          <w:rtl/>
        </w:rPr>
      </w:pPr>
      <w:r>
        <w:rPr>
          <w:rFonts w:ascii="David" w:hAnsi="David"/>
          <w:b/>
          <w:bCs/>
          <w:rtl/>
        </w:rPr>
        <w:t xml:space="preserve">על פי התסקיר השני מיום 17.12.23, </w:t>
      </w:r>
      <w:r>
        <w:rPr>
          <w:rFonts w:ascii="David" w:hAnsi="David"/>
          <w:rtl/>
        </w:rPr>
        <w:t xml:space="preserve">על רקע המלחמה וחגי תשרי הנאשם התחיל השתלבותו בקבוצת ערב רק בתאריך 11.12.23 וכיום נמצא בשלבי הכרות והשתלבות. הנאשם משתף פעולה באופן מלא עם שירות המבחן. הנאשם ביטא דאגה רבה למצבה הגופני והנפשי של נפגעת העבירה. </w:t>
      </w:r>
    </w:p>
    <w:p w14:paraId="1D1D72E1" w14:textId="77777777" w:rsidR="00857446" w:rsidRDefault="00857446" w:rsidP="00857446">
      <w:pPr>
        <w:spacing w:line="360" w:lineRule="auto"/>
        <w:jc w:val="both"/>
        <w:rPr>
          <w:rFonts w:ascii="David" w:hAnsi="David"/>
          <w:rtl/>
        </w:rPr>
      </w:pPr>
    </w:p>
    <w:p w14:paraId="0DCCD092" w14:textId="77777777" w:rsidR="00857446" w:rsidRDefault="00857446" w:rsidP="00857446">
      <w:pPr>
        <w:spacing w:line="360" w:lineRule="auto"/>
        <w:jc w:val="both"/>
        <w:rPr>
          <w:rFonts w:ascii="David" w:hAnsi="David"/>
          <w:rtl/>
        </w:rPr>
      </w:pPr>
      <w:r>
        <w:rPr>
          <w:rFonts w:ascii="David" w:hAnsi="David"/>
          <w:rtl/>
        </w:rPr>
        <w:t>שירות המבחן סבור כי "במקרה הזה ישנה חשיבות רבה לאפשרות השיקום והטיפול על פני מתחם הענישה".</w:t>
      </w:r>
    </w:p>
    <w:p w14:paraId="056A38AD" w14:textId="77777777" w:rsidR="00857446" w:rsidRDefault="00857446" w:rsidP="00857446">
      <w:pPr>
        <w:spacing w:line="360" w:lineRule="auto"/>
        <w:jc w:val="both"/>
        <w:rPr>
          <w:rFonts w:ascii="David" w:hAnsi="David"/>
          <w:rtl/>
        </w:rPr>
      </w:pPr>
    </w:p>
    <w:p w14:paraId="570CEAD6" w14:textId="77777777" w:rsidR="00857446" w:rsidRDefault="00857446" w:rsidP="00857446">
      <w:pPr>
        <w:spacing w:line="360" w:lineRule="auto"/>
        <w:jc w:val="both"/>
        <w:rPr>
          <w:rFonts w:ascii="David" w:hAnsi="David"/>
          <w:rtl/>
        </w:rPr>
      </w:pPr>
      <w:r>
        <w:rPr>
          <w:rFonts w:ascii="David" w:hAnsi="David"/>
          <w:rtl/>
        </w:rPr>
        <w:t>שירות המבחן לקח בשיקוליו את חומרת העבירה אל מול הודאת הנאשם, לקיחת אחריות, נכונות להשתלב בהליך טיפולי, והמליץ להטיל צו מבחן לשנה לצד עבודות שירות ומאסר מותנה.</w:t>
      </w:r>
    </w:p>
    <w:p w14:paraId="2599F11B" w14:textId="77777777" w:rsidR="00857446" w:rsidRDefault="00857446" w:rsidP="00857446">
      <w:pPr>
        <w:spacing w:line="360" w:lineRule="auto"/>
        <w:jc w:val="both"/>
        <w:rPr>
          <w:rFonts w:ascii="David" w:hAnsi="David"/>
          <w:rtl/>
        </w:rPr>
      </w:pPr>
    </w:p>
    <w:p w14:paraId="1DC358BA" w14:textId="77777777" w:rsidR="00857446" w:rsidRDefault="00857446" w:rsidP="00857446">
      <w:pPr>
        <w:spacing w:line="360" w:lineRule="auto"/>
        <w:jc w:val="both"/>
        <w:rPr>
          <w:b/>
          <w:bCs/>
          <w:u w:val="single"/>
          <w:lang w:eastAsia="he-IL"/>
        </w:rPr>
      </w:pPr>
      <w:r>
        <w:rPr>
          <w:b/>
          <w:bCs/>
          <w:u w:val="single"/>
          <w:rtl/>
          <w:lang w:eastAsia="he-IL"/>
        </w:rPr>
        <w:t>טענות הצדדים:</w:t>
      </w:r>
    </w:p>
    <w:p w14:paraId="6A2F88B9" w14:textId="77777777" w:rsidR="00857446" w:rsidRDefault="00857446" w:rsidP="00857446">
      <w:pPr>
        <w:spacing w:line="360" w:lineRule="auto"/>
        <w:jc w:val="both"/>
        <w:rPr>
          <w:b/>
          <w:bCs/>
          <w:u w:val="single"/>
          <w:rtl/>
          <w:lang w:eastAsia="he-IL"/>
        </w:rPr>
      </w:pPr>
    </w:p>
    <w:p w14:paraId="3C9D010A" w14:textId="77777777" w:rsidR="00857446" w:rsidRDefault="00857446" w:rsidP="00857446">
      <w:pPr>
        <w:spacing w:line="360" w:lineRule="auto"/>
        <w:jc w:val="both"/>
        <w:rPr>
          <w:rFonts w:ascii="David" w:hAnsi="David"/>
          <w:rtl/>
        </w:rPr>
      </w:pPr>
      <w:r>
        <w:rPr>
          <w:rtl/>
          <w:lang w:eastAsia="he-IL"/>
        </w:rPr>
        <w:t>5.</w:t>
      </w:r>
      <w:r>
        <w:rPr>
          <w:rtl/>
          <w:lang w:eastAsia="he-IL"/>
        </w:rPr>
        <w:tab/>
      </w:r>
      <w:r>
        <w:rPr>
          <w:rFonts w:ascii="David" w:hAnsi="David"/>
          <w:b/>
          <w:bCs/>
          <w:rtl/>
        </w:rPr>
        <w:t>לטענת ב"כ המאשימה:</w:t>
      </w:r>
    </w:p>
    <w:p w14:paraId="6E3DC2AF" w14:textId="77777777" w:rsidR="00857446" w:rsidRDefault="00857446" w:rsidP="00857446">
      <w:pPr>
        <w:spacing w:line="360" w:lineRule="auto"/>
        <w:jc w:val="both"/>
        <w:rPr>
          <w:rFonts w:ascii="David" w:hAnsi="David"/>
          <w:rtl/>
        </w:rPr>
      </w:pPr>
    </w:p>
    <w:p w14:paraId="52629C8C" w14:textId="77777777" w:rsidR="00857446" w:rsidRDefault="00857446" w:rsidP="00857446">
      <w:pPr>
        <w:spacing w:line="360" w:lineRule="auto"/>
        <w:jc w:val="both"/>
        <w:rPr>
          <w:rFonts w:ascii="David" w:eastAsia="David" w:hAnsi="David"/>
          <w:rtl/>
        </w:rPr>
      </w:pPr>
      <w:r>
        <w:rPr>
          <w:rFonts w:ascii="David" w:eastAsia="David" w:hAnsi="David"/>
          <w:rtl/>
        </w:rPr>
        <w:t>הנאשם פגע פגיעה קשה וחמורה בערכים החברתיים של חיי אדם, שלמות הגוף, עזרה הדדית וסולידריות חברתית ומוסרית.</w:t>
      </w:r>
    </w:p>
    <w:p w14:paraId="2C1C9322" w14:textId="77777777" w:rsidR="00857446" w:rsidRDefault="00857446" w:rsidP="00857446">
      <w:pPr>
        <w:spacing w:line="360" w:lineRule="auto"/>
        <w:jc w:val="both"/>
        <w:rPr>
          <w:rFonts w:ascii="David" w:eastAsia="David" w:hAnsi="David"/>
          <w:rtl/>
        </w:rPr>
      </w:pPr>
    </w:p>
    <w:p w14:paraId="5F4544E2" w14:textId="77777777" w:rsidR="00857446" w:rsidRDefault="00857446" w:rsidP="00857446">
      <w:pPr>
        <w:spacing w:line="360" w:lineRule="auto"/>
        <w:jc w:val="both"/>
        <w:rPr>
          <w:rFonts w:ascii="David" w:eastAsia="David" w:hAnsi="David"/>
          <w:rtl/>
        </w:rPr>
      </w:pPr>
      <w:r>
        <w:rPr>
          <w:rFonts w:ascii="David" w:eastAsia="David" w:hAnsi="David"/>
          <w:rtl/>
        </w:rPr>
        <w:t>די בחבלות החמורות בחלקי גופה של הנפגעת שגרם הנאשם לנפגעת, בגינם התקבלה לבית החולים כשהיא בפירכוס, מורדמת ומונשמת, כדי להביא לענישה בדמות מאסר בפועל ארוך וממושך, בשים לב לעובדה שהנאשם נסע לאזור אחר, שם עזב את רכבו ונסע עם אחר שלקחו משם.</w:t>
      </w:r>
    </w:p>
    <w:p w14:paraId="7F708184" w14:textId="77777777" w:rsidR="00857446" w:rsidRDefault="00857446" w:rsidP="00857446">
      <w:pPr>
        <w:spacing w:line="360" w:lineRule="auto"/>
        <w:jc w:val="both"/>
        <w:rPr>
          <w:rFonts w:ascii="David" w:eastAsia="David" w:hAnsi="David"/>
          <w:rtl/>
        </w:rPr>
      </w:pPr>
    </w:p>
    <w:p w14:paraId="1A25A8FB" w14:textId="77777777" w:rsidR="00857446" w:rsidRDefault="00857446" w:rsidP="00857446">
      <w:pPr>
        <w:spacing w:line="360" w:lineRule="auto"/>
        <w:jc w:val="both"/>
        <w:rPr>
          <w:rFonts w:ascii="David" w:eastAsia="David" w:hAnsi="David"/>
          <w:rtl/>
        </w:rPr>
      </w:pPr>
      <w:r>
        <w:rPr>
          <w:rFonts w:ascii="David" w:eastAsia="David" w:hAnsi="David"/>
          <w:rtl/>
        </w:rPr>
        <w:t>החלופה בה הורשע הנאשם בעבירת ההפקרה היא החלופה שלצידה 14 שנות מאסר, ויש לשקף את סלידת החברה ממעשי הנאשם.</w:t>
      </w:r>
    </w:p>
    <w:p w14:paraId="31D05AC2" w14:textId="77777777" w:rsidR="00857446" w:rsidRDefault="00857446" w:rsidP="00857446">
      <w:pPr>
        <w:spacing w:line="360" w:lineRule="auto"/>
        <w:jc w:val="both"/>
        <w:rPr>
          <w:rFonts w:ascii="David" w:eastAsia="David" w:hAnsi="David"/>
          <w:rtl/>
        </w:rPr>
      </w:pPr>
    </w:p>
    <w:p w14:paraId="21369973" w14:textId="77777777" w:rsidR="00857446" w:rsidRDefault="00857446" w:rsidP="00857446">
      <w:pPr>
        <w:spacing w:line="360" w:lineRule="auto"/>
        <w:jc w:val="both"/>
        <w:rPr>
          <w:rFonts w:ascii="David" w:eastAsia="David" w:hAnsi="David"/>
        </w:rPr>
      </w:pPr>
      <w:r>
        <w:rPr>
          <w:rFonts w:ascii="David" w:eastAsia="David" w:hAnsi="David"/>
          <w:rtl/>
        </w:rPr>
        <w:t xml:space="preserve">ב"כ המאשימה </w:t>
      </w:r>
      <w:r>
        <w:rPr>
          <w:rFonts w:ascii="David" w:eastAsia="David" w:hAnsi="David" w:hint="cs"/>
          <w:rtl/>
        </w:rPr>
        <w:t>אמר</w:t>
      </w:r>
      <w:r>
        <w:rPr>
          <w:rFonts w:ascii="David" w:eastAsia="David" w:hAnsi="David"/>
          <w:rtl/>
        </w:rPr>
        <w:t xml:space="preserve"> כי שוחח עם נפגעת העבירה, ונמסר לו שה</w:t>
      </w:r>
      <w:r>
        <w:rPr>
          <w:rFonts w:ascii="David" w:eastAsia="David" w:hAnsi="David" w:hint="cs"/>
          <w:rtl/>
        </w:rPr>
        <w:t>י</w:t>
      </w:r>
      <w:r>
        <w:rPr>
          <w:rFonts w:ascii="David" w:eastAsia="David" w:hAnsi="David"/>
          <w:rtl/>
        </w:rPr>
        <w:t>א עדיין בשיקום, ומבחינתה העונש צריך להיות ברף העליון, והיא רואה מקום של ענישה מאוד קשה לאור הנזק שנגרם לה ולאור ההפקרה שהיתה כמתואר בכתב האישום.</w:t>
      </w:r>
    </w:p>
    <w:p w14:paraId="46A98381" w14:textId="77777777" w:rsidR="00857446" w:rsidRDefault="00857446" w:rsidP="00857446">
      <w:pPr>
        <w:spacing w:line="360" w:lineRule="auto"/>
        <w:jc w:val="both"/>
        <w:rPr>
          <w:rFonts w:ascii="David" w:eastAsia="David" w:hAnsi="David"/>
          <w:rtl/>
        </w:rPr>
      </w:pPr>
    </w:p>
    <w:p w14:paraId="7026C493" w14:textId="77777777" w:rsidR="00857446" w:rsidRDefault="00857446" w:rsidP="00857446">
      <w:pPr>
        <w:spacing w:line="360" w:lineRule="auto"/>
        <w:jc w:val="both"/>
        <w:rPr>
          <w:rFonts w:ascii="David" w:eastAsia="David" w:hAnsi="David"/>
          <w:rtl/>
        </w:rPr>
      </w:pPr>
      <w:r>
        <w:rPr>
          <w:rFonts w:ascii="David" w:eastAsia="David" w:hAnsi="David"/>
          <w:rtl/>
        </w:rPr>
        <w:t xml:space="preserve">נטען למתחם עונש הולם הנע בין 3 ל- 5 שנות מאסר, והתבקש שהמאסר ימוקם ברף הבינוני גבוה, לאור הרישום הפלילי. </w:t>
      </w:r>
    </w:p>
    <w:p w14:paraId="1A503E01" w14:textId="77777777" w:rsidR="00857446" w:rsidRDefault="00857446" w:rsidP="00857446">
      <w:pPr>
        <w:spacing w:line="360" w:lineRule="auto"/>
        <w:jc w:val="both"/>
        <w:rPr>
          <w:rFonts w:ascii="David" w:eastAsia="David" w:hAnsi="David"/>
          <w:rtl/>
        </w:rPr>
      </w:pPr>
    </w:p>
    <w:p w14:paraId="136776EC" w14:textId="77777777" w:rsidR="00857446" w:rsidRDefault="00857446" w:rsidP="00857446">
      <w:pPr>
        <w:spacing w:line="360" w:lineRule="auto"/>
        <w:jc w:val="both"/>
        <w:rPr>
          <w:rFonts w:ascii="David" w:eastAsia="David" w:hAnsi="David"/>
          <w:rtl/>
        </w:rPr>
      </w:pPr>
      <w:r>
        <w:rPr>
          <w:rFonts w:ascii="David" w:eastAsia="David" w:hAnsi="David"/>
          <w:rtl/>
        </w:rPr>
        <w:t xml:space="preserve">התבקש לקבוע מתחם פסילה לנאשם שבין 6 ל-12 שנות פסילה, ולהטילה גם ברף הבינוני גבוה, ובנוסף להטיל מאסר על תנאי ופסילה על תנאי שמשכם יהיה לשיקול דעת בית המשפט. כמו כן פיצוי על סך 30,000 ₪. </w:t>
      </w:r>
    </w:p>
    <w:p w14:paraId="0349E4F3" w14:textId="77777777" w:rsidR="00857446" w:rsidRDefault="00857446" w:rsidP="00857446">
      <w:pPr>
        <w:spacing w:line="360" w:lineRule="auto"/>
        <w:jc w:val="both"/>
        <w:rPr>
          <w:rFonts w:ascii="David" w:eastAsia="David" w:hAnsi="David"/>
          <w:rtl/>
        </w:rPr>
      </w:pPr>
    </w:p>
    <w:p w14:paraId="44E0EE02" w14:textId="77777777" w:rsidR="00857446" w:rsidRDefault="00857446" w:rsidP="00857446">
      <w:pPr>
        <w:spacing w:line="360" w:lineRule="auto"/>
        <w:jc w:val="both"/>
        <w:rPr>
          <w:rFonts w:ascii="David" w:eastAsia="David" w:hAnsi="David"/>
          <w:rtl/>
        </w:rPr>
      </w:pPr>
      <w:r>
        <w:rPr>
          <w:rFonts w:ascii="David" w:eastAsia="David" w:hAnsi="David"/>
          <w:rtl/>
        </w:rPr>
        <w:t>בטיעונים לעונש בכתב נטען ע"י ב"כ המאשימה כי "חלקו של הנאשם בביצוע העבירות נשוא כתב האישום הינו מלא ומוחלט".</w:t>
      </w:r>
    </w:p>
    <w:p w14:paraId="04179142" w14:textId="77777777" w:rsidR="00857446" w:rsidRDefault="00857446" w:rsidP="00857446">
      <w:pPr>
        <w:spacing w:line="360" w:lineRule="auto"/>
        <w:jc w:val="both"/>
        <w:rPr>
          <w:rFonts w:ascii="David" w:hAnsi="David"/>
          <w:rtl/>
        </w:rPr>
      </w:pPr>
    </w:p>
    <w:p w14:paraId="172C42E2" w14:textId="77777777" w:rsidR="00857446" w:rsidRDefault="00857446" w:rsidP="00857446">
      <w:pPr>
        <w:spacing w:line="360" w:lineRule="auto"/>
        <w:jc w:val="both"/>
        <w:rPr>
          <w:rFonts w:ascii="David" w:eastAsia="David" w:hAnsi="David"/>
          <w:b/>
          <w:bCs/>
          <w:rtl/>
        </w:rPr>
      </w:pPr>
      <w:r>
        <w:rPr>
          <w:rFonts w:ascii="David" w:hAnsi="David"/>
          <w:rtl/>
        </w:rPr>
        <w:t xml:space="preserve">בטיעונים בכתב לא היתה כל התייחסות לחלקה של הנפגעת בגרימת התאונה. בטיעונים בבית המשפט אמר ב"כ המאשימה : </w:t>
      </w:r>
      <w:r>
        <w:rPr>
          <w:rFonts w:ascii="David" w:eastAsia="David" w:hAnsi="David"/>
          <w:b/>
          <w:bCs/>
          <w:rtl/>
        </w:rPr>
        <w:t>"... אני מסכים שיש רשלנות תורמת של הנפגעת לעניין התאונה עצמה. אם כי עדיין המסה העיקרית היא של הנאשם, משום שהיה צריך להבחין בה מבעוד מועד ולנקוט זהירות יתר. אין מחלוקת שהיתה רשלנות תורמת של הנפגעת. אולי על המידה יש לנו מחלוקת. אם נגיד שוטר היה תופס אותה בלי התאונה, שהיא נוסעת משמאל לקו השול, דהיינו בתוך הנתיב כפי שהיא רכבה, אני מניח שהיו נותנים אולי דוח מסוים. במקרה הזה אני כן מסכים שיש רשלנות תורמת של רוכבת האופניים אם כי מועטה, היות והיא נסעה לא במרכז הנתיב אלא כמטר משמאל לקו השול. מדובר בכביש בן שני נתיבים לכל כיוון, וכל אחד משני הנתיבים הוא ברוחב של כ-2.5 מטר. הטענה המרכזית שלנו היא שהיה יכול להבחין מבעוד מועד ולמנוע את התאונה. אני מסכים שיש רשלנות תורמת של רוכבת האופניים, אני לא חולק על זה.".</w:t>
      </w:r>
    </w:p>
    <w:p w14:paraId="180E8A88" w14:textId="77777777" w:rsidR="00857446" w:rsidRDefault="00857446" w:rsidP="00857446">
      <w:pPr>
        <w:spacing w:line="360" w:lineRule="auto"/>
        <w:jc w:val="both"/>
        <w:rPr>
          <w:rFonts w:ascii="David" w:eastAsia="David" w:hAnsi="David"/>
          <w:rtl/>
        </w:rPr>
      </w:pPr>
    </w:p>
    <w:p w14:paraId="00E54041" w14:textId="77777777" w:rsidR="00857446" w:rsidRDefault="00857446" w:rsidP="00857446">
      <w:pPr>
        <w:spacing w:line="360" w:lineRule="auto"/>
        <w:jc w:val="both"/>
        <w:rPr>
          <w:rFonts w:ascii="David" w:eastAsia="David" w:hAnsi="David"/>
          <w:rtl/>
        </w:rPr>
      </w:pPr>
      <w:r>
        <w:rPr>
          <w:rFonts w:ascii="David" w:eastAsia="David" w:hAnsi="David"/>
          <w:rtl/>
        </w:rPr>
        <w:t xml:space="preserve">עוד הוסיף ב"כ המאשימה: </w:t>
      </w:r>
      <w:r>
        <w:rPr>
          <w:rFonts w:ascii="David" w:hAnsi="David"/>
          <w:rtl/>
        </w:rPr>
        <w:t>"</w:t>
      </w:r>
      <w:r>
        <w:rPr>
          <w:rFonts w:ascii="David" w:eastAsia="David" w:hAnsi="David"/>
          <w:rtl/>
        </w:rPr>
        <w:t xml:space="preserve">אני מסכים לזה שהיו איתה רוכבים. יש להניח שבגלל שהיתה דבוקה של אנשים שם אז ניתן סיוע ע"י כך שהתקשרו למד"א." </w:t>
      </w:r>
    </w:p>
    <w:p w14:paraId="75DE9D9B" w14:textId="77777777" w:rsidR="00857446" w:rsidRDefault="00857446" w:rsidP="00857446">
      <w:pPr>
        <w:spacing w:line="360" w:lineRule="auto"/>
        <w:jc w:val="both"/>
        <w:rPr>
          <w:rFonts w:ascii="David" w:eastAsia="David" w:hAnsi="David"/>
          <w:rtl/>
        </w:rPr>
      </w:pPr>
    </w:p>
    <w:p w14:paraId="785132A6" w14:textId="77777777" w:rsidR="00857446" w:rsidRDefault="00857446" w:rsidP="00857446">
      <w:pPr>
        <w:spacing w:line="360" w:lineRule="auto"/>
        <w:jc w:val="both"/>
        <w:rPr>
          <w:rFonts w:ascii="David" w:hAnsi="David"/>
          <w:rtl/>
        </w:rPr>
      </w:pPr>
      <w:r>
        <w:rPr>
          <w:rFonts w:ascii="David" w:hAnsi="David"/>
          <w:rtl/>
        </w:rPr>
        <w:t>6.</w:t>
      </w:r>
      <w:r>
        <w:rPr>
          <w:rFonts w:ascii="David" w:hAnsi="David"/>
          <w:rtl/>
        </w:rPr>
        <w:tab/>
      </w:r>
      <w:r>
        <w:rPr>
          <w:rFonts w:ascii="David" w:hAnsi="David"/>
          <w:b/>
          <w:bCs/>
          <w:rtl/>
        </w:rPr>
        <w:t>לטענת ב"כ הנאשם:</w:t>
      </w:r>
    </w:p>
    <w:p w14:paraId="5E1112E6" w14:textId="77777777" w:rsidR="00857446" w:rsidRDefault="00857446" w:rsidP="00857446">
      <w:pPr>
        <w:spacing w:line="360" w:lineRule="auto"/>
        <w:jc w:val="both"/>
        <w:rPr>
          <w:rFonts w:ascii="David" w:hAnsi="David"/>
          <w:rtl/>
        </w:rPr>
      </w:pPr>
    </w:p>
    <w:p w14:paraId="500EE07D" w14:textId="77777777" w:rsidR="00857446" w:rsidRDefault="00857446" w:rsidP="00857446">
      <w:pPr>
        <w:spacing w:line="360" w:lineRule="auto"/>
        <w:jc w:val="both"/>
        <w:rPr>
          <w:rFonts w:ascii="David" w:eastAsia="David" w:hAnsi="David"/>
          <w:rtl/>
        </w:rPr>
      </w:pPr>
      <w:r>
        <w:rPr>
          <w:rFonts w:ascii="David" w:eastAsia="David" w:hAnsi="David"/>
          <w:rtl/>
        </w:rPr>
        <w:t>הנאשם היה עצור מיום 8.10.22 עד ליום 15.2.23. מאז הוא באיזוק אלקטרוני עד ליום 28.3.23.</w:t>
      </w:r>
    </w:p>
    <w:p w14:paraId="65C6FA91" w14:textId="77777777" w:rsidR="00857446" w:rsidRDefault="00857446" w:rsidP="00857446">
      <w:pPr>
        <w:spacing w:line="360" w:lineRule="auto"/>
        <w:jc w:val="both"/>
        <w:rPr>
          <w:rFonts w:ascii="David" w:eastAsia="David" w:hAnsi="David"/>
        </w:rPr>
      </w:pPr>
    </w:p>
    <w:p w14:paraId="1D8780BE" w14:textId="77777777" w:rsidR="00857446" w:rsidRDefault="00857446" w:rsidP="00857446">
      <w:pPr>
        <w:spacing w:line="360" w:lineRule="auto"/>
        <w:jc w:val="both"/>
        <w:rPr>
          <w:rFonts w:ascii="David" w:eastAsia="David" w:hAnsi="David"/>
          <w:rtl/>
        </w:rPr>
      </w:pPr>
      <w:r>
        <w:rPr>
          <w:rFonts w:ascii="David" w:eastAsia="David" w:hAnsi="David"/>
          <w:rtl/>
        </w:rPr>
        <w:t>הנאשם הודה בכתב האישום המתוקן בפה מלא. כתב האישום המקורי טמן בחובו עבירות של נהיגה בשכרות, עבירה חמורה לכשעצמה, היא נמחקה מכתב האישום המתוקן. כל מה שקשור לאישום של שכרות בוטל כלא היה.</w:t>
      </w:r>
    </w:p>
    <w:p w14:paraId="7262BA5C" w14:textId="77777777" w:rsidR="00857446" w:rsidRDefault="00857446" w:rsidP="00857446">
      <w:pPr>
        <w:spacing w:line="360" w:lineRule="auto"/>
        <w:jc w:val="both"/>
        <w:rPr>
          <w:rFonts w:ascii="David" w:eastAsia="David" w:hAnsi="David"/>
          <w:rtl/>
        </w:rPr>
      </w:pPr>
    </w:p>
    <w:p w14:paraId="5094443F" w14:textId="77777777" w:rsidR="00857446" w:rsidRDefault="00857446" w:rsidP="00857446">
      <w:pPr>
        <w:spacing w:line="360" w:lineRule="auto"/>
        <w:jc w:val="both"/>
        <w:rPr>
          <w:rFonts w:ascii="David" w:eastAsia="David" w:hAnsi="David"/>
          <w:rtl/>
        </w:rPr>
      </w:pPr>
      <w:r>
        <w:rPr>
          <w:rFonts w:ascii="David" w:eastAsia="David" w:hAnsi="David"/>
          <w:rtl/>
        </w:rPr>
        <w:t>לגבי כתב האישום המתוקן, בעבירת הפקרה ונהיגה בקלות ראש ורשלנות, ביחס לעבירת הפקרה היה כשל מוסרי וחברתי שמוטל על כל אחד מאיתנו להבטיח מתן עזרה רפואית מידית לנפגע התאונה. די היה אם היה נשאר במקום כדי למלא את החובה שלו. כדי לאמוד את הפגיעה בערך המוגן, גם של בטחונו ושלומו של אדם, יש להתייחס לנסיבות האירוע, שכן הפגיעה ועוצמתה טמונה בסכנה כאשר לא נכחו בתאונה אנשים נוספים, שהיה בהם כדי לסייע לאותו נפגע. זאת למעשה המהות של עבירת ההפקרה.</w:t>
      </w:r>
    </w:p>
    <w:p w14:paraId="630B0338" w14:textId="77777777" w:rsidR="00857446" w:rsidRDefault="00857446" w:rsidP="00857446">
      <w:pPr>
        <w:spacing w:line="360" w:lineRule="auto"/>
        <w:jc w:val="both"/>
        <w:rPr>
          <w:rFonts w:ascii="David" w:eastAsia="David" w:hAnsi="David"/>
          <w:rtl/>
        </w:rPr>
      </w:pPr>
    </w:p>
    <w:p w14:paraId="38876F7C" w14:textId="77777777" w:rsidR="00857446" w:rsidRDefault="00857446" w:rsidP="00857446">
      <w:pPr>
        <w:spacing w:line="360" w:lineRule="auto"/>
        <w:jc w:val="both"/>
        <w:rPr>
          <w:rFonts w:ascii="David" w:eastAsia="David" w:hAnsi="David"/>
          <w:rtl/>
        </w:rPr>
      </w:pPr>
      <w:r>
        <w:rPr>
          <w:rFonts w:ascii="David" w:eastAsia="David" w:hAnsi="David"/>
          <w:rtl/>
        </w:rPr>
        <w:t>במקרה של הנאשם מבלי לטשטש כהוא זה את הכשל המוסרי של הנאשם, נטען שהנפגעת שרכבה עם קבוצה, קיבלה סיוע במקום, חבריה התקשרו למד"א ועל כך אין חולק.</w:t>
      </w:r>
    </w:p>
    <w:p w14:paraId="3ECCB05A" w14:textId="77777777" w:rsidR="00857446" w:rsidRDefault="00857446" w:rsidP="00857446">
      <w:pPr>
        <w:spacing w:line="360" w:lineRule="auto"/>
        <w:jc w:val="both"/>
        <w:rPr>
          <w:rFonts w:ascii="David" w:eastAsia="David" w:hAnsi="David"/>
          <w:rtl/>
        </w:rPr>
      </w:pPr>
    </w:p>
    <w:p w14:paraId="4D965166" w14:textId="77777777" w:rsidR="00857446" w:rsidRDefault="00857446" w:rsidP="00857446">
      <w:pPr>
        <w:spacing w:line="360" w:lineRule="auto"/>
        <w:jc w:val="both"/>
        <w:rPr>
          <w:rFonts w:ascii="David" w:eastAsia="David" w:hAnsi="David"/>
          <w:rtl/>
        </w:rPr>
      </w:pPr>
      <w:r>
        <w:rPr>
          <w:rFonts w:ascii="David" w:eastAsia="David" w:hAnsi="David"/>
          <w:rtl/>
        </w:rPr>
        <w:t>החובה המוסרית אכן לא קוימה. אכן ישנם נהגים שנקלעים לתגובה נפשית שונה לנוכח תאונה שמלווה בחרדה, אך אין בכך כדי לתת צידוק לעזוב את המקום ומכאן הכשל.</w:t>
      </w:r>
    </w:p>
    <w:p w14:paraId="1ABD94B1" w14:textId="77777777" w:rsidR="00857446" w:rsidRDefault="00857446" w:rsidP="00857446">
      <w:pPr>
        <w:spacing w:line="360" w:lineRule="auto"/>
        <w:jc w:val="both"/>
        <w:rPr>
          <w:rFonts w:ascii="David" w:eastAsia="David" w:hAnsi="David"/>
          <w:rtl/>
        </w:rPr>
      </w:pPr>
    </w:p>
    <w:p w14:paraId="75FE0D95" w14:textId="77777777" w:rsidR="00857446" w:rsidRDefault="00857446" w:rsidP="00857446">
      <w:pPr>
        <w:spacing w:line="360" w:lineRule="auto"/>
        <w:jc w:val="both"/>
        <w:rPr>
          <w:rFonts w:ascii="David" w:eastAsia="David" w:hAnsi="David"/>
          <w:rtl/>
        </w:rPr>
      </w:pPr>
      <w:r>
        <w:rPr>
          <w:rFonts w:ascii="David" w:eastAsia="David" w:hAnsi="David"/>
          <w:rtl/>
        </w:rPr>
        <w:t xml:space="preserve">ביחס לנהיגה בקלות ראש, או רשלנות, הרי שעוד במענה נטען שהנאשם התרשל, לקח אחריות, ואולם קיימת רשלנות תורמת משמעותית של הנפגעת. </w:t>
      </w:r>
    </w:p>
    <w:p w14:paraId="2E5C11AE" w14:textId="77777777" w:rsidR="00857446" w:rsidRDefault="00857446" w:rsidP="00857446">
      <w:pPr>
        <w:spacing w:line="360" w:lineRule="auto"/>
        <w:jc w:val="both"/>
        <w:rPr>
          <w:rFonts w:ascii="David" w:eastAsia="David" w:hAnsi="David"/>
          <w:rtl/>
        </w:rPr>
      </w:pPr>
    </w:p>
    <w:p w14:paraId="1D1F0021" w14:textId="77777777" w:rsidR="00857446" w:rsidRDefault="00857446" w:rsidP="00857446">
      <w:pPr>
        <w:spacing w:line="360" w:lineRule="auto"/>
        <w:jc w:val="both"/>
        <w:rPr>
          <w:rFonts w:ascii="David" w:eastAsia="David" w:hAnsi="David"/>
          <w:rtl/>
        </w:rPr>
      </w:pPr>
      <w:r>
        <w:rPr>
          <w:rFonts w:ascii="David" w:eastAsia="David" w:hAnsi="David"/>
          <w:rtl/>
        </w:rPr>
        <w:t xml:space="preserve">הדברים באו לידי ביטוי בכתב האישום המתוקן, סעיף 3 מציין קבוצת אופניים שרכבו בשני טורים, האחד מימין לשול, ואחד מצד שמאל. קרי הרוכבת נהגה מטר משמאל לפס הצהוב בכיוון נסיעתה. </w:t>
      </w:r>
    </w:p>
    <w:p w14:paraId="4954A324" w14:textId="77777777" w:rsidR="00857446" w:rsidRDefault="00857446" w:rsidP="00857446">
      <w:pPr>
        <w:spacing w:line="360" w:lineRule="auto"/>
        <w:jc w:val="both"/>
        <w:rPr>
          <w:rFonts w:ascii="David" w:eastAsia="David" w:hAnsi="David"/>
          <w:rtl/>
        </w:rPr>
      </w:pPr>
    </w:p>
    <w:p w14:paraId="4F037BE9" w14:textId="77777777" w:rsidR="00857446" w:rsidRDefault="00857446" w:rsidP="00857446">
      <w:pPr>
        <w:spacing w:line="360" w:lineRule="auto"/>
        <w:jc w:val="both"/>
        <w:rPr>
          <w:rFonts w:ascii="David" w:eastAsia="David" w:hAnsi="David"/>
          <w:rtl/>
        </w:rPr>
      </w:pPr>
      <w:r>
        <w:rPr>
          <w:rFonts w:ascii="David" w:eastAsia="David" w:hAnsi="David"/>
          <w:rtl/>
        </w:rPr>
        <w:t xml:space="preserve">ב"כ הנאשם הפנה </w:t>
      </w:r>
      <w:hyperlink r:id="rId24" w:history="1">
        <w:r w:rsidR="00875186" w:rsidRPr="00875186">
          <w:rPr>
            <w:rStyle w:val="Hyperlink"/>
            <w:rFonts w:ascii="David" w:eastAsia="David" w:hAnsi="David"/>
            <w:rtl/>
          </w:rPr>
          <w:t>לסעיפים 128</w:t>
        </w:r>
      </w:hyperlink>
      <w:r>
        <w:rPr>
          <w:rFonts w:ascii="David" w:eastAsia="David" w:hAnsi="David"/>
          <w:rtl/>
        </w:rPr>
        <w:t xml:space="preserve"> ו - </w:t>
      </w:r>
      <w:hyperlink r:id="rId25" w:history="1">
        <w:r w:rsidR="00875186" w:rsidRPr="00875186">
          <w:rPr>
            <w:rStyle w:val="Hyperlink"/>
            <w:rFonts w:ascii="David" w:eastAsia="David" w:hAnsi="David"/>
            <w:rtl/>
          </w:rPr>
          <w:t>129</w:t>
        </w:r>
      </w:hyperlink>
      <w:r>
        <w:rPr>
          <w:rFonts w:ascii="David" w:eastAsia="David" w:hAnsi="David"/>
          <w:rtl/>
        </w:rPr>
        <w:t xml:space="preserve"> ל</w:t>
      </w:r>
      <w:hyperlink r:id="rId26" w:history="1">
        <w:r w:rsidR="004C41EA" w:rsidRPr="004C41EA">
          <w:rPr>
            <w:rFonts w:ascii="David" w:eastAsia="David" w:hAnsi="David"/>
            <w:color w:val="0000FF"/>
            <w:u w:val="single"/>
            <w:rtl/>
          </w:rPr>
          <w:t>תקנות התעבורה</w:t>
        </w:r>
      </w:hyperlink>
      <w:r>
        <w:rPr>
          <w:rFonts w:ascii="David" w:eastAsia="David" w:hAnsi="David"/>
          <w:rtl/>
        </w:rPr>
        <w:t xml:space="preserve">, להוראה שהרוכב ירכב ככל האפשר בשפתו הימני של הכביש, וינהג בזהירות, ולסעיף ה' המורה לנו כי על אף האמור </w:t>
      </w:r>
      <w:hyperlink r:id="rId27" w:history="1">
        <w:r w:rsidR="00875186" w:rsidRPr="00875186">
          <w:rPr>
            <w:rStyle w:val="Hyperlink"/>
            <w:rFonts w:ascii="David" w:eastAsia="David" w:hAnsi="David"/>
            <w:rtl/>
          </w:rPr>
          <w:t>בתקנה 128</w:t>
        </w:r>
      </w:hyperlink>
      <w:r>
        <w:rPr>
          <w:rFonts w:ascii="David" w:eastAsia="David" w:hAnsi="David"/>
          <w:rtl/>
        </w:rPr>
        <w:t>, בדרך שאינה עירונית, וזו הדרך שאינה עירונית, שבה שול הדרך פנוי, כמו במקרה שלנו ירכב רוכב האופניים בשול קרוב ככל הניתן לשפתו הימני.</w:t>
      </w:r>
    </w:p>
    <w:p w14:paraId="53B57FB2" w14:textId="77777777" w:rsidR="00857446" w:rsidRDefault="00857446" w:rsidP="00857446">
      <w:pPr>
        <w:spacing w:line="360" w:lineRule="auto"/>
        <w:jc w:val="both"/>
        <w:rPr>
          <w:rFonts w:ascii="David" w:eastAsia="David" w:hAnsi="David"/>
          <w:rtl/>
        </w:rPr>
      </w:pPr>
    </w:p>
    <w:p w14:paraId="74F0B8A3" w14:textId="77777777" w:rsidR="00857446" w:rsidRDefault="00857446" w:rsidP="00857446">
      <w:pPr>
        <w:spacing w:line="360" w:lineRule="auto"/>
        <w:jc w:val="both"/>
        <w:rPr>
          <w:rFonts w:ascii="David" w:eastAsia="David" w:hAnsi="David"/>
          <w:rtl/>
        </w:rPr>
      </w:pPr>
      <w:r>
        <w:rPr>
          <w:rFonts w:ascii="David" w:eastAsia="David" w:hAnsi="David"/>
          <w:rtl/>
        </w:rPr>
        <w:t>כן הפנה לכללי הבטיחות בדרכים של רוכבי אופניים של הרשות לבטיחות בדרכים, על רכיבה בטוחה, שם נכתב שיש להיצמד ככל האפשר לצידו הימני של הכביש, וברכיבה בקבוצה רוכבים בטור ולא במקביל.</w:t>
      </w:r>
    </w:p>
    <w:p w14:paraId="51E83169" w14:textId="77777777" w:rsidR="00857446" w:rsidRDefault="00857446" w:rsidP="00857446">
      <w:pPr>
        <w:spacing w:line="360" w:lineRule="auto"/>
        <w:jc w:val="both"/>
        <w:rPr>
          <w:rFonts w:ascii="David" w:eastAsia="David" w:hAnsi="David"/>
          <w:rtl/>
        </w:rPr>
      </w:pPr>
    </w:p>
    <w:p w14:paraId="53BC6E12" w14:textId="77777777" w:rsidR="00857446" w:rsidRDefault="00857446" w:rsidP="00857446">
      <w:pPr>
        <w:spacing w:line="360" w:lineRule="auto"/>
        <w:jc w:val="both"/>
        <w:rPr>
          <w:rFonts w:ascii="David" w:eastAsia="David" w:hAnsi="David"/>
          <w:rtl/>
        </w:rPr>
      </w:pPr>
      <w:r>
        <w:rPr>
          <w:rFonts w:ascii="David" w:eastAsia="David" w:hAnsi="David"/>
          <w:rtl/>
        </w:rPr>
        <w:t>נטען כי לפיכך אכן קיימת רשלנות תורמת מצידה של הנפגעת.</w:t>
      </w:r>
    </w:p>
    <w:p w14:paraId="7ED79C13" w14:textId="77777777" w:rsidR="00857446" w:rsidRDefault="00857446" w:rsidP="00857446">
      <w:pPr>
        <w:spacing w:line="360" w:lineRule="auto"/>
        <w:jc w:val="both"/>
        <w:rPr>
          <w:rFonts w:ascii="David" w:eastAsia="David" w:hAnsi="David"/>
          <w:rtl/>
        </w:rPr>
      </w:pPr>
    </w:p>
    <w:p w14:paraId="308B888D" w14:textId="77777777" w:rsidR="00857446" w:rsidRDefault="00857446" w:rsidP="00857446">
      <w:pPr>
        <w:spacing w:line="360" w:lineRule="auto"/>
        <w:jc w:val="both"/>
        <w:rPr>
          <w:rFonts w:ascii="David" w:eastAsia="David" w:hAnsi="David"/>
          <w:rtl/>
        </w:rPr>
      </w:pPr>
      <w:r>
        <w:rPr>
          <w:rFonts w:ascii="David" w:eastAsia="David" w:hAnsi="David"/>
          <w:rtl/>
        </w:rPr>
        <w:t>התבקש לסטות לקולא ממתחם הענישה וזאת בשל שיקולי שיקום. התבקש שלא להשיב גמול על מעשיו השליליים של הנאשם, על הכשל המוסרי, אלא להביא לשילובו מחדש כאזרח שומר חוק, שמכיר בערכי החברה ולא מסכן אותה, ונטען כי הדבר עולה בקנה אחד עם המטרה של הענישה הפלילית. לקדם את שילובו של עבריין בחברה כאזרח שומר חוק.</w:t>
      </w:r>
    </w:p>
    <w:p w14:paraId="7402689B" w14:textId="77777777" w:rsidR="00857446" w:rsidRDefault="00857446" w:rsidP="00857446">
      <w:pPr>
        <w:spacing w:line="360" w:lineRule="auto"/>
        <w:jc w:val="both"/>
        <w:rPr>
          <w:rFonts w:ascii="David" w:eastAsia="David" w:hAnsi="David"/>
          <w:rtl/>
        </w:rPr>
      </w:pPr>
    </w:p>
    <w:p w14:paraId="1B73E4EB" w14:textId="77777777" w:rsidR="00857446" w:rsidRDefault="00857446" w:rsidP="00857446">
      <w:pPr>
        <w:spacing w:line="360" w:lineRule="auto"/>
        <w:jc w:val="both"/>
        <w:rPr>
          <w:rFonts w:ascii="David" w:eastAsia="David" w:hAnsi="David"/>
          <w:rtl/>
        </w:rPr>
      </w:pPr>
      <w:r>
        <w:rPr>
          <w:rFonts w:ascii="David" w:eastAsia="David" w:hAnsi="David"/>
          <w:rtl/>
        </w:rPr>
        <w:t xml:space="preserve">נטען כי </w:t>
      </w:r>
      <w:hyperlink r:id="rId28" w:history="1">
        <w:r w:rsidR="00875186" w:rsidRPr="00875186">
          <w:rPr>
            <w:rStyle w:val="Hyperlink"/>
            <w:rFonts w:ascii="David" w:eastAsia="David" w:hAnsi="David"/>
            <w:rtl/>
          </w:rPr>
          <w:t>סעיף 40ד'</w:t>
        </w:r>
      </w:hyperlink>
      <w:r>
        <w:rPr>
          <w:rFonts w:ascii="David" w:eastAsia="David" w:hAnsi="David"/>
          <w:rtl/>
        </w:rPr>
        <w:t xml:space="preserve"> ל</w:t>
      </w:r>
      <w:hyperlink r:id="rId29" w:history="1">
        <w:r w:rsidR="004C41EA" w:rsidRPr="004C41EA">
          <w:rPr>
            <w:rFonts w:ascii="David" w:eastAsia="David" w:hAnsi="David"/>
            <w:color w:val="0000FF"/>
            <w:u w:val="single"/>
            <w:rtl/>
          </w:rPr>
          <w:t>חוק העונשין</w:t>
        </w:r>
      </w:hyperlink>
      <w:r>
        <w:rPr>
          <w:rFonts w:ascii="David" w:eastAsia="David" w:hAnsi="David"/>
          <w:rtl/>
        </w:rPr>
        <w:t xml:space="preserve"> מאפשר לבית המשפט להעדיף את עקרון השיקום על פני עיקרון ההלימה, יש לראות שיש סיכוי של ממש שהנאשם ישתקם, כשהסיכוי אמיתי ומעוגן במציאות. הכלי הנגיש לטענה הזו, תסקיר שירות מבחן, ובתסקיריו של הנאשם נכתב שישנה חשיבות רבה לאפשרות השיקום והטיפול על פני מתחם הענישה. </w:t>
      </w:r>
    </w:p>
    <w:p w14:paraId="4821C058" w14:textId="77777777" w:rsidR="00857446" w:rsidRDefault="00857446" w:rsidP="00857446">
      <w:pPr>
        <w:spacing w:line="360" w:lineRule="auto"/>
        <w:jc w:val="both"/>
        <w:rPr>
          <w:rFonts w:ascii="David" w:eastAsia="David" w:hAnsi="David"/>
          <w:rtl/>
        </w:rPr>
      </w:pPr>
    </w:p>
    <w:p w14:paraId="51DCD9EB" w14:textId="77777777" w:rsidR="00857446" w:rsidRDefault="00857446" w:rsidP="00857446">
      <w:pPr>
        <w:spacing w:line="360" w:lineRule="auto"/>
        <w:jc w:val="both"/>
        <w:rPr>
          <w:rFonts w:ascii="David" w:eastAsia="David" w:hAnsi="David"/>
          <w:rtl/>
        </w:rPr>
      </w:pPr>
      <w:r>
        <w:rPr>
          <w:rFonts w:ascii="David" w:eastAsia="David" w:hAnsi="David"/>
          <w:rtl/>
        </w:rPr>
        <w:t xml:space="preserve">לפיכך שירות המבחן ממליץ להטיל צו מבחן למשך שנה, במהלכו הנאשם ימשיך בקבוצה הטיפולית, וענישה בדרך של עבודות שירות. </w:t>
      </w:r>
    </w:p>
    <w:p w14:paraId="20A0E011" w14:textId="77777777" w:rsidR="00857446" w:rsidRDefault="00857446" w:rsidP="00857446">
      <w:pPr>
        <w:spacing w:line="360" w:lineRule="auto"/>
        <w:jc w:val="both"/>
        <w:rPr>
          <w:rFonts w:ascii="David" w:eastAsia="David" w:hAnsi="David"/>
          <w:rtl/>
        </w:rPr>
      </w:pPr>
    </w:p>
    <w:p w14:paraId="56C0C1E5" w14:textId="77777777" w:rsidR="00857446" w:rsidRDefault="00857446" w:rsidP="00857446">
      <w:pPr>
        <w:spacing w:line="360" w:lineRule="auto"/>
        <w:jc w:val="both"/>
        <w:rPr>
          <w:rFonts w:ascii="David" w:eastAsia="David" w:hAnsi="David"/>
          <w:rtl/>
        </w:rPr>
      </w:pPr>
      <w:r>
        <w:rPr>
          <w:rFonts w:ascii="David" w:eastAsia="David" w:hAnsi="David"/>
          <w:rtl/>
        </w:rPr>
        <w:t>לכן התבקש לא לסתום את הגולל על שיקומו של הנאשם, וזאת במיוחד לאור המלצה של שירות המבחן.</w:t>
      </w:r>
    </w:p>
    <w:p w14:paraId="3BDB403D" w14:textId="77777777" w:rsidR="00857446" w:rsidRDefault="00857446" w:rsidP="00857446">
      <w:pPr>
        <w:spacing w:line="360" w:lineRule="auto"/>
        <w:jc w:val="both"/>
        <w:rPr>
          <w:rFonts w:ascii="David" w:hAnsi="David"/>
          <w:rtl/>
        </w:rPr>
      </w:pPr>
    </w:p>
    <w:p w14:paraId="653C3A07" w14:textId="77777777" w:rsidR="00857446" w:rsidRDefault="00857446" w:rsidP="00857446">
      <w:pPr>
        <w:spacing w:line="360" w:lineRule="auto"/>
        <w:jc w:val="both"/>
        <w:rPr>
          <w:rFonts w:ascii="David" w:eastAsia="David" w:hAnsi="David"/>
          <w:rtl/>
        </w:rPr>
      </w:pPr>
      <w:r>
        <w:rPr>
          <w:rFonts w:ascii="David" w:hAnsi="David"/>
          <w:b/>
          <w:bCs/>
          <w:rtl/>
        </w:rPr>
        <w:t xml:space="preserve">הנאשם אמר </w:t>
      </w:r>
      <w:r>
        <w:rPr>
          <w:rFonts w:ascii="David" w:eastAsia="David" w:hAnsi="David"/>
          <w:rtl/>
        </w:rPr>
        <w:t>כי הוא מצטער ומבין שעשה טעות גדולה, ואמר שביקש צדק מאחה ורצה לראות את הנפגעת ולדבר איתה, ולראות מה איתה ואמרו לו לא.</w:t>
      </w:r>
    </w:p>
    <w:p w14:paraId="528AFE86" w14:textId="77777777" w:rsidR="00857446" w:rsidRDefault="00857446" w:rsidP="00857446">
      <w:pPr>
        <w:spacing w:line="360" w:lineRule="auto"/>
        <w:jc w:val="both"/>
        <w:rPr>
          <w:rFonts w:ascii="David" w:eastAsia="David" w:hAnsi="David"/>
        </w:rPr>
      </w:pPr>
    </w:p>
    <w:p w14:paraId="39534EAB" w14:textId="77777777" w:rsidR="00857446" w:rsidRDefault="00857446" w:rsidP="00857446">
      <w:pPr>
        <w:spacing w:line="360" w:lineRule="auto"/>
        <w:jc w:val="both"/>
        <w:rPr>
          <w:b/>
          <w:bCs/>
          <w:u w:val="single"/>
          <w:rtl/>
          <w:lang w:eastAsia="he-IL"/>
        </w:rPr>
      </w:pPr>
      <w:r>
        <w:rPr>
          <w:b/>
          <w:bCs/>
          <w:u w:val="single"/>
          <w:rtl/>
          <w:lang w:eastAsia="he-IL"/>
        </w:rPr>
        <w:t>הערכים המוגנים ומתחם העונש ההולם</w:t>
      </w:r>
    </w:p>
    <w:p w14:paraId="4BFDD6DA" w14:textId="77777777" w:rsidR="00857446" w:rsidRDefault="00857446" w:rsidP="00857446">
      <w:pPr>
        <w:spacing w:line="360" w:lineRule="auto"/>
        <w:jc w:val="both"/>
        <w:rPr>
          <w:b/>
          <w:bCs/>
          <w:u w:val="single"/>
          <w:rtl/>
          <w:lang w:eastAsia="he-IL"/>
        </w:rPr>
      </w:pPr>
    </w:p>
    <w:p w14:paraId="64285624" w14:textId="77777777" w:rsidR="00857446" w:rsidRDefault="00857446" w:rsidP="00857446">
      <w:pPr>
        <w:spacing w:line="360" w:lineRule="auto"/>
        <w:jc w:val="both"/>
        <w:rPr>
          <w:rFonts w:ascii="David" w:hAnsi="David"/>
          <w:rtl/>
          <w:lang w:eastAsia="he-IL"/>
        </w:rPr>
      </w:pPr>
      <w:r>
        <w:rPr>
          <w:rtl/>
          <w:lang w:eastAsia="he-IL"/>
        </w:rPr>
        <w:t>7.</w:t>
      </w:r>
      <w:r>
        <w:rPr>
          <w:rtl/>
          <w:lang w:eastAsia="he-IL"/>
        </w:rPr>
        <w:tab/>
      </w:r>
      <w:r>
        <w:rPr>
          <w:rFonts w:ascii="David" w:hAnsi="David"/>
          <w:rtl/>
          <w:lang w:eastAsia="he-IL"/>
        </w:rPr>
        <w:t xml:space="preserve">עבירת הפקרת נפגע לאחר תאונת דרכים הינה עבירה חמורה, ובביצועה פגע הנאשם בערכים המוגנים שביסודה – שמירה על שלמות גופו של אדם בכך שיובטח מתן עזרה רפואית מיידית לנפגע בתאונה, החובה המוסרית והחברתית המוטלת על הפרטים בחברה, אשר המחוקק ראה לחוקקה בנסיבות של תאונת דרכים, הקלה על רשויות אכיפת החוק בבירור האחריות לתאונה, ושמירה על הסדר הציבורי ושלטון החוק. עבירת ההפקרה ענינה לא רק החובה המוסרית גרידא. מתן סיוע ועזרה רפואית מיידית קשורים באפשרות להציל חיים או להקטין תוצאת פגיעה, וזוהי חובת נהג אשר מעורב בתאונה. </w:t>
      </w:r>
    </w:p>
    <w:p w14:paraId="7A7D80F6" w14:textId="77777777" w:rsidR="00857446" w:rsidRDefault="00857446" w:rsidP="00857446">
      <w:pPr>
        <w:spacing w:line="360" w:lineRule="auto"/>
        <w:jc w:val="both"/>
        <w:rPr>
          <w:rFonts w:ascii="David" w:hAnsi="David"/>
          <w:rtl/>
          <w:lang w:eastAsia="he-IL"/>
        </w:rPr>
      </w:pPr>
    </w:p>
    <w:p w14:paraId="3BC94E0F" w14:textId="77777777" w:rsidR="00857446" w:rsidRDefault="00857446" w:rsidP="00857446">
      <w:pPr>
        <w:spacing w:line="360" w:lineRule="auto"/>
        <w:jc w:val="both"/>
        <w:rPr>
          <w:rFonts w:ascii="David" w:hAnsi="David"/>
          <w:rtl/>
          <w:lang w:eastAsia="he-IL"/>
        </w:rPr>
      </w:pPr>
      <w:r>
        <w:rPr>
          <w:rFonts w:ascii="David" w:hAnsi="David"/>
          <w:rtl/>
          <w:lang w:eastAsia="he-IL"/>
        </w:rPr>
        <w:t>גם עבירת הנהיגה בקלות ראש או ברשלנות הינה חמורה, בפרט כאשר כפועל יוצא ממנה נגרמה פגיעה, ובביצועה פגע הנאשם בערכים המוגנים ביסודה שהם שמירה על שלמות גופם וביטחונם של המשתמשים בדרך.</w:t>
      </w:r>
    </w:p>
    <w:p w14:paraId="34C4767B" w14:textId="77777777" w:rsidR="00857446" w:rsidRDefault="00857446" w:rsidP="00857446">
      <w:pPr>
        <w:spacing w:line="360" w:lineRule="auto"/>
        <w:jc w:val="both"/>
        <w:rPr>
          <w:rFonts w:ascii="David" w:hAnsi="David"/>
          <w:rtl/>
          <w:lang w:eastAsia="he-IL"/>
        </w:rPr>
      </w:pPr>
    </w:p>
    <w:p w14:paraId="70022F23" w14:textId="77777777" w:rsidR="00857446" w:rsidRDefault="00857446" w:rsidP="00857446">
      <w:pPr>
        <w:spacing w:line="360" w:lineRule="auto"/>
        <w:jc w:val="both"/>
        <w:rPr>
          <w:rFonts w:ascii="David" w:hAnsi="David"/>
          <w:rtl/>
          <w:lang w:eastAsia="he-IL"/>
        </w:rPr>
      </w:pPr>
      <w:r>
        <w:rPr>
          <w:rFonts w:ascii="David" w:hAnsi="David"/>
          <w:rtl/>
          <w:lang w:eastAsia="he-IL"/>
        </w:rPr>
        <w:t xml:space="preserve">לנסיבות ביצוע העבירות ולמידת האשם, משמעות מרכזית בקביעת המענה העונשי ההולם לביצוע העבירות, ולכך התייחסות בהמשך. </w:t>
      </w:r>
    </w:p>
    <w:p w14:paraId="1ED7457B" w14:textId="77777777" w:rsidR="00857446" w:rsidRDefault="00857446" w:rsidP="00857446">
      <w:pPr>
        <w:spacing w:line="360" w:lineRule="auto"/>
        <w:jc w:val="both"/>
        <w:rPr>
          <w:rFonts w:ascii="David" w:hAnsi="David"/>
          <w:rtl/>
          <w:lang w:eastAsia="he-IL"/>
        </w:rPr>
      </w:pPr>
    </w:p>
    <w:p w14:paraId="43914B96" w14:textId="77777777" w:rsidR="00857446" w:rsidRDefault="00857446" w:rsidP="00857446">
      <w:pPr>
        <w:spacing w:line="360" w:lineRule="auto"/>
        <w:jc w:val="both"/>
        <w:rPr>
          <w:rFonts w:ascii="David" w:hAnsi="David"/>
          <w:rtl/>
          <w:lang w:eastAsia="he-IL"/>
        </w:rPr>
      </w:pPr>
      <w:r>
        <w:rPr>
          <w:rFonts w:ascii="David" w:hAnsi="David"/>
          <w:rtl/>
          <w:lang w:eastAsia="he-IL"/>
        </w:rPr>
        <w:t xml:space="preserve">8. </w:t>
      </w:r>
      <w:r>
        <w:rPr>
          <w:rFonts w:ascii="David" w:hAnsi="David"/>
          <w:rtl/>
          <w:lang w:eastAsia="he-IL"/>
        </w:rPr>
        <w:tab/>
        <w:t xml:space="preserve">בתי המשפט הדגישו את חומרת עבירת ההפקרה, והמחוקק מצא לנכון לתקן את החוק ולהחמיר עם מבצעיה, בפרט כאשר נגרמה תוצאה קשה, והפסיקה הכירה בצורך הממשי למגר תופעה זו.  ר' </w:t>
      </w:r>
      <w:hyperlink r:id="rId30" w:history="1">
        <w:r w:rsidR="004C41EA" w:rsidRPr="004C41EA">
          <w:rPr>
            <w:rFonts w:ascii="David" w:hAnsi="David"/>
            <w:color w:val="0000FF"/>
            <w:u w:val="single"/>
            <w:rtl/>
            <w:lang w:eastAsia="he-IL"/>
          </w:rPr>
          <w:t>ע"פ 7878/12</w:t>
        </w:r>
      </w:hyperlink>
      <w:r>
        <w:rPr>
          <w:rFonts w:ascii="David" w:hAnsi="David"/>
          <w:rtl/>
          <w:lang w:eastAsia="he-IL"/>
        </w:rPr>
        <w:t xml:space="preserve"> </w:t>
      </w:r>
      <w:r>
        <w:rPr>
          <w:rFonts w:ascii="David" w:hAnsi="David"/>
          <w:b/>
          <w:bCs/>
          <w:rtl/>
          <w:lang w:eastAsia="he-IL"/>
        </w:rPr>
        <w:t>מ"י נ' מרדכי ארגוב</w:t>
      </w:r>
      <w:r>
        <w:rPr>
          <w:rFonts w:ascii="David" w:hAnsi="David"/>
          <w:rtl/>
          <w:lang w:eastAsia="he-IL"/>
        </w:rPr>
        <w:t xml:space="preserve"> (21.5.2013): </w:t>
      </w:r>
      <w:r>
        <w:rPr>
          <w:rFonts w:ascii="David" w:hAnsi="David"/>
          <w:b/>
          <w:bCs/>
          <w:rtl/>
          <w:lang w:eastAsia="he-IL"/>
        </w:rPr>
        <w:t>"בתי המשפט הדגישו ושבו והדגישו פעמים הרבה את חומרתה של עבירת ההפקרה לאחר פגיעה ואת הצורך לגזור בגינה עונש הולם ומרתיע ... בפרט באותם המקרים שבהם נגרמה חבלה חמורה לאדם (מתשע שנות מאסר לארבע עשרה שנות מאסר-סעיף 64א(ג) ל</w:t>
      </w:r>
      <w:hyperlink r:id="rId31" w:history="1">
        <w:r w:rsidR="004C41EA" w:rsidRPr="004C41EA">
          <w:rPr>
            <w:rFonts w:ascii="David" w:hAnsi="David"/>
            <w:b/>
            <w:bCs/>
            <w:color w:val="0000FF"/>
            <w:u w:val="single"/>
            <w:rtl/>
            <w:lang w:eastAsia="he-IL"/>
          </w:rPr>
          <w:t>פקודת התעבורה</w:t>
        </w:r>
      </w:hyperlink>
      <w:r>
        <w:rPr>
          <w:rFonts w:ascii="David" w:hAnsi="David"/>
          <w:b/>
          <w:bCs/>
          <w:rtl/>
          <w:lang w:eastAsia="he-IL"/>
        </w:rPr>
        <w:t>)".</w:t>
      </w:r>
    </w:p>
    <w:p w14:paraId="380D9368" w14:textId="77777777" w:rsidR="00857446" w:rsidRDefault="00857446" w:rsidP="00857446">
      <w:pPr>
        <w:spacing w:line="360" w:lineRule="auto"/>
        <w:jc w:val="both"/>
        <w:rPr>
          <w:rFonts w:ascii="David" w:hAnsi="David"/>
          <w:rtl/>
          <w:lang w:eastAsia="he-IL"/>
        </w:rPr>
      </w:pPr>
    </w:p>
    <w:p w14:paraId="7BDCD56B" w14:textId="77777777" w:rsidR="00857446" w:rsidRDefault="00857446" w:rsidP="00857446">
      <w:pPr>
        <w:spacing w:line="360" w:lineRule="auto"/>
        <w:jc w:val="both"/>
        <w:rPr>
          <w:rFonts w:ascii="David" w:hAnsi="David"/>
          <w:b/>
          <w:bCs/>
          <w:rtl/>
          <w:lang w:eastAsia="he-IL"/>
        </w:rPr>
      </w:pPr>
      <w:r>
        <w:rPr>
          <w:rFonts w:ascii="David" w:hAnsi="David"/>
          <w:rtl/>
          <w:lang w:eastAsia="he-IL"/>
        </w:rPr>
        <w:t xml:space="preserve">עוד ר' "פ </w:t>
      </w:r>
      <w:hyperlink r:id="rId32" w:history="1">
        <w:r w:rsidR="00037D59" w:rsidRPr="00037D59">
          <w:rPr>
            <w:rFonts w:ascii="David" w:hAnsi="David"/>
            <w:color w:val="0000FF"/>
            <w:u w:val="single"/>
            <w:rtl/>
            <w:lang w:eastAsia="he-IL"/>
          </w:rPr>
          <w:t xml:space="preserve">5000/08 </w:t>
        </w:r>
      </w:hyperlink>
      <w:r>
        <w:rPr>
          <w:rFonts w:ascii="David" w:hAnsi="David"/>
          <w:rtl/>
          <w:lang w:eastAsia="he-IL"/>
        </w:rPr>
        <w:t xml:space="preserve"> </w:t>
      </w:r>
      <w:r>
        <w:rPr>
          <w:rFonts w:ascii="David" w:hAnsi="David"/>
          <w:b/>
          <w:bCs/>
          <w:rtl/>
          <w:lang w:eastAsia="he-IL"/>
        </w:rPr>
        <w:t>סומך נ' מ"י</w:t>
      </w:r>
      <w:r>
        <w:rPr>
          <w:rFonts w:ascii="David" w:hAnsi="David"/>
          <w:rtl/>
          <w:lang w:eastAsia="he-IL"/>
        </w:rPr>
        <w:t xml:space="preserve"> (22.3.2009): </w:t>
      </w:r>
      <w:r>
        <w:rPr>
          <w:rFonts w:ascii="David" w:hAnsi="David"/>
          <w:b/>
          <w:bCs/>
          <w:rtl/>
          <w:lang w:eastAsia="he-IL"/>
        </w:rPr>
        <w:t>"...בקובעו עונשים חמורים לעבירת ההפקרה על שתי חלופותיה ביטא המחוקק את גישתו בדבר כובד האחריות המשפטית והמוסרית הרובצת על נהג מעורב בתאונת דרכים...ענישה זו אמורה להעביר מסר לציבור שיש בו משום הוקעה של מעשי הפקרה של נפגעים בכביש, ומשום הרתעה אפקטיבית מפני הפרת הנורמה המוסרית-משפטית הקשורה בעבירה זו".</w:t>
      </w:r>
    </w:p>
    <w:p w14:paraId="61F46580" w14:textId="77777777" w:rsidR="00857446" w:rsidRDefault="00857446" w:rsidP="00857446">
      <w:pPr>
        <w:spacing w:line="360" w:lineRule="auto"/>
        <w:jc w:val="both"/>
        <w:rPr>
          <w:rFonts w:ascii="David" w:hAnsi="David"/>
          <w:rtl/>
          <w:lang w:eastAsia="he-IL"/>
        </w:rPr>
      </w:pPr>
    </w:p>
    <w:p w14:paraId="77E6D49C" w14:textId="77777777" w:rsidR="00857446" w:rsidRDefault="00857446" w:rsidP="00857446">
      <w:pPr>
        <w:spacing w:line="360" w:lineRule="auto"/>
        <w:jc w:val="both"/>
        <w:rPr>
          <w:rFonts w:ascii="David" w:hAnsi="David"/>
          <w:rtl/>
          <w:lang w:eastAsia="he-IL"/>
        </w:rPr>
      </w:pPr>
      <w:r>
        <w:rPr>
          <w:rFonts w:ascii="David" w:hAnsi="David"/>
          <w:rtl/>
          <w:lang w:eastAsia="he-IL"/>
        </w:rPr>
        <w:t>9.</w:t>
      </w:r>
      <w:r>
        <w:rPr>
          <w:rFonts w:ascii="David" w:hAnsi="David"/>
          <w:rtl/>
          <w:lang w:eastAsia="he-IL"/>
        </w:rPr>
        <w:tab/>
        <w:t xml:space="preserve">קביעת מתחם העונש ההולם מתבצעת בעיקר תוך התייחסות לנסיבות ביצוע העבירה, ואינה קשורה אך בעבירה כפי נוסחה ועונשה בחוק. משקל מרכזי ניתן גם לנסיבות, לתוצאה ומידת חומרתה. עקרון הענישה האינדיבידואלית כולל היבטים הקשורים הן בנסיבות ביצוע העבירה והן בנאשם עצמו, ושלב קביעת מתחם העונש ההולם, נעשה תוך התייחסות להיבטים הקשורים בנסיבות הביצוע. ר' </w:t>
      </w:r>
      <w:hyperlink r:id="rId33" w:history="1">
        <w:r w:rsidR="004C41EA" w:rsidRPr="004C41EA">
          <w:rPr>
            <w:rFonts w:ascii="David" w:hAnsi="David"/>
            <w:color w:val="0000FF"/>
            <w:u w:val="single"/>
            <w:rtl/>
            <w:lang w:eastAsia="he-IL"/>
          </w:rPr>
          <w:t>ע"פ 1323/13</w:t>
        </w:r>
      </w:hyperlink>
      <w:r>
        <w:rPr>
          <w:rFonts w:ascii="David" w:hAnsi="David"/>
          <w:rtl/>
          <w:lang w:eastAsia="he-IL"/>
        </w:rPr>
        <w:t xml:space="preserve"> </w:t>
      </w:r>
      <w:r>
        <w:rPr>
          <w:rFonts w:ascii="David" w:hAnsi="David"/>
          <w:b/>
          <w:bCs/>
          <w:rtl/>
          <w:lang w:eastAsia="he-IL"/>
        </w:rPr>
        <w:t xml:space="preserve">חסן ואח' נ' מ"י </w:t>
      </w:r>
      <w:r>
        <w:rPr>
          <w:rFonts w:ascii="David" w:hAnsi="David"/>
          <w:rtl/>
          <w:lang w:eastAsia="he-IL"/>
        </w:rPr>
        <w:t xml:space="preserve">(5.6.2013), המתייחס לצביון האינדיבידואלי אשר העניק המחוקק לשלב עיצוב המתחם. </w:t>
      </w:r>
    </w:p>
    <w:p w14:paraId="6D776133" w14:textId="77777777" w:rsidR="00857446" w:rsidRDefault="00857446" w:rsidP="00857446">
      <w:pPr>
        <w:spacing w:line="360" w:lineRule="auto"/>
        <w:jc w:val="both"/>
        <w:rPr>
          <w:rFonts w:ascii="David" w:hAnsi="David"/>
          <w:rtl/>
          <w:lang w:eastAsia="he-IL"/>
        </w:rPr>
      </w:pPr>
    </w:p>
    <w:p w14:paraId="17D8DD89" w14:textId="77777777" w:rsidR="00857446" w:rsidRDefault="00857446" w:rsidP="00857446">
      <w:pPr>
        <w:spacing w:line="360" w:lineRule="auto"/>
        <w:jc w:val="both"/>
        <w:rPr>
          <w:rFonts w:ascii="David" w:hAnsi="David"/>
          <w:rtl/>
          <w:lang w:eastAsia="he-IL"/>
        </w:rPr>
      </w:pPr>
      <w:r>
        <w:rPr>
          <w:rFonts w:ascii="David" w:hAnsi="David"/>
          <w:rtl/>
          <w:lang w:eastAsia="he-IL"/>
        </w:rPr>
        <w:t>לפיכך, יש לבחון את מידת האשם של נאשם, ואת מידת פגיעתו בערכים המוגנים בכל מקרה ומקרה.</w:t>
      </w:r>
    </w:p>
    <w:p w14:paraId="75B79BEB" w14:textId="77777777" w:rsidR="00857446" w:rsidRDefault="00857446" w:rsidP="00857446">
      <w:pPr>
        <w:spacing w:line="360" w:lineRule="auto"/>
        <w:jc w:val="both"/>
        <w:rPr>
          <w:rtl/>
          <w:lang w:eastAsia="he-IL"/>
        </w:rPr>
      </w:pPr>
      <w:r>
        <w:rPr>
          <w:rtl/>
          <w:lang w:eastAsia="he-IL"/>
        </w:rPr>
        <w:t>להלן נבחן את מידת האשם והפגיעה בערכים המוגנים בשתי העבירות אשר ביצע הנאשם.</w:t>
      </w:r>
    </w:p>
    <w:p w14:paraId="1FE58DB2" w14:textId="77777777" w:rsidR="00857446" w:rsidRDefault="00857446" w:rsidP="00857446">
      <w:pPr>
        <w:spacing w:line="360" w:lineRule="auto"/>
        <w:jc w:val="both"/>
        <w:rPr>
          <w:rtl/>
          <w:lang w:eastAsia="he-IL"/>
        </w:rPr>
      </w:pPr>
    </w:p>
    <w:p w14:paraId="44799AF0" w14:textId="77777777" w:rsidR="00857446" w:rsidRDefault="00857446" w:rsidP="00857446">
      <w:pPr>
        <w:spacing w:line="360" w:lineRule="auto"/>
        <w:jc w:val="both"/>
        <w:rPr>
          <w:rFonts w:ascii="David" w:eastAsia="David" w:hAnsi="David"/>
          <w:rtl/>
        </w:rPr>
      </w:pPr>
      <w:r>
        <w:rPr>
          <w:rtl/>
          <w:lang w:eastAsia="he-IL"/>
        </w:rPr>
        <w:t xml:space="preserve">אין מחלוקת על פגיעת הנאשם בערכים המוגנים בעבירת ההפקרה, אולם בין הצדדים מחלוקת במידתה, בשל כך שהנפגעת היתה עם חבורת רוכבים ולמעשה לא הושארה לבדה וקיבלה סיוע במקום והתקשרו למד"א. ב"כ הנאשם טען כי </w:t>
      </w:r>
      <w:r>
        <w:rPr>
          <w:rFonts w:ascii="David" w:eastAsia="David" w:hAnsi="David"/>
          <w:rtl/>
        </w:rPr>
        <w:t xml:space="preserve">הפגיעה ועוצמתה טמונה בסכנה כאשר לא נכחו בתאונה אנשים נוספים, שהיה בהם כדי לסייע לנפגע. </w:t>
      </w:r>
    </w:p>
    <w:p w14:paraId="0839C8A6" w14:textId="77777777" w:rsidR="00857446" w:rsidRDefault="00857446" w:rsidP="00857446">
      <w:pPr>
        <w:spacing w:line="360" w:lineRule="auto"/>
        <w:jc w:val="both"/>
        <w:rPr>
          <w:rFonts w:ascii="David" w:eastAsia="David" w:hAnsi="David"/>
          <w:rtl/>
        </w:rPr>
      </w:pPr>
    </w:p>
    <w:p w14:paraId="2BD34B84" w14:textId="77777777" w:rsidR="00857446" w:rsidRDefault="00857446" w:rsidP="00857446">
      <w:pPr>
        <w:spacing w:line="360" w:lineRule="auto"/>
        <w:jc w:val="both"/>
        <w:rPr>
          <w:rFonts w:ascii="David" w:eastAsia="David" w:hAnsi="David"/>
          <w:rtl/>
        </w:rPr>
      </w:pPr>
      <w:r>
        <w:rPr>
          <w:rFonts w:ascii="David" w:eastAsia="David" w:hAnsi="David"/>
          <w:rtl/>
        </w:rPr>
        <w:t xml:space="preserve">ב"כ המאשימה אישר כי היו עם הנפגעת רוכבים, והוסיף כי יש להניח שבגלל שהיתה דבוקה של אנשים שם, "אז ניתן סיוע ע"י כך שהתקשרו למד"א." </w:t>
      </w:r>
    </w:p>
    <w:p w14:paraId="6404DE2B" w14:textId="77777777" w:rsidR="00857446" w:rsidRDefault="00857446" w:rsidP="00857446">
      <w:pPr>
        <w:spacing w:line="360" w:lineRule="auto"/>
        <w:jc w:val="both"/>
        <w:rPr>
          <w:rtl/>
          <w:lang w:eastAsia="he-IL"/>
        </w:rPr>
      </w:pPr>
    </w:p>
    <w:p w14:paraId="29CC01F2" w14:textId="77777777" w:rsidR="00857446" w:rsidRDefault="00857446" w:rsidP="00857446">
      <w:pPr>
        <w:spacing w:line="360" w:lineRule="auto"/>
        <w:jc w:val="both"/>
        <w:rPr>
          <w:rtl/>
          <w:lang w:eastAsia="he-IL"/>
        </w:rPr>
      </w:pPr>
      <w:r>
        <w:rPr>
          <w:rtl/>
          <w:lang w:eastAsia="he-IL"/>
        </w:rPr>
        <w:t>בהינתן האמור, סבורני כי מחד לא ניתן לומר שפגיעת הנאשם בערכים המוגנים הינה נמוכה, בפרט בשים לב למידת הפגיעה הפיזית שנפגעה הנפגעת. מנגד קיים קושי לומר שמדובר בפגיעה בערכים המוגנים בפגיעה "קשה וחמורה" כטענת ב"כ המאשימה. במכלול הנסיבות בהן הנפגעת נמצאת יחד עם אחרים המזעיקים עזרה, ניתן לקבוע כי מידת הפגיעה של הנאשם בערכים המוגנים הינה ברף בינוני. מובהר כי ענייננו במידת הפגיעה בערכים המוגנים, ולא בעצם הפגיעה בהם אשר אין חולק לגביה.</w:t>
      </w:r>
    </w:p>
    <w:p w14:paraId="12737117" w14:textId="77777777" w:rsidR="00857446" w:rsidRDefault="00857446" w:rsidP="00857446">
      <w:pPr>
        <w:spacing w:line="360" w:lineRule="auto"/>
        <w:jc w:val="both"/>
        <w:rPr>
          <w:rtl/>
          <w:lang w:eastAsia="he-IL"/>
        </w:rPr>
      </w:pPr>
    </w:p>
    <w:p w14:paraId="71C64077" w14:textId="77777777" w:rsidR="00857446" w:rsidRDefault="00857446" w:rsidP="00857446">
      <w:pPr>
        <w:spacing w:line="360" w:lineRule="auto"/>
        <w:jc w:val="both"/>
        <w:rPr>
          <w:rtl/>
          <w:lang w:eastAsia="he-IL"/>
        </w:rPr>
      </w:pPr>
      <w:r>
        <w:rPr>
          <w:rtl/>
          <w:lang w:eastAsia="he-IL"/>
        </w:rPr>
        <w:t xml:space="preserve">ביחס למידת אשמו של הנאשם ומידת הפגיעה בערכים המוגנים בעבירה השניה של נהיגה בקלות ראש או ברשלנות, אני מוצא כי מידת הפגיעה של הנאשם בערכים המוגנים הינה ברף מעט מתחת לבינוני, זאת בשל כך שאין מחלוקת כי הנפגעת נסעה באופניים במקום אשר נאסר עליה. </w:t>
      </w:r>
    </w:p>
    <w:p w14:paraId="5DA40F83" w14:textId="77777777" w:rsidR="00857446" w:rsidRDefault="00857446" w:rsidP="00857446">
      <w:pPr>
        <w:spacing w:line="360" w:lineRule="auto"/>
        <w:jc w:val="both"/>
        <w:rPr>
          <w:rtl/>
          <w:lang w:eastAsia="he-IL"/>
        </w:rPr>
      </w:pPr>
    </w:p>
    <w:p w14:paraId="79F3FF36" w14:textId="77777777" w:rsidR="00857446" w:rsidRDefault="00857446" w:rsidP="00857446">
      <w:pPr>
        <w:spacing w:line="360" w:lineRule="auto"/>
        <w:jc w:val="both"/>
        <w:rPr>
          <w:rtl/>
          <w:lang w:eastAsia="he-IL"/>
        </w:rPr>
      </w:pPr>
      <w:r>
        <w:rPr>
          <w:rtl/>
          <w:lang w:eastAsia="he-IL"/>
        </w:rPr>
        <w:t>ב"כ המאשימה מסכים לקיומה של רשלנות תורמת של הנפגעת לקרות התאונה, אך טוען כי היא מועטה ועיקרה של הרשלנות היא של הנאשם, וב"כ הנאשם חולק על כך וטוען כי קיימת רשלנות תורמת משמעותית של הנפגעת.</w:t>
      </w:r>
    </w:p>
    <w:p w14:paraId="2092A6AB" w14:textId="77777777" w:rsidR="00857446" w:rsidRDefault="00857446" w:rsidP="00857446">
      <w:pPr>
        <w:spacing w:line="360" w:lineRule="auto"/>
        <w:jc w:val="both"/>
        <w:rPr>
          <w:rtl/>
          <w:lang w:eastAsia="he-IL"/>
        </w:rPr>
      </w:pPr>
    </w:p>
    <w:p w14:paraId="35109EE7" w14:textId="77777777" w:rsidR="00857446" w:rsidRDefault="00875186" w:rsidP="00857446">
      <w:pPr>
        <w:spacing w:line="360" w:lineRule="auto"/>
        <w:jc w:val="both"/>
        <w:rPr>
          <w:b/>
          <w:bCs/>
          <w:rtl/>
          <w:lang w:eastAsia="he-IL"/>
        </w:rPr>
      </w:pPr>
      <w:hyperlink r:id="rId34" w:history="1">
        <w:r w:rsidRPr="00875186">
          <w:rPr>
            <w:rStyle w:val="Hyperlink"/>
            <w:rtl/>
            <w:lang w:eastAsia="he-IL"/>
          </w:rPr>
          <w:t>סעיף 128</w:t>
        </w:r>
      </w:hyperlink>
      <w:r w:rsidR="00857446">
        <w:rPr>
          <w:rtl/>
          <w:lang w:eastAsia="he-IL"/>
        </w:rPr>
        <w:t xml:space="preserve"> ל</w:t>
      </w:r>
      <w:hyperlink r:id="rId35" w:history="1">
        <w:r w:rsidR="004C41EA" w:rsidRPr="004C41EA">
          <w:rPr>
            <w:color w:val="0000FF"/>
            <w:u w:val="single"/>
            <w:rtl/>
            <w:lang w:eastAsia="he-IL"/>
          </w:rPr>
          <w:t>תקנות התעבורה</w:t>
        </w:r>
      </w:hyperlink>
      <w:r w:rsidR="00857446">
        <w:rPr>
          <w:rtl/>
          <w:lang w:eastAsia="he-IL"/>
        </w:rPr>
        <w:t xml:space="preserve"> – </w:t>
      </w:r>
      <w:r w:rsidR="00857446">
        <w:rPr>
          <w:b/>
          <w:bCs/>
          <w:rtl/>
          <w:lang w:eastAsia="he-IL"/>
        </w:rPr>
        <w:t xml:space="preserve">"נסיעה בצד ימין" </w:t>
      </w:r>
      <w:r w:rsidR="00857446">
        <w:rPr>
          <w:rtl/>
          <w:lang w:eastAsia="he-IL"/>
        </w:rPr>
        <w:t xml:space="preserve">קובע: </w:t>
      </w:r>
      <w:r w:rsidR="00857446">
        <w:rPr>
          <w:b/>
          <w:bCs/>
          <w:rtl/>
          <w:lang w:eastAsia="he-IL"/>
        </w:rPr>
        <w:t>"הרוכב על אופניים ירכב קרוב ככל האפשר לשפתו הימנית של הכביש וינהג בזהירות ובמיוחד בעברו רכב העומד או בעקפו רכב הנע באותו כיוון."</w:t>
      </w:r>
    </w:p>
    <w:p w14:paraId="59ACC0E9" w14:textId="77777777" w:rsidR="00857446" w:rsidRDefault="00857446" w:rsidP="00857446">
      <w:pPr>
        <w:spacing w:line="360" w:lineRule="auto"/>
        <w:jc w:val="both"/>
        <w:rPr>
          <w:b/>
          <w:bCs/>
          <w:rtl/>
          <w:lang w:eastAsia="he-IL"/>
        </w:rPr>
      </w:pPr>
    </w:p>
    <w:p w14:paraId="53717EF0" w14:textId="77777777" w:rsidR="00857446" w:rsidRDefault="00875186" w:rsidP="00857446">
      <w:pPr>
        <w:spacing w:line="360" w:lineRule="auto"/>
        <w:jc w:val="both"/>
        <w:rPr>
          <w:b/>
          <w:bCs/>
          <w:rtl/>
          <w:lang w:eastAsia="he-IL"/>
        </w:rPr>
      </w:pPr>
      <w:hyperlink r:id="rId36" w:history="1">
        <w:r w:rsidRPr="00875186">
          <w:rPr>
            <w:rStyle w:val="Hyperlink"/>
            <w:rtl/>
            <w:lang w:eastAsia="he-IL"/>
          </w:rPr>
          <w:t>סעיף 129</w:t>
        </w:r>
      </w:hyperlink>
      <w:r w:rsidR="00857446">
        <w:rPr>
          <w:rtl/>
          <w:lang w:eastAsia="he-IL"/>
        </w:rPr>
        <w:t xml:space="preserve"> ל</w:t>
      </w:r>
      <w:hyperlink r:id="rId37" w:history="1">
        <w:r w:rsidR="004C41EA" w:rsidRPr="004C41EA">
          <w:rPr>
            <w:color w:val="0000FF"/>
            <w:u w:val="single"/>
            <w:rtl/>
            <w:lang w:eastAsia="he-IL"/>
          </w:rPr>
          <w:t>תקנות התעבורה</w:t>
        </w:r>
      </w:hyperlink>
      <w:r w:rsidR="00857446">
        <w:rPr>
          <w:rtl/>
          <w:lang w:eastAsia="he-IL"/>
        </w:rPr>
        <w:t xml:space="preserve"> –</w:t>
      </w:r>
      <w:r w:rsidR="00857446">
        <w:rPr>
          <w:b/>
          <w:bCs/>
          <w:rtl/>
          <w:lang w:eastAsia="he-IL"/>
        </w:rPr>
        <w:t xml:space="preserve"> "רכיבה על אופניים במקומות מסויימים" </w:t>
      </w:r>
      <w:r w:rsidR="00857446">
        <w:rPr>
          <w:rtl/>
          <w:lang w:eastAsia="he-IL"/>
        </w:rPr>
        <w:t xml:space="preserve">קובע: </w:t>
      </w:r>
      <w:r w:rsidR="00857446">
        <w:rPr>
          <w:b/>
          <w:bCs/>
          <w:rtl/>
          <w:lang w:eastAsia="he-IL"/>
        </w:rPr>
        <w:t>"על אף האמור בתקנה 128, בדרך שאינה עירונית, שבה שול הדרך פנוי ומיוצב באספלט, ירכב רוכב אופניים בשול, קרוב ככל הניתן לשפתו הימנית."</w:t>
      </w:r>
    </w:p>
    <w:p w14:paraId="441FA44A" w14:textId="77777777" w:rsidR="00857446" w:rsidRDefault="00857446" w:rsidP="00857446">
      <w:pPr>
        <w:spacing w:line="360" w:lineRule="auto"/>
        <w:jc w:val="both"/>
        <w:rPr>
          <w:b/>
          <w:bCs/>
          <w:rtl/>
          <w:lang w:eastAsia="he-IL"/>
        </w:rPr>
      </w:pPr>
    </w:p>
    <w:p w14:paraId="0CEE8254" w14:textId="77777777" w:rsidR="00857446" w:rsidRDefault="00857446" w:rsidP="00857446">
      <w:pPr>
        <w:spacing w:line="360" w:lineRule="auto"/>
        <w:jc w:val="both"/>
        <w:rPr>
          <w:rFonts w:ascii="David" w:eastAsia="David" w:hAnsi="David"/>
          <w:rtl/>
        </w:rPr>
      </w:pPr>
      <w:r>
        <w:rPr>
          <w:rFonts w:ascii="David" w:hAnsi="David"/>
          <w:rtl/>
        </w:rPr>
        <w:t xml:space="preserve">בטיעונים בכתב של ב"כ המאשימה לא היתה כל התייחסות לחלקה של הנפגעת בגרימת התאונה, וכאמור לעיל נטען כי </w:t>
      </w:r>
      <w:r>
        <w:rPr>
          <w:rFonts w:ascii="David" w:eastAsia="David" w:hAnsi="David"/>
          <w:rtl/>
        </w:rPr>
        <w:t>"חלקו של הנאשם בביצוע העבירות נשוא כתב האישום הינו מלא ומוחלט". זאת בהתייחס לשתי העבירות.</w:t>
      </w:r>
    </w:p>
    <w:p w14:paraId="350A8305" w14:textId="77777777" w:rsidR="00857446" w:rsidRDefault="00857446" w:rsidP="00857446">
      <w:pPr>
        <w:spacing w:line="360" w:lineRule="auto"/>
        <w:jc w:val="both"/>
        <w:rPr>
          <w:rFonts w:ascii="David" w:eastAsia="David" w:hAnsi="David"/>
          <w:rtl/>
        </w:rPr>
      </w:pPr>
    </w:p>
    <w:p w14:paraId="6F511AA0" w14:textId="77777777" w:rsidR="00857446" w:rsidRDefault="00857446" w:rsidP="00857446">
      <w:pPr>
        <w:spacing w:line="360" w:lineRule="auto"/>
        <w:jc w:val="both"/>
        <w:rPr>
          <w:rFonts w:ascii="David" w:hAnsi="David"/>
          <w:rtl/>
        </w:rPr>
      </w:pPr>
      <w:r>
        <w:rPr>
          <w:rFonts w:ascii="David" w:hAnsi="David"/>
          <w:rtl/>
        </w:rPr>
        <w:t>בדיון שהתקיים בטיעונים לעונש הסכים ב"כ המאשימה כי קיימת רשלנות תורמת של רוכבת האופניים, וטען כי היא מועטה, היות ולא נסעה במרכז הנתיב אלא כמטר משמאל לקו השול, כאשר רוחב הנתיב הוא כ – 2.5 מטר, ונטען כי הנאשם היה יכול להבחין בה מבעוד מועד ולמנוע את התאונה. ב"כ המאשימה הוסיף : "</w:t>
      </w:r>
      <w:r>
        <w:rPr>
          <w:rFonts w:ascii="David" w:eastAsia="David" w:hAnsi="David"/>
          <w:rtl/>
        </w:rPr>
        <w:t>אם נגיד שוטר היה תופס אותה בלי התאונה, שהיא נוסעת משמאל לקו השול, דהיינו בתוך הנתיב כפי שהיא רכבה, אני מניח שהיו נותנים אולי דוח מסוים. במקרה הזה אני כן מסכים שיש רשלנות תורמת של רוכבת האופניים אם כי מועטה, היות והיא נסעה לא במרכז הנתיב אלא כמטר משמאל לקו השול.</w:t>
      </w:r>
      <w:r>
        <w:rPr>
          <w:rFonts w:ascii="David" w:hAnsi="David"/>
          <w:rtl/>
        </w:rPr>
        <w:t>"</w:t>
      </w:r>
    </w:p>
    <w:p w14:paraId="157754BA" w14:textId="77777777" w:rsidR="00857446" w:rsidRDefault="00857446" w:rsidP="00857446">
      <w:pPr>
        <w:spacing w:line="360" w:lineRule="auto"/>
        <w:jc w:val="both"/>
        <w:rPr>
          <w:rFonts w:ascii="David" w:hAnsi="David"/>
          <w:rtl/>
        </w:rPr>
      </w:pPr>
    </w:p>
    <w:p w14:paraId="1DFA2CED" w14:textId="77777777" w:rsidR="00857446" w:rsidRDefault="00857446" w:rsidP="00857446">
      <w:pPr>
        <w:spacing w:line="360" w:lineRule="auto"/>
        <w:jc w:val="both"/>
        <w:rPr>
          <w:rFonts w:ascii="David" w:hAnsi="David"/>
          <w:rtl/>
        </w:rPr>
      </w:pPr>
      <w:r>
        <w:rPr>
          <w:rFonts w:ascii="David" w:hAnsi="David"/>
          <w:rtl/>
        </w:rPr>
        <w:t xml:space="preserve">מנגד טען ב"כ הנאשם כי מדובר ברשלנות תורמת משמעותית של הנפגעת אשר רכבה על האופניים מטר משמאל לפס הצהוב בכיוון נסיעתה, מדובר בדרך שאינה עירונית, הפנה </w:t>
      </w:r>
      <w:hyperlink r:id="rId38" w:history="1">
        <w:r w:rsidR="00875186" w:rsidRPr="00875186">
          <w:rPr>
            <w:rStyle w:val="Hyperlink"/>
            <w:rFonts w:ascii="David" w:hAnsi="David"/>
            <w:rtl/>
          </w:rPr>
          <w:t>לסעיפים 128-129</w:t>
        </w:r>
      </w:hyperlink>
      <w:r>
        <w:rPr>
          <w:rFonts w:ascii="David" w:hAnsi="David"/>
          <w:rtl/>
        </w:rPr>
        <w:t xml:space="preserve"> ל</w:t>
      </w:r>
      <w:hyperlink r:id="rId39" w:history="1">
        <w:r w:rsidR="004C41EA" w:rsidRPr="004C41EA">
          <w:rPr>
            <w:rFonts w:ascii="David" w:hAnsi="David"/>
            <w:color w:val="0000FF"/>
            <w:u w:val="single"/>
            <w:rtl/>
          </w:rPr>
          <w:t>תקנות התעבורה</w:t>
        </w:r>
      </w:hyperlink>
      <w:r>
        <w:rPr>
          <w:rFonts w:ascii="David" w:hAnsi="David"/>
          <w:rtl/>
        </w:rPr>
        <w:t xml:space="preserve">, והוגשו על ידו כללי הרלב"ד (נ/1). </w:t>
      </w:r>
    </w:p>
    <w:p w14:paraId="219A5345" w14:textId="77777777" w:rsidR="00857446" w:rsidRDefault="00857446" w:rsidP="00857446">
      <w:pPr>
        <w:spacing w:line="360" w:lineRule="auto"/>
        <w:jc w:val="both"/>
        <w:rPr>
          <w:rFonts w:ascii="David" w:hAnsi="David"/>
          <w:rtl/>
        </w:rPr>
      </w:pPr>
    </w:p>
    <w:p w14:paraId="3879495F" w14:textId="77777777" w:rsidR="00857446" w:rsidRDefault="00857446" w:rsidP="00857446">
      <w:pPr>
        <w:spacing w:line="360" w:lineRule="auto"/>
        <w:jc w:val="both"/>
        <w:rPr>
          <w:rFonts w:ascii="David" w:hAnsi="David"/>
          <w:rtl/>
        </w:rPr>
      </w:pPr>
      <w:r>
        <w:rPr>
          <w:rFonts w:ascii="David" w:hAnsi="David"/>
          <w:rtl/>
        </w:rPr>
        <w:t xml:space="preserve">כאשר מדובר בנתיב אשר רוחבו 2.5 מטר, ורוכבת האופניים נוסעת מטר משמאל לקו הצהוב, הרי שרוכבת היא במרחק 25 סנטימטר מאמצעו של הנתיב, וקיים קושי לקבל את טענת ב"כ המאשימה כי אין מדובר במרכז הנתיב. האזור בו נסעה הנפגעת הינו במרכז הנתיב, אם כי לא במדוייק באמצעו. </w:t>
      </w:r>
    </w:p>
    <w:p w14:paraId="20008A0B" w14:textId="77777777" w:rsidR="00857446" w:rsidRDefault="00857446" w:rsidP="00857446">
      <w:pPr>
        <w:spacing w:line="360" w:lineRule="auto"/>
        <w:jc w:val="both"/>
        <w:rPr>
          <w:rFonts w:ascii="David" w:hAnsi="David"/>
          <w:rtl/>
        </w:rPr>
      </w:pPr>
    </w:p>
    <w:p w14:paraId="4FBC9B3E" w14:textId="77777777" w:rsidR="00857446" w:rsidRDefault="00857446" w:rsidP="00857446">
      <w:pPr>
        <w:spacing w:line="360" w:lineRule="auto"/>
        <w:jc w:val="both"/>
        <w:rPr>
          <w:rFonts w:ascii="David" w:hAnsi="David"/>
          <w:rtl/>
        </w:rPr>
      </w:pPr>
      <w:r>
        <w:rPr>
          <w:rFonts w:ascii="David" w:hAnsi="David"/>
          <w:rtl/>
        </w:rPr>
        <w:t>הנימוק של ב"כ המאשימה לכך שמדובר ברשלנות תורמת מועטה הינו שהנפגעת "</w:t>
      </w:r>
      <w:r>
        <w:rPr>
          <w:rFonts w:ascii="David" w:eastAsia="David" w:hAnsi="David"/>
          <w:rtl/>
        </w:rPr>
        <w:t>נסעה לא במרכז הנתיב אלא כמטר משמאל לקו השול</w:t>
      </w:r>
      <w:r>
        <w:rPr>
          <w:rFonts w:ascii="David" w:hAnsi="David"/>
          <w:rtl/>
        </w:rPr>
        <w:t xml:space="preserve">". </w:t>
      </w:r>
    </w:p>
    <w:p w14:paraId="119C6BCC" w14:textId="77777777" w:rsidR="00857446" w:rsidRDefault="00857446" w:rsidP="00857446">
      <w:pPr>
        <w:spacing w:line="360" w:lineRule="auto"/>
        <w:jc w:val="both"/>
        <w:rPr>
          <w:rFonts w:ascii="David" w:hAnsi="David"/>
          <w:rtl/>
        </w:rPr>
      </w:pPr>
    </w:p>
    <w:p w14:paraId="38E03585" w14:textId="77777777" w:rsidR="00857446" w:rsidRDefault="00857446" w:rsidP="00857446">
      <w:pPr>
        <w:spacing w:line="360" w:lineRule="auto"/>
        <w:jc w:val="both"/>
        <w:rPr>
          <w:rFonts w:ascii="David" w:hAnsi="David"/>
          <w:rtl/>
        </w:rPr>
      </w:pPr>
      <w:r>
        <w:rPr>
          <w:rFonts w:ascii="David" w:hAnsi="David"/>
          <w:rtl/>
        </w:rPr>
        <w:t xml:space="preserve">אין לקבל נימוק זה, שכן עובדתית, מדובר בנסיעה במרכזו של הנתיב. 25 סנטימטר בלבד מאמצעו. </w:t>
      </w:r>
    </w:p>
    <w:p w14:paraId="0C7202F1" w14:textId="77777777" w:rsidR="00857446" w:rsidRDefault="00857446" w:rsidP="00857446">
      <w:pPr>
        <w:spacing w:line="360" w:lineRule="auto"/>
        <w:jc w:val="both"/>
        <w:rPr>
          <w:rFonts w:ascii="David" w:hAnsi="David"/>
          <w:rtl/>
        </w:rPr>
      </w:pPr>
    </w:p>
    <w:p w14:paraId="0CE77FF1" w14:textId="77777777" w:rsidR="00857446" w:rsidRDefault="00857446" w:rsidP="00857446">
      <w:pPr>
        <w:spacing w:line="360" w:lineRule="auto"/>
        <w:jc w:val="both"/>
        <w:rPr>
          <w:rFonts w:ascii="David" w:hAnsi="David"/>
          <w:rtl/>
        </w:rPr>
      </w:pPr>
      <w:r>
        <w:rPr>
          <w:rFonts w:ascii="David" w:hAnsi="David"/>
          <w:rtl/>
        </w:rPr>
        <w:t>מצב דברים בו על פי עובדות כתב האישום המתוקן רוכבת האופניים נוסעת במרחק מטר מגבולו הימני של נתיב, כאשר ב"כ המאשימה מאשר כי רוחבו 2.5 מטר, משמעותו כי חלקו של הנאשם איננו כטענת ב"כ המאשימה – "מלא ומוחלט".</w:t>
      </w:r>
    </w:p>
    <w:p w14:paraId="2823F05B" w14:textId="77777777" w:rsidR="00857446" w:rsidRDefault="00857446" w:rsidP="00857446">
      <w:pPr>
        <w:spacing w:line="360" w:lineRule="auto"/>
        <w:jc w:val="both"/>
        <w:rPr>
          <w:rFonts w:ascii="David" w:hAnsi="David"/>
          <w:rtl/>
        </w:rPr>
      </w:pPr>
    </w:p>
    <w:p w14:paraId="05C8A88E" w14:textId="77777777" w:rsidR="00857446" w:rsidRDefault="00857446" w:rsidP="00857446">
      <w:pPr>
        <w:spacing w:line="360" w:lineRule="auto"/>
        <w:jc w:val="both"/>
        <w:rPr>
          <w:rFonts w:ascii="David" w:hAnsi="David"/>
          <w:rtl/>
        </w:rPr>
      </w:pPr>
      <w:r>
        <w:rPr>
          <w:rFonts w:ascii="David" w:hAnsi="David"/>
          <w:rtl/>
        </w:rPr>
        <w:t>החובה לשמור על כללי התנועה ו</w:t>
      </w:r>
      <w:hyperlink r:id="rId40" w:history="1">
        <w:r w:rsidR="004C41EA" w:rsidRPr="004C41EA">
          <w:rPr>
            <w:rFonts w:ascii="David" w:hAnsi="David"/>
            <w:color w:val="0000FF"/>
            <w:u w:val="single"/>
            <w:rtl/>
          </w:rPr>
          <w:t>תקנות התעבורה</w:t>
        </w:r>
      </w:hyperlink>
      <w:r>
        <w:rPr>
          <w:rFonts w:ascii="David" w:hAnsi="David"/>
          <w:rtl/>
        </w:rPr>
        <w:t xml:space="preserve"> מוטלת לא רק על הנוהגים בכלי רכב ממונע, אלא גם על רוכבי אופניים.</w:t>
      </w:r>
    </w:p>
    <w:p w14:paraId="7DF70CB9" w14:textId="77777777" w:rsidR="00857446" w:rsidRDefault="00857446" w:rsidP="00857446">
      <w:pPr>
        <w:spacing w:line="360" w:lineRule="auto"/>
        <w:jc w:val="both"/>
        <w:rPr>
          <w:rFonts w:ascii="David" w:hAnsi="David"/>
          <w:rtl/>
        </w:rPr>
      </w:pPr>
    </w:p>
    <w:p w14:paraId="09B01DCE" w14:textId="77777777" w:rsidR="00857446" w:rsidRDefault="00857446" w:rsidP="00857446">
      <w:pPr>
        <w:spacing w:line="360" w:lineRule="auto"/>
        <w:jc w:val="both"/>
        <w:rPr>
          <w:rFonts w:ascii="David" w:hAnsi="David"/>
          <w:rtl/>
        </w:rPr>
      </w:pPr>
      <w:r>
        <w:rPr>
          <w:rFonts w:ascii="David" w:hAnsi="David"/>
          <w:rtl/>
        </w:rPr>
        <w:t xml:space="preserve">אכן, האחריות לביצוע עבירת הנהיגה בקלות ראש או רשלנות מוטלת על הנאשם, אשר עומד לדין בגינה, אך בקביעת הענישה יש ליתן את הדעת לנסיבות בהן בוצעה עבירה זו. </w:t>
      </w:r>
    </w:p>
    <w:p w14:paraId="44742068" w14:textId="77777777" w:rsidR="00857446" w:rsidRDefault="00857446" w:rsidP="00857446">
      <w:pPr>
        <w:spacing w:line="360" w:lineRule="auto"/>
        <w:jc w:val="both"/>
        <w:rPr>
          <w:rFonts w:ascii="David" w:hAnsi="David"/>
          <w:rtl/>
        </w:rPr>
      </w:pPr>
    </w:p>
    <w:p w14:paraId="360C14F1" w14:textId="77777777" w:rsidR="00857446" w:rsidRDefault="00857446" w:rsidP="00857446">
      <w:pPr>
        <w:spacing w:line="360" w:lineRule="auto"/>
        <w:jc w:val="both"/>
        <w:rPr>
          <w:rFonts w:ascii="David" w:hAnsi="David"/>
          <w:rtl/>
        </w:rPr>
      </w:pPr>
      <w:r>
        <w:rPr>
          <w:rFonts w:ascii="David" w:hAnsi="David"/>
          <w:rtl/>
        </w:rPr>
        <w:t xml:space="preserve">הנסיבות, על פי כתב האישום, הן שטור אופניים נוסע במרכזו של נתיב הנסיעה של כלי הרכב, משמאל לקו הצהוב, כמטר אל תוך הנתיב, מקום שהחובה על פי תקנה </w:t>
      </w:r>
      <w:hyperlink r:id="rId41" w:history="1">
        <w:r w:rsidR="00875186" w:rsidRPr="00875186">
          <w:rPr>
            <w:rStyle w:val="Hyperlink"/>
            <w:rFonts w:ascii="David" w:hAnsi="David"/>
            <w:rtl/>
          </w:rPr>
          <w:t>129 (ה)</w:t>
        </w:r>
      </w:hyperlink>
      <w:r>
        <w:rPr>
          <w:rFonts w:ascii="David" w:hAnsi="David"/>
          <w:rtl/>
        </w:rPr>
        <w:t xml:space="preserve"> הינה ליסוע בשול, מימין לפס הצהוב, וקרוב ככל הניתן לשפתו הימנית של השול, שהינה אף מעבר לקו הצהוב, מימין לו.</w:t>
      </w:r>
    </w:p>
    <w:p w14:paraId="088C2F41" w14:textId="77777777" w:rsidR="00857446" w:rsidRDefault="00857446" w:rsidP="00857446">
      <w:pPr>
        <w:spacing w:line="360" w:lineRule="auto"/>
        <w:jc w:val="both"/>
        <w:rPr>
          <w:rFonts w:ascii="David" w:hAnsi="David"/>
          <w:rtl/>
        </w:rPr>
      </w:pPr>
    </w:p>
    <w:p w14:paraId="04FD91F4" w14:textId="77777777" w:rsidR="00857446" w:rsidRDefault="00857446" w:rsidP="00857446">
      <w:pPr>
        <w:spacing w:line="360" w:lineRule="auto"/>
        <w:jc w:val="both"/>
        <w:rPr>
          <w:rFonts w:ascii="David" w:hAnsi="David"/>
          <w:rtl/>
        </w:rPr>
      </w:pPr>
      <w:r>
        <w:rPr>
          <w:rFonts w:ascii="David" w:hAnsi="David"/>
          <w:rtl/>
        </w:rPr>
        <w:t>ודאי שנסיבות אלו משפיעות על מידת האשם של הנאשם ומידת הפגיעה שלו בערכים המוגנים. האשם והפגיעה אינם ברף נמוך, שכן היה עליו לנהוג באופן המאפשר לו להימנע מגרימת התאונה גם בנסיבות אלו, והוא גרם לתאונה שבה נפגעה הנפגעת פגיעות קשות. אך לצד זאת לא ניתן לומר שאשמו מלא ומוחלט ולא ניתן לומר שמידת הפגיעה שלו בערכים המוגנים קשה וחמורה.</w:t>
      </w:r>
    </w:p>
    <w:p w14:paraId="0ED5001B" w14:textId="77777777" w:rsidR="00857446" w:rsidRDefault="00857446" w:rsidP="00857446">
      <w:pPr>
        <w:spacing w:line="360" w:lineRule="auto"/>
        <w:jc w:val="both"/>
        <w:rPr>
          <w:rFonts w:ascii="David" w:hAnsi="David"/>
          <w:rtl/>
        </w:rPr>
      </w:pPr>
    </w:p>
    <w:p w14:paraId="1C71C3B5" w14:textId="77777777" w:rsidR="00857446" w:rsidRDefault="00857446" w:rsidP="00857446">
      <w:pPr>
        <w:spacing w:line="360" w:lineRule="auto"/>
        <w:jc w:val="both"/>
        <w:rPr>
          <w:rFonts w:ascii="David" w:hAnsi="David"/>
          <w:rtl/>
        </w:rPr>
      </w:pPr>
      <w:r>
        <w:rPr>
          <w:rFonts w:ascii="David" w:hAnsi="David"/>
          <w:rtl/>
        </w:rPr>
        <w:t xml:space="preserve">מכל האמור אני מוצא כי מידת אשמו של הנאשם ומידת הפגיעה שלו בערכים המוגנים בעבירת הנהיגה בקלות ראש ורשלנות, הינה מעט מתחת לרף הבינוני. </w:t>
      </w:r>
    </w:p>
    <w:p w14:paraId="536DBD8F" w14:textId="77777777" w:rsidR="00857446" w:rsidRDefault="00857446" w:rsidP="00857446">
      <w:pPr>
        <w:spacing w:line="360" w:lineRule="auto"/>
        <w:jc w:val="both"/>
        <w:rPr>
          <w:rFonts w:ascii="David" w:hAnsi="David"/>
          <w:rtl/>
        </w:rPr>
      </w:pPr>
    </w:p>
    <w:p w14:paraId="340E09BE" w14:textId="77777777" w:rsidR="00857446" w:rsidRDefault="00857446" w:rsidP="00857446">
      <w:pPr>
        <w:spacing w:line="360" w:lineRule="auto"/>
        <w:jc w:val="both"/>
        <w:rPr>
          <w:rFonts w:ascii="David" w:hAnsi="David"/>
          <w:rtl/>
          <w:lang w:eastAsia="he-IL"/>
        </w:rPr>
      </w:pPr>
      <w:r>
        <w:rPr>
          <w:rFonts w:ascii="David" w:hAnsi="David"/>
          <w:rtl/>
          <w:lang w:eastAsia="he-IL"/>
        </w:rPr>
        <w:t xml:space="preserve">10. </w:t>
      </w:r>
      <w:r>
        <w:rPr>
          <w:rFonts w:ascii="David" w:hAnsi="David"/>
          <w:rtl/>
          <w:lang w:eastAsia="he-IL"/>
        </w:rPr>
        <w:tab/>
        <w:t>להלן התייחסות לפסיקה, אשר יש לאבחן בהתאם לנסיבות כל מקרה.</w:t>
      </w:r>
    </w:p>
    <w:p w14:paraId="19987BFE" w14:textId="77777777" w:rsidR="00857446" w:rsidRDefault="00857446" w:rsidP="00857446">
      <w:pPr>
        <w:spacing w:line="360" w:lineRule="auto"/>
        <w:jc w:val="both"/>
        <w:rPr>
          <w:rFonts w:ascii="David" w:hAnsi="David"/>
          <w:rtl/>
          <w:lang w:eastAsia="he-IL"/>
        </w:rPr>
      </w:pPr>
    </w:p>
    <w:p w14:paraId="09D97B12"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42" w:history="1">
        <w:r w:rsidR="004C41EA" w:rsidRPr="004C41EA">
          <w:rPr>
            <w:rFonts w:ascii="David" w:hAnsi="David"/>
            <w:color w:val="0000FF"/>
            <w:u w:val="single"/>
            <w:rtl/>
            <w:lang w:eastAsia="he-IL"/>
          </w:rPr>
          <w:t>ע"פ 1964/20</w:t>
        </w:r>
      </w:hyperlink>
      <w:r>
        <w:rPr>
          <w:rFonts w:ascii="David" w:hAnsi="David"/>
          <w:rtl/>
          <w:lang w:eastAsia="he-IL"/>
        </w:rPr>
        <w:t xml:space="preserve"> </w:t>
      </w:r>
      <w:r>
        <w:rPr>
          <w:rFonts w:ascii="David" w:hAnsi="David"/>
          <w:b/>
          <w:bCs/>
          <w:rtl/>
          <w:lang w:eastAsia="he-IL"/>
        </w:rPr>
        <w:t xml:space="preserve">מאנאמטו יצחק אספה נ' מ"י </w:t>
      </w:r>
      <w:r>
        <w:rPr>
          <w:rFonts w:ascii="David" w:hAnsi="David"/>
          <w:rtl/>
          <w:lang w:eastAsia="he-IL"/>
        </w:rPr>
        <w:t>(12.8.2020), אליו מפנה ב"כ המאשימה, הורשע המערער בעבירות של הפקרה ושיבוש מהלכי משפט, לאחר שמיעת ראיות. המערער הורשע בפגיעה ברוכבי אופניים אשר אחד מהם נהרג. בית המשפט המחוזי קבע מתחם עונש הולם הנע בין 2.5 ל – 5.5 שנות מאסר והטיל הטיל על המערער 4.5 שנות מאסר. בית המשפט העליון קבע כי המתחם והענישה מחמירים והורה על הפחתת הענישה ל – 36 חודשי מאסר. סבורני כי מדובר בנסיבות שונות מנסיבותיו של הנאשם כאן, הן ביחס לנסיבות ביצוע העבירה, התוצאה, קבלת האחריות, וכלל העובדות המפורטות לעיל. אכן, שם לא הוטלה אחריות לעצם קרות התאונה, אולם הנסיבות שם חמורות יותר באופן משמעותי.</w:t>
      </w:r>
    </w:p>
    <w:p w14:paraId="77531310" w14:textId="77777777" w:rsidR="00857446" w:rsidRDefault="00857446" w:rsidP="00857446">
      <w:pPr>
        <w:spacing w:line="360" w:lineRule="auto"/>
        <w:jc w:val="both"/>
        <w:rPr>
          <w:rFonts w:ascii="David" w:hAnsi="David"/>
          <w:rtl/>
          <w:lang w:eastAsia="he-IL"/>
        </w:rPr>
      </w:pPr>
    </w:p>
    <w:p w14:paraId="490F4F7D" w14:textId="77777777" w:rsidR="00857446" w:rsidRDefault="00857446" w:rsidP="00857446">
      <w:pPr>
        <w:spacing w:line="360" w:lineRule="auto"/>
        <w:jc w:val="both"/>
        <w:rPr>
          <w:rFonts w:ascii="David" w:hAnsi="David"/>
          <w:rtl/>
        </w:rPr>
      </w:pPr>
      <w:r>
        <w:rPr>
          <w:rFonts w:ascii="David" w:hAnsi="David"/>
          <w:rtl/>
          <w:lang w:eastAsia="he-IL"/>
        </w:rPr>
        <w:t>ב</w:t>
      </w:r>
      <w:hyperlink r:id="rId43" w:history="1">
        <w:r w:rsidR="004C41EA" w:rsidRPr="004C41EA">
          <w:rPr>
            <w:rFonts w:ascii="David" w:hAnsi="David"/>
            <w:color w:val="0000FF"/>
            <w:u w:val="single"/>
            <w:rtl/>
            <w:lang w:eastAsia="he-IL"/>
          </w:rPr>
          <w:t>ע"פ 3258/16</w:t>
        </w:r>
      </w:hyperlink>
      <w:r>
        <w:rPr>
          <w:rFonts w:ascii="David" w:hAnsi="David"/>
          <w:rtl/>
          <w:lang w:eastAsia="he-IL"/>
        </w:rPr>
        <w:t xml:space="preserve"> </w:t>
      </w:r>
      <w:r>
        <w:rPr>
          <w:rFonts w:ascii="David" w:hAnsi="David"/>
          <w:b/>
          <w:bCs/>
          <w:rtl/>
          <w:lang w:eastAsia="he-IL"/>
        </w:rPr>
        <w:t>וולקוב נ' מ"י</w:t>
      </w:r>
      <w:r>
        <w:rPr>
          <w:rFonts w:ascii="David" w:hAnsi="David"/>
          <w:rtl/>
          <w:lang w:eastAsia="he-IL"/>
        </w:rPr>
        <w:t xml:space="preserve"> (22.1.2017), אשר היה על גזר דין שניתן ע"י מותב זה, הורשע המערער, לאחר ניהול הליך הוכחות, בעבירה של הפקרה אחרי פגיעה, לפי </w:t>
      </w:r>
      <w:hyperlink r:id="rId44" w:history="1">
        <w:r w:rsidR="00875186" w:rsidRPr="00875186">
          <w:rPr>
            <w:rStyle w:val="Hyperlink"/>
            <w:rFonts w:ascii="David" w:hAnsi="David"/>
            <w:rtl/>
            <w:lang w:eastAsia="he-IL"/>
          </w:rPr>
          <w:t>סעיף 64א(ג)</w:t>
        </w:r>
      </w:hyperlink>
      <w:r>
        <w:rPr>
          <w:rFonts w:ascii="David" w:hAnsi="David"/>
          <w:rtl/>
          <w:lang w:eastAsia="he-IL"/>
        </w:rPr>
        <w:t xml:space="preserve"> ל</w:t>
      </w:r>
      <w:hyperlink r:id="rId45" w:history="1">
        <w:r w:rsidR="004C41EA" w:rsidRPr="004C41EA">
          <w:rPr>
            <w:rFonts w:ascii="David" w:hAnsi="David"/>
            <w:color w:val="0000FF"/>
            <w:u w:val="single"/>
            <w:rtl/>
            <w:lang w:eastAsia="he-IL"/>
          </w:rPr>
          <w:t>פקודת התעבורה</w:t>
        </w:r>
      </w:hyperlink>
      <w:r>
        <w:rPr>
          <w:rFonts w:ascii="David" w:hAnsi="David"/>
          <w:rtl/>
          <w:lang w:eastAsia="he-IL"/>
        </w:rPr>
        <w:t xml:space="preserve"> (נוסח חדש), ולא היתה מחלוקת כי אין לו אחריות על ביצוע התאונה. המערער </w:t>
      </w:r>
      <w:r>
        <w:rPr>
          <w:rFonts w:ascii="David" w:hAnsi="David"/>
          <w:rtl/>
        </w:rPr>
        <w:t xml:space="preserve">נהג במשאית, והנפגע רכב על אופניים מצד ימין על המדרכה. בשלב מסוים התכוון לחצות את הרחוב, ירד עם אופניו מהמדרכה ונכנס לכביש בין שני כלי רכב שחנו במפרץ חניה מימין. המערער פגע בו עם המשאית, והנפגע נפל על הכביש, ונותר על הכביש בעודו מחוסר הכרה ומדמם מהראש. המערער עצר את המשאית, ניגש אל הנפגע, ראה אותו שוכב על הכביש כשהוא חבול, אך לא הושיט עזרה ולא הזעיק למקום את כוחות ההצלה. לאחר פרק זמן קצר שבמהלכו אזרחים אשר הזדמנו למקום, טיפלו בנפגע והזעיקו מד"א, בטרם כוחות ההצלה והמשטרה הגיעו למקום, עזב המערער את המקום. הנפגע פונה מהמקום לבית חולים באמצעות אמבולנס אשר הוזמן ע"י עוברי האורח, אובחן כסובל מחבלות ואושפז בבית החולים מיום התאונה ועד למועד הגשת כתב האישום. נקבע מתחם עונש הולם הנע בין 12 ל – 48 חודשים, והוטלה ענישה של 15 חודשי מאסר, מאסר מותנה, פסילה למשך 5 שנים ופיצוי בסך 10,000 ₪. ערעור המערער נדחה, למעט לענין המאסר המותנה, לאור הוראת </w:t>
      </w:r>
      <w:hyperlink r:id="rId46" w:history="1">
        <w:r w:rsidR="00875186" w:rsidRPr="00875186">
          <w:rPr>
            <w:rStyle w:val="Hyperlink"/>
            <w:rFonts w:ascii="David" w:hAnsi="David"/>
            <w:rtl/>
          </w:rPr>
          <w:t>סעיף 64א(ד)</w:t>
        </w:r>
      </w:hyperlink>
      <w:r>
        <w:rPr>
          <w:rFonts w:ascii="David" w:hAnsi="David"/>
          <w:rtl/>
        </w:rPr>
        <w:t xml:space="preserve"> ל</w:t>
      </w:r>
      <w:hyperlink r:id="rId47" w:history="1">
        <w:r w:rsidR="004C41EA" w:rsidRPr="004C41EA">
          <w:rPr>
            <w:rFonts w:ascii="David" w:hAnsi="David"/>
            <w:color w:val="0000FF"/>
            <w:u w:val="single"/>
            <w:rtl/>
          </w:rPr>
          <w:t>פקודת התעבורה</w:t>
        </w:r>
      </w:hyperlink>
      <w:r>
        <w:rPr>
          <w:rFonts w:ascii="David" w:hAnsi="David"/>
          <w:rtl/>
        </w:rPr>
        <w:t xml:space="preserve"> (נוסח חדש). </w:t>
      </w:r>
    </w:p>
    <w:p w14:paraId="6B693FDB" w14:textId="77777777" w:rsidR="00857446" w:rsidRDefault="00857446" w:rsidP="00857446">
      <w:pPr>
        <w:spacing w:line="360" w:lineRule="auto"/>
        <w:jc w:val="both"/>
        <w:rPr>
          <w:rFonts w:ascii="David" w:hAnsi="David"/>
          <w:rtl/>
          <w:lang w:eastAsia="he-IL"/>
        </w:rPr>
      </w:pPr>
    </w:p>
    <w:p w14:paraId="3FC39F68"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48" w:history="1">
        <w:r w:rsidR="004C41EA" w:rsidRPr="004C41EA">
          <w:rPr>
            <w:rFonts w:ascii="David" w:hAnsi="David"/>
            <w:color w:val="0000FF"/>
            <w:u w:val="single"/>
            <w:rtl/>
            <w:lang w:eastAsia="he-IL"/>
          </w:rPr>
          <w:t>ע"פ 3304/14</w:t>
        </w:r>
      </w:hyperlink>
      <w:r>
        <w:rPr>
          <w:rFonts w:ascii="David" w:hAnsi="David"/>
          <w:rtl/>
          <w:lang w:eastAsia="he-IL"/>
        </w:rPr>
        <w:t xml:space="preserve"> </w:t>
      </w:r>
      <w:r>
        <w:rPr>
          <w:rFonts w:ascii="David" w:hAnsi="David"/>
          <w:b/>
          <w:bCs/>
          <w:rtl/>
          <w:lang w:eastAsia="he-IL"/>
        </w:rPr>
        <w:t>סולטאן פראן נ' מ"י</w:t>
      </w:r>
      <w:r>
        <w:rPr>
          <w:rFonts w:ascii="David" w:hAnsi="David"/>
          <w:rtl/>
          <w:lang w:eastAsia="he-IL"/>
        </w:rPr>
        <w:t xml:space="preserve"> (21.10.2014) הורשע המערער בעבירות הפקרה לאחר פגיעה ונהיגה מעבר למהירות המותרת בכך שכאשר נהג במהירות 65 קמ"ש במקום בו המהירות המותרת 50 קמ"ש, כאשר חצו שני הולכי רגל את הכביש, פגעה חזית הרכב בשניהם בעוצמה רבה שהעיפה אותם מהכביש, המערער נמלט מהמקום בנסיעה מהירה כאשר הוא פוגע ברכב שנסע מולו בנתיב הנגדי, ולא עצר כדי לברר את מצבם של הולכי הרגל או להושיט להם עזרה, עוברי אורח הזעיקו כוחות הצלה אשר פינו את הולכי הרגך לבית חולים, וכתוצאה מהתאונה נפצעו שני הולכי הרגל בצורה קשה. נקבע כי מתחם העונש ההולם כולל עונש מאסר בין 10 ל – 30 חודשים, בדעת רוב, כאשר המחלוקת היתה רק ביחס לרף העליון, שלדעת המיעוט היה 40 חודשים. </w:t>
      </w:r>
    </w:p>
    <w:p w14:paraId="4EC73385" w14:textId="77777777" w:rsidR="00857446" w:rsidRDefault="00857446" w:rsidP="00857446">
      <w:pPr>
        <w:spacing w:line="360" w:lineRule="auto"/>
        <w:jc w:val="both"/>
        <w:rPr>
          <w:rFonts w:ascii="David" w:hAnsi="David"/>
          <w:lang w:eastAsia="he-IL"/>
        </w:rPr>
      </w:pPr>
    </w:p>
    <w:p w14:paraId="4B104DE2"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49" w:history="1">
        <w:r w:rsidR="004C41EA" w:rsidRPr="004C41EA">
          <w:rPr>
            <w:rFonts w:ascii="David" w:hAnsi="David"/>
            <w:color w:val="0000FF"/>
            <w:u w:val="single"/>
            <w:rtl/>
            <w:lang w:eastAsia="he-IL"/>
          </w:rPr>
          <w:t>ע"פ 1902/14</w:t>
        </w:r>
      </w:hyperlink>
      <w:r>
        <w:rPr>
          <w:rFonts w:ascii="David" w:hAnsi="David"/>
          <w:rtl/>
          <w:lang w:eastAsia="he-IL"/>
        </w:rPr>
        <w:t xml:space="preserve"> </w:t>
      </w:r>
      <w:r>
        <w:rPr>
          <w:rFonts w:ascii="David" w:hAnsi="David"/>
          <w:b/>
          <w:bCs/>
          <w:rtl/>
          <w:lang w:eastAsia="he-IL"/>
        </w:rPr>
        <w:t>אדוארד נתנוב נ' מ"י</w:t>
      </w:r>
      <w:r>
        <w:rPr>
          <w:rFonts w:ascii="David" w:hAnsi="David"/>
          <w:rtl/>
          <w:lang w:eastAsia="he-IL"/>
        </w:rPr>
        <w:t xml:space="preserve"> (1.7.2014) (אליו הפנה ב"כ הנאשם, וגזר הדין נשוא הערעור ניתן ע"י מותב זה) המערער הורשע בעבירות של הפקרה אחרי פגיעה, נהיגה בשכרות, מסירת ידיעה כוזבת ונהיגה ברכב שרשיונו פקע, ובמסגרת גזר דינו נקבע מתחם עונש הולם של 12 עד 48 חודשי מאסר. שם פגע המערער חזיתית בהולך רגל, בהיותו שיכור, והמשיך בנסיעה מבלי להזעיק עזרה ובהמשך יצר מצג שווא לפיו רכבו נגנב. על המערער הוטלו 20 חודשי מאסר, וביהמ"ש העליון דחה את הערעור, לא מצא כי מתחם העונש שנקבע או העונש אשר הוטל בתוך המתחם חורגים במידה ניכרת ממתחם הענישה או העונש המקובל והראוי, ונקבע כי אמנם בתוך המתחם ניתן היה לגזור גם עונש העולה במספר חודשים על העונש שנגזר, והערעור על עונש המאסר נדחה, והוסף למכלול העונשים גם עונש של שלילת רישיון לצמיתות. </w:t>
      </w:r>
    </w:p>
    <w:p w14:paraId="4B88A567" w14:textId="77777777" w:rsidR="00857446" w:rsidRDefault="00857446" w:rsidP="00857446">
      <w:pPr>
        <w:spacing w:line="360" w:lineRule="auto"/>
        <w:jc w:val="both"/>
        <w:rPr>
          <w:rFonts w:ascii="David" w:hAnsi="David"/>
          <w:lang w:eastAsia="he-IL"/>
        </w:rPr>
      </w:pPr>
    </w:p>
    <w:p w14:paraId="543E3323"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50" w:history="1">
        <w:r w:rsidR="004C41EA" w:rsidRPr="004C41EA">
          <w:rPr>
            <w:rFonts w:ascii="David" w:hAnsi="David"/>
            <w:color w:val="0000FF"/>
            <w:u w:val="single"/>
            <w:rtl/>
            <w:lang w:eastAsia="he-IL"/>
          </w:rPr>
          <w:t>ע"פ 7936/13</w:t>
        </w:r>
      </w:hyperlink>
      <w:r>
        <w:rPr>
          <w:rFonts w:ascii="David" w:hAnsi="David"/>
          <w:rtl/>
          <w:lang w:eastAsia="he-IL"/>
        </w:rPr>
        <w:t xml:space="preserve"> 8050/13 </w:t>
      </w:r>
      <w:r>
        <w:rPr>
          <w:rFonts w:ascii="David" w:hAnsi="David"/>
          <w:b/>
          <w:bCs/>
          <w:rtl/>
          <w:lang w:eastAsia="he-IL"/>
        </w:rPr>
        <w:t>אהרן (רוני) לוי נ' מ"י</w:t>
      </w:r>
      <w:r>
        <w:rPr>
          <w:rFonts w:ascii="David" w:hAnsi="David"/>
          <w:rtl/>
          <w:lang w:eastAsia="he-IL"/>
        </w:rPr>
        <w:t xml:space="preserve"> וערעור שכנגד (16.12.2014), הפקיר המערער  איש ואשתו אשר נדרסו למוות בגלגלי משאית בה נהג, והורשע בעבירת הפקרה שלפני תיקון 101 ל</w:t>
      </w:r>
      <w:hyperlink r:id="rId51" w:history="1">
        <w:r w:rsidR="004C41EA" w:rsidRPr="004C41EA">
          <w:rPr>
            <w:rFonts w:ascii="David" w:hAnsi="David"/>
            <w:color w:val="0000FF"/>
            <w:u w:val="single"/>
            <w:rtl/>
            <w:lang w:eastAsia="he-IL"/>
          </w:rPr>
          <w:t>פקודת התעבורה</w:t>
        </w:r>
      </w:hyperlink>
      <w:r>
        <w:rPr>
          <w:rFonts w:ascii="David" w:hAnsi="David"/>
          <w:rtl/>
          <w:lang w:eastAsia="he-IL"/>
        </w:rPr>
        <w:t xml:space="preserve">. בית המשפט המחוזי קבע מתחם עונש הולם בין שנתיים ל – 4.5 שנים, גזר עונש של 3 שנות מאסר, ובערעור הופחת המאסר ל – 26 חודשים. ביחס לכך נאמר בערעור: </w:t>
      </w:r>
      <w:r>
        <w:rPr>
          <w:rFonts w:ascii="David" w:hAnsi="David"/>
          <w:b/>
          <w:bCs/>
          <w:rtl/>
          <w:lang w:eastAsia="he-IL"/>
        </w:rPr>
        <w:t>"דומני כי בכך החמיר בית המשפט המחוזי יתר על המידה, ותקופה של 36 חודשי מאסר שנגזרה על לוי לבסוף, היא ארוכה מדי. זאת, בשים לב לענישה המקובלת בעת ההיא, לפני תיקון מספר 101 לפקודה, וגם בהתחשב במגמת ההחמרה"</w:t>
      </w:r>
      <w:r>
        <w:rPr>
          <w:rFonts w:ascii="David" w:hAnsi="David"/>
          <w:rtl/>
          <w:lang w:eastAsia="he-IL"/>
        </w:rPr>
        <w:t>. מנגד עונש הפסילה שהיה 12 חודשים הוחמר לשלוש שנים. כאמור, ענישה זו ענינה מעשה אשר חל עליו הדין טרם תיקון 101 ל</w:t>
      </w:r>
      <w:hyperlink r:id="rId52" w:history="1">
        <w:r w:rsidR="004C41EA" w:rsidRPr="004C41EA">
          <w:rPr>
            <w:rFonts w:ascii="David" w:hAnsi="David"/>
            <w:color w:val="0000FF"/>
            <w:u w:val="single"/>
            <w:rtl/>
            <w:lang w:eastAsia="he-IL"/>
          </w:rPr>
          <w:t>פקודת התעבורה</w:t>
        </w:r>
      </w:hyperlink>
      <w:r>
        <w:rPr>
          <w:rFonts w:ascii="David" w:hAnsi="David"/>
          <w:rtl/>
          <w:lang w:eastAsia="he-IL"/>
        </w:rPr>
        <w:t xml:space="preserve">, כאשר הענישה לצד העבירה היתה 9 שנות מאסר.   </w:t>
      </w:r>
    </w:p>
    <w:p w14:paraId="713CB3EF" w14:textId="77777777" w:rsidR="00857446" w:rsidRDefault="00857446" w:rsidP="00857446">
      <w:pPr>
        <w:spacing w:line="360" w:lineRule="auto"/>
        <w:jc w:val="both"/>
        <w:rPr>
          <w:rFonts w:ascii="David" w:hAnsi="David"/>
          <w:rtl/>
          <w:lang w:eastAsia="he-IL"/>
        </w:rPr>
      </w:pPr>
    </w:p>
    <w:p w14:paraId="40CFB915" w14:textId="77777777" w:rsidR="00857446" w:rsidRDefault="00857446" w:rsidP="00857446">
      <w:pPr>
        <w:spacing w:line="360" w:lineRule="auto"/>
        <w:jc w:val="both"/>
        <w:rPr>
          <w:rFonts w:ascii="David" w:hAnsi="David"/>
          <w:lang w:eastAsia="he-IL"/>
        </w:rPr>
      </w:pPr>
      <w:r>
        <w:rPr>
          <w:rFonts w:ascii="David" w:hAnsi="David"/>
          <w:rtl/>
          <w:lang w:eastAsia="he-IL"/>
        </w:rPr>
        <w:t>ב</w:t>
      </w:r>
      <w:hyperlink r:id="rId53" w:history="1">
        <w:r w:rsidR="004C41EA" w:rsidRPr="004C41EA">
          <w:rPr>
            <w:rFonts w:ascii="David" w:hAnsi="David"/>
            <w:color w:val="0000FF"/>
            <w:u w:val="single"/>
            <w:rtl/>
            <w:lang w:eastAsia="he-IL"/>
          </w:rPr>
          <w:t>ע"פ 4906/12</w:t>
        </w:r>
      </w:hyperlink>
      <w:r>
        <w:rPr>
          <w:rFonts w:ascii="David" w:hAnsi="David"/>
          <w:rtl/>
          <w:lang w:eastAsia="he-IL"/>
        </w:rPr>
        <w:t xml:space="preserve"> </w:t>
      </w:r>
      <w:r>
        <w:rPr>
          <w:rFonts w:ascii="David" w:hAnsi="David"/>
          <w:b/>
          <w:bCs/>
          <w:rtl/>
          <w:lang w:eastAsia="he-IL"/>
        </w:rPr>
        <w:t>אגרה ווסה נ' מ"י</w:t>
      </w:r>
      <w:r>
        <w:rPr>
          <w:rFonts w:ascii="David" w:hAnsi="David"/>
          <w:rtl/>
          <w:lang w:eastAsia="he-IL"/>
        </w:rPr>
        <w:t xml:space="preserve"> (14.1.2013) הורשע המערער בעבירות של הפקרה, נהיגה בשכרות, נהיגה בקלות ראש שגרמה לתאונת דרכים בה נחבל אדם חבלה של ממש, נהיגה ללא רישיון נהיגה וללא פוליסת ביטוח בת תוקף, וכן שימוש ברכב ללא רשות והחזקה ושימוש בסם מסוכן לצריכה עצמית, נקבע כי עונש של 48 חודשי מאסר בפועל ועונשים נלווים, אינו מהווה עונש החורג ממדיניות הענישה הראויה, וזאת במיוחד נוכח הצורך בתגובה עונשית הולמת לעבירת ההפקרה ולמדרג החומרה שקבע לה המחוקק. בענייננו לא מיוחסת למערער עבירת שכרות.</w:t>
      </w:r>
    </w:p>
    <w:p w14:paraId="7BFC2BC6" w14:textId="77777777" w:rsidR="00857446" w:rsidRDefault="00857446" w:rsidP="00857446">
      <w:pPr>
        <w:spacing w:line="360" w:lineRule="auto"/>
        <w:jc w:val="both"/>
        <w:rPr>
          <w:rFonts w:ascii="David" w:hAnsi="David"/>
          <w:rtl/>
          <w:lang w:eastAsia="he-IL"/>
        </w:rPr>
      </w:pPr>
    </w:p>
    <w:p w14:paraId="14284045"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54" w:history="1">
        <w:r w:rsidR="004C41EA" w:rsidRPr="004C41EA">
          <w:rPr>
            <w:rFonts w:ascii="David" w:hAnsi="David"/>
            <w:color w:val="0000FF"/>
            <w:u w:val="single"/>
            <w:rtl/>
            <w:lang w:eastAsia="he-IL"/>
          </w:rPr>
          <w:t>ע"פ 3664/11</w:t>
        </w:r>
      </w:hyperlink>
      <w:r>
        <w:rPr>
          <w:rFonts w:ascii="David" w:hAnsi="David"/>
          <w:rtl/>
          <w:lang w:eastAsia="he-IL"/>
        </w:rPr>
        <w:t xml:space="preserve"> </w:t>
      </w:r>
      <w:r>
        <w:rPr>
          <w:rFonts w:ascii="David" w:hAnsi="David"/>
          <w:b/>
          <w:bCs/>
          <w:rtl/>
          <w:lang w:eastAsia="he-IL"/>
        </w:rPr>
        <w:t>מ"י נ' מחמד רשיד</w:t>
      </w:r>
      <w:r>
        <w:rPr>
          <w:rFonts w:ascii="David" w:hAnsi="David"/>
          <w:rtl/>
          <w:lang w:eastAsia="he-IL"/>
        </w:rPr>
        <w:t xml:space="preserve"> (7.9.2011) הוגש ערעור על קולת העונש שהוטל על המשיב שהורשע בעבירות של הפקרה, נהיגה ברשלנות, נהיגה ללא רישיון וללא ביטוח ושהייה בלתי חוקית, כאשר בית המשפט המחוזי דן אותו ל-24 חודשי מאסר, ובית המשפט העליון הדגיש כי נוכח הצורך בהרתעה בעבירת ההפקרה, ונוכח עברו התעב</w:t>
      </w:r>
      <w:r>
        <w:rPr>
          <w:rFonts w:ascii="David" w:hAnsi="David" w:hint="cs"/>
          <w:rtl/>
          <w:lang w:eastAsia="he-IL"/>
        </w:rPr>
        <w:t>ורד</w:t>
      </w:r>
      <w:r>
        <w:rPr>
          <w:rFonts w:ascii="David" w:hAnsi="David"/>
          <w:rtl/>
          <w:lang w:eastAsia="he-IL"/>
        </w:rPr>
        <w:t xml:space="preserve">תי, ענישתו הוחמרה ל-48 חודשי מאסר.   </w:t>
      </w:r>
    </w:p>
    <w:p w14:paraId="67365BEC" w14:textId="77777777" w:rsidR="00857446" w:rsidRDefault="00857446" w:rsidP="00857446">
      <w:pPr>
        <w:spacing w:after="160" w:line="256" w:lineRule="auto"/>
        <w:ind w:left="720"/>
        <w:contextualSpacing/>
        <w:rPr>
          <w:rFonts w:ascii="David" w:hAnsi="David"/>
          <w:lang w:eastAsia="he-IL"/>
        </w:rPr>
      </w:pPr>
    </w:p>
    <w:p w14:paraId="2B716A2A"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55" w:history="1">
        <w:r w:rsidR="004C41EA" w:rsidRPr="004C41EA">
          <w:rPr>
            <w:rFonts w:ascii="David" w:hAnsi="David"/>
            <w:color w:val="0000FF"/>
            <w:u w:val="single"/>
            <w:rtl/>
            <w:lang w:eastAsia="he-IL"/>
          </w:rPr>
          <w:t>ע"פ 7878/12</w:t>
        </w:r>
      </w:hyperlink>
      <w:r>
        <w:rPr>
          <w:rFonts w:ascii="David" w:hAnsi="David"/>
          <w:rtl/>
          <w:lang w:eastAsia="he-IL"/>
        </w:rPr>
        <w:t xml:space="preserve"> </w:t>
      </w:r>
      <w:r>
        <w:rPr>
          <w:rFonts w:ascii="David" w:hAnsi="David"/>
          <w:b/>
          <w:bCs/>
          <w:rtl/>
          <w:lang w:eastAsia="he-IL"/>
        </w:rPr>
        <w:t>מ"י נ' מרדכי ארגוב</w:t>
      </w:r>
      <w:r>
        <w:rPr>
          <w:rFonts w:ascii="David" w:hAnsi="David"/>
          <w:rtl/>
          <w:lang w:eastAsia="he-IL"/>
        </w:rPr>
        <w:t xml:space="preserve"> (21.5.2013) לעיל, הורשע המערער (לאחר שינוי סעיף עבירה בערעור) בעבירות של נהיגה פזיזה המסכנת חיי אדם, נהיגה בקלות ראש, הפקרה אחרי פגיעה, ושיבוש הליכי משפט. בגין עבירות אלה נגזרו על המערער 20 חודשי מאסר בפועל, וערעורי שני הצדדים על גזר הדין נדחו. שם פגע המערער בהולכת רגל אשר נגרמה לה חבלה חמורה בראשה.</w:t>
      </w:r>
    </w:p>
    <w:p w14:paraId="3902A9A5" w14:textId="77777777" w:rsidR="00857446" w:rsidRDefault="00857446" w:rsidP="00857446">
      <w:pPr>
        <w:spacing w:line="360" w:lineRule="auto"/>
        <w:jc w:val="both"/>
        <w:rPr>
          <w:rFonts w:ascii="David" w:hAnsi="David"/>
          <w:lang w:eastAsia="he-IL"/>
        </w:rPr>
      </w:pPr>
    </w:p>
    <w:p w14:paraId="3632F75C" w14:textId="77777777" w:rsidR="00857446" w:rsidRDefault="00857446" w:rsidP="00857446">
      <w:pPr>
        <w:spacing w:line="360" w:lineRule="auto"/>
        <w:jc w:val="both"/>
        <w:rPr>
          <w:rFonts w:ascii="David" w:hAnsi="David"/>
          <w:rtl/>
          <w:lang w:eastAsia="he-IL"/>
        </w:rPr>
      </w:pPr>
      <w:r>
        <w:rPr>
          <w:rFonts w:ascii="David" w:hAnsi="David"/>
          <w:rtl/>
          <w:lang w:eastAsia="he-IL"/>
        </w:rPr>
        <w:t>ב</w:t>
      </w:r>
      <w:hyperlink r:id="rId56" w:history="1">
        <w:r w:rsidR="004C41EA" w:rsidRPr="004C41EA">
          <w:rPr>
            <w:rFonts w:ascii="David" w:hAnsi="David"/>
            <w:color w:val="0000FF"/>
            <w:u w:val="single"/>
            <w:rtl/>
            <w:lang w:eastAsia="he-IL"/>
          </w:rPr>
          <w:t>ע"פ 5000/08</w:t>
        </w:r>
      </w:hyperlink>
      <w:r>
        <w:rPr>
          <w:rFonts w:ascii="David" w:hAnsi="David"/>
          <w:rtl/>
          <w:lang w:eastAsia="he-IL"/>
        </w:rPr>
        <w:t xml:space="preserve"> </w:t>
      </w:r>
      <w:r>
        <w:rPr>
          <w:rFonts w:ascii="David" w:hAnsi="David"/>
          <w:b/>
          <w:bCs/>
          <w:rtl/>
          <w:lang w:eastAsia="he-IL"/>
        </w:rPr>
        <w:t>דוד סומך נ' מ"י</w:t>
      </w:r>
      <w:r>
        <w:rPr>
          <w:rFonts w:ascii="David" w:hAnsi="David"/>
          <w:rtl/>
          <w:lang w:eastAsia="he-IL"/>
        </w:rPr>
        <w:t xml:space="preserve"> (22.3.2009) לעיל, המערער הורשע בעבירת הפקרה לאחר פגיעה, לאחר שפגע חזיתית בהולך רגל, המשך בנסיעתו, עצר לאחר 100 מטר וישב ברכבו מבלי לעשות דבר, המשיך בנסיעתו ובערבו של אותו יום הסגיר עצמו למשטרה. הנפגע נפצע קשות ונפטר זמן מה לאחר התאונה. על המערער נגזרו 10 חודשי מאסר, וביהמ"ש העליון דחה את הערעור. התיק נדון טרם תיקון 101 ל</w:t>
      </w:r>
      <w:hyperlink r:id="rId57" w:history="1">
        <w:r w:rsidR="004C41EA" w:rsidRPr="004C41EA">
          <w:rPr>
            <w:rFonts w:ascii="David" w:hAnsi="David"/>
            <w:color w:val="0000FF"/>
            <w:u w:val="single"/>
            <w:rtl/>
            <w:lang w:eastAsia="he-IL"/>
          </w:rPr>
          <w:t>פקודת התעבורה</w:t>
        </w:r>
      </w:hyperlink>
      <w:r>
        <w:rPr>
          <w:rFonts w:ascii="David" w:hAnsi="David"/>
          <w:rtl/>
          <w:lang w:eastAsia="he-IL"/>
        </w:rPr>
        <w:t xml:space="preserve">. </w:t>
      </w:r>
    </w:p>
    <w:p w14:paraId="5C4844C9" w14:textId="77777777" w:rsidR="00857446" w:rsidRDefault="00857446" w:rsidP="00857446">
      <w:pPr>
        <w:spacing w:after="160" w:line="256" w:lineRule="auto"/>
        <w:ind w:left="720"/>
        <w:contextualSpacing/>
        <w:rPr>
          <w:rFonts w:ascii="David" w:hAnsi="David"/>
          <w:rtl/>
          <w:lang w:eastAsia="he-IL"/>
        </w:rPr>
      </w:pPr>
    </w:p>
    <w:p w14:paraId="5B83ADFB" w14:textId="77777777" w:rsidR="00857446" w:rsidRDefault="00857446" w:rsidP="00857446">
      <w:pPr>
        <w:spacing w:after="160" w:line="256" w:lineRule="auto"/>
        <w:ind w:left="720"/>
        <w:contextualSpacing/>
        <w:rPr>
          <w:rFonts w:ascii="David" w:hAnsi="David"/>
          <w:rtl/>
          <w:lang w:eastAsia="he-IL"/>
        </w:rPr>
      </w:pPr>
    </w:p>
    <w:p w14:paraId="65B663A7" w14:textId="77777777" w:rsidR="00857446" w:rsidRDefault="00857446" w:rsidP="00857446">
      <w:pPr>
        <w:spacing w:after="160" w:line="256" w:lineRule="auto"/>
        <w:ind w:left="720"/>
        <w:contextualSpacing/>
        <w:rPr>
          <w:rFonts w:ascii="David" w:hAnsi="David"/>
          <w:rtl/>
          <w:lang w:eastAsia="he-IL"/>
        </w:rPr>
      </w:pPr>
    </w:p>
    <w:p w14:paraId="2119E5F8" w14:textId="77777777" w:rsidR="00857446" w:rsidRDefault="00857446" w:rsidP="00857446">
      <w:pPr>
        <w:spacing w:after="160" w:line="256" w:lineRule="auto"/>
        <w:ind w:left="720"/>
        <w:contextualSpacing/>
        <w:rPr>
          <w:rFonts w:ascii="David" w:hAnsi="David"/>
          <w:rtl/>
          <w:lang w:eastAsia="he-IL"/>
        </w:rPr>
      </w:pPr>
    </w:p>
    <w:p w14:paraId="79982EEF" w14:textId="77777777" w:rsidR="00857446" w:rsidRDefault="00857446" w:rsidP="00857446">
      <w:pPr>
        <w:spacing w:line="360" w:lineRule="auto"/>
        <w:ind w:left="1269" w:right="1418"/>
        <w:jc w:val="both"/>
        <w:rPr>
          <w:rFonts w:ascii="David" w:hAnsi="David"/>
          <w:b/>
          <w:bCs/>
          <w:rtl/>
          <w:lang w:eastAsia="he-IL"/>
        </w:rPr>
      </w:pPr>
    </w:p>
    <w:p w14:paraId="5E4D90D7" w14:textId="77777777" w:rsidR="00857446" w:rsidRDefault="00857446" w:rsidP="00857446">
      <w:pPr>
        <w:spacing w:line="360" w:lineRule="auto"/>
        <w:jc w:val="both"/>
        <w:rPr>
          <w:rFonts w:ascii="David" w:hAnsi="David"/>
          <w:rtl/>
          <w:lang w:eastAsia="he-IL"/>
        </w:rPr>
      </w:pPr>
      <w:r>
        <w:rPr>
          <w:rFonts w:ascii="David" w:hAnsi="David"/>
          <w:rtl/>
          <w:lang w:eastAsia="he-IL"/>
        </w:rPr>
        <w:t>11.</w:t>
      </w:r>
      <w:r>
        <w:rPr>
          <w:rFonts w:ascii="David" w:hAnsi="David"/>
          <w:rtl/>
          <w:lang w:eastAsia="he-IL"/>
        </w:rPr>
        <w:tab/>
        <w:t>לאחר בחינת נסיבות ביצוע העבירות כמפורט לעיל, מידת הפגיעה בערכים המוגנים ומידת אשמו של הנאשם, אני מוצא את מתחם העונש ההולם בגין העבירות אשר בוצעו על ידו ככולל מאסר בפועל הנע בין 18 ל – 36 חודשי מאסר בפועל.</w:t>
      </w:r>
    </w:p>
    <w:p w14:paraId="60BA786C" w14:textId="77777777" w:rsidR="00857446" w:rsidRDefault="00857446" w:rsidP="00857446">
      <w:pPr>
        <w:spacing w:line="360" w:lineRule="auto"/>
        <w:jc w:val="both"/>
        <w:rPr>
          <w:rFonts w:ascii="David" w:hAnsi="David"/>
          <w:rtl/>
          <w:lang w:eastAsia="he-IL"/>
        </w:rPr>
      </w:pPr>
    </w:p>
    <w:p w14:paraId="6CAAABC9" w14:textId="77777777" w:rsidR="00857446" w:rsidRDefault="00857446" w:rsidP="00857446">
      <w:pPr>
        <w:spacing w:line="360" w:lineRule="auto"/>
        <w:jc w:val="both"/>
        <w:rPr>
          <w:rFonts w:ascii="David" w:hAnsi="David"/>
          <w:rtl/>
          <w:lang w:eastAsia="he-IL"/>
        </w:rPr>
      </w:pPr>
      <w:r>
        <w:rPr>
          <w:rFonts w:ascii="David" w:hAnsi="David"/>
          <w:rtl/>
          <w:lang w:eastAsia="he-IL"/>
        </w:rPr>
        <w:t>על הענישה לכלול פסילה בפועל לפרק זמן בין 5-10 שנים.</w:t>
      </w:r>
    </w:p>
    <w:p w14:paraId="6A8D3514" w14:textId="77777777" w:rsidR="00857446" w:rsidRDefault="00857446" w:rsidP="00857446">
      <w:pPr>
        <w:spacing w:line="360" w:lineRule="auto"/>
        <w:jc w:val="both"/>
        <w:rPr>
          <w:rFonts w:ascii="David" w:hAnsi="David"/>
          <w:rtl/>
          <w:lang w:eastAsia="he-IL"/>
        </w:rPr>
      </w:pPr>
    </w:p>
    <w:p w14:paraId="463A323B" w14:textId="77777777" w:rsidR="00857446" w:rsidRDefault="00857446" w:rsidP="00857446">
      <w:pPr>
        <w:spacing w:line="360" w:lineRule="auto"/>
        <w:jc w:val="both"/>
        <w:rPr>
          <w:rFonts w:ascii="David" w:hAnsi="David"/>
          <w:rtl/>
          <w:lang w:eastAsia="he-IL"/>
        </w:rPr>
      </w:pPr>
      <w:r>
        <w:rPr>
          <w:rFonts w:ascii="David" w:hAnsi="David"/>
          <w:rtl/>
          <w:lang w:eastAsia="he-IL"/>
        </w:rPr>
        <w:t>על הענישה לכלול גם רכיב של פיצוי, אשר יעשה על דרך האומדן.</w:t>
      </w:r>
    </w:p>
    <w:p w14:paraId="41A5E5D6" w14:textId="77777777" w:rsidR="00857446" w:rsidRDefault="00857446" w:rsidP="00857446">
      <w:pPr>
        <w:spacing w:line="360" w:lineRule="auto"/>
        <w:jc w:val="both"/>
        <w:rPr>
          <w:rFonts w:ascii="David" w:hAnsi="David"/>
          <w:rtl/>
          <w:lang w:eastAsia="he-IL"/>
        </w:rPr>
      </w:pPr>
    </w:p>
    <w:p w14:paraId="146F2BDF" w14:textId="77777777" w:rsidR="00857446" w:rsidRDefault="00857446" w:rsidP="00857446">
      <w:pPr>
        <w:spacing w:line="360" w:lineRule="auto"/>
        <w:jc w:val="both"/>
        <w:rPr>
          <w:rFonts w:ascii="David" w:hAnsi="David"/>
          <w:b/>
          <w:bCs/>
          <w:u w:val="single"/>
          <w:rtl/>
        </w:rPr>
      </w:pPr>
      <w:r>
        <w:rPr>
          <w:rFonts w:ascii="David" w:hAnsi="David"/>
          <w:b/>
          <w:bCs/>
          <w:u w:val="single"/>
          <w:rtl/>
        </w:rPr>
        <w:t xml:space="preserve">הענישה </w:t>
      </w:r>
    </w:p>
    <w:p w14:paraId="07F2B76C" w14:textId="77777777" w:rsidR="00857446" w:rsidRDefault="00857446" w:rsidP="00857446">
      <w:pPr>
        <w:spacing w:line="360" w:lineRule="auto"/>
        <w:jc w:val="both"/>
        <w:rPr>
          <w:rFonts w:ascii="David" w:hAnsi="David"/>
          <w:rtl/>
        </w:rPr>
      </w:pPr>
    </w:p>
    <w:p w14:paraId="05736090" w14:textId="77777777" w:rsidR="00857446" w:rsidRDefault="00857446" w:rsidP="00857446">
      <w:pPr>
        <w:spacing w:line="360" w:lineRule="auto"/>
        <w:jc w:val="both"/>
        <w:rPr>
          <w:rFonts w:ascii="David" w:hAnsi="David"/>
          <w:rtl/>
        </w:rPr>
      </w:pPr>
      <w:r>
        <w:rPr>
          <w:rFonts w:ascii="David" w:hAnsi="David"/>
          <w:rtl/>
        </w:rPr>
        <w:t xml:space="preserve">12. </w:t>
      </w:r>
      <w:r>
        <w:rPr>
          <w:rFonts w:ascii="David" w:hAnsi="David"/>
          <w:rtl/>
        </w:rPr>
        <w:tab/>
        <w:t xml:space="preserve"> הנאשם יליד 1997 ולחובתו עבר בעבירת סמים חמורה משירותו הצבאי, בגינה נדון ל – 16 חודשי מאסר בפועל. לנאשם עבר תעבורתי הכולל 13 רישומים שמרביתם בעבירות קנס, ואינו כולל עבירה דוגמת העבירות בהן הורשע בהליך זה.</w:t>
      </w:r>
    </w:p>
    <w:p w14:paraId="364C1BE0" w14:textId="77777777" w:rsidR="00857446" w:rsidRDefault="00857446" w:rsidP="00857446">
      <w:pPr>
        <w:spacing w:line="360" w:lineRule="auto"/>
        <w:jc w:val="both"/>
        <w:rPr>
          <w:rFonts w:ascii="David" w:hAnsi="David"/>
          <w:rtl/>
        </w:rPr>
      </w:pPr>
    </w:p>
    <w:p w14:paraId="20D6369F" w14:textId="77777777" w:rsidR="00857446" w:rsidRDefault="00857446" w:rsidP="00857446">
      <w:pPr>
        <w:spacing w:line="360" w:lineRule="auto"/>
        <w:jc w:val="both"/>
        <w:rPr>
          <w:rFonts w:ascii="David" w:hAnsi="David"/>
          <w:rtl/>
        </w:rPr>
      </w:pPr>
      <w:r>
        <w:rPr>
          <w:rFonts w:ascii="David" w:hAnsi="David"/>
          <w:rtl/>
        </w:rPr>
        <w:t>הנאשם נשוי, אב לארבעה ילדים ועובד במפעל.</w:t>
      </w:r>
    </w:p>
    <w:p w14:paraId="54FA27DC" w14:textId="77777777" w:rsidR="00857446" w:rsidRDefault="00857446" w:rsidP="00857446">
      <w:pPr>
        <w:spacing w:line="360" w:lineRule="auto"/>
        <w:jc w:val="both"/>
        <w:rPr>
          <w:rFonts w:ascii="David" w:hAnsi="David"/>
          <w:rtl/>
        </w:rPr>
      </w:pPr>
    </w:p>
    <w:p w14:paraId="1BD8024F" w14:textId="77777777" w:rsidR="00857446" w:rsidRDefault="00857446" w:rsidP="00857446">
      <w:pPr>
        <w:spacing w:line="360" w:lineRule="auto"/>
        <w:jc w:val="both"/>
        <w:rPr>
          <w:rFonts w:ascii="David" w:hAnsi="David"/>
          <w:rtl/>
        </w:rPr>
      </w:pPr>
      <w:r>
        <w:rPr>
          <w:rFonts w:ascii="David" w:hAnsi="David"/>
          <w:rtl/>
        </w:rPr>
        <w:t>כעולה מתסקירי שירות המבחן, הנאשם התנדב לשירות צבאי והשלים 5 שנים בצבא, בשירות צבאי משמעותי והשתתפות במבצעי לחימה.</w:t>
      </w:r>
    </w:p>
    <w:p w14:paraId="48DD4CF1" w14:textId="77777777" w:rsidR="00857446" w:rsidRDefault="00857446" w:rsidP="00857446">
      <w:pPr>
        <w:spacing w:line="360" w:lineRule="auto"/>
        <w:jc w:val="both"/>
        <w:rPr>
          <w:rFonts w:ascii="David" w:hAnsi="David"/>
          <w:rtl/>
        </w:rPr>
      </w:pPr>
    </w:p>
    <w:p w14:paraId="6CDD94E3" w14:textId="77777777" w:rsidR="00857446" w:rsidRDefault="00857446" w:rsidP="00857446">
      <w:pPr>
        <w:spacing w:line="360" w:lineRule="auto"/>
        <w:jc w:val="both"/>
        <w:rPr>
          <w:rFonts w:ascii="David" w:hAnsi="David"/>
          <w:rtl/>
        </w:rPr>
      </w:pPr>
      <w:r>
        <w:rPr>
          <w:rFonts w:ascii="David" w:hAnsi="David"/>
          <w:rtl/>
        </w:rPr>
        <w:t>שירות המבחן התרשם מקבלת האחריות, החרטה, והאמפטיה למצבה של נפגעת העבירה.</w:t>
      </w:r>
    </w:p>
    <w:p w14:paraId="0BA5B26B" w14:textId="77777777" w:rsidR="00857446" w:rsidRDefault="00857446" w:rsidP="00857446">
      <w:pPr>
        <w:spacing w:line="360" w:lineRule="auto"/>
        <w:jc w:val="both"/>
        <w:rPr>
          <w:rFonts w:ascii="David" w:hAnsi="David"/>
          <w:rtl/>
        </w:rPr>
      </w:pPr>
    </w:p>
    <w:p w14:paraId="6EBA605A" w14:textId="77777777" w:rsidR="00857446" w:rsidRDefault="00857446" w:rsidP="00857446">
      <w:pPr>
        <w:spacing w:line="360" w:lineRule="auto"/>
        <w:jc w:val="both"/>
        <w:rPr>
          <w:rFonts w:ascii="David" w:hAnsi="David"/>
          <w:rtl/>
        </w:rPr>
      </w:pPr>
      <w:r>
        <w:rPr>
          <w:rFonts w:ascii="David" w:hAnsi="David"/>
          <w:rtl/>
        </w:rPr>
        <w:t>שירות המבחן התרשם כי הנאשם אינו מאופיין בדפוסי חשיבה והתנהגות עוברת חוק, ניהל אורח חיים מתפקד ונורמטיבי, בעל כוחות ויכולות לקידום חייו ומטרותיו בתחומים שונים ושאיפות נורמטיביות, בעל מוטיבציה להימנע ממעורבות בפלילים בעתיד, וההליכים הפליליים מהווים גורם מרתיע עבורו.</w:t>
      </w:r>
    </w:p>
    <w:p w14:paraId="7F0F4059" w14:textId="77777777" w:rsidR="00857446" w:rsidRDefault="00857446" w:rsidP="00857446">
      <w:pPr>
        <w:spacing w:line="360" w:lineRule="auto"/>
        <w:jc w:val="both"/>
        <w:rPr>
          <w:rFonts w:ascii="David" w:hAnsi="David"/>
          <w:rtl/>
        </w:rPr>
      </w:pPr>
      <w:r>
        <w:rPr>
          <w:rFonts w:ascii="David" w:hAnsi="David"/>
          <w:rtl/>
        </w:rPr>
        <w:t xml:space="preserve"> </w:t>
      </w:r>
    </w:p>
    <w:p w14:paraId="072486A7" w14:textId="77777777" w:rsidR="00857446" w:rsidRDefault="00857446" w:rsidP="00857446">
      <w:pPr>
        <w:spacing w:line="360" w:lineRule="auto"/>
        <w:jc w:val="both"/>
        <w:rPr>
          <w:rFonts w:ascii="David" w:hAnsi="David"/>
          <w:rtl/>
        </w:rPr>
      </w:pPr>
      <w:r>
        <w:rPr>
          <w:rFonts w:ascii="David" w:hAnsi="David"/>
          <w:rtl/>
        </w:rPr>
        <w:t>כמפורט לעיל, הנאשם עבר הליך טיפולי במסגרת שירות המבחן, ושיתף פעולה בהליך זה באופן מלא. שירות המבחן מתאר השתלבות וגיוס כוחות חיוביים מצד הנאשם, ומציין את החשיבות של ההליך שביצע הנאשם כמו גם את המשכו.</w:t>
      </w:r>
    </w:p>
    <w:p w14:paraId="1F4E72F0" w14:textId="77777777" w:rsidR="00857446" w:rsidRDefault="00857446" w:rsidP="00857446">
      <w:pPr>
        <w:spacing w:line="360" w:lineRule="auto"/>
        <w:jc w:val="both"/>
        <w:rPr>
          <w:rFonts w:ascii="David" w:hAnsi="David"/>
          <w:rtl/>
        </w:rPr>
      </w:pPr>
    </w:p>
    <w:p w14:paraId="1F9C127E" w14:textId="77777777" w:rsidR="00857446" w:rsidRDefault="00857446" w:rsidP="00857446">
      <w:pPr>
        <w:spacing w:line="360" w:lineRule="auto"/>
        <w:jc w:val="both"/>
        <w:rPr>
          <w:rFonts w:ascii="David" w:hAnsi="David"/>
          <w:rtl/>
        </w:rPr>
      </w:pPr>
      <w:r>
        <w:rPr>
          <w:rFonts w:ascii="David" w:hAnsi="David"/>
          <w:rtl/>
        </w:rPr>
        <w:t>שירות המבחן ממליץ על מתן משקל לאפשרויות השיקום בעניינו של הנאשם ובנוסחו - סבור כי "במקרה הזה ישנה חשיבות רבה לאפשרות השיקום והטיפול על פני מתחם הענישה".</w:t>
      </w:r>
    </w:p>
    <w:p w14:paraId="417E332E" w14:textId="77777777" w:rsidR="00857446" w:rsidRDefault="00857446" w:rsidP="00857446">
      <w:pPr>
        <w:spacing w:line="360" w:lineRule="auto"/>
        <w:jc w:val="both"/>
        <w:rPr>
          <w:rFonts w:ascii="David" w:hAnsi="David"/>
          <w:rtl/>
        </w:rPr>
      </w:pPr>
    </w:p>
    <w:p w14:paraId="217E4986" w14:textId="77777777" w:rsidR="00857446" w:rsidRDefault="00857446" w:rsidP="00857446">
      <w:pPr>
        <w:spacing w:line="360" w:lineRule="auto"/>
        <w:jc w:val="both"/>
        <w:rPr>
          <w:rFonts w:ascii="David" w:hAnsi="David"/>
          <w:rtl/>
        </w:rPr>
      </w:pPr>
      <w:r>
        <w:rPr>
          <w:rFonts w:ascii="David" w:hAnsi="David"/>
          <w:rtl/>
        </w:rPr>
        <w:t>שירות המבחן לקח בשיקוליו את חומרת העבירה אל מול הודאת הנאשם, לקיחת אחריות, נכונות להשתלב בהליך טיפולי, והמליץ להטיל צו מבחן לשנה לצד עבודות שירות ומאסר מותנה.</w:t>
      </w:r>
    </w:p>
    <w:p w14:paraId="04D75D0B" w14:textId="77777777" w:rsidR="00857446" w:rsidRDefault="00857446" w:rsidP="00857446">
      <w:pPr>
        <w:spacing w:line="360" w:lineRule="auto"/>
        <w:jc w:val="both"/>
        <w:rPr>
          <w:rFonts w:ascii="David" w:hAnsi="David"/>
          <w:rtl/>
        </w:rPr>
      </w:pPr>
    </w:p>
    <w:p w14:paraId="55192DC9" w14:textId="77777777" w:rsidR="00857446" w:rsidRDefault="00857446" w:rsidP="00857446">
      <w:pPr>
        <w:spacing w:line="360" w:lineRule="auto"/>
        <w:jc w:val="both"/>
        <w:rPr>
          <w:rFonts w:ascii="David" w:hAnsi="David"/>
          <w:rtl/>
        </w:rPr>
      </w:pPr>
      <w:r>
        <w:rPr>
          <w:rFonts w:ascii="David" w:hAnsi="David"/>
          <w:rtl/>
        </w:rPr>
        <w:t xml:space="preserve">אני מוצא כי בעניינו של הנאשם מתקיימות הוראות </w:t>
      </w:r>
      <w:hyperlink r:id="rId58" w:history="1">
        <w:r w:rsidR="00875186" w:rsidRPr="00875186">
          <w:rPr>
            <w:rStyle w:val="Hyperlink"/>
            <w:rFonts w:ascii="David" w:hAnsi="David"/>
            <w:rtl/>
          </w:rPr>
          <w:t>סעיף 40ד(א)</w:t>
        </w:r>
      </w:hyperlink>
      <w:r>
        <w:rPr>
          <w:rFonts w:ascii="David" w:hAnsi="David"/>
          <w:rtl/>
        </w:rPr>
        <w:t xml:space="preserve"> ל</w:t>
      </w:r>
      <w:hyperlink r:id="rId59" w:history="1">
        <w:r w:rsidR="004C41EA" w:rsidRPr="004C41EA">
          <w:rPr>
            <w:rFonts w:ascii="David" w:hAnsi="David"/>
            <w:color w:val="0000FF"/>
            <w:u w:val="single"/>
            <w:rtl/>
          </w:rPr>
          <w:t>חוק העונשין</w:t>
        </w:r>
      </w:hyperlink>
      <w:r>
        <w:rPr>
          <w:rFonts w:ascii="David" w:hAnsi="David"/>
          <w:rtl/>
        </w:rPr>
        <w:t>, ויש לחרוג ממתחם העונש ההולם משיקולי שיקום.  מתסקירי שירות המבחן עולה בבירור תהליך טיפולי שיקומי, וסיכויי שיקום, אשר מביאים להמלצת שירות המבחן להעדיף את שיקולי השיקום.</w:t>
      </w:r>
    </w:p>
    <w:p w14:paraId="41FE5A1A" w14:textId="77777777" w:rsidR="00857446" w:rsidRDefault="00857446" w:rsidP="00857446">
      <w:pPr>
        <w:spacing w:line="360" w:lineRule="auto"/>
        <w:jc w:val="both"/>
        <w:rPr>
          <w:rFonts w:ascii="David" w:hAnsi="David"/>
          <w:rtl/>
        </w:rPr>
      </w:pPr>
    </w:p>
    <w:p w14:paraId="55D3685E" w14:textId="77777777" w:rsidR="00857446" w:rsidRDefault="00857446" w:rsidP="00857446">
      <w:pPr>
        <w:spacing w:line="360" w:lineRule="auto"/>
        <w:jc w:val="both"/>
        <w:rPr>
          <w:rFonts w:ascii="David" w:hAnsi="David"/>
          <w:rtl/>
        </w:rPr>
      </w:pPr>
      <w:r>
        <w:rPr>
          <w:rFonts w:ascii="David" w:hAnsi="David"/>
          <w:rtl/>
        </w:rPr>
        <w:t>לא בנקל תיערך חריגה ממתחם העונש ההולם, והיא צריכה להיות שמורה למקרים המתאימים בלבד, והנאשם, בהתנהלותו האמורה, עונה לכך.</w:t>
      </w:r>
    </w:p>
    <w:p w14:paraId="2A57BE95" w14:textId="77777777" w:rsidR="00857446" w:rsidRDefault="00857446" w:rsidP="00857446">
      <w:pPr>
        <w:spacing w:line="360" w:lineRule="auto"/>
        <w:jc w:val="both"/>
        <w:rPr>
          <w:rFonts w:ascii="David" w:hAnsi="David"/>
          <w:rtl/>
        </w:rPr>
      </w:pPr>
    </w:p>
    <w:p w14:paraId="03372B35" w14:textId="77777777" w:rsidR="00857446" w:rsidRDefault="00857446" w:rsidP="00857446">
      <w:pPr>
        <w:spacing w:line="360" w:lineRule="auto"/>
        <w:jc w:val="both"/>
        <w:rPr>
          <w:rFonts w:ascii="David" w:hAnsi="David"/>
          <w:rtl/>
        </w:rPr>
      </w:pPr>
      <w:r>
        <w:rPr>
          <w:rFonts w:ascii="David" w:hAnsi="David"/>
          <w:rtl/>
        </w:rPr>
        <w:t>אני מוצא כי משיקולי השיקום יש לרדת אל מתחת לרף התחתון של המתחם ולהטיל על הנאשם מאסר לריצוי על דרך עבודות שירות, למלוא התקופה האפשרית.</w:t>
      </w:r>
    </w:p>
    <w:p w14:paraId="768131E5" w14:textId="77777777" w:rsidR="00857446" w:rsidRDefault="00857446" w:rsidP="00857446">
      <w:pPr>
        <w:spacing w:line="360" w:lineRule="auto"/>
        <w:jc w:val="both"/>
        <w:rPr>
          <w:rFonts w:ascii="David" w:hAnsi="David"/>
          <w:rtl/>
        </w:rPr>
      </w:pPr>
    </w:p>
    <w:p w14:paraId="55640D63" w14:textId="77777777" w:rsidR="00857446" w:rsidRDefault="00857446" w:rsidP="00857446">
      <w:pPr>
        <w:spacing w:line="360" w:lineRule="auto"/>
        <w:jc w:val="both"/>
        <w:rPr>
          <w:rFonts w:ascii="David" w:hAnsi="David"/>
          <w:rtl/>
        </w:rPr>
      </w:pPr>
      <w:r>
        <w:rPr>
          <w:rFonts w:ascii="David" w:hAnsi="David"/>
          <w:rtl/>
        </w:rPr>
        <w:t>הנאשם היה במעצר משך מעל 4 חודשים, ובאיזוק אלקטרוני משך מעל חודש נוסף. מובן כי אלו לא יופחתו מהמאסר בעבודות שירות, ואולם משמעות הדבר כי החריגה מהמתחם מתונה.</w:t>
      </w:r>
    </w:p>
    <w:p w14:paraId="7A626ECB" w14:textId="77777777" w:rsidR="00857446" w:rsidRDefault="00857446" w:rsidP="00857446">
      <w:pPr>
        <w:spacing w:line="360" w:lineRule="auto"/>
        <w:jc w:val="both"/>
        <w:rPr>
          <w:rFonts w:ascii="David" w:hAnsi="David"/>
          <w:rtl/>
        </w:rPr>
      </w:pPr>
    </w:p>
    <w:p w14:paraId="2D416E2A" w14:textId="77777777" w:rsidR="00857446" w:rsidRDefault="00857446" w:rsidP="00857446">
      <w:pPr>
        <w:spacing w:line="360" w:lineRule="auto"/>
        <w:jc w:val="both"/>
        <w:rPr>
          <w:rFonts w:ascii="David" w:hAnsi="David"/>
          <w:rtl/>
        </w:rPr>
      </w:pPr>
      <w:r>
        <w:rPr>
          <w:rFonts w:ascii="David" w:hAnsi="David"/>
          <w:rtl/>
        </w:rPr>
        <w:t>אכן, עבירות הפקרה בכלל, וכאלו בהן קיימת לנאשם אחריות לקרות התאונה מצריכות מענה עונשי הולם הכולל עונשי מאסר בפועל, וכך הוא על פי המתחם שנקבע לעיל, אולם אין בכך כדי למנוע חריגה מהמתחם בהינתן הנסיבות המתאימות.</w:t>
      </w:r>
    </w:p>
    <w:p w14:paraId="422C0405" w14:textId="77777777" w:rsidR="00857446" w:rsidRDefault="00857446" w:rsidP="00857446">
      <w:pPr>
        <w:spacing w:line="360" w:lineRule="auto"/>
        <w:jc w:val="both"/>
        <w:rPr>
          <w:rFonts w:ascii="David" w:hAnsi="David"/>
          <w:rtl/>
        </w:rPr>
      </w:pPr>
    </w:p>
    <w:p w14:paraId="2DA30796" w14:textId="77777777" w:rsidR="00857446" w:rsidRDefault="00857446" w:rsidP="00857446">
      <w:pPr>
        <w:spacing w:line="360" w:lineRule="auto"/>
        <w:jc w:val="both"/>
        <w:rPr>
          <w:rFonts w:ascii="David" w:hAnsi="David"/>
          <w:rtl/>
        </w:rPr>
      </w:pPr>
      <w:r>
        <w:rPr>
          <w:rFonts w:ascii="David" w:hAnsi="David"/>
          <w:rtl/>
        </w:rPr>
        <w:t>הטלת מאסר בעבודות שירות למלוא התקופה, לצד העובדה כי הנאשם היה מעל ארבעה חודשים במעצר וחודש נוסף באיזוק אלקטרוני, מהווים איזון ראוי בין שיקולי הענישה השונים.</w:t>
      </w:r>
    </w:p>
    <w:p w14:paraId="6266E22D" w14:textId="77777777" w:rsidR="00857446" w:rsidRDefault="00857446" w:rsidP="00857446">
      <w:pPr>
        <w:spacing w:line="360" w:lineRule="auto"/>
        <w:jc w:val="both"/>
        <w:rPr>
          <w:rFonts w:ascii="David" w:hAnsi="David"/>
          <w:rtl/>
          <w:lang w:eastAsia="he-IL"/>
        </w:rPr>
      </w:pPr>
    </w:p>
    <w:p w14:paraId="1FFFCCA3" w14:textId="77777777" w:rsidR="00857446" w:rsidRDefault="00857446" w:rsidP="00857446">
      <w:pPr>
        <w:spacing w:line="360" w:lineRule="auto"/>
        <w:jc w:val="both"/>
        <w:rPr>
          <w:rFonts w:ascii="David" w:hAnsi="David"/>
          <w:rtl/>
          <w:lang w:eastAsia="he-IL"/>
        </w:rPr>
      </w:pPr>
      <w:r>
        <w:rPr>
          <w:rFonts w:ascii="David" w:hAnsi="David"/>
          <w:rtl/>
          <w:lang w:eastAsia="he-IL"/>
        </w:rPr>
        <w:t xml:space="preserve">בנוסף לעונש המאסר, יוטלו פיצוי ופסילה בפועל. משך הפסילה יהיה ברף הנמוך של המתחם בנסיבותיו של הנאשם כאמור לעיל. לא יוטל מאסר על תנאי לאור הוראת </w:t>
      </w:r>
      <w:hyperlink r:id="rId60" w:history="1">
        <w:r w:rsidR="00875186" w:rsidRPr="00875186">
          <w:rPr>
            <w:rStyle w:val="Hyperlink"/>
            <w:rFonts w:ascii="David" w:hAnsi="David"/>
            <w:rtl/>
            <w:lang w:eastAsia="he-IL"/>
          </w:rPr>
          <w:t>סעיף 64א(ד)</w:t>
        </w:r>
      </w:hyperlink>
      <w:r>
        <w:rPr>
          <w:rFonts w:ascii="David" w:hAnsi="David"/>
          <w:rtl/>
          <w:lang w:eastAsia="he-IL"/>
        </w:rPr>
        <w:t xml:space="preserve"> ל</w:t>
      </w:r>
      <w:hyperlink r:id="rId61" w:history="1">
        <w:r w:rsidR="004C41EA" w:rsidRPr="004C41EA">
          <w:rPr>
            <w:rFonts w:ascii="David" w:hAnsi="David"/>
            <w:color w:val="0000FF"/>
            <w:u w:val="single"/>
            <w:rtl/>
            <w:lang w:eastAsia="he-IL"/>
          </w:rPr>
          <w:t>פקודת התעבורה</w:t>
        </w:r>
      </w:hyperlink>
      <w:r>
        <w:rPr>
          <w:rFonts w:ascii="David" w:hAnsi="David"/>
          <w:rtl/>
          <w:lang w:eastAsia="he-IL"/>
        </w:rPr>
        <w:t xml:space="preserve"> (נוסח חדש).</w:t>
      </w:r>
    </w:p>
    <w:p w14:paraId="335A5F75" w14:textId="77777777" w:rsidR="00857446" w:rsidRDefault="00857446" w:rsidP="00857446">
      <w:pPr>
        <w:spacing w:line="360" w:lineRule="auto"/>
        <w:jc w:val="both"/>
        <w:rPr>
          <w:rFonts w:ascii="David" w:hAnsi="David"/>
          <w:rtl/>
        </w:rPr>
      </w:pPr>
    </w:p>
    <w:p w14:paraId="2D0CE7F8" w14:textId="77777777" w:rsidR="00857446" w:rsidRDefault="00857446" w:rsidP="00857446">
      <w:pPr>
        <w:spacing w:line="360" w:lineRule="auto"/>
        <w:jc w:val="both"/>
        <w:rPr>
          <w:rFonts w:ascii="David" w:hAnsi="David"/>
          <w:rtl/>
          <w:lang w:eastAsia="he-IL"/>
        </w:rPr>
      </w:pPr>
      <w:r>
        <w:rPr>
          <w:rFonts w:ascii="David" w:hAnsi="David"/>
          <w:rtl/>
          <w:lang w:eastAsia="he-IL"/>
        </w:rPr>
        <w:t xml:space="preserve">אני מוצא כי ההליך הטיפולי אשר עבר הנאשם ורצון שירות המבחן להמשיך השתתפותו של הנאשם בקבוצה טיפולית, מהווים טעמים מיוחדים כהוראת </w:t>
      </w:r>
      <w:hyperlink r:id="rId62" w:history="1">
        <w:r w:rsidR="00875186" w:rsidRPr="00875186">
          <w:rPr>
            <w:rStyle w:val="Hyperlink"/>
            <w:rFonts w:ascii="David" w:hAnsi="David"/>
            <w:rtl/>
            <w:lang w:eastAsia="he-IL"/>
          </w:rPr>
          <w:t>סעיף 64א(ד)</w:t>
        </w:r>
      </w:hyperlink>
      <w:r>
        <w:rPr>
          <w:rFonts w:ascii="David" w:hAnsi="David"/>
          <w:rtl/>
          <w:lang w:eastAsia="he-IL"/>
        </w:rPr>
        <w:t xml:space="preserve"> ל</w:t>
      </w:r>
      <w:hyperlink r:id="rId63" w:history="1">
        <w:r w:rsidR="004C41EA" w:rsidRPr="004C41EA">
          <w:rPr>
            <w:rFonts w:ascii="David" w:hAnsi="David"/>
            <w:color w:val="0000FF"/>
            <w:u w:val="single"/>
            <w:rtl/>
            <w:lang w:eastAsia="he-IL"/>
          </w:rPr>
          <w:t>פקודת התעבורה</w:t>
        </w:r>
      </w:hyperlink>
      <w:r>
        <w:rPr>
          <w:rFonts w:ascii="David" w:hAnsi="David"/>
          <w:rtl/>
          <w:lang w:eastAsia="he-IL"/>
        </w:rPr>
        <w:t xml:space="preserve"> (נוסח חדש), ולפיכך, לצד הענישה של מאסר על דרך עבודות שירות יוטל גם צו מבחן לשנה, כהמלצת שירות המבחן.</w:t>
      </w:r>
    </w:p>
    <w:p w14:paraId="632BCE1D" w14:textId="77777777" w:rsidR="00857446" w:rsidRDefault="00857446" w:rsidP="00857446">
      <w:pPr>
        <w:spacing w:line="360" w:lineRule="auto"/>
        <w:jc w:val="both"/>
        <w:rPr>
          <w:rFonts w:ascii="David" w:hAnsi="David"/>
          <w:rtl/>
        </w:rPr>
      </w:pPr>
    </w:p>
    <w:p w14:paraId="228F1125" w14:textId="77777777" w:rsidR="00857446" w:rsidRDefault="00857446" w:rsidP="00857446">
      <w:pPr>
        <w:spacing w:line="360" w:lineRule="auto"/>
        <w:jc w:val="both"/>
        <w:rPr>
          <w:rFonts w:ascii="David" w:hAnsi="David"/>
          <w:rtl/>
        </w:rPr>
      </w:pPr>
    </w:p>
    <w:p w14:paraId="65916D6A" w14:textId="77777777" w:rsidR="00857446" w:rsidRDefault="00857446" w:rsidP="00857446">
      <w:pPr>
        <w:spacing w:line="360" w:lineRule="auto"/>
        <w:jc w:val="both"/>
        <w:rPr>
          <w:b/>
          <w:bCs/>
          <w:rtl/>
          <w:lang w:eastAsia="he-IL"/>
        </w:rPr>
      </w:pPr>
      <w:r>
        <w:rPr>
          <w:rtl/>
          <w:lang w:eastAsia="he-IL"/>
        </w:rPr>
        <w:t>13.</w:t>
      </w:r>
      <w:r>
        <w:rPr>
          <w:rtl/>
          <w:lang w:eastAsia="he-IL"/>
        </w:rPr>
        <w:tab/>
      </w:r>
      <w:r>
        <w:rPr>
          <w:b/>
          <w:bCs/>
          <w:rtl/>
          <w:lang w:eastAsia="he-IL"/>
        </w:rPr>
        <w:t xml:space="preserve">לאור כל האמור, אני גוזר על הנאשם את העונשים הבאים: </w:t>
      </w:r>
    </w:p>
    <w:p w14:paraId="171F6576" w14:textId="77777777" w:rsidR="00857446" w:rsidRDefault="00857446" w:rsidP="00857446">
      <w:pPr>
        <w:spacing w:line="360" w:lineRule="auto"/>
        <w:jc w:val="both"/>
        <w:rPr>
          <w:rtl/>
          <w:lang w:eastAsia="he-IL"/>
        </w:rPr>
      </w:pPr>
      <w:r>
        <w:rPr>
          <w:rtl/>
          <w:lang w:eastAsia="he-IL"/>
        </w:rPr>
        <w:t xml:space="preserve"> </w:t>
      </w:r>
    </w:p>
    <w:p w14:paraId="2A840D33" w14:textId="77777777" w:rsidR="00857446" w:rsidRDefault="00857446" w:rsidP="00857446">
      <w:pPr>
        <w:spacing w:line="360" w:lineRule="auto"/>
        <w:jc w:val="both"/>
        <w:rPr>
          <w:rFonts w:ascii="David" w:eastAsia="David" w:hAnsi="David"/>
          <w:rtl/>
        </w:rPr>
      </w:pPr>
      <w:r>
        <w:rPr>
          <w:rFonts w:ascii="David" w:eastAsia="David" w:hAnsi="David"/>
          <w:b/>
          <w:bCs/>
          <w:rtl/>
        </w:rPr>
        <w:t>מאסר בעבודות שירות</w:t>
      </w:r>
      <w:r>
        <w:rPr>
          <w:rFonts w:ascii="David" w:eastAsia="David" w:hAnsi="David"/>
          <w:rtl/>
        </w:rPr>
        <w:t xml:space="preserve"> - מאסר בפועל לתקופה של 9 חודשים. תקופת מאסרו תרוצה בדרך של עבודות שירות בהתאם לחוות דעת הממונה על עבודות שירות. הובהרה לנאשם חובתו לבצע את עבודות השירות, ובמידה שלא יעשה כן ניתן יהיה להמירן במאסר בפועל, וכך גם יוכל הממונה לפי שיקול דעתו, היה וימצא קיומה של עילה לכך. </w:t>
      </w:r>
    </w:p>
    <w:p w14:paraId="26FB333F" w14:textId="77777777" w:rsidR="00857446" w:rsidRDefault="00857446" w:rsidP="00857446">
      <w:pPr>
        <w:spacing w:line="360" w:lineRule="auto"/>
        <w:jc w:val="both"/>
        <w:rPr>
          <w:rtl/>
          <w:lang w:eastAsia="he-IL"/>
        </w:rPr>
      </w:pPr>
    </w:p>
    <w:p w14:paraId="0DE9C9F0" w14:textId="77777777" w:rsidR="00857446" w:rsidRDefault="00857446" w:rsidP="00857446">
      <w:pPr>
        <w:spacing w:line="360" w:lineRule="auto"/>
        <w:jc w:val="both"/>
        <w:rPr>
          <w:rtl/>
          <w:lang w:eastAsia="he-IL"/>
        </w:rPr>
      </w:pPr>
      <w:r>
        <w:rPr>
          <w:rtl/>
          <w:lang w:eastAsia="he-IL"/>
        </w:rPr>
        <w:t>הנאשם יתייצב לתחילת ריצוי עבודות השירות בתאריך 8.5.24 שעה 8:00, כאמור בחוו"ד הממונה על עבודות השירות.</w:t>
      </w:r>
    </w:p>
    <w:p w14:paraId="5CF4ABB1" w14:textId="77777777" w:rsidR="00857446" w:rsidRDefault="00857446" w:rsidP="00857446">
      <w:pPr>
        <w:spacing w:line="360" w:lineRule="auto"/>
        <w:jc w:val="both"/>
        <w:rPr>
          <w:b/>
          <w:bCs/>
          <w:u w:val="single"/>
          <w:rtl/>
          <w:lang w:eastAsia="he-IL"/>
        </w:rPr>
      </w:pPr>
    </w:p>
    <w:p w14:paraId="316B8549" w14:textId="77777777" w:rsidR="00857446" w:rsidRDefault="00857446" w:rsidP="00857446">
      <w:pPr>
        <w:spacing w:line="360" w:lineRule="auto"/>
        <w:jc w:val="both"/>
        <w:rPr>
          <w:rtl/>
          <w:lang w:eastAsia="he-IL"/>
        </w:rPr>
      </w:pPr>
      <w:r>
        <w:rPr>
          <w:b/>
          <w:bCs/>
          <w:u w:val="single"/>
          <w:rtl/>
          <w:lang w:eastAsia="he-IL"/>
        </w:rPr>
        <w:t>פיצוי</w:t>
      </w:r>
      <w:r>
        <w:rPr>
          <w:rtl/>
          <w:lang w:eastAsia="he-IL"/>
        </w:rPr>
        <w:t xml:space="preserve"> - הנאשם ישלם למתלוננת הנפגעת, פיצוי בסך 10,000 ₪. הפיצוי ישולם בתוך 60 יום מהיום.</w:t>
      </w:r>
    </w:p>
    <w:p w14:paraId="04E50F26" w14:textId="77777777" w:rsidR="00857446" w:rsidRDefault="00857446" w:rsidP="00857446">
      <w:pPr>
        <w:spacing w:line="360" w:lineRule="auto"/>
        <w:jc w:val="both"/>
        <w:rPr>
          <w:rtl/>
          <w:lang w:eastAsia="he-IL"/>
        </w:rPr>
      </w:pPr>
    </w:p>
    <w:p w14:paraId="6282DF2C" w14:textId="77777777" w:rsidR="00857446" w:rsidRDefault="00857446" w:rsidP="00857446">
      <w:pPr>
        <w:spacing w:line="360" w:lineRule="auto"/>
        <w:jc w:val="both"/>
        <w:rPr>
          <w:rtl/>
          <w:lang w:eastAsia="he-IL"/>
        </w:rPr>
      </w:pPr>
      <w:r>
        <w:rPr>
          <w:b/>
          <w:bCs/>
          <w:u w:val="single"/>
          <w:rtl/>
          <w:lang w:eastAsia="he-IL"/>
        </w:rPr>
        <w:t>פסילה בפועל</w:t>
      </w:r>
      <w:r>
        <w:rPr>
          <w:rtl/>
          <w:lang w:eastAsia="he-IL"/>
        </w:rPr>
        <w:t xml:space="preserve"> -  הנני פוסל את הנאשם מלקבל או מלהחזיק רשיון נהיגה וזאת לתקופה של 5 שנים, בניכוי פסילה מנהלית ככל שהוטלה.</w:t>
      </w:r>
    </w:p>
    <w:p w14:paraId="51B887EE" w14:textId="77777777" w:rsidR="00857446" w:rsidRDefault="00857446" w:rsidP="00857446">
      <w:pPr>
        <w:spacing w:line="360" w:lineRule="auto"/>
        <w:jc w:val="both"/>
        <w:rPr>
          <w:b/>
          <w:bCs/>
          <w:rtl/>
          <w:lang w:eastAsia="he-IL"/>
        </w:rPr>
      </w:pPr>
    </w:p>
    <w:p w14:paraId="2F439359" w14:textId="77777777" w:rsidR="00857446" w:rsidRDefault="00857446" w:rsidP="00857446">
      <w:pPr>
        <w:spacing w:line="360" w:lineRule="auto"/>
        <w:jc w:val="both"/>
        <w:rPr>
          <w:rtl/>
          <w:lang w:eastAsia="he-IL"/>
        </w:rPr>
      </w:pPr>
      <w:r>
        <w:rPr>
          <w:b/>
          <w:bCs/>
          <w:u w:val="single"/>
          <w:rtl/>
          <w:lang w:eastAsia="he-IL"/>
        </w:rPr>
        <w:t>צו מבחן</w:t>
      </w:r>
      <w:r>
        <w:rPr>
          <w:b/>
          <w:bCs/>
          <w:rtl/>
          <w:lang w:eastAsia="he-IL"/>
        </w:rPr>
        <w:t xml:space="preserve"> – </w:t>
      </w:r>
      <w:r>
        <w:rPr>
          <w:rtl/>
          <w:lang w:eastAsia="he-IL"/>
        </w:rPr>
        <w:t>ניתן בזה צו מבחן לתקופה של 12 חודשים כלפי הנאשם. הנני מחייב את הנאשם לשתף פעולה עם שירות המבחן, הכל על פי הנחיות שירות המבחן. מובהר לנאשם כי באם לא יקיים צו זה ניתן יהיה לחזור ולדון מחדש בשאלת העונש.</w:t>
      </w:r>
    </w:p>
    <w:p w14:paraId="4E7887A9" w14:textId="77777777" w:rsidR="00857446" w:rsidRDefault="00857446" w:rsidP="00857446">
      <w:pPr>
        <w:spacing w:line="360" w:lineRule="auto"/>
        <w:jc w:val="both"/>
        <w:rPr>
          <w:u w:val="single"/>
          <w:rtl/>
          <w:lang w:eastAsia="he-IL"/>
        </w:rPr>
      </w:pPr>
    </w:p>
    <w:p w14:paraId="00F93F6E" w14:textId="77777777" w:rsidR="00857446" w:rsidRDefault="004C41EA" w:rsidP="00857446">
      <w:pPr>
        <w:spacing w:line="360" w:lineRule="auto"/>
        <w:jc w:val="both"/>
        <w:rPr>
          <w:b/>
          <w:bCs/>
          <w:rtl/>
          <w:lang w:eastAsia="he-IL"/>
        </w:rPr>
      </w:pPr>
      <w:r w:rsidRPr="004C41EA">
        <w:rPr>
          <w:b/>
          <w:bCs/>
          <w:color w:val="FFFFFF"/>
          <w:sz w:val="2"/>
          <w:szCs w:val="2"/>
          <w:rtl/>
          <w:lang w:eastAsia="he-IL"/>
        </w:rPr>
        <w:t>5129371</w:t>
      </w:r>
      <w:r w:rsidR="00857446">
        <w:rPr>
          <w:b/>
          <w:bCs/>
          <w:rtl/>
          <w:lang w:eastAsia="he-IL"/>
        </w:rPr>
        <w:t>זכות ערעור בתוך 45 יום מהיום.</w:t>
      </w:r>
    </w:p>
    <w:p w14:paraId="75031B0D" w14:textId="77777777" w:rsidR="00857446" w:rsidRPr="004C41EA" w:rsidRDefault="004C41EA" w:rsidP="00857446">
      <w:pPr>
        <w:rPr>
          <w:rFonts w:ascii="Arial" w:hAnsi="Arial"/>
          <w:b/>
          <w:bCs/>
          <w:color w:val="FFFFFF"/>
          <w:sz w:val="2"/>
          <w:szCs w:val="2"/>
          <w:rtl/>
        </w:rPr>
      </w:pPr>
      <w:r w:rsidRPr="004C41EA">
        <w:rPr>
          <w:rFonts w:ascii="Arial" w:hAnsi="Arial"/>
          <w:b/>
          <w:bCs/>
          <w:color w:val="FFFFFF"/>
          <w:sz w:val="2"/>
          <w:szCs w:val="2"/>
          <w:rtl/>
        </w:rPr>
        <w:t>54678313</w:t>
      </w:r>
    </w:p>
    <w:p w14:paraId="1331B57E" w14:textId="77777777" w:rsidR="00857446" w:rsidRPr="000F2247" w:rsidRDefault="00857446" w:rsidP="00857446">
      <w:pPr>
        <w:rPr>
          <w:rFonts w:ascii="Arial" w:hAnsi="Arial"/>
          <w:b/>
          <w:bCs/>
          <w:sz w:val="26"/>
          <w:szCs w:val="26"/>
          <w:rtl/>
        </w:rPr>
      </w:pPr>
    </w:p>
    <w:p w14:paraId="750C53D9" w14:textId="77777777" w:rsidR="00857446" w:rsidRPr="000F2247" w:rsidRDefault="004C41EA" w:rsidP="0085744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אדר ב' תשפ"ד, 12 מרץ 2024, במעמד הצדדים. </w:t>
      </w:r>
      <w:bookmarkEnd w:id="8"/>
      <w:r w:rsidR="00857446">
        <w:rPr>
          <w:rFonts w:ascii="Arial" w:hAnsi="Arial"/>
          <w:b/>
          <w:bCs/>
          <w:sz w:val="26"/>
          <w:szCs w:val="26"/>
          <w:rtl/>
        </w:rPr>
        <w:tab/>
      </w:r>
      <w:r w:rsidR="00857446">
        <w:rPr>
          <w:rFonts w:ascii="Arial" w:hAnsi="Arial"/>
          <w:b/>
          <w:bCs/>
          <w:sz w:val="26"/>
          <w:szCs w:val="26"/>
          <w:rtl/>
        </w:rPr>
        <w:tab/>
      </w:r>
      <w:r w:rsidR="00857446">
        <w:rPr>
          <w:rFonts w:ascii="Arial" w:hAnsi="Arial"/>
          <w:b/>
          <w:bCs/>
          <w:sz w:val="26"/>
          <w:szCs w:val="26"/>
          <w:rtl/>
        </w:rPr>
        <w:tab/>
      </w:r>
      <w:r w:rsidR="00857446">
        <w:rPr>
          <w:rFonts w:ascii="Arial" w:hAnsi="Arial"/>
          <w:b/>
          <w:bCs/>
          <w:sz w:val="26"/>
          <w:szCs w:val="26"/>
          <w:rtl/>
        </w:rPr>
        <w:tab/>
      </w:r>
      <w:r w:rsidR="00857446">
        <w:rPr>
          <w:rFonts w:ascii="Arial" w:hAnsi="Arial"/>
          <w:b/>
          <w:bCs/>
          <w:sz w:val="26"/>
          <w:szCs w:val="26"/>
          <w:rtl/>
        </w:rPr>
        <w:tab/>
      </w:r>
      <w:r w:rsidR="00857446">
        <w:rPr>
          <w:rFonts w:ascii="Arial" w:hAnsi="Arial"/>
          <w:b/>
          <w:bCs/>
          <w:sz w:val="26"/>
          <w:szCs w:val="26"/>
          <w:rtl/>
        </w:rPr>
        <w:tab/>
      </w:r>
      <w:r w:rsidR="00857446">
        <w:rPr>
          <w:rFonts w:ascii="Arial" w:hAnsi="Arial"/>
          <w:b/>
          <w:bCs/>
          <w:sz w:val="26"/>
          <w:szCs w:val="26"/>
          <w:rtl/>
        </w:rPr>
        <w:tab/>
      </w:r>
      <w:r w:rsidR="00857446">
        <w:rPr>
          <w:rFonts w:ascii="Arial" w:hAnsi="Arial" w:hint="cs"/>
          <w:b/>
          <w:bCs/>
          <w:sz w:val="26"/>
          <w:szCs w:val="26"/>
          <w:rtl/>
        </w:rPr>
        <w:t xml:space="preserve">         </w:t>
      </w:r>
    </w:p>
    <w:p w14:paraId="74F9AB0F" w14:textId="77777777" w:rsidR="004C41EA" w:rsidRDefault="004C41EA" w:rsidP="004C41EA">
      <w:pPr>
        <w:rPr>
          <w:rtl/>
        </w:rPr>
      </w:pPr>
    </w:p>
    <w:p w14:paraId="292448C6" w14:textId="77777777" w:rsidR="004C41EA" w:rsidRDefault="004C41EA" w:rsidP="004C41EA">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7008A42D" w14:textId="77777777" w:rsidR="00875186" w:rsidRPr="00875186" w:rsidRDefault="00875186" w:rsidP="00875186">
      <w:pPr>
        <w:keepNext/>
        <w:rPr>
          <w:rFonts w:ascii="David" w:hAnsi="David"/>
          <w:color w:val="000000"/>
          <w:sz w:val="22"/>
          <w:szCs w:val="22"/>
          <w:rtl/>
        </w:rPr>
      </w:pPr>
    </w:p>
    <w:p w14:paraId="168F40CB" w14:textId="77777777" w:rsidR="00875186" w:rsidRPr="00875186" w:rsidRDefault="00875186" w:rsidP="00875186">
      <w:pPr>
        <w:keepNext/>
        <w:rPr>
          <w:rFonts w:ascii="David" w:hAnsi="David"/>
          <w:color w:val="000000"/>
          <w:sz w:val="22"/>
          <w:szCs w:val="22"/>
          <w:rtl/>
        </w:rPr>
      </w:pPr>
      <w:r w:rsidRPr="00875186">
        <w:rPr>
          <w:rFonts w:ascii="David" w:hAnsi="David"/>
          <w:color w:val="000000"/>
          <w:sz w:val="22"/>
          <w:szCs w:val="22"/>
          <w:rtl/>
        </w:rPr>
        <w:t>יואל עדן 54678313-/</w:t>
      </w:r>
    </w:p>
    <w:p w14:paraId="10B57BB3" w14:textId="77777777" w:rsidR="004C41EA" w:rsidRPr="004C41EA" w:rsidRDefault="00875186" w:rsidP="00875186">
      <w:pPr>
        <w:rPr>
          <w:color w:val="0000FF"/>
          <w:u w:val="single"/>
        </w:rPr>
      </w:pPr>
      <w:r w:rsidRPr="00875186">
        <w:rPr>
          <w:color w:val="000000"/>
          <w:u w:val="single"/>
          <w:rtl/>
        </w:rPr>
        <w:t>נוסח מסמך זה כפוף לשינויי ניסוח ועריכה</w:t>
      </w:r>
    </w:p>
    <w:sectPr w:rsidR="004C41EA" w:rsidRPr="004C41EA" w:rsidSect="00875186">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1DFA8" w14:textId="77777777" w:rsidR="00B24D30" w:rsidRDefault="00B24D30" w:rsidP="00F158F5">
      <w:r>
        <w:separator/>
      </w:r>
    </w:p>
  </w:endnote>
  <w:endnote w:type="continuationSeparator" w:id="0">
    <w:p w14:paraId="00B6AE3B" w14:textId="77777777" w:rsidR="00B24D30" w:rsidRDefault="00B24D30" w:rsidP="00F1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D796" w14:textId="77777777" w:rsidR="00875186" w:rsidRDefault="00875186" w:rsidP="008751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D9757A" w14:textId="77777777" w:rsidR="00152938" w:rsidRPr="00875186" w:rsidRDefault="00875186" w:rsidP="00875186">
    <w:pPr>
      <w:pStyle w:val="a5"/>
      <w:pBdr>
        <w:top w:val="single" w:sz="4" w:space="1" w:color="auto"/>
        <w:between w:val="single" w:sz="4" w:space="0" w:color="auto"/>
      </w:pBdr>
      <w:spacing w:after="60"/>
      <w:jc w:val="center"/>
      <w:rPr>
        <w:rFonts w:ascii="FrankRuehl" w:hAnsi="FrankRuehl" w:cs="FrankRuehl"/>
        <w:color w:val="000000"/>
      </w:rPr>
    </w:pPr>
    <w:r w:rsidRPr="008751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7A2A5" w14:textId="77777777" w:rsidR="00875186" w:rsidRDefault="00875186" w:rsidP="0087518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6BFA">
      <w:rPr>
        <w:rFonts w:ascii="FrankRuehl" w:hAnsi="FrankRuehl" w:cs="FrankRuehl"/>
        <w:noProof/>
        <w:rtl/>
      </w:rPr>
      <w:t>1</w:t>
    </w:r>
    <w:r>
      <w:rPr>
        <w:rFonts w:ascii="FrankRuehl" w:hAnsi="FrankRuehl" w:cs="FrankRuehl"/>
        <w:rtl/>
      </w:rPr>
      <w:fldChar w:fldCharType="end"/>
    </w:r>
  </w:p>
  <w:p w14:paraId="74E780E2" w14:textId="77777777" w:rsidR="00152938" w:rsidRPr="00875186" w:rsidRDefault="00875186" w:rsidP="00875186">
    <w:pPr>
      <w:pStyle w:val="a5"/>
      <w:pBdr>
        <w:top w:val="single" w:sz="4" w:space="1" w:color="auto"/>
        <w:between w:val="single" w:sz="4" w:space="0" w:color="auto"/>
      </w:pBdr>
      <w:spacing w:after="60"/>
      <w:jc w:val="center"/>
      <w:rPr>
        <w:rFonts w:ascii="FrankRuehl" w:hAnsi="FrankRuehl" w:cs="FrankRuehl"/>
        <w:color w:val="000000"/>
      </w:rPr>
    </w:pPr>
    <w:r w:rsidRPr="00875186">
      <w:rPr>
        <w:rFonts w:ascii="FrankRuehl" w:hAnsi="FrankRuehl" w:cs="FrankRuehl"/>
        <w:color w:val="000000"/>
      </w:rPr>
      <w:pict w14:anchorId="11556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59415" w14:textId="77777777" w:rsidR="00B24D30" w:rsidRDefault="00B24D30" w:rsidP="00F158F5">
      <w:r>
        <w:separator/>
      </w:r>
    </w:p>
  </w:footnote>
  <w:footnote w:type="continuationSeparator" w:id="0">
    <w:p w14:paraId="7016AB73" w14:textId="77777777" w:rsidR="00B24D30" w:rsidRDefault="00B24D30" w:rsidP="00F15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C4149" w14:textId="77777777" w:rsidR="004C41EA" w:rsidRPr="00875186" w:rsidRDefault="00875186" w:rsidP="008751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31812-10-22</w:t>
    </w:r>
    <w:r>
      <w:rPr>
        <w:rFonts w:ascii="David" w:hAnsi="David"/>
        <w:color w:val="000000"/>
        <w:sz w:val="22"/>
        <w:szCs w:val="22"/>
        <w:rtl/>
      </w:rPr>
      <w:tab/>
      <w:t xml:space="preserve"> מדינת ישראל נ' סנאד אלקרעאן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B0E7C" w14:textId="77777777" w:rsidR="004C41EA" w:rsidRPr="00875186" w:rsidRDefault="00875186" w:rsidP="0087518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31812-10-22</w:t>
    </w:r>
    <w:r>
      <w:rPr>
        <w:rFonts w:ascii="David" w:hAnsi="David"/>
        <w:color w:val="000000"/>
        <w:sz w:val="22"/>
        <w:szCs w:val="22"/>
        <w:rtl/>
      </w:rPr>
      <w:tab/>
      <w:t xml:space="preserve"> מדינת ישראל נ' סנאד אלקרעאן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57446"/>
    <w:rsid w:val="00037D59"/>
    <w:rsid w:val="00152938"/>
    <w:rsid w:val="001B50ED"/>
    <w:rsid w:val="001B5A3B"/>
    <w:rsid w:val="004C41EA"/>
    <w:rsid w:val="00606BFA"/>
    <w:rsid w:val="007728FF"/>
    <w:rsid w:val="00857446"/>
    <w:rsid w:val="00875186"/>
    <w:rsid w:val="0089671F"/>
    <w:rsid w:val="00B24D30"/>
    <w:rsid w:val="00BB188C"/>
    <w:rsid w:val="00C36913"/>
    <w:rsid w:val="00C44E26"/>
    <w:rsid w:val="00C719F5"/>
    <w:rsid w:val="00F15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9AD667"/>
  <w15:chartTrackingRefBased/>
  <w15:docId w15:val="{619E80A6-1AA7-4AA9-AE7D-A001244C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574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7446"/>
    <w:pPr>
      <w:tabs>
        <w:tab w:val="center" w:pos="4153"/>
        <w:tab w:val="right" w:pos="8306"/>
      </w:tabs>
    </w:pPr>
  </w:style>
  <w:style w:type="character" w:customStyle="1" w:styleId="a4">
    <w:name w:val="כותרת עליונה תו"/>
    <w:link w:val="a3"/>
    <w:rsid w:val="00857446"/>
    <w:rPr>
      <w:rFonts w:ascii="Times New Roman" w:eastAsia="Times New Roman" w:hAnsi="Times New Roman" w:cs="David"/>
      <w:sz w:val="24"/>
      <w:szCs w:val="24"/>
    </w:rPr>
  </w:style>
  <w:style w:type="paragraph" w:styleId="a5">
    <w:name w:val="footer"/>
    <w:basedOn w:val="a"/>
    <w:link w:val="a6"/>
    <w:rsid w:val="00857446"/>
    <w:pPr>
      <w:tabs>
        <w:tab w:val="center" w:pos="4153"/>
        <w:tab w:val="right" w:pos="8306"/>
      </w:tabs>
    </w:pPr>
  </w:style>
  <w:style w:type="character" w:customStyle="1" w:styleId="a6">
    <w:name w:val="כותרת תחתונה תו"/>
    <w:link w:val="a5"/>
    <w:rsid w:val="00857446"/>
    <w:rPr>
      <w:rFonts w:ascii="Times New Roman" w:eastAsia="Times New Roman" w:hAnsi="Times New Roman" w:cs="David"/>
      <w:sz w:val="24"/>
      <w:szCs w:val="24"/>
    </w:rPr>
  </w:style>
  <w:style w:type="table" w:styleId="a7">
    <w:name w:val="Table Grid"/>
    <w:basedOn w:val="a1"/>
    <w:rsid w:val="008574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57446"/>
  </w:style>
  <w:style w:type="character" w:styleId="Hyperlink">
    <w:name w:val="Hyperlink"/>
    <w:rsid w:val="004C41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274" TargetMode="External"/><Relationship Id="rId21" Type="http://schemas.openxmlformats.org/officeDocument/2006/relationships/hyperlink" Target="http://www.nevo.co.il/law/5227/62.2" TargetMode="External"/><Relationship Id="rId42" Type="http://schemas.openxmlformats.org/officeDocument/2006/relationships/hyperlink" Target="http://www.nevo.co.il/case/26538238" TargetMode="External"/><Relationship Id="rId47" Type="http://schemas.openxmlformats.org/officeDocument/2006/relationships/hyperlink" Target="http://www.nevo.co.il/law/5227" TargetMode="External"/><Relationship Id="rId63" Type="http://schemas.openxmlformats.org/officeDocument/2006/relationships/hyperlink" Target="http://www.nevo.co.il/law/5227" TargetMode="External"/><Relationship Id="rId68" Type="http://schemas.openxmlformats.org/officeDocument/2006/relationships/footer" Target="footer2.xml"/><Relationship Id="rId7" Type="http://schemas.openxmlformats.org/officeDocument/2006/relationships/hyperlink" Target="http://www.nevo.co.il/law/5227/62.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74274/128" TargetMode="External"/><Relationship Id="rId32" Type="http://schemas.openxmlformats.org/officeDocument/2006/relationships/hyperlink" Target="http://www.nevo.co.il/case/5988393" TargetMode="External"/><Relationship Id="rId37" Type="http://schemas.openxmlformats.org/officeDocument/2006/relationships/hyperlink" Target="http://www.nevo.co.il/law/74274" TargetMode="External"/><Relationship Id="rId40" Type="http://schemas.openxmlformats.org/officeDocument/2006/relationships/hyperlink" Target="http://www.nevo.co.il/law/74274" TargetMode="External"/><Relationship Id="rId45" Type="http://schemas.openxmlformats.org/officeDocument/2006/relationships/hyperlink" Target="http://www.nevo.co.il/law/5227" TargetMode="External"/><Relationship Id="rId53" Type="http://schemas.openxmlformats.org/officeDocument/2006/relationships/hyperlink" Target="http://www.nevo.co.il/case/5588284" TargetMode="External"/><Relationship Id="rId58" Type="http://schemas.openxmlformats.org/officeDocument/2006/relationships/hyperlink" Target="http://www.nevo.co.il/law/70301/40d.a"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5227" TargetMode="External"/><Relationship Id="rId19" Type="http://schemas.openxmlformats.org/officeDocument/2006/relationships/hyperlink" Target="http://www.nevo.co.il/law/5227/64a.c" TargetMode="External"/><Relationship Id="rId14" Type="http://schemas.openxmlformats.org/officeDocument/2006/relationships/hyperlink" Target="http://www.nevo.co.il/law/74274/129"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74274/128" TargetMode="External"/><Relationship Id="rId30" Type="http://schemas.openxmlformats.org/officeDocument/2006/relationships/hyperlink" Target="http://www.nevo.co.il/case/5603999" TargetMode="External"/><Relationship Id="rId35" Type="http://schemas.openxmlformats.org/officeDocument/2006/relationships/hyperlink" Target="http://www.nevo.co.il/law/74274" TargetMode="External"/><Relationship Id="rId43" Type="http://schemas.openxmlformats.org/officeDocument/2006/relationships/hyperlink" Target="http://www.nevo.co.il/case/21473423" TargetMode="External"/><Relationship Id="rId48" Type="http://schemas.openxmlformats.org/officeDocument/2006/relationships/hyperlink" Target="http://www.nevo.co.il/case/16917344" TargetMode="External"/><Relationship Id="rId56" Type="http://schemas.openxmlformats.org/officeDocument/2006/relationships/hyperlink" Target="http://www.nevo.co.il/case/5988393"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5227/64a.c" TargetMode="External"/><Relationship Id="rId51" Type="http://schemas.openxmlformats.org/officeDocument/2006/relationships/hyperlink" Target="http://www.nevo.co.il/law/5227" TargetMode="External"/><Relationship Id="rId3" Type="http://schemas.openxmlformats.org/officeDocument/2006/relationships/webSettings" Target="webSettings.xml"/><Relationship Id="rId12" Type="http://schemas.openxmlformats.org/officeDocument/2006/relationships/hyperlink" Target="http://www.nevo.co.il/law/74274" TargetMode="External"/><Relationship Id="rId17" Type="http://schemas.openxmlformats.org/officeDocument/2006/relationships/hyperlink" Target="http://www.nevo.co.il/law/70301/40d" TargetMode="External"/><Relationship Id="rId25" Type="http://schemas.openxmlformats.org/officeDocument/2006/relationships/hyperlink" Target="http://www.nevo.co.il/law/74274/129" TargetMode="External"/><Relationship Id="rId33" Type="http://schemas.openxmlformats.org/officeDocument/2006/relationships/hyperlink" Target="http://www.nevo.co.il/case/6473037" TargetMode="External"/><Relationship Id="rId38" Type="http://schemas.openxmlformats.org/officeDocument/2006/relationships/hyperlink" Target="http://www.nevo.co.il/law/74274/128;129" TargetMode="External"/><Relationship Id="rId46" Type="http://schemas.openxmlformats.org/officeDocument/2006/relationships/hyperlink" Target="http://www.nevo.co.il/law/5227/64a.d" TargetMode="External"/><Relationship Id="rId59" Type="http://schemas.openxmlformats.org/officeDocument/2006/relationships/hyperlink" Target="http://www.nevo.co.il/law/70301" TargetMode="External"/><Relationship Id="rId67" Type="http://schemas.openxmlformats.org/officeDocument/2006/relationships/footer" Target="footer1.xml"/><Relationship Id="rId20" Type="http://schemas.openxmlformats.org/officeDocument/2006/relationships/hyperlink" Target="http://www.nevo.co.il/law/5227" TargetMode="External"/><Relationship Id="rId41" Type="http://schemas.openxmlformats.org/officeDocument/2006/relationships/hyperlink" Target="http://www.nevo.co.il/law/74274/129.e" TargetMode="External"/><Relationship Id="rId54" Type="http://schemas.openxmlformats.org/officeDocument/2006/relationships/hyperlink" Target="http://www.nevo.co.il/case/5908647" TargetMode="External"/><Relationship Id="rId62" Type="http://schemas.openxmlformats.org/officeDocument/2006/relationships/hyperlink" Target="http://www.nevo.co.il/law/5227/64a.d"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5227" TargetMode="External"/><Relationship Id="rId15" Type="http://schemas.openxmlformats.org/officeDocument/2006/relationships/hyperlink" Target="http://www.nevo.co.il/law/74274/129.e" TargetMode="External"/><Relationship Id="rId23" Type="http://schemas.openxmlformats.org/officeDocument/2006/relationships/hyperlink" Target="http://www.nevo.co.il/law/4216" TargetMode="External"/><Relationship Id="rId28" Type="http://schemas.openxmlformats.org/officeDocument/2006/relationships/hyperlink" Target="http://www.nevo.co.il/law/70301/40d" TargetMode="External"/><Relationship Id="rId36" Type="http://schemas.openxmlformats.org/officeDocument/2006/relationships/hyperlink" Target="http://www.nevo.co.il/law/74274/129" TargetMode="External"/><Relationship Id="rId49" Type="http://schemas.openxmlformats.org/officeDocument/2006/relationships/hyperlink" Target="http://www.nevo.co.il/case/17015784" TargetMode="External"/><Relationship Id="rId57" Type="http://schemas.openxmlformats.org/officeDocument/2006/relationships/hyperlink" Target="http://www.nevo.co.il/law/5227" TargetMode="External"/><Relationship Id="rId10" Type="http://schemas.openxmlformats.org/officeDocument/2006/relationships/hyperlink" Target="http://www.nevo.co.il/law/4216" TargetMode="External"/><Relationship Id="rId31" Type="http://schemas.openxmlformats.org/officeDocument/2006/relationships/hyperlink" Target="http://www.nevo.co.il/law/5227" TargetMode="External"/><Relationship Id="rId44" Type="http://schemas.openxmlformats.org/officeDocument/2006/relationships/hyperlink" Target="http://www.nevo.co.il/law/5227/64a.c" TargetMode="External"/><Relationship Id="rId52" Type="http://schemas.openxmlformats.org/officeDocument/2006/relationships/hyperlink" Target="http://www.nevo.co.il/law/5227" TargetMode="External"/><Relationship Id="rId60" Type="http://schemas.openxmlformats.org/officeDocument/2006/relationships/hyperlink" Target="http://www.nevo.co.il/law/5227/64a.d"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5227/64a.d" TargetMode="External"/><Relationship Id="rId13" Type="http://schemas.openxmlformats.org/officeDocument/2006/relationships/hyperlink" Target="http://www.nevo.co.il/law/74274/128" TargetMode="External"/><Relationship Id="rId18" Type="http://schemas.openxmlformats.org/officeDocument/2006/relationships/hyperlink" Target="http://www.nevo.co.il/law/70301/40d.a" TargetMode="External"/><Relationship Id="rId39" Type="http://schemas.openxmlformats.org/officeDocument/2006/relationships/hyperlink" Target="http://www.nevo.co.il/law/74274" TargetMode="External"/><Relationship Id="rId34" Type="http://schemas.openxmlformats.org/officeDocument/2006/relationships/hyperlink" Target="http://www.nevo.co.il/law/74274/128" TargetMode="External"/><Relationship Id="rId50" Type="http://schemas.openxmlformats.org/officeDocument/2006/relationships/hyperlink" Target="http://www.nevo.co.il/case/10488209" TargetMode="External"/><Relationship Id="rId55" Type="http://schemas.openxmlformats.org/officeDocument/2006/relationships/hyperlink" Target="http://www.nevo.co.il/case/56039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4762</Words>
  <Characters>23815</Characters>
  <Application>Microsoft Office Word</Application>
  <DocSecurity>0</DocSecurity>
  <Lines>198</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28520</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8323175</vt:i4>
      </vt:variant>
      <vt:variant>
        <vt:i4>171</vt:i4>
      </vt:variant>
      <vt:variant>
        <vt:i4>0</vt:i4>
      </vt:variant>
      <vt:variant>
        <vt:i4>5</vt:i4>
      </vt:variant>
      <vt:variant>
        <vt:lpwstr>http://www.nevo.co.il/law/5227</vt:lpwstr>
      </vt:variant>
      <vt:variant>
        <vt:lpwstr/>
      </vt:variant>
      <vt:variant>
        <vt:i4>4980818</vt:i4>
      </vt:variant>
      <vt:variant>
        <vt:i4>168</vt:i4>
      </vt:variant>
      <vt:variant>
        <vt:i4>0</vt:i4>
      </vt:variant>
      <vt:variant>
        <vt:i4>5</vt:i4>
      </vt:variant>
      <vt:variant>
        <vt:lpwstr>http://www.nevo.co.il/law/5227/64a.d</vt:lpwstr>
      </vt:variant>
      <vt:variant>
        <vt:lpwstr/>
      </vt:variant>
      <vt:variant>
        <vt:i4>8323175</vt:i4>
      </vt:variant>
      <vt:variant>
        <vt:i4>165</vt:i4>
      </vt:variant>
      <vt:variant>
        <vt:i4>0</vt:i4>
      </vt:variant>
      <vt:variant>
        <vt:i4>5</vt:i4>
      </vt:variant>
      <vt:variant>
        <vt:lpwstr>http://www.nevo.co.il/law/5227</vt:lpwstr>
      </vt:variant>
      <vt:variant>
        <vt:lpwstr/>
      </vt:variant>
      <vt:variant>
        <vt:i4>4980818</vt:i4>
      </vt:variant>
      <vt:variant>
        <vt:i4>162</vt:i4>
      </vt:variant>
      <vt:variant>
        <vt:i4>0</vt:i4>
      </vt:variant>
      <vt:variant>
        <vt:i4>5</vt:i4>
      </vt:variant>
      <vt:variant>
        <vt:lpwstr>http://www.nevo.co.il/law/5227/64a.d</vt:lpwstr>
      </vt:variant>
      <vt:variant>
        <vt:lpwstr/>
      </vt:variant>
      <vt:variant>
        <vt:i4>7995492</vt:i4>
      </vt:variant>
      <vt:variant>
        <vt:i4>159</vt:i4>
      </vt:variant>
      <vt:variant>
        <vt:i4>0</vt:i4>
      </vt:variant>
      <vt:variant>
        <vt:i4>5</vt:i4>
      </vt:variant>
      <vt:variant>
        <vt:lpwstr>http://www.nevo.co.il/law/70301</vt:lpwstr>
      </vt:variant>
      <vt:variant>
        <vt:lpwstr/>
      </vt:variant>
      <vt:variant>
        <vt:i4>4915205</vt:i4>
      </vt:variant>
      <vt:variant>
        <vt:i4>156</vt:i4>
      </vt:variant>
      <vt:variant>
        <vt:i4>0</vt:i4>
      </vt:variant>
      <vt:variant>
        <vt:i4>5</vt:i4>
      </vt:variant>
      <vt:variant>
        <vt:lpwstr>http://www.nevo.co.il/law/70301/40d.a</vt:lpwstr>
      </vt:variant>
      <vt:variant>
        <vt:lpwstr/>
      </vt:variant>
      <vt:variant>
        <vt:i4>8323175</vt:i4>
      </vt:variant>
      <vt:variant>
        <vt:i4>153</vt:i4>
      </vt:variant>
      <vt:variant>
        <vt:i4>0</vt:i4>
      </vt:variant>
      <vt:variant>
        <vt:i4>5</vt:i4>
      </vt:variant>
      <vt:variant>
        <vt:lpwstr>http://www.nevo.co.il/law/5227</vt:lpwstr>
      </vt:variant>
      <vt:variant>
        <vt:lpwstr/>
      </vt:variant>
      <vt:variant>
        <vt:i4>3997820</vt:i4>
      </vt:variant>
      <vt:variant>
        <vt:i4>150</vt:i4>
      </vt:variant>
      <vt:variant>
        <vt:i4>0</vt:i4>
      </vt:variant>
      <vt:variant>
        <vt:i4>5</vt:i4>
      </vt:variant>
      <vt:variant>
        <vt:lpwstr>http://www.nevo.co.il/case/5988393</vt:lpwstr>
      </vt:variant>
      <vt:variant>
        <vt:lpwstr/>
      </vt:variant>
      <vt:variant>
        <vt:i4>3473528</vt:i4>
      </vt:variant>
      <vt:variant>
        <vt:i4>147</vt:i4>
      </vt:variant>
      <vt:variant>
        <vt:i4>0</vt:i4>
      </vt:variant>
      <vt:variant>
        <vt:i4>5</vt:i4>
      </vt:variant>
      <vt:variant>
        <vt:lpwstr>http://www.nevo.co.il/case/5603999</vt:lpwstr>
      </vt:variant>
      <vt:variant>
        <vt:lpwstr/>
      </vt:variant>
      <vt:variant>
        <vt:i4>3407985</vt:i4>
      </vt:variant>
      <vt:variant>
        <vt:i4>144</vt:i4>
      </vt:variant>
      <vt:variant>
        <vt:i4>0</vt:i4>
      </vt:variant>
      <vt:variant>
        <vt:i4>5</vt:i4>
      </vt:variant>
      <vt:variant>
        <vt:lpwstr>http://www.nevo.co.il/case/5908647</vt:lpwstr>
      </vt:variant>
      <vt:variant>
        <vt:lpwstr/>
      </vt:variant>
      <vt:variant>
        <vt:i4>3866737</vt:i4>
      </vt:variant>
      <vt:variant>
        <vt:i4>141</vt:i4>
      </vt:variant>
      <vt:variant>
        <vt:i4>0</vt:i4>
      </vt:variant>
      <vt:variant>
        <vt:i4>5</vt:i4>
      </vt:variant>
      <vt:variant>
        <vt:lpwstr>http://www.nevo.co.il/case/5588284</vt:lpwstr>
      </vt:variant>
      <vt:variant>
        <vt:lpwstr/>
      </vt:variant>
      <vt:variant>
        <vt:i4>8323175</vt:i4>
      </vt:variant>
      <vt:variant>
        <vt:i4>138</vt:i4>
      </vt:variant>
      <vt:variant>
        <vt:i4>0</vt:i4>
      </vt:variant>
      <vt:variant>
        <vt:i4>5</vt:i4>
      </vt:variant>
      <vt:variant>
        <vt:lpwstr>http://www.nevo.co.il/law/5227</vt:lpwstr>
      </vt:variant>
      <vt:variant>
        <vt:lpwstr/>
      </vt:variant>
      <vt:variant>
        <vt:i4>8323175</vt:i4>
      </vt:variant>
      <vt:variant>
        <vt:i4>135</vt:i4>
      </vt:variant>
      <vt:variant>
        <vt:i4>0</vt:i4>
      </vt:variant>
      <vt:variant>
        <vt:i4>5</vt:i4>
      </vt:variant>
      <vt:variant>
        <vt:lpwstr>http://www.nevo.co.il/law/5227</vt:lpwstr>
      </vt:variant>
      <vt:variant>
        <vt:lpwstr/>
      </vt:variant>
      <vt:variant>
        <vt:i4>3997822</vt:i4>
      </vt:variant>
      <vt:variant>
        <vt:i4>132</vt:i4>
      </vt:variant>
      <vt:variant>
        <vt:i4>0</vt:i4>
      </vt:variant>
      <vt:variant>
        <vt:i4>5</vt:i4>
      </vt:variant>
      <vt:variant>
        <vt:lpwstr>http://www.nevo.co.il/case/10488209</vt:lpwstr>
      </vt:variant>
      <vt:variant>
        <vt:lpwstr/>
      </vt:variant>
      <vt:variant>
        <vt:i4>3932277</vt:i4>
      </vt:variant>
      <vt:variant>
        <vt:i4>129</vt:i4>
      </vt:variant>
      <vt:variant>
        <vt:i4>0</vt:i4>
      </vt:variant>
      <vt:variant>
        <vt:i4>5</vt:i4>
      </vt:variant>
      <vt:variant>
        <vt:lpwstr>http://www.nevo.co.il/case/17015784</vt:lpwstr>
      </vt:variant>
      <vt:variant>
        <vt:lpwstr/>
      </vt:variant>
      <vt:variant>
        <vt:i4>3866736</vt:i4>
      </vt:variant>
      <vt:variant>
        <vt:i4>126</vt:i4>
      </vt:variant>
      <vt:variant>
        <vt:i4>0</vt:i4>
      </vt:variant>
      <vt:variant>
        <vt:i4>5</vt:i4>
      </vt:variant>
      <vt:variant>
        <vt:lpwstr>http://www.nevo.co.il/case/16917344</vt:lpwstr>
      </vt:variant>
      <vt:variant>
        <vt:lpwstr/>
      </vt:variant>
      <vt:variant>
        <vt:i4>8323175</vt:i4>
      </vt:variant>
      <vt:variant>
        <vt:i4>123</vt:i4>
      </vt:variant>
      <vt:variant>
        <vt:i4>0</vt:i4>
      </vt:variant>
      <vt:variant>
        <vt:i4>5</vt:i4>
      </vt:variant>
      <vt:variant>
        <vt:lpwstr>http://www.nevo.co.il/law/5227</vt:lpwstr>
      </vt:variant>
      <vt:variant>
        <vt:lpwstr/>
      </vt:variant>
      <vt:variant>
        <vt:i4>4980818</vt:i4>
      </vt:variant>
      <vt:variant>
        <vt:i4>120</vt:i4>
      </vt:variant>
      <vt:variant>
        <vt:i4>0</vt:i4>
      </vt:variant>
      <vt:variant>
        <vt:i4>5</vt:i4>
      </vt:variant>
      <vt:variant>
        <vt:lpwstr>http://www.nevo.co.il/law/5227/64a.d</vt:lpwstr>
      </vt:variant>
      <vt:variant>
        <vt:lpwstr/>
      </vt:variant>
      <vt:variant>
        <vt:i4>8323175</vt:i4>
      </vt:variant>
      <vt:variant>
        <vt:i4>117</vt:i4>
      </vt:variant>
      <vt:variant>
        <vt:i4>0</vt:i4>
      </vt:variant>
      <vt:variant>
        <vt:i4>5</vt:i4>
      </vt:variant>
      <vt:variant>
        <vt:lpwstr>http://www.nevo.co.il/law/5227</vt:lpwstr>
      </vt:variant>
      <vt:variant>
        <vt:lpwstr/>
      </vt:variant>
      <vt:variant>
        <vt:i4>4915282</vt:i4>
      </vt:variant>
      <vt:variant>
        <vt:i4>114</vt:i4>
      </vt:variant>
      <vt:variant>
        <vt:i4>0</vt:i4>
      </vt:variant>
      <vt:variant>
        <vt:i4>5</vt:i4>
      </vt:variant>
      <vt:variant>
        <vt:lpwstr>http://www.nevo.co.il/law/5227/64a.c</vt:lpwstr>
      </vt:variant>
      <vt:variant>
        <vt:lpwstr/>
      </vt:variant>
      <vt:variant>
        <vt:i4>3604598</vt:i4>
      </vt:variant>
      <vt:variant>
        <vt:i4>111</vt:i4>
      </vt:variant>
      <vt:variant>
        <vt:i4>0</vt:i4>
      </vt:variant>
      <vt:variant>
        <vt:i4>5</vt:i4>
      </vt:variant>
      <vt:variant>
        <vt:lpwstr>http://www.nevo.co.il/case/21473423</vt:lpwstr>
      </vt:variant>
      <vt:variant>
        <vt:lpwstr/>
      </vt:variant>
      <vt:variant>
        <vt:i4>3932275</vt:i4>
      </vt:variant>
      <vt:variant>
        <vt:i4>108</vt:i4>
      </vt:variant>
      <vt:variant>
        <vt:i4>0</vt:i4>
      </vt:variant>
      <vt:variant>
        <vt:i4>5</vt:i4>
      </vt:variant>
      <vt:variant>
        <vt:lpwstr>http://www.nevo.co.il/case/26538238</vt:lpwstr>
      </vt:variant>
      <vt:variant>
        <vt:lpwstr/>
      </vt:variant>
      <vt:variant>
        <vt:i4>4849753</vt:i4>
      </vt:variant>
      <vt:variant>
        <vt:i4>105</vt:i4>
      </vt:variant>
      <vt:variant>
        <vt:i4>0</vt:i4>
      </vt:variant>
      <vt:variant>
        <vt:i4>5</vt:i4>
      </vt:variant>
      <vt:variant>
        <vt:lpwstr>http://www.nevo.co.il/law/74274/129.e</vt:lpwstr>
      </vt:variant>
      <vt:variant>
        <vt:lpwstr/>
      </vt:variant>
      <vt:variant>
        <vt:i4>7929957</vt:i4>
      </vt:variant>
      <vt:variant>
        <vt:i4>102</vt:i4>
      </vt:variant>
      <vt:variant>
        <vt:i4>0</vt:i4>
      </vt:variant>
      <vt:variant>
        <vt:i4>5</vt:i4>
      </vt:variant>
      <vt:variant>
        <vt:lpwstr>http://www.nevo.co.il/law/74274</vt:lpwstr>
      </vt:variant>
      <vt:variant>
        <vt:lpwstr/>
      </vt:variant>
      <vt:variant>
        <vt:i4>7929957</vt:i4>
      </vt:variant>
      <vt:variant>
        <vt:i4>99</vt:i4>
      </vt:variant>
      <vt:variant>
        <vt:i4>0</vt:i4>
      </vt:variant>
      <vt:variant>
        <vt:i4>5</vt:i4>
      </vt:variant>
      <vt:variant>
        <vt:lpwstr>http://www.nevo.co.il/law/74274</vt:lpwstr>
      </vt:variant>
      <vt:variant>
        <vt:lpwstr/>
      </vt:variant>
      <vt:variant>
        <vt:i4>7143529</vt:i4>
      </vt:variant>
      <vt:variant>
        <vt:i4>96</vt:i4>
      </vt:variant>
      <vt:variant>
        <vt:i4>0</vt:i4>
      </vt:variant>
      <vt:variant>
        <vt:i4>5</vt:i4>
      </vt:variant>
      <vt:variant>
        <vt:lpwstr>http://www.nevo.co.il/law/74274/128;129</vt:lpwstr>
      </vt:variant>
      <vt:variant>
        <vt:lpwstr/>
      </vt:variant>
      <vt:variant>
        <vt:i4>7929957</vt:i4>
      </vt:variant>
      <vt:variant>
        <vt:i4>93</vt:i4>
      </vt:variant>
      <vt:variant>
        <vt:i4>0</vt:i4>
      </vt:variant>
      <vt:variant>
        <vt:i4>5</vt:i4>
      </vt:variant>
      <vt:variant>
        <vt:lpwstr>http://www.nevo.co.il/law/74274</vt:lpwstr>
      </vt:variant>
      <vt:variant>
        <vt:lpwstr/>
      </vt:variant>
      <vt:variant>
        <vt:i4>6553696</vt:i4>
      </vt:variant>
      <vt:variant>
        <vt:i4>90</vt:i4>
      </vt:variant>
      <vt:variant>
        <vt:i4>0</vt:i4>
      </vt:variant>
      <vt:variant>
        <vt:i4>5</vt:i4>
      </vt:variant>
      <vt:variant>
        <vt:lpwstr>http://www.nevo.co.il/law/74274/129</vt:lpwstr>
      </vt:variant>
      <vt:variant>
        <vt:lpwstr/>
      </vt:variant>
      <vt:variant>
        <vt:i4>7929957</vt:i4>
      </vt:variant>
      <vt:variant>
        <vt:i4>87</vt:i4>
      </vt:variant>
      <vt:variant>
        <vt:i4>0</vt:i4>
      </vt:variant>
      <vt:variant>
        <vt:i4>5</vt:i4>
      </vt:variant>
      <vt:variant>
        <vt:lpwstr>http://www.nevo.co.il/law/74274</vt:lpwstr>
      </vt:variant>
      <vt:variant>
        <vt:lpwstr/>
      </vt:variant>
      <vt:variant>
        <vt:i4>6553696</vt:i4>
      </vt:variant>
      <vt:variant>
        <vt:i4>84</vt:i4>
      </vt:variant>
      <vt:variant>
        <vt:i4>0</vt:i4>
      </vt:variant>
      <vt:variant>
        <vt:i4>5</vt:i4>
      </vt:variant>
      <vt:variant>
        <vt:lpwstr>http://www.nevo.co.il/law/74274/128</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3997820</vt:i4>
      </vt:variant>
      <vt:variant>
        <vt:i4>78</vt:i4>
      </vt:variant>
      <vt:variant>
        <vt:i4>0</vt:i4>
      </vt:variant>
      <vt:variant>
        <vt:i4>5</vt:i4>
      </vt:variant>
      <vt:variant>
        <vt:lpwstr>http://www.nevo.co.il/case/5988393</vt:lpwstr>
      </vt:variant>
      <vt:variant>
        <vt:lpwstr/>
      </vt:variant>
      <vt:variant>
        <vt:i4>8323175</vt:i4>
      </vt:variant>
      <vt:variant>
        <vt:i4>75</vt:i4>
      </vt:variant>
      <vt:variant>
        <vt:i4>0</vt:i4>
      </vt:variant>
      <vt:variant>
        <vt:i4>5</vt:i4>
      </vt:variant>
      <vt:variant>
        <vt:lpwstr>http://www.nevo.co.il/law/5227</vt:lpwstr>
      </vt:variant>
      <vt:variant>
        <vt:lpwstr/>
      </vt:variant>
      <vt:variant>
        <vt:i4>3473528</vt:i4>
      </vt:variant>
      <vt:variant>
        <vt:i4>72</vt:i4>
      </vt:variant>
      <vt:variant>
        <vt:i4>0</vt:i4>
      </vt:variant>
      <vt:variant>
        <vt:i4>5</vt:i4>
      </vt:variant>
      <vt:variant>
        <vt:lpwstr>http://www.nevo.co.il/case/5603999</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6553696</vt:i4>
      </vt:variant>
      <vt:variant>
        <vt:i4>63</vt:i4>
      </vt:variant>
      <vt:variant>
        <vt:i4>0</vt:i4>
      </vt:variant>
      <vt:variant>
        <vt:i4>5</vt:i4>
      </vt:variant>
      <vt:variant>
        <vt:lpwstr>http://www.nevo.co.il/law/74274/128</vt:lpwstr>
      </vt:variant>
      <vt:variant>
        <vt:lpwstr/>
      </vt:variant>
      <vt:variant>
        <vt:i4>7929957</vt:i4>
      </vt:variant>
      <vt:variant>
        <vt:i4>60</vt:i4>
      </vt:variant>
      <vt:variant>
        <vt:i4>0</vt:i4>
      </vt:variant>
      <vt:variant>
        <vt:i4>5</vt:i4>
      </vt:variant>
      <vt:variant>
        <vt:lpwstr>http://www.nevo.co.il/law/74274</vt:lpwstr>
      </vt:variant>
      <vt:variant>
        <vt:lpwstr/>
      </vt:variant>
      <vt:variant>
        <vt:i4>6553696</vt:i4>
      </vt:variant>
      <vt:variant>
        <vt:i4>57</vt:i4>
      </vt:variant>
      <vt:variant>
        <vt:i4>0</vt:i4>
      </vt:variant>
      <vt:variant>
        <vt:i4>5</vt:i4>
      </vt:variant>
      <vt:variant>
        <vt:lpwstr>http://www.nevo.co.il/law/74274/129</vt:lpwstr>
      </vt:variant>
      <vt:variant>
        <vt:lpwstr/>
      </vt:variant>
      <vt:variant>
        <vt:i4>6553696</vt:i4>
      </vt:variant>
      <vt:variant>
        <vt:i4>54</vt:i4>
      </vt:variant>
      <vt:variant>
        <vt:i4>0</vt:i4>
      </vt:variant>
      <vt:variant>
        <vt:i4>5</vt:i4>
      </vt:variant>
      <vt:variant>
        <vt:lpwstr>http://www.nevo.co.il/law/74274/128</vt:lpwstr>
      </vt:variant>
      <vt:variant>
        <vt:lpwstr/>
      </vt:variant>
      <vt:variant>
        <vt:i4>8257637</vt:i4>
      </vt:variant>
      <vt:variant>
        <vt:i4>51</vt:i4>
      </vt:variant>
      <vt:variant>
        <vt:i4>0</vt:i4>
      </vt:variant>
      <vt:variant>
        <vt:i4>5</vt:i4>
      </vt:variant>
      <vt:variant>
        <vt:lpwstr>http://www.nevo.co.il/law/4216</vt:lpwstr>
      </vt:variant>
      <vt:variant>
        <vt:lpwstr/>
      </vt:variant>
      <vt:variant>
        <vt:i4>5177418</vt:i4>
      </vt:variant>
      <vt:variant>
        <vt:i4>48</vt:i4>
      </vt:variant>
      <vt:variant>
        <vt:i4>0</vt:i4>
      </vt:variant>
      <vt:variant>
        <vt:i4>5</vt:i4>
      </vt:variant>
      <vt:variant>
        <vt:lpwstr>http://www.nevo.co.il/law/4216/13</vt:lpwstr>
      </vt:variant>
      <vt:variant>
        <vt:lpwstr/>
      </vt:variant>
      <vt:variant>
        <vt:i4>6750330</vt:i4>
      </vt:variant>
      <vt:variant>
        <vt:i4>45</vt:i4>
      </vt:variant>
      <vt:variant>
        <vt:i4>0</vt:i4>
      </vt:variant>
      <vt:variant>
        <vt:i4>5</vt:i4>
      </vt:variant>
      <vt:variant>
        <vt:lpwstr>http://www.nevo.co.il/law/5227/62.2</vt:lpwstr>
      </vt:variant>
      <vt:variant>
        <vt:lpwstr/>
      </vt:variant>
      <vt:variant>
        <vt:i4>8323175</vt:i4>
      </vt:variant>
      <vt:variant>
        <vt:i4>42</vt:i4>
      </vt:variant>
      <vt:variant>
        <vt:i4>0</vt:i4>
      </vt:variant>
      <vt:variant>
        <vt:i4>5</vt:i4>
      </vt:variant>
      <vt:variant>
        <vt:lpwstr>http://www.nevo.co.il/law/5227</vt:lpwstr>
      </vt:variant>
      <vt:variant>
        <vt:lpwstr/>
      </vt:variant>
      <vt:variant>
        <vt:i4>4915282</vt:i4>
      </vt:variant>
      <vt:variant>
        <vt:i4>39</vt:i4>
      </vt:variant>
      <vt:variant>
        <vt:i4>0</vt:i4>
      </vt:variant>
      <vt:variant>
        <vt:i4>5</vt:i4>
      </vt:variant>
      <vt:variant>
        <vt:lpwstr>http://www.nevo.co.il/law/5227/64a.c</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6619233</vt:i4>
      </vt:variant>
      <vt:variant>
        <vt:i4>33</vt:i4>
      </vt:variant>
      <vt:variant>
        <vt:i4>0</vt:i4>
      </vt:variant>
      <vt:variant>
        <vt:i4>5</vt:i4>
      </vt:variant>
      <vt:variant>
        <vt:lpwstr>http://www.nevo.co.il/law/70301/40d</vt:lpwstr>
      </vt:variant>
      <vt:variant>
        <vt:lpwstr/>
      </vt:variant>
      <vt:variant>
        <vt:i4>7995492</vt:i4>
      </vt:variant>
      <vt:variant>
        <vt:i4>30</vt:i4>
      </vt:variant>
      <vt:variant>
        <vt:i4>0</vt:i4>
      </vt:variant>
      <vt:variant>
        <vt:i4>5</vt:i4>
      </vt:variant>
      <vt:variant>
        <vt:lpwstr>http://www.nevo.co.il/law/70301</vt:lpwstr>
      </vt:variant>
      <vt:variant>
        <vt:lpwstr/>
      </vt:variant>
      <vt:variant>
        <vt:i4>4849753</vt:i4>
      </vt:variant>
      <vt:variant>
        <vt:i4>27</vt:i4>
      </vt:variant>
      <vt:variant>
        <vt:i4>0</vt:i4>
      </vt:variant>
      <vt:variant>
        <vt:i4>5</vt:i4>
      </vt:variant>
      <vt:variant>
        <vt:lpwstr>http://www.nevo.co.il/law/74274/129.e</vt:lpwstr>
      </vt:variant>
      <vt:variant>
        <vt:lpwstr/>
      </vt:variant>
      <vt:variant>
        <vt:i4>6553696</vt:i4>
      </vt:variant>
      <vt:variant>
        <vt:i4>24</vt:i4>
      </vt:variant>
      <vt:variant>
        <vt:i4>0</vt:i4>
      </vt:variant>
      <vt:variant>
        <vt:i4>5</vt:i4>
      </vt:variant>
      <vt:variant>
        <vt:lpwstr>http://www.nevo.co.il/law/74274/129</vt:lpwstr>
      </vt:variant>
      <vt:variant>
        <vt:lpwstr/>
      </vt:variant>
      <vt:variant>
        <vt:i4>6553696</vt:i4>
      </vt:variant>
      <vt:variant>
        <vt:i4>21</vt:i4>
      </vt:variant>
      <vt:variant>
        <vt:i4>0</vt:i4>
      </vt:variant>
      <vt:variant>
        <vt:i4>5</vt:i4>
      </vt:variant>
      <vt:variant>
        <vt:lpwstr>http://www.nevo.co.il/law/74274/128</vt:lpwstr>
      </vt:variant>
      <vt:variant>
        <vt:lpwstr/>
      </vt:variant>
      <vt:variant>
        <vt:i4>7929957</vt:i4>
      </vt:variant>
      <vt:variant>
        <vt:i4>18</vt:i4>
      </vt:variant>
      <vt:variant>
        <vt:i4>0</vt:i4>
      </vt:variant>
      <vt:variant>
        <vt:i4>5</vt:i4>
      </vt:variant>
      <vt:variant>
        <vt:lpwstr>http://www.nevo.co.il/law/74274</vt:lpwstr>
      </vt:variant>
      <vt:variant>
        <vt:lpwstr/>
      </vt:variant>
      <vt:variant>
        <vt:i4>5177418</vt:i4>
      </vt:variant>
      <vt:variant>
        <vt:i4>15</vt:i4>
      </vt:variant>
      <vt:variant>
        <vt:i4>0</vt:i4>
      </vt:variant>
      <vt:variant>
        <vt:i4>5</vt:i4>
      </vt:variant>
      <vt:variant>
        <vt:lpwstr>http://www.nevo.co.il/law/4216/13</vt:lpwstr>
      </vt:variant>
      <vt:variant>
        <vt:lpwstr/>
      </vt:variant>
      <vt:variant>
        <vt:i4>8257637</vt:i4>
      </vt:variant>
      <vt:variant>
        <vt:i4>12</vt:i4>
      </vt:variant>
      <vt:variant>
        <vt:i4>0</vt:i4>
      </vt:variant>
      <vt:variant>
        <vt:i4>5</vt:i4>
      </vt:variant>
      <vt:variant>
        <vt:lpwstr>http://www.nevo.co.il/law/4216</vt:lpwstr>
      </vt:variant>
      <vt:variant>
        <vt:lpwstr/>
      </vt:variant>
      <vt:variant>
        <vt:i4>4980818</vt:i4>
      </vt:variant>
      <vt:variant>
        <vt:i4>9</vt:i4>
      </vt:variant>
      <vt:variant>
        <vt:i4>0</vt:i4>
      </vt:variant>
      <vt:variant>
        <vt:i4>5</vt:i4>
      </vt:variant>
      <vt:variant>
        <vt:lpwstr>http://www.nevo.co.il/law/5227/64a.d</vt:lpwstr>
      </vt:variant>
      <vt:variant>
        <vt:lpwstr/>
      </vt:variant>
      <vt:variant>
        <vt:i4>4915282</vt:i4>
      </vt:variant>
      <vt:variant>
        <vt:i4>6</vt:i4>
      </vt:variant>
      <vt:variant>
        <vt:i4>0</vt:i4>
      </vt:variant>
      <vt:variant>
        <vt:i4>5</vt:i4>
      </vt:variant>
      <vt:variant>
        <vt:lpwstr>http://www.nevo.co.il/law/5227/64a.c</vt:lpwstr>
      </vt:variant>
      <vt:variant>
        <vt:lpwstr/>
      </vt:variant>
      <vt:variant>
        <vt:i4>6750330</vt:i4>
      </vt:variant>
      <vt:variant>
        <vt:i4>3</vt:i4>
      </vt:variant>
      <vt:variant>
        <vt:i4>0</vt:i4>
      </vt:variant>
      <vt:variant>
        <vt:i4>5</vt:i4>
      </vt:variant>
      <vt:variant>
        <vt:lpwstr>http://www.nevo.co.il/law/5227/62.2</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2025-04-22T21:25:00Z</dcterms:created>
  <dcterms:modified xsi:type="dcterms:W3CDTF">2025-04-22T21:25:00Z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31812</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סנאד אלקרעאן</vt:lpwstr>
  </property>
  <property fmtid="{D5CDD505-2E9C-101B-9397-08002B2CF9AE}" pid="10" name="LAWYER">
    <vt:lpwstr>אבי ביטון;יאיר דרייגור</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20240312</vt:lpwstr>
  </property>
  <property fmtid="{D5CDD505-2E9C-101B-9397-08002B2CF9AE}" pid="14" name="TYPE_N_DATE">
    <vt:lpwstr>39020240312</vt:lpwstr>
  </property>
  <property fmtid="{D5CDD505-2E9C-101B-9397-08002B2CF9AE}" pid="15" name="WORDNUMPAGES">
    <vt:lpwstr>15</vt:lpwstr>
  </property>
  <property fmtid="{D5CDD505-2E9C-101B-9397-08002B2CF9AE}" pid="16" name="TYPE_ABS_DATE">
    <vt:lpwstr>390020240312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5603999:2;5988393:2;6473037;26538238;21473423;16917344;17015784;10488209;5588284;5908647</vt:lpwstr>
  </property>
  <property fmtid="{D5CDD505-2E9C-101B-9397-08002B2CF9AE}" pid="36" name="LAWLISTTMP1">
    <vt:lpwstr>5227/064a.c:2;062.2;064a.d:3</vt:lpwstr>
  </property>
  <property fmtid="{D5CDD505-2E9C-101B-9397-08002B2CF9AE}" pid="37" name="LAWLISTTMP2">
    <vt:lpwstr>4216/013</vt:lpwstr>
  </property>
  <property fmtid="{D5CDD505-2E9C-101B-9397-08002B2CF9AE}" pid="38" name="LAWLISTTMP3">
    <vt:lpwstr>74274/128:4;129:3;129.e</vt:lpwstr>
  </property>
  <property fmtid="{D5CDD505-2E9C-101B-9397-08002B2CF9AE}" pid="39" name="LAWLISTTMP4">
    <vt:lpwstr>70301/040d;040d.a</vt:lpwstr>
  </property>
</Properties>
</file>