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195"/>
        <w:gridCol w:w="3865"/>
        <w:gridCol w:w="393"/>
        <w:gridCol w:w="3268"/>
        <w:gridCol w:w="99"/>
      </w:tblGrid>
      <w:tr w:rsidR="005F2F8B" w:rsidRPr="001023CE" w14:paraId="76903B4A" w14:textId="77777777" w:rsidTr="00A8336C">
        <w:trPr>
          <w:gridAfter w:val="1"/>
          <w:wAfter w:w="99" w:type="dxa"/>
          <w:trHeight w:hRule="exact" w:val="418"/>
          <w:jc w:val="center"/>
        </w:trPr>
        <w:tc>
          <w:tcPr>
            <w:tcW w:w="8721" w:type="dxa"/>
            <w:gridSpan w:val="4"/>
          </w:tcPr>
          <w:p w14:paraId="038A9559" w14:textId="77777777" w:rsidR="005F2F8B" w:rsidRPr="001023CE" w:rsidRDefault="005F2F8B" w:rsidP="00FA0045">
            <w:pPr>
              <w:pStyle w:val="a3"/>
              <w:jc w:val="center"/>
              <w:rPr>
                <w:rFonts w:ascii="Tahoma" w:hAnsi="Tahoma"/>
                <w:color w:val="000080"/>
                <w:sz w:val="32"/>
                <w:szCs w:val="32"/>
                <w:rtl/>
              </w:rPr>
            </w:pPr>
            <w:r w:rsidRPr="001023CE">
              <w:rPr>
                <w:rFonts w:ascii="Tahoma" w:hAnsi="Tahoma"/>
                <w:b/>
                <w:bCs/>
                <w:color w:val="000080"/>
                <w:sz w:val="32"/>
                <w:szCs w:val="32"/>
                <w:rtl/>
              </w:rPr>
              <w:t>בית המשפט המחוזי בתל אביב -יפו</w:t>
            </w:r>
          </w:p>
        </w:tc>
      </w:tr>
      <w:tr w:rsidR="005F2F8B" w:rsidRPr="001023CE" w14:paraId="256673A8" w14:textId="77777777" w:rsidTr="00A8336C">
        <w:trPr>
          <w:gridAfter w:val="1"/>
          <w:wAfter w:w="99" w:type="dxa"/>
          <w:trHeight w:val="337"/>
          <w:jc w:val="center"/>
        </w:trPr>
        <w:tc>
          <w:tcPr>
            <w:tcW w:w="5060" w:type="dxa"/>
            <w:gridSpan w:val="2"/>
          </w:tcPr>
          <w:p w14:paraId="163F7C6C" w14:textId="77777777" w:rsidR="005F2F8B" w:rsidRPr="001023CE" w:rsidRDefault="005F2F8B" w:rsidP="00FA0045">
            <w:pPr>
              <w:rPr>
                <w:sz w:val="26"/>
                <w:szCs w:val="26"/>
                <w:rtl/>
              </w:rPr>
            </w:pPr>
            <w:r w:rsidRPr="001023CE">
              <w:rPr>
                <w:sz w:val="26"/>
                <w:szCs w:val="26"/>
                <w:rtl/>
              </w:rPr>
              <w:t>ת"פ</w:t>
            </w:r>
            <w:r w:rsidRPr="001023CE">
              <w:rPr>
                <w:rFonts w:hint="cs"/>
                <w:sz w:val="26"/>
                <w:szCs w:val="26"/>
                <w:rtl/>
              </w:rPr>
              <w:t xml:space="preserve"> </w:t>
            </w:r>
            <w:r w:rsidRPr="001023CE">
              <w:rPr>
                <w:sz w:val="26"/>
                <w:szCs w:val="26"/>
                <w:rtl/>
              </w:rPr>
              <w:t>34635-11-22</w:t>
            </w:r>
            <w:r w:rsidRPr="001023CE">
              <w:rPr>
                <w:rFonts w:hint="cs"/>
                <w:sz w:val="26"/>
                <w:szCs w:val="26"/>
                <w:rtl/>
              </w:rPr>
              <w:t xml:space="preserve"> </w:t>
            </w:r>
            <w:r w:rsidRPr="001023CE">
              <w:rPr>
                <w:sz w:val="26"/>
                <w:szCs w:val="26"/>
                <w:rtl/>
              </w:rPr>
              <w:t>מדינת ישראל נ' גרינפלד(עציר)</w:t>
            </w:r>
          </w:p>
          <w:p w14:paraId="1C94FC80" w14:textId="77777777" w:rsidR="005F2F8B" w:rsidRPr="001023CE" w:rsidRDefault="005F2F8B" w:rsidP="00FA0045">
            <w:pPr>
              <w:pStyle w:val="a3"/>
              <w:rPr>
                <w:rFonts w:cs="FrankRuehl"/>
                <w:sz w:val="28"/>
                <w:szCs w:val="28"/>
                <w:rtl/>
              </w:rPr>
            </w:pPr>
          </w:p>
        </w:tc>
        <w:tc>
          <w:tcPr>
            <w:tcW w:w="3661" w:type="dxa"/>
            <w:gridSpan w:val="2"/>
          </w:tcPr>
          <w:p w14:paraId="1AA775FF" w14:textId="77777777" w:rsidR="005F2F8B" w:rsidRPr="001023CE" w:rsidRDefault="005F2F8B" w:rsidP="00FA0045">
            <w:pPr>
              <w:pStyle w:val="a3"/>
              <w:jc w:val="right"/>
              <w:rPr>
                <w:rFonts w:cs="FrankRuehl"/>
                <w:sz w:val="28"/>
                <w:szCs w:val="28"/>
                <w:rtl/>
              </w:rPr>
            </w:pPr>
          </w:p>
        </w:tc>
      </w:tr>
      <w:tr w:rsidR="005F2F8B" w:rsidRPr="001023CE" w14:paraId="1C163630" w14:textId="77777777" w:rsidTr="00A833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195" w:type="dxa"/>
            <w:tcBorders>
              <w:top w:val="nil"/>
              <w:left w:val="nil"/>
              <w:bottom w:val="nil"/>
              <w:right w:val="nil"/>
            </w:tcBorders>
            <w:shd w:val="clear" w:color="auto" w:fill="auto"/>
          </w:tcPr>
          <w:p w14:paraId="666FBA76" w14:textId="77777777" w:rsidR="005F2F8B" w:rsidRPr="001023CE" w:rsidRDefault="005F2F8B" w:rsidP="005F2F8B">
            <w:pPr>
              <w:jc w:val="both"/>
              <w:rPr>
                <w:rFonts w:ascii="Arial" w:hAnsi="Arial"/>
                <w:b/>
                <w:bCs/>
                <w:sz w:val="26"/>
                <w:szCs w:val="26"/>
              </w:rPr>
            </w:pPr>
            <w:r w:rsidRPr="001023CE">
              <w:rPr>
                <w:rFonts w:hint="cs"/>
                <w:rtl/>
              </w:rPr>
              <w:t xml:space="preserve"> </w:t>
            </w:r>
            <w:r w:rsidRPr="001023CE">
              <w:rPr>
                <w:rFonts w:ascii="Arial" w:hAnsi="Arial" w:hint="cs"/>
                <w:b/>
                <w:bCs/>
                <w:sz w:val="26"/>
                <w:szCs w:val="26"/>
                <w:rtl/>
              </w:rPr>
              <w:t>ל</w:t>
            </w:r>
            <w:r w:rsidRPr="001023CE">
              <w:rPr>
                <w:rFonts w:ascii="Arial" w:hAnsi="Arial"/>
                <w:b/>
                <w:bCs/>
                <w:sz w:val="26"/>
                <w:szCs w:val="26"/>
                <w:rtl/>
              </w:rPr>
              <w:t xml:space="preserve">פני </w:t>
            </w:r>
          </w:p>
        </w:tc>
        <w:tc>
          <w:tcPr>
            <w:tcW w:w="7625" w:type="dxa"/>
            <w:gridSpan w:val="4"/>
            <w:tcBorders>
              <w:top w:val="nil"/>
              <w:left w:val="nil"/>
              <w:bottom w:val="nil"/>
              <w:right w:val="nil"/>
            </w:tcBorders>
            <w:shd w:val="clear" w:color="auto" w:fill="auto"/>
          </w:tcPr>
          <w:p w14:paraId="6751372D" w14:textId="77777777" w:rsidR="005F2F8B" w:rsidRPr="001023CE" w:rsidRDefault="005F2F8B" w:rsidP="00FA0045">
            <w:pPr>
              <w:rPr>
                <w:rFonts w:ascii="Arial" w:hAnsi="Arial"/>
                <w:b/>
                <w:bCs/>
                <w:sz w:val="26"/>
                <w:szCs w:val="26"/>
                <w:rtl/>
              </w:rPr>
            </w:pPr>
            <w:r w:rsidRPr="001023CE">
              <w:rPr>
                <w:rFonts w:ascii="Arial" w:hAnsi="Arial" w:hint="cs"/>
                <w:b/>
                <w:bCs/>
                <w:sz w:val="26"/>
                <w:szCs w:val="26"/>
                <w:rtl/>
              </w:rPr>
              <w:t>כבוד ה</w:t>
            </w:r>
            <w:r w:rsidRPr="001023CE">
              <w:rPr>
                <w:rFonts w:ascii="Arial" w:hAnsi="Arial"/>
                <w:b/>
                <w:bCs/>
                <w:sz w:val="26"/>
                <w:szCs w:val="26"/>
                <w:rtl/>
              </w:rPr>
              <w:t>שופט, סגן הנשיא</w:t>
            </w:r>
            <w:r w:rsidRPr="001023CE">
              <w:rPr>
                <w:rFonts w:ascii="Arial" w:hAnsi="Arial" w:hint="cs"/>
                <w:b/>
                <w:bCs/>
                <w:sz w:val="26"/>
                <w:szCs w:val="26"/>
                <w:rtl/>
              </w:rPr>
              <w:t xml:space="preserve">  </w:t>
            </w:r>
            <w:r w:rsidRPr="001023CE">
              <w:rPr>
                <w:rFonts w:ascii="Arial" w:hAnsi="Arial"/>
                <w:b/>
                <w:bCs/>
                <w:sz w:val="26"/>
                <w:szCs w:val="26"/>
                <w:rtl/>
              </w:rPr>
              <w:t>שי יניב</w:t>
            </w:r>
          </w:p>
          <w:p w14:paraId="31BEB248" w14:textId="77777777" w:rsidR="005F2F8B" w:rsidRPr="001023CE" w:rsidRDefault="005F2F8B" w:rsidP="00FA0045">
            <w:pPr>
              <w:rPr>
                <w:sz w:val="26"/>
                <w:szCs w:val="26"/>
                <w:rtl/>
              </w:rPr>
            </w:pPr>
          </w:p>
          <w:p w14:paraId="7BCA5470" w14:textId="77777777" w:rsidR="005F2F8B" w:rsidRPr="001023CE" w:rsidRDefault="005F2F8B" w:rsidP="005F2F8B">
            <w:pPr>
              <w:jc w:val="both"/>
              <w:rPr>
                <w:rFonts w:ascii="Arial" w:hAnsi="Arial"/>
                <w:sz w:val="26"/>
                <w:szCs w:val="26"/>
              </w:rPr>
            </w:pPr>
          </w:p>
        </w:tc>
      </w:tr>
      <w:tr w:rsidR="005F2F8B" w:rsidRPr="001023CE" w14:paraId="3467636F" w14:textId="77777777" w:rsidTr="00A833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1B299FB0" w14:textId="77777777" w:rsidR="005F2F8B" w:rsidRPr="001023CE" w:rsidRDefault="005F2F8B" w:rsidP="005F2F8B">
            <w:pPr>
              <w:jc w:val="both"/>
              <w:rPr>
                <w:rFonts w:ascii="Arial" w:hAnsi="Arial"/>
                <w:b/>
                <w:bCs/>
                <w:sz w:val="26"/>
                <w:szCs w:val="26"/>
              </w:rPr>
            </w:pPr>
            <w:bookmarkStart w:id="0" w:name="FirstAppellant"/>
            <w:bookmarkStart w:id="1" w:name="FirstLawyer"/>
            <w:bookmarkStart w:id="2" w:name="LastJudge"/>
            <w:bookmarkEnd w:id="2"/>
            <w:r w:rsidRPr="001023CE">
              <w:rPr>
                <w:rFonts w:ascii="Arial" w:hAnsi="Arial" w:hint="cs"/>
                <w:sz w:val="26"/>
                <w:szCs w:val="26"/>
                <w:rtl/>
              </w:rPr>
              <w:t>ה</w:t>
            </w:r>
            <w:r w:rsidRPr="001023CE">
              <w:rPr>
                <w:rFonts w:ascii="Arial" w:hAnsi="Arial"/>
                <w:sz w:val="26"/>
                <w:szCs w:val="26"/>
                <w:rtl/>
              </w:rPr>
              <w:t>מאשימה</w:t>
            </w:r>
          </w:p>
        </w:tc>
        <w:tc>
          <w:tcPr>
            <w:tcW w:w="4258" w:type="dxa"/>
            <w:gridSpan w:val="2"/>
            <w:tcBorders>
              <w:top w:val="nil"/>
              <w:left w:val="nil"/>
              <w:bottom w:val="nil"/>
              <w:right w:val="nil"/>
            </w:tcBorders>
            <w:shd w:val="clear" w:color="auto" w:fill="auto"/>
          </w:tcPr>
          <w:p w14:paraId="26DFEB05" w14:textId="77777777" w:rsidR="005F2F8B" w:rsidRPr="001023CE" w:rsidRDefault="005F2F8B" w:rsidP="00FA0045">
            <w:pPr>
              <w:rPr>
                <w:sz w:val="26"/>
                <w:szCs w:val="26"/>
                <w:rtl/>
              </w:rPr>
            </w:pPr>
            <w:r w:rsidRPr="001023CE">
              <w:rPr>
                <w:rFonts w:ascii="Arial" w:hAnsi="Arial"/>
                <w:sz w:val="26"/>
                <w:szCs w:val="26"/>
                <w:rtl/>
              </w:rPr>
              <w:t>מדינת ישראל</w:t>
            </w:r>
          </w:p>
          <w:p w14:paraId="7747EE9D" w14:textId="77777777" w:rsidR="005F2F8B" w:rsidRPr="001023CE" w:rsidRDefault="005F2F8B" w:rsidP="00FA0045">
            <w:pPr>
              <w:rPr>
                <w:sz w:val="26"/>
                <w:szCs w:val="26"/>
              </w:rPr>
            </w:pPr>
            <w:r w:rsidRPr="001023CE">
              <w:rPr>
                <w:rFonts w:hint="cs"/>
                <w:sz w:val="26"/>
                <w:szCs w:val="26"/>
                <w:rtl/>
              </w:rPr>
              <w:t>ע"י ב"כ עו"ד יונתן טל</w:t>
            </w:r>
          </w:p>
        </w:tc>
        <w:tc>
          <w:tcPr>
            <w:tcW w:w="3367" w:type="dxa"/>
            <w:gridSpan w:val="2"/>
            <w:tcBorders>
              <w:top w:val="nil"/>
              <w:left w:val="nil"/>
              <w:bottom w:val="nil"/>
              <w:right w:val="nil"/>
            </w:tcBorders>
            <w:shd w:val="clear" w:color="auto" w:fill="auto"/>
          </w:tcPr>
          <w:p w14:paraId="1D99E809" w14:textId="77777777" w:rsidR="005F2F8B" w:rsidRPr="001023CE" w:rsidRDefault="005F2F8B" w:rsidP="005F2F8B">
            <w:pPr>
              <w:jc w:val="both"/>
              <w:rPr>
                <w:rFonts w:ascii="Arial" w:hAnsi="Arial"/>
                <w:sz w:val="26"/>
                <w:szCs w:val="26"/>
              </w:rPr>
            </w:pPr>
          </w:p>
        </w:tc>
      </w:tr>
      <w:bookmarkEnd w:id="0"/>
      <w:bookmarkEnd w:id="1"/>
      <w:tr w:rsidR="005F2F8B" w:rsidRPr="001023CE" w14:paraId="6E511BD3" w14:textId="77777777" w:rsidTr="00A833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7D5E5BB5" w14:textId="77777777" w:rsidR="005F2F8B" w:rsidRPr="001023CE" w:rsidRDefault="005F2F8B" w:rsidP="005F2F8B">
            <w:pPr>
              <w:jc w:val="both"/>
              <w:rPr>
                <w:rFonts w:ascii="Arial" w:hAnsi="Arial"/>
                <w:sz w:val="26"/>
                <w:szCs w:val="26"/>
                <w:rtl/>
              </w:rPr>
            </w:pPr>
          </w:p>
        </w:tc>
        <w:tc>
          <w:tcPr>
            <w:tcW w:w="4258" w:type="dxa"/>
            <w:gridSpan w:val="2"/>
            <w:tcBorders>
              <w:top w:val="nil"/>
              <w:left w:val="nil"/>
              <w:bottom w:val="nil"/>
              <w:right w:val="nil"/>
            </w:tcBorders>
            <w:shd w:val="clear" w:color="auto" w:fill="auto"/>
          </w:tcPr>
          <w:p w14:paraId="27F12C69" w14:textId="77777777" w:rsidR="005F2F8B" w:rsidRPr="001023CE" w:rsidRDefault="005F2F8B" w:rsidP="00FA0045">
            <w:pPr>
              <w:rPr>
                <w:rFonts w:ascii="Arial" w:hAnsi="Arial"/>
                <w:sz w:val="26"/>
                <w:szCs w:val="26"/>
                <w:rtl/>
              </w:rPr>
            </w:pPr>
          </w:p>
        </w:tc>
        <w:tc>
          <w:tcPr>
            <w:tcW w:w="3367" w:type="dxa"/>
            <w:gridSpan w:val="2"/>
            <w:tcBorders>
              <w:top w:val="nil"/>
              <w:left w:val="nil"/>
              <w:bottom w:val="nil"/>
              <w:right w:val="nil"/>
            </w:tcBorders>
            <w:shd w:val="clear" w:color="auto" w:fill="auto"/>
          </w:tcPr>
          <w:p w14:paraId="6A418325" w14:textId="77777777" w:rsidR="005F2F8B" w:rsidRPr="001023CE" w:rsidRDefault="005F2F8B" w:rsidP="005F2F8B">
            <w:pPr>
              <w:jc w:val="right"/>
              <w:rPr>
                <w:rFonts w:ascii="Arial" w:hAnsi="Arial"/>
                <w:sz w:val="26"/>
                <w:szCs w:val="26"/>
                <w:rtl/>
              </w:rPr>
            </w:pPr>
          </w:p>
        </w:tc>
      </w:tr>
      <w:tr w:rsidR="005F2F8B" w:rsidRPr="001023CE" w14:paraId="4C02BB8D" w14:textId="77777777" w:rsidTr="00A833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38A55162" w14:textId="77777777" w:rsidR="005F2F8B" w:rsidRPr="001023CE" w:rsidRDefault="005F2F8B" w:rsidP="005F2F8B">
            <w:pPr>
              <w:jc w:val="both"/>
              <w:rPr>
                <w:rFonts w:ascii="Arial" w:hAnsi="Arial"/>
                <w:sz w:val="26"/>
                <w:szCs w:val="26"/>
                <w:rtl/>
              </w:rPr>
            </w:pPr>
          </w:p>
        </w:tc>
        <w:tc>
          <w:tcPr>
            <w:tcW w:w="7625" w:type="dxa"/>
            <w:gridSpan w:val="4"/>
            <w:tcBorders>
              <w:top w:val="nil"/>
              <w:left w:val="nil"/>
              <w:bottom w:val="nil"/>
              <w:right w:val="nil"/>
            </w:tcBorders>
            <w:shd w:val="clear" w:color="auto" w:fill="auto"/>
          </w:tcPr>
          <w:p w14:paraId="392FED73" w14:textId="77777777" w:rsidR="005F2F8B" w:rsidRPr="001023CE" w:rsidRDefault="005F2F8B" w:rsidP="005F2F8B">
            <w:pPr>
              <w:jc w:val="center"/>
              <w:rPr>
                <w:rFonts w:ascii="Arial" w:hAnsi="Arial"/>
                <w:b/>
                <w:bCs/>
                <w:sz w:val="26"/>
                <w:szCs w:val="26"/>
                <w:rtl/>
              </w:rPr>
            </w:pPr>
          </w:p>
          <w:p w14:paraId="7EB52E3D" w14:textId="77777777" w:rsidR="005F2F8B" w:rsidRPr="001023CE" w:rsidRDefault="005F2F8B" w:rsidP="005F2F8B">
            <w:pPr>
              <w:jc w:val="center"/>
              <w:rPr>
                <w:rFonts w:ascii="Arial" w:hAnsi="Arial"/>
                <w:b/>
                <w:bCs/>
                <w:sz w:val="26"/>
                <w:szCs w:val="26"/>
                <w:rtl/>
              </w:rPr>
            </w:pPr>
            <w:r w:rsidRPr="001023CE">
              <w:rPr>
                <w:rFonts w:ascii="Arial" w:hAnsi="Arial"/>
                <w:b/>
                <w:bCs/>
                <w:sz w:val="26"/>
                <w:szCs w:val="26"/>
                <w:rtl/>
              </w:rPr>
              <w:t>נגד</w:t>
            </w:r>
          </w:p>
          <w:p w14:paraId="07BBD5B8" w14:textId="77777777" w:rsidR="005F2F8B" w:rsidRPr="001023CE" w:rsidRDefault="005F2F8B" w:rsidP="005F2F8B">
            <w:pPr>
              <w:jc w:val="both"/>
              <w:rPr>
                <w:rFonts w:ascii="Arial" w:hAnsi="Arial"/>
                <w:sz w:val="26"/>
                <w:szCs w:val="26"/>
              </w:rPr>
            </w:pPr>
          </w:p>
        </w:tc>
      </w:tr>
      <w:tr w:rsidR="005F2F8B" w:rsidRPr="001023CE" w14:paraId="1647A4A9" w14:textId="77777777" w:rsidTr="00A833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1FE1E38C" w14:textId="77777777" w:rsidR="005F2F8B" w:rsidRPr="001023CE" w:rsidRDefault="005F2F8B" w:rsidP="00FA0045">
            <w:pPr>
              <w:rPr>
                <w:rFonts w:ascii="Arial" w:hAnsi="Arial"/>
                <w:sz w:val="26"/>
                <w:szCs w:val="26"/>
                <w:rtl/>
              </w:rPr>
            </w:pPr>
            <w:r w:rsidRPr="001023CE">
              <w:rPr>
                <w:rFonts w:ascii="Arial" w:hAnsi="Arial" w:hint="cs"/>
                <w:sz w:val="26"/>
                <w:szCs w:val="26"/>
                <w:rtl/>
              </w:rPr>
              <w:t>ה</w:t>
            </w:r>
            <w:r w:rsidRPr="001023CE">
              <w:rPr>
                <w:rFonts w:ascii="Arial" w:hAnsi="Arial"/>
                <w:sz w:val="26"/>
                <w:szCs w:val="26"/>
                <w:rtl/>
              </w:rPr>
              <w:t>נאשם</w:t>
            </w:r>
          </w:p>
        </w:tc>
        <w:tc>
          <w:tcPr>
            <w:tcW w:w="4258" w:type="dxa"/>
            <w:gridSpan w:val="2"/>
            <w:tcBorders>
              <w:top w:val="nil"/>
              <w:left w:val="nil"/>
              <w:bottom w:val="nil"/>
              <w:right w:val="nil"/>
            </w:tcBorders>
            <w:shd w:val="clear" w:color="auto" w:fill="auto"/>
          </w:tcPr>
          <w:p w14:paraId="37E324BD" w14:textId="77777777" w:rsidR="005F2F8B" w:rsidRPr="001023CE" w:rsidRDefault="005F2F8B" w:rsidP="00FA0045">
            <w:pPr>
              <w:rPr>
                <w:sz w:val="26"/>
                <w:szCs w:val="26"/>
                <w:rtl/>
              </w:rPr>
            </w:pPr>
            <w:r w:rsidRPr="001023CE">
              <w:rPr>
                <w:rFonts w:ascii="Arial" w:hAnsi="Arial"/>
                <w:sz w:val="26"/>
                <w:szCs w:val="26"/>
                <w:rtl/>
              </w:rPr>
              <w:t>אריה גרינפלד (עציר)</w:t>
            </w:r>
          </w:p>
          <w:p w14:paraId="200526F3" w14:textId="77777777" w:rsidR="005F2F8B" w:rsidRPr="001023CE" w:rsidRDefault="005F2F8B" w:rsidP="00FA0045">
            <w:pPr>
              <w:rPr>
                <w:sz w:val="26"/>
                <w:szCs w:val="26"/>
                <w:rtl/>
              </w:rPr>
            </w:pPr>
            <w:r w:rsidRPr="001023CE">
              <w:rPr>
                <w:rFonts w:hint="cs"/>
                <w:sz w:val="26"/>
                <w:szCs w:val="26"/>
                <w:rtl/>
              </w:rPr>
              <w:t>ע"י ב"כ עו"ד אלון קריטי</w:t>
            </w:r>
          </w:p>
        </w:tc>
        <w:tc>
          <w:tcPr>
            <w:tcW w:w="3367" w:type="dxa"/>
            <w:gridSpan w:val="2"/>
            <w:tcBorders>
              <w:top w:val="nil"/>
              <w:left w:val="nil"/>
              <w:bottom w:val="nil"/>
              <w:right w:val="nil"/>
            </w:tcBorders>
            <w:shd w:val="clear" w:color="auto" w:fill="auto"/>
          </w:tcPr>
          <w:p w14:paraId="00B40C47" w14:textId="77777777" w:rsidR="005F2F8B" w:rsidRPr="001023CE" w:rsidRDefault="005F2F8B" w:rsidP="005F2F8B">
            <w:pPr>
              <w:jc w:val="right"/>
              <w:rPr>
                <w:rFonts w:ascii="Arial" w:hAnsi="Arial"/>
                <w:sz w:val="26"/>
                <w:szCs w:val="26"/>
              </w:rPr>
            </w:pPr>
          </w:p>
        </w:tc>
      </w:tr>
    </w:tbl>
    <w:p w14:paraId="5584A8F5" w14:textId="77777777" w:rsidR="005F2F8B" w:rsidRPr="00A8336C" w:rsidRDefault="005F2F8B" w:rsidP="005F2F8B"/>
    <w:p w14:paraId="5D52A1DF" w14:textId="77777777" w:rsidR="00253398" w:rsidRPr="00253398" w:rsidRDefault="00253398" w:rsidP="00253398">
      <w:pPr>
        <w:pStyle w:val="a9"/>
        <w:spacing w:before="120" w:after="120" w:line="240" w:lineRule="exact"/>
        <w:ind w:left="283" w:hanging="283"/>
        <w:jc w:val="both"/>
        <w:rPr>
          <w:rFonts w:ascii="FrankRuehl" w:hAnsi="FrankRuehl" w:cs="FrankRuehl"/>
          <w:sz w:val="24"/>
          <w:szCs w:val="24"/>
          <w:rtl/>
        </w:rPr>
      </w:pPr>
    </w:p>
    <w:p w14:paraId="4618C885" w14:textId="77777777" w:rsidR="00C700BD" w:rsidRPr="00C700BD" w:rsidRDefault="00C700BD" w:rsidP="00C700BD">
      <w:pPr>
        <w:pStyle w:val="a9"/>
        <w:spacing w:before="120" w:after="120" w:line="240" w:lineRule="exact"/>
        <w:ind w:left="283" w:hanging="283"/>
        <w:jc w:val="both"/>
        <w:rPr>
          <w:rFonts w:ascii="FrankRuehl" w:hAnsi="FrankRuehl" w:cs="FrankRuehl"/>
          <w:sz w:val="24"/>
          <w:szCs w:val="24"/>
          <w:rtl/>
        </w:rPr>
      </w:pPr>
    </w:p>
    <w:p w14:paraId="3FD16E5C" w14:textId="77777777" w:rsidR="00EC4C6F" w:rsidRDefault="00EC4C6F" w:rsidP="00EC4C6F">
      <w:pPr>
        <w:pStyle w:val="a9"/>
        <w:spacing w:before="240" w:line="360" w:lineRule="auto"/>
        <w:ind w:left="360"/>
        <w:jc w:val="both"/>
        <w:rPr>
          <w:rFonts w:ascii="David" w:hAnsi="David" w:cs="David"/>
          <w:sz w:val="24"/>
          <w:szCs w:val="24"/>
          <w:rtl/>
        </w:rPr>
      </w:pPr>
      <w:bookmarkStart w:id="3" w:name="LawTable"/>
      <w:bookmarkEnd w:id="3"/>
    </w:p>
    <w:p w14:paraId="6083834E" w14:textId="77777777" w:rsidR="00EC4C6F" w:rsidRPr="00EC4C6F" w:rsidRDefault="00EC4C6F" w:rsidP="00EC4C6F">
      <w:pPr>
        <w:pStyle w:val="a9"/>
        <w:spacing w:before="120" w:after="120" w:line="240" w:lineRule="exact"/>
        <w:ind w:left="283" w:hanging="283"/>
        <w:jc w:val="both"/>
        <w:rPr>
          <w:rFonts w:ascii="FrankRuehl" w:hAnsi="FrankRuehl" w:cs="FrankRuehl"/>
          <w:sz w:val="24"/>
          <w:szCs w:val="24"/>
          <w:rtl/>
        </w:rPr>
      </w:pPr>
    </w:p>
    <w:p w14:paraId="305136E8" w14:textId="77777777" w:rsidR="00EC4C6F" w:rsidRPr="00EC4C6F" w:rsidRDefault="00EC4C6F" w:rsidP="00EC4C6F">
      <w:pPr>
        <w:pStyle w:val="a9"/>
        <w:spacing w:before="120" w:after="120" w:line="240" w:lineRule="exact"/>
        <w:ind w:left="283" w:hanging="283"/>
        <w:jc w:val="both"/>
        <w:rPr>
          <w:rFonts w:ascii="FrankRuehl" w:hAnsi="FrankRuehl" w:cs="FrankRuehl"/>
          <w:sz w:val="24"/>
          <w:szCs w:val="24"/>
          <w:rtl/>
        </w:rPr>
      </w:pPr>
    </w:p>
    <w:p w14:paraId="36B42784" w14:textId="77777777" w:rsidR="00EC4C6F" w:rsidRPr="00EC4C6F" w:rsidRDefault="00EC4C6F" w:rsidP="00EC4C6F">
      <w:pPr>
        <w:pStyle w:val="a9"/>
        <w:spacing w:before="120" w:after="120" w:line="240" w:lineRule="exact"/>
        <w:ind w:left="283" w:hanging="283"/>
        <w:jc w:val="both"/>
        <w:rPr>
          <w:rFonts w:ascii="FrankRuehl" w:hAnsi="FrankRuehl" w:cs="FrankRuehl"/>
          <w:sz w:val="24"/>
          <w:szCs w:val="24"/>
          <w:rtl/>
        </w:rPr>
      </w:pPr>
      <w:r w:rsidRPr="00EC4C6F">
        <w:rPr>
          <w:rFonts w:ascii="FrankRuehl" w:hAnsi="FrankRuehl" w:cs="FrankRuehl"/>
          <w:sz w:val="24"/>
          <w:szCs w:val="24"/>
          <w:rtl/>
        </w:rPr>
        <w:t xml:space="preserve">חקיקה שאוזכרה: </w:t>
      </w:r>
    </w:p>
    <w:p w14:paraId="385CC680" w14:textId="77777777" w:rsidR="00EC4C6F" w:rsidRPr="00EC4C6F" w:rsidRDefault="00EC4C6F" w:rsidP="00EC4C6F">
      <w:pPr>
        <w:pStyle w:val="a9"/>
        <w:spacing w:before="120" w:after="120" w:line="240" w:lineRule="exact"/>
        <w:ind w:left="283" w:hanging="283"/>
        <w:jc w:val="both"/>
        <w:rPr>
          <w:rFonts w:ascii="FrankRuehl" w:hAnsi="FrankRuehl" w:cs="FrankRuehl"/>
          <w:sz w:val="24"/>
          <w:szCs w:val="24"/>
          <w:rtl/>
        </w:rPr>
      </w:pPr>
      <w:hyperlink r:id="rId7" w:history="1">
        <w:r w:rsidRPr="00EC4C6F">
          <w:rPr>
            <w:rFonts w:ascii="FrankRuehl" w:hAnsi="FrankRuehl" w:cs="FrankRuehl"/>
            <w:color w:val="0000FF"/>
            <w:sz w:val="24"/>
            <w:szCs w:val="24"/>
            <w:rtl/>
          </w:rPr>
          <w:t>חוק העונשין, תשל"ז-1977</w:t>
        </w:r>
      </w:hyperlink>
      <w:r w:rsidRPr="00EC4C6F">
        <w:rPr>
          <w:rFonts w:ascii="FrankRuehl" w:hAnsi="FrankRuehl" w:cs="FrankRuehl"/>
          <w:sz w:val="24"/>
          <w:szCs w:val="24"/>
          <w:rtl/>
        </w:rPr>
        <w:t xml:space="preserve">: סע'  </w:t>
      </w:r>
      <w:hyperlink r:id="rId8" w:history="1">
        <w:r w:rsidRPr="00EC4C6F">
          <w:rPr>
            <w:rFonts w:ascii="FrankRuehl" w:hAnsi="FrankRuehl" w:cs="FrankRuehl"/>
            <w:color w:val="0000FF"/>
            <w:sz w:val="24"/>
            <w:szCs w:val="24"/>
            <w:rtl/>
          </w:rPr>
          <w:t>29</w:t>
        </w:r>
      </w:hyperlink>
      <w:r w:rsidRPr="00EC4C6F">
        <w:rPr>
          <w:rFonts w:ascii="FrankRuehl" w:hAnsi="FrankRuehl" w:cs="FrankRuehl"/>
          <w:sz w:val="24"/>
          <w:szCs w:val="24"/>
          <w:rtl/>
        </w:rPr>
        <w:t xml:space="preserve">, </w:t>
      </w:r>
      <w:hyperlink r:id="rId9" w:history="1">
        <w:r w:rsidRPr="00EC4C6F">
          <w:rPr>
            <w:rFonts w:ascii="FrankRuehl" w:hAnsi="FrankRuehl" w:cs="FrankRuehl"/>
            <w:color w:val="0000FF"/>
            <w:sz w:val="24"/>
            <w:szCs w:val="24"/>
            <w:rtl/>
          </w:rPr>
          <w:t>40ט(א)</w:t>
        </w:r>
      </w:hyperlink>
      <w:r w:rsidRPr="00EC4C6F">
        <w:rPr>
          <w:rFonts w:ascii="FrankRuehl" w:hAnsi="FrankRuehl" w:cs="FrankRuehl"/>
          <w:sz w:val="24"/>
          <w:szCs w:val="24"/>
          <w:rtl/>
        </w:rPr>
        <w:t xml:space="preserve">, </w:t>
      </w:r>
      <w:hyperlink r:id="rId10" w:history="1">
        <w:r w:rsidRPr="00EC4C6F">
          <w:rPr>
            <w:rFonts w:ascii="FrankRuehl" w:hAnsi="FrankRuehl" w:cs="FrankRuehl"/>
            <w:color w:val="0000FF"/>
            <w:sz w:val="24"/>
            <w:szCs w:val="24"/>
            <w:rtl/>
          </w:rPr>
          <w:t>40ט(א)(7)</w:t>
        </w:r>
      </w:hyperlink>
      <w:r w:rsidRPr="00EC4C6F">
        <w:rPr>
          <w:rFonts w:ascii="FrankRuehl" w:hAnsi="FrankRuehl" w:cs="FrankRuehl"/>
          <w:sz w:val="24"/>
          <w:szCs w:val="24"/>
          <w:rtl/>
        </w:rPr>
        <w:t xml:space="preserve">, </w:t>
      </w:r>
      <w:hyperlink r:id="rId11" w:history="1">
        <w:r w:rsidRPr="00EC4C6F">
          <w:rPr>
            <w:rFonts w:ascii="FrankRuehl" w:hAnsi="FrankRuehl" w:cs="FrankRuehl"/>
            <w:color w:val="0000FF"/>
            <w:sz w:val="24"/>
            <w:szCs w:val="24"/>
            <w:rtl/>
          </w:rPr>
          <w:t>40ט(א)(9)</w:t>
        </w:r>
      </w:hyperlink>
      <w:r w:rsidRPr="00EC4C6F">
        <w:rPr>
          <w:rFonts w:ascii="FrankRuehl" w:hAnsi="FrankRuehl" w:cs="FrankRuehl"/>
          <w:sz w:val="24"/>
          <w:szCs w:val="24"/>
          <w:rtl/>
        </w:rPr>
        <w:t xml:space="preserve">, </w:t>
      </w:r>
      <w:hyperlink r:id="rId12" w:history="1">
        <w:r w:rsidRPr="00EC4C6F">
          <w:rPr>
            <w:rFonts w:ascii="FrankRuehl" w:hAnsi="FrankRuehl" w:cs="FrankRuehl"/>
            <w:color w:val="0000FF"/>
            <w:sz w:val="24"/>
            <w:szCs w:val="24"/>
            <w:rtl/>
          </w:rPr>
          <w:t>40י(ג)</w:t>
        </w:r>
      </w:hyperlink>
      <w:r w:rsidRPr="00EC4C6F">
        <w:rPr>
          <w:rFonts w:ascii="FrankRuehl" w:hAnsi="FrankRuehl" w:cs="FrankRuehl"/>
          <w:sz w:val="24"/>
          <w:szCs w:val="24"/>
          <w:rtl/>
        </w:rPr>
        <w:t xml:space="preserve">, </w:t>
      </w:r>
      <w:hyperlink r:id="rId13" w:history="1">
        <w:r w:rsidRPr="00EC4C6F">
          <w:rPr>
            <w:rFonts w:ascii="FrankRuehl" w:hAnsi="FrankRuehl" w:cs="FrankRuehl"/>
            <w:color w:val="0000FF"/>
            <w:sz w:val="24"/>
            <w:szCs w:val="24"/>
            <w:rtl/>
          </w:rPr>
          <w:t>186(א)</w:t>
        </w:r>
      </w:hyperlink>
      <w:r w:rsidRPr="00EC4C6F">
        <w:rPr>
          <w:rFonts w:ascii="FrankRuehl" w:hAnsi="FrankRuehl" w:cs="FrankRuehl"/>
          <w:sz w:val="24"/>
          <w:szCs w:val="24"/>
          <w:rtl/>
        </w:rPr>
        <w:t xml:space="preserve">, </w:t>
      </w:r>
      <w:hyperlink r:id="rId14" w:history="1">
        <w:r w:rsidRPr="00EC4C6F">
          <w:rPr>
            <w:rFonts w:ascii="FrankRuehl" w:hAnsi="FrankRuehl" w:cs="FrankRuehl"/>
            <w:color w:val="0000FF"/>
            <w:sz w:val="24"/>
            <w:szCs w:val="24"/>
            <w:rtl/>
          </w:rPr>
          <w:t>191</w:t>
        </w:r>
      </w:hyperlink>
      <w:r w:rsidRPr="00EC4C6F">
        <w:rPr>
          <w:rFonts w:ascii="FrankRuehl" w:hAnsi="FrankRuehl" w:cs="FrankRuehl"/>
          <w:sz w:val="24"/>
          <w:szCs w:val="24"/>
          <w:rtl/>
        </w:rPr>
        <w:t xml:space="preserve">, </w:t>
      </w:r>
      <w:hyperlink r:id="rId15" w:history="1">
        <w:r w:rsidRPr="00EC4C6F">
          <w:rPr>
            <w:rFonts w:ascii="FrankRuehl" w:hAnsi="FrankRuehl" w:cs="FrankRuehl"/>
            <w:color w:val="0000FF"/>
            <w:sz w:val="24"/>
            <w:szCs w:val="24"/>
            <w:rtl/>
          </w:rPr>
          <w:t>192</w:t>
        </w:r>
      </w:hyperlink>
      <w:r w:rsidRPr="00EC4C6F">
        <w:rPr>
          <w:rFonts w:ascii="FrankRuehl" w:hAnsi="FrankRuehl" w:cs="FrankRuehl"/>
          <w:sz w:val="24"/>
          <w:szCs w:val="24"/>
          <w:rtl/>
        </w:rPr>
        <w:t xml:space="preserve">, </w:t>
      </w:r>
      <w:hyperlink r:id="rId16" w:history="1">
        <w:r w:rsidRPr="00EC4C6F">
          <w:rPr>
            <w:rFonts w:ascii="FrankRuehl" w:hAnsi="FrankRuehl" w:cs="FrankRuehl"/>
            <w:color w:val="0000FF"/>
            <w:sz w:val="24"/>
            <w:szCs w:val="24"/>
            <w:rtl/>
          </w:rPr>
          <w:t>216(א)(1)</w:t>
        </w:r>
      </w:hyperlink>
      <w:r w:rsidRPr="00EC4C6F">
        <w:rPr>
          <w:rFonts w:ascii="FrankRuehl" w:hAnsi="FrankRuehl" w:cs="FrankRuehl"/>
          <w:sz w:val="24"/>
          <w:szCs w:val="24"/>
          <w:rtl/>
        </w:rPr>
        <w:t xml:space="preserve">, </w:t>
      </w:r>
      <w:hyperlink r:id="rId17" w:history="1">
        <w:r w:rsidRPr="00EC4C6F">
          <w:rPr>
            <w:rFonts w:ascii="FrankRuehl" w:hAnsi="FrankRuehl" w:cs="FrankRuehl"/>
            <w:color w:val="0000FF"/>
            <w:sz w:val="24"/>
            <w:szCs w:val="24"/>
            <w:rtl/>
          </w:rPr>
          <w:t>249</w:t>
        </w:r>
      </w:hyperlink>
      <w:r w:rsidRPr="00EC4C6F">
        <w:rPr>
          <w:rFonts w:ascii="FrankRuehl" w:hAnsi="FrankRuehl" w:cs="FrankRuehl"/>
          <w:sz w:val="24"/>
          <w:szCs w:val="24"/>
          <w:rtl/>
        </w:rPr>
        <w:t xml:space="preserve">, </w:t>
      </w:r>
      <w:hyperlink r:id="rId18" w:history="1">
        <w:r w:rsidRPr="00EC4C6F">
          <w:rPr>
            <w:rFonts w:ascii="FrankRuehl" w:hAnsi="FrankRuehl" w:cs="FrankRuehl"/>
            <w:color w:val="0000FF"/>
            <w:sz w:val="24"/>
            <w:szCs w:val="24"/>
            <w:rtl/>
          </w:rPr>
          <w:t>288</w:t>
        </w:r>
      </w:hyperlink>
      <w:r w:rsidRPr="00EC4C6F">
        <w:rPr>
          <w:rFonts w:ascii="FrankRuehl" w:hAnsi="FrankRuehl" w:cs="FrankRuehl"/>
          <w:sz w:val="24"/>
          <w:szCs w:val="24"/>
          <w:rtl/>
        </w:rPr>
        <w:t xml:space="preserve">, </w:t>
      </w:r>
      <w:hyperlink r:id="rId19" w:history="1">
        <w:r w:rsidRPr="00EC4C6F">
          <w:rPr>
            <w:rFonts w:ascii="FrankRuehl" w:hAnsi="FrankRuehl" w:cs="FrankRuehl"/>
            <w:color w:val="0000FF"/>
            <w:sz w:val="24"/>
            <w:szCs w:val="24"/>
            <w:rtl/>
          </w:rPr>
          <w:t>333</w:t>
        </w:r>
      </w:hyperlink>
      <w:r w:rsidRPr="00EC4C6F">
        <w:rPr>
          <w:rFonts w:ascii="FrankRuehl" w:hAnsi="FrankRuehl" w:cs="FrankRuehl"/>
          <w:sz w:val="24"/>
          <w:szCs w:val="24"/>
          <w:rtl/>
        </w:rPr>
        <w:t xml:space="preserve">, </w:t>
      </w:r>
      <w:hyperlink r:id="rId20" w:history="1">
        <w:r w:rsidRPr="00EC4C6F">
          <w:rPr>
            <w:rFonts w:ascii="FrankRuehl" w:hAnsi="FrankRuehl" w:cs="FrankRuehl"/>
            <w:color w:val="0000FF"/>
            <w:sz w:val="24"/>
            <w:szCs w:val="24"/>
            <w:rtl/>
          </w:rPr>
          <w:t>334</w:t>
        </w:r>
      </w:hyperlink>
      <w:r w:rsidRPr="00EC4C6F">
        <w:rPr>
          <w:rFonts w:ascii="FrankRuehl" w:hAnsi="FrankRuehl" w:cs="FrankRuehl"/>
          <w:sz w:val="24"/>
          <w:szCs w:val="24"/>
          <w:rtl/>
        </w:rPr>
        <w:t xml:space="preserve">, </w:t>
      </w:r>
      <w:hyperlink r:id="rId21" w:history="1">
        <w:r w:rsidRPr="00EC4C6F">
          <w:rPr>
            <w:rFonts w:ascii="FrankRuehl" w:hAnsi="FrankRuehl" w:cs="FrankRuehl"/>
            <w:color w:val="0000FF"/>
            <w:sz w:val="24"/>
            <w:szCs w:val="24"/>
            <w:rtl/>
          </w:rPr>
          <w:t>335</w:t>
        </w:r>
      </w:hyperlink>
      <w:r w:rsidRPr="00EC4C6F">
        <w:rPr>
          <w:rFonts w:ascii="FrankRuehl" w:hAnsi="FrankRuehl" w:cs="FrankRuehl"/>
          <w:sz w:val="24"/>
          <w:szCs w:val="24"/>
          <w:rtl/>
        </w:rPr>
        <w:t xml:space="preserve">, </w:t>
      </w:r>
      <w:hyperlink r:id="rId22" w:history="1">
        <w:r w:rsidRPr="00EC4C6F">
          <w:rPr>
            <w:rFonts w:ascii="FrankRuehl" w:hAnsi="FrankRuehl" w:cs="FrankRuehl"/>
            <w:color w:val="0000FF"/>
            <w:sz w:val="24"/>
            <w:szCs w:val="24"/>
            <w:rtl/>
          </w:rPr>
          <w:t>335(א)</w:t>
        </w:r>
      </w:hyperlink>
      <w:r w:rsidRPr="00EC4C6F">
        <w:rPr>
          <w:rFonts w:ascii="FrankRuehl" w:hAnsi="FrankRuehl" w:cs="FrankRuehl"/>
          <w:sz w:val="24"/>
          <w:szCs w:val="24"/>
          <w:rtl/>
        </w:rPr>
        <w:t xml:space="preserve">, </w:t>
      </w:r>
      <w:hyperlink r:id="rId23" w:history="1">
        <w:r w:rsidRPr="00EC4C6F">
          <w:rPr>
            <w:rFonts w:ascii="FrankRuehl" w:hAnsi="FrankRuehl" w:cs="FrankRuehl"/>
            <w:color w:val="0000FF"/>
            <w:sz w:val="24"/>
            <w:szCs w:val="24"/>
            <w:rtl/>
          </w:rPr>
          <w:t>335(א)(1)</w:t>
        </w:r>
      </w:hyperlink>
      <w:r w:rsidRPr="00EC4C6F">
        <w:rPr>
          <w:rFonts w:ascii="FrankRuehl" w:hAnsi="FrankRuehl" w:cs="FrankRuehl"/>
          <w:sz w:val="24"/>
          <w:szCs w:val="24"/>
          <w:rtl/>
        </w:rPr>
        <w:t xml:space="preserve">, </w:t>
      </w:r>
      <w:hyperlink r:id="rId24" w:history="1">
        <w:r w:rsidRPr="00EC4C6F">
          <w:rPr>
            <w:rFonts w:ascii="FrankRuehl" w:hAnsi="FrankRuehl" w:cs="FrankRuehl"/>
            <w:color w:val="0000FF"/>
            <w:sz w:val="24"/>
            <w:szCs w:val="24"/>
            <w:rtl/>
          </w:rPr>
          <w:t>335(א)(2)</w:t>
        </w:r>
      </w:hyperlink>
      <w:r w:rsidRPr="00EC4C6F">
        <w:rPr>
          <w:rFonts w:ascii="FrankRuehl" w:hAnsi="FrankRuehl" w:cs="FrankRuehl"/>
          <w:sz w:val="24"/>
          <w:szCs w:val="24"/>
          <w:rtl/>
        </w:rPr>
        <w:t xml:space="preserve">, </w:t>
      </w:r>
      <w:hyperlink r:id="rId25" w:history="1">
        <w:r w:rsidRPr="00EC4C6F">
          <w:rPr>
            <w:rFonts w:ascii="FrankRuehl" w:hAnsi="FrankRuehl" w:cs="FrankRuehl"/>
            <w:color w:val="0000FF"/>
            <w:sz w:val="24"/>
            <w:szCs w:val="24"/>
            <w:rtl/>
          </w:rPr>
          <w:t>338(א)(1)</w:t>
        </w:r>
      </w:hyperlink>
      <w:r w:rsidRPr="00EC4C6F">
        <w:rPr>
          <w:rFonts w:ascii="FrankRuehl" w:hAnsi="FrankRuehl" w:cs="FrankRuehl"/>
          <w:sz w:val="24"/>
          <w:szCs w:val="24"/>
          <w:rtl/>
        </w:rPr>
        <w:t xml:space="preserve">, </w:t>
      </w:r>
      <w:hyperlink r:id="rId26" w:history="1">
        <w:r w:rsidRPr="00EC4C6F">
          <w:rPr>
            <w:rFonts w:ascii="FrankRuehl" w:hAnsi="FrankRuehl" w:cs="FrankRuehl"/>
            <w:color w:val="0000FF"/>
            <w:sz w:val="24"/>
            <w:szCs w:val="24"/>
            <w:rtl/>
          </w:rPr>
          <w:t>379</w:t>
        </w:r>
      </w:hyperlink>
    </w:p>
    <w:p w14:paraId="5A37E448" w14:textId="77777777" w:rsidR="00EC4C6F" w:rsidRPr="00EC4C6F" w:rsidRDefault="00EC4C6F" w:rsidP="00EC4C6F">
      <w:pPr>
        <w:pStyle w:val="a9"/>
        <w:spacing w:before="120" w:after="120" w:line="240" w:lineRule="exact"/>
        <w:ind w:left="283" w:hanging="283"/>
        <w:jc w:val="both"/>
        <w:rPr>
          <w:rFonts w:ascii="FrankRuehl" w:hAnsi="FrankRuehl" w:cs="FrankRuehl"/>
          <w:sz w:val="24"/>
          <w:szCs w:val="24"/>
          <w:rtl/>
        </w:rPr>
      </w:pPr>
      <w:hyperlink r:id="rId27" w:history="1">
        <w:r w:rsidRPr="00EC4C6F">
          <w:rPr>
            <w:rFonts w:ascii="FrankRuehl" w:hAnsi="FrankRuehl" w:cs="FrankRuehl"/>
            <w:color w:val="0000FF"/>
            <w:sz w:val="24"/>
            <w:szCs w:val="24"/>
            <w:rtl/>
          </w:rPr>
          <w:t>פקודת סדר הדין הפלילי (מעצר וחיפוש) [נוסח חדש], תשכ"ט-1969</w:t>
        </w:r>
      </w:hyperlink>
      <w:r w:rsidRPr="00EC4C6F">
        <w:rPr>
          <w:rFonts w:ascii="FrankRuehl" w:hAnsi="FrankRuehl" w:cs="FrankRuehl"/>
          <w:sz w:val="24"/>
          <w:szCs w:val="24"/>
          <w:rtl/>
        </w:rPr>
        <w:t xml:space="preserve">: סע'  </w:t>
      </w:r>
      <w:hyperlink r:id="rId28" w:history="1">
        <w:r w:rsidRPr="00EC4C6F">
          <w:rPr>
            <w:rFonts w:ascii="FrankRuehl" w:hAnsi="FrankRuehl" w:cs="FrankRuehl"/>
            <w:color w:val="0000FF"/>
            <w:sz w:val="24"/>
            <w:szCs w:val="24"/>
            <w:rtl/>
          </w:rPr>
          <w:t>47(א)</w:t>
        </w:r>
      </w:hyperlink>
    </w:p>
    <w:p w14:paraId="2D3D7872" w14:textId="77777777" w:rsidR="00EC4C6F" w:rsidRPr="00EC4C6F" w:rsidRDefault="00EC4C6F" w:rsidP="00EC4C6F">
      <w:pPr>
        <w:pStyle w:val="a9"/>
        <w:spacing w:before="120" w:after="120" w:line="240" w:lineRule="exact"/>
        <w:ind w:left="283" w:hanging="283"/>
        <w:jc w:val="both"/>
        <w:rPr>
          <w:rFonts w:ascii="FrankRuehl" w:hAnsi="FrankRuehl" w:cs="FrankRuehl"/>
          <w:sz w:val="24"/>
          <w:szCs w:val="24"/>
          <w:rtl/>
        </w:rPr>
      </w:pPr>
      <w:hyperlink r:id="rId29" w:history="1">
        <w:r w:rsidRPr="00EC4C6F">
          <w:rPr>
            <w:rFonts w:ascii="FrankRuehl" w:hAnsi="FrankRuehl" w:cs="FrankRuehl"/>
            <w:color w:val="0000FF"/>
            <w:sz w:val="24"/>
            <w:szCs w:val="24"/>
            <w:rtl/>
          </w:rPr>
          <w:t>פקודת הסמים המסוכנים [נוסח חדש], תשל"ג-1973</w:t>
        </w:r>
      </w:hyperlink>
      <w:r w:rsidRPr="00EC4C6F">
        <w:rPr>
          <w:rFonts w:ascii="FrankRuehl" w:hAnsi="FrankRuehl" w:cs="FrankRuehl"/>
          <w:sz w:val="24"/>
          <w:szCs w:val="24"/>
          <w:rtl/>
        </w:rPr>
        <w:t xml:space="preserve">: סע'  </w:t>
      </w:r>
      <w:hyperlink r:id="rId30" w:history="1">
        <w:r w:rsidRPr="00EC4C6F">
          <w:rPr>
            <w:rFonts w:ascii="FrankRuehl" w:hAnsi="FrankRuehl" w:cs="FrankRuehl"/>
            <w:color w:val="0000FF"/>
            <w:sz w:val="24"/>
            <w:szCs w:val="24"/>
            <w:rtl/>
          </w:rPr>
          <w:t>7(א)</w:t>
        </w:r>
      </w:hyperlink>
      <w:r w:rsidRPr="00EC4C6F">
        <w:rPr>
          <w:rFonts w:ascii="FrankRuehl" w:hAnsi="FrankRuehl" w:cs="FrankRuehl"/>
          <w:sz w:val="24"/>
          <w:szCs w:val="24"/>
          <w:rtl/>
        </w:rPr>
        <w:t xml:space="preserve">, </w:t>
      </w:r>
      <w:hyperlink r:id="rId31" w:history="1">
        <w:r w:rsidRPr="00EC4C6F">
          <w:rPr>
            <w:rFonts w:ascii="FrankRuehl" w:hAnsi="FrankRuehl" w:cs="FrankRuehl"/>
            <w:color w:val="0000FF"/>
            <w:sz w:val="24"/>
            <w:szCs w:val="24"/>
            <w:rtl/>
          </w:rPr>
          <w:t>ג</w:t>
        </w:r>
      </w:hyperlink>
    </w:p>
    <w:p w14:paraId="2A428289" w14:textId="77777777" w:rsidR="00EC4C6F" w:rsidRPr="00EC4C6F" w:rsidRDefault="00EC4C6F" w:rsidP="00EC4C6F">
      <w:pPr>
        <w:pStyle w:val="a9"/>
        <w:spacing w:before="240" w:line="360" w:lineRule="auto"/>
        <w:ind w:left="360"/>
        <w:jc w:val="both"/>
        <w:rPr>
          <w:rFonts w:ascii="David" w:hAnsi="David" w:cs="David"/>
          <w:sz w:val="24"/>
          <w:szCs w:val="24"/>
          <w:rtl/>
        </w:rPr>
      </w:pPr>
      <w:bookmarkStart w:id="4" w:name="LawTable_End"/>
      <w:bookmarkEnd w:id="4"/>
    </w:p>
    <w:p w14:paraId="5496826F" w14:textId="77777777" w:rsidR="005F2F8B" w:rsidRPr="00C700BD" w:rsidRDefault="005F2F8B" w:rsidP="00C700BD">
      <w:pPr>
        <w:pStyle w:val="a9"/>
        <w:spacing w:before="240" w:line="360" w:lineRule="auto"/>
        <w:ind w:left="360"/>
        <w:jc w:val="both"/>
        <w:rPr>
          <w:rFonts w:ascii="David" w:hAnsi="David" w:cs="David"/>
          <w:sz w:val="24"/>
          <w:szCs w:val="24"/>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F2F8B" w14:paraId="641AE184" w14:textId="77777777" w:rsidTr="005F2F8B">
        <w:trPr>
          <w:trHeight w:val="355"/>
          <w:jc w:val="center"/>
        </w:trPr>
        <w:tc>
          <w:tcPr>
            <w:tcW w:w="8820" w:type="dxa"/>
            <w:tcBorders>
              <w:top w:val="nil"/>
              <w:left w:val="nil"/>
              <w:bottom w:val="nil"/>
              <w:right w:val="nil"/>
            </w:tcBorders>
            <w:shd w:val="clear" w:color="auto" w:fill="auto"/>
          </w:tcPr>
          <w:p w14:paraId="2D16ACCC" w14:textId="77777777" w:rsidR="001023CE" w:rsidRPr="001023CE" w:rsidRDefault="001023CE" w:rsidP="001023CE">
            <w:pPr>
              <w:jc w:val="center"/>
              <w:rPr>
                <w:rFonts w:ascii="Arial" w:hAnsi="Arial"/>
                <w:b/>
                <w:bCs/>
                <w:sz w:val="28"/>
                <w:szCs w:val="28"/>
                <w:u w:val="single"/>
                <w:rtl/>
              </w:rPr>
            </w:pPr>
            <w:bookmarkStart w:id="5" w:name="PsakDin" w:colFirst="0" w:colLast="0"/>
            <w:r w:rsidRPr="001023CE">
              <w:rPr>
                <w:rFonts w:ascii="Arial" w:hAnsi="Arial"/>
                <w:b/>
                <w:bCs/>
                <w:sz w:val="28"/>
                <w:szCs w:val="28"/>
                <w:u w:val="single"/>
                <w:rtl/>
              </w:rPr>
              <w:t>גזר דין</w:t>
            </w:r>
          </w:p>
          <w:p w14:paraId="59EFEB18" w14:textId="77777777" w:rsidR="005F2F8B" w:rsidRPr="001023CE" w:rsidRDefault="005F2F8B" w:rsidP="001023CE">
            <w:pPr>
              <w:jc w:val="center"/>
              <w:rPr>
                <w:rFonts w:ascii="Arial" w:hAnsi="Arial"/>
                <w:bCs/>
                <w:sz w:val="28"/>
                <w:szCs w:val="28"/>
                <w:u w:val="single"/>
                <w:rtl/>
              </w:rPr>
            </w:pPr>
          </w:p>
        </w:tc>
      </w:tr>
    </w:tbl>
    <w:p w14:paraId="764A7112" w14:textId="77777777" w:rsidR="005F2F8B" w:rsidRDefault="005F2F8B" w:rsidP="005F2F8B">
      <w:pPr>
        <w:pStyle w:val="a9"/>
        <w:numPr>
          <w:ilvl w:val="0"/>
          <w:numId w:val="1"/>
        </w:numPr>
        <w:spacing w:before="240" w:line="360" w:lineRule="auto"/>
        <w:jc w:val="both"/>
        <w:rPr>
          <w:rFonts w:ascii="David" w:hAnsi="David" w:cs="David"/>
          <w:sz w:val="24"/>
          <w:szCs w:val="24"/>
          <w:rtl/>
        </w:rPr>
      </w:pPr>
      <w:bookmarkStart w:id="6" w:name="ABSTRACT_START"/>
      <w:bookmarkEnd w:id="5"/>
      <w:bookmarkEnd w:id="6"/>
      <w:r>
        <w:rPr>
          <w:rFonts w:ascii="David" w:hAnsi="David" w:cs="David"/>
          <w:sz w:val="24"/>
          <w:szCs w:val="24"/>
          <w:rtl/>
        </w:rPr>
        <w:t xml:space="preserve">הנאשם, אריה גרינפלד, הורשע על-פי הודאתו בעבירה של חבלה חמורה בנסיבות מחמירות, לפי </w:t>
      </w:r>
      <w:hyperlink r:id="rId32" w:history="1">
        <w:r w:rsidR="00A8336C" w:rsidRPr="00A8336C">
          <w:rPr>
            <w:rStyle w:val="Hyperlink"/>
            <w:rFonts w:ascii="David" w:hAnsi="David" w:cs="David"/>
            <w:sz w:val="24"/>
            <w:szCs w:val="24"/>
            <w:rtl/>
          </w:rPr>
          <w:t>סעיף 333</w:t>
        </w:r>
      </w:hyperlink>
      <w:r>
        <w:rPr>
          <w:rFonts w:ascii="David" w:hAnsi="David" w:cs="David"/>
          <w:sz w:val="24"/>
          <w:szCs w:val="24"/>
          <w:rtl/>
        </w:rPr>
        <w:t xml:space="preserve"> בנסיבות </w:t>
      </w:r>
      <w:hyperlink r:id="rId33" w:history="1">
        <w:r w:rsidR="00A8336C" w:rsidRPr="00A8336C">
          <w:rPr>
            <w:rStyle w:val="Hyperlink"/>
            <w:rFonts w:ascii="David" w:hAnsi="David" w:cs="David"/>
            <w:sz w:val="24"/>
            <w:szCs w:val="24"/>
            <w:rtl/>
          </w:rPr>
          <w:t>סעיף 335(א)(1)</w:t>
        </w:r>
      </w:hyperlink>
      <w:r>
        <w:rPr>
          <w:rFonts w:ascii="David" w:hAnsi="David" w:cs="David"/>
          <w:sz w:val="24"/>
          <w:szCs w:val="24"/>
          <w:rtl/>
        </w:rPr>
        <w:t xml:space="preserve"> ל</w:t>
      </w:r>
      <w:hyperlink r:id="rId34" w:history="1">
        <w:r w:rsidR="001023CE" w:rsidRPr="001023CE">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חוק העונשין). המדובר בביצוע עבירת אלימות חמורה בכביש. כתב האישום המתוקן, שבו הודה הנאשם, מתאר כי הלה חבל במתלונן שלוש פעמים באמצעות קסדה וגרם לו חבלה חמורה. המאשימה ממקדת את הטיעון בנסיבות החמורות של ביצוע העבירה וברקעו הפלילי של הנאשם. ההגנה מצידה מדגישה את מצבו הנפשי ואת נסיבותיו האישיות. </w:t>
      </w:r>
    </w:p>
    <w:p w14:paraId="20E0C3DD" w14:textId="77777777" w:rsidR="005F2F8B" w:rsidRDefault="005F2F8B" w:rsidP="005F2F8B">
      <w:pPr>
        <w:spacing w:before="240" w:line="360" w:lineRule="auto"/>
        <w:jc w:val="both"/>
        <w:rPr>
          <w:rFonts w:ascii="David" w:hAnsi="David"/>
          <w:b/>
          <w:bCs/>
          <w:u w:val="single"/>
        </w:rPr>
      </w:pPr>
      <w:bookmarkStart w:id="7" w:name="ABSTRACT_END"/>
      <w:bookmarkEnd w:id="7"/>
      <w:r>
        <w:rPr>
          <w:rFonts w:ascii="David" w:hAnsi="David"/>
          <w:b/>
          <w:bCs/>
          <w:u w:val="single"/>
          <w:rtl/>
        </w:rPr>
        <w:t>כתב האישום המתוקן</w:t>
      </w:r>
    </w:p>
    <w:p w14:paraId="69C6C6BB" w14:textId="77777777" w:rsidR="005F2F8B" w:rsidRDefault="005F2F8B" w:rsidP="005F2F8B">
      <w:pPr>
        <w:pStyle w:val="a9"/>
        <w:numPr>
          <w:ilvl w:val="0"/>
          <w:numId w:val="1"/>
        </w:numPr>
        <w:spacing w:before="240" w:line="360" w:lineRule="auto"/>
        <w:jc w:val="both"/>
        <w:rPr>
          <w:rFonts w:ascii="David" w:hAnsi="David" w:cs="David"/>
          <w:sz w:val="24"/>
          <w:szCs w:val="24"/>
        </w:rPr>
      </w:pPr>
      <w:r>
        <w:rPr>
          <w:rFonts w:ascii="David" w:hAnsi="David" w:cs="David"/>
          <w:sz w:val="24"/>
          <w:szCs w:val="24"/>
          <w:rtl/>
        </w:rPr>
        <w:t xml:space="preserve">ביום 7.11.2022 הנאשם רכב על קטנוע בנתיבי איילון, ואילו המתלונן נהג ברכב מסוג הונדה, בכיוון נסיעתו של הנאשם. כאשר השניים הגיעו סמוך למקטע שבין מחלף סבידור למחלף השלום, עצרו בצד הדרך לצורך החלפת פרטים. זאת, בעקבות טענת הנאשם לפיה </w:t>
      </w:r>
      <w:r>
        <w:rPr>
          <w:rFonts w:ascii="David" w:hAnsi="David" w:cs="David"/>
          <w:sz w:val="24"/>
          <w:szCs w:val="24"/>
          <w:rtl/>
        </w:rPr>
        <w:lastRenderedPageBreak/>
        <w:t xml:space="preserve">המתלונן פגע בקטנוע שעליו רכב. בין השניים התפתח דין ודברים, אשר במהלכו המתלונן </w:t>
      </w:r>
      <w:r>
        <w:rPr>
          <w:rFonts w:ascii="David" w:hAnsi="David" w:cs="David"/>
          <w:b/>
          <w:bCs/>
          <w:sz w:val="24"/>
          <w:szCs w:val="24"/>
          <w:rtl/>
        </w:rPr>
        <w:t>היכה באגרופו את הנאשם בפניו</w:t>
      </w:r>
      <w:r>
        <w:rPr>
          <w:rFonts w:ascii="David" w:hAnsi="David" w:cs="David"/>
          <w:sz w:val="24"/>
          <w:szCs w:val="24"/>
          <w:rtl/>
        </w:rPr>
        <w:t xml:space="preserve">. הנאשם שסבר כי נחבל בפניו, הסיר את הקסדה שחבש. השניים המשיכו בדין ודברים כאשר המתלונן הלך בעקבות הנאשם, כשהוא אוחז בידו השמאלית. לפתע </w:t>
      </w:r>
      <w:r>
        <w:rPr>
          <w:rFonts w:ascii="David" w:hAnsi="David" w:cs="David"/>
          <w:b/>
          <w:bCs/>
          <w:sz w:val="24"/>
          <w:szCs w:val="24"/>
          <w:rtl/>
        </w:rPr>
        <w:t>הכה הנאשם את המתלונן בחוזקה בפניו באמצעות הקסדה</w:t>
      </w:r>
      <w:r>
        <w:rPr>
          <w:rFonts w:ascii="David" w:hAnsi="David" w:cs="David"/>
          <w:sz w:val="24"/>
          <w:szCs w:val="24"/>
          <w:rtl/>
        </w:rPr>
        <w:t xml:space="preserve">. כתוצאה מכך נפל המתלונן על הכביש, והנאשם התרחק מספר צעדים מהמתלונן. מיד לאחר מכן הנאשם רץ פעם נוספת לעברו של המתלונן, אשר ניסה לקום, </w:t>
      </w:r>
      <w:r>
        <w:rPr>
          <w:rFonts w:ascii="David" w:hAnsi="David" w:cs="David"/>
          <w:b/>
          <w:bCs/>
          <w:sz w:val="24"/>
          <w:szCs w:val="24"/>
          <w:rtl/>
        </w:rPr>
        <w:t>והכה אותו בחוזקה בפניו באמצעות הקסדה, פעם נוספת</w:t>
      </w:r>
      <w:r>
        <w:rPr>
          <w:rFonts w:ascii="David" w:hAnsi="David" w:cs="David"/>
          <w:sz w:val="24"/>
          <w:szCs w:val="24"/>
          <w:rtl/>
        </w:rPr>
        <w:t xml:space="preserve">, בנוכחות נהגים אשר עצרו לסייע למתלונן. הנאשם החל ללכת לעבר הקטנוע, והמתלונן החל לצעוד בעקבות הנאשם בניסיון לפנות אליו. בתגובה, </w:t>
      </w:r>
      <w:r>
        <w:rPr>
          <w:rFonts w:ascii="David" w:hAnsi="David" w:cs="David"/>
          <w:b/>
          <w:bCs/>
          <w:sz w:val="24"/>
          <w:szCs w:val="24"/>
          <w:rtl/>
        </w:rPr>
        <w:t>זרק הנאשם, בחוזקה, את הקסדה על פניו של המתלונן</w:t>
      </w:r>
      <w:r>
        <w:rPr>
          <w:rFonts w:ascii="David" w:hAnsi="David" w:cs="David"/>
          <w:sz w:val="24"/>
          <w:szCs w:val="24"/>
          <w:rtl/>
        </w:rPr>
        <w:t xml:space="preserve">, שכתוצאה מכך התמוטט על הכביש ואיבד את הכרתו. </w:t>
      </w:r>
    </w:p>
    <w:p w14:paraId="09C2DEC9"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sz w:val="24"/>
          <w:szCs w:val="24"/>
          <w:rtl/>
        </w:rPr>
        <w:t>המתלונן הובהל לטיפול רפואי בבית חולים, כשהוא מעורפל הכרה עם סימני חבלה בפניו. כתוצאה ממכות הקסדה המתוארות אושפז המתלונן בבית החולים שם אובחן כי נגרם לו דמם סאבדוראלי ותת עכבישי, בעיקר בהמיספרה הימנית. נוסף על כך, אובחנו מספר קווי שבר, בין היתר בארובת העין הימנית ובבסיס הגולגולת עם מעורבות של סינוס ספנואידלי ותאי המסטואיד ובאוזן תיכונה משמאל.</w:t>
      </w:r>
    </w:p>
    <w:p w14:paraId="13E9793F" w14:textId="77777777" w:rsidR="005F2F8B" w:rsidRDefault="005F2F8B" w:rsidP="005F2F8B">
      <w:pPr>
        <w:spacing w:before="240" w:line="360" w:lineRule="auto"/>
        <w:jc w:val="both"/>
        <w:rPr>
          <w:rFonts w:ascii="David" w:hAnsi="David"/>
          <w:b/>
          <w:bCs/>
          <w:u w:val="single"/>
        </w:rPr>
      </w:pPr>
      <w:r>
        <w:rPr>
          <w:rFonts w:ascii="David" w:hAnsi="David"/>
          <w:b/>
          <w:bCs/>
          <w:u w:val="single"/>
          <w:rtl/>
        </w:rPr>
        <w:t>תסקיר שירות המבחן בעניינו של הנאשם</w:t>
      </w:r>
    </w:p>
    <w:p w14:paraId="7EDD3083" w14:textId="77777777" w:rsidR="005F2F8B" w:rsidRDefault="005F2F8B" w:rsidP="005F2F8B">
      <w:pPr>
        <w:pStyle w:val="a9"/>
        <w:numPr>
          <w:ilvl w:val="0"/>
          <w:numId w:val="1"/>
        </w:numPr>
        <w:spacing w:before="240" w:line="360" w:lineRule="auto"/>
        <w:jc w:val="both"/>
        <w:rPr>
          <w:rFonts w:ascii="David" w:hAnsi="David" w:cs="David"/>
          <w:sz w:val="24"/>
          <w:szCs w:val="24"/>
        </w:rPr>
      </w:pPr>
      <w:r>
        <w:rPr>
          <w:rFonts w:ascii="David" w:hAnsi="David" w:cs="David"/>
          <w:sz w:val="24"/>
          <w:szCs w:val="24"/>
          <w:rtl/>
        </w:rPr>
        <w:t>הנאשם הוא בן 37, גרוש ואב לשני ילדים בני 9 ו-7. תסקיר שירות המבחן מציין כי הוריו התגרשו בגיל 4 ולא היוו גורם סמכותי ומציב גבול עבורו. בגיל 15 החל לצרוך קנאביס. בעטיה של מעורבותו בפלילים מגיל צעיר לא גויס לצה"ל.</w:t>
      </w:r>
    </w:p>
    <w:p w14:paraId="069B0E80" w14:textId="77777777" w:rsidR="005F2F8B" w:rsidRDefault="005F2F8B" w:rsidP="005F2F8B">
      <w:pPr>
        <w:pStyle w:val="a9"/>
        <w:spacing w:before="240" w:line="360" w:lineRule="auto"/>
        <w:jc w:val="both"/>
        <w:rPr>
          <w:rFonts w:ascii="David" w:hAnsi="David" w:cs="David"/>
          <w:sz w:val="24"/>
          <w:szCs w:val="24"/>
        </w:rPr>
      </w:pPr>
    </w:p>
    <w:p w14:paraId="0587F030"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sz w:val="24"/>
          <w:szCs w:val="24"/>
          <w:rtl/>
        </w:rPr>
        <w:t>לפני כשלוש שנים החל הנאשם להשתמש באורח יומיומי בסם מסוכן מסוג קוקאין, אשר פגע בתפקודו. שירות המבחן מציין כי הנאשם לא עבר טיפול גמילה "וגם כיום שולל נזקקות טיפולית בתחום". זה 12 שנה שהנאשם הוא בעל עסק עצמאי ועובד כמנעולן. בפני שירות המבחן שלל הנאשם רקע פסיכיאטרי. יחד עם זאת ציין כי בהיותו במעצר הוא נמצא במעקב פסיכיאטרי והוסיף כי הוא "נוטל טיפול תרופתי על רקע קשיי שינה". שירות המבחן מציין בהקשר זה כי ממידע שהועבר אליו מגורמי הטיפול בשב"ס הנאשם "נמצא במעקב פסיכיאטר היחידה ללא מחלות נפש".</w:t>
      </w:r>
    </w:p>
    <w:p w14:paraId="4B1610F1" w14:textId="77777777" w:rsidR="005F2F8B" w:rsidRPr="0093766B" w:rsidRDefault="005F2F8B" w:rsidP="005F2F8B">
      <w:pPr>
        <w:pStyle w:val="a9"/>
        <w:spacing w:before="240" w:line="360" w:lineRule="auto"/>
        <w:jc w:val="both"/>
        <w:rPr>
          <w:rFonts w:ascii="David" w:hAnsi="David" w:cs="David"/>
          <w:sz w:val="24"/>
          <w:szCs w:val="24"/>
        </w:rPr>
      </w:pPr>
    </w:p>
    <w:p w14:paraId="2894CD89"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sz w:val="24"/>
          <w:szCs w:val="24"/>
          <w:rtl/>
        </w:rPr>
        <w:t xml:space="preserve">שירות המבחן נדרש בתסקיר להרשעה קודמת של הנאשם בשנת 2022, אשר נגעה בין היתר לאיומים כלפי בת זוגו, לצד החזקת סם מסוג קוקאין לצריכה עצמית. מסתבר, שבאותה פרשה עמד שירות המבחן על כך שלנאשם "הכרה נמוכה בבעייתיות שבהתנהלותו, כשבהתאמה שלל נזקקות טיפולית בתחום התמכרויותיו וכן בתחום האלימות". </w:t>
      </w:r>
      <w:r>
        <w:rPr>
          <w:rFonts w:ascii="David" w:hAnsi="David" w:cs="David"/>
          <w:b/>
          <w:bCs/>
          <w:sz w:val="24"/>
          <w:szCs w:val="24"/>
          <w:rtl/>
        </w:rPr>
        <w:t>חרף עמדת שירות המבחן אותם ימים כי "נדרשת התערבות טיפולית" – הנאשם "שלל כל נזקקות"</w:t>
      </w:r>
      <w:r>
        <w:rPr>
          <w:rFonts w:ascii="David" w:hAnsi="David" w:cs="David"/>
          <w:sz w:val="24"/>
          <w:szCs w:val="24"/>
          <w:rtl/>
        </w:rPr>
        <w:t xml:space="preserve">. </w:t>
      </w:r>
    </w:p>
    <w:p w14:paraId="6F9DCE65"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sz w:val="24"/>
          <w:szCs w:val="24"/>
          <w:rtl/>
        </w:rPr>
        <w:lastRenderedPageBreak/>
        <w:t>אף לעת הזאת, ציין הנאשם בפני שירות המבחן כי כישלונו בעבירה הנוכחית הוא "אירוע נקודתי" של אובדן שליטה עצמית. אולם לשירות המבחן התרשמות שונה. זאת, נוכח העובדה שלאורך השנים התקשה הנאשם לווסת את דפוסיו האלימים. שירות המבחן אף מציין כי הנאשם הוא "בעל עמדות הנותנות לגיטימציה לשימוש באלימות במצבי דחק וקונפליקט". עוד צוין שהנאשם נעדר רגשות אמפתיה כלפי המתלונן, אם כי הביע נכונות לשלם לו פיצוי כספי.</w:t>
      </w:r>
    </w:p>
    <w:p w14:paraId="1403D96D" w14:textId="77777777" w:rsidR="005F2F8B" w:rsidRDefault="005F2F8B" w:rsidP="005F2F8B">
      <w:pPr>
        <w:pStyle w:val="a9"/>
        <w:spacing w:before="240" w:line="360" w:lineRule="auto"/>
        <w:jc w:val="both"/>
        <w:rPr>
          <w:rFonts w:ascii="David" w:hAnsi="David" w:cs="David"/>
          <w:sz w:val="24"/>
          <w:szCs w:val="24"/>
          <w:rtl/>
        </w:rPr>
      </w:pPr>
    </w:p>
    <w:p w14:paraId="72B8F141"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sz w:val="24"/>
          <w:szCs w:val="24"/>
          <w:rtl/>
        </w:rPr>
        <w:t>בחינת מלוא הנתונים הוליכה את שירות המבחן להערכה כי "</w:t>
      </w:r>
      <w:r>
        <w:rPr>
          <w:rFonts w:ascii="David" w:hAnsi="David" w:cs="David"/>
          <w:b/>
          <w:bCs/>
          <w:sz w:val="24"/>
          <w:szCs w:val="24"/>
          <w:rtl/>
        </w:rPr>
        <w:t>רמת הסיכון להישנות התנהלות אלימה ופוגענית מצדו הינה גבוהה, ובמידה ותבוצע עבירת אלימות, אנו מעריכים שמידת חומרתה צפויה להיות גבוהה"</w:t>
      </w:r>
      <w:r>
        <w:rPr>
          <w:rFonts w:ascii="David" w:hAnsi="David" w:cs="David"/>
          <w:sz w:val="24"/>
          <w:szCs w:val="24"/>
          <w:rtl/>
        </w:rPr>
        <w:t>. על רקע רמת הסיכון הגבוהה להישנות התנהגות אלימה, התרשמות מהעדר גבולות פנימיים או חיצוניים, העדר תובנה לדפוסים ההתמכרותיים והנזקקות הטיפולית, חוסר מוטיבציה פנימית וכוחות לשינוי "וסיכויי שיקום נמוכים", נמנע שירות המבחן מהמלצה שיקומית והמליץ "</w:t>
      </w:r>
      <w:r>
        <w:rPr>
          <w:rFonts w:ascii="David" w:hAnsi="David" w:cs="David"/>
          <w:b/>
          <w:bCs/>
          <w:sz w:val="24"/>
          <w:szCs w:val="24"/>
          <w:rtl/>
        </w:rPr>
        <w:t>על ענישה מוחשית אשר תחדד לו את גבולות החוק ותפחית הסיכון הנשקף ממנו לחברה</w:t>
      </w:r>
      <w:r>
        <w:rPr>
          <w:rFonts w:ascii="David" w:hAnsi="David" w:cs="David"/>
          <w:sz w:val="24"/>
          <w:szCs w:val="24"/>
          <w:rtl/>
        </w:rPr>
        <w:t>".</w:t>
      </w:r>
    </w:p>
    <w:p w14:paraId="3C0C2F78" w14:textId="77777777" w:rsidR="005F2F8B" w:rsidRDefault="005F2F8B" w:rsidP="005F2F8B">
      <w:pPr>
        <w:spacing w:before="240" w:line="360" w:lineRule="auto"/>
        <w:jc w:val="both"/>
        <w:rPr>
          <w:rFonts w:ascii="David" w:hAnsi="David"/>
          <w:b/>
          <w:bCs/>
          <w:u w:val="single"/>
          <w:rtl/>
        </w:rPr>
      </w:pPr>
      <w:r>
        <w:rPr>
          <w:rFonts w:ascii="David" w:hAnsi="David"/>
          <w:b/>
          <w:bCs/>
          <w:u w:val="single"/>
          <w:rtl/>
        </w:rPr>
        <w:t>תסקיר נפגע העבירה</w:t>
      </w:r>
    </w:p>
    <w:p w14:paraId="3A85D4F4" w14:textId="77777777" w:rsidR="005F2F8B" w:rsidRDefault="005F2F8B" w:rsidP="005F2F8B">
      <w:pPr>
        <w:pStyle w:val="a9"/>
        <w:numPr>
          <w:ilvl w:val="0"/>
          <w:numId w:val="1"/>
        </w:numPr>
        <w:spacing w:before="240" w:line="360" w:lineRule="auto"/>
        <w:jc w:val="both"/>
        <w:rPr>
          <w:rFonts w:ascii="David" w:hAnsi="David" w:cs="David"/>
          <w:sz w:val="24"/>
          <w:szCs w:val="24"/>
          <w:rtl/>
        </w:rPr>
      </w:pPr>
      <w:r>
        <w:rPr>
          <w:rFonts w:ascii="David" w:hAnsi="David" w:cs="David"/>
          <w:sz w:val="24"/>
          <w:szCs w:val="24"/>
          <w:rtl/>
        </w:rPr>
        <w:t xml:space="preserve">לפני בית המשפט הונח </w:t>
      </w:r>
      <w:r>
        <w:rPr>
          <w:rFonts w:ascii="David" w:hAnsi="David" w:cs="David"/>
          <w:b/>
          <w:bCs/>
          <w:sz w:val="24"/>
          <w:szCs w:val="24"/>
          <w:rtl/>
        </w:rPr>
        <w:t>תסקיר נפגע העבירה</w:t>
      </w:r>
      <w:r>
        <w:rPr>
          <w:rFonts w:ascii="David" w:hAnsi="David" w:cs="David"/>
          <w:sz w:val="24"/>
          <w:szCs w:val="24"/>
          <w:rtl/>
        </w:rPr>
        <w:t>. התמונה העולה מהתסקיר מלמדת על עוצמת הפגיעה שנגרמה למתלונן. עד לאירוע נשוא ההרשעה ידע המתלונן חיי שגרה שלווים, השקיע בפיתוח הקריירה המקצועית ונהנה מחיי חברה עשירים ומגוונים. בעטיה של הפגיעה הקשה בראשו המתוארת בכתב האישום נזקק המתלונן לטיפול ולתקופות החלמה ושיקום. תהליך ההחלמה המורכב כרוך ברצף של בדיקות וביקורים במרפאות, אשר אף הוא נתן במתלונן את אותותיו. המתלונן נותר עם פניות מוגבלת למשימות חיים אחרות, ולהתרשמות שירות המבחן אף "חווה תחושות ייאוש קשות". לא זו אף זו, המתלונן ציין בפני שירות המבחן כי הוא נדרך בכל פעם שבקרבתו אדם רכוב על אופנוע. קצינת שירות המבחן מבהירה כי הסימפטומים של דריכות לקראת סכנה מוכרים לאחר חוויה טראומטית וקשורים לפגיעה הבסיסית שחווה אדם בתחושת הביטחון. על רקע כל האמור, התרשמות שירות המבחן היא שהמתלונן זקוק להתייחסות טיפולית ממוקדת טראומה, לצד הטיפול בפגיעות הפיזיות. מסקנתו המסכמת של שירות המבחן היא "</w:t>
      </w:r>
      <w:r>
        <w:rPr>
          <w:rFonts w:ascii="David" w:hAnsi="David" w:cs="David"/>
          <w:b/>
          <w:bCs/>
          <w:sz w:val="24"/>
          <w:szCs w:val="24"/>
          <w:rtl/>
        </w:rPr>
        <w:t>כי קיימת תמונת נזק קשה בעקבות הפגיעה הטראומטית, אשר פוגעת בתפקודו ומגבילה את יכולותיו ברמות שונות, פיזית, רגשית, כלכלית ותפקודית</w:t>
      </w:r>
      <w:r>
        <w:rPr>
          <w:rFonts w:ascii="David" w:hAnsi="David" w:cs="David"/>
          <w:sz w:val="24"/>
          <w:szCs w:val="24"/>
          <w:rtl/>
        </w:rPr>
        <w:t>".</w:t>
      </w:r>
    </w:p>
    <w:p w14:paraId="3B475D9F" w14:textId="77777777" w:rsidR="005F2F8B" w:rsidRDefault="005F2F8B" w:rsidP="005F2F8B">
      <w:pPr>
        <w:spacing w:before="240" w:line="360" w:lineRule="auto"/>
        <w:jc w:val="both"/>
        <w:rPr>
          <w:rFonts w:ascii="David" w:hAnsi="David"/>
          <w:b/>
          <w:bCs/>
          <w:u w:val="single"/>
        </w:rPr>
      </w:pPr>
      <w:r>
        <w:rPr>
          <w:rFonts w:ascii="David" w:hAnsi="David"/>
          <w:b/>
          <w:bCs/>
          <w:u w:val="single"/>
          <w:rtl/>
        </w:rPr>
        <w:t>ראיות התביעה לעונש</w:t>
      </w:r>
    </w:p>
    <w:p w14:paraId="3BDF7374" w14:textId="77777777" w:rsidR="005F2F8B" w:rsidRDefault="005F2F8B" w:rsidP="005F2F8B">
      <w:pPr>
        <w:pStyle w:val="a9"/>
        <w:numPr>
          <w:ilvl w:val="0"/>
          <w:numId w:val="1"/>
        </w:numPr>
        <w:spacing w:before="240" w:line="360" w:lineRule="auto"/>
        <w:jc w:val="both"/>
        <w:rPr>
          <w:rFonts w:ascii="David" w:hAnsi="David" w:cs="David"/>
          <w:sz w:val="24"/>
          <w:szCs w:val="24"/>
        </w:rPr>
      </w:pPr>
      <w:r>
        <w:rPr>
          <w:rFonts w:ascii="David" w:hAnsi="David" w:cs="David"/>
          <w:sz w:val="24"/>
          <w:szCs w:val="24"/>
          <w:rtl/>
        </w:rPr>
        <w:t xml:space="preserve">המדינה הציגה לפניי את </w:t>
      </w:r>
      <w:r>
        <w:rPr>
          <w:rFonts w:ascii="David" w:hAnsi="David" w:cs="David"/>
          <w:b/>
          <w:bCs/>
          <w:sz w:val="24"/>
          <w:szCs w:val="24"/>
          <w:rtl/>
        </w:rPr>
        <w:t>הרישום פלילי</w:t>
      </w:r>
      <w:r>
        <w:rPr>
          <w:rFonts w:ascii="David" w:hAnsi="David" w:cs="David"/>
          <w:sz w:val="24"/>
          <w:szCs w:val="24"/>
          <w:rtl/>
        </w:rPr>
        <w:t xml:space="preserve"> של הנאשם (ת/3); </w:t>
      </w:r>
      <w:r>
        <w:rPr>
          <w:rFonts w:ascii="David" w:hAnsi="David" w:cs="David"/>
          <w:b/>
          <w:bCs/>
          <w:sz w:val="24"/>
          <w:szCs w:val="24"/>
          <w:rtl/>
        </w:rPr>
        <w:t xml:space="preserve">כתבי אישום וגזרי דין </w:t>
      </w:r>
      <w:r>
        <w:rPr>
          <w:rFonts w:ascii="David" w:hAnsi="David" w:cs="David"/>
          <w:sz w:val="24"/>
          <w:szCs w:val="24"/>
          <w:rtl/>
        </w:rPr>
        <w:t xml:space="preserve">בהליכים קודמים (ת/5); וכן </w:t>
      </w:r>
      <w:r>
        <w:rPr>
          <w:rFonts w:ascii="David" w:hAnsi="David" w:cs="David"/>
          <w:b/>
          <w:bCs/>
          <w:sz w:val="24"/>
          <w:szCs w:val="24"/>
          <w:rtl/>
        </w:rPr>
        <w:t>רישום בעבירות תעבורה</w:t>
      </w:r>
      <w:r>
        <w:rPr>
          <w:rFonts w:ascii="David" w:hAnsi="David" w:cs="David"/>
          <w:sz w:val="24"/>
          <w:szCs w:val="24"/>
          <w:rtl/>
        </w:rPr>
        <w:t xml:space="preserve"> (ת/4).</w:t>
      </w:r>
    </w:p>
    <w:p w14:paraId="065D090D" w14:textId="77777777" w:rsidR="005F2F8B" w:rsidRDefault="005F2F8B" w:rsidP="005F2F8B">
      <w:pPr>
        <w:pStyle w:val="a9"/>
        <w:spacing w:before="240" w:line="360" w:lineRule="auto"/>
        <w:jc w:val="both"/>
        <w:rPr>
          <w:rFonts w:ascii="David" w:hAnsi="David" w:cs="David"/>
          <w:sz w:val="24"/>
          <w:szCs w:val="24"/>
          <w:rtl/>
        </w:rPr>
      </w:pPr>
    </w:p>
    <w:p w14:paraId="3A30FE61" w14:textId="77777777" w:rsidR="005F2F8B" w:rsidRDefault="005F2F8B" w:rsidP="005F2F8B">
      <w:pPr>
        <w:pStyle w:val="a9"/>
        <w:numPr>
          <w:ilvl w:val="0"/>
          <w:numId w:val="1"/>
        </w:numPr>
        <w:spacing w:before="240" w:line="360" w:lineRule="auto"/>
        <w:jc w:val="both"/>
        <w:rPr>
          <w:rFonts w:ascii="David" w:hAnsi="David" w:cs="David"/>
          <w:b/>
          <w:bCs/>
          <w:sz w:val="24"/>
          <w:szCs w:val="24"/>
        </w:rPr>
      </w:pPr>
      <w:r>
        <w:rPr>
          <w:rFonts w:ascii="David" w:hAnsi="David" w:cs="David"/>
          <w:sz w:val="24"/>
          <w:szCs w:val="24"/>
          <w:rtl/>
        </w:rPr>
        <w:t>לנאשם רקע פלילי רלוונטי. יחד עם זאת, רובן המכריע של ההרשעות הן מלפני שנים רבות והן התיישנו (אך טרם נמחקו מהמרשם הפלילי). אולם, לא מכבר, בשנת 2022, כחודשיים בלבד לפני התרחשות האירוע נשוא הרשעתו בהליך שלפניי, הורשע הנאשם בהליך אחר, כפי שיפורט להלן. מתוך כלל ההרשעות אסקור בתמצית את הרשעותיו של הנאשם בעבירות אלימות ואיומים.</w:t>
      </w:r>
    </w:p>
    <w:p w14:paraId="049BB419" w14:textId="77777777" w:rsidR="005F2F8B" w:rsidRPr="00092FDC" w:rsidRDefault="005F2F8B" w:rsidP="005F2F8B">
      <w:pPr>
        <w:pStyle w:val="a9"/>
        <w:rPr>
          <w:rFonts w:ascii="David" w:hAnsi="David" w:cs="David"/>
          <w:b/>
          <w:bCs/>
          <w:sz w:val="24"/>
          <w:szCs w:val="24"/>
          <w:rtl/>
        </w:rPr>
      </w:pPr>
    </w:p>
    <w:p w14:paraId="6458C2ED"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b/>
          <w:bCs/>
          <w:sz w:val="24"/>
          <w:szCs w:val="24"/>
          <w:rtl/>
        </w:rPr>
        <w:t>בשנת 2000</w:t>
      </w:r>
      <w:r>
        <w:rPr>
          <w:rFonts w:ascii="David" w:hAnsi="David" w:cs="David"/>
          <w:sz w:val="24"/>
          <w:szCs w:val="24"/>
          <w:rtl/>
        </w:rPr>
        <w:t xml:space="preserve">, בהיותו בן 14 בלבד נקבע כי ביצע את העבירות הבאות: חבלה כשעבריין מזויין, לפי </w:t>
      </w:r>
      <w:hyperlink r:id="rId35" w:history="1">
        <w:r w:rsidR="00A8336C" w:rsidRPr="00A8336C">
          <w:rPr>
            <w:rStyle w:val="Hyperlink"/>
            <w:rFonts w:ascii="David" w:hAnsi="David" w:cs="David"/>
            <w:sz w:val="24"/>
            <w:szCs w:val="24"/>
            <w:rtl/>
          </w:rPr>
          <w:t>סעיף 335(א)(1)</w:t>
        </w:r>
      </w:hyperlink>
      <w:r>
        <w:rPr>
          <w:rFonts w:ascii="David" w:hAnsi="David" w:cs="David"/>
          <w:sz w:val="24"/>
          <w:szCs w:val="24"/>
          <w:rtl/>
        </w:rPr>
        <w:t xml:space="preserve"> ל</w:t>
      </w:r>
      <w:hyperlink r:id="rId36" w:history="1">
        <w:r w:rsidR="001023CE" w:rsidRPr="001023CE">
          <w:rPr>
            <w:rFonts w:ascii="David" w:hAnsi="David" w:cs="David"/>
            <w:color w:val="0000FF"/>
            <w:sz w:val="24"/>
            <w:szCs w:val="24"/>
            <w:u w:val="single"/>
            <w:rtl/>
          </w:rPr>
          <w:t>חוק העונשין</w:t>
        </w:r>
      </w:hyperlink>
      <w:r>
        <w:rPr>
          <w:rFonts w:ascii="David" w:hAnsi="David" w:cs="David"/>
          <w:sz w:val="24"/>
          <w:szCs w:val="24"/>
          <w:rtl/>
        </w:rPr>
        <w:t xml:space="preserve">; פציעה, לפי </w:t>
      </w:r>
      <w:hyperlink r:id="rId37" w:history="1">
        <w:r w:rsidR="00A8336C" w:rsidRPr="00A8336C">
          <w:rPr>
            <w:rStyle w:val="Hyperlink"/>
            <w:rFonts w:ascii="David" w:hAnsi="David" w:cs="David"/>
            <w:sz w:val="24"/>
            <w:szCs w:val="24"/>
            <w:rtl/>
          </w:rPr>
          <w:t>סעיף 334</w:t>
        </w:r>
      </w:hyperlink>
      <w:r>
        <w:rPr>
          <w:rFonts w:ascii="David" w:hAnsi="David" w:cs="David"/>
          <w:sz w:val="24"/>
          <w:szCs w:val="24"/>
          <w:rtl/>
        </w:rPr>
        <w:t xml:space="preserve"> לחוק העונשין; איומים, לפי </w:t>
      </w:r>
      <w:hyperlink r:id="rId38" w:history="1">
        <w:r w:rsidR="00A8336C" w:rsidRPr="00A8336C">
          <w:rPr>
            <w:rStyle w:val="Hyperlink"/>
            <w:rFonts w:ascii="David" w:hAnsi="David" w:cs="David"/>
            <w:sz w:val="24"/>
            <w:szCs w:val="24"/>
            <w:rtl/>
          </w:rPr>
          <w:t>סעיף 192</w:t>
        </w:r>
      </w:hyperlink>
      <w:r>
        <w:rPr>
          <w:rFonts w:ascii="David" w:hAnsi="David" w:cs="David"/>
          <w:sz w:val="24"/>
          <w:szCs w:val="24"/>
          <w:rtl/>
        </w:rPr>
        <w:t xml:space="preserve"> לחוק העונשין; תקיפה סתם, לפי </w:t>
      </w:r>
      <w:hyperlink r:id="rId39" w:history="1">
        <w:r w:rsidR="00A8336C" w:rsidRPr="00A8336C">
          <w:rPr>
            <w:rStyle w:val="Hyperlink"/>
            <w:rFonts w:ascii="David" w:hAnsi="David" w:cs="David"/>
            <w:sz w:val="24"/>
            <w:szCs w:val="24"/>
            <w:rtl/>
          </w:rPr>
          <w:t>סעיף 379</w:t>
        </w:r>
      </w:hyperlink>
      <w:r>
        <w:rPr>
          <w:rFonts w:ascii="David" w:hAnsi="David" w:cs="David"/>
          <w:sz w:val="24"/>
          <w:szCs w:val="24"/>
          <w:rtl/>
        </w:rPr>
        <w:t xml:space="preserve"> לחוק העונשין והטרדת עד, לפי </w:t>
      </w:r>
      <w:hyperlink r:id="rId40" w:history="1">
        <w:r w:rsidR="00A8336C" w:rsidRPr="00A8336C">
          <w:rPr>
            <w:rStyle w:val="Hyperlink"/>
            <w:rFonts w:ascii="David" w:hAnsi="David" w:cs="David"/>
            <w:sz w:val="24"/>
            <w:szCs w:val="24"/>
            <w:rtl/>
          </w:rPr>
          <w:t>סעיף 249</w:t>
        </w:r>
      </w:hyperlink>
      <w:r>
        <w:rPr>
          <w:rFonts w:ascii="David" w:hAnsi="David" w:cs="David"/>
          <w:sz w:val="24"/>
          <w:szCs w:val="24"/>
          <w:rtl/>
        </w:rPr>
        <w:t xml:space="preserve"> לחוק העונשין. בית המשפט לנוער הורה על החזקתו במעון פתוח למשך שנתיים.</w:t>
      </w:r>
    </w:p>
    <w:p w14:paraId="3C3ADF81"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b/>
          <w:bCs/>
          <w:sz w:val="24"/>
          <w:szCs w:val="24"/>
          <w:rtl/>
        </w:rPr>
        <w:t>בשנת 2001</w:t>
      </w:r>
      <w:r>
        <w:rPr>
          <w:rFonts w:ascii="David" w:hAnsi="David" w:cs="David"/>
          <w:sz w:val="24"/>
          <w:szCs w:val="24"/>
          <w:rtl/>
        </w:rPr>
        <w:t xml:space="preserve">, בהיותו בן 15, נתן הנאשם את הדין בפני בית המשפט לנוער על שורה ארוכה של עבירות, בעקבות עשרים תיקי חקירה, ובכלל זה עבירות של איומים, לפי </w:t>
      </w:r>
      <w:hyperlink r:id="rId41" w:history="1">
        <w:r w:rsidR="00A8336C" w:rsidRPr="00A8336C">
          <w:rPr>
            <w:rStyle w:val="Hyperlink"/>
            <w:rFonts w:ascii="David" w:hAnsi="David" w:cs="David"/>
            <w:sz w:val="24"/>
            <w:szCs w:val="24"/>
            <w:rtl/>
          </w:rPr>
          <w:t>סעיף 192</w:t>
        </w:r>
      </w:hyperlink>
      <w:r>
        <w:rPr>
          <w:rFonts w:ascii="David" w:hAnsi="David" w:cs="David"/>
          <w:sz w:val="24"/>
          <w:szCs w:val="24"/>
          <w:rtl/>
        </w:rPr>
        <w:t xml:space="preserve"> ל</w:t>
      </w:r>
      <w:hyperlink r:id="rId42" w:history="1">
        <w:r w:rsidR="001023CE" w:rsidRPr="001023CE">
          <w:rPr>
            <w:rFonts w:ascii="David" w:hAnsi="David" w:cs="David"/>
            <w:color w:val="0000FF"/>
            <w:sz w:val="24"/>
            <w:szCs w:val="24"/>
            <w:u w:val="single"/>
            <w:rtl/>
          </w:rPr>
          <w:t>חוק העונשין</w:t>
        </w:r>
      </w:hyperlink>
      <w:r>
        <w:rPr>
          <w:rFonts w:ascii="David" w:hAnsi="David" w:cs="David"/>
          <w:sz w:val="24"/>
          <w:szCs w:val="24"/>
          <w:rtl/>
        </w:rPr>
        <w:t xml:space="preserve">; התנהגות פרועה במקום ציבורי, לפי </w:t>
      </w:r>
      <w:hyperlink r:id="rId43" w:history="1">
        <w:r w:rsidR="00A8336C" w:rsidRPr="00A8336C">
          <w:rPr>
            <w:rStyle w:val="Hyperlink"/>
            <w:rFonts w:ascii="David" w:hAnsi="David" w:cs="David"/>
            <w:sz w:val="24"/>
            <w:szCs w:val="24"/>
            <w:rtl/>
          </w:rPr>
          <w:t>סעיף 216(א)(1)</w:t>
        </w:r>
      </w:hyperlink>
      <w:r>
        <w:rPr>
          <w:rFonts w:ascii="David" w:hAnsi="David" w:cs="David"/>
          <w:sz w:val="24"/>
          <w:szCs w:val="24"/>
          <w:rtl/>
        </w:rPr>
        <w:t xml:space="preserve"> לחוק העונשין; והעלבת עובד ציבור, לפי </w:t>
      </w:r>
      <w:hyperlink r:id="rId44" w:history="1">
        <w:r w:rsidR="00A8336C" w:rsidRPr="00A8336C">
          <w:rPr>
            <w:rStyle w:val="Hyperlink"/>
            <w:rFonts w:ascii="David" w:hAnsi="David" w:cs="David"/>
            <w:sz w:val="24"/>
            <w:szCs w:val="24"/>
            <w:rtl/>
          </w:rPr>
          <w:t>סעיף 288</w:t>
        </w:r>
      </w:hyperlink>
      <w:r>
        <w:rPr>
          <w:rFonts w:ascii="David" w:hAnsi="David" w:cs="David"/>
          <w:sz w:val="24"/>
          <w:szCs w:val="24"/>
          <w:rtl/>
        </w:rPr>
        <w:t xml:space="preserve"> לחוק העונשין. על הנאשם הוטלו שמונה חודשי מאסר בפועל ומאסר מותנה.</w:t>
      </w:r>
    </w:p>
    <w:p w14:paraId="399D36CC" w14:textId="77777777" w:rsidR="005F2F8B" w:rsidRDefault="005F2F8B" w:rsidP="005F2F8B">
      <w:pPr>
        <w:pStyle w:val="a9"/>
        <w:spacing w:before="240" w:line="360" w:lineRule="auto"/>
        <w:jc w:val="both"/>
        <w:rPr>
          <w:rFonts w:ascii="David" w:hAnsi="David" w:cs="David"/>
          <w:sz w:val="24"/>
          <w:szCs w:val="24"/>
          <w:rtl/>
        </w:rPr>
      </w:pPr>
    </w:p>
    <w:p w14:paraId="5F4C0F44"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b/>
          <w:bCs/>
          <w:sz w:val="24"/>
          <w:szCs w:val="24"/>
          <w:rtl/>
        </w:rPr>
        <w:t>בשנת 2004</w:t>
      </w:r>
      <w:r>
        <w:rPr>
          <w:rFonts w:ascii="David" w:hAnsi="David" w:cs="David"/>
          <w:sz w:val="24"/>
          <w:szCs w:val="24"/>
          <w:rtl/>
        </w:rPr>
        <w:t xml:space="preserve"> הורשע הנאשם בעבירות של חבלה כשעבריין מזויין, לפי </w:t>
      </w:r>
      <w:hyperlink r:id="rId45" w:history="1">
        <w:r w:rsidR="00A8336C" w:rsidRPr="00A8336C">
          <w:rPr>
            <w:rStyle w:val="Hyperlink"/>
            <w:rFonts w:ascii="David" w:hAnsi="David" w:cs="David"/>
            <w:sz w:val="24"/>
            <w:szCs w:val="24"/>
            <w:rtl/>
          </w:rPr>
          <w:t>סעיף 335(א)(1)</w:t>
        </w:r>
      </w:hyperlink>
      <w:r>
        <w:rPr>
          <w:rFonts w:ascii="David" w:hAnsi="David" w:cs="David"/>
          <w:sz w:val="24"/>
          <w:szCs w:val="24"/>
          <w:rtl/>
        </w:rPr>
        <w:t xml:space="preserve"> ל</w:t>
      </w:r>
      <w:hyperlink r:id="rId46" w:history="1">
        <w:r w:rsidR="001023CE" w:rsidRPr="001023CE">
          <w:rPr>
            <w:rFonts w:ascii="David" w:hAnsi="David" w:cs="David"/>
            <w:color w:val="0000FF"/>
            <w:sz w:val="24"/>
            <w:szCs w:val="24"/>
            <w:u w:val="single"/>
            <w:rtl/>
          </w:rPr>
          <w:t>חוק העונשין</w:t>
        </w:r>
      </w:hyperlink>
      <w:r>
        <w:rPr>
          <w:rFonts w:ascii="David" w:hAnsi="David" w:cs="David"/>
          <w:sz w:val="24"/>
          <w:szCs w:val="24"/>
          <w:rtl/>
        </w:rPr>
        <w:t xml:space="preserve">; התנהגות פרועה במקום ציבורי, לפי </w:t>
      </w:r>
      <w:hyperlink r:id="rId47" w:history="1">
        <w:r w:rsidR="00A8336C" w:rsidRPr="00A8336C">
          <w:rPr>
            <w:rStyle w:val="Hyperlink"/>
            <w:rFonts w:ascii="David" w:hAnsi="David" w:cs="David"/>
            <w:sz w:val="24"/>
            <w:szCs w:val="24"/>
            <w:rtl/>
          </w:rPr>
          <w:t>סעיף 216(א)(1)</w:t>
        </w:r>
      </w:hyperlink>
      <w:r>
        <w:rPr>
          <w:rFonts w:ascii="David" w:hAnsi="David" w:cs="David"/>
          <w:sz w:val="24"/>
          <w:szCs w:val="24"/>
          <w:rtl/>
        </w:rPr>
        <w:t xml:space="preserve"> לחוק העונשין; החזקת אגרופן או סכין שלא כדין, לפי </w:t>
      </w:r>
      <w:hyperlink r:id="rId48" w:history="1">
        <w:r w:rsidR="00A8336C" w:rsidRPr="00A8336C">
          <w:rPr>
            <w:rStyle w:val="Hyperlink"/>
            <w:rFonts w:ascii="David" w:hAnsi="David" w:cs="David"/>
            <w:sz w:val="24"/>
            <w:szCs w:val="24"/>
            <w:rtl/>
          </w:rPr>
          <w:t>סעיף 186(א)</w:t>
        </w:r>
      </w:hyperlink>
      <w:r>
        <w:rPr>
          <w:rFonts w:ascii="David" w:hAnsi="David" w:cs="David"/>
          <w:sz w:val="24"/>
          <w:szCs w:val="24"/>
          <w:rtl/>
        </w:rPr>
        <w:t xml:space="preserve"> לחוק העונשין; פציעה, לפי </w:t>
      </w:r>
      <w:hyperlink r:id="rId49" w:history="1">
        <w:r w:rsidR="00A8336C" w:rsidRPr="00A8336C">
          <w:rPr>
            <w:rStyle w:val="Hyperlink"/>
            <w:rFonts w:ascii="David" w:hAnsi="David" w:cs="David"/>
            <w:sz w:val="24"/>
            <w:szCs w:val="24"/>
            <w:rtl/>
          </w:rPr>
          <w:t>סעיף 334</w:t>
        </w:r>
      </w:hyperlink>
      <w:r>
        <w:rPr>
          <w:rFonts w:ascii="David" w:hAnsi="David" w:cs="David"/>
          <w:sz w:val="24"/>
          <w:szCs w:val="24"/>
          <w:rtl/>
        </w:rPr>
        <w:t xml:space="preserve"> לחוק העונשין; ותגרה, לפי </w:t>
      </w:r>
      <w:hyperlink r:id="rId50" w:history="1">
        <w:r w:rsidR="00A8336C" w:rsidRPr="00A8336C">
          <w:rPr>
            <w:rStyle w:val="Hyperlink"/>
            <w:rFonts w:ascii="David" w:hAnsi="David" w:cs="David"/>
            <w:sz w:val="24"/>
            <w:szCs w:val="24"/>
            <w:rtl/>
          </w:rPr>
          <w:t>סעיף 191</w:t>
        </w:r>
      </w:hyperlink>
      <w:r>
        <w:rPr>
          <w:rFonts w:ascii="David" w:hAnsi="David" w:cs="David"/>
          <w:sz w:val="24"/>
          <w:szCs w:val="24"/>
          <w:rtl/>
        </w:rPr>
        <w:t xml:space="preserve"> לחוק העונשין. על הנאשם הושתו שישה חודשי מאסר בפועל ומאסר מותנה.</w:t>
      </w:r>
    </w:p>
    <w:p w14:paraId="03F297C5" w14:textId="77777777" w:rsidR="005F2F8B" w:rsidRDefault="005F2F8B" w:rsidP="005F2F8B">
      <w:pPr>
        <w:pStyle w:val="a9"/>
        <w:spacing w:before="240" w:line="360" w:lineRule="auto"/>
        <w:jc w:val="both"/>
        <w:rPr>
          <w:rFonts w:ascii="David" w:hAnsi="David" w:cs="David"/>
          <w:sz w:val="24"/>
          <w:szCs w:val="24"/>
          <w:rtl/>
        </w:rPr>
      </w:pPr>
    </w:p>
    <w:p w14:paraId="0CB521E8"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b/>
          <w:bCs/>
          <w:sz w:val="24"/>
          <w:szCs w:val="24"/>
          <w:rtl/>
        </w:rPr>
        <w:t>בשנת 2012</w:t>
      </w:r>
      <w:r>
        <w:rPr>
          <w:rFonts w:ascii="David" w:hAnsi="David" w:cs="David"/>
          <w:sz w:val="24"/>
          <w:szCs w:val="24"/>
          <w:rtl/>
        </w:rPr>
        <w:t xml:space="preserve"> הורשע הנאשם בעבירת איומים, לפי </w:t>
      </w:r>
      <w:hyperlink r:id="rId51" w:history="1">
        <w:r w:rsidR="00A8336C" w:rsidRPr="00A8336C">
          <w:rPr>
            <w:rStyle w:val="Hyperlink"/>
            <w:rFonts w:ascii="David" w:hAnsi="David" w:cs="David"/>
            <w:sz w:val="24"/>
            <w:szCs w:val="24"/>
            <w:rtl/>
          </w:rPr>
          <w:t>סעיף 192</w:t>
        </w:r>
      </w:hyperlink>
      <w:r>
        <w:rPr>
          <w:rFonts w:ascii="David" w:hAnsi="David" w:cs="David"/>
          <w:sz w:val="24"/>
          <w:szCs w:val="24"/>
          <w:rtl/>
        </w:rPr>
        <w:t xml:space="preserve"> ל</w:t>
      </w:r>
      <w:hyperlink r:id="rId52" w:history="1">
        <w:r w:rsidR="001023CE" w:rsidRPr="001023CE">
          <w:rPr>
            <w:rFonts w:ascii="David" w:hAnsi="David" w:cs="David"/>
            <w:color w:val="0000FF"/>
            <w:sz w:val="24"/>
            <w:szCs w:val="24"/>
            <w:u w:val="single"/>
            <w:rtl/>
          </w:rPr>
          <w:t>חוק העונשין</w:t>
        </w:r>
      </w:hyperlink>
      <w:r>
        <w:rPr>
          <w:rFonts w:ascii="David" w:hAnsi="David" w:cs="David"/>
          <w:sz w:val="24"/>
          <w:szCs w:val="24"/>
          <w:rtl/>
        </w:rPr>
        <w:t xml:space="preserve">; ובתקיפה סתם, לפי </w:t>
      </w:r>
      <w:hyperlink r:id="rId53" w:history="1">
        <w:r w:rsidR="00A8336C" w:rsidRPr="00A8336C">
          <w:rPr>
            <w:rStyle w:val="Hyperlink"/>
            <w:rFonts w:ascii="David" w:hAnsi="David" w:cs="David"/>
            <w:sz w:val="24"/>
            <w:szCs w:val="24"/>
            <w:rtl/>
          </w:rPr>
          <w:t>סעיף 379</w:t>
        </w:r>
      </w:hyperlink>
      <w:r>
        <w:rPr>
          <w:rFonts w:ascii="David" w:hAnsi="David" w:cs="David"/>
          <w:sz w:val="24"/>
          <w:szCs w:val="24"/>
          <w:rtl/>
        </w:rPr>
        <w:t xml:space="preserve"> לחוק העונשין. באותה פרשה נקט הנאשם אלימות כלפי עמית לעבודה, שעמו היה לו דין ודברים על רקע עבודתם כשליחים. הנאשם בעט במתלונן, חבט בו באגרופיו, ניסה לחנוק אותו ולהפילו על הקרקע. </w:t>
      </w:r>
      <w:r>
        <w:rPr>
          <w:rFonts w:ascii="David" w:hAnsi="David" w:cs="David"/>
          <w:b/>
          <w:bCs/>
          <w:sz w:val="24"/>
          <w:szCs w:val="24"/>
          <w:rtl/>
        </w:rPr>
        <w:t>בהמשך נטל הנאשם קסדת אופנוע והיכה באמצעותה את המתלונן</w:t>
      </w:r>
      <w:r>
        <w:rPr>
          <w:rFonts w:ascii="David" w:hAnsi="David" w:cs="David"/>
          <w:sz w:val="24"/>
          <w:szCs w:val="24"/>
          <w:rtl/>
        </w:rPr>
        <w:t>.</w:t>
      </w:r>
      <w:r>
        <w:rPr>
          <w:rFonts w:ascii="David" w:hAnsi="David" w:cs="David"/>
          <w:b/>
          <w:bCs/>
          <w:sz w:val="24"/>
          <w:szCs w:val="24"/>
          <w:rtl/>
        </w:rPr>
        <w:t xml:space="preserve"> </w:t>
      </w:r>
      <w:r>
        <w:rPr>
          <w:rFonts w:ascii="David" w:hAnsi="David" w:cs="David"/>
          <w:sz w:val="24"/>
          <w:szCs w:val="24"/>
          <w:rtl/>
        </w:rPr>
        <w:t xml:space="preserve">באותה פרשה הונח לפני בית המשפט תסקיר שירות המבחן, שבמסגרתו צוין כי קיימת נכונות מצד הנאשם להשתלב בהליך טיפולי בנושא של ניהול סכסוכים. על הנאשם הוטלו שלושה חודשי מאסר בפועל לצד מאסר מותנה. </w:t>
      </w:r>
    </w:p>
    <w:p w14:paraId="1BE283BF" w14:textId="77777777" w:rsidR="005F2F8B" w:rsidRDefault="005F2F8B" w:rsidP="005F2F8B">
      <w:pPr>
        <w:pStyle w:val="a9"/>
        <w:spacing w:before="240" w:line="360" w:lineRule="auto"/>
        <w:jc w:val="both"/>
        <w:rPr>
          <w:rFonts w:ascii="David" w:hAnsi="David" w:cs="David"/>
          <w:sz w:val="24"/>
          <w:szCs w:val="24"/>
          <w:rtl/>
        </w:rPr>
      </w:pPr>
    </w:p>
    <w:p w14:paraId="5BE4EE48" w14:textId="77777777" w:rsidR="005F2F8B" w:rsidRDefault="005F2F8B" w:rsidP="005F2F8B">
      <w:pPr>
        <w:pStyle w:val="a9"/>
        <w:spacing w:before="240" w:line="360" w:lineRule="auto"/>
        <w:jc w:val="both"/>
        <w:rPr>
          <w:rFonts w:ascii="David" w:hAnsi="David" w:cs="David"/>
          <w:sz w:val="24"/>
          <w:szCs w:val="24"/>
          <w:highlight w:val="yellow"/>
          <w:rtl/>
        </w:rPr>
      </w:pPr>
      <w:r>
        <w:rPr>
          <w:rFonts w:ascii="David" w:hAnsi="David" w:cs="David"/>
          <w:b/>
          <w:bCs/>
          <w:sz w:val="24"/>
          <w:szCs w:val="24"/>
          <w:rtl/>
        </w:rPr>
        <w:t>ביום 14.9.2022</w:t>
      </w:r>
      <w:r>
        <w:rPr>
          <w:rFonts w:ascii="David" w:hAnsi="David" w:cs="David"/>
          <w:sz w:val="24"/>
          <w:szCs w:val="24"/>
          <w:rtl/>
        </w:rPr>
        <w:t xml:space="preserve">, כאמור, כחודשיים בלבד לפני התרחשות האירוע נשוא ההליך דנן, הורשע הנאשם באיומים, לפי </w:t>
      </w:r>
      <w:hyperlink r:id="rId54" w:history="1">
        <w:r w:rsidR="00A8336C" w:rsidRPr="00A8336C">
          <w:rPr>
            <w:rStyle w:val="Hyperlink"/>
            <w:rFonts w:ascii="David" w:hAnsi="David" w:cs="David"/>
            <w:sz w:val="24"/>
            <w:szCs w:val="24"/>
            <w:rtl/>
          </w:rPr>
          <w:t>סעיף 192</w:t>
        </w:r>
      </w:hyperlink>
      <w:r>
        <w:rPr>
          <w:rFonts w:ascii="David" w:hAnsi="David" w:cs="David"/>
          <w:sz w:val="24"/>
          <w:szCs w:val="24"/>
          <w:rtl/>
        </w:rPr>
        <w:t xml:space="preserve"> ל</w:t>
      </w:r>
      <w:hyperlink r:id="rId55" w:history="1">
        <w:r w:rsidR="001023CE" w:rsidRPr="001023CE">
          <w:rPr>
            <w:rFonts w:ascii="David" w:hAnsi="David" w:cs="David"/>
            <w:color w:val="0000FF"/>
            <w:sz w:val="24"/>
            <w:szCs w:val="24"/>
            <w:u w:val="single"/>
            <w:rtl/>
          </w:rPr>
          <w:t>חוק העונשין</w:t>
        </w:r>
      </w:hyperlink>
      <w:r>
        <w:rPr>
          <w:rFonts w:ascii="David" w:hAnsi="David" w:cs="David"/>
          <w:sz w:val="24"/>
          <w:szCs w:val="24"/>
          <w:rtl/>
        </w:rPr>
        <w:t xml:space="preserve">; בשימוש בכוח או באיומים למנוע מעצר, לפי </w:t>
      </w:r>
      <w:hyperlink r:id="rId56" w:history="1">
        <w:r w:rsidR="00A8336C" w:rsidRPr="00A8336C">
          <w:rPr>
            <w:rStyle w:val="Hyperlink"/>
            <w:rFonts w:ascii="David" w:hAnsi="David" w:cs="David"/>
            <w:sz w:val="24"/>
            <w:szCs w:val="24"/>
            <w:rtl/>
          </w:rPr>
          <w:t>סעיף 47(א)</w:t>
        </w:r>
      </w:hyperlink>
      <w:r>
        <w:rPr>
          <w:rFonts w:ascii="David" w:hAnsi="David" w:cs="David"/>
          <w:sz w:val="24"/>
          <w:szCs w:val="24"/>
          <w:rtl/>
        </w:rPr>
        <w:t xml:space="preserve"> ל</w:t>
      </w:r>
      <w:hyperlink r:id="rId57" w:history="1">
        <w:r w:rsidR="001023CE" w:rsidRPr="001023CE">
          <w:rPr>
            <w:rFonts w:ascii="David" w:hAnsi="David" w:cs="David"/>
            <w:color w:val="0000FF"/>
            <w:sz w:val="24"/>
            <w:szCs w:val="24"/>
            <w:u w:val="single"/>
            <w:rtl/>
          </w:rPr>
          <w:t>פקודת סדר הדין הפלילי (מעצר וחיפוש)</w:t>
        </w:r>
      </w:hyperlink>
      <w:r>
        <w:rPr>
          <w:rFonts w:ascii="David" w:hAnsi="David" w:cs="David"/>
          <w:sz w:val="24"/>
          <w:szCs w:val="24"/>
          <w:rtl/>
        </w:rPr>
        <w:t xml:space="preserve"> [נוסח משולב], התשכ"ט-1969; ובשימוש בסם (קוקאין) לצריכה עצמית, לפי </w:t>
      </w:r>
      <w:hyperlink r:id="rId58" w:history="1">
        <w:r w:rsidR="00A8336C" w:rsidRPr="00A8336C">
          <w:rPr>
            <w:rStyle w:val="Hyperlink"/>
            <w:rFonts w:ascii="David" w:hAnsi="David" w:cs="David"/>
            <w:sz w:val="24"/>
            <w:szCs w:val="24"/>
            <w:rtl/>
          </w:rPr>
          <w:t>סעיף 7(א)</w:t>
        </w:r>
      </w:hyperlink>
      <w:r>
        <w:rPr>
          <w:rFonts w:ascii="David" w:hAnsi="David" w:cs="David"/>
          <w:sz w:val="24"/>
          <w:szCs w:val="24"/>
          <w:rtl/>
        </w:rPr>
        <w:t xml:space="preserve"> ו-(</w:t>
      </w:r>
      <w:hyperlink r:id="rId59" w:history="1">
        <w:r w:rsidR="00A8336C" w:rsidRPr="00A8336C">
          <w:rPr>
            <w:rStyle w:val="Hyperlink"/>
            <w:rFonts w:ascii="David" w:hAnsi="David" w:cs="David"/>
            <w:sz w:val="24"/>
            <w:szCs w:val="24"/>
            <w:rtl/>
          </w:rPr>
          <w:t>ג</w:t>
        </w:r>
      </w:hyperlink>
      <w:r>
        <w:rPr>
          <w:rFonts w:ascii="David" w:hAnsi="David" w:cs="David"/>
          <w:sz w:val="24"/>
          <w:szCs w:val="24"/>
          <w:rtl/>
        </w:rPr>
        <w:t>) ל</w:t>
      </w:r>
      <w:hyperlink r:id="rId60" w:history="1">
        <w:r w:rsidR="001023CE" w:rsidRPr="001023CE">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בהתאם לעתירתם המשותפת של הצדדים, הוטלו על הנאשם 60 ימי מאסר בפועל לריצוי בדרך של עבודות שירות, לצד רכיבי ענישה נוספים.</w:t>
      </w:r>
    </w:p>
    <w:p w14:paraId="78962D53" w14:textId="77777777" w:rsidR="005F2F8B" w:rsidRDefault="005F2F8B" w:rsidP="005F2F8B">
      <w:pPr>
        <w:spacing w:before="240" w:line="360" w:lineRule="auto"/>
        <w:jc w:val="both"/>
        <w:rPr>
          <w:rFonts w:ascii="David" w:hAnsi="David"/>
          <w:b/>
          <w:bCs/>
          <w:u w:val="single"/>
        </w:rPr>
      </w:pPr>
      <w:r>
        <w:rPr>
          <w:rFonts w:ascii="David" w:hAnsi="David"/>
          <w:b/>
          <w:bCs/>
          <w:u w:val="single"/>
          <w:rtl/>
        </w:rPr>
        <w:t>ראיות ההגנה לעונש</w:t>
      </w:r>
    </w:p>
    <w:p w14:paraId="3455BBF2" w14:textId="77777777" w:rsidR="005F2F8B" w:rsidRDefault="005F2F8B" w:rsidP="005F2F8B">
      <w:pPr>
        <w:pStyle w:val="a9"/>
        <w:numPr>
          <w:ilvl w:val="0"/>
          <w:numId w:val="1"/>
        </w:numPr>
        <w:spacing w:before="240" w:line="360" w:lineRule="auto"/>
        <w:jc w:val="both"/>
        <w:rPr>
          <w:rFonts w:ascii="David" w:hAnsi="David" w:cs="David"/>
          <w:sz w:val="24"/>
          <w:szCs w:val="24"/>
        </w:rPr>
      </w:pPr>
      <w:r>
        <w:rPr>
          <w:rFonts w:ascii="David" w:hAnsi="David" w:cs="David"/>
          <w:sz w:val="24"/>
          <w:szCs w:val="24"/>
          <w:rtl/>
        </w:rPr>
        <w:t>מטעם ההגנה הוגשו דוחות חינוכיים, סיכום טיפול וחוות דעת פסיכולוג על אודות</w:t>
      </w:r>
      <w:r>
        <w:rPr>
          <w:rFonts w:ascii="David" w:hAnsi="David" w:cs="David"/>
          <w:b/>
          <w:bCs/>
          <w:sz w:val="24"/>
          <w:szCs w:val="24"/>
          <w:rtl/>
        </w:rPr>
        <w:t xml:space="preserve"> </w:t>
      </w:r>
      <w:r>
        <w:rPr>
          <w:rFonts w:ascii="David" w:hAnsi="David" w:cs="David"/>
          <w:sz w:val="24"/>
          <w:szCs w:val="24"/>
          <w:rtl/>
        </w:rPr>
        <w:t>מצבם של</w:t>
      </w:r>
      <w:r>
        <w:rPr>
          <w:rFonts w:ascii="David" w:hAnsi="David" w:cs="David"/>
          <w:b/>
          <w:bCs/>
          <w:sz w:val="24"/>
          <w:szCs w:val="24"/>
          <w:rtl/>
        </w:rPr>
        <w:t xml:space="preserve"> ילדיו של הנאשם</w:t>
      </w:r>
      <w:r>
        <w:rPr>
          <w:rFonts w:ascii="David" w:hAnsi="David" w:cs="David"/>
          <w:sz w:val="24"/>
          <w:szCs w:val="24"/>
          <w:rtl/>
        </w:rPr>
        <w:t xml:space="preserve"> (ס/2, ס/3); </w:t>
      </w:r>
      <w:r>
        <w:rPr>
          <w:rFonts w:ascii="David" w:hAnsi="David" w:cs="David"/>
          <w:b/>
          <w:bCs/>
          <w:sz w:val="24"/>
          <w:szCs w:val="24"/>
          <w:rtl/>
        </w:rPr>
        <w:t>פנייה של הגברת שלומית גרינפלד</w:t>
      </w:r>
      <w:r>
        <w:rPr>
          <w:rFonts w:ascii="David" w:hAnsi="David" w:cs="David"/>
          <w:sz w:val="24"/>
          <w:szCs w:val="24"/>
          <w:rtl/>
        </w:rPr>
        <w:t xml:space="preserve">, גרושתו של הנאשם, אל בית המשפט (ס/4); </w:t>
      </w:r>
      <w:r>
        <w:rPr>
          <w:rFonts w:ascii="David" w:hAnsi="David" w:cs="David"/>
          <w:b/>
          <w:bCs/>
          <w:sz w:val="24"/>
          <w:szCs w:val="24"/>
          <w:rtl/>
        </w:rPr>
        <w:t>וחוות דעת פסיכיאטרית</w:t>
      </w:r>
      <w:r>
        <w:rPr>
          <w:rFonts w:ascii="David" w:hAnsi="David" w:cs="David"/>
          <w:sz w:val="24"/>
          <w:szCs w:val="24"/>
          <w:rtl/>
        </w:rPr>
        <w:t xml:space="preserve"> של ד"ר אדי גרבר (ס/6), אשר העיד לפני בית המשפט ונחקר על חוות דעתו. </w:t>
      </w:r>
    </w:p>
    <w:p w14:paraId="5817F0E1" w14:textId="77777777" w:rsidR="005F2F8B" w:rsidRDefault="005F2F8B" w:rsidP="005F2F8B">
      <w:pPr>
        <w:pStyle w:val="a9"/>
        <w:numPr>
          <w:ilvl w:val="0"/>
          <w:numId w:val="1"/>
        </w:numPr>
        <w:spacing w:before="240" w:line="360" w:lineRule="auto"/>
        <w:jc w:val="both"/>
        <w:rPr>
          <w:rFonts w:ascii="David" w:hAnsi="David" w:cs="David"/>
          <w:sz w:val="24"/>
          <w:szCs w:val="24"/>
        </w:rPr>
      </w:pPr>
      <w:r>
        <w:rPr>
          <w:rFonts w:ascii="David" w:hAnsi="David" w:cs="David"/>
          <w:sz w:val="24"/>
          <w:szCs w:val="24"/>
          <w:rtl/>
        </w:rPr>
        <w:t>ההגנה הציגה מסמכים על אודות בנו וביתו של הנאשם, בני 9 ו-7. מטעמי צנעת הפרט לא יינתן פירוט לדברים. בתמצית ייאמר כי לילדים קשיים והם זקוקים לטיפול ולתמיכה. העדרו של הנאשם, מחמת היותו נתון במעצר תקופה ארוכה, השליכה על מצבם והפכה את ההתמודדות עם קשייהם למורכבת יותר. בהתמודדות המאתגרת היומיומית נושאת גרושתו של המערער, אשר ציינה, כי לעת הזאת, בעקבות נסיבות ההרשעה, הנאשם "הבין שאין מנוס וחייב לטפל בעצמו". גב' גרינפלד ציינה בפנייתה לבית המשפט, כי היא מבקשת להימנע מהטלת עונש מאסר ממושך, אשר עלול להוביל להידרדרות נוספת של בני המשפחה, הן במישור הנפשי והן במישור הכלכלי. גב' גרינפלד הוסיפה וציינה, כי נסיבות ההרשעה, השלכותיה, הפנמת הנאשם את העובדה שהוא נזקק לטיפול וקבלת הטיפול התרופתי, הוליכו לאיחוי הקרעים בין בני הזוג וכי על הפרק אפשרות לשיקום הזוגיות.</w:t>
      </w:r>
    </w:p>
    <w:p w14:paraId="2980C9E5" w14:textId="77777777" w:rsidR="005F2F8B" w:rsidRPr="00092FDC" w:rsidRDefault="005F2F8B" w:rsidP="005F2F8B">
      <w:pPr>
        <w:pStyle w:val="a9"/>
        <w:rPr>
          <w:rFonts w:ascii="David" w:hAnsi="David" w:cs="David"/>
          <w:sz w:val="24"/>
          <w:szCs w:val="24"/>
          <w:rtl/>
        </w:rPr>
      </w:pPr>
    </w:p>
    <w:p w14:paraId="4CCE2E15" w14:textId="77777777" w:rsidR="005F2F8B" w:rsidRDefault="005F2F8B" w:rsidP="005F2F8B">
      <w:pPr>
        <w:pStyle w:val="a9"/>
        <w:numPr>
          <w:ilvl w:val="0"/>
          <w:numId w:val="1"/>
        </w:numPr>
        <w:spacing w:before="240" w:line="360" w:lineRule="auto"/>
        <w:jc w:val="both"/>
        <w:rPr>
          <w:rFonts w:ascii="David" w:hAnsi="David" w:cs="David"/>
          <w:sz w:val="24"/>
          <w:szCs w:val="24"/>
        </w:rPr>
      </w:pPr>
      <w:r>
        <w:rPr>
          <w:rFonts w:ascii="David" w:hAnsi="David" w:cs="David"/>
          <w:sz w:val="24"/>
          <w:szCs w:val="24"/>
          <w:rtl/>
        </w:rPr>
        <w:t xml:space="preserve">מטעם ההגנה הוגשה חוות דעת פסיכיאטרית של ד"ר גרבר. </w:t>
      </w:r>
    </w:p>
    <w:p w14:paraId="1CCAB7F1" w14:textId="77777777" w:rsidR="005F2F8B" w:rsidRDefault="005F2F8B" w:rsidP="005F2F8B">
      <w:pPr>
        <w:pStyle w:val="a9"/>
        <w:spacing w:before="240" w:line="360" w:lineRule="auto"/>
        <w:jc w:val="both"/>
        <w:rPr>
          <w:rFonts w:ascii="David" w:hAnsi="David" w:cs="David"/>
          <w:sz w:val="24"/>
          <w:szCs w:val="24"/>
        </w:rPr>
      </w:pPr>
      <w:r>
        <w:rPr>
          <w:rFonts w:ascii="David" w:hAnsi="David" w:cs="David"/>
          <w:sz w:val="24"/>
          <w:szCs w:val="24"/>
          <w:rtl/>
        </w:rPr>
        <w:t>אשר לרקעו של הנאשם צוין בחוות הדעת, שבשנת 2021, במסגרת הליך פלילי בו יוחסו לו איומים על רעייתו, נשלח הנאשם לבדיקה בבית חולים אברבנאל. הפסיכיאטר מצטט את הסיכום הרפואי של בית החולים אברבנאל: "</w:t>
      </w:r>
      <w:r>
        <w:rPr>
          <w:rFonts w:ascii="David" w:hAnsi="David" w:cs="David"/>
          <w:b/>
          <w:bCs/>
          <w:sz w:val="24"/>
          <w:szCs w:val="24"/>
          <w:rtl/>
        </w:rPr>
        <w:t>...</w:t>
      </w:r>
      <w:r>
        <w:rPr>
          <w:rFonts w:ascii="David" w:hAnsi="David" w:cs="David"/>
          <w:sz w:val="24"/>
          <w:szCs w:val="24"/>
          <w:rtl/>
        </w:rPr>
        <w:t xml:space="preserve"> </w:t>
      </w:r>
      <w:r>
        <w:rPr>
          <w:rFonts w:ascii="David" w:hAnsi="David" w:cs="David"/>
          <w:b/>
          <w:bCs/>
          <w:sz w:val="24"/>
          <w:szCs w:val="24"/>
          <w:rtl/>
        </w:rPr>
        <w:t>ללא עדות להתנהגות חריגה... בהיעדר עילה להתערבות פסיכיאטרית, שוחרר ממלר"ד לגורם חוקי</w:t>
      </w:r>
      <w:r>
        <w:rPr>
          <w:rFonts w:ascii="David" w:hAnsi="David" w:cs="David"/>
          <w:sz w:val="24"/>
          <w:szCs w:val="24"/>
          <w:rtl/>
        </w:rPr>
        <w:t>." ד"ר גרבר מציין שלטענת הנאשם, באותה פרשה, בעת האיומים היה נתון להשפעת קוקאין ובעת הבדיקה השפעת הסם "ירדה".</w:t>
      </w:r>
    </w:p>
    <w:p w14:paraId="27FF6A00"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sz w:val="24"/>
          <w:szCs w:val="24"/>
          <w:rtl/>
        </w:rPr>
        <w:t>מאז הגיעו של הנאשם לכלא בהליך הנוכחי הוא מטופל תרופתית בסרקוול 200 מ"ג. אולם, המסמכים הרפואיים בשב"ס לא היו לפני ד"ר גרבר "</w:t>
      </w:r>
      <w:r>
        <w:rPr>
          <w:rFonts w:ascii="David" w:hAnsi="David" w:cs="David"/>
          <w:b/>
          <w:bCs/>
          <w:sz w:val="24"/>
          <w:szCs w:val="24"/>
          <w:rtl/>
        </w:rPr>
        <w:t>ולא ברור מה אבחנתו ע"י רופאי שב"ס</w:t>
      </w:r>
      <w:r>
        <w:rPr>
          <w:rFonts w:ascii="David" w:hAnsi="David" w:cs="David"/>
          <w:sz w:val="24"/>
          <w:szCs w:val="24"/>
          <w:rtl/>
        </w:rPr>
        <w:t xml:space="preserve">...". בעדותו הבהיר המומחה כי המדובר בתרופה "שעוזרת להתפרצויות זעם והתנהגות אימפולסיבית". בעדותו הוסיף העד המומחה כי "ככל הנראה ממה שראיתי אותו מבחינה קלינית לו היה מקבל טיפול תרופתי כזה יכול להיות שזה עוזר לו להיות יציב יותר" והוסיף כי "ניתן להניח מעל 50% שלו היה מקבל טיפול לא היה מגיע למצב הזה". </w:t>
      </w:r>
    </w:p>
    <w:p w14:paraId="0C92467D"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sz w:val="24"/>
          <w:szCs w:val="24"/>
          <w:rtl/>
        </w:rPr>
        <w:t>בנוגע לאירוע בגינו הורשע בדין, הנאשם תיאר בפני הפסיכיאטר שראה "'מסך שחור'... ננעל לי המוח...ברגעים כאלה אני לא מבין מה קורה לי", ובחלוף "כמה דקות...פתאום חזרתי לעצמי. הבנתי שעשיתי משהו חמור, הבנתי שהגבתי בצורה לא פרופורציונלית". הנאשם ציין בפני ד"ר גרבר כי חש "מסך שחור" דומה באירוע שהתרחש בשנת 2012, שאף בגינו הועמד לדין, כמובא לעיל. על פי ד"ר גרבר, הנאשם תיאר "סיטואציה קלינית" ההולמת אדם "מוכה הלם, אשר אינו מחובר רגעית למציאות", וכפי שהבהיר בעדותו: "היכולות הקוגניטיביות הגבוהות מתנתקות והוא פועל על אוטומט".</w:t>
      </w:r>
    </w:p>
    <w:p w14:paraId="62A6DDA2" w14:textId="77777777" w:rsidR="005F2F8B" w:rsidRDefault="005F2F8B" w:rsidP="005F2F8B">
      <w:pPr>
        <w:spacing w:before="240" w:line="360" w:lineRule="auto"/>
        <w:ind w:left="799"/>
        <w:jc w:val="both"/>
        <w:rPr>
          <w:rFonts w:ascii="David" w:hAnsi="David"/>
          <w:rtl/>
        </w:rPr>
      </w:pPr>
      <w:r>
        <w:rPr>
          <w:rFonts w:ascii="David" w:hAnsi="David"/>
          <w:rtl/>
        </w:rPr>
        <w:t>על רקע האמור, ד"ר גרבר התרשם כי "קיימת הפרעה מוחית הבאה לידי ביטוי באימפולסיביות" המלווה את הנאשם לאורך חייו. בשאלת אבחנתו של הנאשם מציין הפסיכיאטר כי "</w:t>
      </w:r>
      <w:r>
        <w:rPr>
          <w:rFonts w:ascii="David" w:hAnsi="David"/>
          <w:b/>
          <w:bCs/>
          <w:rtl/>
        </w:rPr>
        <w:t>ישנו קושי משום שקיימת אבחנה מבדלת מאד רחבה,</w:t>
      </w:r>
      <w:r>
        <w:rPr>
          <w:rFonts w:ascii="David" w:hAnsi="David"/>
          <w:rtl/>
        </w:rPr>
        <w:t xml:space="preserve"> זו כולל(ת) מספר הפרעות אך הרושם הוא כי קיימת הפרעה מוחית... </w:t>
      </w:r>
      <w:r>
        <w:rPr>
          <w:rFonts w:ascii="David" w:hAnsi="David"/>
          <w:b/>
          <w:bCs/>
          <w:rtl/>
        </w:rPr>
        <w:t xml:space="preserve">וככל הנראה הוא מקיים אבחנה של </w:t>
      </w:r>
      <w:r>
        <w:rPr>
          <w:rFonts w:ascii="David" w:hAnsi="David"/>
          <w:b/>
          <w:bCs/>
        </w:rPr>
        <w:t>Intermittent Explosive Disorder</w:t>
      </w:r>
      <w:r>
        <w:rPr>
          <w:rFonts w:ascii="David" w:hAnsi="David"/>
          <w:rtl/>
        </w:rPr>
        <w:t xml:space="preserve">". </w:t>
      </w:r>
    </w:p>
    <w:p w14:paraId="369180D8"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sz w:val="24"/>
          <w:szCs w:val="24"/>
          <w:rtl/>
        </w:rPr>
        <w:t>בחקירתו הנגדית נשאל ד"ר גרבר כיצד מתיישבת אבחנתו עם העובדה, שעד כה לא אובחן הנאשם כבעל הפרעה נפשית, הגם שנבדק בבית חולים אברבנאל. ד"ר גרבר נתן לכך שני הסברים אפשריים. האחד, שיתכן שהנאשם עשה "סימולציה", קרי, "הם עושים כאילו הכל בסדר כי הם מפחדים שיאשפזו אותם". האחר, בכך ש"מהיכרותי במיון בהם מישהו מובא ע"י השב"ס הנטייה שלנו זה לשחרר. אם אין משהו חריג אנחנו מעבירים את זה הלאה".</w:t>
      </w:r>
    </w:p>
    <w:p w14:paraId="0708B504"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sz w:val="24"/>
          <w:szCs w:val="24"/>
          <w:rtl/>
        </w:rPr>
        <w:t xml:space="preserve">לשאלת התובע אם היו לנגד עיניו חומרי החקירה, ובהם עדויות עדי ראייה, שיכול היה ללמוד מהם על התנהגות המערער בעת האירוע, השיב המומחה כי "קראתי את מה שעורכי הדין שלחו לי" והסתבר, כי המדובר רק בפרוטוקול הליך המעצר. אף </w:t>
      </w:r>
      <w:r>
        <w:rPr>
          <w:rFonts w:ascii="David" w:hAnsi="David" w:cs="David"/>
          <w:b/>
          <w:bCs/>
          <w:sz w:val="24"/>
          <w:szCs w:val="24"/>
          <w:rtl/>
        </w:rPr>
        <w:t xml:space="preserve">פרטי </w:t>
      </w:r>
      <w:r>
        <w:rPr>
          <w:rFonts w:ascii="David" w:hAnsi="David" w:cs="David"/>
          <w:sz w:val="24"/>
          <w:szCs w:val="24"/>
          <w:rtl/>
        </w:rPr>
        <w:t xml:space="preserve">הרשעתו הקודמת של המערער בשנת 2012, שבה דובר בהכאה באמצעות </w:t>
      </w:r>
      <w:r>
        <w:rPr>
          <w:rFonts w:ascii="David" w:hAnsi="David" w:cs="David"/>
          <w:b/>
          <w:bCs/>
          <w:sz w:val="24"/>
          <w:szCs w:val="24"/>
          <w:rtl/>
        </w:rPr>
        <w:t>קסדה</w:t>
      </w:r>
      <w:r>
        <w:rPr>
          <w:rFonts w:ascii="David" w:hAnsi="David" w:cs="David"/>
          <w:sz w:val="24"/>
          <w:szCs w:val="24"/>
          <w:rtl/>
        </w:rPr>
        <w:t xml:space="preserve"> לא היו מוכרים לד"ר גרבר. כן הסתבר, שהפסיכיאטר לא הכיר את העובדה, שבמסגרת ההליך המשפטי הקודם בעניינו של המערער עמד </w:t>
      </w:r>
      <w:r>
        <w:rPr>
          <w:rFonts w:ascii="David" w:hAnsi="David" w:cs="David"/>
          <w:b/>
          <w:bCs/>
          <w:sz w:val="24"/>
          <w:szCs w:val="24"/>
          <w:rtl/>
        </w:rPr>
        <w:t>שירות המבחן</w:t>
      </w:r>
      <w:r>
        <w:rPr>
          <w:rFonts w:ascii="David" w:hAnsi="David" w:cs="David"/>
          <w:sz w:val="24"/>
          <w:szCs w:val="24"/>
          <w:rtl/>
        </w:rPr>
        <w:t xml:space="preserve"> על כי נדרשת התערבות </w:t>
      </w:r>
      <w:r>
        <w:rPr>
          <w:rFonts w:ascii="David" w:hAnsi="David" w:cs="David"/>
          <w:b/>
          <w:bCs/>
          <w:sz w:val="24"/>
          <w:szCs w:val="24"/>
          <w:rtl/>
        </w:rPr>
        <w:t>טיפולית</w:t>
      </w:r>
      <w:r>
        <w:rPr>
          <w:rFonts w:ascii="David" w:hAnsi="David" w:cs="David"/>
          <w:sz w:val="24"/>
          <w:szCs w:val="24"/>
          <w:rtl/>
        </w:rPr>
        <w:t>, אלא שהנאשם "שלל כל נזקקות". כך באו הדברים לידי ביטוי בפרוטוקול:</w:t>
      </w:r>
    </w:p>
    <w:p w14:paraId="7415060F" w14:textId="77777777" w:rsidR="005F2F8B" w:rsidRDefault="005F2F8B" w:rsidP="005F2F8B">
      <w:pPr>
        <w:pStyle w:val="a9"/>
        <w:spacing w:line="240" w:lineRule="auto"/>
        <w:ind w:left="1644" w:right="1281"/>
        <w:rPr>
          <w:rFonts w:ascii="David" w:hAnsi="David" w:cs="David"/>
          <w:sz w:val="24"/>
          <w:szCs w:val="24"/>
          <w:rtl/>
        </w:rPr>
      </w:pPr>
      <w:r>
        <w:rPr>
          <w:rFonts w:ascii="David" w:hAnsi="David" w:cs="David"/>
          <w:sz w:val="24"/>
          <w:szCs w:val="24"/>
          <w:rtl/>
        </w:rPr>
        <w:t>"ש: אתה מכיר סיטואציה שהוא נתן למישהו מכה עם קסדה.</w:t>
      </w:r>
    </w:p>
    <w:p w14:paraId="659662B6" w14:textId="77777777" w:rsidR="005F2F8B" w:rsidRDefault="005F2F8B" w:rsidP="005F2F8B">
      <w:pPr>
        <w:pStyle w:val="a9"/>
        <w:spacing w:line="240" w:lineRule="auto"/>
        <w:ind w:left="1644" w:right="1281"/>
        <w:rPr>
          <w:rFonts w:ascii="David" w:hAnsi="David" w:cs="David"/>
          <w:sz w:val="24"/>
          <w:szCs w:val="24"/>
          <w:rtl/>
        </w:rPr>
      </w:pPr>
      <w:r>
        <w:rPr>
          <w:rFonts w:ascii="David" w:hAnsi="David" w:cs="David"/>
          <w:sz w:val="24"/>
          <w:szCs w:val="24"/>
          <w:rtl/>
        </w:rPr>
        <w:t>ת: לא מכיר.</w:t>
      </w:r>
    </w:p>
    <w:p w14:paraId="5555C44C" w14:textId="77777777" w:rsidR="005F2F8B" w:rsidRDefault="005F2F8B" w:rsidP="005F2F8B">
      <w:pPr>
        <w:pStyle w:val="a9"/>
        <w:spacing w:line="240" w:lineRule="auto"/>
        <w:ind w:left="1644" w:right="1281"/>
        <w:rPr>
          <w:rFonts w:ascii="David" w:hAnsi="David" w:cs="David"/>
          <w:sz w:val="24"/>
          <w:szCs w:val="24"/>
          <w:rtl/>
        </w:rPr>
      </w:pPr>
      <w:r>
        <w:rPr>
          <w:rFonts w:ascii="David" w:hAnsi="David" w:cs="David"/>
          <w:sz w:val="24"/>
          <w:szCs w:val="24"/>
          <w:rtl/>
        </w:rPr>
        <w:t>ש: הדברים שכתבת למעשה לא מדויקים.</w:t>
      </w:r>
    </w:p>
    <w:p w14:paraId="56586BD4" w14:textId="77777777" w:rsidR="005F2F8B" w:rsidRDefault="005F2F8B" w:rsidP="005F2F8B">
      <w:pPr>
        <w:pStyle w:val="a9"/>
        <w:spacing w:line="240" w:lineRule="auto"/>
        <w:ind w:left="1644" w:right="1281"/>
        <w:rPr>
          <w:rFonts w:ascii="David" w:hAnsi="David" w:cs="David"/>
          <w:sz w:val="24"/>
          <w:szCs w:val="24"/>
          <w:rtl/>
        </w:rPr>
      </w:pPr>
      <w:r>
        <w:rPr>
          <w:rFonts w:ascii="David" w:hAnsi="David" w:cs="David"/>
          <w:sz w:val="24"/>
          <w:szCs w:val="24"/>
          <w:rtl/>
        </w:rPr>
        <w:t>ת: תחת הכובע שלי אני לא בודק את כל פרטי האלימות אלא את מצבו הקליני.</w:t>
      </w:r>
    </w:p>
    <w:p w14:paraId="192D8427" w14:textId="77777777" w:rsidR="005F2F8B" w:rsidRDefault="005F2F8B" w:rsidP="005F2F8B">
      <w:pPr>
        <w:pStyle w:val="a9"/>
        <w:spacing w:line="240" w:lineRule="auto"/>
        <w:ind w:left="1644" w:right="1281"/>
        <w:rPr>
          <w:rFonts w:ascii="David" w:hAnsi="David" w:cs="David"/>
          <w:sz w:val="24"/>
          <w:szCs w:val="24"/>
          <w:rtl/>
        </w:rPr>
      </w:pPr>
      <w:r>
        <w:rPr>
          <w:rFonts w:ascii="David" w:hAnsi="David" w:cs="David"/>
          <w:sz w:val="24"/>
          <w:szCs w:val="24"/>
          <w:rtl/>
        </w:rPr>
        <w:t>ש:... כתבת שמעולם לא הוצע לו שיקום.</w:t>
      </w:r>
    </w:p>
    <w:p w14:paraId="0233815F" w14:textId="77777777" w:rsidR="005F2F8B" w:rsidRDefault="005F2F8B" w:rsidP="005F2F8B">
      <w:pPr>
        <w:pStyle w:val="a9"/>
        <w:spacing w:line="240" w:lineRule="auto"/>
        <w:ind w:left="1644" w:right="1281"/>
        <w:rPr>
          <w:rFonts w:ascii="David" w:hAnsi="David" w:cs="David"/>
          <w:sz w:val="24"/>
          <w:szCs w:val="24"/>
          <w:rtl/>
        </w:rPr>
      </w:pPr>
      <w:r>
        <w:rPr>
          <w:rFonts w:ascii="David" w:hAnsi="David" w:cs="David"/>
          <w:sz w:val="24"/>
          <w:szCs w:val="24"/>
          <w:rtl/>
        </w:rPr>
        <w:t>ת: אמת.</w:t>
      </w:r>
    </w:p>
    <w:p w14:paraId="0CF6CBA4" w14:textId="77777777" w:rsidR="005F2F8B" w:rsidRDefault="005F2F8B" w:rsidP="005F2F8B">
      <w:pPr>
        <w:pStyle w:val="a9"/>
        <w:spacing w:line="240" w:lineRule="auto"/>
        <w:ind w:left="1644" w:right="1281"/>
        <w:rPr>
          <w:rFonts w:ascii="David" w:hAnsi="David" w:cs="David"/>
          <w:sz w:val="24"/>
          <w:szCs w:val="24"/>
          <w:rtl/>
        </w:rPr>
      </w:pPr>
      <w:r>
        <w:rPr>
          <w:rFonts w:ascii="David" w:hAnsi="David" w:cs="David"/>
          <w:sz w:val="24"/>
          <w:szCs w:val="24"/>
          <w:rtl/>
        </w:rPr>
        <w:t>ש: ראית שכן הוצע לו שיקום כאשר כתבת את זה.</w:t>
      </w:r>
    </w:p>
    <w:p w14:paraId="72EF19E9" w14:textId="77777777" w:rsidR="005F2F8B" w:rsidRDefault="005F2F8B" w:rsidP="005F2F8B">
      <w:pPr>
        <w:pStyle w:val="a9"/>
        <w:spacing w:line="240" w:lineRule="auto"/>
        <w:ind w:left="1644" w:right="1281"/>
        <w:rPr>
          <w:rFonts w:ascii="David" w:hAnsi="David" w:cs="David"/>
          <w:sz w:val="24"/>
          <w:szCs w:val="24"/>
          <w:rtl/>
        </w:rPr>
      </w:pPr>
      <w:r>
        <w:rPr>
          <w:rFonts w:ascii="David" w:hAnsi="David" w:cs="David"/>
          <w:sz w:val="24"/>
          <w:szCs w:val="24"/>
          <w:rtl/>
        </w:rPr>
        <w:t>ת: ממה שאני ראיתי לא הוצע לו טיפול פסיכיאטרי".</w:t>
      </w:r>
    </w:p>
    <w:p w14:paraId="59C1ED7B" w14:textId="77777777" w:rsidR="005F2F8B" w:rsidRDefault="005F2F8B" w:rsidP="005F2F8B">
      <w:pPr>
        <w:spacing w:before="240"/>
        <w:rPr>
          <w:rFonts w:ascii="David" w:hAnsi="David"/>
          <w:b/>
          <w:bCs/>
          <w:u w:val="single"/>
          <w:rtl/>
        </w:rPr>
      </w:pPr>
      <w:r>
        <w:rPr>
          <w:rFonts w:ascii="David" w:hAnsi="David"/>
          <w:b/>
          <w:bCs/>
          <w:u w:val="single"/>
          <w:rtl/>
        </w:rPr>
        <w:t>עיקרי טיעון המאשימה</w:t>
      </w:r>
    </w:p>
    <w:p w14:paraId="7FC05D53" w14:textId="77777777" w:rsidR="005F2F8B" w:rsidRDefault="005F2F8B" w:rsidP="005F2F8B">
      <w:pPr>
        <w:pStyle w:val="a9"/>
        <w:numPr>
          <w:ilvl w:val="0"/>
          <w:numId w:val="1"/>
        </w:numPr>
        <w:spacing w:before="240" w:line="360" w:lineRule="auto"/>
        <w:jc w:val="both"/>
        <w:rPr>
          <w:rFonts w:ascii="David" w:hAnsi="David" w:cs="David"/>
          <w:sz w:val="24"/>
          <w:szCs w:val="24"/>
          <w:rtl/>
        </w:rPr>
      </w:pPr>
      <w:r>
        <w:rPr>
          <w:rFonts w:ascii="David" w:hAnsi="David" w:cs="David"/>
          <w:sz w:val="24"/>
          <w:szCs w:val="24"/>
          <w:rtl/>
        </w:rPr>
        <w:t>ב"כ המאשימה, עו"ד טל, הפנה לעוצמת האלימות החריגה עד כי "רק במזל לא הסתיימה בתוצאה חמורה בהרבה". התובע עמד בטיעוניו על כך שלחובת הנאשם עבר פלילי עשיר בעבירות סמים, אלימות ורכוש ונזקפות לחובתו 11 הרשעות קודמות. עוד הודגש, כי העבירה דנן בוצעה פחות מחודשיים מיום מתן גזר דין קודם בעניינו, בעקבות הרשעה בעבירות איומים ובעבירות נוספות. לא זו אף זו, הנאשם הורשע בעבר בביצוע עבירת אלימות באמצעות קסדה "ושב לבצע את אותה עבירה". המאשימה עותרת להחמיר בענישה, שכן בעבר, פעם אחר פעם, הקלו בתי המשפט בדינו של הנאשם. הופניתי להערכת שירות המבחן, שלפיה "רמת הסיכון להישנות התנהלות אלימה ופוגענית מצדו הינה גבוהה, ובמידה ותבוצע עבירת אלימות, אנו מעריכים שמידת חומרתה צפויה להיות גבוהה".</w:t>
      </w:r>
    </w:p>
    <w:p w14:paraId="11C92A99"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sz w:val="24"/>
          <w:szCs w:val="24"/>
          <w:rtl/>
        </w:rPr>
        <w:t>אשר לחוות הדעת הפסיכיאטרית, עתר ב"כ המאשימה לכך שבית המשפט לא ייתן לה כל משקל, ולחלופין שיינתן לה משקל נמוך מאוד, שכן לשיטתו רוב עדותו של המומחה היא עדות סברה, שאינה מבוססת.</w:t>
      </w:r>
    </w:p>
    <w:p w14:paraId="6D73E35B" w14:textId="77777777" w:rsidR="005F2F8B" w:rsidRDefault="005F2F8B" w:rsidP="005F2F8B">
      <w:pPr>
        <w:pStyle w:val="a9"/>
        <w:spacing w:before="240" w:line="360" w:lineRule="auto"/>
        <w:jc w:val="both"/>
        <w:rPr>
          <w:rFonts w:ascii="David" w:hAnsi="David" w:cs="David"/>
          <w:sz w:val="24"/>
          <w:szCs w:val="24"/>
          <w:rtl/>
        </w:rPr>
      </w:pPr>
    </w:p>
    <w:p w14:paraId="11E6079B" w14:textId="77777777" w:rsidR="005F2F8B" w:rsidRDefault="005F2F8B" w:rsidP="005F2F8B">
      <w:pPr>
        <w:pStyle w:val="a9"/>
        <w:numPr>
          <w:ilvl w:val="0"/>
          <w:numId w:val="1"/>
        </w:numPr>
        <w:spacing w:before="240" w:line="360" w:lineRule="auto"/>
        <w:jc w:val="both"/>
        <w:rPr>
          <w:rFonts w:ascii="David" w:hAnsi="David" w:cs="David"/>
          <w:sz w:val="24"/>
          <w:szCs w:val="24"/>
          <w:rtl/>
        </w:rPr>
      </w:pPr>
      <w:r>
        <w:rPr>
          <w:rFonts w:ascii="David" w:hAnsi="David" w:cs="David"/>
          <w:sz w:val="24"/>
          <w:szCs w:val="24"/>
          <w:rtl/>
        </w:rPr>
        <w:t xml:space="preserve">התביעה הציגה פסיקה וביקשה "להחמיר ברף הענישה" תוך העמדת מתחם הענישה בין שלוש לבין שש שנות מאסר. נטען כי את ענישת הנאשם יש למקם בשליש העליון של המתחם ולגזור עליו חמש שנות מאסר בפועל ומאסר מותנה מרתיע. זאת, לצד פיצוי למתלונן בסך 100,000 ₪. </w:t>
      </w:r>
    </w:p>
    <w:p w14:paraId="40BE8E5D" w14:textId="77777777" w:rsidR="005F2F8B" w:rsidRDefault="005F2F8B" w:rsidP="005F2F8B">
      <w:pPr>
        <w:spacing w:before="240"/>
        <w:rPr>
          <w:rFonts w:ascii="David" w:hAnsi="David"/>
          <w:b/>
          <w:bCs/>
          <w:u w:val="single"/>
        </w:rPr>
      </w:pPr>
      <w:r>
        <w:rPr>
          <w:rFonts w:ascii="David" w:hAnsi="David"/>
          <w:b/>
          <w:bCs/>
          <w:u w:val="single"/>
          <w:rtl/>
        </w:rPr>
        <w:t>עיקרי טיעון ההגנה</w:t>
      </w:r>
    </w:p>
    <w:p w14:paraId="69686371" w14:textId="77777777" w:rsidR="005F2F8B" w:rsidRDefault="005F2F8B" w:rsidP="005F2F8B">
      <w:pPr>
        <w:pStyle w:val="a9"/>
        <w:numPr>
          <w:ilvl w:val="0"/>
          <w:numId w:val="1"/>
        </w:numPr>
        <w:spacing w:before="240" w:line="360" w:lineRule="auto"/>
        <w:jc w:val="both"/>
        <w:rPr>
          <w:rFonts w:ascii="David" w:hAnsi="David" w:cs="David"/>
          <w:sz w:val="24"/>
          <w:szCs w:val="24"/>
        </w:rPr>
      </w:pPr>
      <w:r>
        <w:rPr>
          <w:rFonts w:ascii="David" w:hAnsi="David" w:cs="David"/>
          <w:sz w:val="24"/>
          <w:szCs w:val="24"/>
          <w:rtl/>
        </w:rPr>
        <w:t xml:space="preserve">באי כוחו של הנאשם, עו"ד קריטי ועו"ד שרקוביק, ביקשו להעניק משקל נכבד להודאת הנאשם. הודגש, שהנאשם קיבל עליו את האחריות באורח מידי, ואף הסכים לעתירת התביעה למעצרו עד תום ההליכים. </w:t>
      </w:r>
    </w:p>
    <w:p w14:paraId="64BBE833" w14:textId="77777777" w:rsidR="005F2F8B" w:rsidRDefault="005F2F8B" w:rsidP="005F2F8B">
      <w:pPr>
        <w:pStyle w:val="a9"/>
        <w:spacing w:before="240" w:line="360" w:lineRule="auto"/>
        <w:jc w:val="both"/>
        <w:rPr>
          <w:rFonts w:ascii="David" w:hAnsi="David" w:cs="David"/>
          <w:sz w:val="24"/>
          <w:szCs w:val="24"/>
          <w:rtl/>
        </w:rPr>
      </w:pPr>
    </w:p>
    <w:p w14:paraId="17C7D9ED" w14:textId="77777777" w:rsidR="005F2F8B" w:rsidRDefault="005F2F8B" w:rsidP="005F2F8B">
      <w:pPr>
        <w:pStyle w:val="a9"/>
        <w:spacing w:before="240" w:line="360" w:lineRule="auto"/>
        <w:jc w:val="both"/>
        <w:rPr>
          <w:rFonts w:ascii="David" w:hAnsi="David" w:cs="David"/>
          <w:sz w:val="24"/>
          <w:szCs w:val="24"/>
        </w:rPr>
      </w:pPr>
      <w:r>
        <w:rPr>
          <w:rFonts w:ascii="David" w:hAnsi="David" w:cs="David"/>
          <w:sz w:val="24"/>
          <w:szCs w:val="24"/>
          <w:rtl/>
        </w:rPr>
        <w:t xml:space="preserve">עוד נטען כי לעדות הפסיכיאטר המומחה, ד"ר גרבר, יש ליתן את מלוא המשקל, וכי היא בעלת השלכה הן על קביעת המתחם והן על מיקום הנאשם בתוככי המתחם. אשר לנסיבות האירוע, ההגנה ערה לחומרת הנסיבות. עם זאת, הודגש כי המדובר באירוע שהתרחש באורח ספונטני ללא כל הכנה מוקדמת וכי המתלונן היה הראשון להרים יד ואשר היכה את הנאשם בפניו. כן עתרה ההגנה להתחשבות במצב המשפחתי הקשה, ובמיוחד על רקע המורכבות במצבם של ילדיו של הנאשם. כן הודגש שהנאשם מכיר היום בכך שהוא זקוק לטיפול. כן הופנתה שימת ליבי לתקופה הממושכת שבה נתון הנאשם במעצר ואשר אינו זוכה לזכויות הניתנות לאסירים שדינם נגזר. </w:t>
      </w:r>
    </w:p>
    <w:p w14:paraId="69001410"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sz w:val="24"/>
          <w:szCs w:val="24"/>
          <w:rtl/>
        </w:rPr>
        <w:t>ההגנה הציגה אסופת פסיקה וטענה לקביעת מתחם ענישה המתחיל ב-12 חודשי מאסר ומסתיים בכ-36 חודשים. ההגנה ביקשה למקם את ענישת הנאשם בתחתית המתחם – 12 עד 15 חודשים מאסר בפועל.</w:t>
      </w:r>
    </w:p>
    <w:p w14:paraId="430EA824"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sz w:val="24"/>
          <w:szCs w:val="24"/>
          <w:rtl/>
        </w:rPr>
        <w:t>אשר לשיעור הפיצוי למתלונן, נטען כי עתירת התביעה היא מופרזת ביותר, ואין לה כל אחיזה בפסיקה.</w:t>
      </w:r>
    </w:p>
    <w:p w14:paraId="2455505C" w14:textId="77777777" w:rsidR="005F2F8B" w:rsidRDefault="005F2F8B" w:rsidP="005F2F8B">
      <w:pPr>
        <w:pStyle w:val="a9"/>
        <w:spacing w:before="240" w:line="360" w:lineRule="auto"/>
        <w:jc w:val="both"/>
        <w:rPr>
          <w:rFonts w:ascii="David" w:hAnsi="David" w:cs="David"/>
          <w:sz w:val="24"/>
          <w:szCs w:val="24"/>
          <w:rtl/>
        </w:rPr>
      </w:pPr>
    </w:p>
    <w:p w14:paraId="77F8A6BF" w14:textId="77777777" w:rsidR="005F2F8B" w:rsidRDefault="005F2F8B" w:rsidP="005F2F8B">
      <w:pPr>
        <w:pStyle w:val="a9"/>
        <w:numPr>
          <w:ilvl w:val="0"/>
          <w:numId w:val="1"/>
        </w:numPr>
        <w:spacing w:before="240" w:line="360" w:lineRule="auto"/>
        <w:jc w:val="both"/>
        <w:rPr>
          <w:rFonts w:ascii="David" w:hAnsi="David" w:cs="David"/>
          <w:sz w:val="24"/>
          <w:szCs w:val="24"/>
        </w:rPr>
      </w:pPr>
      <w:r>
        <w:rPr>
          <w:rFonts w:ascii="David" w:hAnsi="David" w:cs="David"/>
          <w:sz w:val="24"/>
          <w:szCs w:val="24"/>
          <w:rtl/>
        </w:rPr>
        <w:t xml:space="preserve">הנאשם בדברו האחרון הביע חרטה מלאה וביקש סליחה מהקורבן. הנאשם ציין כי לו היה יכול להחזיר את הגלגל לאחור, היה נוהג אחרת והבטיח לא לחטוא שוב בעבירת אלימות. </w:t>
      </w:r>
    </w:p>
    <w:p w14:paraId="1921D89D" w14:textId="77777777" w:rsidR="005F2F8B" w:rsidRDefault="005F2F8B" w:rsidP="005F2F8B">
      <w:pPr>
        <w:spacing w:before="240"/>
        <w:rPr>
          <w:rFonts w:ascii="David" w:hAnsi="David"/>
          <w:b/>
          <w:bCs/>
          <w:u w:val="single"/>
          <w:rtl/>
        </w:rPr>
      </w:pPr>
    </w:p>
    <w:p w14:paraId="427FAFD0" w14:textId="77777777" w:rsidR="005F2F8B" w:rsidRDefault="005F2F8B" w:rsidP="005F2F8B">
      <w:pPr>
        <w:spacing w:before="240"/>
        <w:rPr>
          <w:rFonts w:ascii="David" w:hAnsi="David"/>
          <w:b/>
          <w:bCs/>
          <w:u w:val="single"/>
          <w:rtl/>
        </w:rPr>
      </w:pPr>
    </w:p>
    <w:p w14:paraId="3788A1EB" w14:textId="77777777" w:rsidR="005F2F8B" w:rsidRDefault="005F2F8B" w:rsidP="005F2F8B">
      <w:pPr>
        <w:spacing w:before="240"/>
        <w:rPr>
          <w:rFonts w:ascii="David" w:hAnsi="David"/>
          <w:b/>
          <w:bCs/>
          <w:u w:val="single"/>
          <w:rtl/>
        </w:rPr>
      </w:pPr>
    </w:p>
    <w:p w14:paraId="0FB888AB" w14:textId="77777777" w:rsidR="005F2F8B" w:rsidRDefault="005F2F8B" w:rsidP="005F2F8B">
      <w:pPr>
        <w:spacing w:before="240"/>
        <w:rPr>
          <w:rFonts w:ascii="David" w:hAnsi="David"/>
          <w:b/>
          <w:bCs/>
          <w:u w:val="single"/>
          <w:rtl/>
        </w:rPr>
      </w:pPr>
      <w:r>
        <w:rPr>
          <w:rFonts w:ascii="David" w:hAnsi="David"/>
          <w:b/>
          <w:bCs/>
          <w:u w:val="single"/>
          <w:rtl/>
        </w:rPr>
        <w:t>דיון והכרעה</w:t>
      </w:r>
    </w:p>
    <w:p w14:paraId="355FC8DC" w14:textId="77777777" w:rsidR="005F2F8B" w:rsidRDefault="005F2F8B" w:rsidP="005F2F8B">
      <w:pPr>
        <w:spacing w:before="240" w:line="360" w:lineRule="auto"/>
        <w:jc w:val="both"/>
        <w:rPr>
          <w:rFonts w:ascii="David" w:hAnsi="David"/>
          <w:b/>
          <w:bCs/>
          <w:rtl/>
        </w:rPr>
      </w:pPr>
      <w:r>
        <w:rPr>
          <w:rFonts w:ascii="David" w:hAnsi="David"/>
          <w:b/>
          <w:bCs/>
          <w:rtl/>
        </w:rPr>
        <w:t>קביעת מתחם הענישה</w:t>
      </w:r>
    </w:p>
    <w:p w14:paraId="36A9775D" w14:textId="77777777" w:rsidR="005F2F8B" w:rsidRDefault="005F2F8B" w:rsidP="005F2F8B">
      <w:pPr>
        <w:pStyle w:val="a9"/>
        <w:numPr>
          <w:ilvl w:val="0"/>
          <w:numId w:val="1"/>
        </w:numPr>
        <w:spacing w:before="240" w:line="360" w:lineRule="auto"/>
        <w:jc w:val="both"/>
        <w:rPr>
          <w:rFonts w:ascii="David" w:hAnsi="David" w:cs="David"/>
          <w:sz w:val="24"/>
          <w:szCs w:val="24"/>
          <w:rtl/>
        </w:rPr>
      </w:pPr>
      <w:r>
        <w:rPr>
          <w:rFonts w:ascii="David" w:hAnsi="David" w:cs="David"/>
          <w:sz w:val="24"/>
          <w:szCs w:val="24"/>
          <w:rtl/>
        </w:rPr>
        <w:t xml:space="preserve">אפנה תחילה לקביעת מתחם העונש ההולם, תוך הידרשות לערכים המוגנים שנפגעו ממעשי הנאשם ולמידת הפגיעה בהם; לנסיבות העבירה; ולמדיניות הענישה הנוהגת. </w:t>
      </w:r>
    </w:p>
    <w:p w14:paraId="1E5503A7" w14:textId="77777777" w:rsidR="005F2F8B" w:rsidRDefault="005F2F8B" w:rsidP="005F2F8B">
      <w:pPr>
        <w:spacing w:before="240" w:line="360" w:lineRule="auto"/>
        <w:jc w:val="both"/>
        <w:rPr>
          <w:rFonts w:ascii="David" w:hAnsi="David"/>
          <w:b/>
          <w:bCs/>
          <w:rtl/>
        </w:rPr>
      </w:pPr>
      <w:r>
        <w:rPr>
          <w:rFonts w:ascii="David" w:hAnsi="David"/>
          <w:b/>
          <w:bCs/>
          <w:rtl/>
        </w:rPr>
        <w:t>הערכים החברתיים שנפגעו ונסיבות ביצוע העבירה</w:t>
      </w:r>
    </w:p>
    <w:p w14:paraId="3E79E17A" w14:textId="77777777" w:rsidR="005F2F8B" w:rsidRPr="005F2F8B" w:rsidRDefault="005F2F8B" w:rsidP="005F2F8B">
      <w:pPr>
        <w:pStyle w:val="gmail-msolistparagraph"/>
        <w:numPr>
          <w:ilvl w:val="0"/>
          <w:numId w:val="1"/>
        </w:numPr>
        <w:bidi/>
        <w:spacing w:before="240" w:beforeAutospacing="0" w:after="160" w:afterAutospacing="0" w:line="360" w:lineRule="auto"/>
        <w:jc w:val="both"/>
        <w:rPr>
          <w:rFonts w:ascii="David" w:hAnsi="David" w:cs="David"/>
          <w:color w:val="000000"/>
          <w:rtl/>
        </w:rPr>
      </w:pPr>
      <w:r w:rsidRPr="005F2F8B">
        <w:rPr>
          <w:rFonts w:ascii="David" w:hAnsi="David" w:cs="David"/>
          <w:color w:val="000000"/>
          <w:rtl/>
        </w:rPr>
        <w:t xml:space="preserve">נסיבות התרחשות האירוע מלמדות שהנאשם פגע פגיעה קשה בערכים מוגנים מן המעלה הראשונה: שלמות הגוף, תחושת הביטחון האישי וכבודו העצמי של האדם. </w:t>
      </w:r>
    </w:p>
    <w:p w14:paraId="64CBEDEB" w14:textId="77777777" w:rsidR="005F2F8B" w:rsidRDefault="005F2F8B" w:rsidP="005F2F8B">
      <w:pPr>
        <w:pStyle w:val="a9"/>
        <w:numPr>
          <w:ilvl w:val="0"/>
          <w:numId w:val="1"/>
        </w:numPr>
        <w:spacing w:before="240" w:line="360" w:lineRule="auto"/>
        <w:jc w:val="both"/>
        <w:rPr>
          <w:rFonts w:ascii="David" w:hAnsi="David" w:cs="David"/>
          <w:sz w:val="24"/>
          <w:szCs w:val="24"/>
        </w:rPr>
      </w:pPr>
      <w:r>
        <w:rPr>
          <w:rFonts w:ascii="David" w:hAnsi="David" w:cs="David"/>
          <w:sz w:val="24"/>
          <w:szCs w:val="24"/>
          <w:rtl/>
        </w:rPr>
        <w:t xml:space="preserve">בנסיבות ההרשעה מצויה חומרה רבתי. הנאשם היכה, שב והיכה, וחזר והיכה במתלונן </w:t>
      </w:r>
      <w:r>
        <w:rPr>
          <w:rFonts w:ascii="David" w:hAnsi="David" w:cs="David"/>
          <w:b/>
          <w:bCs/>
          <w:sz w:val="24"/>
          <w:szCs w:val="24"/>
          <w:rtl/>
        </w:rPr>
        <w:t>בחוזקה</w:t>
      </w:r>
      <w:r>
        <w:rPr>
          <w:rFonts w:ascii="David" w:hAnsi="David" w:cs="David"/>
          <w:sz w:val="24"/>
          <w:szCs w:val="24"/>
          <w:rtl/>
        </w:rPr>
        <w:t xml:space="preserve"> באמצעות </w:t>
      </w:r>
      <w:r>
        <w:rPr>
          <w:rFonts w:ascii="David" w:hAnsi="David" w:cs="David"/>
          <w:b/>
          <w:bCs/>
          <w:sz w:val="24"/>
          <w:szCs w:val="24"/>
          <w:rtl/>
        </w:rPr>
        <w:t>קסדה</w:t>
      </w:r>
      <w:r>
        <w:rPr>
          <w:rFonts w:ascii="David" w:hAnsi="David" w:cs="David"/>
          <w:sz w:val="24"/>
          <w:szCs w:val="24"/>
          <w:rtl/>
        </w:rPr>
        <w:t xml:space="preserve"> </w:t>
      </w:r>
      <w:r>
        <w:rPr>
          <w:rFonts w:ascii="David" w:hAnsi="David" w:cs="David"/>
          <w:b/>
          <w:bCs/>
          <w:sz w:val="24"/>
          <w:szCs w:val="24"/>
          <w:rtl/>
        </w:rPr>
        <w:t>בפניו</w:t>
      </w:r>
      <w:r>
        <w:rPr>
          <w:rFonts w:ascii="David" w:hAnsi="David" w:cs="David"/>
          <w:sz w:val="24"/>
          <w:szCs w:val="24"/>
          <w:rtl/>
        </w:rPr>
        <w:t xml:space="preserve">. לאחר ההכאה הראשונה באמצעות הקסדה נפל המתלונן על הכביש. אלא שהנאשם לא הסתפק בכך ובחר לרוץ פעם נוספת לעברו של המתלונן, המנסה לקום, ושב והיכה בו בחוזקה בפניו באמצעות הקסדה. אם לא היה די בכך, הרי כאשר המתלונן "קם מהכביש והחל לצעוד בעקבות הנאשם, בניסיון לפנות אליו" "זרק הנאשם בחוזקה" את הקסדה על פניו של המתלונן. אין תמה, שבעקבות ההכאה הברוטלית חסרת המעצורים, באמצעות הקסדה, התמוטט לבסוף המתלונן, איבד את הכרתו ונגרמו לו הפגיעות הקשות בראשו, בבסיס הגולגולת, בארובת העין הימנית ועוד, כמפורט בסעיף 12 לכתב האישום המתוקן. אף נוכחותם של נהגים אחרים, אשר עצרו על מנת לסייע למתלונן, לא הרתיעה את הנאשם מלהפליא מכותיו בנאשם שלוש פעמים, בזו אחר זו, באמצעות הקסדה. </w:t>
      </w:r>
    </w:p>
    <w:p w14:paraId="7E734016" w14:textId="77777777" w:rsidR="005F2F8B" w:rsidRDefault="005F2F8B" w:rsidP="005F2F8B">
      <w:pPr>
        <w:pStyle w:val="a9"/>
        <w:spacing w:before="240" w:line="360" w:lineRule="auto"/>
        <w:jc w:val="both"/>
        <w:rPr>
          <w:rFonts w:ascii="David" w:hAnsi="David" w:cs="David"/>
          <w:sz w:val="24"/>
          <w:szCs w:val="24"/>
        </w:rPr>
      </w:pPr>
    </w:p>
    <w:p w14:paraId="266E8587" w14:textId="77777777" w:rsidR="005F2F8B" w:rsidRDefault="005F2F8B" w:rsidP="005F2F8B">
      <w:pPr>
        <w:pStyle w:val="a9"/>
        <w:numPr>
          <w:ilvl w:val="0"/>
          <w:numId w:val="1"/>
        </w:numPr>
        <w:spacing w:before="240" w:line="360" w:lineRule="auto"/>
        <w:jc w:val="both"/>
        <w:rPr>
          <w:rFonts w:ascii="David" w:hAnsi="David" w:cs="David"/>
          <w:sz w:val="24"/>
          <w:szCs w:val="24"/>
        </w:rPr>
      </w:pPr>
      <w:r>
        <w:rPr>
          <w:rFonts w:ascii="David" w:hAnsi="David" w:cs="David"/>
          <w:sz w:val="24"/>
          <w:szCs w:val="24"/>
          <w:rtl/>
        </w:rPr>
        <w:t>לא נעלמה מעיניי העובדה, שהמתלונן היה הראשון לנקוט אלימות בכך שהיכה את הנאשם באגרוף בפניו. אולם, הסלמת האירוע היא פועל יוצא של האלימות המצמררת מצד הנאשם ועליו לשאת במלוא האחריות לכך (</w:t>
      </w:r>
      <w:hyperlink r:id="rId61" w:history="1">
        <w:r w:rsidR="001023CE" w:rsidRPr="001023CE">
          <w:rPr>
            <w:rFonts w:ascii="David" w:hAnsi="David" w:cs="David"/>
            <w:color w:val="0000FF"/>
            <w:sz w:val="24"/>
            <w:szCs w:val="24"/>
            <w:u w:val="single"/>
            <w:rtl/>
          </w:rPr>
          <w:t>ע"פ 479/21</w:t>
        </w:r>
      </w:hyperlink>
      <w:r>
        <w:rPr>
          <w:rFonts w:ascii="David" w:hAnsi="David" w:cs="David"/>
          <w:sz w:val="24"/>
          <w:szCs w:val="24"/>
          <w:rtl/>
        </w:rPr>
        <w:t xml:space="preserve"> </w:t>
      </w:r>
      <w:r>
        <w:rPr>
          <w:rFonts w:ascii="David" w:hAnsi="David" w:cs="David"/>
          <w:b/>
          <w:bCs/>
          <w:sz w:val="24"/>
          <w:szCs w:val="24"/>
          <w:rtl/>
        </w:rPr>
        <w:t>עטילה נ' מדינת ישראל</w:t>
      </w:r>
      <w:r>
        <w:rPr>
          <w:rFonts w:ascii="David" w:hAnsi="David" w:cs="David"/>
          <w:sz w:val="24"/>
          <w:szCs w:val="24"/>
          <w:rtl/>
        </w:rPr>
        <w:t xml:space="preserve">, פסקה 11 (26.8.2021) (להלן: עניין </w:t>
      </w:r>
      <w:r>
        <w:rPr>
          <w:rFonts w:ascii="David" w:hAnsi="David" w:cs="David"/>
          <w:b/>
          <w:bCs/>
          <w:sz w:val="24"/>
          <w:szCs w:val="24"/>
          <w:rtl/>
        </w:rPr>
        <w:t>עטילה</w:t>
      </w:r>
      <w:r>
        <w:rPr>
          <w:rFonts w:ascii="David" w:hAnsi="David" w:cs="David"/>
          <w:sz w:val="24"/>
          <w:szCs w:val="24"/>
          <w:rtl/>
        </w:rPr>
        <w:t>)).</w:t>
      </w:r>
    </w:p>
    <w:p w14:paraId="7905577E" w14:textId="77777777" w:rsidR="005F2F8B" w:rsidRPr="00092FDC" w:rsidRDefault="005F2F8B" w:rsidP="005F2F8B">
      <w:pPr>
        <w:pStyle w:val="a9"/>
        <w:rPr>
          <w:rFonts w:ascii="David" w:hAnsi="David" w:cs="David"/>
          <w:sz w:val="24"/>
          <w:szCs w:val="24"/>
          <w:rtl/>
        </w:rPr>
      </w:pPr>
    </w:p>
    <w:p w14:paraId="5CFA799A" w14:textId="77777777" w:rsidR="005F2F8B" w:rsidRDefault="005F2F8B" w:rsidP="005F2F8B">
      <w:pPr>
        <w:pStyle w:val="a9"/>
        <w:spacing w:before="240" w:line="360" w:lineRule="auto"/>
        <w:jc w:val="both"/>
        <w:rPr>
          <w:rFonts w:ascii="David" w:hAnsi="David" w:cs="David"/>
          <w:sz w:val="24"/>
          <w:szCs w:val="24"/>
        </w:rPr>
      </w:pPr>
    </w:p>
    <w:p w14:paraId="1017FA77" w14:textId="77777777" w:rsidR="005F2F8B" w:rsidRDefault="005F2F8B" w:rsidP="005F2F8B">
      <w:pPr>
        <w:pStyle w:val="a9"/>
        <w:numPr>
          <w:ilvl w:val="0"/>
          <w:numId w:val="1"/>
        </w:numPr>
        <w:spacing w:before="240" w:line="360" w:lineRule="auto"/>
        <w:jc w:val="both"/>
        <w:rPr>
          <w:rFonts w:ascii="David" w:hAnsi="David" w:cs="David"/>
          <w:sz w:val="24"/>
          <w:szCs w:val="24"/>
          <w:rtl/>
        </w:rPr>
      </w:pPr>
      <w:r>
        <w:rPr>
          <w:rFonts w:ascii="David" w:hAnsi="David" w:cs="David"/>
          <w:sz w:val="24"/>
          <w:szCs w:val="24"/>
          <w:rtl/>
        </w:rPr>
        <w:t xml:space="preserve">לא זו אף זו, בהידרש לנסיבות הקשורות בביצוע העבירה, פן מחמיר נוסף הוא שהאלימות הקשה התרחשה על רקע של דין ודברים על עניין של מה בכך בין נהגים. עבירות שכותרתן "אלימות בדרכים" או "זעם בכבישים" היו לרעה חולה. בית המשפט העליון הבהיר, לא אחת, כי בעבירות מסוג זה מתחייבת ענישה המעבירה מסר חד באשר למידת החומרה (ראו, לאחרונה, </w:t>
      </w:r>
      <w:hyperlink r:id="rId62" w:history="1">
        <w:r w:rsidR="001023CE" w:rsidRPr="001023CE">
          <w:rPr>
            <w:rFonts w:ascii="David" w:hAnsi="David" w:cs="David"/>
            <w:color w:val="0000FF"/>
            <w:sz w:val="24"/>
            <w:szCs w:val="24"/>
            <w:u w:val="single"/>
            <w:rtl/>
          </w:rPr>
          <w:t>רע"פ 3802/23</w:t>
        </w:r>
      </w:hyperlink>
      <w:r>
        <w:rPr>
          <w:rFonts w:ascii="David" w:hAnsi="David" w:cs="David"/>
          <w:sz w:val="24"/>
          <w:szCs w:val="24"/>
          <w:rtl/>
        </w:rPr>
        <w:t xml:space="preserve"> </w:t>
      </w:r>
      <w:r>
        <w:rPr>
          <w:rFonts w:ascii="David" w:hAnsi="David" w:cs="David"/>
          <w:b/>
          <w:bCs/>
          <w:sz w:val="24"/>
          <w:szCs w:val="24"/>
          <w:rtl/>
        </w:rPr>
        <w:t>הדר נ' מדינת ישראל</w:t>
      </w:r>
      <w:r>
        <w:rPr>
          <w:rFonts w:ascii="David" w:hAnsi="David" w:cs="David"/>
          <w:sz w:val="24"/>
          <w:szCs w:val="24"/>
          <w:rtl/>
        </w:rPr>
        <w:t xml:space="preserve">, פסקה 8 והאסמכתאות שם (18.5.2023) (להלן: עניין </w:t>
      </w:r>
      <w:r>
        <w:rPr>
          <w:rFonts w:ascii="David" w:hAnsi="David" w:cs="David"/>
          <w:b/>
          <w:bCs/>
          <w:sz w:val="24"/>
          <w:szCs w:val="24"/>
          <w:rtl/>
        </w:rPr>
        <w:t>הדר</w:t>
      </w:r>
      <w:r>
        <w:rPr>
          <w:rFonts w:ascii="David" w:hAnsi="David" w:cs="David"/>
          <w:sz w:val="24"/>
          <w:szCs w:val="24"/>
          <w:rtl/>
        </w:rPr>
        <w:t xml:space="preserve">)). </w:t>
      </w:r>
    </w:p>
    <w:p w14:paraId="02F061D4" w14:textId="77777777" w:rsidR="005F2F8B" w:rsidRDefault="005F2F8B" w:rsidP="005F2F8B">
      <w:pPr>
        <w:pStyle w:val="a9"/>
        <w:numPr>
          <w:ilvl w:val="0"/>
          <w:numId w:val="1"/>
        </w:numPr>
        <w:spacing w:before="240" w:line="360" w:lineRule="auto"/>
        <w:jc w:val="both"/>
        <w:rPr>
          <w:rFonts w:ascii="David" w:hAnsi="David" w:cs="David"/>
          <w:sz w:val="24"/>
          <w:szCs w:val="24"/>
        </w:rPr>
      </w:pPr>
      <w:r>
        <w:rPr>
          <w:rFonts w:ascii="David" w:hAnsi="David" w:cs="David"/>
          <w:sz w:val="24"/>
          <w:szCs w:val="24"/>
          <w:rtl/>
        </w:rPr>
        <w:t xml:space="preserve">סעיף 12 לכתב האישום המתוקן, שבו הודה הנאשם, מלמד על עוצמת הפגיעה הפיזית הקשה במתלונן. מתסקיר שירות המבחן עולה, כי האירוע הקשה השליך על המתלונן בכל מישורי חייו: הפיזי, הרגשי, הכלכלי והתפקודי. </w:t>
      </w:r>
    </w:p>
    <w:p w14:paraId="5AE5B723" w14:textId="77777777" w:rsidR="005F2F8B" w:rsidRDefault="005F2F8B" w:rsidP="005F2F8B">
      <w:pPr>
        <w:pStyle w:val="a9"/>
        <w:spacing w:before="240" w:line="360" w:lineRule="auto"/>
        <w:jc w:val="both"/>
        <w:rPr>
          <w:rFonts w:ascii="David" w:hAnsi="David" w:cs="David"/>
          <w:sz w:val="24"/>
          <w:szCs w:val="24"/>
        </w:rPr>
      </w:pPr>
      <w:r>
        <w:rPr>
          <w:rFonts w:ascii="David" w:hAnsi="David" w:cs="David"/>
          <w:sz w:val="24"/>
          <w:szCs w:val="24"/>
          <w:rtl/>
        </w:rPr>
        <w:t>העולה מכל האמור הוא כי הפגיעה בערכים המוגנים היא פגיעה קשה.</w:t>
      </w:r>
    </w:p>
    <w:p w14:paraId="39AFB19A" w14:textId="77777777" w:rsidR="005F2F8B" w:rsidRDefault="005F2F8B" w:rsidP="005F2F8B">
      <w:pPr>
        <w:spacing w:before="240" w:line="360" w:lineRule="auto"/>
        <w:jc w:val="both"/>
        <w:rPr>
          <w:rFonts w:ascii="David" w:hAnsi="David"/>
          <w:b/>
          <w:bCs/>
        </w:rPr>
      </w:pPr>
      <w:r>
        <w:rPr>
          <w:rFonts w:ascii="David" w:hAnsi="David"/>
          <w:b/>
          <w:bCs/>
          <w:rtl/>
        </w:rPr>
        <w:t xml:space="preserve">הטיעון בדבר קרבה לסייג לאחריות בפלילים </w:t>
      </w:r>
    </w:p>
    <w:p w14:paraId="243D4367" w14:textId="77777777" w:rsidR="005F2F8B" w:rsidRDefault="005F2F8B" w:rsidP="005F2F8B">
      <w:pPr>
        <w:pStyle w:val="a9"/>
        <w:numPr>
          <w:ilvl w:val="0"/>
          <w:numId w:val="1"/>
        </w:numPr>
        <w:spacing w:before="240" w:line="360" w:lineRule="auto"/>
        <w:jc w:val="both"/>
        <w:rPr>
          <w:rFonts w:ascii="David" w:hAnsi="David" w:cs="David"/>
          <w:sz w:val="24"/>
          <w:szCs w:val="24"/>
        </w:rPr>
      </w:pPr>
      <w:r>
        <w:rPr>
          <w:rFonts w:ascii="David" w:hAnsi="David" w:cs="David"/>
          <w:sz w:val="24"/>
          <w:szCs w:val="24"/>
          <w:rtl/>
        </w:rPr>
        <w:t>באי כוחו של הנאשם טוענים לקרבה לסייג לאחריות פלילית, תוך הפנייה לגזר הדין ב</w:t>
      </w:r>
      <w:hyperlink r:id="rId63" w:history="1">
        <w:r w:rsidR="001023CE" w:rsidRPr="001023CE">
          <w:rPr>
            <w:rFonts w:ascii="David" w:hAnsi="David" w:cs="David"/>
            <w:color w:val="0000FF"/>
            <w:sz w:val="24"/>
            <w:szCs w:val="24"/>
            <w:u w:val="single"/>
            <w:rtl/>
          </w:rPr>
          <w:t>ת"פ (מחוזי ת"א) 52504-07-20</w:t>
        </w:r>
      </w:hyperlink>
      <w:r>
        <w:rPr>
          <w:rFonts w:ascii="David" w:hAnsi="David" w:cs="David"/>
          <w:sz w:val="24"/>
          <w:szCs w:val="24"/>
          <w:rtl/>
        </w:rPr>
        <w:t xml:space="preserve"> </w:t>
      </w:r>
      <w:r>
        <w:rPr>
          <w:rFonts w:ascii="David" w:hAnsi="David" w:cs="David"/>
          <w:b/>
          <w:bCs/>
          <w:sz w:val="24"/>
          <w:szCs w:val="24"/>
          <w:rtl/>
        </w:rPr>
        <w:t xml:space="preserve">מדינת ישראל נ' וולדה-צדיק </w:t>
      </w:r>
      <w:r>
        <w:rPr>
          <w:rFonts w:ascii="David" w:hAnsi="David" w:cs="David"/>
          <w:sz w:val="24"/>
          <w:szCs w:val="24"/>
          <w:rtl/>
        </w:rPr>
        <w:t xml:space="preserve">(13.6.2021)), שבו נתקבל הטיעון בדבר קרבה לסייג לאחריות פלילית לפי </w:t>
      </w:r>
      <w:hyperlink r:id="rId64" w:history="1">
        <w:r w:rsidR="00A8336C" w:rsidRPr="00A8336C">
          <w:rPr>
            <w:rStyle w:val="Hyperlink"/>
            <w:rFonts w:ascii="David" w:hAnsi="David" w:cs="David"/>
            <w:sz w:val="24"/>
            <w:szCs w:val="24"/>
            <w:rtl/>
          </w:rPr>
          <w:t>סעיף 40ט(א)(9)</w:t>
        </w:r>
      </w:hyperlink>
      <w:r>
        <w:rPr>
          <w:rFonts w:ascii="David" w:hAnsi="David" w:cs="David"/>
          <w:sz w:val="24"/>
          <w:szCs w:val="24"/>
          <w:rtl/>
        </w:rPr>
        <w:t xml:space="preserve"> ל</w:t>
      </w:r>
      <w:hyperlink r:id="rId65" w:history="1">
        <w:r w:rsidR="001023CE" w:rsidRPr="001023CE">
          <w:rPr>
            <w:rFonts w:ascii="David" w:hAnsi="David" w:cs="David"/>
            <w:color w:val="0000FF"/>
            <w:sz w:val="24"/>
            <w:szCs w:val="24"/>
            <w:u w:val="single"/>
            <w:rtl/>
          </w:rPr>
          <w:t>חוק העונשין</w:t>
        </w:r>
      </w:hyperlink>
      <w:r>
        <w:rPr>
          <w:rFonts w:ascii="David" w:hAnsi="David" w:cs="David"/>
          <w:sz w:val="24"/>
          <w:szCs w:val="24"/>
          <w:rtl/>
        </w:rPr>
        <w:t>. באותו עניין נקבע, כי קבלת הטיעון משליכה הן על מתחם הענישה והן על העונש המוטל בסופו של יום. אפנה, אפוא, לבחינת הטענה.</w:t>
      </w:r>
    </w:p>
    <w:p w14:paraId="5D4F93D1" w14:textId="77777777" w:rsidR="005F2F8B" w:rsidRDefault="005F2F8B" w:rsidP="005F2F8B">
      <w:pPr>
        <w:pStyle w:val="a9"/>
        <w:spacing w:before="240" w:line="360" w:lineRule="auto"/>
        <w:jc w:val="both"/>
        <w:rPr>
          <w:rFonts w:ascii="David" w:hAnsi="David" w:cs="David"/>
          <w:sz w:val="24"/>
          <w:szCs w:val="24"/>
        </w:rPr>
      </w:pPr>
    </w:p>
    <w:p w14:paraId="50E6AB1E" w14:textId="77777777" w:rsidR="005F2F8B" w:rsidRDefault="00A8336C" w:rsidP="005F2F8B">
      <w:pPr>
        <w:pStyle w:val="a9"/>
        <w:numPr>
          <w:ilvl w:val="0"/>
          <w:numId w:val="1"/>
        </w:numPr>
        <w:spacing w:before="240" w:line="360" w:lineRule="auto"/>
        <w:jc w:val="both"/>
        <w:rPr>
          <w:rFonts w:ascii="David" w:hAnsi="David" w:cs="David"/>
          <w:sz w:val="24"/>
          <w:szCs w:val="24"/>
        </w:rPr>
      </w:pPr>
      <w:hyperlink r:id="rId66" w:history="1">
        <w:r w:rsidRPr="00A8336C">
          <w:rPr>
            <w:rStyle w:val="Hyperlink"/>
            <w:rFonts w:ascii="David" w:hAnsi="David" w:cs="David"/>
            <w:sz w:val="24"/>
            <w:szCs w:val="24"/>
            <w:rtl/>
          </w:rPr>
          <w:t>סעיף 40ט(א)</w:t>
        </w:r>
      </w:hyperlink>
      <w:r w:rsidR="005F2F8B">
        <w:rPr>
          <w:rFonts w:ascii="David" w:hAnsi="David" w:cs="David"/>
          <w:sz w:val="24"/>
          <w:szCs w:val="24"/>
          <w:rtl/>
        </w:rPr>
        <w:t xml:space="preserve"> ל</w:t>
      </w:r>
      <w:hyperlink r:id="rId67" w:history="1">
        <w:r w:rsidR="001023CE" w:rsidRPr="001023CE">
          <w:rPr>
            <w:rFonts w:ascii="David" w:hAnsi="David" w:cs="David"/>
            <w:color w:val="0000FF"/>
            <w:sz w:val="24"/>
            <w:szCs w:val="24"/>
            <w:u w:val="single"/>
            <w:rtl/>
          </w:rPr>
          <w:t>חוק העונשין</w:t>
        </w:r>
      </w:hyperlink>
      <w:r w:rsidR="005F2F8B">
        <w:rPr>
          <w:rFonts w:ascii="David" w:hAnsi="David" w:cs="David"/>
          <w:sz w:val="24"/>
          <w:szCs w:val="24"/>
          <w:rtl/>
        </w:rPr>
        <w:t xml:space="preserve"> קובע:</w:t>
      </w:r>
    </w:p>
    <w:p w14:paraId="3C3F70D8" w14:textId="77777777" w:rsidR="005F2F8B" w:rsidRDefault="005F2F8B" w:rsidP="005F2F8B">
      <w:pPr>
        <w:pStyle w:val="a9"/>
        <w:spacing w:before="240" w:line="240" w:lineRule="auto"/>
        <w:ind w:left="1644" w:right="1281"/>
        <w:jc w:val="both"/>
        <w:rPr>
          <w:rFonts w:ascii="David" w:hAnsi="David" w:cs="David"/>
          <w:sz w:val="24"/>
          <w:szCs w:val="24"/>
        </w:rPr>
      </w:pPr>
      <w:r>
        <w:rPr>
          <w:rFonts w:ascii="David" w:hAnsi="David" w:cs="David"/>
          <w:sz w:val="24"/>
          <w:szCs w:val="24"/>
          <w:rtl/>
        </w:rPr>
        <w:t>"בקביעת מתחם העונש ההולם למעשה העבירה שביצע הנאשם כאמור בסעיף 40ג(א), יתחשב בית המשפט בהתקיימותן של נסיבות הקשורות בביצוע העבירה, המפורטות להלן, ובמידה שבה התקיימו, ככל שסבר שהן משפיעות על חומרת מעשה העבירה ועל אשמו של הנאשם...(7) יכולתו של הנאשם להימנע מהמעשה ומידת השליטה שלו על מעשהו, לרבות עקב התגרות של נפגע העבירה;... (9) הקרבה לסייג לאחריות פלילית כאמור בסימן ב' לפרק ה'1;</w:t>
      </w:r>
      <w:r>
        <w:rPr>
          <w:rFonts w:ascii="David" w:hAnsi="David" w:cs="David"/>
          <w:sz w:val="24"/>
          <w:szCs w:val="24"/>
        </w:rPr>
        <w:t>"</w:t>
      </w:r>
    </w:p>
    <w:p w14:paraId="68D8EB3A" w14:textId="77777777" w:rsidR="005F2F8B" w:rsidRDefault="005F2F8B" w:rsidP="005F2F8B">
      <w:pPr>
        <w:spacing w:before="240" w:line="360" w:lineRule="auto"/>
        <w:ind w:left="799" w:right="142"/>
        <w:jc w:val="both"/>
        <w:rPr>
          <w:rFonts w:ascii="David" w:hAnsi="David"/>
          <w:rtl/>
        </w:rPr>
      </w:pPr>
      <w:r>
        <w:rPr>
          <w:rFonts w:ascii="David" w:hAnsi="David"/>
          <w:rtl/>
        </w:rPr>
        <w:t>אמור מעתה, "קרבה לסייג לאחריות פלילית, גם אם לא נחצה הרף המביא לפטור מאחריות, מהווה נסיבה שיש להתחשב בה בעת גזירת עונשו של נאשם" (</w:t>
      </w:r>
      <w:hyperlink r:id="rId68" w:history="1">
        <w:r w:rsidR="001023CE" w:rsidRPr="001023CE">
          <w:rPr>
            <w:rFonts w:ascii="David" w:hAnsi="David"/>
            <w:color w:val="0000FF"/>
            <w:u w:val="single"/>
            <w:rtl/>
          </w:rPr>
          <w:t>ע"פ 207/20</w:t>
        </w:r>
      </w:hyperlink>
      <w:r>
        <w:rPr>
          <w:rFonts w:ascii="David" w:hAnsi="David"/>
          <w:b/>
          <w:bCs/>
          <w:rtl/>
        </w:rPr>
        <w:t xml:space="preserve"> אופיר נ' מדינת ישראל – רשות ההגבלים העסקיים</w:t>
      </w:r>
      <w:r>
        <w:rPr>
          <w:rFonts w:ascii="David" w:hAnsi="David"/>
          <w:rtl/>
        </w:rPr>
        <w:t xml:space="preserve">, פסקה 124 (3.5.2022)). כדי להוכיח נסיבה מקלה לפי </w:t>
      </w:r>
      <w:hyperlink r:id="rId69" w:history="1">
        <w:r w:rsidR="00A8336C" w:rsidRPr="00A8336C">
          <w:rPr>
            <w:rStyle w:val="Hyperlink"/>
            <w:rFonts w:ascii="David" w:hAnsi="David"/>
            <w:rtl/>
          </w:rPr>
          <w:t>סעיף 40ט(א)</w:t>
        </w:r>
      </w:hyperlink>
      <w:r>
        <w:rPr>
          <w:rFonts w:ascii="David" w:hAnsi="David"/>
          <w:rtl/>
        </w:rPr>
        <w:t xml:space="preserve"> על הנאשם לעמוד ברף ההוכחה הנדרש במשפט האזרחי – מאזן הסתברויות (</w:t>
      </w:r>
      <w:hyperlink r:id="rId70" w:history="1">
        <w:r w:rsidR="00A8336C" w:rsidRPr="00A8336C">
          <w:rPr>
            <w:rStyle w:val="Hyperlink"/>
            <w:rFonts w:ascii="David" w:hAnsi="David"/>
            <w:rtl/>
          </w:rPr>
          <w:t>סעיף 40י(ג)</w:t>
        </w:r>
      </w:hyperlink>
      <w:r>
        <w:rPr>
          <w:rFonts w:ascii="David" w:hAnsi="David"/>
          <w:rtl/>
        </w:rPr>
        <w:t xml:space="preserve"> ל</w:t>
      </w:r>
      <w:hyperlink r:id="rId71" w:history="1">
        <w:r w:rsidR="001023CE" w:rsidRPr="001023CE">
          <w:rPr>
            <w:rFonts w:ascii="David" w:hAnsi="David"/>
            <w:color w:val="0000FF"/>
            <w:u w:val="single"/>
            <w:rtl/>
          </w:rPr>
          <w:t>חוק העונשין</w:t>
        </w:r>
      </w:hyperlink>
      <w:r>
        <w:rPr>
          <w:rFonts w:ascii="David" w:hAnsi="David"/>
          <w:rtl/>
        </w:rPr>
        <w:t xml:space="preserve">; </w:t>
      </w:r>
      <w:hyperlink r:id="rId72" w:history="1">
        <w:r w:rsidR="001023CE" w:rsidRPr="001023CE">
          <w:rPr>
            <w:rFonts w:ascii="David" w:hAnsi="David"/>
            <w:color w:val="0000FF"/>
            <w:u w:val="single"/>
            <w:rtl/>
          </w:rPr>
          <w:t>ע"פ 4442/19</w:t>
        </w:r>
      </w:hyperlink>
      <w:r>
        <w:rPr>
          <w:rFonts w:ascii="David" w:hAnsi="David"/>
          <w:rtl/>
        </w:rPr>
        <w:t xml:space="preserve"> </w:t>
      </w:r>
      <w:r>
        <w:rPr>
          <w:rFonts w:ascii="David" w:hAnsi="David"/>
          <w:b/>
          <w:bCs/>
          <w:rtl/>
        </w:rPr>
        <w:t>מדינת ישראל נ' שווץ</w:t>
      </w:r>
      <w:r>
        <w:rPr>
          <w:rFonts w:ascii="David" w:hAnsi="David"/>
          <w:rtl/>
        </w:rPr>
        <w:t xml:space="preserve">, פסקה 11 (13.11.2019); </w:t>
      </w:r>
      <w:hyperlink r:id="rId73" w:history="1">
        <w:r w:rsidR="001023CE" w:rsidRPr="001023CE">
          <w:rPr>
            <w:rFonts w:ascii="David" w:hAnsi="David"/>
            <w:color w:val="0000FF"/>
            <w:u w:val="single"/>
            <w:rtl/>
          </w:rPr>
          <w:t>ע"פ 7876/15</w:t>
        </w:r>
      </w:hyperlink>
      <w:r>
        <w:rPr>
          <w:rFonts w:ascii="David" w:hAnsi="David"/>
          <w:rtl/>
        </w:rPr>
        <w:t xml:space="preserve"> </w:t>
      </w:r>
      <w:r>
        <w:rPr>
          <w:rFonts w:ascii="David" w:hAnsi="David"/>
          <w:b/>
          <w:bCs/>
          <w:rtl/>
        </w:rPr>
        <w:t>חמאמרה נ' מדינת ישראל</w:t>
      </w:r>
      <w:r>
        <w:rPr>
          <w:rFonts w:ascii="David" w:hAnsi="David"/>
          <w:rtl/>
        </w:rPr>
        <w:t>, פסקה 25 (30.8.2017)). בהקשר לכך נקבע כי אין צורך לקבוע כי נאשם פלוני בהכרח חולה במחלת נפש, אלא די שייקבע כי הנאשם "סובל מהפרעה נפשית משמעותית, וזאת מבלי לקבוע ממצא חד-משמעי באשר לקיומה של מחלת נפש של ממש" (</w:t>
      </w:r>
      <w:hyperlink r:id="rId74" w:history="1">
        <w:r w:rsidR="001023CE" w:rsidRPr="001023CE">
          <w:rPr>
            <w:rFonts w:ascii="David" w:hAnsi="David"/>
            <w:color w:val="0000FF"/>
            <w:u w:val="single"/>
            <w:rtl/>
          </w:rPr>
          <w:t>ע"פ 4312/11</w:t>
        </w:r>
      </w:hyperlink>
      <w:r>
        <w:rPr>
          <w:rFonts w:ascii="David" w:hAnsi="David"/>
          <w:rtl/>
        </w:rPr>
        <w:t xml:space="preserve"> </w:t>
      </w:r>
      <w:r>
        <w:rPr>
          <w:rFonts w:ascii="David" w:hAnsi="David"/>
          <w:b/>
          <w:bCs/>
          <w:rtl/>
        </w:rPr>
        <w:t>פלוני נ' מדינת ישראל</w:t>
      </w:r>
      <w:r>
        <w:rPr>
          <w:rFonts w:ascii="David" w:hAnsi="David"/>
          <w:rtl/>
        </w:rPr>
        <w:t>, פסקה 11 (10.6.2013)). עובר לתיקון 113 ל</w:t>
      </w:r>
      <w:hyperlink r:id="rId75" w:history="1">
        <w:r w:rsidR="001023CE" w:rsidRPr="001023CE">
          <w:rPr>
            <w:rFonts w:ascii="David" w:hAnsi="David"/>
            <w:color w:val="0000FF"/>
            <w:u w:val="single"/>
            <w:rtl/>
          </w:rPr>
          <w:t>חוק העונשין</w:t>
        </w:r>
      </w:hyperlink>
      <w:r>
        <w:rPr>
          <w:rFonts w:ascii="David" w:hAnsi="David"/>
          <w:rtl/>
        </w:rPr>
        <w:t xml:space="preserve"> הדבר בא לידי ביטוי בפרשת </w:t>
      </w:r>
      <w:r>
        <w:rPr>
          <w:rFonts w:ascii="David" w:hAnsi="David"/>
          <w:b/>
          <w:bCs/>
          <w:rtl/>
        </w:rPr>
        <w:t>דולינסקי</w:t>
      </w:r>
      <w:r>
        <w:rPr>
          <w:rFonts w:ascii="David" w:hAnsi="David"/>
          <w:rtl/>
        </w:rPr>
        <w:t xml:space="preserve">, כדלהלן: </w:t>
      </w:r>
    </w:p>
    <w:p w14:paraId="64C50B53" w14:textId="77777777" w:rsidR="005F2F8B" w:rsidRDefault="005F2F8B" w:rsidP="005F2F8B">
      <w:pPr>
        <w:pStyle w:val="a9"/>
        <w:spacing w:line="240" w:lineRule="auto"/>
        <w:ind w:left="1644" w:right="1281"/>
        <w:jc w:val="both"/>
        <w:rPr>
          <w:rFonts w:ascii="David" w:hAnsi="David" w:cs="David"/>
          <w:sz w:val="24"/>
          <w:szCs w:val="24"/>
          <w:rtl/>
        </w:rPr>
      </w:pPr>
      <w:r>
        <w:rPr>
          <w:rFonts w:ascii="David" w:hAnsi="David" w:cs="David"/>
          <w:sz w:val="24"/>
          <w:szCs w:val="24"/>
          <w:rtl/>
        </w:rPr>
        <w:t>"השאלה מה המשקל שיש ליתן למצבו הנפשי של הנאשם בעת ביצוע העבירה לצורך הקלה בעונש, היא שאלה 'כמותית', שאיני רואה לקבוע בה מסמרות. כל מקרה יש לבחון לגופו על פי נסיבות ביצוע העבירה וחומרתה ועל פי נסיבותיו האישיות של הנאשם. במכלול הנסיבות הקשורות למבצע העבירה, יש לבחון את סוג ההפרעה הנפשית ועוצמתה, ועד כמה הוגבלה בעטיה יכולתו – לא עד כדי חוסר יכולת של ממש כאמור בסעיף 34ח – להבין את אשר הוא עושה או להימנע מעשיית המעשה. על מידת הפגיעה ביכולתו של מבצע העבירה להבין את מעשהו או להימנע ממנו, ניתן ללמוד ממכלול הראיות, לרבות מעשיו של מבצע העבירה לפני האירוע, במהלכו ולאחריו וכן מחוות דעת מומחים" (</w:t>
      </w:r>
      <w:hyperlink r:id="rId76" w:history="1">
        <w:r w:rsidR="001023CE" w:rsidRPr="001023CE">
          <w:rPr>
            <w:rFonts w:ascii="David" w:hAnsi="David" w:cs="David"/>
            <w:color w:val="0000FF"/>
            <w:sz w:val="24"/>
            <w:szCs w:val="24"/>
            <w:u w:val="single"/>
            <w:rtl/>
          </w:rPr>
          <w:t>ע"פ 10416/07</w:t>
        </w:r>
      </w:hyperlink>
      <w:r>
        <w:rPr>
          <w:rFonts w:ascii="David" w:hAnsi="David" w:cs="David"/>
          <w:sz w:val="24"/>
          <w:szCs w:val="24"/>
          <w:rtl/>
        </w:rPr>
        <w:t xml:space="preserve"> </w:t>
      </w:r>
      <w:r>
        <w:rPr>
          <w:rFonts w:ascii="David" w:hAnsi="David" w:cs="David"/>
          <w:b/>
          <w:bCs/>
          <w:sz w:val="24"/>
          <w:szCs w:val="24"/>
          <w:rtl/>
        </w:rPr>
        <w:t>דולינסקי נ' מדינת ישראל</w:t>
      </w:r>
      <w:r>
        <w:rPr>
          <w:rFonts w:ascii="David" w:hAnsi="David" w:cs="David"/>
          <w:sz w:val="24"/>
          <w:szCs w:val="24"/>
          <w:rtl/>
        </w:rPr>
        <w:t>, פסקה 11 (7.12.2009)).</w:t>
      </w:r>
    </w:p>
    <w:p w14:paraId="765067A2" w14:textId="77777777" w:rsidR="005F2F8B" w:rsidRDefault="005F2F8B" w:rsidP="005F2F8B">
      <w:pPr>
        <w:pStyle w:val="a9"/>
        <w:spacing w:line="240" w:lineRule="auto"/>
        <w:ind w:left="1644" w:right="1281"/>
        <w:jc w:val="both"/>
        <w:rPr>
          <w:rFonts w:ascii="David" w:hAnsi="David" w:cs="David"/>
          <w:sz w:val="24"/>
          <w:szCs w:val="24"/>
        </w:rPr>
      </w:pPr>
    </w:p>
    <w:p w14:paraId="05A4B50E"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sz w:val="24"/>
          <w:szCs w:val="24"/>
          <w:rtl/>
        </w:rPr>
        <w:t>קווים מנחים אלה ממשיכים להנחותינו אף לאחר קבלת תיקון 113 ל</w:t>
      </w:r>
      <w:hyperlink r:id="rId77" w:history="1">
        <w:r w:rsidR="001023CE" w:rsidRPr="001023CE">
          <w:rPr>
            <w:rFonts w:ascii="David" w:hAnsi="David" w:cs="David"/>
            <w:color w:val="0000FF"/>
            <w:sz w:val="24"/>
            <w:szCs w:val="24"/>
            <w:u w:val="single"/>
            <w:rtl/>
          </w:rPr>
          <w:t>חוק העונשין</w:t>
        </w:r>
      </w:hyperlink>
      <w:r>
        <w:rPr>
          <w:rFonts w:ascii="David" w:hAnsi="David" w:cs="David"/>
          <w:sz w:val="24"/>
          <w:szCs w:val="24"/>
          <w:rtl/>
        </w:rPr>
        <w:t xml:space="preserve"> (ראו: </w:t>
      </w:r>
      <w:hyperlink r:id="rId78" w:history="1">
        <w:r w:rsidR="001023CE" w:rsidRPr="001023CE">
          <w:rPr>
            <w:rFonts w:ascii="David" w:hAnsi="David" w:cs="David"/>
            <w:color w:val="0000FF"/>
            <w:sz w:val="24"/>
            <w:szCs w:val="24"/>
            <w:u w:val="single"/>
            <w:rtl/>
          </w:rPr>
          <w:t>ע"פ 1865/14</w:t>
        </w:r>
      </w:hyperlink>
      <w:r>
        <w:rPr>
          <w:rFonts w:ascii="David" w:hAnsi="David" w:cs="David"/>
          <w:sz w:val="24"/>
          <w:szCs w:val="24"/>
          <w:rtl/>
        </w:rPr>
        <w:t xml:space="preserve"> </w:t>
      </w:r>
      <w:r>
        <w:rPr>
          <w:rFonts w:ascii="David" w:hAnsi="David" w:cs="David"/>
          <w:b/>
          <w:bCs/>
          <w:sz w:val="24"/>
          <w:szCs w:val="24"/>
          <w:rtl/>
        </w:rPr>
        <w:t xml:space="preserve">פלוני נ' מדינת ישראל, </w:t>
      </w:r>
      <w:r>
        <w:rPr>
          <w:rFonts w:ascii="David" w:hAnsi="David" w:cs="David"/>
          <w:sz w:val="24"/>
          <w:szCs w:val="24"/>
          <w:rtl/>
        </w:rPr>
        <w:t xml:space="preserve">פסקה 4 (4.1.2016); </w:t>
      </w:r>
      <w:hyperlink r:id="rId79" w:history="1">
        <w:r w:rsidR="001023CE" w:rsidRPr="001023CE">
          <w:rPr>
            <w:rFonts w:ascii="David" w:hAnsi="David" w:cs="David"/>
            <w:color w:val="0000FF"/>
            <w:sz w:val="24"/>
            <w:szCs w:val="24"/>
            <w:u w:val="single"/>
            <w:rtl/>
          </w:rPr>
          <w:t>ע"פ 5374/20</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פסקה 12 (16.10.2021)).</w:t>
      </w:r>
    </w:p>
    <w:p w14:paraId="1AC28FAA" w14:textId="77777777" w:rsidR="005F2F8B" w:rsidRDefault="005F2F8B" w:rsidP="005F2F8B">
      <w:pPr>
        <w:pStyle w:val="a9"/>
        <w:numPr>
          <w:ilvl w:val="0"/>
          <w:numId w:val="1"/>
        </w:numPr>
        <w:spacing w:before="240" w:line="360" w:lineRule="auto"/>
        <w:jc w:val="both"/>
        <w:rPr>
          <w:rFonts w:ascii="David" w:hAnsi="David" w:cs="David"/>
          <w:sz w:val="24"/>
          <w:szCs w:val="24"/>
        </w:rPr>
      </w:pPr>
      <w:r>
        <w:rPr>
          <w:rFonts w:ascii="David" w:hAnsi="David" w:cs="David"/>
          <w:sz w:val="24"/>
          <w:szCs w:val="24"/>
          <w:rtl/>
        </w:rPr>
        <w:t xml:space="preserve">לאחר שמיעת עדותו של ד"ר גרבר </w:t>
      </w:r>
      <w:r>
        <w:rPr>
          <w:rFonts w:ascii="David" w:hAnsi="David" w:cs="David"/>
          <w:b/>
          <w:bCs/>
          <w:sz w:val="24"/>
          <w:szCs w:val="24"/>
          <w:rtl/>
        </w:rPr>
        <w:t xml:space="preserve">אין </w:t>
      </w:r>
      <w:r>
        <w:rPr>
          <w:rFonts w:ascii="David" w:hAnsi="David" w:cs="David"/>
          <w:sz w:val="24"/>
          <w:szCs w:val="24"/>
          <w:rtl/>
        </w:rPr>
        <w:t xml:space="preserve">ניתן לומר, כי ההגנה עמדה בנטל ההוכחה להתקיימות נסיבה מקילה הקשורה בביצוע העבירה (בין לפי </w:t>
      </w:r>
      <w:hyperlink r:id="rId80" w:history="1">
        <w:r w:rsidR="00A8336C" w:rsidRPr="00A8336C">
          <w:rPr>
            <w:rStyle w:val="Hyperlink"/>
            <w:rFonts w:ascii="David" w:hAnsi="David" w:cs="David"/>
            <w:sz w:val="24"/>
            <w:szCs w:val="24"/>
            <w:rtl/>
          </w:rPr>
          <w:t>סעיף 40ט(א)(7)</w:t>
        </w:r>
      </w:hyperlink>
      <w:r>
        <w:rPr>
          <w:rFonts w:ascii="David" w:hAnsi="David" w:cs="David"/>
          <w:sz w:val="24"/>
          <w:szCs w:val="24"/>
          <w:rtl/>
        </w:rPr>
        <w:t xml:space="preserve"> ובין לפי </w:t>
      </w:r>
      <w:hyperlink r:id="rId81" w:history="1">
        <w:r w:rsidR="00A8336C" w:rsidRPr="00A8336C">
          <w:rPr>
            <w:rStyle w:val="Hyperlink"/>
            <w:rFonts w:ascii="David" w:hAnsi="David" w:cs="David"/>
            <w:sz w:val="24"/>
            <w:szCs w:val="24"/>
            <w:rtl/>
          </w:rPr>
          <w:t>סעיף 40ט(א)(9)</w:t>
        </w:r>
      </w:hyperlink>
      <w:r>
        <w:rPr>
          <w:rFonts w:ascii="David" w:hAnsi="David" w:cs="David"/>
          <w:sz w:val="24"/>
          <w:szCs w:val="24"/>
          <w:rtl/>
        </w:rPr>
        <w:t xml:space="preserve"> ל</w:t>
      </w:r>
      <w:hyperlink r:id="rId82" w:history="1">
        <w:r w:rsidR="001023CE" w:rsidRPr="001023CE">
          <w:rPr>
            <w:rFonts w:ascii="David" w:hAnsi="David" w:cs="David"/>
            <w:color w:val="0000FF"/>
            <w:sz w:val="24"/>
            <w:szCs w:val="24"/>
            <w:u w:val="single"/>
            <w:rtl/>
          </w:rPr>
          <w:t>חוק העונשין</w:t>
        </w:r>
      </w:hyperlink>
      <w:r>
        <w:rPr>
          <w:rFonts w:ascii="David" w:hAnsi="David" w:cs="David"/>
          <w:sz w:val="24"/>
          <w:szCs w:val="24"/>
          <w:rtl/>
        </w:rPr>
        <w:t xml:space="preserve">). אבאר את הדבר. </w:t>
      </w:r>
    </w:p>
    <w:p w14:paraId="350E1B5D" w14:textId="77777777" w:rsidR="005F2F8B" w:rsidRDefault="005F2F8B" w:rsidP="005F2F8B">
      <w:pPr>
        <w:pStyle w:val="a9"/>
        <w:spacing w:before="240" w:line="360" w:lineRule="auto"/>
        <w:jc w:val="both"/>
        <w:rPr>
          <w:rFonts w:ascii="David" w:hAnsi="David" w:cs="David"/>
          <w:sz w:val="24"/>
          <w:szCs w:val="24"/>
          <w:rtl/>
        </w:rPr>
      </w:pPr>
    </w:p>
    <w:p w14:paraId="793C97DF" w14:textId="77777777" w:rsidR="005F2F8B" w:rsidRDefault="005F2F8B" w:rsidP="005F2F8B">
      <w:pPr>
        <w:pStyle w:val="a9"/>
        <w:numPr>
          <w:ilvl w:val="0"/>
          <w:numId w:val="1"/>
        </w:numPr>
        <w:spacing w:before="240" w:line="360" w:lineRule="auto"/>
        <w:jc w:val="both"/>
        <w:rPr>
          <w:rFonts w:ascii="David" w:hAnsi="David" w:cs="David"/>
          <w:sz w:val="24"/>
          <w:szCs w:val="24"/>
          <w:rtl/>
        </w:rPr>
      </w:pPr>
      <w:r>
        <w:rPr>
          <w:rFonts w:ascii="David" w:hAnsi="David" w:cs="David"/>
          <w:sz w:val="24"/>
          <w:szCs w:val="24"/>
          <w:rtl/>
        </w:rPr>
        <w:t xml:space="preserve">כידוע, עדותו של עד מומחה נבחנת על ידי בית המשפט בשני מישורים: </w:t>
      </w:r>
    </w:p>
    <w:p w14:paraId="249B4518" w14:textId="77777777" w:rsidR="005F2F8B" w:rsidRDefault="005F2F8B" w:rsidP="005F2F8B">
      <w:pPr>
        <w:pStyle w:val="a9"/>
        <w:spacing w:line="240" w:lineRule="auto"/>
        <w:ind w:left="1644" w:right="1281"/>
        <w:jc w:val="both"/>
        <w:rPr>
          <w:rFonts w:ascii="David" w:hAnsi="David" w:cs="David"/>
          <w:sz w:val="24"/>
          <w:szCs w:val="24"/>
          <w:rtl/>
        </w:rPr>
      </w:pPr>
      <w:r>
        <w:rPr>
          <w:rFonts w:ascii="David" w:hAnsi="David" w:cs="David"/>
          <w:sz w:val="24"/>
          <w:szCs w:val="24"/>
          <w:rtl/>
        </w:rPr>
        <w:t xml:space="preserve">"מישור המהימנות האישית – במסגרתו נבחנת מהימנותו של המומחה ככל עד אחר; ומישור האמינות המקצועית – במסגרתו נבחנים רמתו המקצועית של המומחה, </w:t>
      </w:r>
      <w:r>
        <w:rPr>
          <w:rFonts w:ascii="David" w:hAnsi="David" w:cs="David"/>
          <w:b/>
          <w:bCs/>
          <w:sz w:val="24"/>
          <w:szCs w:val="24"/>
          <w:rtl/>
        </w:rPr>
        <w:t>וטיב ואופי הבדיקה או הבירור האחר שערך ואשר מכוחם הגיע למסקנותיו.</w:t>
      </w:r>
      <w:r>
        <w:rPr>
          <w:rFonts w:ascii="David" w:hAnsi="David" w:cs="David"/>
          <w:sz w:val="24"/>
          <w:szCs w:val="24"/>
          <w:rtl/>
        </w:rPr>
        <w:t xml:space="preserve"> על פי שנים אלה נקבעת בדרך כלל יכולתו של בית המשפט לאמץ את חוות דעתו ולסמוך עליה ממצאים לצרכי הכרעה בהליך המשפטי שבמסגרתו הוגשה חוות הדעת כראיה" (</w:t>
      </w:r>
      <w:hyperlink r:id="rId83" w:history="1">
        <w:r w:rsidR="001023CE" w:rsidRPr="001023CE">
          <w:rPr>
            <w:rFonts w:ascii="David" w:hAnsi="David" w:cs="David"/>
            <w:color w:val="0000FF"/>
            <w:sz w:val="24"/>
            <w:szCs w:val="24"/>
            <w:u w:val="single"/>
            <w:rtl/>
          </w:rPr>
          <w:t>ע"פ 1839/92</w:t>
        </w:r>
      </w:hyperlink>
      <w:r>
        <w:rPr>
          <w:rFonts w:ascii="David" w:hAnsi="David" w:cs="David"/>
          <w:sz w:val="24"/>
          <w:szCs w:val="24"/>
          <w:rtl/>
        </w:rPr>
        <w:t xml:space="preserve"> </w:t>
      </w:r>
      <w:r>
        <w:rPr>
          <w:rFonts w:ascii="David" w:hAnsi="David" w:cs="David"/>
          <w:b/>
          <w:bCs/>
          <w:sz w:val="24"/>
          <w:szCs w:val="24"/>
          <w:rtl/>
        </w:rPr>
        <w:t>אשקר נ' מדינת ישראל</w:t>
      </w:r>
      <w:r>
        <w:rPr>
          <w:rFonts w:ascii="David" w:hAnsi="David" w:cs="David"/>
          <w:sz w:val="24"/>
          <w:szCs w:val="24"/>
          <w:rtl/>
        </w:rPr>
        <w:t xml:space="preserve">, פסקה 4(2) (4.9.1994); ראו גם: </w:t>
      </w:r>
      <w:hyperlink r:id="rId84" w:history="1">
        <w:r w:rsidR="001023CE" w:rsidRPr="001023CE">
          <w:rPr>
            <w:rFonts w:ascii="David" w:hAnsi="David" w:cs="David"/>
            <w:color w:val="0000FF"/>
            <w:sz w:val="24"/>
            <w:szCs w:val="24"/>
            <w:u w:val="single"/>
            <w:rtl/>
          </w:rPr>
          <w:t>ע"פ 3965/22</w:t>
        </w:r>
      </w:hyperlink>
      <w:r>
        <w:rPr>
          <w:rFonts w:ascii="David" w:hAnsi="David" w:cs="David"/>
          <w:sz w:val="24"/>
          <w:szCs w:val="24"/>
          <w:rtl/>
        </w:rPr>
        <w:t xml:space="preserve"> </w:t>
      </w:r>
      <w:r>
        <w:rPr>
          <w:rFonts w:ascii="David" w:hAnsi="David" w:cs="David"/>
          <w:b/>
          <w:bCs/>
          <w:sz w:val="24"/>
          <w:szCs w:val="24"/>
          <w:rtl/>
        </w:rPr>
        <w:t>טל נ' מדינת ישראל</w:t>
      </w:r>
      <w:r>
        <w:rPr>
          <w:rFonts w:ascii="David" w:hAnsi="David" w:cs="David"/>
          <w:sz w:val="24"/>
          <w:szCs w:val="24"/>
          <w:rtl/>
        </w:rPr>
        <w:t>, פסקה 33 (30.3.2023))</w:t>
      </w:r>
      <w:r>
        <w:rPr>
          <w:rFonts w:ascii="David" w:hAnsi="David" w:cs="David" w:hint="cs"/>
          <w:sz w:val="24"/>
          <w:szCs w:val="24"/>
          <w:rtl/>
        </w:rPr>
        <w:t>.</w:t>
      </w:r>
    </w:p>
    <w:p w14:paraId="73B65F97" w14:textId="77777777" w:rsidR="005F2F8B" w:rsidRDefault="005F2F8B" w:rsidP="005F2F8B">
      <w:pPr>
        <w:pStyle w:val="a9"/>
        <w:spacing w:line="240" w:lineRule="auto"/>
        <w:ind w:left="1644" w:right="1281"/>
        <w:jc w:val="both"/>
        <w:rPr>
          <w:rFonts w:ascii="David" w:hAnsi="David" w:cs="David"/>
          <w:sz w:val="24"/>
          <w:szCs w:val="24"/>
          <w:rtl/>
        </w:rPr>
      </w:pPr>
    </w:p>
    <w:p w14:paraId="367E14B3" w14:textId="77777777" w:rsidR="005F2F8B" w:rsidRDefault="005F2F8B" w:rsidP="005F2F8B">
      <w:pPr>
        <w:pStyle w:val="a9"/>
        <w:numPr>
          <w:ilvl w:val="0"/>
          <w:numId w:val="1"/>
        </w:numPr>
        <w:spacing w:before="240" w:line="360" w:lineRule="auto"/>
        <w:ind w:left="657"/>
        <w:jc w:val="both"/>
        <w:rPr>
          <w:rFonts w:ascii="David" w:hAnsi="David" w:cs="David"/>
          <w:sz w:val="24"/>
          <w:szCs w:val="24"/>
        </w:rPr>
      </w:pPr>
      <w:r>
        <w:rPr>
          <w:rFonts w:ascii="David" w:hAnsi="David" w:cs="David"/>
          <w:sz w:val="24"/>
          <w:szCs w:val="24"/>
          <w:rtl/>
        </w:rPr>
        <w:t xml:space="preserve">כמובא לעיל, בחוות דעתו הסתמך ד"ר גרבר בעיקר על דברי הנאשם. העדרו של מידע מהותי ורלוונטי נוסף בפני ד"ר גרבר משליך על האפשרות להסתמך על חוות דעתו. אזכיר כי לנאשם אין רקע פסיכיאטרי ואף בבדיקתו בשנת 2021 בבית חולים אברבנאל לא נמצאה עילה להתערבות פסיכיאטרית. בנסיבות אלה מצופה היה שהמומחה יעמיק בהבנת ההתוויה הרפואית, שבעקבותיה, סמוך לאחר מעצרו, הוחל בטיפול תרופתי לנאשם. כאמור, המומחה ציין בהגינותו כי האבחנה הרפואית שניתנה בשב"ס אינה ידועה לו וממילא לא יכול היה לשתף בכך את בית המשפט. בנוסף, לנגד עיני המומחה לא היה חומר החקירה, שבו עדויות עדי ראייה אשר עשויות היו לתרום להבנת התנהגות הנאשם והלך רוחו בעת האירוע (סעיף 9 לעיל). לכך הצטרפה העובדה, שבקיאות המומחה בעברו של הנאשם הייתה מצומצמת (סעיף 9 לעיל). כמו כן, עלו אי דיוקים בחוות דעתו של ד"ר גרבר. כך, נכתב בחוות הדעת כי הנאשם "במשך כמעט 20 שנה, </w:t>
      </w:r>
      <w:r>
        <w:rPr>
          <w:rFonts w:ascii="David" w:hAnsi="David" w:cs="David"/>
          <w:b/>
          <w:bCs/>
          <w:sz w:val="24"/>
          <w:szCs w:val="24"/>
          <w:rtl/>
        </w:rPr>
        <w:t>נמנע מכל סיטואציה אלימה</w:t>
      </w:r>
      <w:r>
        <w:rPr>
          <w:rFonts w:ascii="David" w:hAnsi="David" w:cs="David"/>
          <w:sz w:val="24"/>
          <w:szCs w:val="24"/>
          <w:rtl/>
        </w:rPr>
        <w:t xml:space="preserve">..." וכן כי "משך כל תקופה זאת, מר גרינפלד </w:t>
      </w:r>
      <w:r>
        <w:rPr>
          <w:rFonts w:ascii="David" w:hAnsi="David" w:cs="David"/>
          <w:b/>
          <w:bCs/>
          <w:sz w:val="24"/>
          <w:szCs w:val="24"/>
          <w:rtl/>
        </w:rPr>
        <w:t>שנמנע מכל עימות או סיכון לקונפרונטציה</w:t>
      </w:r>
      <w:r>
        <w:rPr>
          <w:rFonts w:ascii="David" w:hAnsi="David" w:cs="David"/>
          <w:sz w:val="24"/>
          <w:szCs w:val="24"/>
          <w:rtl/>
        </w:rPr>
        <w:t>..." (שם, בעמ' 9). זאת, בעוד שמגיליון רישומו הפלילי עולה תמונה אחרת, ואף הנאשם ציין בפני ד"ר גרבר, שבשנת 2012 היה לו "אירוע" שבו ראה "מסך שחור" ותקף אדם אחר (שם, בעמ' 5). אזכיר מושכלות ראשונים: "למסד העובדתי שעליו נשענת חוות דעת המומחה חשיבות רבה ואף מכרעת, וכי על האנמנזה עליה מבוססת חוות דעת פסיכיאטרית להיות מעוגנת בעובדות בדוקות" (</w:t>
      </w:r>
      <w:hyperlink r:id="rId85" w:history="1">
        <w:r w:rsidR="001023CE" w:rsidRPr="001023CE">
          <w:rPr>
            <w:rFonts w:ascii="David" w:hAnsi="David" w:cs="David"/>
            <w:color w:val="0000FF"/>
            <w:sz w:val="24"/>
            <w:szCs w:val="24"/>
            <w:u w:val="single"/>
            <w:rtl/>
          </w:rPr>
          <w:t>ע"פ 7396/15</w:t>
        </w:r>
      </w:hyperlink>
      <w:r>
        <w:rPr>
          <w:rFonts w:ascii="David" w:hAnsi="David" w:cs="David"/>
          <w:sz w:val="24"/>
          <w:szCs w:val="24"/>
          <w:rtl/>
        </w:rPr>
        <w:t xml:space="preserve"> </w:t>
      </w:r>
      <w:r>
        <w:rPr>
          <w:rFonts w:ascii="David" w:hAnsi="David" w:cs="David"/>
          <w:b/>
          <w:bCs/>
          <w:sz w:val="24"/>
          <w:szCs w:val="24"/>
          <w:rtl/>
        </w:rPr>
        <w:t>גדליה נ' מדינת ישראל</w:t>
      </w:r>
      <w:r>
        <w:rPr>
          <w:rFonts w:ascii="David" w:hAnsi="David" w:cs="David"/>
          <w:sz w:val="24"/>
          <w:szCs w:val="24"/>
          <w:rtl/>
        </w:rPr>
        <w:t>,  פסקה 35 (13.6.2017)). קל וחומר במקרה כבענייננו, שבו מציין העד המומחה כי קיימת "אבחנה מבדלת מאוד רחבה" (בעמ' 11 לחוות הדעת).</w:t>
      </w:r>
    </w:p>
    <w:p w14:paraId="1DECDFC9" w14:textId="77777777" w:rsidR="005F2F8B" w:rsidRDefault="005F2F8B" w:rsidP="005F2F8B">
      <w:pPr>
        <w:pStyle w:val="a9"/>
        <w:spacing w:before="240" w:line="360" w:lineRule="auto"/>
        <w:ind w:left="657"/>
        <w:jc w:val="both"/>
        <w:rPr>
          <w:rFonts w:ascii="David" w:hAnsi="David" w:cs="David"/>
          <w:sz w:val="24"/>
          <w:szCs w:val="24"/>
          <w:rtl/>
        </w:rPr>
      </w:pPr>
    </w:p>
    <w:p w14:paraId="2351E3CF" w14:textId="77777777" w:rsidR="005F2F8B" w:rsidRDefault="005F2F8B" w:rsidP="005F2F8B">
      <w:pPr>
        <w:pStyle w:val="a9"/>
        <w:numPr>
          <w:ilvl w:val="0"/>
          <w:numId w:val="1"/>
        </w:numPr>
        <w:spacing w:before="240" w:line="360" w:lineRule="auto"/>
        <w:jc w:val="both"/>
        <w:rPr>
          <w:rFonts w:ascii="David" w:hAnsi="David" w:cs="David"/>
          <w:sz w:val="24"/>
          <w:szCs w:val="24"/>
          <w:rtl/>
        </w:rPr>
      </w:pPr>
      <w:r>
        <w:rPr>
          <w:rFonts w:ascii="David" w:hAnsi="David" w:cs="David"/>
          <w:sz w:val="24"/>
          <w:szCs w:val="24"/>
          <w:rtl/>
        </w:rPr>
        <w:t>זאת ועוד, אבחנתו של המומחה מעוררת קושי נוסף. זאת, נוכח הקריטריונים הקבועים בספר האבחנות הפסיכיאטריות האמריקאי, המאבחן ומסווג את הפרעות הנפש לפי תסמיניהן</w:t>
      </w:r>
      <w:r>
        <w:rPr>
          <w:rFonts w:ascii="David" w:hAnsi="David" w:cs="David"/>
          <w:sz w:val="24"/>
          <w:szCs w:val="24"/>
        </w:rPr>
        <w:t xml:space="preserve"> </w:t>
      </w:r>
      <w:r>
        <w:rPr>
          <w:rFonts w:ascii="David" w:hAnsi="David" w:cs="David"/>
          <w:sz w:val="24"/>
          <w:szCs w:val="24"/>
          <w:rtl/>
        </w:rPr>
        <w:t>(</w:t>
      </w:r>
      <w:r>
        <w:rPr>
          <w:rFonts w:ascii="David" w:hAnsi="David" w:cs="David"/>
          <w:sz w:val="24"/>
          <w:szCs w:val="24"/>
        </w:rPr>
        <w:t>DSM-5</w:t>
      </w:r>
      <w:r>
        <w:rPr>
          <w:rFonts w:ascii="David" w:hAnsi="David" w:cs="David"/>
          <w:sz w:val="24"/>
          <w:szCs w:val="24"/>
          <w:rtl/>
        </w:rPr>
        <w:t>)</w:t>
      </w:r>
      <w:r>
        <w:rPr>
          <w:rFonts w:ascii="David" w:hAnsi="David" w:cs="David"/>
          <w:sz w:val="24"/>
          <w:szCs w:val="24"/>
        </w:rPr>
        <w:t xml:space="preserve"> </w:t>
      </w:r>
      <w:r>
        <w:rPr>
          <w:rFonts w:ascii="David" w:hAnsi="David" w:cs="David"/>
          <w:sz w:val="24"/>
          <w:szCs w:val="24"/>
          <w:rtl/>
        </w:rPr>
        <w:t>ואשר אליו הפנה ד"ר גרבר. בחוות דעתו מצטט ד"ר גרבר את הקריטריונים לאבחנה של</w:t>
      </w:r>
      <w:r>
        <w:rPr>
          <w:rFonts w:ascii="David" w:hAnsi="David" w:cs="David"/>
          <w:sz w:val="24"/>
          <w:szCs w:val="24"/>
        </w:rPr>
        <w:t xml:space="preserve">Intermittent Explosive Disorder </w:t>
      </w:r>
      <w:r>
        <w:rPr>
          <w:rFonts w:ascii="David" w:hAnsi="David" w:cs="David"/>
          <w:sz w:val="24"/>
          <w:szCs w:val="24"/>
          <w:rtl/>
        </w:rPr>
        <w:t xml:space="preserve"> על-פי ה-</w:t>
      </w:r>
      <w:r>
        <w:rPr>
          <w:rFonts w:ascii="David" w:hAnsi="David" w:cs="David"/>
          <w:sz w:val="24"/>
          <w:szCs w:val="24"/>
        </w:rPr>
        <w:t>DSM-5</w:t>
      </w:r>
      <w:r>
        <w:rPr>
          <w:rFonts w:ascii="David" w:hAnsi="David" w:cs="David"/>
          <w:sz w:val="24"/>
          <w:szCs w:val="24"/>
          <w:rtl/>
        </w:rPr>
        <w:t xml:space="preserve"> </w:t>
      </w:r>
      <w:r>
        <w:rPr>
          <w:rFonts w:ascii="David" w:hAnsi="David" w:cs="David" w:hint="cs"/>
          <w:sz w:val="24"/>
          <w:szCs w:val="24"/>
          <w:rtl/>
        </w:rPr>
        <w:t>כדלהלן:</w:t>
      </w:r>
    </w:p>
    <w:p w14:paraId="179D421C" w14:textId="77777777" w:rsidR="005F2F8B" w:rsidRDefault="005F2F8B" w:rsidP="005F2F8B">
      <w:pPr>
        <w:pStyle w:val="a9"/>
        <w:spacing w:line="360" w:lineRule="auto"/>
        <w:ind w:left="1644" w:right="1281"/>
        <w:jc w:val="both"/>
        <w:rPr>
          <w:rFonts w:ascii="David" w:hAnsi="David" w:cs="David"/>
          <w:sz w:val="24"/>
          <w:szCs w:val="24"/>
        </w:rPr>
      </w:pPr>
      <w:r>
        <w:rPr>
          <w:rFonts w:ascii="David" w:hAnsi="David" w:cs="David"/>
          <w:b/>
          <w:bCs/>
          <w:sz w:val="24"/>
          <w:szCs w:val="24"/>
          <w:rtl/>
        </w:rPr>
        <w:t>"</w:t>
      </w:r>
      <w:r>
        <w:rPr>
          <w:rFonts w:ascii="David" w:hAnsi="David" w:cs="David"/>
          <w:sz w:val="24"/>
          <w:szCs w:val="24"/>
        </w:rPr>
        <w:t>A</w:t>
      </w:r>
      <w:r>
        <w:rPr>
          <w:rFonts w:ascii="David" w:hAnsi="David" w:cs="David"/>
          <w:sz w:val="24"/>
          <w:szCs w:val="24"/>
          <w:rtl/>
        </w:rPr>
        <w:t xml:space="preserve">. התפרצויות עם דפוס </w:t>
      </w:r>
      <w:r>
        <w:rPr>
          <w:rFonts w:ascii="David" w:hAnsi="David" w:cs="David"/>
          <w:b/>
          <w:bCs/>
          <w:sz w:val="24"/>
          <w:szCs w:val="24"/>
          <w:rtl/>
        </w:rPr>
        <w:t>חוזר ונשנה</w:t>
      </w:r>
      <w:r>
        <w:rPr>
          <w:rFonts w:ascii="David" w:hAnsi="David" w:cs="David"/>
          <w:sz w:val="24"/>
          <w:szCs w:val="24"/>
          <w:rtl/>
        </w:rPr>
        <w:t xml:space="preserve">,... אשר מתבטאים </w:t>
      </w:r>
      <w:r>
        <w:rPr>
          <w:rFonts w:ascii="David" w:hAnsi="David" w:cs="David"/>
          <w:b/>
          <w:bCs/>
          <w:sz w:val="24"/>
          <w:szCs w:val="24"/>
          <w:rtl/>
        </w:rPr>
        <w:t>באחת</w:t>
      </w:r>
      <w:r>
        <w:rPr>
          <w:rFonts w:ascii="David" w:hAnsi="David" w:cs="David"/>
          <w:sz w:val="24"/>
          <w:szCs w:val="24"/>
          <w:rtl/>
        </w:rPr>
        <w:t xml:space="preserve"> מבין </w:t>
      </w:r>
      <w:r>
        <w:rPr>
          <w:rFonts w:ascii="David" w:hAnsi="David" w:cs="David"/>
          <w:b/>
          <w:bCs/>
          <w:sz w:val="24"/>
          <w:szCs w:val="24"/>
          <w:rtl/>
        </w:rPr>
        <w:t>שתי</w:t>
      </w:r>
      <w:r>
        <w:rPr>
          <w:rFonts w:ascii="David" w:hAnsi="David" w:cs="David"/>
          <w:sz w:val="24"/>
          <w:szCs w:val="24"/>
          <w:rtl/>
        </w:rPr>
        <w:t xml:space="preserve"> הצורות:</w:t>
      </w:r>
    </w:p>
    <w:p w14:paraId="06FDF1B6" w14:textId="77777777" w:rsidR="005F2F8B" w:rsidRDefault="005F2F8B" w:rsidP="005F2F8B">
      <w:pPr>
        <w:pStyle w:val="a9"/>
        <w:numPr>
          <w:ilvl w:val="0"/>
          <w:numId w:val="2"/>
        </w:numPr>
        <w:spacing w:line="240" w:lineRule="auto"/>
        <w:ind w:left="1644" w:right="1281" w:firstLine="0"/>
        <w:jc w:val="both"/>
        <w:rPr>
          <w:rFonts w:ascii="David" w:hAnsi="David" w:cs="David"/>
          <w:sz w:val="24"/>
          <w:szCs w:val="24"/>
          <w:rtl/>
        </w:rPr>
      </w:pPr>
      <w:r>
        <w:rPr>
          <w:rFonts w:ascii="David" w:hAnsi="David" w:cs="David"/>
          <w:sz w:val="24"/>
          <w:szCs w:val="24"/>
          <w:rtl/>
        </w:rPr>
        <w:t xml:space="preserve">אלימות מילולית (התפרצויות זעם....) או תוקפנות פיזית ...., אשר מתרחש </w:t>
      </w:r>
      <w:r>
        <w:rPr>
          <w:rFonts w:ascii="David" w:hAnsi="David" w:cs="David"/>
          <w:b/>
          <w:bCs/>
          <w:sz w:val="24"/>
          <w:szCs w:val="24"/>
          <w:rtl/>
        </w:rPr>
        <w:t>לפחות פעמיים בשבוע למשך תקופה של שלושה חודשים</w:t>
      </w:r>
      <w:r>
        <w:rPr>
          <w:rFonts w:ascii="David" w:hAnsi="David" w:cs="David"/>
          <w:sz w:val="24"/>
          <w:szCs w:val="24"/>
          <w:rtl/>
        </w:rPr>
        <w:t>.</w:t>
      </w:r>
    </w:p>
    <w:p w14:paraId="572E75CF" w14:textId="77777777" w:rsidR="005F2F8B" w:rsidRDefault="005F2F8B" w:rsidP="005F2F8B">
      <w:pPr>
        <w:pStyle w:val="a9"/>
        <w:numPr>
          <w:ilvl w:val="0"/>
          <w:numId w:val="2"/>
        </w:numPr>
        <w:spacing w:line="240" w:lineRule="auto"/>
        <w:ind w:left="1644" w:right="1281" w:firstLine="0"/>
        <w:jc w:val="both"/>
        <w:rPr>
          <w:rFonts w:ascii="David" w:hAnsi="David" w:cs="David"/>
          <w:sz w:val="24"/>
          <w:szCs w:val="24"/>
        </w:rPr>
      </w:pPr>
      <w:r>
        <w:rPr>
          <w:rFonts w:ascii="David" w:hAnsi="David" w:cs="David"/>
          <w:b/>
          <w:bCs/>
          <w:sz w:val="24"/>
          <w:szCs w:val="24"/>
          <w:rtl/>
        </w:rPr>
        <w:t>שלוש התפרצויות</w:t>
      </w:r>
      <w:r>
        <w:rPr>
          <w:rFonts w:ascii="David" w:hAnsi="David" w:cs="David"/>
          <w:sz w:val="24"/>
          <w:szCs w:val="24"/>
          <w:rtl/>
        </w:rPr>
        <w:t xml:space="preserve"> </w:t>
      </w:r>
      <w:r>
        <w:rPr>
          <w:rFonts w:ascii="David" w:hAnsi="David" w:cs="David"/>
          <w:b/>
          <w:bCs/>
          <w:sz w:val="24"/>
          <w:szCs w:val="24"/>
          <w:rtl/>
        </w:rPr>
        <w:t>זעם</w:t>
      </w:r>
      <w:r>
        <w:rPr>
          <w:rFonts w:ascii="David" w:hAnsi="David" w:cs="David"/>
          <w:sz w:val="24"/>
          <w:szCs w:val="24"/>
          <w:rtl/>
        </w:rPr>
        <w:t xml:space="preserve"> אשר כוללות בתוכן,...פגיעה פיזית אשר כוללת בתוכה פציעה פיזית ממשית..., אשר מתרחשות </w:t>
      </w:r>
      <w:r>
        <w:rPr>
          <w:rFonts w:ascii="David" w:hAnsi="David" w:cs="David"/>
          <w:b/>
          <w:bCs/>
          <w:sz w:val="24"/>
          <w:szCs w:val="24"/>
          <w:rtl/>
        </w:rPr>
        <w:t>בתוך תקופת זמן של 12 חודשים</w:t>
      </w:r>
      <w:r>
        <w:rPr>
          <w:rFonts w:ascii="David" w:hAnsi="David" w:cs="David"/>
          <w:sz w:val="24"/>
          <w:szCs w:val="24"/>
          <w:rtl/>
        </w:rPr>
        <w:t>."</w:t>
      </w:r>
    </w:p>
    <w:p w14:paraId="2C6A63DC" w14:textId="77777777" w:rsidR="005F2F8B" w:rsidRDefault="005F2F8B" w:rsidP="005F2F8B">
      <w:pPr>
        <w:pStyle w:val="a9"/>
        <w:spacing w:before="240" w:line="360" w:lineRule="auto"/>
        <w:jc w:val="both"/>
        <w:rPr>
          <w:rFonts w:ascii="David" w:hAnsi="David" w:cs="David"/>
          <w:sz w:val="24"/>
          <w:szCs w:val="24"/>
        </w:rPr>
      </w:pPr>
      <w:r>
        <w:rPr>
          <w:rFonts w:ascii="David" w:hAnsi="David" w:cs="David"/>
          <w:sz w:val="24"/>
          <w:szCs w:val="24"/>
          <w:rtl/>
        </w:rPr>
        <w:t xml:space="preserve">על פי הנתונים שהוצגו לפניי, בענייננו לא התקיימו הקריטריונים האמורים, שכן בעניינו של הנאשם אין המדובר בהתנהגות אלימה חוזרת ונשנית בטווחי הזמן הנזכרים בהגדרה. </w:t>
      </w:r>
    </w:p>
    <w:p w14:paraId="0885CAB6"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sz w:val="24"/>
          <w:szCs w:val="24"/>
          <w:rtl/>
        </w:rPr>
        <w:t xml:space="preserve">כללו של דבר, אין בידי לקבל את טיעון ההגנה ככל שהוא נוגע להתחשבות במצבו הנפשי של הנאשם לעניין </w:t>
      </w:r>
      <w:r>
        <w:rPr>
          <w:rFonts w:ascii="David" w:hAnsi="David" w:cs="David"/>
          <w:b/>
          <w:bCs/>
          <w:sz w:val="24"/>
          <w:szCs w:val="24"/>
          <w:rtl/>
        </w:rPr>
        <w:t>קביעת מתחם הענישה</w:t>
      </w:r>
      <w:r>
        <w:rPr>
          <w:rFonts w:ascii="David" w:hAnsi="David" w:cs="David"/>
          <w:sz w:val="24"/>
          <w:szCs w:val="24"/>
          <w:rtl/>
        </w:rPr>
        <w:t xml:space="preserve">. </w:t>
      </w:r>
    </w:p>
    <w:p w14:paraId="0FBE6F27" w14:textId="77777777" w:rsidR="005F2F8B" w:rsidRDefault="005F2F8B" w:rsidP="005F2F8B">
      <w:pPr>
        <w:spacing w:before="240"/>
        <w:ind w:left="360"/>
        <w:rPr>
          <w:rFonts w:ascii="David" w:hAnsi="David"/>
          <w:b/>
          <w:bCs/>
        </w:rPr>
      </w:pPr>
      <w:r>
        <w:rPr>
          <w:rFonts w:ascii="David" w:hAnsi="David"/>
          <w:b/>
          <w:bCs/>
          <w:rtl/>
        </w:rPr>
        <w:t>מדיניות הענישה הנוהגת</w:t>
      </w:r>
    </w:p>
    <w:p w14:paraId="17BAE624" w14:textId="77777777" w:rsidR="005F2F8B" w:rsidRDefault="005F2F8B" w:rsidP="005F2F8B">
      <w:pPr>
        <w:pStyle w:val="a9"/>
        <w:numPr>
          <w:ilvl w:val="0"/>
          <w:numId w:val="1"/>
        </w:numPr>
        <w:spacing w:before="240" w:line="360" w:lineRule="auto"/>
        <w:jc w:val="both"/>
        <w:rPr>
          <w:rFonts w:ascii="David" w:hAnsi="David" w:cs="David"/>
          <w:sz w:val="24"/>
          <w:szCs w:val="24"/>
          <w:rtl/>
        </w:rPr>
      </w:pPr>
      <w:r>
        <w:rPr>
          <w:rFonts w:ascii="David" w:hAnsi="David" w:cs="David"/>
          <w:sz w:val="24"/>
          <w:szCs w:val="24"/>
          <w:rtl/>
        </w:rPr>
        <w:t xml:space="preserve">בית המשפט העליון עמד לא אחת על החומרה שבביצוע עבירות אלימות, ושב והדגיש כי יש להשית עונשי מאסר משמעותיים על עבריינים המבצעים עבירות אלימות בכלל, ועל מי שביצע עבירה של חבלה חמורה בנסיבות מחמירות בפרט (ראו, למשל: </w:t>
      </w:r>
      <w:hyperlink r:id="rId86" w:history="1">
        <w:r w:rsidR="001023CE" w:rsidRPr="001023CE">
          <w:rPr>
            <w:rFonts w:ascii="David" w:hAnsi="David" w:cs="David"/>
            <w:color w:val="0000FF"/>
            <w:sz w:val="24"/>
            <w:szCs w:val="24"/>
            <w:u w:val="single"/>
            <w:rtl/>
          </w:rPr>
          <w:t>ע"פ 8244/17</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פסקה 13 (21.6.2018); </w:t>
      </w:r>
      <w:hyperlink r:id="rId87" w:history="1">
        <w:r w:rsidR="001023CE" w:rsidRPr="001023CE">
          <w:rPr>
            <w:rFonts w:ascii="David" w:hAnsi="David" w:cs="David"/>
            <w:color w:val="0000FF"/>
            <w:sz w:val="24"/>
            <w:szCs w:val="24"/>
            <w:u w:val="single"/>
            <w:rtl/>
          </w:rPr>
          <w:t>ע"פ 7475/14</w:t>
        </w:r>
      </w:hyperlink>
      <w:r>
        <w:rPr>
          <w:rFonts w:ascii="David" w:hAnsi="David" w:cs="David"/>
          <w:sz w:val="24"/>
          <w:szCs w:val="24"/>
          <w:rtl/>
        </w:rPr>
        <w:t xml:space="preserve"> </w:t>
      </w:r>
      <w:r>
        <w:rPr>
          <w:rFonts w:ascii="David" w:hAnsi="David" w:cs="David"/>
          <w:b/>
          <w:bCs/>
          <w:sz w:val="24"/>
          <w:szCs w:val="24"/>
          <w:rtl/>
        </w:rPr>
        <w:t>מהדי נ' מדינת ישראל</w:t>
      </w:r>
      <w:r>
        <w:rPr>
          <w:rFonts w:ascii="David" w:hAnsi="David" w:cs="David"/>
          <w:sz w:val="24"/>
          <w:szCs w:val="24"/>
          <w:rtl/>
        </w:rPr>
        <w:t xml:space="preserve">, פסקה 13 (25.12.2014) (להלן: עניין </w:t>
      </w:r>
      <w:r>
        <w:rPr>
          <w:rFonts w:ascii="David" w:hAnsi="David" w:cs="David"/>
          <w:b/>
          <w:bCs/>
          <w:sz w:val="24"/>
          <w:szCs w:val="24"/>
          <w:rtl/>
        </w:rPr>
        <w:t>מהדי</w:t>
      </w:r>
      <w:r>
        <w:rPr>
          <w:rFonts w:ascii="David" w:hAnsi="David" w:cs="David"/>
          <w:sz w:val="24"/>
          <w:szCs w:val="24"/>
          <w:rtl/>
        </w:rPr>
        <w:t xml:space="preserve">); ע"פ </w:t>
      </w:r>
      <w:hyperlink r:id="rId88" w:history="1">
        <w:r w:rsidR="00C700BD" w:rsidRPr="00C700BD">
          <w:rPr>
            <w:rFonts w:ascii="David" w:hAnsi="David" w:cs="David"/>
            <w:color w:val="0000FF"/>
            <w:sz w:val="24"/>
            <w:szCs w:val="24"/>
            <w:u w:val="single"/>
            <w:rtl/>
          </w:rPr>
          <w:t xml:space="preserve">941/13‏ </w:t>
        </w:r>
      </w:hyperlink>
      <w:r>
        <w:rPr>
          <w:rFonts w:ascii="David" w:hAnsi="David" w:cs="David"/>
          <w:b/>
          <w:bCs/>
          <w:sz w:val="24"/>
          <w:szCs w:val="24"/>
          <w:rtl/>
        </w:rPr>
        <w:t xml:space="preserve"> פרץ נ' מדינת ישראל</w:t>
      </w:r>
      <w:r>
        <w:rPr>
          <w:rFonts w:ascii="David" w:hAnsi="David" w:cs="David"/>
          <w:sz w:val="24"/>
          <w:szCs w:val="24"/>
          <w:rtl/>
        </w:rPr>
        <w:t xml:space="preserve">, פסקה 20 (26.11.2013)). </w:t>
      </w:r>
    </w:p>
    <w:p w14:paraId="781BA4AD" w14:textId="77777777" w:rsidR="005F2F8B" w:rsidRDefault="005F2F8B" w:rsidP="005F2F8B">
      <w:pPr>
        <w:spacing w:before="240" w:line="360" w:lineRule="auto"/>
        <w:ind w:left="657"/>
        <w:jc w:val="both"/>
        <w:rPr>
          <w:rFonts w:ascii="David" w:hAnsi="David"/>
        </w:rPr>
      </w:pPr>
      <w:r>
        <w:rPr>
          <w:rFonts w:ascii="David" w:hAnsi="David"/>
          <w:rtl/>
        </w:rPr>
        <w:t xml:space="preserve">ראוי לציין כי מנעד הענישה בעבירות מסוג זה הינו רחב. יפים לעניין זה דברי בית המשפט העליון בפרשת </w:t>
      </w:r>
      <w:r>
        <w:rPr>
          <w:rFonts w:ascii="David" w:hAnsi="David"/>
          <w:b/>
          <w:bCs/>
          <w:rtl/>
        </w:rPr>
        <w:t>זדה</w:t>
      </w:r>
      <w:r>
        <w:rPr>
          <w:rFonts w:ascii="David" w:hAnsi="David"/>
          <w:rtl/>
        </w:rPr>
        <w:t>:</w:t>
      </w:r>
    </w:p>
    <w:p w14:paraId="57898A7D" w14:textId="77777777" w:rsidR="005F2F8B" w:rsidRDefault="005F2F8B" w:rsidP="005F2F8B">
      <w:pPr>
        <w:pStyle w:val="a9"/>
        <w:spacing w:line="240" w:lineRule="auto"/>
        <w:ind w:left="1644" w:right="1281"/>
        <w:jc w:val="both"/>
        <w:rPr>
          <w:rFonts w:ascii="David" w:hAnsi="David" w:cs="David"/>
          <w:sz w:val="24"/>
          <w:szCs w:val="24"/>
        </w:rPr>
      </w:pPr>
      <w:r>
        <w:rPr>
          <w:rFonts w:ascii="David" w:hAnsi="David" w:cs="David"/>
          <w:sz w:val="24"/>
          <w:szCs w:val="24"/>
          <w:rtl/>
        </w:rPr>
        <w:t>"מטבע הדברים שאירועי אלימות המגולמים בעבירה של 'חבלה חמורה בנסיבות מחמירות', שהיא העבירה העיקרית בה הורשע המשיב בענייננו, עשויים להתרחש במגוון רחב מאוד של מצבים, נסיבות ביצוע ורמות חומרה. ואכן, הפסיקה בתחום זה כוללת מנעד רחב של רמות ענישה, כאשר לצד מקרים של ענישה מקילה, הוטלו במקרים אחרים עונשים חמורים של שנות מאסר ארוכות, הכול בהתאם לנסיבות הספציפיות של כל מקרה לגופו" (</w:t>
      </w:r>
      <w:hyperlink r:id="rId89" w:history="1">
        <w:r w:rsidR="001023CE" w:rsidRPr="001023CE">
          <w:rPr>
            <w:rFonts w:ascii="David" w:hAnsi="David" w:cs="David"/>
            <w:color w:val="0000FF"/>
            <w:sz w:val="24"/>
            <w:szCs w:val="24"/>
            <w:u w:val="single"/>
            <w:rtl/>
          </w:rPr>
          <w:t>ע"פ 5980/15</w:t>
        </w:r>
      </w:hyperlink>
      <w:r>
        <w:rPr>
          <w:rFonts w:ascii="David" w:hAnsi="David" w:cs="David"/>
          <w:sz w:val="24"/>
          <w:szCs w:val="24"/>
          <w:rtl/>
        </w:rPr>
        <w:t xml:space="preserve"> </w:t>
      </w:r>
      <w:r>
        <w:rPr>
          <w:rFonts w:ascii="David" w:hAnsi="David" w:cs="David"/>
          <w:b/>
          <w:bCs/>
          <w:sz w:val="24"/>
          <w:szCs w:val="24"/>
          <w:rtl/>
        </w:rPr>
        <w:t>מדינת ישראל</w:t>
      </w:r>
      <w:r>
        <w:rPr>
          <w:rFonts w:ascii="David" w:hAnsi="David" w:cs="David"/>
          <w:sz w:val="24"/>
          <w:szCs w:val="24"/>
        </w:rPr>
        <w:t xml:space="preserve"> </w:t>
      </w:r>
      <w:r>
        <w:rPr>
          <w:rFonts w:ascii="David" w:hAnsi="David" w:cs="David"/>
          <w:b/>
          <w:bCs/>
          <w:sz w:val="24"/>
          <w:szCs w:val="24"/>
          <w:rtl/>
        </w:rPr>
        <w:t>נ' זדה</w:t>
      </w:r>
      <w:r>
        <w:rPr>
          <w:rFonts w:ascii="David" w:hAnsi="David" w:cs="David"/>
          <w:sz w:val="24"/>
          <w:szCs w:val="24"/>
          <w:rtl/>
        </w:rPr>
        <w:t>, פסקה 8 (23.3.2016)).</w:t>
      </w:r>
    </w:p>
    <w:p w14:paraId="5292D12C" w14:textId="77777777" w:rsidR="005F2F8B" w:rsidRDefault="005F2F8B" w:rsidP="005F2F8B">
      <w:pPr>
        <w:spacing w:before="240" w:after="240" w:line="252" w:lineRule="auto"/>
        <w:ind w:left="657"/>
        <w:jc w:val="both"/>
        <w:rPr>
          <w:rFonts w:ascii="David" w:hAnsi="David"/>
          <w:rtl/>
        </w:rPr>
      </w:pPr>
      <w:r>
        <w:rPr>
          <w:rFonts w:ascii="David" w:hAnsi="David"/>
          <w:rtl/>
        </w:rPr>
        <w:t>חומרה יתרה מצויה בעבירות אלימות המתרחשות בדרכים:</w:t>
      </w:r>
    </w:p>
    <w:p w14:paraId="656F772C" w14:textId="77777777" w:rsidR="005F2F8B" w:rsidRDefault="005F2F8B" w:rsidP="005F2F8B">
      <w:pPr>
        <w:spacing w:after="240"/>
        <w:ind w:left="1644" w:right="1281"/>
        <w:jc w:val="both"/>
        <w:rPr>
          <w:rFonts w:ascii="David" w:hAnsi="David"/>
          <w:rtl/>
        </w:rPr>
      </w:pPr>
      <w:r>
        <w:rPr>
          <w:rFonts w:ascii="David" w:hAnsi="David"/>
          <w:rtl/>
        </w:rPr>
        <w:t>"התופעה המתפשטת כנגע רע במחוזותינו, של נקיטת אלימות מצד נהגים בכביש כלפי נהגים אחרים היא פסולה מכל וכל, וראוי להחמיר בעונשם של הנוקטים באלימות מסוג זה" (</w:t>
      </w:r>
      <w:hyperlink r:id="rId90" w:history="1">
        <w:r w:rsidR="001023CE" w:rsidRPr="001023CE">
          <w:rPr>
            <w:rFonts w:ascii="David" w:hAnsi="David"/>
            <w:color w:val="0000FF"/>
            <w:u w:val="single"/>
            <w:rtl/>
          </w:rPr>
          <w:t>רע"פ 5662/18</w:t>
        </w:r>
      </w:hyperlink>
      <w:r>
        <w:rPr>
          <w:rFonts w:ascii="David" w:hAnsi="David"/>
          <w:rtl/>
        </w:rPr>
        <w:t xml:space="preserve"> </w:t>
      </w:r>
      <w:r>
        <w:rPr>
          <w:rFonts w:ascii="David" w:hAnsi="David"/>
          <w:b/>
          <w:bCs/>
          <w:rtl/>
        </w:rPr>
        <w:t>פלוני נ' מדינת ישראל</w:t>
      </w:r>
      <w:r>
        <w:rPr>
          <w:rFonts w:ascii="David" w:hAnsi="David"/>
          <w:rtl/>
        </w:rPr>
        <w:t xml:space="preserve">, פסקה 10 (2.8.2018); ראו גם: עניין </w:t>
      </w:r>
      <w:r>
        <w:rPr>
          <w:rFonts w:ascii="David" w:hAnsi="David"/>
          <w:b/>
          <w:bCs/>
          <w:rtl/>
        </w:rPr>
        <w:t>הדר</w:t>
      </w:r>
      <w:r>
        <w:rPr>
          <w:rFonts w:ascii="David" w:hAnsi="David"/>
          <w:rtl/>
        </w:rPr>
        <w:t>, בפס' 8).</w:t>
      </w:r>
    </w:p>
    <w:p w14:paraId="003BCC4C"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sz w:val="24"/>
          <w:szCs w:val="24"/>
          <w:rtl/>
        </w:rPr>
        <w:t>להלן אעמוד על מדיניות הענישה הנוהגת, תוך הפנייה למספר פסקי דין שהוצגו על ידי הצדדים ולפסיקה נוספת. יצוין, כי חלק ניכר מהפסיקה שהוצגה לפניי אינה רלוונטית, בין משום שנסיבות ההרשעה חמורות יותר (כדוגמת מקרים בהם הנאשם שב כעבור זמן למקום האירוע ותקף את המתלונן); ובין משום שנסיבות ההרשעה קלות יותר (כדוגמת מקרים בהם מידת הפגיעה הייתה קלה יותר באופן משמעותי מאשר בענייננו).</w:t>
      </w:r>
    </w:p>
    <w:p w14:paraId="11193603" w14:textId="77777777" w:rsidR="005F2F8B" w:rsidRDefault="005F2F8B" w:rsidP="005F2F8B">
      <w:pPr>
        <w:pStyle w:val="a9"/>
        <w:spacing w:before="240" w:line="360" w:lineRule="auto"/>
        <w:jc w:val="both"/>
        <w:rPr>
          <w:rFonts w:ascii="David" w:hAnsi="David" w:cs="David"/>
          <w:sz w:val="24"/>
          <w:szCs w:val="24"/>
          <w:rtl/>
        </w:rPr>
      </w:pPr>
    </w:p>
    <w:p w14:paraId="0F39BFA0" w14:textId="77777777" w:rsidR="005F2F8B" w:rsidRDefault="001023CE" w:rsidP="005F2F8B">
      <w:pPr>
        <w:pStyle w:val="a9"/>
        <w:numPr>
          <w:ilvl w:val="0"/>
          <w:numId w:val="3"/>
        </w:numPr>
        <w:spacing w:before="240" w:line="360" w:lineRule="auto"/>
        <w:jc w:val="both"/>
        <w:rPr>
          <w:rFonts w:ascii="David" w:hAnsi="David" w:cs="David"/>
          <w:sz w:val="24"/>
          <w:szCs w:val="24"/>
        </w:rPr>
      </w:pPr>
      <w:hyperlink r:id="rId91" w:history="1">
        <w:r w:rsidRPr="001023CE">
          <w:rPr>
            <w:rFonts w:ascii="David" w:hAnsi="David" w:cs="David"/>
            <w:color w:val="0000FF"/>
            <w:sz w:val="24"/>
            <w:szCs w:val="24"/>
            <w:u w:val="single"/>
            <w:rtl/>
          </w:rPr>
          <w:t>ע"פ 8991/10</w:t>
        </w:r>
      </w:hyperlink>
      <w:r w:rsidR="005F2F8B">
        <w:rPr>
          <w:rFonts w:ascii="David" w:hAnsi="David" w:cs="David"/>
          <w:sz w:val="24"/>
          <w:szCs w:val="24"/>
          <w:rtl/>
        </w:rPr>
        <w:t xml:space="preserve"> </w:t>
      </w:r>
      <w:r w:rsidR="005F2F8B">
        <w:rPr>
          <w:rFonts w:ascii="David" w:hAnsi="David" w:cs="David"/>
          <w:b/>
          <w:bCs/>
          <w:sz w:val="24"/>
          <w:szCs w:val="24"/>
          <w:rtl/>
        </w:rPr>
        <w:t>מכבי נ' מדינת ישראל</w:t>
      </w:r>
      <w:r w:rsidR="005F2F8B">
        <w:rPr>
          <w:rFonts w:ascii="David" w:hAnsi="David" w:cs="David"/>
          <w:sz w:val="24"/>
          <w:szCs w:val="24"/>
          <w:rtl/>
        </w:rPr>
        <w:t xml:space="preserve"> (27.10.2011): בין המערער למתלונן התפתחו חילופי דברים קשים, שבסופם חבט המערער בפניו של המתלונן באמצעות קסדה. מעוצמת המכה המתלונן השתטח על הרצפה ואיבד את הכרתו, ובהמשך הובהל לבית החולים כשהוא סובל מנפיחות בפניו ובעינו ומקיא דם. אובחנו שברים בפניו והלה אושפז במשך חמישה ימים. המערער הורשע, לאחר שמיעת ראיות, בעבירה של חבלה חמורה בנסיבות מחמירות לפי </w:t>
      </w:r>
      <w:hyperlink r:id="rId92" w:history="1">
        <w:r w:rsidR="00A8336C" w:rsidRPr="00A8336C">
          <w:rPr>
            <w:rStyle w:val="Hyperlink"/>
            <w:rFonts w:ascii="David" w:hAnsi="David" w:cs="David"/>
            <w:sz w:val="24"/>
            <w:szCs w:val="24"/>
            <w:rtl/>
          </w:rPr>
          <w:t>סעיף 333</w:t>
        </w:r>
      </w:hyperlink>
      <w:r w:rsidR="005F2F8B">
        <w:rPr>
          <w:rFonts w:ascii="David" w:hAnsi="David" w:cs="David"/>
          <w:sz w:val="24"/>
          <w:szCs w:val="24"/>
          <w:rtl/>
        </w:rPr>
        <w:t xml:space="preserve"> בנסיבות סעיף </w:t>
      </w:r>
      <w:hyperlink r:id="rId93" w:history="1">
        <w:r w:rsidR="00A8336C" w:rsidRPr="00A8336C">
          <w:rPr>
            <w:rStyle w:val="Hyperlink"/>
            <w:rFonts w:ascii="David" w:hAnsi="David" w:cs="David"/>
            <w:sz w:val="24"/>
            <w:szCs w:val="24"/>
            <w:rtl/>
          </w:rPr>
          <w:t>335(א)(1)</w:t>
        </w:r>
      </w:hyperlink>
      <w:r w:rsidR="005F2F8B">
        <w:rPr>
          <w:rFonts w:ascii="David" w:hAnsi="David" w:cs="David"/>
          <w:sz w:val="24"/>
          <w:szCs w:val="24"/>
          <w:rtl/>
        </w:rPr>
        <w:t xml:space="preserve"> ל</w:t>
      </w:r>
      <w:hyperlink r:id="rId94" w:history="1">
        <w:r w:rsidRPr="001023CE">
          <w:rPr>
            <w:rFonts w:ascii="David" w:hAnsi="David" w:cs="David"/>
            <w:color w:val="0000FF"/>
            <w:sz w:val="24"/>
            <w:szCs w:val="24"/>
            <w:u w:val="single"/>
            <w:rtl/>
          </w:rPr>
          <w:t>חוק העונשין</w:t>
        </w:r>
      </w:hyperlink>
      <w:r w:rsidR="005F2F8B">
        <w:rPr>
          <w:rFonts w:ascii="David" w:hAnsi="David" w:cs="David"/>
          <w:sz w:val="24"/>
          <w:szCs w:val="24"/>
          <w:rtl/>
        </w:rPr>
        <w:t xml:space="preserve">. הושתו עליו 36 חודשי מאסר לריצוי בפועל, לצד ענישה נלווית ופיצוי "סמלי" למתלונן בסך 2,500 ₪.      </w:t>
      </w:r>
    </w:p>
    <w:p w14:paraId="35791740" w14:textId="77777777" w:rsidR="005F2F8B" w:rsidRDefault="005F2F8B" w:rsidP="005F2F8B">
      <w:pPr>
        <w:spacing w:before="240" w:line="360" w:lineRule="auto"/>
        <w:ind w:left="1082"/>
        <w:jc w:val="both"/>
        <w:rPr>
          <w:rFonts w:ascii="David" w:hAnsi="David"/>
          <w:rtl/>
        </w:rPr>
      </w:pPr>
      <w:r>
        <w:rPr>
          <w:rFonts w:ascii="David" w:hAnsi="David"/>
          <w:rtl/>
        </w:rPr>
        <w:t xml:space="preserve">ערעור שהוגש על חומרת העונש לבית המשפט העליון נדחה, אף "שהעונש שנגזר על המערער הינו על הצד הגבוה" (שם, בפס' 7). </w:t>
      </w:r>
    </w:p>
    <w:p w14:paraId="017DD225" w14:textId="77777777" w:rsidR="005F2F8B" w:rsidRDefault="005F2F8B" w:rsidP="005F2F8B">
      <w:pPr>
        <w:pStyle w:val="a9"/>
        <w:spacing w:before="240" w:line="360" w:lineRule="auto"/>
        <w:ind w:left="1080"/>
        <w:jc w:val="both"/>
        <w:rPr>
          <w:rFonts w:ascii="David" w:hAnsi="David" w:cs="David"/>
          <w:sz w:val="24"/>
          <w:szCs w:val="24"/>
          <w:highlight w:val="green"/>
          <w:rtl/>
        </w:rPr>
      </w:pPr>
      <w:r>
        <w:rPr>
          <w:rFonts w:ascii="David" w:hAnsi="David" w:cs="David"/>
          <w:sz w:val="24"/>
          <w:szCs w:val="24"/>
          <w:rtl/>
        </w:rPr>
        <w:t xml:space="preserve">יצוין כי פסק הדין ניתן עובר לחקיקת </w:t>
      </w:r>
      <w:r w:rsidR="001023CE" w:rsidRPr="00A8336C">
        <w:rPr>
          <w:rFonts w:ascii="David" w:hAnsi="David" w:cs="David"/>
          <w:sz w:val="24"/>
          <w:szCs w:val="24"/>
          <w:rtl/>
        </w:rPr>
        <w:t>חוק העונשין</w:t>
      </w:r>
      <w:r>
        <w:rPr>
          <w:rFonts w:ascii="David" w:hAnsi="David" w:cs="David"/>
          <w:sz w:val="24"/>
          <w:szCs w:val="24"/>
          <w:rtl/>
        </w:rPr>
        <w:t xml:space="preserve"> (תיקון מס' 113), התשע"ב-2012.</w:t>
      </w:r>
    </w:p>
    <w:p w14:paraId="52F37D9A" w14:textId="77777777" w:rsidR="005F2F8B" w:rsidRDefault="001023CE" w:rsidP="005F2F8B">
      <w:pPr>
        <w:pStyle w:val="a9"/>
        <w:numPr>
          <w:ilvl w:val="0"/>
          <w:numId w:val="3"/>
        </w:numPr>
        <w:spacing w:before="240" w:line="360" w:lineRule="auto"/>
        <w:jc w:val="both"/>
        <w:rPr>
          <w:rFonts w:ascii="David" w:hAnsi="David" w:cs="David"/>
          <w:sz w:val="24"/>
          <w:szCs w:val="24"/>
        </w:rPr>
      </w:pPr>
      <w:hyperlink r:id="rId95" w:history="1">
        <w:r w:rsidRPr="001023CE">
          <w:rPr>
            <w:rFonts w:ascii="David" w:hAnsi="David" w:cs="David"/>
            <w:color w:val="0000FF"/>
            <w:sz w:val="24"/>
            <w:szCs w:val="24"/>
            <w:u w:val="single"/>
            <w:rtl/>
          </w:rPr>
          <w:t>ע"פ 1401/21</w:t>
        </w:r>
      </w:hyperlink>
      <w:r w:rsidR="005F2F8B">
        <w:rPr>
          <w:rFonts w:ascii="David" w:hAnsi="David" w:cs="David"/>
          <w:sz w:val="24"/>
          <w:szCs w:val="24"/>
          <w:rtl/>
        </w:rPr>
        <w:t xml:space="preserve"> </w:t>
      </w:r>
      <w:r w:rsidR="005F2F8B">
        <w:rPr>
          <w:rFonts w:ascii="David" w:hAnsi="David" w:cs="David"/>
          <w:b/>
          <w:bCs/>
          <w:sz w:val="24"/>
          <w:szCs w:val="24"/>
          <w:rtl/>
        </w:rPr>
        <w:t>רזוק נ' מדינת ישראל</w:t>
      </w:r>
      <w:r w:rsidR="005F2F8B">
        <w:rPr>
          <w:rFonts w:ascii="David" w:hAnsi="David" w:cs="David"/>
          <w:sz w:val="24"/>
          <w:szCs w:val="24"/>
          <w:rtl/>
        </w:rPr>
        <w:t xml:space="preserve"> (14.6.2021): במקרה זה, המדובר בעבירה שנעשתה על רקע דין ודברים בין נהגים. באותה פרשה שני הנאשמים הפליאו מכותיהם במתלונן בעוצמה, בזה אחר זה, בשמונה מכות אגרוף.</w:t>
      </w:r>
    </w:p>
    <w:p w14:paraId="62266492" w14:textId="77777777" w:rsidR="005F2F8B" w:rsidRDefault="005F2F8B" w:rsidP="005F2F8B">
      <w:pPr>
        <w:pStyle w:val="a9"/>
        <w:spacing w:before="240" w:line="360" w:lineRule="auto"/>
        <w:ind w:left="1080"/>
        <w:jc w:val="both"/>
        <w:rPr>
          <w:rFonts w:ascii="David" w:hAnsi="David" w:cs="David"/>
          <w:sz w:val="24"/>
          <w:szCs w:val="24"/>
        </w:rPr>
      </w:pPr>
    </w:p>
    <w:p w14:paraId="75ED225B" w14:textId="77777777" w:rsidR="005F2F8B" w:rsidRDefault="005F2F8B" w:rsidP="005F2F8B">
      <w:pPr>
        <w:pStyle w:val="a9"/>
        <w:spacing w:before="240" w:line="360" w:lineRule="auto"/>
        <w:ind w:left="1080"/>
        <w:jc w:val="both"/>
        <w:rPr>
          <w:rFonts w:ascii="David" w:hAnsi="David" w:cs="David"/>
          <w:sz w:val="24"/>
          <w:szCs w:val="24"/>
        </w:rPr>
      </w:pPr>
      <w:r>
        <w:rPr>
          <w:rFonts w:ascii="David" w:hAnsi="David" w:cs="David"/>
          <w:sz w:val="24"/>
          <w:szCs w:val="24"/>
          <w:rtl/>
        </w:rPr>
        <w:t xml:space="preserve">הנאשמים הורשעו במסגרת הסדר טיעון בבית המשפט המחוזי בעבירה של חבלה חמורה בנסיבות מחמירות בצוותא, לפי </w:t>
      </w:r>
      <w:hyperlink r:id="rId96" w:history="1">
        <w:r w:rsidR="00A8336C" w:rsidRPr="00A8336C">
          <w:rPr>
            <w:rStyle w:val="Hyperlink"/>
            <w:rFonts w:ascii="David" w:hAnsi="David" w:cs="David"/>
            <w:sz w:val="24"/>
            <w:szCs w:val="24"/>
            <w:rtl/>
          </w:rPr>
          <w:t>סעיף 333</w:t>
        </w:r>
      </w:hyperlink>
      <w:r>
        <w:rPr>
          <w:rFonts w:ascii="David" w:hAnsi="David" w:cs="David"/>
          <w:sz w:val="24"/>
          <w:szCs w:val="24"/>
          <w:rtl/>
        </w:rPr>
        <w:t xml:space="preserve"> בנסיבות </w:t>
      </w:r>
      <w:hyperlink r:id="rId97" w:history="1">
        <w:r w:rsidR="00A8336C" w:rsidRPr="00A8336C">
          <w:rPr>
            <w:rStyle w:val="Hyperlink"/>
            <w:rFonts w:ascii="David" w:hAnsi="David" w:cs="David"/>
            <w:sz w:val="24"/>
            <w:szCs w:val="24"/>
            <w:rtl/>
          </w:rPr>
          <w:t>סעיף 335(א)(2)</w:t>
        </w:r>
      </w:hyperlink>
      <w:r>
        <w:rPr>
          <w:rFonts w:ascii="David" w:hAnsi="David" w:cs="David"/>
          <w:sz w:val="24"/>
          <w:szCs w:val="24"/>
          <w:rtl/>
        </w:rPr>
        <w:t xml:space="preserve"> בצירוף </w:t>
      </w:r>
      <w:hyperlink r:id="rId98" w:history="1">
        <w:r w:rsidR="00A8336C" w:rsidRPr="00A8336C">
          <w:rPr>
            <w:rStyle w:val="Hyperlink"/>
            <w:rFonts w:ascii="David" w:hAnsi="David" w:cs="David"/>
            <w:sz w:val="24"/>
            <w:szCs w:val="24"/>
            <w:rtl/>
          </w:rPr>
          <w:t>סעיף 29</w:t>
        </w:r>
      </w:hyperlink>
      <w:r>
        <w:rPr>
          <w:rFonts w:ascii="David" w:hAnsi="David" w:cs="David"/>
          <w:sz w:val="24"/>
          <w:szCs w:val="24"/>
          <w:rtl/>
        </w:rPr>
        <w:t xml:space="preserve"> ל</w:t>
      </w:r>
      <w:hyperlink r:id="rId99" w:history="1">
        <w:r w:rsidR="001023CE" w:rsidRPr="001023CE">
          <w:rPr>
            <w:rFonts w:ascii="David" w:hAnsi="David" w:cs="David"/>
            <w:color w:val="0000FF"/>
            <w:sz w:val="24"/>
            <w:szCs w:val="24"/>
            <w:u w:val="single"/>
            <w:rtl/>
          </w:rPr>
          <w:t>חוק העונשין</w:t>
        </w:r>
      </w:hyperlink>
      <w:r>
        <w:rPr>
          <w:rFonts w:ascii="David" w:hAnsi="David" w:cs="David"/>
          <w:sz w:val="24"/>
          <w:szCs w:val="24"/>
          <w:rtl/>
        </w:rPr>
        <w:t xml:space="preserve"> וכן במעשה פזיזות ורשלנות בצוותא, לפי </w:t>
      </w:r>
      <w:hyperlink r:id="rId100" w:history="1">
        <w:r w:rsidR="00A8336C" w:rsidRPr="00A8336C">
          <w:rPr>
            <w:rStyle w:val="Hyperlink"/>
            <w:rFonts w:ascii="David" w:hAnsi="David" w:cs="David"/>
            <w:sz w:val="24"/>
            <w:szCs w:val="24"/>
            <w:rtl/>
          </w:rPr>
          <w:t>סעיף 338(א)(1)</w:t>
        </w:r>
      </w:hyperlink>
      <w:r>
        <w:rPr>
          <w:rFonts w:ascii="David" w:hAnsi="David" w:cs="David"/>
          <w:sz w:val="24"/>
          <w:szCs w:val="24"/>
          <w:rtl/>
        </w:rPr>
        <w:t xml:space="preserve"> בצירוף </w:t>
      </w:r>
      <w:hyperlink r:id="rId101" w:history="1">
        <w:r w:rsidR="00A8336C" w:rsidRPr="00A8336C">
          <w:rPr>
            <w:rStyle w:val="Hyperlink"/>
            <w:rFonts w:ascii="David" w:hAnsi="David" w:cs="David"/>
            <w:sz w:val="24"/>
            <w:szCs w:val="24"/>
            <w:rtl/>
          </w:rPr>
          <w:t>סעיף 29</w:t>
        </w:r>
      </w:hyperlink>
      <w:r>
        <w:rPr>
          <w:rFonts w:ascii="David" w:hAnsi="David" w:cs="David"/>
          <w:sz w:val="24"/>
          <w:szCs w:val="24"/>
          <w:rtl/>
        </w:rPr>
        <w:t xml:space="preserve"> לחוק העונשין. מתחם העונש ההולם הועמד על בין 20 לבין 50 חודשי מאסר לריצוי בפועל, ועל כל אחד משני הנאשמים הוטל עונש של 24 חודשי מאסר בפועל לצד ענישה נלווית (</w:t>
      </w:r>
      <w:hyperlink r:id="rId102" w:history="1">
        <w:r w:rsidR="001023CE" w:rsidRPr="001023CE">
          <w:rPr>
            <w:rFonts w:ascii="David" w:hAnsi="David" w:cs="David"/>
            <w:color w:val="0000FF"/>
            <w:sz w:val="24"/>
            <w:szCs w:val="24"/>
            <w:u w:val="single"/>
            <w:rtl/>
          </w:rPr>
          <w:t>ת"פ (מחוזי חי') 35929-03-19</w:t>
        </w:r>
      </w:hyperlink>
      <w:r>
        <w:rPr>
          <w:rFonts w:ascii="David" w:hAnsi="David" w:cs="David"/>
          <w:sz w:val="24"/>
          <w:szCs w:val="24"/>
          <w:rtl/>
        </w:rPr>
        <w:t xml:space="preserve"> </w:t>
      </w:r>
      <w:r>
        <w:rPr>
          <w:rFonts w:ascii="David" w:hAnsi="David" w:cs="David"/>
          <w:b/>
          <w:bCs/>
          <w:sz w:val="24"/>
          <w:szCs w:val="24"/>
          <w:rtl/>
        </w:rPr>
        <w:t xml:space="preserve">מדינת ישראל נ' רזוק </w:t>
      </w:r>
      <w:r>
        <w:rPr>
          <w:rFonts w:ascii="David" w:hAnsi="David" w:cs="David"/>
          <w:sz w:val="24"/>
          <w:szCs w:val="24"/>
          <w:rtl/>
        </w:rPr>
        <w:t>(13.1.2021)). הנאשמים ערערו על מידת העונש, אך בהמלצת בית המשפט העליון משכו את ערעוריהם.</w:t>
      </w:r>
    </w:p>
    <w:p w14:paraId="254BFDCA" w14:textId="77777777" w:rsidR="005F2F8B" w:rsidRDefault="005F2F8B" w:rsidP="005F2F8B">
      <w:pPr>
        <w:pStyle w:val="a9"/>
        <w:numPr>
          <w:ilvl w:val="0"/>
          <w:numId w:val="3"/>
        </w:numPr>
        <w:spacing w:before="240" w:line="360" w:lineRule="auto"/>
        <w:jc w:val="both"/>
        <w:rPr>
          <w:rFonts w:ascii="David" w:hAnsi="David" w:cs="David"/>
          <w:sz w:val="24"/>
          <w:szCs w:val="24"/>
        </w:rPr>
      </w:pPr>
      <w:r>
        <w:rPr>
          <w:rFonts w:ascii="David" w:hAnsi="David" w:cs="David"/>
          <w:sz w:val="24"/>
          <w:szCs w:val="24"/>
          <w:rtl/>
        </w:rPr>
        <w:t xml:space="preserve">עניין </w:t>
      </w:r>
      <w:r>
        <w:rPr>
          <w:rFonts w:ascii="David" w:hAnsi="David" w:cs="David"/>
          <w:b/>
          <w:bCs/>
          <w:sz w:val="24"/>
          <w:szCs w:val="24"/>
          <w:rtl/>
        </w:rPr>
        <w:t>מהדי</w:t>
      </w:r>
      <w:r>
        <w:rPr>
          <w:rFonts w:ascii="David" w:hAnsi="David" w:cs="David"/>
          <w:sz w:val="24"/>
          <w:szCs w:val="24"/>
          <w:rtl/>
        </w:rPr>
        <w:t xml:space="preserve">: אף כאן דובר בהרשעה על רקע של "זעם בדרכים". המערער, בעל עבר פלילי בעבירת תקיפת שוטר ואיומים, הורשע על יסוד הודאתו במסגרת הסדר טיעון בעבירה של חבלה חמורה בנסיבות מחמירות לפי </w:t>
      </w:r>
      <w:hyperlink r:id="rId103" w:history="1">
        <w:r w:rsidR="00A8336C" w:rsidRPr="00A8336C">
          <w:rPr>
            <w:rStyle w:val="Hyperlink"/>
            <w:rFonts w:ascii="David" w:hAnsi="David" w:cs="David"/>
            <w:sz w:val="24"/>
            <w:szCs w:val="24"/>
            <w:rtl/>
          </w:rPr>
          <w:t>סעיף 333</w:t>
        </w:r>
      </w:hyperlink>
      <w:r>
        <w:rPr>
          <w:rFonts w:ascii="David" w:hAnsi="David" w:cs="David"/>
          <w:sz w:val="24"/>
          <w:szCs w:val="24"/>
          <w:rtl/>
        </w:rPr>
        <w:t xml:space="preserve"> בנסיבות </w:t>
      </w:r>
      <w:hyperlink r:id="rId104" w:history="1">
        <w:r w:rsidR="00A8336C" w:rsidRPr="00A8336C">
          <w:rPr>
            <w:rStyle w:val="Hyperlink"/>
            <w:rFonts w:ascii="David" w:hAnsi="David" w:cs="David"/>
            <w:sz w:val="24"/>
            <w:szCs w:val="24"/>
            <w:rtl/>
          </w:rPr>
          <w:t>סעיף 335(א)(1)</w:t>
        </w:r>
      </w:hyperlink>
      <w:r>
        <w:rPr>
          <w:rFonts w:ascii="David" w:hAnsi="David" w:cs="David"/>
          <w:sz w:val="24"/>
          <w:szCs w:val="24"/>
          <w:rtl/>
        </w:rPr>
        <w:t xml:space="preserve"> ל</w:t>
      </w:r>
      <w:hyperlink r:id="rId105" w:history="1">
        <w:r w:rsidR="001023CE" w:rsidRPr="001023CE">
          <w:rPr>
            <w:rFonts w:ascii="David" w:hAnsi="David" w:cs="David"/>
            <w:color w:val="0000FF"/>
            <w:sz w:val="24"/>
            <w:szCs w:val="24"/>
            <w:u w:val="single"/>
            <w:rtl/>
          </w:rPr>
          <w:t>חוק העונשין</w:t>
        </w:r>
      </w:hyperlink>
      <w:r>
        <w:rPr>
          <w:rFonts w:ascii="David" w:hAnsi="David" w:cs="David"/>
          <w:sz w:val="24"/>
          <w:szCs w:val="24"/>
          <w:rtl/>
        </w:rPr>
        <w:t xml:space="preserve">. בין המערער למתלונן התפתח ויכוח על רקע עקיפת המתלונן את רכב המערער. האחרון יצא מרכבו, פתח את דלת הנהג ודרש לדעת מדוע המתלונן עקף אותו. המתלונן השיב כי לא שם לב ויצא מן הרכב. המערער דחף את המתלונן, ובשלב זה החלו דחיפות הדדיות עד אשר אחרים הפרידו ביניהם. בהמשך, ולאחר שהמתלונן התקדם מעט בפקק, הגיח המערער מצד הנהג כשברשותו כלי עבודה ממתכת והיכה באמצעותו את המתלונן בפניו, מספר פעמים. עובר אורח לקח את המתלונן לקבלת עזרה ראשונה. כתוצאה מהמעשים המתוארים, למתלונן נשברו שלוש שיניים ונגרם לו חתך בשפה העליונה שדרש תשעה תפרים. </w:t>
      </w:r>
    </w:p>
    <w:p w14:paraId="6F53E441" w14:textId="77777777" w:rsidR="005F2F8B" w:rsidRDefault="005F2F8B" w:rsidP="005F2F8B">
      <w:pPr>
        <w:pStyle w:val="a9"/>
        <w:spacing w:before="240" w:line="360" w:lineRule="auto"/>
        <w:ind w:left="1080"/>
        <w:jc w:val="both"/>
        <w:rPr>
          <w:rFonts w:ascii="David" w:hAnsi="David" w:cs="David"/>
          <w:sz w:val="24"/>
          <w:szCs w:val="24"/>
        </w:rPr>
      </w:pPr>
    </w:p>
    <w:p w14:paraId="00688276" w14:textId="77777777" w:rsidR="005F2F8B" w:rsidRDefault="005F2F8B" w:rsidP="005F2F8B">
      <w:pPr>
        <w:pStyle w:val="a9"/>
        <w:spacing w:before="240" w:line="360" w:lineRule="auto"/>
        <w:ind w:left="1080"/>
        <w:jc w:val="both"/>
        <w:rPr>
          <w:rFonts w:ascii="David" w:hAnsi="David" w:cs="David"/>
          <w:sz w:val="24"/>
          <w:szCs w:val="24"/>
          <w:rtl/>
        </w:rPr>
      </w:pPr>
      <w:r>
        <w:rPr>
          <w:rFonts w:ascii="David" w:hAnsi="David" w:cs="David"/>
          <w:sz w:val="24"/>
          <w:szCs w:val="24"/>
          <w:rtl/>
        </w:rPr>
        <w:t>בית המשפט המחוזי קבע מתחם ענישה רחב, הנע בין 12 חודשי מאסר בפועל לבין 4 שנות מאסר בפועל.</w:t>
      </w:r>
      <w:r>
        <w:rPr>
          <w:rFonts w:ascii="David" w:hAnsi="David" w:cs="David"/>
          <w:b/>
          <w:bCs/>
          <w:sz w:val="24"/>
          <w:szCs w:val="24"/>
          <w:rtl/>
        </w:rPr>
        <w:t xml:space="preserve"> </w:t>
      </w:r>
      <w:r>
        <w:rPr>
          <w:rFonts w:ascii="David" w:hAnsi="David" w:cs="David"/>
          <w:sz w:val="24"/>
          <w:szCs w:val="24"/>
          <w:rtl/>
        </w:rPr>
        <w:t>על המערער הוטלו 24 חודשי מאסר בפועל, מאסר מותנה ותשלום פיצוי בסך 10,000 ₪ למתלונן.</w:t>
      </w:r>
    </w:p>
    <w:p w14:paraId="44618B42" w14:textId="77777777" w:rsidR="005F2F8B" w:rsidRDefault="005F2F8B" w:rsidP="005F2F8B">
      <w:pPr>
        <w:pStyle w:val="a9"/>
        <w:spacing w:before="240" w:line="360" w:lineRule="auto"/>
        <w:ind w:left="1080"/>
        <w:jc w:val="both"/>
        <w:rPr>
          <w:rFonts w:ascii="David" w:hAnsi="David" w:cs="David"/>
          <w:sz w:val="24"/>
          <w:szCs w:val="24"/>
        </w:rPr>
      </w:pPr>
    </w:p>
    <w:p w14:paraId="6D284B20" w14:textId="77777777" w:rsidR="005F2F8B" w:rsidRDefault="005F2F8B" w:rsidP="005F2F8B">
      <w:pPr>
        <w:pStyle w:val="a9"/>
        <w:spacing w:before="240" w:line="360" w:lineRule="auto"/>
        <w:ind w:left="1080"/>
        <w:jc w:val="both"/>
        <w:rPr>
          <w:rFonts w:ascii="David" w:hAnsi="David" w:cs="David"/>
          <w:sz w:val="24"/>
          <w:szCs w:val="24"/>
          <w:rtl/>
        </w:rPr>
      </w:pPr>
      <w:r>
        <w:rPr>
          <w:rFonts w:ascii="David" w:hAnsi="David" w:cs="David"/>
          <w:sz w:val="24"/>
          <w:szCs w:val="24"/>
          <w:rtl/>
        </w:rPr>
        <w:t xml:space="preserve">בהידרשו לערעור על חומרת העונש, בית המשפט העליון עמד על כך שמדיניות הענישה מגוונת אך היא כוללת "ברוב המקרים עונשי מאסר בפועל שנעים בין 18 ל-24 חודשים, ככל שהנאשם הודה במסגרת הסדר טיעון...". לצד זאת במקרים חמורים במיוחד הוטעם כי הענישה מגיעה גם עד לארבע שנות מאסר (שם, בפס' 13). בית המשפט העליון קיבל את הערעור, הפחית במידת מה ממידת המאסר בפועל שהוטל על המערער וזאת בשל פרק הזמן שחלף ממועד ביצוע העבירה ועד למועד הגשת כתב האישום (למעלה משנתיים וחצי) והעמיד את עונש המאסר בפועל על 20 חודשים. </w:t>
      </w:r>
    </w:p>
    <w:p w14:paraId="3DD70548" w14:textId="77777777" w:rsidR="005F2F8B" w:rsidRDefault="005F2F8B" w:rsidP="005F2F8B">
      <w:pPr>
        <w:pStyle w:val="a9"/>
        <w:spacing w:before="240" w:line="360" w:lineRule="auto"/>
        <w:ind w:left="1080"/>
        <w:jc w:val="both"/>
        <w:rPr>
          <w:rFonts w:ascii="David" w:hAnsi="David" w:cs="David"/>
          <w:sz w:val="24"/>
          <w:szCs w:val="24"/>
          <w:rtl/>
        </w:rPr>
      </w:pPr>
      <w:r>
        <w:rPr>
          <w:rFonts w:ascii="David" w:hAnsi="David" w:cs="David"/>
          <w:sz w:val="24"/>
          <w:szCs w:val="24"/>
          <w:rtl/>
        </w:rPr>
        <w:t xml:space="preserve"> </w:t>
      </w:r>
    </w:p>
    <w:p w14:paraId="7CF28254" w14:textId="77777777" w:rsidR="005F2F8B" w:rsidRDefault="001023CE" w:rsidP="005F2F8B">
      <w:pPr>
        <w:pStyle w:val="a9"/>
        <w:numPr>
          <w:ilvl w:val="0"/>
          <w:numId w:val="3"/>
        </w:numPr>
        <w:spacing w:before="240" w:line="360" w:lineRule="auto"/>
        <w:jc w:val="both"/>
        <w:rPr>
          <w:rFonts w:ascii="David" w:hAnsi="David" w:cs="David"/>
          <w:sz w:val="24"/>
          <w:szCs w:val="24"/>
        </w:rPr>
      </w:pPr>
      <w:hyperlink r:id="rId106" w:history="1">
        <w:r w:rsidRPr="001023CE">
          <w:rPr>
            <w:rFonts w:ascii="David" w:hAnsi="David" w:cs="David"/>
            <w:color w:val="0000FF"/>
            <w:sz w:val="24"/>
            <w:szCs w:val="24"/>
            <w:u w:val="single"/>
            <w:rtl/>
          </w:rPr>
          <w:t>ע"פ 431/22</w:t>
        </w:r>
      </w:hyperlink>
      <w:r w:rsidR="005F2F8B">
        <w:rPr>
          <w:rFonts w:ascii="David" w:hAnsi="David" w:cs="David"/>
          <w:sz w:val="24"/>
          <w:szCs w:val="24"/>
          <w:rtl/>
        </w:rPr>
        <w:t xml:space="preserve"> </w:t>
      </w:r>
      <w:r w:rsidR="005F2F8B">
        <w:rPr>
          <w:rFonts w:ascii="David" w:hAnsi="David" w:cs="David"/>
          <w:b/>
          <w:bCs/>
          <w:sz w:val="24"/>
          <w:szCs w:val="24"/>
          <w:rtl/>
        </w:rPr>
        <w:t>ג'בארין נ' מדינת ישראל</w:t>
      </w:r>
      <w:r w:rsidR="005F2F8B">
        <w:rPr>
          <w:rFonts w:ascii="David" w:hAnsi="David" w:cs="David"/>
          <w:sz w:val="24"/>
          <w:szCs w:val="24"/>
          <w:rtl/>
        </w:rPr>
        <w:t xml:space="preserve"> (20.11.2022) (להלן: עניין </w:t>
      </w:r>
      <w:r w:rsidR="005F2F8B">
        <w:rPr>
          <w:rFonts w:ascii="David" w:hAnsi="David" w:cs="David"/>
          <w:b/>
          <w:bCs/>
          <w:sz w:val="24"/>
          <w:szCs w:val="24"/>
          <w:rtl/>
        </w:rPr>
        <w:t>ג'בארין</w:t>
      </w:r>
      <w:r w:rsidR="005F2F8B">
        <w:rPr>
          <w:rFonts w:ascii="David" w:hAnsi="David" w:cs="David"/>
          <w:sz w:val="24"/>
          <w:szCs w:val="24"/>
          <w:rtl/>
        </w:rPr>
        <w:t xml:space="preserve">): המערער הורשע, על יסוד הודאתו, בעבירה של חבלה חמורה בנסיבות מחמירות לפי </w:t>
      </w:r>
      <w:hyperlink r:id="rId107" w:history="1">
        <w:r w:rsidR="00A8336C" w:rsidRPr="00A8336C">
          <w:rPr>
            <w:rStyle w:val="Hyperlink"/>
            <w:rFonts w:ascii="David" w:hAnsi="David" w:cs="David"/>
            <w:sz w:val="24"/>
            <w:szCs w:val="24"/>
            <w:rtl/>
          </w:rPr>
          <w:t>סעיף 333</w:t>
        </w:r>
      </w:hyperlink>
      <w:r w:rsidR="005F2F8B">
        <w:rPr>
          <w:rFonts w:ascii="David" w:hAnsi="David" w:cs="David"/>
          <w:sz w:val="24"/>
          <w:szCs w:val="24"/>
          <w:rtl/>
        </w:rPr>
        <w:t xml:space="preserve"> בנסיבות </w:t>
      </w:r>
      <w:hyperlink r:id="rId108" w:history="1">
        <w:r w:rsidR="00A8336C" w:rsidRPr="00A8336C">
          <w:rPr>
            <w:rStyle w:val="Hyperlink"/>
            <w:rFonts w:ascii="David" w:hAnsi="David" w:cs="David"/>
            <w:sz w:val="24"/>
            <w:szCs w:val="24"/>
            <w:rtl/>
          </w:rPr>
          <w:t>סעיף 335(א)</w:t>
        </w:r>
      </w:hyperlink>
      <w:r w:rsidR="005F2F8B">
        <w:rPr>
          <w:rFonts w:ascii="David" w:hAnsi="David" w:cs="David"/>
          <w:sz w:val="24"/>
          <w:szCs w:val="24"/>
          <w:rtl/>
        </w:rPr>
        <w:t xml:space="preserve"> ל</w:t>
      </w:r>
      <w:hyperlink r:id="rId109" w:history="1">
        <w:r w:rsidRPr="001023CE">
          <w:rPr>
            <w:rFonts w:ascii="David" w:hAnsi="David" w:cs="David"/>
            <w:color w:val="0000FF"/>
            <w:sz w:val="24"/>
            <w:szCs w:val="24"/>
            <w:u w:val="single"/>
            <w:rtl/>
          </w:rPr>
          <w:t>חוק העונשין</w:t>
        </w:r>
      </w:hyperlink>
      <w:r w:rsidR="005F2F8B">
        <w:rPr>
          <w:rFonts w:ascii="David" w:hAnsi="David" w:cs="David"/>
          <w:sz w:val="24"/>
          <w:szCs w:val="24"/>
          <w:rtl/>
        </w:rPr>
        <w:t xml:space="preserve">. באותה פרשה, אחיו של המערער הניח אבנים ומשטח עץ על הכביש שמוביל לביתו של נפגע העבירה. כשהאחרון ואחר החלו להזיזם מהכביש ניגשו למקום המערער ובן דודו ודרשו כי המכשולים ייוותרו במקומם. בתגובה, נפגע העבירה הוציא מרכבו חפץ ארוך וקשיח. כשהבחין כי המערער מתקרב, הניף את החפץ לעברו ובין השניים החלה להתפתח קטטה. בחילופי המהלומות, דקר המערער את נפגע העבירה באמצעות חפץ חד. כתוצאה מכך נגרמו לנפגע העבירה פציעות בחלקי גופו וחלקן הצריכו ניתוח ואשפוז למספר ימים. בית המשפט המחוזי קבע כי מתחם העונש ההולם נע בין 12 לבין 36 חודשי מאסר לריצוי בפועל. במסגרת השיקולים לקולה, התחשב בית המשפט בעברו הנקי של המערער וכן נדרש לתסקיר שירות המבחן לפיו קיים סיכון נמוך להישנות עבירת אלימות מצד המערער. על המערער הושתו 15 חודשי מאסר לריצוי בפועל לצד ענישה נלווית. כמו כן, במסגרת הסכם סולחה, שילם המערער לנפגע העבירה פיצוי בסך 50,000 ₪. בית המשפט העליון דחה את הערעור. </w:t>
      </w:r>
    </w:p>
    <w:p w14:paraId="7E7ED549" w14:textId="77777777" w:rsidR="005F2F8B" w:rsidRDefault="005F2F8B" w:rsidP="005F2F8B">
      <w:pPr>
        <w:pStyle w:val="a9"/>
        <w:spacing w:before="240" w:line="360" w:lineRule="auto"/>
        <w:ind w:left="1080"/>
        <w:jc w:val="both"/>
        <w:rPr>
          <w:rFonts w:ascii="David" w:hAnsi="David" w:cs="David"/>
          <w:sz w:val="24"/>
          <w:szCs w:val="24"/>
          <w:rtl/>
        </w:rPr>
      </w:pPr>
    </w:p>
    <w:p w14:paraId="62C94CA0" w14:textId="77777777" w:rsidR="005F2F8B" w:rsidRDefault="005F2F8B" w:rsidP="005F2F8B">
      <w:pPr>
        <w:pStyle w:val="a9"/>
        <w:numPr>
          <w:ilvl w:val="0"/>
          <w:numId w:val="3"/>
        </w:numPr>
        <w:spacing w:before="240" w:line="360" w:lineRule="auto"/>
        <w:jc w:val="both"/>
        <w:rPr>
          <w:rFonts w:ascii="David" w:hAnsi="David" w:cs="David"/>
          <w:sz w:val="24"/>
          <w:szCs w:val="24"/>
        </w:rPr>
      </w:pPr>
      <w:r>
        <w:rPr>
          <w:rFonts w:ascii="David" w:hAnsi="David" w:cs="David"/>
          <w:sz w:val="24"/>
          <w:szCs w:val="24"/>
          <w:rtl/>
        </w:rPr>
        <w:t xml:space="preserve">בעניין </w:t>
      </w:r>
      <w:r>
        <w:rPr>
          <w:rFonts w:ascii="David" w:hAnsi="David" w:cs="David"/>
          <w:b/>
          <w:bCs/>
          <w:sz w:val="24"/>
          <w:szCs w:val="24"/>
          <w:rtl/>
        </w:rPr>
        <w:t>עטילה</w:t>
      </w:r>
      <w:r>
        <w:rPr>
          <w:rFonts w:ascii="David" w:hAnsi="David" w:cs="David"/>
          <w:sz w:val="24"/>
          <w:szCs w:val="24"/>
          <w:rtl/>
        </w:rPr>
        <w:t xml:space="preserve"> אשר אוזכר לעיל הורשע המערער, על יסוד הודאתו, בעבירות של חבלה חמורה בנסיבות מחמירות, לפי </w:t>
      </w:r>
      <w:hyperlink r:id="rId110" w:history="1">
        <w:r w:rsidR="00A8336C" w:rsidRPr="00A8336C">
          <w:rPr>
            <w:rStyle w:val="Hyperlink"/>
            <w:rFonts w:ascii="David" w:hAnsi="David" w:cs="David"/>
            <w:sz w:val="24"/>
            <w:szCs w:val="24"/>
            <w:rtl/>
          </w:rPr>
          <w:t>סעיף 333</w:t>
        </w:r>
      </w:hyperlink>
      <w:r>
        <w:rPr>
          <w:rFonts w:ascii="David" w:hAnsi="David" w:cs="David"/>
          <w:sz w:val="24"/>
          <w:szCs w:val="24"/>
          <w:rtl/>
        </w:rPr>
        <w:t xml:space="preserve"> בנסיבות </w:t>
      </w:r>
      <w:hyperlink r:id="rId111" w:history="1">
        <w:r w:rsidR="00A8336C" w:rsidRPr="00A8336C">
          <w:rPr>
            <w:rStyle w:val="Hyperlink"/>
            <w:rFonts w:ascii="David" w:hAnsi="David" w:cs="David"/>
            <w:sz w:val="24"/>
            <w:szCs w:val="24"/>
            <w:rtl/>
          </w:rPr>
          <w:t>סעיף 335</w:t>
        </w:r>
      </w:hyperlink>
      <w:r>
        <w:rPr>
          <w:rFonts w:ascii="David" w:hAnsi="David" w:cs="David"/>
          <w:sz w:val="24"/>
          <w:szCs w:val="24"/>
          <w:rtl/>
        </w:rPr>
        <w:t xml:space="preserve"> ל</w:t>
      </w:r>
      <w:hyperlink r:id="rId112" w:history="1">
        <w:r w:rsidR="001023CE" w:rsidRPr="001023CE">
          <w:rPr>
            <w:rFonts w:ascii="David" w:hAnsi="David" w:cs="David"/>
            <w:color w:val="0000FF"/>
            <w:sz w:val="24"/>
            <w:szCs w:val="24"/>
            <w:u w:val="single"/>
            <w:rtl/>
          </w:rPr>
          <w:t>חוק העונשין</w:t>
        </w:r>
      </w:hyperlink>
      <w:r>
        <w:rPr>
          <w:rFonts w:ascii="David" w:hAnsi="David" w:cs="David"/>
          <w:sz w:val="24"/>
          <w:szCs w:val="24"/>
          <w:rtl/>
        </w:rPr>
        <w:t xml:space="preserve">, ותקיפה סתם, לפי </w:t>
      </w:r>
      <w:hyperlink r:id="rId113" w:history="1">
        <w:r w:rsidR="00A8336C" w:rsidRPr="00A8336C">
          <w:rPr>
            <w:rStyle w:val="Hyperlink"/>
            <w:rFonts w:ascii="David" w:hAnsi="David" w:cs="David"/>
            <w:sz w:val="24"/>
            <w:szCs w:val="24"/>
            <w:rtl/>
          </w:rPr>
          <w:t>סעיף 379</w:t>
        </w:r>
      </w:hyperlink>
      <w:r>
        <w:rPr>
          <w:rFonts w:ascii="David" w:hAnsi="David" w:cs="David"/>
          <w:sz w:val="24"/>
          <w:szCs w:val="24"/>
          <w:rtl/>
        </w:rPr>
        <w:t xml:space="preserve"> לחוק העונשין. המערער החנה את רכבו באופן שחסם נתיב נסיעה בכביש. המתלונן עצר באמצע הכביש, ניגש לרכבו של המערער והתיישב לצדו ללא רשותו. התפתח בין השניים דין ודברים ובהמשך יצא המתלונן מן הרכב. אחיינו של המתלונן ששמע צעקות, נעמד בסמוך למתלונן. המערער יצא מרכבו כשבידו האחת תרסיס גז פלפל ובידו האחרת חפץ חד שנחזה להיות סכין או דוקרן. המערער ריסס לכיוונם של השניים גז פלפל, ודקר את המתלונן באמצעות החפץ האמור שש דקירות בפלג גופו העליון. כתוצאה מכך התמוטט המתלונן על הקרקע, נגרמו לו חבלות חמורות וביניהן קרע בטחול וכוויות בעיניים והוא אושפז במשך יומיים בבית חולים. למערער נגרם חתך בידו. בית המשפט המחוזי קבע כי מתחם העונש ההולם נע בין 20 לבין 48 חודשי מאסר. על המערער, בעל עבר פלילי בעבירות של איומים ותקיפה, הושתו 28 חודשי מאסר לריצוי בפועל.</w:t>
      </w:r>
    </w:p>
    <w:p w14:paraId="5F8D80BF" w14:textId="77777777" w:rsidR="005F2F8B" w:rsidRPr="00092FDC" w:rsidRDefault="005F2F8B" w:rsidP="005F2F8B">
      <w:pPr>
        <w:pStyle w:val="a9"/>
        <w:rPr>
          <w:rFonts w:ascii="David" w:hAnsi="David" w:cs="David"/>
          <w:sz w:val="24"/>
          <w:szCs w:val="24"/>
          <w:rtl/>
        </w:rPr>
      </w:pPr>
    </w:p>
    <w:p w14:paraId="52910B6F" w14:textId="77777777" w:rsidR="005F2F8B" w:rsidRDefault="005F2F8B" w:rsidP="005F2F8B">
      <w:pPr>
        <w:pStyle w:val="a9"/>
        <w:spacing w:before="240" w:line="360" w:lineRule="auto"/>
        <w:ind w:left="1080"/>
        <w:jc w:val="both"/>
        <w:rPr>
          <w:rFonts w:ascii="David" w:hAnsi="David" w:cs="David"/>
          <w:b/>
          <w:bCs/>
          <w:sz w:val="24"/>
          <w:szCs w:val="24"/>
          <w:rtl/>
        </w:rPr>
      </w:pPr>
      <w:r>
        <w:rPr>
          <w:rFonts w:ascii="David" w:hAnsi="David" w:cs="David"/>
          <w:sz w:val="24"/>
          <w:szCs w:val="24"/>
          <w:rtl/>
        </w:rPr>
        <w:t>בדחותו את הערעור, קבע בית המשפט העליון כי העונש הולם וכי העובדה שהמתלונן החל באירוע אינה מצדיקה התערבות במתחם הענישה, שכן המערער הוא זה שהסלים את האירוע "עשרות מונים", תוך שנהג "באלימות קשה". לפיכך נקבע כי "האחריות המלאה למעשים מוטלת עליו" (שם, בפס' 11).</w:t>
      </w:r>
    </w:p>
    <w:p w14:paraId="21707851" w14:textId="77777777" w:rsidR="005F2F8B" w:rsidRDefault="005F2F8B" w:rsidP="005F2F8B">
      <w:pPr>
        <w:pStyle w:val="a9"/>
        <w:spacing w:before="240" w:line="360" w:lineRule="auto"/>
        <w:ind w:left="1080"/>
        <w:jc w:val="both"/>
        <w:rPr>
          <w:rFonts w:ascii="David" w:hAnsi="David" w:cs="David"/>
          <w:b/>
          <w:bCs/>
          <w:sz w:val="24"/>
          <w:szCs w:val="24"/>
        </w:rPr>
      </w:pPr>
    </w:p>
    <w:p w14:paraId="72C490D7" w14:textId="77777777" w:rsidR="005F2F8B" w:rsidRDefault="001023CE" w:rsidP="005F2F8B">
      <w:pPr>
        <w:pStyle w:val="a9"/>
        <w:numPr>
          <w:ilvl w:val="0"/>
          <w:numId w:val="3"/>
        </w:numPr>
        <w:spacing w:before="240" w:line="360" w:lineRule="auto"/>
        <w:jc w:val="both"/>
        <w:rPr>
          <w:rFonts w:ascii="David" w:hAnsi="David" w:cs="David"/>
          <w:sz w:val="24"/>
          <w:szCs w:val="24"/>
        </w:rPr>
      </w:pPr>
      <w:hyperlink r:id="rId114" w:history="1">
        <w:r w:rsidRPr="001023CE">
          <w:rPr>
            <w:rFonts w:ascii="David" w:hAnsi="David" w:cs="David"/>
            <w:color w:val="0000FF"/>
            <w:sz w:val="24"/>
            <w:szCs w:val="24"/>
            <w:u w:val="single"/>
            <w:rtl/>
          </w:rPr>
          <w:t>ע"פ 3776/20</w:t>
        </w:r>
      </w:hyperlink>
      <w:r w:rsidR="005F2F8B">
        <w:rPr>
          <w:rFonts w:ascii="David" w:hAnsi="David" w:cs="David"/>
          <w:sz w:val="24"/>
          <w:szCs w:val="24"/>
          <w:rtl/>
        </w:rPr>
        <w:t xml:space="preserve"> </w:t>
      </w:r>
      <w:r w:rsidR="005F2F8B">
        <w:rPr>
          <w:rFonts w:ascii="David" w:hAnsi="David" w:cs="David"/>
          <w:b/>
          <w:bCs/>
          <w:sz w:val="24"/>
          <w:szCs w:val="24"/>
          <w:rtl/>
        </w:rPr>
        <w:t>אל קאדר נ' מדינת ישראל</w:t>
      </w:r>
      <w:r w:rsidR="005F2F8B">
        <w:rPr>
          <w:rFonts w:ascii="David" w:hAnsi="David" w:cs="David"/>
          <w:sz w:val="24"/>
          <w:szCs w:val="24"/>
          <w:rtl/>
        </w:rPr>
        <w:t xml:space="preserve"> (13.8.2020): הורשע המערער לאחר שמיעת ראיות בשתי עבירות של חבלה בנסיבות מחמירות, לפי </w:t>
      </w:r>
      <w:hyperlink r:id="rId115" w:history="1">
        <w:r w:rsidR="00A8336C" w:rsidRPr="00A8336C">
          <w:rPr>
            <w:rStyle w:val="Hyperlink"/>
            <w:rFonts w:ascii="David" w:hAnsi="David" w:cs="David"/>
            <w:sz w:val="24"/>
            <w:szCs w:val="24"/>
            <w:rtl/>
          </w:rPr>
          <w:t>סעיף 333</w:t>
        </w:r>
      </w:hyperlink>
      <w:r w:rsidR="005F2F8B">
        <w:rPr>
          <w:rFonts w:ascii="David" w:hAnsi="David" w:cs="David"/>
          <w:sz w:val="24"/>
          <w:szCs w:val="24"/>
          <w:rtl/>
        </w:rPr>
        <w:t xml:space="preserve"> בנסיבות </w:t>
      </w:r>
      <w:hyperlink r:id="rId116" w:history="1">
        <w:r w:rsidR="00A8336C" w:rsidRPr="00A8336C">
          <w:rPr>
            <w:rStyle w:val="Hyperlink"/>
            <w:rFonts w:ascii="David" w:hAnsi="David" w:cs="David"/>
            <w:sz w:val="24"/>
            <w:szCs w:val="24"/>
            <w:rtl/>
          </w:rPr>
          <w:t>סעיף 335(א)(1)</w:t>
        </w:r>
      </w:hyperlink>
      <w:r w:rsidR="005F2F8B">
        <w:rPr>
          <w:rFonts w:ascii="David" w:hAnsi="David" w:cs="David"/>
          <w:sz w:val="24"/>
          <w:szCs w:val="24"/>
          <w:rtl/>
        </w:rPr>
        <w:t xml:space="preserve"> ו-(</w:t>
      </w:r>
      <w:hyperlink r:id="rId117" w:history="1">
        <w:r w:rsidR="00253398" w:rsidRPr="00253398">
          <w:rPr>
            <w:rStyle w:val="Hyperlink"/>
            <w:rFonts w:ascii="David" w:hAnsi="David" w:cs="David"/>
            <w:sz w:val="24"/>
            <w:szCs w:val="24"/>
            <w:rtl/>
          </w:rPr>
          <w:t>2</w:t>
        </w:r>
      </w:hyperlink>
      <w:r w:rsidR="005F2F8B">
        <w:rPr>
          <w:rFonts w:ascii="David" w:hAnsi="David" w:cs="David"/>
          <w:sz w:val="24"/>
          <w:szCs w:val="24"/>
          <w:rtl/>
        </w:rPr>
        <w:t xml:space="preserve">) עם </w:t>
      </w:r>
      <w:hyperlink r:id="rId118" w:history="1">
        <w:r w:rsidR="00253398" w:rsidRPr="00253398">
          <w:rPr>
            <w:rStyle w:val="Hyperlink"/>
            <w:rFonts w:ascii="David" w:hAnsi="David" w:cs="David"/>
            <w:sz w:val="24"/>
            <w:szCs w:val="24"/>
            <w:rtl/>
          </w:rPr>
          <w:t>סעיף 29</w:t>
        </w:r>
      </w:hyperlink>
      <w:r w:rsidR="005F2F8B">
        <w:rPr>
          <w:rFonts w:ascii="David" w:hAnsi="David" w:cs="David"/>
          <w:sz w:val="24"/>
          <w:szCs w:val="24"/>
          <w:rtl/>
        </w:rPr>
        <w:t xml:space="preserve"> ל</w:t>
      </w:r>
      <w:hyperlink r:id="rId119" w:history="1">
        <w:r w:rsidRPr="001023CE">
          <w:rPr>
            <w:rFonts w:ascii="David" w:hAnsi="David" w:cs="David"/>
            <w:color w:val="0000FF"/>
            <w:sz w:val="24"/>
            <w:szCs w:val="24"/>
            <w:u w:val="single"/>
            <w:rtl/>
          </w:rPr>
          <w:t>חוק העונשין</w:t>
        </w:r>
      </w:hyperlink>
      <w:r w:rsidR="005F2F8B">
        <w:rPr>
          <w:rFonts w:ascii="David" w:hAnsi="David" w:cs="David"/>
          <w:sz w:val="24"/>
          <w:szCs w:val="24"/>
          <w:rtl/>
        </w:rPr>
        <w:t>, לאחר שתקף שני מתלוננים במכות אגרוף ובשתי מכות אלה על ראשם. אחיו, שהועמד לדין עמו, זוכה בתום שמיעת ראיות. בית המשפט המחוזי השית על המערער 33 חודשי מאסר בפועל. בית המשפט העליון ציין כי העונש "אינו קל, בהינתן שאין לו עבר פלילי". עם זאת, מצא כי נוכח הנסיבות – שימוש באלה על מנת לחבוט בראשם של שני מתלוננים – אין הצדקה להתערבות ערכאת הערעור במידת העונש. לפיכך, הערעור נדחה.</w:t>
      </w:r>
    </w:p>
    <w:p w14:paraId="79F58B01" w14:textId="77777777" w:rsidR="005F2F8B" w:rsidRDefault="005F2F8B" w:rsidP="005F2F8B">
      <w:pPr>
        <w:pStyle w:val="a9"/>
        <w:spacing w:before="240" w:line="360" w:lineRule="auto"/>
        <w:ind w:left="1080"/>
        <w:jc w:val="both"/>
        <w:rPr>
          <w:rFonts w:ascii="David" w:hAnsi="David" w:cs="David"/>
          <w:sz w:val="24"/>
          <w:szCs w:val="24"/>
        </w:rPr>
      </w:pPr>
    </w:p>
    <w:p w14:paraId="5BE28BCA" w14:textId="77777777" w:rsidR="005F2F8B" w:rsidRDefault="005F2F8B" w:rsidP="005F2F8B">
      <w:pPr>
        <w:pStyle w:val="a9"/>
        <w:numPr>
          <w:ilvl w:val="0"/>
          <w:numId w:val="1"/>
        </w:numPr>
        <w:spacing w:before="240" w:line="360" w:lineRule="auto"/>
        <w:jc w:val="both"/>
        <w:rPr>
          <w:rFonts w:ascii="David" w:hAnsi="David" w:cs="David"/>
          <w:b/>
          <w:bCs/>
          <w:sz w:val="24"/>
          <w:szCs w:val="24"/>
        </w:rPr>
      </w:pPr>
      <w:r>
        <w:rPr>
          <w:rFonts w:ascii="David" w:hAnsi="David" w:cs="David"/>
          <w:sz w:val="24"/>
          <w:szCs w:val="24"/>
          <w:rtl/>
        </w:rPr>
        <w:t xml:space="preserve">בבואי לקבוע, אפוא, את מתחם הענישה, בחנתי את מכלול השיקולים בהם הערכים החברתיים בהם פגע הנאשם; מידת הפגיעה באותם ערכים; נסיבות ביצוע העבירה; ומדיניות הענישה הנוהגת. בהקשר למדיניות הענישה הנוהגת, נתתי דעתי לכך, שקיים מנעד רחב של עונשים.  על רקע כל האמור נקבע מתחם הענישה כנע בין </w:t>
      </w:r>
      <w:r>
        <w:rPr>
          <w:rFonts w:ascii="David" w:hAnsi="David" w:cs="David"/>
          <w:b/>
          <w:bCs/>
          <w:sz w:val="24"/>
          <w:szCs w:val="24"/>
          <w:rtl/>
        </w:rPr>
        <w:t>20 עד 40 חודשי מאסר לריצוי בפועל.</w:t>
      </w:r>
    </w:p>
    <w:p w14:paraId="1D19A9EA" w14:textId="77777777" w:rsidR="005F2F8B" w:rsidRDefault="005F2F8B" w:rsidP="005F2F8B">
      <w:pPr>
        <w:spacing w:before="240" w:line="360" w:lineRule="auto"/>
        <w:jc w:val="both"/>
        <w:rPr>
          <w:rFonts w:ascii="David" w:hAnsi="David"/>
          <w:b/>
          <w:bCs/>
        </w:rPr>
      </w:pPr>
      <w:r>
        <w:rPr>
          <w:rFonts w:ascii="David" w:hAnsi="David"/>
          <w:b/>
          <w:bCs/>
          <w:rtl/>
        </w:rPr>
        <w:t>העונש המתאים לנאשם</w:t>
      </w:r>
    </w:p>
    <w:p w14:paraId="7C982E33" w14:textId="77777777" w:rsidR="005F2F8B" w:rsidRDefault="005F2F8B" w:rsidP="005F2F8B">
      <w:pPr>
        <w:pStyle w:val="a9"/>
        <w:numPr>
          <w:ilvl w:val="0"/>
          <w:numId w:val="1"/>
        </w:numPr>
        <w:spacing w:before="240" w:line="360" w:lineRule="auto"/>
        <w:jc w:val="both"/>
        <w:rPr>
          <w:rFonts w:ascii="David" w:hAnsi="David" w:cs="David"/>
          <w:sz w:val="24"/>
          <w:szCs w:val="24"/>
        </w:rPr>
      </w:pPr>
      <w:r>
        <w:rPr>
          <w:rFonts w:ascii="David" w:hAnsi="David" w:cs="David"/>
          <w:sz w:val="24"/>
          <w:szCs w:val="24"/>
          <w:rtl/>
        </w:rPr>
        <w:t xml:space="preserve">בגזירת העונש המתאים לנאשם בתוככי מתחם הענישה מצוי מקבץ נסיבות בנות משקל. מן העבר האחד מצויים שורה של היבטים לכף קולה: ראשית, הודאת הנאשם, הבעת החרטה והפנמת הצורך בקבלת טיפול. שנית, השלכות ענישתו של הנאשם על ילדיו הקטנים, אשר עניינם מורכב. המסמכים שלפניי מצביעים על כך, שהתקופה הממושכת שבה נתון הנאשם במעצר נותנת את אותותיה לגביהם. שלישית, מצבו הנפשי של הנאשם. כמובא לעיל, הטענה לקרבה לסייג לאחריות פלילית או ליכולת הנאשם להימנע מן העבירה נדחתה. אולם, שאלה נפרדת היא התחשבות במצב הנפשי כשיקול בתוככי מתחם הענישה. אין חולק שהנאשם מקבל תרופה, המסייעת לו להתמודד עם קשייו במישור הנפשי. קשיים אלה ראויים לבוא במניין השיקולים בתוך מתחם הענישה (השוו: </w:t>
      </w:r>
      <w:hyperlink r:id="rId120" w:history="1">
        <w:r w:rsidR="001023CE" w:rsidRPr="001023CE">
          <w:rPr>
            <w:rFonts w:ascii="David" w:hAnsi="David" w:cs="David"/>
            <w:color w:val="0000FF"/>
            <w:sz w:val="24"/>
            <w:szCs w:val="24"/>
            <w:u w:val="single"/>
            <w:rtl/>
          </w:rPr>
          <w:t>ע"פ 4283/22</w:t>
        </w:r>
      </w:hyperlink>
      <w:r>
        <w:rPr>
          <w:rFonts w:ascii="David" w:hAnsi="David" w:cs="David"/>
          <w:sz w:val="24"/>
          <w:szCs w:val="24"/>
          <w:rtl/>
        </w:rPr>
        <w:t xml:space="preserve"> </w:t>
      </w:r>
      <w:r>
        <w:rPr>
          <w:rFonts w:ascii="David" w:hAnsi="David" w:cs="David"/>
          <w:b/>
          <w:bCs/>
          <w:sz w:val="24"/>
          <w:szCs w:val="24"/>
          <w:rtl/>
        </w:rPr>
        <w:t>באחיט נ' מדינת ישראל</w:t>
      </w:r>
      <w:r>
        <w:rPr>
          <w:rFonts w:ascii="David" w:hAnsi="David" w:cs="David"/>
          <w:sz w:val="24"/>
          <w:szCs w:val="24"/>
          <w:rtl/>
        </w:rPr>
        <w:t xml:space="preserve">, פסקה 12 (1.12.2022); ע"פ </w:t>
      </w:r>
      <w:hyperlink r:id="rId121" w:history="1">
        <w:r w:rsidR="00C700BD" w:rsidRPr="00C700BD">
          <w:rPr>
            <w:rFonts w:ascii="David" w:hAnsi="David" w:cs="David"/>
            <w:color w:val="0000FF"/>
            <w:sz w:val="24"/>
            <w:szCs w:val="24"/>
            <w:u w:val="single"/>
            <w:rtl/>
          </w:rPr>
          <w:t xml:space="preserve">6640/14 </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פסקה 9 (13.10.2014); </w:t>
      </w:r>
      <w:hyperlink r:id="rId122" w:history="1">
        <w:r w:rsidR="001023CE" w:rsidRPr="001023CE">
          <w:rPr>
            <w:rFonts w:ascii="David" w:hAnsi="David" w:cs="David"/>
            <w:color w:val="0000FF"/>
            <w:sz w:val="24"/>
            <w:szCs w:val="24"/>
            <w:u w:val="single"/>
            <w:rtl/>
          </w:rPr>
          <w:t>ע"פ 200/13</w:t>
        </w:r>
      </w:hyperlink>
      <w:r>
        <w:rPr>
          <w:rFonts w:ascii="David" w:hAnsi="David" w:cs="David"/>
          <w:sz w:val="24"/>
          <w:szCs w:val="24"/>
          <w:rtl/>
        </w:rPr>
        <w:t xml:space="preserve"> </w:t>
      </w:r>
      <w:r>
        <w:rPr>
          <w:rFonts w:ascii="David" w:hAnsi="David" w:cs="David"/>
          <w:b/>
          <w:bCs/>
          <w:sz w:val="24"/>
          <w:szCs w:val="24"/>
          <w:rtl/>
        </w:rPr>
        <w:t>ברמן נ' מדינת ישראל</w:t>
      </w:r>
      <w:r>
        <w:rPr>
          <w:rFonts w:ascii="David" w:hAnsi="David" w:cs="David"/>
          <w:sz w:val="24"/>
          <w:szCs w:val="24"/>
          <w:rtl/>
        </w:rPr>
        <w:t>, פסקה 19 (5.2.2014)).</w:t>
      </w:r>
    </w:p>
    <w:p w14:paraId="75316391" w14:textId="77777777" w:rsidR="005F2F8B" w:rsidRDefault="005F2F8B" w:rsidP="005F2F8B">
      <w:pPr>
        <w:pStyle w:val="a9"/>
        <w:spacing w:before="240" w:line="360" w:lineRule="auto"/>
        <w:jc w:val="both"/>
        <w:rPr>
          <w:rFonts w:ascii="David" w:hAnsi="David" w:cs="David"/>
          <w:sz w:val="24"/>
          <w:szCs w:val="24"/>
          <w:rtl/>
        </w:rPr>
      </w:pPr>
    </w:p>
    <w:p w14:paraId="02C5BA6D" w14:textId="77777777" w:rsidR="005F2F8B" w:rsidRDefault="005F2F8B" w:rsidP="005F2F8B">
      <w:pPr>
        <w:pStyle w:val="a9"/>
        <w:spacing w:before="240" w:line="360" w:lineRule="auto"/>
        <w:jc w:val="both"/>
        <w:rPr>
          <w:rFonts w:ascii="David" w:hAnsi="David" w:cs="David"/>
          <w:sz w:val="24"/>
          <w:szCs w:val="24"/>
          <w:rtl/>
        </w:rPr>
      </w:pPr>
      <w:r>
        <w:rPr>
          <w:rFonts w:ascii="David" w:hAnsi="David" w:cs="David"/>
          <w:sz w:val="24"/>
          <w:szCs w:val="24"/>
          <w:rtl/>
        </w:rPr>
        <w:t>מנגד, יש לשקול לחובת הנאשם את עברו הפלילי, שעליו עמדתי בהרחבה לעיל. בהקשר זה אזכיר את הרשעת הנאשם בשנת 2012 (שהתיישנה, אך לא נמחקה) וכן את הרשעתו בשנת 2022, אשר פורטו לעיל. לעבר פלילי זה מצטרפת המסוכנות הגבוהה הנשקפת מפני הנאשם, על פי הערכת שרות המבחן.</w:t>
      </w:r>
    </w:p>
    <w:p w14:paraId="768D87BD" w14:textId="77777777" w:rsidR="005F2F8B" w:rsidRDefault="005F2F8B" w:rsidP="005F2F8B">
      <w:pPr>
        <w:pStyle w:val="a9"/>
        <w:spacing w:before="240" w:line="360" w:lineRule="auto"/>
        <w:jc w:val="both"/>
        <w:rPr>
          <w:rFonts w:ascii="David" w:hAnsi="David" w:cs="David"/>
          <w:sz w:val="24"/>
          <w:szCs w:val="24"/>
        </w:rPr>
      </w:pPr>
    </w:p>
    <w:p w14:paraId="2E9D5AF2" w14:textId="77777777" w:rsidR="005F2F8B" w:rsidRDefault="005F2F8B" w:rsidP="005F2F8B">
      <w:pPr>
        <w:pStyle w:val="a9"/>
        <w:spacing w:before="240" w:line="360" w:lineRule="auto"/>
        <w:jc w:val="both"/>
        <w:rPr>
          <w:rFonts w:ascii="David" w:hAnsi="David" w:cs="David"/>
          <w:sz w:val="24"/>
          <w:szCs w:val="24"/>
        </w:rPr>
      </w:pPr>
      <w:r>
        <w:rPr>
          <w:rFonts w:ascii="David" w:hAnsi="David" w:cs="David"/>
          <w:sz w:val="24"/>
          <w:szCs w:val="24"/>
          <w:rtl/>
        </w:rPr>
        <w:t xml:space="preserve">מכלול הנסיבות שאינן קשורות בביצוע העבירה אשר פורטו לעיל מוליכות למיקום עונשו של הנאשם במרכז מתחם הענישה. </w:t>
      </w:r>
    </w:p>
    <w:p w14:paraId="65B6B514" w14:textId="77777777" w:rsidR="005F2F8B" w:rsidRDefault="005F2F8B" w:rsidP="005F2F8B">
      <w:pPr>
        <w:spacing w:before="240" w:line="360" w:lineRule="auto"/>
        <w:jc w:val="both"/>
        <w:rPr>
          <w:rFonts w:ascii="David" w:hAnsi="David"/>
          <w:b/>
          <w:bCs/>
          <w:u w:val="single"/>
          <w:rtl/>
        </w:rPr>
      </w:pPr>
      <w:r>
        <w:rPr>
          <w:rFonts w:ascii="David" w:hAnsi="David"/>
          <w:b/>
          <w:bCs/>
          <w:u w:val="single"/>
          <w:rtl/>
        </w:rPr>
        <w:t>סוף דבר</w:t>
      </w:r>
    </w:p>
    <w:p w14:paraId="2D4D9ED4" w14:textId="77777777" w:rsidR="005F2F8B" w:rsidRDefault="005F2F8B" w:rsidP="005F2F8B">
      <w:pPr>
        <w:pStyle w:val="a9"/>
        <w:numPr>
          <w:ilvl w:val="0"/>
          <w:numId w:val="1"/>
        </w:numPr>
        <w:spacing w:before="240" w:line="360" w:lineRule="auto"/>
        <w:jc w:val="both"/>
        <w:rPr>
          <w:rFonts w:ascii="David" w:hAnsi="David" w:cs="David"/>
          <w:sz w:val="24"/>
          <w:szCs w:val="24"/>
          <w:rtl/>
        </w:rPr>
      </w:pPr>
      <w:r>
        <w:rPr>
          <w:rFonts w:ascii="David" w:hAnsi="David" w:cs="David"/>
          <w:sz w:val="24"/>
          <w:szCs w:val="24"/>
          <w:rtl/>
        </w:rPr>
        <w:t>אשר על כן, לאחר בחינת מכלול השיקולים, מוטלים על הנאשם העונשים הבאים:</w:t>
      </w:r>
    </w:p>
    <w:p w14:paraId="15D2E756" w14:textId="77777777" w:rsidR="005F2F8B" w:rsidRDefault="005F2F8B" w:rsidP="005F2F8B">
      <w:pPr>
        <w:pStyle w:val="a9"/>
        <w:numPr>
          <w:ilvl w:val="0"/>
          <w:numId w:val="4"/>
        </w:numPr>
        <w:spacing w:before="240" w:line="360" w:lineRule="auto"/>
        <w:ind w:left="1080"/>
        <w:jc w:val="both"/>
        <w:rPr>
          <w:rFonts w:ascii="David" w:hAnsi="David" w:cs="David"/>
          <w:sz w:val="24"/>
          <w:szCs w:val="24"/>
        </w:rPr>
      </w:pPr>
      <w:r>
        <w:rPr>
          <w:rFonts w:ascii="David" w:hAnsi="David" w:cs="David"/>
          <w:sz w:val="24"/>
          <w:szCs w:val="24"/>
          <w:rtl/>
        </w:rPr>
        <w:t xml:space="preserve">מאסר בפועל לתקופה של </w:t>
      </w:r>
      <w:r>
        <w:rPr>
          <w:rFonts w:ascii="David" w:hAnsi="David" w:cs="David"/>
          <w:b/>
          <w:bCs/>
          <w:sz w:val="24"/>
          <w:szCs w:val="24"/>
          <w:rtl/>
        </w:rPr>
        <w:t>30 חודשים</w:t>
      </w:r>
      <w:r>
        <w:rPr>
          <w:rFonts w:ascii="David" w:hAnsi="David" w:cs="David"/>
          <w:sz w:val="24"/>
          <w:szCs w:val="24"/>
          <w:rtl/>
        </w:rPr>
        <w:t xml:space="preserve">, שמניינם מיום מעצרו. </w:t>
      </w:r>
    </w:p>
    <w:p w14:paraId="57018A2F" w14:textId="77777777" w:rsidR="005F2F8B" w:rsidRDefault="005F2F8B" w:rsidP="005F2F8B">
      <w:pPr>
        <w:pStyle w:val="a9"/>
        <w:spacing w:before="240" w:line="360" w:lineRule="auto"/>
        <w:ind w:left="1080"/>
        <w:jc w:val="both"/>
        <w:rPr>
          <w:rFonts w:ascii="David" w:hAnsi="David" w:cs="David"/>
          <w:sz w:val="24"/>
          <w:szCs w:val="24"/>
        </w:rPr>
      </w:pPr>
    </w:p>
    <w:p w14:paraId="711F12E6" w14:textId="77777777" w:rsidR="005F2F8B" w:rsidRDefault="005F2F8B" w:rsidP="005F2F8B">
      <w:pPr>
        <w:pStyle w:val="a9"/>
        <w:numPr>
          <w:ilvl w:val="0"/>
          <w:numId w:val="4"/>
        </w:numPr>
        <w:spacing w:before="240" w:line="360" w:lineRule="auto"/>
        <w:ind w:left="1080"/>
        <w:jc w:val="both"/>
        <w:rPr>
          <w:rFonts w:ascii="David" w:hAnsi="David" w:cs="David"/>
          <w:sz w:val="24"/>
          <w:szCs w:val="24"/>
        </w:rPr>
      </w:pPr>
      <w:r>
        <w:rPr>
          <w:rFonts w:ascii="David" w:hAnsi="David" w:cs="David"/>
          <w:sz w:val="24"/>
          <w:szCs w:val="24"/>
          <w:rtl/>
        </w:rPr>
        <w:t>שמונה חודשי מאסר על תנאי למשך שלוש שנים מהיום, שלא יעבור עבירת אלימות מסוג פשע.</w:t>
      </w:r>
    </w:p>
    <w:p w14:paraId="5024FBFD" w14:textId="77777777" w:rsidR="005F2F8B" w:rsidRDefault="005F2F8B" w:rsidP="005F2F8B">
      <w:pPr>
        <w:pStyle w:val="a9"/>
        <w:numPr>
          <w:ilvl w:val="0"/>
          <w:numId w:val="4"/>
        </w:numPr>
        <w:spacing w:before="240" w:line="360" w:lineRule="auto"/>
        <w:ind w:left="1080"/>
        <w:jc w:val="both"/>
        <w:rPr>
          <w:rFonts w:ascii="David" w:hAnsi="David" w:cs="David"/>
          <w:sz w:val="24"/>
          <w:szCs w:val="24"/>
        </w:rPr>
      </w:pPr>
      <w:r>
        <w:rPr>
          <w:rFonts w:ascii="David" w:hAnsi="David" w:cs="David"/>
          <w:sz w:val="24"/>
          <w:szCs w:val="24"/>
          <w:rtl/>
        </w:rPr>
        <w:t xml:space="preserve">ארבעה חודשי מאסר על תנאי למשך שלוש שנים מהיום, שלא יעבור עבירת אלימות מסוג עוון. </w:t>
      </w:r>
    </w:p>
    <w:p w14:paraId="35E3EB42" w14:textId="77777777" w:rsidR="005F2F8B" w:rsidRDefault="005F2F8B" w:rsidP="005F2F8B">
      <w:pPr>
        <w:pStyle w:val="a9"/>
        <w:spacing w:before="240" w:line="360" w:lineRule="auto"/>
        <w:ind w:left="1080"/>
        <w:jc w:val="both"/>
        <w:rPr>
          <w:rFonts w:ascii="David" w:hAnsi="David" w:cs="David"/>
          <w:sz w:val="24"/>
          <w:szCs w:val="24"/>
        </w:rPr>
      </w:pPr>
    </w:p>
    <w:p w14:paraId="03C50E5C" w14:textId="77777777" w:rsidR="005F2F8B" w:rsidRDefault="005F2F8B" w:rsidP="005F2F8B">
      <w:pPr>
        <w:pStyle w:val="a9"/>
        <w:numPr>
          <w:ilvl w:val="0"/>
          <w:numId w:val="4"/>
        </w:numPr>
        <w:spacing w:before="240" w:line="360" w:lineRule="auto"/>
        <w:ind w:left="1080"/>
        <w:jc w:val="both"/>
        <w:rPr>
          <w:rFonts w:ascii="David" w:hAnsi="David" w:cs="David"/>
          <w:sz w:val="24"/>
          <w:szCs w:val="24"/>
        </w:rPr>
      </w:pPr>
      <w:r>
        <w:rPr>
          <w:rFonts w:ascii="David" w:hAnsi="David" w:cs="David"/>
          <w:sz w:val="24"/>
          <w:szCs w:val="24"/>
          <w:rtl/>
        </w:rPr>
        <w:t xml:space="preserve">פיצוי לנפגע העבירה בסך 20,000 ₪. הפיצויים ישולמו בעשרה תשלומים חודשיים, שווים ורצופים, אשר הראשון שבהם ישולם ביום 1.4.2024. אם לא ישולם תשלום כלשהו במועדו תעמוד היתרה לפירעון מידי. </w:t>
      </w:r>
    </w:p>
    <w:p w14:paraId="39C4888F" w14:textId="77777777" w:rsidR="005F2F8B" w:rsidRDefault="005F2F8B" w:rsidP="005F2F8B">
      <w:pPr>
        <w:pStyle w:val="a9"/>
        <w:spacing w:before="240" w:line="360" w:lineRule="auto"/>
        <w:ind w:left="1080"/>
        <w:jc w:val="both"/>
        <w:rPr>
          <w:rFonts w:ascii="David" w:hAnsi="David" w:cs="David"/>
          <w:sz w:val="24"/>
          <w:szCs w:val="24"/>
        </w:rPr>
      </w:pPr>
      <w:r>
        <w:rPr>
          <w:rFonts w:ascii="David" w:hAnsi="David" w:cs="David"/>
          <w:sz w:val="24"/>
          <w:szCs w:val="24"/>
          <w:rtl/>
        </w:rPr>
        <w:t xml:space="preserve">זכות ערעור כדין. </w:t>
      </w:r>
    </w:p>
    <w:p w14:paraId="43B7A513" w14:textId="77777777" w:rsidR="005F2F8B" w:rsidRPr="001023CE" w:rsidRDefault="001023CE" w:rsidP="005F2F8B">
      <w:pPr>
        <w:pStyle w:val="a9"/>
        <w:spacing w:before="240" w:line="360" w:lineRule="auto"/>
        <w:ind w:left="1080"/>
        <w:jc w:val="both"/>
        <w:rPr>
          <w:rFonts w:ascii="David" w:hAnsi="David" w:cs="David"/>
          <w:color w:val="FFFFFF"/>
          <w:sz w:val="2"/>
          <w:szCs w:val="2"/>
          <w:rtl/>
        </w:rPr>
      </w:pPr>
      <w:r w:rsidRPr="001023CE">
        <w:rPr>
          <w:rFonts w:ascii="David" w:hAnsi="David" w:cs="David"/>
          <w:color w:val="FFFFFF"/>
          <w:sz w:val="2"/>
          <w:szCs w:val="2"/>
          <w:rtl/>
        </w:rPr>
        <w:t>5129371</w:t>
      </w:r>
    </w:p>
    <w:p w14:paraId="77449C8C" w14:textId="77777777" w:rsidR="005F2F8B" w:rsidRPr="00250B83" w:rsidRDefault="001023CE" w:rsidP="005F2F8B">
      <w:pPr>
        <w:rPr>
          <w:rtl/>
        </w:rPr>
      </w:pPr>
      <w:bookmarkStart w:id="8" w:name="Nitan"/>
      <w:r w:rsidRPr="001023CE">
        <w:rPr>
          <w:rFonts w:ascii="Arial" w:hAnsi="Arial"/>
          <w:color w:val="FFFFFF"/>
          <w:sz w:val="2"/>
          <w:szCs w:val="2"/>
          <w:rtl/>
        </w:rPr>
        <w:t>54678313</w:t>
      </w:r>
      <w:r>
        <w:rPr>
          <w:rFonts w:ascii="Arial" w:hAnsi="Arial"/>
          <w:rtl/>
        </w:rPr>
        <w:t xml:space="preserve">ניתן היום,  כ"ו טבת תשפ"ד, 07 ינואר 2024, במעמד הצדדים. </w:t>
      </w:r>
      <w:bookmarkEnd w:id="8"/>
    </w:p>
    <w:p w14:paraId="1E368E1D" w14:textId="77777777" w:rsidR="005F2F8B" w:rsidRPr="00250B83" w:rsidRDefault="005F2F8B" w:rsidP="001023CE">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2DF6ADB3" w14:textId="77777777" w:rsidR="005F2F8B" w:rsidRPr="00250B83" w:rsidRDefault="005F2F8B" w:rsidP="005F2F8B">
      <w:pPr>
        <w:jc w:val="center"/>
        <w:rPr>
          <w:rFonts w:ascii="Arial" w:hAnsi="Arial"/>
          <w:rtl/>
        </w:rPr>
      </w:pPr>
    </w:p>
    <w:p w14:paraId="6B728A96" w14:textId="77777777" w:rsidR="005F2F8B" w:rsidRPr="00250B83" w:rsidRDefault="005F2F8B" w:rsidP="005F2F8B">
      <w:pPr>
        <w:rPr>
          <w:rtl/>
        </w:rPr>
      </w:pPr>
    </w:p>
    <w:p w14:paraId="243B7F2D" w14:textId="77777777" w:rsidR="005F2F8B" w:rsidRDefault="005F2F8B" w:rsidP="005F2F8B">
      <w:pPr>
        <w:pStyle w:val="a3"/>
        <w:jc w:val="center"/>
        <w:rPr>
          <w:rtl/>
        </w:rPr>
      </w:pPr>
    </w:p>
    <w:p w14:paraId="198A9D5E" w14:textId="77777777" w:rsidR="004D5986" w:rsidRPr="001023CE" w:rsidRDefault="004D5986" w:rsidP="001023CE">
      <w:pPr>
        <w:keepNext/>
        <w:rPr>
          <w:rFonts w:ascii="David" w:hAnsi="David"/>
          <w:color w:val="000000"/>
          <w:sz w:val="22"/>
          <w:szCs w:val="22"/>
          <w:rtl/>
        </w:rPr>
      </w:pPr>
    </w:p>
    <w:p w14:paraId="75C3E594" w14:textId="77777777" w:rsidR="001023CE" w:rsidRPr="001023CE" w:rsidRDefault="001023CE" w:rsidP="001023CE">
      <w:pPr>
        <w:keepNext/>
        <w:rPr>
          <w:rFonts w:ascii="David" w:hAnsi="David"/>
          <w:color w:val="000000"/>
          <w:sz w:val="22"/>
          <w:szCs w:val="22"/>
          <w:rtl/>
        </w:rPr>
      </w:pPr>
      <w:r w:rsidRPr="001023CE">
        <w:rPr>
          <w:rFonts w:ascii="David" w:hAnsi="David"/>
          <w:color w:val="000000"/>
          <w:sz w:val="22"/>
          <w:szCs w:val="22"/>
          <w:rtl/>
        </w:rPr>
        <w:t>שי יניב 54678313</w:t>
      </w:r>
    </w:p>
    <w:p w14:paraId="774B5513" w14:textId="77777777" w:rsidR="001023CE" w:rsidRDefault="001023CE" w:rsidP="001023CE">
      <w:r w:rsidRPr="001023CE">
        <w:rPr>
          <w:color w:val="000000"/>
          <w:rtl/>
        </w:rPr>
        <w:t>נוסח מסמך זה כפוף לשינויי ניסוח ועריכה</w:t>
      </w:r>
    </w:p>
    <w:p w14:paraId="200BB2EA" w14:textId="77777777" w:rsidR="001023CE" w:rsidRDefault="001023CE" w:rsidP="001023CE">
      <w:pPr>
        <w:rPr>
          <w:rtl/>
        </w:rPr>
      </w:pPr>
    </w:p>
    <w:p w14:paraId="7BDB7BF8" w14:textId="77777777" w:rsidR="001023CE" w:rsidRDefault="001023CE" w:rsidP="001023CE">
      <w:pPr>
        <w:jc w:val="center"/>
        <w:rPr>
          <w:color w:val="0000FF"/>
          <w:u w:val="single"/>
        </w:rPr>
      </w:pPr>
      <w:hyperlink r:id="rId123" w:history="1">
        <w:r>
          <w:rPr>
            <w:color w:val="0000FF"/>
            <w:u w:val="single"/>
            <w:rtl/>
          </w:rPr>
          <w:t>בעניין עריכה ושינויים במסמכי פסיקה, חקיקה ועוד באתר נבו – הקש כאן</w:t>
        </w:r>
      </w:hyperlink>
    </w:p>
    <w:p w14:paraId="2E2FC571" w14:textId="77777777" w:rsidR="001023CE" w:rsidRPr="001023CE" w:rsidRDefault="001023CE" w:rsidP="001023CE">
      <w:pPr>
        <w:jc w:val="center"/>
        <w:rPr>
          <w:color w:val="0000FF"/>
          <w:u w:val="single"/>
        </w:rPr>
      </w:pPr>
    </w:p>
    <w:sectPr w:rsidR="001023CE" w:rsidRPr="001023CE" w:rsidSect="001023CE">
      <w:headerReference w:type="even" r:id="rId124"/>
      <w:headerReference w:type="default" r:id="rId125"/>
      <w:footerReference w:type="even" r:id="rId126"/>
      <w:footerReference w:type="default" r:id="rId1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33DF5" w14:textId="77777777" w:rsidR="0003105A" w:rsidRDefault="0003105A" w:rsidP="007302D8">
      <w:r>
        <w:separator/>
      </w:r>
    </w:p>
  </w:endnote>
  <w:endnote w:type="continuationSeparator" w:id="0">
    <w:p w14:paraId="07A88C76" w14:textId="77777777" w:rsidR="0003105A" w:rsidRDefault="0003105A" w:rsidP="00730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D7B3E" w14:textId="77777777" w:rsidR="001023CE" w:rsidRDefault="001023CE" w:rsidP="001023C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3DED81" w14:textId="77777777" w:rsidR="00FA0045" w:rsidRPr="001023CE" w:rsidRDefault="001023CE" w:rsidP="001023C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8644A" w14:textId="77777777" w:rsidR="001023CE" w:rsidRDefault="001023CE" w:rsidP="001023C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403E">
      <w:rPr>
        <w:rFonts w:ascii="FrankRuehl" w:hAnsi="FrankRuehl" w:cs="FrankRuehl"/>
        <w:noProof/>
        <w:rtl/>
      </w:rPr>
      <w:t>1</w:t>
    </w:r>
    <w:r>
      <w:rPr>
        <w:rFonts w:ascii="FrankRuehl" w:hAnsi="FrankRuehl" w:cs="FrankRuehl"/>
        <w:rtl/>
      </w:rPr>
      <w:fldChar w:fldCharType="end"/>
    </w:r>
  </w:p>
  <w:p w14:paraId="34FC3D3B" w14:textId="77777777" w:rsidR="00FA0045" w:rsidRPr="001023CE" w:rsidRDefault="001023CE" w:rsidP="001023C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B76C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96842" w14:textId="77777777" w:rsidR="0003105A" w:rsidRDefault="0003105A" w:rsidP="007302D8">
      <w:r>
        <w:separator/>
      </w:r>
    </w:p>
  </w:footnote>
  <w:footnote w:type="continuationSeparator" w:id="0">
    <w:p w14:paraId="2F71B91C" w14:textId="77777777" w:rsidR="0003105A" w:rsidRDefault="0003105A" w:rsidP="00730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65F2D" w14:textId="77777777" w:rsidR="001023CE" w:rsidRPr="001023CE" w:rsidRDefault="001023CE" w:rsidP="001023C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34635-11-22</w:t>
    </w:r>
    <w:r>
      <w:rPr>
        <w:rFonts w:ascii="David" w:hAnsi="David"/>
        <w:color w:val="000000"/>
        <w:sz w:val="22"/>
        <w:szCs w:val="22"/>
        <w:rtl/>
      </w:rPr>
      <w:tab/>
      <w:t xml:space="preserve"> מדינת ישראל נ' אריה גרינפלד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F2E6B" w14:textId="77777777" w:rsidR="001023CE" w:rsidRPr="001023CE" w:rsidRDefault="001023CE" w:rsidP="001023C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34635-11-22</w:t>
    </w:r>
    <w:r>
      <w:rPr>
        <w:rFonts w:ascii="David" w:hAnsi="David"/>
        <w:color w:val="000000"/>
        <w:sz w:val="22"/>
        <w:szCs w:val="22"/>
        <w:rtl/>
      </w:rPr>
      <w:tab/>
      <w:t xml:space="preserve"> מדינת ישראל נ' אריה גרינפלד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0442A"/>
    <w:multiLevelType w:val="hybridMultilevel"/>
    <w:tmpl w:val="3D24EFC6"/>
    <w:lvl w:ilvl="0" w:tplc="1AD81198">
      <w:start w:val="1"/>
      <w:numFmt w:val="hebrew1"/>
      <w:lvlText w:val="%1."/>
      <w:lvlJc w:val="left"/>
      <w:pPr>
        <w:ind w:left="1211" w:hanging="360"/>
      </w:pPr>
      <w:rPr>
        <w:rFonts w:ascii="David" w:eastAsia="Calibri" w:hAnsi="David" w:cs="David"/>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1" w15:restartNumberingAfterBreak="0">
    <w:nsid w:val="1B065E0E"/>
    <w:multiLevelType w:val="hybridMultilevel"/>
    <w:tmpl w:val="C4C41482"/>
    <w:lvl w:ilvl="0" w:tplc="173498F8">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ABD71BB"/>
    <w:multiLevelType w:val="hybridMultilevel"/>
    <w:tmpl w:val="9334D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C1F6249"/>
    <w:multiLevelType w:val="hybridMultilevel"/>
    <w:tmpl w:val="8D789922"/>
    <w:lvl w:ilvl="0" w:tplc="5CE07B9A">
      <w:start w:val="1"/>
      <w:numFmt w:val="decimal"/>
      <w:lvlText w:val="%1."/>
      <w:lvlJc w:val="left"/>
      <w:pPr>
        <w:ind w:left="720" w:hanging="360"/>
      </w:pPr>
      <w:rPr>
        <w:rFonts w:ascii="David" w:hAnsi="David" w:cs="David" w:hint="default"/>
        <w:b w:val="0"/>
        <w:bCs w:val="0"/>
        <w:sz w:val="28"/>
        <w:szCs w:val="28"/>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985549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4140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2270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08310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F2F8B"/>
    <w:rsid w:val="0003105A"/>
    <w:rsid w:val="000D645E"/>
    <w:rsid w:val="001023CE"/>
    <w:rsid w:val="001B5A3B"/>
    <w:rsid w:val="00253398"/>
    <w:rsid w:val="00371FB3"/>
    <w:rsid w:val="003848DC"/>
    <w:rsid w:val="004D5986"/>
    <w:rsid w:val="005A10CC"/>
    <w:rsid w:val="005F2F8B"/>
    <w:rsid w:val="007302D8"/>
    <w:rsid w:val="00735B40"/>
    <w:rsid w:val="00A6403E"/>
    <w:rsid w:val="00A8336C"/>
    <w:rsid w:val="00C700BD"/>
    <w:rsid w:val="00EC4C6F"/>
    <w:rsid w:val="00FA00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2B4DB5"/>
  <w15:chartTrackingRefBased/>
  <w15:docId w15:val="{0B565227-79CE-4292-B344-579EC266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2F8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F2F8B"/>
    <w:pPr>
      <w:tabs>
        <w:tab w:val="center" w:pos="4153"/>
        <w:tab w:val="right" w:pos="8306"/>
      </w:tabs>
    </w:pPr>
  </w:style>
  <w:style w:type="character" w:customStyle="1" w:styleId="a4">
    <w:name w:val="כותרת עליונה תו"/>
    <w:link w:val="a3"/>
    <w:rsid w:val="005F2F8B"/>
    <w:rPr>
      <w:rFonts w:ascii="Times New Roman" w:eastAsia="Times New Roman" w:hAnsi="Times New Roman" w:cs="David"/>
      <w:sz w:val="24"/>
      <w:szCs w:val="24"/>
    </w:rPr>
  </w:style>
  <w:style w:type="paragraph" w:styleId="a5">
    <w:name w:val="footer"/>
    <w:basedOn w:val="a"/>
    <w:link w:val="a6"/>
    <w:rsid w:val="005F2F8B"/>
    <w:pPr>
      <w:tabs>
        <w:tab w:val="center" w:pos="4153"/>
        <w:tab w:val="right" w:pos="8306"/>
      </w:tabs>
    </w:pPr>
  </w:style>
  <w:style w:type="character" w:customStyle="1" w:styleId="a6">
    <w:name w:val="כותרת תחתונה תו"/>
    <w:link w:val="a5"/>
    <w:rsid w:val="005F2F8B"/>
    <w:rPr>
      <w:rFonts w:ascii="Times New Roman" w:eastAsia="Times New Roman" w:hAnsi="Times New Roman" w:cs="David"/>
      <w:sz w:val="24"/>
      <w:szCs w:val="24"/>
    </w:rPr>
  </w:style>
  <w:style w:type="table" w:styleId="a7">
    <w:name w:val="Table Grid"/>
    <w:basedOn w:val="a1"/>
    <w:rsid w:val="005F2F8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F2F8B"/>
  </w:style>
  <w:style w:type="paragraph" w:styleId="a9">
    <w:name w:val="List Paragraph"/>
    <w:basedOn w:val="a"/>
    <w:qFormat/>
    <w:rsid w:val="005F2F8B"/>
    <w:pPr>
      <w:spacing w:after="160" w:line="256" w:lineRule="auto"/>
      <w:ind w:left="720"/>
      <w:contextualSpacing/>
    </w:pPr>
    <w:rPr>
      <w:rFonts w:ascii="Calibri" w:eastAsia="Calibri" w:hAnsi="Calibri" w:cs="Arial"/>
      <w:sz w:val="22"/>
      <w:szCs w:val="22"/>
    </w:rPr>
  </w:style>
  <w:style w:type="paragraph" w:customStyle="1" w:styleId="gmail-msolistparagraph">
    <w:name w:val="gmail-msolistparagraph"/>
    <w:basedOn w:val="a"/>
    <w:rsid w:val="005F2F8B"/>
    <w:pPr>
      <w:bidi w:val="0"/>
      <w:spacing w:before="100" w:beforeAutospacing="1" w:after="100" w:afterAutospacing="1"/>
    </w:pPr>
    <w:rPr>
      <w:rFonts w:eastAsia="Calibri" w:cs="Times New Roman"/>
    </w:rPr>
  </w:style>
  <w:style w:type="character" w:styleId="Hyperlink">
    <w:name w:val="Hyperlink"/>
    <w:rsid w:val="00102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335.a.2" TargetMode="External"/><Relationship Id="rId21" Type="http://schemas.openxmlformats.org/officeDocument/2006/relationships/hyperlink" Target="http://www.nevo.co.il/law/70301/335"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216.a.1" TargetMode="External"/><Relationship Id="rId63" Type="http://schemas.openxmlformats.org/officeDocument/2006/relationships/hyperlink" Target="http://www.nevo.co.il/case/26868555" TargetMode="External"/><Relationship Id="rId68" Type="http://schemas.openxmlformats.org/officeDocument/2006/relationships/hyperlink" Target="http://www.nevo.co.il/case/26345401" TargetMode="External"/><Relationship Id="rId84" Type="http://schemas.openxmlformats.org/officeDocument/2006/relationships/hyperlink" Target="http://www.nevo.co.il/case/28681495" TargetMode="External"/><Relationship Id="rId89" Type="http://schemas.openxmlformats.org/officeDocument/2006/relationships/hyperlink" Target="http://www.nevo.co.il/case/21055809" TargetMode="External"/><Relationship Id="rId112" Type="http://schemas.openxmlformats.org/officeDocument/2006/relationships/hyperlink" Target="http://www.nevo.co.il/law/70301" TargetMode="External"/><Relationship Id="rId16" Type="http://schemas.openxmlformats.org/officeDocument/2006/relationships/hyperlink" Target="http://www.nevo.co.il/law/70301/216.a.1" TargetMode="External"/><Relationship Id="rId107" Type="http://schemas.openxmlformats.org/officeDocument/2006/relationships/hyperlink" Target="http://www.nevo.co.il/law/70301/333" TargetMode="External"/><Relationship Id="rId11" Type="http://schemas.openxmlformats.org/officeDocument/2006/relationships/hyperlink" Target="http://www.nevo.co.il/law/70301/40i.a.9" TargetMode="External"/><Relationship Id="rId32" Type="http://schemas.openxmlformats.org/officeDocument/2006/relationships/hyperlink" Target="http://www.nevo.co.il/law/70301/333" TargetMode="External"/><Relationship Id="rId37" Type="http://schemas.openxmlformats.org/officeDocument/2006/relationships/hyperlink" Target="http://www.nevo.co.il/law/70301/334" TargetMode="External"/><Relationship Id="rId53" Type="http://schemas.openxmlformats.org/officeDocument/2006/relationships/hyperlink" Target="http://www.nevo.co.il/law/70301/379" TargetMode="External"/><Relationship Id="rId58" Type="http://schemas.openxmlformats.org/officeDocument/2006/relationships/hyperlink" Target="http://www.nevo.co.il/law/4216/7.a" TargetMode="External"/><Relationship Id="rId74" Type="http://schemas.openxmlformats.org/officeDocument/2006/relationships/hyperlink" Target="http://www.nevo.co.il/case/6245551" TargetMode="External"/><Relationship Id="rId79" Type="http://schemas.openxmlformats.org/officeDocument/2006/relationships/hyperlink" Target="http://www.nevo.co.il/case/26892078" TargetMode="External"/><Relationship Id="rId102" Type="http://schemas.openxmlformats.org/officeDocument/2006/relationships/hyperlink" Target="http://www.nevo.co.il/case/25541071" TargetMode="External"/><Relationship Id="rId123" Type="http://schemas.openxmlformats.org/officeDocument/2006/relationships/hyperlink" Target="http://www.nevo.co.il/advertisements/nevo-100.doc" TargetMode="External"/><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www.nevo.co.il/case/24497988" TargetMode="External"/><Relationship Id="rId95" Type="http://schemas.openxmlformats.org/officeDocument/2006/relationships/hyperlink" Target="http://www.nevo.co.il/case/27436120" TargetMode="External"/><Relationship Id="rId22" Type="http://schemas.openxmlformats.org/officeDocument/2006/relationships/hyperlink" Target="http://www.nevo.co.il/law/70301/335.a" TargetMode="External"/><Relationship Id="rId27" Type="http://schemas.openxmlformats.org/officeDocument/2006/relationships/hyperlink" Target="http://www.nevo.co.il/law/74918" TargetMode="External"/><Relationship Id="rId43" Type="http://schemas.openxmlformats.org/officeDocument/2006/relationships/hyperlink" Target="http://www.nevo.co.il/law/70301/216.a.1" TargetMode="External"/><Relationship Id="rId48" Type="http://schemas.openxmlformats.org/officeDocument/2006/relationships/hyperlink" Target="http://www.nevo.co.il/law/70301/186.a" TargetMode="External"/><Relationship Id="rId64" Type="http://schemas.openxmlformats.org/officeDocument/2006/relationships/hyperlink" Target="http://www.nevo.co.il/law/70301/40i.a.9" TargetMode="External"/><Relationship Id="rId69" Type="http://schemas.openxmlformats.org/officeDocument/2006/relationships/hyperlink" Target="http://www.nevo.co.il/law/70301/40i.a" TargetMode="External"/><Relationship Id="rId113" Type="http://schemas.openxmlformats.org/officeDocument/2006/relationships/hyperlink" Target="http://www.nevo.co.il/law/70301/379" TargetMode="External"/><Relationship Id="rId118" Type="http://schemas.openxmlformats.org/officeDocument/2006/relationships/hyperlink" Target="http://www.nevo.co.il/law/70301/29" TargetMode="External"/><Relationship Id="rId80" Type="http://schemas.openxmlformats.org/officeDocument/2006/relationships/hyperlink" Target="http://www.nevo.co.il/law/70301/40i.a.7" TargetMode="External"/><Relationship Id="rId85" Type="http://schemas.openxmlformats.org/officeDocument/2006/relationships/hyperlink" Target="http://www.nevo.co.il/case/20821600"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law/70301/249" TargetMode="External"/><Relationship Id="rId33" Type="http://schemas.openxmlformats.org/officeDocument/2006/relationships/hyperlink" Target="http://www.nevo.co.il/law/70301/335.a.1" TargetMode="External"/><Relationship Id="rId38" Type="http://schemas.openxmlformats.org/officeDocument/2006/relationships/hyperlink" Target="http://www.nevo.co.il/law/70301/192" TargetMode="External"/><Relationship Id="rId59" Type="http://schemas.openxmlformats.org/officeDocument/2006/relationships/hyperlink" Target="http://www.nevo.co.il/law/4216/7.c" TargetMode="External"/><Relationship Id="rId103" Type="http://schemas.openxmlformats.org/officeDocument/2006/relationships/hyperlink" Target="http://www.nevo.co.il/law/70301/333" TargetMode="External"/><Relationship Id="rId108" Type="http://schemas.openxmlformats.org/officeDocument/2006/relationships/hyperlink" Target="http://www.nevo.co.il/law/70301/335.a" TargetMode="External"/><Relationship Id="rId124" Type="http://schemas.openxmlformats.org/officeDocument/2006/relationships/header" Target="header1.xml"/><Relationship Id="rId129" Type="http://schemas.openxmlformats.org/officeDocument/2006/relationships/theme" Target="theme/theme1.xml"/><Relationship Id="rId54" Type="http://schemas.openxmlformats.org/officeDocument/2006/relationships/hyperlink" Target="http://www.nevo.co.il/law/70301/192" TargetMode="External"/><Relationship Id="rId70" Type="http://schemas.openxmlformats.org/officeDocument/2006/relationships/hyperlink" Target="http://www.nevo.co.il/law/70301/40j.c" TargetMode="External"/><Relationship Id="rId75" Type="http://schemas.openxmlformats.org/officeDocument/2006/relationships/hyperlink" Target="http://www.nevo.co.il/law/70301" TargetMode="External"/><Relationship Id="rId91" Type="http://schemas.openxmlformats.org/officeDocument/2006/relationships/hyperlink" Target="http://www.nevo.co.il/case/6142512" TargetMode="External"/><Relationship Id="rId96" Type="http://schemas.openxmlformats.org/officeDocument/2006/relationships/hyperlink" Target="http://www.nevo.co.il/law/70301/33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35.a.1" TargetMode="External"/><Relationship Id="rId28" Type="http://schemas.openxmlformats.org/officeDocument/2006/relationships/hyperlink" Target="http://www.nevo.co.il/law/74918/47.a" TargetMode="External"/><Relationship Id="rId49" Type="http://schemas.openxmlformats.org/officeDocument/2006/relationships/hyperlink" Target="http://www.nevo.co.il/law/70301/334" TargetMode="External"/><Relationship Id="rId114" Type="http://schemas.openxmlformats.org/officeDocument/2006/relationships/hyperlink" Target="http://www.nevo.co.il/case/26747866" TargetMode="External"/><Relationship Id="rId119" Type="http://schemas.openxmlformats.org/officeDocument/2006/relationships/hyperlink" Target="http://www.nevo.co.il/law/70301" TargetMode="External"/><Relationship Id="rId44" Type="http://schemas.openxmlformats.org/officeDocument/2006/relationships/hyperlink" Target="http://www.nevo.co.il/law/70301/288" TargetMode="External"/><Relationship Id="rId60" Type="http://schemas.openxmlformats.org/officeDocument/2006/relationships/hyperlink" Target="http://www.nevo.co.il/law/4216" TargetMode="External"/><Relationship Id="rId65" Type="http://schemas.openxmlformats.org/officeDocument/2006/relationships/hyperlink" Target="http://www.nevo.co.il/law/70301" TargetMode="External"/><Relationship Id="rId81" Type="http://schemas.openxmlformats.org/officeDocument/2006/relationships/hyperlink" Target="http://www.nevo.co.il/law/70301/40i.a.9" TargetMode="External"/><Relationship Id="rId86" Type="http://schemas.openxmlformats.org/officeDocument/2006/relationships/hyperlink" Target="http://www.nevo.co.il/case/24344573" TargetMode="External"/><Relationship Id="rId13" Type="http://schemas.openxmlformats.org/officeDocument/2006/relationships/hyperlink" Target="http://www.nevo.co.il/law/70301/186.a" TargetMode="External"/><Relationship Id="rId18" Type="http://schemas.openxmlformats.org/officeDocument/2006/relationships/hyperlink" Target="http://www.nevo.co.il/law/70301/288" TargetMode="External"/><Relationship Id="rId39" Type="http://schemas.openxmlformats.org/officeDocument/2006/relationships/hyperlink" Target="http://www.nevo.co.il/law/70301/379" TargetMode="External"/><Relationship Id="rId10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191"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5782187" TargetMode="External"/><Relationship Id="rId97" Type="http://schemas.openxmlformats.org/officeDocument/2006/relationships/hyperlink" Target="http://www.nevo.co.il/law/70301/335.a.2" TargetMode="External"/><Relationship Id="rId104" Type="http://schemas.openxmlformats.org/officeDocument/2006/relationships/hyperlink" Target="http://www.nevo.co.il/law/70301/335.a.1" TargetMode="External"/><Relationship Id="rId120" Type="http://schemas.openxmlformats.org/officeDocument/2006/relationships/hyperlink" Target="http://www.nevo.co.il/case/28718106" TargetMode="External"/><Relationship Id="rId125"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333" TargetMode="External"/><Relationship Id="rId2" Type="http://schemas.openxmlformats.org/officeDocument/2006/relationships/styles" Target="styles.xml"/><Relationship Id="rId29" Type="http://schemas.openxmlformats.org/officeDocument/2006/relationships/hyperlink" Target="http://www.nevo.co.il/law/4216" TargetMode="External"/><Relationship Id="rId24" Type="http://schemas.openxmlformats.org/officeDocument/2006/relationships/hyperlink" Target="http://www.nevo.co.il/law/70301/335.a.2" TargetMode="External"/><Relationship Id="rId40" Type="http://schemas.openxmlformats.org/officeDocument/2006/relationships/hyperlink" Target="http://www.nevo.co.il/law/70301/249" TargetMode="External"/><Relationship Id="rId45" Type="http://schemas.openxmlformats.org/officeDocument/2006/relationships/hyperlink" Target="http://www.nevo.co.il/law/70301/335.a.1" TargetMode="External"/><Relationship Id="rId66" Type="http://schemas.openxmlformats.org/officeDocument/2006/relationships/hyperlink" Target="http://www.nevo.co.il/law/70301/40i.a" TargetMode="External"/><Relationship Id="rId87" Type="http://schemas.openxmlformats.org/officeDocument/2006/relationships/hyperlink" Target="http://www.nevo.co.il/case/18653755" TargetMode="External"/><Relationship Id="rId110" Type="http://schemas.openxmlformats.org/officeDocument/2006/relationships/hyperlink" Target="http://www.nevo.co.il/law/70301/333" TargetMode="External"/><Relationship Id="rId115" Type="http://schemas.openxmlformats.org/officeDocument/2006/relationships/hyperlink" Target="http://www.nevo.co.il/law/70301/333" TargetMode="External"/><Relationship Id="rId61" Type="http://schemas.openxmlformats.org/officeDocument/2006/relationships/hyperlink" Target="http://www.nevo.co.il/case/27343399"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01/333" TargetMode="External"/><Relationship Id="rId14" Type="http://schemas.openxmlformats.org/officeDocument/2006/relationships/hyperlink" Target="http://www.nevo.co.il/law/70301/191" TargetMode="External"/><Relationship Id="rId30" Type="http://schemas.openxmlformats.org/officeDocument/2006/relationships/hyperlink" Target="http://www.nevo.co.il/law/4216/7.a" TargetMode="External"/><Relationship Id="rId35" Type="http://schemas.openxmlformats.org/officeDocument/2006/relationships/hyperlink" Target="http://www.nevo.co.il/law/70301/335.a.1" TargetMode="External"/><Relationship Id="rId56" Type="http://schemas.openxmlformats.org/officeDocument/2006/relationships/hyperlink" Target="http://www.nevo.co.il/law/74918/47.a"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70301/338.a.1" TargetMode="External"/><Relationship Id="rId105" Type="http://schemas.openxmlformats.org/officeDocument/2006/relationships/hyperlink" Target="http://www.nevo.co.il/law/70301" TargetMode="External"/><Relationship Id="rId126"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hyperlink" Target="http://www.nevo.co.il/law/70301/192" TargetMode="External"/><Relationship Id="rId72" Type="http://schemas.openxmlformats.org/officeDocument/2006/relationships/hyperlink" Target="http://www.nevo.co.il/case/25824898" TargetMode="External"/><Relationship Id="rId93" Type="http://schemas.openxmlformats.org/officeDocument/2006/relationships/hyperlink" Target="http://www.nevo.co.il/law/70301/335.a.1" TargetMode="External"/><Relationship Id="rId98" Type="http://schemas.openxmlformats.org/officeDocument/2006/relationships/hyperlink" Target="http://www.nevo.co.il/law/70301/29" TargetMode="External"/><Relationship Id="rId121" Type="http://schemas.openxmlformats.org/officeDocument/2006/relationships/hyperlink" Target="http://www.nevo.co.il/case/18080495" TargetMode="External"/><Relationship Id="rId3" Type="http://schemas.openxmlformats.org/officeDocument/2006/relationships/settings" Target="settings.xml"/><Relationship Id="rId25" Type="http://schemas.openxmlformats.org/officeDocument/2006/relationships/hyperlink" Target="http://www.nevo.co.il/law/70301/338.a.1" TargetMode="External"/><Relationship Id="rId46" Type="http://schemas.openxmlformats.org/officeDocument/2006/relationships/hyperlink" Target="http://www.nevo.co.il/law/70301" TargetMode="External"/><Relationship Id="rId67" Type="http://schemas.openxmlformats.org/officeDocument/2006/relationships/hyperlink" Target="http://www.nevo.co.il/law/70301" TargetMode="External"/><Relationship Id="rId116" Type="http://schemas.openxmlformats.org/officeDocument/2006/relationships/hyperlink" Target="http://www.nevo.co.il/law/70301/335.a.1" TargetMode="External"/><Relationship Id="rId20" Type="http://schemas.openxmlformats.org/officeDocument/2006/relationships/hyperlink" Target="http://www.nevo.co.il/law/70301/334" TargetMode="External"/><Relationship Id="rId41" Type="http://schemas.openxmlformats.org/officeDocument/2006/relationships/hyperlink" Target="http://www.nevo.co.il/law/70301/192" TargetMode="External"/><Relationship Id="rId62" Type="http://schemas.openxmlformats.org/officeDocument/2006/relationships/hyperlink" Target="http://www.nevo.co.il/case/29668334" TargetMode="External"/><Relationship Id="rId83" Type="http://schemas.openxmlformats.org/officeDocument/2006/relationships/hyperlink" Target="http://www.nevo.co.il/case/17913523" TargetMode="External"/><Relationship Id="rId88" Type="http://schemas.openxmlformats.org/officeDocument/2006/relationships/hyperlink" Target="http://www.nevo.co.il/case/5670020" TargetMode="External"/><Relationship Id="rId111" Type="http://schemas.openxmlformats.org/officeDocument/2006/relationships/hyperlink" Target="http://www.nevo.co.il/law/70301/335" TargetMode="External"/><Relationship Id="rId15" Type="http://schemas.openxmlformats.org/officeDocument/2006/relationships/hyperlink" Target="http://www.nevo.co.il/law/70301/192" TargetMode="External"/><Relationship Id="rId36" Type="http://schemas.openxmlformats.org/officeDocument/2006/relationships/hyperlink" Target="http://www.nevo.co.il/law/70301" TargetMode="External"/><Relationship Id="rId57" Type="http://schemas.openxmlformats.org/officeDocument/2006/relationships/hyperlink" Target="http://www.nevo.co.il/law/74918" TargetMode="External"/><Relationship Id="rId106" Type="http://schemas.openxmlformats.org/officeDocument/2006/relationships/hyperlink" Target="http://www.nevo.co.il/case/28256197" TargetMode="External"/><Relationship Id="rId127" Type="http://schemas.openxmlformats.org/officeDocument/2006/relationships/footer" Target="footer2.xml"/><Relationship Id="rId10" Type="http://schemas.openxmlformats.org/officeDocument/2006/relationships/hyperlink" Target="http://www.nevo.co.il/law/70301/40i.a.7" TargetMode="External"/><Relationship Id="rId31" Type="http://schemas.openxmlformats.org/officeDocument/2006/relationships/hyperlink" Target="http://www.nevo.co.il/law/4216/7.c" TargetMode="External"/><Relationship Id="rId52" Type="http://schemas.openxmlformats.org/officeDocument/2006/relationships/hyperlink" Target="http://www.nevo.co.il/law/70301" TargetMode="External"/><Relationship Id="rId73" Type="http://schemas.openxmlformats.org/officeDocument/2006/relationships/hyperlink" Target="http://www.nevo.co.il/case/20685046" TargetMode="External"/><Relationship Id="rId78" Type="http://schemas.openxmlformats.org/officeDocument/2006/relationships/hyperlink" Target="http://www.nevo.co.il/case/13045219" TargetMode="External"/><Relationship Id="rId94" Type="http://schemas.openxmlformats.org/officeDocument/2006/relationships/hyperlink" Target="http://www.nevo.co.il/law/70301"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0301/29" TargetMode="External"/><Relationship Id="rId122" Type="http://schemas.openxmlformats.org/officeDocument/2006/relationships/hyperlink" Target="http://www.nevo.co.il/case/5568591" TargetMode="External"/><Relationship Id="rId4" Type="http://schemas.openxmlformats.org/officeDocument/2006/relationships/webSettings" Target="webSettings.xml"/><Relationship Id="rId9" Type="http://schemas.openxmlformats.org/officeDocument/2006/relationships/hyperlink" Target="http://www.nevo.co.il/law/70301/40i.a" TargetMode="External"/><Relationship Id="rId26" Type="http://schemas.openxmlformats.org/officeDocument/2006/relationships/hyperlink" Target="http://www.nevo.co.il/law/70301/37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6151</Words>
  <Characters>30755</Characters>
  <Application>Microsoft Office Word</Application>
  <DocSecurity>0</DocSecurity>
  <Lines>256</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36833</CharactersWithSpaces>
  <SharedDoc>false</SharedDoc>
  <HLinks>
    <vt:vector size="702" baseType="variant">
      <vt:variant>
        <vt:i4>393283</vt:i4>
      </vt:variant>
      <vt:variant>
        <vt:i4>348</vt:i4>
      </vt:variant>
      <vt:variant>
        <vt:i4>0</vt:i4>
      </vt:variant>
      <vt:variant>
        <vt:i4>5</vt:i4>
      </vt:variant>
      <vt:variant>
        <vt:lpwstr>http://www.nevo.co.il/advertisements/nevo-100.doc</vt:lpwstr>
      </vt:variant>
      <vt:variant>
        <vt:lpwstr/>
      </vt:variant>
      <vt:variant>
        <vt:i4>3604592</vt:i4>
      </vt:variant>
      <vt:variant>
        <vt:i4>345</vt:i4>
      </vt:variant>
      <vt:variant>
        <vt:i4>0</vt:i4>
      </vt:variant>
      <vt:variant>
        <vt:i4>5</vt:i4>
      </vt:variant>
      <vt:variant>
        <vt:lpwstr>http://www.nevo.co.il/case/5568591</vt:lpwstr>
      </vt:variant>
      <vt:variant>
        <vt:lpwstr/>
      </vt:variant>
      <vt:variant>
        <vt:i4>3670128</vt:i4>
      </vt:variant>
      <vt:variant>
        <vt:i4>342</vt:i4>
      </vt:variant>
      <vt:variant>
        <vt:i4>0</vt:i4>
      </vt:variant>
      <vt:variant>
        <vt:i4>5</vt:i4>
      </vt:variant>
      <vt:variant>
        <vt:lpwstr>http://www.nevo.co.il/case/18080495</vt:lpwstr>
      </vt:variant>
      <vt:variant>
        <vt:lpwstr/>
      </vt:variant>
      <vt:variant>
        <vt:i4>3997820</vt:i4>
      </vt:variant>
      <vt:variant>
        <vt:i4>339</vt:i4>
      </vt:variant>
      <vt:variant>
        <vt:i4>0</vt:i4>
      </vt:variant>
      <vt:variant>
        <vt:i4>5</vt:i4>
      </vt:variant>
      <vt:variant>
        <vt:lpwstr>http://www.nevo.co.il/case/28718106</vt:lpwstr>
      </vt:variant>
      <vt:variant>
        <vt:lpwstr/>
      </vt:variant>
      <vt:variant>
        <vt:i4>7995492</vt:i4>
      </vt:variant>
      <vt:variant>
        <vt:i4>336</vt:i4>
      </vt:variant>
      <vt:variant>
        <vt:i4>0</vt:i4>
      </vt:variant>
      <vt:variant>
        <vt:i4>5</vt:i4>
      </vt:variant>
      <vt:variant>
        <vt:lpwstr>http://www.nevo.co.il/law/70301</vt:lpwstr>
      </vt:variant>
      <vt:variant>
        <vt:lpwstr/>
      </vt:variant>
      <vt:variant>
        <vt:i4>7077991</vt:i4>
      </vt:variant>
      <vt:variant>
        <vt:i4>333</vt:i4>
      </vt:variant>
      <vt:variant>
        <vt:i4>0</vt:i4>
      </vt:variant>
      <vt:variant>
        <vt:i4>5</vt:i4>
      </vt:variant>
      <vt:variant>
        <vt:lpwstr>http://www.nevo.co.il/law/70301/29</vt:lpwstr>
      </vt:variant>
      <vt:variant>
        <vt:lpwstr/>
      </vt:variant>
      <vt:variant>
        <vt:i4>6684722</vt:i4>
      </vt:variant>
      <vt:variant>
        <vt:i4>330</vt:i4>
      </vt:variant>
      <vt:variant>
        <vt:i4>0</vt:i4>
      </vt:variant>
      <vt:variant>
        <vt:i4>5</vt:i4>
      </vt:variant>
      <vt:variant>
        <vt:lpwstr>http://www.nevo.co.il/law/70301/335.a.2</vt:lpwstr>
      </vt:variant>
      <vt:variant>
        <vt:lpwstr/>
      </vt:variant>
      <vt:variant>
        <vt:i4>6684722</vt:i4>
      </vt:variant>
      <vt:variant>
        <vt:i4>327</vt:i4>
      </vt:variant>
      <vt:variant>
        <vt:i4>0</vt:i4>
      </vt:variant>
      <vt:variant>
        <vt:i4>5</vt:i4>
      </vt:variant>
      <vt:variant>
        <vt:lpwstr>http://www.nevo.co.il/law/70301/335.a.1</vt:lpwstr>
      </vt:variant>
      <vt:variant>
        <vt:lpwstr/>
      </vt:variant>
      <vt:variant>
        <vt:i4>6684774</vt:i4>
      </vt:variant>
      <vt:variant>
        <vt:i4>324</vt:i4>
      </vt:variant>
      <vt:variant>
        <vt:i4>0</vt:i4>
      </vt:variant>
      <vt:variant>
        <vt:i4>5</vt:i4>
      </vt:variant>
      <vt:variant>
        <vt:lpwstr>http://www.nevo.co.il/law/70301/333</vt:lpwstr>
      </vt:variant>
      <vt:variant>
        <vt:lpwstr/>
      </vt:variant>
      <vt:variant>
        <vt:i4>3407998</vt:i4>
      </vt:variant>
      <vt:variant>
        <vt:i4>321</vt:i4>
      </vt:variant>
      <vt:variant>
        <vt:i4>0</vt:i4>
      </vt:variant>
      <vt:variant>
        <vt:i4>5</vt:i4>
      </vt:variant>
      <vt:variant>
        <vt:lpwstr>http://www.nevo.co.il/case/26747866</vt:lpwstr>
      </vt:variant>
      <vt:variant>
        <vt:lpwstr/>
      </vt:variant>
      <vt:variant>
        <vt:i4>6422630</vt:i4>
      </vt:variant>
      <vt:variant>
        <vt:i4>318</vt:i4>
      </vt:variant>
      <vt:variant>
        <vt:i4>0</vt:i4>
      </vt:variant>
      <vt:variant>
        <vt:i4>5</vt:i4>
      </vt:variant>
      <vt:variant>
        <vt:lpwstr>http://www.nevo.co.il/law/70301/379</vt:lpwstr>
      </vt:variant>
      <vt:variant>
        <vt:lpwstr/>
      </vt:variant>
      <vt:variant>
        <vt:i4>7995492</vt:i4>
      </vt:variant>
      <vt:variant>
        <vt:i4>315</vt:i4>
      </vt:variant>
      <vt:variant>
        <vt:i4>0</vt:i4>
      </vt:variant>
      <vt:variant>
        <vt:i4>5</vt:i4>
      </vt:variant>
      <vt:variant>
        <vt:lpwstr>http://www.nevo.co.il/law/70301</vt:lpwstr>
      </vt:variant>
      <vt:variant>
        <vt:lpwstr/>
      </vt:variant>
      <vt:variant>
        <vt:i4>6684774</vt:i4>
      </vt:variant>
      <vt:variant>
        <vt:i4>312</vt:i4>
      </vt:variant>
      <vt:variant>
        <vt:i4>0</vt:i4>
      </vt:variant>
      <vt:variant>
        <vt:i4>5</vt:i4>
      </vt:variant>
      <vt:variant>
        <vt:lpwstr>http://www.nevo.co.il/law/70301/335</vt:lpwstr>
      </vt:variant>
      <vt:variant>
        <vt:lpwstr/>
      </vt:variant>
      <vt:variant>
        <vt:i4>6684774</vt:i4>
      </vt:variant>
      <vt:variant>
        <vt:i4>309</vt:i4>
      </vt:variant>
      <vt:variant>
        <vt:i4>0</vt:i4>
      </vt:variant>
      <vt:variant>
        <vt:i4>5</vt:i4>
      </vt:variant>
      <vt:variant>
        <vt:lpwstr>http://www.nevo.co.il/law/70301/333</vt:lpwstr>
      </vt:variant>
      <vt:variant>
        <vt:lpwstr/>
      </vt:variant>
      <vt:variant>
        <vt:i4>7995492</vt:i4>
      </vt:variant>
      <vt:variant>
        <vt:i4>306</vt:i4>
      </vt:variant>
      <vt:variant>
        <vt:i4>0</vt:i4>
      </vt:variant>
      <vt:variant>
        <vt:i4>5</vt:i4>
      </vt:variant>
      <vt:variant>
        <vt:lpwstr>http://www.nevo.co.il/law/70301</vt:lpwstr>
      </vt:variant>
      <vt:variant>
        <vt:lpwstr/>
      </vt:variant>
      <vt:variant>
        <vt:i4>4718675</vt:i4>
      </vt:variant>
      <vt:variant>
        <vt:i4>303</vt:i4>
      </vt:variant>
      <vt:variant>
        <vt:i4>0</vt:i4>
      </vt:variant>
      <vt:variant>
        <vt:i4>5</vt:i4>
      </vt:variant>
      <vt:variant>
        <vt:lpwstr>http://www.nevo.co.il/law/70301/335.a</vt:lpwstr>
      </vt:variant>
      <vt:variant>
        <vt:lpwstr/>
      </vt:variant>
      <vt:variant>
        <vt:i4>6684774</vt:i4>
      </vt:variant>
      <vt:variant>
        <vt:i4>300</vt:i4>
      </vt:variant>
      <vt:variant>
        <vt:i4>0</vt:i4>
      </vt:variant>
      <vt:variant>
        <vt:i4>5</vt:i4>
      </vt:variant>
      <vt:variant>
        <vt:lpwstr>http://www.nevo.co.il/law/70301/333</vt:lpwstr>
      </vt:variant>
      <vt:variant>
        <vt:lpwstr/>
      </vt:variant>
      <vt:variant>
        <vt:i4>4128888</vt:i4>
      </vt:variant>
      <vt:variant>
        <vt:i4>297</vt:i4>
      </vt:variant>
      <vt:variant>
        <vt:i4>0</vt:i4>
      </vt:variant>
      <vt:variant>
        <vt:i4>5</vt:i4>
      </vt:variant>
      <vt:variant>
        <vt:lpwstr>http://www.nevo.co.il/case/28256197</vt:lpwstr>
      </vt:variant>
      <vt:variant>
        <vt:lpwstr/>
      </vt:variant>
      <vt:variant>
        <vt:i4>7995492</vt:i4>
      </vt:variant>
      <vt:variant>
        <vt:i4>294</vt:i4>
      </vt:variant>
      <vt:variant>
        <vt:i4>0</vt:i4>
      </vt:variant>
      <vt:variant>
        <vt:i4>5</vt:i4>
      </vt:variant>
      <vt:variant>
        <vt:lpwstr>http://www.nevo.co.il/law/70301</vt:lpwstr>
      </vt:variant>
      <vt:variant>
        <vt:lpwstr/>
      </vt:variant>
      <vt:variant>
        <vt:i4>6684722</vt:i4>
      </vt:variant>
      <vt:variant>
        <vt:i4>291</vt:i4>
      </vt:variant>
      <vt:variant>
        <vt:i4>0</vt:i4>
      </vt:variant>
      <vt:variant>
        <vt:i4>5</vt:i4>
      </vt:variant>
      <vt:variant>
        <vt:lpwstr>http://www.nevo.co.il/law/70301/335.a.1</vt:lpwstr>
      </vt:variant>
      <vt:variant>
        <vt:lpwstr/>
      </vt:variant>
      <vt:variant>
        <vt:i4>6684774</vt:i4>
      </vt:variant>
      <vt:variant>
        <vt:i4>288</vt:i4>
      </vt:variant>
      <vt:variant>
        <vt:i4>0</vt:i4>
      </vt:variant>
      <vt:variant>
        <vt:i4>5</vt:i4>
      </vt:variant>
      <vt:variant>
        <vt:lpwstr>http://www.nevo.co.il/law/70301/333</vt:lpwstr>
      </vt:variant>
      <vt:variant>
        <vt:lpwstr/>
      </vt:variant>
      <vt:variant>
        <vt:i4>3211381</vt:i4>
      </vt:variant>
      <vt:variant>
        <vt:i4>285</vt:i4>
      </vt:variant>
      <vt:variant>
        <vt:i4>0</vt:i4>
      </vt:variant>
      <vt:variant>
        <vt:i4>5</vt:i4>
      </vt:variant>
      <vt:variant>
        <vt:lpwstr>http://www.nevo.co.il/case/25541071</vt:lpwstr>
      </vt:variant>
      <vt:variant>
        <vt:lpwstr/>
      </vt:variant>
      <vt:variant>
        <vt:i4>7077991</vt:i4>
      </vt:variant>
      <vt:variant>
        <vt:i4>282</vt:i4>
      </vt:variant>
      <vt:variant>
        <vt:i4>0</vt:i4>
      </vt:variant>
      <vt:variant>
        <vt:i4>5</vt:i4>
      </vt:variant>
      <vt:variant>
        <vt:lpwstr>http://www.nevo.co.il/law/70301/29</vt:lpwstr>
      </vt:variant>
      <vt:variant>
        <vt:lpwstr/>
      </vt:variant>
      <vt:variant>
        <vt:i4>6684735</vt:i4>
      </vt:variant>
      <vt:variant>
        <vt:i4>279</vt:i4>
      </vt:variant>
      <vt:variant>
        <vt:i4>0</vt:i4>
      </vt:variant>
      <vt:variant>
        <vt:i4>5</vt:i4>
      </vt:variant>
      <vt:variant>
        <vt:lpwstr>http://www.nevo.co.il/law/70301/338.a.1</vt:lpwstr>
      </vt:variant>
      <vt:variant>
        <vt:lpwstr/>
      </vt:variant>
      <vt:variant>
        <vt:i4>7995492</vt:i4>
      </vt:variant>
      <vt:variant>
        <vt:i4>276</vt:i4>
      </vt:variant>
      <vt:variant>
        <vt:i4>0</vt:i4>
      </vt:variant>
      <vt:variant>
        <vt:i4>5</vt:i4>
      </vt:variant>
      <vt:variant>
        <vt:lpwstr>http://www.nevo.co.il/law/70301</vt:lpwstr>
      </vt:variant>
      <vt:variant>
        <vt:lpwstr/>
      </vt:variant>
      <vt:variant>
        <vt:i4>7077991</vt:i4>
      </vt:variant>
      <vt:variant>
        <vt:i4>273</vt:i4>
      </vt:variant>
      <vt:variant>
        <vt:i4>0</vt:i4>
      </vt:variant>
      <vt:variant>
        <vt:i4>5</vt:i4>
      </vt:variant>
      <vt:variant>
        <vt:lpwstr>http://www.nevo.co.il/law/70301/29</vt:lpwstr>
      </vt:variant>
      <vt:variant>
        <vt:lpwstr/>
      </vt:variant>
      <vt:variant>
        <vt:i4>6684722</vt:i4>
      </vt:variant>
      <vt:variant>
        <vt:i4>270</vt:i4>
      </vt:variant>
      <vt:variant>
        <vt:i4>0</vt:i4>
      </vt:variant>
      <vt:variant>
        <vt:i4>5</vt:i4>
      </vt:variant>
      <vt:variant>
        <vt:lpwstr>http://www.nevo.co.il/law/70301/335.a.2</vt:lpwstr>
      </vt:variant>
      <vt:variant>
        <vt:lpwstr/>
      </vt:variant>
      <vt:variant>
        <vt:i4>6684774</vt:i4>
      </vt:variant>
      <vt:variant>
        <vt:i4>267</vt:i4>
      </vt:variant>
      <vt:variant>
        <vt:i4>0</vt:i4>
      </vt:variant>
      <vt:variant>
        <vt:i4>5</vt:i4>
      </vt:variant>
      <vt:variant>
        <vt:lpwstr>http://www.nevo.co.il/law/70301/333</vt:lpwstr>
      </vt:variant>
      <vt:variant>
        <vt:lpwstr/>
      </vt:variant>
      <vt:variant>
        <vt:i4>3276913</vt:i4>
      </vt:variant>
      <vt:variant>
        <vt:i4>264</vt:i4>
      </vt:variant>
      <vt:variant>
        <vt:i4>0</vt:i4>
      </vt:variant>
      <vt:variant>
        <vt:i4>5</vt:i4>
      </vt:variant>
      <vt:variant>
        <vt:lpwstr>http://www.nevo.co.il/case/27436120</vt:lpwstr>
      </vt:variant>
      <vt:variant>
        <vt:lpwstr/>
      </vt:variant>
      <vt:variant>
        <vt:i4>7995492</vt:i4>
      </vt:variant>
      <vt:variant>
        <vt:i4>261</vt:i4>
      </vt:variant>
      <vt:variant>
        <vt:i4>0</vt:i4>
      </vt:variant>
      <vt:variant>
        <vt:i4>5</vt:i4>
      </vt:variant>
      <vt:variant>
        <vt:lpwstr>http://www.nevo.co.il/law/70301</vt:lpwstr>
      </vt:variant>
      <vt:variant>
        <vt:lpwstr/>
      </vt:variant>
      <vt:variant>
        <vt:i4>6684722</vt:i4>
      </vt:variant>
      <vt:variant>
        <vt:i4>258</vt:i4>
      </vt:variant>
      <vt:variant>
        <vt:i4>0</vt:i4>
      </vt:variant>
      <vt:variant>
        <vt:i4>5</vt:i4>
      </vt:variant>
      <vt:variant>
        <vt:lpwstr>http://www.nevo.co.il/law/70301/335.a.1</vt:lpwstr>
      </vt:variant>
      <vt:variant>
        <vt:lpwstr/>
      </vt:variant>
      <vt:variant>
        <vt:i4>6684774</vt:i4>
      </vt:variant>
      <vt:variant>
        <vt:i4>255</vt:i4>
      </vt:variant>
      <vt:variant>
        <vt:i4>0</vt:i4>
      </vt:variant>
      <vt:variant>
        <vt:i4>5</vt:i4>
      </vt:variant>
      <vt:variant>
        <vt:lpwstr>http://www.nevo.co.il/law/70301/333</vt:lpwstr>
      </vt:variant>
      <vt:variant>
        <vt:lpwstr/>
      </vt:variant>
      <vt:variant>
        <vt:i4>3473526</vt:i4>
      </vt:variant>
      <vt:variant>
        <vt:i4>252</vt:i4>
      </vt:variant>
      <vt:variant>
        <vt:i4>0</vt:i4>
      </vt:variant>
      <vt:variant>
        <vt:i4>5</vt:i4>
      </vt:variant>
      <vt:variant>
        <vt:lpwstr>http://www.nevo.co.il/case/6142512</vt:lpwstr>
      </vt:variant>
      <vt:variant>
        <vt:lpwstr/>
      </vt:variant>
      <vt:variant>
        <vt:i4>3735664</vt:i4>
      </vt:variant>
      <vt:variant>
        <vt:i4>249</vt:i4>
      </vt:variant>
      <vt:variant>
        <vt:i4>0</vt:i4>
      </vt:variant>
      <vt:variant>
        <vt:i4>5</vt:i4>
      </vt:variant>
      <vt:variant>
        <vt:lpwstr>http://www.nevo.co.il/case/24497988</vt:lpwstr>
      </vt:variant>
      <vt:variant>
        <vt:lpwstr/>
      </vt:variant>
      <vt:variant>
        <vt:i4>3604600</vt:i4>
      </vt:variant>
      <vt:variant>
        <vt:i4>246</vt:i4>
      </vt:variant>
      <vt:variant>
        <vt:i4>0</vt:i4>
      </vt:variant>
      <vt:variant>
        <vt:i4>5</vt:i4>
      </vt:variant>
      <vt:variant>
        <vt:lpwstr>http://www.nevo.co.il/case/21055809</vt:lpwstr>
      </vt:variant>
      <vt:variant>
        <vt:lpwstr/>
      </vt:variant>
      <vt:variant>
        <vt:i4>3276912</vt:i4>
      </vt:variant>
      <vt:variant>
        <vt:i4>243</vt:i4>
      </vt:variant>
      <vt:variant>
        <vt:i4>0</vt:i4>
      </vt:variant>
      <vt:variant>
        <vt:i4>5</vt:i4>
      </vt:variant>
      <vt:variant>
        <vt:lpwstr>http://www.nevo.co.il/case/5670020</vt:lpwstr>
      </vt:variant>
      <vt:variant>
        <vt:lpwstr/>
      </vt:variant>
      <vt:variant>
        <vt:i4>3211390</vt:i4>
      </vt:variant>
      <vt:variant>
        <vt:i4>240</vt:i4>
      </vt:variant>
      <vt:variant>
        <vt:i4>0</vt:i4>
      </vt:variant>
      <vt:variant>
        <vt:i4>5</vt:i4>
      </vt:variant>
      <vt:variant>
        <vt:lpwstr>http://www.nevo.co.il/case/18653755</vt:lpwstr>
      </vt:variant>
      <vt:variant>
        <vt:lpwstr/>
      </vt:variant>
      <vt:variant>
        <vt:i4>3276913</vt:i4>
      </vt:variant>
      <vt:variant>
        <vt:i4>237</vt:i4>
      </vt:variant>
      <vt:variant>
        <vt:i4>0</vt:i4>
      </vt:variant>
      <vt:variant>
        <vt:i4>5</vt:i4>
      </vt:variant>
      <vt:variant>
        <vt:lpwstr>http://www.nevo.co.il/case/24344573</vt:lpwstr>
      </vt:variant>
      <vt:variant>
        <vt:lpwstr/>
      </vt:variant>
      <vt:variant>
        <vt:i4>3866736</vt:i4>
      </vt:variant>
      <vt:variant>
        <vt:i4>234</vt:i4>
      </vt:variant>
      <vt:variant>
        <vt:i4>0</vt:i4>
      </vt:variant>
      <vt:variant>
        <vt:i4>5</vt:i4>
      </vt:variant>
      <vt:variant>
        <vt:lpwstr>http://www.nevo.co.il/case/20821600</vt:lpwstr>
      </vt:variant>
      <vt:variant>
        <vt:lpwstr/>
      </vt:variant>
      <vt:variant>
        <vt:i4>3932272</vt:i4>
      </vt:variant>
      <vt:variant>
        <vt:i4>231</vt:i4>
      </vt:variant>
      <vt:variant>
        <vt:i4>0</vt:i4>
      </vt:variant>
      <vt:variant>
        <vt:i4>5</vt:i4>
      </vt:variant>
      <vt:variant>
        <vt:lpwstr>http://www.nevo.co.il/case/28681495</vt:lpwstr>
      </vt:variant>
      <vt:variant>
        <vt:lpwstr/>
      </vt:variant>
      <vt:variant>
        <vt:i4>3735671</vt:i4>
      </vt:variant>
      <vt:variant>
        <vt:i4>228</vt:i4>
      </vt:variant>
      <vt:variant>
        <vt:i4>0</vt:i4>
      </vt:variant>
      <vt:variant>
        <vt:i4>5</vt:i4>
      </vt:variant>
      <vt:variant>
        <vt:lpwstr>http://www.nevo.co.il/case/17913523</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6619241</vt:i4>
      </vt:variant>
      <vt:variant>
        <vt:i4>222</vt:i4>
      </vt:variant>
      <vt:variant>
        <vt:i4>0</vt:i4>
      </vt:variant>
      <vt:variant>
        <vt:i4>5</vt:i4>
      </vt:variant>
      <vt:variant>
        <vt:lpwstr>http://www.nevo.co.il/law/70301/40i.a.9</vt:lpwstr>
      </vt:variant>
      <vt:variant>
        <vt:lpwstr/>
      </vt:variant>
      <vt:variant>
        <vt:i4>6619241</vt:i4>
      </vt:variant>
      <vt:variant>
        <vt:i4>219</vt:i4>
      </vt:variant>
      <vt:variant>
        <vt:i4>0</vt:i4>
      </vt:variant>
      <vt:variant>
        <vt:i4>5</vt:i4>
      </vt:variant>
      <vt:variant>
        <vt:lpwstr>http://www.nevo.co.il/law/70301/40i.a.7</vt:lpwstr>
      </vt:variant>
      <vt:variant>
        <vt:lpwstr/>
      </vt:variant>
      <vt:variant>
        <vt:i4>4128891</vt:i4>
      </vt:variant>
      <vt:variant>
        <vt:i4>216</vt:i4>
      </vt:variant>
      <vt:variant>
        <vt:i4>0</vt:i4>
      </vt:variant>
      <vt:variant>
        <vt:i4>5</vt:i4>
      </vt:variant>
      <vt:variant>
        <vt:lpwstr>http://www.nevo.co.il/case/26892078</vt:lpwstr>
      </vt:variant>
      <vt:variant>
        <vt:lpwstr/>
      </vt:variant>
      <vt:variant>
        <vt:i4>3473521</vt:i4>
      </vt:variant>
      <vt:variant>
        <vt:i4>213</vt:i4>
      </vt:variant>
      <vt:variant>
        <vt:i4>0</vt:i4>
      </vt:variant>
      <vt:variant>
        <vt:i4>5</vt:i4>
      </vt:variant>
      <vt:variant>
        <vt:lpwstr>http://www.nevo.co.il/case/13045219</vt:lpwstr>
      </vt:variant>
      <vt:variant>
        <vt:lpwstr/>
      </vt:variant>
      <vt:variant>
        <vt:i4>7995492</vt:i4>
      </vt:variant>
      <vt:variant>
        <vt:i4>210</vt:i4>
      </vt:variant>
      <vt:variant>
        <vt:i4>0</vt:i4>
      </vt:variant>
      <vt:variant>
        <vt:i4>5</vt:i4>
      </vt:variant>
      <vt:variant>
        <vt:lpwstr>http://www.nevo.co.il/law/70301</vt:lpwstr>
      </vt:variant>
      <vt:variant>
        <vt:lpwstr/>
      </vt:variant>
      <vt:variant>
        <vt:i4>3866745</vt:i4>
      </vt:variant>
      <vt:variant>
        <vt:i4>207</vt:i4>
      </vt:variant>
      <vt:variant>
        <vt:i4>0</vt:i4>
      </vt:variant>
      <vt:variant>
        <vt:i4>5</vt:i4>
      </vt:variant>
      <vt:variant>
        <vt:lpwstr>http://www.nevo.co.il/case/5782187</vt:lpwstr>
      </vt:variant>
      <vt:variant>
        <vt:lpwstr/>
      </vt:variant>
      <vt:variant>
        <vt:i4>7995492</vt:i4>
      </vt:variant>
      <vt:variant>
        <vt:i4>204</vt:i4>
      </vt:variant>
      <vt:variant>
        <vt:i4>0</vt:i4>
      </vt:variant>
      <vt:variant>
        <vt:i4>5</vt:i4>
      </vt:variant>
      <vt:variant>
        <vt:lpwstr>http://www.nevo.co.il/law/70301</vt:lpwstr>
      </vt:variant>
      <vt:variant>
        <vt:lpwstr/>
      </vt:variant>
      <vt:variant>
        <vt:i4>3539062</vt:i4>
      </vt:variant>
      <vt:variant>
        <vt:i4>201</vt:i4>
      </vt:variant>
      <vt:variant>
        <vt:i4>0</vt:i4>
      </vt:variant>
      <vt:variant>
        <vt:i4>5</vt:i4>
      </vt:variant>
      <vt:variant>
        <vt:lpwstr>http://www.nevo.co.il/case/6245551</vt:lpwstr>
      </vt:variant>
      <vt:variant>
        <vt:lpwstr/>
      </vt:variant>
      <vt:variant>
        <vt:i4>3473532</vt:i4>
      </vt:variant>
      <vt:variant>
        <vt:i4>198</vt:i4>
      </vt:variant>
      <vt:variant>
        <vt:i4>0</vt:i4>
      </vt:variant>
      <vt:variant>
        <vt:i4>5</vt:i4>
      </vt:variant>
      <vt:variant>
        <vt:lpwstr>http://www.nevo.co.il/case/20685046</vt:lpwstr>
      </vt:variant>
      <vt:variant>
        <vt:lpwstr/>
      </vt:variant>
      <vt:variant>
        <vt:i4>3604603</vt:i4>
      </vt:variant>
      <vt:variant>
        <vt:i4>195</vt:i4>
      </vt:variant>
      <vt:variant>
        <vt:i4>0</vt:i4>
      </vt:variant>
      <vt:variant>
        <vt:i4>5</vt:i4>
      </vt:variant>
      <vt:variant>
        <vt:lpwstr>http://www.nevo.co.il/case/25824898</vt:lpwstr>
      </vt:variant>
      <vt:variant>
        <vt:lpwstr/>
      </vt:variant>
      <vt:variant>
        <vt:i4>7995492</vt:i4>
      </vt:variant>
      <vt:variant>
        <vt:i4>192</vt:i4>
      </vt:variant>
      <vt:variant>
        <vt:i4>0</vt:i4>
      </vt:variant>
      <vt:variant>
        <vt:i4>5</vt:i4>
      </vt:variant>
      <vt:variant>
        <vt:lpwstr>http://www.nevo.co.il/law/70301</vt:lpwstr>
      </vt:variant>
      <vt:variant>
        <vt:lpwstr/>
      </vt:variant>
      <vt:variant>
        <vt:i4>4915211</vt:i4>
      </vt:variant>
      <vt:variant>
        <vt:i4>189</vt:i4>
      </vt:variant>
      <vt:variant>
        <vt:i4>0</vt:i4>
      </vt:variant>
      <vt:variant>
        <vt:i4>5</vt:i4>
      </vt:variant>
      <vt:variant>
        <vt:lpwstr>http://www.nevo.co.il/law/70301/40j.c</vt:lpwstr>
      </vt:variant>
      <vt:variant>
        <vt:lpwstr/>
      </vt:variant>
      <vt:variant>
        <vt:i4>4915208</vt:i4>
      </vt:variant>
      <vt:variant>
        <vt:i4>186</vt:i4>
      </vt:variant>
      <vt:variant>
        <vt:i4>0</vt:i4>
      </vt:variant>
      <vt:variant>
        <vt:i4>5</vt:i4>
      </vt:variant>
      <vt:variant>
        <vt:lpwstr>http://www.nevo.co.il/law/70301/40i.a</vt:lpwstr>
      </vt:variant>
      <vt:variant>
        <vt:lpwstr/>
      </vt:variant>
      <vt:variant>
        <vt:i4>3407986</vt:i4>
      </vt:variant>
      <vt:variant>
        <vt:i4>183</vt:i4>
      </vt:variant>
      <vt:variant>
        <vt:i4>0</vt:i4>
      </vt:variant>
      <vt:variant>
        <vt:i4>5</vt:i4>
      </vt:variant>
      <vt:variant>
        <vt:lpwstr>http://www.nevo.co.il/case/26345401</vt:lpwstr>
      </vt:variant>
      <vt:variant>
        <vt:lpwstr/>
      </vt:variant>
      <vt:variant>
        <vt:i4>7995492</vt:i4>
      </vt:variant>
      <vt:variant>
        <vt:i4>180</vt:i4>
      </vt:variant>
      <vt:variant>
        <vt:i4>0</vt:i4>
      </vt:variant>
      <vt:variant>
        <vt:i4>5</vt:i4>
      </vt:variant>
      <vt:variant>
        <vt:lpwstr>http://www.nevo.co.il/law/70301</vt:lpwstr>
      </vt:variant>
      <vt:variant>
        <vt:lpwstr/>
      </vt:variant>
      <vt:variant>
        <vt:i4>4915208</vt:i4>
      </vt:variant>
      <vt:variant>
        <vt:i4>177</vt:i4>
      </vt:variant>
      <vt:variant>
        <vt:i4>0</vt:i4>
      </vt:variant>
      <vt:variant>
        <vt:i4>5</vt:i4>
      </vt:variant>
      <vt:variant>
        <vt:lpwstr>http://www.nevo.co.il/law/70301/40i.a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6619241</vt:i4>
      </vt:variant>
      <vt:variant>
        <vt:i4>171</vt:i4>
      </vt:variant>
      <vt:variant>
        <vt:i4>0</vt:i4>
      </vt:variant>
      <vt:variant>
        <vt:i4>5</vt:i4>
      </vt:variant>
      <vt:variant>
        <vt:lpwstr>http://www.nevo.co.il/law/70301/40i.a.9</vt:lpwstr>
      </vt:variant>
      <vt:variant>
        <vt:lpwstr/>
      </vt:variant>
      <vt:variant>
        <vt:i4>3604593</vt:i4>
      </vt:variant>
      <vt:variant>
        <vt:i4>168</vt:i4>
      </vt:variant>
      <vt:variant>
        <vt:i4>0</vt:i4>
      </vt:variant>
      <vt:variant>
        <vt:i4>5</vt:i4>
      </vt:variant>
      <vt:variant>
        <vt:lpwstr>http://www.nevo.co.il/case/26868555</vt:lpwstr>
      </vt:variant>
      <vt:variant>
        <vt:lpwstr/>
      </vt:variant>
      <vt:variant>
        <vt:i4>4128888</vt:i4>
      </vt:variant>
      <vt:variant>
        <vt:i4>165</vt:i4>
      </vt:variant>
      <vt:variant>
        <vt:i4>0</vt:i4>
      </vt:variant>
      <vt:variant>
        <vt:i4>5</vt:i4>
      </vt:variant>
      <vt:variant>
        <vt:lpwstr>http://www.nevo.co.il/case/29668334</vt:lpwstr>
      </vt:variant>
      <vt:variant>
        <vt:lpwstr/>
      </vt:variant>
      <vt:variant>
        <vt:i4>3866740</vt:i4>
      </vt:variant>
      <vt:variant>
        <vt:i4>162</vt:i4>
      </vt:variant>
      <vt:variant>
        <vt:i4>0</vt:i4>
      </vt:variant>
      <vt:variant>
        <vt:i4>5</vt:i4>
      </vt:variant>
      <vt:variant>
        <vt:lpwstr>http://www.nevo.co.il/case/27343399</vt:lpwstr>
      </vt:variant>
      <vt:variant>
        <vt:lpwstr/>
      </vt:variant>
      <vt:variant>
        <vt:i4>8257637</vt:i4>
      </vt:variant>
      <vt:variant>
        <vt:i4>159</vt:i4>
      </vt:variant>
      <vt:variant>
        <vt:i4>0</vt:i4>
      </vt:variant>
      <vt:variant>
        <vt:i4>5</vt:i4>
      </vt:variant>
      <vt:variant>
        <vt:lpwstr>http://www.nevo.co.il/law/4216</vt:lpwstr>
      </vt:variant>
      <vt:variant>
        <vt:lpwstr/>
      </vt:variant>
      <vt:variant>
        <vt:i4>2752612</vt:i4>
      </vt:variant>
      <vt:variant>
        <vt:i4>156</vt:i4>
      </vt:variant>
      <vt:variant>
        <vt:i4>0</vt:i4>
      </vt:variant>
      <vt:variant>
        <vt:i4>5</vt:i4>
      </vt:variant>
      <vt:variant>
        <vt:lpwstr>http://www.nevo.co.il/law/4216/7.c</vt:lpwstr>
      </vt:variant>
      <vt:variant>
        <vt:lpwstr/>
      </vt:variant>
      <vt:variant>
        <vt:i4>2621540</vt:i4>
      </vt:variant>
      <vt:variant>
        <vt:i4>153</vt:i4>
      </vt:variant>
      <vt:variant>
        <vt:i4>0</vt:i4>
      </vt:variant>
      <vt:variant>
        <vt:i4>5</vt:i4>
      </vt:variant>
      <vt:variant>
        <vt:lpwstr>http://www.nevo.co.il/law/4216/7.a</vt:lpwstr>
      </vt:variant>
      <vt:variant>
        <vt:lpwstr/>
      </vt:variant>
      <vt:variant>
        <vt:i4>8323182</vt:i4>
      </vt:variant>
      <vt:variant>
        <vt:i4>150</vt:i4>
      </vt:variant>
      <vt:variant>
        <vt:i4>0</vt:i4>
      </vt:variant>
      <vt:variant>
        <vt:i4>5</vt:i4>
      </vt:variant>
      <vt:variant>
        <vt:lpwstr>http://www.nevo.co.il/law/74918</vt:lpwstr>
      </vt:variant>
      <vt:variant>
        <vt:lpwstr/>
      </vt:variant>
      <vt:variant>
        <vt:i4>393292</vt:i4>
      </vt:variant>
      <vt:variant>
        <vt:i4>147</vt:i4>
      </vt:variant>
      <vt:variant>
        <vt:i4>0</vt:i4>
      </vt:variant>
      <vt:variant>
        <vt:i4>5</vt:i4>
      </vt:variant>
      <vt:variant>
        <vt:lpwstr>http://www.nevo.co.il/law/74918/47.a</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7077988</vt:i4>
      </vt:variant>
      <vt:variant>
        <vt:i4>141</vt:i4>
      </vt:variant>
      <vt:variant>
        <vt:i4>0</vt:i4>
      </vt:variant>
      <vt:variant>
        <vt:i4>5</vt:i4>
      </vt:variant>
      <vt:variant>
        <vt:lpwstr>http://www.nevo.co.il/law/70301/192</vt:lpwstr>
      </vt:variant>
      <vt:variant>
        <vt:lpwstr/>
      </vt:variant>
      <vt:variant>
        <vt:i4>6422630</vt:i4>
      </vt:variant>
      <vt:variant>
        <vt:i4>138</vt:i4>
      </vt:variant>
      <vt:variant>
        <vt:i4>0</vt:i4>
      </vt:variant>
      <vt:variant>
        <vt:i4>5</vt:i4>
      </vt:variant>
      <vt:variant>
        <vt:lpwstr>http://www.nevo.co.il/law/70301/379</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7077988</vt:i4>
      </vt:variant>
      <vt:variant>
        <vt:i4>132</vt:i4>
      </vt:variant>
      <vt:variant>
        <vt:i4>0</vt:i4>
      </vt:variant>
      <vt:variant>
        <vt:i4>5</vt:i4>
      </vt:variant>
      <vt:variant>
        <vt:lpwstr>http://www.nevo.co.il/law/70301/192</vt:lpwstr>
      </vt:variant>
      <vt:variant>
        <vt:lpwstr/>
      </vt:variant>
      <vt:variant>
        <vt:i4>7077988</vt:i4>
      </vt:variant>
      <vt:variant>
        <vt:i4>129</vt:i4>
      </vt:variant>
      <vt:variant>
        <vt:i4>0</vt:i4>
      </vt:variant>
      <vt:variant>
        <vt:i4>5</vt:i4>
      </vt:variant>
      <vt:variant>
        <vt:lpwstr>http://www.nevo.co.il/law/70301/191</vt:lpwstr>
      </vt:variant>
      <vt:variant>
        <vt:lpwstr/>
      </vt:variant>
      <vt:variant>
        <vt:i4>6684774</vt:i4>
      </vt:variant>
      <vt:variant>
        <vt:i4>126</vt:i4>
      </vt:variant>
      <vt:variant>
        <vt:i4>0</vt:i4>
      </vt:variant>
      <vt:variant>
        <vt:i4>5</vt:i4>
      </vt:variant>
      <vt:variant>
        <vt:lpwstr>http://www.nevo.co.il/law/70301/334</vt:lpwstr>
      </vt:variant>
      <vt:variant>
        <vt:lpwstr/>
      </vt:variant>
      <vt:variant>
        <vt:i4>4390994</vt:i4>
      </vt:variant>
      <vt:variant>
        <vt:i4>123</vt:i4>
      </vt:variant>
      <vt:variant>
        <vt:i4>0</vt:i4>
      </vt:variant>
      <vt:variant>
        <vt:i4>5</vt:i4>
      </vt:variant>
      <vt:variant>
        <vt:lpwstr>http://www.nevo.co.il/law/70301/186.a</vt:lpwstr>
      </vt:variant>
      <vt:variant>
        <vt:lpwstr/>
      </vt:variant>
      <vt:variant>
        <vt:i4>6553648</vt:i4>
      </vt:variant>
      <vt:variant>
        <vt:i4>120</vt:i4>
      </vt:variant>
      <vt:variant>
        <vt:i4>0</vt:i4>
      </vt:variant>
      <vt:variant>
        <vt:i4>5</vt:i4>
      </vt:variant>
      <vt:variant>
        <vt:lpwstr>http://www.nevo.co.il/law/70301/216.a.1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6684722</vt:i4>
      </vt:variant>
      <vt:variant>
        <vt:i4>114</vt:i4>
      </vt:variant>
      <vt:variant>
        <vt:i4>0</vt:i4>
      </vt:variant>
      <vt:variant>
        <vt:i4>5</vt:i4>
      </vt:variant>
      <vt:variant>
        <vt:lpwstr>http://www.nevo.co.il/law/70301/335.a.1</vt:lpwstr>
      </vt:variant>
      <vt:variant>
        <vt:lpwstr/>
      </vt:variant>
      <vt:variant>
        <vt:i4>7143527</vt:i4>
      </vt:variant>
      <vt:variant>
        <vt:i4>111</vt:i4>
      </vt:variant>
      <vt:variant>
        <vt:i4>0</vt:i4>
      </vt:variant>
      <vt:variant>
        <vt:i4>5</vt:i4>
      </vt:variant>
      <vt:variant>
        <vt:lpwstr>http://www.nevo.co.il/law/70301/288</vt:lpwstr>
      </vt:variant>
      <vt:variant>
        <vt:lpwstr/>
      </vt:variant>
      <vt:variant>
        <vt:i4>6553648</vt:i4>
      </vt:variant>
      <vt:variant>
        <vt:i4>108</vt:i4>
      </vt:variant>
      <vt:variant>
        <vt:i4>0</vt:i4>
      </vt:variant>
      <vt:variant>
        <vt:i4>5</vt:i4>
      </vt:variant>
      <vt:variant>
        <vt:lpwstr>http://www.nevo.co.il/law/70301/216.a.1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7077988</vt:i4>
      </vt:variant>
      <vt:variant>
        <vt:i4>102</vt:i4>
      </vt:variant>
      <vt:variant>
        <vt:i4>0</vt:i4>
      </vt:variant>
      <vt:variant>
        <vt:i4>5</vt:i4>
      </vt:variant>
      <vt:variant>
        <vt:lpwstr>http://www.nevo.co.il/law/70301/192</vt:lpwstr>
      </vt:variant>
      <vt:variant>
        <vt:lpwstr/>
      </vt:variant>
      <vt:variant>
        <vt:i4>6357095</vt:i4>
      </vt:variant>
      <vt:variant>
        <vt:i4>99</vt:i4>
      </vt:variant>
      <vt:variant>
        <vt:i4>0</vt:i4>
      </vt:variant>
      <vt:variant>
        <vt:i4>5</vt:i4>
      </vt:variant>
      <vt:variant>
        <vt:lpwstr>http://www.nevo.co.il/law/70301/249</vt:lpwstr>
      </vt:variant>
      <vt:variant>
        <vt:lpwstr/>
      </vt:variant>
      <vt:variant>
        <vt:i4>6422630</vt:i4>
      </vt:variant>
      <vt:variant>
        <vt:i4>96</vt:i4>
      </vt:variant>
      <vt:variant>
        <vt:i4>0</vt:i4>
      </vt:variant>
      <vt:variant>
        <vt:i4>5</vt:i4>
      </vt:variant>
      <vt:variant>
        <vt:lpwstr>http://www.nevo.co.il/law/70301/379</vt:lpwstr>
      </vt:variant>
      <vt:variant>
        <vt:lpwstr/>
      </vt:variant>
      <vt:variant>
        <vt:i4>7077988</vt:i4>
      </vt:variant>
      <vt:variant>
        <vt:i4>93</vt:i4>
      </vt:variant>
      <vt:variant>
        <vt:i4>0</vt:i4>
      </vt:variant>
      <vt:variant>
        <vt:i4>5</vt:i4>
      </vt:variant>
      <vt:variant>
        <vt:lpwstr>http://www.nevo.co.il/law/70301/192</vt:lpwstr>
      </vt:variant>
      <vt:variant>
        <vt:lpwstr/>
      </vt:variant>
      <vt:variant>
        <vt:i4>6684774</vt:i4>
      </vt:variant>
      <vt:variant>
        <vt:i4>90</vt:i4>
      </vt:variant>
      <vt:variant>
        <vt:i4>0</vt:i4>
      </vt:variant>
      <vt:variant>
        <vt:i4>5</vt:i4>
      </vt:variant>
      <vt:variant>
        <vt:lpwstr>http://www.nevo.co.il/law/70301/334</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6684722</vt:i4>
      </vt:variant>
      <vt:variant>
        <vt:i4>84</vt:i4>
      </vt:variant>
      <vt:variant>
        <vt:i4>0</vt:i4>
      </vt:variant>
      <vt:variant>
        <vt:i4>5</vt:i4>
      </vt:variant>
      <vt:variant>
        <vt:lpwstr>http://www.nevo.co.il/law/70301/335.a.1</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6684722</vt:i4>
      </vt:variant>
      <vt:variant>
        <vt:i4>78</vt:i4>
      </vt:variant>
      <vt:variant>
        <vt:i4>0</vt:i4>
      </vt:variant>
      <vt:variant>
        <vt:i4>5</vt:i4>
      </vt:variant>
      <vt:variant>
        <vt:lpwstr>http://www.nevo.co.il/law/70301/335.a.1</vt:lpwstr>
      </vt:variant>
      <vt:variant>
        <vt:lpwstr/>
      </vt:variant>
      <vt:variant>
        <vt:i4>6684774</vt:i4>
      </vt:variant>
      <vt:variant>
        <vt:i4>75</vt:i4>
      </vt:variant>
      <vt:variant>
        <vt:i4>0</vt:i4>
      </vt:variant>
      <vt:variant>
        <vt:i4>5</vt:i4>
      </vt:variant>
      <vt:variant>
        <vt:lpwstr>http://www.nevo.co.il/law/70301/333</vt:lpwstr>
      </vt:variant>
      <vt:variant>
        <vt:lpwstr/>
      </vt:variant>
      <vt:variant>
        <vt:i4>2752612</vt:i4>
      </vt:variant>
      <vt:variant>
        <vt:i4>72</vt:i4>
      </vt:variant>
      <vt:variant>
        <vt:i4>0</vt:i4>
      </vt:variant>
      <vt:variant>
        <vt:i4>5</vt:i4>
      </vt:variant>
      <vt:variant>
        <vt:lpwstr>http://www.nevo.co.il/law/4216/7.c</vt:lpwstr>
      </vt:variant>
      <vt:variant>
        <vt:lpwstr/>
      </vt:variant>
      <vt:variant>
        <vt:i4>2621540</vt:i4>
      </vt:variant>
      <vt:variant>
        <vt:i4>69</vt:i4>
      </vt:variant>
      <vt:variant>
        <vt:i4>0</vt:i4>
      </vt:variant>
      <vt:variant>
        <vt:i4>5</vt:i4>
      </vt:variant>
      <vt:variant>
        <vt:lpwstr>http://www.nevo.co.il/law/4216/7.a</vt:lpwstr>
      </vt:variant>
      <vt:variant>
        <vt:lpwstr/>
      </vt:variant>
      <vt:variant>
        <vt:i4>8257637</vt:i4>
      </vt:variant>
      <vt:variant>
        <vt:i4>66</vt:i4>
      </vt:variant>
      <vt:variant>
        <vt:i4>0</vt:i4>
      </vt:variant>
      <vt:variant>
        <vt:i4>5</vt:i4>
      </vt:variant>
      <vt:variant>
        <vt:lpwstr>http://www.nevo.co.il/law/4216</vt:lpwstr>
      </vt:variant>
      <vt:variant>
        <vt:lpwstr/>
      </vt:variant>
      <vt:variant>
        <vt:i4>393292</vt:i4>
      </vt:variant>
      <vt:variant>
        <vt:i4>63</vt:i4>
      </vt:variant>
      <vt:variant>
        <vt:i4>0</vt:i4>
      </vt:variant>
      <vt:variant>
        <vt:i4>5</vt:i4>
      </vt:variant>
      <vt:variant>
        <vt:lpwstr>http://www.nevo.co.il/law/74918/47.a</vt:lpwstr>
      </vt:variant>
      <vt:variant>
        <vt:lpwstr/>
      </vt:variant>
      <vt:variant>
        <vt:i4>8323182</vt:i4>
      </vt:variant>
      <vt:variant>
        <vt:i4>60</vt:i4>
      </vt:variant>
      <vt:variant>
        <vt:i4>0</vt:i4>
      </vt:variant>
      <vt:variant>
        <vt:i4>5</vt:i4>
      </vt:variant>
      <vt:variant>
        <vt:lpwstr>http://www.nevo.co.il/law/74918</vt:lpwstr>
      </vt:variant>
      <vt:variant>
        <vt:lpwstr/>
      </vt:variant>
      <vt:variant>
        <vt:i4>6422630</vt:i4>
      </vt:variant>
      <vt:variant>
        <vt:i4>57</vt:i4>
      </vt:variant>
      <vt:variant>
        <vt:i4>0</vt:i4>
      </vt:variant>
      <vt:variant>
        <vt:i4>5</vt:i4>
      </vt:variant>
      <vt:variant>
        <vt:lpwstr>http://www.nevo.co.il/law/70301/379</vt:lpwstr>
      </vt:variant>
      <vt:variant>
        <vt:lpwstr/>
      </vt:variant>
      <vt:variant>
        <vt:i4>6684735</vt:i4>
      </vt:variant>
      <vt:variant>
        <vt:i4>54</vt:i4>
      </vt:variant>
      <vt:variant>
        <vt:i4>0</vt:i4>
      </vt:variant>
      <vt:variant>
        <vt:i4>5</vt:i4>
      </vt:variant>
      <vt:variant>
        <vt:lpwstr>http://www.nevo.co.il/law/70301/338.a.1</vt:lpwstr>
      </vt:variant>
      <vt:variant>
        <vt:lpwstr/>
      </vt:variant>
      <vt:variant>
        <vt:i4>6684722</vt:i4>
      </vt:variant>
      <vt:variant>
        <vt:i4>51</vt:i4>
      </vt:variant>
      <vt:variant>
        <vt:i4>0</vt:i4>
      </vt:variant>
      <vt:variant>
        <vt:i4>5</vt:i4>
      </vt:variant>
      <vt:variant>
        <vt:lpwstr>http://www.nevo.co.il/law/70301/335.a.2</vt:lpwstr>
      </vt:variant>
      <vt:variant>
        <vt:lpwstr/>
      </vt:variant>
      <vt:variant>
        <vt:i4>6684722</vt:i4>
      </vt:variant>
      <vt:variant>
        <vt:i4>48</vt:i4>
      </vt:variant>
      <vt:variant>
        <vt:i4>0</vt:i4>
      </vt:variant>
      <vt:variant>
        <vt:i4>5</vt:i4>
      </vt:variant>
      <vt:variant>
        <vt:lpwstr>http://www.nevo.co.il/law/70301/335.a.1</vt:lpwstr>
      </vt:variant>
      <vt:variant>
        <vt:lpwstr/>
      </vt:variant>
      <vt:variant>
        <vt:i4>4718675</vt:i4>
      </vt:variant>
      <vt:variant>
        <vt:i4>45</vt:i4>
      </vt:variant>
      <vt:variant>
        <vt:i4>0</vt:i4>
      </vt:variant>
      <vt:variant>
        <vt:i4>5</vt:i4>
      </vt:variant>
      <vt:variant>
        <vt:lpwstr>http://www.nevo.co.il/law/70301/335.a</vt:lpwstr>
      </vt:variant>
      <vt:variant>
        <vt:lpwstr/>
      </vt:variant>
      <vt:variant>
        <vt:i4>6684774</vt:i4>
      </vt:variant>
      <vt:variant>
        <vt:i4>42</vt:i4>
      </vt:variant>
      <vt:variant>
        <vt:i4>0</vt:i4>
      </vt:variant>
      <vt:variant>
        <vt:i4>5</vt:i4>
      </vt:variant>
      <vt:variant>
        <vt:lpwstr>http://www.nevo.co.il/law/70301/335</vt:lpwstr>
      </vt:variant>
      <vt:variant>
        <vt:lpwstr/>
      </vt:variant>
      <vt:variant>
        <vt:i4>6684774</vt:i4>
      </vt:variant>
      <vt:variant>
        <vt:i4>39</vt:i4>
      </vt:variant>
      <vt:variant>
        <vt:i4>0</vt:i4>
      </vt:variant>
      <vt:variant>
        <vt:i4>5</vt:i4>
      </vt:variant>
      <vt:variant>
        <vt:lpwstr>http://www.nevo.co.il/law/70301/334</vt:lpwstr>
      </vt:variant>
      <vt:variant>
        <vt:lpwstr/>
      </vt:variant>
      <vt:variant>
        <vt:i4>6684774</vt:i4>
      </vt:variant>
      <vt:variant>
        <vt:i4>36</vt:i4>
      </vt:variant>
      <vt:variant>
        <vt:i4>0</vt:i4>
      </vt:variant>
      <vt:variant>
        <vt:i4>5</vt:i4>
      </vt:variant>
      <vt:variant>
        <vt:lpwstr>http://www.nevo.co.il/law/70301/333</vt:lpwstr>
      </vt:variant>
      <vt:variant>
        <vt:lpwstr/>
      </vt:variant>
      <vt:variant>
        <vt:i4>7143527</vt:i4>
      </vt:variant>
      <vt:variant>
        <vt:i4>33</vt:i4>
      </vt:variant>
      <vt:variant>
        <vt:i4>0</vt:i4>
      </vt:variant>
      <vt:variant>
        <vt:i4>5</vt:i4>
      </vt:variant>
      <vt:variant>
        <vt:lpwstr>http://www.nevo.co.il/law/70301/288</vt:lpwstr>
      </vt:variant>
      <vt:variant>
        <vt:lpwstr/>
      </vt:variant>
      <vt:variant>
        <vt:i4>6357095</vt:i4>
      </vt:variant>
      <vt:variant>
        <vt:i4>30</vt:i4>
      </vt:variant>
      <vt:variant>
        <vt:i4>0</vt:i4>
      </vt:variant>
      <vt:variant>
        <vt:i4>5</vt:i4>
      </vt:variant>
      <vt:variant>
        <vt:lpwstr>http://www.nevo.co.il/law/70301/249</vt:lpwstr>
      </vt:variant>
      <vt:variant>
        <vt:lpwstr/>
      </vt:variant>
      <vt:variant>
        <vt:i4>6553648</vt:i4>
      </vt:variant>
      <vt:variant>
        <vt:i4>27</vt:i4>
      </vt:variant>
      <vt:variant>
        <vt:i4>0</vt:i4>
      </vt:variant>
      <vt:variant>
        <vt:i4>5</vt:i4>
      </vt:variant>
      <vt:variant>
        <vt:lpwstr>http://www.nevo.co.il/law/70301/216.a.1</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7077988</vt:i4>
      </vt:variant>
      <vt:variant>
        <vt:i4>21</vt:i4>
      </vt:variant>
      <vt:variant>
        <vt:i4>0</vt:i4>
      </vt:variant>
      <vt:variant>
        <vt:i4>5</vt:i4>
      </vt:variant>
      <vt:variant>
        <vt:lpwstr>http://www.nevo.co.il/law/70301/191</vt:lpwstr>
      </vt:variant>
      <vt:variant>
        <vt:lpwstr/>
      </vt:variant>
      <vt:variant>
        <vt:i4>4390994</vt:i4>
      </vt:variant>
      <vt:variant>
        <vt:i4>18</vt:i4>
      </vt:variant>
      <vt:variant>
        <vt:i4>0</vt:i4>
      </vt:variant>
      <vt:variant>
        <vt:i4>5</vt:i4>
      </vt:variant>
      <vt:variant>
        <vt:lpwstr>http://www.nevo.co.il/law/70301/186.a</vt:lpwstr>
      </vt:variant>
      <vt:variant>
        <vt:lpwstr/>
      </vt:variant>
      <vt:variant>
        <vt:i4>4915211</vt:i4>
      </vt:variant>
      <vt:variant>
        <vt:i4>15</vt:i4>
      </vt:variant>
      <vt:variant>
        <vt:i4>0</vt:i4>
      </vt:variant>
      <vt:variant>
        <vt:i4>5</vt:i4>
      </vt:variant>
      <vt:variant>
        <vt:lpwstr>http://www.nevo.co.il/law/70301/40j.c</vt:lpwstr>
      </vt:variant>
      <vt:variant>
        <vt:lpwstr/>
      </vt:variant>
      <vt:variant>
        <vt:i4>6619241</vt:i4>
      </vt:variant>
      <vt:variant>
        <vt:i4>12</vt:i4>
      </vt:variant>
      <vt:variant>
        <vt:i4>0</vt:i4>
      </vt:variant>
      <vt:variant>
        <vt:i4>5</vt:i4>
      </vt:variant>
      <vt:variant>
        <vt:lpwstr>http://www.nevo.co.il/law/70301/40i.a.9</vt:lpwstr>
      </vt:variant>
      <vt:variant>
        <vt:lpwstr/>
      </vt:variant>
      <vt:variant>
        <vt:i4>6619241</vt:i4>
      </vt:variant>
      <vt:variant>
        <vt:i4>9</vt:i4>
      </vt:variant>
      <vt:variant>
        <vt:i4>0</vt:i4>
      </vt:variant>
      <vt:variant>
        <vt:i4>5</vt:i4>
      </vt:variant>
      <vt:variant>
        <vt:lpwstr>http://www.nevo.co.il/law/70301/40i.a.7</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2025-04-22T21:26:00Z</dcterms:created>
  <dcterms:modified xsi:type="dcterms:W3CDTF">2025-04-22T21:26:00Z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34635</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אריה גרינפלד</vt:lpwstr>
  </property>
  <property fmtid="{D5CDD505-2E9C-101B-9397-08002B2CF9AE}" pid="10" name="LAWYER">
    <vt:lpwstr>יונתן טל;אלון קריטי</vt:lpwstr>
  </property>
  <property fmtid="{D5CDD505-2E9C-101B-9397-08002B2CF9AE}" pid="11" name="JUDGE">
    <vt:lpwstr>שי יניב</vt:lpwstr>
  </property>
  <property fmtid="{D5CDD505-2E9C-101B-9397-08002B2CF9AE}" pid="12" name="CITY">
    <vt:lpwstr>ת"א</vt:lpwstr>
  </property>
  <property fmtid="{D5CDD505-2E9C-101B-9397-08002B2CF9AE}" pid="13" name="DATE">
    <vt:lpwstr>20240107</vt:lpwstr>
  </property>
  <property fmtid="{D5CDD505-2E9C-101B-9397-08002B2CF9AE}" pid="14" name="TYPE_N_DATE">
    <vt:lpwstr>39020240107</vt:lpwstr>
  </property>
  <property fmtid="{D5CDD505-2E9C-101B-9397-08002B2CF9AE}" pid="15" name="WORDNUMPAGES">
    <vt:lpwstr>16</vt:lpwstr>
  </property>
  <property fmtid="{D5CDD505-2E9C-101B-9397-08002B2CF9AE}" pid="16" name="TYPE_ABS_DATE">
    <vt:lpwstr>390020240107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27343399;29668334;26868555;26345401;25824898;20685046;6245551;5782187;13045219;26892078;17913523;28681495;20821600;24344573;18653755;5670020;21055809;24497988;6142512;27436120;25541071;28256197;26747866;28718106;18080495;5568591</vt:lpwstr>
  </property>
  <property fmtid="{D5CDD505-2E9C-101B-9397-08002B2CF9AE}" pid="36" name="LAWLISTTMP1">
    <vt:lpwstr>70301/333:7;335.a.1:6;334:2;192:4;379:3;249;216.a.1:2;288;186.a;191;040i.a.9:2;040i.a:2;040j.c;040i.a.7;335.a.2:2;029:3;338.a.1;335.a;335</vt:lpwstr>
  </property>
  <property fmtid="{D5CDD505-2E9C-101B-9397-08002B2CF9AE}" pid="37" name="LAWLISTTMP2">
    <vt:lpwstr>74918/047.a</vt:lpwstr>
  </property>
  <property fmtid="{D5CDD505-2E9C-101B-9397-08002B2CF9AE}" pid="38" name="LAWLISTTMP3">
    <vt:lpwstr>4216/007.a;007.c</vt:lpwstr>
  </property>
</Properties>
</file>