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97CFA" w:rsidRPr="00873397" w14:paraId="5A387B06" w14:textId="77777777" w:rsidTr="00644598">
        <w:trPr>
          <w:trHeight w:hRule="exact" w:val="418"/>
          <w:jc w:val="center"/>
        </w:trPr>
        <w:tc>
          <w:tcPr>
            <w:tcW w:w="8721" w:type="dxa"/>
            <w:gridSpan w:val="2"/>
          </w:tcPr>
          <w:p w14:paraId="56356A36" w14:textId="77777777" w:rsidR="00897CFA" w:rsidRPr="00873397" w:rsidRDefault="00897CFA" w:rsidP="00195D99">
            <w:pPr>
              <w:pStyle w:val="a3"/>
              <w:jc w:val="center"/>
              <w:rPr>
                <w:rFonts w:ascii="Tahoma" w:hAnsi="Tahoma"/>
                <w:color w:val="000080"/>
                <w:sz w:val="32"/>
                <w:szCs w:val="32"/>
                <w:rtl/>
              </w:rPr>
            </w:pPr>
            <w:r w:rsidRPr="00873397">
              <w:rPr>
                <w:rFonts w:ascii="Tahoma" w:hAnsi="Tahoma"/>
                <w:b/>
                <w:bCs/>
                <w:color w:val="000080"/>
                <w:sz w:val="32"/>
                <w:szCs w:val="32"/>
                <w:rtl/>
              </w:rPr>
              <w:t>בית המשפט המחוזי בתל אביב -יפו</w:t>
            </w:r>
          </w:p>
        </w:tc>
      </w:tr>
      <w:tr w:rsidR="00897CFA" w:rsidRPr="00873397" w14:paraId="3D739C7D" w14:textId="77777777" w:rsidTr="00644598">
        <w:trPr>
          <w:trHeight w:val="337"/>
          <w:jc w:val="center"/>
        </w:trPr>
        <w:tc>
          <w:tcPr>
            <w:tcW w:w="5058" w:type="dxa"/>
          </w:tcPr>
          <w:p w14:paraId="43D4741D" w14:textId="77777777" w:rsidR="00897CFA" w:rsidRPr="00873397" w:rsidRDefault="00897CFA" w:rsidP="00195D99">
            <w:pPr>
              <w:rPr>
                <w:sz w:val="26"/>
                <w:szCs w:val="26"/>
                <w:rtl/>
              </w:rPr>
            </w:pPr>
            <w:r w:rsidRPr="00873397">
              <w:rPr>
                <w:sz w:val="26"/>
                <w:szCs w:val="26"/>
                <w:rtl/>
              </w:rPr>
              <w:t>ת"פ</w:t>
            </w:r>
            <w:r w:rsidRPr="00873397">
              <w:rPr>
                <w:rFonts w:hint="cs"/>
                <w:sz w:val="26"/>
                <w:szCs w:val="26"/>
                <w:rtl/>
              </w:rPr>
              <w:t xml:space="preserve"> </w:t>
            </w:r>
            <w:r w:rsidRPr="00873397">
              <w:rPr>
                <w:sz w:val="26"/>
                <w:szCs w:val="26"/>
                <w:rtl/>
              </w:rPr>
              <w:t>35569-02-23</w:t>
            </w:r>
            <w:r w:rsidRPr="00873397">
              <w:rPr>
                <w:rFonts w:hint="cs"/>
                <w:sz w:val="26"/>
                <w:szCs w:val="26"/>
                <w:rtl/>
              </w:rPr>
              <w:t xml:space="preserve"> </w:t>
            </w:r>
            <w:r w:rsidRPr="00873397">
              <w:rPr>
                <w:sz w:val="26"/>
                <w:szCs w:val="26"/>
                <w:rtl/>
              </w:rPr>
              <w:t>מדינת ישראל נ' מדינה(עציר)</w:t>
            </w:r>
          </w:p>
          <w:p w14:paraId="48775BB2" w14:textId="77777777" w:rsidR="00897CFA" w:rsidRPr="00873397" w:rsidRDefault="00897CFA" w:rsidP="00195D99">
            <w:pPr>
              <w:pStyle w:val="a3"/>
              <w:rPr>
                <w:rFonts w:cs="FrankRuehl"/>
                <w:sz w:val="28"/>
                <w:szCs w:val="28"/>
                <w:rtl/>
              </w:rPr>
            </w:pPr>
          </w:p>
        </w:tc>
        <w:tc>
          <w:tcPr>
            <w:tcW w:w="3663" w:type="dxa"/>
          </w:tcPr>
          <w:p w14:paraId="2605895E" w14:textId="77777777" w:rsidR="00897CFA" w:rsidRPr="00873397" w:rsidRDefault="00897CFA" w:rsidP="00195D99">
            <w:pPr>
              <w:pStyle w:val="a3"/>
              <w:jc w:val="right"/>
              <w:rPr>
                <w:rFonts w:cs="FrankRuehl"/>
                <w:sz w:val="28"/>
                <w:szCs w:val="28"/>
                <w:rtl/>
              </w:rPr>
            </w:pPr>
          </w:p>
        </w:tc>
      </w:tr>
    </w:tbl>
    <w:p w14:paraId="174729E0" w14:textId="77777777" w:rsidR="00897CFA" w:rsidRPr="00873397" w:rsidRDefault="00897CFA" w:rsidP="00644598">
      <w:pPr>
        <w:pStyle w:val="a3"/>
        <w:rPr>
          <w:sz w:val="22"/>
          <w:szCs w:val="22"/>
          <w:rtl/>
        </w:rPr>
      </w:pPr>
      <w:r w:rsidRPr="0087339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4228"/>
        <w:gridCol w:w="3346"/>
      </w:tblGrid>
      <w:tr w:rsidR="00897CFA" w:rsidRPr="00873397" w14:paraId="1B1CD273" w14:textId="77777777" w:rsidTr="00644598">
        <w:trPr>
          <w:trHeight w:val="295"/>
          <w:jc w:val="center"/>
        </w:trPr>
        <w:tc>
          <w:tcPr>
            <w:tcW w:w="1246" w:type="dxa"/>
            <w:tcBorders>
              <w:top w:val="nil"/>
              <w:left w:val="nil"/>
              <w:bottom w:val="nil"/>
              <w:right w:val="nil"/>
            </w:tcBorders>
            <w:shd w:val="clear" w:color="auto" w:fill="auto"/>
          </w:tcPr>
          <w:p w14:paraId="201E2E46" w14:textId="77777777" w:rsidR="00897CFA" w:rsidRPr="00873397" w:rsidRDefault="00897CFA" w:rsidP="00897CFA">
            <w:pPr>
              <w:jc w:val="both"/>
              <w:rPr>
                <w:rFonts w:ascii="Arial" w:hAnsi="Arial"/>
                <w:b/>
                <w:bCs/>
              </w:rPr>
            </w:pPr>
            <w:r w:rsidRPr="00873397">
              <w:rPr>
                <w:rFonts w:ascii="Arial" w:hAnsi="Arial" w:hint="cs"/>
                <w:b/>
                <w:bCs/>
                <w:rtl/>
              </w:rPr>
              <w:t>ל</w:t>
            </w:r>
            <w:r w:rsidRPr="00873397">
              <w:rPr>
                <w:rFonts w:ascii="Arial" w:hAnsi="Arial"/>
                <w:b/>
                <w:bCs/>
                <w:rtl/>
              </w:rPr>
              <w:t xml:space="preserve">פני </w:t>
            </w:r>
          </w:p>
        </w:tc>
        <w:tc>
          <w:tcPr>
            <w:tcW w:w="7574" w:type="dxa"/>
            <w:gridSpan w:val="2"/>
            <w:tcBorders>
              <w:top w:val="nil"/>
              <w:left w:val="nil"/>
              <w:bottom w:val="nil"/>
              <w:right w:val="nil"/>
            </w:tcBorders>
            <w:shd w:val="clear" w:color="auto" w:fill="auto"/>
          </w:tcPr>
          <w:p w14:paraId="40E1FA3D" w14:textId="77777777" w:rsidR="00897CFA" w:rsidRPr="00873397" w:rsidRDefault="00897CFA" w:rsidP="00195D99">
            <w:pPr>
              <w:rPr>
                <w:rFonts w:ascii="Arial" w:hAnsi="Arial"/>
                <w:b/>
                <w:bCs/>
                <w:rtl/>
              </w:rPr>
            </w:pPr>
            <w:r w:rsidRPr="00873397">
              <w:rPr>
                <w:rFonts w:ascii="Arial" w:hAnsi="Arial" w:hint="cs"/>
                <w:b/>
                <w:bCs/>
                <w:rtl/>
              </w:rPr>
              <w:t>כבוד ה</w:t>
            </w:r>
            <w:r w:rsidRPr="00873397">
              <w:rPr>
                <w:rFonts w:ascii="Arial" w:hAnsi="Arial"/>
                <w:b/>
                <w:bCs/>
                <w:rtl/>
              </w:rPr>
              <w:t>שופט, סגן הנשיא</w:t>
            </w:r>
            <w:r w:rsidRPr="00873397">
              <w:rPr>
                <w:rFonts w:ascii="Arial" w:hAnsi="Arial" w:hint="cs"/>
                <w:b/>
                <w:bCs/>
                <w:rtl/>
              </w:rPr>
              <w:t xml:space="preserve"> </w:t>
            </w:r>
            <w:r w:rsidRPr="00873397">
              <w:rPr>
                <w:rFonts w:ascii="Arial" w:hAnsi="Arial"/>
                <w:b/>
                <w:bCs/>
                <w:rtl/>
              </w:rPr>
              <w:t>שי יניב</w:t>
            </w:r>
          </w:p>
          <w:p w14:paraId="3849C296" w14:textId="77777777" w:rsidR="00897CFA" w:rsidRPr="00873397" w:rsidRDefault="00897CFA" w:rsidP="00195D99">
            <w:pPr>
              <w:rPr>
                <w:rtl/>
              </w:rPr>
            </w:pPr>
          </w:p>
          <w:p w14:paraId="00BAD8D3" w14:textId="77777777" w:rsidR="00897CFA" w:rsidRPr="00873397" w:rsidRDefault="00897CFA" w:rsidP="00897CFA">
            <w:pPr>
              <w:jc w:val="both"/>
              <w:rPr>
                <w:rFonts w:ascii="Arial" w:hAnsi="Arial"/>
              </w:rPr>
            </w:pPr>
          </w:p>
        </w:tc>
      </w:tr>
      <w:tr w:rsidR="00897CFA" w:rsidRPr="00873397" w14:paraId="4657366D" w14:textId="77777777" w:rsidTr="00644598">
        <w:trPr>
          <w:trHeight w:val="355"/>
          <w:jc w:val="center"/>
        </w:trPr>
        <w:tc>
          <w:tcPr>
            <w:tcW w:w="1246" w:type="dxa"/>
            <w:tcBorders>
              <w:top w:val="nil"/>
              <w:left w:val="nil"/>
              <w:bottom w:val="nil"/>
              <w:right w:val="nil"/>
            </w:tcBorders>
            <w:shd w:val="clear" w:color="auto" w:fill="auto"/>
          </w:tcPr>
          <w:p w14:paraId="3BC2374F" w14:textId="77777777" w:rsidR="00897CFA" w:rsidRPr="00873397" w:rsidRDefault="00897CFA" w:rsidP="00897CFA">
            <w:pPr>
              <w:jc w:val="both"/>
              <w:rPr>
                <w:rFonts w:ascii="Arial" w:hAnsi="Arial"/>
                <w:b/>
                <w:bCs/>
              </w:rPr>
            </w:pPr>
            <w:bookmarkStart w:id="0" w:name="FirstAppellant"/>
            <w:bookmarkStart w:id="1" w:name="FirstLawyer"/>
            <w:bookmarkStart w:id="2" w:name="LastJudge"/>
            <w:bookmarkEnd w:id="2"/>
            <w:r w:rsidRPr="00873397">
              <w:rPr>
                <w:rFonts w:ascii="Arial" w:hAnsi="Arial" w:hint="cs"/>
                <w:b/>
                <w:bCs/>
                <w:rtl/>
              </w:rPr>
              <w:t>ה</w:t>
            </w:r>
            <w:r w:rsidRPr="00873397">
              <w:rPr>
                <w:rFonts w:ascii="Arial" w:hAnsi="Arial"/>
                <w:b/>
                <w:bCs/>
                <w:rtl/>
              </w:rPr>
              <w:t>מאשימה</w:t>
            </w:r>
            <w:r w:rsidRPr="00873397">
              <w:rPr>
                <w:rFonts w:ascii="Arial" w:hAnsi="Arial" w:hint="cs"/>
                <w:b/>
                <w:bCs/>
                <w:rtl/>
              </w:rPr>
              <w:t>:</w:t>
            </w:r>
          </w:p>
        </w:tc>
        <w:tc>
          <w:tcPr>
            <w:tcW w:w="4228" w:type="dxa"/>
            <w:tcBorders>
              <w:top w:val="nil"/>
              <w:left w:val="nil"/>
              <w:bottom w:val="nil"/>
              <w:right w:val="nil"/>
            </w:tcBorders>
            <w:shd w:val="clear" w:color="auto" w:fill="auto"/>
          </w:tcPr>
          <w:p w14:paraId="24D09327" w14:textId="77777777" w:rsidR="00897CFA" w:rsidRPr="00873397" w:rsidRDefault="00897CFA" w:rsidP="00195D99">
            <w:pPr>
              <w:rPr>
                <w:b/>
                <w:bCs/>
                <w:rtl/>
              </w:rPr>
            </w:pPr>
            <w:r w:rsidRPr="00873397">
              <w:rPr>
                <w:rFonts w:ascii="Arial" w:hAnsi="Arial"/>
                <w:b/>
                <w:bCs/>
                <w:rtl/>
              </w:rPr>
              <w:t>מדינת ישראל</w:t>
            </w:r>
          </w:p>
          <w:p w14:paraId="70A9F8DC" w14:textId="77777777" w:rsidR="00897CFA" w:rsidRPr="00873397" w:rsidRDefault="00897CFA" w:rsidP="00195D99">
            <w:r w:rsidRPr="00873397">
              <w:rPr>
                <w:rFonts w:hint="cs"/>
                <w:rtl/>
              </w:rPr>
              <w:t>ע"י ב"כ עו"ד נורית פרחי</w:t>
            </w:r>
          </w:p>
        </w:tc>
        <w:tc>
          <w:tcPr>
            <w:tcW w:w="3346" w:type="dxa"/>
            <w:tcBorders>
              <w:top w:val="nil"/>
              <w:left w:val="nil"/>
              <w:bottom w:val="nil"/>
              <w:right w:val="nil"/>
            </w:tcBorders>
            <w:shd w:val="clear" w:color="auto" w:fill="auto"/>
          </w:tcPr>
          <w:p w14:paraId="43BD0AE1" w14:textId="77777777" w:rsidR="00897CFA" w:rsidRPr="00873397" w:rsidRDefault="00897CFA" w:rsidP="00897CFA">
            <w:pPr>
              <w:jc w:val="both"/>
              <w:rPr>
                <w:rFonts w:ascii="Arial" w:hAnsi="Arial"/>
              </w:rPr>
            </w:pPr>
          </w:p>
        </w:tc>
      </w:tr>
      <w:bookmarkEnd w:id="0"/>
      <w:bookmarkEnd w:id="1"/>
      <w:tr w:rsidR="00897CFA" w:rsidRPr="00873397" w14:paraId="3BA5EE8C" w14:textId="77777777" w:rsidTr="00644598">
        <w:trPr>
          <w:trHeight w:val="355"/>
          <w:jc w:val="center"/>
        </w:trPr>
        <w:tc>
          <w:tcPr>
            <w:tcW w:w="1246" w:type="dxa"/>
            <w:tcBorders>
              <w:top w:val="nil"/>
              <w:left w:val="nil"/>
              <w:bottom w:val="nil"/>
              <w:right w:val="nil"/>
            </w:tcBorders>
            <w:shd w:val="clear" w:color="auto" w:fill="auto"/>
          </w:tcPr>
          <w:p w14:paraId="1ACFC187" w14:textId="77777777" w:rsidR="00897CFA" w:rsidRPr="00873397" w:rsidRDefault="00897CFA" w:rsidP="00897CFA">
            <w:pPr>
              <w:jc w:val="both"/>
              <w:rPr>
                <w:rFonts w:ascii="Arial" w:hAnsi="Arial"/>
                <w:rtl/>
              </w:rPr>
            </w:pPr>
          </w:p>
        </w:tc>
        <w:tc>
          <w:tcPr>
            <w:tcW w:w="4228" w:type="dxa"/>
            <w:tcBorders>
              <w:top w:val="nil"/>
              <w:left w:val="nil"/>
              <w:bottom w:val="nil"/>
              <w:right w:val="nil"/>
            </w:tcBorders>
            <w:shd w:val="clear" w:color="auto" w:fill="auto"/>
          </w:tcPr>
          <w:p w14:paraId="2F4007EC" w14:textId="77777777" w:rsidR="00897CFA" w:rsidRPr="00873397" w:rsidRDefault="00897CFA" w:rsidP="00195D99">
            <w:pPr>
              <w:rPr>
                <w:rFonts w:ascii="Arial" w:hAnsi="Arial"/>
                <w:rtl/>
              </w:rPr>
            </w:pPr>
          </w:p>
        </w:tc>
        <w:tc>
          <w:tcPr>
            <w:tcW w:w="3346" w:type="dxa"/>
            <w:tcBorders>
              <w:top w:val="nil"/>
              <w:left w:val="nil"/>
              <w:bottom w:val="nil"/>
              <w:right w:val="nil"/>
            </w:tcBorders>
            <w:shd w:val="clear" w:color="auto" w:fill="auto"/>
          </w:tcPr>
          <w:p w14:paraId="467CC532" w14:textId="77777777" w:rsidR="00897CFA" w:rsidRPr="00873397" w:rsidRDefault="00897CFA" w:rsidP="00897CFA">
            <w:pPr>
              <w:jc w:val="right"/>
              <w:rPr>
                <w:rFonts w:ascii="Arial" w:hAnsi="Arial"/>
                <w:rtl/>
              </w:rPr>
            </w:pPr>
          </w:p>
        </w:tc>
      </w:tr>
      <w:tr w:rsidR="00897CFA" w:rsidRPr="00873397" w14:paraId="2A55BFA0" w14:textId="77777777" w:rsidTr="00644598">
        <w:trPr>
          <w:trHeight w:val="355"/>
          <w:jc w:val="center"/>
        </w:trPr>
        <w:tc>
          <w:tcPr>
            <w:tcW w:w="1246" w:type="dxa"/>
            <w:tcBorders>
              <w:top w:val="nil"/>
              <w:left w:val="nil"/>
              <w:bottom w:val="nil"/>
              <w:right w:val="nil"/>
            </w:tcBorders>
            <w:shd w:val="clear" w:color="auto" w:fill="auto"/>
          </w:tcPr>
          <w:p w14:paraId="67BD5377" w14:textId="77777777" w:rsidR="00897CFA" w:rsidRPr="00873397" w:rsidRDefault="00897CFA" w:rsidP="00897CFA">
            <w:pPr>
              <w:jc w:val="both"/>
              <w:rPr>
                <w:rFonts w:ascii="Arial" w:hAnsi="Arial"/>
                <w:rtl/>
              </w:rPr>
            </w:pPr>
          </w:p>
        </w:tc>
        <w:tc>
          <w:tcPr>
            <w:tcW w:w="7574" w:type="dxa"/>
            <w:gridSpan w:val="2"/>
            <w:tcBorders>
              <w:top w:val="nil"/>
              <w:left w:val="nil"/>
              <w:bottom w:val="nil"/>
              <w:right w:val="nil"/>
            </w:tcBorders>
            <w:shd w:val="clear" w:color="auto" w:fill="auto"/>
          </w:tcPr>
          <w:p w14:paraId="6537D791" w14:textId="77777777" w:rsidR="00897CFA" w:rsidRPr="00873397" w:rsidRDefault="00897CFA" w:rsidP="00897CFA">
            <w:pPr>
              <w:jc w:val="center"/>
              <w:rPr>
                <w:rFonts w:ascii="Arial" w:hAnsi="Arial"/>
                <w:b/>
                <w:bCs/>
              </w:rPr>
            </w:pPr>
            <w:r w:rsidRPr="00873397">
              <w:rPr>
                <w:rFonts w:ascii="Arial" w:hAnsi="Arial"/>
                <w:b/>
                <w:bCs/>
                <w:rtl/>
              </w:rPr>
              <w:t>נגד</w:t>
            </w:r>
          </w:p>
        </w:tc>
      </w:tr>
      <w:tr w:rsidR="00897CFA" w:rsidRPr="00873397" w14:paraId="193172F7" w14:textId="77777777" w:rsidTr="00644598">
        <w:trPr>
          <w:trHeight w:val="355"/>
          <w:jc w:val="center"/>
        </w:trPr>
        <w:tc>
          <w:tcPr>
            <w:tcW w:w="1246" w:type="dxa"/>
            <w:tcBorders>
              <w:top w:val="nil"/>
              <w:left w:val="nil"/>
              <w:bottom w:val="nil"/>
              <w:right w:val="nil"/>
            </w:tcBorders>
            <w:shd w:val="clear" w:color="auto" w:fill="auto"/>
          </w:tcPr>
          <w:p w14:paraId="36A530D2" w14:textId="77777777" w:rsidR="00897CFA" w:rsidRPr="00873397" w:rsidRDefault="00897CFA" w:rsidP="00195D99">
            <w:pPr>
              <w:rPr>
                <w:rFonts w:ascii="Arial" w:hAnsi="Arial"/>
                <w:b/>
                <w:bCs/>
                <w:rtl/>
              </w:rPr>
            </w:pPr>
            <w:r w:rsidRPr="00873397">
              <w:rPr>
                <w:rFonts w:hint="cs"/>
                <w:b/>
                <w:bCs/>
                <w:rtl/>
              </w:rPr>
              <w:t>ה</w:t>
            </w:r>
            <w:r w:rsidRPr="00873397">
              <w:rPr>
                <w:rFonts w:ascii="Arial" w:hAnsi="Arial"/>
                <w:b/>
                <w:bCs/>
                <w:rtl/>
              </w:rPr>
              <w:t>נאשם</w:t>
            </w:r>
            <w:r w:rsidRPr="00873397">
              <w:rPr>
                <w:rFonts w:ascii="Arial" w:hAnsi="Arial" w:hint="cs"/>
                <w:b/>
                <w:bCs/>
                <w:rtl/>
              </w:rPr>
              <w:t>:</w:t>
            </w:r>
          </w:p>
        </w:tc>
        <w:tc>
          <w:tcPr>
            <w:tcW w:w="4228" w:type="dxa"/>
            <w:tcBorders>
              <w:top w:val="nil"/>
              <w:left w:val="nil"/>
              <w:bottom w:val="nil"/>
              <w:right w:val="nil"/>
            </w:tcBorders>
            <w:shd w:val="clear" w:color="auto" w:fill="auto"/>
          </w:tcPr>
          <w:p w14:paraId="7A4EBE01" w14:textId="77777777" w:rsidR="00897CFA" w:rsidRPr="00873397" w:rsidRDefault="00897CFA" w:rsidP="00195D99">
            <w:pPr>
              <w:rPr>
                <w:b/>
                <w:bCs/>
                <w:rtl/>
              </w:rPr>
            </w:pPr>
            <w:r w:rsidRPr="00873397">
              <w:rPr>
                <w:rFonts w:ascii="Arial" w:hAnsi="Arial"/>
                <w:b/>
                <w:bCs/>
                <w:rtl/>
              </w:rPr>
              <w:t>יהודה מדינה (עציר)</w:t>
            </w:r>
          </w:p>
          <w:p w14:paraId="39DC24C6" w14:textId="77777777" w:rsidR="00897CFA" w:rsidRPr="00873397" w:rsidRDefault="00897CFA" w:rsidP="00195D99">
            <w:pPr>
              <w:rPr>
                <w:rtl/>
              </w:rPr>
            </w:pPr>
            <w:r w:rsidRPr="00873397">
              <w:rPr>
                <w:rFonts w:hint="cs"/>
                <w:rtl/>
              </w:rPr>
              <w:t>ע"י ב"כ עו"ד שמשון וייס</w:t>
            </w:r>
          </w:p>
        </w:tc>
        <w:tc>
          <w:tcPr>
            <w:tcW w:w="3346" w:type="dxa"/>
            <w:tcBorders>
              <w:top w:val="nil"/>
              <w:left w:val="nil"/>
              <w:bottom w:val="nil"/>
              <w:right w:val="nil"/>
            </w:tcBorders>
            <w:shd w:val="clear" w:color="auto" w:fill="auto"/>
          </w:tcPr>
          <w:p w14:paraId="4D7B95DF" w14:textId="77777777" w:rsidR="00897CFA" w:rsidRPr="00873397" w:rsidRDefault="00897CFA" w:rsidP="00897CFA">
            <w:pPr>
              <w:jc w:val="right"/>
              <w:rPr>
                <w:rFonts w:ascii="Arial" w:hAnsi="Arial"/>
              </w:rPr>
            </w:pPr>
          </w:p>
        </w:tc>
      </w:tr>
    </w:tbl>
    <w:p w14:paraId="1914373D" w14:textId="77777777" w:rsidR="00897CFA" w:rsidRPr="00873397" w:rsidRDefault="00897CFA" w:rsidP="00897CFA">
      <w:pPr>
        <w:rPr>
          <w:sz w:val="22"/>
          <w:szCs w:val="22"/>
        </w:rPr>
      </w:pPr>
    </w:p>
    <w:p w14:paraId="3797D9E8" w14:textId="77777777" w:rsidR="00873397" w:rsidRPr="00873397" w:rsidRDefault="00873397" w:rsidP="00644598">
      <w:pPr>
        <w:pStyle w:val="a9"/>
        <w:spacing w:before="120" w:after="120" w:line="240" w:lineRule="exact"/>
        <w:ind w:left="2835"/>
        <w:jc w:val="both"/>
        <w:rPr>
          <w:rFonts w:ascii="FrankRuehl" w:hAnsi="FrankRuehl" w:cs="FrankRuehl"/>
          <w:sz w:val="24"/>
          <w:szCs w:val="24"/>
          <w:rtl/>
        </w:rPr>
      </w:pPr>
    </w:p>
    <w:p w14:paraId="578F5C57" w14:textId="77777777" w:rsidR="00873397" w:rsidRDefault="00873397" w:rsidP="00644598">
      <w:pPr>
        <w:pStyle w:val="a9"/>
        <w:spacing w:before="240" w:line="360" w:lineRule="auto"/>
        <w:ind w:left="2835"/>
        <w:jc w:val="both"/>
        <w:rPr>
          <w:rFonts w:ascii="David" w:hAnsi="David" w:cs="David"/>
          <w:sz w:val="24"/>
          <w:szCs w:val="24"/>
          <w:rtl/>
        </w:rPr>
      </w:pPr>
    </w:p>
    <w:p w14:paraId="31D66540" w14:textId="77777777" w:rsidR="00644598" w:rsidRPr="00644598" w:rsidRDefault="00644598" w:rsidP="00644598">
      <w:pPr>
        <w:pStyle w:val="a9"/>
        <w:spacing w:before="120" w:after="120" w:line="240" w:lineRule="exact"/>
        <w:ind w:left="283" w:hanging="283"/>
        <w:jc w:val="both"/>
        <w:rPr>
          <w:rFonts w:ascii="FrankRuehl" w:hAnsi="FrankRuehl" w:cs="FrankRuehl"/>
          <w:sz w:val="24"/>
          <w:szCs w:val="24"/>
          <w:rtl/>
        </w:rPr>
      </w:pPr>
      <w:bookmarkStart w:id="3" w:name="LawTable"/>
      <w:bookmarkEnd w:id="3"/>
    </w:p>
    <w:p w14:paraId="08F71475" w14:textId="77777777" w:rsidR="00644598" w:rsidRPr="00644598" w:rsidRDefault="00644598" w:rsidP="00644598">
      <w:pPr>
        <w:pStyle w:val="a9"/>
        <w:spacing w:before="120" w:after="120" w:line="240" w:lineRule="exact"/>
        <w:ind w:left="283" w:hanging="283"/>
        <w:jc w:val="both"/>
        <w:rPr>
          <w:rFonts w:ascii="FrankRuehl" w:hAnsi="FrankRuehl" w:cs="FrankRuehl"/>
          <w:sz w:val="24"/>
          <w:szCs w:val="24"/>
          <w:rtl/>
        </w:rPr>
      </w:pPr>
      <w:r w:rsidRPr="00644598">
        <w:rPr>
          <w:rFonts w:ascii="FrankRuehl" w:hAnsi="FrankRuehl" w:cs="FrankRuehl"/>
          <w:sz w:val="24"/>
          <w:szCs w:val="24"/>
          <w:rtl/>
        </w:rPr>
        <w:t xml:space="preserve">חקיקה שאוזכרה: </w:t>
      </w:r>
    </w:p>
    <w:p w14:paraId="09D87591" w14:textId="77777777" w:rsidR="00644598" w:rsidRPr="00644598" w:rsidRDefault="00644598" w:rsidP="00644598">
      <w:pPr>
        <w:pStyle w:val="a9"/>
        <w:spacing w:before="120" w:after="120" w:line="240" w:lineRule="exact"/>
        <w:ind w:left="283" w:hanging="283"/>
        <w:jc w:val="both"/>
        <w:rPr>
          <w:rFonts w:ascii="FrankRuehl" w:hAnsi="FrankRuehl" w:cs="FrankRuehl"/>
          <w:color w:val="0000FF"/>
          <w:sz w:val="24"/>
          <w:szCs w:val="24"/>
          <w:rtl/>
        </w:rPr>
      </w:pPr>
      <w:hyperlink r:id="rId7" w:history="1">
        <w:r w:rsidRPr="00644598">
          <w:rPr>
            <w:rStyle w:val="Hyperlink"/>
            <w:rFonts w:ascii="FrankRuehl" w:eastAsia="Times New Roman" w:hAnsi="FrankRuehl" w:cs="FrankRuehl"/>
            <w:sz w:val="24"/>
            <w:szCs w:val="24"/>
            <w:u w:val="none"/>
            <w:rtl/>
          </w:rPr>
          <w:t>חוק העונשין, תשל"ז-1977</w:t>
        </w:r>
      </w:hyperlink>
      <w:r w:rsidRPr="00644598">
        <w:rPr>
          <w:rFonts w:ascii="FrankRuehl" w:hAnsi="FrankRuehl" w:cs="FrankRuehl"/>
          <w:color w:val="0000FF"/>
          <w:sz w:val="24"/>
          <w:szCs w:val="24"/>
          <w:rtl/>
        </w:rPr>
        <w:t xml:space="preserve">: סע'  </w:t>
      </w:r>
      <w:hyperlink r:id="rId8" w:history="1">
        <w:r w:rsidRPr="00644598">
          <w:rPr>
            <w:rStyle w:val="Hyperlink"/>
            <w:rFonts w:ascii="FrankRuehl" w:eastAsia="Times New Roman" w:hAnsi="FrankRuehl" w:cs="FrankRuehl"/>
            <w:sz w:val="24"/>
            <w:szCs w:val="24"/>
            <w:u w:val="none"/>
          </w:rPr>
          <w:t>25</w:t>
        </w:r>
      </w:hyperlink>
      <w:r w:rsidRPr="00644598">
        <w:rPr>
          <w:rFonts w:ascii="FrankRuehl" w:hAnsi="FrankRuehl" w:cs="FrankRuehl"/>
          <w:color w:val="0000FF"/>
          <w:sz w:val="24"/>
          <w:szCs w:val="24"/>
          <w:rtl/>
        </w:rPr>
        <w:t xml:space="preserve">, </w:t>
      </w:r>
      <w:hyperlink r:id="rId9" w:history="1">
        <w:r w:rsidRPr="00644598">
          <w:rPr>
            <w:rStyle w:val="Hyperlink"/>
            <w:rFonts w:ascii="FrankRuehl" w:eastAsia="Times New Roman" w:hAnsi="FrankRuehl" w:cs="FrankRuehl"/>
            <w:sz w:val="24"/>
            <w:szCs w:val="24"/>
            <w:u w:val="none"/>
          </w:rPr>
          <w:t>186</w:t>
        </w:r>
      </w:hyperlink>
      <w:r w:rsidRPr="00644598">
        <w:rPr>
          <w:rFonts w:ascii="FrankRuehl" w:hAnsi="FrankRuehl" w:cs="FrankRuehl"/>
          <w:color w:val="0000FF"/>
          <w:sz w:val="24"/>
          <w:szCs w:val="24"/>
          <w:rtl/>
        </w:rPr>
        <w:t xml:space="preserve">, </w:t>
      </w:r>
      <w:hyperlink r:id="rId10" w:history="1">
        <w:r w:rsidRPr="00644598">
          <w:rPr>
            <w:rStyle w:val="Hyperlink"/>
            <w:rFonts w:ascii="FrankRuehl" w:eastAsia="Times New Roman" w:hAnsi="FrankRuehl" w:cs="FrankRuehl"/>
            <w:sz w:val="24"/>
            <w:szCs w:val="24"/>
            <w:u w:val="none"/>
          </w:rPr>
          <w:t>186</w:t>
        </w:r>
      </w:hyperlink>
      <w:r w:rsidRPr="00644598">
        <w:rPr>
          <w:rFonts w:ascii="FrankRuehl" w:hAnsi="FrankRuehl" w:cs="FrankRuehl"/>
          <w:color w:val="0000FF"/>
          <w:sz w:val="24"/>
          <w:szCs w:val="24"/>
          <w:rtl/>
        </w:rPr>
        <w:t xml:space="preserve">(א), </w:t>
      </w:r>
      <w:hyperlink r:id="rId11" w:history="1">
        <w:r w:rsidRPr="00644598">
          <w:rPr>
            <w:rStyle w:val="Hyperlink"/>
            <w:rFonts w:ascii="FrankRuehl" w:eastAsia="Times New Roman" w:hAnsi="FrankRuehl" w:cs="FrankRuehl"/>
            <w:sz w:val="24"/>
            <w:szCs w:val="24"/>
            <w:u w:val="none"/>
          </w:rPr>
          <w:t>192</w:t>
        </w:r>
      </w:hyperlink>
      <w:r w:rsidRPr="00644598">
        <w:rPr>
          <w:rFonts w:ascii="FrankRuehl" w:hAnsi="FrankRuehl" w:cs="FrankRuehl"/>
          <w:color w:val="0000FF"/>
          <w:sz w:val="24"/>
          <w:szCs w:val="24"/>
          <w:rtl/>
        </w:rPr>
        <w:t xml:space="preserve">, </w:t>
      </w:r>
      <w:hyperlink r:id="rId12" w:history="1">
        <w:r w:rsidRPr="00644598">
          <w:rPr>
            <w:rStyle w:val="Hyperlink"/>
            <w:rFonts w:ascii="FrankRuehl" w:eastAsia="Times New Roman" w:hAnsi="FrankRuehl" w:cs="FrankRuehl"/>
            <w:sz w:val="24"/>
            <w:szCs w:val="24"/>
            <w:u w:val="none"/>
          </w:rPr>
          <w:t>287</w:t>
        </w:r>
      </w:hyperlink>
      <w:r w:rsidRPr="00644598">
        <w:rPr>
          <w:rFonts w:ascii="FrankRuehl" w:hAnsi="FrankRuehl" w:cs="FrankRuehl"/>
          <w:color w:val="0000FF"/>
          <w:sz w:val="24"/>
          <w:szCs w:val="24"/>
          <w:rtl/>
        </w:rPr>
        <w:t xml:space="preserve">(א), </w:t>
      </w:r>
      <w:hyperlink r:id="rId13" w:history="1">
        <w:r w:rsidRPr="00644598">
          <w:rPr>
            <w:rStyle w:val="Hyperlink"/>
            <w:rFonts w:ascii="FrankRuehl" w:eastAsia="Times New Roman" w:hAnsi="FrankRuehl" w:cs="FrankRuehl"/>
            <w:sz w:val="24"/>
            <w:szCs w:val="24"/>
            <w:u w:val="none"/>
          </w:rPr>
          <w:t>287</w:t>
        </w:r>
      </w:hyperlink>
      <w:r w:rsidRPr="00644598">
        <w:rPr>
          <w:rFonts w:ascii="FrankRuehl" w:hAnsi="FrankRuehl" w:cs="FrankRuehl"/>
          <w:color w:val="0000FF"/>
          <w:sz w:val="24"/>
          <w:szCs w:val="24"/>
          <w:rtl/>
        </w:rPr>
        <w:t xml:space="preserve">(ב), </w:t>
      </w:r>
      <w:hyperlink r:id="rId14" w:history="1">
        <w:r w:rsidRPr="00644598">
          <w:rPr>
            <w:rStyle w:val="Hyperlink"/>
            <w:rFonts w:ascii="FrankRuehl" w:eastAsia="Times New Roman" w:hAnsi="FrankRuehl" w:cs="FrankRuehl"/>
            <w:sz w:val="24"/>
            <w:szCs w:val="24"/>
            <w:u w:val="none"/>
          </w:rPr>
          <w:t>379</w:t>
        </w:r>
      </w:hyperlink>
      <w:r w:rsidRPr="00644598">
        <w:rPr>
          <w:rFonts w:ascii="FrankRuehl" w:hAnsi="FrankRuehl" w:cs="FrankRuehl"/>
          <w:color w:val="0000FF"/>
          <w:sz w:val="24"/>
          <w:szCs w:val="24"/>
          <w:rtl/>
        </w:rPr>
        <w:t xml:space="preserve">, </w:t>
      </w:r>
      <w:hyperlink r:id="rId15" w:history="1">
        <w:r w:rsidRPr="00644598">
          <w:rPr>
            <w:rStyle w:val="Hyperlink"/>
            <w:rFonts w:ascii="FrankRuehl" w:eastAsia="Times New Roman" w:hAnsi="FrankRuehl" w:cs="FrankRuehl"/>
            <w:sz w:val="24"/>
            <w:szCs w:val="24"/>
            <w:u w:val="none"/>
          </w:rPr>
          <w:t>380</w:t>
        </w:r>
      </w:hyperlink>
      <w:r w:rsidRPr="00644598">
        <w:rPr>
          <w:rFonts w:ascii="FrankRuehl" w:hAnsi="FrankRuehl" w:cs="FrankRuehl"/>
          <w:color w:val="0000FF"/>
          <w:sz w:val="24"/>
          <w:szCs w:val="24"/>
          <w:rtl/>
        </w:rPr>
        <w:t xml:space="preserve">, </w:t>
      </w:r>
      <w:hyperlink r:id="rId16" w:history="1">
        <w:r w:rsidRPr="00644598">
          <w:rPr>
            <w:rStyle w:val="Hyperlink"/>
            <w:rFonts w:ascii="FrankRuehl" w:eastAsia="Times New Roman" w:hAnsi="FrankRuehl" w:cs="FrankRuehl"/>
            <w:sz w:val="24"/>
            <w:szCs w:val="24"/>
            <w:u w:val="none"/>
          </w:rPr>
          <w:t>382</w:t>
        </w:r>
      </w:hyperlink>
      <w:r w:rsidRPr="00644598">
        <w:rPr>
          <w:rFonts w:ascii="FrankRuehl" w:hAnsi="FrankRuehl" w:cs="FrankRuehl"/>
          <w:color w:val="0000FF"/>
          <w:sz w:val="24"/>
          <w:szCs w:val="24"/>
          <w:rtl/>
        </w:rPr>
        <w:t xml:space="preserve">(ב)(1), </w:t>
      </w:r>
      <w:hyperlink r:id="rId17" w:history="1">
        <w:r w:rsidRPr="00644598">
          <w:rPr>
            <w:rStyle w:val="Hyperlink"/>
            <w:rFonts w:ascii="FrankRuehl" w:eastAsia="Times New Roman" w:hAnsi="FrankRuehl" w:cs="FrankRuehl"/>
            <w:sz w:val="24"/>
            <w:szCs w:val="24"/>
            <w:u w:val="none"/>
          </w:rPr>
          <w:t>384</w:t>
        </w:r>
      </w:hyperlink>
      <w:r w:rsidRPr="00644598">
        <w:rPr>
          <w:rFonts w:ascii="FrankRuehl" w:hAnsi="FrankRuehl" w:cs="FrankRuehl"/>
          <w:color w:val="0000FF"/>
          <w:sz w:val="24"/>
          <w:szCs w:val="24"/>
          <w:rtl/>
        </w:rPr>
        <w:t xml:space="preserve">, </w:t>
      </w:r>
      <w:hyperlink r:id="rId18" w:history="1">
        <w:r w:rsidRPr="00644598">
          <w:rPr>
            <w:rStyle w:val="Hyperlink"/>
            <w:rFonts w:ascii="FrankRuehl" w:eastAsia="Times New Roman" w:hAnsi="FrankRuehl" w:cs="FrankRuehl"/>
            <w:sz w:val="24"/>
            <w:szCs w:val="24"/>
            <w:u w:val="none"/>
          </w:rPr>
          <w:t>402</w:t>
        </w:r>
      </w:hyperlink>
      <w:r w:rsidRPr="00644598">
        <w:rPr>
          <w:rFonts w:ascii="FrankRuehl" w:hAnsi="FrankRuehl" w:cs="FrankRuehl"/>
          <w:color w:val="0000FF"/>
          <w:sz w:val="24"/>
          <w:szCs w:val="24"/>
          <w:rtl/>
        </w:rPr>
        <w:t xml:space="preserve">(ב), </w:t>
      </w:r>
      <w:hyperlink r:id="rId19" w:history="1">
        <w:r w:rsidRPr="00644598">
          <w:rPr>
            <w:rStyle w:val="Hyperlink"/>
            <w:rFonts w:ascii="FrankRuehl" w:eastAsia="Times New Roman" w:hAnsi="FrankRuehl" w:cs="FrankRuehl"/>
            <w:sz w:val="24"/>
            <w:szCs w:val="24"/>
            <w:u w:val="none"/>
          </w:rPr>
          <w:t>406</w:t>
        </w:r>
      </w:hyperlink>
      <w:r w:rsidRPr="00644598">
        <w:rPr>
          <w:rFonts w:ascii="FrankRuehl" w:hAnsi="FrankRuehl" w:cs="FrankRuehl"/>
          <w:color w:val="0000FF"/>
          <w:sz w:val="24"/>
          <w:szCs w:val="24"/>
          <w:rtl/>
        </w:rPr>
        <w:t xml:space="preserve">(ב), </w:t>
      </w:r>
      <w:hyperlink r:id="rId20" w:history="1">
        <w:r w:rsidRPr="00644598">
          <w:rPr>
            <w:rStyle w:val="Hyperlink"/>
            <w:rFonts w:ascii="FrankRuehl" w:eastAsia="Times New Roman" w:hAnsi="FrankRuehl" w:cs="FrankRuehl"/>
            <w:sz w:val="24"/>
            <w:szCs w:val="24"/>
            <w:u w:val="none"/>
          </w:rPr>
          <w:t>413</w:t>
        </w:r>
      </w:hyperlink>
      <w:r w:rsidRPr="00644598">
        <w:rPr>
          <w:rFonts w:ascii="FrankRuehl" w:hAnsi="FrankRuehl" w:cs="FrankRuehl"/>
          <w:color w:val="0000FF"/>
          <w:sz w:val="24"/>
          <w:szCs w:val="24"/>
          <w:rtl/>
        </w:rPr>
        <w:t xml:space="preserve">, </w:t>
      </w:r>
      <w:hyperlink r:id="rId21" w:history="1">
        <w:r w:rsidRPr="00644598">
          <w:rPr>
            <w:rStyle w:val="Hyperlink"/>
            <w:rFonts w:ascii="FrankRuehl" w:eastAsia="Times New Roman" w:hAnsi="FrankRuehl" w:cs="FrankRuehl"/>
            <w:sz w:val="24"/>
            <w:szCs w:val="24"/>
            <w:u w:val="none"/>
          </w:rPr>
          <w:t>413</w:t>
        </w:r>
        <w:r w:rsidRPr="00644598">
          <w:rPr>
            <w:rStyle w:val="Hyperlink"/>
            <w:rFonts w:ascii="FrankRuehl" w:eastAsia="Times New Roman" w:hAnsi="FrankRuehl" w:cs="FrankRuehl"/>
            <w:sz w:val="24"/>
            <w:szCs w:val="24"/>
            <w:u w:val="none"/>
            <w:rtl/>
          </w:rPr>
          <w:t>ז</w:t>
        </w:r>
      </w:hyperlink>
      <w:r w:rsidRPr="00644598">
        <w:rPr>
          <w:rFonts w:ascii="FrankRuehl" w:hAnsi="FrankRuehl" w:cs="FrankRuehl"/>
          <w:color w:val="0000FF"/>
          <w:sz w:val="24"/>
          <w:szCs w:val="24"/>
          <w:rtl/>
        </w:rPr>
        <w:t xml:space="preserve">, </w:t>
      </w:r>
      <w:hyperlink r:id="rId22" w:history="1">
        <w:r w:rsidRPr="00644598">
          <w:rPr>
            <w:rStyle w:val="Hyperlink"/>
            <w:rFonts w:ascii="FrankRuehl" w:eastAsia="Times New Roman" w:hAnsi="FrankRuehl" w:cs="FrankRuehl"/>
            <w:sz w:val="24"/>
            <w:szCs w:val="24"/>
            <w:u w:val="none"/>
          </w:rPr>
          <w:t>452</w:t>
        </w:r>
      </w:hyperlink>
      <w:r w:rsidRPr="00644598">
        <w:rPr>
          <w:rFonts w:ascii="FrankRuehl" w:hAnsi="FrankRuehl" w:cs="FrankRuehl"/>
          <w:color w:val="0000FF"/>
          <w:sz w:val="24"/>
          <w:szCs w:val="24"/>
          <w:rtl/>
        </w:rPr>
        <w:t xml:space="preserve">, </w:t>
      </w:r>
      <w:hyperlink r:id="rId23" w:history="1">
        <w:r w:rsidRPr="00644598">
          <w:rPr>
            <w:rStyle w:val="Hyperlink"/>
            <w:rFonts w:ascii="FrankRuehl" w:eastAsia="Times New Roman" w:hAnsi="FrankRuehl" w:cs="FrankRuehl"/>
            <w:sz w:val="24"/>
            <w:szCs w:val="24"/>
            <w:u w:val="none"/>
          </w:rPr>
          <w:t>499</w:t>
        </w:r>
      </w:hyperlink>
      <w:r w:rsidRPr="00644598">
        <w:rPr>
          <w:rFonts w:ascii="FrankRuehl" w:hAnsi="FrankRuehl" w:cs="FrankRuehl"/>
          <w:color w:val="0000FF"/>
          <w:sz w:val="24"/>
          <w:szCs w:val="24"/>
          <w:rtl/>
        </w:rPr>
        <w:t>(א)(1)</w:t>
      </w:r>
    </w:p>
    <w:p w14:paraId="502303D5" w14:textId="77777777" w:rsidR="00644598" w:rsidRPr="00644598" w:rsidRDefault="00644598" w:rsidP="00644598">
      <w:pPr>
        <w:pStyle w:val="a9"/>
        <w:spacing w:before="120" w:after="120" w:line="240" w:lineRule="exact"/>
        <w:ind w:left="283" w:hanging="283"/>
        <w:jc w:val="both"/>
        <w:rPr>
          <w:rFonts w:ascii="FrankRuehl" w:hAnsi="FrankRuehl" w:cs="FrankRuehl"/>
          <w:color w:val="0000FF"/>
          <w:sz w:val="24"/>
          <w:szCs w:val="24"/>
          <w:rtl/>
        </w:rPr>
      </w:pPr>
      <w:hyperlink r:id="rId24" w:history="1">
        <w:r w:rsidRPr="00644598">
          <w:rPr>
            <w:rStyle w:val="Hyperlink"/>
            <w:rFonts w:ascii="FrankRuehl" w:eastAsia="Times New Roman" w:hAnsi="FrankRuehl" w:cs="FrankRuehl"/>
            <w:sz w:val="24"/>
            <w:szCs w:val="24"/>
            <w:u w:val="none"/>
            <w:rtl/>
          </w:rPr>
          <w:t>פקודת הסמים המסוכנים [נוסח חדש], תשל"ג-1973</w:t>
        </w:r>
      </w:hyperlink>
      <w:r w:rsidRPr="00644598">
        <w:rPr>
          <w:rFonts w:ascii="FrankRuehl" w:hAnsi="FrankRuehl" w:cs="FrankRuehl"/>
          <w:color w:val="0000FF"/>
          <w:sz w:val="24"/>
          <w:szCs w:val="24"/>
          <w:rtl/>
        </w:rPr>
        <w:t xml:space="preserve">: סע'  </w:t>
      </w:r>
      <w:hyperlink r:id="rId25" w:history="1">
        <w:r w:rsidRPr="00644598">
          <w:rPr>
            <w:rStyle w:val="Hyperlink"/>
            <w:rFonts w:ascii="FrankRuehl" w:eastAsia="Times New Roman" w:hAnsi="FrankRuehl" w:cs="FrankRuehl"/>
            <w:sz w:val="24"/>
            <w:szCs w:val="24"/>
            <w:u w:val="none"/>
          </w:rPr>
          <w:t>7</w:t>
        </w:r>
      </w:hyperlink>
      <w:r w:rsidRPr="00644598">
        <w:rPr>
          <w:rFonts w:ascii="FrankRuehl" w:hAnsi="FrankRuehl" w:cs="FrankRuehl"/>
          <w:color w:val="0000FF"/>
          <w:sz w:val="24"/>
          <w:szCs w:val="24"/>
          <w:rtl/>
        </w:rPr>
        <w:t xml:space="preserve">(א), </w:t>
      </w:r>
      <w:hyperlink r:id="rId26" w:history="1">
        <w:r w:rsidRPr="00644598">
          <w:rPr>
            <w:rStyle w:val="Hyperlink"/>
            <w:rFonts w:ascii="FrankRuehl" w:eastAsia="Times New Roman" w:hAnsi="FrankRuehl" w:cs="FrankRuehl"/>
            <w:sz w:val="24"/>
            <w:szCs w:val="24"/>
            <w:u w:val="none"/>
          </w:rPr>
          <w:t>7</w:t>
        </w:r>
      </w:hyperlink>
      <w:r w:rsidRPr="00644598">
        <w:rPr>
          <w:rFonts w:ascii="FrankRuehl" w:hAnsi="FrankRuehl" w:cs="FrankRuehl"/>
          <w:color w:val="0000FF"/>
          <w:sz w:val="24"/>
          <w:szCs w:val="24"/>
          <w:rtl/>
        </w:rPr>
        <w:t xml:space="preserve">(ג), </w:t>
      </w:r>
      <w:hyperlink r:id="rId27" w:history="1">
        <w:r w:rsidRPr="00644598">
          <w:rPr>
            <w:rStyle w:val="Hyperlink"/>
            <w:rFonts w:ascii="FrankRuehl" w:eastAsia="Times New Roman" w:hAnsi="FrankRuehl" w:cs="FrankRuehl"/>
            <w:sz w:val="24"/>
            <w:szCs w:val="24"/>
            <w:u w:val="none"/>
          </w:rPr>
          <w:t>40</w:t>
        </w:r>
      </w:hyperlink>
      <w:r w:rsidRPr="00644598">
        <w:rPr>
          <w:rFonts w:ascii="FrankRuehl" w:hAnsi="FrankRuehl" w:cs="FrankRuehl"/>
          <w:color w:val="0000FF"/>
          <w:sz w:val="24"/>
          <w:szCs w:val="24"/>
          <w:rtl/>
        </w:rPr>
        <w:t>(ב)(2)</w:t>
      </w:r>
    </w:p>
    <w:p w14:paraId="6A56D925" w14:textId="77777777" w:rsidR="00644598" w:rsidRPr="00644598" w:rsidRDefault="00644598" w:rsidP="00644598">
      <w:pPr>
        <w:pStyle w:val="a9"/>
        <w:spacing w:before="120" w:after="120" w:line="240" w:lineRule="exact"/>
        <w:ind w:left="283" w:hanging="283"/>
        <w:jc w:val="both"/>
        <w:rPr>
          <w:rFonts w:ascii="FrankRuehl" w:hAnsi="FrankRuehl" w:cs="FrankRuehl"/>
          <w:color w:val="0000FF"/>
          <w:sz w:val="24"/>
          <w:szCs w:val="24"/>
          <w:rtl/>
        </w:rPr>
      </w:pPr>
      <w:hyperlink r:id="rId28" w:history="1">
        <w:r w:rsidRPr="00644598">
          <w:rPr>
            <w:rStyle w:val="Hyperlink"/>
            <w:rFonts w:ascii="FrankRuehl" w:eastAsia="Times New Roman" w:hAnsi="FrankRuehl" w:cs="FrankRuehl"/>
            <w:sz w:val="24"/>
            <w:szCs w:val="24"/>
            <w:u w:val="none"/>
            <w:rtl/>
          </w:rPr>
          <w:t>חוק שירותי תשלום, תשע"ט-2019</w:t>
        </w:r>
      </w:hyperlink>
      <w:r w:rsidRPr="00644598">
        <w:rPr>
          <w:rFonts w:ascii="FrankRuehl" w:hAnsi="FrankRuehl" w:cs="FrankRuehl"/>
          <w:color w:val="0000FF"/>
          <w:sz w:val="24"/>
          <w:szCs w:val="24"/>
          <w:rtl/>
        </w:rPr>
        <w:t xml:space="preserve">: סע'  </w:t>
      </w:r>
      <w:hyperlink r:id="rId29" w:history="1">
        <w:r w:rsidRPr="00644598">
          <w:rPr>
            <w:rStyle w:val="Hyperlink"/>
            <w:rFonts w:ascii="FrankRuehl" w:eastAsia="Times New Roman" w:hAnsi="FrankRuehl" w:cs="FrankRuehl"/>
            <w:sz w:val="24"/>
            <w:szCs w:val="24"/>
            <w:u w:val="none"/>
          </w:rPr>
          <w:t>40</w:t>
        </w:r>
      </w:hyperlink>
      <w:r w:rsidRPr="00644598">
        <w:rPr>
          <w:rFonts w:ascii="FrankRuehl" w:hAnsi="FrankRuehl" w:cs="FrankRuehl"/>
          <w:color w:val="0000FF"/>
          <w:sz w:val="24"/>
          <w:szCs w:val="24"/>
          <w:rtl/>
        </w:rPr>
        <w:t xml:space="preserve">(ב)(1), </w:t>
      </w:r>
      <w:hyperlink r:id="rId30" w:history="1">
        <w:r w:rsidRPr="00644598">
          <w:rPr>
            <w:rStyle w:val="Hyperlink"/>
            <w:rFonts w:ascii="FrankRuehl" w:eastAsia="Times New Roman" w:hAnsi="FrankRuehl" w:cs="FrankRuehl"/>
            <w:sz w:val="24"/>
            <w:szCs w:val="24"/>
            <w:u w:val="none"/>
          </w:rPr>
          <w:t>40</w:t>
        </w:r>
      </w:hyperlink>
      <w:r w:rsidRPr="00644598">
        <w:rPr>
          <w:rFonts w:ascii="FrankRuehl" w:hAnsi="FrankRuehl" w:cs="FrankRuehl"/>
          <w:color w:val="0000FF"/>
          <w:sz w:val="24"/>
          <w:szCs w:val="24"/>
          <w:rtl/>
        </w:rPr>
        <w:t>(ב)(2)</w:t>
      </w:r>
    </w:p>
    <w:p w14:paraId="20D54752" w14:textId="77777777" w:rsidR="00644598" w:rsidRPr="00644598" w:rsidRDefault="00644598" w:rsidP="00644598">
      <w:pPr>
        <w:pStyle w:val="a9"/>
        <w:spacing w:before="120" w:after="120" w:line="240" w:lineRule="exact"/>
        <w:ind w:left="283" w:hanging="283"/>
        <w:jc w:val="both"/>
        <w:rPr>
          <w:rFonts w:ascii="FrankRuehl" w:hAnsi="FrankRuehl" w:cs="FrankRuehl"/>
          <w:color w:val="0000FF"/>
          <w:sz w:val="24"/>
          <w:szCs w:val="24"/>
          <w:rtl/>
        </w:rPr>
      </w:pPr>
      <w:hyperlink r:id="rId31" w:history="1">
        <w:r w:rsidRPr="00644598">
          <w:rPr>
            <w:rStyle w:val="Hyperlink"/>
            <w:rFonts w:ascii="FrankRuehl" w:eastAsia="Times New Roman" w:hAnsi="FrankRuehl" w:cs="FrankRuehl"/>
            <w:sz w:val="24"/>
            <w:szCs w:val="24"/>
            <w:u w:val="none"/>
            <w:rtl/>
          </w:rPr>
          <w:t>פקודת התעבורה [נוסח חדש</w:t>
        </w:r>
        <w:r w:rsidRPr="00644598">
          <w:rPr>
            <w:rStyle w:val="Hyperlink"/>
            <w:rFonts w:ascii="FrankRuehl" w:eastAsia="Times New Roman" w:hAnsi="FrankRuehl" w:cs="FrankRuehl"/>
            <w:sz w:val="24"/>
            <w:szCs w:val="24"/>
            <w:u w:val="none"/>
          </w:rPr>
          <w:t>]</w:t>
        </w:r>
      </w:hyperlink>
      <w:r w:rsidRPr="00644598">
        <w:rPr>
          <w:rFonts w:ascii="FrankRuehl" w:hAnsi="FrankRuehl" w:cs="FrankRuehl"/>
          <w:color w:val="0000FF"/>
          <w:sz w:val="24"/>
          <w:szCs w:val="24"/>
          <w:rtl/>
        </w:rPr>
        <w:t xml:space="preserve">: סע'  </w:t>
      </w:r>
      <w:hyperlink r:id="rId32" w:history="1">
        <w:r w:rsidRPr="00644598">
          <w:rPr>
            <w:rStyle w:val="Hyperlink"/>
            <w:rFonts w:ascii="FrankRuehl" w:eastAsia="Times New Roman" w:hAnsi="FrankRuehl" w:cs="FrankRuehl"/>
            <w:sz w:val="24"/>
            <w:szCs w:val="24"/>
            <w:u w:val="none"/>
          </w:rPr>
          <w:t>10</w:t>
        </w:r>
      </w:hyperlink>
      <w:r w:rsidRPr="00644598">
        <w:rPr>
          <w:rFonts w:ascii="FrankRuehl" w:hAnsi="FrankRuehl" w:cs="FrankRuehl"/>
          <w:color w:val="0000FF"/>
          <w:sz w:val="24"/>
          <w:szCs w:val="24"/>
          <w:rtl/>
        </w:rPr>
        <w:t>(א)</w:t>
      </w:r>
    </w:p>
    <w:p w14:paraId="311DD754" w14:textId="77777777" w:rsidR="00897CFA" w:rsidRDefault="00897CFA" w:rsidP="00644598">
      <w:pPr>
        <w:pStyle w:val="a9"/>
        <w:spacing w:before="240" w:line="360" w:lineRule="auto"/>
        <w:ind w:left="2835"/>
        <w:jc w:val="both"/>
        <w:rPr>
          <w:rFonts w:ascii="David" w:hAnsi="David" w:cs="David" w:hint="cs"/>
          <w:sz w:val="24"/>
          <w:szCs w:val="24"/>
          <w:rtl/>
        </w:rPr>
      </w:pPr>
      <w:bookmarkStart w:id="4" w:name="LawTable_End"/>
      <w:bookmarkEnd w:id="4"/>
    </w:p>
    <w:p w14:paraId="60DA7061" w14:textId="77777777" w:rsidR="00644598" w:rsidRDefault="00644598" w:rsidP="00644598">
      <w:pPr>
        <w:pStyle w:val="a9"/>
        <w:spacing w:before="240" w:line="360" w:lineRule="auto"/>
        <w:ind w:left="2835"/>
        <w:jc w:val="both"/>
        <w:rPr>
          <w:rFonts w:ascii="David" w:hAnsi="David" w:cs="David" w:hint="cs"/>
          <w:sz w:val="24"/>
          <w:szCs w:val="24"/>
          <w:rtl/>
        </w:rPr>
      </w:pPr>
    </w:p>
    <w:p w14:paraId="3716224A" w14:textId="77777777" w:rsidR="00644598" w:rsidRDefault="00644598" w:rsidP="00644598">
      <w:pPr>
        <w:pStyle w:val="a9"/>
        <w:spacing w:before="240" w:line="360" w:lineRule="auto"/>
        <w:ind w:left="2835"/>
        <w:jc w:val="both"/>
        <w:rPr>
          <w:rFonts w:ascii="David" w:hAnsi="David" w:cs="David" w:hint="cs"/>
          <w:sz w:val="24"/>
          <w:szCs w:val="24"/>
          <w:rtl/>
        </w:rPr>
      </w:pPr>
    </w:p>
    <w:p w14:paraId="672E3DAF" w14:textId="77777777" w:rsidR="00644598" w:rsidRPr="00644598" w:rsidRDefault="00644598" w:rsidP="00644598">
      <w:pPr>
        <w:pStyle w:val="a9"/>
        <w:spacing w:before="240" w:line="360" w:lineRule="auto"/>
        <w:ind w:left="2835"/>
        <w:jc w:val="both"/>
        <w:rPr>
          <w:rFonts w:ascii="David" w:hAnsi="David" w:cs="David" w:hint="cs"/>
          <w:sz w:val="24"/>
          <w:szCs w:val="24"/>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7CFA" w:rsidRPr="00BD1049" w14:paraId="0911B603" w14:textId="77777777" w:rsidTr="00897CFA">
        <w:trPr>
          <w:trHeight w:val="355"/>
          <w:jc w:val="center"/>
        </w:trPr>
        <w:tc>
          <w:tcPr>
            <w:tcW w:w="8820" w:type="dxa"/>
            <w:tcBorders>
              <w:top w:val="nil"/>
              <w:left w:val="nil"/>
              <w:bottom w:val="nil"/>
              <w:right w:val="nil"/>
            </w:tcBorders>
            <w:shd w:val="clear" w:color="auto" w:fill="auto"/>
          </w:tcPr>
          <w:p w14:paraId="74014361" w14:textId="77777777" w:rsidR="00873397" w:rsidRPr="00873397" w:rsidRDefault="00873397" w:rsidP="00873397">
            <w:pPr>
              <w:jc w:val="center"/>
              <w:rPr>
                <w:rFonts w:ascii="Arial" w:hAnsi="Arial"/>
                <w:b/>
                <w:bCs/>
                <w:sz w:val="28"/>
                <w:szCs w:val="28"/>
                <w:u w:val="single"/>
                <w:rtl/>
              </w:rPr>
            </w:pPr>
            <w:bookmarkStart w:id="5" w:name="PsakDin" w:colFirst="0" w:colLast="0"/>
            <w:r w:rsidRPr="00873397">
              <w:rPr>
                <w:rFonts w:ascii="Arial" w:hAnsi="Arial"/>
                <w:b/>
                <w:bCs/>
                <w:sz w:val="28"/>
                <w:szCs w:val="28"/>
                <w:u w:val="single"/>
                <w:rtl/>
              </w:rPr>
              <w:t>גזר דין</w:t>
            </w:r>
          </w:p>
          <w:p w14:paraId="6F82D426" w14:textId="77777777" w:rsidR="00897CFA" w:rsidRPr="00873397" w:rsidRDefault="00897CFA" w:rsidP="00873397">
            <w:pPr>
              <w:jc w:val="center"/>
              <w:rPr>
                <w:rFonts w:ascii="Arial" w:hAnsi="Arial"/>
                <w:bCs/>
                <w:sz w:val="28"/>
                <w:szCs w:val="28"/>
                <w:u w:val="single"/>
                <w:rtl/>
              </w:rPr>
            </w:pPr>
          </w:p>
        </w:tc>
      </w:tr>
    </w:tbl>
    <w:p w14:paraId="07803C7A"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tl/>
        </w:rPr>
      </w:pPr>
      <w:bookmarkStart w:id="6" w:name="ABSTRACT_START"/>
      <w:bookmarkEnd w:id="5"/>
      <w:bookmarkEnd w:id="6"/>
      <w:r w:rsidRPr="00BD1049">
        <w:rPr>
          <w:rFonts w:ascii="David" w:hAnsi="David" w:cs="David"/>
          <w:sz w:val="24"/>
          <w:szCs w:val="24"/>
          <w:rtl/>
        </w:rPr>
        <w:t xml:space="preserve">הנאשם, יהודה מדינה, הורשע לאחר שמיעת ראיות בעבירה של </w:t>
      </w:r>
      <w:r w:rsidRPr="00BD1049">
        <w:rPr>
          <w:rFonts w:ascii="David" w:hAnsi="David" w:cs="David"/>
          <w:b/>
          <w:bCs/>
          <w:sz w:val="24"/>
          <w:szCs w:val="24"/>
          <w:rtl/>
        </w:rPr>
        <w:t>שוד בנסיבות מחמירות</w:t>
      </w:r>
      <w:r w:rsidRPr="00BD1049">
        <w:rPr>
          <w:rFonts w:ascii="David" w:hAnsi="David" w:cs="David"/>
          <w:sz w:val="24"/>
          <w:szCs w:val="24"/>
          <w:rtl/>
        </w:rPr>
        <w:t xml:space="preserve"> לפי </w:t>
      </w:r>
      <w:hyperlink r:id="rId33" w:history="1">
        <w:r w:rsidR="00644598" w:rsidRPr="00644598">
          <w:rPr>
            <w:rStyle w:val="Hyperlink"/>
            <w:rFonts w:ascii="David" w:hAnsi="David" w:cs="David"/>
            <w:color w:val="0000FF"/>
            <w:sz w:val="24"/>
            <w:szCs w:val="24"/>
            <w:rtl/>
          </w:rPr>
          <w:t>סעיף 402(ב)</w:t>
        </w:r>
      </w:hyperlink>
      <w:r w:rsidRPr="00BD1049">
        <w:rPr>
          <w:rFonts w:ascii="David" w:hAnsi="David" w:cs="David"/>
          <w:sz w:val="24"/>
          <w:szCs w:val="24"/>
          <w:rtl/>
        </w:rPr>
        <w:t xml:space="preserve"> ל</w:t>
      </w:r>
      <w:hyperlink r:id="rId34" w:history="1">
        <w:r w:rsidR="00873397" w:rsidRPr="00873397">
          <w:rPr>
            <w:rFonts w:ascii="David" w:hAnsi="David" w:cs="David"/>
            <w:color w:val="0000FF"/>
            <w:sz w:val="24"/>
            <w:szCs w:val="24"/>
            <w:u w:val="single"/>
            <w:rtl/>
          </w:rPr>
          <w:t>חוק העונשין</w:t>
        </w:r>
      </w:hyperlink>
      <w:r w:rsidRPr="00BD1049">
        <w:rPr>
          <w:rFonts w:ascii="David" w:hAnsi="David" w:cs="David"/>
          <w:sz w:val="24"/>
          <w:szCs w:val="24"/>
          <w:rtl/>
        </w:rPr>
        <w:t xml:space="preserve"> התשל"ז-1977 (להלן: "חוק העונשין" או "החוק") ובעבירה של </w:t>
      </w:r>
      <w:r w:rsidRPr="00BD1049">
        <w:rPr>
          <w:rFonts w:ascii="David" w:hAnsi="David" w:cs="David"/>
          <w:b/>
          <w:bCs/>
          <w:sz w:val="24"/>
          <w:szCs w:val="24"/>
          <w:rtl/>
        </w:rPr>
        <w:t>הפרת הוראה חוקית</w:t>
      </w:r>
      <w:r w:rsidRPr="00BD1049">
        <w:rPr>
          <w:rFonts w:ascii="David" w:hAnsi="David" w:cs="David"/>
          <w:sz w:val="24"/>
          <w:szCs w:val="24"/>
          <w:rtl/>
        </w:rPr>
        <w:t xml:space="preserve"> לפי </w:t>
      </w:r>
      <w:hyperlink r:id="rId35" w:history="1">
        <w:r w:rsidR="00644598" w:rsidRPr="00644598">
          <w:rPr>
            <w:rStyle w:val="Hyperlink"/>
            <w:rFonts w:ascii="David" w:hAnsi="David" w:cs="David"/>
            <w:color w:val="0000FF"/>
            <w:sz w:val="24"/>
            <w:szCs w:val="24"/>
            <w:rtl/>
          </w:rPr>
          <w:t>סעיף 287(ב)</w:t>
        </w:r>
      </w:hyperlink>
      <w:r w:rsidRPr="00BD1049">
        <w:rPr>
          <w:rFonts w:ascii="David" w:hAnsi="David" w:cs="David"/>
          <w:sz w:val="24"/>
          <w:szCs w:val="24"/>
          <w:rtl/>
        </w:rPr>
        <w:t xml:space="preserve"> לחוק העונשין. </w:t>
      </w:r>
      <w:bookmarkStart w:id="7" w:name="ABSTRACT_END"/>
      <w:bookmarkEnd w:id="7"/>
      <w:r w:rsidRPr="00BD1049">
        <w:rPr>
          <w:rFonts w:ascii="David" w:hAnsi="David" w:cs="David"/>
          <w:sz w:val="24"/>
          <w:szCs w:val="24"/>
          <w:rtl/>
        </w:rPr>
        <w:t xml:space="preserve">עובר להצגת הראיות והטיעונים לעונש ביקש הנאשם לצרף שני הליכים נוספים, שבהם הורשע על- פי הודאתו: </w:t>
      </w:r>
      <w:hyperlink r:id="rId36" w:history="1">
        <w:r w:rsidR="00873397" w:rsidRPr="00873397">
          <w:rPr>
            <w:rFonts w:ascii="David" w:hAnsi="David" w:cs="David"/>
            <w:color w:val="0000FF"/>
            <w:sz w:val="24"/>
            <w:szCs w:val="24"/>
            <w:u w:val="single"/>
            <w:rtl/>
          </w:rPr>
          <w:t>ת.פ 16182-10-22</w:t>
        </w:r>
      </w:hyperlink>
      <w:r w:rsidRPr="00BD1049">
        <w:rPr>
          <w:rFonts w:ascii="David" w:hAnsi="David" w:cs="David"/>
          <w:sz w:val="24"/>
          <w:szCs w:val="24"/>
          <w:rtl/>
        </w:rPr>
        <w:t xml:space="preserve">, שבמסגרתו הורשע בעבירה של </w:t>
      </w:r>
      <w:r w:rsidRPr="00BD1049">
        <w:rPr>
          <w:rFonts w:ascii="David" w:hAnsi="David" w:cs="David"/>
          <w:b/>
          <w:bCs/>
          <w:sz w:val="24"/>
          <w:szCs w:val="24"/>
          <w:rtl/>
        </w:rPr>
        <w:t>הפרת הוראה חוקית</w:t>
      </w:r>
      <w:r w:rsidRPr="00BD1049">
        <w:rPr>
          <w:rFonts w:ascii="David" w:hAnsi="David" w:cs="David"/>
          <w:sz w:val="24"/>
          <w:szCs w:val="24"/>
          <w:rtl/>
        </w:rPr>
        <w:t xml:space="preserve"> לפי </w:t>
      </w:r>
      <w:hyperlink r:id="rId37" w:history="1">
        <w:r w:rsidR="00644598" w:rsidRPr="00644598">
          <w:rPr>
            <w:rStyle w:val="Hyperlink"/>
            <w:rFonts w:ascii="David" w:hAnsi="David" w:cs="David"/>
            <w:color w:val="0000FF"/>
            <w:sz w:val="24"/>
            <w:szCs w:val="24"/>
            <w:rtl/>
          </w:rPr>
          <w:t>סעיף 287(ב)</w:t>
        </w:r>
      </w:hyperlink>
      <w:r w:rsidRPr="00BD1049">
        <w:rPr>
          <w:rFonts w:ascii="David" w:hAnsi="David" w:cs="David"/>
          <w:sz w:val="24"/>
          <w:szCs w:val="24"/>
          <w:rtl/>
        </w:rPr>
        <w:t xml:space="preserve"> לחוק </w:t>
      </w:r>
      <w:r w:rsidRPr="00BD1049">
        <w:rPr>
          <w:rFonts w:ascii="David" w:hAnsi="David" w:cs="David"/>
          <w:b/>
          <w:bCs/>
          <w:sz w:val="24"/>
          <w:szCs w:val="24"/>
          <w:rtl/>
        </w:rPr>
        <w:t>ותקיפה סתם</w:t>
      </w:r>
      <w:r w:rsidRPr="00BD1049">
        <w:rPr>
          <w:rFonts w:ascii="David" w:hAnsi="David" w:cs="David"/>
          <w:sz w:val="24"/>
          <w:szCs w:val="24"/>
          <w:rtl/>
        </w:rPr>
        <w:t xml:space="preserve"> לפי </w:t>
      </w:r>
      <w:hyperlink r:id="rId38" w:history="1">
        <w:r w:rsidR="00644598" w:rsidRPr="00644598">
          <w:rPr>
            <w:rStyle w:val="Hyperlink"/>
            <w:rFonts w:ascii="David" w:hAnsi="David" w:cs="David"/>
            <w:color w:val="0000FF"/>
            <w:sz w:val="24"/>
            <w:szCs w:val="24"/>
            <w:rtl/>
          </w:rPr>
          <w:t>סעיף 379</w:t>
        </w:r>
      </w:hyperlink>
      <w:r w:rsidRPr="00BD1049">
        <w:rPr>
          <w:rFonts w:ascii="David" w:hAnsi="David" w:cs="David"/>
          <w:sz w:val="24"/>
          <w:szCs w:val="24"/>
          <w:rtl/>
        </w:rPr>
        <w:t xml:space="preserve"> ל</w:t>
      </w:r>
      <w:hyperlink r:id="rId39" w:history="1">
        <w:r w:rsidR="00873397" w:rsidRPr="00873397">
          <w:rPr>
            <w:rFonts w:ascii="David" w:hAnsi="David" w:cs="David"/>
            <w:color w:val="0000FF"/>
            <w:sz w:val="24"/>
            <w:szCs w:val="24"/>
            <w:u w:val="single"/>
            <w:rtl/>
          </w:rPr>
          <w:t>חוק העונשין</w:t>
        </w:r>
      </w:hyperlink>
      <w:r w:rsidRPr="00BD1049">
        <w:rPr>
          <w:rFonts w:ascii="David" w:hAnsi="David" w:cs="David"/>
          <w:sz w:val="24"/>
          <w:szCs w:val="24"/>
          <w:rtl/>
        </w:rPr>
        <w:t xml:space="preserve"> (להלן: "התיק המצורף הראשון"); ו</w:t>
      </w:r>
      <w:hyperlink r:id="rId40" w:history="1">
        <w:r w:rsidR="00873397" w:rsidRPr="00873397">
          <w:rPr>
            <w:rFonts w:ascii="David" w:hAnsi="David" w:cs="David"/>
            <w:color w:val="0000FF"/>
            <w:sz w:val="24"/>
            <w:szCs w:val="24"/>
            <w:u w:val="single"/>
            <w:rtl/>
          </w:rPr>
          <w:t>ת.פ 10292-04-22</w:t>
        </w:r>
      </w:hyperlink>
      <w:r w:rsidRPr="00BD1049">
        <w:rPr>
          <w:rFonts w:ascii="David" w:hAnsi="David" w:cs="David"/>
          <w:sz w:val="24"/>
          <w:szCs w:val="24"/>
          <w:rtl/>
        </w:rPr>
        <w:t xml:space="preserve">, שבמסגרתו הורשע בעבירות של </w:t>
      </w:r>
      <w:r w:rsidRPr="00BD1049">
        <w:rPr>
          <w:rFonts w:ascii="David" w:hAnsi="David" w:cs="David"/>
          <w:b/>
          <w:bCs/>
          <w:sz w:val="24"/>
          <w:szCs w:val="24"/>
          <w:rtl/>
        </w:rPr>
        <w:t xml:space="preserve">שימוש ברכיב חיוני באמצעי תשלום לפי </w:t>
      </w:r>
      <w:hyperlink r:id="rId41" w:history="1">
        <w:r w:rsidR="00644598" w:rsidRPr="00644598">
          <w:rPr>
            <w:rStyle w:val="Hyperlink"/>
            <w:rFonts w:ascii="David" w:hAnsi="David" w:cs="David"/>
            <w:b/>
            <w:bCs/>
            <w:color w:val="0000FF"/>
            <w:sz w:val="24"/>
            <w:szCs w:val="24"/>
            <w:rtl/>
          </w:rPr>
          <w:t>סעיף 40(ב)(2)</w:t>
        </w:r>
      </w:hyperlink>
      <w:r w:rsidRPr="00BD1049">
        <w:rPr>
          <w:rFonts w:ascii="David" w:hAnsi="David" w:cs="David"/>
          <w:b/>
          <w:bCs/>
          <w:sz w:val="24"/>
          <w:szCs w:val="24"/>
          <w:rtl/>
        </w:rPr>
        <w:t xml:space="preserve"> </w:t>
      </w:r>
      <w:r w:rsidRPr="00BD1049">
        <w:rPr>
          <w:rFonts w:ascii="David" w:hAnsi="David" w:cs="David"/>
          <w:sz w:val="24"/>
          <w:szCs w:val="24"/>
          <w:rtl/>
        </w:rPr>
        <w:t>ל</w:t>
      </w:r>
      <w:hyperlink r:id="rId42" w:history="1">
        <w:r w:rsidR="00873397" w:rsidRPr="00873397">
          <w:rPr>
            <w:rFonts w:ascii="David" w:hAnsi="David" w:cs="David"/>
            <w:color w:val="0000FF"/>
            <w:sz w:val="24"/>
            <w:szCs w:val="24"/>
            <w:u w:val="single"/>
            <w:rtl/>
          </w:rPr>
          <w:t>חוק שירותי תשלום, התשע"ט-2019</w:t>
        </w:r>
      </w:hyperlink>
      <w:r w:rsidRPr="00BD1049">
        <w:rPr>
          <w:rFonts w:ascii="David" w:hAnsi="David" w:cs="David"/>
          <w:sz w:val="24"/>
          <w:szCs w:val="24"/>
          <w:rtl/>
        </w:rPr>
        <w:t xml:space="preserve"> (להלן: "חוק שירותי תשלום") (שלוש עבירות), </w:t>
      </w:r>
      <w:r w:rsidRPr="00BD1049">
        <w:rPr>
          <w:rFonts w:ascii="David" w:hAnsi="David" w:cs="David"/>
          <w:b/>
          <w:bCs/>
          <w:sz w:val="24"/>
          <w:szCs w:val="24"/>
          <w:rtl/>
        </w:rPr>
        <w:t>נטילת/החזקת רכיב חיוני באמצעי תשלום שלא בהסכמת המשלם בכוונה להשתמש בו/לאפשר לאחר להשתמש בו</w:t>
      </w:r>
      <w:r w:rsidRPr="00BD1049">
        <w:rPr>
          <w:rFonts w:ascii="David" w:hAnsi="David" w:cs="David"/>
          <w:sz w:val="24"/>
          <w:szCs w:val="24"/>
          <w:rtl/>
        </w:rPr>
        <w:t xml:space="preserve"> לפי </w:t>
      </w:r>
      <w:hyperlink r:id="rId43" w:history="1">
        <w:r w:rsidR="00644598" w:rsidRPr="00644598">
          <w:rPr>
            <w:rStyle w:val="Hyperlink"/>
            <w:rFonts w:ascii="David" w:hAnsi="David" w:cs="David"/>
            <w:color w:val="0000FF"/>
            <w:sz w:val="24"/>
            <w:szCs w:val="24"/>
            <w:rtl/>
          </w:rPr>
          <w:t>סעיף 40(ב)(1)</w:t>
        </w:r>
      </w:hyperlink>
      <w:r w:rsidRPr="00BD1049">
        <w:rPr>
          <w:rFonts w:ascii="David" w:hAnsi="David" w:cs="David"/>
          <w:sz w:val="24"/>
          <w:szCs w:val="24"/>
          <w:rtl/>
        </w:rPr>
        <w:t xml:space="preserve"> לחוק שירותי תשלום (ארבע עבירות), </w:t>
      </w:r>
      <w:r w:rsidRPr="00BD1049">
        <w:rPr>
          <w:rFonts w:ascii="David" w:hAnsi="David" w:cs="David"/>
          <w:b/>
          <w:bCs/>
          <w:sz w:val="24"/>
          <w:szCs w:val="24"/>
          <w:rtl/>
        </w:rPr>
        <w:t xml:space="preserve">גניבה </w:t>
      </w:r>
      <w:r w:rsidRPr="00BD1049">
        <w:rPr>
          <w:rFonts w:ascii="David" w:hAnsi="David" w:cs="David"/>
          <w:sz w:val="24"/>
          <w:szCs w:val="24"/>
          <w:rtl/>
        </w:rPr>
        <w:t xml:space="preserve">לפי </w:t>
      </w:r>
      <w:hyperlink r:id="rId44" w:history="1">
        <w:r w:rsidR="00644598" w:rsidRPr="00644598">
          <w:rPr>
            <w:rStyle w:val="Hyperlink"/>
            <w:rFonts w:ascii="David" w:hAnsi="David" w:cs="David"/>
            <w:color w:val="0000FF"/>
            <w:sz w:val="24"/>
            <w:szCs w:val="24"/>
            <w:rtl/>
          </w:rPr>
          <w:t>סעיף 384</w:t>
        </w:r>
      </w:hyperlink>
      <w:r w:rsidRPr="00BD1049">
        <w:rPr>
          <w:rFonts w:ascii="David" w:hAnsi="David" w:cs="David"/>
          <w:sz w:val="24"/>
          <w:szCs w:val="24"/>
          <w:rtl/>
        </w:rPr>
        <w:t xml:space="preserve"> לחוק העונשין (שש עבירות), </w:t>
      </w:r>
      <w:r w:rsidRPr="00BD1049">
        <w:rPr>
          <w:rFonts w:ascii="David" w:hAnsi="David" w:cs="David"/>
          <w:b/>
          <w:bCs/>
          <w:sz w:val="24"/>
          <w:szCs w:val="24"/>
          <w:rtl/>
        </w:rPr>
        <w:t>איומים</w:t>
      </w:r>
      <w:r w:rsidRPr="00BD1049">
        <w:rPr>
          <w:rFonts w:ascii="David" w:hAnsi="David" w:cs="David"/>
          <w:sz w:val="24"/>
          <w:szCs w:val="24"/>
          <w:rtl/>
        </w:rPr>
        <w:t xml:space="preserve"> לפי </w:t>
      </w:r>
      <w:hyperlink r:id="rId45" w:history="1">
        <w:r w:rsidR="00644598" w:rsidRPr="00644598">
          <w:rPr>
            <w:rStyle w:val="Hyperlink"/>
            <w:rFonts w:ascii="David" w:hAnsi="David" w:cs="David"/>
            <w:color w:val="0000FF"/>
            <w:sz w:val="24"/>
            <w:szCs w:val="24"/>
            <w:rtl/>
          </w:rPr>
          <w:t>סעיף 192</w:t>
        </w:r>
      </w:hyperlink>
      <w:r w:rsidRPr="00BD1049">
        <w:rPr>
          <w:rFonts w:ascii="David" w:hAnsi="David" w:cs="David"/>
          <w:sz w:val="24"/>
          <w:szCs w:val="24"/>
          <w:rtl/>
        </w:rPr>
        <w:t xml:space="preserve"> לחוק העונשין (שתי </w:t>
      </w:r>
      <w:r w:rsidRPr="00BD1049">
        <w:rPr>
          <w:rFonts w:ascii="David" w:hAnsi="David" w:cs="David"/>
          <w:sz w:val="24"/>
          <w:szCs w:val="24"/>
          <w:rtl/>
        </w:rPr>
        <w:lastRenderedPageBreak/>
        <w:t>עבירות) ו</w:t>
      </w:r>
      <w:r w:rsidRPr="00BD1049">
        <w:rPr>
          <w:rFonts w:ascii="David" w:hAnsi="David" w:cs="David"/>
          <w:b/>
          <w:bCs/>
          <w:sz w:val="24"/>
          <w:szCs w:val="24"/>
          <w:rtl/>
        </w:rPr>
        <w:t>החזקת כלי פריצה לרכב</w:t>
      </w:r>
      <w:r w:rsidRPr="00BD1049">
        <w:rPr>
          <w:rFonts w:ascii="David" w:hAnsi="David" w:cs="David"/>
          <w:sz w:val="24"/>
          <w:szCs w:val="24"/>
          <w:rtl/>
        </w:rPr>
        <w:t xml:space="preserve">, לפי </w:t>
      </w:r>
      <w:hyperlink r:id="rId46" w:history="1">
        <w:r w:rsidR="00644598" w:rsidRPr="00644598">
          <w:rPr>
            <w:rStyle w:val="Hyperlink"/>
            <w:rFonts w:ascii="David" w:hAnsi="David" w:cs="David"/>
            <w:color w:val="0000FF"/>
            <w:sz w:val="24"/>
            <w:szCs w:val="24"/>
            <w:rtl/>
          </w:rPr>
          <w:t>סעיף 413ז</w:t>
        </w:r>
      </w:hyperlink>
      <w:r w:rsidRPr="00BD1049">
        <w:rPr>
          <w:rFonts w:ascii="David" w:hAnsi="David" w:cs="David"/>
          <w:sz w:val="24"/>
          <w:szCs w:val="24"/>
          <w:rtl/>
        </w:rPr>
        <w:t xml:space="preserve"> לחוק העונשין (להלן: "התיק המצורף השני").</w:t>
      </w:r>
    </w:p>
    <w:p w14:paraId="5D9CCE50" w14:textId="77777777" w:rsidR="00897CFA" w:rsidRPr="00BD1049" w:rsidRDefault="00897CFA" w:rsidP="00897CFA">
      <w:pPr>
        <w:spacing w:before="240" w:line="360" w:lineRule="auto"/>
        <w:ind w:left="360"/>
        <w:jc w:val="both"/>
        <w:rPr>
          <w:rFonts w:ascii="David" w:hAnsi="David"/>
          <w:b/>
          <w:bCs/>
          <w:u w:val="single"/>
        </w:rPr>
      </w:pPr>
      <w:r w:rsidRPr="00BD1049">
        <w:rPr>
          <w:rFonts w:ascii="David" w:hAnsi="David"/>
          <w:b/>
          <w:bCs/>
          <w:u w:val="single"/>
          <w:rtl/>
        </w:rPr>
        <w:t>תמצית נסיבות ההרשעה בתיק עיקרי</w:t>
      </w:r>
    </w:p>
    <w:p w14:paraId="63A3C387"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 xml:space="preserve">ביום 23.11.2022, בגדר הליך אחר, הורה בית משפט השלום על שחרורו של הנאשם בתנאי מעצר בית מלא בכתובת ביתו, לצד חלונות אוורור. ביום 04.02.2023, סמוך לשעה 02:37, הנאשם הגיע לקיוסק ברחוב סוקולוב בהרצליה, תוך הפרת תנאי שחרורו, ניגש לדלפק ודרש ממוכרן הקיוסק קופסת סיגריות. המוכרן עמד על כך שהנאשם ישלם עבור קופסת הסיגריות. בהמשך נכנס הנאשם מאחורי הדלפק ומשך את מגירת הסיגריות שמתחת לדלפק, תוך שהמוכרן חוסם אותו בגופו. הנאשם התכופף לעבר כספת וניסה לחלץ מעטפה בעלת ערך לשם גניבתה, תוך שהמוכרן חוסם אותו בגופו על-מנת למנוע ממנו מלעשות כן. בתגובה נטל הנאשם מספריים חדים שהיו על הדלפק, דקר את המוכרן בלחיו השמאלית והכה אותו באגרופים ובבעיטות בפניו ובגופו עד שנפל ארצה. הנאשם המשיך לתקוף את המוכרן שניסה למנוע ממנו לפתוח את מגירת הסיגריות, עד אשר התגבר הנאשם על התנגדותו ונטל שלוש קופסאות סיגריות מהמגירה. בהמשך, תוך שהוא נמלט מהקיוסק, תקף הנאשם את המוכרן שוב בכך שהשליך לעברו ארגז משקאות שפגע בגופו. כתוצאה מהאירוע נגרמו למוכרן חתך בלחי שמאל ושבר בארובת עין שמאל. </w:t>
      </w:r>
    </w:p>
    <w:p w14:paraId="1C910489" w14:textId="77777777" w:rsidR="00897CFA" w:rsidRPr="00BD1049" w:rsidRDefault="00897CFA" w:rsidP="00897CFA">
      <w:pPr>
        <w:spacing w:line="360" w:lineRule="auto"/>
        <w:ind w:left="360"/>
        <w:jc w:val="both"/>
        <w:rPr>
          <w:rFonts w:ascii="David" w:hAnsi="David"/>
          <w:b/>
          <w:bCs/>
          <w:u w:val="single"/>
        </w:rPr>
      </w:pPr>
      <w:r w:rsidRPr="00BD1049">
        <w:rPr>
          <w:rFonts w:ascii="David" w:hAnsi="David"/>
          <w:b/>
          <w:bCs/>
          <w:u w:val="single"/>
          <w:rtl/>
        </w:rPr>
        <w:t>תמצית נסיבות ההרשעה בתיקים המצורפים</w:t>
      </w:r>
    </w:p>
    <w:p w14:paraId="0267C43B"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b/>
          <w:bCs/>
          <w:sz w:val="24"/>
          <w:szCs w:val="24"/>
          <w:rtl/>
        </w:rPr>
        <w:t>התיק המצורף הראשון</w:t>
      </w:r>
      <w:r w:rsidRPr="00BD1049">
        <w:rPr>
          <w:rFonts w:ascii="David" w:hAnsi="David" w:cs="David"/>
          <w:sz w:val="24"/>
          <w:szCs w:val="24"/>
          <w:rtl/>
        </w:rPr>
        <w:t xml:space="preserve"> - החל מיום 26.05.2022 היה הנאשם נתון במעצר בית מלא ברחוב הר נבו 18 בהרצליה בפיקוח רצוף של מפקחים שאושרו על ידי בית המשפט. ביום 03.08.2022 הורחבו השעות בהן הותר לנאשם לצאת ממעצר הבית לשעות 19:00-15:00 וזאת בליווי המפקחים. ביום 02.10.2022 בשעה 16:00 הגיעה המתלוננת לביקור אצל אביה ברחוב רביבים 27 בהרצליה. הנאשם שהה במקום, ללא המפקחים, תוך שהוא מפר את תנאי השחרור וקילל את המתלוננת ובעלה ו"תקף... את המתלוננת באופן שזרק עליה אבן שפגעה לה במצח".</w:t>
      </w:r>
    </w:p>
    <w:p w14:paraId="61DFB158" w14:textId="77777777" w:rsidR="00897CFA" w:rsidRPr="00BD1049" w:rsidRDefault="00897CFA" w:rsidP="00897CFA">
      <w:pPr>
        <w:pStyle w:val="a9"/>
        <w:spacing w:before="240" w:line="360" w:lineRule="auto"/>
        <w:jc w:val="both"/>
        <w:rPr>
          <w:rFonts w:ascii="David" w:hAnsi="David" w:cs="David"/>
          <w:sz w:val="24"/>
          <w:szCs w:val="24"/>
          <w:rtl/>
        </w:rPr>
      </w:pPr>
    </w:p>
    <w:p w14:paraId="5DA379BA"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b/>
          <w:bCs/>
          <w:sz w:val="24"/>
          <w:szCs w:val="24"/>
          <w:rtl/>
        </w:rPr>
        <w:t>התיק המצורף השני</w:t>
      </w:r>
      <w:r w:rsidRPr="00BD1049">
        <w:rPr>
          <w:rFonts w:ascii="David" w:hAnsi="David" w:cs="David"/>
          <w:sz w:val="24"/>
          <w:szCs w:val="24"/>
          <w:rtl/>
        </w:rPr>
        <w:t xml:space="preserve"> – א. ביום 04.03.2022 נפרצה מונית ונגנב ממנה כרטיס חיוב של בעל המונית, מר פתיחי. הנאשם השתמש בכרטיס החיוב שלוש פעמים בקיוסקים בהרצליה. תחילה, ביום 05.03.2022, לפנות בוקר, לרכישה של קופסת סיגריות בסך של 39 ₪; מספר דקות לאחר מכן לרכישה של 2 קופסאות סיגריות, 2 פחיות שתייה, בקבוק מים גדול, פיצוחים במשקל ומצת בסך כולל של 117.40 ₪; וכרבע שעה מאוחר יותר, בקיוסק אחר בהרצליה, לרכישה של 10 קופסאות סיגריות, 2 בקבוקי שתייה ו-2 חטיפי שוקולד בסך כולל של 429 ₪. </w:t>
      </w:r>
    </w:p>
    <w:p w14:paraId="6381AF9B" w14:textId="77777777" w:rsidR="00897CFA" w:rsidRPr="00BD1049" w:rsidRDefault="00897CFA" w:rsidP="00897CFA">
      <w:pPr>
        <w:pStyle w:val="a9"/>
        <w:spacing w:before="240" w:line="360" w:lineRule="auto"/>
        <w:jc w:val="both"/>
        <w:rPr>
          <w:rFonts w:ascii="David" w:hAnsi="David" w:cs="David"/>
          <w:sz w:val="24"/>
          <w:szCs w:val="24"/>
        </w:rPr>
      </w:pPr>
    </w:p>
    <w:p w14:paraId="013AC1C0" w14:textId="77777777" w:rsidR="00897CFA" w:rsidRPr="00BD1049" w:rsidRDefault="00897CFA" w:rsidP="00897CFA">
      <w:pPr>
        <w:pStyle w:val="a9"/>
        <w:spacing w:line="360" w:lineRule="auto"/>
        <w:jc w:val="both"/>
        <w:rPr>
          <w:rFonts w:ascii="David" w:hAnsi="David" w:cs="David"/>
          <w:sz w:val="24"/>
          <w:szCs w:val="24"/>
        </w:rPr>
      </w:pPr>
      <w:r w:rsidRPr="00BD1049">
        <w:rPr>
          <w:rFonts w:ascii="David" w:hAnsi="David" w:cs="David"/>
          <w:sz w:val="24"/>
          <w:szCs w:val="24"/>
          <w:rtl/>
        </w:rPr>
        <w:lastRenderedPageBreak/>
        <w:t xml:space="preserve">ב. כמו כן, בארבעה מועדים גנב הנאשם מוצרים מקיוסק בהרצליה, כאשר בחלק מהאירועים התלוו לכך איומים, כדלהלן: ביום 01.02.2022 בשעה 20:48 גנב הנאשם קופסת סיגריות, 2 משקאות אנרגיה, חטיף תפוצ'יפס וחטיף במבה בסך כולל של 66 ₪. כעבור ימים ספורים, שב הנאשם וגנב מאותו קיוסק 2 קופסאות סיגריות ו-2 משקאות אנרגיה בשווי כולל של 92 ₪. ביום 27.02.2022 בשעה 9:20 שב הנאשם לקיוסק ואיים בכך שאמר למר שרעבי (אחד הבעלים) למסור למר הלאל (הבעלים האחר) כי "אם הוא יפנה או ירים את הקול שלו הוא יוריד ויפרק ליצחק (מר הלאל) מחסנית ולא מעניין אותו שיש לו ילדים ומשפחה" והדגים באמצעות ידיו תנועות "ירייה" בכוונה להפחיד. בנוסף, ביום 24.03.2022 באותו קיוסק, גנב הנאשם 2 קופסאות סיגריות וגריינדר בשווי כולל של 93 ₪. בנסיבות המתוארות, איים הנאשם על מוכר בחנות בלשון זו: "אני אדפוק לך מכות רצח, תקשיב, תשים את הסיגריות בשקית, שים מהר את הסיגריות בשקית, יא בן זונה, מהר, מהר יא בן שרמוטה שאני אזיין אותך בתחת מהר!" בכוונה להפחידו. בנסיבות המתוארות, משהבינה המוכרת בחנות שהנאשם לא שילם עבור הרכוש, ביקשה ממנו שישיב את הרכוש למקום, ובתגובה איים עליה הנאשם בכך שאמר לה: "זונה", "אני אזיין אותך בתחת", "אני אאנוס אותך ליד בעלך" ואמר שידקור אותה ושיזיין אותה, בכוונה להפחידה. </w:t>
      </w:r>
    </w:p>
    <w:p w14:paraId="4627A091" w14:textId="77777777" w:rsidR="00897CFA" w:rsidRPr="00BD1049" w:rsidRDefault="00897CFA" w:rsidP="00897CFA">
      <w:pPr>
        <w:pStyle w:val="a9"/>
        <w:spacing w:line="360" w:lineRule="auto"/>
        <w:jc w:val="both"/>
        <w:rPr>
          <w:rFonts w:ascii="David" w:hAnsi="David" w:cs="David"/>
          <w:sz w:val="24"/>
          <w:szCs w:val="24"/>
          <w:rtl/>
        </w:rPr>
      </w:pPr>
    </w:p>
    <w:p w14:paraId="7947AEE5" w14:textId="77777777" w:rsidR="00897CFA" w:rsidRPr="00BD1049" w:rsidRDefault="00897CFA" w:rsidP="00897CFA">
      <w:pPr>
        <w:pStyle w:val="a9"/>
        <w:spacing w:line="360" w:lineRule="auto"/>
        <w:jc w:val="both"/>
        <w:rPr>
          <w:rFonts w:ascii="David" w:hAnsi="David" w:cs="David"/>
          <w:sz w:val="24"/>
          <w:szCs w:val="24"/>
          <w:rtl/>
        </w:rPr>
      </w:pPr>
      <w:r w:rsidRPr="00BD1049">
        <w:rPr>
          <w:rFonts w:ascii="David" w:hAnsi="David" w:cs="David"/>
          <w:sz w:val="24"/>
          <w:szCs w:val="24"/>
          <w:rtl/>
        </w:rPr>
        <w:t xml:space="preserve">ג. עבירה נוספת בה הורשע הנאשם, עניינה בהחזקת כלי פריצה לרכב על כך, שביום 27.03.2022 בביתו ברחוב הר נבו בהרצליה, החזיק הנאשם, בתוך ארון בצמוד לדלת הכניסה ליחידת הדיור שלו, ב-5 פלגים שלמים אשר מבדד החרסינה שלהם יכול לשמש, לאחר שבירתו, לשבירתן של שמשות זכוכית מחוסמת, כדוגמת אלו המותקנות בכלי רכב ומהווים כלי פריצה. </w:t>
      </w:r>
    </w:p>
    <w:p w14:paraId="4E0D72CA" w14:textId="77777777" w:rsidR="00897CFA" w:rsidRPr="00BD1049" w:rsidRDefault="00897CFA" w:rsidP="00897CFA">
      <w:pPr>
        <w:spacing w:before="240" w:line="360" w:lineRule="auto"/>
        <w:ind w:left="360"/>
        <w:jc w:val="both"/>
        <w:rPr>
          <w:rFonts w:ascii="David" w:hAnsi="David"/>
          <w:b/>
          <w:bCs/>
          <w:u w:val="single"/>
          <w:rtl/>
        </w:rPr>
      </w:pPr>
      <w:r w:rsidRPr="00BD1049">
        <w:rPr>
          <w:rFonts w:ascii="David" w:hAnsi="David"/>
          <w:b/>
          <w:bCs/>
          <w:u w:val="single"/>
          <w:rtl/>
        </w:rPr>
        <w:t xml:space="preserve">תסקיר נפגע עבירה </w:t>
      </w:r>
    </w:p>
    <w:p w14:paraId="74F982ED"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תסקיר נפגע העבירה מציג תמונה כואבת הבולטת בחומרתה. נפגע העבירה א' הוא בן 24, רווק המתגורר עם אימו. חרף קשיים מבית, הוכיח את עצמו כמי שעומד ביעדים ומגיע להישגים. א' סיים 12 שנות לימוד ורכש תעודת בגרות מלאה. בצה"ל שרת שירות מלא ומשמעותי כטכנאי מטוסים. לאחר שחרורו החל לעבוד במספר מקומות עבודה על-מנת לשפר את מצבו הכלכלי. בעודו עושה את צעדיו הראשונים לבניית עתידו, התרחש האירוע הקשה העומד במרכזו של ההליך. בנוסף לפגיעה הפיזית שנגרמה לו קיימת פגיעה ניכרת במישור הנפשי. התסקיר מפרט את ההשלכות הקשות על נפגע העבירה, שאובחן כמי שבעקבות האירוע מצוי בפוסט טראומה. חיי נפגע העבירה השתנו מקצה לקצה. מאדם צעיר אשר ניהל שגרת חיים מלאה מלווה בתחושת חיוניות ואופטימיות היה לנפגע עבירה, העובר טלטלה קשה בחייו. האירוע הקשה "פצע את נפשו" של א', כלשון שירות המבחן. בתסקיר תואר כי א' "נוטה לצמצם את המרחב בו הוא מתנהל, מסתגר ומתרחק מסביבתו, וממעט ביצירת קשרים חברתיים וביציאה מביתו, בעולם שנחווה על ידו כיום כפוגעני ועוין". הידרדרותו של א' בעקבות האירוע מוצאת ביטוי מפורט בתסקיר שירות המבחן ומטעמי צנעת הפרט לא ארחיב בכך. די שאציין, כי נפגע העבירה הוכר על-ידי הביטוח הלאומי כזכאי לקצבת נכות, והוא מקבל נכות רפואית של 50% ואי כושר להשתכר בשיעור של 100%. שירות המבחן סבור כי "ייתכן וההשלכות הרגשיות והנפשיות של פגיעת הנאשם בא' הינן ארוכות טווח ועמוקות. ההתמודדות עם זיכרון הפגיעה הכואב באופן בלתי פוסק עם משמעותה עבורו, מהווה משא רגשי כבד המצריך ממנו כוחות רבים, כשא' כאמור מתקשה לעבדם בעת הזו." בנסיבות הקשות המתוארות ועל מנת ליתן ביטוי והכרה "משפטית וחברתית" ממליץ שירות המבחן ליתן "התייחסות למצבו וביטוי ממשי להשלכות הפגיעה עליו, באמצעות פיצוי כספי".</w:t>
      </w:r>
    </w:p>
    <w:p w14:paraId="2320AC3F" w14:textId="77777777" w:rsidR="00897CFA" w:rsidRDefault="00897CFA" w:rsidP="00897CFA">
      <w:pPr>
        <w:spacing w:before="240" w:line="360" w:lineRule="auto"/>
        <w:ind w:left="360"/>
        <w:jc w:val="both"/>
        <w:rPr>
          <w:rFonts w:ascii="David" w:hAnsi="David"/>
          <w:b/>
          <w:bCs/>
          <w:u w:val="single"/>
          <w:rtl/>
        </w:rPr>
      </w:pPr>
    </w:p>
    <w:p w14:paraId="377CA0F6" w14:textId="77777777" w:rsidR="00897CFA" w:rsidRDefault="00897CFA" w:rsidP="00897CFA">
      <w:pPr>
        <w:spacing w:before="240" w:line="360" w:lineRule="auto"/>
        <w:ind w:left="360"/>
        <w:jc w:val="both"/>
        <w:rPr>
          <w:rFonts w:ascii="David" w:hAnsi="David"/>
          <w:b/>
          <w:bCs/>
          <w:u w:val="single"/>
          <w:rtl/>
        </w:rPr>
      </w:pPr>
    </w:p>
    <w:p w14:paraId="4337E06C" w14:textId="77777777" w:rsidR="00897CFA" w:rsidRPr="00BD1049" w:rsidRDefault="00897CFA" w:rsidP="00897CFA">
      <w:pPr>
        <w:spacing w:before="240" w:line="360" w:lineRule="auto"/>
        <w:ind w:left="360"/>
        <w:jc w:val="both"/>
        <w:rPr>
          <w:rFonts w:ascii="David" w:hAnsi="David"/>
          <w:b/>
          <w:bCs/>
          <w:u w:val="single"/>
        </w:rPr>
      </w:pPr>
      <w:r w:rsidRPr="00BD1049">
        <w:rPr>
          <w:rFonts w:ascii="David" w:hAnsi="David"/>
          <w:b/>
          <w:bCs/>
          <w:u w:val="single"/>
          <w:rtl/>
        </w:rPr>
        <w:t xml:space="preserve">הרישום הפלילי  </w:t>
      </w:r>
    </w:p>
    <w:p w14:paraId="51A96E05"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tl/>
        </w:rPr>
      </w:pPr>
      <w:r w:rsidRPr="00BD1049">
        <w:rPr>
          <w:rFonts w:ascii="David" w:hAnsi="David" w:cs="David"/>
          <w:sz w:val="24"/>
          <w:szCs w:val="24"/>
          <w:rtl/>
        </w:rPr>
        <w:t xml:space="preserve">המדינה הציגה את הרישום הפלילי של הנאשם (ת/48), המלמד כי לנאשם רקע פלילי עשיר בעבירות אלימות ואיומים, עבירות רכוש, הפרת הוראות חוקיות ועוד. מתוך עשר הרשעותיו הקודמות, אסקור בתמצית חלק מעבירות אלה.  </w:t>
      </w:r>
    </w:p>
    <w:p w14:paraId="6BEE8709" w14:textId="77777777" w:rsidR="00897CFA" w:rsidRPr="00BD1049" w:rsidRDefault="00897CFA" w:rsidP="00897CFA">
      <w:pPr>
        <w:pStyle w:val="a9"/>
        <w:spacing w:before="240" w:line="360" w:lineRule="auto"/>
        <w:jc w:val="both"/>
        <w:rPr>
          <w:rFonts w:ascii="David" w:hAnsi="David" w:cs="David"/>
          <w:sz w:val="24"/>
          <w:szCs w:val="24"/>
          <w:rtl/>
        </w:rPr>
      </w:pPr>
    </w:p>
    <w:p w14:paraId="38BF6094" w14:textId="77777777" w:rsidR="00897CFA" w:rsidRPr="00BD1049" w:rsidRDefault="00897CFA" w:rsidP="00897CFA">
      <w:pPr>
        <w:pStyle w:val="a9"/>
        <w:spacing w:before="240" w:line="360" w:lineRule="auto"/>
        <w:jc w:val="both"/>
        <w:rPr>
          <w:rFonts w:ascii="David" w:hAnsi="David" w:cs="David"/>
          <w:sz w:val="24"/>
          <w:szCs w:val="24"/>
        </w:rPr>
      </w:pPr>
      <w:r w:rsidRPr="00BD1049">
        <w:rPr>
          <w:rFonts w:ascii="David" w:hAnsi="David" w:cs="David"/>
          <w:sz w:val="24"/>
          <w:szCs w:val="24"/>
          <w:rtl/>
        </w:rPr>
        <w:t xml:space="preserve">בשנת 2004, בהיותו בן 15 בלבד, נקבע בבית משפט לנוער כי ביצע עבירות של ניסיון לשימוש ברכב ללא רשות לפי </w:t>
      </w:r>
      <w:hyperlink r:id="rId47" w:history="1">
        <w:r w:rsidR="00644598" w:rsidRPr="00644598">
          <w:rPr>
            <w:rStyle w:val="Hyperlink"/>
            <w:rFonts w:ascii="David" w:hAnsi="David" w:cs="David"/>
            <w:color w:val="0000FF"/>
            <w:sz w:val="24"/>
            <w:szCs w:val="24"/>
            <w:rtl/>
          </w:rPr>
          <w:t>סעיפים 413</w:t>
        </w:r>
      </w:hyperlink>
      <w:r w:rsidRPr="00BD1049">
        <w:rPr>
          <w:rFonts w:ascii="David" w:hAnsi="David" w:cs="David"/>
          <w:sz w:val="24"/>
          <w:szCs w:val="24"/>
          <w:rtl/>
        </w:rPr>
        <w:t xml:space="preserve"> סיפא ו-</w:t>
      </w:r>
      <w:hyperlink r:id="rId48" w:history="1">
        <w:r w:rsidR="00644598" w:rsidRPr="00644598">
          <w:rPr>
            <w:rStyle w:val="Hyperlink"/>
            <w:rFonts w:ascii="David" w:hAnsi="David" w:cs="David"/>
            <w:color w:val="0000FF"/>
            <w:sz w:val="24"/>
            <w:szCs w:val="24"/>
            <w:rtl/>
          </w:rPr>
          <w:t>25</w:t>
        </w:r>
      </w:hyperlink>
      <w:r w:rsidRPr="00BD1049">
        <w:rPr>
          <w:rFonts w:ascii="David" w:hAnsi="David" w:cs="David"/>
          <w:sz w:val="24"/>
          <w:szCs w:val="24"/>
          <w:rtl/>
        </w:rPr>
        <w:t xml:space="preserve"> ל</w:t>
      </w:r>
      <w:hyperlink r:id="rId49" w:history="1">
        <w:r w:rsidR="00873397" w:rsidRPr="00873397">
          <w:rPr>
            <w:rFonts w:ascii="David" w:hAnsi="David" w:cs="David"/>
            <w:color w:val="0000FF"/>
            <w:sz w:val="24"/>
            <w:szCs w:val="24"/>
            <w:u w:val="single"/>
            <w:rtl/>
          </w:rPr>
          <w:t>חוק העונשין</w:t>
        </w:r>
      </w:hyperlink>
      <w:r w:rsidRPr="00BD1049">
        <w:rPr>
          <w:rFonts w:ascii="David" w:hAnsi="David" w:cs="David"/>
          <w:sz w:val="24"/>
          <w:szCs w:val="24"/>
          <w:rtl/>
        </w:rPr>
        <w:t xml:space="preserve">, תקיפה סתם לפי </w:t>
      </w:r>
      <w:hyperlink r:id="rId50" w:history="1">
        <w:r w:rsidR="00644598" w:rsidRPr="00644598">
          <w:rPr>
            <w:rStyle w:val="Hyperlink"/>
            <w:rFonts w:ascii="David" w:hAnsi="David" w:cs="David"/>
            <w:color w:val="0000FF"/>
            <w:sz w:val="24"/>
            <w:szCs w:val="24"/>
            <w:rtl/>
          </w:rPr>
          <w:t>סעיף 379</w:t>
        </w:r>
      </w:hyperlink>
      <w:r w:rsidRPr="00BD1049">
        <w:rPr>
          <w:rFonts w:ascii="David" w:hAnsi="David" w:cs="David"/>
          <w:sz w:val="24"/>
          <w:szCs w:val="24"/>
          <w:rtl/>
        </w:rPr>
        <w:t xml:space="preserve"> לחוק, היזק לרכוש במזיד לפי </w:t>
      </w:r>
      <w:hyperlink r:id="rId51" w:history="1">
        <w:r w:rsidR="00644598" w:rsidRPr="00644598">
          <w:rPr>
            <w:rStyle w:val="Hyperlink"/>
            <w:rFonts w:ascii="David" w:hAnsi="David" w:cs="David"/>
            <w:color w:val="0000FF"/>
            <w:sz w:val="24"/>
            <w:szCs w:val="24"/>
            <w:rtl/>
          </w:rPr>
          <w:t>סעיף 452</w:t>
        </w:r>
      </w:hyperlink>
      <w:r w:rsidRPr="00BD1049">
        <w:rPr>
          <w:rFonts w:ascii="David" w:hAnsi="David" w:cs="David"/>
          <w:sz w:val="24"/>
          <w:szCs w:val="24"/>
          <w:rtl/>
        </w:rPr>
        <w:t xml:space="preserve"> לחוק, הפרת הוראה חוקית לפי </w:t>
      </w:r>
      <w:hyperlink r:id="rId52" w:history="1">
        <w:r w:rsidR="00644598" w:rsidRPr="00644598">
          <w:rPr>
            <w:rStyle w:val="Hyperlink"/>
            <w:rFonts w:ascii="David" w:hAnsi="David" w:cs="David"/>
            <w:color w:val="0000FF"/>
            <w:sz w:val="24"/>
            <w:szCs w:val="24"/>
            <w:rtl/>
          </w:rPr>
          <w:t>סעיף 287(א)</w:t>
        </w:r>
      </w:hyperlink>
      <w:r w:rsidRPr="00BD1049">
        <w:rPr>
          <w:rFonts w:ascii="David" w:hAnsi="David" w:cs="David"/>
          <w:sz w:val="24"/>
          <w:szCs w:val="24"/>
          <w:rtl/>
        </w:rPr>
        <w:t xml:space="preserve"> לחוק ונהיגה ברכב מנועי ללא רישיון לפי </w:t>
      </w:r>
      <w:hyperlink r:id="rId53" w:history="1">
        <w:r w:rsidR="00644598" w:rsidRPr="00644598">
          <w:rPr>
            <w:rStyle w:val="Hyperlink"/>
            <w:rFonts w:ascii="David" w:hAnsi="David" w:cs="David"/>
            <w:color w:val="0000FF"/>
            <w:sz w:val="24"/>
            <w:szCs w:val="24"/>
            <w:rtl/>
          </w:rPr>
          <w:t>סעיף 10(א)</w:t>
        </w:r>
      </w:hyperlink>
      <w:r w:rsidRPr="00BD1049">
        <w:rPr>
          <w:rFonts w:ascii="David" w:hAnsi="David" w:cs="David"/>
          <w:sz w:val="24"/>
          <w:szCs w:val="24"/>
          <w:rtl/>
        </w:rPr>
        <w:t xml:space="preserve"> ל</w:t>
      </w:r>
      <w:hyperlink r:id="rId54" w:history="1">
        <w:r w:rsidR="00873397" w:rsidRPr="00873397">
          <w:rPr>
            <w:rFonts w:ascii="David" w:hAnsi="David" w:cs="David"/>
            <w:color w:val="0000FF"/>
            <w:sz w:val="24"/>
            <w:szCs w:val="24"/>
            <w:u w:val="single"/>
            <w:rtl/>
          </w:rPr>
          <w:t>פקודת התעבורה</w:t>
        </w:r>
      </w:hyperlink>
      <w:r w:rsidRPr="00BD1049">
        <w:rPr>
          <w:rFonts w:ascii="David" w:hAnsi="David" w:cs="David"/>
          <w:sz w:val="24"/>
          <w:szCs w:val="24"/>
          <w:rtl/>
        </w:rPr>
        <w:t xml:space="preserve"> [נוסח חדש], התשכ"א-1961. על הנאשם הוטל מאסר מותנה, פסילת רישיון נהיגה לצד פסילת רישיון על תנאי וכן צו התחייבות להימנע מעבירה ופיצויים. </w:t>
      </w:r>
    </w:p>
    <w:p w14:paraId="20E8CE6E" w14:textId="77777777" w:rsidR="00897CFA" w:rsidRPr="00BD1049" w:rsidRDefault="00897CFA" w:rsidP="00897CFA">
      <w:pPr>
        <w:pStyle w:val="a9"/>
        <w:spacing w:before="240" w:line="360" w:lineRule="auto"/>
        <w:jc w:val="both"/>
        <w:rPr>
          <w:rFonts w:ascii="David" w:hAnsi="David" w:cs="David"/>
          <w:sz w:val="24"/>
          <w:szCs w:val="24"/>
          <w:rtl/>
        </w:rPr>
      </w:pPr>
    </w:p>
    <w:p w14:paraId="1E442270" w14:textId="77777777" w:rsidR="00897CFA" w:rsidRPr="00BD1049" w:rsidRDefault="00897CFA" w:rsidP="00897CFA">
      <w:pPr>
        <w:pStyle w:val="a9"/>
        <w:spacing w:before="240" w:line="360" w:lineRule="auto"/>
        <w:jc w:val="both"/>
        <w:rPr>
          <w:rFonts w:ascii="David" w:hAnsi="David" w:cs="David"/>
          <w:sz w:val="24"/>
          <w:szCs w:val="24"/>
          <w:rtl/>
        </w:rPr>
      </w:pPr>
      <w:r w:rsidRPr="00BD1049">
        <w:rPr>
          <w:rFonts w:ascii="David" w:hAnsi="David" w:cs="David"/>
          <w:sz w:val="24"/>
          <w:szCs w:val="24"/>
          <w:rtl/>
        </w:rPr>
        <w:t xml:space="preserve">בשנת 2009 הורשע הנאשם בשלוש עבירות של הפרת הוראה חוקית לפי </w:t>
      </w:r>
      <w:hyperlink r:id="rId55" w:history="1">
        <w:r w:rsidR="00644598" w:rsidRPr="00644598">
          <w:rPr>
            <w:rStyle w:val="Hyperlink"/>
            <w:rFonts w:ascii="David" w:hAnsi="David" w:cs="David"/>
            <w:color w:val="0000FF"/>
            <w:sz w:val="24"/>
            <w:szCs w:val="24"/>
            <w:rtl/>
          </w:rPr>
          <w:t>סעיף 287(א)</w:t>
        </w:r>
      </w:hyperlink>
      <w:r w:rsidRPr="00BD1049">
        <w:rPr>
          <w:rFonts w:ascii="David" w:hAnsi="David" w:cs="David"/>
          <w:sz w:val="24"/>
          <w:szCs w:val="24"/>
          <w:rtl/>
        </w:rPr>
        <w:t xml:space="preserve"> ל</w:t>
      </w:r>
      <w:hyperlink r:id="rId56" w:history="1">
        <w:r w:rsidR="00873397" w:rsidRPr="00873397">
          <w:rPr>
            <w:rFonts w:ascii="David" w:hAnsi="David" w:cs="David"/>
            <w:color w:val="0000FF"/>
            <w:sz w:val="24"/>
            <w:szCs w:val="24"/>
            <w:u w:val="single"/>
            <w:rtl/>
          </w:rPr>
          <w:t>חוק העונשין</w:t>
        </w:r>
      </w:hyperlink>
      <w:r w:rsidRPr="00BD1049">
        <w:rPr>
          <w:rFonts w:ascii="David" w:hAnsi="David" w:cs="David"/>
          <w:sz w:val="24"/>
          <w:szCs w:val="24"/>
          <w:rtl/>
        </w:rPr>
        <w:t xml:space="preserve">, החזקת אגרופן או סכין שלא כדין לפי </w:t>
      </w:r>
      <w:hyperlink r:id="rId57" w:history="1">
        <w:r w:rsidR="00644598" w:rsidRPr="00644598">
          <w:rPr>
            <w:rStyle w:val="Hyperlink"/>
            <w:rFonts w:ascii="David" w:hAnsi="David" w:cs="David"/>
            <w:color w:val="0000FF"/>
            <w:sz w:val="24"/>
            <w:szCs w:val="24"/>
            <w:rtl/>
          </w:rPr>
          <w:t>סעיף 186(א)</w:t>
        </w:r>
      </w:hyperlink>
      <w:r w:rsidRPr="00BD1049">
        <w:rPr>
          <w:rFonts w:ascii="David" w:hAnsi="David" w:cs="David"/>
          <w:sz w:val="24"/>
          <w:szCs w:val="24"/>
          <w:rtl/>
        </w:rPr>
        <w:t xml:space="preserve"> לחוק, תקיפה סתם - בן-זוג לפי </w:t>
      </w:r>
      <w:hyperlink r:id="rId58" w:history="1">
        <w:r w:rsidR="00644598" w:rsidRPr="00644598">
          <w:rPr>
            <w:rStyle w:val="Hyperlink"/>
            <w:rFonts w:ascii="David" w:hAnsi="David" w:cs="David"/>
            <w:color w:val="0000FF"/>
            <w:sz w:val="24"/>
            <w:szCs w:val="24"/>
            <w:rtl/>
          </w:rPr>
          <w:t>סעיפים 382(ב)(1)</w:t>
        </w:r>
      </w:hyperlink>
      <w:r w:rsidRPr="00BD1049">
        <w:rPr>
          <w:rFonts w:ascii="David" w:hAnsi="David" w:cs="David"/>
          <w:sz w:val="24"/>
          <w:szCs w:val="24"/>
          <w:rtl/>
        </w:rPr>
        <w:t xml:space="preserve"> ו-</w:t>
      </w:r>
      <w:hyperlink r:id="rId59" w:history="1">
        <w:r w:rsidR="00644598" w:rsidRPr="00644598">
          <w:rPr>
            <w:rStyle w:val="Hyperlink"/>
            <w:rFonts w:ascii="David" w:hAnsi="David" w:cs="David"/>
            <w:color w:val="0000FF"/>
            <w:sz w:val="24"/>
            <w:szCs w:val="24"/>
            <w:rtl/>
          </w:rPr>
          <w:t>379</w:t>
        </w:r>
      </w:hyperlink>
      <w:r w:rsidRPr="00BD1049">
        <w:rPr>
          <w:rFonts w:ascii="David" w:hAnsi="David" w:cs="David"/>
          <w:sz w:val="24"/>
          <w:szCs w:val="24"/>
          <w:rtl/>
        </w:rPr>
        <w:t xml:space="preserve"> לחוק, איומים לפי </w:t>
      </w:r>
      <w:hyperlink r:id="rId60" w:history="1">
        <w:r w:rsidR="00644598" w:rsidRPr="00644598">
          <w:rPr>
            <w:rStyle w:val="Hyperlink"/>
            <w:rFonts w:ascii="David" w:hAnsi="David" w:cs="David"/>
            <w:color w:val="0000FF"/>
            <w:sz w:val="24"/>
            <w:szCs w:val="24"/>
            <w:rtl/>
          </w:rPr>
          <w:t>סעיף 192</w:t>
        </w:r>
      </w:hyperlink>
      <w:r w:rsidRPr="00BD1049">
        <w:rPr>
          <w:rFonts w:ascii="David" w:hAnsi="David" w:cs="David"/>
          <w:sz w:val="24"/>
          <w:szCs w:val="24"/>
          <w:rtl/>
        </w:rPr>
        <w:t xml:space="preserve"> לחוק והחזקה/שימוש בסמים לצריכה עצמית לפי </w:t>
      </w:r>
      <w:hyperlink r:id="rId61" w:history="1">
        <w:r w:rsidR="00644598" w:rsidRPr="00644598">
          <w:rPr>
            <w:rStyle w:val="Hyperlink"/>
            <w:rFonts w:ascii="David" w:hAnsi="David" w:cs="David"/>
            <w:color w:val="0000FF"/>
            <w:sz w:val="24"/>
            <w:szCs w:val="24"/>
            <w:rtl/>
          </w:rPr>
          <w:t>סעיף 7(א)</w:t>
        </w:r>
      </w:hyperlink>
      <w:r w:rsidRPr="00BD1049">
        <w:rPr>
          <w:rFonts w:ascii="David" w:hAnsi="David" w:cs="David"/>
          <w:sz w:val="24"/>
          <w:szCs w:val="24"/>
          <w:rtl/>
        </w:rPr>
        <w:t xml:space="preserve"> ו-</w:t>
      </w:r>
      <w:hyperlink r:id="rId62" w:history="1">
        <w:r w:rsidR="00644598" w:rsidRPr="00644598">
          <w:rPr>
            <w:rStyle w:val="Hyperlink"/>
            <w:rFonts w:ascii="David" w:hAnsi="David" w:cs="David"/>
            <w:color w:val="0000FF"/>
            <w:sz w:val="24"/>
            <w:szCs w:val="24"/>
            <w:rtl/>
          </w:rPr>
          <w:t>7(ג)</w:t>
        </w:r>
      </w:hyperlink>
      <w:r w:rsidRPr="00BD1049">
        <w:rPr>
          <w:rFonts w:ascii="David" w:hAnsi="David" w:cs="David"/>
          <w:sz w:val="24"/>
          <w:szCs w:val="24"/>
          <w:rtl/>
        </w:rPr>
        <w:t xml:space="preserve"> סיפא ל</w:t>
      </w:r>
      <w:hyperlink r:id="rId63" w:history="1">
        <w:r w:rsidR="00873397" w:rsidRPr="00873397">
          <w:rPr>
            <w:rFonts w:ascii="David" w:hAnsi="David" w:cs="David"/>
            <w:color w:val="0000FF"/>
            <w:sz w:val="24"/>
            <w:szCs w:val="24"/>
            <w:u w:val="single"/>
            <w:rtl/>
          </w:rPr>
          <w:t>פקודת הסמים המסוכנים</w:t>
        </w:r>
      </w:hyperlink>
      <w:r w:rsidRPr="00BD1049">
        <w:rPr>
          <w:rFonts w:ascii="David" w:hAnsi="David" w:cs="David"/>
          <w:sz w:val="24"/>
          <w:szCs w:val="24"/>
          <w:rtl/>
        </w:rPr>
        <w:t xml:space="preserve"> [נוסח חדש] התשל"ג-1973. על הנאשם הושתו 30 חודשי מאסר בפועל, והופעל מאסר מותנה במצטבר ובחופף כך שבסך הכול הושתו עליו 33 חודשי מאסר בפועל לצד עונשי מאסר מותנים. </w:t>
      </w:r>
    </w:p>
    <w:p w14:paraId="36E9D950" w14:textId="77777777" w:rsidR="00897CFA" w:rsidRPr="00BD1049" w:rsidRDefault="00897CFA" w:rsidP="00897CFA">
      <w:pPr>
        <w:pStyle w:val="a9"/>
        <w:spacing w:before="240" w:line="360" w:lineRule="auto"/>
        <w:jc w:val="both"/>
        <w:rPr>
          <w:rFonts w:ascii="David" w:hAnsi="David" w:cs="David"/>
          <w:sz w:val="24"/>
          <w:szCs w:val="24"/>
          <w:rtl/>
        </w:rPr>
      </w:pPr>
    </w:p>
    <w:p w14:paraId="4442957F" w14:textId="77777777" w:rsidR="00897CFA" w:rsidRPr="00BD1049" w:rsidRDefault="00897CFA" w:rsidP="00897CFA">
      <w:pPr>
        <w:pStyle w:val="a9"/>
        <w:spacing w:before="240" w:line="360" w:lineRule="auto"/>
        <w:jc w:val="both"/>
        <w:rPr>
          <w:rFonts w:ascii="David" w:hAnsi="David" w:cs="David"/>
          <w:sz w:val="24"/>
          <w:szCs w:val="24"/>
          <w:rtl/>
        </w:rPr>
      </w:pPr>
      <w:r w:rsidRPr="00BD1049">
        <w:rPr>
          <w:rFonts w:ascii="David" w:hAnsi="David" w:cs="David"/>
          <w:sz w:val="24"/>
          <w:szCs w:val="24"/>
          <w:rtl/>
        </w:rPr>
        <w:t xml:space="preserve">בשנת 2013 הורשע הנאשם בגין עבירות של קשירת קשר לעשות פשע לפי </w:t>
      </w:r>
      <w:hyperlink r:id="rId64" w:history="1">
        <w:r w:rsidR="00644598" w:rsidRPr="00644598">
          <w:rPr>
            <w:rStyle w:val="Hyperlink"/>
            <w:rFonts w:ascii="David" w:hAnsi="David" w:cs="David"/>
            <w:color w:val="0000FF"/>
            <w:sz w:val="24"/>
            <w:szCs w:val="24"/>
            <w:rtl/>
          </w:rPr>
          <w:t>סעיף 499(א)(1)</w:t>
        </w:r>
      </w:hyperlink>
      <w:r w:rsidRPr="00BD1049">
        <w:rPr>
          <w:rFonts w:ascii="David" w:hAnsi="David" w:cs="David"/>
          <w:sz w:val="24"/>
          <w:szCs w:val="24"/>
          <w:rtl/>
        </w:rPr>
        <w:t xml:space="preserve"> ל</w:t>
      </w:r>
      <w:hyperlink r:id="rId65" w:history="1">
        <w:r w:rsidR="00873397" w:rsidRPr="00873397">
          <w:rPr>
            <w:rFonts w:ascii="David" w:hAnsi="David" w:cs="David"/>
            <w:color w:val="0000FF"/>
            <w:sz w:val="24"/>
            <w:szCs w:val="24"/>
            <w:u w:val="single"/>
            <w:rtl/>
          </w:rPr>
          <w:t>חוק העונשין</w:t>
        </w:r>
      </w:hyperlink>
      <w:r w:rsidRPr="00BD1049">
        <w:rPr>
          <w:rFonts w:ascii="David" w:hAnsi="David" w:cs="David"/>
          <w:sz w:val="24"/>
          <w:szCs w:val="24"/>
          <w:rtl/>
        </w:rPr>
        <w:t xml:space="preserve">, התפרצות למגורים/תפילה בכוונה לבצע עבירה לפי </w:t>
      </w:r>
      <w:hyperlink r:id="rId66" w:history="1">
        <w:r w:rsidR="00644598" w:rsidRPr="00644598">
          <w:rPr>
            <w:rStyle w:val="Hyperlink"/>
            <w:rFonts w:ascii="David" w:hAnsi="David" w:cs="David"/>
            <w:color w:val="0000FF"/>
            <w:sz w:val="24"/>
            <w:szCs w:val="24"/>
            <w:rtl/>
          </w:rPr>
          <w:t>סעיף 406(ב)</w:t>
        </w:r>
      </w:hyperlink>
      <w:r w:rsidRPr="00BD1049">
        <w:rPr>
          <w:rFonts w:ascii="David" w:hAnsi="David" w:cs="David"/>
          <w:sz w:val="24"/>
          <w:szCs w:val="24"/>
          <w:rtl/>
        </w:rPr>
        <w:t xml:space="preserve"> לחוק והיזק לרכוש במזיד לפי </w:t>
      </w:r>
      <w:hyperlink r:id="rId67" w:history="1">
        <w:r w:rsidR="00644598" w:rsidRPr="00644598">
          <w:rPr>
            <w:rStyle w:val="Hyperlink"/>
            <w:rFonts w:ascii="David" w:hAnsi="David" w:cs="David"/>
            <w:color w:val="0000FF"/>
            <w:sz w:val="24"/>
            <w:szCs w:val="24"/>
            <w:rtl/>
          </w:rPr>
          <w:t>סעיף 452</w:t>
        </w:r>
      </w:hyperlink>
      <w:r w:rsidRPr="00BD1049">
        <w:rPr>
          <w:rFonts w:ascii="David" w:hAnsi="David" w:cs="David"/>
          <w:sz w:val="24"/>
          <w:szCs w:val="24"/>
          <w:rtl/>
        </w:rPr>
        <w:t xml:space="preserve"> לחוק. בגין עבירות אלו הוטלו על הנאשם 14 חודשי מאסר בפועל, מאסר מותנה, קנס ופיצוי.</w:t>
      </w:r>
    </w:p>
    <w:p w14:paraId="496E1542" w14:textId="77777777" w:rsidR="00897CFA" w:rsidRDefault="00897CFA" w:rsidP="00897CFA">
      <w:pPr>
        <w:pStyle w:val="a9"/>
        <w:spacing w:before="240" w:line="360" w:lineRule="auto"/>
        <w:jc w:val="both"/>
        <w:rPr>
          <w:rFonts w:ascii="David" w:hAnsi="David" w:cs="David"/>
          <w:sz w:val="24"/>
          <w:szCs w:val="24"/>
          <w:rtl/>
        </w:rPr>
      </w:pPr>
    </w:p>
    <w:p w14:paraId="1F3262F0" w14:textId="77777777" w:rsidR="00897CFA" w:rsidRPr="00BD1049" w:rsidRDefault="00897CFA" w:rsidP="00644598">
      <w:pPr>
        <w:pStyle w:val="a9"/>
        <w:spacing w:before="240" w:line="360" w:lineRule="auto"/>
        <w:jc w:val="both"/>
        <w:rPr>
          <w:rFonts w:ascii="David" w:hAnsi="David" w:cs="David"/>
          <w:sz w:val="24"/>
          <w:szCs w:val="24"/>
          <w:rtl/>
        </w:rPr>
      </w:pPr>
      <w:r w:rsidRPr="00BD1049">
        <w:rPr>
          <w:rFonts w:ascii="David" w:hAnsi="David" w:cs="David"/>
          <w:sz w:val="24"/>
          <w:szCs w:val="24"/>
          <w:rtl/>
        </w:rPr>
        <w:t xml:space="preserve">בשנת 2017 הורשע הנאשם בגין שורה של עבירות: איומים לפי </w:t>
      </w:r>
      <w:hyperlink r:id="rId68" w:history="1">
        <w:r w:rsidR="00644598" w:rsidRPr="00644598">
          <w:rPr>
            <w:rStyle w:val="Hyperlink"/>
            <w:rFonts w:ascii="David" w:hAnsi="David" w:cs="David"/>
            <w:color w:val="0000FF"/>
            <w:sz w:val="24"/>
            <w:szCs w:val="24"/>
            <w:rtl/>
          </w:rPr>
          <w:t>סעיף 192</w:t>
        </w:r>
      </w:hyperlink>
      <w:r w:rsidRPr="00BD1049">
        <w:rPr>
          <w:rFonts w:ascii="David" w:hAnsi="David" w:cs="David"/>
          <w:sz w:val="24"/>
          <w:szCs w:val="24"/>
          <w:rtl/>
        </w:rPr>
        <w:t xml:space="preserve"> ל</w:t>
      </w:r>
      <w:hyperlink r:id="rId69" w:history="1">
        <w:r w:rsidR="00873397" w:rsidRPr="00873397">
          <w:rPr>
            <w:rFonts w:ascii="David" w:hAnsi="David" w:cs="David"/>
            <w:color w:val="0000FF"/>
            <w:sz w:val="24"/>
            <w:szCs w:val="24"/>
            <w:u w:val="single"/>
            <w:rtl/>
          </w:rPr>
          <w:t>חוק העונשין</w:t>
        </w:r>
      </w:hyperlink>
      <w:r w:rsidRPr="00BD1049">
        <w:rPr>
          <w:rFonts w:ascii="David" w:hAnsi="David" w:cs="David"/>
          <w:sz w:val="24"/>
          <w:szCs w:val="24"/>
          <w:rtl/>
        </w:rPr>
        <w:t xml:space="preserve">, ניסיון תקיפה סתם לפי </w:t>
      </w:r>
      <w:hyperlink r:id="rId70" w:history="1">
        <w:r w:rsidR="00644598" w:rsidRPr="00644598">
          <w:rPr>
            <w:rStyle w:val="Hyperlink"/>
            <w:rFonts w:ascii="David" w:hAnsi="David" w:cs="David"/>
            <w:color w:val="0000FF"/>
            <w:sz w:val="24"/>
            <w:szCs w:val="24"/>
            <w:rtl/>
          </w:rPr>
          <w:t>סעיפים 379</w:t>
        </w:r>
      </w:hyperlink>
      <w:r w:rsidRPr="00BD1049">
        <w:rPr>
          <w:rFonts w:ascii="David" w:hAnsi="David" w:cs="David"/>
          <w:sz w:val="24"/>
          <w:szCs w:val="24"/>
          <w:rtl/>
        </w:rPr>
        <w:t xml:space="preserve"> ו-</w:t>
      </w:r>
      <w:hyperlink r:id="rId71" w:history="1">
        <w:r w:rsidR="00644598" w:rsidRPr="00644598">
          <w:rPr>
            <w:rStyle w:val="Hyperlink"/>
            <w:rFonts w:ascii="David" w:hAnsi="David" w:cs="David"/>
            <w:color w:val="0000FF"/>
            <w:sz w:val="24"/>
            <w:szCs w:val="24"/>
            <w:rtl/>
          </w:rPr>
          <w:t>25</w:t>
        </w:r>
      </w:hyperlink>
      <w:r w:rsidRPr="00BD1049">
        <w:rPr>
          <w:rFonts w:ascii="David" w:hAnsi="David" w:cs="David"/>
          <w:sz w:val="24"/>
          <w:szCs w:val="24"/>
          <w:rtl/>
        </w:rPr>
        <w:t xml:space="preserve"> לחוק, תקיפה הגורמת חבלה של ממש לפי </w:t>
      </w:r>
      <w:hyperlink r:id="rId72" w:history="1">
        <w:r w:rsidR="00644598" w:rsidRPr="00644598">
          <w:rPr>
            <w:rStyle w:val="Hyperlink"/>
            <w:rFonts w:ascii="David" w:hAnsi="David" w:cs="David"/>
            <w:color w:val="0000FF"/>
            <w:sz w:val="24"/>
            <w:szCs w:val="24"/>
            <w:rtl/>
          </w:rPr>
          <w:t>סעיף 380</w:t>
        </w:r>
      </w:hyperlink>
      <w:r w:rsidRPr="00BD1049">
        <w:rPr>
          <w:rFonts w:ascii="David" w:hAnsi="David" w:cs="David"/>
          <w:sz w:val="24"/>
          <w:szCs w:val="24"/>
          <w:rtl/>
        </w:rPr>
        <w:t xml:space="preserve"> לחוק והיזק לרכוש במזיד לפי </w:t>
      </w:r>
      <w:hyperlink r:id="rId73" w:history="1">
        <w:r w:rsidR="00644598" w:rsidRPr="00644598">
          <w:rPr>
            <w:rStyle w:val="Hyperlink"/>
            <w:rFonts w:ascii="David" w:hAnsi="David" w:cs="David"/>
            <w:color w:val="0000FF"/>
            <w:sz w:val="24"/>
            <w:szCs w:val="24"/>
            <w:rtl/>
          </w:rPr>
          <w:t>סעיף 452</w:t>
        </w:r>
      </w:hyperlink>
      <w:r w:rsidRPr="00BD1049">
        <w:rPr>
          <w:rFonts w:ascii="David" w:hAnsi="David" w:cs="David"/>
          <w:sz w:val="24"/>
          <w:szCs w:val="24"/>
          <w:rtl/>
        </w:rPr>
        <w:t xml:space="preserve"> לחוק, בגין עבירות אלו הוטלו על הנאשם עשרה חודשי מאסר בפועל, מאסר מותנה ופיצוי. </w:t>
      </w:r>
    </w:p>
    <w:p w14:paraId="6B0A627B" w14:textId="77777777" w:rsidR="00897CFA" w:rsidRDefault="00897CFA" w:rsidP="00897CFA">
      <w:pPr>
        <w:pStyle w:val="a9"/>
        <w:spacing w:before="240" w:line="360" w:lineRule="auto"/>
        <w:jc w:val="both"/>
        <w:rPr>
          <w:rFonts w:ascii="David" w:hAnsi="David" w:cs="David"/>
          <w:sz w:val="24"/>
          <w:szCs w:val="24"/>
          <w:rtl/>
        </w:rPr>
      </w:pPr>
    </w:p>
    <w:p w14:paraId="08710BF6" w14:textId="77777777" w:rsidR="00897CFA" w:rsidRPr="00BD1049" w:rsidRDefault="00897CFA" w:rsidP="00897CFA">
      <w:pPr>
        <w:pStyle w:val="a9"/>
        <w:spacing w:before="240" w:line="360" w:lineRule="auto"/>
        <w:jc w:val="both"/>
        <w:rPr>
          <w:rFonts w:ascii="David" w:hAnsi="David" w:cs="David"/>
          <w:sz w:val="24"/>
          <w:szCs w:val="24"/>
          <w:rtl/>
        </w:rPr>
      </w:pPr>
      <w:r w:rsidRPr="00BD1049">
        <w:rPr>
          <w:rFonts w:ascii="David" w:hAnsi="David" w:cs="David"/>
          <w:sz w:val="24"/>
          <w:szCs w:val="24"/>
          <w:rtl/>
        </w:rPr>
        <w:t xml:space="preserve">בשנת 2020, הורשע הנאשם בגין עבירה של החזקת אגרופן או סכין שלא כדין לפי </w:t>
      </w:r>
      <w:hyperlink r:id="rId74" w:history="1">
        <w:r w:rsidR="00644598" w:rsidRPr="00644598">
          <w:rPr>
            <w:rStyle w:val="Hyperlink"/>
            <w:rFonts w:ascii="David" w:hAnsi="David" w:cs="David"/>
            <w:color w:val="0000FF"/>
            <w:sz w:val="24"/>
            <w:szCs w:val="24"/>
            <w:rtl/>
          </w:rPr>
          <w:t>סעיף 186</w:t>
        </w:r>
      </w:hyperlink>
      <w:r w:rsidRPr="00BD1049">
        <w:rPr>
          <w:rFonts w:ascii="David" w:hAnsi="David" w:cs="David"/>
          <w:sz w:val="24"/>
          <w:szCs w:val="24"/>
          <w:rtl/>
        </w:rPr>
        <w:t xml:space="preserve"> ל</w:t>
      </w:r>
      <w:hyperlink r:id="rId75" w:history="1">
        <w:r w:rsidR="00873397" w:rsidRPr="00873397">
          <w:rPr>
            <w:rFonts w:ascii="David" w:hAnsi="David" w:cs="David"/>
            <w:color w:val="0000FF"/>
            <w:sz w:val="24"/>
            <w:szCs w:val="24"/>
            <w:u w:val="single"/>
            <w:rtl/>
          </w:rPr>
          <w:t>חוק העונשין</w:t>
        </w:r>
      </w:hyperlink>
      <w:r w:rsidRPr="00BD1049">
        <w:rPr>
          <w:rFonts w:ascii="David" w:hAnsi="David" w:cs="David"/>
          <w:sz w:val="24"/>
          <w:szCs w:val="24"/>
          <w:rtl/>
        </w:rPr>
        <w:t xml:space="preserve">, והוטל עליו מאסר של שלושה חודשים, אשר הופחת לחודש וחצי בערעור. </w:t>
      </w:r>
    </w:p>
    <w:p w14:paraId="73E498D5" w14:textId="77777777" w:rsidR="00897CFA" w:rsidRDefault="00897CFA" w:rsidP="00897CFA">
      <w:pPr>
        <w:spacing w:before="240" w:line="360" w:lineRule="auto"/>
        <w:ind w:left="360"/>
        <w:jc w:val="both"/>
        <w:rPr>
          <w:rFonts w:ascii="David" w:hAnsi="David"/>
          <w:b/>
          <w:bCs/>
          <w:u w:val="single"/>
          <w:rtl/>
        </w:rPr>
      </w:pPr>
    </w:p>
    <w:p w14:paraId="23C813A0" w14:textId="77777777" w:rsidR="00897CFA" w:rsidRPr="00BD1049" w:rsidRDefault="00897CFA" w:rsidP="00897CFA">
      <w:pPr>
        <w:spacing w:before="240" w:line="360" w:lineRule="auto"/>
        <w:ind w:left="360"/>
        <w:jc w:val="both"/>
        <w:rPr>
          <w:rFonts w:ascii="David" w:hAnsi="David"/>
          <w:b/>
          <w:bCs/>
          <w:u w:val="single"/>
          <w:rtl/>
        </w:rPr>
      </w:pPr>
      <w:r w:rsidRPr="00BD1049">
        <w:rPr>
          <w:rFonts w:ascii="David" w:hAnsi="David"/>
          <w:b/>
          <w:bCs/>
          <w:u w:val="single"/>
          <w:rtl/>
        </w:rPr>
        <w:t xml:space="preserve">עיקרי טיעון המאשימה </w:t>
      </w:r>
    </w:p>
    <w:p w14:paraId="4DA5987F" w14:textId="77777777" w:rsidR="00897CFA"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 xml:space="preserve">המאשימה מיקדה את טיעונה, בראש ובראשונה, בתיק העיקרי, תוך שעמדה על חומרת האירוע ומסוכנותו של הנאשם, אשר נקט אלימות קשה כלפי בחור צעיר אשר כל חטאו היה שניסה לעשות את עבודתו בקיוסק בשעת לילה. נטען, שבמעשיו הפגין הנאשם אדישות גמורה לתוצאות מעשיו, המלמדת על מסוכנות גבוהה לציבור. המאשימה עמדה על הנזק הפיזי החמור בצרוף הנזק הנפשי הכבד שנגרם למתלונן. המאשימה עותרת למתחם שתחילתו בארבע שנות מאסר בפועל ועד לשבע שנות מאסר בפועל, כאשר היא תומכת טיעוניה בפסיקה. </w:t>
      </w:r>
    </w:p>
    <w:p w14:paraId="64D822E4" w14:textId="77777777" w:rsidR="00897CFA" w:rsidRPr="00BD1049" w:rsidRDefault="00897CFA" w:rsidP="00897CFA">
      <w:pPr>
        <w:pStyle w:val="a9"/>
        <w:spacing w:before="240" w:line="360" w:lineRule="auto"/>
        <w:jc w:val="both"/>
        <w:rPr>
          <w:rFonts w:ascii="David" w:hAnsi="David" w:cs="David"/>
          <w:sz w:val="24"/>
          <w:szCs w:val="24"/>
          <w:rtl/>
        </w:rPr>
      </w:pPr>
    </w:p>
    <w:p w14:paraId="52BF6E1A" w14:textId="77777777" w:rsidR="00897CFA"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 xml:space="preserve">בעניין התיק המצורף הראשון ציינה המאשימה את המסוכנות הנשקפת מהנאשם כאשר ללא סיבה נראית לעין תקף אישה ויידה עליה אבן. המאשימה עותרת בפרשה זו למתחם שנע בין 8 ועד 18 חודשי מאסר לצד פיצוי לנפגעת העבירה. </w:t>
      </w:r>
    </w:p>
    <w:p w14:paraId="14EFBD28" w14:textId="77777777" w:rsidR="00897CFA" w:rsidRPr="00BD1049" w:rsidRDefault="00897CFA" w:rsidP="00897CFA">
      <w:pPr>
        <w:pStyle w:val="a9"/>
        <w:spacing w:before="240" w:line="360" w:lineRule="auto"/>
        <w:jc w:val="both"/>
        <w:rPr>
          <w:rFonts w:ascii="David" w:hAnsi="David" w:cs="David"/>
          <w:sz w:val="24"/>
          <w:szCs w:val="24"/>
        </w:rPr>
      </w:pPr>
    </w:p>
    <w:p w14:paraId="4C38559D" w14:textId="77777777" w:rsidR="00897CFA"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 xml:space="preserve">בעניין התיק המצורף השני מציינת המאשימה כי שמונת האירועים מלמדים על אופיו ודפוסיו העברייניים והאלימים של הנאשם. אשר לאישומים 1-3, שעניינם בשימוש באמצעי תשלום וגניבה, עותרת המאשימה למתחם אחד שנע בין מספר נמוך של חודשי מאסר ועד לשנת מאסר. כך גם בנפרד לעניין אישומים 4-5 וכן באישום 6, שעניינם בגניבה. אשר לאישום 7, שעניינו בגניבה ואיומים, עותרת המאשימה למתחם שנע בין 8 ועד 16 חודשי מאסר. באישום 8, שעניינו החזקת כלי פריצה, נטען למתחם שנע בין מאסר על תנאי ועד מספר חודשי מאסר. המדינה סיכמה טיעונה בכך, שלעמדתה, קיים חוט המקשר בין כל האירועים בתיק המצורף ועל כן עותרת המאשימה בפרשה זו </w:t>
      </w:r>
      <w:r w:rsidRPr="00BD1049">
        <w:rPr>
          <w:rFonts w:ascii="David" w:hAnsi="David" w:cs="David"/>
          <w:b/>
          <w:bCs/>
          <w:sz w:val="24"/>
          <w:szCs w:val="24"/>
          <w:rtl/>
        </w:rPr>
        <w:t>למתחם אחד</w:t>
      </w:r>
      <w:r w:rsidRPr="00BD1049">
        <w:rPr>
          <w:rFonts w:ascii="David" w:hAnsi="David" w:cs="David"/>
          <w:sz w:val="24"/>
          <w:szCs w:val="24"/>
          <w:rtl/>
        </w:rPr>
        <w:t xml:space="preserve"> </w:t>
      </w:r>
      <w:r w:rsidRPr="00BD1049">
        <w:rPr>
          <w:rFonts w:ascii="David" w:hAnsi="David" w:cs="David"/>
          <w:b/>
          <w:bCs/>
          <w:sz w:val="24"/>
          <w:szCs w:val="24"/>
          <w:rtl/>
        </w:rPr>
        <w:t>כולל</w:t>
      </w:r>
      <w:r w:rsidRPr="00BD1049">
        <w:rPr>
          <w:rFonts w:ascii="David" w:hAnsi="David" w:cs="David"/>
          <w:sz w:val="24"/>
          <w:szCs w:val="24"/>
          <w:rtl/>
        </w:rPr>
        <w:t xml:space="preserve"> הנע בין שנה לשנתיים מאסר. עוד מציינת המאשימה כי בהליך זה התנהלה פרשת הראיות עד תום, ולמעשה הנאשם הודה במיוחס לו רק לאחר הגשת סיכומי התביעה. </w:t>
      </w:r>
    </w:p>
    <w:p w14:paraId="283936B6" w14:textId="77777777" w:rsidR="00897CFA" w:rsidRPr="00BD1049" w:rsidRDefault="00897CFA" w:rsidP="00897CFA">
      <w:pPr>
        <w:pStyle w:val="a9"/>
        <w:spacing w:before="240" w:line="360" w:lineRule="auto"/>
        <w:jc w:val="both"/>
        <w:rPr>
          <w:rFonts w:ascii="David" w:hAnsi="David" w:cs="David"/>
          <w:sz w:val="24"/>
          <w:szCs w:val="24"/>
        </w:rPr>
      </w:pPr>
    </w:p>
    <w:p w14:paraId="35F4B351"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לעניין מיקום הנאשם במתחמי הענישה, מפנה המאשימה לגיליון הרישום הפלילי של הנאשם אשר מצביע על מעשי אלימות רבים. כן נטען, כי עונשי מאסר לריצוי בפועל לא הרתיעו את הנאשם מלשוב ולבצע עבירות נוספות וביתר חומרה. לפיכך, כך נטען, יש להרחיק את הנאשם מהציבור לתקופה ממושכת. עוד ציינה המאשימה כי מבלי לפגוע בזכות הנאשם לנהל משפט, אי-לקיחת האחריות הוליכה לפגיעה נוספת במתלונן שבמקום להשקיע משאביו בשיקום, נאלץ להגיע לבית המשפט, לפגוש בנאשם ולמסור עדות מפורטת. נטען, שכלל השיקולים מובילים לכך, שעל הנאשם להיות ממוקם ברף הגבוה של המתחם. המאשימה עתרה אפוא למקם את הנאשם בשליש העליון של המתחם בתיק העיקרי ולהשית עליו 6 שנות מאסר בגין הליך זה, ובתיקי הצירוף להטיל עליו כ-18 חודשים נוספים, כך שעונש המאסר הכולל לא יפחת מ-7 שנים, לצד השתת עונשי מאסר מותנים, קנס ופיצוי לנפגעים.</w:t>
      </w:r>
    </w:p>
    <w:p w14:paraId="0790040B" w14:textId="77777777" w:rsidR="00897CFA" w:rsidRPr="00BD1049" w:rsidRDefault="00897CFA" w:rsidP="00897CFA">
      <w:pPr>
        <w:spacing w:before="240" w:line="360" w:lineRule="auto"/>
        <w:ind w:left="360"/>
        <w:jc w:val="both"/>
        <w:rPr>
          <w:rFonts w:ascii="David" w:hAnsi="David"/>
          <w:b/>
          <w:bCs/>
          <w:u w:val="single"/>
          <w:rtl/>
        </w:rPr>
      </w:pPr>
      <w:r w:rsidRPr="00BD1049">
        <w:rPr>
          <w:rFonts w:ascii="David" w:hAnsi="David"/>
          <w:b/>
          <w:bCs/>
          <w:u w:val="single"/>
          <w:rtl/>
        </w:rPr>
        <w:t xml:space="preserve">עיקרי טיעון ההגנה </w:t>
      </w:r>
    </w:p>
    <w:p w14:paraId="3AF7D6C3"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tl/>
        </w:rPr>
      </w:pPr>
      <w:r w:rsidRPr="00BD1049">
        <w:rPr>
          <w:rFonts w:ascii="David" w:hAnsi="David" w:cs="David"/>
          <w:sz w:val="24"/>
          <w:szCs w:val="24"/>
          <w:rtl/>
        </w:rPr>
        <w:t xml:space="preserve">ההגנה מצידה טוענת כי טיעון המדינה מרחיק לכת, חוטא למטרות הענישה והתכליות החברתיות שבבסיסה, ולא נוטל בחשבון את נסיבות המקרה. ב"כ הנאשם מציין כי אף הפסיקה שאליה הפנתה המאשימה אינה תומכת בטיעוניה. </w:t>
      </w:r>
    </w:p>
    <w:p w14:paraId="50F6DC97" w14:textId="77777777" w:rsidR="00897CFA" w:rsidRPr="00BD1049" w:rsidRDefault="00897CFA" w:rsidP="00897CFA">
      <w:pPr>
        <w:pStyle w:val="a9"/>
        <w:spacing w:before="240" w:line="360" w:lineRule="auto"/>
        <w:jc w:val="both"/>
        <w:rPr>
          <w:rFonts w:ascii="David" w:hAnsi="David" w:cs="David"/>
          <w:sz w:val="24"/>
          <w:szCs w:val="24"/>
          <w:rtl/>
        </w:rPr>
      </w:pPr>
    </w:p>
    <w:p w14:paraId="29798052" w14:textId="77777777" w:rsidR="00897CFA" w:rsidRPr="00BD1049" w:rsidRDefault="00897CFA" w:rsidP="00897CFA">
      <w:pPr>
        <w:pStyle w:val="a9"/>
        <w:spacing w:before="240" w:line="360" w:lineRule="auto"/>
        <w:jc w:val="both"/>
        <w:rPr>
          <w:rFonts w:ascii="David" w:hAnsi="David" w:cs="David"/>
          <w:sz w:val="24"/>
          <w:szCs w:val="24"/>
          <w:rtl/>
        </w:rPr>
      </w:pPr>
      <w:r w:rsidRPr="00BD1049">
        <w:rPr>
          <w:rFonts w:ascii="David" w:hAnsi="David" w:cs="David"/>
          <w:sz w:val="24"/>
          <w:szCs w:val="24"/>
          <w:rtl/>
        </w:rPr>
        <w:t xml:space="preserve">ב"כ הנאשם ציין כי אין ניתן להתעלם מכך שבאירוע השוד הפגיעה הרכושית הייתה "מינורית". עיקר הטיעון נגע לכך, שלאחר מתן הכרעת הדין בתיק העיקרי, הנאשם התחרט עמוקות על המעשה, הוא מקבל על עצמו אחריות ואף מוכן לפצות בצורה משמעותית את נפגע העבירה. </w:t>
      </w:r>
    </w:p>
    <w:p w14:paraId="353CA01C" w14:textId="77777777" w:rsidR="00897CFA" w:rsidRDefault="00897CFA" w:rsidP="00897CFA">
      <w:pPr>
        <w:pStyle w:val="a9"/>
        <w:spacing w:before="240" w:line="360" w:lineRule="auto"/>
        <w:jc w:val="both"/>
        <w:rPr>
          <w:rFonts w:ascii="David" w:hAnsi="David" w:cs="David"/>
          <w:sz w:val="24"/>
          <w:szCs w:val="24"/>
          <w:rtl/>
        </w:rPr>
      </w:pPr>
    </w:p>
    <w:p w14:paraId="71D70F3C" w14:textId="77777777" w:rsidR="00897CFA" w:rsidRDefault="00897CFA" w:rsidP="00897CFA">
      <w:pPr>
        <w:pStyle w:val="a9"/>
        <w:spacing w:before="240" w:line="360" w:lineRule="auto"/>
        <w:jc w:val="both"/>
        <w:rPr>
          <w:rFonts w:ascii="David" w:hAnsi="David" w:cs="David"/>
          <w:sz w:val="24"/>
          <w:szCs w:val="24"/>
          <w:rtl/>
        </w:rPr>
      </w:pPr>
      <w:r w:rsidRPr="00BD1049">
        <w:rPr>
          <w:rFonts w:ascii="David" w:hAnsi="David" w:cs="David"/>
          <w:sz w:val="24"/>
          <w:szCs w:val="24"/>
          <w:rtl/>
        </w:rPr>
        <w:t>בעניין התיק המצורף הראשון, ב"כ הנאשם מציין כי מדובר בעבירה של "תקיפה סתם", כאשר לא נגרמה כל חבלה, וכי לו תיק זה היה עומד לבדו – כך נטען – היה מושת על הנאשם עונש צופה פני עתיד בלבד. בעניין התיק המצורף השני טען ב"כ הנאשם כי מדובר בגניבה, ללא כל תחכום, כאשר בכל הזדמנות נגנבו מוצרים בסכום של "עשרות שקלים בודדים" (זאת, הגם שהסכום הכולל מגיע לכ-800 ₪).</w:t>
      </w:r>
    </w:p>
    <w:p w14:paraId="6270726C" w14:textId="77777777" w:rsidR="00897CFA" w:rsidRPr="009C6B5B" w:rsidRDefault="00897CFA" w:rsidP="00897CFA">
      <w:pPr>
        <w:pStyle w:val="a9"/>
        <w:spacing w:before="240" w:line="360" w:lineRule="auto"/>
        <w:jc w:val="both"/>
        <w:rPr>
          <w:rFonts w:ascii="David" w:hAnsi="David" w:cs="David"/>
          <w:sz w:val="24"/>
          <w:szCs w:val="24"/>
          <w:rtl/>
        </w:rPr>
      </w:pPr>
    </w:p>
    <w:p w14:paraId="0EE27C5E"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tl/>
        </w:rPr>
      </w:pPr>
      <w:r w:rsidRPr="00BD1049">
        <w:rPr>
          <w:rFonts w:ascii="David" w:hAnsi="David" w:cs="David"/>
          <w:sz w:val="24"/>
          <w:szCs w:val="24"/>
          <w:rtl/>
        </w:rPr>
        <w:t>לדברי ההגנה, לעת הזאת, הנאשם הוא אדם אשר "מיואש מהדרך העבריינית", ולפיכך לאחר מתן הכרעת הדין בתיק העיקרי, גמר אומר להביע חרטה ואף לצרף את ההליכים הנוספים שהיו תלויים ועומדים נגדו ונטל עליהם אחריות מלאה. ב"כ הנאשם ביקש להתחשב ברקעו של הנאשם, שהוריו התגרשו בגיל 13 ומאז הוא נפלט ממסגרות לימודיות וחברתיות וחי חיים שוליים. בעקבות אירועים אלו לא התגייס לצה"ל ומעמדו החברתי והתעסוקתי היה בכי רע. כעת מבקש הנאשם להתחיל בדרך חדשה במסלול שיקומי וטיפולי בתוך כותלי בית הסוהר.</w:t>
      </w:r>
    </w:p>
    <w:p w14:paraId="21C9E18A" w14:textId="77777777" w:rsidR="00897CFA" w:rsidRPr="00BD1049" w:rsidRDefault="00897CFA" w:rsidP="00897CFA">
      <w:pPr>
        <w:spacing w:before="240" w:line="360" w:lineRule="auto"/>
        <w:ind w:left="360"/>
        <w:jc w:val="both"/>
        <w:rPr>
          <w:rFonts w:ascii="David" w:hAnsi="David"/>
          <w:b/>
          <w:bCs/>
          <w:u w:val="single"/>
        </w:rPr>
      </w:pPr>
      <w:r w:rsidRPr="00BD1049">
        <w:rPr>
          <w:rFonts w:ascii="David" w:hAnsi="David"/>
          <w:b/>
          <w:bCs/>
          <w:u w:val="single"/>
          <w:rtl/>
        </w:rPr>
        <w:t>דיון והכרעה</w:t>
      </w:r>
    </w:p>
    <w:p w14:paraId="58DE383C" w14:textId="77777777" w:rsidR="00897CFA" w:rsidRPr="00BD1049" w:rsidRDefault="00897CFA" w:rsidP="00897CFA">
      <w:pPr>
        <w:spacing w:before="240" w:line="360" w:lineRule="auto"/>
        <w:ind w:left="360"/>
        <w:jc w:val="both"/>
        <w:rPr>
          <w:rFonts w:ascii="David" w:hAnsi="David"/>
          <w:b/>
          <w:bCs/>
          <w:u w:val="single"/>
          <w:rtl/>
        </w:rPr>
      </w:pPr>
      <w:r w:rsidRPr="00BD1049">
        <w:rPr>
          <w:rFonts w:ascii="David" w:hAnsi="David"/>
          <w:b/>
          <w:bCs/>
          <w:u w:val="single"/>
          <w:rtl/>
        </w:rPr>
        <w:t>התיק העיקרי</w:t>
      </w:r>
    </w:p>
    <w:p w14:paraId="60202C1D" w14:textId="77777777" w:rsidR="00897CFA" w:rsidRPr="00BD1049" w:rsidRDefault="00897CFA" w:rsidP="00897CFA">
      <w:pPr>
        <w:spacing w:before="240" w:line="360" w:lineRule="auto"/>
        <w:ind w:left="360"/>
        <w:jc w:val="both"/>
        <w:rPr>
          <w:rFonts w:ascii="David" w:hAnsi="David"/>
          <w:b/>
          <w:bCs/>
          <w:rtl/>
        </w:rPr>
      </w:pPr>
      <w:r w:rsidRPr="00BD1049">
        <w:rPr>
          <w:rFonts w:ascii="David" w:hAnsi="David"/>
          <w:b/>
          <w:bCs/>
          <w:rtl/>
        </w:rPr>
        <w:t>קביעת מתחם הענישה</w:t>
      </w:r>
    </w:p>
    <w:p w14:paraId="4D4937F7"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tl/>
        </w:rPr>
      </w:pPr>
      <w:r w:rsidRPr="00BD1049">
        <w:rPr>
          <w:rFonts w:ascii="David" w:hAnsi="David" w:cs="David"/>
          <w:sz w:val="24"/>
          <w:szCs w:val="24"/>
          <w:rtl/>
        </w:rPr>
        <w:t xml:space="preserve">המדובר במסכת עבריינית אחת, שכן עבירת השוד התבצעה בעת שהנאשם הפר את ההוראה החוקית. מדובר באירוע אחד, שבו עבירת השוד בנסיבות מחמירות היא הדומיננטית, ויקבע מתחם ענישה שיכיל את שתי העבירות (ראו: </w:t>
      </w:r>
      <w:hyperlink r:id="rId76" w:history="1">
        <w:r w:rsidR="00873397" w:rsidRPr="00873397">
          <w:rPr>
            <w:rFonts w:ascii="David" w:hAnsi="David" w:cs="David"/>
            <w:color w:val="0000FF"/>
            <w:sz w:val="24"/>
            <w:szCs w:val="24"/>
            <w:u w:val="single"/>
            <w:rtl/>
          </w:rPr>
          <w:t>ע"פ 1127/13</w:t>
        </w:r>
      </w:hyperlink>
      <w:r w:rsidRPr="00BD1049">
        <w:rPr>
          <w:rFonts w:ascii="David" w:hAnsi="David" w:cs="David"/>
          <w:sz w:val="24"/>
          <w:szCs w:val="24"/>
          <w:rtl/>
        </w:rPr>
        <w:t xml:space="preserve"> </w:t>
      </w:r>
      <w:r w:rsidRPr="00BD1049">
        <w:rPr>
          <w:rFonts w:ascii="David" w:hAnsi="David" w:cs="David"/>
          <w:b/>
          <w:bCs/>
          <w:sz w:val="24"/>
          <w:szCs w:val="24"/>
          <w:rtl/>
        </w:rPr>
        <w:t>גברזגיי נ' מדינת ישראל</w:t>
      </w:r>
      <w:r w:rsidRPr="00BD1049">
        <w:rPr>
          <w:rFonts w:ascii="David" w:hAnsi="David" w:cs="David"/>
          <w:sz w:val="24"/>
          <w:szCs w:val="24"/>
          <w:rtl/>
        </w:rPr>
        <w:t>, פסקה 23 (15.01.2014)). קביעת המתחם תיעשה תוך הידרשות לערכים המוגנים שנפגעו, למידת הפגיעה בהם, לנסיבות העבירה ולמדיניות הענישה הנוהגת.</w:t>
      </w:r>
    </w:p>
    <w:p w14:paraId="0CF4D9FF" w14:textId="77777777" w:rsidR="00897CFA" w:rsidRPr="00BD1049" w:rsidRDefault="00897CFA" w:rsidP="00897CFA">
      <w:pPr>
        <w:spacing w:before="240" w:line="360" w:lineRule="auto"/>
        <w:ind w:left="360"/>
        <w:jc w:val="both"/>
        <w:rPr>
          <w:rFonts w:ascii="David" w:hAnsi="David"/>
          <w:b/>
          <w:bCs/>
          <w:rtl/>
        </w:rPr>
      </w:pPr>
      <w:r w:rsidRPr="00BD1049">
        <w:rPr>
          <w:rFonts w:ascii="David" w:hAnsi="David"/>
          <w:b/>
          <w:bCs/>
          <w:rtl/>
        </w:rPr>
        <w:t xml:space="preserve">הערכים החברתיים שנפגעו ונסיבות ביצוע העבירה </w:t>
      </w:r>
    </w:p>
    <w:p w14:paraId="285BC841" w14:textId="77777777" w:rsidR="00897CFA"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בעבירת שוד בנסיבות מחמירות פגע הנאשם בערכים חברתיים רבים, ובכלל זה בערכים ראשונים במעלה ככבוד-האדם, שלמות הגוף, תחושת הביטחון האישי ושלום הציבור, כמו גם בערכי רכוש וקניין. עבירת השוד מתבצעת על-מנת להשיג רווח מהיר, תוך איום או פגיעה באדם תמים, ובכך פוגעת בביטחון הציבור ובסדר הציבורי. בשוד בחנות בשעת לילה מתמקדת הפגיעה במי שנותנים לציבור שירות חשוב בשעות לא שגרתיות וראויים להגנה מיוחדת. בענייננו, בהתחשב במאפיינים הקונקרטיים של מעשי הנאשם, מידת הפגיעה בערכים המוגנים היא ניכרת. לכך נלווית הפרת ההוראה החוקית, המהווה פגיעה בערכים המוגנים של הגנה על שלטון החוק, שמירה על הסדר הציבורי וכיבוד מערכת החוק והמשפט. אין מדובר בהפרת תנאי השחרור גרידא, אלא בהפרה שהתבטאה בביצוע מעשה עבירה חמור של שוד בנסיבות מחמירות.</w:t>
      </w:r>
    </w:p>
    <w:p w14:paraId="641E3D6D" w14:textId="77777777" w:rsidR="00897CFA" w:rsidRPr="00BD1049" w:rsidRDefault="00897CFA" w:rsidP="00897CFA">
      <w:pPr>
        <w:pStyle w:val="a9"/>
        <w:spacing w:before="240" w:line="360" w:lineRule="auto"/>
        <w:jc w:val="both"/>
        <w:rPr>
          <w:rFonts w:ascii="David" w:hAnsi="David" w:cs="David"/>
          <w:sz w:val="24"/>
          <w:szCs w:val="24"/>
          <w:rtl/>
        </w:rPr>
      </w:pPr>
    </w:p>
    <w:p w14:paraId="77277A4D" w14:textId="77777777" w:rsidR="00897CFA"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 xml:space="preserve">לעבירת שוד בנסיבות מחמירות פנים רבות ולפיכך מתחם הענישה הוא תלוי הקשר. כך, נבחנת מידת התכנון והתחכום; קיומו של עבריין יחיד או חבורה; טיבו של הנשק שבו נעשה שימוש (קר או חם); מידת האלימות שהופעלה ותוצאותיה; זהות הקרבן כמשתייך לקבוצה הטעונה הגנה יתרה (כקשישים, נהגי מוניות או עובדי לילה) וכיוצא באלה (ראו: </w:t>
      </w:r>
      <w:hyperlink r:id="rId77" w:history="1">
        <w:r w:rsidR="00873397" w:rsidRPr="00873397">
          <w:rPr>
            <w:rFonts w:ascii="David" w:hAnsi="David" w:cs="David"/>
            <w:color w:val="0000FF"/>
            <w:sz w:val="24"/>
            <w:szCs w:val="24"/>
            <w:u w:val="single"/>
            <w:rtl/>
          </w:rPr>
          <w:t>ע"פ 4442/19</w:t>
        </w:r>
      </w:hyperlink>
      <w:r w:rsidRPr="00BD1049">
        <w:rPr>
          <w:rFonts w:ascii="David" w:hAnsi="David" w:cs="David"/>
          <w:sz w:val="24"/>
          <w:szCs w:val="24"/>
          <w:rtl/>
        </w:rPr>
        <w:t xml:space="preserve"> </w:t>
      </w:r>
      <w:r w:rsidRPr="00BD1049">
        <w:rPr>
          <w:rFonts w:ascii="David" w:hAnsi="David" w:cs="David"/>
          <w:b/>
          <w:bCs/>
          <w:sz w:val="24"/>
          <w:szCs w:val="24"/>
          <w:rtl/>
        </w:rPr>
        <w:t>מדינת ישראל נ' שווץ</w:t>
      </w:r>
      <w:r w:rsidRPr="00BD1049">
        <w:rPr>
          <w:rFonts w:ascii="David" w:hAnsi="David" w:cs="David"/>
          <w:sz w:val="24"/>
          <w:szCs w:val="24"/>
          <w:rtl/>
        </w:rPr>
        <w:t xml:space="preserve">, פסקה 10 (13.11.2019) והאסמכתאות הנזכרות שם). </w:t>
      </w:r>
    </w:p>
    <w:p w14:paraId="408BD7E8" w14:textId="77777777" w:rsidR="00897CFA" w:rsidRPr="00BD1049" w:rsidRDefault="00897CFA" w:rsidP="00897CFA">
      <w:pPr>
        <w:pStyle w:val="a9"/>
        <w:spacing w:before="240" w:line="360" w:lineRule="auto"/>
        <w:jc w:val="both"/>
        <w:rPr>
          <w:rFonts w:ascii="David" w:hAnsi="David" w:cs="David"/>
          <w:sz w:val="24"/>
          <w:szCs w:val="24"/>
        </w:rPr>
      </w:pPr>
    </w:p>
    <w:p w14:paraId="4FE6A38A" w14:textId="77777777" w:rsidR="00897CFA"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 xml:space="preserve">בענייננו עומדים לחובתו של הנאשם מידת האלימות שהופעלה; השימוש במספריים חדים תוך פגיעה בלחיו וגרימת שבר בארובת העין של נפגע העבירה; וחומרת הפגיעה, הפיזית והנפשית. מקובל עלי טיעון ההגנה, כי הנזק הרכושי אינו גדול. אולם, החומרה הרבתי נובעת מהאלימות הקשה חסרת המעצורים במהלך השוד. פעם אחר פעם נאמר כי "מעבר להיבט הכספי והכלכלי של התופעה, </w:t>
      </w:r>
      <w:r w:rsidRPr="00BD1049">
        <w:rPr>
          <w:rFonts w:ascii="David" w:hAnsi="David" w:cs="David"/>
          <w:b/>
          <w:bCs/>
          <w:sz w:val="24"/>
          <w:szCs w:val="24"/>
          <w:rtl/>
        </w:rPr>
        <w:t>יש ליתן את הדעת לפגיעות הפיזיות,</w:t>
      </w:r>
      <w:r w:rsidRPr="00BD1049">
        <w:rPr>
          <w:rFonts w:ascii="David" w:hAnsi="David" w:cs="David"/>
          <w:sz w:val="24"/>
          <w:szCs w:val="24"/>
          <w:rtl/>
        </w:rPr>
        <w:t xml:space="preserve"> </w:t>
      </w:r>
      <w:r w:rsidRPr="00BD1049">
        <w:rPr>
          <w:rFonts w:ascii="David" w:hAnsi="David" w:cs="David"/>
          <w:b/>
          <w:bCs/>
          <w:sz w:val="24"/>
          <w:szCs w:val="24"/>
          <w:rtl/>
        </w:rPr>
        <w:t>ולא פחות חמור מכך, לפגיעות הנפשיות הנגרמות לקורבנות העבירה</w:t>
      </w:r>
      <w:r w:rsidRPr="00BD1049">
        <w:rPr>
          <w:rFonts w:ascii="David" w:hAnsi="David" w:cs="David"/>
          <w:sz w:val="24"/>
          <w:szCs w:val="24"/>
          <w:rtl/>
        </w:rPr>
        <w:t xml:space="preserve">, בצד הפגיעה בשלומו ובבטחונו של הציבור בכללותו." (ע"פ 588/13 </w:t>
      </w:r>
      <w:r w:rsidRPr="00BD1049">
        <w:rPr>
          <w:rFonts w:ascii="David" w:hAnsi="David" w:cs="David"/>
          <w:b/>
          <w:bCs/>
          <w:sz w:val="24"/>
          <w:szCs w:val="24"/>
          <w:rtl/>
        </w:rPr>
        <w:t>פלוני נ' מדינת ישראל</w:t>
      </w:r>
      <w:r w:rsidRPr="00BD1049">
        <w:rPr>
          <w:rFonts w:ascii="David" w:hAnsi="David" w:cs="David"/>
          <w:sz w:val="24"/>
          <w:szCs w:val="24"/>
          <w:rtl/>
        </w:rPr>
        <w:t>, פסקה 13 (27.8.2013) - ההדגשה הוספה).</w:t>
      </w:r>
    </w:p>
    <w:p w14:paraId="5E1CD12E" w14:textId="77777777" w:rsidR="00897CFA" w:rsidRPr="00BD1049" w:rsidRDefault="00897CFA" w:rsidP="00897CFA">
      <w:pPr>
        <w:pStyle w:val="a9"/>
        <w:spacing w:before="240" w:line="360" w:lineRule="auto"/>
        <w:jc w:val="both"/>
        <w:rPr>
          <w:rFonts w:ascii="David" w:hAnsi="David" w:cs="David"/>
          <w:sz w:val="24"/>
          <w:szCs w:val="24"/>
        </w:rPr>
      </w:pPr>
    </w:p>
    <w:p w14:paraId="1291A8B5"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 xml:space="preserve">לכך מצטרפת העובדה שהנאשם פגע בעובד לילה תמים, הטעון הגנה יתרה מצד ערכאות השפיטה. כפי שנאמר בפרשת </w:t>
      </w:r>
      <w:r w:rsidRPr="00BD1049">
        <w:rPr>
          <w:rFonts w:ascii="David" w:hAnsi="David" w:cs="David"/>
          <w:b/>
          <w:bCs/>
          <w:sz w:val="24"/>
          <w:szCs w:val="24"/>
          <w:rtl/>
        </w:rPr>
        <w:t>סעדייב</w:t>
      </w:r>
      <w:r w:rsidRPr="00BD1049">
        <w:rPr>
          <w:rFonts w:ascii="David" w:hAnsi="David" w:cs="David"/>
          <w:sz w:val="24"/>
          <w:szCs w:val="24"/>
          <w:rtl/>
        </w:rPr>
        <w:t>:</w:t>
      </w:r>
    </w:p>
    <w:p w14:paraId="7901D6CE" w14:textId="77777777" w:rsidR="00897CFA" w:rsidRDefault="00897CFA" w:rsidP="00897CFA">
      <w:pPr>
        <w:pStyle w:val="a9"/>
        <w:spacing w:before="240" w:line="240" w:lineRule="auto"/>
        <w:ind w:left="1502" w:right="1134"/>
        <w:jc w:val="both"/>
        <w:rPr>
          <w:rFonts w:ascii="David" w:hAnsi="David" w:cs="David"/>
          <w:sz w:val="24"/>
          <w:szCs w:val="24"/>
          <w:rtl/>
        </w:rPr>
      </w:pPr>
      <w:r w:rsidRPr="00BD1049">
        <w:rPr>
          <w:rFonts w:ascii="David" w:hAnsi="David" w:cs="David"/>
          <w:sz w:val="24"/>
          <w:szCs w:val="24"/>
          <w:rtl/>
        </w:rPr>
        <w:t>"בלב הדיון ניצב מעשה שוד בחנות קיוסק בשעת לילה מאוחרת, תוך איומים על העובד במקום ותקיפתו. שכיחותם של מקרים כגון דא מחייבת את היחלצותו של בית המשפט לעזרתם של עובדי הלילה. עובדי הקיוסקים נמנים עם שורה ארוכה של עובדים, דוגמת עובדי תחנות דלק ומאבטחים, המעניקים שירות בשעות הלילה לאלה הזקוקים לו. המדובר באנשים אשר עובדים לפרנסתם בעבודות שמטבען אינן פשוטות. בעבודתם חשופים הם למפרי חוק אשר מנצלים את אצטלת הלילה ורדת החשכה לביצוע זממם. לרוב, עובדים אלה נמצאים במקום בגפם, ועוברי האורח המצויים בסביבתם הם מעטים. לא אחת מותקפים 'עובדי הלילה' על ידי יחידים או קבוצות אשר שמו להם למטרה להשיג 'כסף קל' ביודעם שהעובד נמצא לבדו ולא יתנגד למתן הכסף כאשר חייו ושלמות גופו מונחים על הכף. מעבר לנזק הפיזי שגורמים התוקפים לעובדים, הפגיעה הנפשית לנוכח הטראומה שעברו ותחושת חוסר האונים בה הם מצויים הינן גבוהות במיוחד". (</w:t>
      </w:r>
      <w:hyperlink r:id="rId78" w:history="1">
        <w:r w:rsidR="00873397" w:rsidRPr="00873397">
          <w:rPr>
            <w:rFonts w:ascii="David" w:hAnsi="David" w:cs="David"/>
            <w:color w:val="0000FF"/>
            <w:sz w:val="24"/>
            <w:szCs w:val="24"/>
            <w:u w:val="single"/>
            <w:rtl/>
          </w:rPr>
          <w:t>ע"פ 4812/12</w:t>
        </w:r>
      </w:hyperlink>
      <w:r w:rsidRPr="00BD1049">
        <w:rPr>
          <w:rFonts w:ascii="David" w:hAnsi="David" w:cs="David"/>
          <w:b/>
          <w:bCs/>
          <w:sz w:val="24"/>
          <w:szCs w:val="24"/>
          <w:rtl/>
        </w:rPr>
        <w:t xml:space="preserve"> סעדייב נ' מדינת ישראל, </w:t>
      </w:r>
      <w:r w:rsidRPr="00BD1049">
        <w:rPr>
          <w:rFonts w:ascii="David" w:hAnsi="David" w:cs="David"/>
          <w:sz w:val="24"/>
          <w:szCs w:val="24"/>
          <w:rtl/>
        </w:rPr>
        <w:t xml:space="preserve">פסקה 4 (11.4.2013)). </w:t>
      </w:r>
    </w:p>
    <w:p w14:paraId="569A9FBC" w14:textId="77777777" w:rsidR="00897CFA" w:rsidRPr="00BD1049" w:rsidRDefault="00897CFA" w:rsidP="00897CFA">
      <w:pPr>
        <w:pStyle w:val="a9"/>
        <w:spacing w:before="240" w:line="240" w:lineRule="auto"/>
        <w:ind w:left="1502" w:right="1134"/>
        <w:jc w:val="both"/>
        <w:rPr>
          <w:rFonts w:ascii="David" w:hAnsi="David" w:cs="David"/>
          <w:sz w:val="24"/>
          <w:szCs w:val="24"/>
        </w:rPr>
      </w:pPr>
    </w:p>
    <w:p w14:paraId="04EED5BA"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tl/>
        </w:rPr>
      </w:pPr>
      <w:r w:rsidRPr="00BD1049">
        <w:rPr>
          <w:rFonts w:ascii="David" w:hAnsi="David" w:cs="David"/>
          <w:sz w:val="24"/>
          <w:szCs w:val="24"/>
          <w:rtl/>
        </w:rPr>
        <w:t>מנגד, המערער פעל לבדו. האירוע התרחש כאירוע מתגלגל. בדרכו לקיוסק לא נשא עימו הנאשם כלי נשק כלשהו. השימוש במספריים, שהיו על הדלפק, היה ספונטאני. זאת, להבדיל, מאירועים רבים אחרים, שבהם מתבצע שוד, באמצעות כלי נשק חם או קר, שבו הצטייד השודד מראש.</w:t>
      </w:r>
    </w:p>
    <w:p w14:paraId="5989FFA9" w14:textId="77777777" w:rsidR="00897CFA" w:rsidRPr="00BD1049" w:rsidRDefault="00897CFA" w:rsidP="00897CFA">
      <w:pPr>
        <w:spacing w:before="240" w:line="360" w:lineRule="auto"/>
        <w:ind w:firstLine="360"/>
        <w:jc w:val="both"/>
        <w:rPr>
          <w:rFonts w:ascii="David" w:hAnsi="David"/>
          <w:b/>
          <w:bCs/>
          <w:rtl/>
        </w:rPr>
      </w:pPr>
      <w:r w:rsidRPr="00BD1049">
        <w:rPr>
          <w:rFonts w:ascii="David" w:hAnsi="David"/>
          <w:b/>
          <w:bCs/>
          <w:rtl/>
        </w:rPr>
        <w:t>מדיניות הענישה הנוהגת – התיק העיקרי</w:t>
      </w:r>
    </w:p>
    <w:p w14:paraId="1E21CDFD" w14:textId="77777777" w:rsidR="00897CFA" w:rsidRPr="00BD1049" w:rsidRDefault="00897CFA" w:rsidP="00897CFA">
      <w:pPr>
        <w:pStyle w:val="a9"/>
        <w:numPr>
          <w:ilvl w:val="0"/>
          <w:numId w:val="1"/>
        </w:numPr>
        <w:spacing w:before="240" w:line="360" w:lineRule="auto"/>
        <w:ind w:left="720"/>
        <w:jc w:val="both"/>
        <w:rPr>
          <w:rFonts w:ascii="David" w:hAnsi="David" w:cs="David"/>
          <w:sz w:val="24"/>
          <w:szCs w:val="24"/>
          <w:rtl/>
        </w:rPr>
      </w:pPr>
      <w:r w:rsidRPr="00BD1049">
        <w:rPr>
          <w:rFonts w:ascii="David" w:hAnsi="David" w:cs="David"/>
          <w:sz w:val="24"/>
          <w:szCs w:val="24"/>
          <w:rtl/>
        </w:rPr>
        <w:t xml:space="preserve">בית המשפט העליון עמד פעם אחר פעם על חומרת עבירת שוד בנסיבות מחמירות, המחייבת ענישה הולמת: </w:t>
      </w:r>
    </w:p>
    <w:p w14:paraId="11E8235A" w14:textId="77777777" w:rsidR="00897CFA" w:rsidRDefault="00897CFA" w:rsidP="00897CFA">
      <w:pPr>
        <w:pStyle w:val="a9"/>
        <w:spacing w:before="240" w:line="240" w:lineRule="auto"/>
        <w:ind w:left="1502" w:right="1134"/>
        <w:jc w:val="both"/>
        <w:rPr>
          <w:rFonts w:ascii="David" w:hAnsi="David" w:cs="David"/>
          <w:sz w:val="24"/>
          <w:szCs w:val="24"/>
          <w:rtl/>
        </w:rPr>
      </w:pPr>
      <w:r w:rsidRPr="00BD1049">
        <w:rPr>
          <w:rFonts w:ascii="David" w:hAnsi="David" w:cs="David"/>
          <w:sz w:val="24"/>
          <w:szCs w:val="24"/>
          <w:rtl/>
        </w:rPr>
        <w:t>"בפסיקת בית משפט זה תוארה לא אחת חומרתה של עבירת השוד בנסיבות מחמירות, הפוגעת בביטחונו האישי של הפרט וברכושו, וכן בתחושת הביטחון של הציבור בכללותו, בשלומו וברווחתו (</w:t>
      </w:r>
      <w:hyperlink r:id="rId79" w:history="1">
        <w:r w:rsidR="00873397" w:rsidRPr="00873397">
          <w:rPr>
            <w:rFonts w:ascii="David" w:hAnsi="David" w:cs="David"/>
            <w:color w:val="0000FF"/>
            <w:sz w:val="24"/>
            <w:szCs w:val="24"/>
            <w:u w:val="single"/>
            <w:rtl/>
          </w:rPr>
          <w:t>ע"פ 4125/14</w:t>
        </w:r>
      </w:hyperlink>
      <w:r w:rsidRPr="00BD1049">
        <w:rPr>
          <w:rFonts w:ascii="David" w:hAnsi="David" w:cs="David"/>
          <w:sz w:val="24"/>
          <w:szCs w:val="24"/>
          <w:rtl/>
        </w:rPr>
        <w:t xml:space="preserve"> </w:t>
      </w:r>
      <w:r w:rsidRPr="00BD1049">
        <w:rPr>
          <w:rFonts w:ascii="David" w:hAnsi="David" w:cs="David"/>
          <w:b/>
          <w:bCs/>
          <w:sz w:val="24"/>
          <w:szCs w:val="24"/>
          <w:rtl/>
        </w:rPr>
        <w:t>חרב נ' מדינת ישראל</w:t>
      </w:r>
      <w:r w:rsidRPr="00BD1049">
        <w:rPr>
          <w:rFonts w:ascii="David" w:hAnsi="David" w:cs="David"/>
          <w:sz w:val="24"/>
          <w:szCs w:val="24"/>
          <w:rtl/>
        </w:rPr>
        <w:t xml:space="preserve">, פסקה 7 (6.1.2015); </w:t>
      </w:r>
      <w:hyperlink r:id="rId80" w:history="1">
        <w:r w:rsidR="00873397" w:rsidRPr="00873397">
          <w:rPr>
            <w:rFonts w:ascii="David" w:hAnsi="David" w:cs="David"/>
            <w:color w:val="0000FF"/>
            <w:sz w:val="24"/>
            <w:szCs w:val="24"/>
            <w:u w:val="single"/>
            <w:rtl/>
          </w:rPr>
          <w:t>ע"פ 8205/12</w:t>
        </w:r>
      </w:hyperlink>
      <w:r w:rsidRPr="00BD1049">
        <w:rPr>
          <w:rFonts w:ascii="David" w:hAnsi="David" w:cs="David"/>
          <w:sz w:val="24"/>
          <w:szCs w:val="24"/>
          <w:rtl/>
        </w:rPr>
        <w:t xml:space="preserve"> </w:t>
      </w:r>
      <w:r w:rsidRPr="00BD1049">
        <w:rPr>
          <w:rFonts w:ascii="David" w:hAnsi="David" w:cs="David"/>
          <w:b/>
          <w:bCs/>
          <w:sz w:val="24"/>
          <w:szCs w:val="24"/>
          <w:rtl/>
        </w:rPr>
        <w:t>דדון נ' מדינת ישראל</w:t>
      </w:r>
      <w:r w:rsidRPr="00BD1049">
        <w:rPr>
          <w:rFonts w:ascii="David" w:hAnsi="David" w:cs="David"/>
          <w:sz w:val="24"/>
          <w:szCs w:val="24"/>
          <w:rtl/>
        </w:rPr>
        <w:t>, פסקה 5 (26.12.2013)). הענישה בעבירות מעין אלו, כך נפסק, צריכה לבטא את הסלידה החברתית העמוקה מהמעשים ולשלוח מסר מרתיע "לכל מי שבוחר להשיג רווח 'קל' בדרך עבריינית תוך פגיעה באנשים תמימים הנקרים בדרכם" (</w:t>
      </w:r>
      <w:hyperlink r:id="rId81" w:history="1">
        <w:r w:rsidR="00873397" w:rsidRPr="00873397">
          <w:rPr>
            <w:rFonts w:ascii="David" w:hAnsi="David" w:cs="David"/>
            <w:color w:val="0000FF"/>
            <w:sz w:val="24"/>
            <w:szCs w:val="24"/>
            <w:u w:val="single"/>
            <w:rtl/>
          </w:rPr>
          <w:t>ע"פ 5265/12</w:t>
        </w:r>
      </w:hyperlink>
      <w:r w:rsidRPr="00BD1049">
        <w:rPr>
          <w:rFonts w:ascii="David" w:hAnsi="David" w:cs="David"/>
          <w:sz w:val="24"/>
          <w:szCs w:val="24"/>
          <w:rtl/>
        </w:rPr>
        <w:t xml:space="preserve"> </w:t>
      </w:r>
      <w:r w:rsidRPr="00BD1049">
        <w:rPr>
          <w:rFonts w:ascii="David" w:hAnsi="David" w:cs="David"/>
          <w:b/>
          <w:bCs/>
          <w:sz w:val="24"/>
          <w:szCs w:val="24"/>
          <w:rtl/>
        </w:rPr>
        <w:t>עמור נ' מדינת ישראל</w:t>
      </w:r>
      <w:r w:rsidRPr="00BD1049">
        <w:rPr>
          <w:rFonts w:ascii="David" w:hAnsi="David" w:cs="David"/>
          <w:sz w:val="24"/>
          <w:szCs w:val="24"/>
          <w:rtl/>
        </w:rPr>
        <w:t xml:space="preserve">, פסקה 8 (27.12.2012); עניין </w:t>
      </w:r>
      <w:r w:rsidRPr="00BD1049">
        <w:rPr>
          <w:rFonts w:ascii="David" w:hAnsi="David" w:cs="David"/>
          <w:b/>
          <w:bCs/>
          <w:sz w:val="24"/>
          <w:szCs w:val="24"/>
          <w:rtl/>
        </w:rPr>
        <w:t>מיכלאשוילי</w:t>
      </w:r>
      <w:r w:rsidRPr="00BD1049">
        <w:rPr>
          <w:rFonts w:ascii="David" w:hAnsi="David" w:cs="David"/>
          <w:sz w:val="24"/>
          <w:szCs w:val="24"/>
          <w:rtl/>
        </w:rPr>
        <w:t>, פסקה 7)." (</w:t>
      </w:r>
      <w:hyperlink r:id="rId82" w:history="1">
        <w:r w:rsidR="00873397" w:rsidRPr="00873397">
          <w:rPr>
            <w:rFonts w:ascii="David" w:hAnsi="David" w:cs="David"/>
            <w:color w:val="0000FF"/>
            <w:sz w:val="24"/>
            <w:szCs w:val="24"/>
            <w:u w:val="single"/>
            <w:rtl/>
          </w:rPr>
          <w:t>ע"פ 8696/18</w:t>
        </w:r>
      </w:hyperlink>
      <w:r w:rsidRPr="00BD1049">
        <w:rPr>
          <w:rFonts w:ascii="David" w:hAnsi="David" w:cs="David"/>
          <w:sz w:val="24"/>
          <w:szCs w:val="24"/>
          <w:rtl/>
        </w:rPr>
        <w:t xml:space="preserve"> </w:t>
      </w:r>
      <w:r w:rsidRPr="00BD1049">
        <w:rPr>
          <w:rFonts w:ascii="David" w:hAnsi="David" w:cs="David"/>
          <w:b/>
          <w:bCs/>
          <w:sz w:val="24"/>
          <w:szCs w:val="24"/>
          <w:rtl/>
        </w:rPr>
        <w:t>מדינת ישראל נ' מני</w:t>
      </w:r>
      <w:r w:rsidRPr="00BD1049">
        <w:rPr>
          <w:rFonts w:ascii="David" w:hAnsi="David" w:cs="David"/>
          <w:sz w:val="24"/>
          <w:szCs w:val="24"/>
          <w:rtl/>
        </w:rPr>
        <w:t xml:space="preserve">, פסקה 8 (18.4.2019)). </w:t>
      </w:r>
    </w:p>
    <w:p w14:paraId="11A0EF44" w14:textId="77777777" w:rsidR="00897CFA" w:rsidRPr="00BD1049" w:rsidRDefault="00897CFA" w:rsidP="00897CFA">
      <w:pPr>
        <w:pStyle w:val="a9"/>
        <w:spacing w:before="240" w:line="240" w:lineRule="auto"/>
        <w:ind w:left="1502" w:right="1134"/>
        <w:jc w:val="both"/>
        <w:rPr>
          <w:rFonts w:ascii="David" w:hAnsi="David" w:cs="David"/>
          <w:sz w:val="24"/>
          <w:szCs w:val="24"/>
        </w:rPr>
      </w:pPr>
    </w:p>
    <w:p w14:paraId="6607C6B0" w14:textId="77777777" w:rsidR="00897CFA" w:rsidRDefault="00897CFA" w:rsidP="00897CFA">
      <w:pPr>
        <w:pStyle w:val="a9"/>
        <w:numPr>
          <w:ilvl w:val="0"/>
          <w:numId w:val="1"/>
        </w:numPr>
        <w:spacing w:before="240" w:line="360" w:lineRule="auto"/>
        <w:ind w:left="720"/>
        <w:jc w:val="both"/>
        <w:rPr>
          <w:rFonts w:ascii="David" w:hAnsi="David" w:cs="David"/>
          <w:sz w:val="24"/>
          <w:szCs w:val="24"/>
        </w:rPr>
      </w:pPr>
      <w:r w:rsidRPr="00BD1049">
        <w:rPr>
          <w:rFonts w:ascii="David" w:hAnsi="David" w:cs="David"/>
          <w:sz w:val="24"/>
          <w:szCs w:val="24"/>
          <w:rtl/>
        </w:rPr>
        <w:t xml:space="preserve">במסגרת טיעוניה הפנתה המדינה למספר פסקי דין, שברובם ככולם, נלווה תכנון מוקדם והצטיידות בנשק לצורך ביצוע השוד. ההגנה מצידה נמנעה מלהציג כל פסיקה. לאחר שעיינתי בפסקי הדין שהציגה המאשימה ובפסיקה נוספת, אפנה למספר פסקי דין, המלמדים על מאפייני מדיניות הענישה הנוהגת: </w:t>
      </w:r>
    </w:p>
    <w:p w14:paraId="535E369D" w14:textId="77777777" w:rsidR="00897CFA" w:rsidRPr="00BD1049" w:rsidRDefault="00897CFA" w:rsidP="00897CFA">
      <w:pPr>
        <w:pStyle w:val="a9"/>
        <w:spacing w:before="240" w:line="360" w:lineRule="auto"/>
        <w:jc w:val="both"/>
        <w:rPr>
          <w:rFonts w:ascii="David" w:hAnsi="David" w:cs="David"/>
          <w:sz w:val="24"/>
          <w:szCs w:val="24"/>
          <w:rtl/>
        </w:rPr>
      </w:pPr>
    </w:p>
    <w:p w14:paraId="6061F55B" w14:textId="77777777" w:rsidR="00897CFA" w:rsidRPr="00BD1049" w:rsidRDefault="00897CFA" w:rsidP="00897CFA">
      <w:pPr>
        <w:pStyle w:val="a9"/>
        <w:numPr>
          <w:ilvl w:val="0"/>
          <w:numId w:val="2"/>
        </w:numPr>
        <w:spacing w:before="240" w:line="360" w:lineRule="auto"/>
        <w:jc w:val="both"/>
        <w:rPr>
          <w:rFonts w:ascii="David" w:hAnsi="David" w:cs="David"/>
          <w:sz w:val="24"/>
          <w:szCs w:val="24"/>
          <w:rtl/>
        </w:rPr>
      </w:pPr>
      <w:r w:rsidRPr="00BD1049">
        <w:rPr>
          <w:rFonts w:ascii="David" w:hAnsi="David" w:cs="David"/>
          <w:sz w:val="24"/>
          <w:szCs w:val="24"/>
          <w:rtl/>
        </w:rPr>
        <w:t>ב</w:t>
      </w:r>
      <w:hyperlink r:id="rId83" w:history="1">
        <w:r w:rsidR="00873397" w:rsidRPr="00873397">
          <w:rPr>
            <w:rFonts w:ascii="David" w:hAnsi="David" w:cs="David"/>
            <w:color w:val="0000FF"/>
            <w:sz w:val="24"/>
            <w:szCs w:val="24"/>
            <w:u w:val="single"/>
            <w:rtl/>
          </w:rPr>
          <w:t>ע"פ 552/24</w:t>
        </w:r>
      </w:hyperlink>
      <w:r w:rsidRPr="00BD1049">
        <w:rPr>
          <w:rFonts w:ascii="David" w:hAnsi="David" w:cs="David"/>
          <w:sz w:val="24"/>
          <w:szCs w:val="24"/>
          <w:rtl/>
        </w:rPr>
        <w:t xml:space="preserve"> </w:t>
      </w:r>
      <w:r w:rsidRPr="00BD1049">
        <w:rPr>
          <w:rFonts w:ascii="David" w:hAnsi="David" w:cs="David"/>
          <w:b/>
          <w:bCs/>
          <w:sz w:val="24"/>
          <w:szCs w:val="24"/>
          <w:rtl/>
        </w:rPr>
        <w:t>אטרש נ' מדינת ישראל</w:t>
      </w:r>
      <w:r w:rsidRPr="00BD1049">
        <w:rPr>
          <w:rFonts w:ascii="David" w:hAnsi="David" w:cs="David"/>
          <w:sz w:val="24"/>
          <w:szCs w:val="24"/>
          <w:rtl/>
        </w:rPr>
        <w:t xml:space="preserve"> (נבו 28.7.2024), הנאשם ביצע, יחד עם אחרים, שוד לילי בחנות לילה הפועלת בשטחה של תחנת דלק והורשע בעבירת שוד בנסיבות מחמירות וכן בעבירת היזק בזדון. בית המשפט המחוזי קבע מתחם ענישה שנע בין 3 ל-6 שנות מאסר, ומצא לחרוג מן המתחם ולגזור על הנאשם 28 חודשי מאסר בפועל, בשל שיקולי האחידות בענישה, שכן שלושת הנאשמים האחרים זכו לעונשים מקלים במסגרת הסדר טיעון שנבע מקשיים ראייתיים. הערעור לבית המשפט העליון נדחה. </w:t>
      </w:r>
    </w:p>
    <w:p w14:paraId="290E9979" w14:textId="77777777" w:rsidR="00897CFA" w:rsidRDefault="00897CFA" w:rsidP="00897CFA">
      <w:pPr>
        <w:pStyle w:val="a9"/>
        <w:numPr>
          <w:ilvl w:val="0"/>
          <w:numId w:val="2"/>
        </w:numPr>
        <w:spacing w:before="240" w:line="360" w:lineRule="auto"/>
        <w:jc w:val="both"/>
        <w:rPr>
          <w:rFonts w:ascii="David" w:hAnsi="David" w:cs="David"/>
          <w:sz w:val="24"/>
          <w:szCs w:val="24"/>
        </w:rPr>
      </w:pPr>
      <w:r w:rsidRPr="00BD1049">
        <w:rPr>
          <w:rFonts w:ascii="David" w:hAnsi="David" w:cs="David"/>
          <w:sz w:val="24"/>
          <w:szCs w:val="24"/>
          <w:rtl/>
        </w:rPr>
        <w:t>ב</w:t>
      </w:r>
      <w:hyperlink r:id="rId84" w:history="1">
        <w:r w:rsidR="00873397" w:rsidRPr="00873397">
          <w:rPr>
            <w:rFonts w:ascii="David" w:hAnsi="David" w:cs="David"/>
            <w:color w:val="0000FF"/>
            <w:sz w:val="24"/>
            <w:szCs w:val="24"/>
            <w:u w:val="single"/>
            <w:rtl/>
          </w:rPr>
          <w:t>ע"פ 3658/14</w:t>
        </w:r>
      </w:hyperlink>
      <w:r w:rsidRPr="00BD1049">
        <w:rPr>
          <w:rFonts w:ascii="David" w:hAnsi="David" w:cs="David"/>
          <w:sz w:val="24"/>
          <w:szCs w:val="24"/>
          <w:rtl/>
        </w:rPr>
        <w:t xml:space="preserve"> </w:t>
      </w:r>
      <w:r w:rsidRPr="00BD1049">
        <w:rPr>
          <w:rFonts w:ascii="David" w:hAnsi="David" w:cs="David"/>
          <w:b/>
          <w:bCs/>
          <w:sz w:val="24"/>
          <w:szCs w:val="24"/>
          <w:rtl/>
        </w:rPr>
        <w:t>יליסייב נ' מדינת ישראל</w:t>
      </w:r>
      <w:r w:rsidRPr="00BD1049">
        <w:rPr>
          <w:rFonts w:ascii="David" w:hAnsi="David" w:cs="David"/>
          <w:sz w:val="24"/>
          <w:szCs w:val="24"/>
          <w:rtl/>
        </w:rPr>
        <w:t xml:space="preserve"> (23.1.2015) הורשע הנאשם בביצוע עבירת שוד בנסיבות מחמירות, לאחר שבמרכז קניות בבאר שבע שדד אישה ואיים עליה בעזרת סכין מטבח ארוכה וחדה. בית המשפט המחוזי קבע מתחם ענישה הנע בין 3 ל-6 שנות מאסר, וגזר עליו 4 שנות מאסר, זאת על רקע עברו הפלילי המשמעותי, והנסיבות המחמירות של הביצוע. בית המשפט העליון דחה את הערעור והדגיש את הפגי</w:t>
      </w:r>
      <w:r>
        <w:rPr>
          <w:rFonts w:ascii="David" w:hAnsi="David" w:cs="David"/>
          <w:sz w:val="24"/>
          <w:szCs w:val="24"/>
          <w:rtl/>
        </w:rPr>
        <w:t>עה הנפשית הקשה שנגרמה למתלוננת.</w:t>
      </w:r>
    </w:p>
    <w:p w14:paraId="302282A3" w14:textId="77777777" w:rsidR="00897CFA" w:rsidRPr="00BD1049" w:rsidRDefault="00897CFA" w:rsidP="00897CFA">
      <w:pPr>
        <w:pStyle w:val="a9"/>
        <w:spacing w:before="240" w:line="360" w:lineRule="auto"/>
        <w:ind w:left="1080"/>
        <w:jc w:val="both"/>
        <w:rPr>
          <w:rFonts w:ascii="David" w:hAnsi="David" w:cs="David"/>
          <w:sz w:val="24"/>
          <w:szCs w:val="24"/>
        </w:rPr>
      </w:pPr>
    </w:p>
    <w:p w14:paraId="36FA6C3A" w14:textId="77777777" w:rsidR="00897CFA" w:rsidRPr="009C6B5B" w:rsidRDefault="00897CFA" w:rsidP="00897CFA">
      <w:pPr>
        <w:pStyle w:val="a9"/>
        <w:numPr>
          <w:ilvl w:val="0"/>
          <w:numId w:val="2"/>
        </w:numPr>
        <w:spacing w:before="240" w:line="360" w:lineRule="auto"/>
        <w:jc w:val="both"/>
        <w:rPr>
          <w:rFonts w:ascii="David" w:hAnsi="David"/>
          <w:b/>
          <w:bCs/>
          <w:sz w:val="20"/>
          <w:szCs w:val="20"/>
        </w:rPr>
      </w:pPr>
      <w:r w:rsidRPr="00BD1049">
        <w:rPr>
          <w:rFonts w:ascii="David" w:hAnsi="David" w:cs="David"/>
          <w:sz w:val="24"/>
          <w:szCs w:val="24"/>
          <w:rtl/>
        </w:rPr>
        <w:t>ב</w:t>
      </w:r>
      <w:hyperlink r:id="rId85" w:history="1">
        <w:r w:rsidR="00873397" w:rsidRPr="00873397">
          <w:rPr>
            <w:rFonts w:ascii="David" w:hAnsi="David" w:cs="David"/>
            <w:color w:val="0000FF"/>
            <w:sz w:val="24"/>
            <w:szCs w:val="24"/>
            <w:u w:val="single"/>
            <w:rtl/>
          </w:rPr>
          <w:t>ע"פ 6001/13</w:t>
        </w:r>
      </w:hyperlink>
      <w:r w:rsidRPr="00BD1049">
        <w:rPr>
          <w:rFonts w:ascii="David" w:hAnsi="David" w:cs="David"/>
          <w:sz w:val="24"/>
          <w:szCs w:val="24"/>
          <w:rtl/>
        </w:rPr>
        <w:t xml:space="preserve"> </w:t>
      </w:r>
      <w:r w:rsidRPr="00BD1049">
        <w:rPr>
          <w:rFonts w:ascii="David" w:hAnsi="David" w:cs="David"/>
          <w:b/>
          <w:bCs/>
          <w:sz w:val="24"/>
          <w:szCs w:val="24"/>
          <w:rtl/>
        </w:rPr>
        <w:t>קסה נ' מדינת ישראל</w:t>
      </w:r>
      <w:r w:rsidRPr="00BD1049">
        <w:rPr>
          <w:rFonts w:ascii="David" w:hAnsi="David" w:cs="David"/>
          <w:sz w:val="24"/>
          <w:szCs w:val="24"/>
          <w:rtl/>
        </w:rPr>
        <w:t xml:space="preserve"> (29.1.2014) הורשע הנאשם בעבירה של ניסיון שוד בנסיבות מחמירות. באותה פרשה הגיע הנאשם בשעת לילה מאוחרת לחנות נוחות של תחנת דלק כאשר הוא שתוי ומחזיק לגופו סכין מתקפלת. משסרב המוכרן למכור לו אלכוהול, שלף את הסכין, איים עליו בתנועות דקירה ודרש ממנו שייתן לו כסף. המוכרן לא הצליח לפתוח את הקופה ובתגובה תפס המערער בכוח את כף ידו של המוכרן ועיקם את אצבעותיו, לאחר מכן גם השליך עליו מוצרים שונים שהיו על הדלפק שפגעו בראשו ובגופו. תוך כדי התקיפה ניסה המערער להוציא כסף מהקופה ללא הצלחה. המערער נמלט מהחנות ונתפס זמן קצר לאחר מכן. בית המשפט המחוזי קבע מתחם עונש הולם הנע בין 2 ל- 5 שנות מאסר בפועל, וגזר על המערער 33 חודשי מאסר. בית המשפט העליון דחה את הערעור.</w:t>
      </w:r>
      <w:r w:rsidRPr="00BD1049">
        <w:rPr>
          <w:rFonts w:ascii="David" w:hAnsi="David"/>
          <w:sz w:val="20"/>
          <w:szCs w:val="20"/>
          <w:rtl/>
        </w:rPr>
        <w:t xml:space="preserve"> </w:t>
      </w:r>
    </w:p>
    <w:p w14:paraId="4016ABB6" w14:textId="77777777" w:rsidR="00897CFA" w:rsidRPr="00BD1049" w:rsidRDefault="00897CFA" w:rsidP="00897CFA">
      <w:pPr>
        <w:pStyle w:val="a9"/>
        <w:spacing w:before="240" w:line="360" w:lineRule="auto"/>
        <w:ind w:left="1080"/>
        <w:jc w:val="both"/>
        <w:rPr>
          <w:rFonts w:ascii="David" w:hAnsi="David"/>
          <w:b/>
          <w:bCs/>
          <w:sz w:val="20"/>
          <w:szCs w:val="20"/>
        </w:rPr>
      </w:pPr>
    </w:p>
    <w:p w14:paraId="40C63943" w14:textId="77777777" w:rsidR="00897CFA" w:rsidRDefault="00897CFA" w:rsidP="00897CFA">
      <w:pPr>
        <w:pStyle w:val="a9"/>
        <w:numPr>
          <w:ilvl w:val="0"/>
          <w:numId w:val="2"/>
        </w:numPr>
        <w:spacing w:before="240" w:line="360" w:lineRule="auto"/>
        <w:jc w:val="both"/>
        <w:rPr>
          <w:rFonts w:ascii="David" w:hAnsi="David" w:cs="David"/>
          <w:sz w:val="24"/>
          <w:szCs w:val="24"/>
        </w:rPr>
      </w:pPr>
      <w:r w:rsidRPr="00BD1049">
        <w:rPr>
          <w:rFonts w:ascii="David" w:hAnsi="David" w:cs="David"/>
          <w:sz w:val="24"/>
          <w:szCs w:val="24"/>
          <w:rtl/>
        </w:rPr>
        <w:t>ב</w:t>
      </w:r>
      <w:hyperlink r:id="rId86" w:history="1">
        <w:r w:rsidR="00873397" w:rsidRPr="00873397">
          <w:rPr>
            <w:rFonts w:ascii="David" w:hAnsi="David" w:cs="David"/>
            <w:color w:val="0000FF"/>
            <w:sz w:val="24"/>
            <w:szCs w:val="24"/>
            <w:u w:val="single"/>
            <w:rtl/>
          </w:rPr>
          <w:t>ע"פ 1698/16</w:t>
        </w:r>
      </w:hyperlink>
      <w:r w:rsidRPr="00BD1049">
        <w:rPr>
          <w:rFonts w:ascii="David" w:hAnsi="David" w:cs="David"/>
          <w:sz w:val="24"/>
          <w:szCs w:val="24"/>
          <w:rtl/>
        </w:rPr>
        <w:t xml:space="preserve"> </w:t>
      </w:r>
      <w:r w:rsidRPr="00BD1049">
        <w:rPr>
          <w:rFonts w:ascii="David" w:hAnsi="David" w:cs="David"/>
          <w:b/>
          <w:bCs/>
          <w:sz w:val="24"/>
          <w:szCs w:val="24"/>
          <w:rtl/>
        </w:rPr>
        <w:t>דמלאו נ' מדינת ישראל</w:t>
      </w:r>
      <w:r w:rsidRPr="00BD1049">
        <w:rPr>
          <w:rFonts w:ascii="David" w:hAnsi="David" w:cs="David"/>
          <w:sz w:val="24"/>
          <w:szCs w:val="24"/>
          <w:rtl/>
        </w:rPr>
        <w:t xml:space="preserve"> (8.11.2016), הנאשם הורשע, לאחר שמיעת ראיות, בביצוע שוד בנסיבות מחמירות במונית בשעת לילה מאוחרת תוך שהוא נוקט אלימות וכן בהיזק בזדון. בית המשפט המחוזי קבע מתחם ענישה הנע בין 3 ל-5 שנות מאסר, וגזר על הנאשם 48 חודשי מאסר בפועל. מאסר מותנה הופעל באורח מצטבר. הערעור על חומרת העונש נדחה.</w:t>
      </w:r>
    </w:p>
    <w:p w14:paraId="0F8F9882" w14:textId="77777777" w:rsidR="00897CFA" w:rsidRPr="00BD1049" w:rsidRDefault="00897CFA" w:rsidP="00897CFA">
      <w:pPr>
        <w:pStyle w:val="a9"/>
        <w:spacing w:before="240" w:line="360" w:lineRule="auto"/>
        <w:ind w:left="1080"/>
        <w:jc w:val="both"/>
        <w:rPr>
          <w:rFonts w:ascii="David" w:hAnsi="David" w:cs="David"/>
          <w:sz w:val="24"/>
          <w:szCs w:val="24"/>
        </w:rPr>
      </w:pPr>
    </w:p>
    <w:p w14:paraId="12DA6C8D" w14:textId="77777777" w:rsidR="00897CFA" w:rsidRDefault="00897CFA" w:rsidP="00897CFA">
      <w:pPr>
        <w:pStyle w:val="a9"/>
        <w:numPr>
          <w:ilvl w:val="0"/>
          <w:numId w:val="2"/>
        </w:numPr>
        <w:spacing w:before="240" w:line="360" w:lineRule="auto"/>
        <w:jc w:val="both"/>
        <w:rPr>
          <w:rFonts w:ascii="David" w:hAnsi="David" w:cs="David"/>
          <w:sz w:val="24"/>
          <w:szCs w:val="24"/>
        </w:rPr>
      </w:pPr>
      <w:r w:rsidRPr="00BD1049">
        <w:rPr>
          <w:rFonts w:ascii="David" w:hAnsi="David" w:cs="David"/>
          <w:sz w:val="24"/>
          <w:szCs w:val="24"/>
          <w:rtl/>
        </w:rPr>
        <w:t>ב</w:t>
      </w:r>
      <w:hyperlink r:id="rId87" w:history="1">
        <w:r w:rsidR="00873397" w:rsidRPr="00873397">
          <w:rPr>
            <w:rFonts w:ascii="David" w:hAnsi="David" w:cs="David"/>
            <w:color w:val="0000FF"/>
            <w:sz w:val="24"/>
            <w:szCs w:val="24"/>
            <w:u w:val="single"/>
            <w:rtl/>
          </w:rPr>
          <w:t>ע"פ 5780/13</w:t>
        </w:r>
      </w:hyperlink>
      <w:r w:rsidRPr="00BD1049">
        <w:rPr>
          <w:rFonts w:ascii="David" w:hAnsi="David" w:cs="David"/>
          <w:sz w:val="24"/>
          <w:szCs w:val="24"/>
          <w:rtl/>
        </w:rPr>
        <w:t xml:space="preserve"> </w:t>
      </w:r>
      <w:r w:rsidRPr="00BD1049">
        <w:rPr>
          <w:rFonts w:ascii="David" w:hAnsi="David" w:cs="David"/>
          <w:b/>
          <w:bCs/>
          <w:sz w:val="24"/>
          <w:szCs w:val="24"/>
          <w:rtl/>
        </w:rPr>
        <w:t>בן אבו נ' מדינת ישראל</w:t>
      </w:r>
      <w:r w:rsidRPr="00BD1049">
        <w:rPr>
          <w:rFonts w:ascii="David" w:hAnsi="David" w:cs="David"/>
          <w:sz w:val="24"/>
          <w:szCs w:val="24"/>
          <w:rtl/>
        </w:rPr>
        <w:t xml:space="preserve"> (16.07.2014), הנאשם תכנן וביצע שוד במכולת בשעת לילה, כשבידו סכין. המערער הצמיד את הסכין לצווארו של המוכרן והורה לו למסור לידיו כסף. הוא הורשע בשוד בנסיבות מחמירות והחזקת סכין שלא כדין. המערער כפר במעשים, ולו עבר פלילי עשיר. בנוסף, בית המשפט המחוזי עמד על חומרת המעשה שנעשה בתכנון מוקדם כלפי קרבן מבוגר בשעת ערב תוך גרימת נזקים נפשיים. בית המשפט המחוזי קבע מתחם ענישה הנע בין 3 ל-6 שנות מאסר, וגזר עליו 52 חודשי מאסר. בית המשפט העליון קיבל את הערעור. מתחם ענישה הועמד על בין 2.5 ל-5 שנות מאסר והעונש הופחת ל-45 חודשי מאסר בפועל.</w:t>
      </w:r>
    </w:p>
    <w:p w14:paraId="60830EF9" w14:textId="77777777" w:rsidR="00897CFA" w:rsidRPr="00BD1049" w:rsidRDefault="00897CFA" w:rsidP="00897CFA">
      <w:pPr>
        <w:pStyle w:val="a9"/>
        <w:spacing w:before="240" w:line="360" w:lineRule="auto"/>
        <w:ind w:left="1080"/>
        <w:jc w:val="both"/>
        <w:rPr>
          <w:rFonts w:ascii="David" w:hAnsi="David" w:cs="David"/>
          <w:sz w:val="24"/>
          <w:szCs w:val="24"/>
        </w:rPr>
      </w:pPr>
    </w:p>
    <w:p w14:paraId="1EE257AD" w14:textId="77777777" w:rsidR="00897CFA" w:rsidRPr="00BD1049" w:rsidRDefault="00897CFA" w:rsidP="00897CFA">
      <w:pPr>
        <w:pStyle w:val="a9"/>
        <w:numPr>
          <w:ilvl w:val="0"/>
          <w:numId w:val="1"/>
        </w:numPr>
        <w:spacing w:before="240" w:line="360" w:lineRule="auto"/>
        <w:ind w:left="720"/>
        <w:jc w:val="both"/>
        <w:rPr>
          <w:rFonts w:ascii="David" w:hAnsi="David" w:cs="David"/>
          <w:b/>
          <w:bCs/>
          <w:sz w:val="24"/>
          <w:szCs w:val="24"/>
        </w:rPr>
      </w:pPr>
      <w:r w:rsidRPr="00BD1049">
        <w:rPr>
          <w:rFonts w:ascii="David" w:hAnsi="David" w:cs="David"/>
          <w:sz w:val="24"/>
          <w:szCs w:val="24"/>
          <w:rtl/>
        </w:rPr>
        <w:t xml:space="preserve">בבואי לקבוע, אפוא, את מתחם הענישה, בחנתי את מכלול השיקולים, בהם הערכים החברתיים בהם פגע הנאשם ומידת הפגיעה בהם; נסיבות ביצוע העבירה, ובכלל זה תקיפת עובד לילה, האלימות המשמעותית תוך שימוש במספריים חדים, הנזקים לגוף ולנפש; ומנגד הנאשם פעל לבדו, באירוע "מתגלגל", כאשר השימוש במספריים התרחש ללא תכנון מוקדם. כן נתתי דעתי למדיניות הענישה הנוהגת. </w:t>
      </w:r>
      <w:r w:rsidRPr="00BD1049">
        <w:rPr>
          <w:rFonts w:ascii="David" w:hAnsi="David" w:cs="David"/>
          <w:b/>
          <w:bCs/>
          <w:sz w:val="24"/>
          <w:szCs w:val="24"/>
          <w:rtl/>
        </w:rPr>
        <w:t xml:space="preserve">על רקע האמור נקבע מתחם ענישה שנע בין שלוש שנות מאסר בפועל ועד חמש שנות מאסר בפועל. </w:t>
      </w:r>
    </w:p>
    <w:p w14:paraId="6C4A4CEE" w14:textId="77777777" w:rsidR="00897CFA" w:rsidRPr="00BD1049" w:rsidRDefault="00897CFA" w:rsidP="00897CFA">
      <w:pPr>
        <w:spacing w:before="240" w:line="360" w:lineRule="auto"/>
        <w:ind w:firstLine="360"/>
        <w:jc w:val="both"/>
        <w:rPr>
          <w:rFonts w:ascii="David" w:hAnsi="David"/>
          <w:b/>
          <w:bCs/>
          <w:u w:val="single"/>
          <w:rtl/>
        </w:rPr>
      </w:pPr>
      <w:r w:rsidRPr="00BD1049">
        <w:rPr>
          <w:rFonts w:ascii="David" w:hAnsi="David"/>
          <w:b/>
          <w:bCs/>
          <w:u w:val="single"/>
          <w:rtl/>
        </w:rPr>
        <w:t>התיק המצורף הראשון</w:t>
      </w:r>
    </w:p>
    <w:p w14:paraId="7976326E" w14:textId="77777777" w:rsidR="00897CFA" w:rsidRPr="00BD1049" w:rsidRDefault="00897CFA" w:rsidP="00897CFA">
      <w:pPr>
        <w:spacing w:before="240" w:line="360" w:lineRule="auto"/>
        <w:ind w:left="360"/>
        <w:jc w:val="both"/>
        <w:rPr>
          <w:rFonts w:ascii="David" w:hAnsi="David"/>
          <w:b/>
          <w:bCs/>
          <w:rtl/>
        </w:rPr>
      </w:pPr>
      <w:r w:rsidRPr="00BD1049">
        <w:rPr>
          <w:rFonts w:ascii="David" w:hAnsi="David"/>
          <w:b/>
          <w:bCs/>
          <w:rtl/>
        </w:rPr>
        <w:t xml:space="preserve">הערכים החברתיים שנפגעו ונסיבות ביצוע העבירה </w:t>
      </w:r>
    </w:p>
    <w:p w14:paraId="46799C6C" w14:textId="77777777" w:rsidR="00897CFA" w:rsidRPr="00BD1049" w:rsidRDefault="00897CFA" w:rsidP="00897CFA">
      <w:pPr>
        <w:pStyle w:val="a9"/>
        <w:numPr>
          <w:ilvl w:val="0"/>
          <w:numId w:val="1"/>
        </w:numPr>
        <w:spacing w:before="240" w:line="360" w:lineRule="auto"/>
        <w:ind w:left="423"/>
        <w:jc w:val="both"/>
        <w:rPr>
          <w:rFonts w:ascii="David" w:hAnsi="David" w:cs="David"/>
          <w:b/>
          <w:bCs/>
          <w:sz w:val="24"/>
          <w:szCs w:val="24"/>
          <w:rtl/>
        </w:rPr>
      </w:pPr>
      <w:r w:rsidRPr="00BD1049">
        <w:rPr>
          <w:rFonts w:ascii="David" w:hAnsi="David" w:cs="David"/>
          <w:sz w:val="24"/>
          <w:szCs w:val="24"/>
          <w:rtl/>
        </w:rPr>
        <w:t xml:space="preserve"> המדובר</w:t>
      </w:r>
      <w:r w:rsidRPr="00BD1049">
        <w:rPr>
          <w:rFonts w:ascii="David" w:hAnsi="David" w:cs="David"/>
          <w:b/>
          <w:bCs/>
          <w:sz w:val="24"/>
          <w:szCs w:val="24"/>
          <w:rtl/>
        </w:rPr>
        <w:t xml:space="preserve"> </w:t>
      </w:r>
      <w:r w:rsidRPr="00BD1049">
        <w:rPr>
          <w:rFonts w:ascii="David" w:hAnsi="David" w:cs="David"/>
          <w:sz w:val="24"/>
          <w:szCs w:val="24"/>
          <w:rtl/>
        </w:rPr>
        <w:t>באירוע תקיפה, שהתרחש</w:t>
      </w:r>
      <w:r w:rsidRPr="00BD1049">
        <w:rPr>
          <w:rFonts w:ascii="David" w:hAnsi="David" w:cs="David"/>
          <w:b/>
          <w:bCs/>
          <w:sz w:val="24"/>
          <w:szCs w:val="24"/>
          <w:rtl/>
        </w:rPr>
        <w:t xml:space="preserve"> </w:t>
      </w:r>
      <w:r w:rsidRPr="00BD1049">
        <w:rPr>
          <w:rFonts w:ascii="David" w:hAnsi="David" w:cs="David"/>
          <w:sz w:val="24"/>
          <w:szCs w:val="24"/>
          <w:rtl/>
        </w:rPr>
        <w:t>במהלך הפרת הוראה חוקית. מדובר בפגיעה בערכי יסוד חברתיים של פגיעה בשלמות הגוף לצד פגיעה בשלטון החוק ובסדר הציבורי. עם זאת, נסיבות ההרשעה תוארו בכתב האישום באורח לקוני ביותר. ככל שאין להקל ראש בהשלכת אבן שפגעה במצחו של אדם, קל וחומר ללא התגרות או רקע אחר</w:t>
      </w:r>
      <w:r w:rsidRPr="00BD1049">
        <w:rPr>
          <w:rFonts w:ascii="David" w:hAnsi="David" w:cs="David"/>
          <w:b/>
          <w:bCs/>
          <w:sz w:val="24"/>
          <w:szCs w:val="24"/>
          <w:rtl/>
        </w:rPr>
        <w:t xml:space="preserve">, </w:t>
      </w:r>
      <w:r w:rsidRPr="00BD1049">
        <w:rPr>
          <w:rFonts w:ascii="David" w:hAnsi="David" w:cs="David"/>
          <w:sz w:val="24"/>
          <w:szCs w:val="24"/>
          <w:rtl/>
        </w:rPr>
        <w:t>לא הוצגה כל אינדיקציה לחבלה, כפי שטען ב"כ הנאשם.</w:t>
      </w:r>
    </w:p>
    <w:p w14:paraId="4272BBD1" w14:textId="77777777" w:rsidR="00897CFA" w:rsidRPr="00BD1049" w:rsidRDefault="00897CFA" w:rsidP="00897CFA">
      <w:pPr>
        <w:spacing w:before="240" w:line="360" w:lineRule="auto"/>
        <w:ind w:left="360"/>
        <w:jc w:val="both"/>
        <w:rPr>
          <w:rFonts w:ascii="David" w:hAnsi="David"/>
          <w:b/>
          <w:bCs/>
        </w:rPr>
      </w:pPr>
      <w:r w:rsidRPr="00BD1049">
        <w:rPr>
          <w:rFonts w:ascii="David" w:hAnsi="David"/>
          <w:b/>
          <w:bCs/>
          <w:rtl/>
        </w:rPr>
        <w:t>מדיניות הענישה הנוהגת</w:t>
      </w:r>
    </w:p>
    <w:p w14:paraId="469C1FEF" w14:textId="77777777" w:rsidR="00897CFA" w:rsidRPr="00BD1049" w:rsidRDefault="00897CFA" w:rsidP="00897CFA">
      <w:pPr>
        <w:pStyle w:val="a9"/>
        <w:numPr>
          <w:ilvl w:val="0"/>
          <w:numId w:val="1"/>
        </w:numPr>
        <w:spacing w:before="240" w:line="360" w:lineRule="auto"/>
        <w:ind w:left="423"/>
        <w:jc w:val="both"/>
        <w:rPr>
          <w:rFonts w:ascii="David" w:hAnsi="David" w:cs="David"/>
          <w:sz w:val="24"/>
          <w:szCs w:val="24"/>
        </w:rPr>
      </w:pPr>
      <w:r w:rsidRPr="00BD1049">
        <w:rPr>
          <w:rFonts w:ascii="David" w:hAnsi="David" w:cs="David"/>
          <w:sz w:val="24"/>
          <w:szCs w:val="24"/>
          <w:rtl/>
        </w:rPr>
        <w:t>בית המשפט עמד לא פעם על הצורך בענישה הולמת בגין מעשי אלימות, המהווים נגע שפשה בחברתנו. עם זאת, מנעד הענישה בעבירות אלימות הוא רחב כפועל יוצא ממכלול נסיבות ביצוע העבירה. אשר לעבירה דנן, לא זו בלבד שתיאור הנסיבות לקוני, הצדדים אף נמנעו מלהציג פסיקה למדיניות הענישה הנוהגת, להשקפתם. נסיבות עבירה כגון דא באות, ככלל, לפני בית משפט השלום וטיעון ההגנה, כי הרף התחתון של מתחם הענישה בנסיבות כבנסיבות דנן הוא מאסר מותנה עולה בקנה אחד עם מדיניות הענישה הנוהגת. כך, ב</w:t>
      </w:r>
      <w:hyperlink r:id="rId88" w:history="1">
        <w:r w:rsidR="00873397" w:rsidRPr="00873397">
          <w:rPr>
            <w:rFonts w:ascii="David" w:hAnsi="David" w:cs="David"/>
            <w:color w:val="0000FF"/>
            <w:sz w:val="24"/>
            <w:szCs w:val="24"/>
            <w:u w:val="single"/>
            <w:rtl/>
          </w:rPr>
          <w:t>ת"פ (שלום, י-ם) 38100-11-13</w:t>
        </w:r>
      </w:hyperlink>
      <w:r w:rsidRPr="00BD1049">
        <w:rPr>
          <w:rFonts w:ascii="David" w:hAnsi="David" w:cs="David"/>
          <w:sz w:val="24"/>
          <w:szCs w:val="24"/>
          <w:rtl/>
        </w:rPr>
        <w:t xml:space="preserve"> </w:t>
      </w:r>
      <w:r w:rsidRPr="00BD1049">
        <w:rPr>
          <w:rFonts w:ascii="David" w:hAnsi="David" w:cs="David"/>
          <w:b/>
          <w:bCs/>
          <w:sz w:val="24"/>
          <w:szCs w:val="24"/>
          <w:rtl/>
        </w:rPr>
        <w:t>מדינת ישראל נ' קנפו</w:t>
      </w:r>
      <w:r w:rsidRPr="00BD1049">
        <w:rPr>
          <w:rFonts w:ascii="David" w:hAnsi="David" w:cs="David"/>
          <w:sz w:val="24"/>
          <w:szCs w:val="24"/>
          <w:rtl/>
        </w:rPr>
        <w:t xml:space="preserve"> (19.10.2014) הורשע הנאשם על בסיס הודאתו בשני תיקים שונים, כאשר אחד מהם רלוונטי לענייננו. שם, בעת שהנאשם חרג מ"חלונות" שאושרו לו במסגרת "מעצר בית" תקף את המתלונן באמצעות אגרוף וסטר לו. בגין מעשים אלו הורשע בעבירות לפי סעיפים 379 ו-287(א) ל</w:t>
      </w:r>
      <w:hyperlink r:id="rId89" w:history="1">
        <w:r w:rsidR="00873397" w:rsidRPr="00873397">
          <w:rPr>
            <w:rFonts w:ascii="David" w:hAnsi="David" w:cs="David"/>
            <w:color w:val="0000FF"/>
            <w:sz w:val="24"/>
            <w:szCs w:val="24"/>
            <w:u w:val="single"/>
            <w:rtl/>
          </w:rPr>
          <w:t>חוק העונשין</w:t>
        </w:r>
      </w:hyperlink>
      <w:r w:rsidRPr="00BD1049">
        <w:rPr>
          <w:rFonts w:ascii="David" w:hAnsi="David" w:cs="David"/>
          <w:sz w:val="24"/>
          <w:szCs w:val="24"/>
          <w:rtl/>
        </w:rPr>
        <w:t>. מתחם הענישה שנקבע בבית משפט השלום נע בין מאסר קצר שניתן לרצות בעבודות שירות לבין שנת מאסר בפועל. בערעור נדרש בית המשפט המחוזי למתחם הענישה וציין כי קביעת בית משפט השלום "התחילה ברף גבוה מידי של מאסר בעבודות שירות עד שנת מאסר בפועל כאשר על פי הפסיקה ניתן להסתפק במאסר על תנאי ולעיתים אפילו בשל"צ, ולבטח אין בסיס לרף עליון של שנת מאסר." (</w:t>
      </w:r>
      <w:hyperlink r:id="rId90" w:history="1">
        <w:r w:rsidR="00873397" w:rsidRPr="00873397">
          <w:rPr>
            <w:rFonts w:ascii="David" w:hAnsi="David" w:cs="David"/>
            <w:color w:val="0000FF"/>
            <w:sz w:val="24"/>
            <w:szCs w:val="24"/>
            <w:u w:val="single"/>
            <w:rtl/>
          </w:rPr>
          <w:t>עפ"ג (מחוזי י-ם) 40959-11-14</w:t>
        </w:r>
      </w:hyperlink>
      <w:r w:rsidRPr="00BD1049">
        <w:rPr>
          <w:rFonts w:ascii="David" w:hAnsi="David" w:cs="David"/>
          <w:sz w:val="24"/>
          <w:szCs w:val="24"/>
          <w:rtl/>
        </w:rPr>
        <w:t xml:space="preserve"> </w:t>
      </w:r>
      <w:r w:rsidRPr="00BD1049">
        <w:rPr>
          <w:rFonts w:ascii="David" w:hAnsi="David" w:cs="David"/>
          <w:b/>
          <w:bCs/>
          <w:sz w:val="24"/>
          <w:szCs w:val="24"/>
          <w:rtl/>
        </w:rPr>
        <w:t>קנפו נ' מדינת ישראל</w:t>
      </w:r>
      <w:r w:rsidRPr="00BD1049">
        <w:rPr>
          <w:rFonts w:ascii="David" w:hAnsi="David" w:cs="David"/>
          <w:sz w:val="24"/>
          <w:szCs w:val="24"/>
          <w:rtl/>
        </w:rPr>
        <w:t xml:space="preserve">, פסקה 50 (16.4.2015)). בבואי לקבוע את מתחם הענישה לעניין הרשעה זו, בחנתי את הערכים החברתיים בהם פגע הנאשם; נסיבות ביצוע העבירה, ככל שפורטו; ומדיניות הענישה הנוהגת. </w:t>
      </w:r>
      <w:r w:rsidRPr="00BD1049">
        <w:rPr>
          <w:rFonts w:ascii="David" w:hAnsi="David" w:cs="David"/>
          <w:b/>
          <w:bCs/>
          <w:sz w:val="24"/>
          <w:szCs w:val="24"/>
          <w:rtl/>
        </w:rPr>
        <w:t>על רקע האמור נקבע מתחם ענישה שנע בין מאסר מותנה לבין תשעה חודשי מאסר בפועל שיכול וירוצו בעבודות שירות</w:t>
      </w:r>
      <w:r w:rsidRPr="00BD1049">
        <w:rPr>
          <w:rFonts w:ascii="David" w:hAnsi="David" w:cs="David"/>
          <w:sz w:val="24"/>
          <w:szCs w:val="24"/>
          <w:rtl/>
        </w:rPr>
        <w:t>.</w:t>
      </w:r>
    </w:p>
    <w:p w14:paraId="6E81F9F3" w14:textId="77777777" w:rsidR="00897CFA" w:rsidRPr="00BD1049" w:rsidRDefault="00897CFA" w:rsidP="00897CFA">
      <w:pPr>
        <w:spacing w:before="240" w:line="360" w:lineRule="auto"/>
        <w:ind w:left="63"/>
        <w:jc w:val="both"/>
        <w:rPr>
          <w:rFonts w:ascii="David" w:hAnsi="David"/>
          <w:b/>
          <w:bCs/>
          <w:u w:val="single"/>
        </w:rPr>
      </w:pPr>
      <w:r w:rsidRPr="007D4917">
        <w:rPr>
          <w:rFonts w:ascii="David" w:hAnsi="David" w:hint="cs"/>
          <w:b/>
          <w:bCs/>
          <w:rtl/>
        </w:rPr>
        <w:t xml:space="preserve">       </w:t>
      </w:r>
      <w:r w:rsidRPr="00BD1049">
        <w:rPr>
          <w:rFonts w:ascii="David" w:hAnsi="David"/>
          <w:b/>
          <w:bCs/>
          <w:u w:val="single"/>
          <w:rtl/>
        </w:rPr>
        <w:t>התיק המצורף השני</w:t>
      </w:r>
    </w:p>
    <w:p w14:paraId="0B5ECF39" w14:textId="77777777" w:rsidR="00897CFA" w:rsidRPr="00BD1049" w:rsidRDefault="00897CFA" w:rsidP="00897CFA">
      <w:pPr>
        <w:pStyle w:val="a9"/>
        <w:numPr>
          <w:ilvl w:val="0"/>
          <w:numId w:val="1"/>
        </w:numPr>
        <w:spacing w:before="240" w:line="360" w:lineRule="auto"/>
        <w:ind w:left="423"/>
        <w:jc w:val="both"/>
        <w:rPr>
          <w:rFonts w:ascii="David" w:hAnsi="David" w:cs="David"/>
          <w:sz w:val="24"/>
          <w:szCs w:val="24"/>
        </w:rPr>
      </w:pPr>
      <w:r w:rsidRPr="00BD1049">
        <w:rPr>
          <w:rFonts w:ascii="David" w:hAnsi="David" w:cs="David"/>
          <w:sz w:val="24"/>
          <w:szCs w:val="24"/>
          <w:rtl/>
        </w:rPr>
        <w:t xml:space="preserve"> בטיעונה המפורט באשר לתיק זה עתרה המדינה בסופו של יום "שעבור כל האירועים יחד ייקבע מתחם כולל". זאת, "לאור החוט המקשר בין כל המקרים, סמיכות הזמנים והקשר שיש ביניהם". קו טיעון זה מקובל עלי ותואם את המבחנים שהוצבו בעניין </w:t>
      </w:r>
      <w:r w:rsidRPr="00BD1049">
        <w:rPr>
          <w:rFonts w:ascii="David" w:hAnsi="David" w:cs="David"/>
          <w:b/>
          <w:bCs/>
          <w:sz w:val="24"/>
          <w:szCs w:val="24"/>
          <w:rtl/>
        </w:rPr>
        <w:t>ג'אבר</w:t>
      </w:r>
      <w:r w:rsidRPr="00BD1049">
        <w:rPr>
          <w:rFonts w:ascii="David" w:hAnsi="David" w:cs="David"/>
          <w:sz w:val="24"/>
          <w:szCs w:val="24"/>
          <w:rtl/>
        </w:rPr>
        <w:t xml:space="preserve"> (</w:t>
      </w:r>
      <w:hyperlink r:id="rId91" w:history="1">
        <w:r w:rsidR="00873397" w:rsidRPr="00873397">
          <w:rPr>
            <w:rFonts w:ascii="David" w:hAnsi="David" w:cs="David"/>
            <w:color w:val="0000FF"/>
            <w:sz w:val="24"/>
            <w:szCs w:val="24"/>
            <w:u w:val="single"/>
            <w:rtl/>
          </w:rPr>
          <w:t>ע"פ 4910/13</w:t>
        </w:r>
      </w:hyperlink>
      <w:r w:rsidRPr="00BD1049">
        <w:rPr>
          <w:rFonts w:ascii="David" w:hAnsi="David" w:cs="David"/>
          <w:sz w:val="24"/>
          <w:szCs w:val="24"/>
          <w:rtl/>
        </w:rPr>
        <w:t xml:space="preserve"> </w:t>
      </w:r>
      <w:r w:rsidRPr="00BD1049">
        <w:rPr>
          <w:rFonts w:ascii="David" w:hAnsi="David" w:cs="David"/>
          <w:b/>
          <w:bCs/>
          <w:sz w:val="24"/>
          <w:szCs w:val="24"/>
          <w:rtl/>
        </w:rPr>
        <w:t>ג'אבר נ' מדינת ישראל</w:t>
      </w:r>
      <w:r w:rsidRPr="00BD1049">
        <w:rPr>
          <w:rFonts w:ascii="David" w:hAnsi="David" w:cs="David"/>
          <w:sz w:val="24"/>
          <w:szCs w:val="24"/>
          <w:rtl/>
        </w:rPr>
        <w:t>, (29.10.2014)).</w:t>
      </w:r>
    </w:p>
    <w:p w14:paraId="4F407F92" w14:textId="77777777" w:rsidR="00897CFA" w:rsidRPr="00BD1049" w:rsidRDefault="00897CFA" w:rsidP="00897CFA">
      <w:pPr>
        <w:spacing w:before="240" w:line="360" w:lineRule="auto"/>
        <w:ind w:left="360"/>
        <w:jc w:val="both"/>
        <w:rPr>
          <w:rFonts w:ascii="David" w:hAnsi="David"/>
          <w:b/>
          <w:bCs/>
        </w:rPr>
      </w:pPr>
      <w:r w:rsidRPr="00BD1049">
        <w:rPr>
          <w:rFonts w:ascii="David" w:hAnsi="David"/>
          <w:b/>
          <w:bCs/>
          <w:rtl/>
        </w:rPr>
        <w:t>הערכים החברתיים שנפגעו ונסיבות ביצוע העבירה</w:t>
      </w:r>
    </w:p>
    <w:p w14:paraId="786AD0EA" w14:textId="77777777" w:rsidR="00897CFA" w:rsidRPr="00BD1049" w:rsidRDefault="00897CFA" w:rsidP="00897CFA">
      <w:pPr>
        <w:pStyle w:val="a9"/>
        <w:numPr>
          <w:ilvl w:val="0"/>
          <w:numId w:val="1"/>
        </w:numPr>
        <w:spacing w:before="240" w:line="360" w:lineRule="auto"/>
        <w:ind w:left="423"/>
        <w:jc w:val="both"/>
        <w:rPr>
          <w:rFonts w:ascii="David" w:hAnsi="David" w:cs="David"/>
          <w:sz w:val="24"/>
          <w:szCs w:val="24"/>
        </w:rPr>
      </w:pPr>
      <w:r w:rsidRPr="00BD1049">
        <w:rPr>
          <w:rFonts w:ascii="David" w:hAnsi="David" w:cs="David"/>
          <w:sz w:val="24"/>
          <w:szCs w:val="24"/>
          <w:rtl/>
        </w:rPr>
        <w:t xml:space="preserve">בתיק המצורף השני מוקד הפגיעה מצוי בערכים של זכות הקניין של הבעלים ויציבות חיי המסחר. הנאשם נקט שתי דרכים פליליות לפגיעה בזכות הרכוש והקניין. האחת היא שימוש באמצעי תשלום של אחר והאחרת היא נטילת רכוש מקיוסק ללא תשלום, המלווה באיומים והפחדה של הבעלים והמוכרים בחנות. ב"כ המערער התמקד בטיעונו בכך, שכלל סכומי הגניבה (מאות שקלים חדשים) אינם גבוהים במיוחד. אולם, אופי המעשים וריבויים מלמד על מידת חומרתם הממשית. זאת ועוד, האיומים שהופנו כלפי בעלי הקיוסק והמוכרים מוסיפים נופך חומרה משמעותי למעשי הגניבה. </w:t>
      </w:r>
    </w:p>
    <w:p w14:paraId="34DD88C9" w14:textId="77777777" w:rsidR="00897CFA" w:rsidRPr="00BD1049" w:rsidRDefault="00897CFA" w:rsidP="00897CFA">
      <w:pPr>
        <w:spacing w:before="240" w:line="360" w:lineRule="auto"/>
        <w:ind w:left="360"/>
        <w:jc w:val="both"/>
        <w:rPr>
          <w:rFonts w:ascii="David" w:hAnsi="David"/>
          <w:b/>
          <w:bCs/>
        </w:rPr>
      </w:pPr>
      <w:r w:rsidRPr="00BD1049">
        <w:rPr>
          <w:rFonts w:ascii="David" w:hAnsi="David"/>
          <w:b/>
          <w:bCs/>
          <w:rtl/>
        </w:rPr>
        <w:t>מדיניות הענישה הנוהגת</w:t>
      </w:r>
    </w:p>
    <w:p w14:paraId="31D55086" w14:textId="77777777" w:rsidR="00897CFA" w:rsidRDefault="00897CFA" w:rsidP="00897CFA">
      <w:pPr>
        <w:pStyle w:val="a9"/>
        <w:numPr>
          <w:ilvl w:val="0"/>
          <w:numId w:val="1"/>
        </w:numPr>
        <w:spacing w:before="240" w:line="360" w:lineRule="auto"/>
        <w:ind w:left="423"/>
        <w:jc w:val="both"/>
        <w:rPr>
          <w:rFonts w:ascii="David" w:hAnsi="David" w:cs="David"/>
          <w:sz w:val="24"/>
          <w:szCs w:val="24"/>
        </w:rPr>
      </w:pPr>
      <w:r w:rsidRPr="00BD1049">
        <w:rPr>
          <w:rFonts w:ascii="David" w:hAnsi="David" w:cs="David"/>
          <w:sz w:val="24"/>
          <w:szCs w:val="24"/>
          <w:rtl/>
        </w:rPr>
        <w:t>עתה נפנה לבחינת מדיניות הענישה הנוהגת, תוך שיצוין כי אף באשר לתיק זה נמנעו הצדדים מלהציג פסיקה רלוונטית, להשקפתם.</w:t>
      </w:r>
    </w:p>
    <w:p w14:paraId="5F7F05C9" w14:textId="77777777" w:rsidR="00897CFA" w:rsidRPr="00BD1049" w:rsidRDefault="00897CFA" w:rsidP="00897CFA">
      <w:pPr>
        <w:pStyle w:val="a9"/>
        <w:spacing w:before="240" w:line="360" w:lineRule="auto"/>
        <w:ind w:left="423"/>
        <w:jc w:val="both"/>
        <w:rPr>
          <w:rFonts w:ascii="David" w:hAnsi="David" w:cs="David"/>
          <w:sz w:val="24"/>
          <w:szCs w:val="24"/>
        </w:rPr>
      </w:pPr>
    </w:p>
    <w:p w14:paraId="270DD972" w14:textId="77777777" w:rsidR="00897CFA" w:rsidRDefault="00897CFA" w:rsidP="00897CFA">
      <w:pPr>
        <w:pStyle w:val="a9"/>
        <w:spacing w:before="240" w:line="360" w:lineRule="auto"/>
        <w:ind w:left="281"/>
        <w:jc w:val="both"/>
        <w:rPr>
          <w:rFonts w:ascii="David" w:hAnsi="David" w:cs="David"/>
          <w:b/>
          <w:bCs/>
          <w:sz w:val="24"/>
          <w:szCs w:val="24"/>
          <w:rtl/>
        </w:rPr>
      </w:pPr>
      <w:r w:rsidRPr="00BD1049">
        <w:rPr>
          <w:rFonts w:ascii="David" w:hAnsi="David" w:cs="David"/>
          <w:b/>
          <w:bCs/>
          <w:sz w:val="24"/>
          <w:szCs w:val="24"/>
          <w:rtl/>
        </w:rPr>
        <w:t>אשר לאישומים שבמר</w:t>
      </w:r>
      <w:r>
        <w:rPr>
          <w:rFonts w:ascii="David" w:hAnsi="David" w:cs="David"/>
          <w:b/>
          <w:bCs/>
          <w:sz w:val="24"/>
          <w:szCs w:val="24"/>
          <w:rtl/>
        </w:rPr>
        <w:t>כזם עבירה על חוק שירותי תשלום –</w:t>
      </w:r>
    </w:p>
    <w:p w14:paraId="595BB3B1" w14:textId="77777777" w:rsidR="00897CFA" w:rsidRDefault="00897CFA" w:rsidP="00897CFA">
      <w:pPr>
        <w:pStyle w:val="a9"/>
        <w:spacing w:before="240" w:line="360" w:lineRule="auto"/>
        <w:ind w:left="281"/>
        <w:jc w:val="both"/>
        <w:rPr>
          <w:rFonts w:ascii="David" w:hAnsi="David" w:cs="David"/>
          <w:b/>
          <w:bCs/>
          <w:sz w:val="24"/>
          <w:szCs w:val="24"/>
          <w:rtl/>
        </w:rPr>
      </w:pPr>
    </w:p>
    <w:p w14:paraId="2E097FDE" w14:textId="77777777" w:rsidR="00897CFA" w:rsidRDefault="00897CFA" w:rsidP="00897CFA">
      <w:pPr>
        <w:pStyle w:val="a9"/>
        <w:numPr>
          <w:ilvl w:val="0"/>
          <w:numId w:val="3"/>
        </w:numPr>
        <w:spacing w:before="240" w:line="360" w:lineRule="auto"/>
        <w:jc w:val="both"/>
        <w:rPr>
          <w:rFonts w:ascii="David" w:hAnsi="David" w:cs="David"/>
          <w:sz w:val="24"/>
          <w:szCs w:val="24"/>
        </w:rPr>
      </w:pPr>
      <w:r w:rsidRPr="00BD1049">
        <w:rPr>
          <w:rFonts w:ascii="David" w:hAnsi="David" w:cs="David"/>
          <w:sz w:val="24"/>
          <w:szCs w:val="24"/>
          <w:rtl/>
        </w:rPr>
        <w:t>ב</w:t>
      </w:r>
      <w:hyperlink r:id="rId92" w:history="1">
        <w:r w:rsidR="00873397" w:rsidRPr="00873397">
          <w:rPr>
            <w:rFonts w:ascii="David" w:hAnsi="David" w:cs="David"/>
            <w:color w:val="0000FF"/>
            <w:sz w:val="24"/>
            <w:szCs w:val="24"/>
            <w:u w:val="single"/>
            <w:rtl/>
          </w:rPr>
          <w:t>רע"פ 4041/24</w:t>
        </w:r>
      </w:hyperlink>
      <w:r w:rsidRPr="00BD1049">
        <w:rPr>
          <w:rFonts w:ascii="David" w:hAnsi="David" w:cs="David"/>
          <w:sz w:val="24"/>
          <w:szCs w:val="24"/>
          <w:rtl/>
        </w:rPr>
        <w:t xml:space="preserve"> </w:t>
      </w:r>
      <w:r w:rsidRPr="00BD1049">
        <w:rPr>
          <w:rFonts w:ascii="David" w:hAnsi="David" w:cs="David"/>
          <w:b/>
          <w:bCs/>
          <w:sz w:val="24"/>
          <w:szCs w:val="24"/>
          <w:rtl/>
        </w:rPr>
        <w:t xml:space="preserve">גבע נ' מדינת ישראל </w:t>
      </w:r>
      <w:r w:rsidRPr="00BD1049">
        <w:rPr>
          <w:rFonts w:ascii="David" w:hAnsi="David" w:cs="David"/>
          <w:sz w:val="24"/>
          <w:szCs w:val="24"/>
          <w:rtl/>
        </w:rPr>
        <w:t xml:space="preserve">(26.05.2024) הורשעה הנאשמת על בסיס הודאתה בביצוע עבירה של שימוש ברכיב חיוני באמצעי תשלום בכוונה להונות לפי </w:t>
      </w:r>
      <w:hyperlink r:id="rId93" w:history="1">
        <w:r w:rsidR="00644598" w:rsidRPr="00644598">
          <w:rPr>
            <w:rStyle w:val="Hyperlink"/>
            <w:rFonts w:ascii="David" w:hAnsi="David" w:cs="David"/>
            <w:color w:val="0000FF"/>
            <w:sz w:val="24"/>
            <w:szCs w:val="24"/>
            <w:rtl/>
          </w:rPr>
          <w:t>סעיף 40(ב)(2)</w:t>
        </w:r>
      </w:hyperlink>
      <w:r w:rsidRPr="00BD1049">
        <w:rPr>
          <w:rFonts w:ascii="David" w:hAnsi="David" w:cs="David"/>
          <w:sz w:val="24"/>
          <w:szCs w:val="24"/>
          <w:rtl/>
        </w:rPr>
        <w:t xml:space="preserve"> לחוק שירותי תשלום. במסגרת עבודתה כמטפלת סיעודית, משך שלושה חודשים, העבירה הנאשמת לחשבון הבנק שלה 24,950 ₪, מהטלפון הנייד של המתלוננת. בית המשפט קבע מתחם ענישה שנע בין מספר חודשי מאסר שיכול וירוצו בעבודות שירות ועד 18 חודשי מאסר בפועל, וגזר עליה 11 חודשי מאסר לצד עונשים נלווים. הערעור לבית המשפט המחוזי ובקשת רשות הערעור לבית המשפט העליון נדחו.</w:t>
      </w:r>
    </w:p>
    <w:p w14:paraId="3D7B3713" w14:textId="77777777" w:rsidR="00897CFA" w:rsidRPr="00BD1049" w:rsidRDefault="00897CFA" w:rsidP="00897CFA">
      <w:pPr>
        <w:pStyle w:val="a9"/>
        <w:spacing w:before="240" w:line="360" w:lineRule="auto"/>
        <w:ind w:left="641"/>
        <w:jc w:val="both"/>
        <w:rPr>
          <w:rFonts w:ascii="David" w:hAnsi="David" w:cs="David"/>
          <w:sz w:val="24"/>
          <w:szCs w:val="24"/>
          <w:rtl/>
        </w:rPr>
      </w:pPr>
    </w:p>
    <w:p w14:paraId="3AFC9C0F" w14:textId="77777777" w:rsidR="00897CFA" w:rsidRDefault="00897CFA" w:rsidP="00897CFA">
      <w:pPr>
        <w:pStyle w:val="a9"/>
        <w:numPr>
          <w:ilvl w:val="0"/>
          <w:numId w:val="3"/>
        </w:numPr>
        <w:spacing w:before="240" w:line="360" w:lineRule="auto"/>
        <w:jc w:val="both"/>
        <w:rPr>
          <w:rFonts w:ascii="David" w:hAnsi="David" w:cs="David"/>
          <w:sz w:val="24"/>
          <w:szCs w:val="24"/>
        </w:rPr>
      </w:pPr>
      <w:r w:rsidRPr="00BD1049">
        <w:rPr>
          <w:rFonts w:ascii="David" w:hAnsi="David" w:cs="David"/>
          <w:sz w:val="24"/>
          <w:szCs w:val="24"/>
          <w:rtl/>
        </w:rPr>
        <w:t>ב</w:t>
      </w:r>
      <w:hyperlink r:id="rId94" w:history="1">
        <w:r w:rsidR="00873397" w:rsidRPr="00873397">
          <w:rPr>
            <w:rFonts w:ascii="David" w:hAnsi="David" w:cs="David"/>
            <w:color w:val="0000FF"/>
            <w:sz w:val="24"/>
            <w:szCs w:val="24"/>
            <w:u w:val="single"/>
            <w:rtl/>
          </w:rPr>
          <w:t>ת"פ (שלום י-ם) 58075-11-22</w:t>
        </w:r>
      </w:hyperlink>
      <w:r w:rsidRPr="00BD1049">
        <w:rPr>
          <w:rFonts w:ascii="David" w:hAnsi="David" w:cs="David"/>
          <w:sz w:val="24"/>
          <w:szCs w:val="24"/>
          <w:rtl/>
        </w:rPr>
        <w:t xml:space="preserve"> </w:t>
      </w:r>
      <w:r w:rsidRPr="00BD1049">
        <w:rPr>
          <w:rFonts w:ascii="David" w:hAnsi="David" w:cs="David"/>
          <w:b/>
          <w:bCs/>
          <w:sz w:val="24"/>
          <w:szCs w:val="24"/>
          <w:rtl/>
        </w:rPr>
        <w:t>מדינת ישראל נ' זריהן</w:t>
      </w:r>
      <w:r w:rsidRPr="00BD1049">
        <w:rPr>
          <w:rFonts w:ascii="David" w:hAnsi="David" w:cs="David"/>
          <w:sz w:val="24"/>
          <w:szCs w:val="24"/>
          <w:rtl/>
        </w:rPr>
        <w:t xml:space="preserve"> (31.7.2023) הורשע נאשם על פי הודאתו במספר רב של אישומים ותיקים שצורפו. האישום השני בתיק העיקרי הוא הרלוונטי לעניינו, שם הורשע הנאשם בשימוש בכרטיס חיוב שאינו שייך לו ובביצוע 10 עסקאות בסכום מצטבר של 1,206 ₪. בעבור אישום זה נקבע מתחם ענישה הנע בין מספר חודשים לבין 12 חודשי מאסר בפועל, לצד מאסר מותנה וקנס. </w:t>
      </w:r>
    </w:p>
    <w:p w14:paraId="07FBC238" w14:textId="77777777" w:rsidR="00897CFA" w:rsidRPr="00BD1049" w:rsidRDefault="00897CFA" w:rsidP="00897CFA">
      <w:pPr>
        <w:pStyle w:val="a9"/>
        <w:spacing w:before="240" w:line="360" w:lineRule="auto"/>
        <w:ind w:left="641"/>
        <w:jc w:val="both"/>
        <w:rPr>
          <w:rFonts w:ascii="David" w:hAnsi="David" w:cs="David"/>
          <w:sz w:val="24"/>
          <w:szCs w:val="24"/>
        </w:rPr>
      </w:pPr>
    </w:p>
    <w:p w14:paraId="60569EDB" w14:textId="77777777" w:rsidR="00897CFA" w:rsidRDefault="00897CFA" w:rsidP="00897CFA">
      <w:pPr>
        <w:pStyle w:val="a9"/>
        <w:spacing w:before="240" w:line="360" w:lineRule="auto"/>
        <w:ind w:left="281"/>
        <w:jc w:val="both"/>
        <w:rPr>
          <w:rFonts w:ascii="David" w:hAnsi="David" w:cs="David"/>
          <w:b/>
          <w:bCs/>
          <w:sz w:val="24"/>
          <w:szCs w:val="24"/>
          <w:rtl/>
        </w:rPr>
      </w:pPr>
      <w:r w:rsidRPr="00BD1049">
        <w:rPr>
          <w:rFonts w:ascii="David" w:hAnsi="David" w:cs="David"/>
          <w:b/>
          <w:bCs/>
          <w:sz w:val="24"/>
          <w:szCs w:val="24"/>
          <w:rtl/>
        </w:rPr>
        <w:t xml:space="preserve">אשר לאישומים שבמרכזם גניבה מחנויות נוחות – </w:t>
      </w:r>
    </w:p>
    <w:p w14:paraId="76192075" w14:textId="77777777" w:rsidR="00897CFA" w:rsidRDefault="00897CFA" w:rsidP="00897CFA">
      <w:pPr>
        <w:pStyle w:val="a9"/>
        <w:spacing w:before="240" w:line="360" w:lineRule="auto"/>
        <w:ind w:left="281"/>
        <w:jc w:val="both"/>
        <w:rPr>
          <w:rFonts w:ascii="David" w:hAnsi="David" w:cs="David"/>
          <w:b/>
          <w:bCs/>
          <w:sz w:val="24"/>
          <w:szCs w:val="24"/>
          <w:rtl/>
        </w:rPr>
      </w:pPr>
    </w:p>
    <w:p w14:paraId="3CFF0DBC" w14:textId="77777777" w:rsidR="00897CFA" w:rsidRPr="00BD1049" w:rsidRDefault="00897CFA" w:rsidP="00897CFA">
      <w:pPr>
        <w:pStyle w:val="a9"/>
        <w:spacing w:before="240" w:line="360" w:lineRule="auto"/>
        <w:ind w:left="641"/>
        <w:jc w:val="both"/>
        <w:rPr>
          <w:rFonts w:ascii="David" w:hAnsi="David" w:cs="David"/>
          <w:sz w:val="24"/>
          <w:szCs w:val="24"/>
          <w:rtl/>
        </w:rPr>
      </w:pPr>
      <w:r w:rsidRPr="00BD1049">
        <w:rPr>
          <w:rFonts w:ascii="David" w:hAnsi="David" w:cs="David"/>
          <w:sz w:val="24"/>
          <w:szCs w:val="24"/>
          <w:rtl/>
        </w:rPr>
        <w:t>ב</w:t>
      </w:r>
      <w:hyperlink r:id="rId95" w:history="1">
        <w:r w:rsidR="00873397" w:rsidRPr="00873397">
          <w:rPr>
            <w:rFonts w:ascii="David" w:hAnsi="David" w:cs="David"/>
            <w:color w:val="0000FF"/>
            <w:sz w:val="24"/>
            <w:szCs w:val="24"/>
            <w:u w:val="single"/>
            <w:rtl/>
          </w:rPr>
          <w:t>ת"פ (קרית גת) 62350-07-18</w:t>
        </w:r>
      </w:hyperlink>
      <w:r w:rsidRPr="00BD1049">
        <w:rPr>
          <w:rFonts w:ascii="David" w:hAnsi="David" w:cs="David"/>
          <w:sz w:val="24"/>
          <w:szCs w:val="24"/>
          <w:rtl/>
        </w:rPr>
        <w:t xml:space="preserve"> </w:t>
      </w:r>
      <w:r w:rsidRPr="00BD1049">
        <w:rPr>
          <w:rFonts w:ascii="David" w:hAnsi="David" w:cs="David"/>
          <w:b/>
          <w:bCs/>
          <w:sz w:val="24"/>
          <w:szCs w:val="24"/>
          <w:rtl/>
        </w:rPr>
        <w:t xml:space="preserve">מדינת ישראל נ' יפרח </w:t>
      </w:r>
      <w:r w:rsidRPr="00BD1049">
        <w:rPr>
          <w:rFonts w:ascii="David" w:hAnsi="David" w:cs="David"/>
          <w:sz w:val="24"/>
          <w:szCs w:val="24"/>
          <w:rtl/>
        </w:rPr>
        <w:t xml:space="preserve">(26.10.2020) הורשע הנאשם על-פי הודאתו בביצוע עבירה של גניבה לפי </w:t>
      </w:r>
      <w:hyperlink r:id="rId96" w:history="1">
        <w:r w:rsidR="00644598" w:rsidRPr="00644598">
          <w:rPr>
            <w:rStyle w:val="Hyperlink"/>
            <w:rFonts w:ascii="David" w:hAnsi="David" w:cs="David"/>
            <w:color w:val="0000FF"/>
            <w:sz w:val="24"/>
            <w:szCs w:val="24"/>
            <w:rtl/>
          </w:rPr>
          <w:t>סעיף 384</w:t>
        </w:r>
      </w:hyperlink>
      <w:r w:rsidRPr="00BD1049">
        <w:rPr>
          <w:rFonts w:ascii="David" w:hAnsi="David" w:cs="David"/>
          <w:sz w:val="24"/>
          <w:szCs w:val="24"/>
          <w:rtl/>
        </w:rPr>
        <w:t xml:space="preserve"> ל</w:t>
      </w:r>
      <w:hyperlink r:id="rId97" w:history="1">
        <w:r w:rsidR="00873397" w:rsidRPr="00873397">
          <w:rPr>
            <w:rFonts w:ascii="David" w:hAnsi="David" w:cs="David"/>
            <w:color w:val="0000FF"/>
            <w:sz w:val="24"/>
            <w:szCs w:val="24"/>
            <w:u w:val="single"/>
            <w:rtl/>
          </w:rPr>
          <w:t>חוק העונשין</w:t>
        </w:r>
      </w:hyperlink>
      <w:r w:rsidRPr="00BD1049">
        <w:rPr>
          <w:rFonts w:ascii="David" w:hAnsi="David" w:cs="David"/>
          <w:sz w:val="24"/>
          <w:szCs w:val="24"/>
          <w:rtl/>
        </w:rPr>
        <w:t xml:space="preserve"> על כך, שנטל מהחנות ללא תשלום מוצרי טיפוח בשווי של כאלף ₪. נקבע מתחם ענישה הנע בין מאסר מותנה ועד 8 חודשי מאסר, ועל הנאשם הושתו ארבעה חודשי מאסר בפועל. כן ראו: </w:t>
      </w:r>
      <w:hyperlink r:id="rId98" w:history="1">
        <w:r w:rsidR="00873397" w:rsidRPr="00873397">
          <w:rPr>
            <w:rFonts w:ascii="David" w:hAnsi="David" w:cs="David"/>
            <w:color w:val="0000FF"/>
            <w:sz w:val="24"/>
            <w:szCs w:val="24"/>
            <w:u w:val="single"/>
            <w:rtl/>
          </w:rPr>
          <w:t>ת"פ (ראשון לציון) 25186-08-13</w:t>
        </w:r>
      </w:hyperlink>
      <w:r w:rsidRPr="00BD1049">
        <w:rPr>
          <w:rFonts w:ascii="David" w:hAnsi="David" w:cs="David"/>
          <w:sz w:val="24"/>
          <w:szCs w:val="24"/>
          <w:rtl/>
        </w:rPr>
        <w:t xml:space="preserve"> </w:t>
      </w:r>
      <w:r w:rsidRPr="00BD1049">
        <w:rPr>
          <w:rFonts w:ascii="David" w:hAnsi="David" w:cs="David"/>
          <w:b/>
          <w:bCs/>
          <w:sz w:val="24"/>
          <w:szCs w:val="24"/>
          <w:rtl/>
        </w:rPr>
        <w:t xml:space="preserve">מדינת ישראל נ' קנטורוביץ </w:t>
      </w:r>
      <w:r w:rsidRPr="00BD1049">
        <w:rPr>
          <w:rFonts w:ascii="David" w:hAnsi="David" w:cs="David"/>
          <w:sz w:val="24"/>
          <w:szCs w:val="24"/>
          <w:rtl/>
        </w:rPr>
        <w:t>(10.11.2015).</w:t>
      </w:r>
    </w:p>
    <w:p w14:paraId="1FBEA80F" w14:textId="77777777" w:rsidR="00897CFA" w:rsidRPr="00BD1049" w:rsidRDefault="00897CFA" w:rsidP="00897CFA">
      <w:pPr>
        <w:spacing w:before="240" w:line="360" w:lineRule="auto"/>
        <w:ind w:left="281"/>
        <w:jc w:val="both"/>
        <w:rPr>
          <w:rFonts w:ascii="David" w:hAnsi="David"/>
        </w:rPr>
      </w:pPr>
      <w:r w:rsidRPr="00BD1049">
        <w:rPr>
          <w:rFonts w:ascii="David" w:hAnsi="David"/>
          <w:b/>
          <w:bCs/>
          <w:rtl/>
        </w:rPr>
        <w:t>אשר לגניבה המלווה באיומים –</w:t>
      </w:r>
    </w:p>
    <w:p w14:paraId="70421B37" w14:textId="77777777" w:rsidR="00897CFA" w:rsidRDefault="00897CFA" w:rsidP="00897CFA">
      <w:pPr>
        <w:pStyle w:val="a9"/>
        <w:spacing w:before="240" w:line="360" w:lineRule="auto"/>
        <w:ind w:left="641"/>
        <w:jc w:val="both"/>
        <w:rPr>
          <w:rFonts w:ascii="David" w:hAnsi="David" w:cs="David"/>
          <w:sz w:val="24"/>
          <w:szCs w:val="24"/>
          <w:highlight w:val="green"/>
          <w:rtl/>
        </w:rPr>
      </w:pPr>
      <w:r w:rsidRPr="00BD1049">
        <w:rPr>
          <w:rFonts w:ascii="David" w:hAnsi="David" w:cs="David"/>
          <w:sz w:val="24"/>
          <w:szCs w:val="24"/>
          <w:rtl/>
        </w:rPr>
        <w:t>ב</w:t>
      </w:r>
      <w:hyperlink r:id="rId99" w:history="1">
        <w:r w:rsidR="00873397" w:rsidRPr="00873397">
          <w:rPr>
            <w:rFonts w:ascii="David" w:hAnsi="David" w:cs="David"/>
            <w:color w:val="0000FF"/>
            <w:sz w:val="24"/>
            <w:szCs w:val="24"/>
            <w:u w:val="single"/>
            <w:rtl/>
          </w:rPr>
          <w:t>ת"פ (שלום ב"ש) 56865-02-22</w:t>
        </w:r>
      </w:hyperlink>
      <w:r w:rsidRPr="00BD1049">
        <w:rPr>
          <w:rFonts w:ascii="David" w:hAnsi="David" w:cs="David"/>
          <w:sz w:val="24"/>
          <w:szCs w:val="24"/>
          <w:rtl/>
        </w:rPr>
        <w:t xml:space="preserve"> </w:t>
      </w:r>
      <w:r w:rsidRPr="00BD1049">
        <w:rPr>
          <w:rFonts w:ascii="David" w:hAnsi="David" w:cs="David"/>
          <w:b/>
          <w:bCs/>
          <w:sz w:val="24"/>
          <w:szCs w:val="24"/>
          <w:rtl/>
        </w:rPr>
        <w:t>מדינת ישראל נ' נחשון</w:t>
      </w:r>
      <w:r w:rsidRPr="00BD1049">
        <w:rPr>
          <w:rFonts w:ascii="David" w:hAnsi="David" w:cs="David"/>
          <w:sz w:val="24"/>
          <w:szCs w:val="24"/>
          <w:rtl/>
        </w:rPr>
        <w:t xml:space="preserve"> (11.6.2023) הורשע נאשם על בסיס הודאתו בעבירות של גניבה לפי </w:t>
      </w:r>
      <w:hyperlink r:id="rId100" w:history="1">
        <w:r w:rsidR="00644598" w:rsidRPr="00644598">
          <w:rPr>
            <w:rStyle w:val="Hyperlink"/>
            <w:rFonts w:ascii="David" w:hAnsi="David" w:cs="David"/>
            <w:color w:val="0000FF"/>
            <w:sz w:val="24"/>
            <w:szCs w:val="24"/>
            <w:rtl/>
          </w:rPr>
          <w:t>סעיף 384</w:t>
        </w:r>
      </w:hyperlink>
      <w:r w:rsidRPr="00BD1049">
        <w:rPr>
          <w:rFonts w:ascii="David" w:hAnsi="David" w:cs="David"/>
          <w:sz w:val="24"/>
          <w:szCs w:val="24"/>
          <w:rtl/>
        </w:rPr>
        <w:t xml:space="preserve"> לחוק ואיומים לפי </w:t>
      </w:r>
      <w:hyperlink r:id="rId101" w:history="1">
        <w:r w:rsidR="00644598" w:rsidRPr="00644598">
          <w:rPr>
            <w:rStyle w:val="Hyperlink"/>
            <w:rFonts w:ascii="David" w:hAnsi="David" w:cs="David"/>
            <w:color w:val="0000FF"/>
            <w:sz w:val="24"/>
            <w:szCs w:val="24"/>
            <w:rtl/>
          </w:rPr>
          <w:t>סעיף 192</w:t>
        </w:r>
      </w:hyperlink>
      <w:r w:rsidRPr="00BD1049">
        <w:rPr>
          <w:rFonts w:ascii="David" w:hAnsi="David" w:cs="David"/>
          <w:sz w:val="24"/>
          <w:szCs w:val="24"/>
          <w:rtl/>
        </w:rPr>
        <w:t xml:space="preserve"> לחוק. לפי עובדות כתב האישום, הנאשם הגיע לבית עסק ודרש מהעובדת שתפתח את הקופה ותמסור לו כסף, ולאחר שמסרה לו 240 ₪, איים עליה באומרו "אל תפני למש</w:t>
      </w:r>
      <w:r>
        <w:rPr>
          <w:rFonts w:ascii="David" w:hAnsi="David" w:cs="David"/>
          <w:sz w:val="24"/>
          <w:szCs w:val="24"/>
          <w:rtl/>
        </w:rPr>
        <w:t>טרה, אני אזכור אותך". נקבע מתחם</w:t>
      </w:r>
      <w:r>
        <w:rPr>
          <w:rFonts w:ascii="David" w:hAnsi="David" w:cs="David" w:hint="cs"/>
          <w:sz w:val="24"/>
          <w:szCs w:val="24"/>
          <w:rtl/>
        </w:rPr>
        <w:t xml:space="preserve"> </w:t>
      </w:r>
      <w:r w:rsidRPr="00BD1049">
        <w:rPr>
          <w:rFonts w:ascii="David" w:hAnsi="David" w:cs="David"/>
          <w:sz w:val="24"/>
          <w:szCs w:val="24"/>
          <w:rtl/>
        </w:rPr>
        <w:t xml:space="preserve">ענישה הנע בין מאסר בפועל שיכול וירוצה בעבודות שירות ועד 18 חודשי מאסר. </w:t>
      </w:r>
    </w:p>
    <w:p w14:paraId="331B1008" w14:textId="77777777" w:rsidR="00897CFA" w:rsidRPr="00BD1049" w:rsidRDefault="00897CFA" w:rsidP="00897CFA">
      <w:pPr>
        <w:pStyle w:val="a9"/>
        <w:spacing w:before="240" w:line="360" w:lineRule="auto"/>
        <w:ind w:left="641"/>
        <w:jc w:val="both"/>
        <w:rPr>
          <w:rFonts w:ascii="David" w:hAnsi="David" w:cs="David"/>
          <w:sz w:val="24"/>
          <w:szCs w:val="24"/>
          <w:highlight w:val="green"/>
          <w:rtl/>
        </w:rPr>
      </w:pPr>
    </w:p>
    <w:p w14:paraId="3042D0E8" w14:textId="77777777" w:rsidR="00897CFA" w:rsidRDefault="00897CFA" w:rsidP="00897CFA">
      <w:pPr>
        <w:pStyle w:val="a9"/>
        <w:numPr>
          <w:ilvl w:val="0"/>
          <w:numId w:val="1"/>
        </w:numPr>
        <w:spacing w:before="240" w:line="360" w:lineRule="auto"/>
        <w:ind w:left="423"/>
        <w:jc w:val="both"/>
        <w:rPr>
          <w:rFonts w:ascii="David" w:hAnsi="David" w:cs="David"/>
          <w:sz w:val="24"/>
          <w:szCs w:val="24"/>
        </w:rPr>
      </w:pPr>
      <w:r w:rsidRPr="00BD1049">
        <w:rPr>
          <w:rFonts w:ascii="David" w:hAnsi="David" w:cs="David"/>
          <w:sz w:val="24"/>
          <w:szCs w:val="24"/>
          <w:rtl/>
        </w:rPr>
        <w:t>בקביעת מתחם הענישה נתתי דעתי לערכים החברתיים בהם פגע הנאשם ומידת הפגיעה בהם; נסיבות ביצוע העבירות, כאשר המדובר במספר רב של אירועי גניבה והונאה, כאשר לחלק</w:t>
      </w:r>
      <w:r>
        <w:rPr>
          <w:rFonts w:ascii="David" w:hAnsi="David" w:cs="David" w:hint="cs"/>
          <w:sz w:val="24"/>
          <w:szCs w:val="24"/>
          <w:rtl/>
        </w:rPr>
        <w:t>ם</w:t>
      </w:r>
      <w:r w:rsidRPr="00BD1049">
        <w:rPr>
          <w:rFonts w:ascii="David" w:hAnsi="David" w:cs="David"/>
          <w:sz w:val="24"/>
          <w:szCs w:val="24"/>
          <w:rtl/>
        </w:rPr>
        <w:t xml:space="preserve"> </w:t>
      </w:r>
      <w:r w:rsidRPr="00CE50D3">
        <w:rPr>
          <w:rFonts w:ascii="David" w:hAnsi="David" w:cs="David"/>
          <w:sz w:val="24"/>
          <w:szCs w:val="24"/>
          <w:rtl/>
        </w:rPr>
        <w:t>התלוו איומים וכן לעבירת החזקת כלי פריצה לרכב; ולמדיניות הענישה הנוהגת. על רקע האמור</w:t>
      </w:r>
      <w:r w:rsidRPr="00BD1049">
        <w:rPr>
          <w:rFonts w:ascii="David" w:hAnsi="David" w:cs="David"/>
          <w:b/>
          <w:bCs/>
          <w:sz w:val="24"/>
          <w:szCs w:val="24"/>
          <w:rtl/>
        </w:rPr>
        <w:t xml:space="preserve"> נקבע מתחם ענישה הנע בין 6 ל-18 חודשי מאסר לריצוי בפועל</w:t>
      </w:r>
      <w:r w:rsidRPr="00BD1049">
        <w:rPr>
          <w:rFonts w:ascii="David" w:hAnsi="David" w:cs="David"/>
          <w:sz w:val="24"/>
          <w:szCs w:val="24"/>
          <w:rtl/>
        </w:rPr>
        <w:t>.</w:t>
      </w:r>
    </w:p>
    <w:p w14:paraId="0E55317F" w14:textId="77777777" w:rsidR="00897CFA" w:rsidRPr="00BD1049" w:rsidRDefault="00897CFA" w:rsidP="00897CFA">
      <w:pPr>
        <w:pStyle w:val="a9"/>
        <w:spacing w:before="240" w:line="360" w:lineRule="auto"/>
        <w:ind w:left="423"/>
        <w:jc w:val="both"/>
        <w:rPr>
          <w:rFonts w:ascii="David" w:hAnsi="David" w:cs="David"/>
          <w:sz w:val="24"/>
          <w:szCs w:val="24"/>
          <w:rtl/>
        </w:rPr>
      </w:pPr>
    </w:p>
    <w:p w14:paraId="7558871C" w14:textId="77777777" w:rsidR="00897CFA" w:rsidRPr="00BD1049" w:rsidRDefault="00897CFA" w:rsidP="00897CFA">
      <w:pPr>
        <w:pStyle w:val="a9"/>
        <w:spacing w:before="240" w:line="360" w:lineRule="auto"/>
        <w:ind w:left="423"/>
        <w:jc w:val="both"/>
        <w:rPr>
          <w:rFonts w:ascii="David" w:hAnsi="David" w:cs="David"/>
          <w:b/>
          <w:bCs/>
          <w:sz w:val="24"/>
          <w:szCs w:val="24"/>
          <w:u w:val="single"/>
        </w:rPr>
      </w:pPr>
      <w:r w:rsidRPr="00BD1049">
        <w:rPr>
          <w:rFonts w:ascii="David" w:hAnsi="David" w:cs="David"/>
          <w:b/>
          <w:bCs/>
          <w:sz w:val="24"/>
          <w:szCs w:val="24"/>
          <w:u w:val="single"/>
          <w:rtl/>
        </w:rPr>
        <w:t>העונש המתאים לנאשם</w:t>
      </w:r>
    </w:p>
    <w:p w14:paraId="6044434B" w14:textId="77777777" w:rsidR="00897CFA" w:rsidRPr="00BD1049" w:rsidRDefault="00897CFA" w:rsidP="00897CFA">
      <w:pPr>
        <w:pStyle w:val="a9"/>
        <w:numPr>
          <w:ilvl w:val="0"/>
          <w:numId w:val="1"/>
        </w:numPr>
        <w:spacing w:before="240" w:line="360" w:lineRule="auto"/>
        <w:ind w:left="423"/>
        <w:jc w:val="both"/>
        <w:rPr>
          <w:rFonts w:ascii="David" w:hAnsi="David" w:cs="David"/>
          <w:sz w:val="24"/>
          <w:szCs w:val="24"/>
        </w:rPr>
      </w:pPr>
      <w:r w:rsidRPr="00BD1049">
        <w:rPr>
          <w:rFonts w:ascii="David" w:hAnsi="David" w:cs="David"/>
          <w:sz w:val="24"/>
          <w:szCs w:val="24"/>
          <w:rtl/>
        </w:rPr>
        <w:t xml:space="preserve">בגזירת העונש המתאים לנאשם בתוככי מתחם הענישה, נתתי דעתי לכך שבתיקי הצרוף הודה הנאשם וקיבל אחריות. אינני מקל ראש גם בדברי ב"כ הנאשם על קבלת האחריות מצד הנאשם והבעת החרטה בתיק העיקרי, אף שזו נעשתה לאחר מתן הכרעת הדין. מטבע הדברים השלב המאוחר שבו הושמעו הדברים אינו מאפשר ליתן להם משקל ניכר, במיוחד לאחר שנפגע העבירה נאלץ למסור עדות מפורטת לפני בית המשפט ולעמוד לחקירה נגדית. אולם יש לקוות, כי בכך הוצב הצעד הראשון לשינוי דרכו של הנאשם. לכך מצטרפות נסיבות חייו של הנאשם שהושמעו מפי ההגנה, ללא הסתייגות המדינה. מנגד, עברו הפלילי העשיר של הנאשם עומד לחובתו. עונשי מאסר שהוטלו על הנאשם לא היוו גורם מרתיע וממתן ולא מנעו את מגוון העבירות שבהן הורשע בהליך זה, ובראשן שוד בנסיבות מחמירות. יתר על כן, הנאשם שב ומפר את האמון שנתנו בו ערכאות השפיטה, מפר את הוראות בית המשפט וחוטא בעבירות נוספות. איזון השיקולים מוליך לגזירת עונשו של הנאשם בתיק העיקרי במרכז מתחם הענישה. על דבר ההרשעה בתיק העיקרי הנני רואה לגזור על הנאשם 48 חודשי מאסר לריצוי בפועל לצד מאסר מותנה ופיצוי כפי שיבואר להלן. לכך מצטרפת ענישה ממשית בתיקי הצירוף. מתוך ראיית העונש הכולל המוטל ומתוך רצון להותיר בידי הנאשם פתח לתקווה לעתיד, ובשים לב לכך, שענישה לעולם אינה מלאכה אריתמטית מועמד העונש הכולל שעל הנאשם לרצות על </w:t>
      </w:r>
      <w:r w:rsidRPr="00BD1049">
        <w:rPr>
          <w:rFonts w:ascii="David" w:hAnsi="David" w:cs="David"/>
          <w:b/>
          <w:bCs/>
          <w:sz w:val="24"/>
          <w:szCs w:val="24"/>
          <w:rtl/>
        </w:rPr>
        <w:t>56 חודשי מאסר לריצוי בפועל</w:t>
      </w:r>
      <w:r w:rsidRPr="00BD1049">
        <w:rPr>
          <w:rFonts w:ascii="David" w:hAnsi="David" w:cs="David"/>
          <w:sz w:val="24"/>
          <w:szCs w:val="24"/>
          <w:rtl/>
        </w:rPr>
        <w:t>.</w:t>
      </w:r>
    </w:p>
    <w:p w14:paraId="35D6737B" w14:textId="77777777" w:rsidR="00897CFA" w:rsidRPr="00BD1049" w:rsidRDefault="00897CFA" w:rsidP="00897CFA">
      <w:pPr>
        <w:spacing w:before="240" w:line="360" w:lineRule="auto"/>
        <w:ind w:left="63"/>
        <w:jc w:val="both"/>
        <w:rPr>
          <w:rFonts w:ascii="David" w:hAnsi="David"/>
          <w:b/>
          <w:bCs/>
        </w:rPr>
      </w:pPr>
      <w:r w:rsidRPr="00BD1049">
        <w:rPr>
          <w:rFonts w:ascii="David" w:hAnsi="David"/>
          <w:b/>
          <w:bCs/>
          <w:rtl/>
        </w:rPr>
        <w:t>פיצוי</w:t>
      </w:r>
    </w:p>
    <w:p w14:paraId="7F190A59" w14:textId="77777777" w:rsidR="00897CFA" w:rsidRPr="00BD1049" w:rsidRDefault="00897CFA" w:rsidP="00897CFA">
      <w:pPr>
        <w:pStyle w:val="a9"/>
        <w:numPr>
          <w:ilvl w:val="0"/>
          <w:numId w:val="1"/>
        </w:numPr>
        <w:spacing w:before="240" w:line="360" w:lineRule="auto"/>
        <w:ind w:left="423"/>
        <w:jc w:val="both"/>
        <w:rPr>
          <w:rFonts w:ascii="David" w:hAnsi="David" w:cs="David"/>
          <w:sz w:val="24"/>
          <w:szCs w:val="24"/>
        </w:rPr>
      </w:pPr>
      <w:r w:rsidRPr="00BD1049">
        <w:rPr>
          <w:rFonts w:ascii="David" w:hAnsi="David" w:cs="David"/>
          <w:sz w:val="24"/>
          <w:szCs w:val="24"/>
          <w:rtl/>
        </w:rPr>
        <w:t xml:space="preserve">נוכח הנזק המשמעותי שנגרם לנפגע העבירה בתיק העיקרי, כעולה מתסקיר שרות המבחן, מועמד סכום הפיצוי על 30,000 ₪ (והשוו: </w:t>
      </w:r>
      <w:hyperlink r:id="rId102" w:history="1">
        <w:r w:rsidR="00873397" w:rsidRPr="00873397">
          <w:rPr>
            <w:rFonts w:ascii="David" w:hAnsi="David" w:cs="David"/>
            <w:color w:val="0000FF"/>
            <w:sz w:val="24"/>
            <w:szCs w:val="24"/>
            <w:u w:val="single"/>
            <w:rtl/>
          </w:rPr>
          <w:t>ע"פ 1434/10</w:t>
        </w:r>
      </w:hyperlink>
      <w:r w:rsidRPr="00BD1049">
        <w:rPr>
          <w:rFonts w:ascii="David" w:hAnsi="David" w:cs="David"/>
          <w:sz w:val="24"/>
          <w:szCs w:val="24"/>
          <w:rtl/>
        </w:rPr>
        <w:t xml:space="preserve"> </w:t>
      </w:r>
      <w:r w:rsidRPr="00BD1049">
        <w:rPr>
          <w:rFonts w:ascii="David" w:hAnsi="David" w:cs="David"/>
          <w:b/>
          <w:bCs/>
          <w:sz w:val="24"/>
          <w:szCs w:val="24"/>
          <w:rtl/>
        </w:rPr>
        <w:t xml:space="preserve">פלוני נ' מדינת ישראל </w:t>
      </w:r>
      <w:r w:rsidRPr="00BD1049">
        <w:rPr>
          <w:rFonts w:ascii="David" w:hAnsi="David" w:cs="David"/>
          <w:sz w:val="24"/>
          <w:szCs w:val="24"/>
          <w:rtl/>
        </w:rPr>
        <w:t xml:space="preserve">(31.10.2010); </w:t>
      </w:r>
      <w:r w:rsidRPr="00BD1049">
        <w:rPr>
          <w:sz w:val="20"/>
          <w:szCs w:val="20"/>
          <w:rtl/>
        </w:rPr>
        <w:t>(</w:t>
      </w:r>
      <w:hyperlink w:history="1">
        <w:r w:rsidRPr="00873397">
          <w:rPr>
            <w:rFonts w:cs="David"/>
            <w:color w:val="000000"/>
            <w:sz w:val="24"/>
            <w:szCs w:val="24"/>
            <w:rtl/>
          </w:rPr>
          <w:t>ע"פ</w:t>
        </w:r>
      </w:hyperlink>
      <w:r w:rsidRPr="00BD1049">
        <w:rPr>
          <w:rFonts w:cs="David"/>
          <w:sz w:val="24"/>
          <w:szCs w:val="24"/>
          <w:rtl/>
        </w:rPr>
        <w:t xml:space="preserve"> 1062/19 </w:t>
      </w:r>
      <w:r w:rsidRPr="00BD1049">
        <w:rPr>
          <w:rFonts w:ascii="David" w:hAnsi="David" w:cs="David"/>
          <w:b/>
          <w:bCs/>
          <w:sz w:val="24"/>
          <w:szCs w:val="24"/>
          <w:rtl/>
        </w:rPr>
        <w:t xml:space="preserve">פלוני נ' מדינת ישראל </w:t>
      </w:r>
      <w:r w:rsidRPr="00BD1049">
        <w:rPr>
          <w:rFonts w:ascii="David" w:hAnsi="David" w:cs="David"/>
          <w:sz w:val="24"/>
          <w:szCs w:val="24"/>
          <w:rtl/>
        </w:rPr>
        <w:t xml:space="preserve">(09.07.2019)). </w:t>
      </w:r>
    </w:p>
    <w:p w14:paraId="7EAF0246" w14:textId="77777777" w:rsidR="00897CFA" w:rsidRPr="00BD1049" w:rsidRDefault="00897CFA" w:rsidP="00897CFA">
      <w:pPr>
        <w:pStyle w:val="a9"/>
        <w:spacing w:before="240" w:line="360" w:lineRule="auto"/>
        <w:ind w:left="423"/>
        <w:jc w:val="both"/>
        <w:rPr>
          <w:rFonts w:ascii="David" w:hAnsi="David" w:cs="David"/>
          <w:sz w:val="24"/>
          <w:szCs w:val="24"/>
        </w:rPr>
      </w:pPr>
      <w:r w:rsidRPr="00BD1049">
        <w:rPr>
          <w:rFonts w:ascii="David" w:hAnsi="David" w:cs="David"/>
          <w:sz w:val="24"/>
          <w:szCs w:val="24"/>
          <w:rtl/>
        </w:rPr>
        <w:t>אשר לפיצוי למתלוננת בתיק המצורף הראשון – בעניין זה לא הוצגו נתונים של ממש, ולפיכך הנני רואה להסתפק בהטלת פיצוי בסך 500 ₪ בלבד.</w:t>
      </w:r>
    </w:p>
    <w:p w14:paraId="1AF720B5" w14:textId="77777777" w:rsidR="00897CFA" w:rsidRPr="00BD1049" w:rsidRDefault="00897CFA" w:rsidP="00897CFA">
      <w:pPr>
        <w:spacing w:before="240" w:line="360" w:lineRule="auto"/>
        <w:jc w:val="both"/>
        <w:rPr>
          <w:rFonts w:ascii="David" w:hAnsi="David"/>
          <w:b/>
          <w:bCs/>
          <w:u w:val="single"/>
          <w:rtl/>
        </w:rPr>
      </w:pPr>
      <w:r w:rsidRPr="00BD1049">
        <w:rPr>
          <w:rFonts w:ascii="David" w:hAnsi="David"/>
          <w:b/>
          <w:bCs/>
          <w:u w:val="single"/>
          <w:rtl/>
        </w:rPr>
        <w:t>סוף דבר</w:t>
      </w:r>
    </w:p>
    <w:p w14:paraId="15AE7B2D" w14:textId="77777777" w:rsidR="00897CFA" w:rsidRPr="00BD1049" w:rsidRDefault="00897CFA" w:rsidP="00897CFA">
      <w:pPr>
        <w:pStyle w:val="a9"/>
        <w:numPr>
          <w:ilvl w:val="0"/>
          <w:numId w:val="1"/>
        </w:numPr>
        <w:spacing w:before="240" w:line="360" w:lineRule="auto"/>
        <w:ind w:left="423"/>
        <w:jc w:val="both"/>
        <w:rPr>
          <w:rFonts w:ascii="David" w:hAnsi="David" w:cs="David"/>
          <w:sz w:val="24"/>
          <w:szCs w:val="24"/>
        </w:rPr>
      </w:pPr>
      <w:r w:rsidRPr="00BD1049">
        <w:rPr>
          <w:rFonts w:ascii="David" w:hAnsi="David" w:cs="David"/>
          <w:sz w:val="24"/>
          <w:szCs w:val="24"/>
          <w:rtl/>
        </w:rPr>
        <w:t xml:space="preserve"> </w:t>
      </w:r>
      <w:r w:rsidRPr="00BD1049">
        <w:rPr>
          <w:rFonts w:ascii="David" w:hAnsi="David" w:cs="David" w:hint="cs"/>
          <w:sz w:val="24"/>
          <w:szCs w:val="24"/>
          <w:rtl/>
        </w:rPr>
        <w:t xml:space="preserve">אשר על כן, הנני גוזר על הנאשם את העונשים הבאים: </w:t>
      </w:r>
    </w:p>
    <w:p w14:paraId="61B82265" w14:textId="77777777" w:rsidR="00897CFA" w:rsidRPr="00CE50D3" w:rsidRDefault="00897CFA" w:rsidP="00897CFA">
      <w:pPr>
        <w:pStyle w:val="a9"/>
        <w:numPr>
          <w:ilvl w:val="0"/>
          <w:numId w:val="4"/>
        </w:numPr>
        <w:spacing w:before="240" w:line="360" w:lineRule="auto"/>
        <w:jc w:val="both"/>
        <w:rPr>
          <w:rFonts w:ascii="David" w:hAnsi="David" w:cs="David"/>
          <w:b/>
          <w:bCs/>
          <w:sz w:val="24"/>
          <w:szCs w:val="24"/>
        </w:rPr>
      </w:pPr>
      <w:r w:rsidRPr="00CE50D3">
        <w:rPr>
          <w:rFonts w:ascii="David" w:hAnsi="David" w:cs="David"/>
          <w:b/>
          <w:bCs/>
          <w:sz w:val="24"/>
          <w:szCs w:val="24"/>
          <w:rtl/>
        </w:rPr>
        <w:t xml:space="preserve">56 חודשי מאסר לריצוי בפועל, אשר יימנו מיום מעצרו. </w:t>
      </w:r>
    </w:p>
    <w:p w14:paraId="700C6D9B" w14:textId="77777777" w:rsidR="00897CFA" w:rsidRPr="00BD1049" w:rsidRDefault="00897CFA" w:rsidP="00897CFA">
      <w:pPr>
        <w:pStyle w:val="a9"/>
        <w:spacing w:before="240" w:line="360" w:lineRule="auto"/>
        <w:ind w:left="1080"/>
        <w:jc w:val="both"/>
        <w:rPr>
          <w:rFonts w:ascii="David" w:hAnsi="David" w:cs="David"/>
          <w:sz w:val="24"/>
          <w:szCs w:val="24"/>
        </w:rPr>
      </w:pPr>
    </w:p>
    <w:p w14:paraId="27D5C93F" w14:textId="77777777" w:rsidR="00897CFA" w:rsidRDefault="00897CFA" w:rsidP="00897CFA">
      <w:pPr>
        <w:pStyle w:val="a9"/>
        <w:numPr>
          <w:ilvl w:val="0"/>
          <w:numId w:val="4"/>
        </w:numPr>
        <w:spacing w:before="240" w:line="360" w:lineRule="auto"/>
        <w:jc w:val="both"/>
        <w:rPr>
          <w:rFonts w:ascii="David" w:hAnsi="David" w:cs="David"/>
          <w:sz w:val="24"/>
          <w:szCs w:val="24"/>
        </w:rPr>
      </w:pPr>
      <w:r w:rsidRPr="00BD1049">
        <w:rPr>
          <w:rFonts w:ascii="David" w:hAnsi="David" w:cs="David"/>
          <w:sz w:val="24"/>
          <w:szCs w:val="24"/>
          <w:rtl/>
        </w:rPr>
        <w:t>10 חודשי מאסר על תנאי, לבל יעבור הנאשם במשך שלוש שנים מיום שחרורו ממאסר כל עבירת רכוש מסוג פשע או כל עבירת אלימות מסוג פשע.</w:t>
      </w:r>
    </w:p>
    <w:p w14:paraId="4F964C21" w14:textId="77777777" w:rsidR="00897CFA" w:rsidRPr="00BD1049" w:rsidRDefault="00897CFA" w:rsidP="00897CFA">
      <w:pPr>
        <w:pStyle w:val="a9"/>
        <w:spacing w:before="240" w:line="360" w:lineRule="auto"/>
        <w:ind w:left="1080"/>
        <w:jc w:val="both"/>
        <w:rPr>
          <w:rFonts w:ascii="David" w:hAnsi="David" w:cs="David"/>
          <w:sz w:val="24"/>
          <w:szCs w:val="24"/>
        </w:rPr>
      </w:pPr>
    </w:p>
    <w:p w14:paraId="53F36A73" w14:textId="77777777" w:rsidR="00897CFA" w:rsidRDefault="00897CFA" w:rsidP="00897CFA">
      <w:pPr>
        <w:pStyle w:val="a9"/>
        <w:numPr>
          <w:ilvl w:val="0"/>
          <w:numId w:val="4"/>
        </w:numPr>
        <w:spacing w:before="240" w:line="360" w:lineRule="auto"/>
        <w:jc w:val="both"/>
        <w:rPr>
          <w:rFonts w:ascii="David" w:hAnsi="David" w:cs="David"/>
          <w:sz w:val="24"/>
          <w:szCs w:val="24"/>
        </w:rPr>
      </w:pPr>
      <w:r w:rsidRPr="00BD1049">
        <w:rPr>
          <w:rFonts w:ascii="David" w:hAnsi="David" w:cs="David"/>
          <w:sz w:val="24"/>
          <w:szCs w:val="24"/>
          <w:rtl/>
        </w:rPr>
        <w:t>6 חודשי מאסר על תנאי, לבל יעבור הנאשם במשך שלוש שנים מיום שחרורו ממאסר כל עבירת רכוש מסוג עוון, עבירת אלימות מסוג עוון או עבירת הפרת הוראה חוקית.</w:t>
      </w:r>
    </w:p>
    <w:p w14:paraId="3C479D29" w14:textId="77777777" w:rsidR="00897CFA" w:rsidRPr="00BD1049" w:rsidRDefault="00897CFA" w:rsidP="00897CFA">
      <w:pPr>
        <w:pStyle w:val="a9"/>
        <w:spacing w:before="240" w:line="360" w:lineRule="auto"/>
        <w:ind w:left="1080"/>
        <w:jc w:val="both"/>
        <w:rPr>
          <w:rFonts w:ascii="David" w:hAnsi="David" w:cs="David"/>
          <w:sz w:val="24"/>
          <w:szCs w:val="24"/>
        </w:rPr>
      </w:pPr>
    </w:p>
    <w:p w14:paraId="22651081" w14:textId="77777777" w:rsidR="00897CFA" w:rsidRDefault="00897CFA" w:rsidP="00897CFA">
      <w:pPr>
        <w:pStyle w:val="a9"/>
        <w:numPr>
          <w:ilvl w:val="0"/>
          <w:numId w:val="4"/>
        </w:numPr>
        <w:spacing w:before="240" w:line="360" w:lineRule="auto"/>
        <w:jc w:val="both"/>
        <w:rPr>
          <w:rFonts w:ascii="David" w:hAnsi="David" w:cs="David"/>
          <w:sz w:val="24"/>
          <w:szCs w:val="24"/>
        </w:rPr>
      </w:pPr>
      <w:r w:rsidRPr="00BD1049">
        <w:rPr>
          <w:rFonts w:ascii="David" w:hAnsi="David" w:cs="David"/>
          <w:sz w:val="24"/>
          <w:szCs w:val="24"/>
          <w:rtl/>
        </w:rPr>
        <w:t>פיצוי בסך 30,000 לנפגע העבירה בתיק העיקרי, אשר ישולם בעשרה תשלומים חודשיים שווים ורצופים, החל ביום 1.2.25 ויועבר לנפגע העבירה לפי פרטים שתמסור המאשימה. אם לא ישולם תשלום כלשהו במועדו, תעמוד היתרה לפירעון מיידי.</w:t>
      </w:r>
    </w:p>
    <w:p w14:paraId="1A36D9D7" w14:textId="77777777" w:rsidR="00897CFA" w:rsidRPr="00BD1049" w:rsidRDefault="00897CFA" w:rsidP="00897CFA">
      <w:pPr>
        <w:pStyle w:val="a9"/>
        <w:spacing w:before="240" w:line="360" w:lineRule="auto"/>
        <w:ind w:left="1080"/>
        <w:jc w:val="both"/>
        <w:rPr>
          <w:rFonts w:ascii="David" w:hAnsi="David" w:cs="David"/>
          <w:sz w:val="24"/>
          <w:szCs w:val="24"/>
        </w:rPr>
      </w:pPr>
    </w:p>
    <w:p w14:paraId="454FD0B1" w14:textId="77777777" w:rsidR="00897CFA" w:rsidRPr="00BD1049" w:rsidRDefault="00897CFA" w:rsidP="00897CFA">
      <w:pPr>
        <w:pStyle w:val="a9"/>
        <w:numPr>
          <w:ilvl w:val="0"/>
          <w:numId w:val="4"/>
        </w:numPr>
        <w:spacing w:before="240" w:line="360" w:lineRule="auto"/>
        <w:jc w:val="both"/>
        <w:rPr>
          <w:rFonts w:ascii="David" w:hAnsi="David" w:cs="David"/>
          <w:sz w:val="24"/>
          <w:szCs w:val="24"/>
          <w:rtl/>
        </w:rPr>
      </w:pPr>
      <w:r w:rsidRPr="00BD1049">
        <w:rPr>
          <w:rFonts w:ascii="David" w:hAnsi="David" w:cs="David"/>
          <w:sz w:val="24"/>
          <w:szCs w:val="24"/>
          <w:rtl/>
        </w:rPr>
        <w:t xml:space="preserve">פיצוי בסך 500 ₪ למתלוננת בתיק </w:t>
      </w:r>
      <w:hyperlink r:id="rId103" w:history="1">
        <w:r w:rsidR="00873397" w:rsidRPr="00873397">
          <w:rPr>
            <w:rFonts w:ascii="David" w:hAnsi="David" w:cs="David"/>
            <w:color w:val="0000FF"/>
            <w:sz w:val="24"/>
            <w:szCs w:val="24"/>
            <w:u w:val="single"/>
            <w:rtl/>
          </w:rPr>
          <w:t>ת.פ 16182-10-22</w:t>
        </w:r>
      </w:hyperlink>
      <w:r w:rsidRPr="00BD1049">
        <w:rPr>
          <w:rFonts w:ascii="David" w:hAnsi="David" w:cs="David"/>
          <w:sz w:val="24"/>
          <w:szCs w:val="24"/>
          <w:rtl/>
        </w:rPr>
        <w:t>, אשר ישולם ביום 1.2.25 לפי פרטים שתמסור המאשימה.</w:t>
      </w:r>
    </w:p>
    <w:p w14:paraId="2205E9FF" w14:textId="77777777" w:rsidR="00897CFA" w:rsidRDefault="00897CFA" w:rsidP="00897CFA">
      <w:pPr>
        <w:spacing w:before="240" w:line="360" w:lineRule="auto"/>
        <w:jc w:val="both"/>
        <w:rPr>
          <w:rFonts w:ascii="David" w:hAnsi="David"/>
          <w:rtl/>
        </w:rPr>
      </w:pPr>
      <w:r w:rsidRPr="00BD1049">
        <w:rPr>
          <w:rFonts w:ascii="David" w:hAnsi="David"/>
          <w:rtl/>
        </w:rPr>
        <w:t>נוכח כלל רכיבי הענישה שהוטלו ושיעור הפיצויים – הנני נמנע מלהשית על הנאשם קנס.</w:t>
      </w:r>
    </w:p>
    <w:p w14:paraId="57EEB15B" w14:textId="77777777" w:rsidR="00897CFA" w:rsidRPr="00BD1049" w:rsidRDefault="00897CFA" w:rsidP="00897CFA">
      <w:pPr>
        <w:spacing w:before="240" w:line="360" w:lineRule="auto"/>
        <w:jc w:val="both"/>
        <w:rPr>
          <w:rFonts w:ascii="David" w:hAnsi="David"/>
        </w:rPr>
      </w:pPr>
      <w:r>
        <w:rPr>
          <w:rFonts w:ascii="David" w:hAnsi="David" w:hint="cs"/>
          <w:rtl/>
        </w:rPr>
        <w:t>זכות ערעור כחוק.</w:t>
      </w:r>
    </w:p>
    <w:p w14:paraId="7B16C21A" w14:textId="77777777" w:rsidR="00897CFA" w:rsidRPr="00873397" w:rsidRDefault="00873397" w:rsidP="00897CFA">
      <w:pPr>
        <w:rPr>
          <w:color w:val="FFFFFF"/>
          <w:sz w:val="2"/>
          <w:szCs w:val="2"/>
          <w:rtl/>
        </w:rPr>
      </w:pPr>
      <w:r w:rsidRPr="0087339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97CFA" w14:paraId="64F207BE" w14:textId="77777777" w:rsidTr="00897CFA">
        <w:trPr>
          <w:trHeight w:val="316"/>
          <w:jc w:val="right"/>
        </w:trPr>
        <w:tc>
          <w:tcPr>
            <w:tcW w:w="3936" w:type="dxa"/>
            <w:tcBorders>
              <w:top w:val="nil"/>
              <w:left w:val="nil"/>
              <w:bottom w:val="single" w:sz="4" w:space="0" w:color="auto"/>
              <w:right w:val="nil"/>
            </w:tcBorders>
            <w:shd w:val="clear" w:color="auto" w:fill="auto"/>
            <w:vAlign w:val="center"/>
          </w:tcPr>
          <w:p w14:paraId="33215BAD" w14:textId="77777777" w:rsidR="00897CFA" w:rsidRPr="00897CFA" w:rsidRDefault="00873397" w:rsidP="00873397">
            <w:pPr>
              <w:jc w:val="center"/>
              <w:rPr>
                <w:rFonts w:cs="Times New Roman"/>
              </w:rPr>
            </w:pPr>
            <w:bookmarkStart w:id="8" w:name="Nitan"/>
            <w:r w:rsidRPr="00873397">
              <w:rPr>
                <w:rFonts w:ascii="Arial" w:hAnsi="Arial"/>
                <w:color w:val="FFFFFF"/>
                <w:sz w:val="2"/>
                <w:szCs w:val="2"/>
                <w:rtl/>
              </w:rPr>
              <w:t>54678313</w:t>
            </w:r>
            <w:r>
              <w:rPr>
                <w:rFonts w:ascii="Arial" w:hAnsi="Arial"/>
                <w:rtl/>
              </w:rPr>
              <w:t xml:space="preserve">ניתן היום, ו' תשרי תשפ"ה, 08 אוקטובר 2024, במעמד הצדדים. </w:t>
            </w:r>
            <w:bookmarkEnd w:id="8"/>
          </w:p>
          <w:p w14:paraId="21C6DBFC" w14:textId="77777777" w:rsidR="00897CFA" w:rsidRDefault="00897CFA" w:rsidP="00897CFA">
            <w:pPr>
              <w:jc w:val="center"/>
            </w:pPr>
          </w:p>
        </w:tc>
      </w:tr>
      <w:tr w:rsidR="00897CFA" w14:paraId="4B1B3912" w14:textId="77777777" w:rsidTr="00897CFA">
        <w:trPr>
          <w:trHeight w:val="361"/>
          <w:jc w:val="right"/>
        </w:trPr>
        <w:tc>
          <w:tcPr>
            <w:tcW w:w="3936" w:type="dxa"/>
            <w:tcBorders>
              <w:top w:val="single" w:sz="4" w:space="0" w:color="auto"/>
              <w:left w:val="nil"/>
              <w:bottom w:val="nil"/>
              <w:right w:val="nil"/>
            </w:tcBorders>
            <w:shd w:val="clear" w:color="auto" w:fill="auto"/>
            <w:vAlign w:val="center"/>
          </w:tcPr>
          <w:p w14:paraId="342002E1" w14:textId="77777777" w:rsidR="00897CFA" w:rsidRPr="00897CFA" w:rsidRDefault="00897CFA" w:rsidP="00897CFA">
            <w:pPr>
              <w:jc w:val="center"/>
              <w:rPr>
                <w:b/>
                <w:bCs/>
                <w:rtl/>
              </w:rPr>
            </w:pPr>
            <w:r w:rsidRPr="00897CFA">
              <w:rPr>
                <w:b/>
                <w:bCs/>
                <w:rtl/>
              </w:rPr>
              <w:t>שי</w:t>
            </w:r>
            <w:r w:rsidRPr="00897CFA">
              <w:rPr>
                <w:rFonts w:hint="cs"/>
                <w:b/>
                <w:bCs/>
                <w:rtl/>
              </w:rPr>
              <w:t xml:space="preserve"> </w:t>
            </w:r>
            <w:r w:rsidRPr="00897CFA">
              <w:rPr>
                <w:b/>
                <w:bCs/>
                <w:rtl/>
              </w:rPr>
              <w:t>יניב</w:t>
            </w:r>
            <w:r w:rsidRPr="00897CFA">
              <w:rPr>
                <w:rFonts w:hint="cs"/>
                <w:b/>
                <w:bCs/>
                <w:rtl/>
              </w:rPr>
              <w:t xml:space="preserve">, </w:t>
            </w:r>
            <w:r w:rsidRPr="00897CFA">
              <w:rPr>
                <w:b/>
                <w:bCs/>
                <w:rtl/>
              </w:rPr>
              <w:t>שופט, סגן הנשיא</w:t>
            </w:r>
          </w:p>
        </w:tc>
      </w:tr>
    </w:tbl>
    <w:p w14:paraId="6E693E61" w14:textId="77777777" w:rsidR="00897CFA" w:rsidRPr="00EE2DA4" w:rsidRDefault="00897CFA" w:rsidP="00897CFA">
      <w:pPr>
        <w:spacing w:line="360" w:lineRule="auto"/>
        <w:jc w:val="right"/>
        <w:rPr>
          <w:rFonts w:ascii="Arial" w:hAnsi="Arial"/>
          <w:sz w:val="22"/>
          <w:szCs w:val="22"/>
          <w:rtl/>
        </w:rPr>
      </w:pPr>
    </w:p>
    <w:p w14:paraId="568AFD15" w14:textId="77777777" w:rsidR="00897CFA" w:rsidRPr="00BD1049" w:rsidRDefault="00897CFA" w:rsidP="00897CFA">
      <w:pPr>
        <w:rPr>
          <w:sz w:val="22"/>
          <w:szCs w:val="22"/>
          <w:rtl/>
        </w:rPr>
      </w:pPr>
    </w:p>
    <w:p w14:paraId="2D1BF38F" w14:textId="77777777" w:rsidR="00897CFA" w:rsidRPr="00BD1049" w:rsidRDefault="00897CFA" w:rsidP="00897CFA">
      <w:pPr>
        <w:pStyle w:val="a3"/>
        <w:jc w:val="center"/>
        <w:rPr>
          <w:sz w:val="22"/>
          <w:szCs w:val="22"/>
          <w:rtl/>
        </w:rPr>
      </w:pPr>
    </w:p>
    <w:p w14:paraId="245B8221" w14:textId="77777777" w:rsidR="00714D09" w:rsidRPr="00873397" w:rsidRDefault="00714D09" w:rsidP="00873397">
      <w:pPr>
        <w:keepNext/>
        <w:rPr>
          <w:rFonts w:ascii="David" w:hAnsi="David"/>
          <w:color w:val="000000"/>
          <w:sz w:val="22"/>
          <w:szCs w:val="22"/>
          <w:rtl/>
        </w:rPr>
      </w:pPr>
    </w:p>
    <w:p w14:paraId="659BE2E9" w14:textId="77777777" w:rsidR="00873397" w:rsidRPr="00873397" w:rsidRDefault="00873397" w:rsidP="00873397">
      <w:pPr>
        <w:keepNext/>
        <w:rPr>
          <w:rFonts w:ascii="David" w:hAnsi="David"/>
          <w:color w:val="000000"/>
          <w:sz w:val="22"/>
          <w:szCs w:val="22"/>
          <w:rtl/>
        </w:rPr>
      </w:pPr>
      <w:r w:rsidRPr="00873397">
        <w:rPr>
          <w:rFonts w:ascii="David" w:hAnsi="David"/>
          <w:color w:val="000000"/>
          <w:sz w:val="22"/>
          <w:szCs w:val="22"/>
          <w:rtl/>
        </w:rPr>
        <w:t>שי יניב 54678313</w:t>
      </w:r>
    </w:p>
    <w:p w14:paraId="285CE3F5" w14:textId="77777777" w:rsidR="00873397" w:rsidRDefault="00873397" w:rsidP="00873397">
      <w:r w:rsidRPr="00873397">
        <w:rPr>
          <w:color w:val="000000"/>
          <w:rtl/>
        </w:rPr>
        <w:t>נוסח מסמך זה כפוף לשינויי ניסוח ועריכה</w:t>
      </w:r>
    </w:p>
    <w:p w14:paraId="0EA1E348" w14:textId="77777777" w:rsidR="00873397" w:rsidRDefault="00873397" w:rsidP="00873397">
      <w:pPr>
        <w:rPr>
          <w:rtl/>
        </w:rPr>
      </w:pPr>
    </w:p>
    <w:p w14:paraId="7398FA40" w14:textId="77777777" w:rsidR="00873397" w:rsidRDefault="00873397" w:rsidP="00873397">
      <w:pPr>
        <w:jc w:val="center"/>
        <w:rPr>
          <w:color w:val="0000FF"/>
          <w:u w:val="single"/>
        </w:rPr>
      </w:pPr>
      <w:hyperlink r:id="rId104" w:history="1">
        <w:r>
          <w:rPr>
            <w:color w:val="0000FF"/>
            <w:u w:val="single"/>
            <w:rtl/>
          </w:rPr>
          <w:t>בעניין עריכה ושינויים במסמכי פסיקה, חקיקה ועוד באתר נבו – הקש כאן</w:t>
        </w:r>
      </w:hyperlink>
    </w:p>
    <w:p w14:paraId="4EC552D3" w14:textId="77777777" w:rsidR="00873397" w:rsidRPr="00873397" w:rsidRDefault="00873397" w:rsidP="00873397">
      <w:pPr>
        <w:jc w:val="center"/>
        <w:rPr>
          <w:color w:val="0000FF"/>
          <w:u w:val="single"/>
        </w:rPr>
      </w:pPr>
    </w:p>
    <w:sectPr w:rsidR="00873397" w:rsidRPr="00873397" w:rsidSect="00873397">
      <w:headerReference w:type="even" r:id="rId105"/>
      <w:headerReference w:type="default" r:id="rId106"/>
      <w:footerReference w:type="even" r:id="rId107"/>
      <w:footerReference w:type="default" r:id="rId10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C0523" w14:textId="77777777" w:rsidR="008565A3" w:rsidRDefault="008565A3" w:rsidP="00AE3C2B">
      <w:r>
        <w:separator/>
      </w:r>
    </w:p>
  </w:endnote>
  <w:endnote w:type="continuationSeparator" w:id="0">
    <w:p w14:paraId="422722D7" w14:textId="77777777" w:rsidR="008565A3" w:rsidRDefault="008565A3" w:rsidP="00AE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25BC0" w14:textId="77777777" w:rsidR="00873397" w:rsidRDefault="00873397" w:rsidP="008733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26C3DF" w14:textId="77777777" w:rsidR="00195D99" w:rsidRPr="00873397" w:rsidRDefault="00873397" w:rsidP="008733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F9563" w14:textId="77777777" w:rsidR="00873397" w:rsidRDefault="00873397" w:rsidP="008733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0684">
      <w:rPr>
        <w:rFonts w:ascii="FrankRuehl" w:hAnsi="FrankRuehl" w:cs="FrankRuehl"/>
        <w:noProof/>
        <w:rtl/>
      </w:rPr>
      <w:t>1</w:t>
    </w:r>
    <w:r>
      <w:rPr>
        <w:rFonts w:ascii="FrankRuehl" w:hAnsi="FrankRuehl" w:cs="FrankRuehl"/>
        <w:rtl/>
      </w:rPr>
      <w:fldChar w:fldCharType="end"/>
    </w:r>
  </w:p>
  <w:p w14:paraId="3272A486" w14:textId="77777777" w:rsidR="00195D99" w:rsidRPr="00873397" w:rsidRDefault="00873397" w:rsidP="008733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A291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CF1D8" w14:textId="77777777" w:rsidR="008565A3" w:rsidRDefault="008565A3" w:rsidP="00AE3C2B">
      <w:r>
        <w:separator/>
      </w:r>
    </w:p>
  </w:footnote>
  <w:footnote w:type="continuationSeparator" w:id="0">
    <w:p w14:paraId="56FB682B" w14:textId="77777777" w:rsidR="008565A3" w:rsidRDefault="008565A3" w:rsidP="00AE3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265C" w14:textId="77777777" w:rsidR="00873397" w:rsidRPr="00873397" w:rsidRDefault="00873397" w:rsidP="0087339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35569-02-23</w:t>
    </w:r>
    <w:r>
      <w:rPr>
        <w:rFonts w:ascii="David" w:hAnsi="David"/>
        <w:color w:val="000000"/>
        <w:sz w:val="22"/>
        <w:szCs w:val="22"/>
        <w:rtl/>
      </w:rPr>
      <w:tab/>
      <w:t xml:space="preserve"> מדינת ישראל נ' יהודה מדינה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4DDA2" w14:textId="77777777" w:rsidR="00873397" w:rsidRPr="00873397" w:rsidRDefault="00873397" w:rsidP="0087339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35569-02-23</w:t>
    </w:r>
    <w:r>
      <w:rPr>
        <w:rFonts w:ascii="David" w:hAnsi="David"/>
        <w:color w:val="000000"/>
        <w:sz w:val="22"/>
        <w:szCs w:val="22"/>
        <w:rtl/>
      </w:rPr>
      <w:tab/>
      <w:t xml:space="preserve"> מדינת ישראל נ' יהודה מדינה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C4028"/>
    <w:multiLevelType w:val="hybridMultilevel"/>
    <w:tmpl w:val="AC1AF9A6"/>
    <w:lvl w:ilvl="0" w:tplc="F21A8794">
      <w:start w:val="1"/>
      <w:numFmt w:val="decimal"/>
      <w:lvlText w:val="%1."/>
      <w:lvlJc w:val="left"/>
      <w:pPr>
        <w:ind w:left="3195" w:hanging="360"/>
      </w:pPr>
      <w:rPr>
        <w:rFonts w:ascii="David" w:hAnsi="David" w:cs="David" w:hint="default"/>
        <w:b w:val="0"/>
        <w:bCs w:val="0"/>
        <w:sz w:val="24"/>
      </w:rPr>
    </w:lvl>
    <w:lvl w:ilvl="1" w:tplc="C5EA2024">
      <w:start w:val="1"/>
      <w:numFmt w:val="lowerLetter"/>
      <w:lvlText w:val="%2."/>
      <w:lvlJc w:val="left"/>
      <w:pPr>
        <w:ind w:left="1440" w:hanging="360"/>
      </w:pPr>
    </w:lvl>
    <w:lvl w:ilvl="2" w:tplc="4ABA1B0E">
      <w:start w:val="1"/>
      <w:numFmt w:val="lowerRoman"/>
      <w:lvlText w:val="%3."/>
      <w:lvlJc w:val="right"/>
      <w:pPr>
        <w:ind w:left="2160" w:hanging="180"/>
      </w:pPr>
    </w:lvl>
    <w:lvl w:ilvl="3" w:tplc="7182246A">
      <w:start w:val="1"/>
      <w:numFmt w:val="decimal"/>
      <w:lvlText w:val="%4."/>
      <w:lvlJc w:val="left"/>
      <w:pPr>
        <w:ind w:left="2880" w:hanging="360"/>
      </w:pPr>
    </w:lvl>
    <w:lvl w:ilvl="4" w:tplc="45A41B6C">
      <w:start w:val="1"/>
      <w:numFmt w:val="lowerLetter"/>
      <w:lvlText w:val="%5."/>
      <w:lvlJc w:val="left"/>
      <w:pPr>
        <w:ind w:left="3600" w:hanging="360"/>
      </w:pPr>
    </w:lvl>
    <w:lvl w:ilvl="5" w:tplc="5FDE1F26">
      <w:start w:val="1"/>
      <w:numFmt w:val="lowerRoman"/>
      <w:lvlText w:val="%6."/>
      <w:lvlJc w:val="right"/>
      <w:pPr>
        <w:ind w:left="4320" w:hanging="180"/>
      </w:pPr>
    </w:lvl>
    <w:lvl w:ilvl="6" w:tplc="6D4EE816">
      <w:start w:val="1"/>
      <w:numFmt w:val="decimal"/>
      <w:lvlText w:val="%7."/>
      <w:lvlJc w:val="left"/>
      <w:pPr>
        <w:ind w:left="5040" w:hanging="360"/>
      </w:pPr>
    </w:lvl>
    <w:lvl w:ilvl="7" w:tplc="18B0888A">
      <w:start w:val="1"/>
      <w:numFmt w:val="lowerLetter"/>
      <w:lvlText w:val="%8."/>
      <w:lvlJc w:val="left"/>
      <w:pPr>
        <w:ind w:left="5760" w:hanging="360"/>
      </w:pPr>
    </w:lvl>
    <w:lvl w:ilvl="8" w:tplc="75385038">
      <w:start w:val="1"/>
      <w:numFmt w:val="lowerRoman"/>
      <w:lvlText w:val="%9."/>
      <w:lvlJc w:val="right"/>
      <w:pPr>
        <w:ind w:left="6480" w:hanging="180"/>
      </w:pPr>
    </w:lvl>
  </w:abstractNum>
  <w:abstractNum w:abstractNumId="1" w15:restartNumberingAfterBreak="0">
    <w:nsid w:val="67404F8C"/>
    <w:multiLevelType w:val="hybridMultilevel"/>
    <w:tmpl w:val="523E94DA"/>
    <w:lvl w:ilvl="0" w:tplc="AB2431A6">
      <w:start w:val="1"/>
      <w:numFmt w:val="hebrew1"/>
      <w:lvlText w:val="%1."/>
      <w:lvlJc w:val="left"/>
      <w:pPr>
        <w:ind w:left="641" w:hanging="360"/>
      </w:pPr>
    </w:lvl>
    <w:lvl w:ilvl="1" w:tplc="048247AE">
      <w:start w:val="1"/>
      <w:numFmt w:val="lowerLetter"/>
      <w:lvlText w:val="%2."/>
      <w:lvlJc w:val="left"/>
      <w:pPr>
        <w:ind w:left="1361" w:hanging="360"/>
      </w:pPr>
    </w:lvl>
    <w:lvl w:ilvl="2" w:tplc="5B1CC942">
      <w:start w:val="1"/>
      <w:numFmt w:val="lowerRoman"/>
      <w:lvlText w:val="%3."/>
      <w:lvlJc w:val="right"/>
      <w:pPr>
        <w:ind w:left="2081" w:hanging="180"/>
      </w:pPr>
    </w:lvl>
    <w:lvl w:ilvl="3" w:tplc="A662AE62">
      <w:start w:val="1"/>
      <w:numFmt w:val="decimal"/>
      <w:lvlText w:val="%4."/>
      <w:lvlJc w:val="left"/>
      <w:pPr>
        <w:ind w:left="2801" w:hanging="360"/>
      </w:pPr>
    </w:lvl>
    <w:lvl w:ilvl="4" w:tplc="6F56A9DE">
      <w:start w:val="1"/>
      <w:numFmt w:val="lowerLetter"/>
      <w:lvlText w:val="%5."/>
      <w:lvlJc w:val="left"/>
      <w:pPr>
        <w:ind w:left="3521" w:hanging="360"/>
      </w:pPr>
    </w:lvl>
    <w:lvl w:ilvl="5" w:tplc="288CFD02">
      <w:start w:val="1"/>
      <w:numFmt w:val="lowerRoman"/>
      <w:lvlText w:val="%6."/>
      <w:lvlJc w:val="right"/>
      <w:pPr>
        <w:ind w:left="4241" w:hanging="180"/>
      </w:pPr>
    </w:lvl>
    <w:lvl w:ilvl="6" w:tplc="DF7C3EAE">
      <w:start w:val="1"/>
      <w:numFmt w:val="decimal"/>
      <w:lvlText w:val="%7."/>
      <w:lvlJc w:val="left"/>
      <w:pPr>
        <w:ind w:left="4961" w:hanging="360"/>
      </w:pPr>
    </w:lvl>
    <w:lvl w:ilvl="7" w:tplc="F19A2BD6">
      <w:start w:val="1"/>
      <w:numFmt w:val="lowerLetter"/>
      <w:lvlText w:val="%8."/>
      <w:lvlJc w:val="left"/>
      <w:pPr>
        <w:ind w:left="5681" w:hanging="360"/>
      </w:pPr>
    </w:lvl>
    <w:lvl w:ilvl="8" w:tplc="FEC69906">
      <w:start w:val="1"/>
      <w:numFmt w:val="lowerRoman"/>
      <w:lvlText w:val="%9."/>
      <w:lvlJc w:val="right"/>
      <w:pPr>
        <w:ind w:left="6401" w:hanging="180"/>
      </w:pPr>
    </w:lvl>
  </w:abstractNum>
  <w:abstractNum w:abstractNumId="2" w15:restartNumberingAfterBreak="0">
    <w:nsid w:val="713D789D"/>
    <w:multiLevelType w:val="hybridMultilevel"/>
    <w:tmpl w:val="24A2AE88"/>
    <w:lvl w:ilvl="0" w:tplc="18F83C28">
      <w:start w:val="1"/>
      <w:numFmt w:val="hebrew1"/>
      <w:lvlText w:val="%1."/>
      <w:lvlJc w:val="left"/>
      <w:pPr>
        <w:ind w:left="1080" w:hanging="360"/>
      </w:pPr>
      <w:rPr>
        <w:rFonts w:ascii="David" w:hAnsi="David" w:cs="David" w:hint="default"/>
        <w:b w:val="0"/>
        <w:bCs w:val="0"/>
        <w:sz w:val="28"/>
        <w:szCs w:val="28"/>
      </w:rPr>
    </w:lvl>
    <w:lvl w:ilvl="1" w:tplc="42F8A612">
      <w:start w:val="1"/>
      <w:numFmt w:val="lowerLetter"/>
      <w:lvlText w:val="%2."/>
      <w:lvlJc w:val="left"/>
      <w:pPr>
        <w:ind w:left="1800" w:hanging="360"/>
      </w:pPr>
    </w:lvl>
    <w:lvl w:ilvl="2" w:tplc="94FABD92">
      <w:start w:val="1"/>
      <w:numFmt w:val="lowerRoman"/>
      <w:lvlText w:val="%3."/>
      <w:lvlJc w:val="right"/>
      <w:pPr>
        <w:ind w:left="2520" w:hanging="180"/>
      </w:pPr>
    </w:lvl>
    <w:lvl w:ilvl="3" w:tplc="0C7C3CA8">
      <w:start w:val="1"/>
      <w:numFmt w:val="decimal"/>
      <w:lvlText w:val="%4."/>
      <w:lvlJc w:val="left"/>
      <w:pPr>
        <w:ind w:left="3240" w:hanging="360"/>
      </w:pPr>
    </w:lvl>
    <w:lvl w:ilvl="4" w:tplc="78388CDC">
      <w:start w:val="1"/>
      <w:numFmt w:val="lowerLetter"/>
      <w:lvlText w:val="%5."/>
      <w:lvlJc w:val="left"/>
      <w:pPr>
        <w:ind w:left="3960" w:hanging="360"/>
      </w:pPr>
    </w:lvl>
    <w:lvl w:ilvl="5" w:tplc="4E824120">
      <w:start w:val="1"/>
      <w:numFmt w:val="lowerRoman"/>
      <w:lvlText w:val="%6."/>
      <w:lvlJc w:val="right"/>
      <w:pPr>
        <w:ind w:left="4680" w:hanging="180"/>
      </w:pPr>
    </w:lvl>
    <w:lvl w:ilvl="6" w:tplc="EA7E82FA">
      <w:start w:val="1"/>
      <w:numFmt w:val="decimal"/>
      <w:lvlText w:val="%7."/>
      <w:lvlJc w:val="left"/>
      <w:pPr>
        <w:ind w:left="5400" w:hanging="360"/>
      </w:pPr>
    </w:lvl>
    <w:lvl w:ilvl="7" w:tplc="37288570">
      <w:start w:val="1"/>
      <w:numFmt w:val="lowerLetter"/>
      <w:lvlText w:val="%8."/>
      <w:lvlJc w:val="left"/>
      <w:pPr>
        <w:ind w:left="6120" w:hanging="360"/>
      </w:pPr>
    </w:lvl>
    <w:lvl w:ilvl="8" w:tplc="864E0036">
      <w:start w:val="1"/>
      <w:numFmt w:val="lowerRoman"/>
      <w:lvlText w:val="%9."/>
      <w:lvlJc w:val="right"/>
      <w:pPr>
        <w:ind w:left="6840" w:hanging="180"/>
      </w:pPr>
    </w:lvl>
  </w:abstractNum>
  <w:abstractNum w:abstractNumId="3" w15:restartNumberingAfterBreak="0">
    <w:nsid w:val="71953B64"/>
    <w:multiLevelType w:val="hybridMultilevel"/>
    <w:tmpl w:val="A67A48D2"/>
    <w:lvl w:ilvl="0" w:tplc="17F099F2">
      <w:start w:val="1"/>
      <w:numFmt w:val="hebrew1"/>
      <w:lvlText w:val="%1."/>
      <w:lvlJc w:val="left"/>
      <w:pPr>
        <w:ind w:left="1080" w:hanging="360"/>
      </w:pPr>
    </w:lvl>
    <w:lvl w:ilvl="1" w:tplc="700010D0">
      <w:start w:val="1"/>
      <w:numFmt w:val="lowerLetter"/>
      <w:lvlText w:val="%2."/>
      <w:lvlJc w:val="left"/>
      <w:pPr>
        <w:ind w:left="1800" w:hanging="360"/>
      </w:pPr>
    </w:lvl>
    <w:lvl w:ilvl="2" w:tplc="3CE0DDD4">
      <w:start w:val="1"/>
      <w:numFmt w:val="lowerRoman"/>
      <w:lvlText w:val="%3."/>
      <w:lvlJc w:val="right"/>
      <w:pPr>
        <w:ind w:left="2520" w:hanging="180"/>
      </w:pPr>
    </w:lvl>
    <w:lvl w:ilvl="3" w:tplc="8828F59A">
      <w:start w:val="1"/>
      <w:numFmt w:val="decimal"/>
      <w:lvlText w:val="%4."/>
      <w:lvlJc w:val="left"/>
      <w:pPr>
        <w:ind w:left="3240" w:hanging="360"/>
      </w:pPr>
    </w:lvl>
    <w:lvl w:ilvl="4" w:tplc="B7DC1E6C">
      <w:start w:val="1"/>
      <w:numFmt w:val="lowerLetter"/>
      <w:lvlText w:val="%5."/>
      <w:lvlJc w:val="left"/>
      <w:pPr>
        <w:ind w:left="3960" w:hanging="360"/>
      </w:pPr>
    </w:lvl>
    <w:lvl w:ilvl="5" w:tplc="930A6702">
      <w:start w:val="1"/>
      <w:numFmt w:val="lowerRoman"/>
      <w:lvlText w:val="%6."/>
      <w:lvlJc w:val="right"/>
      <w:pPr>
        <w:ind w:left="4680" w:hanging="180"/>
      </w:pPr>
    </w:lvl>
    <w:lvl w:ilvl="6" w:tplc="317EFC22">
      <w:start w:val="1"/>
      <w:numFmt w:val="decimal"/>
      <w:lvlText w:val="%7."/>
      <w:lvlJc w:val="left"/>
      <w:pPr>
        <w:ind w:left="5400" w:hanging="360"/>
      </w:pPr>
    </w:lvl>
    <w:lvl w:ilvl="7" w:tplc="3050C156">
      <w:start w:val="1"/>
      <w:numFmt w:val="lowerLetter"/>
      <w:lvlText w:val="%8."/>
      <w:lvlJc w:val="left"/>
      <w:pPr>
        <w:ind w:left="6120" w:hanging="360"/>
      </w:pPr>
    </w:lvl>
    <w:lvl w:ilvl="8" w:tplc="792C01A8">
      <w:start w:val="1"/>
      <w:numFmt w:val="lowerRoman"/>
      <w:lvlText w:val="%9."/>
      <w:lvlJc w:val="right"/>
      <w:pPr>
        <w:ind w:left="6840" w:hanging="180"/>
      </w:pPr>
    </w:lvl>
  </w:abstractNum>
  <w:num w:numId="1" w16cid:durableId="24365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1680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56727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42997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7CFA"/>
    <w:rsid w:val="00195D99"/>
    <w:rsid w:val="004E0684"/>
    <w:rsid w:val="00644598"/>
    <w:rsid w:val="00714D09"/>
    <w:rsid w:val="008565A3"/>
    <w:rsid w:val="00873397"/>
    <w:rsid w:val="00897CFA"/>
    <w:rsid w:val="00A912ED"/>
    <w:rsid w:val="00AB321C"/>
    <w:rsid w:val="00AE3C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7DC9A9"/>
  <w15:chartTrackingRefBased/>
  <w15:docId w15:val="{A889F47C-B3A9-4B25-AF59-DAA0086A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7C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7CFA"/>
    <w:pPr>
      <w:tabs>
        <w:tab w:val="center" w:pos="4153"/>
        <w:tab w:val="right" w:pos="8306"/>
      </w:tabs>
    </w:pPr>
  </w:style>
  <w:style w:type="character" w:customStyle="1" w:styleId="a4">
    <w:name w:val="כותרת עליונה תו"/>
    <w:link w:val="a3"/>
    <w:rsid w:val="00897CFA"/>
    <w:rPr>
      <w:rFonts w:ascii="Times New Roman" w:eastAsia="Times New Roman" w:hAnsi="Times New Roman" w:cs="David"/>
      <w:sz w:val="24"/>
      <w:szCs w:val="24"/>
    </w:rPr>
  </w:style>
  <w:style w:type="paragraph" w:styleId="a5">
    <w:name w:val="footer"/>
    <w:basedOn w:val="a"/>
    <w:link w:val="a6"/>
    <w:rsid w:val="00897CFA"/>
    <w:pPr>
      <w:tabs>
        <w:tab w:val="center" w:pos="4153"/>
        <w:tab w:val="right" w:pos="8306"/>
      </w:tabs>
    </w:pPr>
  </w:style>
  <w:style w:type="character" w:customStyle="1" w:styleId="a6">
    <w:name w:val="כותרת תחתונה תו"/>
    <w:link w:val="a5"/>
    <w:rsid w:val="00897CFA"/>
    <w:rPr>
      <w:rFonts w:ascii="Times New Roman" w:eastAsia="Times New Roman" w:hAnsi="Times New Roman" w:cs="David"/>
      <w:sz w:val="24"/>
      <w:szCs w:val="24"/>
    </w:rPr>
  </w:style>
  <w:style w:type="table" w:styleId="a7">
    <w:name w:val="Table Grid"/>
    <w:basedOn w:val="a1"/>
    <w:rsid w:val="00897C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7CFA"/>
  </w:style>
  <w:style w:type="paragraph" w:styleId="a9">
    <w:name w:val="List Paragraph"/>
    <w:basedOn w:val="a"/>
    <w:qFormat/>
    <w:rsid w:val="00897CFA"/>
    <w:pPr>
      <w:spacing w:after="160" w:line="256" w:lineRule="auto"/>
      <w:ind w:left="720"/>
      <w:contextualSpacing/>
    </w:pPr>
    <w:rPr>
      <w:rFonts w:ascii="Calibri" w:eastAsia="Calibri" w:hAnsi="Calibri" w:cs="Arial"/>
      <w:sz w:val="22"/>
      <w:szCs w:val="22"/>
    </w:rPr>
  </w:style>
  <w:style w:type="character" w:styleId="Hyperlink">
    <w:name w:val="Hyperlink"/>
    <w:rsid w:val="0087339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c" TargetMode="External"/><Relationship Id="rId21" Type="http://schemas.openxmlformats.org/officeDocument/2006/relationships/hyperlink" Target="http://www.nevo.co.il/law/70301/413g" TargetMode="External"/><Relationship Id="rId42" Type="http://schemas.openxmlformats.org/officeDocument/2006/relationships/hyperlink" Target="http://www.nevo.co.il/law/159510" TargetMode="External"/><Relationship Id="rId47" Type="http://schemas.openxmlformats.org/officeDocument/2006/relationships/hyperlink" Target="http://www.nevo.co.il/law/70301/413" TargetMode="External"/><Relationship Id="rId63" Type="http://schemas.openxmlformats.org/officeDocument/2006/relationships/hyperlink" Target="http://www.nevo.co.il/law/4216" TargetMode="External"/><Relationship Id="rId68" Type="http://schemas.openxmlformats.org/officeDocument/2006/relationships/hyperlink" Target="http://www.nevo.co.il/law/70301/192" TargetMode="External"/><Relationship Id="rId84" Type="http://schemas.openxmlformats.org/officeDocument/2006/relationships/hyperlink" Target="http://www.nevo.co.il/case/16968028"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01/382.b.1" TargetMode="External"/><Relationship Id="rId107" Type="http://schemas.openxmlformats.org/officeDocument/2006/relationships/footer" Target="footer1.xml"/><Relationship Id="rId11" Type="http://schemas.openxmlformats.org/officeDocument/2006/relationships/hyperlink" Target="http://www.nevo.co.il/law/70301/192" TargetMode="External"/><Relationship Id="rId32" Type="http://schemas.openxmlformats.org/officeDocument/2006/relationships/hyperlink" Target="http://www.nevo.co.il/law/5227/10.a" TargetMode="External"/><Relationship Id="rId37" Type="http://schemas.openxmlformats.org/officeDocument/2006/relationships/hyperlink" Target="http://www.nevo.co.il/law/70301/287.b" TargetMode="External"/><Relationship Id="rId53" Type="http://schemas.openxmlformats.org/officeDocument/2006/relationships/hyperlink" Target="http://www.nevo.co.il/law/5227/10.a" TargetMode="External"/><Relationship Id="rId58" Type="http://schemas.openxmlformats.org/officeDocument/2006/relationships/hyperlink" Target="http://www.nevo.co.il/law/70301/382.b.1" TargetMode="External"/><Relationship Id="rId74" Type="http://schemas.openxmlformats.org/officeDocument/2006/relationships/hyperlink" Target="http://www.nevo.co.il/law/70301/186" TargetMode="External"/><Relationship Id="rId79" Type="http://schemas.openxmlformats.org/officeDocument/2006/relationships/hyperlink" Target="http://www.nevo.co.il/case/16987351" TargetMode="External"/><Relationship Id="rId102" Type="http://schemas.openxmlformats.org/officeDocument/2006/relationships/hyperlink" Target="http://www.nevo.co.il/case/6243579" TargetMode="External"/><Relationship Id="rId5" Type="http://schemas.openxmlformats.org/officeDocument/2006/relationships/footnotes" Target="footnotes.xml"/><Relationship Id="rId90" Type="http://schemas.openxmlformats.org/officeDocument/2006/relationships/hyperlink" Target="http://www.nevo.co.il/case/18169502" TargetMode="External"/><Relationship Id="rId95" Type="http://schemas.openxmlformats.org/officeDocument/2006/relationships/hyperlink" Target="http://www.nevo.co.il/case/24415306" TargetMode="External"/><Relationship Id="rId22" Type="http://schemas.openxmlformats.org/officeDocument/2006/relationships/hyperlink" Target="http://www.nevo.co.il/law/70301/452" TargetMode="External"/><Relationship Id="rId27" Type="http://schemas.openxmlformats.org/officeDocument/2006/relationships/hyperlink" Target="http://www.nevo.co.il/law/4216/40.b.2" TargetMode="External"/><Relationship Id="rId43" Type="http://schemas.openxmlformats.org/officeDocument/2006/relationships/hyperlink" Target="http://www.nevo.co.il/law/159510/40.b.1" TargetMode="External"/><Relationship Id="rId48" Type="http://schemas.openxmlformats.org/officeDocument/2006/relationships/hyperlink" Target="http://www.nevo.co.il/law/70301/25" TargetMode="External"/><Relationship Id="rId64" Type="http://schemas.openxmlformats.org/officeDocument/2006/relationships/hyperlink" Target="http://www.nevo.co.il/law/70301/499.a.1" TargetMode="External"/><Relationship Id="rId69" Type="http://schemas.openxmlformats.org/officeDocument/2006/relationships/hyperlink" Target="http://www.nevo.co.il/law/70301" TargetMode="External"/><Relationship Id="rId80" Type="http://schemas.openxmlformats.org/officeDocument/2006/relationships/hyperlink" Target="http://www.nevo.co.il/case/5606146" TargetMode="External"/><Relationship Id="rId85" Type="http://schemas.openxmlformats.org/officeDocument/2006/relationships/hyperlink" Target="http://www.nevo.co.il/case/10502090" TargetMode="External"/><Relationship Id="rId12" Type="http://schemas.openxmlformats.org/officeDocument/2006/relationships/hyperlink" Target="http://www.nevo.co.il/law/70301/287.a" TargetMode="External"/><Relationship Id="rId17" Type="http://schemas.openxmlformats.org/officeDocument/2006/relationships/hyperlink" Target="http://www.nevo.co.il/law/70301/384" TargetMode="External"/><Relationship Id="rId33" Type="http://schemas.openxmlformats.org/officeDocument/2006/relationships/hyperlink" Target="http://www.nevo.co.il/law/70301/402.b" TargetMode="External"/><Relationship Id="rId38" Type="http://schemas.openxmlformats.org/officeDocument/2006/relationships/hyperlink" Target="http://www.nevo.co.il/law/70301/379" TargetMode="External"/><Relationship Id="rId59" Type="http://schemas.openxmlformats.org/officeDocument/2006/relationships/hyperlink" Target="http://www.nevo.co.il/law/70301/379" TargetMode="External"/><Relationship Id="rId103" Type="http://schemas.openxmlformats.org/officeDocument/2006/relationships/hyperlink" Target="http://www.nevo.co.il/case/29049266" TargetMode="External"/><Relationship Id="rId108" Type="http://schemas.openxmlformats.org/officeDocument/2006/relationships/footer" Target="footer2.xml"/><Relationship Id="rId54" Type="http://schemas.openxmlformats.org/officeDocument/2006/relationships/hyperlink" Target="http://www.nevo.co.il/law/5227" TargetMode="External"/><Relationship Id="rId70" Type="http://schemas.openxmlformats.org/officeDocument/2006/relationships/hyperlink" Target="http://www.nevo.co.il/law/70301/379"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13093721" TargetMode="External"/><Relationship Id="rId96" Type="http://schemas.openxmlformats.org/officeDocument/2006/relationships/hyperlink" Target="http://www.nevo.co.il/law/70301/38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0"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159510" TargetMode="External"/><Relationship Id="rId36" Type="http://schemas.openxmlformats.org/officeDocument/2006/relationships/hyperlink" Target="http://www.nevo.co.il/case/29049266"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186.a" TargetMode="External"/><Relationship Id="rId106" Type="http://schemas.openxmlformats.org/officeDocument/2006/relationships/header" Target="header2.xml"/><Relationship Id="rId10" Type="http://schemas.openxmlformats.org/officeDocument/2006/relationships/hyperlink" Target="http://www.nevo.co.il/law/70301/186.a" TargetMode="External"/><Relationship Id="rId31" Type="http://schemas.openxmlformats.org/officeDocument/2006/relationships/hyperlink" Target="http://www.nevo.co.il/law/5227" TargetMode="External"/><Relationship Id="rId44" Type="http://schemas.openxmlformats.org/officeDocument/2006/relationships/hyperlink" Target="http://www.nevo.co.il/law/70301/384" TargetMode="External"/><Relationship Id="rId52" Type="http://schemas.openxmlformats.org/officeDocument/2006/relationships/hyperlink" Target="http://www.nevo.co.il/law/70301/287.a" TargetMode="External"/><Relationship Id="rId60" Type="http://schemas.openxmlformats.org/officeDocument/2006/relationships/hyperlink" Target="http://www.nevo.co.il/law/70301/192"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452" TargetMode="External"/><Relationship Id="rId78" Type="http://schemas.openxmlformats.org/officeDocument/2006/relationships/hyperlink" Target="http://www.nevo.co.il/case/5588062" TargetMode="External"/><Relationship Id="rId81" Type="http://schemas.openxmlformats.org/officeDocument/2006/relationships/hyperlink" Target="http://www.nevo.co.il/case/5589995" TargetMode="External"/><Relationship Id="rId86" Type="http://schemas.openxmlformats.org/officeDocument/2006/relationships/hyperlink" Target="http://www.nevo.co.il/case/21015135" TargetMode="External"/><Relationship Id="rId94" Type="http://schemas.openxmlformats.org/officeDocument/2006/relationships/hyperlink" Target="http://www.nevo.co.il/case/29167770" TargetMode="External"/><Relationship Id="rId99" Type="http://schemas.openxmlformats.org/officeDocument/2006/relationships/hyperlink" Target="http://www.nevo.co.il/case/28345770" TargetMode="External"/><Relationship Id="rId101" Type="http://schemas.openxmlformats.org/officeDocument/2006/relationships/hyperlink" Target="http://www.nevo.co.il/law/70301/192" TargetMode="External"/><Relationship Id="rId4" Type="http://schemas.openxmlformats.org/officeDocument/2006/relationships/webSettings" Target="webSettings.xml"/><Relationship Id="rId9" Type="http://schemas.openxmlformats.org/officeDocument/2006/relationships/hyperlink" Target="http://www.nevo.co.il/law/70301/186" TargetMode="External"/><Relationship Id="rId13" Type="http://schemas.openxmlformats.org/officeDocument/2006/relationships/hyperlink" Target="http://www.nevo.co.il/law/70301/287.b" TargetMode="External"/><Relationship Id="rId18" Type="http://schemas.openxmlformats.org/officeDocument/2006/relationships/hyperlink" Target="http://www.nevo.co.il/law/70301/402.b" TargetMode="External"/><Relationship Id="rId39" Type="http://schemas.openxmlformats.org/officeDocument/2006/relationships/hyperlink" Target="http://www.nevo.co.il/law/70301" TargetMode="External"/><Relationship Id="rId109" Type="http://schemas.openxmlformats.org/officeDocument/2006/relationships/fontTable" Target="fontTable.xml"/><Relationship Id="rId34" Type="http://schemas.openxmlformats.org/officeDocument/2006/relationships/hyperlink" Target="http://www.nevo.co.il/law/70301" TargetMode="External"/><Relationship Id="rId50" Type="http://schemas.openxmlformats.org/officeDocument/2006/relationships/hyperlink" Target="http://www.nevo.co.il/law/70301/379" TargetMode="External"/><Relationship Id="rId55" Type="http://schemas.openxmlformats.org/officeDocument/2006/relationships/hyperlink" Target="http://www.nevo.co.il/law/70301/287.a" TargetMode="External"/><Relationship Id="rId76" Type="http://schemas.openxmlformats.org/officeDocument/2006/relationships/hyperlink" Target="http://www.nevo.co.il/case/6018516" TargetMode="External"/><Relationship Id="rId97" Type="http://schemas.openxmlformats.org/officeDocument/2006/relationships/hyperlink" Target="http://www.nevo.co.il/law/70301" TargetMode="External"/><Relationship Id="rId10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25" TargetMode="External"/><Relationship Id="rId92" Type="http://schemas.openxmlformats.org/officeDocument/2006/relationships/hyperlink" Target="http://www.nevo.co.il/case/30683584" TargetMode="External"/><Relationship Id="rId2" Type="http://schemas.openxmlformats.org/officeDocument/2006/relationships/styles" Target="styles.xml"/><Relationship Id="rId29" Type="http://schemas.openxmlformats.org/officeDocument/2006/relationships/hyperlink" Target="http://www.nevo.co.il/law/159510/40.b.1" TargetMode="External"/><Relationship Id="rId24" Type="http://schemas.openxmlformats.org/officeDocument/2006/relationships/hyperlink" Target="http://www.nevo.co.il/law/4216" TargetMode="External"/><Relationship Id="rId40" Type="http://schemas.openxmlformats.org/officeDocument/2006/relationships/hyperlink" Target="http://www.nevo.co.il/case/28481189" TargetMode="External"/><Relationship Id="rId45" Type="http://schemas.openxmlformats.org/officeDocument/2006/relationships/hyperlink" Target="http://www.nevo.co.il/law/70301/192" TargetMode="External"/><Relationship Id="rId66" Type="http://schemas.openxmlformats.org/officeDocument/2006/relationships/hyperlink" Target="http://www.nevo.co.il/law/70301/406.b" TargetMode="External"/><Relationship Id="rId87" Type="http://schemas.openxmlformats.org/officeDocument/2006/relationships/hyperlink" Target="http://www.nevo.co.il/case/7980258" TargetMode="External"/><Relationship Id="rId110" Type="http://schemas.openxmlformats.org/officeDocument/2006/relationships/theme" Target="theme/theme1.xml"/><Relationship Id="rId61" Type="http://schemas.openxmlformats.org/officeDocument/2006/relationships/hyperlink" Target="http://www.nevo.co.il/law/4216/7.a" TargetMode="External"/><Relationship Id="rId82" Type="http://schemas.openxmlformats.org/officeDocument/2006/relationships/hyperlink" Target="http://www.nevo.co.il/case/25214219" TargetMode="External"/><Relationship Id="rId19" Type="http://schemas.openxmlformats.org/officeDocument/2006/relationships/hyperlink" Target="http://www.nevo.co.il/law/70301/406.b" TargetMode="External"/><Relationship Id="rId14" Type="http://schemas.openxmlformats.org/officeDocument/2006/relationships/hyperlink" Target="http://www.nevo.co.il/law/70301/379" TargetMode="External"/><Relationship Id="rId30" Type="http://schemas.openxmlformats.org/officeDocument/2006/relationships/hyperlink" Target="http://www.nevo.co.il/law/159510/40.b.2" TargetMode="External"/><Relationship Id="rId35" Type="http://schemas.openxmlformats.org/officeDocument/2006/relationships/hyperlink" Target="http://www.nevo.co.il/law/70301/287.b"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25824898" TargetMode="External"/><Relationship Id="rId100" Type="http://schemas.openxmlformats.org/officeDocument/2006/relationships/hyperlink" Target="http://www.nevo.co.il/law/70301/384" TargetMode="External"/><Relationship Id="rId105"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law/70301/452" TargetMode="External"/><Relationship Id="rId72" Type="http://schemas.openxmlformats.org/officeDocument/2006/relationships/hyperlink" Target="http://www.nevo.co.il/law/70301/380" TargetMode="External"/><Relationship Id="rId93" Type="http://schemas.openxmlformats.org/officeDocument/2006/relationships/hyperlink" Target="http://www.nevo.co.il/law/159510/40.b.2" TargetMode="External"/><Relationship Id="rId98" Type="http://schemas.openxmlformats.org/officeDocument/2006/relationships/hyperlink" Target="http://www.nevo.co.il/case/7953304" TargetMode="External"/><Relationship Id="rId3" Type="http://schemas.openxmlformats.org/officeDocument/2006/relationships/settings" Target="settings.xml"/><Relationship Id="rId25" Type="http://schemas.openxmlformats.org/officeDocument/2006/relationships/hyperlink" Target="http://www.nevo.co.il/law/4216/7.a" TargetMode="External"/><Relationship Id="rId46" Type="http://schemas.openxmlformats.org/officeDocument/2006/relationships/hyperlink" Target="http://www.nevo.co.il/law/70301/413g" TargetMode="External"/><Relationship Id="rId67" Type="http://schemas.openxmlformats.org/officeDocument/2006/relationships/hyperlink" Target="http://www.nevo.co.il/law/70301/452" TargetMode="External"/><Relationship Id="rId20" Type="http://schemas.openxmlformats.org/officeDocument/2006/relationships/hyperlink" Target="http://www.nevo.co.il/law/70301/413" TargetMode="External"/><Relationship Id="rId41" Type="http://schemas.openxmlformats.org/officeDocument/2006/relationships/hyperlink" Target="http://www.nevo.co.il/law/4216/40.b.2" TargetMode="External"/><Relationship Id="rId62" Type="http://schemas.openxmlformats.org/officeDocument/2006/relationships/hyperlink" Target="http://www.nevo.co.il/law/4216/7.c" TargetMode="External"/><Relationship Id="rId83" Type="http://schemas.openxmlformats.org/officeDocument/2006/relationships/hyperlink" Target="http://www.nevo.co.il/case/30363847" TargetMode="External"/><Relationship Id="rId88" Type="http://schemas.openxmlformats.org/officeDocument/2006/relationships/hyperlink" Target="http://www.nevo.co.il/case/113279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5228</Words>
  <Characters>26142</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31308</CharactersWithSpaces>
  <SharedDoc>false</SharedDoc>
  <HLinks>
    <vt:vector size="588" baseType="variant">
      <vt:variant>
        <vt:i4>393283</vt:i4>
      </vt:variant>
      <vt:variant>
        <vt:i4>294</vt:i4>
      </vt:variant>
      <vt:variant>
        <vt:i4>0</vt:i4>
      </vt:variant>
      <vt:variant>
        <vt:i4>5</vt:i4>
      </vt:variant>
      <vt:variant>
        <vt:lpwstr>http://www.nevo.co.il/advertisements/nevo-100.doc</vt:lpwstr>
      </vt:variant>
      <vt:variant>
        <vt:lpwstr/>
      </vt:variant>
      <vt:variant>
        <vt:i4>3997819</vt:i4>
      </vt:variant>
      <vt:variant>
        <vt:i4>291</vt:i4>
      </vt:variant>
      <vt:variant>
        <vt:i4>0</vt:i4>
      </vt:variant>
      <vt:variant>
        <vt:i4>5</vt:i4>
      </vt:variant>
      <vt:variant>
        <vt:lpwstr>http://www.nevo.co.il/case/29049266</vt:lpwstr>
      </vt:variant>
      <vt:variant>
        <vt:lpwstr/>
      </vt:variant>
      <vt:variant>
        <vt:i4>4063346</vt:i4>
      </vt:variant>
      <vt:variant>
        <vt:i4>285</vt:i4>
      </vt:variant>
      <vt:variant>
        <vt:i4>0</vt:i4>
      </vt:variant>
      <vt:variant>
        <vt:i4>5</vt:i4>
      </vt:variant>
      <vt:variant>
        <vt:lpwstr>http://www.nevo.co.il/case/6243579</vt:lpwstr>
      </vt:variant>
      <vt:variant>
        <vt:lpwstr/>
      </vt:variant>
      <vt:variant>
        <vt:i4>7077988</vt:i4>
      </vt:variant>
      <vt:variant>
        <vt:i4>282</vt:i4>
      </vt:variant>
      <vt:variant>
        <vt:i4>0</vt:i4>
      </vt:variant>
      <vt:variant>
        <vt:i4>5</vt:i4>
      </vt:variant>
      <vt:variant>
        <vt:lpwstr>http://www.nevo.co.il/law/70301/192</vt:lpwstr>
      </vt:variant>
      <vt:variant>
        <vt:lpwstr/>
      </vt:variant>
      <vt:variant>
        <vt:i4>7143526</vt:i4>
      </vt:variant>
      <vt:variant>
        <vt:i4>279</vt:i4>
      </vt:variant>
      <vt:variant>
        <vt:i4>0</vt:i4>
      </vt:variant>
      <vt:variant>
        <vt:i4>5</vt:i4>
      </vt:variant>
      <vt:variant>
        <vt:lpwstr>http://www.nevo.co.il/law/70301/384</vt:lpwstr>
      </vt:variant>
      <vt:variant>
        <vt:lpwstr/>
      </vt:variant>
      <vt:variant>
        <vt:i4>3342463</vt:i4>
      </vt:variant>
      <vt:variant>
        <vt:i4>276</vt:i4>
      </vt:variant>
      <vt:variant>
        <vt:i4>0</vt:i4>
      </vt:variant>
      <vt:variant>
        <vt:i4>5</vt:i4>
      </vt:variant>
      <vt:variant>
        <vt:lpwstr>http://www.nevo.co.il/case/28345770</vt:lpwstr>
      </vt:variant>
      <vt:variant>
        <vt:lpwstr/>
      </vt:variant>
      <vt:variant>
        <vt:i4>3473534</vt:i4>
      </vt:variant>
      <vt:variant>
        <vt:i4>273</vt:i4>
      </vt:variant>
      <vt:variant>
        <vt:i4>0</vt:i4>
      </vt:variant>
      <vt:variant>
        <vt:i4>5</vt:i4>
      </vt:variant>
      <vt:variant>
        <vt:lpwstr>http://www.nevo.co.il/case/7953304</vt:lpwstr>
      </vt:variant>
      <vt:variant>
        <vt:lpwstr/>
      </vt:variant>
      <vt:variant>
        <vt:i4>7995492</vt:i4>
      </vt:variant>
      <vt:variant>
        <vt:i4>270</vt:i4>
      </vt:variant>
      <vt:variant>
        <vt:i4>0</vt:i4>
      </vt:variant>
      <vt:variant>
        <vt:i4>5</vt:i4>
      </vt:variant>
      <vt:variant>
        <vt:lpwstr>http://www.nevo.co.il/law/70301</vt:lpwstr>
      </vt:variant>
      <vt:variant>
        <vt:lpwstr/>
      </vt:variant>
      <vt:variant>
        <vt:i4>7143526</vt:i4>
      </vt:variant>
      <vt:variant>
        <vt:i4>267</vt:i4>
      </vt:variant>
      <vt:variant>
        <vt:i4>0</vt:i4>
      </vt:variant>
      <vt:variant>
        <vt:i4>5</vt:i4>
      </vt:variant>
      <vt:variant>
        <vt:lpwstr>http://www.nevo.co.il/law/70301/384</vt:lpwstr>
      </vt:variant>
      <vt:variant>
        <vt:lpwstr/>
      </vt:variant>
      <vt:variant>
        <vt:i4>3342450</vt:i4>
      </vt:variant>
      <vt:variant>
        <vt:i4>264</vt:i4>
      </vt:variant>
      <vt:variant>
        <vt:i4>0</vt:i4>
      </vt:variant>
      <vt:variant>
        <vt:i4>5</vt:i4>
      </vt:variant>
      <vt:variant>
        <vt:lpwstr>http://www.nevo.co.il/case/24415306</vt:lpwstr>
      </vt:variant>
      <vt:variant>
        <vt:lpwstr/>
      </vt:variant>
      <vt:variant>
        <vt:i4>3342460</vt:i4>
      </vt:variant>
      <vt:variant>
        <vt:i4>261</vt:i4>
      </vt:variant>
      <vt:variant>
        <vt:i4>0</vt:i4>
      </vt:variant>
      <vt:variant>
        <vt:i4>5</vt:i4>
      </vt:variant>
      <vt:variant>
        <vt:lpwstr>http://www.nevo.co.il/case/29167770</vt:lpwstr>
      </vt:variant>
      <vt:variant>
        <vt:lpwstr/>
      </vt:variant>
      <vt:variant>
        <vt:i4>8257572</vt:i4>
      </vt:variant>
      <vt:variant>
        <vt:i4>258</vt:i4>
      </vt:variant>
      <vt:variant>
        <vt:i4>0</vt:i4>
      </vt:variant>
      <vt:variant>
        <vt:i4>5</vt:i4>
      </vt:variant>
      <vt:variant>
        <vt:lpwstr>http://www.nevo.co.il/law/159510/40.b.2</vt:lpwstr>
      </vt:variant>
      <vt:variant>
        <vt:lpwstr/>
      </vt:variant>
      <vt:variant>
        <vt:i4>4063353</vt:i4>
      </vt:variant>
      <vt:variant>
        <vt:i4>255</vt:i4>
      </vt:variant>
      <vt:variant>
        <vt:i4>0</vt:i4>
      </vt:variant>
      <vt:variant>
        <vt:i4>5</vt:i4>
      </vt:variant>
      <vt:variant>
        <vt:lpwstr>http://www.nevo.co.il/case/30683584</vt:lpwstr>
      </vt:variant>
      <vt:variant>
        <vt:lpwstr/>
      </vt:variant>
      <vt:variant>
        <vt:i4>3145849</vt:i4>
      </vt:variant>
      <vt:variant>
        <vt:i4>252</vt:i4>
      </vt:variant>
      <vt:variant>
        <vt:i4>0</vt:i4>
      </vt:variant>
      <vt:variant>
        <vt:i4>5</vt:i4>
      </vt:variant>
      <vt:variant>
        <vt:lpwstr>http://www.nevo.co.il/case/13093721</vt:lpwstr>
      </vt:variant>
      <vt:variant>
        <vt:lpwstr/>
      </vt:variant>
      <vt:variant>
        <vt:i4>3735679</vt:i4>
      </vt:variant>
      <vt:variant>
        <vt:i4>249</vt:i4>
      </vt:variant>
      <vt:variant>
        <vt:i4>0</vt:i4>
      </vt:variant>
      <vt:variant>
        <vt:i4>5</vt:i4>
      </vt:variant>
      <vt:variant>
        <vt:lpwstr>http://www.nevo.co.il/case/18169502</vt:lpwstr>
      </vt:variant>
      <vt:variant>
        <vt:lpwstr/>
      </vt:variant>
      <vt:variant>
        <vt:i4>7995492</vt:i4>
      </vt:variant>
      <vt:variant>
        <vt:i4>246</vt:i4>
      </vt:variant>
      <vt:variant>
        <vt:i4>0</vt:i4>
      </vt:variant>
      <vt:variant>
        <vt:i4>5</vt:i4>
      </vt:variant>
      <vt:variant>
        <vt:lpwstr>http://www.nevo.co.il/law/70301</vt:lpwstr>
      </vt:variant>
      <vt:variant>
        <vt:lpwstr/>
      </vt:variant>
      <vt:variant>
        <vt:i4>3473534</vt:i4>
      </vt:variant>
      <vt:variant>
        <vt:i4>243</vt:i4>
      </vt:variant>
      <vt:variant>
        <vt:i4>0</vt:i4>
      </vt:variant>
      <vt:variant>
        <vt:i4>5</vt:i4>
      </vt:variant>
      <vt:variant>
        <vt:lpwstr>http://www.nevo.co.il/case/11327902</vt:lpwstr>
      </vt:variant>
      <vt:variant>
        <vt:lpwstr/>
      </vt:variant>
      <vt:variant>
        <vt:i4>3473528</vt:i4>
      </vt:variant>
      <vt:variant>
        <vt:i4>240</vt:i4>
      </vt:variant>
      <vt:variant>
        <vt:i4>0</vt:i4>
      </vt:variant>
      <vt:variant>
        <vt:i4>5</vt:i4>
      </vt:variant>
      <vt:variant>
        <vt:lpwstr>http://www.nevo.co.il/case/7980258</vt:lpwstr>
      </vt:variant>
      <vt:variant>
        <vt:lpwstr/>
      </vt:variant>
      <vt:variant>
        <vt:i4>3407989</vt:i4>
      </vt:variant>
      <vt:variant>
        <vt:i4>237</vt:i4>
      </vt:variant>
      <vt:variant>
        <vt:i4>0</vt:i4>
      </vt:variant>
      <vt:variant>
        <vt:i4>5</vt:i4>
      </vt:variant>
      <vt:variant>
        <vt:lpwstr>http://www.nevo.co.il/case/21015135</vt:lpwstr>
      </vt:variant>
      <vt:variant>
        <vt:lpwstr/>
      </vt:variant>
      <vt:variant>
        <vt:i4>4128884</vt:i4>
      </vt:variant>
      <vt:variant>
        <vt:i4>234</vt:i4>
      </vt:variant>
      <vt:variant>
        <vt:i4>0</vt:i4>
      </vt:variant>
      <vt:variant>
        <vt:i4>5</vt:i4>
      </vt:variant>
      <vt:variant>
        <vt:lpwstr>http://www.nevo.co.il/case/10502090</vt:lpwstr>
      </vt:variant>
      <vt:variant>
        <vt:lpwstr/>
      </vt:variant>
      <vt:variant>
        <vt:i4>3276916</vt:i4>
      </vt:variant>
      <vt:variant>
        <vt:i4>231</vt:i4>
      </vt:variant>
      <vt:variant>
        <vt:i4>0</vt:i4>
      </vt:variant>
      <vt:variant>
        <vt:i4>5</vt:i4>
      </vt:variant>
      <vt:variant>
        <vt:lpwstr>http://www.nevo.co.il/case/16968028</vt:lpwstr>
      </vt:variant>
      <vt:variant>
        <vt:lpwstr/>
      </vt:variant>
      <vt:variant>
        <vt:i4>3604602</vt:i4>
      </vt:variant>
      <vt:variant>
        <vt:i4>228</vt:i4>
      </vt:variant>
      <vt:variant>
        <vt:i4>0</vt:i4>
      </vt:variant>
      <vt:variant>
        <vt:i4>5</vt:i4>
      </vt:variant>
      <vt:variant>
        <vt:lpwstr>http://www.nevo.co.il/case/30363847</vt:lpwstr>
      </vt:variant>
      <vt:variant>
        <vt:lpwstr/>
      </vt:variant>
      <vt:variant>
        <vt:i4>3473522</vt:i4>
      </vt:variant>
      <vt:variant>
        <vt:i4>225</vt:i4>
      </vt:variant>
      <vt:variant>
        <vt:i4>0</vt:i4>
      </vt:variant>
      <vt:variant>
        <vt:i4>5</vt:i4>
      </vt:variant>
      <vt:variant>
        <vt:lpwstr>http://www.nevo.co.il/case/25214219</vt:lpwstr>
      </vt:variant>
      <vt:variant>
        <vt:lpwstr/>
      </vt:variant>
      <vt:variant>
        <vt:i4>3211377</vt:i4>
      </vt:variant>
      <vt:variant>
        <vt:i4>222</vt:i4>
      </vt:variant>
      <vt:variant>
        <vt:i4>0</vt:i4>
      </vt:variant>
      <vt:variant>
        <vt:i4>5</vt:i4>
      </vt:variant>
      <vt:variant>
        <vt:lpwstr>http://www.nevo.co.il/case/5589995</vt:lpwstr>
      </vt:variant>
      <vt:variant>
        <vt:lpwstr/>
      </vt:variant>
      <vt:variant>
        <vt:i4>3276912</vt:i4>
      </vt:variant>
      <vt:variant>
        <vt:i4>219</vt:i4>
      </vt:variant>
      <vt:variant>
        <vt:i4>0</vt:i4>
      </vt:variant>
      <vt:variant>
        <vt:i4>5</vt:i4>
      </vt:variant>
      <vt:variant>
        <vt:lpwstr>http://www.nevo.co.il/case/5606146</vt:lpwstr>
      </vt:variant>
      <vt:variant>
        <vt:lpwstr/>
      </vt:variant>
      <vt:variant>
        <vt:i4>3801209</vt:i4>
      </vt:variant>
      <vt:variant>
        <vt:i4>216</vt:i4>
      </vt:variant>
      <vt:variant>
        <vt:i4>0</vt:i4>
      </vt:variant>
      <vt:variant>
        <vt:i4>5</vt:i4>
      </vt:variant>
      <vt:variant>
        <vt:lpwstr>http://www.nevo.co.il/case/16987351</vt:lpwstr>
      </vt:variant>
      <vt:variant>
        <vt:lpwstr/>
      </vt:variant>
      <vt:variant>
        <vt:i4>4128895</vt:i4>
      </vt:variant>
      <vt:variant>
        <vt:i4>213</vt:i4>
      </vt:variant>
      <vt:variant>
        <vt:i4>0</vt:i4>
      </vt:variant>
      <vt:variant>
        <vt:i4>5</vt:i4>
      </vt:variant>
      <vt:variant>
        <vt:lpwstr>http://www.nevo.co.il/case/5588062</vt:lpwstr>
      </vt:variant>
      <vt:variant>
        <vt:lpwstr/>
      </vt:variant>
      <vt:variant>
        <vt:i4>3604603</vt:i4>
      </vt:variant>
      <vt:variant>
        <vt:i4>210</vt:i4>
      </vt:variant>
      <vt:variant>
        <vt:i4>0</vt:i4>
      </vt:variant>
      <vt:variant>
        <vt:i4>5</vt:i4>
      </vt:variant>
      <vt:variant>
        <vt:lpwstr>http://www.nevo.co.il/case/25824898</vt:lpwstr>
      </vt:variant>
      <vt:variant>
        <vt:lpwstr/>
      </vt:variant>
      <vt:variant>
        <vt:i4>3407997</vt:i4>
      </vt:variant>
      <vt:variant>
        <vt:i4>207</vt:i4>
      </vt:variant>
      <vt:variant>
        <vt:i4>0</vt:i4>
      </vt:variant>
      <vt:variant>
        <vt:i4>5</vt:i4>
      </vt:variant>
      <vt:variant>
        <vt:lpwstr>http://www.nevo.co.il/case/6018516</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7143524</vt:i4>
      </vt:variant>
      <vt:variant>
        <vt:i4>201</vt:i4>
      </vt:variant>
      <vt:variant>
        <vt:i4>0</vt:i4>
      </vt:variant>
      <vt:variant>
        <vt:i4>5</vt:i4>
      </vt:variant>
      <vt:variant>
        <vt:lpwstr>http://www.nevo.co.il/law/70301/186</vt:lpwstr>
      </vt:variant>
      <vt:variant>
        <vt:lpwstr/>
      </vt:variant>
      <vt:variant>
        <vt:i4>6291553</vt:i4>
      </vt:variant>
      <vt:variant>
        <vt:i4>198</vt:i4>
      </vt:variant>
      <vt:variant>
        <vt:i4>0</vt:i4>
      </vt:variant>
      <vt:variant>
        <vt:i4>5</vt:i4>
      </vt:variant>
      <vt:variant>
        <vt:lpwstr>http://www.nevo.co.il/law/70301/452</vt:lpwstr>
      </vt:variant>
      <vt:variant>
        <vt:lpwstr/>
      </vt:variant>
      <vt:variant>
        <vt:i4>7143526</vt:i4>
      </vt:variant>
      <vt:variant>
        <vt:i4>195</vt:i4>
      </vt:variant>
      <vt:variant>
        <vt:i4>0</vt:i4>
      </vt:variant>
      <vt:variant>
        <vt:i4>5</vt:i4>
      </vt:variant>
      <vt:variant>
        <vt:lpwstr>http://www.nevo.co.il/law/70301/380</vt:lpwstr>
      </vt:variant>
      <vt:variant>
        <vt:lpwstr/>
      </vt:variant>
      <vt:variant>
        <vt:i4>6291559</vt:i4>
      </vt:variant>
      <vt:variant>
        <vt:i4>192</vt:i4>
      </vt:variant>
      <vt:variant>
        <vt:i4>0</vt:i4>
      </vt:variant>
      <vt:variant>
        <vt:i4>5</vt:i4>
      </vt:variant>
      <vt:variant>
        <vt:lpwstr>http://www.nevo.co.il/law/70301/25</vt:lpwstr>
      </vt:variant>
      <vt:variant>
        <vt:lpwstr/>
      </vt:variant>
      <vt:variant>
        <vt:i4>6422630</vt:i4>
      </vt:variant>
      <vt:variant>
        <vt:i4>189</vt:i4>
      </vt:variant>
      <vt:variant>
        <vt:i4>0</vt:i4>
      </vt:variant>
      <vt:variant>
        <vt:i4>5</vt:i4>
      </vt:variant>
      <vt:variant>
        <vt:lpwstr>http://www.nevo.co.il/law/70301/379</vt:lpwstr>
      </vt:variant>
      <vt:variant>
        <vt:lpwstr/>
      </vt:variant>
      <vt:variant>
        <vt:i4>7995492</vt:i4>
      </vt:variant>
      <vt:variant>
        <vt:i4>186</vt:i4>
      </vt:variant>
      <vt:variant>
        <vt:i4>0</vt:i4>
      </vt:variant>
      <vt:variant>
        <vt:i4>5</vt:i4>
      </vt:variant>
      <vt:variant>
        <vt:lpwstr>http://www.nevo.co.il/law/70301</vt:lpwstr>
      </vt:variant>
      <vt:variant>
        <vt:lpwstr/>
      </vt:variant>
      <vt:variant>
        <vt:i4>7077988</vt:i4>
      </vt:variant>
      <vt:variant>
        <vt:i4>183</vt:i4>
      </vt:variant>
      <vt:variant>
        <vt:i4>0</vt:i4>
      </vt:variant>
      <vt:variant>
        <vt:i4>5</vt:i4>
      </vt:variant>
      <vt:variant>
        <vt:lpwstr>http://www.nevo.co.il/law/70301/192</vt:lpwstr>
      </vt:variant>
      <vt:variant>
        <vt:lpwstr/>
      </vt:variant>
      <vt:variant>
        <vt:i4>6291553</vt:i4>
      </vt:variant>
      <vt:variant>
        <vt:i4>180</vt:i4>
      </vt:variant>
      <vt:variant>
        <vt:i4>0</vt:i4>
      </vt:variant>
      <vt:variant>
        <vt:i4>5</vt:i4>
      </vt:variant>
      <vt:variant>
        <vt:lpwstr>http://www.nevo.co.il/law/70301/452</vt:lpwstr>
      </vt:variant>
      <vt:variant>
        <vt:lpwstr/>
      </vt:variant>
      <vt:variant>
        <vt:i4>4915287</vt:i4>
      </vt:variant>
      <vt:variant>
        <vt:i4>177</vt:i4>
      </vt:variant>
      <vt:variant>
        <vt:i4>0</vt:i4>
      </vt:variant>
      <vt:variant>
        <vt:i4>5</vt:i4>
      </vt:variant>
      <vt:variant>
        <vt:lpwstr>http://www.nevo.co.il/law/70301/406.b</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7077945</vt:i4>
      </vt:variant>
      <vt:variant>
        <vt:i4>171</vt:i4>
      </vt:variant>
      <vt:variant>
        <vt:i4>0</vt:i4>
      </vt:variant>
      <vt:variant>
        <vt:i4>5</vt:i4>
      </vt:variant>
      <vt:variant>
        <vt:lpwstr>http://www.nevo.co.il/law/70301/499.a.1</vt:lpwstr>
      </vt:variant>
      <vt:variant>
        <vt:lpwstr/>
      </vt:variant>
      <vt:variant>
        <vt:i4>8257637</vt:i4>
      </vt:variant>
      <vt:variant>
        <vt:i4>168</vt:i4>
      </vt:variant>
      <vt:variant>
        <vt:i4>0</vt:i4>
      </vt:variant>
      <vt:variant>
        <vt:i4>5</vt:i4>
      </vt:variant>
      <vt:variant>
        <vt:lpwstr>http://www.nevo.co.il/law/4216</vt:lpwstr>
      </vt:variant>
      <vt:variant>
        <vt:lpwstr/>
      </vt:variant>
      <vt:variant>
        <vt:i4>2752612</vt:i4>
      </vt:variant>
      <vt:variant>
        <vt:i4>165</vt:i4>
      </vt:variant>
      <vt:variant>
        <vt:i4>0</vt:i4>
      </vt:variant>
      <vt:variant>
        <vt:i4>5</vt:i4>
      </vt:variant>
      <vt:variant>
        <vt:lpwstr>http://www.nevo.co.il/law/4216/7.c</vt:lpwstr>
      </vt:variant>
      <vt:variant>
        <vt:lpwstr/>
      </vt:variant>
      <vt:variant>
        <vt:i4>2621540</vt:i4>
      </vt:variant>
      <vt:variant>
        <vt:i4>162</vt:i4>
      </vt:variant>
      <vt:variant>
        <vt:i4>0</vt:i4>
      </vt:variant>
      <vt:variant>
        <vt:i4>5</vt:i4>
      </vt:variant>
      <vt:variant>
        <vt:lpwstr>http://www.nevo.co.il/law/4216/7.a</vt:lpwstr>
      </vt:variant>
      <vt:variant>
        <vt:lpwstr/>
      </vt:variant>
      <vt:variant>
        <vt:i4>7077988</vt:i4>
      </vt:variant>
      <vt:variant>
        <vt:i4>159</vt:i4>
      </vt:variant>
      <vt:variant>
        <vt:i4>0</vt:i4>
      </vt:variant>
      <vt:variant>
        <vt:i4>5</vt:i4>
      </vt:variant>
      <vt:variant>
        <vt:lpwstr>http://www.nevo.co.il/law/70301/192</vt:lpwstr>
      </vt:variant>
      <vt:variant>
        <vt:lpwstr/>
      </vt:variant>
      <vt:variant>
        <vt:i4>6422630</vt:i4>
      </vt:variant>
      <vt:variant>
        <vt:i4>156</vt:i4>
      </vt:variant>
      <vt:variant>
        <vt:i4>0</vt:i4>
      </vt:variant>
      <vt:variant>
        <vt:i4>5</vt:i4>
      </vt:variant>
      <vt:variant>
        <vt:lpwstr>http://www.nevo.co.il/law/70301/379</vt:lpwstr>
      </vt:variant>
      <vt:variant>
        <vt:lpwstr/>
      </vt:variant>
      <vt:variant>
        <vt:i4>7143478</vt:i4>
      </vt:variant>
      <vt:variant>
        <vt:i4>153</vt:i4>
      </vt:variant>
      <vt:variant>
        <vt:i4>0</vt:i4>
      </vt:variant>
      <vt:variant>
        <vt:i4>5</vt:i4>
      </vt:variant>
      <vt:variant>
        <vt:lpwstr>http://www.nevo.co.il/law/70301/382.b.1</vt:lpwstr>
      </vt:variant>
      <vt:variant>
        <vt:lpwstr/>
      </vt:variant>
      <vt:variant>
        <vt:i4>4390994</vt:i4>
      </vt:variant>
      <vt:variant>
        <vt:i4>150</vt:i4>
      </vt:variant>
      <vt:variant>
        <vt:i4>0</vt:i4>
      </vt:variant>
      <vt:variant>
        <vt:i4>5</vt:i4>
      </vt:variant>
      <vt:variant>
        <vt:lpwstr>http://www.nevo.co.il/law/70301/186.a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4390992</vt:i4>
      </vt:variant>
      <vt:variant>
        <vt:i4>144</vt:i4>
      </vt:variant>
      <vt:variant>
        <vt:i4>0</vt:i4>
      </vt:variant>
      <vt:variant>
        <vt:i4>5</vt:i4>
      </vt:variant>
      <vt:variant>
        <vt:lpwstr>http://www.nevo.co.il/law/70301/287.a</vt:lpwstr>
      </vt:variant>
      <vt:variant>
        <vt:lpwstr/>
      </vt:variant>
      <vt:variant>
        <vt:i4>8323175</vt:i4>
      </vt:variant>
      <vt:variant>
        <vt:i4>141</vt:i4>
      </vt:variant>
      <vt:variant>
        <vt:i4>0</vt:i4>
      </vt:variant>
      <vt:variant>
        <vt:i4>5</vt:i4>
      </vt:variant>
      <vt:variant>
        <vt:lpwstr>http://www.nevo.co.il/law/5227</vt:lpwstr>
      </vt:variant>
      <vt:variant>
        <vt:lpwstr/>
      </vt:variant>
      <vt:variant>
        <vt:i4>6291576</vt:i4>
      </vt:variant>
      <vt:variant>
        <vt:i4>138</vt:i4>
      </vt:variant>
      <vt:variant>
        <vt:i4>0</vt:i4>
      </vt:variant>
      <vt:variant>
        <vt:i4>5</vt:i4>
      </vt:variant>
      <vt:variant>
        <vt:lpwstr>http://www.nevo.co.il/law/5227/10.a</vt:lpwstr>
      </vt:variant>
      <vt:variant>
        <vt:lpwstr/>
      </vt:variant>
      <vt:variant>
        <vt:i4>4390992</vt:i4>
      </vt:variant>
      <vt:variant>
        <vt:i4>135</vt:i4>
      </vt:variant>
      <vt:variant>
        <vt:i4>0</vt:i4>
      </vt:variant>
      <vt:variant>
        <vt:i4>5</vt:i4>
      </vt:variant>
      <vt:variant>
        <vt:lpwstr>http://www.nevo.co.il/law/70301/287.a</vt:lpwstr>
      </vt:variant>
      <vt:variant>
        <vt:lpwstr/>
      </vt:variant>
      <vt:variant>
        <vt:i4>6291553</vt:i4>
      </vt:variant>
      <vt:variant>
        <vt:i4>132</vt:i4>
      </vt:variant>
      <vt:variant>
        <vt:i4>0</vt:i4>
      </vt:variant>
      <vt:variant>
        <vt:i4>5</vt:i4>
      </vt:variant>
      <vt:variant>
        <vt:lpwstr>http://www.nevo.co.il/law/70301/452</vt:lpwstr>
      </vt:variant>
      <vt:variant>
        <vt:lpwstr/>
      </vt:variant>
      <vt:variant>
        <vt:i4>6422630</vt:i4>
      </vt:variant>
      <vt:variant>
        <vt:i4>129</vt:i4>
      </vt:variant>
      <vt:variant>
        <vt:i4>0</vt:i4>
      </vt:variant>
      <vt:variant>
        <vt:i4>5</vt:i4>
      </vt:variant>
      <vt:variant>
        <vt:lpwstr>http://www.nevo.co.il/law/70301/379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6291559</vt:i4>
      </vt:variant>
      <vt:variant>
        <vt:i4>123</vt:i4>
      </vt:variant>
      <vt:variant>
        <vt:i4>0</vt:i4>
      </vt:variant>
      <vt:variant>
        <vt:i4>5</vt:i4>
      </vt:variant>
      <vt:variant>
        <vt:lpwstr>http://www.nevo.co.il/law/70301/25</vt:lpwstr>
      </vt:variant>
      <vt:variant>
        <vt:lpwstr/>
      </vt:variant>
      <vt:variant>
        <vt:i4>6553697</vt:i4>
      </vt:variant>
      <vt:variant>
        <vt:i4>120</vt:i4>
      </vt:variant>
      <vt:variant>
        <vt:i4>0</vt:i4>
      </vt:variant>
      <vt:variant>
        <vt:i4>5</vt:i4>
      </vt:variant>
      <vt:variant>
        <vt:lpwstr>http://www.nevo.co.il/law/70301/413</vt:lpwstr>
      </vt:variant>
      <vt:variant>
        <vt:lpwstr/>
      </vt:variant>
      <vt:variant>
        <vt:i4>196690</vt:i4>
      </vt:variant>
      <vt:variant>
        <vt:i4>117</vt:i4>
      </vt:variant>
      <vt:variant>
        <vt:i4>0</vt:i4>
      </vt:variant>
      <vt:variant>
        <vt:i4>5</vt:i4>
      </vt:variant>
      <vt:variant>
        <vt:lpwstr>http://www.nevo.co.il/law/70301/413g</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7143526</vt:i4>
      </vt:variant>
      <vt:variant>
        <vt:i4>111</vt:i4>
      </vt:variant>
      <vt:variant>
        <vt:i4>0</vt:i4>
      </vt:variant>
      <vt:variant>
        <vt:i4>5</vt:i4>
      </vt:variant>
      <vt:variant>
        <vt:lpwstr>http://www.nevo.co.il/law/70301/384</vt:lpwstr>
      </vt:variant>
      <vt:variant>
        <vt:lpwstr/>
      </vt:variant>
      <vt:variant>
        <vt:i4>8257572</vt:i4>
      </vt:variant>
      <vt:variant>
        <vt:i4>108</vt:i4>
      </vt:variant>
      <vt:variant>
        <vt:i4>0</vt:i4>
      </vt:variant>
      <vt:variant>
        <vt:i4>5</vt:i4>
      </vt:variant>
      <vt:variant>
        <vt:lpwstr>http://www.nevo.co.il/law/159510/40.b.1</vt:lpwstr>
      </vt:variant>
      <vt:variant>
        <vt:lpwstr/>
      </vt:variant>
      <vt:variant>
        <vt:i4>4849753</vt:i4>
      </vt:variant>
      <vt:variant>
        <vt:i4>105</vt:i4>
      </vt:variant>
      <vt:variant>
        <vt:i4>0</vt:i4>
      </vt:variant>
      <vt:variant>
        <vt:i4>5</vt:i4>
      </vt:variant>
      <vt:variant>
        <vt:lpwstr>http://www.nevo.co.il/law/159510</vt:lpwstr>
      </vt:variant>
      <vt:variant>
        <vt:lpwstr/>
      </vt:variant>
      <vt:variant>
        <vt:i4>4849688</vt:i4>
      </vt:variant>
      <vt:variant>
        <vt:i4>102</vt:i4>
      </vt:variant>
      <vt:variant>
        <vt:i4>0</vt:i4>
      </vt:variant>
      <vt:variant>
        <vt:i4>5</vt:i4>
      </vt:variant>
      <vt:variant>
        <vt:lpwstr>http://www.nevo.co.il/law/4216/40.b.2</vt:lpwstr>
      </vt:variant>
      <vt:variant>
        <vt:lpwstr/>
      </vt:variant>
      <vt:variant>
        <vt:i4>4128885</vt:i4>
      </vt:variant>
      <vt:variant>
        <vt:i4>99</vt:i4>
      </vt:variant>
      <vt:variant>
        <vt:i4>0</vt:i4>
      </vt:variant>
      <vt:variant>
        <vt:i4>5</vt:i4>
      </vt:variant>
      <vt:variant>
        <vt:lpwstr>http://www.nevo.co.il/case/28481189</vt:lpwstr>
      </vt:variant>
      <vt:variant>
        <vt:lpwstr/>
      </vt:variant>
      <vt:variant>
        <vt:i4>7995492</vt:i4>
      </vt:variant>
      <vt:variant>
        <vt:i4>96</vt:i4>
      </vt:variant>
      <vt:variant>
        <vt:i4>0</vt:i4>
      </vt:variant>
      <vt:variant>
        <vt:i4>5</vt:i4>
      </vt:variant>
      <vt:variant>
        <vt:lpwstr>http://www.nevo.co.il/law/70301</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4390992</vt:i4>
      </vt:variant>
      <vt:variant>
        <vt:i4>90</vt:i4>
      </vt:variant>
      <vt:variant>
        <vt:i4>0</vt:i4>
      </vt:variant>
      <vt:variant>
        <vt:i4>5</vt:i4>
      </vt:variant>
      <vt:variant>
        <vt:lpwstr>http://www.nevo.co.il/law/70301/287.b</vt:lpwstr>
      </vt:variant>
      <vt:variant>
        <vt:lpwstr/>
      </vt:variant>
      <vt:variant>
        <vt:i4>3997819</vt:i4>
      </vt:variant>
      <vt:variant>
        <vt:i4>87</vt:i4>
      </vt:variant>
      <vt:variant>
        <vt:i4>0</vt:i4>
      </vt:variant>
      <vt:variant>
        <vt:i4>5</vt:i4>
      </vt:variant>
      <vt:variant>
        <vt:lpwstr>http://www.nevo.co.il/case/29049266</vt:lpwstr>
      </vt:variant>
      <vt:variant>
        <vt:lpwstr/>
      </vt:variant>
      <vt:variant>
        <vt:i4>4390992</vt:i4>
      </vt:variant>
      <vt:variant>
        <vt:i4>84</vt:i4>
      </vt:variant>
      <vt:variant>
        <vt:i4>0</vt:i4>
      </vt:variant>
      <vt:variant>
        <vt:i4>5</vt:i4>
      </vt:variant>
      <vt:variant>
        <vt:lpwstr>http://www.nevo.co.il/law/70301/287.b</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4915283</vt:i4>
      </vt:variant>
      <vt:variant>
        <vt:i4>78</vt:i4>
      </vt:variant>
      <vt:variant>
        <vt:i4>0</vt:i4>
      </vt:variant>
      <vt:variant>
        <vt:i4>5</vt:i4>
      </vt:variant>
      <vt:variant>
        <vt:lpwstr>http://www.nevo.co.il/law/70301/402.b</vt:lpwstr>
      </vt:variant>
      <vt:variant>
        <vt:lpwstr/>
      </vt:variant>
      <vt:variant>
        <vt:i4>6291576</vt:i4>
      </vt:variant>
      <vt:variant>
        <vt:i4>75</vt:i4>
      </vt:variant>
      <vt:variant>
        <vt:i4>0</vt:i4>
      </vt:variant>
      <vt:variant>
        <vt:i4>5</vt:i4>
      </vt:variant>
      <vt:variant>
        <vt:lpwstr>http://www.nevo.co.il/law/5227/10.a</vt:lpwstr>
      </vt:variant>
      <vt:variant>
        <vt:lpwstr/>
      </vt:variant>
      <vt:variant>
        <vt:i4>8323175</vt:i4>
      </vt:variant>
      <vt:variant>
        <vt:i4>72</vt:i4>
      </vt:variant>
      <vt:variant>
        <vt:i4>0</vt:i4>
      </vt:variant>
      <vt:variant>
        <vt:i4>5</vt:i4>
      </vt:variant>
      <vt:variant>
        <vt:lpwstr>http://www.nevo.co.il/law/5227</vt:lpwstr>
      </vt:variant>
      <vt:variant>
        <vt:lpwstr/>
      </vt:variant>
      <vt:variant>
        <vt:i4>8257572</vt:i4>
      </vt:variant>
      <vt:variant>
        <vt:i4>69</vt:i4>
      </vt:variant>
      <vt:variant>
        <vt:i4>0</vt:i4>
      </vt:variant>
      <vt:variant>
        <vt:i4>5</vt:i4>
      </vt:variant>
      <vt:variant>
        <vt:lpwstr>http://www.nevo.co.il/law/159510/40.b.2</vt:lpwstr>
      </vt:variant>
      <vt:variant>
        <vt:lpwstr/>
      </vt:variant>
      <vt:variant>
        <vt:i4>8257572</vt:i4>
      </vt:variant>
      <vt:variant>
        <vt:i4>66</vt:i4>
      </vt:variant>
      <vt:variant>
        <vt:i4>0</vt:i4>
      </vt:variant>
      <vt:variant>
        <vt:i4>5</vt:i4>
      </vt:variant>
      <vt:variant>
        <vt:lpwstr>http://www.nevo.co.il/law/159510/40.b.1</vt:lpwstr>
      </vt:variant>
      <vt:variant>
        <vt:lpwstr/>
      </vt:variant>
      <vt:variant>
        <vt:i4>4849753</vt:i4>
      </vt:variant>
      <vt:variant>
        <vt:i4>63</vt:i4>
      </vt:variant>
      <vt:variant>
        <vt:i4>0</vt:i4>
      </vt:variant>
      <vt:variant>
        <vt:i4>5</vt:i4>
      </vt:variant>
      <vt:variant>
        <vt:lpwstr>http://www.nevo.co.il/law/159510</vt:lpwstr>
      </vt:variant>
      <vt:variant>
        <vt:lpwstr/>
      </vt:variant>
      <vt:variant>
        <vt:i4>4849688</vt:i4>
      </vt:variant>
      <vt:variant>
        <vt:i4>60</vt:i4>
      </vt:variant>
      <vt:variant>
        <vt:i4>0</vt:i4>
      </vt:variant>
      <vt:variant>
        <vt:i4>5</vt:i4>
      </vt:variant>
      <vt:variant>
        <vt:lpwstr>http://www.nevo.co.il/law/4216/40.b.2</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8257637</vt:i4>
      </vt:variant>
      <vt:variant>
        <vt:i4>51</vt:i4>
      </vt:variant>
      <vt:variant>
        <vt:i4>0</vt:i4>
      </vt:variant>
      <vt:variant>
        <vt:i4>5</vt:i4>
      </vt:variant>
      <vt:variant>
        <vt:lpwstr>http://www.nevo.co.il/law/4216</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196690</vt:i4>
      </vt:variant>
      <vt:variant>
        <vt:i4>42</vt:i4>
      </vt:variant>
      <vt:variant>
        <vt:i4>0</vt:i4>
      </vt:variant>
      <vt:variant>
        <vt:i4>5</vt:i4>
      </vt:variant>
      <vt:variant>
        <vt:lpwstr>http://www.nevo.co.il/law/70301/413g</vt:lpwstr>
      </vt:variant>
      <vt:variant>
        <vt:lpwstr/>
      </vt:variant>
      <vt:variant>
        <vt:i4>6553697</vt:i4>
      </vt:variant>
      <vt:variant>
        <vt:i4>39</vt:i4>
      </vt:variant>
      <vt:variant>
        <vt:i4>0</vt:i4>
      </vt:variant>
      <vt:variant>
        <vt:i4>5</vt:i4>
      </vt:variant>
      <vt:variant>
        <vt:lpwstr>http://www.nevo.co.il/law/70301/413</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4915283</vt:i4>
      </vt:variant>
      <vt:variant>
        <vt:i4>33</vt:i4>
      </vt:variant>
      <vt:variant>
        <vt:i4>0</vt:i4>
      </vt:variant>
      <vt:variant>
        <vt:i4>5</vt:i4>
      </vt:variant>
      <vt:variant>
        <vt:lpwstr>http://www.nevo.co.il/law/70301/402.b</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7143478</vt:i4>
      </vt:variant>
      <vt:variant>
        <vt:i4>27</vt:i4>
      </vt:variant>
      <vt:variant>
        <vt:i4>0</vt:i4>
      </vt:variant>
      <vt:variant>
        <vt:i4>5</vt:i4>
      </vt:variant>
      <vt:variant>
        <vt:lpwstr>http://www.nevo.co.il/law/70301/382.b.1</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4390992</vt:i4>
      </vt:variant>
      <vt:variant>
        <vt:i4>18</vt:i4>
      </vt:variant>
      <vt:variant>
        <vt:i4>0</vt:i4>
      </vt:variant>
      <vt:variant>
        <vt:i4>5</vt:i4>
      </vt:variant>
      <vt:variant>
        <vt:lpwstr>http://www.nevo.co.il/law/70301/287.b</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7143524</vt:i4>
      </vt:variant>
      <vt:variant>
        <vt:i4>6</vt:i4>
      </vt:variant>
      <vt:variant>
        <vt:i4>0</vt:i4>
      </vt:variant>
      <vt:variant>
        <vt:i4>5</vt:i4>
      </vt:variant>
      <vt:variant>
        <vt:lpwstr>http://www.nevo.co.il/law/70301/186</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2025-04-22T21:28:00Z</dcterms:created>
  <dcterms:modified xsi:type="dcterms:W3CDTF">2025-04-22T21:28:00Z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35569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יהודה מדינה</vt:lpwstr>
  </property>
  <property fmtid="{D5CDD505-2E9C-101B-9397-08002B2CF9AE}" pid="10" name="LAWYER">
    <vt:lpwstr>נורית פרחי;שמשון וייס</vt:lpwstr>
  </property>
  <property fmtid="{D5CDD505-2E9C-101B-9397-08002B2CF9AE}" pid="11" name="JUDGE">
    <vt:lpwstr>שי יניב</vt:lpwstr>
  </property>
  <property fmtid="{D5CDD505-2E9C-101B-9397-08002B2CF9AE}" pid="12" name="CITY">
    <vt:lpwstr>ת"א</vt:lpwstr>
  </property>
  <property fmtid="{D5CDD505-2E9C-101B-9397-08002B2CF9AE}" pid="13" name="DATE">
    <vt:lpwstr>20241008</vt:lpwstr>
  </property>
  <property fmtid="{D5CDD505-2E9C-101B-9397-08002B2CF9AE}" pid="14" name="TYPE_N_DATE">
    <vt:lpwstr>39020241008</vt:lpwstr>
  </property>
  <property fmtid="{D5CDD505-2E9C-101B-9397-08002B2CF9AE}" pid="15" name="CASESLISTTMP1">
    <vt:lpwstr>29049266:2;28481189;6018516;25824898;5588062;16987351;5606146;5589995;25214219;30363847;16968028;10502090;21015135;7980258;11327902;18169502;13093721;30683584;29167770;24415306;7953304;28345770;6243579</vt:lpwstr>
  </property>
  <property fmtid="{D5CDD505-2E9C-101B-9397-08002B2CF9AE}" pid="16" name="CASENOTES1">
    <vt:lpwstr>ProcID=133;209&amp;PartA=588&amp;PartC=13</vt:lpwstr>
  </property>
  <property fmtid="{D5CDD505-2E9C-101B-9397-08002B2CF9AE}" pid="17" name="WORDNUMPAGES">
    <vt:lpwstr>14</vt:lpwstr>
  </property>
  <property fmtid="{D5CDD505-2E9C-101B-9397-08002B2CF9AE}" pid="18" name="TYPE_ABS_DATE">
    <vt:lpwstr>390020241008</vt:lpwstr>
  </property>
  <property fmtid="{D5CDD505-2E9C-101B-9397-08002B2CF9AE}" pid="19" name="ISABSTRACT">
    <vt:lpwstr>Y</vt:lpwstr>
  </property>
  <property fmtid="{D5CDD505-2E9C-101B-9397-08002B2CF9AE}" pid="20" name="LAWLISTTMP1">
    <vt:lpwstr>70301/402.b;287.b:2;379:4;384:3;192:4;413g;413;025:2;452:3;287.a:2;186.a;382.b.1;499.a.1;406.b;380;186</vt:lpwstr>
  </property>
  <property fmtid="{D5CDD505-2E9C-101B-9397-08002B2CF9AE}" pid="21" name="LAWLISTTMP2">
    <vt:lpwstr>4216/040.b.2;007.a;007.c</vt:lpwstr>
  </property>
  <property fmtid="{D5CDD505-2E9C-101B-9397-08002B2CF9AE}" pid="22" name="LAWLISTTMP3">
    <vt:lpwstr>159510/040.b.1;040.b.2</vt:lpwstr>
  </property>
  <property fmtid="{D5CDD505-2E9C-101B-9397-08002B2CF9AE}" pid="23" name="LAWLISTTMP4">
    <vt:lpwstr>5227/010.a</vt:lpwstr>
  </property>
</Properties>
</file>