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550A9" w:rsidRPr="00691F43" w14:paraId="3D235BB9" w14:textId="77777777" w:rsidTr="00E37872">
        <w:trPr>
          <w:trHeight w:hRule="exact" w:val="418"/>
          <w:jc w:val="center"/>
        </w:trPr>
        <w:tc>
          <w:tcPr>
            <w:tcW w:w="8721" w:type="dxa"/>
            <w:gridSpan w:val="2"/>
          </w:tcPr>
          <w:p w14:paraId="6909EF04" w14:textId="77777777" w:rsidR="009550A9" w:rsidRPr="00691F43" w:rsidRDefault="009550A9" w:rsidP="00697700">
            <w:pPr>
              <w:pStyle w:val="a3"/>
              <w:jc w:val="center"/>
              <w:rPr>
                <w:rFonts w:ascii="Tahoma" w:hAnsi="Tahoma" w:cs="Tahoma"/>
                <w:color w:val="000080"/>
                <w:rtl/>
              </w:rPr>
            </w:pPr>
            <w:bookmarkStart w:id="0" w:name="LastJudge"/>
            <w:r w:rsidRPr="00691F43">
              <w:rPr>
                <w:rFonts w:ascii="Tahoma" w:hAnsi="Tahoma" w:cs="Tahoma"/>
                <w:b/>
                <w:bCs/>
                <w:color w:val="000080"/>
                <w:rtl/>
              </w:rPr>
              <w:t>בית המשפט המחוזי בחיפה</w:t>
            </w:r>
          </w:p>
        </w:tc>
      </w:tr>
      <w:tr w:rsidR="009550A9" w:rsidRPr="00691F43" w14:paraId="19F97A9D" w14:textId="77777777" w:rsidTr="00E37872">
        <w:trPr>
          <w:trHeight w:val="337"/>
          <w:jc w:val="center"/>
        </w:trPr>
        <w:tc>
          <w:tcPr>
            <w:tcW w:w="5054" w:type="dxa"/>
          </w:tcPr>
          <w:p w14:paraId="108297EF" w14:textId="77777777" w:rsidR="009550A9" w:rsidRPr="00691F43" w:rsidRDefault="009550A9" w:rsidP="00697700">
            <w:pPr>
              <w:rPr>
                <w:rFonts w:cs="FrankRuehl"/>
                <w:sz w:val="28"/>
                <w:szCs w:val="28"/>
                <w:rtl/>
              </w:rPr>
            </w:pPr>
            <w:r w:rsidRPr="00691F43">
              <w:rPr>
                <w:rFonts w:cs="FrankRuehl"/>
                <w:sz w:val="28"/>
                <w:szCs w:val="28"/>
                <w:rtl/>
              </w:rPr>
              <w:t>ת"פ</w:t>
            </w:r>
            <w:r w:rsidRPr="00691F43">
              <w:rPr>
                <w:rFonts w:cs="FrankRuehl" w:hint="cs"/>
                <w:sz w:val="28"/>
                <w:szCs w:val="28"/>
                <w:rtl/>
              </w:rPr>
              <w:t xml:space="preserve"> </w:t>
            </w:r>
            <w:r w:rsidRPr="00691F43">
              <w:rPr>
                <w:rFonts w:cs="FrankRuehl"/>
                <w:sz w:val="28"/>
                <w:szCs w:val="28"/>
                <w:rtl/>
              </w:rPr>
              <w:t>58193-03-23</w:t>
            </w:r>
            <w:r w:rsidRPr="00691F43">
              <w:rPr>
                <w:rFonts w:cs="FrankRuehl" w:hint="cs"/>
                <w:sz w:val="28"/>
                <w:szCs w:val="28"/>
                <w:rtl/>
              </w:rPr>
              <w:t xml:space="preserve"> </w:t>
            </w:r>
            <w:r w:rsidRPr="00691F43">
              <w:rPr>
                <w:rFonts w:cs="FrankRuehl"/>
                <w:sz w:val="28"/>
                <w:szCs w:val="28"/>
                <w:rtl/>
              </w:rPr>
              <w:t>מדינת ישראל נ' מזרחי</w:t>
            </w:r>
          </w:p>
          <w:p w14:paraId="7D0B697D" w14:textId="77777777" w:rsidR="009550A9" w:rsidRPr="00691F43" w:rsidRDefault="009550A9" w:rsidP="00697700">
            <w:pPr>
              <w:pStyle w:val="a3"/>
              <w:rPr>
                <w:rFonts w:cs="FrankRuehl"/>
                <w:sz w:val="28"/>
                <w:szCs w:val="28"/>
                <w:rtl/>
              </w:rPr>
            </w:pPr>
          </w:p>
        </w:tc>
        <w:tc>
          <w:tcPr>
            <w:tcW w:w="3667" w:type="dxa"/>
          </w:tcPr>
          <w:p w14:paraId="39DACD0F" w14:textId="77777777" w:rsidR="009550A9" w:rsidRPr="00691F43" w:rsidRDefault="009550A9" w:rsidP="00697700">
            <w:pPr>
              <w:pStyle w:val="a3"/>
              <w:jc w:val="right"/>
              <w:rPr>
                <w:rFonts w:cs="FrankRuehl"/>
                <w:sz w:val="28"/>
                <w:szCs w:val="28"/>
                <w:rtl/>
              </w:rPr>
            </w:pPr>
          </w:p>
        </w:tc>
      </w:tr>
    </w:tbl>
    <w:p w14:paraId="12E19B6D" w14:textId="77777777" w:rsidR="009550A9" w:rsidRPr="00691F43" w:rsidRDefault="009550A9" w:rsidP="009550A9">
      <w:pPr>
        <w:pStyle w:val="a3"/>
        <w:rPr>
          <w:rtl/>
        </w:rPr>
      </w:pPr>
      <w:r w:rsidRPr="00691F43">
        <w:rPr>
          <w:rFonts w:hint="cs"/>
          <w:rtl/>
        </w:rPr>
        <w:t xml:space="preserve"> </w:t>
      </w:r>
    </w:p>
    <w:p w14:paraId="74145586" w14:textId="77777777" w:rsidR="009550A9" w:rsidRPr="00691F43" w:rsidRDefault="009550A9" w:rsidP="009550A9">
      <w:pPr>
        <w:rPr>
          <w:rtl/>
        </w:rPr>
      </w:pPr>
    </w:p>
    <w:p w14:paraId="4B21E6F9" w14:textId="77777777" w:rsidR="009550A9" w:rsidRPr="00691F43" w:rsidRDefault="009550A9" w:rsidP="009550A9">
      <w:pPr>
        <w:rPr>
          <w:rtl/>
        </w:rPr>
      </w:pPr>
    </w:p>
    <w:tbl>
      <w:tblPr>
        <w:bidiVisual/>
        <w:tblW w:w="8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1"/>
        <w:gridCol w:w="3131"/>
        <w:gridCol w:w="4508"/>
      </w:tblGrid>
      <w:tr w:rsidR="009550A9" w:rsidRPr="00691F43" w14:paraId="573A4F84" w14:textId="77777777" w:rsidTr="009550A9">
        <w:trPr>
          <w:trHeight w:val="295"/>
          <w:jc w:val="center"/>
        </w:trPr>
        <w:tc>
          <w:tcPr>
            <w:tcW w:w="613" w:type="dxa"/>
            <w:tcBorders>
              <w:top w:val="nil"/>
              <w:left w:val="nil"/>
              <w:bottom w:val="nil"/>
              <w:right w:val="nil"/>
            </w:tcBorders>
            <w:shd w:val="clear" w:color="auto" w:fill="auto"/>
          </w:tcPr>
          <w:p w14:paraId="6EA6AA82" w14:textId="77777777" w:rsidR="009550A9" w:rsidRPr="00691F43" w:rsidRDefault="009550A9" w:rsidP="009550A9">
            <w:pPr>
              <w:jc w:val="both"/>
              <w:rPr>
                <w:rFonts w:ascii="David" w:hAnsi="David"/>
                <w:sz w:val="26"/>
                <w:szCs w:val="26"/>
              </w:rPr>
            </w:pPr>
            <w:r w:rsidRPr="00691F43">
              <w:rPr>
                <w:rFonts w:ascii="David" w:hAnsi="David" w:hint="cs"/>
                <w:sz w:val="26"/>
                <w:szCs w:val="26"/>
                <w:rtl/>
              </w:rPr>
              <w:t>ל</w:t>
            </w:r>
            <w:r w:rsidRPr="00691F43">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AE82515" w14:textId="77777777" w:rsidR="009550A9" w:rsidRPr="00691F43" w:rsidRDefault="009550A9" w:rsidP="00697700">
            <w:pPr>
              <w:rPr>
                <w:rFonts w:ascii="David" w:hAnsi="David"/>
                <w:b/>
                <w:bCs/>
                <w:sz w:val="26"/>
                <w:szCs w:val="26"/>
                <w:rtl/>
              </w:rPr>
            </w:pPr>
            <w:r w:rsidRPr="00691F43">
              <w:rPr>
                <w:rFonts w:ascii="David" w:hAnsi="David"/>
                <w:b/>
                <w:bCs/>
                <w:sz w:val="26"/>
                <w:szCs w:val="26"/>
                <w:rtl/>
              </w:rPr>
              <w:t>כבוד השופט  דניאל פיש</w:t>
            </w:r>
          </w:p>
          <w:p w14:paraId="06E340D1" w14:textId="77777777" w:rsidR="009550A9" w:rsidRPr="00691F43" w:rsidRDefault="009550A9" w:rsidP="009550A9">
            <w:pPr>
              <w:jc w:val="both"/>
              <w:rPr>
                <w:rFonts w:ascii="David" w:hAnsi="David"/>
                <w:sz w:val="26"/>
                <w:szCs w:val="26"/>
              </w:rPr>
            </w:pPr>
          </w:p>
        </w:tc>
      </w:tr>
      <w:tr w:rsidR="009550A9" w:rsidRPr="00691F43" w14:paraId="6A3521BA" w14:textId="77777777" w:rsidTr="009550A9">
        <w:trPr>
          <w:trHeight w:val="355"/>
          <w:jc w:val="center"/>
        </w:trPr>
        <w:tc>
          <w:tcPr>
            <w:tcW w:w="613" w:type="dxa"/>
            <w:tcBorders>
              <w:top w:val="nil"/>
              <w:left w:val="nil"/>
              <w:bottom w:val="nil"/>
              <w:right w:val="nil"/>
            </w:tcBorders>
            <w:shd w:val="clear" w:color="auto" w:fill="auto"/>
          </w:tcPr>
          <w:p w14:paraId="730960A1" w14:textId="77777777" w:rsidR="009550A9" w:rsidRPr="00691F43" w:rsidRDefault="009550A9" w:rsidP="009550A9">
            <w:pPr>
              <w:jc w:val="both"/>
              <w:rPr>
                <w:rFonts w:ascii="David" w:hAnsi="David"/>
                <w:sz w:val="26"/>
                <w:szCs w:val="26"/>
              </w:rPr>
            </w:pPr>
            <w:bookmarkStart w:id="1" w:name="FirstAppellant"/>
            <w:r w:rsidRPr="00691F43">
              <w:rPr>
                <w:rFonts w:ascii="David" w:hAnsi="David"/>
                <w:sz w:val="26"/>
                <w:szCs w:val="26"/>
                <w:rtl/>
              </w:rPr>
              <w:t>בעניין:</w:t>
            </w:r>
          </w:p>
        </w:tc>
        <w:tc>
          <w:tcPr>
            <w:tcW w:w="3219" w:type="dxa"/>
            <w:tcBorders>
              <w:top w:val="nil"/>
              <w:left w:val="nil"/>
              <w:bottom w:val="nil"/>
              <w:right w:val="nil"/>
            </w:tcBorders>
            <w:shd w:val="clear" w:color="auto" w:fill="auto"/>
          </w:tcPr>
          <w:p w14:paraId="49CCECFC" w14:textId="77777777" w:rsidR="009550A9" w:rsidRPr="00691F43" w:rsidRDefault="009550A9" w:rsidP="009550A9">
            <w:pPr>
              <w:suppressLineNumbers/>
            </w:pPr>
            <w:r w:rsidRPr="00691F43">
              <w:rPr>
                <w:rFonts w:ascii="Arial" w:hAnsi="Arial" w:hint="cs"/>
                <w:b/>
                <w:bCs/>
                <w:sz w:val="26"/>
                <w:szCs w:val="26"/>
                <w:rtl/>
              </w:rPr>
              <w:t>ה</w:t>
            </w:r>
            <w:r w:rsidRPr="00691F43">
              <w:rPr>
                <w:rFonts w:ascii="Arial" w:hAnsi="Arial"/>
                <w:b/>
                <w:bCs/>
                <w:sz w:val="26"/>
                <w:szCs w:val="26"/>
                <w:rtl/>
              </w:rPr>
              <w:t>מאשימה</w:t>
            </w:r>
          </w:p>
          <w:p w14:paraId="55AC59FC" w14:textId="77777777" w:rsidR="009550A9" w:rsidRPr="00691F43" w:rsidRDefault="009550A9" w:rsidP="00697700">
            <w:pPr>
              <w:rPr>
                <w:rFonts w:ascii="David" w:hAnsi="David"/>
                <w:sz w:val="26"/>
                <w:szCs w:val="26"/>
              </w:rPr>
            </w:pPr>
          </w:p>
        </w:tc>
        <w:tc>
          <w:tcPr>
            <w:tcW w:w="4678" w:type="dxa"/>
            <w:tcBorders>
              <w:top w:val="nil"/>
              <w:left w:val="nil"/>
              <w:bottom w:val="nil"/>
              <w:right w:val="nil"/>
            </w:tcBorders>
            <w:shd w:val="clear" w:color="auto" w:fill="auto"/>
            <w:vAlign w:val="center"/>
          </w:tcPr>
          <w:p w14:paraId="5004FB9A" w14:textId="77777777" w:rsidR="009550A9" w:rsidRPr="00691F43" w:rsidRDefault="009550A9" w:rsidP="009550A9">
            <w:pPr>
              <w:suppressLineNumbers/>
            </w:pPr>
            <w:r w:rsidRPr="00691F43">
              <w:rPr>
                <w:rFonts w:ascii="Arial" w:hAnsi="Arial"/>
                <w:b/>
                <w:bCs/>
                <w:sz w:val="26"/>
                <w:szCs w:val="26"/>
                <w:rtl/>
              </w:rPr>
              <w:t>מדינת ישראל</w:t>
            </w:r>
            <w:r w:rsidRPr="00691F43">
              <w:rPr>
                <w:rFonts w:ascii="Arial" w:hAnsi="Arial" w:hint="cs"/>
                <w:b/>
                <w:bCs/>
                <w:sz w:val="26"/>
                <w:szCs w:val="26"/>
                <w:rtl/>
              </w:rPr>
              <w:t xml:space="preserve"> </w:t>
            </w:r>
          </w:p>
        </w:tc>
      </w:tr>
      <w:bookmarkEnd w:id="1"/>
      <w:tr w:rsidR="009550A9" w:rsidRPr="00691F43" w14:paraId="75A676E9" w14:textId="77777777" w:rsidTr="009550A9">
        <w:trPr>
          <w:trHeight w:val="355"/>
          <w:jc w:val="center"/>
        </w:trPr>
        <w:tc>
          <w:tcPr>
            <w:tcW w:w="613" w:type="dxa"/>
            <w:tcBorders>
              <w:top w:val="nil"/>
              <w:left w:val="nil"/>
              <w:bottom w:val="nil"/>
              <w:right w:val="nil"/>
            </w:tcBorders>
            <w:shd w:val="clear" w:color="auto" w:fill="auto"/>
          </w:tcPr>
          <w:p w14:paraId="135BD429" w14:textId="77777777" w:rsidR="009550A9" w:rsidRPr="00691F43" w:rsidRDefault="009550A9" w:rsidP="009550A9">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4E6D879" w14:textId="77777777" w:rsidR="009550A9" w:rsidRPr="00691F43" w:rsidRDefault="009550A9" w:rsidP="009550A9">
            <w:pPr>
              <w:jc w:val="center"/>
              <w:rPr>
                <w:rFonts w:ascii="David" w:hAnsi="David"/>
                <w:b/>
                <w:bCs/>
                <w:sz w:val="26"/>
                <w:szCs w:val="26"/>
                <w:rtl/>
              </w:rPr>
            </w:pPr>
          </w:p>
          <w:p w14:paraId="670B80E8" w14:textId="77777777" w:rsidR="009550A9" w:rsidRPr="00691F43" w:rsidRDefault="009550A9" w:rsidP="009550A9">
            <w:pPr>
              <w:jc w:val="center"/>
              <w:rPr>
                <w:rFonts w:ascii="David" w:hAnsi="David"/>
                <w:b/>
                <w:bCs/>
                <w:sz w:val="26"/>
                <w:szCs w:val="26"/>
                <w:rtl/>
              </w:rPr>
            </w:pPr>
            <w:r w:rsidRPr="00691F43">
              <w:rPr>
                <w:rFonts w:ascii="David" w:hAnsi="David"/>
                <w:b/>
                <w:bCs/>
                <w:sz w:val="26"/>
                <w:szCs w:val="26"/>
                <w:rtl/>
              </w:rPr>
              <w:t>נגד</w:t>
            </w:r>
          </w:p>
          <w:p w14:paraId="3F5D3426" w14:textId="77777777" w:rsidR="009550A9" w:rsidRPr="00691F43" w:rsidRDefault="009550A9" w:rsidP="009550A9">
            <w:pPr>
              <w:jc w:val="both"/>
              <w:rPr>
                <w:rFonts w:ascii="David" w:hAnsi="David"/>
                <w:sz w:val="26"/>
                <w:szCs w:val="26"/>
              </w:rPr>
            </w:pPr>
          </w:p>
        </w:tc>
      </w:tr>
      <w:tr w:rsidR="009550A9" w:rsidRPr="00691F43" w14:paraId="5478DC16" w14:textId="77777777" w:rsidTr="009550A9">
        <w:trPr>
          <w:trHeight w:val="355"/>
          <w:jc w:val="center"/>
        </w:trPr>
        <w:tc>
          <w:tcPr>
            <w:tcW w:w="613" w:type="dxa"/>
            <w:tcBorders>
              <w:top w:val="nil"/>
              <w:left w:val="nil"/>
              <w:bottom w:val="nil"/>
              <w:right w:val="nil"/>
            </w:tcBorders>
            <w:shd w:val="clear" w:color="auto" w:fill="auto"/>
          </w:tcPr>
          <w:p w14:paraId="0E2CB212" w14:textId="77777777" w:rsidR="009550A9" w:rsidRPr="00691F43" w:rsidRDefault="009550A9" w:rsidP="00697700">
            <w:pPr>
              <w:rPr>
                <w:rFonts w:ascii="David" w:hAnsi="David"/>
                <w:sz w:val="26"/>
                <w:szCs w:val="26"/>
                <w:rtl/>
              </w:rPr>
            </w:pPr>
          </w:p>
        </w:tc>
        <w:tc>
          <w:tcPr>
            <w:tcW w:w="3219" w:type="dxa"/>
            <w:tcBorders>
              <w:top w:val="nil"/>
              <w:left w:val="nil"/>
              <w:bottom w:val="nil"/>
              <w:right w:val="nil"/>
            </w:tcBorders>
            <w:shd w:val="clear" w:color="auto" w:fill="auto"/>
          </w:tcPr>
          <w:p w14:paraId="63B825E4" w14:textId="77777777" w:rsidR="009550A9" w:rsidRPr="00691F43" w:rsidRDefault="009550A9" w:rsidP="00697700">
            <w:pPr>
              <w:rPr>
                <w:rFonts w:ascii="Arial" w:hAnsi="Arial"/>
                <w:b/>
                <w:bCs/>
                <w:sz w:val="26"/>
                <w:szCs w:val="26"/>
                <w:rtl/>
              </w:rPr>
            </w:pPr>
            <w:r w:rsidRPr="00691F43">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A92955D" w14:textId="77777777" w:rsidR="009550A9" w:rsidRPr="00691F43" w:rsidRDefault="009550A9" w:rsidP="009550A9">
            <w:pPr>
              <w:suppressLineNumbers/>
            </w:pPr>
            <w:r w:rsidRPr="00691F43">
              <w:rPr>
                <w:rFonts w:ascii="Arial" w:hAnsi="Arial"/>
                <w:b/>
                <w:bCs/>
                <w:sz w:val="26"/>
                <w:szCs w:val="26"/>
                <w:rtl/>
              </w:rPr>
              <w:t>בר יוחאי מזרחי</w:t>
            </w:r>
          </w:p>
        </w:tc>
      </w:tr>
    </w:tbl>
    <w:p w14:paraId="3BA026E3" w14:textId="77777777" w:rsidR="009550A9" w:rsidRPr="00691F43" w:rsidRDefault="009550A9" w:rsidP="009550A9">
      <w:pPr>
        <w:rPr>
          <w:rtl/>
        </w:rPr>
      </w:pPr>
    </w:p>
    <w:p w14:paraId="0A00A5B7" w14:textId="77777777" w:rsidR="009550A9" w:rsidRPr="00691F43" w:rsidRDefault="009550A9" w:rsidP="009550A9">
      <w:pPr>
        <w:rPr>
          <w:rtl/>
        </w:rPr>
      </w:pPr>
      <w:bookmarkStart w:id="2" w:name="FirstLawyer"/>
      <w:r w:rsidRPr="00691F43">
        <w:rPr>
          <w:rFonts w:hint="cs"/>
          <w:rtl/>
        </w:rPr>
        <w:t>בשם</w:t>
      </w:r>
      <w:bookmarkEnd w:id="2"/>
      <w:r w:rsidRPr="00691F43">
        <w:rPr>
          <w:rFonts w:hint="cs"/>
          <w:rtl/>
        </w:rPr>
        <w:t xml:space="preserve"> המאשימה: עו"ד מיכאל יפרח</w:t>
      </w:r>
    </w:p>
    <w:p w14:paraId="55E20963" w14:textId="77777777" w:rsidR="009550A9" w:rsidRPr="00691F43" w:rsidRDefault="009550A9" w:rsidP="009550A9">
      <w:pPr>
        <w:rPr>
          <w:rtl/>
        </w:rPr>
      </w:pPr>
      <w:r w:rsidRPr="00691F43">
        <w:rPr>
          <w:rFonts w:hint="cs"/>
          <w:rtl/>
        </w:rPr>
        <w:t>בשם הנאשם: עו"ד יוני דדון</w:t>
      </w:r>
    </w:p>
    <w:p w14:paraId="5B8F05BC" w14:textId="77777777" w:rsidR="009550A9" w:rsidRPr="00691F43" w:rsidRDefault="009550A9" w:rsidP="009550A9"/>
    <w:p w14:paraId="18DBF748" w14:textId="77777777" w:rsidR="00E37872" w:rsidRPr="00E37872" w:rsidRDefault="00E37872" w:rsidP="00E37872">
      <w:pPr>
        <w:spacing w:before="120" w:after="120" w:line="240" w:lineRule="exact"/>
        <w:ind w:left="283" w:hanging="283"/>
        <w:jc w:val="both"/>
        <w:rPr>
          <w:rFonts w:ascii="FrankRuehl" w:hAnsi="FrankRuehl" w:cs="FrankRuehl"/>
          <w:rtl/>
        </w:rPr>
      </w:pPr>
      <w:bookmarkStart w:id="3" w:name="LawTable"/>
      <w:bookmarkEnd w:id="3"/>
      <w:r w:rsidRPr="00E37872">
        <w:rPr>
          <w:rFonts w:ascii="FrankRuehl" w:hAnsi="FrankRuehl" w:cs="FrankRuehl"/>
          <w:rtl/>
        </w:rPr>
        <w:t xml:space="preserve">חקיקה שאוזכרה: </w:t>
      </w:r>
    </w:p>
    <w:p w14:paraId="49AA53E8" w14:textId="77777777" w:rsidR="00E37872" w:rsidRPr="00E37872" w:rsidRDefault="00E37872" w:rsidP="00E37872">
      <w:pPr>
        <w:spacing w:before="120" w:after="120" w:line="240" w:lineRule="exact"/>
        <w:ind w:left="283" w:hanging="283"/>
        <w:jc w:val="both"/>
        <w:rPr>
          <w:rFonts w:ascii="FrankRuehl" w:hAnsi="FrankRuehl" w:cs="FrankRuehl"/>
          <w:color w:val="0000FF"/>
          <w:rtl/>
        </w:rPr>
      </w:pPr>
      <w:hyperlink r:id="rId7" w:history="1">
        <w:r w:rsidRPr="00E37872">
          <w:rPr>
            <w:rStyle w:val="Hyperlink"/>
            <w:rFonts w:ascii="FrankRuehl" w:hAnsi="FrankRuehl" w:cs="FrankRuehl"/>
            <w:u w:val="none"/>
            <w:rtl/>
          </w:rPr>
          <w:t>פקודת הסמים המסוכנים [נוסח חדש], תשל"ג-1973</w:t>
        </w:r>
      </w:hyperlink>
      <w:r w:rsidRPr="00E37872">
        <w:rPr>
          <w:rFonts w:ascii="FrankRuehl" w:hAnsi="FrankRuehl" w:cs="FrankRuehl"/>
          <w:color w:val="0000FF"/>
          <w:rtl/>
        </w:rPr>
        <w:t xml:space="preserve">: סע'  </w:t>
      </w:r>
      <w:hyperlink r:id="rId8" w:history="1">
        <w:r w:rsidRPr="00E37872">
          <w:rPr>
            <w:rStyle w:val="Hyperlink"/>
            <w:rFonts w:ascii="FrankRuehl" w:hAnsi="FrankRuehl" w:cs="FrankRuehl"/>
            <w:u w:val="none"/>
          </w:rPr>
          <w:t>6</w:t>
        </w:r>
      </w:hyperlink>
      <w:r w:rsidRPr="00E37872">
        <w:rPr>
          <w:rFonts w:ascii="FrankRuehl" w:hAnsi="FrankRuehl" w:cs="FrankRuehl"/>
          <w:color w:val="0000FF"/>
          <w:rtl/>
        </w:rPr>
        <w:t xml:space="preserve">, </w:t>
      </w:r>
      <w:hyperlink r:id="rId9" w:history="1">
        <w:r w:rsidRPr="00E37872">
          <w:rPr>
            <w:rStyle w:val="Hyperlink"/>
            <w:rFonts w:ascii="FrankRuehl" w:hAnsi="FrankRuehl" w:cs="FrankRuehl"/>
            <w:u w:val="none"/>
          </w:rPr>
          <w:t>7.</w:t>
        </w:r>
        <w:r w:rsidRPr="00E37872">
          <w:rPr>
            <w:rStyle w:val="Hyperlink"/>
            <w:rFonts w:ascii="FrankRuehl" w:hAnsi="FrankRuehl" w:cs="FrankRuehl"/>
            <w:u w:val="none"/>
            <w:rtl/>
          </w:rPr>
          <w:t>א</w:t>
        </w:r>
        <w:r w:rsidRPr="00E37872">
          <w:rPr>
            <w:rStyle w:val="Hyperlink"/>
            <w:rFonts w:ascii="FrankRuehl" w:hAnsi="FrankRuehl" w:cs="FrankRuehl"/>
            <w:u w:val="none"/>
          </w:rPr>
          <w:t>.</w:t>
        </w:r>
      </w:hyperlink>
      <w:r w:rsidRPr="00E37872">
        <w:rPr>
          <w:rFonts w:ascii="FrankRuehl" w:hAnsi="FrankRuehl" w:cs="FrankRuehl"/>
          <w:color w:val="0000FF"/>
          <w:rtl/>
        </w:rPr>
        <w:t xml:space="preserve">, </w:t>
      </w:r>
      <w:hyperlink r:id="rId10" w:history="1">
        <w:r w:rsidRPr="00E37872">
          <w:rPr>
            <w:rStyle w:val="Hyperlink"/>
            <w:rFonts w:ascii="FrankRuehl" w:hAnsi="FrankRuehl" w:cs="FrankRuehl"/>
            <w:u w:val="none"/>
          </w:rPr>
          <w:t>7.</w:t>
        </w:r>
        <w:r w:rsidRPr="00E37872">
          <w:rPr>
            <w:rStyle w:val="Hyperlink"/>
            <w:rFonts w:ascii="FrankRuehl" w:hAnsi="FrankRuehl" w:cs="FrankRuehl"/>
            <w:u w:val="none"/>
            <w:rtl/>
          </w:rPr>
          <w:t>ב</w:t>
        </w:r>
      </w:hyperlink>
      <w:r w:rsidRPr="00E37872">
        <w:rPr>
          <w:rFonts w:ascii="FrankRuehl" w:hAnsi="FrankRuehl" w:cs="FrankRuehl"/>
          <w:color w:val="0000FF"/>
          <w:rtl/>
        </w:rPr>
        <w:t xml:space="preserve">, </w:t>
      </w:r>
      <w:hyperlink r:id="rId11" w:history="1">
        <w:r w:rsidRPr="00E37872">
          <w:rPr>
            <w:rStyle w:val="Hyperlink"/>
            <w:rFonts w:ascii="FrankRuehl" w:hAnsi="FrankRuehl" w:cs="FrankRuehl"/>
            <w:u w:val="none"/>
          </w:rPr>
          <w:t>10</w:t>
        </w:r>
      </w:hyperlink>
    </w:p>
    <w:p w14:paraId="2661C173" w14:textId="77777777" w:rsidR="00E37872" w:rsidRPr="00E37872" w:rsidRDefault="00E37872" w:rsidP="00E37872">
      <w:pPr>
        <w:spacing w:before="120" w:after="120" w:line="240" w:lineRule="exact"/>
        <w:ind w:left="283" w:hanging="283"/>
        <w:jc w:val="both"/>
        <w:rPr>
          <w:rFonts w:ascii="FrankRuehl" w:hAnsi="FrankRuehl" w:cs="FrankRuehl"/>
          <w:color w:val="0000FF"/>
          <w:rtl/>
        </w:rPr>
      </w:pPr>
      <w:hyperlink r:id="rId12" w:history="1">
        <w:r w:rsidRPr="00E37872">
          <w:rPr>
            <w:rStyle w:val="Hyperlink"/>
            <w:rFonts w:ascii="FrankRuehl" w:hAnsi="FrankRuehl" w:cs="FrankRuehl"/>
            <w:u w:val="none"/>
            <w:rtl/>
          </w:rPr>
          <w:t>חוק העונשין, תשל"ז-1977</w:t>
        </w:r>
      </w:hyperlink>
      <w:r w:rsidRPr="00E37872">
        <w:rPr>
          <w:rFonts w:ascii="FrankRuehl" w:hAnsi="FrankRuehl" w:cs="FrankRuehl"/>
          <w:color w:val="0000FF"/>
          <w:rtl/>
        </w:rPr>
        <w:t xml:space="preserve">: סע'  </w:t>
      </w:r>
      <w:hyperlink r:id="rId13" w:history="1">
        <w:r w:rsidRPr="00E37872">
          <w:rPr>
            <w:rStyle w:val="Hyperlink"/>
            <w:rFonts w:ascii="FrankRuehl" w:hAnsi="FrankRuehl" w:cs="FrankRuehl"/>
            <w:u w:val="none"/>
          </w:rPr>
          <w:t>400</w:t>
        </w:r>
      </w:hyperlink>
    </w:p>
    <w:p w14:paraId="0F472E46" w14:textId="77777777" w:rsidR="009550A9" w:rsidRPr="00E37872" w:rsidRDefault="009550A9" w:rsidP="00E37872">
      <w:pPr>
        <w:spacing w:line="360" w:lineRule="auto"/>
        <w:jc w:val="both"/>
        <w:rPr>
          <w:rFonts w:ascii="Arial" w:hAnsi="Arial"/>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550A9" w14:paraId="230C7CED" w14:textId="77777777" w:rsidTr="009550A9">
        <w:trPr>
          <w:trHeight w:val="355"/>
          <w:jc w:val="center"/>
        </w:trPr>
        <w:tc>
          <w:tcPr>
            <w:tcW w:w="8820" w:type="dxa"/>
            <w:tcBorders>
              <w:top w:val="nil"/>
              <w:left w:val="nil"/>
              <w:bottom w:val="nil"/>
              <w:right w:val="nil"/>
            </w:tcBorders>
            <w:shd w:val="clear" w:color="auto" w:fill="auto"/>
          </w:tcPr>
          <w:p w14:paraId="38C6F092" w14:textId="77777777" w:rsidR="00691F43" w:rsidRPr="00691F43" w:rsidRDefault="00691F43" w:rsidP="00691F43">
            <w:pPr>
              <w:jc w:val="center"/>
              <w:rPr>
                <w:rFonts w:ascii="David" w:hAnsi="David"/>
                <w:b/>
                <w:bCs/>
                <w:sz w:val="32"/>
                <w:szCs w:val="32"/>
                <w:u w:val="single"/>
                <w:rtl/>
              </w:rPr>
            </w:pPr>
            <w:bookmarkStart w:id="5" w:name="PsakDin" w:colFirst="0" w:colLast="0"/>
            <w:bookmarkEnd w:id="0"/>
            <w:r w:rsidRPr="00691F43">
              <w:rPr>
                <w:rFonts w:ascii="David" w:hAnsi="David"/>
                <w:b/>
                <w:bCs/>
                <w:sz w:val="32"/>
                <w:szCs w:val="32"/>
                <w:u w:val="single"/>
                <w:rtl/>
              </w:rPr>
              <w:t>גזר דין</w:t>
            </w:r>
          </w:p>
          <w:p w14:paraId="4307F345" w14:textId="77777777" w:rsidR="009550A9" w:rsidRPr="00691F43" w:rsidRDefault="009550A9" w:rsidP="00691F43">
            <w:pPr>
              <w:jc w:val="center"/>
              <w:rPr>
                <w:rFonts w:ascii="David" w:hAnsi="David"/>
                <w:bCs/>
                <w:sz w:val="32"/>
                <w:szCs w:val="32"/>
                <w:u w:val="single"/>
                <w:rtl/>
              </w:rPr>
            </w:pPr>
          </w:p>
        </w:tc>
      </w:tr>
      <w:bookmarkEnd w:id="5"/>
    </w:tbl>
    <w:p w14:paraId="3121684A" w14:textId="77777777" w:rsidR="009550A9" w:rsidRPr="000F2247" w:rsidRDefault="009550A9" w:rsidP="009550A9">
      <w:pPr>
        <w:spacing w:line="360" w:lineRule="auto"/>
        <w:jc w:val="both"/>
        <w:rPr>
          <w:rFonts w:ascii="Arial" w:hAnsi="Arial"/>
          <w:b/>
          <w:bCs/>
          <w:sz w:val="26"/>
          <w:szCs w:val="26"/>
          <w:rtl/>
        </w:rPr>
      </w:pPr>
    </w:p>
    <w:p w14:paraId="69AAB0B4" w14:textId="77777777" w:rsidR="009550A9" w:rsidRDefault="009550A9" w:rsidP="009550A9">
      <w:pPr>
        <w:spacing w:line="360" w:lineRule="auto"/>
        <w:ind w:left="720" w:hanging="720"/>
        <w:jc w:val="both"/>
        <w:rPr>
          <w:rFonts w:ascii="Arial" w:hAnsi="Arial"/>
          <w:rtl/>
        </w:rPr>
      </w:pPr>
      <w:r>
        <w:rPr>
          <w:rFonts w:ascii="Arial" w:hAnsi="Arial" w:hint="cs"/>
          <w:rtl/>
        </w:rPr>
        <w:t>1.</w:t>
      </w:r>
      <w:r>
        <w:rPr>
          <w:rFonts w:ascii="Arial" w:hAnsi="Arial"/>
          <w:rtl/>
        </w:rPr>
        <w:tab/>
      </w:r>
      <w:bookmarkStart w:id="6" w:name="ABSTRACT_START"/>
      <w:bookmarkEnd w:id="6"/>
      <w:r>
        <w:rPr>
          <w:rFonts w:ascii="Arial" w:hAnsi="Arial" w:hint="cs"/>
          <w:rtl/>
        </w:rPr>
        <w:t xml:space="preserve">הנאשם הורשע על פי הודאתו בכתב האישום בעבירות של ייצור הכנה והפקה לפי </w:t>
      </w:r>
      <w:hyperlink r:id="rId14" w:history="1">
        <w:r w:rsidR="00E37872" w:rsidRPr="00E37872">
          <w:rPr>
            <w:rStyle w:val="Hyperlink"/>
            <w:rFonts w:ascii="Arial" w:hAnsi="Arial" w:hint="eastAsia"/>
            <w:color w:val="0000FF"/>
            <w:rtl/>
          </w:rPr>
          <w:t>סעיף</w:t>
        </w:r>
        <w:r w:rsidR="00E37872" w:rsidRPr="00E37872">
          <w:rPr>
            <w:rStyle w:val="Hyperlink"/>
            <w:rFonts w:ascii="Arial" w:hAnsi="Arial"/>
            <w:color w:val="0000FF"/>
            <w:rtl/>
          </w:rPr>
          <w:t xml:space="preserve"> 6</w:t>
        </w:r>
      </w:hyperlink>
      <w:r>
        <w:rPr>
          <w:rFonts w:ascii="Arial" w:hAnsi="Arial" w:hint="cs"/>
          <w:rtl/>
        </w:rPr>
        <w:t xml:space="preserve"> ל</w:t>
      </w:r>
      <w:hyperlink r:id="rId15" w:history="1">
        <w:r w:rsidR="00691F43" w:rsidRPr="00691F43">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(להלן: </w:t>
      </w:r>
      <w:r>
        <w:rPr>
          <w:rFonts w:ascii="Arial" w:hAnsi="Arial" w:hint="cs"/>
          <w:b/>
          <w:bCs/>
          <w:rtl/>
        </w:rPr>
        <w:t>"פקודת הסמים")</w:t>
      </w:r>
      <w:r>
        <w:rPr>
          <w:rFonts w:ascii="Arial" w:hAnsi="Arial" w:hint="cs"/>
          <w:rtl/>
        </w:rPr>
        <w:t xml:space="preserve">, החזקת סם שלא לצריכה עצמית לפי </w:t>
      </w:r>
      <w:hyperlink r:id="rId16" w:history="1">
        <w:r w:rsidR="00E37872" w:rsidRPr="00E37872">
          <w:rPr>
            <w:rStyle w:val="Hyperlink"/>
            <w:rFonts w:ascii="Arial" w:hAnsi="Arial" w:hint="eastAsia"/>
            <w:color w:val="0000FF"/>
            <w:rtl/>
          </w:rPr>
          <w:t>סעיף</w:t>
        </w:r>
        <w:r w:rsidR="00E37872" w:rsidRPr="00E37872">
          <w:rPr>
            <w:rStyle w:val="Hyperlink"/>
            <w:rFonts w:ascii="Arial" w:hAnsi="Arial"/>
            <w:color w:val="0000FF"/>
            <w:rtl/>
          </w:rPr>
          <w:t xml:space="preserve"> 7 (א) + (ב)</w:t>
        </w:r>
      </w:hyperlink>
      <w:r>
        <w:rPr>
          <w:rFonts w:ascii="Arial" w:hAnsi="Arial" w:hint="cs"/>
          <w:rtl/>
        </w:rPr>
        <w:t xml:space="preserve"> רישא לפקודת הסמים המסוכנים, החזקת כלים לפי </w:t>
      </w:r>
      <w:hyperlink r:id="rId17" w:history="1">
        <w:r w:rsidR="00E37872" w:rsidRPr="00E37872">
          <w:rPr>
            <w:rStyle w:val="Hyperlink"/>
            <w:rFonts w:ascii="Arial" w:hAnsi="Arial" w:hint="eastAsia"/>
            <w:color w:val="0000FF"/>
            <w:rtl/>
          </w:rPr>
          <w:t>סעיף</w:t>
        </w:r>
        <w:r w:rsidR="00E37872" w:rsidRPr="00E37872">
          <w:rPr>
            <w:rStyle w:val="Hyperlink"/>
            <w:rFonts w:ascii="Arial" w:hAnsi="Arial"/>
            <w:color w:val="0000FF"/>
            <w:rtl/>
          </w:rPr>
          <w:t xml:space="preserve"> 10</w:t>
        </w:r>
      </w:hyperlink>
      <w:r>
        <w:rPr>
          <w:rFonts w:ascii="Arial" w:hAnsi="Arial" w:hint="cs"/>
          <w:rtl/>
        </w:rPr>
        <w:t xml:space="preserve"> רישא לפקודת הסמים המסוכנים ונטילת חשמל לפי </w:t>
      </w:r>
      <w:hyperlink r:id="rId18" w:history="1">
        <w:r w:rsidR="00E37872" w:rsidRPr="00E37872">
          <w:rPr>
            <w:rStyle w:val="Hyperlink"/>
            <w:rFonts w:ascii="Arial" w:hAnsi="Arial" w:hint="eastAsia"/>
            <w:color w:val="0000FF"/>
            <w:rtl/>
          </w:rPr>
          <w:t>סעיף</w:t>
        </w:r>
        <w:r w:rsidR="00E37872" w:rsidRPr="00E37872">
          <w:rPr>
            <w:rStyle w:val="Hyperlink"/>
            <w:rFonts w:ascii="Arial" w:hAnsi="Arial"/>
            <w:color w:val="0000FF"/>
            <w:rtl/>
          </w:rPr>
          <w:t xml:space="preserve"> 400</w:t>
        </w:r>
      </w:hyperlink>
      <w:r>
        <w:rPr>
          <w:rFonts w:ascii="Arial" w:hAnsi="Arial" w:hint="cs"/>
          <w:rtl/>
        </w:rPr>
        <w:t xml:space="preserve"> ל</w:t>
      </w:r>
      <w:hyperlink r:id="rId19" w:history="1">
        <w:r w:rsidR="00691F43" w:rsidRPr="00691F43">
          <w:rPr>
            <w:rFonts w:ascii="Arial" w:hAnsi="Arial"/>
            <w:color w:val="0000FF"/>
            <w:u w:val="single"/>
            <w:rtl/>
          </w:rPr>
          <w:t>חוק העונשין</w:t>
        </w:r>
      </w:hyperlink>
      <w:r>
        <w:rPr>
          <w:rFonts w:ascii="Arial" w:hAnsi="Arial" w:hint="cs"/>
          <w:rtl/>
        </w:rPr>
        <w:t xml:space="preserve">, תשל"ז (1977), </w:t>
      </w:r>
      <w:bookmarkStart w:id="7" w:name="ABSTRACT_END"/>
      <w:bookmarkEnd w:id="7"/>
      <w:r>
        <w:rPr>
          <w:rFonts w:ascii="Arial" w:hAnsi="Arial" w:hint="cs"/>
          <w:rtl/>
        </w:rPr>
        <w:t xml:space="preserve">(להלן: </w:t>
      </w:r>
      <w:r>
        <w:rPr>
          <w:rFonts w:ascii="Arial" w:hAnsi="Arial" w:hint="cs"/>
          <w:b/>
          <w:bCs/>
          <w:rtl/>
        </w:rPr>
        <w:t>"חוק העונשין"</w:t>
      </w:r>
      <w:r>
        <w:rPr>
          <w:rFonts w:ascii="Arial" w:hAnsi="Arial" w:hint="cs"/>
          <w:rtl/>
        </w:rPr>
        <w:t xml:space="preserve">). </w:t>
      </w:r>
    </w:p>
    <w:p w14:paraId="5449D0B7" w14:textId="77777777" w:rsidR="009550A9" w:rsidRDefault="009550A9" w:rsidP="009550A9">
      <w:pPr>
        <w:spacing w:line="360" w:lineRule="auto"/>
        <w:jc w:val="both"/>
        <w:rPr>
          <w:rFonts w:ascii="Arial" w:hAnsi="Arial"/>
          <w:rtl/>
        </w:rPr>
      </w:pPr>
    </w:p>
    <w:p w14:paraId="2ED8E8D4" w14:textId="77777777" w:rsidR="009550A9" w:rsidRDefault="009550A9" w:rsidP="009550A9">
      <w:pPr>
        <w:spacing w:line="360" w:lineRule="auto"/>
        <w:ind w:left="720" w:hanging="720"/>
        <w:jc w:val="both"/>
        <w:rPr>
          <w:rFonts w:ascii="Arial" w:hAnsi="Arial"/>
          <w:rtl/>
        </w:rPr>
      </w:pPr>
      <w:r>
        <w:rPr>
          <w:rFonts w:ascii="Arial" w:hAnsi="Arial" w:hint="cs"/>
          <w:rtl/>
        </w:rPr>
        <w:t>2.</w:t>
      </w:r>
      <w:r>
        <w:rPr>
          <w:rFonts w:ascii="Arial" w:hAnsi="Arial"/>
          <w:rtl/>
        </w:rPr>
        <w:tab/>
      </w:r>
      <w:r>
        <w:rPr>
          <w:rFonts w:ascii="Arial" w:hAnsi="Arial" w:hint="cs"/>
          <w:rtl/>
        </w:rPr>
        <w:t xml:space="preserve">על פי עובדות כתב האישום, הנאשם גידל בבית ששכר למשך שנתיים סם מסוכן מסוג קנבוס. עד לתאריך 16.03.2023 גידל הנאשם והחזיק את סם הקנבוס שלא לשימוש עצמי וללא היתר ורישיון מאת המנהל. כן החזיק ציוד וכלים לצורך גידול הקנבוס, לרבות 102 מנורות, 102 שנאי חשמל, 7 מזגנים, 10 מאווררים, 33 מזגני לחות, 8 בלוני חמצן, 5 משאבות מים, 4 שקים של דשן ו-3 מדי לחות. </w:t>
      </w:r>
    </w:p>
    <w:p w14:paraId="5268D984" w14:textId="77777777" w:rsidR="009550A9" w:rsidRDefault="009550A9" w:rsidP="009550A9">
      <w:pPr>
        <w:spacing w:line="360" w:lineRule="auto"/>
        <w:ind w:left="720" w:hanging="720"/>
        <w:jc w:val="both"/>
        <w:rPr>
          <w:rFonts w:ascii="Arial" w:hAnsi="Arial"/>
          <w:rtl/>
        </w:rPr>
      </w:pPr>
    </w:p>
    <w:p w14:paraId="1B6D8841" w14:textId="77777777" w:rsidR="009550A9" w:rsidRDefault="009550A9" w:rsidP="009550A9">
      <w:pPr>
        <w:spacing w:line="360" w:lineRule="auto"/>
        <w:ind w:left="720"/>
        <w:jc w:val="both"/>
        <w:rPr>
          <w:rFonts w:ascii="Arial" w:hAnsi="Arial"/>
          <w:rtl/>
        </w:rPr>
      </w:pPr>
      <w:r>
        <w:rPr>
          <w:rFonts w:ascii="Arial" w:hAnsi="Arial" w:hint="cs"/>
          <w:rtl/>
        </w:rPr>
        <w:t xml:space="preserve">בנוסף, לצורך גידול הקנבוס, הנאשם נטל וצרך חשמל במזיד ומרמה באמצעות חיבור ישיר של הבית למתקני חברת החשמל, שלא דרך מונה החשמל ועקף את החיבור התקני של </w:t>
      </w:r>
      <w:r>
        <w:rPr>
          <w:rFonts w:ascii="Arial" w:hAnsi="Arial" w:hint="cs"/>
          <w:rtl/>
        </w:rPr>
        <w:lastRenderedPageBreak/>
        <w:t xml:space="preserve">חברת החשמל בעלות כוללת של 65,048.76 ₪ מבלי שהיה זכאי לכך תוך יצירת סיכון ובאופן שעלול היה לגרום להתחשמלות או שריפה. </w:t>
      </w:r>
    </w:p>
    <w:p w14:paraId="5410DD49" w14:textId="77777777" w:rsidR="009550A9" w:rsidRDefault="009550A9" w:rsidP="009550A9">
      <w:pPr>
        <w:spacing w:line="360" w:lineRule="auto"/>
        <w:ind w:left="720"/>
        <w:jc w:val="both"/>
        <w:rPr>
          <w:rFonts w:ascii="Arial" w:hAnsi="Arial"/>
          <w:rtl/>
        </w:rPr>
      </w:pPr>
    </w:p>
    <w:p w14:paraId="260611C9" w14:textId="77777777" w:rsidR="009550A9" w:rsidRDefault="009550A9" w:rsidP="009550A9">
      <w:pPr>
        <w:spacing w:line="360" w:lineRule="auto"/>
        <w:ind w:left="720"/>
        <w:jc w:val="both"/>
        <w:rPr>
          <w:rFonts w:ascii="Arial" w:hAnsi="Arial"/>
          <w:rtl/>
        </w:rPr>
      </w:pPr>
      <w:r>
        <w:rPr>
          <w:rFonts w:ascii="Arial" w:hAnsi="Arial" w:hint="cs"/>
          <w:rtl/>
        </w:rPr>
        <w:t xml:space="preserve">לאמור, הנאשם החזיק בבית 354 שתילי קנבוס במשקל כולל של 197.4 ק"ג, כל זאת שלא לשימוש עצמי, ללא היתר וללא רישיון. </w:t>
      </w:r>
    </w:p>
    <w:p w14:paraId="51E524CF" w14:textId="77777777" w:rsidR="009550A9" w:rsidRDefault="009550A9" w:rsidP="009550A9">
      <w:pPr>
        <w:spacing w:line="360" w:lineRule="auto"/>
        <w:jc w:val="both"/>
        <w:rPr>
          <w:rFonts w:ascii="Arial" w:hAnsi="Arial"/>
          <w:rtl/>
        </w:rPr>
      </w:pPr>
    </w:p>
    <w:p w14:paraId="5EC1FC67" w14:textId="77777777" w:rsidR="009550A9" w:rsidRDefault="009550A9" w:rsidP="009550A9">
      <w:pPr>
        <w:spacing w:line="360" w:lineRule="auto"/>
        <w:jc w:val="both"/>
        <w:rPr>
          <w:rFonts w:ascii="Arial" w:hAnsi="Arial"/>
          <w:b/>
          <w:bCs/>
          <w:u w:val="single"/>
          <w:rtl/>
        </w:rPr>
      </w:pPr>
      <w:r w:rsidRPr="00585593">
        <w:rPr>
          <w:rFonts w:ascii="Arial" w:hAnsi="Arial" w:hint="cs"/>
          <w:b/>
          <w:bCs/>
          <w:u w:val="single"/>
          <w:rtl/>
        </w:rPr>
        <w:t>תסקיר שירות המבחן</w:t>
      </w:r>
      <w:r w:rsidRPr="00585593">
        <w:rPr>
          <w:rFonts w:ascii="Arial" w:hAnsi="Arial" w:hint="cs"/>
          <w:b/>
          <w:bCs/>
          <w:rtl/>
        </w:rPr>
        <w:t>:</w:t>
      </w:r>
    </w:p>
    <w:p w14:paraId="52FCE823" w14:textId="77777777" w:rsidR="009550A9" w:rsidRPr="00585593" w:rsidRDefault="009550A9" w:rsidP="009550A9">
      <w:pPr>
        <w:spacing w:line="360" w:lineRule="auto"/>
        <w:jc w:val="both"/>
        <w:rPr>
          <w:rFonts w:ascii="Arial" w:hAnsi="Arial"/>
          <w:b/>
          <w:bCs/>
          <w:u w:val="single"/>
          <w:rtl/>
        </w:rPr>
      </w:pPr>
    </w:p>
    <w:p w14:paraId="4B62760F" w14:textId="77777777" w:rsidR="009550A9" w:rsidRPr="00123289" w:rsidRDefault="009550A9" w:rsidP="009550A9">
      <w:pPr>
        <w:spacing w:line="360" w:lineRule="auto"/>
        <w:jc w:val="both"/>
        <w:rPr>
          <w:rFonts w:ascii="Arial" w:hAnsi="Arial"/>
          <w:rtl/>
        </w:rPr>
      </w:pPr>
      <w:r>
        <w:rPr>
          <w:rFonts w:ascii="Arial" w:hAnsi="Arial" w:hint="cs"/>
          <w:rtl/>
        </w:rPr>
        <w:t>3.</w:t>
      </w:r>
      <w:r>
        <w:rPr>
          <w:rFonts w:ascii="Arial" w:hAnsi="Arial"/>
          <w:rtl/>
        </w:rPr>
        <w:tab/>
      </w:r>
      <w:r w:rsidRPr="00123289">
        <w:rPr>
          <w:rFonts w:ascii="Arial" w:hAnsi="Arial" w:hint="cs"/>
          <w:rtl/>
        </w:rPr>
        <w:t>בעניינו של הנאשם הו</w:t>
      </w:r>
      <w:r>
        <w:rPr>
          <w:rFonts w:ascii="Arial" w:hAnsi="Arial" w:hint="cs"/>
          <w:rtl/>
        </w:rPr>
        <w:t xml:space="preserve">גשו 3 תסקירים במהלך ניהול התיק: </w:t>
      </w:r>
    </w:p>
    <w:p w14:paraId="1B57F425" w14:textId="77777777" w:rsidR="009550A9" w:rsidRPr="00585593" w:rsidRDefault="009550A9" w:rsidP="009550A9">
      <w:pPr>
        <w:spacing w:line="360" w:lineRule="auto"/>
        <w:jc w:val="both"/>
        <w:rPr>
          <w:rFonts w:ascii="Arial" w:hAnsi="Arial"/>
          <w:b/>
          <w:bCs/>
          <w:u w:val="single"/>
          <w:rtl/>
        </w:rPr>
      </w:pPr>
      <w:r w:rsidRPr="00585593">
        <w:rPr>
          <w:rFonts w:ascii="Arial" w:hAnsi="Arial" w:hint="cs"/>
          <w:rtl/>
        </w:rPr>
        <w:t xml:space="preserve">ביום 16.05.2024, </w:t>
      </w:r>
      <w:r w:rsidRPr="00585593">
        <w:rPr>
          <w:rFonts w:ascii="Arial" w:hAnsi="Arial"/>
          <w:rtl/>
        </w:rPr>
        <w:t xml:space="preserve">הוגש תסקיר </w:t>
      </w:r>
      <w:r w:rsidRPr="00585593">
        <w:rPr>
          <w:rFonts w:ascii="Arial" w:hAnsi="Arial" w:hint="cs"/>
          <w:rtl/>
        </w:rPr>
        <w:t>בעניינו</w:t>
      </w:r>
      <w:r w:rsidRPr="00585593">
        <w:rPr>
          <w:rFonts w:ascii="Arial" w:hAnsi="Arial"/>
          <w:rtl/>
        </w:rPr>
        <w:t xml:space="preserve"> של </w:t>
      </w:r>
      <w:r w:rsidRPr="00585593">
        <w:rPr>
          <w:rFonts w:ascii="Arial" w:hAnsi="Arial" w:hint="cs"/>
          <w:rtl/>
        </w:rPr>
        <w:t>הנאשם</w:t>
      </w:r>
      <w:r>
        <w:rPr>
          <w:rFonts w:ascii="Arial" w:hAnsi="Arial" w:hint="cs"/>
          <w:rtl/>
        </w:rPr>
        <w:t xml:space="preserve"> בו תואר שהוא </w:t>
      </w:r>
      <w:r w:rsidRPr="00585593">
        <w:rPr>
          <w:rFonts w:ascii="Arial" w:hAnsi="Arial"/>
          <w:rtl/>
        </w:rPr>
        <w:t xml:space="preserve"> בן 44</w:t>
      </w:r>
      <w:r w:rsidRPr="00585593">
        <w:rPr>
          <w:rFonts w:ascii="Arial" w:hAnsi="Arial" w:hint="cs"/>
          <w:rtl/>
        </w:rPr>
        <w:t xml:space="preserve">, נעדר עבר פלילי, </w:t>
      </w:r>
      <w:r w:rsidRPr="00585593">
        <w:rPr>
          <w:rFonts w:ascii="Arial" w:hAnsi="Arial"/>
          <w:rtl/>
        </w:rPr>
        <w:t>היה נשוי בשנית ואב לשלושה ילדים, התקיים מקצבת נכות מטעם המוסד לביטוח לאומי והתמודד עם הפרעת דחק פוסט טראומטית, הפרעת אישיות גבולית והפרעות חרדה.</w:t>
      </w:r>
      <w:r w:rsidRPr="00585593">
        <w:rPr>
          <w:rFonts w:ascii="Arial" w:hAnsi="Arial" w:hint="cs"/>
          <w:rtl/>
        </w:rPr>
        <w:t xml:space="preserve"> </w:t>
      </w:r>
      <w:r w:rsidRPr="00585593">
        <w:rPr>
          <w:rFonts w:ascii="Arial" w:hAnsi="Arial"/>
          <w:rtl/>
        </w:rPr>
        <w:t>בהתחשב במכלול הנסיבות, ובפרט נוכח התמכרותו הפעילה של הנדון לחומרים פסיכואקטיביים והחמרה במצבו הנפשי, שירות המבחן ביקש מבית המשפט לדחות את הדיון בענ</w:t>
      </w:r>
      <w:r w:rsidRPr="00585593">
        <w:rPr>
          <w:rFonts w:ascii="Arial" w:hAnsi="Arial" w:hint="cs"/>
          <w:rtl/>
        </w:rPr>
        <w:t>י</w:t>
      </w:r>
      <w:r w:rsidRPr="00585593">
        <w:rPr>
          <w:rFonts w:ascii="Arial" w:hAnsi="Arial"/>
          <w:rtl/>
        </w:rPr>
        <w:t xml:space="preserve">ינו בשלושה חודשים על מנת לאפשר את שילובו בטיפול במחלקה להתמכרויות בקרית אתא, אשר החל ביום 07.05.2024. </w:t>
      </w:r>
    </w:p>
    <w:p w14:paraId="183DE8FD" w14:textId="77777777" w:rsidR="009550A9" w:rsidRPr="00585593" w:rsidRDefault="009550A9" w:rsidP="009550A9">
      <w:pPr>
        <w:spacing w:line="360" w:lineRule="auto"/>
        <w:jc w:val="both"/>
        <w:rPr>
          <w:rFonts w:ascii="Arial" w:hAnsi="Arial"/>
          <w:b/>
          <w:bCs/>
          <w:u w:val="single"/>
          <w:rtl/>
        </w:rPr>
      </w:pPr>
    </w:p>
    <w:p w14:paraId="1A1FF892" w14:textId="77777777" w:rsidR="009550A9" w:rsidRPr="00585593" w:rsidRDefault="009550A9" w:rsidP="009550A9">
      <w:pPr>
        <w:spacing w:line="360" w:lineRule="auto"/>
        <w:jc w:val="both"/>
        <w:rPr>
          <w:rFonts w:ascii="Arial" w:hAnsi="Arial"/>
          <w:rtl/>
        </w:rPr>
      </w:pPr>
      <w:r w:rsidRPr="00585593">
        <w:rPr>
          <w:rFonts w:ascii="Arial" w:hAnsi="Arial"/>
          <w:rtl/>
        </w:rPr>
        <w:t xml:space="preserve">על פי תסקיר </w:t>
      </w:r>
      <w:r w:rsidRPr="00585593">
        <w:rPr>
          <w:rFonts w:ascii="Arial" w:hAnsi="Arial" w:hint="cs"/>
          <w:rtl/>
        </w:rPr>
        <w:t>משלים שהוגש</w:t>
      </w:r>
      <w:r w:rsidRPr="00585593">
        <w:rPr>
          <w:rFonts w:ascii="Arial" w:hAnsi="Arial"/>
          <w:rtl/>
        </w:rPr>
        <w:t xml:space="preserve"> מיום 11.09.2024, במהלך תקופת הדחיה, החל הנאשם בהליך טיפולי במרכז "דרכי" בקרית אתא, במסגרתו השתלב בטיפול קבוצתי ופרטני</w:t>
      </w:r>
      <w:r w:rsidRPr="00585593">
        <w:rPr>
          <w:rFonts w:ascii="Arial" w:hAnsi="Arial" w:hint="cs"/>
          <w:rtl/>
        </w:rPr>
        <w:t xml:space="preserve">, ושם </w:t>
      </w:r>
      <w:r w:rsidRPr="00585593">
        <w:rPr>
          <w:rFonts w:ascii="Arial" w:hAnsi="Arial"/>
          <w:rtl/>
        </w:rPr>
        <w:t>הביע נכונות לבחון הפסקת השימוש בקנאביס והתליית רישיון האחזקה. על פי דיווחי הגורמים המטפלים, הנאשם הפגין מוטיבציה לשינוי אך התמודד עם קשיים משמעותיים במערכות יחסים, זהות ודימוי עצמי.</w:t>
      </w:r>
      <w:r w:rsidRPr="00585593">
        <w:rPr>
          <w:rFonts w:ascii="Arial" w:hAnsi="Arial" w:hint="cs"/>
          <w:rtl/>
        </w:rPr>
        <w:t xml:space="preserve"> </w:t>
      </w:r>
      <w:r w:rsidRPr="00585593">
        <w:rPr>
          <w:rFonts w:ascii="Arial" w:hAnsi="Arial"/>
          <w:rtl/>
        </w:rPr>
        <w:t>במישור הרפואי-נפשי, המשיך הנאשם בטיפול ומעקב פסיכיאטרי. מתוך שבע בדיקות שתן אליהן זומן, התייצב לחמש. בבדיקה האחרונה מיום 09.09.2024 נמצאו שרידי קנאביס, בנזודיאזפינים וקוקאין.</w:t>
      </w:r>
    </w:p>
    <w:p w14:paraId="578FB787" w14:textId="77777777" w:rsidR="009550A9" w:rsidRPr="00585593" w:rsidRDefault="009550A9" w:rsidP="009550A9">
      <w:pPr>
        <w:spacing w:line="360" w:lineRule="auto"/>
        <w:jc w:val="both"/>
        <w:rPr>
          <w:rFonts w:ascii="Arial" w:hAnsi="Arial"/>
          <w:rtl/>
        </w:rPr>
      </w:pPr>
    </w:p>
    <w:p w14:paraId="3F80A29D" w14:textId="77777777" w:rsidR="009550A9" w:rsidRDefault="009550A9" w:rsidP="009550A9">
      <w:pPr>
        <w:spacing w:line="360" w:lineRule="auto"/>
        <w:jc w:val="both"/>
        <w:rPr>
          <w:rFonts w:ascii="Arial" w:hAnsi="Arial"/>
          <w:rtl/>
        </w:rPr>
      </w:pPr>
      <w:r w:rsidRPr="00585593">
        <w:rPr>
          <w:rFonts w:ascii="Arial" w:hAnsi="Arial"/>
          <w:rtl/>
        </w:rPr>
        <w:t>שירות המבחן התרשם כי ההליך המשפטי הוביל את הנאשם להכרה בקשיי תפקודו והפסדיו, אך עדיין ניכרה אצלו עמדה קורבנית וקושי להתייחס לאלמנט התכנון במעשיו. לאור האמור, ובשל היות התהליך הטיפולי בראשיתו ושיתוף הפעולה האמביוולנטי, המליץ שירות המבחן על דחיית הדיון בשלושה חודשים נוספים. זאת לצורך המשך מעקב</w:t>
      </w:r>
      <w:r w:rsidRPr="00585593">
        <w:rPr>
          <w:rFonts w:ascii="Arial" w:hAnsi="Arial" w:hint="cs"/>
          <w:rtl/>
        </w:rPr>
        <w:t xml:space="preserve">. </w:t>
      </w:r>
    </w:p>
    <w:p w14:paraId="44EB4271" w14:textId="77777777" w:rsidR="009550A9" w:rsidRPr="00585593" w:rsidRDefault="009550A9" w:rsidP="009550A9">
      <w:pPr>
        <w:spacing w:line="360" w:lineRule="auto"/>
        <w:jc w:val="both"/>
        <w:rPr>
          <w:rFonts w:ascii="Arial" w:hAnsi="Arial"/>
          <w:rtl/>
        </w:rPr>
      </w:pPr>
    </w:p>
    <w:p w14:paraId="1060C7FD" w14:textId="77777777" w:rsidR="009550A9" w:rsidRDefault="009550A9" w:rsidP="009550A9">
      <w:pPr>
        <w:spacing w:line="360" w:lineRule="auto"/>
        <w:jc w:val="both"/>
        <w:rPr>
          <w:rFonts w:ascii="David" w:hAnsi="David"/>
          <w:rtl/>
        </w:rPr>
      </w:pPr>
      <w:r w:rsidRPr="00585593">
        <w:rPr>
          <w:rFonts w:ascii="David" w:hAnsi="David"/>
          <w:rtl/>
        </w:rPr>
        <w:t xml:space="preserve">על פי </w:t>
      </w:r>
      <w:r w:rsidRPr="00585593">
        <w:rPr>
          <w:rFonts w:ascii="David" w:hAnsi="David" w:hint="cs"/>
          <w:rtl/>
        </w:rPr>
        <w:t>התסקיר המשלים</w:t>
      </w:r>
      <w:r w:rsidRPr="00585593">
        <w:rPr>
          <w:rFonts w:ascii="David" w:hAnsi="David"/>
          <w:rtl/>
        </w:rPr>
        <w:t xml:space="preserve"> מיום 10.12.2024, אשר הוגש בהמשך לתסקירים קודמים, </w:t>
      </w:r>
      <w:r w:rsidRPr="00585593">
        <w:rPr>
          <w:rFonts w:ascii="David" w:hAnsi="David" w:hint="cs"/>
          <w:rtl/>
        </w:rPr>
        <w:t>הנאשם</w:t>
      </w:r>
      <w:r w:rsidRPr="00585593">
        <w:rPr>
          <w:rFonts w:ascii="David" w:hAnsi="David"/>
          <w:rtl/>
        </w:rPr>
        <w:t xml:space="preserve"> המשיך בתקופת הדחיה בהליך הטיפולי במרכז "דרכי" בקרית אתא. התסקיר התבסס על שיחות עם הנאשם, דיווחים מגורמי הטיפול, מידע פסיכיאטרי ותוצאות בדיקות שתן.</w:t>
      </w:r>
      <w:r w:rsidRPr="00585593">
        <w:rPr>
          <w:rFonts w:ascii="David" w:hAnsi="David" w:hint="cs"/>
          <w:rtl/>
        </w:rPr>
        <w:t xml:space="preserve"> </w:t>
      </w:r>
      <w:r w:rsidRPr="00585593">
        <w:rPr>
          <w:rFonts w:ascii="David" w:hAnsi="David"/>
          <w:rtl/>
        </w:rPr>
        <w:t xml:space="preserve">הנאשם התמיד בטיפול הפרטני והתמסר לתהליך הטיפולי. העבודה הטיפולית התמקדה בבניית ביטחון פנימי והתמודדות עם פחדים ותחושות איום מהסביבה. הנאשם הביע נכונות לשינוי, לרבות בחינת גמילה יזומה </w:t>
      </w:r>
      <w:r w:rsidRPr="00585593">
        <w:rPr>
          <w:rFonts w:ascii="David" w:hAnsi="David"/>
          <w:rtl/>
        </w:rPr>
        <w:lastRenderedPageBreak/>
        <w:t xml:space="preserve">מקנאביס אותו צרך בהתוויה רפואית. אף שלא המשיך בטיפול הקבוצתי במרכז, השתלב בקבוצות </w:t>
      </w:r>
      <w:r w:rsidRPr="00585593">
        <w:rPr>
          <w:rFonts w:ascii="David" w:hAnsi="David"/>
        </w:rPr>
        <w:t>ACA</w:t>
      </w:r>
      <w:r w:rsidRPr="00585593">
        <w:rPr>
          <w:rFonts w:ascii="David" w:hAnsi="David"/>
          <w:rtl/>
        </w:rPr>
        <w:t xml:space="preserve"> והפיק מהן תועלת משמעותית.</w:t>
      </w:r>
    </w:p>
    <w:p w14:paraId="6BE4EDB4" w14:textId="77777777" w:rsidR="009550A9" w:rsidRPr="00585593" w:rsidRDefault="009550A9" w:rsidP="009550A9">
      <w:pPr>
        <w:spacing w:line="360" w:lineRule="auto"/>
        <w:jc w:val="both"/>
        <w:rPr>
          <w:rFonts w:ascii="David" w:hAnsi="David"/>
          <w:rtl/>
        </w:rPr>
      </w:pPr>
    </w:p>
    <w:p w14:paraId="48800674" w14:textId="77777777" w:rsidR="009550A9" w:rsidRDefault="009550A9" w:rsidP="009550A9">
      <w:pPr>
        <w:spacing w:line="360" w:lineRule="auto"/>
        <w:jc w:val="both"/>
        <w:rPr>
          <w:rFonts w:ascii="David" w:hAnsi="David"/>
          <w:rtl/>
        </w:rPr>
      </w:pPr>
      <w:r w:rsidRPr="00585593">
        <w:rPr>
          <w:rFonts w:ascii="David" w:hAnsi="David"/>
          <w:rtl/>
        </w:rPr>
        <w:t xml:space="preserve">בתחום בדיקות השתן, הנאשם התייצב בעקביות ל-10 בדיקות. התוצאות העידו על נוכחות קנאביס </w:t>
      </w:r>
      <w:r w:rsidRPr="00585593">
        <w:rPr>
          <w:rFonts w:ascii="David" w:hAnsi="David" w:hint="cs"/>
          <w:rtl/>
        </w:rPr>
        <w:t>באישור רפואי</w:t>
      </w:r>
      <w:r w:rsidRPr="00585593">
        <w:rPr>
          <w:rFonts w:ascii="David" w:hAnsi="David"/>
          <w:rtl/>
        </w:rPr>
        <w:t xml:space="preserve">. בדיקה מיום 07.10.2024 העידה על נוכחות קוקאין, אולם בבדיקות מאוחרות יותר לא נמצאו שרידי הסם. במישור התעסוקתי, הנאשם השתלב בעבודה במטבח </w:t>
      </w:r>
      <w:r w:rsidRPr="00585593">
        <w:rPr>
          <w:rFonts w:ascii="David" w:hAnsi="David" w:hint="cs"/>
          <w:rtl/>
        </w:rPr>
        <w:t>פיצריי</w:t>
      </w:r>
      <w:r w:rsidRPr="00585593">
        <w:rPr>
          <w:rFonts w:ascii="David" w:hAnsi="David" w:hint="eastAsia"/>
          <w:rtl/>
        </w:rPr>
        <w:t>ה</w:t>
      </w:r>
      <w:r w:rsidRPr="00585593">
        <w:rPr>
          <w:rFonts w:ascii="David" w:hAnsi="David"/>
          <w:rtl/>
        </w:rPr>
        <w:t>, דבר אשר תרם לשיפור מצבו הכלכלי והדימוי העצמי שלו.</w:t>
      </w:r>
    </w:p>
    <w:p w14:paraId="728477EA" w14:textId="77777777" w:rsidR="009550A9" w:rsidRPr="00585593" w:rsidRDefault="009550A9" w:rsidP="009550A9">
      <w:pPr>
        <w:spacing w:line="360" w:lineRule="auto"/>
        <w:jc w:val="both"/>
        <w:rPr>
          <w:rFonts w:ascii="David" w:hAnsi="David"/>
          <w:rtl/>
        </w:rPr>
      </w:pPr>
    </w:p>
    <w:p w14:paraId="5EF93BCD" w14:textId="77777777" w:rsidR="009550A9" w:rsidRDefault="009550A9" w:rsidP="009550A9">
      <w:pPr>
        <w:spacing w:line="360" w:lineRule="auto"/>
        <w:jc w:val="both"/>
        <w:rPr>
          <w:rFonts w:ascii="David" w:hAnsi="David"/>
          <w:rtl/>
        </w:rPr>
      </w:pPr>
      <w:r w:rsidRPr="00585593">
        <w:rPr>
          <w:rFonts w:ascii="David" w:hAnsi="David"/>
          <w:rtl/>
        </w:rPr>
        <w:t xml:space="preserve">בהתייחסותו לעבירות נשוא הדיון, </w:t>
      </w:r>
      <w:r w:rsidRPr="00585593">
        <w:rPr>
          <w:rFonts w:ascii="David" w:hAnsi="David" w:hint="cs"/>
          <w:rtl/>
        </w:rPr>
        <w:t>הנאשם</w:t>
      </w:r>
      <w:r w:rsidRPr="00585593">
        <w:rPr>
          <w:rFonts w:ascii="David" w:hAnsi="David"/>
          <w:rtl/>
        </w:rPr>
        <w:t xml:space="preserve"> זנח את העמדה הקורבנית בה החזיק ולקח אחריות מלאה על מעשיו ובחירותיו. נוכח התמורה החיובית בהתנהלותו של הנאשם והתקדמותו בהליך הטיפולי, המליץ שירות המבחן על הטלת צו מבחן למשך 18 חודשים, הומלץ להוסיף ענישה הרתעתית בדמות עבודות שירות ברף הגבוה ומאסר מותנה. שירות המבחן סבר כי הטלת מאסר בפועל עלולה לקטוע את התהליך הטיפולי ולהוות גורם סיכון להישנות עבירות בעתיד</w:t>
      </w:r>
      <w:r w:rsidRPr="00585593">
        <w:rPr>
          <w:rFonts w:ascii="David" w:hAnsi="David" w:hint="cs"/>
          <w:rtl/>
        </w:rPr>
        <w:t>.</w:t>
      </w:r>
    </w:p>
    <w:p w14:paraId="1A78019D" w14:textId="77777777" w:rsidR="009550A9" w:rsidRDefault="009550A9" w:rsidP="009550A9">
      <w:pPr>
        <w:spacing w:line="360" w:lineRule="auto"/>
        <w:jc w:val="both"/>
        <w:rPr>
          <w:rFonts w:ascii="David" w:hAnsi="David"/>
          <w:rtl/>
        </w:rPr>
      </w:pPr>
    </w:p>
    <w:p w14:paraId="08E2AB39" w14:textId="77777777" w:rsidR="009550A9" w:rsidRPr="00123289" w:rsidRDefault="009550A9" w:rsidP="009550A9">
      <w:pPr>
        <w:spacing w:line="360" w:lineRule="auto"/>
        <w:jc w:val="both"/>
        <w:rPr>
          <w:rFonts w:ascii="David" w:hAnsi="David"/>
          <w:b/>
          <w:bCs/>
          <w:rtl/>
        </w:rPr>
      </w:pPr>
      <w:r w:rsidRPr="00123289">
        <w:rPr>
          <w:rFonts w:ascii="David" w:hAnsi="David" w:hint="cs"/>
          <w:b/>
          <w:bCs/>
          <w:u w:val="single"/>
          <w:rtl/>
        </w:rPr>
        <w:t>טיעוני המאשימה</w:t>
      </w:r>
      <w:r w:rsidRPr="00123289">
        <w:rPr>
          <w:rFonts w:ascii="David" w:hAnsi="David" w:hint="cs"/>
          <w:b/>
          <w:bCs/>
          <w:rtl/>
        </w:rPr>
        <w:t>:</w:t>
      </w:r>
    </w:p>
    <w:p w14:paraId="7ACF4C3F" w14:textId="77777777" w:rsidR="009550A9" w:rsidRPr="00B62E9A" w:rsidRDefault="009550A9" w:rsidP="009550A9">
      <w:pPr>
        <w:spacing w:line="360" w:lineRule="auto"/>
        <w:jc w:val="both"/>
        <w:rPr>
          <w:rFonts w:ascii="David" w:hAnsi="David"/>
          <w:u w:val="single"/>
          <w:rtl/>
        </w:rPr>
      </w:pPr>
    </w:p>
    <w:p w14:paraId="7DAD02F8" w14:textId="77777777" w:rsidR="009550A9" w:rsidRDefault="009550A9" w:rsidP="009550A9">
      <w:pPr>
        <w:spacing w:line="360" w:lineRule="auto"/>
        <w:ind w:left="720" w:hanging="720"/>
        <w:jc w:val="both"/>
        <w:rPr>
          <w:rFonts w:ascii="David" w:hAnsi="David"/>
          <w:rtl/>
        </w:rPr>
      </w:pPr>
      <w:r>
        <w:rPr>
          <w:rFonts w:ascii="David" w:hAnsi="David" w:hint="cs"/>
          <w:rtl/>
        </w:rPr>
        <w:t>4.</w:t>
      </w:r>
      <w:r>
        <w:rPr>
          <w:rFonts w:ascii="David" w:hAnsi="David"/>
          <w:rtl/>
        </w:rPr>
        <w:tab/>
      </w:r>
      <w:r w:rsidRPr="00B62E9A">
        <w:rPr>
          <w:rFonts w:ascii="David" w:hAnsi="David" w:hint="cs"/>
          <w:rtl/>
        </w:rPr>
        <w:t>המדי</w:t>
      </w:r>
      <w:r>
        <w:rPr>
          <w:rFonts w:ascii="David" w:hAnsi="David" w:hint="cs"/>
          <w:rtl/>
        </w:rPr>
        <w:t xml:space="preserve">נה טענה למתחם שנע בין 36 </w:t>
      </w:r>
      <w:r>
        <w:rPr>
          <w:rFonts w:ascii="David" w:hAnsi="David"/>
          <w:rtl/>
        </w:rPr>
        <w:t>–</w:t>
      </w:r>
      <w:r>
        <w:rPr>
          <w:rFonts w:ascii="David" w:hAnsi="David" w:hint="cs"/>
          <w:rtl/>
        </w:rPr>
        <w:t xml:space="preserve"> 60 חודשי מאסר בפועל בהתבסס על הפסיקה הבאה:</w:t>
      </w:r>
    </w:p>
    <w:p w14:paraId="7157EE7C" w14:textId="77777777" w:rsidR="009550A9" w:rsidRDefault="009550A9" w:rsidP="009550A9">
      <w:pPr>
        <w:spacing w:line="360" w:lineRule="auto"/>
        <w:ind w:left="720" w:hanging="720"/>
        <w:jc w:val="both"/>
        <w:rPr>
          <w:rFonts w:ascii="David" w:hAnsi="David"/>
          <w:rtl/>
        </w:rPr>
      </w:pPr>
    </w:p>
    <w:p w14:paraId="5564F7C4" w14:textId="77777777" w:rsidR="009550A9" w:rsidRPr="00123289" w:rsidRDefault="00691F43" w:rsidP="009550A9">
      <w:pPr>
        <w:pStyle w:val="a9"/>
        <w:numPr>
          <w:ilvl w:val="0"/>
          <w:numId w:val="1"/>
        </w:numPr>
        <w:spacing w:line="360" w:lineRule="auto"/>
        <w:jc w:val="both"/>
        <w:rPr>
          <w:rFonts w:ascii="David" w:hAnsi="David"/>
          <w:rtl/>
        </w:rPr>
      </w:pPr>
      <w:hyperlink r:id="rId20" w:history="1">
        <w:r w:rsidRPr="00691F43">
          <w:rPr>
            <w:rFonts w:ascii="David" w:hAnsi="David"/>
            <w:color w:val="0000FF"/>
            <w:u w:val="single"/>
            <w:rtl/>
          </w:rPr>
          <w:t>ת"פ (ב"ש) 8988-11-22</w:t>
        </w:r>
      </w:hyperlink>
      <w:r w:rsidR="009550A9" w:rsidRPr="00123289">
        <w:rPr>
          <w:rFonts w:ascii="David" w:hAnsi="David" w:hint="cs"/>
          <w:rtl/>
        </w:rPr>
        <w:t xml:space="preserve"> </w:t>
      </w:r>
      <w:r w:rsidR="009550A9" w:rsidRPr="00123289">
        <w:rPr>
          <w:rFonts w:ascii="David" w:hAnsi="David" w:hint="cs"/>
          <w:b/>
          <w:bCs/>
          <w:rtl/>
        </w:rPr>
        <w:t xml:space="preserve">מדינת ישראל נ' סהר סבה </w:t>
      </w:r>
      <w:r w:rsidR="009550A9" w:rsidRPr="00123289">
        <w:rPr>
          <w:rFonts w:ascii="David" w:hAnsi="David" w:hint="cs"/>
          <w:rtl/>
        </w:rPr>
        <w:t xml:space="preserve">(4.4.23); שם בגין עבירות סמים דומות נקבע מתחם שבין 30 </w:t>
      </w:r>
      <w:r w:rsidR="009550A9" w:rsidRPr="00123289">
        <w:rPr>
          <w:rFonts w:ascii="David" w:hAnsi="David"/>
          <w:rtl/>
        </w:rPr>
        <w:t>–</w:t>
      </w:r>
      <w:r w:rsidR="009550A9" w:rsidRPr="00123289">
        <w:rPr>
          <w:rFonts w:ascii="David" w:hAnsi="David" w:hint="cs"/>
          <w:rtl/>
        </w:rPr>
        <w:t xml:space="preserve"> 54 חודשים והוטלו 34 חודשים; </w:t>
      </w:r>
    </w:p>
    <w:p w14:paraId="1D8209A0" w14:textId="77777777" w:rsidR="009550A9" w:rsidRPr="00123289" w:rsidRDefault="00691F43" w:rsidP="009550A9">
      <w:pPr>
        <w:pStyle w:val="a9"/>
        <w:numPr>
          <w:ilvl w:val="0"/>
          <w:numId w:val="1"/>
        </w:numPr>
        <w:spacing w:line="360" w:lineRule="auto"/>
        <w:jc w:val="both"/>
        <w:rPr>
          <w:rFonts w:ascii="David" w:hAnsi="David"/>
          <w:rtl/>
        </w:rPr>
      </w:pPr>
      <w:hyperlink r:id="rId21" w:history="1">
        <w:r w:rsidRPr="00691F43">
          <w:rPr>
            <w:rFonts w:ascii="David" w:hAnsi="David"/>
            <w:color w:val="0000FF"/>
            <w:u w:val="single"/>
            <w:rtl/>
          </w:rPr>
          <w:t>ת"פ 3750-08-20</w:t>
        </w:r>
      </w:hyperlink>
      <w:r w:rsidR="009550A9" w:rsidRPr="00123289">
        <w:rPr>
          <w:rFonts w:ascii="David" w:hAnsi="David" w:hint="cs"/>
          <w:rtl/>
        </w:rPr>
        <w:t xml:space="preserve"> </w:t>
      </w:r>
      <w:r w:rsidR="009550A9" w:rsidRPr="00123289">
        <w:rPr>
          <w:rFonts w:ascii="David" w:hAnsi="David" w:hint="cs"/>
          <w:b/>
          <w:bCs/>
          <w:rtl/>
        </w:rPr>
        <w:t xml:space="preserve">מדינת ישראל נ' עופר אנרייקז </w:t>
      </w:r>
      <w:r w:rsidR="009550A9" w:rsidRPr="00123289">
        <w:rPr>
          <w:rFonts w:ascii="David" w:hAnsi="David" w:hint="cs"/>
          <w:rtl/>
        </w:rPr>
        <w:t xml:space="preserve">(9.6.22); שם בגין עבירות דומות נקבע מתחם שבין 36 </w:t>
      </w:r>
      <w:r w:rsidR="009550A9" w:rsidRPr="00123289">
        <w:rPr>
          <w:rFonts w:ascii="David" w:hAnsi="David"/>
          <w:rtl/>
        </w:rPr>
        <w:t>–</w:t>
      </w:r>
      <w:r w:rsidR="009550A9" w:rsidRPr="00123289">
        <w:rPr>
          <w:rFonts w:ascii="David" w:hAnsi="David" w:hint="cs"/>
          <w:rtl/>
        </w:rPr>
        <w:t xml:space="preserve"> 60 חודשי מאסר והוטלו 50 חודשי מאסר.</w:t>
      </w:r>
    </w:p>
    <w:p w14:paraId="20B7F66D" w14:textId="77777777" w:rsidR="009550A9" w:rsidRPr="00123289" w:rsidRDefault="00691F43" w:rsidP="009550A9">
      <w:pPr>
        <w:pStyle w:val="a9"/>
        <w:numPr>
          <w:ilvl w:val="0"/>
          <w:numId w:val="1"/>
        </w:numPr>
        <w:spacing w:line="360" w:lineRule="auto"/>
        <w:jc w:val="both"/>
        <w:rPr>
          <w:rFonts w:ascii="David" w:hAnsi="David"/>
          <w:rtl/>
        </w:rPr>
      </w:pPr>
      <w:hyperlink r:id="rId22" w:history="1">
        <w:r w:rsidRPr="00691F43">
          <w:rPr>
            <w:rFonts w:ascii="David" w:hAnsi="David"/>
            <w:color w:val="0000FF"/>
            <w:u w:val="single"/>
            <w:rtl/>
          </w:rPr>
          <w:t>ת"פ (חי') 36724-02-20</w:t>
        </w:r>
      </w:hyperlink>
      <w:r w:rsidR="009550A9" w:rsidRPr="00123289">
        <w:rPr>
          <w:rFonts w:ascii="David" w:hAnsi="David" w:hint="cs"/>
          <w:rtl/>
        </w:rPr>
        <w:t xml:space="preserve"> </w:t>
      </w:r>
      <w:r w:rsidR="009550A9" w:rsidRPr="00123289">
        <w:rPr>
          <w:rFonts w:ascii="David" w:hAnsi="David" w:hint="cs"/>
          <w:b/>
          <w:bCs/>
          <w:rtl/>
        </w:rPr>
        <w:t>מדינת ישראל נ' אבוטבול ליגאי</w:t>
      </w:r>
      <w:r w:rsidR="009550A9" w:rsidRPr="00123289">
        <w:rPr>
          <w:rFonts w:ascii="David" w:hAnsi="David" w:hint="cs"/>
          <w:rtl/>
        </w:rPr>
        <w:t xml:space="preserve"> (22.4.21); שם בגין עבירות דומות נקבע מתחם שבין 30 </w:t>
      </w:r>
      <w:r w:rsidR="009550A9" w:rsidRPr="00123289">
        <w:rPr>
          <w:rFonts w:ascii="David" w:hAnsi="David"/>
          <w:rtl/>
        </w:rPr>
        <w:t>–</w:t>
      </w:r>
      <w:r w:rsidR="009550A9" w:rsidRPr="00123289">
        <w:rPr>
          <w:rFonts w:ascii="David" w:hAnsi="David" w:hint="cs"/>
          <w:rtl/>
        </w:rPr>
        <w:t xml:space="preserve"> 50 חודשי מאסר והוטלו 24 חודשי מאסר בפועל.</w:t>
      </w:r>
    </w:p>
    <w:p w14:paraId="4C756905" w14:textId="77777777" w:rsidR="009550A9" w:rsidRDefault="009550A9" w:rsidP="009550A9">
      <w:pPr>
        <w:spacing w:line="360" w:lineRule="auto"/>
        <w:ind w:firstLine="720"/>
        <w:jc w:val="both"/>
        <w:rPr>
          <w:rFonts w:ascii="David" w:hAnsi="David"/>
          <w:rtl/>
        </w:rPr>
      </w:pPr>
    </w:p>
    <w:p w14:paraId="4F4AD236" w14:textId="77777777" w:rsidR="009550A9" w:rsidRPr="00103A4E" w:rsidRDefault="009550A9" w:rsidP="009550A9">
      <w:pPr>
        <w:spacing w:line="360" w:lineRule="auto"/>
        <w:ind w:firstLine="720"/>
        <w:jc w:val="both"/>
        <w:rPr>
          <w:rFonts w:ascii="David" w:hAnsi="David"/>
          <w:rtl/>
        </w:rPr>
      </w:pPr>
      <w:r w:rsidRPr="00103A4E">
        <w:rPr>
          <w:rFonts w:ascii="David" w:hAnsi="David" w:hint="cs"/>
          <w:rtl/>
        </w:rPr>
        <w:t xml:space="preserve">אוזכרו עוד מספר גזרי דין עם עונשים דומים. </w:t>
      </w:r>
    </w:p>
    <w:p w14:paraId="046F42F4" w14:textId="77777777" w:rsidR="009550A9" w:rsidRDefault="009550A9" w:rsidP="009550A9">
      <w:pPr>
        <w:spacing w:line="360" w:lineRule="auto"/>
        <w:jc w:val="both"/>
        <w:rPr>
          <w:rFonts w:ascii="David" w:hAnsi="David"/>
          <w:rtl/>
        </w:rPr>
      </w:pPr>
    </w:p>
    <w:p w14:paraId="3B683C3E" w14:textId="77777777" w:rsidR="009550A9" w:rsidRPr="00103A4E" w:rsidRDefault="009550A9" w:rsidP="009550A9">
      <w:pPr>
        <w:spacing w:line="360" w:lineRule="auto"/>
        <w:ind w:left="720" w:hanging="720"/>
        <w:jc w:val="both"/>
        <w:rPr>
          <w:rFonts w:ascii="David" w:hAnsi="David"/>
          <w:u w:val="single"/>
          <w:rtl/>
        </w:rPr>
      </w:pPr>
      <w:r>
        <w:rPr>
          <w:rFonts w:ascii="David" w:hAnsi="David" w:hint="cs"/>
          <w:rtl/>
        </w:rPr>
        <w:t>5.</w:t>
      </w:r>
      <w:r>
        <w:rPr>
          <w:rFonts w:ascii="David" w:hAnsi="David"/>
          <w:rtl/>
        </w:rPr>
        <w:tab/>
      </w:r>
      <w:r w:rsidRPr="00103A4E">
        <w:rPr>
          <w:rFonts w:ascii="David" w:hAnsi="David" w:hint="cs"/>
          <w:rtl/>
        </w:rPr>
        <w:t xml:space="preserve">המדינה טענה שבמקרה זה יש לפסוק עונש ברף התחתון של המתחם המוצע על ידה ולפסול בפועל את רישיון הנהיגה של הנאשם ולחלט את הרכוש שפורט בכתב האישום. </w:t>
      </w:r>
    </w:p>
    <w:p w14:paraId="28DBF9CE" w14:textId="77777777" w:rsidR="009550A9" w:rsidRPr="00103A4E" w:rsidRDefault="009550A9" w:rsidP="009550A9">
      <w:pPr>
        <w:spacing w:line="360" w:lineRule="auto"/>
        <w:jc w:val="both"/>
        <w:rPr>
          <w:rFonts w:ascii="David" w:hAnsi="David"/>
          <w:u w:val="single"/>
          <w:rtl/>
        </w:rPr>
      </w:pPr>
    </w:p>
    <w:p w14:paraId="1A0B212A" w14:textId="77777777" w:rsidR="009550A9" w:rsidRDefault="009550A9" w:rsidP="009550A9">
      <w:pPr>
        <w:spacing w:line="360" w:lineRule="auto"/>
        <w:jc w:val="both"/>
        <w:rPr>
          <w:rFonts w:ascii="David" w:hAnsi="David"/>
          <w:b/>
          <w:bCs/>
          <w:rtl/>
        </w:rPr>
      </w:pPr>
      <w:r w:rsidRPr="00853C15">
        <w:rPr>
          <w:rFonts w:ascii="David" w:hAnsi="David" w:hint="cs"/>
          <w:b/>
          <w:bCs/>
          <w:u w:val="single"/>
          <w:rtl/>
        </w:rPr>
        <w:t>טיעוני הסנגור</w:t>
      </w:r>
      <w:r>
        <w:rPr>
          <w:rFonts w:ascii="David" w:hAnsi="David" w:hint="cs"/>
          <w:b/>
          <w:bCs/>
          <w:rtl/>
        </w:rPr>
        <w:t>:</w:t>
      </w:r>
    </w:p>
    <w:p w14:paraId="38040D1E" w14:textId="77777777" w:rsidR="009550A9" w:rsidRPr="00123289" w:rsidRDefault="009550A9" w:rsidP="009550A9">
      <w:pPr>
        <w:spacing w:line="360" w:lineRule="auto"/>
        <w:jc w:val="both"/>
        <w:rPr>
          <w:rFonts w:ascii="David" w:hAnsi="David"/>
          <w:b/>
          <w:bCs/>
          <w:rtl/>
        </w:rPr>
      </w:pPr>
    </w:p>
    <w:p w14:paraId="0E780EF8" w14:textId="77777777" w:rsidR="009550A9" w:rsidRDefault="009550A9" w:rsidP="009550A9">
      <w:pPr>
        <w:spacing w:line="360" w:lineRule="auto"/>
        <w:ind w:left="720" w:hanging="720"/>
        <w:jc w:val="both"/>
        <w:rPr>
          <w:rFonts w:ascii="David" w:hAnsi="David"/>
          <w:rtl/>
        </w:rPr>
      </w:pPr>
      <w:r>
        <w:rPr>
          <w:rFonts w:ascii="David" w:hAnsi="David" w:hint="cs"/>
          <w:rtl/>
        </w:rPr>
        <w:t>6.</w:t>
      </w:r>
      <w:r>
        <w:rPr>
          <w:rFonts w:ascii="David" w:hAnsi="David"/>
          <w:rtl/>
        </w:rPr>
        <w:tab/>
      </w:r>
      <w:r w:rsidRPr="00103A4E">
        <w:rPr>
          <w:rFonts w:ascii="David" w:hAnsi="David" w:hint="cs"/>
          <w:rtl/>
        </w:rPr>
        <w:t>הסנגור טען שאומנם לפי מדיניות הענישה יש לפסוק מאסר של ממש (</w:t>
      </w:r>
      <w:hyperlink r:id="rId23" w:history="1">
        <w:r w:rsidR="00691F43" w:rsidRPr="00691F43">
          <w:rPr>
            <w:rFonts w:ascii="David" w:hAnsi="David"/>
            <w:color w:val="0000FF"/>
            <w:u w:val="single"/>
            <w:rtl/>
          </w:rPr>
          <w:t>ת"פ 20638-04-22</w:t>
        </w:r>
      </w:hyperlink>
      <w:r w:rsidRPr="00103A4E">
        <w:rPr>
          <w:rFonts w:ascii="David" w:hAnsi="David" w:hint="cs"/>
          <w:rtl/>
        </w:rPr>
        <w:t xml:space="preserve"> </w:t>
      </w:r>
      <w:r w:rsidRPr="00103A4E">
        <w:rPr>
          <w:rFonts w:ascii="David" w:hAnsi="David" w:hint="cs"/>
          <w:b/>
          <w:bCs/>
          <w:rtl/>
        </w:rPr>
        <w:t>מדינת ישראל נ' שפירא</w:t>
      </w:r>
      <w:r>
        <w:rPr>
          <w:rFonts w:ascii="David" w:hAnsi="David" w:hint="cs"/>
          <w:rtl/>
        </w:rPr>
        <w:t xml:space="preserve"> (25.3.24)</w:t>
      </w:r>
      <w:r w:rsidRPr="00103A4E">
        <w:rPr>
          <w:rFonts w:ascii="David" w:hAnsi="David" w:hint="cs"/>
          <w:rtl/>
        </w:rPr>
        <w:t>)</w:t>
      </w:r>
      <w:r>
        <w:rPr>
          <w:rFonts w:ascii="David" w:hAnsi="David" w:hint="cs"/>
          <w:rtl/>
        </w:rPr>
        <w:t xml:space="preserve">, שם נקבע מתחם שבין 27 </w:t>
      </w:r>
      <w:r>
        <w:rPr>
          <w:rFonts w:ascii="David" w:hAnsi="David"/>
          <w:rtl/>
        </w:rPr>
        <w:t>–</w:t>
      </w:r>
      <w:r>
        <w:rPr>
          <w:rFonts w:ascii="David" w:hAnsi="David" w:hint="cs"/>
          <w:rtl/>
        </w:rPr>
        <w:t xml:space="preserve"> 55 חודשי מאסר; </w:t>
      </w:r>
      <w:hyperlink r:id="rId24" w:history="1">
        <w:r w:rsidR="00691F43" w:rsidRPr="00691F43">
          <w:rPr>
            <w:rFonts w:ascii="David" w:hAnsi="David"/>
            <w:color w:val="0000FF"/>
            <w:u w:val="single"/>
            <w:rtl/>
          </w:rPr>
          <w:t>ת"פ 31559-08-20</w:t>
        </w:r>
      </w:hyperlink>
      <w:r>
        <w:rPr>
          <w:rFonts w:ascii="David" w:hAnsi="David" w:hint="cs"/>
          <w:rtl/>
        </w:rPr>
        <w:t xml:space="preserve"> </w:t>
      </w:r>
      <w:r>
        <w:rPr>
          <w:rFonts w:ascii="David" w:hAnsi="David" w:hint="cs"/>
          <w:b/>
          <w:bCs/>
          <w:rtl/>
        </w:rPr>
        <w:t>מדינת ישראל נ' בוזגלו</w:t>
      </w:r>
      <w:r>
        <w:rPr>
          <w:rFonts w:ascii="David" w:hAnsi="David" w:hint="cs"/>
          <w:rtl/>
        </w:rPr>
        <w:t xml:space="preserve">, שם נקבע מתחם שבין 45 </w:t>
      </w:r>
      <w:r>
        <w:rPr>
          <w:rFonts w:ascii="David" w:hAnsi="David"/>
          <w:rtl/>
        </w:rPr>
        <w:t>–</w:t>
      </w:r>
      <w:r>
        <w:rPr>
          <w:rFonts w:ascii="David" w:hAnsi="David" w:hint="cs"/>
          <w:rtl/>
        </w:rPr>
        <w:t xml:space="preserve"> 66 חודשי מאסר בפועל לנאשם 1 ולנאשם אחר בין 20 </w:t>
      </w:r>
      <w:r>
        <w:rPr>
          <w:rFonts w:ascii="David" w:hAnsi="David"/>
          <w:rtl/>
        </w:rPr>
        <w:t>–</w:t>
      </w:r>
      <w:r>
        <w:rPr>
          <w:rFonts w:ascii="David" w:hAnsi="David" w:hint="cs"/>
          <w:rtl/>
        </w:rPr>
        <w:t xml:space="preserve"> 36 חודשי מאסר בפועל; </w:t>
      </w:r>
      <w:hyperlink r:id="rId25" w:history="1">
        <w:r w:rsidR="00691F43" w:rsidRPr="00691F43">
          <w:rPr>
            <w:rFonts w:ascii="David" w:hAnsi="David"/>
            <w:color w:val="0000FF"/>
            <w:u w:val="single"/>
            <w:rtl/>
          </w:rPr>
          <w:t>ת"פ 36475-04-22</w:t>
        </w:r>
      </w:hyperlink>
      <w:r>
        <w:rPr>
          <w:rFonts w:ascii="David" w:hAnsi="David" w:hint="cs"/>
          <w:rtl/>
        </w:rPr>
        <w:t xml:space="preserve"> </w:t>
      </w:r>
      <w:r>
        <w:rPr>
          <w:rFonts w:ascii="David" w:hAnsi="David" w:hint="cs"/>
          <w:b/>
          <w:bCs/>
          <w:rtl/>
        </w:rPr>
        <w:t>מדינת ישראל נ' פישלר</w:t>
      </w:r>
      <w:r>
        <w:rPr>
          <w:rFonts w:ascii="David" w:hAnsi="David" w:hint="cs"/>
          <w:rtl/>
        </w:rPr>
        <w:t xml:space="preserve"> שם נקבע מתחם שבין 30 </w:t>
      </w:r>
      <w:r>
        <w:rPr>
          <w:rFonts w:ascii="David" w:hAnsi="David"/>
          <w:rtl/>
        </w:rPr>
        <w:t>–</w:t>
      </w:r>
      <w:r>
        <w:rPr>
          <w:rFonts w:ascii="David" w:hAnsi="David" w:hint="cs"/>
          <w:rtl/>
        </w:rPr>
        <w:t xml:space="preserve"> 54 חודשי מאסר בפועל). </w:t>
      </w:r>
    </w:p>
    <w:p w14:paraId="2EE2F61E" w14:textId="77777777" w:rsidR="009550A9" w:rsidRDefault="009550A9" w:rsidP="009550A9">
      <w:pPr>
        <w:spacing w:line="360" w:lineRule="auto"/>
        <w:jc w:val="both"/>
        <w:rPr>
          <w:rFonts w:ascii="David" w:hAnsi="David"/>
          <w:rtl/>
        </w:rPr>
      </w:pPr>
    </w:p>
    <w:p w14:paraId="5408B550" w14:textId="77777777" w:rsidR="009550A9" w:rsidRDefault="009550A9" w:rsidP="009550A9">
      <w:pPr>
        <w:spacing w:line="360" w:lineRule="auto"/>
        <w:jc w:val="both"/>
        <w:rPr>
          <w:rFonts w:ascii="David" w:hAnsi="David"/>
          <w:rtl/>
        </w:rPr>
      </w:pPr>
      <w:r>
        <w:rPr>
          <w:rFonts w:ascii="David" w:hAnsi="David" w:hint="cs"/>
          <w:b/>
          <w:bCs/>
          <w:u w:val="single"/>
          <w:rtl/>
        </w:rPr>
        <w:t>עמדת הנאשם</w:t>
      </w:r>
      <w:r>
        <w:rPr>
          <w:rFonts w:ascii="David" w:hAnsi="David" w:hint="cs"/>
          <w:rtl/>
        </w:rPr>
        <w:t>:</w:t>
      </w:r>
    </w:p>
    <w:p w14:paraId="6D20A4C9" w14:textId="77777777" w:rsidR="009550A9" w:rsidRPr="00853C15" w:rsidRDefault="009550A9" w:rsidP="009550A9">
      <w:pPr>
        <w:spacing w:line="360" w:lineRule="auto"/>
        <w:jc w:val="both"/>
        <w:rPr>
          <w:rFonts w:ascii="David" w:hAnsi="David"/>
          <w:rtl/>
        </w:rPr>
      </w:pPr>
    </w:p>
    <w:p w14:paraId="185EB459" w14:textId="77777777" w:rsidR="009550A9" w:rsidRPr="00853C15" w:rsidRDefault="009550A9" w:rsidP="009550A9">
      <w:pPr>
        <w:spacing w:line="360" w:lineRule="auto"/>
        <w:ind w:left="720" w:hanging="720"/>
        <w:jc w:val="both"/>
        <w:rPr>
          <w:rFonts w:ascii="David" w:hAnsi="David"/>
          <w:rtl/>
        </w:rPr>
      </w:pPr>
      <w:r>
        <w:rPr>
          <w:rFonts w:ascii="David" w:hAnsi="David" w:hint="cs"/>
          <w:rtl/>
        </w:rPr>
        <w:t>7.</w:t>
      </w:r>
      <w:r>
        <w:rPr>
          <w:rFonts w:ascii="David" w:hAnsi="David"/>
          <w:rtl/>
        </w:rPr>
        <w:tab/>
      </w:r>
      <w:r w:rsidRPr="00853C15">
        <w:rPr>
          <w:rFonts w:ascii="David" w:hAnsi="David" w:hint="cs"/>
          <w:rtl/>
        </w:rPr>
        <w:t xml:space="preserve">הנאשם התנצל על ביצוע העבירה וטען שהוא </w:t>
      </w:r>
      <w:r>
        <w:rPr>
          <w:rFonts w:ascii="David" w:hAnsi="David" w:hint="cs"/>
          <w:rtl/>
        </w:rPr>
        <w:t>עבר דרך ארוכה לקראת שיקום מוצלח וביקש הזדמנות לסיים את השיקום.</w:t>
      </w:r>
    </w:p>
    <w:p w14:paraId="04398198" w14:textId="77777777" w:rsidR="009550A9" w:rsidRDefault="009550A9" w:rsidP="009550A9">
      <w:pPr>
        <w:spacing w:line="360" w:lineRule="auto"/>
        <w:jc w:val="both"/>
        <w:rPr>
          <w:rFonts w:ascii="David" w:hAnsi="David"/>
          <w:u w:val="single"/>
          <w:rtl/>
        </w:rPr>
      </w:pPr>
    </w:p>
    <w:p w14:paraId="2D2D4DBB" w14:textId="77777777" w:rsidR="009550A9" w:rsidRPr="00103A4E" w:rsidRDefault="009550A9" w:rsidP="009550A9">
      <w:pPr>
        <w:spacing w:line="360" w:lineRule="auto"/>
        <w:jc w:val="both"/>
        <w:rPr>
          <w:rFonts w:ascii="David" w:hAnsi="David"/>
          <w:u w:val="single"/>
          <w:rtl/>
        </w:rPr>
      </w:pPr>
    </w:p>
    <w:p w14:paraId="3E0BCA89" w14:textId="77777777" w:rsidR="009550A9" w:rsidRDefault="009550A9" w:rsidP="009550A9">
      <w:pPr>
        <w:spacing w:line="360" w:lineRule="auto"/>
        <w:jc w:val="both"/>
        <w:rPr>
          <w:rFonts w:ascii="David" w:hAnsi="David"/>
          <w:b/>
          <w:bCs/>
          <w:rtl/>
        </w:rPr>
      </w:pPr>
      <w:r>
        <w:rPr>
          <w:rFonts w:ascii="David" w:hAnsi="David" w:hint="cs"/>
          <w:b/>
          <w:bCs/>
          <w:u w:val="single"/>
          <w:rtl/>
        </w:rPr>
        <w:t>דיון והכרעה</w:t>
      </w:r>
      <w:r>
        <w:rPr>
          <w:rFonts w:ascii="David" w:hAnsi="David" w:hint="cs"/>
          <w:b/>
          <w:bCs/>
          <w:rtl/>
        </w:rPr>
        <w:t>:</w:t>
      </w:r>
    </w:p>
    <w:p w14:paraId="6565CE2C" w14:textId="77777777" w:rsidR="009550A9" w:rsidRPr="00123289" w:rsidRDefault="009550A9" w:rsidP="009550A9">
      <w:pPr>
        <w:spacing w:line="360" w:lineRule="auto"/>
        <w:jc w:val="both"/>
        <w:rPr>
          <w:rFonts w:ascii="David" w:hAnsi="David"/>
          <w:b/>
          <w:bCs/>
          <w:rtl/>
        </w:rPr>
      </w:pPr>
    </w:p>
    <w:p w14:paraId="0DA3571D" w14:textId="77777777" w:rsidR="009550A9" w:rsidRDefault="009550A9" w:rsidP="009550A9">
      <w:pPr>
        <w:spacing w:line="360" w:lineRule="auto"/>
        <w:ind w:left="720" w:hanging="720"/>
        <w:jc w:val="both"/>
        <w:rPr>
          <w:rtl/>
        </w:rPr>
      </w:pPr>
      <w:r>
        <w:rPr>
          <w:rFonts w:hint="cs"/>
          <w:rtl/>
        </w:rPr>
        <w:t>8.</w:t>
      </w:r>
      <w:r>
        <w:rPr>
          <w:rtl/>
        </w:rPr>
        <w:tab/>
      </w:r>
      <w:r w:rsidRPr="00103A4E">
        <w:rPr>
          <w:rtl/>
        </w:rPr>
        <w:t>הערכים המוגנים שנפגעו היו ההגנה מפני נזקי השימוש בסמים ושמירה על המרקם החבר</w:t>
      </w:r>
      <w:r>
        <w:rPr>
          <w:rtl/>
        </w:rPr>
        <w:t xml:space="preserve">תי ושלטון החוק. במקרה זה מדובר </w:t>
      </w:r>
      <w:r w:rsidRPr="00103A4E">
        <w:rPr>
          <w:rtl/>
        </w:rPr>
        <w:t>בהתארגנות משמעותית וגידול שהינו בבחינה היקף "תעשייתי</w:t>
      </w:r>
      <w:r w:rsidRPr="00103A4E">
        <w:rPr>
          <w:rFonts w:hint="cs"/>
          <w:rtl/>
        </w:rPr>
        <w:t>" משך כמעט שנתיים</w:t>
      </w:r>
      <w:r w:rsidRPr="00103A4E">
        <w:rPr>
          <w:rtl/>
        </w:rPr>
        <w:t>. מכל מקום, לאור היקף הגידול וכמויות הסמים, הפגיעה</w:t>
      </w:r>
      <w:r>
        <w:rPr>
          <w:rtl/>
        </w:rPr>
        <w:t xml:space="preserve"> בערכים המוגנים יכלה להיות משמעותית </w:t>
      </w:r>
      <w:r w:rsidRPr="00DD3CB1">
        <w:rPr>
          <w:rFonts w:hint="cs"/>
          <w:rtl/>
        </w:rPr>
        <w:t>אם כי</w:t>
      </w:r>
      <w:r w:rsidRPr="00DD3CB1">
        <w:rPr>
          <w:rtl/>
        </w:rPr>
        <w:t xml:space="preserve"> לא הוכח כי הסמים הופצו בפועל</w:t>
      </w:r>
      <w:r>
        <w:rPr>
          <w:rFonts w:hint="cs"/>
          <w:rtl/>
        </w:rPr>
        <w:t xml:space="preserve">. הנאשם היה צריך להיות מודע לפסול במעשיו ולהימנע מהם. </w:t>
      </w:r>
    </w:p>
    <w:p w14:paraId="4E51A0F1" w14:textId="77777777" w:rsidR="009550A9" w:rsidRDefault="009550A9" w:rsidP="009550A9">
      <w:pPr>
        <w:spacing w:line="360" w:lineRule="auto"/>
        <w:ind w:left="720" w:hanging="720"/>
        <w:jc w:val="both"/>
        <w:rPr>
          <w:rtl/>
        </w:rPr>
      </w:pPr>
    </w:p>
    <w:p w14:paraId="2C981A3D" w14:textId="77777777" w:rsidR="009550A9" w:rsidRDefault="009550A9" w:rsidP="009550A9">
      <w:pPr>
        <w:spacing w:line="360" w:lineRule="auto"/>
        <w:ind w:left="720" w:hanging="720"/>
        <w:jc w:val="both"/>
        <w:rPr>
          <w:rtl/>
        </w:rPr>
      </w:pPr>
      <w:r>
        <w:rPr>
          <w:rFonts w:hint="cs"/>
          <w:rtl/>
        </w:rPr>
        <w:t>9.</w:t>
      </w:r>
      <w:r>
        <w:rPr>
          <w:rtl/>
        </w:rPr>
        <w:tab/>
        <w:t xml:space="preserve">מדיניות הענישה בעניין גידול קנאביס </w:t>
      </w:r>
      <w:r>
        <w:rPr>
          <w:rFonts w:hint="cs"/>
          <w:rtl/>
        </w:rPr>
        <w:t xml:space="preserve">בהיקפים בהם גידל הנאשם, מביאה אותי לקבוע מתחם ענישה </w:t>
      </w:r>
      <w:r w:rsidRPr="00DD3CB1">
        <w:rPr>
          <w:rtl/>
        </w:rPr>
        <w:t xml:space="preserve">החל </w:t>
      </w:r>
      <w:r>
        <w:rPr>
          <w:rFonts w:hint="cs"/>
          <w:rtl/>
        </w:rPr>
        <w:t>מ- 24 חודשים ועד ל-55 חודשים</w:t>
      </w:r>
      <w:r w:rsidRPr="00DD3CB1">
        <w:rPr>
          <w:rtl/>
        </w:rPr>
        <w:t>, כפי שעולה מהפסיקה שהוגשה.</w:t>
      </w:r>
    </w:p>
    <w:p w14:paraId="62336415" w14:textId="77777777" w:rsidR="009550A9" w:rsidRDefault="009550A9" w:rsidP="009550A9">
      <w:pPr>
        <w:spacing w:line="360" w:lineRule="auto"/>
        <w:ind w:left="720"/>
        <w:jc w:val="both"/>
        <w:rPr>
          <w:rtl/>
        </w:rPr>
      </w:pPr>
    </w:p>
    <w:p w14:paraId="6893763C" w14:textId="77777777" w:rsidR="009550A9" w:rsidRDefault="009550A9" w:rsidP="009550A9">
      <w:pPr>
        <w:spacing w:line="360" w:lineRule="auto"/>
        <w:ind w:left="720" w:hanging="720"/>
        <w:jc w:val="both"/>
        <w:rPr>
          <w:rtl/>
        </w:rPr>
      </w:pPr>
      <w:r>
        <w:rPr>
          <w:rFonts w:hint="cs"/>
          <w:rtl/>
        </w:rPr>
        <w:t>10.</w:t>
      </w:r>
      <w:r>
        <w:rPr>
          <w:rtl/>
        </w:rPr>
        <w:tab/>
      </w:r>
      <w:r>
        <w:rPr>
          <w:rFonts w:hint="cs"/>
          <w:rtl/>
        </w:rPr>
        <w:t>אולם, במקרה דנן לאחר שעיינתי בתסקירים ושמעתי את טענות הצדדים, לא מצאתי סיבה שלא לאמץ את המלצת שירות המבחן ולהעדיף את הנתיב השיקומי בו החל הנאשם כאשר התסקירים מפרטים הליך שיקומי המצטייר כמוביל לשינוי חיובי ומשמעותי אצל הנאשם.</w:t>
      </w:r>
    </w:p>
    <w:p w14:paraId="7C2BB841" w14:textId="77777777" w:rsidR="009550A9" w:rsidRDefault="009550A9" w:rsidP="009550A9">
      <w:pPr>
        <w:spacing w:line="360" w:lineRule="auto"/>
        <w:ind w:left="720"/>
        <w:jc w:val="both"/>
        <w:rPr>
          <w:rtl/>
        </w:rPr>
      </w:pPr>
    </w:p>
    <w:p w14:paraId="34489B5C" w14:textId="77777777" w:rsidR="009550A9" w:rsidRDefault="009550A9" w:rsidP="009550A9">
      <w:pPr>
        <w:spacing w:line="360" w:lineRule="auto"/>
        <w:jc w:val="both"/>
        <w:rPr>
          <w:rtl/>
        </w:rPr>
      </w:pPr>
      <w:r>
        <w:rPr>
          <w:rFonts w:hint="cs"/>
          <w:rtl/>
        </w:rPr>
        <w:t>11.</w:t>
      </w:r>
      <w:r>
        <w:rPr>
          <w:rtl/>
        </w:rPr>
        <w:tab/>
      </w:r>
      <w:r>
        <w:rPr>
          <w:rFonts w:hint="cs"/>
          <w:rtl/>
        </w:rPr>
        <w:t>אשר על כן הנני מטיל ענישה כדלקמן:</w:t>
      </w:r>
    </w:p>
    <w:p w14:paraId="607CFB1A" w14:textId="77777777" w:rsidR="009550A9" w:rsidRDefault="009550A9" w:rsidP="009550A9">
      <w:pPr>
        <w:spacing w:line="360" w:lineRule="auto"/>
        <w:ind w:left="720"/>
        <w:jc w:val="both"/>
        <w:rPr>
          <w:rtl/>
        </w:rPr>
      </w:pPr>
    </w:p>
    <w:p w14:paraId="35B9F6C1" w14:textId="77777777" w:rsidR="009550A9" w:rsidRDefault="009550A9" w:rsidP="009550A9">
      <w:pPr>
        <w:spacing w:line="360" w:lineRule="auto"/>
        <w:ind w:left="720"/>
        <w:jc w:val="both"/>
        <w:rPr>
          <w:rtl/>
        </w:rPr>
      </w:pPr>
      <w:r>
        <w:rPr>
          <w:rFonts w:hint="cs"/>
          <w:rtl/>
        </w:rPr>
        <w:t>-</w:t>
      </w:r>
      <w:r>
        <w:rPr>
          <w:rtl/>
        </w:rPr>
        <w:tab/>
      </w:r>
      <w:r>
        <w:rPr>
          <w:rFonts w:hint="cs"/>
          <w:rtl/>
        </w:rPr>
        <w:t xml:space="preserve"> 9 חודשי מאסר בפועל לריצוי בעבודת שירות בהתאם לחוות דעת הממונה.</w:t>
      </w:r>
    </w:p>
    <w:p w14:paraId="3A3C0994" w14:textId="77777777" w:rsidR="009550A9" w:rsidRDefault="009550A9" w:rsidP="009550A9">
      <w:pPr>
        <w:spacing w:line="360" w:lineRule="auto"/>
        <w:ind w:left="1440" w:hanging="720"/>
        <w:jc w:val="both"/>
        <w:rPr>
          <w:rtl/>
        </w:rPr>
      </w:pPr>
      <w:r>
        <w:rPr>
          <w:rFonts w:hint="cs"/>
          <w:rtl/>
        </w:rPr>
        <w:t>-</w:t>
      </w:r>
      <w:r>
        <w:rPr>
          <w:rtl/>
        </w:rPr>
        <w:tab/>
      </w:r>
      <w:r>
        <w:rPr>
          <w:rFonts w:hint="cs"/>
          <w:rtl/>
        </w:rPr>
        <w:t xml:space="preserve"> 12 חודשי מאסר על תנאי משך 3 שנים כאשר התנאי יופעל במידה והנאשם עובר אחת מהעבירות בהן הורשע.</w:t>
      </w:r>
    </w:p>
    <w:p w14:paraId="2C4846D6" w14:textId="77777777" w:rsidR="009550A9" w:rsidRDefault="009550A9" w:rsidP="009550A9">
      <w:pPr>
        <w:spacing w:line="360" w:lineRule="auto"/>
        <w:ind w:left="1440" w:hanging="720"/>
        <w:jc w:val="both"/>
        <w:rPr>
          <w:rtl/>
        </w:rPr>
      </w:pPr>
      <w:r>
        <w:rPr>
          <w:rFonts w:hint="cs"/>
          <w:rtl/>
        </w:rPr>
        <w:t xml:space="preserve">- </w:t>
      </w:r>
      <w:r>
        <w:rPr>
          <w:rtl/>
        </w:rPr>
        <w:tab/>
      </w:r>
      <w:r>
        <w:rPr>
          <w:rFonts w:hint="cs"/>
          <w:rtl/>
        </w:rPr>
        <w:t>צו מבחן משך 18 חודשים בהתאם לתכנית שירות המבחן כשר הנאשם הוזהר ביחס לתוצאות של הפרת תנאים המבחן.</w:t>
      </w:r>
      <w:r>
        <w:rPr>
          <w:rtl/>
        </w:rPr>
        <w:t xml:space="preserve"> </w:t>
      </w:r>
    </w:p>
    <w:p w14:paraId="6BD251F0" w14:textId="77777777" w:rsidR="009550A9" w:rsidRDefault="009550A9" w:rsidP="009550A9">
      <w:pPr>
        <w:spacing w:line="360" w:lineRule="auto"/>
        <w:ind w:left="720"/>
        <w:jc w:val="both"/>
        <w:rPr>
          <w:rtl/>
        </w:rPr>
      </w:pPr>
    </w:p>
    <w:p w14:paraId="7E9E47FD" w14:textId="77777777" w:rsidR="009550A9" w:rsidRDefault="009550A9" w:rsidP="009550A9">
      <w:pPr>
        <w:spacing w:line="360" w:lineRule="auto"/>
        <w:ind w:left="720"/>
        <w:jc w:val="both"/>
        <w:rPr>
          <w:rtl/>
        </w:rPr>
      </w:pPr>
      <w:r>
        <w:rPr>
          <w:rFonts w:hint="cs"/>
          <w:rtl/>
        </w:rPr>
        <w:t>ניתן בזה צו לחילוט הרכוש המפורט בכתב האישום.</w:t>
      </w:r>
    </w:p>
    <w:p w14:paraId="193CB304" w14:textId="77777777" w:rsidR="009550A9" w:rsidRPr="00691F43" w:rsidRDefault="00691F43" w:rsidP="009550A9">
      <w:pPr>
        <w:spacing w:line="360" w:lineRule="auto"/>
        <w:rPr>
          <w:rFonts w:ascii="Arial" w:hAnsi="Arial"/>
          <w:b/>
          <w:bCs/>
          <w:color w:val="FFFFFF"/>
          <w:sz w:val="2"/>
          <w:szCs w:val="2"/>
          <w:rtl/>
        </w:rPr>
      </w:pPr>
      <w:r w:rsidRPr="00691F43">
        <w:rPr>
          <w:rFonts w:ascii="Arial" w:hAnsi="Arial"/>
          <w:b/>
          <w:bCs/>
          <w:color w:val="FFFFFF"/>
          <w:sz w:val="2"/>
          <w:szCs w:val="2"/>
          <w:rtl/>
        </w:rPr>
        <w:t>5129371</w:t>
      </w:r>
    </w:p>
    <w:p w14:paraId="48AC6EE7" w14:textId="77777777" w:rsidR="009550A9" w:rsidRDefault="00691F43" w:rsidP="009550A9">
      <w:pPr>
        <w:spacing w:line="360" w:lineRule="auto"/>
        <w:rPr>
          <w:rFonts w:ascii="Arial" w:hAnsi="Arial"/>
          <w:sz w:val="26"/>
          <w:szCs w:val="26"/>
          <w:rtl/>
        </w:rPr>
      </w:pPr>
      <w:r w:rsidRPr="00691F43">
        <w:rPr>
          <w:rFonts w:ascii="Arial" w:hAnsi="Arial"/>
          <w:b/>
          <w:bCs/>
          <w:color w:val="FFFFFF"/>
          <w:sz w:val="2"/>
          <w:szCs w:val="2"/>
          <w:u w:val="single"/>
          <w:rtl/>
        </w:rPr>
        <w:t>54678313</w:t>
      </w:r>
      <w:r w:rsidR="009550A9">
        <w:rPr>
          <w:rFonts w:ascii="Arial" w:hAnsi="Arial" w:hint="cs"/>
          <w:b/>
          <w:bCs/>
          <w:sz w:val="26"/>
          <w:szCs w:val="26"/>
          <w:u w:val="single"/>
          <w:rtl/>
        </w:rPr>
        <w:t>זכות ערעור תוך 45 יום</w:t>
      </w:r>
    </w:p>
    <w:p w14:paraId="1A277494" w14:textId="77777777" w:rsidR="009550A9" w:rsidRDefault="009550A9" w:rsidP="009550A9">
      <w:pPr>
        <w:spacing w:line="360" w:lineRule="auto"/>
        <w:rPr>
          <w:rFonts w:ascii="Arial" w:hAnsi="Arial"/>
          <w:sz w:val="26"/>
          <w:szCs w:val="26"/>
          <w:rtl/>
        </w:rPr>
      </w:pPr>
    </w:p>
    <w:p w14:paraId="76B01160" w14:textId="77777777" w:rsidR="009550A9" w:rsidRPr="000F2247" w:rsidRDefault="00691F43" w:rsidP="009550A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י"ג טבת תשפ"ה, 13 ינואר 2025, בהעדר הצדדים. </w:t>
      </w:r>
      <w:bookmarkEnd w:id="8"/>
      <w:r w:rsidR="009550A9">
        <w:rPr>
          <w:rFonts w:ascii="Arial" w:hAnsi="Arial"/>
          <w:b/>
          <w:bCs/>
          <w:sz w:val="26"/>
          <w:szCs w:val="26"/>
          <w:rtl/>
        </w:rPr>
        <w:tab/>
      </w:r>
      <w:r w:rsidR="009550A9">
        <w:rPr>
          <w:rFonts w:ascii="Arial" w:hAnsi="Arial"/>
          <w:b/>
          <w:bCs/>
          <w:sz w:val="26"/>
          <w:szCs w:val="26"/>
          <w:rtl/>
        </w:rPr>
        <w:tab/>
      </w:r>
      <w:r w:rsidR="009550A9">
        <w:rPr>
          <w:rFonts w:ascii="Arial" w:hAnsi="Arial"/>
          <w:b/>
          <w:bCs/>
          <w:sz w:val="26"/>
          <w:szCs w:val="26"/>
          <w:rtl/>
        </w:rPr>
        <w:tab/>
      </w:r>
      <w:r w:rsidR="009550A9">
        <w:rPr>
          <w:rFonts w:ascii="Arial" w:hAnsi="Arial"/>
          <w:b/>
          <w:bCs/>
          <w:sz w:val="26"/>
          <w:szCs w:val="26"/>
          <w:rtl/>
        </w:rPr>
        <w:tab/>
      </w:r>
      <w:r w:rsidR="009550A9">
        <w:rPr>
          <w:rFonts w:ascii="Arial" w:hAnsi="Arial"/>
          <w:b/>
          <w:bCs/>
          <w:sz w:val="26"/>
          <w:szCs w:val="26"/>
          <w:rtl/>
        </w:rPr>
        <w:tab/>
      </w:r>
      <w:r w:rsidR="009550A9">
        <w:rPr>
          <w:rFonts w:ascii="Arial" w:hAnsi="Arial"/>
          <w:b/>
          <w:bCs/>
          <w:sz w:val="26"/>
          <w:szCs w:val="26"/>
          <w:rtl/>
        </w:rPr>
        <w:tab/>
      </w:r>
      <w:r w:rsidR="009550A9">
        <w:rPr>
          <w:rFonts w:ascii="Arial" w:hAnsi="Arial"/>
          <w:b/>
          <w:bCs/>
          <w:sz w:val="26"/>
          <w:szCs w:val="26"/>
          <w:rtl/>
        </w:rPr>
        <w:tab/>
      </w:r>
      <w:r w:rsidR="009550A9">
        <w:rPr>
          <w:rFonts w:ascii="Arial" w:hAnsi="Arial" w:hint="cs"/>
          <w:b/>
          <w:bCs/>
          <w:sz w:val="26"/>
          <w:szCs w:val="26"/>
          <w:rtl/>
        </w:rPr>
        <w:t xml:space="preserve">         </w:t>
      </w:r>
    </w:p>
    <w:p w14:paraId="5B97983E" w14:textId="77777777" w:rsidR="009550A9" w:rsidRPr="000F2247" w:rsidRDefault="009550A9" w:rsidP="00691F4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1B872D7" w14:textId="77777777" w:rsidR="009550A9" w:rsidRPr="000F2247" w:rsidRDefault="009550A9" w:rsidP="009550A9">
      <w:pPr>
        <w:jc w:val="center"/>
        <w:rPr>
          <w:rFonts w:ascii="Arial" w:hAnsi="Arial"/>
          <w:b/>
          <w:bCs/>
          <w:sz w:val="26"/>
          <w:szCs w:val="26"/>
          <w:rtl/>
        </w:rPr>
      </w:pPr>
    </w:p>
    <w:p w14:paraId="7C1A86A8" w14:textId="77777777" w:rsidR="001A1407" w:rsidRPr="00691F43" w:rsidRDefault="001A1407" w:rsidP="00691F43">
      <w:pPr>
        <w:keepNext/>
        <w:rPr>
          <w:rFonts w:ascii="David" w:hAnsi="David"/>
          <w:color w:val="000000"/>
          <w:sz w:val="22"/>
          <w:szCs w:val="22"/>
          <w:rtl/>
        </w:rPr>
      </w:pPr>
    </w:p>
    <w:p w14:paraId="20ACD218" w14:textId="77777777" w:rsidR="00691F43" w:rsidRPr="00691F43" w:rsidRDefault="00691F43" w:rsidP="00691F43">
      <w:pPr>
        <w:keepNext/>
        <w:rPr>
          <w:rFonts w:ascii="David" w:hAnsi="David"/>
          <w:color w:val="000000"/>
          <w:sz w:val="22"/>
          <w:szCs w:val="22"/>
          <w:rtl/>
        </w:rPr>
      </w:pPr>
      <w:r w:rsidRPr="00691F43">
        <w:rPr>
          <w:rFonts w:ascii="David" w:hAnsi="David"/>
          <w:color w:val="000000"/>
          <w:sz w:val="22"/>
          <w:szCs w:val="22"/>
          <w:rtl/>
        </w:rPr>
        <w:t>דניאל פיש 54678313</w:t>
      </w:r>
    </w:p>
    <w:p w14:paraId="2104AE53" w14:textId="77777777" w:rsidR="00691F43" w:rsidRDefault="00691F43" w:rsidP="00691F43">
      <w:r w:rsidRPr="00691F43">
        <w:rPr>
          <w:color w:val="000000"/>
          <w:rtl/>
        </w:rPr>
        <w:t>נוסח מסמך זה כפוף לשינויי ניסוח ועריכה</w:t>
      </w:r>
    </w:p>
    <w:p w14:paraId="4BA06431" w14:textId="77777777" w:rsidR="00691F43" w:rsidRDefault="00691F43" w:rsidP="00691F43">
      <w:pPr>
        <w:rPr>
          <w:rtl/>
        </w:rPr>
      </w:pPr>
    </w:p>
    <w:p w14:paraId="633094EC" w14:textId="77777777" w:rsidR="00691F43" w:rsidRDefault="00691F43" w:rsidP="00691F43">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59CE1BDE" w14:textId="77777777" w:rsidR="00691F43" w:rsidRPr="00691F43" w:rsidRDefault="00691F43" w:rsidP="00691F43">
      <w:pPr>
        <w:jc w:val="center"/>
        <w:rPr>
          <w:color w:val="0000FF"/>
          <w:u w:val="single"/>
        </w:rPr>
      </w:pPr>
    </w:p>
    <w:sectPr w:rsidR="00691F43" w:rsidRPr="00691F43" w:rsidSect="00691F43">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68C3F" w14:textId="77777777" w:rsidR="006F7475" w:rsidRDefault="006F7475" w:rsidP="006F2FC4">
      <w:r>
        <w:separator/>
      </w:r>
    </w:p>
  </w:endnote>
  <w:endnote w:type="continuationSeparator" w:id="0">
    <w:p w14:paraId="6AA5307F" w14:textId="77777777" w:rsidR="006F7475" w:rsidRDefault="006F7475" w:rsidP="006F2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CC1E5" w14:textId="77777777" w:rsidR="00691F43" w:rsidRDefault="00691F43" w:rsidP="00691F4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497645A" w14:textId="77777777" w:rsidR="00697700" w:rsidRPr="00691F43" w:rsidRDefault="00691F43" w:rsidP="00691F4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D3DB3" w14:textId="77777777" w:rsidR="00691F43" w:rsidRDefault="00691F43" w:rsidP="00691F4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651E">
      <w:rPr>
        <w:rFonts w:ascii="FrankRuehl" w:hAnsi="FrankRuehl" w:cs="FrankRuehl"/>
        <w:noProof/>
        <w:rtl/>
      </w:rPr>
      <w:t>1</w:t>
    </w:r>
    <w:r>
      <w:rPr>
        <w:rFonts w:ascii="FrankRuehl" w:hAnsi="FrankRuehl" w:cs="FrankRuehl"/>
        <w:rtl/>
      </w:rPr>
      <w:fldChar w:fldCharType="end"/>
    </w:r>
  </w:p>
  <w:p w14:paraId="68F4BA4A" w14:textId="77777777" w:rsidR="00697700" w:rsidRPr="00691F43" w:rsidRDefault="00691F43" w:rsidP="00691F4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A518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3E12B" w14:textId="77777777" w:rsidR="006F7475" w:rsidRDefault="006F7475" w:rsidP="006F2FC4">
      <w:r>
        <w:separator/>
      </w:r>
    </w:p>
  </w:footnote>
  <w:footnote w:type="continuationSeparator" w:id="0">
    <w:p w14:paraId="7E616EBE" w14:textId="77777777" w:rsidR="006F7475" w:rsidRDefault="006F7475" w:rsidP="006F2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40459" w14:textId="77777777" w:rsidR="00691F43" w:rsidRPr="00691F43" w:rsidRDefault="00691F43" w:rsidP="00691F4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58193-03-23</w:t>
    </w:r>
    <w:r>
      <w:rPr>
        <w:rFonts w:ascii="David" w:hAnsi="David"/>
        <w:color w:val="000000"/>
        <w:sz w:val="22"/>
        <w:szCs w:val="22"/>
        <w:rtl/>
      </w:rPr>
      <w:tab/>
      <w:t xml:space="preserve"> מדינת ישראל נ' בר יוחאי מזרחי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93289" w14:textId="77777777" w:rsidR="00691F43" w:rsidRPr="00691F43" w:rsidRDefault="00691F43" w:rsidP="00691F4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58193-03-23</w:t>
    </w:r>
    <w:r>
      <w:rPr>
        <w:rFonts w:ascii="David" w:hAnsi="David"/>
        <w:color w:val="000000"/>
        <w:sz w:val="22"/>
        <w:szCs w:val="22"/>
        <w:rtl/>
      </w:rPr>
      <w:tab/>
      <w:t xml:space="preserve"> מדינת ישראל נ' בר יוחאי מזרחי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9036D6"/>
    <w:multiLevelType w:val="hybridMultilevel"/>
    <w:tmpl w:val="63784DD4"/>
    <w:lvl w:ilvl="0" w:tplc="163EC13A">
      <w:start w:val="4"/>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357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50A9"/>
    <w:rsid w:val="001A1407"/>
    <w:rsid w:val="001B5A3B"/>
    <w:rsid w:val="00691F43"/>
    <w:rsid w:val="00697700"/>
    <w:rsid w:val="006F2FC4"/>
    <w:rsid w:val="006F7475"/>
    <w:rsid w:val="0088651E"/>
    <w:rsid w:val="009550A9"/>
    <w:rsid w:val="00E20C22"/>
    <w:rsid w:val="00E37872"/>
    <w:rsid w:val="00EA41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F8CDF4"/>
  <w15:chartTrackingRefBased/>
  <w15:docId w15:val="{C9C73FC0-3602-49BF-BCE9-49E1FBF12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50A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550A9"/>
    <w:pPr>
      <w:tabs>
        <w:tab w:val="center" w:pos="4153"/>
        <w:tab w:val="right" w:pos="8306"/>
      </w:tabs>
    </w:pPr>
  </w:style>
  <w:style w:type="character" w:customStyle="1" w:styleId="a4">
    <w:name w:val="כותרת עליונה תו"/>
    <w:link w:val="a3"/>
    <w:rsid w:val="009550A9"/>
    <w:rPr>
      <w:rFonts w:ascii="Times New Roman" w:eastAsia="Times New Roman" w:hAnsi="Times New Roman" w:cs="David"/>
      <w:sz w:val="24"/>
      <w:szCs w:val="24"/>
    </w:rPr>
  </w:style>
  <w:style w:type="paragraph" w:styleId="a5">
    <w:name w:val="footer"/>
    <w:basedOn w:val="a"/>
    <w:link w:val="a6"/>
    <w:rsid w:val="009550A9"/>
    <w:pPr>
      <w:tabs>
        <w:tab w:val="center" w:pos="4153"/>
        <w:tab w:val="right" w:pos="8306"/>
      </w:tabs>
    </w:pPr>
  </w:style>
  <w:style w:type="character" w:customStyle="1" w:styleId="a6">
    <w:name w:val="כותרת תחתונה תו"/>
    <w:link w:val="a5"/>
    <w:rsid w:val="009550A9"/>
    <w:rPr>
      <w:rFonts w:ascii="Times New Roman" w:eastAsia="Times New Roman" w:hAnsi="Times New Roman" w:cs="David"/>
      <w:sz w:val="24"/>
      <w:szCs w:val="24"/>
    </w:rPr>
  </w:style>
  <w:style w:type="table" w:styleId="a7">
    <w:name w:val="Table Grid"/>
    <w:basedOn w:val="a1"/>
    <w:rsid w:val="009550A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550A9"/>
  </w:style>
  <w:style w:type="paragraph" w:styleId="a9">
    <w:name w:val="List Paragraph"/>
    <w:basedOn w:val="a"/>
    <w:qFormat/>
    <w:rsid w:val="009550A9"/>
    <w:pPr>
      <w:ind w:left="720"/>
      <w:contextualSpacing/>
    </w:pPr>
  </w:style>
  <w:style w:type="character" w:styleId="Hyperlink">
    <w:name w:val="Hyperlink"/>
    <w:rsid w:val="00691F4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70301/400" TargetMode="External"/><Relationship Id="rId18" Type="http://schemas.openxmlformats.org/officeDocument/2006/relationships/hyperlink" Target="http://www.nevo.co.il/law/70301/400"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689329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28544856" TargetMode="External"/><Relationship Id="rId2" Type="http://schemas.openxmlformats.org/officeDocument/2006/relationships/styles" Target="styles.xml"/><Relationship Id="rId16" Type="http://schemas.openxmlformats.org/officeDocument/2006/relationships/hyperlink" Target="http://www.nevo.co.il/law/4216/7.a.;7.b" TargetMode="External"/><Relationship Id="rId20" Type="http://schemas.openxmlformats.org/officeDocument/2006/relationships/hyperlink" Target="http://www.nevo.co.il/case/29106652"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6925331"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8515221" TargetMode="External"/><Relationship Id="rId28" Type="http://schemas.openxmlformats.org/officeDocument/2006/relationships/header" Target="header2.xml"/><Relationship Id="rId10" Type="http://schemas.openxmlformats.org/officeDocument/2006/relationships/hyperlink" Target="http://www.nevo.co.il/law/4216/7.b" TargetMode="External"/><Relationship Id="rId19" Type="http://schemas.openxmlformats.org/officeDocument/2006/relationships/hyperlink" Target="http://www.nevo.co.il/law/7030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6459302"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1261</Words>
  <Characters>6307</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7553</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3539056</vt:i4>
      </vt:variant>
      <vt:variant>
        <vt:i4>54</vt:i4>
      </vt:variant>
      <vt:variant>
        <vt:i4>0</vt:i4>
      </vt:variant>
      <vt:variant>
        <vt:i4>5</vt:i4>
      </vt:variant>
      <vt:variant>
        <vt:lpwstr>http://www.nevo.co.il/case/28544856</vt:lpwstr>
      </vt:variant>
      <vt:variant>
        <vt:lpwstr/>
      </vt:variant>
      <vt:variant>
        <vt:i4>3997811</vt:i4>
      </vt:variant>
      <vt:variant>
        <vt:i4>51</vt:i4>
      </vt:variant>
      <vt:variant>
        <vt:i4>0</vt:i4>
      </vt:variant>
      <vt:variant>
        <vt:i4>5</vt:i4>
      </vt:variant>
      <vt:variant>
        <vt:lpwstr>http://www.nevo.co.il/case/26925331</vt:lpwstr>
      </vt:variant>
      <vt:variant>
        <vt:lpwstr/>
      </vt:variant>
      <vt:variant>
        <vt:i4>3145855</vt:i4>
      </vt:variant>
      <vt:variant>
        <vt:i4>48</vt:i4>
      </vt:variant>
      <vt:variant>
        <vt:i4>0</vt:i4>
      </vt:variant>
      <vt:variant>
        <vt:i4>5</vt:i4>
      </vt:variant>
      <vt:variant>
        <vt:lpwstr>http://www.nevo.co.il/case/28515221</vt:lpwstr>
      </vt:variant>
      <vt:variant>
        <vt:lpwstr/>
      </vt:variant>
      <vt:variant>
        <vt:i4>4128884</vt:i4>
      </vt:variant>
      <vt:variant>
        <vt:i4>45</vt:i4>
      </vt:variant>
      <vt:variant>
        <vt:i4>0</vt:i4>
      </vt:variant>
      <vt:variant>
        <vt:i4>5</vt:i4>
      </vt:variant>
      <vt:variant>
        <vt:lpwstr>http://www.nevo.co.il/case/26459302</vt:lpwstr>
      </vt:variant>
      <vt:variant>
        <vt:lpwstr/>
      </vt:variant>
      <vt:variant>
        <vt:i4>3145849</vt:i4>
      </vt:variant>
      <vt:variant>
        <vt:i4>42</vt:i4>
      </vt:variant>
      <vt:variant>
        <vt:i4>0</vt:i4>
      </vt:variant>
      <vt:variant>
        <vt:i4>5</vt:i4>
      </vt:variant>
      <vt:variant>
        <vt:lpwstr>http://www.nevo.co.il/case/26893291</vt:lpwstr>
      </vt:variant>
      <vt:variant>
        <vt:lpwstr/>
      </vt:variant>
      <vt:variant>
        <vt:i4>3145851</vt:i4>
      </vt:variant>
      <vt:variant>
        <vt:i4>39</vt:i4>
      </vt:variant>
      <vt:variant>
        <vt:i4>0</vt:i4>
      </vt:variant>
      <vt:variant>
        <vt:i4>5</vt:i4>
      </vt:variant>
      <vt:variant>
        <vt:lpwstr>http://www.nevo.co.il/case/29106652</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http://www.nevo.co.il/law/70301/400</vt:lpwstr>
      </vt:variant>
      <vt:variant>
        <vt:lpwstr/>
      </vt:variant>
      <vt:variant>
        <vt:i4>5177418</vt:i4>
      </vt:variant>
      <vt:variant>
        <vt:i4>30</vt:i4>
      </vt:variant>
      <vt:variant>
        <vt:i4>0</vt:i4>
      </vt:variant>
      <vt:variant>
        <vt:i4>5</vt:i4>
      </vt:variant>
      <vt:variant>
        <vt:lpwstr>http://www.nevo.co.il/law/4216/10</vt:lpwstr>
      </vt:variant>
      <vt:variant>
        <vt:lpwstr/>
      </vt:variant>
      <vt:variant>
        <vt:i4>3997821</vt:i4>
      </vt:variant>
      <vt:variant>
        <vt:i4>27</vt:i4>
      </vt:variant>
      <vt:variant>
        <vt:i4>0</vt:i4>
      </vt:variant>
      <vt:variant>
        <vt:i4>5</vt:i4>
      </vt:variant>
      <vt:variant>
        <vt:lpwstr>http://www.nevo.co.il/law/4216/7.a.;7.b</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2818148</vt:i4>
      </vt:variant>
      <vt:variant>
        <vt:i4>9</vt:i4>
      </vt:variant>
      <vt:variant>
        <vt:i4>0</vt:i4>
      </vt:variant>
      <vt:variant>
        <vt:i4>5</vt:i4>
      </vt:variant>
      <vt:variant>
        <vt:lpwstr>http://www.nevo.co.il/law/4216/7.b</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2025-04-22T21:28:00Z</dcterms:created>
  <dcterms:modified xsi:type="dcterms:W3CDTF">2025-04-22T21:28:00Z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58193</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בר יוחאי מזרחי</vt:lpwstr>
  </property>
  <property fmtid="{D5CDD505-2E9C-101B-9397-08002B2CF9AE}" pid="10" name="LAWYER">
    <vt:lpwstr>מיכאל יפרח;יוני דדון</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20250113</vt:lpwstr>
  </property>
  <property fmtid="{D5CDD505-2E9C-101B-9397-08002B2CF9AE}" pid="14" name="TYPE_N_DATE">
    <vt:lpwstr>39020250113</vt:lpwstr>
  </property>
  <property fmtid="{D5CDD505-2E9C-101B-9397-08002B2CF9AE}" pid="15" name="CASESLISTTMP1">
    <vt:lpwstr>29106652;26893291;26459302;28515221;26925331;28544856</vt:lpwstr>
  </property>
  <property fmtid="{D5CDD505-2E9C-101B-9397-08002B2CF9AE}" pid="16" name="WORDNUMPAGES">
    <vt:lpwstr>5</vt:lpwstr>
  </property>
  <property fmtid="{D5CDD505-2E9C-101B-9397-08002B2CF9AE}" pid="17" name="TYPE_ABS_DATE">
    <vt:lpwstr>390020250113</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4216/006;007.a;007.b;010</vt:lpwstr>
  </property>
  <property fmtid="{D5CDD505-2E9C-101B-9397-08002B2CF9AE}" pid="37" name="LAWLISTTMP2">
    <vt:lpwstr>70301/400</vt:lpwstr>
  </property>
</Properties>
</file>