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0271A" w:rsidRPr="00552128" w14:paraId="710DB6E4" w14:textId="77777777" w:rsidTr="00AD2E9B">
        <w:trPr>
          <w:trHeight w:hRule="exact" w:val="418"/>
          <w:jc w:val="center"/>
        </w:trPr>
        <w:tc>
          <w:tcPr>
            <w:tcW w:w="8721" w:type="dxa"/>
            <w:gridSpan w:val="2"/>
          </w:tcPr>
          <w:p w14:paraId="573395FC" w14:textId="77777777" w:rsidR="0010271A" w:rsidRPr="00552128" w:rsidRDefault="0010271A" w:rsidP="00BE68A7">
            <w:pPr>
              <w:pStyle w:val="a3"/>
              <w:jc w:val="center"/>
              <w:rPr>
                <w:rFonts w:ascii="Tahoma" w:hAnsi="Tahoma" w:cs="Tahoma"/>
                <w:color w:val="000080"/>
                <w:rtl/>
              </w:rPr>
            </w:pPr>
            <w:bookmarkStart w:id="0" w:name="LastJudge"/>
            <w:r w:rsidRPr="00552128">
              <w:rPr>
                <w:rFonts w:ascii="Tahoma" w:hAnsi="Tahoma" w:cs="Tahoma"/>
                <w:b/>
                <w:bCs/>
                <w:color w:val="000080"/>
                <w:rtl/>
              </w:rPr>
              <w:t>בית המשפט המחוזי בירושלים</w:t>
            </w:r>
          </w:p>
        </w:tc>
      </w:tr>
      <w:tr w:rsidR="0010271A" w:rsidRPr="00552128" w14:paraId="7FBF4566" w14:textId="77777777" w:rsidTr="00AD2E9B">
        <w:trPr>
          <w:trHeight w:val="337"/>
          <w:jc w:val="center"/>
        </w:trPr>
        <w:tc>
          <w:tcPr>
            <w:tcW w:w="5055" w:type="dxa"/>
          </w:tcPr>
          <w:p w14:paraId="362E3A92" w14:textId="77777777" w:rsidR="0010271A" w:rsidRPr="00552128" w:rsidRDefault="0010271A" w:rsidP="00BE68A7">
            <w:pPr>
              <w:rPr>
                <w:rFonts w:cs="FrankRuehl"/>
                <w:sz w:val="30"/>
                <w:szCs w:val="30"/>
                <w:rtl/>
              </w:rPr>
            </w:pPr>
            <w:r w:rsidRPr="00552128">
              <w:rPr>
                <w:rFonts w:cs="FrankRuehl"/>
                <w:sz w:val="30"/>
                <w:szCs w:val="30"/>
                <w:rtl/>
              </w:rPr>
              <w:t>ת"פ</w:t>
            </w:r>
            <w:r w:rsidRPr="00552128">
              <w:rPr>
                <w:rFonts w:cs="FrankRuehl" w:hint="cs"/>
                <w:sz w:val="30"/>
                <w:szCs w:val="30"/>
                <w:rtl/>
              </w:rPr>
              <w:t xml:space="preserve"> </w:t>
            </w:r>
            <w:r w:rsidRPr="00552128">
              <w:rPr>
                <w:rFonts w:cs="FrankRuehl"/>
                <w:sz w:val="30"/>
                <w:szCs w:val="30"/>
                <w:rtl/>
              </w:rPr>
              <w:t>49875-05-23</w:t>
            </w:r>
            <w:r w:rsidRPr="00552128">
              <w:rPr>
                <w:rFonts w:cs="FrankRuehl" w:hint="cs"/>
                <w:sz w:val="28"/>
                <w:szCs w:val="28"/>
                <w:rtl/>
              </w:rPr>
              <w:t xml:space="preserve"> </w:t>
            </w:r>
            <w:r w:rsidRPr="00552128">
              <w:rPr>
                <w:rFonts w:cs="FrankRuehl"/>
                <w:sz w:val="30"/>
                <w:szCs w:val="30"/>
                <w:rtl/>
              </w:rPr>
              <w:t>מדינת ישראל נ' רשיד</w:t>
            </w:r>
          </w:p>
          <w:p w14:paraId="2689C2B1" w14:textId="77777777" w:rsidR="0010271A" w:rsidRPr="00552128" w:rsidRDefault="0010271A" w:rsidP="00BE68A7">
            <w:pPr>
              <w:pStyle w:val="a3"/>
              <w:rPr>
                <w:rFonts w:cs="FrankRuehl"/>
                <w:sz w:val="28"/>
                <w:szCs w:val="28"/>
                <w:rtl/>
              </w:rPr>
            </w:pPr>
          </w:p>
        </w:tc>
        <w:tc>
          <w:tcPr>
            <w:tcW w:w="3666" w:type="dxa"/>
          </w:tcPr>
          <w:p w14:paraId="0DFEB700" w14:textId="77777777" w:rsidR="0010271A" w:rsidRPr="00552128" w:rsidRDefault="0010271A" w:rsidP="00BE68A7">
            <w:pPr>
              <w:pStyle w:val="a3"/>
              <w:jc w:val="right"/>
              <w:rPr>
                <w:rFonts w:cs="FrankRuehl"/>
                <w:sz w:val="28"/>
                <w:szCs w:val="28"/>
                <w:rtl/>
              </w:rPr>
            </w:pPr>
          </w:p>
        </w:tc>
      </w:tr>
    </w:tbl>
    <w:p w14:paraId="67D6686B" w14:textId="77777777" w:rsidR="0010271A" w:rsidRPr="00552128" w:rsidRDefault="0010271A" w:rsidP="0010271A">
      <w:pPr>
        <w:pStyle w:val="a3"/>
        <w:rPr>
          <w:rtl/>
        </w:rPr>
      </w:pPr>
      <w:r w:rsidRPr="00552128">
        <w:rPr>
          <w:rFonts w:hint="cs"/>
          <w:rtl/>
        </w:rPr>
        <w:t xml:space="preserve"> </w:t>
      </w:r>
    </w:p>
    <w:p w14:paraId="2770AF35" w14:textId="77777777" w:rsidR="0010271A" w:rsidRPr="00552128" w:rsidRDefault="0010271A" w:rsidP="0010271A">
      <w:pPr>
        <w:rPr>
          <w:rFonts w:ascii="Arial" w:hAnsi="Arial"/>
          <w:b/>
          <w:bCs/>
          <w:sz w:val="26"/>
          <w:szCs w:val="26"/>
          <w:rtl/>
        </w:rPr>
      </w:pPr>
    </w:p>
    <w:p w14:paraId="28FE5208" w14:textId="77777777" w:rsidR="0010271A" w:rsidRPr="00552128" w:rsidRDefault="0010271A" w:rsidP="0010271A">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2"/>
        <w:gridCol w:w="2415"/>
      </w:tblGrid>
      <w:tr w:rsidR="0010271A" w:rsidRPr="00552128" w14:paraId="53B355E2" w14:textId="77777777" w:rsidTr="0010271A">
        <w:trPr>
          <w:trHeight w:val="295"/>
          <w:jc w:val="center"/>
        </w:trPr>
        <w:tc>
          <w:tcPr>
            <w:tcW w:w="923" w:type="dxa"/>
            <w:tcBorders>
              <w:top w:val="nil"/>
              <w:left w:val="nil"/>
              <w:bottom w:val="nil"/>
              <w:right w:val="nil"/>
            </w:tcBorders>
            <w:shd w:val="clear" w:color="auto" w:fill="auto"/>
          </w:tcPr>
          <w:p w14:paraId="3F9DC536" w14:textId="77777777" w:rsidR="0010271A" w:rsidRPr="00552128" w:rsidRDefault="0010271A" w:rsidP="0010271A">
            <w:pPr>
              <w:jc w:val="both"/>
              <w:rPr>
                <w:rFonts w:ascii="FrankRuehl" w:hAnsi="FrankRuehl" w:cs="FrankRuehl"/>
                <w:sz w:val="30"/>
                <w:szCs w:val="30"/>
              </w:rPr>
            </w:pPr>
            <w:r w:rsidRPr="00552128">
              <w:rPr>
                <w:rFonts w:ascii="FrankRuehl" w:hAnsi="FrankRuehl" w:cs="FrankRuehl"/>
                <w:sz w:val="30"/>
                <w:szCs w:val="30"/>
                <w:rtl/>
              </w:rPr>
              <w:t xml:space="preserve">לפני </w:t>
            </w:r>
          </w:p>
        </w:tc>
        <w:tc>
          <w:tcPr>
            <w:tcW w:w="7897" w:type="dxa"/>
            <w:gridSpan w:val="2"/>
            <w:tcBorders>
              <w:top w:val="nil"/>
              <w:left w:val="nil"/>
              <w:bottom w:val="nil"/>
              <w:right w:val="nil"/>
            </w:tcBorders>
            <w:shd w:val="clear" w:color="auto" w:fill="auto"/>
          </w:tcPr>
          <w:p w14:paraId="22A38D53" w14:textId="77777777" w:rsidR="0010271A" w:rsidRPr="00552128" w:rsidRDefault="0010271A" w:rsidP="00BE68A7">
            <w:pPr>
              <w:rPr>
                <w:rFonts w:ascii="FrankRuehl" w:hAnsi="FrankRuehl" w:cs="FrankRuehl"/>
                <w:b/>
                <w:bCs/>
                <w:sz w:val="30"/>
                <w:szCs w:val="30"/>
                <w:rtl/>
              </w:rPr>
            </w:pPr>
            <w:r w:rsidRPr="00552128">
              <w:rPr>
                <w:rFonts w:ascii="FrankRuehl" w:hAnsi="FrankRuehl" w:cs="FrankRuehl"/>
                <w:b/>
                <w:bCs/>
                <w:sz w:val="30"/>
                <w:szCs w:val="30"/>
                <w:rtl/>
              </w:rPr>
              <w:t>כב</w:t>
            </w:r>
            <w:r w:rsidRPr="00552128">
              <w:rPr>
                <w:rFonts w:ascii="FrankRuehl" w:hAnsi="FrankRuehl" w:cs="FrankRuehl" w:hint="cs"/>
                <w:b/>
                <w:bCs/>
                <w:sz w:val="30"/>
                <w:szCs w:val="30"/>
                <w:rtl/>
              </w:rPr>
              <w:t>'</w:t>
            </w:r>
            <w:r w:rsidRPr="00552128">
              <w:rPr>
                <w:rFonts w:ascii="FrankRuehl" w:hAnsi="FrankRuehl" w:cs="FrankRuehl"/>
                <w:b/>
                <w:bCs/>
                <w:sz w:val="30"/>
                <w:szCs w:val="30"/>
                <w:rtl/>
              </w:rPr>
              <w:t xml:space="preserve"> השופט  אילן סלע</w:t>
            </w:r>
          </w:p>
          <w:p w14:paraId="7771616C" w14:textId="77777777" w:rsidR="0010271A" w:rsidRPr="00552128" w:rsidRDefault="0010271A" w:rsidP="0010271A">
            <w:pPr>
              <w:jc w:val="both"/>
              <w:rPr>
                <w:rFonts w:ascii="FrankRuehl" w:hAnsi="FrankRuehl" w:cs="FrankRuehl"/>
                <w:sz w:val="30"/>
                <w:szCs w:val="30"/>
              </w:rPr>
            </w:pPr>
          </w:p>
        </w:tc>
      </w:tr>
      <w:tr w:rsidR="0010271A" w:rsidRPr="00552128" w14:paraId="2FD67715" w14:textId="77777777" w:rsidTr="0010271A">
        <w:trPr>
          <w:trHeight w:val="355"/>
          <w:jc w:val="center"/>
        </w:trPr>
        <w:tc>
          <w:tcPr>
            <w:tcW w:w="923" w:type="dxa"/>
            <w:tcBorders>
              <w:top w:val="nil"/>
              <w:left w:val="nil"/>
              <w:bottom w:val="nil"/>
              <w:right w:val="nil"/>
            </w:tcBorders>
            <w:shd w:val="clear" w:color="auto" w:fill="auto"/>
          </w:tcPr>
          <w:p w14:paraId="21F29D70" w14:textId="77777777" w:rsidR="0010271A" w:rsidRPr="00552128" w:rsidRDefault="0010271A" w:rsidP="0010271A">
            <w:pPr>
              <w:jc w:val="both"/>
              <w:rPr>
                <w:rFonts w:ascii="FrankRuehl" w:hAnsi="FrankRuehl" w:cs="FrankRuehl"/>
                <w:sz w:val="30"/>
                <w:szCs w:val="30"/>
              </w:rPr>
            </w:pPr>
            <w:bookmarkStart w:id="1" w:name="FirstAppellant"/>
            <w:r w:rsidRPr="00552128">
              <w:rPr>
                <w:rFonts w:ascii="FrankRuehl" w:hAnsi="FrankRuehl" w:cs="FrankRuehl"/>
                <w:sz w:val="30"/>
                <w:szCs w:val="30"/>
                <w:rtl/>
              </w:rPr>
              <w:t>בעניין:</w:t>
            </w:r>
          </w:p>
        </w:tc>
        <w:tc>
          <w:tcPr>
            <w:tcW w:w="5482" w:type="dxa"/>
            <w:tcBorders>
              <w:top w:val="nil"/>
              <w:left w:val="nil"/>
              <w:bottom w:val="nil"/>
              <w:right w:val="nil"/>
            </w:tcBorders>
            <w:shd w:val="clear" w:color="auto" w:fill="auto"/>
          </w:tcPr>
          <w:p w14:paraId="738E9F76" w14:textId="77777777" w:rsidR="0010271A" w:rsidRPr="00552128" w:rsidRDefault="0010271A" w:rsidP="0010271A">
            <w:pPr>
              <w:suppressLineNumbers/>
              <w:rPr>
                <w:rFonts w:ascii="FrankRuehl" w:hAnsi="FrankRuehl" w:cs="FrankRuehl"/>
                <w:b/>
                <w:bCs/>
                <w:sz w:val="30"/>
                <w:szCs w:val="30"/>
                <w:rtl/>
              </w:rPr>
            </w:pPr>
            <w:r w:rsidRPr="00552128">
              <w:rPr>
                <w:rFonts w:ascii="FrankRuehl" w:hAnsi="FrankRuehl" w:cs="FrankRuehl" w:hint="cs"/>
                <w:b/>
                <w:bCs/>
                <w:sz w:val="30"/>
                <w:szCs w:val="30"/>
                <w:rtl/>
              </w:rPr>
              <w:t>מדינת ישראל</w:t>
            </w:r>
          </w:p>
          <w:p w14:paraId="41886089" w14:textId="77777777" w:rsidR="0010271A" w:rsidRPr="00552128" w:rsidRDefault="0010271A" w:rsidP="0010271A">
            <w:pPr>
              <w:suppressLineNumbers/>
              <w:rPr>
                <w:rFonts w:ascii="FrankRuehl" w:hAnsi="FrankRuehl" w:cs="FrankRuehl"/>
                <w:b/>
                <w:bCs/>
                <w:sz w:val="30"/>
                <w:szCs w:val="30"/>
                <w:rtl/>
              </w:rPr>
            </w:pPr>
            <w:r w:rsidRPr="00552128">
              <w:rPr>
                <w:rFonts w:ascii="FrankRuehl" w:hAnsi="FrankRuehl" w:cs="FrankRuehl" w:hint="cs"/>
                <w:b/>
                <w:bCs/>
                <w:sz w:val="30"/>
                <w:szCs w:val="30"/>
                <w:rtl/>
              </w:rPr>
              <w:t>באמצעות פרקליטות מחוז ירושלים (פלילי),</w:t>
            </w:r>
          </w:p>
          <w:p w14:paraId="27EC4C8D" w14:textId="77777777" w:rsidR="0010271A" w:rsidRPr="00552128" w:rsidRDefault="0010271A" w:rsidP="0010271A">
            <w:pPr>
              <w:suppressLineNumbers/>
              <w:rPr>
                <w:rFonts w:ascii="FrankRuehl" w:hAnsi="FrankRuehl" w:cs="FrankRuehl"/>
                <w:sz w:val="30"/>
                <w:szCs w:val="30"/>
              </w:rPr>
            </w:pPr>
            <w:r w:rsidRPr="00552128">
              <w:rPr>
                <w:rFonts w:ascii="FrankRuehl" w:hAnsi="FrankRuehl" w:cs="FrankRuehl" w:hint="cs"/>
                <w:b/>
                <w:bCs/>
                <w:sz w:val="30"/>
                <w:szCs w:val="30"/>
                <w:rtl/>
              </w:rPr>
              <w:t>ע"י עו"ד עינת יריב</w:t>
            </w:r>
          </w:p>
        </w:tc>
        <w:tc>
          <w:tcPr>
            <w:tcW w:w="2415" w:type="dxa"/>
            <w:tcBorders>
              <w:top w:val="nil"/>
              <w:left w:val="nil"/>
              <w:bottom w:val="nil"/>
              <w:right w:val="nil"/>
            </w:tcBorders>
            <w:shd w:val="clear" w:color="auto" w:fill="auto"/>
            <w:vAlign w:val="center"/>
          </w:tcPr>
          <w:p w14:paraId="2F417C77" w14:textId="77777777" w:rsidR="0010271A" w:rsidRPr="00552128" w:rsidRDefault="0010271A" w:rsidP="0010271A">
            <w:pPr>
              <w:suppressLineNumbers/>
              <w:rPr>
                <w:rFonts w:ascii="FrankRuehl" w:hAnsi="FrankRuehl" w:cs="FrankRuehl"/>
                <w:b/>
                <w:bCs/>
                <w:sz w:val="30"/>
                <w:szCs w:val="30"/>
                <w:rtl/>
              </w:rPr>
            </w:pPr>
          </w:p>
          <w:p w14:paraId="7E50A064" w14:textId="77777777" w:rsidR="0010271A" w:rsidRPr="00552128" w:rsidRDefault="0010271A" w:rsidP="0010271A">
            <w:pPr>
              <w:suppressLineNumbers/>
              <w:rPr>
                <w:rFonts w:ascii="FrankRuehl" w:hAnsi="FrankRuehl" w:cs="FrankRuehl"/>
                <w:sz w:val="30"/>
                <w:szCs w:val="30"/>
                <w:rtl/>
              </w:rPr>
            </w:pPr>
          </w:p>
          <w:p w14:paraId="7626213F" w14:textId="77777777" w:rsidR="0010271A" w:rsidRPr="00552128" w:rsidRDefault="0010271A" w:rsidP="0010271A">
            <w:pPr>
              <w:suppressLineNumbers/>
              <w:rPr>
                <w:rFonts w:ascii="FrankRuehl" w:hAnsi="FrankRuehl" w:cs="FrankRuehl"/>
                <w:b/>
                <w:bCs/>
                <w:sz w:val="30"/>
                <w:szCs w:val="30"/>
              </w:rPr>
            </w:pPr>
            <w:r w:rsidRPr="00552128">
              <w:rPr>
                <w:rFonts w:ascii="FrankRuehl" w:hAnsi="FrankRuehl" w:cs="FrankRuehl" w:hint="cs"/>
                <w:b/>
                <w:bCs/>
                <w:sz w:val="30"/>
                <w:szCs w:val="30"/>
                <w:rtl/>
              </w:rPr>
              <w:t>המאשימה</w:t>
            </w:r>
          </w:p>
        </w:tc>
      </w:tr>
      <w:bookmarkEnd w:id="1"/>
      <w:tr w:rsidR="0010271A" w:rsidRPr="00552128" w14:paraId="40EDD84F" w14:textId="77777777" w:rsidTr="0010271A">
        <w:trPr>
          <w:trHeight w:val="355"/>
          <w:jc w:val="center"/>
        </w:trPr>
        <w:tc>
          <w:tcPr>
            <w:tcW w:w="923" w:type="dxa"/>
            <w:tcBorders>
              <w:top w:val="nil"/>
              <w:left w:val="nil"/>
              <w:bottom w:val="nil"/>
              <w:right w:val="nil"/>
            </w:tcBorders>
            <w:shd w:val="clear" w:color="auto" w:fill="auto"/>
          </w:tcPr>
          <w:p w14:paraId="51A32A95" w14:textId="77777777" w:rsidR="0010271A" w:rsidRPr="00552128" w:rsidRDefault="0010271A" w:rsidP="0010271A">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7BA57AAE" w14:textId="77777777" w:rsidR="0010271A" w:rsidRPr="00552128" w:rsidRDefault="0010271A" w:rsidP="0010271A">
            <w:pPr>
              <w:jc w:val="center"/>
              <w:rPr>
                <w:rFonts w:ascii="FrankRuehl" w:hAnsi="FrankRuehl" w:cs="FrankRuehl"/>
                <w:b/>
                <w:bCs/>
                <w:sz w:val="30"/>
                <w:szCs w:val="30"/>
                <w:rtl/>
              </w:rPr>
            </w:pPr>
          </w:p>
          <w:p w14:paraId="16605C46" w14:textId="77777777" w:rsidR="0010271A" w:rsidRPr="00552128" w:rsidRDefault="0010271A" w:rsidP="0010271A">
            <w:pPr>
              <w:jc w:val="center"/>
              <w:rPr>
                <w:rFonts w:ascii="FrankRuehl" w:hAnsi="FrankRuehl" w:cs="FrankRuehl"/>
                <w:b/>
                <w:bCs/>
                <w:sz w:val="30"/>
                <w:szCs w:val="30"/>
                <w:rtl/>
              </w:rPr>
            </w:pPr>
            <w:r w:rsidRPr="00552128">
              <w:rPr>
                <w:rFonts w:ascii="FrankRuehl" w:hAnsi="FrankRuehl" w:cs="FrankRuehl"/>
                <w:b/>
                <w:bCs/>
                <w:sz w:val="30"/>
                <w:szCs w:val="30"/>
                <w:rtl/>
              </w:rPr>
              <w:t>נגד</w:t>
            </w:r>
          </w:p>
          <w:p w14:paraId="09C0B509" w14:textId="77777777" w:rsidR="0010271A" w:rsidRPr="00552128" w:rsidRDefault="0010271A" w:rsidP="0010271A">
            <w:pPr>
              <w:jc w:val="both"/>
              <w:rPr>
                <w:rFonts w:ascii="FrankRuehl" w:hAnsi="FrankRuehl" w:cs="FrankRuehl"/>
                <w:sz w:val="30"/>
                <w:szCs w:val="30"/>
              </w:rPr>
            </w:pPr>
          </w:p>
        </w:tc>
      </w:tr>
      <w:tr w:rsidR="0010271A" w:rsidRPr="00552128" w14:paraId="6B56CBD6" w14:textId="77777777" w:rsidTr="0010271A">
        <w:trPr>
          <w:trHeight w:val="355"/>
          <w:jc w:val="center"/>
        </w:trPr>
        <w:tc>
          <w:tcPr>
            <w:tcW w:w="923" w:type="dxa"/>
            <w:tcBorders>
              <w:top w:val="nil"/>
              <w:left w:val="nil"/>
              <w:bottom w:val="nil"/>
              <w:right w:val="nil"/>
            </w:tcBorders>
            <w:shd w:val="clear" w:color="auto" w:fill="auto"/>
          </w:tcPr>
          <w:p w14:paraId="7F9037D2" w14:textId="77777777" w:rsidR="0010271A" w:rsidRPr="00552128" w:rsidRDefault="0010271A" w:rsidP="00BE68A7">
            <w:pPr>
              <w:rPr>
                <w:rFonts w:ascii="FrankRuehl" w:hAnsi="FrankRuehl" w:cs="FrankRuehl"/>
                <w:sz w:val="30"/>
                <w:szCs w:val="30"/>
                <w:rtl/>
              </w:rPr>
            </w:pPr>
            <w:bookmarkStart w:id="2" w:name="FirstLawyer"/>
          </w:p>
        </w:tc>
        <w:tc>
          <w:tcPr>
            <w:tcW w:w="5482" w:type="dxa"/>
            <w:tcBorders>
              <w:top w:val="nil"/>
              <w:left w:val="nil"/>
              <w:bottom w:val="nil"/>
              <w:right w:val="nil"/>
            </w:tcBorders>
            <w:shd w:val="clear" w:color="auto" w:fill="auto"/>
          </w:tcPr>
          <w:p w14:paraId="5ABA6D6C" w14:textId="77777777" w:rsidR="0010271A" w:rsidRPr="00552128" w:rsidRDefault="0010271A" w:rsidP="00BE68A7">
            <w:pPr>
              <w:rPr>
                <w:rFonts w:ascii="FrankRuehl" w:hAnsi="FrankRuehl" w:cs="FrankRuehl"/>
                <w:b/>
                <w:bCs/>
                <w:sz w:val="30"/>
                <w:szCs w:val="30"/>
                <w:rtl/>
              </w:rPr>
            </w:pPr>
            <w:r w:rsidRPr="00552128">
              <w:rPr>
                <w:rFonts w:ascii="FrankRuehl" w:hAnsi="FrankRuehl" w:cs="FrankRuehl" w:hint="cs"/>
                <w:b/>
                <w:bCs/>
                <w:sz w:val="30"/>
                <w:szCs w:val="30"/>
                <w:rtl/>
              </w:rPr>
              <w:t>נאסר רשיד</w:t>
            </w:r>
          </w:p>
          <w:p w14:paraId="3D04A512" w14:textId="77777777" w:rsidR="0010271A" w:rsidRPr="00552128" w:rsidRDefault="0010271A" w:rsidP="00BE68A7">
            <w:pPr>
              <w:rPr>
                <w:rFonts w:ascii="FrankRuehl" w:hAnsi="FrankRuehl" w:cs="FrankRuehl"/>
                <w:b/>
                <w:bCs/>
                <w:sz w:val="30"/>
                <w:szCs w:val="30"/>
                <w:rtl/>
              </w:rPr>
            </w:pPr>
            <w:r w:rsidRPr="00552128">
              <w:rPr>
                <w:rFonts w:ascii="FrankRuehl" w:hAnsi="FrankRuehl" w:cs="FrankRuehl" w:hint="cs"/>
                <w:b/>
                <w:bCs/>
                <w:sz w:val="30"/>
                <w:szCs w:val="30"/>
                <w:rtl/>
              </w:rPr>
              <w:t>ע"י ב"כ עו"ד אבירן אסבן</w:t>
            </w:r>
          </w:p>
        </w:tc>
        <w:tc>
          <w:tcPr>
            <w:tcW w:w="2415" w:type="dxa"/>
            <w:tcBorders>
              <w:top w:val="nil"/>
              <w:left w:val="nil"/>
              <w:bottom w:val="nil"/>
              <w:right w:val="nil"/>
            </w:tcBorders>
            <w:shd w:val="clear" w:color="auto" w:fill="auto"/>
            <w:vAlign w:val="center"/>
          </w:tcPr>
          <w:p w14:paraId="763D7F66" w14:textId="77777777" w:rsidR="0010271A" w:rsidRPr="00552128" w:rsidRDefault="0010271A" w:rsidP="0010271A">
            <w:pPr>
              <w:suppressLineNumbers/>
              <w:rPr>
                <w:rFonts w:ascii="FrankRuehl" w:hAnsi="FrankRuehl" w:cs="FrankRuehl"/>
                <w:b/>
                <w:bCs/>
                <w:sz w:val="30"/>
                <w:szCs w:val="30"/>
                <w:rtl/>
              </w:rPr>
            </w:pPr>
          </w:p>
          <w:p w14:paraId="304D606B" w14:textId="77777777" w:rsidR="0010271A" w:rsidRPr="00552128" w:rsidRDefault="0010271A" w:rsidP="0010271A">
            <w:pPr>
              <w:suppressLineNumbers/>
              <w:rPr>
                <w:rFonts w:ascii="FrankRuehl" w:hAnsi="FrankRuehl" w:cs="FrankRuehl"/>
                <w:sz w:val="30"/>
                <w:szCs w:val="30"/>
              </w:rPr>
            </w:pPr>
            <w:r w:rsidRPr="00552128">
              <w:rPr>
                <w:rFonts w:ascii="FrankRuehl" w:hAnsi="FrankRuehl" w:cs="FrankRuehl" w:hint="cs"/>
                <w:b/>
                <w:bCs/>
                <w:sz w:val="30"/>
                <w:szCs w:val="30"/>
                <w:rtl/>
              </w:rPr>
              <w:t>הנאשם</w:t>
            </w:r>
          </w:p>
          <w:p w14:paraId="2378C629" w14:textId="77777777" w:rsidR="0010271A" w:rsidRPr="00552128" w:rsidRDefault="0010271A" w:rsidP="00BE68A7">
            <w:pPr>
              <w:rPr>
                <w:rFonts w:ascii="FrankRuehl" w:hAnsi="FrankRuehl" w:cs="FrankRuehl"/>
                <w:sz w:val="30"/>
                <w:szCs w:val="30"/>
              </w:rPr>
            </w:pPr>
          </w:p>
        </w:tc>
      </w:tr>
    </w:tbl>
    <w:p w14:paraId="7BD6D2BD" w14:textId="77777777" w:rsidR="00AD2E9B" w:rsidRPr="00AD2E9B" w:rsidRDefault="00AD2E9B" w:rsidP="00AD2E9B">
      <w:pPr>
        <w:spacing w:before="120" w:after="120" w:line="240" w:lineRule="exact"/>
        <w:ind w:left="283" w:hanging="283"/>
        <w:jc w:val="both"/>
        <w:rPr>
          <w:rFonts w:ascii="FrankRuehl" w:hAnsi="FrankRuehl" w:cs="FrankRuehl"/>
          <w:rtl/>
        </w:rPr>
      </w:pPr>
      <w:bookmarkStart w:id="3" w:name="LawTable"/>
      <w:bookmarkEnd w:id="2"/>
      <w:bookmarkEnd w:id="3"/>
    </w:p>
    <w:p w14:paraId="7B5FA28E" w14:textId="77777777" w:rsidR="00AD2E9B" w:rsidRPr="00AD2E9B" w:rsidRDefault="00AD2E9B" w:rsidP="00AD2E9B">
      <w:pPr>
        <w:spacing w:before="120" w:after="120" w:line="240" w:lineRule="exact"/>
        <w:ind w:left="283" w:hanging="283"/>
        <w:jc w:val="both"/>
        <w:rPr>
          <w:rFonts w:ascii="FrankRuehl" w:hAnsi="FrankRuehl" w:cs="FrankRuehl"/>
          <w:rtl/>
        </w:rPr>
      </w:pPr>
      <w:r w:rsidRPr="00AD2E9B">
        <w:rPr>
          <w:rFonts w:ascii="FrankRuehl" w:hAnsi="FrankRuehl" w:cs="FrankRuehl"/>
          <w:rtl/>
        </w:rPr>
        <w:t xml:space="preserve">חקיקה שאוזכרה: </w:t>
      </w:r>
    </w:p>
    <w:p w14:paraId="1EEC1235" w14:textId="77777777" w:rsidR="00AD2E9B" w:rsidRPr="00AD2E9B" w:rsidRDefault="00AD2E9B" w:rsidP="00AD2E9B">
      <w:pPr>
        <w:spacing w:before="120" w:after="120" w:line="240" w:lineRule="exact"/>
        <w:ind w:left="283" w:hanging="283"/>
        <w:jc w:val="both"/>
        <w:rPr>
          <w:rFonts w:ascii="FrankRuehl" w:hAnsi="FrankRuehl" w:cs="FrankRuehl"/>
          <w:color w:val="0000FF"/>
          <w:rtl/>
        </w:rPr>
      </w:pPr>
      <w:hyperlink r:id="rId7" w:history="1">
        <w:r w:rsidRPr="00AD2E9B">
          <w:rPr>
            <w:rStyle w:val="Hyperlink"/>
            <w:rFonts w:ascii="FrankRuehl" w:hAnsi="FrankRuehl" w:cs="FrankRuehl"/>
            <w:u w:val="none"/>
            <w:rtl/>
          </w:rPr>
          <w:t>פקודת הסמים המסוכנים [נוסח חדש], תשל"ג-1973</w:t>
        </w:r>
      </w:hyperlink>
      <w:r w:rsidRPr="00AD2E9B">
        <w:rPr>
          <w:rFonts w:ascii="FrankRuehl" w:hAnsi="FrankRuehl" w:cs="FrankRuehl"/>
          <w:color w:val="0000FF"/>
          <w:rtl/>
        </w:rPr>
        <w:t xml:space="preserve">: סע'  </w:t>
      </w:r>
      <w:hyperlink r:id="rId8" w:history="1">
        <w:r w:rsidRPr="00AD2E9B">
          <w:rPr>
            <w:rStyle w:val="Hyperlink"/>
            <w:rFonts w:ascii="FrankRuehl" w:hAnsi="FrankRuehl" w:cs="FrankRuehl"/>
            <w:u w:val="none"/>
          </w:rPr>
          <w:t>7.</w:t>
        </w:r>
        <w:r w:rsidRPr="00AD2E9B">
          <w:rPr>
            <w:rStyle w:val="Hyperlink"/>
            <w:rFonts w:ascii="FrankRuehl" w:hAnsi="FrankRuehl" w:cs="FrankRuehl"/>
            <w:u w:val="none"/>
            <w:rtl/>
          </w:rPr>
          <w:t>א</w:t>
        </w:r>
        <w:r w:rsidRPr="00AD2E9B">
          <w:rPr>
            <w:rStyle w:val="Hyperlink"/>
            <w:rFonts w:ascii="FrankRuehl" w:hAnsi="FrankRuehl" w:cs="FrankRuehl"/>
            <w:u w:val="none"/>
          </w:rPr>
          <w:t>.</w:t>
        </w:r>
      </w:hyperlink>
      <w:r w:rsidRPr="00AD2E9B">
        <w:rPr>
          <w:rFonts w:ascii="FrankRuehl" w:hAnsi="FrankRuehl" w:cs="FrankRuehl"/>
          <w:color w:val="0000FF"/>
          <w:rtl/>
        </w:rPr>
        <w:t xml:space="preserve">, </w:t>
      </w:r>
      <w:hyperlink r:id="rId9" w:history="1">
        <w:r w:rsidRPr="00AD2E9B">
          <w:rPr>
            <w:rStyle w:val="Hyperlink"/>
            <w:rFonts w:ascii="FrankRuehl" w:hAnsi="FrankRuehl" w:cs="FrankRuehl"/>
            <w:u w:val="none"/>
          </w:rPr>
          <w:t>7.</w:t>
        </w:r>
        <w:r w:rsidRPr="00AD2E9B">
          <w:rPr>
            <w:rStyle w:val="Hyperlink"/>
            <w:rFonts w:ascii="FrankRuehl" w:hAnsi="FrankRuehl" w:cs="FrankRuehl"/>
            <w:u w:val="none"/>
            <w:rtl/>
          </w:rPr>
          <w:t>ג</w:t>
        </w:r>
      </w:hyperlink>
      <w:r w:rsidRPr="00AD2E9B">
        <w:rPr>
          <w:rFonts w:ascii="FrankRuehl" w:hAnsi="FrankRuehl" w:cs="FrankRuehl"/>
          <w:color w:val="0000FF"/>
          <w:rtl/>
        </w:rPr>
        <w:t xml:space="preserve">, </w:t>
      </w:r>
      <w:hyperlink r:id="rId10" w:history="1">
        <w:r w:rsidRPr="00AD2E9B">
          <w:rPr>
            <w:rStyle w:val="Hyperlink"/>
            <w:rFonts w:ascii="FrankRuehl" w:hAnsi="FrankRuehl" w:cs="FrankRuehl"/>
            <w:u w:val="none"/>
          </w:rPr>
          <w:t>13</w:t>
        </w:r>
      </w:hyperlink>
      <w:r w:rsidRPr="00AD2E9B">
        <w:rPr>
          <w:rFonts w:ascii="FrankRuehl" w:hAnsi="FrankRuehl" w:cs="FrankRuehl"/>
          <w:color w:val="0000FF"/>
          <w:rtl/>
        </w:rPr>
        <w:t xml:space="preserve">, </w:t>
      </w:r>
      <w:hyperlink r:id="rId11" w:history="1">
        <w:r w:rsidRPr="00AD2E9B">
          <w:rPr>
            <w:rStyle w:val="Hyperlink"/>
            <w:rFonts w:ascii="FrankRuehl" w:hAnsi="FrankRuehl" w:cs="FrankRuehl"/>
            <w:u w:val="none"/>
          </w:rPr>
          <w:t>19</w:t>
        </w:r>
        <w:r w:rsidRPr="00AD2E9B">
          <w:rPr>
            <w:rStyle w:val="Hyperlink"/>
            <w:rFonts w:ascii="FrankRuehl" w:hAnsi="FrankRuehl" w:cs="FrankRuehl"/>
            <w:u w:val="none"/>
            <w:rtl/>
          </w:rPr>
          <w:t>א</w:t>
        </w:r>
      </w:hyperlink>
    </w:p>
    <w:p w14:paraId="61832F07" w14:textId="77777777" w:rsidR="00552128" w:rsidRPr="00AD2E9B" w:rsidRDefault="00552128" w:rsidP="00AD2E9B">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271A" w:rsidRPr="00B50158" w14:paraId="0F917E11" w14:textId="77777777" w:rsidTr="0010271A">
        <w:trPr>
          <w:trHeight w:val="355"/>
          <w:jc w:val="center"/>
        </w:trPr>
        <w:tc>
          <w:tcPr>
            <w:tcW w:w="8820" w:type="dxa"/>
            <w:tcBorders>
              <w:top w:val="nil"/>
              <w:left w:val="nil"/>
              <w:bottom w:val="nil"/>
              <w:right w:val="nil"/>
            </w:tcBorders>
            <w:shd w:val="clear" w:color="auto" w:fill="auto"/>
          </w:tcPr>
          <w:p w14:paraId="00B00D18" w14:textId="77777777" w:rsidR="00552128" w:rsidRPr="00552128" w:rsidRDefault="00552128" w:rsidP="00552128">
            <w:pPr>
              <w:jc w:val="center"/>
              <w:rPr>
                <w:rFonts w:ascii="FrankRuehl" w:hAnsi="FrankRuehl" w:cs="FrankRuehl"/>
                <w:b/>
                <w:bCs/>
                <w:sz w:val="36"/>
                <w:szCs w:val="36"/>
                <w:rtl/>
              </w:rPr>
            </w:pPr>
            <w:bookmarkStart w:id="5" w:name="PsakDin" w:colFirst="0" w:colLast="0"/>
            <w:bookmarkEnd w:id="0"/>
            <w:r w:rsidRPr="00552128">
              <w:rPr>
                <w:rFonts w:ascii="FrankRuehl" w:hAnsi="FrankRuehl" w:cs="FrankRuehl"/>
                <w:b/>
                <w:bCs/>
                <w:sz w:val="36"/>
                <w:szCs w:val="36"/>
                <w:rtl/>
              </w:rPr>
              <w:t>גזר דין</w:t>
            </w:r>
          </w:p>
          <w:p w14:paraId="7CF2F442" w14:textId="77777777" w:rsidR="0010271A" w:rsidRPr="00552128" w:rsidRDefault="0010271A" w:rsidP="00552128">
            <w:pPr>
              <w:jc w:val="center"/>
              <w:rPr>
                <w:rFonts w:ascii="FrankRuehl" w:hAnsi="FrankRuehl" w:cs="FrankRuehl"/>
                <w:bCs/>
                <w:sz w:val="36"/>
                <w:szCs w:val="36"/>
                <w:rtl/>
              </w:rPr>
            </w:pPr>
          </w:p>
        </w:tc>
      </w:tr>
      <w:bookmarkEnd w:id="5"/>
    </w:tbl>
    <w:p w14:paraId="5B9E1B61" w14:textId="77777777" w:rsidR="0010271A" w:rsidRPr="000F2247" w:rsidRDefault="0010271A" w:rsidP="0010271A">
      <w:pPr>
        <w:rPr>
          <w:rFonts w:ascii="Arial" w:hAnsi="Arial"/>
          <w:b/>
          <w:bCs/>
          <w:sz w:val="26"/>
          <w:szCs w:val="26"/>
          <w:rtl/>
        </w:rPr>
      </w:pPr>
    </w:p>
    <w:p w14:paraId="5B8D43D5" w14:textId="77777777" w:rsidR="0010271A" w:rsidRPr="0031403D" w:rsidRDefault="0010271A" w:rsidP="0010271A">
      <w:pPr>
        <w:spacing w:line="360" w:lineRule="auto"/>
        <w:jc w:val="both"/>
        <w:rPr>
          <w:rFonts w:ascii="FrankRuehl" w:hAnsi="FrankRuehl" w:cs="FrankRuehl"/>
          <w:sz w:val="28"/>
          <w:szCs w:val="28"/>
        </w:rPr>
      </w:pPr>
      <w:r w:rsidRPr="0031403D">
        <w:rPr>
          <w:rFonts w:ascii="FrankRuehl" w:hAnsi="FrankRuehl" w:cs="FrankRuehl"/>
          <w:b/>
          <w:bCs/>
          <w:sz w:val="28"/>
          <w:szCs w:val="28"/>
          <w:u w:val="single"/>
          <w:rtl/>
        </w:rPr>
        <w:t>הכרעת הדין</w:t>
      </w:r>
    </w:p>
    <w:p w14:paraId="55703C49" w14:textId="77777777" w:rsidR="0010271A" w:rsidRPr="0031403D"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31403D">
        <w:rPr>
          <w:rFonts w:ascii="FrankRuehl" w:hAnsi="FrankRuehl" w:cs="FrankRuehl"/>
          <w:sz w:val="28"/>
          <w:szCs w:val="28"/>
          <w:rtl/>
        </w:rPr>
        <w:t>הנאשם הורשע על פי הודאתו</w:t>
      </w:r>
      <w:r>
        <w:rPr>
          <w:rFonts w:ascii="FrankRuehl" w:hAnsi="FrankRuehl" w:cs="FrankRuehl" w:hint="cs"/>
          <w:sz w:val="28"/>
          <w:szCs w:val="28"/>
          <w:rtl/>
        </w:rPr>
        <w:t>,</w:t>
      </w:r>
      <w:r>
        <w:rPr>
          <w:rFonts w:ascii="FrankRuehl" w:hAnsi="FrankRuehl" w:cs="FrankRuehl"/>
          <w:sz w:val="28"/>
          <w:szCs w:val="28"/>
          <w:rtl/>
        </w:rPr>
        <w:t xml:space="preserve"> שנית</w:t>
      </w:r>
      <w:r>
        <w:rPr>
          <w:rFonts w:ascii="FrankRuehl" w:hAnsi="FrankRuehl" w:cs="FrankRuehl" w:hint="cs"/>
          <w:sz w:val="28"/>
          <w:szCs w:val="28"/>
          <w:rtl/>
        </w:rPr>
        <w:t>נה</w:t>
      </w:r>
      <w:r w:rsidRPr="0031403D">
        <w:rPr>
          <w:rFonts w:ascii="FrankRuehl" w:hAnsi="FrankRuehl" w:cs="FrankRuehl"/>
          <w:sz w:val="28"/>
          <w:szCs w:val="28"/>
          <w:rtl/>
        </w:rPr>
        <w:t xml:space="preserve"> במסגרת הסדר טיעון</w:t>
      </w:r>
      <w:r>
        <w:rPr>
          <w:rFonts w:ascii="FrankRuehl" w:hAnsi="FrankRuehl" w:cs="FrankRuehl" w:hint="cs"/>
          <w:sz w:val="28"/>
          <w:szCs w:val="28"/>
          <w:rtl/>
        </w:rPr>
        <w:t>,</w:t>
      </w:r>
      <w:r w:rsidRPr="0031403D">
        <w:rPr>
          <w:rFonts w:ascii="FrankRuehl" w:hAnsi="FrankRuehl" w:cs="FrankRuehl"/>
          <w:sz w:val="28"/>
          <w:szCs w:val="28"/>
          <w:rtl/>
        </w:rPr>
        <w:t xml:space="preserve"> בשלוש עבירו</w:t>
      </w:r>
      <w:r>
        <w:rPr>
          <w:rFonts w:ascii="FrankRuehl" w:hAnsi="FrankRuehl" w:cs="FrankRuehl"/>
          <w:sz w:val="28"/>
          <w:szCs w:val="28"/>
          <w:rtl/>
        </w:rPr>
        <w:t>ת שיוחסו לו בכתב האישום המתוקן</w:t>
      </w:r>
      <w:r>
        <w:rPr>
          <w:rFonts w:ascii="FrankRuehl" w:hAnsi="FrankRuehl" w:cs="FrankRuehl" w:hint="cs"/>
          <w:sz w:val="28"/>
          <w:szCs w:val="28"/>
          <w:rtl/>
        </w:rPr>
        <w:t xml:space="preserve"> במסגרת שלושה אישומים </w:t>
      </w:r>
      <w:r>
        <w:rPr>
          <w:rFonts w:ascii="FrankRuehl" w:hAnsi="FrankRuehl" w:cs="FrankRuehl"/>
          <w:sz w:val="28"/>
          <w:szCs w:val="28"/>
          <w:rtl/>
        </w:rPr>
        <w:t>–</w:t>
      </w:r>
      <w:r>
        <w:rPr>
          <w:rFonts w:ascii="FrankRuehl" w:hAnsi="FrankRuehl" w:cs="FrankRuehl" w:hint="cs"/>
          <w:sz w:val="28"/>
          <w:szCs w:val="28"/>
          <w:rtl/>
        </w:rPr>
        <w:t xml:space="preserve"> שתי עבירות של </w:t>
      </w:r>
      <w:r w:rsidRPr="0031403D">
        <w:rPr>
          <w:rFonts w:ascii="FrankRuehl" w:hAnsi="FrankRuehl" w:cs="FrankRuehl"/>
          <w:sz w:val="28"/>
          <w:szCs w:val="28"/>
          <w:rtl/>
        </w:rPr>
        <w:t xml:space="preserve">יבוא סם מסוכן לפי </w:t>
      </w:r>
      <w:hyperlink r:id="rId12" w:history="1">
        <w:r w:rsidR="00AD2E9B" w:rsidRPr="00AD2E9B">
          <w:rPr>
            <w:rStyle w:val="Hyperlink"/>
            <w:rFonts w:ascii="FrankRuehl" w:hAnsi="FrankRuehl" w:cs="FrankRuehl"/>
            <w:color w:val="0000FF"/>
            <w:sz w:val="28"/>
            <w:szCs w:val="28"/>
            <w:rtl/>
          </w:rPr>
          <w:t>סעיף 13</w:t>
        </w:r>
      </w:hyperlink>
      <w:r w:rsidRPr="0031403D">
        <w:rPr>
          <w:rFonts w:ascii="FrankRuehl" w:hAnsi="FrankRuehl" w:cs="FrankRuehl"/>
          <w:sz w:val="28"/>
          <w:szCs w:val="28"/>
          <w:rtl/>
        </w:rPr>
        <w:t xml:space="preserve"> ל</w:t>
      </w:r>
      <w:hyperlink r:id="rId13" w:history="1">
        <w:r w:rsidR="00552128" w:rsidRPr="00552128">
          <w:rPr>
            <w:rFonts w:ascii="FrankRuehl" w:hAnsi="FrankRuehl" w:cs="FrankRuehl"/>
            <w:color w:val="0000FF"/>
            <w:sz w:val="28"/>
            <w:szCs w:val="28"/>
            <w:u w:val="single"/>
            <w:rtl/>
          </w:rPr>
          <w:t>פקודת הסמים המסוכנים</w:t>
        </w:r>
      </w:hyperlink>
      <w:r w:rsidRPr="0031403D">
        <w:rPr>
          <w:rFonts w:ascii="FrankRuehl" w:hAnsi="FrankRuehl" w:cs="FrankRuehl"/>
          <w:sz w:val="28"/>
          <w:szCs w:val="28"/>
          <w:rtl/>
        </w:rPr>
        <w:t>,</w:t>
      </w:r>
      <w:r>
        <w:rPr>
          <w:rFonts w:ascii="FrankRuehl" w:hAnsi="FrankRuehl" w:cs="FrankRuehl" w:hint="cs"/>
          <w:sz w:val="28"/>
          <w:szCs w:val="28"/>
          <w:rtl/>
        </w:rPr>
        <w:t xml:space="preserve"> </w:t>
      </w:r>
      <w:r w:rsidRPr="0031403D">
        <w:rPr>
          <w:rFonts w:ascii="FrankRuehl" w:hAnsi="FrankRuehl" w:cs="FrankRuehl"/>
          <w:sz w:val="28"/>
          <w:szCs w:val="28"/>
          <w:rtl/>
        </w:rPr>
        <w:t xml:space="preserve">התשל"ג-1973 (להלן: "הפקודה") בצירוף </w:t>
      </w:r>
      <w:hyperlink r:id="rId14" w:history="1">
        <w:r w:rsidR="00AD2E9B" w:rsidRPr="00AD2E9B">
          <w:rPr>
            <w:rStyle w:val="Hyperlink"/>
            <w:rFonts w:ascii="FrankRuehl" w:hAnsi="FrankRuehl" w:cs="FrankRuehl"/>
            <w:color w:val="0000FF"/>
            <w:sz w:val="28"/>
            <w:szCs w:val="28"/>
            <w:rtl/>
          </w:rPr>
          <w:t>סעיף 19א</w:t>
        </w:r>
      </w:hyperlink>
      <w:r w:rsidRPr="0031403D">
        <w:rPr>
          <w:rFonts w:ascii="FrankRuehl" w:hAnsi="FrankRuehl" w:cs="FrankRuehl"/>
          <w:sz w:val="28"/>
          <w:szCs w:val="28"/>
          <w:rtl/>
        </w:rPr>
        <w:t xml:space="preserve"> לפקודה</w:t>
      </w:r>
      <w:r>
        <w:rPr>
          <w:rFonts w:ascii="FrankRuehl" w:hAnsi="FrankRuehl" w:cs="FrankRuehl" w:hint="cs"/>
          <w:sz w:val="28"/>
          <w:szCs w:val="28"/>
          <w:rtl/>
        </w:rPr>
        <w:t xml:space="preserve">, ובעבירה של החזקה ושימוש לפי סעיף </w:t>
      </w:r>
      <w:hyperlink r:id="rId15" w:history="1">
        <w:r w:rsidR="00AD2E9B" w:rsidRPr="00AD2E9B">
          <w:rPr>
            <w:rStyle w:val="Hyperlink"/>
            <w:rFonts w:ascii="FrankRuehl" w:hAnsi="FrankRuehl" w:cs="FrankRuehl"/>
            <w:color w:val="0000FF"/>
            <w:sz w:val="28"/>
            <w:szCs w:val="28"/>
            <w:rtl/>
          </w:rPr>
          <w:t>7(א) ו-(ג)</w:t>
        </w:r>
      </w:hyperlink>
      <w:r>
        <w:rPr>
          <w:rFonts w:ascii="FrankRuehl" w:hAnsi="FrankRuehl" w:cs="FrankRuehl" w:hint="cs"/>
          <w:sz w:val="28"/>
          <w:szCs w:val="28"/>
          <w:rtl/>
        </w:rPr>
        <w:t xml:space="preserve"> סיפא לפקודה. </w:t>
      </w:r>
    </w:p>
    <w:p w14:paraId="4DC5AAAA" w14:textId="77777777" w:rsidR="0010271A" w:rsidRDefault="0010271A" w:rsidP="0010271A">
      <w:pPr>
        <w:spacing w:line="360" w:lineRule="auto"/>
        <w:jc w:val="both"/>
        <w:rPr>
          <w:rFonts w:ascii="FrankRuehl" w:hAnsi="FrankRuehl" w:cs="FrankRuehl"/>
          <w:b/>
          <w:bCs/>
          <w:sz w:val="28"/>
          <w:szCs w:val="28"/>
          <w:rtl/>
        </w:rPr>
      </w:pPr>
      <w:bookmarkStart w:id="7" w:name="ABSTRACT_END"/>
      <w:bookmarkEnd w:id="7"/>
    </w:p>
    <w:p w14:paraId="3331160C"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E15276">
        <w:rPr>
          <w:rFonts w:ascii="FrankRuehl" w:hAnsi="FrankRuehl" w:cs="FrankRuehl" w:hint="cs"/>
          <w:sz w:val="28"/>
          <w:szCs w:val="28"/>
          <w:rtl/>
        </w:rPr>
        <w:t xml:space="preserve">לפי המתואר בכתב האישום, </w:t>
      </w:r>
      <w:r w:rsidRPr="00E15276">
        <w:rPr>
          <w:rFonts w:ascii="FrankRuehl" w:hAnsi="FrankRuehl" w:cs="FrankRuehl"/>
          <w:sz w:val="28"/>
          <w:szCs w:val="28"/>
          <w:rtl/>
        </w:rPr>
        <w:t>ביום</w:t>
      </w:r>
      <w:r w:rsidRPr="0031403D">
        <w:rPr>
          <w:rFonts w:ascii="FrankRuehl" w:hAnsi="FrankRuehl" w:cs="FrankRuehl"/>
          <w:sz w:val="28"/>
          <w:szCs w:val="28"/>
          <w:rtl/>
        </w:rPr>
        <w:t xml:space="preserve"> 14.</w:t>
      </w:r>
      <w:r>
        <w:rPr>
          <w:rFonts w:ascii="FrankRuehl" w:hAnsi="FrankRuehl" w:cs="FrankRuehl" w:hint="cs"/>
          <w:sz w:val="28"/>
          <w:szCs w:val="28"/>
          <w:rtl/>
        </w:rPr>
        <w:t>0</w:t>
      </w:r>
      <w:r w:rsidRPr="0031403D">
        <w:rPr>
          <w:rFonts w:ascii="FrankRuehl" w:hAnsi="FrankRuehl" w:cs="FrankRuehl"/>
          <w:sz w:val="28"/>
          <w:szCs w:val="28"/>
          <w:rtl/>
        </w:rPr>
        <w:t xml:space="preserve">4.23 גמלה בליבו של הנאשם החלטה לייבא לארץ סם מסוכן מסוג </w:t>
      </w:r>
      <w:r w:rsidRPr="0010271A">
        <w:rPr>
          <w:rFonts w:cs="Times New Roman"/>
          <w:sz w:val="22"/>
          <w:szCs w:val="22"/>
        </w:rPr>
        <w:t>GHB</w:t>
      </w:r>
      <w:r w:rsidRPr="0031403D">
        <w:rPr>
          <w:rFonts w:ascii="FrankRuehl" w:hAnsi="FrankRuehl" w:cs="FrankRuehl"/>
          <w:sz w:val="28"/>
          <w:szCs w:val="28"/>
          <w:rtl/>
        </w:rPr>
        <w:t xml:space="preserve">. לצורך כך, נכנס הנאשם לאתר אינטרנט וביצע הזמנה על שמו של 2,000 מ"ל סם מסוכן מסוג </w:t>
      </w:r>
      <w:r w:rsidRPr="002768C0">
        <w:rPr>
          <w:rFonts w:ascii="FrankRuehl" w:hAnsi="FrankRuehl" w:cs="FrankRuehl"/>
          <w:sz w:val="22"/>
          <w:szCs w:val="22"/>
        </w:rPr>
        <w:t>GHB</w:t>
      </w:r>
      <w:r w:rsidRPr="0031403D">
        <w:rPr>
          <w:rFonts w:ascii="FrankRuehl" w:hAnsi="FrankRuehl" w:cs="FrankRuehl"/>
          <w:sz w:val="28"/>
          <w:szCs w:val="28"/>
          <w:rtl/>
        </w:rPr>
        <w:t xml:space="preserve"> בסכום של 247.18 דולר לכתובת מסוימת בירושלים. במטרה להימנע מבדיקה ולטשטש את מעשיו, ביקש הנאשם מהנציגה באתר כי על הח</w:t>
      </w:r>
      <w:r>
        <w:rPr>
          <w:rFonts w:ascii="FrankRuehl" w:hAnsi="FrankRuehl" w:cs="FrankRuehl"/>
          <w:sz w:val="28"/>
          <w:szCs w:val="28"/>
          <w:rtl/>
        </w:rPr>
        <w:t>בילה יירשם סכום של 20 דולר בלבד</w:t>
      </w:r>
      <w:r>
        <w:rPr>
          <w:rFonts w:ascii="FrankRuehl" w:hAnsi="FrankRuehl" w:cs="FrankRuehl" w:hint="cs"/>
          <w:sz w:val="28"/>
          <w:szCs w:val="28"/>
          <w:rtl/>
        </w:rPr>
        <w:t xml:space="preserve">. </w:t>
      </w:r>
      <w:r w:rsidRPr="002768C0">
        <w:rPr>
          <w:rFonts w:ascii="FrankRuehl" w:hAnsi="FrankRuehl" w:cs="FrankRuehl"/>
          <w:sz w:val="28"/>
          <w:szCs w:val="28"/>
          <w:rtl/>
        </w:rPr>
        <w:t>ביום 1.</w:t>
      </w:r>
      <w:r>
        <w:rPr>
          <w:rFonts w:ascii="FrankRuehl" w:hAnsi="FrankRuehl" w:cs="FrankRuehl" w:hint="cs"/>
          <w:sz w:val="28"/>
          <w:szCs w:val="28"/>
          <w:rtl/>
        </w:rPr>
        <w:t>0</w:t>
      </w:r>
      <w:r w:rsidRPr="002768C0">
        <w:rPr>
          <w:rFonts w:ascii="FrankRuehl" w:hAnsi="FrankRuehl" w:cs="FrankRuehl"/>
          <w:sz w:val="28"/>
          <w:szCs w:val="28"/>
          <w:rtl/>
        </w:rPr>
        <w:t xml:space="preserve">5.23 הגיעה החבילה </w:t>
      </w:r>
      <w:r>
        <w:rPr>
          <w:rFonts w:ascii="FrankRuehl" w:hAnsi="FrankRuehl" w:cs="FrankRuehl" w:hint="cs"/>
          <w:sz w:val="28"/>
          <w:szCs w:val="28"/>
          <w:rtl/>
        </w:rPr>
        <w:t xml:space="preserve">לישראל </w:t>
      </w:r>
      <w:r w:rsidRPr="002768C0">
        <w:rPr>
          <w:rFonts w:ascii="FrankRuehl" w:hAnsi="FrankRuehl" w:cs="FrankRuehl"/>
          <w:sz w:val="28"/>
          <w:szCs w:val="28"/>
          <w:rtl/>
        </w:rPr>
        <w:t xml:space="preserve">ובה ארבעה בקבוקים </w:t>
      </w:r>
      <w:r>
        <w:rPr>
          <w:rFonts w:ascii="FrankRuehl" w:hAnsi="FrankRuehl" w:cs="FrankRuehl" w:hint="cs"/>
          <w:sz w:val="28"/>
          <w:szCs w:val="28"/>
          <w:rtl/>
        </w:rPr>
        <w:t xml:space="preserve">בהם 2,000 מ"ל </w:t>
      </w:r>
      <w:r w:rsidRPr="002768C0">
        <w:rPr>
          <w:rFonts w:ascii="FrankRuehl" w:hAnsi="FrankRuehl" w:cs="FrankRuehl"/>
          <w:sz w:val="28"/>
          <w:szCs w:val="28"/>
          <w:rtl/>
        </w:rPr>
        <w:t xml:space="preserve">סם מסוכן מסוג </w:t>
      </w:r>
      <w:r w:rsidRPr="002768C0">
        <w:rPr>
          <w:rFonts w:ascii="FrankRuehl" w:hAnsi="FrankRuehl" w:cs="FrankRuehl"/>
          <w:sz w:val="22"/>
          <w:szCs w:val="22"/>
        </w:rPr>
        <w:t>BDO</w:t>
      </w:r>
      <w:r w:rsidRPr="002768C0">
        <w:rPr>
          <w:rFonts w:ascii="FrankRuehl" w:hAnsi="FrankRuehl" w:cs="FrankRuehl"/>
          <w:sz w:val="28"/>
          <w:szCs w:val="28"/>
          <w:rtl/>
        </w:rPr>
        <w:t xml:space="preserve"> למשרדי המכס בישראל. לאחר בדיקת החבילה על ידי המכס ומשטרת ישראל, </w:t>
      </w:r>
      <w:r w:rsidRPr="002768C0">
        <w:rPr>
          <w:rFonts w:ascii="FrankRuehl" w:hAnsi="FrankRuehl" w:cs="FrankRuehl"/>
          <w:sz w:val="28"/>
          <w:szCs w:val="28"/>
          <w:rtl/>
        </w:rPr>
        <w:lastRenderedPageBreak/>
        <w:t>התגלה כי הבקבוקים מלאים בנוזלי הסם המסוכן.</w:t>
      </w:r>
      <w:r>
        <w:rPr>
          <w:rFonts w:ascii="FrankRuehl" w:hAnsi="FrankRuehl" w:cs="FrankRuehl" w:hint="cs"/>
          <w:sz w:val="28"/>
          <w:szCs w:val="28"/>
          <w:rtl/>
        </w:rPr>
        <w:t xml:space="preserve"> </w:t>
      </w:r>
      <w:r w:rsidRPr="0031403D">
        <w:rPr>
          <w:rFonts w:ascii="FrankRuehl" w:hAnsi="FrankRuehl" w:cs="FrankRuehl"/>
          <w:sz w:val="28"/>
          <w:szCs w:val="28"/>
          <w:rtl/>
        </w:rPr>
        <w:t>ביום 4.</w:t>
      </w:r>
      <w:r>
        <w:rPr>
          <w:rFonts w:ascii="FrankRuehl" w:hAnsi="FrankRuehl" w:cs="FrankRuehl" w:hint="cs"/>
          <w:sz w:val="28"/>
          <w:szCs w:val="28"/>
          <w:rtl/>
        </w:rPr>
        <w:t>0</w:t>
      </w:r>
      <w:r w:rsidRPr="0031403D">
        <w:rPr>
          <w:rFonts w:ascii="FrankRuehl" w:hAnsi="FrankRuehl" w:cs="FrankRuehl"/>
          <w:sz w:val="28"/>
          <w:szCs w:val="28"/>
          <w:rtl/>
        </w:rPr>
        <w:t>5.23, במסגרת פעילות משטרתית יזומה, הוחלפו נוזלי הסם המסוכן למים, ושוטר, כשהוא מתחזה לשליח, העביר את החבילה לידי הנאשם שהיה ברכבו</w:t>
      </w:r>
      <w:r>
        <w:rPr>
          <w:rFonts w:ascii="FrankRuehl" w:hAnsi="FrankRuehl" w:cs="FrankRuehl" w:hint="cs"/>
          <w:sz w:val="28"/>
          <w:szCs w:val="28"/>
          <w:rtl/>
        </w:rPr>
        <w:t xml:space="preserve"> (להלן: "האישום הראשון"). </w:t>
      </w:r>
    </w:p>
    <w:p w14:paraId="7D279F79" w14:textId="77777777" w:rsidR="0010271A" w:rsidRDefault="0010271A" w:rsidP="0010271A">
      <w:pPr>
        <w:spacing w:line="360" w:lineRule="auto"/>
        <w:jc w:val="both"/>
        <w:rPr>
          <w:rFonts w:ascii="FrankRuehl" w:hAnsi="FrankRuehl" w:cs="FrankRuehl"/>
          <w:sz w:val="28"/>
          <w:szCs w:val="28"/>
          <w:rtl/>
        </w:rPr>
      </w:pPr>
    </w:p>
    <w:p w14:paraId="741DF258"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יותר מחודש קודם לכן, ע</w:t>
      </w:r>
      <w:r w:rsidRPr="002768C0">
        <w:rPr>
          <w:rFonts w:ascii="FrankRuehl" w:hAnsi="FrankRuehl" w:cs="FrankRuehl"/>
          <w:sz w:val="28"/>
          <w:szCs w:val="28"/>
          <w:rtl/>
        </w:rPr>
        <w:t>ובר ליום 17.</w:t>
      </w:r>
      <w:r>
        <w:rPr>
          <w:rFonts w:ascii="FrankRuehl" w:hAnsi="FrankRuehl" w:cs="FrankRuehl" w:hint="cs"/>
          <w:sz w:val="28"/>
          <w:szCs w:val="28"/>
          <w:rtl/>
        </w:rPr>
        <w:t>0</w:t>
      </w:r>
      <w:r w:rsidRPr="002768C0">
        <w:rPr>
          <w:rFonts w:ascii="FrankRuehl" w:hAnsi="FrankRuehl" w:cs="FrankRuehl"/>
          <w:sz w:val="28"/>
          <w:szCs w:val="28"/>
          <w:rtl/>
        </w:rPr>
        <w:t xml:space="preserve">3.23, גמלה בליבו של הנאשם החלטה לייבא לארץ סם מסוכן מסוג </w:t>
      </w:r>
      <w:r w:rsidRPr="0010271A">
        <w:rPr>
          <w:rFonts w:cs="Times New Roman"/>
          <w:sz w:val="22"/>
          <w:szCs w:val="22"/>
        </w:rPr>
        <w:t>GHB</w:t>
      </w:r>
      <w:r w:rsidRPr="002768C0">
        <w:rPr>
          <w:rFonts w:ascii="FrankRuehl" w:hAnsi="FrankRuehl" w:cs="FrankRuehl"/>
          <w:sz w:val="28"/>
          <w:szCs w:val="28"/>
          <w:rtl/>
        </w:rPr>
        <w:t xml:space="preserve">. לצורך כך, נכנס הנאשם לאתר אינטרנט וביצע הזמנה על שמו של 1,000 מ"ל סם מסוכן מסוג </w:t>
      </w:r>
      <w:r w:rsidRPr="0010271A">
        <w:rPr>
          <w:rFonts w:cs="Times New Roman"/>
          <w:sz w:val="22"/>
          <w:szCs w:val="22"/>
        </w:rPr>
        <w:t>GHB</w:t>
      </w:r>
      <w:r w:rsidRPr="0010271A">
        <w:rPr>
          <w:rFonts w:cs="Times New Roman"/>
          <w:sz w:val="22"/>
          <w:szCs w:val="22"/>
          <w:rtl/>
        </w:rPr>
        <w:t xml:space="preserve"> </w:t>
      </w:r>
      <w:r w:rsidRPr="002768C0">
        <w:rPr>
          <w:rFonts w:ascii="FrankRuehl" w:hAnsi="FrankRuehl" w:cs="FrankRuehl"/>
          <w:sz w:val="28"/>
          <w:szCs w:val="28"/>
          <w:rtl/>
        </w:rPr>
        <w:t>בסכום של 150 דולר.</w:t>
      </w:r>
      <w:r>
        <w:rPr>
          <w:rFonts w:ascii="FrankRuehl" w:hAnsi="FrankRuehl" w:cs="FrankRuehl" w:hint="cs"/>
          <w:sz w:val="28"/>
          <w:szCs w:val="28"/>
          <w:rtl/>
        </w:rPr>
        <w:t xml:space="preserve"> ביו</w:t>
      </w:r>
      <w:r w:rsidRPr="0031403D">
        <w:rPr>
          <w:rFonts w:ascii="FrankRuehl" w:hAnsi="FrankRuehl" w:cs="FrankRuehl"/>
          <w:sz w:val="28"/>
          <w:szCs w:val="28"/>
          <w:rtl/>
        </w:rPr>
        <w:t>ם 2.</w:t>
      </w:r>
      <w:r>
        <w:rPr>
          <w:rFonts w:ascii="FrankRuehl" w:hAnsi="FrankRuehl" w:cs="FrankRuehl" w:hint="cs"/>
          <w:sz w:val="28"/>
          <w:szCs w:val="28"/>
          <w:rtl/>
        </w:rPr>
        <w:t>0</w:t>
      </w:r>
      <w:r w:rsidRPr="0031403D">
        <w:rPr>
          <w:rFonts w:ascii="FrankRuehl" w:hAnsi="FrankRuehl" w:cs="FrankRuehl"/>
          <w:sz w:val="28"/>
          <w:szCs w:val="28"/>
          <w:rtl/>
        </w:rPr>
        <w:t>4.23 הגיעה החב</w:t>
      </w:r>
      <w:r>
        <w:rPr>
          <w:rFonts w:ascii="FrankRuehl" w:hAnsi="FrankRuehl" w:cs="FrankRuehl" w:hint="cs"/>
          <w:sz w:val="28"/>
          <w:szCs w:val="28"/>
          <w:rtl/>
        </w:rPr>
        <w:t>י</w:t>
      </w:r>
      <w:r w:rsidRPr="0031403D">
        <w:rPr>
          <w:rFonts w:ascii="FrankRuehl" w:hAnsi="FrankRuehl" w:cs="FrankRuehl"/>
          <w:sz w:val="28"/>
          <w:szCs w:val="28"/>
          <w:rtl/>
        </w:rPr>
        <w:t xml:space="preserve">לה לישראל, ובהמשך לידי הנאשם. בדרך זו הכניס הנאשם לתחומי מדינת ישראל כמות של 1,000 מ"ל סם מסוכן מסוג </w:t>
      </w:r>
      <w:r w:rsidRPr="0010271A">
        <w:rPr>
          <w:rFonts w:cs="Times New Roman"/>
          <w:sz w:val="22"/>
          <w:szCs w:val="22"/>
        </w:rPr>
        <w:t>GHB</w:t>
      </w:r>
      <w:r w:rsidRPr="0031403D">
        <w:rPr>
          <w:rFonts w:ascii="FrankRuehl" w:hAnsi="FrankRuehl" w:cs="FrankRuehl"/>
          <w:sz w:val="28"/>
          <w:szCs w:val="28"/>
          <w:rtl/>
        </w:rPr>
        <w:t xml:space="preserve"> או </w:t>
      </w:r>
      <w:r w:rsidRPr="0010271A">
        <w:rPr>
          <w:rFonts w:cs="Times New Roman"/>
          <w:sz w:val="22"/>
          <w:szCs w:val="22"/>
        </w:rPr>
        <w:t>BDO</w:t>
      </w:r>
      <w:r w:rsidRPr="0031403D">
        <w:rPr>
          <w:rFonts w:ascii="FrankRuehl" w:hAnsi="FrankRuehl" w:cs="FrankRuehl"/>
          <w:sz w:val="28"/>
          <w:szCs w:val="28"/>
          <w:rtl/>
        </w:rPr>
        <w:t xml:space="preserve"> ב-2 בקבוקים</w:t>
      </w:r>
      <w:r>
        <w:rPr>
          <w:rFonts w:ascii="FrankRuehl" w:hAnsi="FrankRuehl" w:cs="FrankRuehl" w:hint="cs"/>
          <w:sz w:val="28"/>
          <w:szCs w:val="28"/>
          <w:rtl/>
        </w:rPr>
        <w:t xml:space="preserve"> (להלן: "האישום השני")</w:t>
      </w:r>
      <w:r w:rsidRPr="0031403D">
        <w:rPr>
          <w:rFonts w:ascii="FrankRuehl" w:hAnsi="FrankRuehl" w:cs="FrankRuehl"/>
          <w:sz w:val="28"/>
          <w:szCs w:val="28"/>
          <w:rtl/>
        </w:rPr>
        <w:t>.</w:t>
      </w:r>
    </w:p>
    <w:p w14:paraId="3BE710E1" w14:textId="77777777" w:rsidR="0010271A" w:rsidRDefault="0010271A" w:rsidP="0010271A">
      <w:pPr>
        <w:spacing w:line="360" w:lineRule="auto"/>
        <w:jc w:val="both"/>
        <w:rPr>
          <w:rFonts w:ascii="FrankRuehl" w:hAnsi="FrankRuehl" w:cs="FrankRuehl"/>
          <w:sz w:val="28"/>
          <w:szCs w:val="28"/>
          <w:rtl/>
        </w:rPr>
      </w:pPr>
    </w:p>
    <w:p w14:paraId="2A7F6BC5"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עוד צוין בכתב האישום, </w:t>
      </w:r>
      <w:r w:rsidRPr="0031403D">
        <w:rPr>
          <w:rFonts w:ascii="FrankRuehl" w:hAnsi="FrankRuehl" w:cs="FrankRuehl"/>
          <w:sz w:val="28"/>
          <w:szCs w:val="28"/>
          <w:rtl/>
        </w:rPr>
        <w:t>כי במועד שאינו ידוע במדויק למאשימה, ועד ליום 4.</w:t>
      </w:r>
      <w:r>
        <w:rPr>
          <w:rFonts w:ascii="FrankRuehl" w:hAnsi="FrankRuehl" w:cs="FrankRuehl" w:hint="cs"/>
          <w:sz w:val="28"/>
          <w:szCs w:val="28"/>
          <w:rtl/>
        </w:rPr>
        <w:t>0</w:t>
      </w:r>
      <w:r w:rsidRPr="0031403D">
        <w:rPr>
          <w:rFonts w:ascii="FrankRuehl" w:hAnsi="FrankRuehl" w:cs="FrankRuehl"/>
          <w:sz w:val="28"/>
          <w:szCs w:val="28"/>
          <w:rtl/>
        </w:rPr>
        <w:t xml:space="preserve">5.23, החזיק הנאשם ברכבו שני בקבוקים ובתוכם סם מסוכן מסוג </w:t>
      </w:r>
      <w:r w:rsidRPr="00E15276">
        <w:rPr>
          <w:rFonts w:ascii="FrankRuehl" w:hAnsi="FrankRuehl" w:cs="FrankRuehl"/>
          <w:sz w:val="22"/>
          <w:szCs w:val="22"/>
        </w:rPr>
        <w:t>GBL</w:t>
      </w:r>
      <w:r w:rsidRPr="0031403D">
        <w:rPr>
          <w:rFonts w:ascii="FrankRuehl" w:hAnsi="FrankRuehl" w:cs="FrankRuehl"/>
          <w:sz w:val="28"/>
          <w:szCs w:val="28"/>
          <w:rtl/>
        </w:rPr>
        <w:t xml:space="preserve"> בכמות של 17.5 מ"ל.</w:t>
      </w:r>
    </w:p>
    <w:p w14:paraId="75562AD9" w14:textId="77777777" w:rsidR="0010271A" w:rsidRPr="0031403D" w:rsidRDefault="0010271A" w:rsidP="0010271A">
      <w:pPr>
        <w:spacing w:line="360" w:lineRule="auto"/>
        <w:jc w:val="both"/>
        <w:rPr>
          <w:rFonts w:ascii="FrankRuehl" w:hAnsi="FrankRuehl" w:cs="FrankRuehl"/>
          <w:b/>
          <w:bCs/>
          <w:sz w:val="28"/>
          <w:szCs w:val="28"/>
        </w:rPr>
      </w:pPr>
      <w:r w:rsidRPr="0031403D">
        <w:rPr>
          <w:rFonts w:ascii="FrankRuehl" w:hAnsi="FrankRuehl" w:cs="FrankRuehl"/>
          <w:sz w:val="28"/>
          <w:szCs w:val="28"/>
          <w:rtl/>
        </w:rPr>
        <w:t xml:space="preserve"> </w:t>
      </w:r>
    </w:p>
    <w:p w14:paraId="05B6AF36" w14:textId="77777777"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תסקיר שירות המבחן</w:t>
      </w:r>
    </w:p>
    <w:p w14:paraId="4C6C5F24"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E15276">
        <w:rPr>
          <w:rFonts w:ascii="FrankRuehl" w:hAnsi="FrankRuehl" w:cs="FrankRuehl"/>
          <w:sz w:val="28"/>
          <w:szCs w:val="28"/>
          <w:rtl/>
        </w:rPr>
        <w:t>נתבקש והוגש תסקיר שירות מבחן, ממנו נלמד אודות הנאשם.</w:t>
      </w:r>
      <w:r>
        <w:rPr>
          <w:rFonts w:ascii="FrankRuehl" w:hAnsi="FrankRuehl" w:cs="FrankRuehl" w:hint="cs"/>
          <w:sz w:val="28"/>
          <w:szCs w:val="28"/>
          <w:rtl/>
        </w:rPr>
        <w:t xml:space="preserve"> </w:t>
      </w:r>
      <w:r w:rsidRPr="00E15276">
        <w:rPr>
          <w:rFonts w:ascii="FrankRuehl" w:hAnsi="FrankRuehl" w:cs="FrankRuehl"/>
          <w:sz w:val="28"/>
          <w:szCs w:val="28"/>
          <w:rtl/>
        </w:rPr>
        <w:t>מהתסקיר עולה כי הנאשם נולד וגדל במשפחה מוסלמית בת חמישה ילדים</w:t>
      </w:r>
      <w:r>
        <w:rPr>
          <w:rFonts w:ascii="FrankRuehl" w:hAnsi="FrankRuehl" w:cs="FrankRuehl" w:hint="cs"/>
          <w:sz w:val="28"/>
          <w:szCs w:val="28"/>
          <w:rtl/>
        </w:rPr>
        <w:t xml:space="preserve">. </w:t>
      </w:r>
      <w:r w:rsidRPr="00E15276">
        <w:rPr>
          <w:rFonts w:ascii="FrankRuehl" w:hAnsi="FrankRuehl" w:cs="FrankRuehl"/>
          <w:sz w:val="28"/>
          <w:szCs w:val="28"/>
          <w:rtl/>
        </w:rPr>
        <w:t xml:space="preserve">הנאשם תיאר את הוריו כאנשים אוהבים ודואגים, התומכים בילדיהם על בחירותיהם, אך </w:t>
      </w:r>
      <w:r>
        <w:rPr>
          <w:rFonts w:ascii="FrankRuehl" w:hAnsi="FrankRuehl" w:cs="FrankRuehl" w:hint="cs"/>
          <w:sz w:val="28"/>
          <w:szCs w:val="28"/>
          <w:rtl/>
        </w:rPr>
        <w:t xml:space="preserve">למרות זאת הוא לא חשף בפניהם את </w:t>
      </w:r>
      <w:r w:rsidRPr="00E15276">
        <w:rPr>
          <w:rFonts w:ascii="FrankRuehl" w:hAnsi="FrankRuehl" w:cs="FrankRuehl"/>
          <w:sz w:val="28"/>
          <w:szCs w:val="28"/>
          <w:rtl/>
        </w:rPr>
        <w:t>נט</w:t>
      </w:r>
      <w:r>
        <w:rPr>
          <w:rFonts w:ascii="FrankRuehl" w:hAnsi="FrankRuehl" w:cs="FrankRuehl" w:hint="cs"/>
          <w:sz w:val="28"/>
          <w:szCs w:val="28"/>
          <w:rtl/>
        </w:rPr>
        <w:t>י</w:t>
      </w:r>
      <w:r w:rsidRPr="00E15276">
        <w:rPr>
          <w:rFonts w:ascii="FrankRuehl" w:hAnsi="FrankRuehl" w:cs="FrankRuehl"/>
          <w:sz w:val="28"/>
          <w:szCs w:val="28"/>
          <w:rtl/>
        </w:rPr>
        <w:t>יתו ה</w:t>
      </w:r>
      <w:r>
        <w:rPr>
          <w:rFonts w:ascii="FrankRuehl" w:hAnsi="FrankRuehl" w:cs="FrankRuehl" w:hint="cs"/>
          <w:sz w:val="28"/>
          <w:szCs w:val="28"/>
          <w:rtl/>
        </w:rPr>
        <w:t>חד-</w:t>
      </w:r>
      <w:r w:rsidRPr="00E15276">
        <w:rPr>
          <w:rFonts w:ascii="FrankRuehl" w:hAnsi="FrankRuehl" w:cs="FrankRuehl"/>
          <w:sz w:val="28"/>
          <w:szCs w:val="28"/>
          <w:rtl/>
        </w:rPr>
        <w:t>מיני</w:t>
      </w:r>
      <w:r>
        <w:rPr>
          <w:rFonts w:ascii="FrankRuehl" w:hAnsi="FrankRuehl" w:cs="FrankRuehl"/>
          <w:sz w:val="28"/>
          <w:szCs w:val="28"/>
          <w:rtl/>
        </w:rPr>
        <w:t>ת</w:t>
      </w:r>
      <w:r>
        <w:rPr>
          <w:rFonts w:ascii="FrankRuehl" w:hAnsi="FrankRuehl" w:cs="FrankRuehl" w:hint="cs"/>
          <w:sz w:val="28"/>
          <w:szCs w:val="28"/>
          <w:rtl/>
        </w:rPr>
        <w:t xml:space="preserve">, גם לאחר שהתוודע לנטייתו זו בהיותו כבן 18, </w:t>
      </w:r>
      <w:r>
        <w:rPr>
          <w:rFonts w:ascii="FrankRuehl" w:hAnsi="FrankRuehl" w:cs="FrankRuehl"/>
          <w:sz w:val="28"/>
          <w:szCs w:val="28"/>
          <w:rtl/>
        </w:rPr>
        <w:t>בשל החשש שלא יקבלו את אורח חיי</w:t>
      </w:r>
      <w:r>
        <w:rPr>
          <w:rFonts w:ascii="FrankRuehl" w:hAnsi="FrankRuehl" w:cs="FrankRuehl" w:hint="cs"/>
          <w:sz w:val="28"/>
          <w:szCs w:val="28"/>
          <w:rtl/>
        </w:rPr>
        <w:t>ו</w:t>
      </w:r>
      <w:r w:rsidRPr="00E15276">
        <w:rPr>
          <w:rFonts w:ascii="FrankRuehl" w:hAnsi="FrankRuehl" w:cs="FrankRuehl"/>
          <w:sz w:val="28"/>
          <w:szCs w:val="28"/>
          <w:rtl/>
        </w:rPr>
        <w:t xml:space="preserve"> ו</w:t>
      </w:r>
      <w:r>
        <w:rPr>
          <w:rFonts w:ascii="FrankRuehl" w:hAnsi="FrankRuehl" w:cs="FrankRuehl" w:hint="cs"/>
          <w:sz w:val="28"/>
          <w:szCs w:val="28"/>
          <w:rtl/>
        </w:rPr>
        <w:t xml:space="preserve">מרצון שלא יעסקו בדאגה מרובה לו. </w:t>
      </w:r>
      <w:r w:rsidRPr="0031403D">
        <w:rPr>
          <w:rFonts w:ascii="FrankRuehl" w:hAnsi="FrankRuehl" w:cs="FrankRuehl"/>
          <w:sz w:val="28"/>
          <w:szCs w:val="28"/>
          <w:rtl/>
        </w:rPr>
        <w:t xml:space="preserve">בהיותו בן 25 התחתן </w:t>
      </w:r>
      <w:r>
        <w:rPr>
          <w:rFonts w:ascii="FrankRuehl" w:hAnsi="FrankRuehl" w:cs="FrankRuehl" w:hint="cs"/>
          <w:sz w:val="28"/>
          <w:szCs w:val="28"/>
          <w:rtl/>
        </w:rPr>
        <w:t xml:space="preserve">ולו ולאשתו דאז נולדו </w:t>
      </w:r>
      <w:r w:rsidRPr="0031403D">
        <w:rPr>
          <w:rFonts w:ascii="FrankRuehl" w:hAnsi="FrankRuehl" w:cs="FrankRuehl"/>
          <w:sz w:val="28"/>
          <w:szCs w:val="28"/>
          <w:rtl/>
        </w:rPr>
        <w:t xml:space="preserve">שני ילדים. לפני כארבע שנים </w:t>
      </w:r>
      <w:r>
        <w:rPr>
          <w:rFonts w:ascii="FrankRuehl" w:hAnsi="FrankRuehl" w:cs="FrankRuehl" w:hint="cs"/>
          <w:sz w:val="28"/>
          <w:szCs w:val="28"/>
          <w:rtl/>
        </w:rPr>
        <w:t xml:space="preserve">הם </w:t>
      </w:r>
      <w:r w:rsidRPr="0031403D">
        <w:rPr>
          <w:rFonts w:ascii="FrankRuehl" w:hAnsi="FrankRuehl" w:cs="FrankRuehl"/>
          <w:sz w:val="28"/>
          <w:szCs w:val="28"/>
          <w:rtl/>
        </w:rPr>
        <w:t>התגרש</w:t>
      </w:r>
      <w:r>
        <w:rPr>
          <w:rFonts w:ascii="FrankRuehl" w:hAnsi="FrankRuehl" w:cs="FrankRuehl" w:hint="cs"/>
          <w:sz w:val="28"/>
          <w:szCs w:val="28"/>
          <w:rtl/>
        </w:rPr>
        <w:t xml:space="preserve">ו, והם מגדלים את ילדיהם </w:t>
      </w:r>
      <w:r w:rsidRPr="0031403D">
        <w:rPr>
          <w:rFonts w:ascii="FrankRuehl" w:hAnsi="FrankRuehl" w:cs="FrankRuehl"/>
          <w:sz w:val="28"/>
          <w:szCs w:val="28"/>
          <w:rtl/>
        </w:rPr>
        <w:t>במשמורת משותפת</w:t>
      </w:r>
      <w:r>
        <w:rPr>
          <w:rFonts w:ascii="FrankRuehl" w:hAnsi="FrankRuehl" w:cs="FrankRuehl" w:hint="cs"/>
          <w:sz w:val="28"/>
          <w:szCs w:val="28"/>
          <w:rtl/>
        </w:rPr>
        <w:t xml:space="preserve">. הנאשם שלל שימוש בסמים אך תאר </w:t>
      </w:r>
      <w:r w:rsidRPr="0031403D">
        <w:rPr>
          <w:rFonts w:ascii="FrankRuehl" w:hAnsi="FrankRuehl" w:cs="FrankRuehl"/>
          <w:sz w:val="28"/>
          <w:szCs w:val="28"/>
          <w:rtl/>
        </w:rPr>
        <w:t xml:space="preserve">שתיית אלכוהול באופן מבוקר ולעיתים רחוקות. </w:t>
      </w:r>
      <w:r>
        <w:rPr>
          <w:rFonts w:ascii="FrankRuehl" w:hAnsi="FrankRuehl" w:cs="FrankRuehl" w:hint="cs"/>
          <w:sz w:val="28"/>
          <w:szCs w:val="28"/>
          <w:rtl/>
        </w:rPr>
        <w:t xml:space="preserve">יתר הפרטים המפורטים בתסקיר לא יפורטו בשל צנעת הפרט. </w:t>
      </w:r>
    </w:p>
    <w:p w14:paraId="748ACE94" w14:textId="77777777" w:rsidR="0010271A" w:rsidRDefault="0010271A" w:rsidP="0010271A">
      <w:pPr>
        <w:spacing w:line="360" w:lineRule="auto"/>
        <w:jc w:val="both"/>
        <w:rPr>
          <w:rFonts w:ascii="FrankRuehl" w:hAnsi="FrankRuehl" w:cs="FrankRuehl"/>
          <w:sz w:val="28"/>
          <w:szCs w:val="28"/>
          <w:rtl/>
        </w:rPr>
      </w:pPr>
    </w:p>
    <w:p w14:paraId="0C23F031"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קצינת המבחן ציינה כי הנאשם נטל </w:t>
      </w:r>
      <w:r w:rsidRPr="00C043A7">
        <w:rPr>
          <w:rFonts w:ascii="FrankRuehl" w:hAnsi="FrankRuehl" w:cs="FrankRuehl"/>
          <w:sz w:val="28"/>
          <w:szCs w:val="28"/>
          <w:rtl/>
        </w:rPr>
        <w:t xml:space="preserve">אחריות על ביצוע העבירות </w:t>
      </w:r>
      <w:r>
        <w:rPr>
          <w:rFonts w:ascii="FrankRuehl" w:hAnsi="FrankRuehl" w:cs="FrankRuehl" w:hint="cs"/>
          <w:sz w:val="28"/>
          <w:szCs w:val="28"/>
          <w:rtl/>
        </w:rPr>
        <w:t>וה</w:t>
      </w:r>
      <w:r w:rsidRPr="00C043A7">
        <w:rPr>
          <w:rFonts w:ascii="FrankRuehl" w:hAnsi="FrankRuehl" w:cs="FrankRuehl"/>
          <w:sz w:val="28"/>
          <w:szCs w:val="28"/>
          <w:rtl/>
        </w:rPr>
        <w:t>ביע צער וחרטה על ביצוען. לטענתו, הוא היה נתון ללחץ נפשי כבד מצד הוריו</w:t>
      </w:r>
      <w:r>
        <w:rPr>
          <w:rFonts w:ascii="FrankRuehl" w:hAnsi="FrankRuehl" w:cs="FrankRuehl" w:hint="cs"/>
          <w:sz w:val="28"/>
          <w:szCs w:val="28"/>
          <w:rtl/>
        </w:rPr>
        <w:t>, שטרם התוודעו לנטייתו המינית,</w:t>
      </w:r>
      <w:r w:rsidRPr="00C043A7">
        <w:rPr>
          <w:rFonts w:ascii="FrankRuehl" w:hAnsi="FrankRuehl" w:cs="FrankRuehl"/>
          <w:sz w:val="28"/>
          <w:szCs w:val="28"/>
          <w:rtl/>
        </w:rPr>
        <w:t xml:space="preserve"> שדחקו בו להינשא בשנית. </w:t>
      </w:r>
      <w:r>
        <w:rPr>
          <w:rFonts w:ascii="FrankRuehl" w:hAnsi="FrankRuehl" w:cs="FrankRuehl" w:hint="cs"/>
          <w:sz w:val="28"/>
          <w:szCs w:val="28"/>
          <w:rtl/>
        </w:rPr>
        <w:t xml:space="preserve">הוא סבר כי השימוש בסם יספק לו את תחושת האומץ </w:t>
      </w:r>
      <w:r w:rsidRPr="00C043A7">
        <w:rPr>
          <w:rFonts w:ascii="FrankRuehl" w:hAnsi="FrankRuehl" w:cs="FrankRuehl"/>
          <w:sz w:val="28"/>
          <w:szCs w:val="28"/>
          <w:rtl/>
        </w:rPr>
        <w:t>לשת</w:t>
      </w:r>
      <w:r>
        <w:rPr>
          <w:rFonts w:ascii="FrankRuehl" w:hAnsi="FrankRuehl" w:cs="FrankRuehl" w:hint="cs"/>
          <w:sz w:val="28"/>
          <w:szCs w:val="28"/>
          <w:rtl/>
        </w:rPr>
        <w:t xml:space="preserve">ף את הוריו </w:t>
      </w:r>
      <w:r w:rsidRPr="00C043A7">
        <w:rPr>
          <w:rFonts w:ascii="FrankRuehl" w:hAnsi="FrankRuehl" w:cs="FrankRuehl"/>
          <w:sz w:val="28"/>
          <w:szCs w:val="28"/>
          <w:rtl/>
        </w:rPr>
        <w:t>בתחושותיו</w:t>
      </w:r>
      <w:r>
        <w:rPr>
          <w:rFonts w:ascii="FrankRuehl" w:hAnsi="FrankRuehl" w:cs="FrankRuehl" w:hint="cs"/>
          <w:sz w:val="28"/>
          <w:szCs w:val="28"/>
          <w:rtl/>
        </w:rPr>
        <w:t xml:space="preserve">. הנאשם ציין, כי במטרה </w:t>
      </w:r>
      <w:r w:rsidRPr="00C043A7">
        <w:rPr>
          <w:rFonts w:ascii="FrankRuehl" w:hAnsi="FrankRuehl" w:cs="FrankRuehl"/>
          <w:sz w:val="28"/>
          <w:szCs w:val="28"/>
          <w:rtl/>
        </w:rPr>
        <w:t xml:space="preserve">להימנע ממפגש עם סוחרי סמים, הוא הזמין סמים מחו"ל את הכמות הנמוכה ביותר שהיה ניתן לקנות מחברה המוכרת בסיטונאות. </w:t>
      </w:r>
      <w:r>
        <w:rPr>
          <w:rFonts w:ascii="FrankRuehl" w:hAnsi="FrankRuehl" w:cs="FrankRuehl" w:hint="cs"/>
          <w:sz w:val="28"/>
          <w:szCs w:val="28"/>
          <w:rtl/>
        </w:rPr>
        <w:t>הוא ש</w:t>
      </w:r>
      <w:r w:rsidRPr="00C043A7">
        <w:rPr>
          <w:rFonts w:ascii="FrankRuehl" w:hAnsi="FrankRuehl" w:cs="FrankRuehl"/>
          <w:sz w:val="28"/>
          <w:szCs w:val="28"/>
          <w:rtl/>
        </w:rPr>
        <w:t>לל כוונה למכור סמים ורצון לערוך שימוש נוסף בסם.</w:t>
      </w:r>
      <w:r>
        <w:rPr>
          <w:rFonts w:ascii="FrankRuehl" w:hAnsi="FrankRuehl" w:cs="FrankRuehl" w:hint="cs"/>
          <w:sz w:val="28"/>
          <w:szCs w:val="28"/>
          <w:rtl/>
        </w:rPr>
        <w:t xml:space="preserve"> לאחר סקירת הסיכונים להישנות העבירות אל מול הסיכויים </w:t>
      </w:r>
      <w:r>
        <w:rPr>
          <w:rFonts w:ascii="FrankRuehl" w:hAnsi="FrankRuehl" w:cs="FrankRuehl" w:hint="cs"/>
          <w:sz w:val="28"/>
          <w:szCs w:val="28"/>
          <w:rtl/>
        </w:rPr>
        <w:lastRenderedPageBreak/>
        <w:t xml:space="preserve">לשיקום הנאשם, באה קצינת המבחן להימנע מהשתת עונש מאסר בפועל מאחורי סורג ובריח, אך נוכח חומרת העבירות הומלץ על עונש מאסר בעבודות שירות </w:t>
      </w:r>
      <w:r w:rsidRPr="0031403D">
        <w:rPr>
          <w:rFonts w:ascii="FrankRuehl" w:hAnsi="FrankRuehl" w:cs="FrankRuehl"/>
          <w:sz w:val="28"/>
          <w:szCs w:val="28"/>
          <w:rtl/>
        </w:rPr>
        <w:t>לצד הטלת צו מבחן למשך שנה.</w:t>
      </w:r>
    </w:p>
    <w:p w14:paraId="59C234FB" w14:textId="77777777" w:rsidR="0010271A" w:rsidRPr="0031403D" w:rsidRDefault="0010271A" w:rsidP="0010271A">
      <w:pPr>
        <w:spacing w:line="360" w:lineRule="auto"/>
        <w:jc w:val="both"/>
        <w:rPr>
          <w:rFonts w:ascii="FrankRuehl" w:hAnsi="FrankRuehl" w:cs="FrankRuehl"/>
          <w:sz w:val="28"/>
          <w:szCs w:val="28"/>
        </w:rPr>
      </w:pPr>
    </w:p>
    <w:p w14:paraId="0A776F55" w14:textId="77777777" w:rsidR="0010271A" w:rsidRPr="0031403D" w:rsidRDefault="0010271A" w:rsidP="0010271A">
      <w:pPr>
        <w:spacing w:line="360" w:lineRule="auto"/>
        <w:jc w:val="both"/>
        <w:rPr>
          <w:rFonts w:ascii="FrankRuehl" w:hAnsi="FrankRuehl" w:cs="FrankRuehl"/>
          <w:sz w:val="28"/>
          <w:szCs w:val="28"/>
        </w:rPr>
      </w:pPr>
      <w:r w:rsidRPr="0031403D">
        <w:rPr>
          <w:rFonts w:ascii="FrankRuehl" w:hAnsi="FrankRuehl" w:cs="FrankRuehl"/>
          <w:b/>
          <w:bCs/>
          <w:sz w:val="28"/>
          <w:szCs w:val="28"/>
          <w:u w:val="single"/>
          <w:rtl/>
        </w:rPr>
        <w:t>הראיות לעונש</w:t>
      </w:r>
    </w:p>
    <w:p w14:paraId="22F6C3CE"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AC77ED">
        <w:rPr>
          <w:rFonts w:ascii="FrankRuehl" w:hAnsi="FrankRuehl" w:cs="FrankRuehl"/>
          <w:sz w:val="28"/>
          <w:szCs w:val="28"/>
          <w:rtl/>
        </w:rPr>
        <w:t xml:space="preserve">לצדו של הנאשם התייצבו אביו ואמו. אביו סיפר על מערכת היחסים החמה והדואגת עם הנאשם </w:t>
      </w:r>
      <w:r>
        <w:rPr>
          <w:rFonts w:ascii="FrankRuehl" w:hAnsi="FrankRuehl" w:cs="FrankRuehl" w:hint="cs"/>
          <w:sz w:val="28"/>
          <w:szCs w:val="28"/>
          <w:rtl/>
        </w:rPr>
        <w:t xml:space="preserve">וציין </w:t>
      </w:r>
      <w:r w:rsidRPr="00AC77ED">
        <w:rPr>
          <w:rFonts w:ascii="FrankRuehl" w:hAnsi="FrankRuehl" w:cs="FrankRuehl"/>
          <w:sz w:val="28"/>
          <w:szCs w:val="28"/>
          <w:rtl/>
        </w:rPr>
        <w:t>כי הנאשם הביע בפניו חרטה על מעש</w:t>
      </w:r>
      <w:r>
        <w:rPr>
          <w:rFonts w:ascii="FrankRuehl" w:hAnsi="FrankRuehl" w:cs="FrankRuehl" w:hint="cs"/>
          <w:sz w:val="28"/>
          <w:szCs w:val="28"/>
          <w:rtl/>
        </w:rPr>
        <w:t>י</w:t>
      </w:r>
      <w:r w:rsidRPr="00AC77ED">
        <w:rPr>
          <w:rFonts w:ascii="FrankRuehl" w:hAnsi="FrankRuehl" w:cs="FrankRuehl"/>
          <w:sz w:val="28"/>
          <w:szCs w:val="28"/>
          <w:rtl/>
        </w:rPr>
        <w:t>ו והבטיח שלא יחזור שוב על טעויותיו. אמו של הנאשם הוסיפה שהנאשם מנסה לתקן את חייו, שהמשפחה כולה תומכת במאמצי שיקומו ושלד</w:t>
      </w:r>
      <w:r>
        <w:rPr>
          <w:rFonts w:ascii="FrankRuehl" w:hAnsi="FrankRuehl" w:cs="FrankRuehl" w:hint="cs"/>
          <w:sz w:val="28"/>
          <w:szCs w:val="28"/>
          <w:rtl/>
        </w:rPr>
        <w:t>ע</w:t>
      </w:r>
      <w:r w:rsidRPr="00AC77ED">
        <w:rPr>
          <w:rFonts w:ascii="FrankRuehl" w:hAnsi="FrankRuehl" w:cs="FrankRuehl"/>
          <w:sz w:val="28"/>
          <w:szCs w:val="28"/>
          <w:rtl/>
        </w:rPr>
        <w:t>תה מאמצים אלו נושאים פרי.</w:t>
      </w:r>
    </w:p>
    <w:p w14:paraId="6FC28AF4" w14:textId="77777777" w:rsidR="0010271A" w:rsidRPr="00AC77ED" w:rsidRDefault="0010271A" w:rsidP="0010271A">
      <w:pPr>
        <w:spacing w:line="360" w:lineRule="auto"/>
        <w:jc w:val="both"/>
        <w:rPr>
          <w:rFonts w:ascii="FrankRuehl" w:hAnsi="FrankRuehl" w:cs="FrankRuehl"/>
          <w:sz w:val="28"/>
          <w:szCs w:val="28"/>
          <w:rtl/>
        </w:rPr>
      </w:pPr>
    </w:p>
    <w:p w14:paraId="155999AC" w14:textId="77777777"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טיעוני</w:t>
      </w:r>
      <w:r>
        <w:rPr>
          <w:rFonts w:ascii="FrankRuehl" w:hAnsi="FrankRuehl" w:cs="FrankRuehl" w:hint="cs"/>
          <w:b/>
          <w:bCs/>
          <w:sz w:val="28"/>
          <w:szCs w:val="28"/>
          <w:u w:val="single"/>
          <w:rtl/>
        </w:rPr>
        <w:t xml:space="preserve"> הצדדי</w:t>
      </w:r>
      <w:r w:rsidRPr="0031403D">
        <w:rPr>
          <w:rFonts w:ascii="FrankRuehl" w:hAnsi="FrankRuehl" w:cs="FrankRuehl"/>
          <w:b/>
          <w:bCs/>
          <w:sz w:val="28"/>
          <w:szCs w:val="28"/>
          <w:u w:val="single"/>
          <w:rtl/>
        </w:rPr>
        <w:t>ם לעונש</w:t>
      </w:r>
    </w:p>
    <w:p w14:paraId="296905AC"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0C72A5">
        <w:rPr>
          <w:rFonts w:ascii="FrankRuehl" w:hAnsi="FrankRuehl" w:cs="FrankRuehl"/>
          <w:sz w:val="28"/>
          <w:szCs w:val="28"/>
          <w:rtl/>
        </w:rPr>
        <w:t>בטיעוניה לעונש עתרה ב"כ המאשימה לקביעת שלושה מתחמים שונים לעונש, מתחם  לכל אחד מהאישומים</w:t>
      </w:r>
      <w:r>
        <w:rPr>
          <w:rFonts w:ascii="FrankRuehl" w:hAnsi="FrankRuehl" w:cs="FrankRuehl" w:hint="cs"/>
          <w:sz w:val="28"/>
          <w:szCs w:val="28"/>
          <w:rtl/>
        </w:rPr>
        <w:t xml:space="preserve">. עם זאת, לבסוף היא ביקשה לקבוע מתחם אחד הנע מ-24 ועד 48 חודשי מאסר בפועל לצד ענישה נלווית. היא עמדה על האינטרסים עליהם באים עבירות הסמים להגן, על הפגיעה שיש בעבירות הסמים בחברה </w:t>
      </w:r>
      <w:r>
        <w:rPr>
          <w:rFonts w:ascii="FrankRuehl" w:hAnsi="FrankRuehl" w:cs="FrankRuehl"/>
          <w:sz w:val="28"/>
          <w:szCs w:val="28"/>
          <w:rtl/>
        </w:rPr>
        <w:t>–</w:t>
      </w:r>
      <w:r>
        <w:rPr>
          <w:rFonts w:ascii="FrankRuehl" w:hAnsi="FrankRuehl" w:cs="FrankRuehl" w:hint="cs"/>
          <w:sz w:val="28"/>
          <w:szCs w:val="28"/>
          <w:rtl/>
        </w:rPr>
        <w:t xml:space="preserve"> במכורים לסמים ובציבור כולו</w:t>
      </w:r>
      <w:r w:rsidRPr="000C72A5">
        <w:rPr>
          <w:rFonts w:ascii="FrankRuehl" w:hAnsi="FrankRuehl" w:cs="FrankRuehl"/>
          <w:sz w:val="28"/>
          <w:szCs w:val="28"/>
          <w:rtl/>
        </w:rPr>
        <w:t xml:space="preserve">. </w:t>
      </w:r>
      <w:r>
        <w:rPr>
          <w:rFonts w:ascii="FrankRuehl" w:hAnsi="FrankRuehl" w:cs="FrankRuehl" w:hint="cs"/>
          <w:sz w:val="28"/>
          <w:szCs w:val="28"/>
          <w:rtl/>
        </w:rPr>
        <w:t>היא עמדה על מספר האישומים, על ה</w:t>
      </w:r>
      <w:r w:rsidRPr="000C72A5">
        <w:rPr>
          <w:rFonts w:ascii="FrankRuehl" w:hAnsi="FrankRuehl" w:cs="FrankRuehl"/>
          <w:sz w:val="28"/>
          <w:szCs w:val="28"/>
          <w:rtl/>
        </w:rPr>
        <w:t>יקף הייבוא ו</w:t>
      </w:r>
      <w:r>
        <w:rPr>
          <w:rFonts w:ascii="FrankRuehl" w:hAnsi="FrankRuehl" w:cs="FrankRuehl" w:hint="cs"/>
          <w:sz w:val="28"/>
          <w:szCs w:val="28"/>
          <w:rtl/>
        </w:rPr>
        <w:t>הסכנה הטמונה ב</w:t>
      </w:r>
      <w:r w:rsidRPr="000C72A5">
        <w:rPr>
          <w:rFonts w:ascii="FrankRuehl" w:hAnsi="FrankRuehl" w:cs="FrankRuehl"/>
          <w:sz w:val="28"/>
          <w:szCs w:val="28"/>
          <w:rtl/>
        </w:rPr>
        <w:t>סמים</w:t>
      </w:r>
      <w:r>
        <w:rPr>
          <w:rFonts w:ascii="FrankRuehl" w:hAnsi="FrankRuehl" w:cs="FrankRuehl" w:hint="cs"/>
          <w:sz w:val="28"/>
          <w:szCs w:val="28"/>
          <w:rtl/>
        </w:rPr>
        <w:t xml:space="preserve"> שיובאו</w:t>
      </w:r>
      <w:r w:rsidRPr="000C72A5">
        <w:rPr>
          <w:rFonts w:ascii="FrankRuehl" w:hAnsi="FrankRuehl" w:cs="FrankRuehl"/>
          <w:sz w:val="28"/>
          <w:szCs w:val="28"/>
          <w:rtl/>
        </w:rPr>
        <w:t xml:space="preserve">. </w:t>
      </w:r>
      <w:r>
        <w:rPr>
          <w:rFonts w:ascii="FrankRuehl" w:hAnsi="FrankRuehl" w:cs="FrankRuehl" w:hint="cs"/>
          <w:sz w:val="28"/>
          <w:szCs w:val="28"/>
          <w:rtl/>
        </w:rPr>
        <w:t xml:space="preserve">היא הפנתה לפסיקה ממנה ביקשה ללמד על הענישה הנוהגת. </w:t>
      </w:r>
    </w:p>
    <w:p w14:paraId="3D0B5513" w14:textId="77777777" w:rsidR="0010271A" w:rsidRDefault="0010271A" w:rsidP="0010271A">
      <w:pPr>
        <w:spacing w:line="360" w:lineRule="auto"/>
        <w:jc w:val="both"/>
        <w:rPr>
          <w:rFonts w:ascii="FrankRuehl" w:hAnsi="FrankRuehl" w:cs="FrankRuehl"/>
          <w:sz w:val="28"/>
          <w:szCs w:val="28"/>
          <w:rtl/>
        </w:rPr>
      </w:pPr>
    </w:p>
    <w:p w14:paraId="76CB9F94" w14:textId="77777777" w:rsidR="0010271A" w:rsidRPr="000C72A5"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9.</w:t>
      </w:r>
      <w:r>
        <w:rPr>
          <w:rFonts w:ascii="FrankRuehl" w:hAnsi="FrankRuehl" w:cs="FrankRuehl" w:hint="cs"/>
          <w:sz w:val="28"/>
          <w:szCs w:val="28"/>
          <w:rtl/>
        </w:rPr>
        <w:tab/>
        <w:t>באשר לנאשם נטען כי ה</w:t>
      </w:r>
      <w:r w:rsidRPr="000C72A5">
        <w:rPr>
          <w:rFonts w:ascii="FrankRuehl" w:hAnsi="FrankRuehl" w:cs="FrankRuehl"/>
          <w:sz w:val="28"/>
          <w:szCs w:val="28"/>
          <w:rtl/>
        </w:rPr>
        <w:t>תסקיר</w:t>
      </w:r>
      <w:r>
        <w:rPr>
          <w:rFonts w:ascii="FrankRuehl" w:hAnsi="FrankRuehl" w:cs="FrankRuehl" w:hint="cs"/>
          <w:sz w:val="28"/>
          <w:szCs w:val="28"/>
          <w:rtl/>
        </w:rPr>
        <w:t xml:space="preserve"> אינו </w:t>
      </w:r>
      <w:r w:rsidRPr="000C72A5">
        <w:rPr>
          <w:rFonts w:ascii="FrankRuehl" w:hAnsi="FrankRuehl" w:cs="FrankRuehl"/>
          <w:sz w:val="28"/>
          <w:szCs w:val="28"/>
          <w:rtl/>
        </w:rPr>
        <w:t>מלמד שהנאשם עובר הליך שיקומי המצדיק חריגה מהמתחם</w:t>
      </w:r>
      <w:r>
        <w:rPr>
          <w:rFonts w:ascii="FrankRuehl" w:hAnsi="FrankRuehl" w:cs="FrankRuehl" w:hint="cs"/>
          <w:sz w:val="28"/>
          <w:szCs w:val="28"/>
          <w:rtl/>
        </w:rPr>
        <w:t>, מה גם שיש לתת משקל לאינטרס ההרתעתי</w:t>
      </w:r>
      <w:r w:rsidRPr="000C72A5">
        <w:rPr>
          <w:rFonts w:ascii="FrankRuehl" w:hAnsi="FrankRuehl" w:cs="FrankRuehl"/>
          <w:sz w:val="28"/>
          <w:szCs w:val="28"/>
          <w:rtl/>
        </w:rPr>
        <w:t xml:space="preserve">. </w:t>
      </w:r>
      <w:r>
        <w:rPr>
          <w:rFonts w:ascii="FrankRuehl" w:hAnsi="FrankRuehl" w:cs="FrankRuehl" w:hint="cs"/>
          <w:sz w:val="28"/>
          <w:szCs w:val="28"/>
          <w:rtl/>
        </w:rPr>
        <w:t xml:space="preserve">בשים לב לכך שלנאשם אין עבר פלילי והוא הודה במיוחס לו, היא עתרה לקבוע את עונשו מעט מעל לרף התחתון, ולהשית על הנאשם </w:t>
      </w:r>
      <w:r w:rsidRPr="000C72A5">
        <w:rPr>
          <w:rFonts w:ascii="FrankRuehl" w:hAnsi="FrankRuehl" w:cs="FrankRuehl"/>
          <w:sz w:val="28"/>
          <w:szCs w:val="28"/>
          <w:rtl/>
        </w:rPr>
        <w:t>28 חודשי מאסר בפועל וקנס.</w:t>
      </w:r>
    </w:p>
    <w:p w14:paraId="7CB5DD42" w14:textId="77777777" w:rsidR="0010271A" w:rsidRDefault="0010271A" w:rsidP="0010271A">
      <w:pPr>
        <w:spacing w:line="360" w:lineRule="auto"/>
        <w:jc w:val="both"/>
        <w:rPr>
          <w:rFonts w:ascii="FrankRuehl" w:hAnsi="FrankRuehl" w:cs="FrankRuehl"/>
          <w:sz w:val="28"/>
          <w:szCs w:val="28"/>
          <w:rtl/>
        </w:rPr>
      </w:pPr>
    </w:p>
    <w:p w14:paraId="67F62DC7"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CB3499">
        <w:rPr>
          <w:rFonts w:ascii="FrankRuehl" w:hAnsi="FrankRuehl" w:cs="FrankRuehl"/>
          <w:sz w:val="28"/>
          <w:szCs w:val="28"/>
          <w:rtl/>
        </w:rPr>
        <w:t>מנגד, הצביע ב"כ הנאשם על כך ש</w:t>
      </w:r>
      <w:r w:rsidRPr="00CB3499">
        <w:rPr>
          <w:rFonts w:ascii="FrankRuehl" w:hAnsi="FrankRuehl" w:cs="FrankRuehl" w:hint="cs"/>
          <w:sz w:val="28"/>
          <w:szCs w:val="28"/>
          <w:rtl/>
        </w:rPr>
        <w:t xml:space="preserve">הנאשם ביצע את </w:t>
      </w:r>
      <w:r w:rsidRPr="00CB3499">
        <w:rPr>
          <w:rFonts w:ascii="FrankRuehl" w:hAnsi="FrankRuehl" w:cs="FrankRuehl"/>
          <w:sz w:val="28"/>
          <w:szCs w:val="28"/>
          <w:rtl/>
        </w:rPr>
        <w:t xml:space="preserve">עבירות הייבוא מתוך מצוקה נפשית בה </w:t>
      </w:r>
      <w:r w:rsidRPr="00CB3499">
        <w:rPr>
          <w:rFonts w:ascii="FrankRuehl" w:hAnsi="FrankRuehl" w:cs="FrankRuehl" w:hint="cs"/>
          <w:sz w:val="28"/>
          <w:szCs w:val="28"/>
          <w:rtl/>
        </w:rPr>
        <w:t xml:space="preserve">הוא היה </w:t>
      </w:r>
      <w:r w:rsidRPr="00CB3499">
        <w:rPr>
          <w:rFonts w:ascii="FrankRuehl" w:hAnsi="FrankRuehl" w:cs="FrankRuehl"/>
          <w:sz w:val="28"/>
          <w:szCs w:val="28"/>
          <w:rtl/>
        </w:rPr>
        <w:t>שרוי</w:t>
      </w:r>
      <w:r>
        <w:rPr>
          <w:rFonts w:ascii="FrankRuehl" w:hAnsi="FrankRuehl" w:cs="FrankRuehl" w:hint="cs"/>
          <w:sz w:val="28"/>
          <w:szCs w:val="28"/>
          <w:rtl/>
        </w:rPr>
        <w:t>,</w:t>
      </w:r>
      <w:r w:rsidRPr="00CB3499">
        <w:rPr>
          <w:rFonts w:ascii="FrankRuehl" w:hAnsi="FrankRuehl" w:cs="FrankRuehl"/>
          <w:sz w:val="28"/>
          <w:szCs w:val="28"/>
          <w:rtl/>
        </w:rPr>
        <w:t xml:space="preserve"> ולא </w:t>
      </w:r>
      <w:r w:rsidRPr="00CB3499">
        <w:rPr>
          <w:rFonts w:ascii="FrankRuehl" w:hAnsi="FrankRuehl" w:cs="FrankRuehl" w:hint="cs"/>
          <w:sz w:val="28"/>
          <w:szCs w:val="28"/>
          <w:rtl/>
        </w:rPr>
        <w:t xml:space="preserve">בשל </w:t>
      </w:r>
      <w:r w:rsidRPr="00CB3499">
        <w:rPr>
          <w:rFonts w:ascii="FrankRuehl" w:hAnsi="FrankRuehl" w:cs="FrankRuehl"/>
          <w:sz w:val="28"/>
          <w:szCs w:val="28"/>
          <w:rtl/>
        </w:rPr>
        <w:t xml:space="preserve">אינטרס כלכלי. </w:t>
      </w:r>
      <w:r>
        <w:rPr>
          <w:rFonts w:ascii="FrankRuehl" w:hAnsi="FrankRuehl" w:cs="FrankRuehl" w:hint="cs"/>
          <w:sz w:val="28"/>
          <w:szCs w:val="28"/>
          <w:rtl/>
        </w:rPr>
        <w:t xml:space="preserve">הוא הצביע על כך שאת הסמים שייבא באישום השני, הוא שפך, מאחר שהיה נראה לו שהסם אינו תקין. מכאן, כי הנאשם לא התכוון לסחור בסם אלא לעשות בו שימוש עצמי. מדובר בכשל </w:t>
      </w:r>
      <w:r w:rsidRPr="00CB3499">
        <w:rPr>
          <w:rFonts w:ascii="FrankRuehl" w:hAnsi="FrankRuehl" w:cs="FrankRuehl"/>
          <w:sz w:val="28"/>
          <w:szCs w:val="28"/>
          <w:rtl/>
        </w:rPr>
        <w:t>נקודתי</w:t>
      </w:r>
      <w:r>
        <w:rPr>
          <w:rFonts w:ascii="FrankRuehl" w:hAnsi="FrankRuehl" w:cs="FrankRuehl" w:hint="cs"/>
          <w:sz w:val="28"/>
          <w:szCs w:val="28"/>
          <w:rtl/>
        </w:rPr>
        <w:t xml:space="preserve">, שהנאשם </w:t>
      </w:r>
      <w:r w:rsidRPr="00CB3499">
        <w:rPr>
          <w:rFonts w:ascii="FrankRuehl" w:hAnsi="FrankRuehl" w:cs="FrankRuehl"/>
          <w:sz w:val="28"/>
          <w:szCs w:val="28"/>
          <w:rtl/>
        </w:rPr>
        <w:t xml:space="preserve">הביע </w:t>
      </w:r>
      <w:r>
        <w:rPr>
          <w:rFonts w:ascii="FrankRuehl" w:hAnsi="FrankRuehl" w:cs="FrankRuehl" w:hint="cs"/>
          <w:sz w:val="28"/>
          <w:szCs w:val="28"/>
          <w:rtl/>
        </w:rPr>
        <w:t xml:space="preserve">עליו </w:t>
      </w:r>
      <w:r w:rsidRPr="00CB3499">
        <w:rPr>
          <w:rFonts w:ascii="FrankRuehl" w:hAnsi="FrankRuehl" w:cs="FrankRuehl"/>
          <w:sz w:val="28"/>
          <w:szCs w:val="28"/>
          <w:rtl/>
        </w:rPr>
        <w:t>חרטה</w:t>
      </w:r>
      <w:r>
        <w:rPr>
          <w:rFonts w:ascii="FrankRuehl" w:hAnsi="FrankRuehl" w:cs="FrankRuehl" w:hint="cs"/>
          <w:sz w:val="28"/>
          <w:szCs w:val="28"/>
          <w:rtl/>
        </w:rPr>
        <w:t xml:space="preserve">. הוא הדגיש את הקשיים הייחודיים שעמדו בפני הנאשם בשל נטייתו המינית, קשיים המאפיינים בעלי נטייה מינית החיים בחברה שמרנית, בכלל זה הסתרת זהותו המינית. כל אלו הובילו אותו לשימוש בסם. כיום, הנאשם אינו צורך סמים, מה גם שמשפחתו נחשפה לנטייתו המינית בעקבות ההליך המשפטי, והיא עוטפת ומחבקת אותו. הנאשם מבקש </w:t>
      </w:r>
      <w:r w:rsidRPr="00CB3499">
        <w:rPr>
          <w:rFonts w:ascii="FrankRuehl" w:hAnsi="FrankRuehl" w:cs="FrankRuehl"/>
          <w:sz w:val="28"/>
          <w:szCs w:val="28"/>
          <w:rtl/>
        </w:rPr>
        <w:t>לשקם את חייו,</w:t>
      </w:r>
      <w:r>
        <w:rPr>
          <w:rFonts w:ascii="FrankRuehl" w:hAnsi="FrankRuehl" w:cs="FrankRuehl" w:hint="cs"/>
          <w:sz w:val="28"/>
          <w:szCs w:val="28"/>
          <w:rtl/>
        </w:rPr>
        <w:t xml:space="preserve"> לפרנס את משפחתו ולסייע בגידול ילדיו, שאחד מהם סובל מנכות ומקשיים התפתחותיים. גם הוא הגיש פסיקה המלמדת על הענישה הנוהגת, ועתר לקצוב את עונשו של הנאשם בתחתית המתחם ולהסתפק במספר חודשי מאסר שירוצו בעבודות שירות.</w:t>
      </w:r>
    </w:p>
    <w:p w14:paraId="6A470E6C" w14:textId="77777777" w:rsidR="0010271A" w:rsidRDefault="0010271A" w:rsidP="0010271A">
      <w:pPr>
        <w:spacing w:line="360" w:lineRule="auto"/>
        <w:jc w:val="both"/>
        <w:rPr>
          <w:rFonts w:ascii="FrankRuehl" w:hAnsi="FrankRuehl" w:cs="FrankRuehl"/>
          <w:sz w:val="28"/>
          <w:szCs w:val="28"/>
          <w:rtl/>
        </w:rPr>
      </w:pPr>
    </w:p>
    <w:p w14:paraId="43012AFD" w14:textId="77777777" w:rsidR="0010271A" w:rsidRPr="0014524A"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11.</w:t>
      </w:r>
      <w:r>
        <w:rPr>
          <w:rFonts w:ascii="FrankRuehl" w:hAnsi="FrankRuehl" w:cs="FrankRuehl" w:hint="cs"/>
          <w:sz w:val="28"/>
          <w:szCs w:val="28"/>
          <w:rtl/>
        </w:rPr>
        <w:tab/>
        <w:t xml:space="preserve">ב"כ הנאשם הוסיף וטען למצב רפואי בעייתי של הנאשם ולאלימות מילולית שהנאשם חווה בתקופת מעצרו. כן טען, לתנאי המעצר הקשים כיום בישראל, הפוגעים בזכויות העצירים, כשהוא מפנה בעניין זה </w:t>
      </w:r>
      <w:r w:rsidRPr="0014524A">
        <w:rPr>
          <w:rFonts w:ascii="FrankRuehl" w:hAnsi="FrankRuehl" w:cs="FrankRuehl" w:hint="cs"/>
          <w:sz w:val="28"/>
          <w:szCs w:val="28"/>
          <w:rtl/>
        </w:rPr>
        <w:t xml:space="preserve">לדו"ח הסנגוריה הציבורית. לדבריו, מאחר והמדינה אינה עומדת בתנאי הכליאה המינימליים, היא מאבדת את הלגיטימציה לבקש עונש מאסר. את טיעונו זה תמך במסמך של ראש השב"כ רונן בר מיום 26.06.24 </w:t>
      </w:r>
      <w:r>
        <w:rPr>
          <w:rFonts w:ascii="FrankRuehl" w:hAnsi="FrankRuehl" w:cs="FrankRuehl" w:hint="cs"/>
          <w:sz w:val="28"/>
          <w:szCs w:val="28"/>
          <w:rtl/>
        </w:rPr>
        <w:t>בו הוא ה</w:t>
      </w:r>
      <w:r w:rsidRPr="0014524A">
        <w:rPr>
          <w:rFonts w:ascii="FrankRuehl" w:hAnsi="FrankRuehl" w:cs="FrankRuehl" w:hint="cs"/>
          <w:sz w:val="28"/>
          <w:szCs w:val="28"/>
          <w:rtl/>
        </w:rPr>
        <w:t xml:space="preserve">צביע על המצוקה בבתי הכלא בגינה משוחררים אסירים ביטחוניים. </w:t>
      </w:r>
    </w:p>
    <w:p w14:paraId="1EDAF904" w14:textId="77777777" w:rsidR="0010271A" w:rsidRDefault="0010271A" w:rsidP="0010271A">
      <w:pPr>
        <w:spacing w:line="360" w:lineRule="auto"/>
        <w:jc w:val="both"/>
        <w:rPr>
          <w:rtl/>
        </w:rPr>
      </w:pPr>
    </w:p>
    <w:p w14:paraId="518FBE68" w14:textId="77777777" w:rsidR="0010271A" w:rsidRPr="00F417E6"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12.</w:t>
      </w:r>
      <w:r>
        <w:rPr>
          <w:rFonts w:ascii="FrankRuehl" w:hAnsi="FrankRuehl" w:cs="FrankRuehl" w:hint="cs"/>
          <w:sz w:val="28"/>
          <w:szCs w:val="28"/>
          <w:rtl/>
        </w:rPr>
        <w:tab/>
      </w:r>
      <w:r w:rsidRPr="00F417E6">
        <w:rPr>
          <w:rFonts w:ascii="FrankRuehl" w:hAnsi="FrankRuehl" w:cs="FrankRuehl"/>
          <w:sz w:val="28"/>
          <w:szCs w:val="28"/>
          <w:rtl/>
        </w:rPr>
        <w:t>הנאשם סיפר שנסיבות חייו הובילו אותו ללחץ נפשי גדול</w:t>
      </w:r>
      <w:r>
        <w:rPr>
          <w:rFonts w:ascii="FrankRuehl" w:hAnsi="FrankRuehl" w:cs="FrankRuehl" w:hint="cs"/>
          <w:sz w:val="28"/>
          <w:szCs w:val="28"/>
          <w:rtl/>
        </w:rPr>
        <w:t>, ו</w:t>
      </w:r>
      <w:r w:rsidRPr="00F417E6">
        <w:rPr>
          <w:rFonts w:ascii="FrankRuehl" w:hAnsi="FrankRuehl" w:cs="FrankRuehl"/>
          <w:sz w:val="28"/>
          <w:szCs w:val="28"/>
          <w:rtl/>
        </w:rPr>
        <w:t xml:space="preserve">בשל הקושי לשתף את המצוקה עם סביבתו הקרובה, </w:t>
      </w:r>
      <w:r>
        <w:rPr>
          <w:rFonts w:ascii="FrankRuehl" w:hAnsi="FrankRuehl" w:cs="FrankRuehl" w:hint="cs"/>
          <w:sz w:val="28"/>
          <w:szCs w:val="28"/>
          <w:rtl/>
        </w:rPr>
        <w:t xml:space="preserve">הוא </w:t>
      </w:r>
      <w:r w:rsidRPr="00F417E6">
        <w:rPr>
          <w:rFonts w:ascii="FrankRuehl" w:hAnsi="FrankRuehl" w:cs="FrankRuehl"/>
          <w:sz w:val="28"/>
          <w:szCs w:val="28"/>
          <w:rtl/>
        </w:rPr>
        <w:t xml:space="preserve">בחר בחלופה של השימוש בסמים כפתרון. </w:t>
      </w:r>
      <w:r>
        <w:rPr>
          <w:rFonts w:ascii="FrankRuehl" w:hAnsi="FrankRuehl" w:cs="FrankRuehl" w:hint="cs"/>
          <w:sz w:val="28"/>
          <w:szCs w:val="28"/>
          <w:rtl/>
        </w:rPr>
        <w:t>הוא ה</w:t>
      </w:r>
      <w:r w:rsidRPr="00F417E6">
        <w:rPr>
          <w:rFonts w:ascii="FrankRuehl" w:hAnsi="FrankRuehl" w:cs="FrankRuehl"/>
          <w:sz w:val="28"/>
          <w:szCs w:val="28"/>
          <w:rtl/>
        </w:rPr>
        <w:t xml:space="preserve">ביע חרטה על מעשיו ורצון להשתקם. </w:t>
      </w:r>
      <w:r>
        <w:rPr>
          <w:rFonts w:ascii="FrankRuehl" w:hAnsi="FrankRuehl" w:cs="FrankRuehl" w:hint="cs"/>
          <w:sz w:val="28"/>
          <w:szCs w:val="28"/>
          <w:rtl/>
        </w:rPr>
        <w:t xml:space="preserve">הוא סיפר על הקשר של ילדיו אליו, בעיקר בנו הקטן הסובל מנכות, שהוא דאג תדיר לטיפול בו, עד למעצרו. </w:t>
      </w:r>
    </w:p>
    <w:p w14:paraId="12887F37" w14:textId="77777777" w:rsidR="0010271A" w:rsidRPr="00A1163B" w:rsidRDefault="0010271A" w:rsidP="0010271A">
      <w:pPr>
        <w:spacing w:line="360" w:lineRule="auto"/>
        <w:jc w:val="both"/>
        <w:rPr>
          <w:rFonts w:ascii="FrankRuehl" w:hAnsi="FrankRuehl" w:cs="FrankRuehl"/>
          <w:sz w:val="28"/>
          <w:szCs w:val="28"/>
          <w:rtl/>
        </w:rPr>
      </w:pPr>
    </w:p>
    <w:p w14:paraId="198515E2" w14:textId="77777777"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דיון והכרעה</w:t>
      </w:r>
    </w:p>
    <w:p w14:paraId="21A53BB9" w14:textId="77777777" w:rsidR="0010271A" w:rsidRPr="00484359"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sidRPr="00F417E6">
        <w:rPr>
          <w:rFonts w:ascii="FrankRuehl" w:hAnsi="FrankRuehl" w:cs="FrankRuehl"/>
          <w:sz w:val="28"/>
          <w:szCs w:val="28"/>
          <w:rtl/>
        </w:rPr>
        <w:t>עבירות הסמים, ובפרט עבירות הסחר, הייבוא, הייצור והתיווך</w:t>
      </w:r>
      <w:r>
        <w:rPr>
          <w:rFonts w:ascii="FrankRuehl" w:hAnsi="FrankRuehl" w:cs="FrankRuehl" w:hint="cs"/>
          <w:sz w:val="28"/>
          <w:szCs w:val="28"/>
          <w:rtl/>
        </w:rPr>
        <w:t>,</w:t>
      </w:r>
      <w:r w:rsidRPr="00F417E6">
        <w:rPr>
          <w:rFonts w:ascii="FrankRuehl" w:hAnsi="FrankRuehl" w:cs="FrankRuehl"/>
          <w:sz w:val="28"/>
          <w:szCs w:val="28"/>
          <w:rtl/>
        </w:rPr>
        <w:t xml:space="preserve"> פוגעות בערכים חברתיים של שלום הציבור, ביטחונו ובריאותו מפני הפגיעה ההרסנית הכרוכה בשימוש באותם סמים. כמו כן, השימוש בסמים מוביל אף לנזקים כלכליים וחברתיים עקיפים. בתי המשפט עמדו על הצורך שיש במיגור עבירות הסמים באמצעות הטלת עונשים חמורים ומשמעותיים (ראו:</w:t>
      </w:r>
      <w:r>
        <w:rPr>
          <w:rFonts w:ascii="FrankRuehl" w:hAnsi="FrankRuehl" w:cs="FrankRuehl"/>
          <w:b/>
          <w:bCs/>
          <w:sz w:val="28"/>
          <w:szCs w:val="28"/>
          <w:shd w:val="clear" w:color="auto" w:fill="FFFFFF"/>
        </w:rPr>
        <w:t xml:space="preserve"> </w:t>
      </w:r>
      <w:hyperlink r:id="rId16" w:history="1">
        <w:r w:rsidR="00552128" w:rsidRPr="00552128">
          <w:rPr>
            <w:rFonts w:ascii="FrankRuehl" w:hAnsi="FrankRuehl" w:cs="FrankRuehl"/>
            <w:color w:val="0000FF"/>
            <w:sz w:val="28"/>
            <w:szCs w:val="28"/>
            <w:u w:val="single"/>
            <w:shd w:val="clear" w:color="auto" w:fill="FFFFFF"/>
            <w:rtl/>
          </w:rPr>
          <w:t>ע"פ 6029/03</w:t>
        </w:r>
      </w:hyperlink>
      <w:r w:rsidRPr="00510DC6">
        <w:rPr>
          <w:rFonts w:ascii="FrankRuehl" w:hAnsi="FrankRuehl" w:cs="FrankRuehl" w:hint="cs"/>
          <w:sz w:val="28"/>
          <w:szCs w:val="28"/>
          <w:shd w:val="clear" w:color="auto" w:fill="FFFFFF"/>
          <w:rtl/>
        </w:rPr>
        <w:t xml:space="preserve"> </w:t>
      </w:r>
      <w:r>
        <w:rPr>
          <w:rFonts w:ascii="FrankRuehl" w:hAnsi="FrankRuehl" w:cs="FrankRuehl" w:hint="cs"/>
          <w:b/>
          <w:bCs/>
          <w:sz w:val="28"/>
          <w:szCs w:val="28"/>
          <w:shd w:val="clear" w:color="auto" w:fill="FFFFFF"/>
          <w:rtl/>
        </w:rPr>
        <w:t>מ</w:t>
      </w:r>
      <w:r w:rsidRPr="00F417E6">
        <w:rPr>
          <w:rFonts w:ascii="FrankRuehl" w:hAnsi="FrankRuehl" w:cs="FrankRuehl"/>
          <w:b/>
          <w:bCs/>
          <w:sz w:val="28"/>
          <w:szCs w:val="28"/>
          <w:shd w:val="clear" w:color="auto" w:fill="FFFFFF"/>
          <w:rtl/>
        </w:rPr>
        <w:t>דינת ישראל נ' שמאי</w:t>
      </w:r>
      <w:r w:rsidRPr="00510DC6">
        <w:rPr>
          <w:rFonts w:ascii="FrankRuehl" w:hAnsi="FrankRuehl" w:cs="FrankRuehl" w:hint="cs"/>
          <w:sz w:val="28"/>
          <w:szCs w:val="28"/>
          <w:shd w:val="clear" w:color="auto" w:fill="FFFFFF"/>
          <w:rtl/>
        </w:rPr>
        <w:t>, פ"ד נח(2) 734</w:t>
      </w:r>
      <w:r>
        <w:rPr>
          <w:rFonts w:ascii="FrankRuehl" w:hAnsi="FrankRuehl" w:cs="FrankRuehl" w:hint="cs"/>
          <w:sz w:val="28"/>
          <w:szCs w:val="28"/>
          <w:shd w:val="clear" w:color="auto" w:fill="FFFFFF"/>
          <w:rtl/>
        </w:rPr>
        <w:t xml:space="preserve"> </w:t>
      </w:r>
      <w:r w:rsidRPr="00510DC6">
        <w:rPr>
          <w:rFonts w:ascii="FrankRuehl" w:hAnsi="FrankRuehl" w:cs="FrankRuehl" w:hint="cs"/>
          <w:sz w:val="28"/>
          <w:szCs w:val="28"/>
          <w:shd w:val="clear" w:color="auto" w:fill="FFFFFF"/>
          <w:rtl/>
        </w:rPr>
        <w:t>(2004)</w:t>
      </w:r>
      <w:r w:rsidRPr="00510DC6">
        <w:rPr>
          <w:rFonts w:ascii="FrankRuehl" w:hAnsi="FrankRuehl" w:cs="FrankRuehl"/>
          <w:sz w:val="28"/>
          <w:szCs w:val="28"/>
          <w:shd w:val="clear" w:color="auto" w:fill="FFFFFF"/>
          <w:rtl/>
        </w:rPr>
        <w:t>;</w:t>
      </w:r>
      <w:r w:rsidRPr="00510DC6">
        <w:rPr>
          <w:rFonts w:ascii="FrankRuehl" w:hAnsi="FrankRuehl" w:cs="FrankRuehl"/>
          <w:sz w:val="28"/>
          <w:szCs w:val="28"/>
          <w:shd w:val="clear" w:color="auto" w:fill="FFFFFF"/>
        </w:rPr>
        <w:t xml:space="preserve"> </w:t>
      </w:r>
      <w:hyperlink r:id="rId17" w:history="1">
        <w:r w:rsidR="00552128" w:rsidRPr="00552128">
          <w:rPr>
            <w:rFonts w:ascii="FrankRuehl" w:hAnsi="FrankRuehl" w:cs="FrankRuehl"/>
            <w:color w:val="0000FF"/>
            <w:sz w:val="28"/>
            <w:szCs w:val="28"/>
            <w:u w:val="single"/>
            <w:shd w:val="clear" w:color="auto" w:fill="FFFFFF"/>
            <w:rtl/>
          </w:rPr>
          <w:t>ע"פ 7952/15</w:t>
        </w:r>
      </w:hyperlink>
      <w:r w:rsidR="00552128">
        <w:rPr>
          <w:rFonts w:ascii="FrankRuehl" w:hAnsi="FrankRuehl" w:cs="FrankRuehl"/>
          <w:b/>
          <w:bCs/>
          <w:sz w:val="28"/>
          <w:szCs w:val="28"/>
          <w:shd w:val="clear" w:color="auto" w:fill="FFFFFF"/>
        </w:rPr>
        <w:t xml:space="preserve"> </w:t>
      </w:r>
      <w:r w:rsidRPr="00F417E6">
        <w:rPr>
          <w:rFonts w:ascii="FrankRuehl" w:hAnsi="FrankRuehl" w:cs="FrankRuehl"/>
          <w:b/>
          <w:bCs/>
          <w:sz w:val="28"/>
          <w:szCs w:val="28"/>
          <w:shd w:val="clear" w:color="auto" w:fill="FFFFFF"/>
          <w:rtl/>
        </w:rPr>
        <w:t>מדינת ישראל נ' שץ</w:t>
      </w:r>
      <w:r>
        <w:rPr>
          <w:rFonts w:ascii="FrankRuehl" w:hAnsi="FrankRuehl" w:cs="FrankRuehl" w:hint="cs"/>
          <w:b/>
          <w:bCs/>
          <w:sz w:val="28"/>
          <w:szCs w:val="28"/>
          <w:shd w:val="clear" w:color="auto" w:fill="FFFFFF"/>
          <w:rtl/>
        </w:rPr>
        <w:t xml:space="preserve"> </w:t>
      </w:r>
      <w:r w:rsidRPr="00510DC6">
        <w:rPr>
          <w:rFonts w:ascii="FrankRuehl" w:hAnsi="FrankRuehl" w:cs="FrankRuehl" w:hint="cs"/>
          <w:sz w:val="28"/>
          <w:szCs w:val="28"/>
          <w:shd w:val="clear" w:color="auto" w:fill="FFFFFF"/>
          <w:rtl/>
        </w:rPr>
        <w:t>(15.02.16)</w:t>
      </w:r>
      <w:r w:rsidRPr="00510DC6">
        <w:rPr>
          <w:rFonts w:ascii="FrankRuehl" w:hAnsi="FrankRuehl" w:cs="FrankRuehl"/>
          <w:sz w:val="28"/>
          <w:szCs w:val="28"/>
          <w:shd w:val="clear" w:color="auto" w:fill="FFFFFF"/>
          <w:rtl/>
        </w:rPr>
        <w:t>)</w:t>
      </w:r>
      <w:r w:rsidRPr="00510DC6">
        <w:rPr>
          <w:rFonts w:ascii="FrankRuehl" w:hAnsi="FrankRuehl" w:cs="FrankRuehl"/>
          <w:sz w:val="28"/>
          <w:szCs w:val="28"/>
          <w:rtl/>
        </w:rPr>
        <w:t>.</w:t>
      </w:r>
      <w:r>
        <w:rPr>
          <w:rFonts w:ascii="FrankRuehl" w:hAnsi="FrankRuehl" w:cs="FrankRuehl" w:hint="cs"/>
          <w:sz w:val="28"/>
          <w:szCs w:val="28"/>
          <w:rtl/>
        </w:rPr>
        <w:t xml:space="preserve"> ל</w:t>
      </w:r>
      <w:r w:rsidRPr="00D23ABE">
        <w:rPr>
          <w:rFonts w:ascii="FrankRuehl" w:hAnsi="FrankRuehl" w:cs="FrankRuehl"/>
          <w:sz w:val="28"/>
          <w:szCs w:val="28"/>
          <w:rtl/>
        </w:rPr>
        <w:t xml:space="preserve">כך יש להוסיף את </w:t>
      </w:r>
      <w:r>
        <w:rPr>
          <w:rFonts w:ascii="FrankRuehl" w:hAnsi="FrankRuehl" w:cs="FrankRuehl" w:hint="cs"/>
          <w:sz w:val="28"/>
          <w:szCs w:val="28"/>
          <w:rtl/>
        </w:rPr>
        <w:t>דבריו</w:t>
      </w:r>
      <w:r w:rsidRPr="00D23ABE">
        <w:rPr>
          <w:rFonts w:ascii="FrankRuehl" w:hAnsi="FrankRuehl" w:cs="FrankRuehl"/>
          <w:sz w:val="28"/>
          <w:szCs w:val="28"/>
          <w:rtl/>
        </w:rPr>
        <w:t xml:space="preserve"> של </w:t>
      </w:r>
      <w:r>
        <w:rPr>
          <w:rFonts w:ascii="FrankRuehl" w:hAnsi="FrankRuehl" w:cs="FrankRuehl" w:hint="cs"/>
          <w:sz w:val="28"/>
          <w:szCs w:val="28"/>
          <w:rtl/>
        </w:rPr>
        <w:t xml:space="preserve">כב' </w:t>
      </w:r>
      <w:r w:rsidRPr="00D23ABE">
        <w:rPr>
          <w:rFonts w:ascii="FrankRuehl" w:hAnsi="FrankRuehl" w:cs="FrankRuehl"/>
          <w:sz w:val="28"/>
          <w:szCs w:val="28"/>
          <w:rtl/>
        </w:rPr>
        <w:t xml:space="preserve">השופט </w:t>
      </w:r>
      <w:r>
        <w:rPr>
          <w:rFonts w:ascii="FrankRuehl" w:hAnsi="FrankRuehl" w:cs="FrankRuehl" w:hint="cs"/>
          <w:sz w:val="28"/>
          <w:szCs w:val="28"/>
          <w:rtl/>
        </w:rPr>
        <w:t xml:space="preserve">יוסף </w:t>
      </w:r>
      <w:r w:rsidRPr="00D23ABE">
        <w:rPr>
          <w:rFonts w:ascii="FrankRuehl" w:hAnsi="FrankRuehl" w:cs="FrankRuehl"/>
          <w:sz w:val="28"/>
          <w:szCs w:val="28"/>
          <w:rtl/>
        </w:rPr>
        <w:t xml:space="preserve">אלרון </w:t>
      </w:r>
      <w:r>
        <w:rPr>
          <w:rFonts w:ascii="FrankRuehl" w:hAnsi="FrankRuehl" w:cs="FrankRuehl" w:hint="cs"/>
          <w:sz w:val="28"/>
          <w:szCs w:val="28"/>
          <w:rtl/>
        </w:rPr>
        <w:t>(</w:t>
      </w:r>
      <w:hyperlink r:id="rId18" w:history="1">
        <w:r w:rsidR="00552128" w:rsidRPr="00552128">
          <w:rPr>
            <w:rFonts w:ascii="FrankRuehl" w:hAnsi="FrankRuehl" w:cs="FrankRuehl"/>
            <w:color w:val="0000FF"/>
            <w:sz w:val="28"/>
            <w:szCs w:val="28"/>
            <w:u w:val="single"/>
            <w:rtl/>
          </w:rPr>
          <w:t>ע"פ 667/21</w:t>
        </w:r>
      </w:hyperlink>
      <w:r w:rsidRPr="005C43AB">
        <w:rPr>
          <w:rFonts w:ascii="FrankRuehl" w:hAnsi="FrankRuehl" w:cs="FrankRuehl"/>
          <w:sz w:val="28"/>
          <w:szCs w:val="28"/>
          <w:rtl/>
        </w:rPr>
        <w:t xml:space="preserve"> </w:t>
      </w:r>
      <w:r w:rsidRPr="005C43AB">
        <w:rPr>
          <w:rFonts w:ascii="FrankRuehl" w:hAnsi="FrankRuehl" w:cs="FrankRuehl"/>
          <w:b/>
          <w:bCs/>
          <w:sz w:val="28"/>
          <w:szCs w:val="28"/>
          <w:rtl/>
        </w:rPr>
        <w:t>מדינת ישראל נ'</w:t>
      </w:r>
      <w:r>
        <w:rPr>
          <w:rFonts w:ascii="FrankRuehl" w:hAnsi="FrankRuehl" w:cs="FrankRuehl" w:hint="cs"/>
          <w:b/>
          <w:bCs/>
          <w:sz w:val="28"/>
          <w:szCs w:val="28"/>
          <w:rtl/>
        </w:rPr>
        <w:t xml:space="preserve"> </w:t>
      </w:r>
      <w:r w:rsidRPr="005C43AB">
        <w:rPr>
          <w:rFonts w:ascii="FrankRuehl" w:hAnsi="FrankRuehl" w:cs="FrankRuehl"/>
          <w:b/>
          <w:bCs/>
          <w:sz w:val="28"/>
          <w:szCs w:val="28"/>
          <w:rtl/>
        </w:rPr>
        <w:t>בן פורת</w:t>
      </w:r>
      <w:r w:rsidRPr="005C43AB">
        <w:rPr>
          <w:rFonts w:ascii="FrankRuehl" w:hAnsi="FrankRuehl" w:cs="FrankRuehl"/>
          <w:sz w:val="28"/>
          <w:szCs w:val="28"/>
          <w:rtl/>
        </w:rPr>
        <w:t xml:space="preserve"> (10.03.21)</w:t>
      </w:r>
      <w:r>
        <w:rPr>
          <w:rFonts w:ascii="FrankRuehl" w:hAnsi="FrankRuehl" w:cs="FrankRuehl" w:hint="cs"/>
          <w:sz w:val="28"/>
          <w:szCs w:val="28"/>
          <w:rtl/>
        </w:rPr>
        <w:t xml:space="preserve">) </w:t>
      </w:r>
      <w:r w:rsidRPr="00D23ABE">
        <w:rPr>
          <w:rFonts w:ascii="FrankRuehl" w:hAnsi="FrankRuehl" w:cs="FrankRuehl"/>
          <w:sz w:val="28"/>
          <w:szCs w:val="28"/>
          <w:rtl/>
        </w:rPr>
        <w:t xml:space="preserve">ביחס לחומרה הקונקרטית </w:t>
      </w:r>
      <w:r>
        <w:rPr>
          <w:rFonts w:ascii="FrankRuehl" w:hAnsi="FrankRuehl" w:cs="FrankRuehl" w:hint="cs"/>
          <w:sz w:val="28"/>
          <w:szCs w:val="28"/>
          <w:rtl/>
        </w:rPr>
        <w:t xml:space="preserve">שיש </w:t>
      </w:r>
      <w:r w:rsidRPr="00D23ABE">
        <w:rPr>
          <w:rFonts w:ascii="FrankRuehl" w:hAnsi="FrankRuehl" w:cs="FrankRuehl"/>
          <w:sz w:val="28"/>
          <w:szCs w:val="28"/>
          <w:rtl/>
        </w:rPr>
        <w:t xml:space="preserve">בסם </w:t>
      </w:r>
      <w:r w:rsidRPr="0010271A">
        <w:rPr>
          <w:rFonts w:cs="Times New Roman"/>
          <w:sz w:val="22"/>
          <w:szCs w:val="22"/>
        </w:rPr>
        <w:t>GBL</w:t>
      </w:r>
      <w:r w:rsidRPr="00D23ABE">
        <w:rPr>
          <w:rFonts w:ascii="FrankRuehl" w:hAnsi="FrankRuehl" w:cs="FrankRuehl"/>
          <w:sz w:val="28"/>
          <w:szCs w:val="28"/>
          <w:rtl/>
        </w:rPr>
        <w:t>:</w:t>
      </w:r>
      <w:r>
        <w:rPr>
          <w:rFonts w:ascii="FrankRuehl" w:hAnsi="FrankRuehl" w:cs="FrankRuehl"/>
          <w:sz w:val="28"/>
          <w:szCs w:val="28"/>
        </w:rPr>
        <w:t xml:space="preserve">  </w:t>
      </w:r>
    </w:p>
    <w:p w14:paraId="5AF0D9A9" w14:textId="77777777" w:rsidR="0010271A" w:rsidRDefault="0010271A" w:rsidP="0010271A">
      <w:pPr>
        <w:pStyle w:val="a00"/>
        <w:shd w:val="clear" w:color="auto" w:fill="FFFFFF"/>
        <w:bidi/>
        <w:spacing w:before="0" w:beforeAutospacing="0" w:after="420" w:afterAutospacing="0" w:line="360" w:lineRule="auto"/>
        <w:ind w:left="567" w:right="567"/>
        <w:jc w:val="both"/>
        <w:rPr>
          <w:rFonts w:ascii="Miriam" w:hAnsi="Miriam" w:cs="Miriam"/>
          <w:color w:val="000000"/>
          <w:spacing w:val="10"/>
          <w:rtl/>
        </w:rPr>
      </w:pPr>
      <w:r w:rsidRPr="00D23ABE">
        <w:rPr>
          <w:rFonts w:ascii="Miriam" w:hAnsi="Miriam" w:cs="Miriam"/>
          <w:color w:val="000000"/>
          <w:spacing w:val="10"/>
          <w:rtl/>
        </w:rPr>
        <w:t>הדברים אמורים ביתר שאת ביחס לעבירות של יבוא והפצת סם ה-</w:t>
      </w:r>
      <w:r w:rsidRPr="00D23ABE">
        <w:rPr>
          <w:rFonts w:ascii="Miriam" w:hAnsi="Miriam" w:cs="Miriam"/>
          <w:color w:val="000000"/>
          <w:spacing w:val="10"/>
        </w:rPr>
        <w:t>GBL</w:t>
      </w:r>
      <w:r w:rsidRPr="00D23ABE">
        <w:rPr>
          <w:rFonts w:ascii="Miriam" w:hAnsi="Miriam" w:cs="Miriam"/>
          <w:color w:val="000000"/>
          <w:spacing w:val="10"/>
          <w:rtl/>
        </w:rPr>
        <w:t>, כבענייננו, אשר בשל מאפייניו הייחודיים קיים חשש של ממש כי ייעשה בו שימוש לביצוע עבירות מין, תוך סימום ואלחוש הקורבנות בלי שיבחינו בכך באופן שימנע מהם לזכור את אשר אירע</w:t>
      </w:r>
      <w:r>
        <w:rPr>
          <w:rFonts w:ascii="Miriam" w:hAnsi="Miriam" w:cs="Miriam" w:hint="cs"/>
          <w:color w:val="000000"/>
          <w:spacing w:val="10"/>
          <w:rtl/>
        </w:rPr>
        <w:t>.</w:t>
      </w:r>
    </w:p>
    <w:p w14:paraId="64DAFDBC"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לצד</w:t>
      </w:r>
      <w:r w:rsidRPr="005C43AB">
        <w:rPr>
          <w:rFonts w:ascii="FrankRuehl" w:hAnsi="FrankRuehl" w:cs="FrankRuehl"/>
          <w:sz w:val="28"/>
          <w:szCs w:val="28"/>
          <w:rtl/>
        </w:rPr>
        <w:t xml:space="preserve"> זאת, </w:t>
      </w:r>
      <w:r>
        <w:rPr>
          <w:rFonts w:ascii="FrankRuehl" w:hAnsi="FrankRuehl" w:cs="FrankRuehl" w:hint="cs"/>
          <w:sz w:val="28"/>
          <w:szCs w:val="28"/>
          <w:rtl/>
        </w:rPr>
        <w:t>יש לתת את הדעת על נסיבותיו של כל מקרה ומקרה, בכלל זה למידת הפגיעה בערכים, בשים לב לנזק שארע בפועל כמו גם לפוטנציאל הנזק, ובהתאם לכך לקבוע את העונש ההולם. במקרה זה לא הוכח כי נגרם נזק בפועל, ולא הוכח כי הנאשם סחר בסם שייבא. אדרבה, המאשימה הסכימה, במסגרת הסדר הטיעון, כי הנאשם יוכל לטעון, וכך אכן נטען, לכך שהוא שפך את הסם שיקבל במסגרת האישום השני (שהוא הראשון בזמן) וטענתו זו לא נסתרה. הדבר מקים רגליים לסברה כי הסם בכללו יובא לשימוש עצמי, ויש לתת לכך משקל, אם כי נמוך, בשים לב לחזקה הקיימת כי ייבוא סם בהיקף גדול כפי שנעשה, אינו לשימוש עצמי. לצד זאת, הנאשם פעל להסוות את ייבוא הסם בכך שהוא ביקש לשלחם ל</w:t>
      </w:r>
      <w:r w:rsidRPr="005C43AB">
        <w:rPr>
          <w:rFonts w:ascii="FrankRuehl" w:hAnsi="FrankRuehl" w:cs="FrankRuehl"/>
          <w:sz w:val="28"/>
          <w:szCs w:val="28"/>
          <w:rtl/>
        </w:rPr>
        <w:t xml:space="preserve">כתובת במרכז מסחרי </w:t>
      </w:r>
      <w:r>
        <w:rPr>
          <w:rFonts w:ascii="FrankRuehl" w:hAnsi="FrankRuehl" w:cs="FrankRuehl" w:hint="cs"/>
          <w:sz w:val="28"/>
          <w:szCs w:val="28"/>
          <w:rtl/>
        </w:rPr>
        <w:t xml:space="preserve">ותוך רישום </w:t>
      </w:r>
      <w:r w:rsidRPr="005C43AB">
        <w:rPr>
          <w:rFonts w:ascii="FrankRuehl" w:hAnsi="FrankRuehl" w:cs="FrankRuehl"/>
          <w:sz w:val="28"/>
          <w:szCs w:val="28"/>
          <w:rtl/>
        </w:rPr>
        <w:t xml:space="preserve">סכום </w:t>
      </w:r>
      <w:r>
        <w:rPr>
          <w:rFonts w:ascii="FrankRuehl" w:hAnsi="FrankRuehl" w:cs="FrankRuehl" w:hint="cs"/>
          <w:sz w:val="28"/>
          <w:szCs w:val="28"/>
          <w:rtl/>
        </w:rPr>
        <w:t xml:space="preserve">כספי </w:t>
      </w:r>
      <w:r w:rsidRPr="005C43AB">
        <w:rPr>
          <w:rFonts w:ascii="FrankRuehl" w:hAnsi="FrankRuehl" w:cs="FrankRuehl"/>
          <w:sz w:val="28"/>
          <w:szCs w:val="28"/>
          <w:rtl/>
        </w:rPr>
        <w:t>נמוך ומטעה על גבי החבילה.</w:t>
      </w:r>
    </w:p>
    <w:p w14:paraId="4045113B" w14:textId="77777777" w:rsidR="0010271A" w:rsidRDefault="0010271A" w:rsidP="0010271A">
      <w:pPr>
        <w:spacing w:line="360" w:lineRule="auto"/>
        <w:jc w:val="both"/>
        <w:rPr>
          <w:rFonts w:ascii="FrankRuehl" w:hAnsi="FrankRuehl" w:cs="FrankRuehl"/>
          <w:sz w:val="28"/>
          <w:szCs w:val="28"/>
          <w:rtl/>
        </w:rPr>
      </w:pPr>
    </w:p>
    <w:p w14:paraId="34B2C88B" w14:textId="77777777" w:rsidR="0010271A" w:rsidRPr="005C43AB"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15.</w:t>
      </w:r>
      <w:r>
        <w:rPr>
          <w:rFonts w:ascii="FrankRuehl" w:hAnsi="FrankRuehl" w:cs="FrankRuehl" w:hint="cs"/>
          <w:sz w:val="28"/>
          <w:szCs w:val="28"/>
          <w:rtl/>
        </w:rPr>
        <w:tab/>
        <w:t xml:space="preserve">באשר לענישה הנוהגת ומתחם העונש ההולם, מאחר ושתי עבירות הייבוא התבצעו </w:t>
      </w:r>
      <w:r w:rsidRPr="005C43AB">
        <w:rPr>
          <w:rFonts w:ascii="FrankRuehl" w:hAnsi="FrankRuehl" w:cs="FrankRuehl"/>
          <w:sz w:val="28"/>
          <w:szCs w:val="28"/>
          <w:rtl/>
        </w:rPr>
        <w:t>בהפרש של כחודש אחת מהשנייה</w:t>
      </w:r>
      <w:r>
        <w:rPr>
          <w:rFonts w:ascii="FrankRuehl" w:hAnsi="FrankRuehl" w:cs="FrankRuehl" w:hint="cs"/>
          <w:sz w:val="28"/>
          <w:szCs w:val="28"/>
          <w:rtl/>
        </w:rPr>
        <w:t xml:space="preserve">. </w:t>
      </w:r>
      <w:r w:rsidRPr="005C43AB">
        <w:rPr>
          <w:rFonts w:ascii="FrankRuehl" w:hAnsi="FrankRuehl" w:cs="FrankRuehl"/>
          <w:sz w:val="28"/>
          <w:szCs w:val="28"/>
          <w:rtl/>
        </w:rPr>
        <w:t>עבירת ההחזקה והשימוש התבצעה אף היא בתקופה החופפת לאחת מעבירות הייבוא.</w:t>
      </w:r>
      <w:r>
        <w:rPr>
          <w:rFonts w:ascii="FrankRuehl" w:hAnsi="FrankRuehl" w:cs="FrankRuehl" w:hint="cs"/>
          <w:sz w:val="28"/>
          <w:szCs w:val="28"/>
          <w:rtl/>
        </w:rPr>
        <w:t xml:space="preserve"> בנסיבות אלו יש לקבוע מתחם אחד לכלל </w:t>
      </w:r>
      <w:r w:rsidRPr="005C43AB">
        <w:rPr>
          <w:rFonts w:ascii="FrankRuehl" w:hAnsi="FrankRuehl" w:cs="FrankRuehl"/>
          <w:sz w:val="28"/>
          <w:szCs w:val="28"/>
          <w:rtl/>
        </w:rPr>
        <w:t>האישומים.</w:t>
      </w:r>
    </w:p>
    <w:p w14:paraId="49C45A9B" w14:textId="77777777" w:rsidR="0010271A" w:rsidRPr="009935CC" w:rsidRDefault="0010271A" w:rsidP="0010271A">
      <w:pPr>
        <w:spacing w:line="360" w:lineRule="auto"/>
        <w:jc w:val="both"/>
        <w:rPr>
          <w:rFonts w:ascii="FrankRuehl" w:hAnsi="FrankRuehl" w:cs="FrankRuehl"/>
          <w:sz w:val="28"/>
          <w:szCs w:val="28"/>
          <w:rtl/>
        </w:rPr>
      </w:pPr>
    </w:p>
    <w:p w14:paraId="0CD4CB8C" w14:textId="77777777" w:rsidR="0010271A" w:rsidRDefault="0010271A" w:rsidP="0010271A">
      <w:pPr>
        <w:spacing w:line="360" w:lineRule="auto"/>
        <w:jc w:val="both"/>
        <w:rPr>
          <w:rFonts w:ascii="FrankRuehl" w:hAnsi="FrankRuehl" w:cs="FrankRuehl"/>
          <w:color w:val="000000"/>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694E65">
        <w:rPr>
          <w:rFonts w:ascii="FrankRuehl" w:hAnsi="FrankRuehl" w:cs="FrankRuehl"/>
          <w:sz w:val="28"/>
          <w:szCs w:val="28"/>
          <w:rtl/>
        </w:rPr>
        <w:t xml:space="preserve">הסמים </w:t>
      </w:r>
      <w:r w:rsidRPr="00857F1E">
        <w:rPr>
          <w:rFonts w:ascii="FrankRuehl" w:hAnsi="FrankRuehl" w:cs="FrankRuehl"/>
          <w:sz w:val="20"/>
          <w:szCs w:val="20"/>
        </w:rPr>
        <w:t>GHB</w:t>
      </w:r>
      <w:r w:rsidRPr="00694E65">
        <w:rPr>
          <w:rFonts w:ascii="FrankRuehl" w:hAnsi="FrankRuehl" w:cs="FrankRuehl"/>
          <w:sz w:val="28"/>
          <w:szCs w:val="28"/>
          <w:rtl/>
        </w:rPr>
        <w:t>,</w:t>
      </w:r>
      <w:r w:rsidRPr="00694E65">
        <w:rPr>
          <w:rFonts w:ascii="FrankRuehl" w:hAnsi="FrankRuehl" w:cs="FrankRuehl"/>
          <w:sz w:val="28"/>
          <w:szCs w:val="28"/>
        </w:rPr>
        <w:t xml:space="preserve"> </w:t>
      </w:r>
      <w:r w:rsidRPr="00857F1E">
        <w:rPr>
          <w:rFonts w:ascii="FrankRuehl" w:hAnsi="FrankRuehl" w:cs="FrankRuehl"/>
          <w:sz w:val="20"/>
          <w:szCs w:val="20"/>
        </w:rPr>
        <w:t>GBL</w:t>
      </w:r>
      <w:r w:rsidRPr="00694E65">
        <w:rPr>
          <w:rFonts w:ascii="FrankRuehl" w:hAnsi="FrankRuehl" w:cs="FrankRuehl"/>
          <w:sz w:val="28"/>
          <w:szCs w:val="28"/>
        </w:rPr>
        <w:t xml:space="preserve"> </w:t>
      </w:r>
      <w:r w:rsidRPr="00694E65">
        <w:rPr>
          <w:rFonts w:ascii="FrankRuehl" w:hAnsi="FrankRuehl" w:cs="FrankRuehl"/>
          <w:sz w:val="28"/>
          <w:szCs w:val="28"/>
          <w:rtl/>
        </w:rPr>
        <w:t>ו-</w:t>
      </w:r>
      <w:r w:rsidRPr="00857F1E">
        <w:rPr>
          <w:rFonts w:ascii="FrankRuehl" w:hAnsi="FrankRuehl" w:cs="FrankRuehl"/>
          <w:sz w:val="20"/>
          <w:szCs w:val="20"/>
        </w:rPr>
        <w:t>BDO</w:t>
      </w:r>
      <w:r w:rsidRPr="00694E65">
        <w:rPr>
          <w:rFonts w:ascii="FrankRuehl" w:hAnsi="FrankRuehl" w:cs="FrankRuehl"/>
          <w:sz w:val="28"/>
          <w:szCs w:val="28"/>
          <w:rtl/>
        </w:rPr>
        <w:t xml:space="preserve"> הינם סמים מסוכנים אשר דומים במבניהם הכימי אחד לשני ומכאן שמסוכנותם דומה. באשר לסם מסוג </w:t>
      </w:r>
      <w:r w:rsidRPr="00857F1E">
        <w:rPr>
          <w:rFonts w:ascii="FrankRuehl" w:hAnsi="FrankRuehl" w:cs="FrankRuehl"/>
          <w:sz w:val="20"/>
          <w:szCs w:val="20"/>
        </w:rPr>
        <w:t>GBL</w:t>
      </w:r>
      <w:r w:rsidRPr="00694E65">
        <w:rPr>
          <w:rFonts w:ascii="FrankRuehl" w:hAnsi="FrankRuehl" w:cs="FrankRuehl"/>
          <w:sz w:val="28"/>
          <w:szCs w:val="28"/>
          <w:rtl/>
        </w:rPr>
        <w:t>, נקבע בפסיקה כי, ככלל יש להטיל על המורשעים בעבירות הנוגעות לסם זה עונשי מאסר בפועל (ראו:</w:t>
      </w:r>
      <w:r>
        <w:rPr>
          <w:rFonts w:ascii="FrankRuehl" w:hAnsi="FrankRuehl" w:cs="FrankRuehl" w:hint="cs"/>
          <w:sz w:val="28"/>
          <w:szCs w:val="28"/>
          <w:rtl/>
        </w:rPr>
        <w:t xml:space="preserve"> </w:t>
      </w:r>
      <w:hyperlink r:id="rId19" w:history="1">
        <w:r w:rsidR="00552128" w:rsidRPr="00552128">
          <w:rPr>
            <w:rFonts w:ascii="FrankRuehl" w:hAnsi="FrankRuehl" w:cs="FrankRuehl"/>
            <w:color w:val="0000FF"/>
            <w:sz w:val="28"/>
            <w:szCs w:val="28"/>
            <w:u w:val="single"/>
            <w:rtl/>
          </w:rPr>
          <w:t>ע"פ 667/21</w:t>
        </w:r>
      </w:hyperlink>
      <w:r>
        <w:rPr>
          <w:rFonts w:ascii="FrankRuehl" w:hAnsi="FrankRuehl" w:cs="FrankRuehl" w:hint="cs"/>
          <w:sz w:val="28"/>
          <w:szCs w:val="28"/>
          <w:rtl/>
        </w:rPr>
        <w:t xml:space="preserve"> </w:t>
      </w:r>
      <w:r w:rsidRPr="00816E73">
        <w:rPr>
          <w:rFonts w:ascii="FrankRuehl" w:hAnsi="FrankRuehl" w:cs="FrankRuehl" w:hint="cs"/>
          <w:b/>
          <w:bCs/>
          <w:sz w:val="28"/>
          <w:szCs w:val="28"/>
          <w:rtl/>
        </w:rPr>
        <w:t>מדינת ישראל נ' בן פורת</w:t>
      </w:r>
      <w:r>
        <w:rPr>
          <w:rFonts w:ascii="FrankRuehl" w:hAnsi="FrankRuehl" w:cs="FrankRuehl" w:hint="cs"/>
          <w:sz w:val="28"/>
          <w:szCs w:val="28"/>
          <w:rtl/>
        </w:rPr>
        <w:t xml:space="preserve"> (10.03.21);</w:t>
      </w:r>
      <w:r w:rsidRPr="00694E65">
        <w:rPr>
          <w:rFonts w:ascii="FrankRuehl" w:hAnsi="FrankRuehl" w:cs="FrankRuehl"/>
          <w:sz w:val="28"/>
          <w:szCs w:val="28"/>
          <w:rtl/>
        </w:rPr>
        <w:t xml:space="preserve"> </w:t>
      </w:r>
      <w:hyperlink r:id="rId20" w:history="1">
        <w:r w:rsidR="00552128" w:rsidRPr="00552128">
          <w:rPr>
            <w:rFonts w:ascii="FrankRuehl" w:hAnsi="FrankRuehl" w:cs="FrankRuehl"/>
            <w:color w:val="0000FF"/>
            <w:sz w:val="28"/>
            <w:szCs w:val="28"/>
            <w:u w:val="single"/>
            <w:rtl/>
          </w:rPr>
          <w:t>ת"פ (מחוזי ת"א) 60349-11-16</w:t>
        </w:r>
      </w:hyperlink>
      <w:r w:rsidRPr="00694E65">
        <w:rPr>
          <w:rFonts w:ascii="FrankRuehl" w:hAnsi="FrankRuehl" w:cs="FrankRuehl"/>
          <w:color w:val="000000"/>
          <w:sz w:val="28"/>
          <w:szCs w:val="28"/>
          <w:rtl/>
        </w:rPr>
        <w:t xml:space="preserve"> </w:t>
      </w:r>
      <w:r w:rsidRPr="00694E65">
        <w:rPr>
          <w:rFonts w:ascii="FrankRuehl" w:hAnsi="FrankRuehl" w:cs="FrankRuehl"/>
          <w:b/>
          <w:bCs/>
          <w:color w:val="000000"/>
          <w:sz w:val="28"/>
          <w:szCs w:val="28"/>
          <w:rtl/>
        </w:rPr>
        <w:t>מדינת ישראל נ' אברומן</w:t>
      </w:r>
      <w:r>
        <w:rPr>
          <w:rFonts w:ascii="FrankRuehl" w:hAnsi="FrankRuehl" w:cs="FrankRuehl" w:hint="cs"/>
          <w:color w:val="000000"/>
          <w:sz w:val="28"/>
          <w:szCs w:val="28"/>
          <w:rtl/>
        </w:rPr>
        <w:t xml:space="preserve"> </w:t>
      </w:r>
      <w:r w:rsidRPr="00694E65">
        <w:rPr>
          <w:rFonts w:ascii="FrankRuehl" w:hAnsi="FrankRuehl" w:cs="FrankRuehl"/>
          <w:color w:val="000000"/>
          <w:sz w:val="28"/>
          <w:szCs w:val="28"/>
          <w:rtl/>
        </w:rPr>
        <w:t>(25.09.17</w:t>
      </w:r>
      <w:r>
        <w:rPr>
          <w:rFonts w:ascii="FrankRuehl" w:hAnsi="FrankRuehl" w:cs="FrankRuehl" w:hint="cs"/>
          <w:color w:val="000000"/>
          <w:sz w:val="28"/>
          <w:szCs w:val="28"/>
          <w:rtl/>
        </w:rPr>
        <w:t>))</w:t>
      </w:r>
      <w:r w:rsidRPr="00694E65">
        <w:rPr>
          <w:rFonts w:ascii="FrankRuehl" w:hAnsi="FrankRuehl" w:cs="FrankRuehl"/>
          <w:color w:val="000000"/>
          <w:sz w:val="28"/>
          <w:szCs w:val="28"/>
          <w:rtl/>
        </w:rPr>
        <w:t xml:space="preserve">; </w:t>
      </w:r>
      <w:hyperlink r:id="rId21" w:history="1">
        <w:r w:rsidR="00552128" w:rsidRPr="00552128">
          <w:rPr>
            <w:rFonts w:ascii="FrankRuehl" w:hAnsi="FrankRuehl" w:cs="FrankRuehl"/>
            <w:color w:val="0000FF"/>
            <w:sz w:val="28"/>
            <w:szCs w:val="28"/>
            <w:u w:val="single"/>
            <w:rtl/>
          </w:rPr>
          <w:t>ע"פ 7714/11</w:t>
        </w:r>
      </w:hyperlink>
      <w:r w:rsidRPr="00694E65">
        <w:rPr>
          <w:rFonts w:ascii="FrankRuehl" w:hAnsi="FrankRuehl" w:cs="FrankRuehl"/>
          <w:color w:val="000000"/>
          <w:sz w:val="28"/>
          <w:szCs w:val="28"/>
          <w:rtl/>
        </w:rPr>
        <w:t xml:space="preserve"> </w:t>
      </w:r>
      <w:r>
        <w:rPr>
          <w:rFonts w:ascii="FrankRuehl" w:hAnsi="FrankRuehl" w:cs="FrankRuehl"/>
          <w:b/>
          <w:bCs/>
          <w:color w:val="000000"/>
          <w:sz w:val="28"/>
          <w:szCs w:val="28"/>
          <w:rtl/>
        </w:rPr>
        <w:t xml:space="preserve">מדינת ישראל נ' </w:t>
      </w:r>
      <w:r>
        <w:rPr>
          <w:rFonts w:ascii="FrankRuehl" w:hAnsi="FrankRuehl" w:cs="FrankRuehl" w:hint="cs"/>
          <w:b/>
          <w:bCs/>
          <w:color w:val="000000"/>
          <w:sz w:val="28"/>
          <w:szCs w:val="28"/>
          <w:rtl/>
        </w:rPr>
        <w:t>ד</w:t>
      </w:r>
      <w:r w:rsidRPr="00694E65">
        <w:rPr>
          <w:rFonts w:ascii="FrankRuehl" w:hAnsi="FrankRuehl" w:cs="FrankRuehl"/>
          <w:b/>
          <w:bCs/>
          <w:color w:val="000000"/>
          <w:sz w:val="28"/>
          <w:szCs w:val="28"/>
          <w:rtl/>
        </w:rPr>
        <w:t>ילן</w:t>
      </w:r>
      <w:r w:rsidRPr="00694E65">
        <w:rPr>
          <w:rFonts w:ascii="FrankRuehl" w:hAnsi="FrankRuehl" w:cs="FrankRuehl"/>
          <w:color w:val="000000"/>
          <w:sz w:val="28"/>
          <w:szCs w:val="28"/>
          <w:rtl/>
        </w:rPr>
        <w:t xml:space="preserve"> (17.05.12); </w:t>
      </w:r>
      <w:hyperlink r:id="rId22" w:history="1">
        <w:r w:rsidR="00552128" w:rsidRPr="00552128">
          <w:rPr>
            <w:rFonts w:ascii="FrankRuehl" w:hAnsi="FrankRuehl" w:cs="FrankRuehl"/>
            <w:color w:val="0000FF"/>
            <w:sz w:val="28"/>
            <w:szCs w:val="28"/>
            <w:u w:val="single"/>
            <w:rtl/>
          </w:rPr>
          <w:t>ע"פ 7026/11</w:t>
        </w:r>
      </w:hyperlink>
      <w:r w:rsidRPr="00694E65">
        <w:rPr>
          <w:rFonts w:ascii="FrankRuehl" w:hAnsi="FrankRuehl" w:cs="FrankRuehl"/>
          <w:color w:val="000000"/>
          <w:sz w:val="28"/>
          <w:szCs w:val="28"/>
          <w:rtl/>
        </w:rPr>
        <w:t xml:space="preserve"> </w:t>
      </w:r>
      <w:r w:rsidRPr="00694E65">
        <w:rPr>
          <w:rFonts w:ascii="FrankRuehl" w:hAnsi="FrankRuehl" w:cs="FrankRuehl"/>
          <w:b/>
          <w:bCs/>
          <w:color w:val="000000"/>
          <w:sz w:val="28"/>
          <w:szCs w:val="28"/>
          <w:rtl/>
        </w:rPr>
        <w:t>מדינת ישראל נ' פלוני</w:t>
      </w:r>
      <w:r w:rsidRPr="00694E65">
        <w:rPr>
          <w:rFonts w:ascii="FrankRuehl" w:hAnsi="FrankRuehl" w:cs="FrankRuehl"/>
          <w:color w:val="000000"/>
          <w:sz w:val="28"/>
          <w:szCs w:val="28"/>
          <w:rtl/>
        </w:rPr>
        <w:t xml:space="preserve"> (26.02.12)). </w:t>
      </w:r>
      <w:r>
        <w:rPr>
          <w:rFonts w:ascii="FrankRuehl" w:hAnsi="FrankRuehl" w:cs="FrankRuehl" w:hint="cs"/>
          <w:color w:val="000000"/>
          <w:sz w:val="28"/>
          <w:szCs w:val="28"/>
          <w:rtl/>
        </w:rPr>
        <w:t xml:space="preserve">על יסוד נקודת מוצא זו נקבעו מתחמי הענישה. </w:t>
      </w:r>
    </w:p>
    <w:p w14:paraId="5A91682A" w14:textId="77777777" w:rsidR="0010271A" w:rsidRDefault="0010271A" w:rsidP="0010271A">
      <w:pPr>
        <w:spacing w:line="360" w:lineRule="auto"/>
        <w:jc w:val="both"/>
        <w:rPr>
          <w:rFonts w:ascii="FrankRuehl" w:hAnsi="FrankRuehl" w:cs="FrankRuehl"/>
          <w:sz w:val="28"/>
          <w:szCs w:val="28"/>
          <w:rtl/>
        </w:rPr>
      </w:pPr>
    </w:p>
    <w:p w14:paraId="1755F6D7" w14:textId="77777777" w:rsidR="0010271A" w:rsidRPr="0099128B" w:rsidRDefault="0010271A" w:rsidP="0010271A">
      <w:pPr>
        <w:pStyle w:val="a9"/>
        <w:numPr>
          <w:ilvl w:val="0"/>
          <w:numId w:val="1"/>
        </w:numPr>
        <w:spacing w:line="360" w:lineRule="auto"/>
        <w:jc w:val="both"/>
        <w:rPr>
          <w:rFonts w:ascii="FrankRuehl" w:hAnsi="FrankRuehl" w:cs="FrankRuehl"/>
          <w:sz w:val="28"/>
          <w:szCs w:val="28"/>
          <w:rtl/>
        </w:rPr>
      </w:pPr>
      <w:r w:rsidRPr="0099128B">
        <w:rPr>
          <w:rFonts w:ascii="FrankRuehl" w:hAnsi="FrankRuehl" w:cs="FrankRuehl"/>
          <w:sz w:val="28"/>
          <w:szCs w:val="28"/>
          <w:rtl/>
        </w:rPr>
        <w:t>כך למשל, בעניין</w:t>
      </w:r>
      <w:r w:rsidRPr="0099128B">
        <w:rPr>
          <w:rFonts w:ascii="FrankRuehl" w:hAnsi="FrankRuehl" w:cs="FrankRuehl" w:hint="cs"/>
          <w:sz w:val="28"/>
          <w:szCs w:val="28"/>
          <w:rtl/>
        </w:rPr>
        <w:t xml:space="preserve"> </w:t>
      </w:r>
      <w:hyperlink r:id="rId23" w:history="1">
        <w:r w:rsidR="00552128" w:rsidRPr="00552128">
          <w:rPr>
            <w:rFonts w:ascii="FrankRuehl" w:hAnsi="FrankRuehl" w:cs="FrankRuehl"/>
            <w:color w:val="0000FF"/>
            <w:sz w:val="28"/>
            <w:szCs w:val="28"/>
            <w:u w:val="single"/>
            <w:rtl/>
          </w:rPr>
          <w:t>ת"פ (מחוזי ת"א) 60349-11-16</w:t>
        </w:r>
      </w:hyperlink>
      <w:r w:rsidRPr="0099128B">
        <w:rPr>
          <w:rFonts w:ascii="FrankRuehl" w:hAnsi="FrankRuehl" w:cs="FrankRuehl"/>
          <w:color w:val="000000"/>
          <w:sz w:val="28"/>
          <w:szCs w:val="28"/>
          <w:rtl/>
        </w:rPr>
        <w:t xml:space="preserve"> </w:t>
      </w:r>
      <w:r w:rsidRPr="0099128B">
        <w:rPr>
          <w:rFonts w:ascii="FrankRuehl" w:hAnsi="FrankRuehl" w:cs="FrankRuehl" w:hint="cs"/>
          <w:color w:val="000000"/>
          <w:sz w:val="28"/>
          <w:szCs w:val="28"/>
          <w:rtl/>
        </w:rPr>
        <w:t>בעניין</w:t>
      </w:r>
      <w:r w:rsidRPr="0099128B">
        <w:rPr>
          <w:rFonts w:ascii="FrankRuehl" w:hAnsi="FrankRuehl" w:cs="FrankRuehl"/>
          <w:sz w:val="28"/>
          <w:szCs w:val="28"/>
          <w:rtl/>
        </w:rPr>
        <w:t xml:space="preserve"> </w:t>
      </w:r>
      <w:r w:rsidRPr="0099128B">
        <w:rPr>
          <w:rFonts w:ascii="FrankRuehl" w:hAnsi="FrankRuehl" w:cs="FrankRuehl"/>
          <w:b/>
          <w:bCs/>
          <w:sz w:val="28"/>
          <w:szCs w:val="28"/>
          <w:rtl/>
        </w:rPr>
        <w:t>אברומן</w:t>
      </w:r>
      <w:r w:rsidRPr="0099128B">
        <w:rPr>
          <w:rFonts w:ascii="FrankRuehl" w:hAnsi="FrankRuehl" w:cs="FrankRuehl"/>
          <w:sz w:val="28"/>
          <w:szCs w:val="28"/>
          <w:rtl/>
        </w:rPr>
        <w:t>,</w:t>
      </w:r>
      <w:r w:rsidRPr="0099128B">
        <w:rPr>
          <w:rFonts w:ascii="FrankRuehl" w:hAnsi="FrankRuehl" w:cs="FrankRuehl" w:hint="cs"/>
          <w:sz w:val="28"/>
          <w:szCs w:val="28"/>
          <w:rtl/>
        </w:rPr>
        <w:t xml:space="preserve"> קשרו שני נאשמים קשר לייבא לישראל סמים מסוכנים. </w:t>
      </w:r>
      <w:r>
        <w:rPr>
          <w:rFonts w:ascii="FrankRuehl" w:hAnsi="FrankRuehl" w:cs="FrankRuehl" w:hint="cs"/>
          <w:sz w:val="28"/>
          <w:szCs w:val="28"/>
          <w:rtl/>
        </w:rPr>
        <w:t xml:space="preserve">אחד הנאשמים </w:t>
      </w:r>
      <w:r w:rsidRPr="0099128B">
        <w:rPr>
          <w:rFonts w:ascii="FrankRuehl" w:hAnsi="FrankRuehl" w:cs="FrankRuehl" w:hint="cs"/>
          <w:sz w:val="28"/>
          <w:szCs w:val="28"/>
          <w:rtl/>
        </w:rPr>
        <w:t xml:space="preserve">נתפס עם 1.49 ליטר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ו-609 טבליות סם מסוכן מסוג </w:t>
      </w:r>
      <w:r w:rsidRPr="0099128B">
        <w:rPr>
          <w:rFonts w:ascii="FrankRuehl" w:hAnsi="FrankRuehl" w:cs="FrankRuehl"/>
          <w:sz w:val="20"/>
          <w:szCs w:val="20"/>
        </w:rPr>
        <w:t>MDMA</w:t>
      </w:r>
      <w:r w:rsidRPr="0099128B">
        <w:rPr>
          <w:rFonts w:ascii="FrankRuehl" w:hAnsi="FrankRuehl" w:cs="FrankRuehl" w:hint="cs"/>
          <w:sz w:val="28"/>
          <w:szCs w:val="28"/>
          <w:rtl/>
        </w:rPr>
        <w:t xml:space="preserve">. </w:t>
      </w:r>
      <w:r>
        <w:rPr>
          <w:rFonts w:ascii="FrankRuehl" w:hAnsi="FrankRuehl" w:cs="FrankRuehl" w:hint="cs"/>
          <w:sz w:val="28"/>
          <w:szCs w:val="28"/>
          <w:rtl/>
        </w:rPr>
        <w:t>ה</w:t>
      </w:r>
      <w:r w:rsidRPr="0099128B">
        <w:rPr>
          <w:rFonts w:ascii="FrankRuehl" w:hAnsi="FrankRuehl" w:cs="FrankRuehl" w:hint="cs"/>
          <w:sz w:val="28"/>
          <w:szCs w:val="28"/>
          <w:rtl/>
        </w:rPr>
        <w:t xml:space="preserve">נאשם </w:t>
      </w:r>
      <w:r>
        <w:rPr>
          <w:rFonts w:ascii="FrankRuehl" w:hAnsi="FrankRuehl" w:cs="FrankRuehl" w:hint="cs"/>
          <w:sz w:val="28"/>
          <w:szCs w:val="28"/>
          <w:rtl/>
        </w:rPr>
        <w:t xml:space="preserve">השני </w:t>
      </w:r>
      <w:r w:rsidRPr="0099128B">
        <w:rPr>
          <w:rFonts w:ascii="FrankRuehl" w:hAnsi="FrankRuehl" w:cs="FrankRuehl" w:hint="cs"/>
          <w:sz w:val="28"/>
          <w:szCs w:val="28"/>
          <w:rtl/>
        </w:rPr>
        <w:t xml:space="preserve">נתפס עם שני בקבוקים שהכילו כ-1.51 ליטר של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באשר לנאשם </w:t>
      </w:r>
      <w:r>
        <w:rPr>
          <w:rFonts w:ascii="FrankRuehl" w:hAnsi="FrankRuehl" w:cs="FrankRuehl" w:hint="cs"/>
          <w:sz w:val="28"/>
          <w:szCs w:val="28"/>
          <w:rtl/>
        </w:rPr>
        <w:t>השני</w:t>
      </w:r>
      <w:r w:rsidRPr="0099128B">
        <w:rPr>
          <w:rFonts w:ascii="FrankRuehl" w:hAnsi="FrankRuehl" w:cs="FrankRuehl" w:hint="cs"/>
          <w:sz w:val="28"/>
          <w:szCs w:val="28"/>
          <w:rtl/>
        </w:rPr>
        <w:t xml:space="preserve">, </w:t>
      </w:r>
      <w:r w:rsidRPr="0099128B">
        <w:rPr>
          <w:rFonts w:ascii="FrankRuehl" w:hAnsi="FrankRuehl" w:cs="FrankRuehl"/>
          <w:sz w:val="28"/>
          <w:szCs w:val="28"/>
          <w:rtl/>
        </w:rPr>
        <w:t>קבע בית המשפט מתחם ענישה שנע בין 12 ל-18 חודשי מאסר בפועל</w:t>
      </w:r>
      <w:r w:rsidRPr="0099128B">
        <w:rPr>
          <w:rFonts w:ascii="FrankRuehl" w:hAnsi="FrankRuehl" w:cs="FrankRuehl" w:hint="cs"/>
          <w:sz w:val="28"/>
          <w:szCs w:val="28"/>
          <w:rtl/>
        </w:rPr>
        <w:t>.</w:t>
      </w:r>
    </w:p>
    <w:p w14:paraId="57EB58F1" w14:textId="77777777" w:rsidR="0010271A" w:rsidRDefault="0010271A" w:rsidP="0010271A">
      <w:pPr>
        <w:spacing w:line="360" w:lineRule="auto"/>
        <w:jc w:val="both"/>
        <w:rPr>
          <w:rFonts w:ascii="FrankRuehl" w:hAnsi="FrankRuehl" w:cs="FrankRuehl"/>
          <w:sz w:val="28"/>
          <w:szCs w:val="28"/>
          <w:rtl/>
        </w:rPr>
      </w:pPr>
    </w:p>
    <w:p w14:paraId="7ABFF049" w14:textId="77777777" w:rsidR="0010271A" w:rsidRPr="0099128B" w:rsidRDefault="0010271A" w:rsidP="0010271A">
      <w:pPr>
        <w:pStyle w:val="a9"/>
        <w:numPr>
          <w:ilvl w:val="0"/>
          <w:numId w:val="1"/>
        </w:numPr>
        <w:spacing w:line="360" w:lineRule="auto"/>
        <w:jc w:val="both"/>
        <w:rPr>
          <w:rFonts w:ascii="FrankRuehl" w:hAnsi="FrankRuehl" w:cs="FrankRuehl"/>
          <w:sz w:val="28"/>
          <w:szCs w:val="28"/>
          <w:rtl/>
        </w:rPr>
      </w:pPr>
      <w:r w:rsidRPr="0099128B">
        <w:rPr>
          <w:rFonts w:ascii="FrankRuehl" w:hAnsi="FrankRuehl" w:cs="FrankRuehl"/>
          <w:sz w:val="28"/>
          <w:szCs w:val="28"/>
          <w:rtl/>
        </w:rPr>
        <w:t xml:space="preserve">בדומה, </w:t>
      </w:r>
      <w:r w:rsidRPr="0099128B">
        <w:rPr>
          <w:rFonts w:ascii="FrankRuehl" w:hAnsi="FrankRuehl" w:cs="FrankRuehl" w:hint="cs"/>
          <w:color w:val="000000"/>
          <w:sz w:val="28"/>
          <w:szCs w:val="28"/>
          <w:rtl/>
        </w:rPr>
        <w:t>ב</w:t>
      </w:r>
      <w:hyperlink r:id="rId24" w:history="1">
        <w:r w:rsidR="00552128" w:rsidRPr="00552128">
          <w:rPr>
            <w:rFonts w:ascii="FrankRuehl" w:hAnsi="FrankRuehl" w:cs="FrankRuehl"/>
            <w:color w:val="0000FF"/>
            <w:sz w:val="28"/>
            <w:szCs w:val="28"/>
            <w:u w:val="single"/>
            <w:rtl/>
          </w:rPr>
          <w:t>ת"פ (מחוזי-ת"א) 21284-06-13</w:t>
        </w:r>
      </w:hyperlink>
      <w:r w:rsidRPr="0099128B">
        <w:rPr>
          <w:rFonts w:ascii="FrankRuehl" w:hAnsi="FrankRuehl" w:cs="FrankRuehl"/>
          <w:color w:val="000000"/>
          <w:sz w:val="28"/>
          <w:szCs w:val="28"/>
          <w:rtl/>
        </w:rPr>
        <w:t xml:space="preserve"> </w:t>
      </w:r>
      <w:r w:rsidRPr="0099128B">
        <w:rPr>
          <w:rFonts w:ascii="FrankRuehl" w:hAnsi="FrankRuehl" w:cs="FrankRuehl"/>
          <w:b/>
          <w:bCs/>
          <w:color w:val="000000"/>
          <w:sz w:val="28"/>
          <w:szCs w:val="28"/>
          <w:rtl/>
        </w:rPr>
        <w:t>מדינת ישראל נ' דוד</w:t>
      </w:r>
      <w:r w:rsidRPr="0099128B">
        <w:rPr>
          <w:rFonts w:ascii="FrankRuehl" w:hAnsi="FrankRuehl" w:cs="FrankRuehl"/>
          <w:color w:val="000000"/>
          <w:sz w:val="28"/>
          <w:szCs w:val="28"/>
          <w:rtl/>
        </w:rPr>
        <w:t xml:space="preserve"> (10.12.14)</w:t>
      </w:r>
      <w:r w:rsidRPr="0099128B">
        <w:rPr>
          <w:rFonts w:ascii="FrankRuehl" w:hAnsi="FrankRuehl" w:cs="FrankRuehl"/>
          <w:sz w:val="28"/>
          <w:szCs w:val="28"/>
          <w:rtl/>
        </w:rPr>
        <w:t>)</w:t>
      </w:r>
      <w:r w:rsidRPr="0099128B">
        <w:rPr>
          <w:rFonts w:ascii="FrankRuehl" w:hAnsi="FrankRuehl" w:cs="FrankRuehl" w:hint="cs"/>
          <w:sz w:val="28"/>
          <w:szCs w:val="28"/>
          <w:rtl/>
        </w:rPr>
        <w:t xml:space="preserve">, </w:t>
      </w:r>
      <w:r>
        <w:rPr>
          <w:rFonts w:ascii="FrankRuehl" w:hAnsi="FrankRuehl" w:cs="FrankRuehl" w:hint="cs"/>
          <w:sz w:val="28"/>
          <w:szCs w:val="28"/>
          <w:rtl/>
        </w:rPr>
        <w:t>מדובר ב</w:t>
      </w:r>
      <w:r w:rsidRPr="0099128B">
        <w:rPr>
          <w:rFonts w:ascii="FrankRuehl" w:hAnsi="FrankRuehl" w:cs="FrankRuehl" w:hint="cs"/>
          <w:sz w:val="28"/>
          <w:szCs w:val="28"/>
          <w:rtl/>
        </w:rPr>
        <w:t xml:space="preserve">נאשם </w:t>
      </w:r>
      <w:r>
        <w:rPr>
          <w:rFonts w:ascii="FrankRuehl" w:hAnsi="FrankRuehl" w:cs="FrankRuehl" w:hint="cs"/>
          <w:sz w:val="28"/>
          <w:szCs w:val="28"/>
          <w:rtl/>
        </w:rPr>
        <w:t>ש</w:t>
      </w:r>
      <w:r w:rsidRPr="0099128B">
        <w:rPr>
          <w:rFonts w:ascii="FrankRuehl" w:hAnsi="FrankRuehl" w:cs="FrankRuehl" w:hint="cs"/>
          <w:sz w:val="28"/>
          <w:szCs w:val="28"/>
          <w:rtl/>
        </w:rPr>
        <w:t xml:space="preserve">ייבא לישראל במשך מספר פעמים סמים מסוגים שונים ביניהם </w:t>
      </w:r>
      <w:r w:rsidRPr="0099128B">
        <w:rPr>
          <w:rFonts w:ascii="FrankRuehl" w:hAnsi="FrankRuehl" w:cs="FrankRuehl"/>
          <w:sz w:val="28"/>
          <w:szCs w:val="28"/>
        </w:rPr>
        <w:t xml:space="preserve"> </w:t>
      </w:r>
      <w:r w:rsidRPr="0099128B">
        <w:rPr>
          <w:rFonts w:ascii="FrankRuehl" w:hAnsi="FrankRuehl" w:cs="FrankRuehl"/>
          <w:sz w:val="20"/>
          <w:szCs w:val="20"/>
        </w:rPr>
        <w:t>GBL</w:t>
      </w:r>
      <w:r w:rsidRPr="0099128B">
        <w:rPr>
          <w:rFonts w:ascii="FrankRuehl" w:hAnsi="FrankRuehl" w:cs="FrankRuehl" w:hint="cs"/>
          <w:sz w:val="28"/>
          <w:szCs w:val="28"/>
          <w:rtl/>
        </w:rPr>
        <w:t>בכמות של כ-900 מיליליט</w:t>
      </w:r>
      <w:r w:rsidRPr="0099128B">
        <w:rPr>
          <w:rFonts w:ascii="FrankRuehl" w:hAnsi="FrankRuehl" w:cs="FrankRuehl" w:hint="eastAsia"/>
          <w:sz w:val="28"/>
          <w:szCs w:val="28"/>
          <w:rtl/>
        </w:rPr>
        <w:t>ר</w:t>
      </w:r>
      <w:r w:rsidRPr="0099128B">
        <w:rPr>
          <w:rFonts w:ascii="FrankRuehl" w:hAnsi="FrankRuehl" w:cs="FrankRuehl" w:hint="cs"/>
          <w:sz w:val="28"/>
          <w:szCs w:val="28"/>
          <w:rtl/>
        </w:rPr>
        <w:t>, הן לצורך צריכה עצמית והן לצורך מסחר</w:t>
      </w:r>
      <w:r>
        <w:rPr>
          <w:rFonts w:ascii="FrankRuehl" w:hAnsi="FrankRuehl" w:cs="FrankRuehl" w:hint="cs"/>
          <w:sz w:val="28"/>
          <w:szCs w:val="28"/>
          <w:rtl/>
        </w:rPr>
        <w:t>.</w:t>
      </w:r>
      <w:r w:rsidRPr="0099128B">
        <w:rPr>
          <w:rFonts w:ascii="FrankRuehl" w:hAnsi="FrankRuehl" w:cs="FrankRuehl" w:hint="cs"/>
          <w:sz w:val="28"/>
          <w:szCs w:val="28"/>
          <w:rtl/>
        </w:rPr>
        <w:t xml:space="preserve"> </w:t>
      </w:r>
      <w:r w:rsidRPr="0099128B">
        <w:rPr>
          <w:rFonts w:ascii="FrankRuehl" w:hAnsi="FrankRuehl" w:cs="FrankRuehl"/>
          <w:sz w:val="28"/>
          <w:szCs w:val="28"/>
          <w:rtl/>
        </w:rPr>
        <w:t xml:space="preserve">בית המשפט </w:t>
      </w:r>
      <w:r>
        <w:rPr>
          <w:rFonts w:ascii="FrankRuehl" w:hAnsi="FrankRuehl" w:cs="FrankRuehl" w:hint="cs"/>
          <w:sz w:val="28"/>
          <w:szCs w:val="28"/>
          <w:rtl/>
        </w:rPr>
        <w:t xml:space="preserve">קבע </w:t>
      </w:r>
      <w:r w:rsidRPr="0099128B">
        <w:rPr>
          <w:rFonts w:ascii="FrankRuehl" w:hAnsi="FrankRuehl" w:cs="FrankRuehl" w:hint="cs"/>
          <w:sz w:val="28"/>
          <w:szCs w:val="28"/>
          <w:rtl/>
        </w:rPr>
        <w:t>מתחם ענישה שנע בין 12 ל- 18 חודשי מאסר בפועל.</w:t>
      </w:r>
    </w:p>
    <w:p w14:paraId="30721F73" w14:textId="77777777" w:rsidR="0010271A" w:rsidRDefault="0010271A" w:rsidP="0010271A">
      <w:pPr>
        <w:spacing w:line="360" w:lineRule="auto"/>
        <w:jc w:val="both"/>
        <w:rPr>
          <w:rFonts w:ascii="FrankRuehl" w:hAnsi="FrankRuehl" w:cs="FrankRuehl"/>
          <w:sz w:val="28"/>
          <w:szCs w:val="28"/>
          <w:rtl/>
        </w:rPr>
      </w:pPr>
    </w:p>
    <w:p w14:paraId="252D4D3B" w14:textId="77777777" w:rsidR="0010271A" w:rsidRPr="0099128B" w:rsidRDefault="0010271A" w:rsidP="0010271A">
      <w:pPr>
        <w:pStyle w:val="a9"/>
        <w:numPr>
          <w:ilvl w:val="0"/>
          <w:numId w:val="1"/>
        </w:numPr>
        <w:spacing w:line="360" w:lineRule="auto"/>
        <w:jc w:val="both"/>
        <w:rPr>
          <w:rFonts w:ascii="FrankRuehl" w:hAnsi="FrankRuehl" w:cs="FrankRuehl"/>
          <w:sz w:val="28"/>
          <w:szCs w:val="28"/>
          <w:rtl/>
        </w:rPr>
      </w:pPr>
      <w:r w:rsidRPr="0099128B">
        <w:rPr>
          <w:rFonts w:ascii="FrankRuehl" w:hAnsi="FrankRuehl" w:cs="FrankRuehl" w:hint="cs"/>
          <w:sz w:val="28"/>
          <w:szCs w:val="28"/>
          <w:rtl/>
        </w:rPr>
        <w:t>ב</w:t>
      </w:r>
      <w:hyperlink r:id="rId25" w:history="1">
        <w:r w:rsidR="00552128" w:rsidRPr="00552128">
          <w:rPr>
            <w:rFonts w:ascii="FrankRuehl" w:hAnsi="FrankRuehl" w:cs="FrankRuehl"/>
            <w:color w:val="0000FF"/>
            <w:sz w:val="28"/>
            <w:szCs w:val="28"/>
            <w:u w:val="single"/>
            <w:rtl/>
          </w:rPr>
          <w:t>ת"פ (מחוזי-ת"א) 318-01-21</w:t>
        </w:r>
      </w:hyperlink>
      <w:r w:rsidRPr="0099128B">
        <w:rPr>
          <w:rFonts w:ascii="FrankRuehl" w:hAnsi="FrankRuehl" w:cs="FrankRuehl"/>
          <w:color w:val="000000"/>
          <w:sz w:val="28"/>
          <w:szCs w:val="28"/>
          <w:rtl/>
        </w:rPr>
        <w:t xml:space="preserve"> </w:t>
      </w:r>
      <w:r w:rsidRPr="0099128B">
        <w:rPr>
          <w:rFonts w:ascii="FrankRuehl" w:hAnsi="FrankRuehl" w:cs="FrankRuehl"/>
          <w:b/>
          <w:bCs/>
          <w:color w:val="000000"/>
          <w:sz w:val="28"/>
          <w:szCs w:val="28"/>
          <w:rtl/>
        </w:rPr>
        <w:t>מדינת ישראל נ' עצטה</w:t>
      </w:r>
      <w:r w:rsidRPr="0099128B">
        <w:rPr>
          <w:rFonts w:ascii="FrankRuehl" w:hAnsi="FrankRuehl" w:cs="FrankRuehl"/>
          <w:color w:val="000000"/>
          <w:sz w:val="28"/>
          <w:szCs w:val="28"/>
          <w:rtl/>
        </w:rPr>
        <w:t xml:space="preserve"> (06.05.21)</w:t>
      </w:r>
      <w:r w:rsidRPr="0099128B">
        <w:rPr>
          <w:rFonts w:ascii="FrankRuehl" w:hAnsi="FrankRuehl" w:cs="FrankRuehl" w:hint="cs"/>
          <w:sz w:val="28"/>
          <w:szCs w:val="28"/>
          <w:rtl/>
        </w:rPr>
        <w:t xml:space="preserve">, </w:t>
      </w:r>
      <w:r w:rsidRPr="0099128B">
        <w:rPr>
          <w:rFonts w:ascii="FrankRuehl" w:hAnsi="FrankRuehl" w:cs="FrankRuehl"/>
          <w:sz w:val="28"/>
          <w:szCs w:val="28"/>
          <w:rtl/>
        </w:rPr>
        <w:t xml:space="preserve">הורשעו </w:t>
      </w:r>
      <w:r w:rsidRPr="0099128B">
        <w:rPr>
          <w:rFonts w:ascii="FrankRuehl" w:hAnsi="FrankRuehl" w:cs="FrankRuehl" w:hint="cs"/>
          <w:sz w:val="28"/>
          <w:szCs w:val="28"/>
          <w:rtl/>
        </w:rPr>
        <w:t xml:space="preserve">שני </w:t>
      </w:r>
      <w:r w:rsidRPr="0099128B">
        <w:rPr>
          <w:rFonts w:ascii="FrankRuehl" w:hAnsi="FrankRuehl" w:cs="FrankRuehl"/>
          <w:sz w:val="28"/>
          <w:szCs w:val="28"/>
          <w:rtl/>
        </w:rPr>
        <w:t xml:space="preserve">נאשמים בעבירה של ייבוא סם מסוכן בהיקפים של 4.3 ליטרים של סם מסוג </w:t>
      </w:r>
      <w:r w:rsidRPr="0099128B">
        <w:rPr>
          <w:rFonts w:ascii="FrankRuehl" w:hAnsi="FrankRuehl" w:cs="FrankRuehl"/>
          <w:sz w:val="20"/>
          <w:szCs w:val="20"/>
        </w:rPr>
        <w:t>GBL</w:t>
      </w:r>
      <w:r w:rsidRPr="0099128B">
        <w:rPr>
          <w:rFonts w:ascii="FrankRuehl" w:hAnsi="FrankRuehl" w:cs="FrankRuehl"/>
          <w:sz w:val="28"/>
          <w:szCs w:val="28"/>
          <w:rtl/>
        </w:rPr>
        <w:t>. הנאשמים עשו שימוש בזהות בדויה לצורך הזמנת הסם וניסו לטשטש את זיקתם לחבילה על ידי בקשה מידידתם לקבל עבורם את החבילה באמתלות שונות. בית המשפט המחוזי קבע מתחם ענישה שנע בין 9 חודשי מאסר שניתן לרצות בעבודות שירות, לבין 24 חודשי מאסר בפועל</w:t>
      </w:r>
      <w:r w:rsidRPr="0099128B">
        <w:rPr>
          <w:rFonts w:ascii="FrankRuehl" w:hAnsi="FrankRuehl" w:cs="FrankRuehl" w:hint="cs"/>
          <w:sz w:val="28"/>
          <w:szCs w:val="28"/>
          <w:rtl/>
        </w:rPr>
        <w:t xml:space="preserve">. </w:t>
      </w:r>
      <w:r w:rsidRPr="0099128B">
        <w:rPr>
          <w:rFonts w:ascii="FrankRuehl" w:hAnsi="FrankRuehl" w:cs="FrankRuehl"/>
          <w:sz w:val="28"/>
          <w:szCs w:val="28"/>
          <w:rtl/>
        </w:rPr>
        <w:t>על פסק הדין הוגש ערעור לבית המשפט העליון</w:t>
      </w:r>
      <w:r w:rsidRPr="0099128B">
        <w:rPr>
          <w:rFonts w:ascii="FrankRuehl" w:hAnsi="FrankRuehl" w:cs="FrankRuehl" w:hint="cs"/>
          <w:sz w:val="28"/>
          <w:szCs w:val="28"/>
          <w:rtl/>
        </w:rPr>
        <w:t xml:space="preserve"> (</w:t>
      </w:r>
      <w:hyperlink r:id="rId26" w:history="1">
        <w:r w:rsidR="00552128" w:rsidRPr="00552128">
          <w:rPr>
            <w:rFonts w:ascii="FrankRuehl" w:hAnsi="FrankRuehl" w:cs="FrankRuehl"/>
            <w:color w:val="0000FF"/>
            <w:sz w:val="28"/>
            <w:szCs w:val="28"/>
            <w:u w:val="single"/>
            <w:rtl/>
          </w:rPr>
          <w:t>ע"פ 4346/21</w:t>
        </w:r>
      </w:hyperlink>
      <w:r w:rsidRPr="0099128B">
        <w:rPr>
          <w:rFonts w:ascii="FrankRuehl" w:hAnsi="FrankRuehl" w:cs="FrankRuehl" w:hint="cs"/>
          <w:sz w:val="28"/>
          <w:szCs w:val="28"/>
          <w:rtl/>
        </w:rPr>
        <w:t xml:space="preserve"> </w:t>
      </w:r>
      <w:r w:rsidRPr="0099128B">
        <w:rPr>
          <w:rFonts w:ascii="FrankRuehl" w:hAnsi="FrankRuehl" w:cs="FrankRuehl" w:hint="cs"/>
          <w:b/>
          <w:bCs/>
          <w:sz w:val="28"/>
          <w:szCs w:val="28"/>
          <w:rtl/>
        </w:rPr>
        <w:t>מדינת ישראל נ' עצטה</w:t>
      </w:r>
      <w:r w:rsidRPr="0099128B">
        <w:rPr>
          <w:rFonts w:ascii="FrankRuehl" w:hAnsi="FrankRuehl" w:cs="FrankRuehl" w:hint="cs"/>
          <w:sz w:val="28"/>
          <w:szCs w:val="28"/>
          <w:rtl/>
        </w:rPr>
        <w:t xml:space="preserve"> (28.07.21)) </w:t>
      </w:r>
      <w:r w:rsidRPr="0099128B">
        <w:rPr>
          <w:rFonts w:ascii="FrankRuehl" w:hAnsi="FrankRuehl" w:cs="FrankRuehl"/>
          <w:sz w:val="28"/>
          <w:szCs w:val="28"/>
          <w:rtl/>
        </w:rPr>
        <w:t xml:space="preserve">אשר החמיר את עונשו של </w:t>
      </w:r>
      <w:r>
        <w:rPr>
          <w:rFonts w:ascii="FrankRuehl" w:hAnsi="FrankRuehl" w:cs="FrankRuehl" w:hint="cs"/>
          <w:sz w:val="28"/>
          <w:szCs w:val="28"/>
          <w:rtl/>
        </w:rPr>
        <w:t>אחד הנאשמים</w:t>
      </w:r>
      <w:r w:rsidRPr="0099128B">
        <w:rPr>
          <w:rFonts w:ascii="FrankRuehl" w:hAnsi="FrankRuehl" w:cs="FrankRuehl"/>
          <w:sz w:val="28"/>
          <w:szCs w:val="28"/>
          <w:rtl/>
        </w:rPr>
        <w:t xml:space="preserve"> ו</w:t>
      </w:r>
      <w:r w:rsidRPr="0099128B">
        <w:rPr>
          <w:rFonts w:ascii="FrankRuehl" w:hAnsi="FrankRuehl" w:cs="FrankRuehl" w:hint="cs"/>
          <w:sz w:val="28"/>
          <w:szCs w:val="28"/>
          <w:rtl/>
        </w:rPr>
        <w:t xml:space="preserve">העמידו </w:t>
      </w:r>
      <w:r w:rsidRPr="0099128B">
        <w:rPr>
          <w:rFonts w:ascii="FrankRuehl" w:hAnsi="FrankRuehl" w:cs="FrankRuehl"/>
          <w:sz w:val="28"/>
          <w:szCs w:val="28"/>
          <w:rtl/>
        </w:rPr>
        <w:t xml:space="preserve">על 18 חודשי מאסר בפועל. בעונשה של </w:t>
      </w:r>
      <w:r>
        <w:rPr>
          <w:rFonts w:ascii="FrankRuehl" w:hAnsi="FrankRuehl" w:cs="FrankRuehl" w:hint="cs"/>
          <w:sz w:val="28"/>
          <w:szCs w:val="28"/>
          <w:rtl/>
        </w:rPr>
        <w:t>ה</w:t>
      </w:r>
      <w:r w:rsidRPr="0099128B">
        <w:rPr>
          <w:rFonts w:ascii="FrankRuehl" w:hAnsi="FrankRuehl" w:cs="FrankRuehl"/>
          <w:sz w:val="28"/>
          <w:szCs w:val="28"/>
          <w:rtl/>
        </w:rPr>
        <w:t xml:space="preserve">נאשמת </w:t>
      </w:r>
      <w:r>
        <w:rPr>
          <w:rFonts w:ascii="FrankRuehl" w:hAnsi="FrankRuehl" w:cs="FrankRuehl" w:hint="cs"/>
          <w:sz w:val="28"/>
          <w:szCs w:val="28"/>
          <w:rtl/>
        </w:rPr>
        <w:t>השנייה</w:t>
      </w:r>
      <w:r w:rsidRPr="0099128B">
        <w:rPr>
          <w:rFonts w:ascii="FrankRuehl" w:hAnsi="FrankRuehl" w:cs="FrankRuehl"/>
          <w:sz w:val="28"/>
          <w:szCs w:val="28"/>
          <w:rtl/>
        </w:rPr>
        <w:t xml:space="preserve"> בית המשפט לא התערב לנוכח היותה בהריון</w:t>
      </w:r>
      <w:r w:rsidRPr="0099128B">
        <w:rPr>
          <w:rFonts w:ascii="FrankRuehl" w:hAnsi="FrankRuehl" w:cs="FrankRuehl" w:hint="cs"/>
          <w:sz w:val="28"/>
          <w:szCs w:val="28"/>
          <w:rtl/>
        </w:rPr>
        <w:t xml:space="preserve">, תוך שהוא שב ומדגיש את החומרה שביבוא סם זה ובעיקר נוכח הרעות החולות אליהן נחשפנו כחברה כתוצאה משימוש בסם זה, שנחשב יחסית "חדש", וככלל אין לקבוע ענישה שאינה כוללת רכיב של עונש מאסר בפועל מאחורי סורג ובריח (ראו גם: </w:t>
      </w:r>
      <w:hyperlink r:id="rId27" w:history="1">
        <w:r w:rsidR="00552128" w:rsidRPr="00552128">
          <w:rPr>
            <w:rFonts w:ascii="FrankRuehl" w:hAnsi="FrankRuehl" w:cs="FrankRuehl"/>
            <w:color w:val="0000FF"/>
            <w:sz w:val="28"/>
            <w:szCs w:val="28"/>
            <w:u w:val="single"/>
            <w:rtl/>
          </w:rPr>
          <w:t>ע"פ 667/21</w:t>
        </w:r>
      </w:hyperlink>
      <w:r w:rsidRPr="0099128B">
        <w:rPr>
          <w:rFonts w:ascii="FrankRuehl" w:hAnsi="FrankRuehl" w:cs="FrankRuehl" w:hint="cs"/>
          <w:sz w:val="28"/>
          <w:szCs w:val="28"/>
          <w:rtl/>
        </w:rPr>
        <w:t xml:space="preserve"> בעניין </w:t>
      </w:r>
      <w:r w:rsidRPr="0099128B">
        <w:rPr>
          <w:rFonts w:ascii="FrankRuehl" w:hAnsi="FrankRuehl" w:cs="FrankRuehl"/>
          <w:b/>
          <w:bCs/>
          <w:sz w:val="28"/>
          <w:szCs w:val="28"/>
          <w:rtl/>
        </w:rPr>
        <w:t>בן פורת</w:t>
      </w:r>
      <w:r w:rsidRPr="0099128B">
        <w:rPr>
          <w:rFonts w:ascii="FrankRuehl" w:hAnsi="FrankRuehl" w:cs="FrankRuehl" w:hint="cs"/>
          <w:sz w:val="28"/>
          <w:szCs w:val="28"/>
          <w:rtl/>
        </w:rPr>
        <w:t>).</w:t>
      </w:r>
    </w:p>
    <w:p w14:paraId="55F88ABA" w14:textId="77777777" w:rsidR="0010271A" w:rsidRDefault="0010271A" w:rsidP="0010271A">
      <w:pPr>
        <w:spacing w:line="360" w:lineRule="auto"/>
        <w:jc w:val="both"/>
        <w:rPr>
          <w:rFonts w:ascii="FrankRuehl" w:hAnsi="FrankRuehl" w:cs="FrankRuehl"/>
          <w:sz w:val="28"/>
          <w:szCs w:val="28"/>
          <w:rtl/>
        </w:rPr>
      </w:pPr>
      <w:r w:rsidRPr="00B82905">
        <w:rPr>
          <w:rFonts w:ascii="FrankRuehl" w:hAnsi="FrankRuehl" w:cs="FrankRuehl"/>
          <w:sz w:val="28"/>
          <w:szCs w:val="28"/>
          <w:rtl/>
        </w:rPr>
        <w:t xml:space="preserve"> </w:t>
      </w:r>
    </w:p>
    <w:p w14:paraId="3AEEE78C" w14:textId="77777777" w:rsidR="0010271A" w:rsidRPr="0099128B" w:rsidRDefault="0010271A" w:rsidP="0010271A">
      <w:pPr>
        <w:pStyle w:val="a9"/>
        <w:numPr>
          <w:ilvl w:val="0"/>
          <w:numId w:val="1"/>
        </w:numPr>
        <w:spacing w:line="360" w:lineRule="auto"/>
        <w:jc w:val="both"/>
        <w:rPr>
          <w:rFonts w:ascii="FrankRuehl" w:hAnsi="FrankRuehl" w:cs="FrankRuehl"/>
          <w:sz w:val="28"/>
          <w:szCs w:val="28"/>
          <w:rtl/>
        </w:rPr>
      </w:pPr>
      <w:r w:rsidRPr="0099128B">
        <w:rPr>
          <w:rFonts w:ascii="FrankRuehl" w:hAnsi="FrankRuehl" w:cs="FrankRuehl" w:hint="cs"/>
          <w:sz w:val="28"/>
          <w:szCs w:val="28"/>
          <w:rtl/>
        </w:rPr>
        <w:t>ב</w:t>
      </w:r>
      <w:hyperlink r:id="rId28" w:history="1">
        <w:r w:rsidR="00552128" w:rsidRPr="00552128">
          <w:rPr>
            <w:rFonts w:ascii="FrankRuehl" w:hAnsi="FrankRuehl" w:cs="FrankRuehl"/>
            <w:color w:val="0000FF"/>
            <w:sz w:val="28"/>
            <w:szCs w:val="28"/>
            <w:u w:val="single"/>
            <w:rtl/>
          </w:rPr>
          <w:t>ת"פ (מחוזי-ת"א) 38450-09-20</w:t>
        </w:r>
      </w:hyperlink>
      <w:r w:rsidRPr="0099128B">
        <w:rPr>
          <w:rFonts w:ascii="FrankRuehl" w:hAnsi="FrankRuehl" w:cs="FrankRuehl" w:hint="cs"/>
          <w:sz w:val="28"/>
          <w:szCs w:val="28"/>
          <w:rtl/>
        </w:rPr>
        <w:t xml:space="preserve"> </w:t>
      </w:r>
      <w:r w:rsidRPr="0099128B">
        <w:rPr>
          <w:rFonts w:ascii="FrankRuehl" w:hAnsi="FrankRuehl" w:cs="FrankRuehl" w:hint="cs"/>
          <w:b/>
          <w:bCs/>
          <w:sz w:val="28"/>
          <w:szCs w:val="28"/>
          <w:rtl/>
        </w:rPr>
        <w:t>מדינת ישראל נ' סקוט</w:t>
      </w:r>
      <w:r w:rsidRPr="0099128B">
        <w:rPr>
          <w:rFonts w:ascii="FrankRuehl" w:hAnsi="FrankRuehl" w:cs="FrankRuehl" w:hint="cs"/>
          <w:sz w:val="28"/>
          <w:szCs w:val="28"/>
          <w:rtl/>
        </w:rPr>
        <w:t xml:space="preserve"> (1.02.22), הורשע נאשם, כבן 61 שנים, בעבירה של יבוא 7 ליטרים של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הנאשם ביצע את ההזמנה ישירות מהמפעל. נטען</w:t>
      </w:r>
      <w:r>
        <w:rPr>
          <w:rFonts w:ascii="FrankRuehl" w:hAnsi="FrankRuehl" w:cs="FrankRuehl" w:hint="cs"/>
          <w:sz w:val="28"/>
          <w:szCs w:val="28"/>
          <w:rtl/>
        </w:rPr>
        <w:t>,</w:t>
      </w:r>
      <w:r w:rsidRPr="0099128B">
        <w:rPr>
          <w:rFonts w:ascii="FrankRuehl" w:hAnsi="FrankRuehl" w:cs="FrankRuehl" w:hint="cs"/>
          <w:sz w:val="28"/>
          <w:szCs w:val="28"/>
          <w:rtl/>
        </w:rPr>
        <w:t xml:space="preserve"> כי אמנם מדובר בכמות גדולה של סם שבדרך כלל מעידה שהוא נרכש לא לשימוש אישי ושממנו ניתן לייצר מנות רבות</w:t>
      </w:r>
      <w:r>
        <w:rPr>
          <w:rFonts w:ascii="FrankRuehl" w:hAnsi="FrankRuehl" w:cs="FrankRuehl" w:hint="cs"/>
          <w:sz w:val="28"/>
          <w:szCs w:val="28"/>
          <w:rtl/>
        </w:rPr>
        <w:t xml:space="preserve">, אך </w:t>
      </w:r>
      <w:r w:rsidRPr="0099128B">
        <w:rPr>
          <w:rFonts w:ascii="FrankRuehl" w:hAnsi="FrankRuehl" w:cs="FrankRuehl" w:hint="cs"/>
          <w:sz w:val="28"/>
          <w:szCs w:val="28"/>
          <w:rtl/>
        </w:rPr>
        <w:t>ב</w:t>
      </w:r>
      <w:r>
        <w:rPr>
          <w:rFonts w:ascii="FrankRuehl" w:hAnsi="FrankRuehl" w:cs="FrankRuehl" w:hint="cs"/>
          <w:sz w:val="28"/>
          <w:szCs w:val="28"/>
          <w:rtl/>
        </w:rPr>
        <w:t xml:space="preserve">אותו </w:t>
      </w:r>
      <w:r w:rsidRPr="0099128B">
        <w:rPr>
          <w:rFonts w:ascii="FrankRuehl" w:hAnsi="FrankRuehl" w:cs="FrankRuehl" w:hint="cs"/>
          <w:sz w:val="28"/>
          <w:szCs w:val="28"/>
          <w:rtl/>
        </w:rPr>
        <w:t xml:space="preserve">מקרה הוא נרכש לשימושו האישי של הנאשם. </w:t>
      </w:r>
      <w:r>
        <w:rPr>
          <w:rFonts w:ascii="FrankRuehl" w:hAnsi="FrankRuehl" w:cs="FrankRuehl" w:hint="cs"/>
          <w:sz w:val="28"/>
          <w:szCs w:val="28"/>
          <w:rtl/>
        </w:rPr>
        <w:t>מדובר היה ב</w:t>
      </w:r>
      <w:r w:rsidRPr="0099128B">
        <w:rPr>
          <w:rFonts w:ascii="FrankRuehl" w:hAnsi="FrankRuehl" w:cs="FrankRuehl" w:hint="cs"/>
          <w:sz w:val="28"/>
          <w:szCs w:val="28"/>
          <w:rtl/>
        </w:rPr>
        <w:t xml:space="preserve">נאשם </w:t>
      </w:r>
      <w:r>
        <w:rPr>
          <w:rFonts w:ascii="FrankRuehl" w:hAnsi="FrankRuehl" w:cs="FrankRuehl" w:hint="cs"/>
          <w:sz w:val="28"/>
          <w:szCs w:val="28"/>
          <w:rtl/>
        </w:rPr>
        <w:t>ש</w:t>
      </w:r>
      <w:r w:rsidRPr="0099128B">
        <w:rPr>
          <w:rFonts w:ascii="FrankRuehl" w:hAnsi="FrankRuehl" w:cs="FrankRuehl" w:hint="cs"/>
          <w:sz w:val="28"/>
          <w:szCs w:val="28"/>
          <w:rtl/>
        </w:rPr>
        <w:t xml:space="preserve">החל לצורך סמים מסוג זה כ-15 </w:t>
      </w:r>
      <w:r>
        <w:rPr>
          <w:rFonts w:ascii="FrankRuehl" w:hAnsi="FrankRuehl" w:cs="FrankRuehl" w:hint="cs"/>
          <w:sz w:val="28"/>
          <w:szCs w:val="28"/>
          <w:rtl/>
        </w:rPr>
        <w:t xml:space="preserve">שנה </w:t>
      </w:r>
      <w:r w:rsidRPr="0099128B">
        <w:rPr>
          <w:rFonts w:ascii="FrankRuehl" w:hAnsi="FrankRuehl" w:cs="FrankRuehl" w:hint="cs"/>
          <w:sz w:val="28"/>
          <w:szCs w:val="28"/>
          <w:rtl/>
        </w:rPr>
        <w:t>בטרם נתפס בביצוע העבירה בשל משבר משפחתי שחווה ובשל נטייתו המינית. לאור סוג הסם, כמותו, המניע לביצוע העבירה</w:t>
      </w:r>
      <w:r>
        <w:rPr>
          <w:rFonts w:ascii="FrankRuehl" w:hAnsi="FrankRuehl" w:cs="FrankRuehl" w:hint="cs"/>
          <w:sz w:val="28"/>
          <w:szCs w:val="28"/>
          <w:rtl/>
        </w:rPr>
        <w:t xml:space="preserve">, העדר </w:t>
      </w:r>
      <w:r w:rsidRPr="0099128B">
        <w:rPr>
          <w:rFonts w:ascii="FrankRuehl" w:hAnsi="FrankRuehl" w:cs="FrankRuehl" w:hint="cs"/>
          <w:sz w:val="28"/>
          <w:szCs w:val="28"/>
          <w:rtl/>
        </w:rPr>
        <w:t>תכנון והעדר הנזק בפועל</w:t>
      </w:r>
      <w:r>
        <w:rPr>
          <w:rFonts w:ascii="FrankRuehl" w:hAnsi="FrankRuehl" w:cs="FrankRuehl" w:hint="cs"/>
          <w:sz w:val="28"/>
          <w:szCs w:val="28"/>
          <w:rtl/>
        </w:rPr>
        <w:t>,</w:t>
      </w:r>
      <w:r w:rsidRPr="0099128B">
        <w:rPr>
          <w:rFonts w:ascii="FrankRuehl" w:hAnsi="FrankRuehl" w:cs="FrankRuehl" w:hint="cs"/>
          <w:sz w:val="28"/>
          <w:szCs w:val="28"/>
          <w:rtl/>
        </w:rPr>
        <w:t xml:space="preserve"> ואף בהתחשב בהבנתו המוגבלת של הנאשם את הפסול במעשהו ובהתאם למדיניות הענישה הנוהגת</w:t>
      </w:r>
      <w:r>
        <w:rPr>
          <w:rFonts w:ascii="FrankRuehl" w:hAnsi="FrankRuehl" w:cs="FrankRuehl" w:hint="cs"/>
          <w:sz w:val="28"/>
          <w:szCs w:val="28"/>
          <w:rtl/>
        </w:rPr>
        <w:t>,</w:t>
      </w:r>
      <w:r w:rsidRPr="0099128B">
        <w:rPr>
          <w:rFonts w:ascii="FrankRuehl" w:hAnsi="FrankRuehl" w:cs="FrankRuehl" w:hint="cs"/>
          <w:sz w:val="28"/>
          <w:szCs w:val="28"/>
          <w:rtl/>
        </w:rPr>
        <w:t xml:space="preserve"> קבע בית המשפט את מתחם העונש ההולם בין 12 ל- 30 חודשי מאסר בפועל. ב</w:t>
      </w:r>
      <w:r>
        <w:rPr>
          <w:rFonts w:ascii="FrankRuehl" w:hAnsi="FrankRuehl" w:cs="FrankRuehl" w:hint="cs"/>
          <w:sz w:val="28"/>
          <w:szCs w:val="28"/>
          <w:rtl/>
        </w:rPr>
        <w:t xml:space="preserve">אותו </w:t>
      </w:r>
      <w:r w:rsidRPr="0099128B">
        <w:rPr>
          <w:rFonts w:ascii="FrankRuehl" w:hAnsi="FrankRuehl" w:cs="FrankRuehl" w:hint="cs"/>
          <w:sz w:val="28"/>
          <w:szCs w:val="28"/>
          <w:rtl/>
        </w:rPr>
        <w:t xml:space="preserve">מקרה ראה בית המשפט לחרוג לקולה ממתחם </w:t>
      </w:r>
      <w:r>
        <w:rPr>
          <w:rFonts w:ascii="FrankRuehl" w:hAnsi="FrankRuehl" w:cs="FrankRuehl" w:hint="cs"/>
          <w:sz w:val="28"/>
          <w:szCs w:val="28"/>
          <w:rtl/>
        </w:rPr>
        <w:t>הענישה בעיקר בשל שיקולי שיקום ו</w:t>
      </w:r>
      <w:r w:rsidRPr="0099128B">
        <w:rPr>
          <w:rFonts w:ascii="FrankRuehl" w:hAnsi="FrankRuehl" w:cs="FrankRuehl" w:hint="cs"/>
          <w:sz w:val="28"/>
          <w:szCs w:val="28"/>
          <w:rtl/>
        </w:rPr>
        <w:t>בשל שיקולים רפואיים והומניטאריים. נטען כי הנאשם עבר כברת דרך משמעותית בהליך השיקום שהחל מיוזמתו. והוא מחויב לטיפול מתמיד בו ומגלה מוטיבציה גבוהה להצליח בו. בנוסף נטען</w:t>
      </w:r>
      <w:r>
        <w:rPr>
          <w:rFonts w:ascii="FrankRuehl" w:hAnsi="FrankRuehl" w:cs="FrankRuehl" w:hint="cs"/>
          <w:sz w:val="28"/>
          <w:szCs w:val="28"/>
          <w:rtl/>
        </w:rPr>
        <w:t>,</w:t>
      </w:r>
      <w:r w:rsidRPr="0099128B">
        <w:rPr>
          <w:rFonts w:ascii="FrankRuehl" w:hAnsi="FrankRuehl" w:cs="FrankRuehl" w:hint="cs"/>
          <w:sz w:val="28"/>
          <w:szCs w:val="28"/>
          <w:rtl/>
        </w:rPr>
        <w:t xml:space="preserve"> כי נוכח העובדה כי הוא סובל משתי מחלות קשות והוא נוטל טיפול תרופתי על בסיס יומי ובהתאם לחוות דעת רפואית מאסר מאחורי סורג ובריח מהווה איום ממשי על בריאותו וחייו. בית המשפט ציין כי אלמלא נסיבות אלה היה מקום לגזור את עונשו ברף התחתון של מתחם העונש ההולם</w:t>
      </w:r>
      <w:r>
        <w:rPr>
          <w:rFonts w:ascii="FrankRuehl" w:hAnsi="FrankRuehl" w:cs="FrankRuehl" w:hint="cs"/>
          <w:sz w:val="28"/>
          <w:szCs w:val="28"/>
          <w:rtl/>
        </w:rPr>
        <w:t>, חרף השיקום</w:t>
      </w:r>
      <w:r w:rsidRPr="0099128B">
        <w:rPr>
          <w:rFonts w:ascii="FrankRuehl" w:hAnsi="FrankRuehl" w:cs="FrankRuehl" w:hint="cs"/>
          <w:sz w:val="28"/>
          <w:szCs w:val="28"/>
          <w:rtl/>
        </w:rPr>
        <w:t xml:space="preserve">. </w:t>
      </w:r>
    </w:p>
    <w:p w14:paraId="7A35C7DD" w14:textId="77777777" w:rsidR="0010271A" w:rsidRDefault="0010271A" w:rsidP="0010271A">
      <w:pPr>
        <w:spacing w:line="360" w:lineRule="auto"/>
        <w:jc w:val="both"/>
        <w:rPr>
          <w:rFonts w:ascii="FrankRuehl" w:hAnsi="FrankRuehl" w:cs="FrankRuehl"/>
          <w:sz w:val="28"/>
          <w:szCs w:val="28"/>
          <w:rtl/>
        </w:rPr>
      </w:pPr>
    </w:p>
    <w:p w14:paraId="7C415999" w14:textId="77777777" w:rsidR="0010271A" w:rsidRPr="002C1E2D" w:rsidRDefault="0010271A" w:rsidP="0010271A">
      <w:pPr>
        <w:pStyle w:val="a9"/>
        <w:numPr>
          <w:ilvl w:val="0"/>
          <w:numId w:val="1"/>
        </w:numPr>
        <w:spacing w:line="360" w:lineRule="auto"/>
        <w:jc w:val="both"/>
        <w:rPr>
          <w:rFonts w:ascii="FrankRuehl" w:hAnsi="FrankRuehl" w:cs="FrankRuehl"/>
          <w:sz w:val="28"/>
          <w:szCs w:val="28"/>
          <w:rtl/>
        </w:rPr>
      </w:pPr>
      <w:r w:rsidRPr="002C1E2D">
        <w:rPr>
          <w:rFonts w:ascii="FrankRuehl" w:hAnsi="FrankRuehl" w:cs="FrankRuehl" w:hint="cs"/>
          <w:sz w:val="28"/>
          <w:szCs w:val="28"/>
          <w:rtl/>
        </w:rPr>
        <w:t>יצוין, כי ב"כ הנאשם צרף לטיעוניו גם את גזר הדין ב</w:t>
      </w:r>
      <w:hyperlink r:id="rId29" w:history="1">
        <w:r w:rsidR="00552128" w:rsidRPr="00552128">
          <w:rPr>
            <w:rFonts w:ascii="FrankRuehl" w:hAnsi="FrankRuehl" w:cs="FrankRuehl"/>
            <w:color w:val="0000FF"/>
            <w:sz w:val="28"/>
            <w:szCs w:val="28"/>
            <w:u w:val="single"/>
            <w:rtl/>
          </w:rPr>
          <w:t>ת"פ (מחוזי-מרכז) 10881-06-21</w:t>
        </w:r>
      </w:hyperlink>
      <w:r w:rsidRPr="002C1E2D">
        <w:rPr>
          <w:rFonts w:ascii="FrankRuehl" w:hAnsi="FrankRuehl" w:cs="FrankRuehl" w:hint="cs"/>
          <w:sz w:val="28"/>
          <w:szCs w:val="28"/>
          <w:rtl/>
        </w:rPr>
        <w:t xml:space="preserve"> </w:t>
      </w:r>
      <w:r w:rsidRPr="002C1E2D">
        <w:rPr>
          <w:rFonts w:ascii="FrankRuehl" w:hAnsi="FrankRuehl" w:cs="FrankRuehl" w:hint="cs"/>
          <w:b/>
          <w:bCs/>
          <w:sz w:val="28"/>
          <w:szCs w:val="28"/>
          <w:rtl/>
        </w:rPr>
        <w:t>מדינת ישראל נ' גואטה</w:t>
      </w:r>
      <w:r w:rsidRPr="002C1E2D">
        <w:rPr>
          <w:rFonts w:ascii="FrankRuehl" w:hAnsi="FrankRuehl" w:cs="FrankRuehl" w:hint="cs"/>
          <w:sz w:val="28"/>
          <w:szCs w:val="28"/>
          <w:rtl/>
        </w:rPr>
        <w:t xml:space="preserve"> (12.10.21), במסגרתו הושת עונש של 3 חודשי מאסר בעבודות שירות. ואולם באותו מקרה מדובר היה בהסדר "סגור" שממילא לא ניתן ללמוד ממנו על המתחם הנוהג, מה גם, שההסדר באותו מקרה נומק בין היתר בכך שהוסכם שהייבוא נועד לצרכי שימוש עצמי ולא להפצה. </w:t>
      </w:r>
    </w:p>
    <w:p w14:paraId="72174D92" w14:textId="77777777" w:rsidR="0010271A" w:rsidRPr="00B82905" w:rsidRDefault="0010271A" w:rsidP="0010271A">
      <w:pPr>
        <w:spacing w:line="360" w:lineRule="auto"/>
        <w:jc w:val="both"/>
        <w:rPr>
          <w:rFonts w:ascii="FrankRuehl" w:hAnsi="FrankRuehl" w:cs="FrankRuehl"/>
          <w:sz w:val="28"/>
          <w:szCs w:val="28"/>
        </w:rPr>
      </w:pPr>
    </w:p>
    <w:p w14:paraId="0307D826"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r>
      <w:r w:rsidRPr="00B82905">
        <w:rPr>
          <w:rFonts w:ascii="FrankRuehl" w:hAnsi="FrankRuehl" w:cs="FrankRuehl"/>
          <w:sz w:val="28"/>
          <w:szCs w:val="28"/>
          <w:rtl/>
        </w:rPr>
        <w:t xml:space="preserve">עיון בפסיקה </w:t>
      </w:r>
      <w:r>
        <w:rPr>
          <w:rFonts w:ascii="FrankRuehl" w:hAnsi="FrankRuehl" w:cs="FrankRuehl" w:hint="cs"/>
          <w:sz w:val="28"/>
          <w:szCs w:val="28"/>
          <w:rtl/>
        </w:rPr>
        <w:t xml:space="preserve">מלמד אפוא, כי מתחם העונש ההולם את מעשיו של הנאשם בנסיבותיהם, מחייב עונש מאסר בפועל, כשהמתחם נע </w:t>
      </w:r>
      <w:r w:rsidRPr="00B82905">
        <w:rPr>
          <w:rFonts w:ascii="FrankRuehl" w:hAnsi="FrankRuehl" w:cs="FrankRuehl"/>
          <w:sz w:val="28"/>
          <w:szCs w:val="28"/>
          <w:rtl/>
        </w:rPr>
        <w:t>בין</w:t>
      </w:r>
      <w:r>
        <w:rPr>
          <w:rFonts w:ascii="FrankRuehl" w:hAnsi="FrankRuehl" w:cs="FrankRuehl" w:hint="cs"/>
          <w:sz w:val="28"/>
          <w:szCs w:val="28"/>
          <w:rtl/>
        </w:rPr>
        <w:t xml:space="preserve"> 12 ל-24 חו</w:t>
      </w:r>
      <w:r w:rsidRPr="00B82905">
        <w:rPr>
          <w:rFonts w:ascii="FrankRuehl" w:hAnsi="FrankRuehl" w:cs="FrankRuehl"/>
          <w:sz w:val="28"/>
          <w:szCs w:val="28"/>
          <w:rtl/>
        </w:rPr>
        <w:t>דשי מאסר בפועל.</w:t>
      </w:r>
      <w:r>
        <w:rPr>
          <w:rFonts w:ascii="FrankRuehl" w:hAnsi="FrankRuehl" w:cs="FrankRuehl" w:hint="cs"/>
          <w:sz w:val="28"/>
          <w:szCs w:val="28"/>
          <w:rtl/>
        </w:rPr>
        <w:t xml:space="preserve"> בכל המקרים בהם הושת עונש מאסר בעבודות שירות, הדבר נעשה בסטייה ממתחם העונש ההולם, בשל הליך שיקום משמעותי ובצירוף נסיבות חריגות נוספות. כאמור, </w:t>
      </w:r>
      <w:r w:rsidRPr="0099128B">
        <w:rPr>
          <w:rFonts w:ascii="FrankRuehl" w:hAnsi="FrankRuehl" w:cs="FrankRuehl" w:hint="cs"/>
          <w:sz w:val="28"/>
          <w:szCs w:val="28"/>
          <w:rtl/>
        </w:rPr>
        <w:t>בת"פ (מחוזי-ת"א) 38450-09-12</w:t>
      </w:r>
      <w:r>
        <w:rPr>
          <w:rFonts w:ascii="FrankRuehl" w:hAnsi="FrankRuehl" w:cs="FrankRuehl" w:hint="cs"/>
          <w:sz w:val="28"/>
          <w:szCs w:val="28"/>
          <w:rtl/>
        </w:rPr>
        <w:t xml:space="preserve"> בעניין </w:t>
      </w:r>
      <w:r w:rsidRPr="0099128B">
        <w:rPr>
          <w:rFonts w:ascii="FrankRuehl" w:hAnsi="FrankRuehl" w:cs="FrankRuehl" w:hint="cs"/>
          <w:b/>
          <w:bCs/>
          <w:sz w:val="28"/>
          <w:szCs w:val="28"/>
          <w:rtl/>
        </w:rPr>
        <w:t>סקוט</w:t>
      </w:r>
      <w:r w:rsidRPr="003A6C11">
        <w:rPr>
          <w:rFonts w:ascii="FrankRuehl" w:hAnsi="FrankRuehl" w:cs="FrankRuehl" w:hint="cs"/>
          <w:sz w:val="28"/>
          <w:szCs w:val="28"/>
          <w:rtl/>
        </w:rPr>
        <w:t xml:space="preserve">, </w:t>
      </w:r>
      <w:r>
        <w:rPr>
          <w:rFonts w:ascii="FrankRuehl" w:hAnsi="FrankRuehl" w:cs="FrankRuehl" w:hint="cs"/>
          <w:sz w:val="28"/>
          <w:szCs w:val="28"/>
          <w:rtl/>
        </w:rPr>
        <w:t>על אף השיקום המשמעותי שהנאשם עבר, ומדובר היה בנאשם בן 61 שצרך סמים מגיל 45 בשל מצב נפשי כתוצאה מנטייתו המינית, ואף ששם הוסכם כי הסם נרכש לשימוש עצמי, בית המשפט הקפיד לציין כי לא היה בכל אלו כדי להחריג את הנאשם ממתחם העונש ההולם המחייב עונש מאסר, והוא עשה זאת רק כי לכל האמור הצטרפו שיקולים רפואיים והומניטאריים מיוחדים</w:t>
      </w:r>
      <w:r w:rsidRPr="0099128B">
        <w:rPr>
          <w:rFonts w:ascii="FrankRuehl" w:hAnsi="FrankRuehl" w:cs="FrankRuehl" w:hint="cs"/>
          <w:sz w:val="28"/>
          <w:szCs w:val="28"/>
          <w:rtl/>
        </w:rPr>
        <w:t xml:space="preserve">. </w:t>
      </w:r>
      <w:r>
        <w:rPr>
          <w:rFonts w:ascii="FrankRuehl" w:hAnsi="FrankRuehl" w:cs="FrankRuehl" w:hint="cs"/>
          <w:sz w:val="28"/>
          <w:szCs w:val="28"/>
          <w:rtl/>
        </w:rPr>
        <w:t>וכאמור, מדובר היה במי ש</w:t>
      </w:r>
      <w:r w:rsidRPr="0099128B">
        <w:rPr>
          <w:rFonts w:ascii="FrankRuehl" w:hAnsi="FrankRuehl" w:cs="FrankRuehl" w:hint="cs"/>
          <w:sz w:val="28"/>
          <w:szCs w:val="28"/>
          <w:rtl/>
        </w:rPr>
        <w:t>עבר כברת דרך משמעותית בהליך השיקום שהחל מיוזמתו</w:t>
      </w:r>
      <w:r>
        <w:rPr>
          <w:rFonts w:ascii="FrankRuehl" w:hAnsi="FrankRuehl" w:cs="FrankRuehl" w:hint="cs"/>
          <w:sz w:val="28"/>
          <w:szCs w:val="28"/>
          <w:rtl/>
        </w:rPr>
        <w:t xml:space="preserve">, וגילה </w:t>
      </w:r>
      <w:r w:rsidRPr="0099128B">
        <w:rPr>
          <w:rFonts w:ascii="FrankRuehl" w:hAnsi="FrankRuehl" w:cs="FrankRuehl" w:hint="cs"/>
          <w:sz w:val="28"/>
          <w:szCs w:val="28"/>
          <w:rtl/>
        </w:rPr>
        <w:t>מחויב</w:t>
      </w:r>
      <w:r>
        <w:rPr>
          <w:rFonts w:ascii="FrankRuehl" w:hAnsi="FrankRuehl" w:cs="FrankRuehl" w:hint="cs"/>
          <w:sz w:val="28"/>
          <w:szCs w:val="28"/>
          <w:rtl/>
        </w:rPr>
        <w:t>ות ו</w:t>
      </w:r>
      <w:r w:rsidRPr="0099128B">
        <w:rPr>
          <w:rFonts w:ascii="FrankRuehl" w:hAnsi="FrankRuehl" w:cs="FrankRuehl" w:hint="cs"/>
          <w:sz w:val="28"/>
          <w:szCs w:val="28"/>
          <w:rtl/>
        </w:rPr>
        <w:t xml:space="preserve">מוטיבציה גבוהה להצליח בו. </w:t>
      </w:r>
      <w:r>
        <w:rPr>
          <w:rFonts w:ascii="FrankRuehl" w:hAnsi="FrankRuehl" w:cs="FrankRuehl" w:hint="cs"/>
          <w:sz w:val="28"/>
          <w:szCs w:val="28"/>
          <w:rtl/>
        </w:rPr>
        <w:t xml:space="preserve">איני סבור כי בענייננו ניתן לומר כי הנאשם עבר הליך שיקומי. בוודאי לא משמעותי. אדרבה, בתסקיר צוין כי גם נכון למועד כתיבת התסקיר, קיימים גורמי סיכון להישנות עבירות בעתיד בשל העובדה כי הנאשם בעתות לחץ ומצוקה מתקשה בהפעלת שיקול דעת. היות הנאשם מי שאינו מחזיק בדפוסים עברייניים ובעמדות פרו-חברתיות, אינו מלמד על הליך שיקומי. אדרבה, בסופו של התסקיר אף צוין כי בהעדר הליך טיפולי קיים סיכון להישנות עבירות בעתיד. לכן, איני סבור כי יש לסטות ממתחם העונש משיקולי שיקום, וגם נסיבותיו האישיות האחרות של הנאשם, בכלל זה נטייתו המינית ומצבו הרפואי, גם אם הוא מורכב, אינן מצדיקות זאת. </w:t>
      </w:r>
    </w:p>
    <w:p w14:paraId="5EFBD1E4" w14:textId="77777777" w:rsidR="0010271A" w:rsidRDefault="0010271A" w:rsidP="0010271A">
      <w:pPr>
        <w:spacing w:line="360" w:lineRule="auto"/>
        <w:jc w:val="both"/>
        <w:rPr>
          <w:rFonts w:ascii="FrankRuehl" w:hAnsi="FrankRuehl" w:cs="FrankRuehl"/>
          <w:sz w:val="28"/>
          <w:szCs w:val="28"/>
          <w:rtl/>
        </w:rPr>
      </w:pPr>
    </w:p>
    <w:p w14:paraId="7DAFF87C" w14:textId="77777777" w:rsidR="0010271A" w:rsidRPr="00474D41"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065B51">
        <w:rPr>
          <w:rFonts w:ascii="FrankRuehl" w:hAnsi="FrankRuehl" w:cs="FrankRuehl"/>
          <w:sz w:val="28"/>
          <w:szCs w:val="28"/>
          <w:rtl/>
        </w:rPr>
        <w:t xml:space="preserve">הנאשם </w:t>
      </w:r>
      <w:r>
        <w:rPr>
          <w:rFonts w:ascii="FrankRuehl" w:hAnsi="FrankRuehl" w:cs="FrankRuehl" w:hint="cs"/>
          <w:sz w:val="28"/>
          <w:szCs w:val="28"/>
          <w:rtl/>
        </w:rPr>
        <w:t xml:space="preserve">יליד שנת 1987, כיום בן 37, </w:t>
      </w:r>
      <w:r w:rsidRPr="00065B51">
        <w:rPr>
          <w:rFonts w:ascii="FrankRuehl" w:hAnsi="FrankRuehl" w:cs="FrankRuehl"/>
          <w:sz w:val="28"/>
          <w:szCs w:val="28"/>
          <w:rtl/>
        </w:rPr>
        <w:t xml:space="preserve">גרוש ואב לשני ילדים צעירים, שאחד מהם </w:t>
      </w:r>
      <w:r>
        <w:rPr>
          <w:rFonts w:ascii="FrankRuehl" w:hAnsi="FrankRuehl" w:cs="FrankRuehl" w:hint="cs"/>
          <w:sz w:val="28"/>
          <w:szCs w:val="28"/>
          <w:rtl/>
        </w:rPr>
        <w:t xml:space="preserve">סובל מנכות משמעותית. עברו הפלילי נקי. הוא הודה והביע חרטה. אלו, בצירוף נסיבותיו האישיות, אלו שהביאו אותו לביצוע העבירות, אלו שיהיו תוצאות מאסרו </w:t>
      </w:r>
      <w:r>
        <w:rPr>
          <w:rFonts w:ascii="FrankRuehl" w:hAnsi="FrankRuehl" w:cs="FrankRuehl"/>
          <w:sz w:val="28"/>
          <w:szCs w:val="28"/>
          <w:rtl/>
        </w:rPr>
        <w:t>–</w:t>
      </w:r>
      <w:r>
        <w:rPr>
          <w:rFonts w:ascii="FrankRuehl" w:hAnsi="FrankRuehl" w:cs="FrankRuehl" w:hint="cs"/>
          <w:sz w:val="28"/>
          <w:szCs w:val="28"/>
          <w:rtl/>
        </w:rPr>
        <w:t xml:space="preserve"> הפגיעה בילדיו, בפרט ילדו הנכה הנזקק לעזרתו, ומצבו הנפשי והבריאותי, כל אלו מעמידים את העונש שיש להשית עליו ברף התחתון של מתחם העונש </w:t>
      </w:r>
      <w:r w:rsidRPr="00474D41">
        <w:rPr>
          <w:rFonts w:ascii="FrankRuehl" w:hAnsi="FrankRuehl" w:cs="FrankRuehl" w:hint="cs"/>
          <w:sz w:val="28"/>
          <w:szCs w:val="28"/>
          <w:rtl/>
        </w:rPr>
        <w:t xml:space="preserve">ההולם. יש לזכור, כי </w:t>
      </w:r>
      <w:r w:rsidRPr="00474D41">
        <w:rPr>
          <w:rFonts w:ascii="FrankRuehl" w:hAnsi="FrankRuehl" w:cs="FrankRuehl"/>
          <w:sz w:val="28"/>
          <w:szCs w:val="28"/>
          <w:rtl/>
        </w:rPr>
        <w:t xml:space="preserve">על דרך הכלל, נסיבותיו האישיות של נאשם ייסוגו בפני </w:t>
      </w:r>
      <w:r w:rsidRPr="00474D41">
        <w:rPr>
          <w:rFonts w:ascii="FrankRuehl" w:hAnsi="FrankRuehl" w:cs="FrankRuehl" w:hint="cs"/>
          <w:sz w:val="28"/>
          <w:szCs w:val="28"/>
          <w:rtl/>
        </w:rPr>
        <w:t>שיקולי ענישה נוספים ו</w:t>
      </w:r>
      <w:r w:rsidRPr="00474D41">
        <w:rPr>
          <w:rFonts w:ascii="FrankRuehl" w:hAnsi="FrankRuehl" w:cs="FrankRuehl"/>
          <w:sz w:val="28"/>
          <w:szCs w:val="28"/>
          <w:rtl/>
        </w:rPr>
        <w:t>האינטרס הציבורי שבהחמרת הענישה בגין עבירות מסוג זה לשם הרתעת הרבים</w:t>
      </w:r>
      <w:r w:rsidRPr="00474D41">
        <w:rPr>
          <w:rFonts w:ascii="FrankRuehl" w:hAnsi="FrankRuehl" w:cs="FrankRuehl" w:hint="cs"/>
          <w:sz w:val="28"/>
          <w:szCs w:val="28"/>
          <w:rtl/>
        </w:rPr>
        <w:t xml:space="preserve"> (ראו: </w:t>
      </w:r>
      <w:hyperlink r:id="rId30" w:history="1">
        <w:r w:rsidR="00552128" w:rsidRPr="00552128">
          <w:rPr>
            <w:rFonts w:ascii="FrankRuehl" w:hAnsi="FrankRuehl" w:cs="FrankRuehl"/>
            <w:color w:val="0000FF"/>
            <w:sz w:val="28"/>
            <w:szCs w:val="28"/>
            <w:u w:val="single"/>
            <w:rtl/>
          </w:rPr>
          <w:t>ע"פ 667/21</w:t>
        </w:r>
      </w:hyperlink>
      <w:r w:rsidRPr="00474D41">
        <w:rPr>
          <w:rFonts w:ascii="FrankRuehl" w:hAnsi="FrankRuehl" w:cs="FrankRuehl" w:hint="cs"/>
          <w:sz w:val="28"/>
          <w:szCs w:val="28"/>
          <w:rtl/>
        </w:rPr>
        <w:t xml:space="preserve"> בעניין </w:t>
      </w:r>
      <w:r w:rsidRPr="00474D41">
        <w:rPr>
          <w:rFonts w:ascii="FrankRuehl" w:hAnsi="FrankRuehl" w:cs="FrankRuehl"/>
          <w:b/>
          <w:bCs/>
          <w:sz w:val="28"/>
          <w:szCs w:val="28"/>
          <w:rtl/>
        </w:rPr>
        <w:t>בן פורת</w:t>
      </w:r>
      <w:r w:rsidRPr="00474D41">
        <w:rPr>
          <w:rFonts w:ascii="FrankRuehl" w:hAnsi="FrankRuehl" w:cs="FrankRuehl" w:hint="cs"/>
          <w:sz w:val="28"/>
          <w:szCs w:val="28"/>
          <w:rtl/>
        </w:rPr>
        <w:t xml:space="preserve">; </w:t>
      </w:r>
      <w:hyperlink r:id="rId31" w:history="1">
        <w:r w:rsidR="00552128" w:rsidRPr="00552128">
          <w:rPr>
            <w:rFonts w:ascii="FrankRuehl" w:hAnsi="FrankRuehl" w:cs="FrankRuehl"/>
            <w:color w:val="0000FF"/>
            <w:sz w:val="28"/>
            <w:szCs w:val="28"/>
            <w:u w:val="single"/>
            <w:rtl/>
          </w:rPr>
          <w:t>ע"פ 8048/19</w:t>
        </w:r>
      </w:hyperlink>
      <w:r w:rsidR="00552128">
        <w:rPr>
          <w:rFonts w:ascii="FrankRuehl" w:hAnsi="FrankRuehl" w:cs="FrankRuehl"/>
          <w:sz w:val="28"/>
          <w:szCs w:val="28"/>
        </w:rPr>
        <w:t xml:space="preserve"> </w:t>
      </w:r>
      <w:r w:rsidRPr="00474D41">
        <w:rPr>
          <w:rFonts w:ascii="FrankRuehl" w:hAnsi="FrankRuehl" w:cs="FrankRuehl"/>
          <w:b/>
          <w:bCs/>
          <w:sz w:val="28"/>
          <w:szCs w:val="28"/>
          <w:rtl/>
        </w:rPr>
        <w:t>פיצ'חדזה נ' מדינת ישראל</w:t>
      </w:r>
      <w:r w:rsidRPr="00474D41">
        <w:rPr>
          <w:rFonts w:ascii="FrankRuehl" w:hAnsi="FrankRuehl" w:cs="FrankRuehl" w:hint="cs"/>
          <w:sz w:val="28"/>
          <w:szCs w:val="28"/>
          <w:rtl/>
        </w:rPr>
        <w:t xml:space="preserve"> (4.06.20)). </w:t>
      </w:r>
    </w:p>
    <w:p w14:paraId="62DCAA07" w14:textId="77777777" w:rsidR="0010271A" w:rsidRDefault="0010271A" w:rsidP="0010271A">
      <w:pPr>
        <w:spacing w:line="360" w:lineRule="auto"/>
        <w:jc w:val="both"/>
        <w:rPr>
          <w:rFonts w:ascii="FrankRuehl" w:hAnsi="FrankRuehl" w:cs="FrankRuehl"/>
          <w:sz w:val="28"/>
          <w:szCs w:val="28"/>
          <w:rtl/>
        </w:rPr>
      </w:pPr>
    </w:p>
    <w:p w14:paraId="4673A77C" w14:textId="77777777"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בשים לב לכל האמור אני משית על הנאשם את העונשים הבאים:</w:t>
      </w:r>
    </w:p>
    <w:p w14:paraId="5DED0AD3" w14:textId="77777777" w:rsidR="0010271A" w:rsidRPr="002C1E2D" w:rsidRDefault="0010271A" w:rsidP="0010271A">
      <w:pPr>
        <w:pStyle w:val="a9"/>
        <w:numPr>
          <w:ilvl w:val="0"/>
          <w:numId w:val="2"/>
        </w:numPr>
        <w:spacing w:line="360" w:lineRule="auto"/>
        <w:jc w:val="both"/>
        <w:rPr>
          <w:rFonts w:ascii="FrankRuehl" w:hAnsi="FrankRuehl" w:cs="FrankRuehl"/>
          <w:sz w:val="28"/>
          <w:szCs w:val="28"/>
        </w:rPr>
      </w:pPr>
      <w:r w:rsidRPr="002C1E2D">
        <w:rPr>
          <w:rFonts w:ascii="FrankRuehl" w:hAnsi="FrankRuehl" w:cs="FrankRuehl" w:hint="cs"/>
          <w:sz w:val="28"/>
          <w:szCs w:val="28"/>
          <w:rtl/>
        </w:rPr>
        <w:t xml:space="preserve">12 חודשי מאסר בפועל בניכוי ימי מעצרו בהתאם לרישומי שב"ס. </w:t>
      </w:r>
    </w:p>
    <w:p w14:paraId="69C52521" w14:textId="77777777" w:rsidR="0010271A" w:rsidRPr="002C1E2D" w:rsidRDefault="0010271A" w:rsidP="0010271A">
      <w:pPr>
        <w:pStyle w:val="a9"/>
        <w:spacing w:before="100" w:beforeAutospacing="1" w:after="100" w:afterAutospacing="1" w:line="360" w:lineRule="auto"/>
        <w:jc w:val="both"/>
        <w:rPr>
          <w:rFonts w:cs="Times New Roman"/>
          <w:color w:val="000000"/>
          <w:sz w:val="27"/>
          <w:szCs w:val="27"/>
        </w:rPr>
      </w:pPr>
      <w:r w:rsidRPr="002C1E2D">
        <w:rPr>
          <w:rFonts w:ascii="FrankRuehl" w:hAnsi="FrankRuehl" w:cs="FrankRuehl"/>
          <w:color w:val="000000"/>
          <w:sz w:val="28"/>
          <w:szCs w:val="28"/>
          <w:rtl/>
        </w:rPr>
        <w:t xml:space="preserve">הנאשם יתייצב למאסרו בבית סוהר ניצן ביום </w:t>
      </w:r>
      <w:r>
        <w:rPr>
          <w:rFonts w:ascii="FrankRuehl" w:hAnsi="FrankRuehl" w:cs="FrankRuehl" w:hint="cs"/>
          <w:color w:val="000000"/>
          <w:sz w:val="28"/>
          <w:szCs w:val="28"/>
          <w:rtl/>
        </w:rPr>
        <w:t>1.08.24</w:t>
      </w:r>
      <w:r w:rsidRPr="002C1E2D">
        <w:rPr>
          <w:rFonts w:ascii="FrankRuehl" w:hAnsi="FrankRuehl" w:cs="FrankRuehl"/>
          <w:color w:val="000000"/>
          <w:sz w:val="28"/>
          <w:szCs w:val="28"/>
          <w:rtl/>
        </w:rPr>
        <w:t xml:space="preserve"> עד השעה 10:00, או על פי החלטת שב"ס, כשברשותו תעודת זהות או דרכון.</w:t>
      </w:r>
    </w:p>
    <w:p w14:paraId="4B2E5315" w14:textId="77777777" w:rsidR="0010271A" w:rsidRPr="002C1E2D" w:rsidRDefault="0010271A" w:rsidP="0010271A">
      <w:pPr>
        <w:pStyle w:val="a9"/>
        <w:spacing w:before="100" w:beforeAutospacing="1" w:after="100" w:afterAutospacing="1" w:line="360" w:lineRule="auto"/>
        <w:jc w:val="both"/>
        <w:rPr>
          <w:rFonts w:cs="Times New Roman"/>
          <w:color w:val="000000"/>
          <w:sz w:val="27"/>
          <w:szCs w:val="27"/>
          <w:rtl/>
        </w:rPr>
      </w:pPr>
      <w:r w:rsidRPr="002C1E2D">
        <w:rPr>
          <w:rFonts w:ascii="FrankRuehl" w:hAnsi="FrankRuehl" w:cs="FrankRuehl"/>
          <w:color w:val="000000"/>
          <w:sz w:val="28"/>
          <w:szCs w:val="28"/>
          <w:rtl/>
        </w:rPr>
        <w:t>על הנאשם לתאם את הכניסה למאסר, כולל האפשרות למיון מוקדם, עם ענף אבחון ומיון של שב"ס, טלפונים: 08-9787377, 08-9787336 וכן להתעדכן באתר האינטרנט של שב"ס, ברשימת הציוד הראשוני שניתן להביא בעת ההתייצבות.</w:t>
      </w:r>
    </w:p>
    <w:p w14:paraId="4B361C47" w14:textId="77777777" w:rsidR="0010271A" w:rsidRPr="002C1E2D" w:rsidRDefault="0010271A" w:rsidP="0010271A">
      <w:pPr>
        <w:pStyle w:val="a9"/>
        <w:numPr>
          <w:ilvl w:val="0"/>
          <w:numId w:val="2"/>
        </w:numPr>
        <w:spacing w:line="360" w:lineRule="auto"/>
        <w:jc w:val="both"/>
        <w:rPr>
          <w:rFonts w:ascii="FrankRuehl" w:hAnsi="FrankRuehl" w:cs="FrankRuehl"/>
          <w:sz w:val="28"/>
          <w:szCs w:val="28"/>
        </w:rPr>
      </w:pPr>
      <w:r w:rsidRPr="002C1E2D">
        <w:rPr>
          <w:rFonts w:ascii="FrankRuehl" w:hAnsi="FrankRuehl" w:cs="FrankRuehl" w:hint="cs"/>
          <w:sz w:val="28"/>
          <w:szCs w:val="28"/>
          <w:rtl/>
        </w:rPr>
        <w:t xml:space="preserve">6 חודשי מאסר אשר לא ירוצו אלא אם הנאשם יעבור עבירת סמים מסוג פשע בתקופה של שלוש שנים. </w:t>
      </w:r>
    </w:p>
    <w:p w14:paraId="75E7ACDA" w14:textId="77777777" w:rsidR="0010271A" w:rsidRDefault="00552128" w:rsidP="0010271A">
      <w:pPr>
        <w:pStyle w:val="a9"/>
        <w:numPr>
          <w:ilvl w:val="0"/>
          <w:numId w:val="2"/>
        </w:numPr>
        <w:spacing w:line="360" w:lineRule="auto"/>
        <w:jc w:val="both"/>
        <w:rPr>
          <w:rFonts w:ascii="FrankRuehl" w:hAnsi="FrankRuehl" w:cs="FrankRuehl"/>
          <w:sz w:val="28"/>
          <w:szCs w:val="28"/>
        </w:rPr>
      </w:pPr>
      <w:r w:rsidRPr="00552128">
        <w:rPr>
          <w:rFonts w:ascii="FrankRuehl" w:hAnsi="FrankRuehl" w:cs="FrankRuehl"/>
          <w:color w:val="FFFFFF"/>
          <w:sz w:val="2"/>
          <w:szCs w:val="2"/>
          <w:rtl/>
        </w:rPr>
        <w:t>5129371</w:t>
      </w:r>
      <w:r w:rsidR="0010271A">
        <w:rPr>
          <w:rFonts w:ascii="FrankRuehl" w:hAnsi="FrankRuehl" w:cs="FrankRuehl" w:hint="cs"/>
          <w:sz w:val="28"/>
          <w:szCs w:val="28"/>
          <w:rtl/>
        </w:rPr>
        <w:t>4 חודשי מאסר אשר לא ירוצו אלא אם הנאשם יעבור עבירת סמים מסוג עוון בתקופה של שלוש שנים.</w:t>
      </w:r>
    </w:p>
    <w:p w14:paraId="53DF17F6" w14:textId="77777777" w:rsidR="0010271A" w:rsidRPr="00474D41" w:rsidRDefault="00552128" w:rsidP="0010271A">
      <w:pPr>
        <w:spacing w:line="360" w:lineRule="auto"/>
        <w:jc w:val="both"/>
        <w:rPr>
          <w:rFonts w:ascii="FrankRuehl" w:hAnsi="FrankRuehl" w:cs="FrankRuehl"/>
          <w:sz w:val="28"/>
          <w:szCs w:val="28"/>
        </w:rPr>
      </w:pPr>
      <w:r w:rsidRPr="00552128">
        <w:rPr>
          <w:rFonts w:ascii="FrankRuehl" w:hAnsi="FrankRuehl" w:cs="FrankRuehl"/>
          <w:color w:val="FFFFFF"/>
          <w:sz w:val="2"/>
          <w:szCs w:val="2"/>
          <w:rtl/>
        </w:rPr>
        <w:t>54678313</w:t>
      </w:r>
      <w:r w:rsidR="0010271A">
        <w:rPr>
          <w:rFonts w:ascii="FrankRuehl" w:hAnsi="FrankRuehl" w:cs="FrankRuehl" w:hint="cs"/>
          <w:sz w:val="28"/>
          <w:szCs w:val="28"/>
          <w:rtl/>
        </w:rPr>
        <w:t xml:space="preserve">זכות ערעור לבית המשפט העליון בתוך 45 יום מהיום. </w:t>
      </w:r>
    </w:p>
    <w:p w14:paraId="30A72072" w14:textId="77777777" w:rsidR="0010271A" w:rsidRDefault="0010271A" w:rsidP="0010271A">
      <w:pPr>
        <w:spacing w:line="360" w:lineRule="auto"/>
        <w:jc w:val="both"/>
        <w:rPr>
          <w:rFonts w:ascii="FrankRuehl" w:hAnsi="FrankRuehl" w:cs="FrankRuehl"/>
          <w:sz w:val="28"/>
          <w:szCs w:val="28"/>
          <w:rtl/>
        </w:rPr>
      </w:pPr>
    </w:p>
    <w:p w14:paraId="1694745B" w14:textId="77777777" w:rsidR="0010271A" w:rsidRPr="000F2247" w:rsidRDefault="00552128" w:rsidP="0010271A">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ה' תמוז תשפ"ד, 11 יולי 2024, במעמד המתייצבים. </w:t>
      </w:r>
      <w:bookmarkEnd w:id="8"/>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hint="cs"/>
          <w:sz w:val="26"/>
          <w:szCs w:val="26"/>
          <w:rtl/>
        </w:rPr>
        <w:t xml:space="preserve">         </w:t>
      </w:r>
    </w:p>
    <w:p w14:paraId="584090B6" w14:textId="77777777" w:rsidR="0010271A" w:rsidRPr="000F2247" w:rsidRDefault="0010271A" w:rsidP="0055212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FC8529" w14:textId="77777777" w:rsidR="0010271A" w:rsidRPr="000F2247" w:rsidRDefault="0010271A" w:rsidP="0010271A">
      <w:pPr>
        <w:jc w:val="center"/>
        <w:rPr>
          <w:rFonts w:ascii="Arial" w:hAnsi="Arial"/>
          <w:b/>
          <w:bCs/>
          <w:sz w:val="26"/>
          <w:szCs w:val="26"/>
          <w:rtl/>
        </w:rPr>
      </w:pPr>
    </w:p>
    <w:p w14:paraId="558D5713" w14:textId="77777777" w:rsidR="00D46151" w:rsidRPr="00552128" w:rsidRDefault="00D46151" w:rsidP="00552128">
      <w:pPr>
        <w:keepNext/>
        <w:rPr>
          <w:rFonts w:ascii="David" w:hAnsi="David"/>
          <w:color w:val="000000"/>
          <w:sz w:val="22"/>
          <w:szCs w:val="22"/>
          <w:rtl/>
        </w:rPr>
      </w:pPr>
    </w:p>
    <w:p w14:paraId="2A52644C" w14:textId="77777777" w:rsidR="00552128" w:rsidRPr="00552128" w:rsidRDefault="00552128" w:rsidP="00552128">
      <w:pPr>
        <w:keepNext/>
        <w:rPr>
          <w:rFonts w:ascii="David" w:hAnsi="David"/>
          <w:color w:val="000000"/>
          <w:sz w:val="22"/>
          <w:szCs w:val="22"/>
          <w:rtl/>
        </w:rPr>
      </w:pPr>
      <w:r w:rsidRPr="00552128">
        <w:rPr>
          <w:rFonts w:ascii="David" w:hAnsi="David"/>
          <w:color w:val="000000"/>
          <w:sz w:val="22"/>
          <w:szCs w:val="22"/>
          <w:rtl/>
        </w:rPr>
        <w:t>אילן סלע 54678313</w:t>
      </w:r>
    </w:p>
    <w:p w14:paraId="35DE7CC5" w14:textId="77777777" w:rsidR="00552128" w:rsidRDefault="00552128" w:rsidP="00552128">
      <w:r w:rsidRPr="00552128">
        <w:rPr>
          <w:color w:val="000000"/>
          <w:rtl/>
        </w:rPr>
        <w:t>נוסח מסמך זה כפוף לשינויי ניסוח ועריכה</w:t>
      </w:r>
    </w:p>
    <w:p w14:paraId="33655E25" w14:textId="77777777" w:rsidR="00552128" w:rsidRDefault="00552128" w:rsidP="00552128">
      <w:pPr>
        <w:rPr>
          <w:rtl/>
        </w:rPr>
      </w:pPr>
    </w:p>
    <w:p w14:paraId="52D97D58" w14:textId="77777777" w:rsidR="00552128" w:rsidRDefault="00552128" w:rsidP="0055212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CAA72E1" w14:textId="77777777" w:rsidR="00552128" w:rsidRPr="00552128" w:rsidRDefault="00552128" w:rsidP="00552128">
      <w:pPr>
        <w:jc w:val="center"/>
        <w:rPr>
          <w:color w:val="0000FF"/>
          <w:u w:val="single"/>
        </w:rPr>
      </w:pPr>
    </w:p>
    <w:sectPr w:rsidR="00552128" w:rsidRPr="00552128" w:rsidSect="0055212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105FB" w14:textId="77777777" w:rsidR="003E3B77" w:rsidRDefault="003E3B77" w:rsidP="00963E5D">
      <w:r>
        <w:separator/>
      </w:r>
    </w:p>
  </w:endnote>
  <w:endnote w:type="continuationSeparator" w:id="0">
    <w:p w14:paraId="348446B6" w14:textId="77777777" w:rsidR="003E3B77" w:rsidRDefault="003E3B77" w:rsidP="0096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AD25" w14:textId="77777777" w:rsidR="00552128" w:rsidRDefault="00552128" w:rsidP="005521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A3227C" w14:textId="77777777" w:rsidR="00BE68A7" w:rsidRPr="00552128" w:rsidRDefault="00552128" w:rsidP="005521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25F8" w14:textId="77777777" w:rsidR="00552128" w:rsidRDefault="00552128" w:rsidP="005521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34E8">
      <w:rPr>
        <w:rFonts w:ascii="FrankRuehl" w:hAnsi="FrankRuehl" w:cs="FrankRuehl"/>
        <w:noProof/>
        <w:rtl/>
      </w:rPr>
      <w:t>1</w:t>
    </w:r>
    <w:r>
      <w:rPr>
        <w:rFonts w:ascii="FrankRuehl" w:hAnsi="FrankRuehl" w:cs="FrankRuehl"/>
        <w:rtl/>
      </w:rPr>
      <w:fldChar w:fldCharType="end"/>
    </w:r>
  </w:p>
  <w:p w14:paraId="5DC577C7" w14:textId="77777777" w:rsidR="00BE68A7" w:rsidRPr="00552128" w:rsidRDefault="00552128" w:rsidP="005521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B4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2EE5E" w14:textId="77777777" w:rsidR="003E3B77" w:rsidRDefault="003E3B77" w:rsidP="00963E5D">
      <w:r>
        <w:separator/>
      </w:r>
    </w:p>
  </w:footnote>
  <w:footnote w:type="continuationSeparator" w:id="0">
    <w:p w14:paraId="19F493F5" w14:textId="77777777" w:rsidR="003E3B77" w:rsidRDefault="003E3B77" w:rsidP="00963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BF154" w14:textId="77777777" w:rsidR="00552128" w:rsidRPr="00552128" w:rsidRDefault="00552128" w:rsidP="005521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49875-05-23</w:t>
    </w:r>
    <w:r>
      <w:rPr>
        <w:rFonts w:ascii="David" w:hAnsi="David"/>
        <w:color w:val="000000"/>
        <w:sz w:val="22"/>
        <w:szCs w:val="22"/>
        <w:rtl/>
      </w:rPr>
      <w:tab/>
      <w:t xml:space="preserve"> מדינת ישראל נ' נאסר רשיד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180DA" w14:textId="77777777" w:rsidR="00552128" w:rsidRPr="00552128" w:rsidRDefault="00552128" w:rsidP="005521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49875-05-23</w:t>
    </w:r>
    <w:r>
      <w:rPr>
        <w:rFonts w:ascii="David" w:hAnsi="David"/>
        <w:color w:val="000000"/>
        <w:sz w:val="22"/>
        <w:szCs w:val="22"/>
        <w:rtl/>
      </w:rPr>
      <w:tab/>
      <w:t xml:space="preserve"> מדינת ישראל נ' נאסר רשיד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D1958"/>
    <w:multiLevelType w:val="hybridMultilevel"/>
    <w:tmpl w:val="6518A818"/>
    <w:lvl w:ilvl="0" w:tplc="04988532">
      <w:start w:val="12"/>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513C1"/>
    <w:multiLevelType w:val="hybridMultilevel"/>
    <w:tmpl w:val="29BA5182"/>
    <w:lvl w:ilvl="0" w:tplc="FBAA60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29958">
    <w:abstractNumId w:val="0"/>
  </w:num>
  <w:num w:numId="2" w16cid:durableId="1954827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271A"/>
    <w:rsid w:val="0006308C"/>
    <w:rsid w:val="0010271A"/>
    <w:rsid w:val="003E3B77"/>
    <w:rsid w:val="004443A4"/>
    <w:rsid w:val="00552128"/>
    <w:rsid w:val="00963E5D"/>
    <w:rsid w:val="009A4E4C"/>
    <w:rsid w:val="00AD2E9B"/>
    <w:rsid w:val="00B234E8"/>
    <w:rsid w:val="00BE68A7"/>
    <w:rsid w:val="00D46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EF129B"/>
  <w15:chartTrackingRefBased/>
  <w15:docId w15:val="{E114105A-A82A-4783-87C5-14D6917D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27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271A"/>
    <w:pPr>
      <w:tabs>
        <w:tab w:val="center" w:pos="4153"/>
        <w:tab w:val="right" w:pos="8306"/>
      </w:tabs>
    </w:pPr>
  </w:style>
  <w:style w:type="character" w:customStyle="1" w:styleId="a4">
    <w:name w:val="כותרת עליונה תו"/>
    <w:link w:val="a3"/>
    <w:rsid w:val="0010271A"/>
    <w:rPr>
      <w:rFonts w:ascii="Times New Roman" w:eastAsia="Times New Roman" w:hAnsi="Times New Roman" w:cs="David"/>
      <w:sz w:val="24"/>
      <w:szCs w:val="24"/>
    </w:rPr>
  </w:style>
  <w:style w:type="paragraph" w:styleId="a5">
    <w:name w:val="footer"/>
    <w:basedOn w:val="a"/>
    <w:link w:val="a6"/>
    <w:rsid w:val="0010271A"/>
    <w:pPr>
      <w:tabs>
        <w:tab w:val="center" w:pos="4153"/>
        <w:tab w:val="right" w:pos="8306"/>
      </w:tabs>
    </w:pPr>
  </w:style>
  <w:style w:type="character" w:customStyle="1" w:styleId="a6">
    <w:name w:val="כותרת תחתונה תו"/>
    <w:link w:val="a5"/>
    <w:rsid w:val="0010271A"/>
    <w:rPr>
      <w:rFonts w:ascii="Times New Roman" w:eastAsia="Times New Roman" w:hAnsi="Times New Roman" w:cs="David"/>
      <w:sz w:val="24"/>
      <w:szCs w:val="24"/>
    </w:rPr>
  </w:style>
  <w:style w:type="table" w:styleId="a7">
    <w:name w:val="Table Grid"/>
    <w:basedOn w:val="a1"/>
    <w:rsid w:val="001027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271A"/>
  </w:style>
  <w:style w:type="paragraph" w:styleId="a9">
    <w:name w:val="List Paragraph"/>
    <w:basedOn w:val="a"/>
    <w:qFormat/>
    <w:rsid w:val="0010271A"/>
    <w:pPr>
      <w:spacing w:after="160" w:line="256" w:lineRule="auto"/>
      <w:ind w:left="720"/>
      <w:contextualSpacing/>
    </w:pPr>
    <w:rPr>
      <w:rFonts w:ascii="Calibri" w:eastAsia="Calibri" w:hAnsi="Calibri" w:cs="Arial"/>
      <w:sz w:val="22"/>
      <w:szCs w:val="22"/>
    </w:rPr>
  </w:style>
  <w:style w:type="paragraph" w:customStyle="1" w:styleId="a00">
    <w:name w:val="a0"/>
    <w:basedOn w:val="a"/>
    <w:rsid w:val="0010271A"/>
    <w:pPr>
      <w:bidi w:val="0"/>
      <w:spacing w:before="100" w:beforeAutospacing="1" w:after="100" w:afterAutospacing="1"/>
    </w:pPr>
    <w:rPr>
      <w:rFonts w:cs="Times New Roman"/>
    </w:rPr>
  </w:style>
  <w:style w:type="character" w:styleId="Hyperlink">
    <w:name w:val="Hyperlink"/>
    <w:rsid w:val="005521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365570" TargetMode="External"/><Relationship Id="rId26" Type="http://schemas.openxmlformats.org/officeDocument/2006/relationships/hyperlink" Target="http://www.nevo.co.il/case/27721203" TargetMode="External"/><Relationship Id="rId21" Type="http://schemas.openxmlformats.org/officeDocument/2006/relationships/hyperlink" Target="http://www.nevo.co.il/case/5603429"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2729281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1689984" TargetMode="External"/><Relationship Id="rId29" Type="http://schemas.openxmlformats.org/officeDocument/2006/relationships/hyperlink" Target="http://www.nevo.co.il/case/276796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86583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1689984" TargetMode="External"/><Relationship Id="rId28" Type="http://schemas.openxmlformats.org/officeDocument/2006/relationships/hyperlink" Target="http://www.nevo.co.il/case/27008959"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7365570" TargetMode="External"/><Relationship Id="rId31" Type="http://schemas.openxmlformats.org/officeDocument/2006/relationships/hyperlink" Target="http://www.nevo.co.il/case/2624648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6247538" TargetMode="External"/><Relationship Id="rId27" Type="http://schemas.openxmlformats.org/officeDocument/2006/relationships/hyperlink" Target="http://www.nevo.co.il/case/27365570" TargetMode="External"/><Relationship Id="rId30" Type="http://schemas.openxmlformats.org/officeDocument/2006/relationships/hyperlink" Target="http://www.nevo.co.il/case/27365570"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2476</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14829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3342448</vt:i4>
      </vt:variant>
      <vt:variant>
        <vt:i4>69</vt:i4>
      </vt:variant>
      <vt:variant>
        <vt:i4>0</vt:i4>
      </vt:variant>
      <vt:variant>
        <vt:i4>5</vt:i4>
      </vt:variant>
      <vt:variant>
        <vt:lpwstr>http://www.nevo.co.il/case/27365570</vt:lpwstr>
      </vt:variant>
      <vt:variant>
        <vt:lpwstr/>
      </vt:variant>
      <vt:variant>
        <vt:i4>3407986</vt:i4>
      </vt:variant>
      <vt:variant>
        <vt:i4>66</vt:i4>
      </vt:variant>
      <vt:variant>
        <vt:i4>0</vt:i4>
      </vt:variant>
      <vt:variant>
        <vt:i4>5</vt:i4>
      </vt:variant>
      <vt:variant>
        <vt:lpwstr>http://www.nevo.co.il/case/27679692</vt:lpwstr>
      </vt:variant>
      <vt:variant>
        <vt:lpwstr/>
      </vt:variant>
      <vt:variant>
        <vt:i4>4128890</vt:i4>
      </vt:variant>
      <vt:variant>
        <vt:i4>63</vt:i4>
      </vt:variant>
      <vt:variant>
        <vt:i4>0</vt:i4>
      </vt:variant>
      <vt:variant>
        <vt:i4>5</vt:i4>
      </vt:variant>
      <vt:variant>
        <vt:lpwstr>http://www.nevo.co.il/case/27008959</vt:lpwstr>
      </vt:variant>
      <vt:variant>
        <vt:lpwstr/>
      </vt:variant>
      <vt:variant>
        <vt:i4>3342448</vt:i4>
      </vt:variant>
      <vt:variant>
        <vt:i4>60</vt:i4>
      </vt:variant>
      <vt:variant>
        <vt:i4>0</vt:i4>
      </vt:variant>
      <vt:variant>
        <vt:i4>5</vt:i4>
      </vt:variant>
      <vt:variant>
        <vt:lpwstr>http://www.nevo.co.il/case/27365570</vt:lpwstr>
      </vt:variant>
      <vt:variant>
        <vt:lpwstr/>
      </vt:variant>
      <vt:variant>
        <vt:i4>3407987</vt:i4>
      </vt:variant>
      <vt:variant>
        <vt:i4>57</vt:i4>
      </vt:variant>
      <vt:variant>
        <vt:i4>0</vt:i4>
      </vt:variant>
      <vt:variant>
        <vt:i4>5</vt:i4>
      </vt:variant>
      <vt:variant>
        <vt:lpwstr>http://www.nevo.co.il/case/27721203</vt:lpwstr>
      </vt:variant>
      <vt:variant>
        <vt:lpwstr/>
      </vt:variant>
      <vt:variant>
        <vt:i4>3342450</vt:i4>
      </vt:variant>
      <vt:variant>
        <vt:i4>54</vt:i4>
      </vt:variant>
      <vt:variant>
        <vt:i4>0</vt:i4>
      </vt:variant>
      <vt:variant>
        <vt:i4>5</vt:i4>
      </vt:variant>
      <vt:variant>
        <vt:lpwstr>http://www.nevo.co.il/case/27292819</vt:lpwstr>
      </vt:variant>
      <vt:variant>
        <vt:lpwstr/>
      </vt:variant>
      <vt:variant>
        <vt:i4>3801210</vt:i4>
      </vt:variant>
      <vt:variant>
        <vt:i4>51</vt:i4>
      </vt:variant>
      <vt:variant>
        <vt:i4>0</vt:i4>
      </vt:variant>
      <vt:variant>
        <vt:i4>5</vt:i4>
      </vt:variant>
      <vt:variant>
        <vt:lpwstr>http://www.nevo.co.il/case/7865833</vt:lpwstr>
      </vt:variant>
      <vt:variant>
        <vt:lpwstr/>
      </vt:variant>
      <vt:variant>
        <vt:i4>3473524</vt:i4>
      </vt:variant>
      <vt:variant>
        <vt:i4>48</vt:i4>
      </vt:variant>
      <vt:variant>
        <vt:i4>0</vt:i4>
      </vt:variant>
      <vt:variant>
        <vt:i4>5</vt:i4>
      </vt:variant>
      <vt:variant>
        <vt:lpwstr>http://www.nevo.co.il/case/21689984</vt:lpwstr>
      </vt:variant>
      <vt:variant>
        <vt:lpwstr/>
      </vt:variant>
      <vt:variant>
        <vt:i4>4128882</vt:i4>
      </vt:variant>
      <vt:variant>
        <vt:i4>45</vt:i4>
      </vt:variant>
      <vt:variant>
        <vt:i4>0</vt:i4>
      </vt:variant>
      <vt:variant>
        <vt:i4>5</vt:i4>
      </vt:variant>
      <vt:variant>
        <vt:lpwstr>http://www.nevo.co.il/case/6247538</vt:lpwstr>
      </vt:variant>
      <vt:variant>
        <vt:lpwstr/>
      </vt:variant>
      <vt:variant>
        <vt:i4>3670131</vt:i4>
      </vt:variant>
      <vt:variant>
        <vt:i4>42</vt:i4>
      </vt:variant>
      <vt:variant>
        <vt:i4>0</vt:i4>
      </vt:variant>
      <vt:variant>
        <vt:i4>5</vt:i4>
      </vt:variant>
      <vt:variant>
        <vt:lpwstr>http://www.nevo.co.il/case/5603429</vt:lpwstr>
      </vt:variant>
      <vt:variant>
        <vt:lpwstr/>
      </vt:variant>
      <vt:variant>
        <vt:i4>3473524</vt:i4>
      </vt:variant>
      <vt:variant>
        <vt:i4>39</vt:i4>
      </vt:variant>
      <vt:variant>
        <vt:i4>0</vt:i4>
      </vt:variant>
      <vt:variant>
        <vt:i4>5</vt:i4>
      </vt:variant>
      <vt:variant>
        <vt:lpwstr>http://www.nevo.co.il/case/21689984</vt:lpwstr>
      </vt:variant>
      <vt:variant>
        <vt:lpwstr/>
      </vt:variant>
      <vt:variant>
        <vt:i4>3342448</vt:i4>
      </vt:variant>
      <vt:variant>
        <vt:i4>36</vt:i4>
      </vt:variant>
      <vt:variant>
        <vt:i4>0</vt:i4>
      </vt:variant>
      <vt:variant>
        <vt:i4>5</vt:i4>
      </vt:variant>
      <vt:variant>
        <vt:lpwstr>http://www.nevo.co.il/case/27365570</vt:lpwstr>
      </vt:variant>
      <vt:variant>
        <vt:lpwstr/>
      </vt:variant>
      <vt:variant>
        <vt:i4>3342448</vt:i4>
      </vt:variant>
      <vt:variant>
        <vt:i4>33</vt:i4>
      </vt:variant>
      <vt:variant>
        <vt:i4>0</vt:i4>
      </vt:variant>
      <vt:variant>
        <vt:i4>5</vt:i4>
      </vt:variant>
      <vt:variant>
        <vt:lpwstr>http://www.nevo.co.il/case/27365570</vt:lpwstr>
      </vt:variant>
      <vt:variant>
        <vt:lpwstr/>
      </vt:variant>
      <vt:variant>
        <vt:i4>4063353</vt:i4>
      </vt:variant>
      <vt:variant>
        <vt:i4>30</vt:i4>
      </vt:variant>
      <vt:variant>
        <vt:i4>0</vt:i4>
      </vt:variant>
      <vt:variant>
        <vt:i4>5</vt:i4>
      </vt:variant>
      <vt:variant>
        <vt:lpwstr>http://www.nevo.co.il/case/20683594</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49875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נאסר רשיד</vt:lpwstr>
  </property>
  <property fmtid="{D5CDD505-2E9C-101B-9397-08002B2CF9AE}" pid="10" name="LAWYER">
    <vt:lpwstr>אבירן אסבן;עינת יריב</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20240711</vt:lpwstr>
  </property>
  <property fmtid="{D5CDD505-2E9C-101B-9397-08002B2CF9AE}" pid="14" name="TYPE_N_DATE">
    <vt:lpwstr>39020240711</vt:lpwstr>
  </property>
  <property fmtid="{D5CDD505-2E9C-101B-9397-08002B2CF9AE}" pid="15" name="CASESLISTTMP1">
    <vt:lpwstr>5786821;20683594;27365570:4;21689984:2;5603429;6247538;7865833;27292819;27721203;27008959;27679692;26246488</vt:lpwstr>
  </property>
  <property fmtid="{D5CDD505-2E9C-101B-9397-08002B2CF9AE}" pid="16" name="CASENOTES1">
    <vt:lpwstr>ProcID=209&amp;PartA=38450&amp;PartB=09&amp;PartC=12</vt:lpwstr>
  </property>
  <property fmtid="{D5CDD505-2E9C-101B-9397-08002B2CF9AE}" pid="17" name="WORDNUMPAGES">
    <vt:lpwstr>8</vt:lpwstr>
  </property>
  <property fmtid="{D5CDD505-2E9C-101B-9397-08002B2CF9AE}" pid="18" name="TYPE_ABS_DATE">
    <vt:lpwstr>390020240711</vt:lpwstr>
  </property>
  <property fmtid="{D5CDD505-2E9C-101B-9397-08002B2CF9AE}" pid="19" name="ISABSTRACT">
    <vt:lpwstr>Y</vt:lpwstr>
  </property>
  <property fmtid="{D5CDD505-2E9C-101B-9397-08002B2CF9AE}" pid="20" name="LAWLISTTMP1">
    <vt:lpwstr>4216/013;019a;007.a;007.c</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