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D1E9A" w:rsidRPr="001B5E41" w14:paraId="090C8B3A" w14:textId="77777777" w:rsidTr="008259BF">
        <w:trPr>
          <w:trHeight w:hRule="exact" w:val="418"/>
          <w:jc w:val="center"/>
        </w:trPr>
        <w:tc>
          <w:tcPr>
            <w:tcW w:w="8721" w:type="dxa"/>
            <w:gridSpan w:val="2"/>
          </w:tcPr>
          <w:p w14:paraId="70DDD3A0" w14:textId="77777777" w:rsidR="009D1E9A" w:rsidRPr="001B5E41" w:rsidRDefault="009D1E9A" w:rsidP="00196BFC">
            <w:pPr>
              <w:pStyle w:val="a3"/>
              <w:jc w:val="center"/>
              <w:rPr>
                <w:rFonts w:ascii="Tahoma" w:hAnsi="Tahoma"/>
                <w:color w:val="000080"/>
                <w:sz w:val="32"/>
                <w:szCs w:val="32"/>
                <w:rtl/>
              </w:rPr>
            </w:pPr>
            <w:bookmarkStart w:id="0" w:name="FirstLawyer"/>
            <w:bookmarkStart w:id="1" w:name="LastJudge"/>
            <w:r w:rsidRPr="001B5E41">
              <w:rPr>
                <w:rFonts w:ascii="Tahoma" w:hAnsi="Tahoma"/>
                <w:b/>
                <w:bCs/>
                <w:color w:val="000080"/>
                <w:sz w:val="32"/>
                <w:szCs w:val="32"/>
                <w:rtl/>
              </w:rPr>
              <w:t>בית המשפט המחוזי בתל אביב -יפו</w:t>
            </w:r>
          </w:p>
        </w:tc>
      </w:tr>
      <w:tr w:rsidR="009D1E9A" w:rsidRPr="001B5E41" w14:paraId="29B4A26D" w14:textId="77777777" w:rsidTr="008259BF">
        <w:trPr>
          <w:trHeight w:val="337"/>
          <w:jc w:val="center"/>
        </w:trPr>
        <w:tc>
          <w:tcPr>
            <w:tcW w:w="5056" w:type="dxa"/>
          </w:tcPr>
          <w:p w14:paraId="4145EB57" w14:textId="77777777" w:rsidR="009D1E9A" w:rsidRPr="001B5E41" w:rsidRDefault="009D1E9A" w:rsidP="00196BFC">
            <w:pPr>
              <w:rPr>
                <w:sz w:val="26"/>
                <w:szCs w:val="26"/>
                <w:rtl/>
              </w:rPr>
            </w:pPr>
            <w:r w:rsidRPr="001B5E41">
              <w:rPr>
                <w:sz w:val="26"/>
                <w:szCs w:val="26"/>
                <w:rtl/>
              </w:rPr>
              <w:t>ת"פ</w:t>
            </w:r>
            <w:r w:rsidRPr="001B5E41">
              <w:rPr>
                <w:rFonts w:hint="cs"/>
                <w:sz w:val="26"/>
                <w:szCs w:val="26"/>
                <w:rtl/>
              </w:rPr>
              <w:t xml:space="preserve"> </w:t>
            </w:r>
            <w:r w:rsidRPr="001B5E41">
              <w:rPr>
                <w:sz w:val="26"/>
                <w:szCs w:val="26"/>
                <w:rtl/>
              </w:rPr>
              <w:t>51515-06-23</w:t>
            </w:r>
            <w:r w:rsidRPr="001B5E41">
              <w:rPr>
                <w:rFonts w:hint="cs"/>
                <w:sz w:val="26"/>
                <w:szCs w:val="26"/>
                <w:rtl/>
              </w:rPr>
              <w:t xml:space="preserve"> </w:t>
            </w:r>
            <w:r w:rsidRPr="001B5E41">
              <w:rPr>
                <w:sz w:val="26"/>
                <w:szCs w:val="26"/>
                <w:rtl/>
              </w:rPr>
              <w:t>מדינת ישראל נ' ניב-ליס(עציר)</w:t>
            </w:r>
          </w:p>
          <w:p w14:paraId="32623615" w14:textId="77777777" w:rsidR="009D1E9A" w:rsidRPr="001B5E41" w:rsidRDefault="009D1E9A" w:rsidP="00196BFC">
            <w:pPr>
              <w:pStyle w:val="a3"/>
              <w:rPr>
                <w:rFonts w:cs="FrankRuehl"/>
                <w:sz w:val="28"/>
                <w:szCs w:val="28"/>
                <w:rtl/>
              </w:rPr>
            </w:pPr>
          </w:p>
        </w:tc>
        <w:tc>
          <w:tcPr>
            <w:tcW w:w="3665" w:type="dxa"/>
          </w:tcPr>
          <w:p w14:paraId="7CC1966C" w14:textId="77777777" w:rsidR="009D1E9A" w:rsidRPr="001B5E41" w:rsidRDefault="009D1E9A" w:rsidP="00196BFC">
            <w:pPr>
              <w:pStyle w:val="a3"/>
              <w:jc w:val="right"/>
              <w:rPr>
                <w:rFonts w:cs="FrankRuehl"/>
                <w:sz w:val="28"/>
                <w:szCs w:val="28"/>
                <w:rtl/>
              </w:rPr>
            </w:pPr>
          </w:p>
        </w:tc>
      </w:tr>
    </w:tbl>
    <w:p w14:paraId="11C7E660" w14:textId="77777777" w:rsidR="009D1E9A" w:rsidRPr="001B5E41" w:rsidRDefault="009D1E9A" w:rsidP="009D1E9A">
      <w:pPr>
        <w:pStyle w:val="a3"/>
        <w:rPr>
          <w:rtl/>
        </w:rPr>
      </w:pPr>
      <w:r w:rsidRPr="001B5E41">
        <w:rPr>
          <w:rFonts w:hint="cs"/>
          <w:rtl/>
        </w:rPr>
        <w:t xml:space="preserve"> </w:t>
      </w:r>
    </w:p>
    <w:p w14:paraId="3CDD9BE2" w14:textId="77777777" w:rsidR="009D1E9A" w:rsidRPr="001B5E41" w:rsidRDefault="009D1E9A" w:rsidP="009D1E9A">
      <w:pPr>
        <w:suppressLineNumbers/>
        <w:rPr>
          <w:rFonts w:ascii="Arial" w:hAnsi="Arial"/>
          <w:rtl/>
        </w:rPr>
      </w:pPr>
    </w:p>
    <w:p w14:paraId="1CB210FC" w14:textId="77777777" w:rsidR="009D1E9A" w:rsidRPr="001B5E41" w:rsidRDefault="009D1E9A" w:rsidP="009D1E9A">
      <w:pPr>
        <w:suppressLineNumbers/>
        <w:rPr>
          <w:rFonts w:ascii="Arial" w:hAnsi="Arial"/>
        </w:rPr>
      </w:pPr>
    </w:p>
    <w:tbl>
      <w:tblPr>
        <w:bidiVisual/>
        <w:tblW w:w="8802" w:type="dxa"/>
        <w:tblInd w:w="-28" w:type="dxa"/>
        <w:tblLook w:val="01E0" w:firstRow="1" w:lastRow="1" w:firstColumn="1" w:lastColumn="1" w:noHBand="0" w:noVBand="0"/>
      </w:tblPr>
      <w:tblGrid>
        <w:gridCol w:w="2880"/>
        <w:gridCol w:w="5838"/>
        <w:gridCol w:w="84"/>
      </w:tblGrid>
      <w:tr w:rsidR="009D1E9A" w:rsidRPr="001B5E41" w14:paraId="39A8A18E" w14:textId="77777777" w:rsidTr="009D1E9A">
        <w:trPr>
          <w:gridAfter w:val="1"/>
          <w:wAfter w:w="56" w:type="dxa"/>
        </w:trPr>
        <w:tc>
          <w:tcPr>
            <w:tcW w:w="8718" w:type="dxa"/>
            <w:gridSpan w:val="2"/>
            <w:shd w:val="clear" w:color="auto" w:fill="auto"/>
          </w:tcPr>
          <w:p w14:paraId="76424BE4" w14:textId="77777777" w:rsidR="009D1E9A" w:rsidRPr="001B5E41" w:rsidRDefault="009D1E9A" w:rsidP="00196BFC">
            <w:pPr>
              <w:rPr>
                <w:b/>
                <w:bCs/>
                <w:sz w:val="26"/>
                <w:szCs w:val="26"/>
                <w:rtl/>
              </w:rPr>
            </w:pPr>
            <w:r w:rsidRPr="001B5E41">
              <w:rPr>
                <w:rFonts w:hint="cs"/>
                <w:b/>
                <w:bCs/>
                <w:sz w:val="26"/>
                <w:szCs w:val="26"/>
                <w:rtl/>
              </w:rPr>
              <w:t>לפני כב' ה</w:t>
            </w:r>
            <w:r w:rsidRPr="001B5E41">
              <w:rPr>
                <w:b/>
                <w:bCs/>
                <w:sz w:val="26"/>
                <w:szCs w:val="26"/>
                <w:rtl/>
              </w:rPr>
              <w:t>שופט עמית ציון קאפח</w:t>
            </w:r>
            <w:r w:rsidRPr="001B5E41">
              <w:rPr>
                <w:rStyle w:val="TimesNewRomanTimesNewRoman"/>
                <w:rtl/>
              </w:rPr>
              <w:t xml:space="preserve"> </w:t>
            </w:r>
          </w:p>
          <w:p w14:paraId="68665A71" w14:textId="77777777" w:rsidR="009D1E9A" w:rsidRPr="001B5E41" w:rsidRDefault="009D1E9A" w:rsidP="00196BFC">
            <w:pPr>
              <w:rPr>
                <w:b/>
                <w:bCs/>
                <w:sz w:val="26"/>
                <w:szCs w:val="26"/>
                <w:rtl/>
              </w:rPr>
            </w:pPr>
          </w:p>
        </w:tc>
      </w:tr>
      <w:tr w:rsidR="009D1E9A" w:rsidRPr="001B5E41" w14:paraId="51AC05CE" w14:textId="77777777" w:rsidTr="009D1E9A">
        <w:trPr>
          <w:cantSplit/>
          <w:trHeight w:val="724"/>
        </w:trPr>
        <w:tc>
          <w:tcPr>
            <w:tcW w:w="2880" w:type="dxa"/>
            <w:shd w:val="clear" w:color="auto" w:fill="auto"/>
          </w:tcPr>
          <w:p w14:paraId="154A8BC5" w14:textId="77777777" w:rsidR="009D1E9A" w:rsidRPr="001B5E41" w:rsidRDefault="009D1E9A" w:rsidP="009D1E9A">
            <w:pPr>
              <w:ind w:left="26"/>
              <w:rPr>
                <w:b/>
                <w:bCs/>
                <w:sz w:val="26"/>
                <w:szCs w:val="26"/>
                <w:rtl/>
              </w:rPr>
            </w:pPr>
            <w:bookmarkStart w:id="2" w:name="FirstAppellant"/>
          </w:p>
          <w:p w14:paraId="67E0CD78" w14:textId="77777777" w:rsidR="009D1E9A" w:rsidRPr="001B5E41" w:rsidRDefault="009D1E9A" w:rsidP="009D1E9A">
            <w:pPr>
              <w:ind w:left="26"/>
              <w:rPr>
                <w:b/>
                <w:bCs/>
                <w:sz w:val="26"/>
                <w:szCs w:val="26"/>
                <w:rtl/>
              </w:rPr>
            </w:pPr>
            <w:r w:rsidRPr="001B5E41">
              <w:rPr>
                <w:rFonts w:hint="cs"/>
                <w:b/>
                <w:bCs/>
                <w:sz w:val="26"/>
                <w:szCs w:val="26"/>
                <w:rtl/>
              </w:rPr>
              <w:t>ה</w:t>
            </w:r>
            <w:r w:rsidRPr="001B5E41">
              <w:rPr>
                <w:b/>
                <w:bCs/>
                <w:sz w:val="26"/>
                <w:szCs w:val="26"/>
                <w:rtl/>
              </w:rPr>
              <w:t>מאשימה</w:t>
            </w:r>
          </w:p>
        </w:tc>
        <w:tc>
          <w:tcPr>
            <w:tcW w:w="5922" w:type="dxa"/>
            <w:gridSpan w:val="2"/>
            <w:shd w:val="clear" w:color="auto" w:fill="auto"/>
          </w:tcPr>
          <w:p w14:paraId="36376AAF" w14:textId="77777777" w:rsidR="009D1E9A" w:rsidRPr="001B5E41" w:rsidRDefault="009D1E9A" w:rsidP="00196BFC">
            <w:pPr>
              <w:rPr>
                <w:sz w:val="26"/>
                <w:szCs w:val="26"/>
                <w:rtl/>
              </w:rPr>
            </w:pPr>
          </w:p>
          <w:p w14:paraId="0704793E" w14:textId="77777777" w:rsidR="009D1E9A" w:rsidRPr="001B5E41" w:rsidRDefault="009D1E9A" w:rsidP="00196BFC">
            <w:pPr>
              <w:rPr>
                <w:b/>
                <w:bCs/>
                <w:sz w:val="26"/>
                <w:szCs w:val="26"/>
                <w:rtl/>
              </w:rPr>
            </w:pPr>
            <w:r w:rsidRPr="001B5E41">
              <w:rPr>
                <w:rFonts w:hint="cs"/>
                <w:sz w:val="26"/>
                <w:szCs w:val="26"/>
                <w:rtl/>
              </w:rPr>
              <w:t xml:space="preserve"> </w:t>
            </w:r>
            <w:r w:rsidRPr="001B5E41">
              <w:rPr>
                <w:b/>
                <w:bCs/>
                <w:sz w:val="26"/>
                <w:szCs w:val="26"/>
                <w:rtl/>
              </w:rPr>
              <w:t>מדינת ישרא</w:t>
            </w:r>
            <w:r w:rsidRPr="001B5E41">
              <w:rPr>
                <w:rFonts w:hint="cs"/>
                <w:b/>
                <w:bCs/>
                <w:sz w:val="26"/>
                <w:szCs w:val="26"/>
                <w:rtl/>
              </w:rPr>
              <w:t xml:space="preserve">ל </w:t>
            </w:r>
            <w:r w:rsidRPr="001B5E41">
              <w:rPr>
                <w:b/>
                <w:bCs/>
                <w:sz w:val="26"/>
                <w:szCs w:val="26"/>
                <w:rtl/>
              </w:rPr>
              <w:br/>
            </w:r>
            <w:r w:rsidRPr="001B5E41">
              <w:rPr>
                <w:rFonts w:hint="cs"/>
                <w:b/>
                <w:bCs/>
                <w:sz w:val="26"/>
                <w:szCs w:val="26"/>
                <w:rtl/>
              </w:rPr>
              <w:t xml:space="preserve">באמצעות פרקליטות מחוז תל אביב יפו (פלילי) </w:t>
            </w:r>
            <w:r w:rsidRPr="001B5E41">
              <w:rPr>
                <w:b/>
                <w:bCs/>
                <w:sz w:val="26"/>
                <w:szCs w:val="26"/>
                <w:rtl/>
              </w:rPr>
              <w:br/>
            </w:r>
            <w:r w:rsidRPr="001B5E41">
              <w:rPr>
                <w:rFonts w:hint="cs"/>
                <w:b/>
                <w:bCs/>
                <w:sz w:val="26"/>
                <w:szCs w:val="26"/>
                <w:rtl/>
              </w:rPr>
              <w:t>ע"י ב"כ עו"ד רונית חסון</w:t>
            </w:r>
          </w:p>
        </w:tc>
      </w:tr>
      <w:bookmarkEnd w:id="2"/>
      <w:tr w:rsidR="009D1E9A" w:rsidRPr="001B5E41" w14:paraId="5C2DDB50" w14:textId="77777777" w:rsidTr="009D1E9A">
        <w:tc>
          <w:tcPr>
            <w:tcW w:w="8802" w:type="dxa"/>
            <w:gridSpan w:val="3"/>
            <w:shd w:val="clear" w:color="auto" w:fill="auto"/>
            <w:vAlign w:val="center"/>
          </w:tcPr>
          <w:p w14:paraId="4F679836" w14:textId="77777777" w:rsidR="009D1E9A" w:rsidRPr="001B5E41" w:rsidRDefault="009D1E9A" w:rsidP="009D1E9A">
            <w:pPr>
              <w:jc w:val="center"/>
              <w:rPr>
                <w:rFonts w:ascii="Arial" w:hAnsi="Arial"/>
                <w:b/>
                <w:bCs/>
                <w:sz w:val="26"/>
                <w:szCs w:val="26"/>
                <w:rtl/>
              </w:rPr>
            </w:pPr>
          </w:p>
          <w:p w14:paraId="54472A6E" w14:textId="77777777" w:rsidR="009D1E9A" w:rsidRPr="001B5E41" w:rsidRDefault="009D1E9A" w:rsidP="009D1E9A">
            <w:pPr>
              <w:jc w:val="center"/>
              <w:rPr>
                <w:rFonts w:ascii="Arial" w:hAnsi="Arial"/>
                <w:b/>
                <w:bCs/>
                <w:sz w:val="26"/>
                <w:szCs w:val="26"/>
                <w:rtl/>
              </w:rPr>
            </w:pPr>
            <w:r w:rsidRPr="001B5E41">
              <w:rPr>
                <w:rFonts w:ascii="Arial" w:hAnsi="Arial" w:hint="cs"/>
                <w:b/>
                <w:bCs/>
                <w:sz w:val="26"/>
                <w:szCs w:val="26"/>
                <w:rtl/>
              </w:rPr>
              <w:t>נגד</w:t>
            </w:r>
          </w:p>
          <w:p w14:paraId="49339D7F" w14:textId="77777777" w:rsidR="009D1E9A" w:rsidRPr="001B5E41" w:rsidRDefault="009D1E9A" w:rsidP="00196BFC">
            <w:pPr>
              <w:rPr>
                <w:rFonts w:ascii="Arial" w:hAnsi="Arial"/>
                <w:b/>
                <w:bCs/>
                <w:sz w:val="26"/>
                <w:szCs w:val="26"/>
                <w:rtl/>
              </w:rPr>
            </w:pPr>
          </w:p>
        </w:tc>
      </w:tr>
      <w:tr w:rsidR="009D1E9A" w:rsidRPr="001B5E41" w14:paraId="3E4BE6AE" w14:textId="77777777" w:rsidTr="009D1E9A">
        <w:tc>
          <w:tcPr>
            <w:tcW w:w="2880" w:type="dxa"/>
            <w:shd w:val="clear" w:color="auto" w:fill="auto"/>
          </w:tcPr>
          <w:p w14:paraId="66438585" w14:textId="77777777" w:rsidR="009D1E9A" w:rsidRPr="001B5E41" w:rsidRDefault="009D1E9A" w:rsidP="009D1E9A">
            <w:pPr>
              <w:ind w:left="26"/>
              <w:rPr>
                <w:b/>
                <w:bCs/>
                <w:sz w:val="26"/>
                <w:szCs w:val="26"/>
              </w:rPr>
            </w:pPr>
            <w:r w:rsidRPr="001B5E41">
              <w:rPr>
                <w:rFonts w:hint="cs"/>
                <w:b/>
                <w:bCs/>
                <w:sz w:val="26"/>
                <w:szCs w:val="26"/>
                <w:rtl/>
              </w:rPr>
              <w:t>ה</w:t>
            </w:r>
            <w:r w:rsidRPr="001B5E41">
              <w:rPr>
                <w:b/>
                <w:bCs/>
                <w:sz w:val="26"/>
                <w:szCs w:val="26"/>
                <w:rtl/>
              </w:rPr>
              <w:t>נאשם</w:t>
            </w:r>
          </w:p>
        </w:tc>
        <w:tc>
          <w:tcPr>
            <w:tcW w:w="5922" w:type="dxa"/>
            <w:gridSpan w:val="2"/>
            <w:shd w:val="clear" w:color="auto" w:fill="auto"/>
          </w:tcPr>
          <w:p w14:paraId="47662A04" w14:textId="77777777" w:rsidR="009D1E9A" w:rsidRPr="001B5E41" w:rsidRDefault="009D1E9A" w:rsidP="00196BFC">
            <w:pPr>
              <w:rPr>
                <w:b/>
                <w:bCs/>
                <w:sz w:val="26"/>
                <w:szCs w:val="26"/>
                <w:rtl/>
              </w:rPr>
            </w:pPr>
            <w:r w:rsidRPr="001B5E41">
              <w:rPr>
                <w:rFonts w:hint="cs"/>
                <w:sz w:val="26"/>
                <w:szCs w:val="26"/>
                <w:rtl/>
              </w:rPr>
              <w:t xml:space="preserve"> </w:t>
            </w:r>
            <w:r w:rsidRPr="001B5E41">
              <w:rPr>
                <w:b/>
                <w:bCs/>
                <w:sz w:val="26"/>
                <w:szCs w:val="26"/>
                <w:rtl/>
              </w:rPr>
              <w:t>מושיקו ניב-לס (עציר)</w:t>
            </w:r>
            <w:r w:rsidRPr="001B5E41">
              <w:rPr>
                <w:rFonts w:hint="cs"/>
                <w:sz w:val="26"/>
                <w:szCs w:val="26"/>
                <w:rtl/>
              </w:rPr>
              <w:t xml:space="preserve"> </w:t>
            </w:r>
            <w:r w:rsidRPr="001B5E41">
              <w:rPr>
                <w:b/>
                <w:bCs/>
                <w:sz w:val="26"/>
                <w:szCs w:val="26"/>
                <w:rtl/>
              </w:rPr>
              <w:t>ת"ז</w:t>
            </w:r>
            <w:r w:rsidRPr="001B5E41">
              <w:rPr>
                <w:rFonts w:hint="cs"/>
                <w:b/>
                <w:bCs/>
                <w:sz w:val="26"/>
                <w:szCs w:val="26"/>
                <w:rtl/>
              </w:rPr>
              <w:t xml:space="preserve">  </w:t>
            </w:r>
            <w:r w:rsidR="001B5E41">
              <w:rPr>
                <w:b/>
                <w:bCs/>
                <w:sz w:val="26"/>
                <w:szCs w:val="26"/>
              </w:rPr>
              <w:t>xxxxxxxxxx</w:t>
            </w:r>
          </w:p>
          <w:p w14:paraId="3566A81B" w14:textId="77777777" w:rsidR="009D1E9A" w:rsidRPr="001B5E41" w:rsidRDefault="009D1E9A" w:rsidP="00196BFC">
            <w:pPr>
              <w:rPr>
                <w:b/>
                <w:bCs/>
                <w:sz w:val="26"/>
                <w:szCs w:val="26"/>
                <w:rtl/>
              </w:rPr>
            </w:pPr>
            <w:r w:rsidRPr="001B5E41">
              <w:rPr>
                <w:rFonts w:hint="cs"/>
                <w:b/>
                <w:bCs/>
                <w:sz w:val="26"/>
                <w:szCs w:val="26"/>
                <w:rtl/>
              </w:rPr>
              <w:t xml:space="preserve">ע"י ב"כ עו"ד שי רודה </w:t>
            </w:r>
          </w:p>
        </w:tc>
      </w:tr>
      <w:bookmarkEnd w:id="0"/>
      <w:bookmarkEnd w:id="1"/>
    </w:tbl>
    <w:p w14:paraId="00DD7702" w14:textId="77777777" w:rsidR="00BA7794" w:rsidRPr="00BA7794" w:rsidRDefault="00BA7794" w:rsidP="00BA7794">
      <w:pPr>
        <w:spacing w:before="120" w:after="120" w:line="240" w:lineRule="exact"/>
        <w:ind w:left="283" w:hanging="283"/>
        <w:jc w:val="both"/>
        <w:rPr>
          <w:rFonts w:ascii="FrankRuehl" w:hAnsi="FrankRuehl" w:cs="FrankRuehl"/>
          <w:rtl/>
        </w:rPr>
      </w:pPr>
    </w:p>
    <w:p w14:paraId="4B2B3A61" w14:textId="77777777" w:rsidR="005D20CE" w:rsidRDefault="005D20CE" w:rsidP="005D20CE">
      <w:pPr>
        <w:jc w:val="center"/>
        <w:rPr>
          <w:rFonts w:ascii="Arial" w:hAnsi="Arial"/>
          <w:sz w:val="28"/>
          <w:szCs w:val="28"/>
          <w:rtl/>
        </w:rPr>
      </w:pPr>
      <w:bookmarkStart w:id="3" w:name="LawTable"/>
      <w:bookmarkEnd w:id="3"/>
    </w:p>
    <w:p w14:paraId="546B6CFC" w14:textId="77777777" w:rsidR="005D20CE" w:rsidRPr="005D20CE" w:rsidRDefault="005D20CE" w:rsidP="005D20CE">
      <w:pPr>
        <w:spacing w:before="120" w:after="120" w:line="240" w:lineRule="exact"/>
        <w:ind w:left="283" w:hanging="283"/>
        <w:jc w:val="both"/>
        <w:rPr>
          <w:rFonts w:ascii="FrankRuehl" w:hAnsi="FrankRuehl" w:cs="FrankRuehl"/>
          <w:rtl/>
        </w:rPr>
      </w:pPr>
    </w:p>
    <w:p w14:paraId="3840EB5F" w14:textId="77777777" w:rsidR="005D20CE" w:rsidRPr="005D20CE" w:rsidRDefault="005D20CE" w:rsidP="005D20CE">
      <w:pPr>
        <w:spacing w:before="120" w:after="120" w:line="240" w:lineRule="exact"/>
        <w:ind w:left="283" w:hanging="283"/>
        <w:jc w:val="both"/>
        <w:rPr>
          <w:rFonts w:ascii="FrankRuehl" w:hAnsi="FrankRuehl" w:cs="FrankRuehl"/>
          <w:rtl/>
        </w:rPr>
      </w:pPr>
    </w:p>
    <w:p w14:paraId="2D925D9A" w14:textId="77777777" w:rsidR="005D20CE" w:rsidRPr="005D20CE" w:rsidRDefault="005D20CE" w:rsidP="005D20CE">
      <w:pPr>
        <w:spacing w:before="120" w:after="120" w:line="240" w:lineRule="exact"/>
        <w:ind w:left="283" w:hanging="283"/>
        <w:jc w:val="both"/>
        <w:rPr>
          <w:rFonts w:ascii="FrankRuehl" w:hAnsi="FrankRuehl" w:cs="FrankRuehl"/>
          <w:rtl/>
        </w:rPr>
      </w:pPr>
      <w:r w:rsidRPr="005D20CE">
        <w:rPr>
          <w:rFonts w:ascii="FrankRuehl" w:hAnsi="FrankRuehl" w:cs="FrankRuehl"/>
          <w:rtl/>
        </w:rPr>
        <w:t xml:space="preserve">חקיקה שאוזכרה: </w:t>
      </w:r>
    </w:p>
    <w:p w14:paraId="631D985D" w14:textId="77777777" w:rsidR="005D20CE" w:rsidRPr="005D20CE" w:rsidRDefault="005D20CE" w:rsidP="005D20CE">
      <w:pPr>
        <w:spacing w:before="120" w:after="120" w:line="240" w:lineRule="exact"/>
        <w:ind w:left="283" w:hanging="283"/>
        <w:jc w:val="both"/>
        <w:rPr>
          <w:rFonts w:ascii="FrankRuehl" w:hAnsi="FrankRuehl" w:cs="FrankRuehl"/>
          <w:rtl/>
        </w:rPr>
      </w:pPr>
      <w:hyperlink r:id="rId7" w:history="1">
        <w:r w:rsidRPr="005D20CE">
          <w:rPr>
            <w:rFonts w:ascii="FrankRuehl" w:hAnsi="FrankRuehl" w:cs="FrankRuehl"/>
            <w:color w:val="0000FF"/>
            <w:rtl/>
          </w:rPr>
          <w:t>פקודת הסמים המסוכנים [נוסח חדש], תשל"ג-1973</w:t>
        </w:r>
      </w:hyperlink>
      <w:r w:rsidRPr="005D20CE">
        <w:rPr>
          <w:rFonts w:ascii="FrankRuehl" w:hAnsi="FrankRuehl" w:cs="FrankRuehl"/>
          <w:rtl/>
        </w:rPr>
        <w:t xml:space="preserve">: סע'  </w:t>
      </w:r>
      <w:hyperlink r:id="rId8" w:history="1">
        <w:r w:rsidRPr="005D20CE">
          <w:rPr>
            <w:rFonts w:ascii="FrankRuehl" w:hAnsi="FrankRuehl" w:cs="FrankRuehl"/>
            <w:color w:val="0000FF"/>
            <w:rtl/>
          </w:rPr>
          <w:t>7.א.</w:t>
        </w:r>
      </w:hyperlink>
      <w:r w:rsidRPr="005D20CE">
        <w:rPr>
          <w:rFonts w:ascii="FrankRuehl" w:hAnsi="FrankRuehl" w:cs="FrankRuehl"/>
          <w:rtl/>
        </w:rPr>
        <w:t xml:space="preserve">, </w:t>
      </w:r>
      <w:hyperlink r:id="rId9" w:history="1">
        <w:r w:rsidRPr="005D20CE">
          <w:rPr>
            <w:rFonts w:ascii="FrankRuehl" w:hAnsi="FrankRuehl" w:cs="FrankRuehl"/>
            <w:color w:val="0000FF"/>
            <w:rtl/>
          </w:rPr>
          <w:t>7.ג</w:t>
        </w:r>
      </w:hyperlink>
      <w:r w:rsidRPr="005D20CE">
        <w:rPr>
          <w:rFonts w:ascii="FrankRuehl" w:hAnsi="FrankRuehl" w:cs="FrankRuehl"/>
          <w:rtl/>
        </w:rPr>
        <w:t xml:space="preserve">, </w:t>
      </w:r>
      <w:hyperlink r:id="rId10" w:history="1">
        <w:r w:rsidRPr="005D20CE">
          <w:rPr>
            <w:rFonts w:ascii="FrankRuehl" w:hAnsi="FrankRuehl" w:cs="FrankRuehl"/>
            <w:color w:val="0000FF"/>
            <w:rtl/>
          </w:rPr>
          <w:t>31(6)</w:t>
        </w:r>
      </w:hyperlink>
      <w:r w:rsidRPr="005D20CE">
        <w:rPr>
          <w:rFonts w:ascii="FrankRuehl" w:hAnsi="FrankRuehl" w:cs="FrankRuehl"/>
          <w:rtl/>
        </w:rPr>
        <w:t xml:space="preserve">, </w:t>
      </w:r>
      <w:hyperlink r:id="rId11" w:history="1">
        <w:r w:rsidRPr="005D20CE">
          <w:rPr>
            <w:rFonts w:ascii="FrankRuehl" w:hAnsi="FrankRuehl" w:cs="FrankRuehl"/>
            <w:color w:val="0000FF"/>
            <w:rtl/>
          </w:rPr>
          <w:t>36א(א)</w:t>
        </w:r>
      </w:hyperlink>
      <w:r w:rsidRPr="005D20CE">
        <w:rPr>
          <w:rFonts w:ascii="FrankRuehl" w:hAnsi="FrankRuehl" w:cs="FrankRuehl"/>
          <w:rtl/>
        </w:rPr>
        <w:t xml:space="preserve">, </w:t>
      </w:r>
      <w:hyperlink r:id="rId12" w:history="1">
        <w:r w:rsidRPr="005D20CE">
          <w:rPr>
            <w:rFonts w:ascii="FrankRuehl" w:hAnsi="FrankRuehl" w:cs="FrankRuehl"/>
            <w:color w:val="0000FF"/>
            <w:rtl/>
          </w:rPr>
          <w:t>36 א(ב)</w:t>
        </w:r>
      </w:hyperlink>
    </w:p>
    <w:p w14:paraId="016B0334" w14:textId="77777777" w:rsidR="005D20CE" w:rsidRPr="005D20CE" w:rsidRDefault="005D20CE" w:rsidP="005D20CE">
      <w:pPr>
        <w:spacing w:before="120" w:after="120" w:line="240" w:lineRule="exact"/>
        <w:ind w:left="283" w:hanging="283"/>
        <w:jc w:val="both"/>
        <w:rPr>
          <w:rFonts w:ascii="FrankRuehl" w:hAnsi="FrankRuehl" w:cs="FrankRuehl"/>
          <w:rtl/>
        </w:rPr>
      </w:pPr>
      <w:hyperlink r:id="rId13" w:history="1">
        <w:r w:rsidRPr="005D20CE">
          <w:rPr>
            <w:rFonts w:ascii="FrankRuehl" w:hAnsi="FrankRuehl" w:cs="FrankRuehl"/>
            <w:color w:val="0000FF"/>
            <w:rtl/>
          </w:rPr>
          <w:t>פקודת סדר הדין הפלילי (מעצר וחיפוש) [נוסח חדש], תשכ"ט-1969</w:t>
        </w:r>
      </w:hyperlink>
      <w:r w:rsidRPr="005D20CE">
        <w:rPr>
          <w:rFonts w:ascii="FrankRuehl" w:hAnsi="FrankRuehl" w:cs="FrankRuehl"/>
          <w:rtl/>
        </w:rPr>
        <w:t xml:space="preserve">: סע'  </w:t>
      </w:r>
      <w:hyperlink r:id="rId14" w:history="1">
        <w:r w:rsidRPr="005D20CE">
          <w:rPr>
            <w:rFonts w:ascii="FrankRuehl" w:hAnsi="FrankRuehl" w:cs="FrankRuehl"/>
            <w:color w:val="0000FF"/>
            <w:rtl/>
          </w:rPr>
          <w:t>32</w:t>
        </w:r>
      </w:hyperlink>
      <w:r w:rsidRPr="005D20CE">
        <w:rPr>
          <w:rFonts w:ascii="FrankRuehl" w:hAnsi="FrankRuehl" w:cs="FrankRuehl"/>
          <w:rtl/>
        </w:rPr>
        <w:t xml:space="preserve">, </w:t>
      </w:r>
      <w:hyperlink r:id="rId15" w:history="1">
        <w:r w:rsidRPr="005D20CE">
          <w:rPr>
            <w:rFonts w:ascii="FrankRuehl" w:hAnsi="FrankRuehl" w:cs="FrankRuehl"/>
            <w:color w:val="0000FF"/>
            <w:rtl/>
          </w:rPr>
          <w:t>39</w:t>
        </w:r>
      </w:hyperlink>
    </w:p>
    <w:p w14:paraId="01668616" w14:textId="77777777" w:rsidR="005D20CE" w:rsidRPr="005D20CE" w:rsidRDefault="005D20CE" w:rsidP="005D20CE">
      <w:pPr>
        <w:jc w:val="center"/>
        <w:rPr>
          <w:rFonts w:ascii="Arial" w:hAnsi="Arial"/>
          <w:sz w:val="28"/>
          <w:szCs w:val="28"/>
          <w:rtl/>
        </w:rPr>
      </w:pPr>
      <w:bookmarkStart w:id="4" w:name="LawTable_End"/>
      <w:bookmarkEnd w:id="4"/>
    </w:p>
    <w:p w14:paraId="5532A334" w14:textId="77777777" w:rsidR="008259BF" w:rsidRPr="00BA7794" w:rsidRDefault="008259BF" w:rsidP="00BA7794">
      <w:pPr>
        <w:jc w:val="center"/>
        <w:rPr>
          <w:rFonts w:ascii="Arial" w:hAnsi="Arial"/>
          <w:sz w:val="28"/>
          <w:szCs w:val="28"/>
          <w:rtl/>
        </w:rPr>
      </w:pPr>
    </w:p>
    <w:p w14:paraId="12ABE37C" w14:textId="77777777" w:rsidR="008259BF" w:rsidRPr="001B5E41" w:rsidRDefault="008259BF" w:rsidP="001B5E41">
      <w:pPr>
        <w:jc w:val="center"/>
        <w:rPr>
          <w:rFonts w:ascii="Arial" w:hAnsi="Arial"/>
          <w:b/>
          <w:bCs/>
          <w:sz w:val="28"/>
          <w:szCs w:val="28"/>
          <w:u w:val="single"/>
          <w:rtl/>
        </w:rPr>
      </w:pPr>
      <w:bookmarkStart w:id="5" w:name="PsakDin"/>
      <w:r w:rsidRPr="001B5E41">
        <w:rPr>
          <w:rFonts w:ascii="Arial" w:hAnsi="Arial"/>
          <w:b/>
          <w:bCs/>
          <w:sz w:val="28"/>
          <w:szCs w:val="28"/>
          <w:u w:val="single"/>
          <w:rtl/>
        </w:rPr>
        <w:t>גזר דין</w:t>
      </w:r>
    </w:p>
    <w:bookmarkEnd w:id="5"/>
    <w:p w14:paraId="6742D241" w14:textId="77777777" w:rsidR="008259BF" w:rsidRPr="009D1E9A" w:rsidRDefault="008259BF" w:rsidP="009D1E9A">
      <w:pPr>
        <w:jc w:val="center"/>
        <w:rPr>
          <w:rFonts w:ascii="Arial" w:hAnsi="Arial"/>
          <w:b/>
          <w:bCs/>
          <w:sz w:val="28"/>
          <w:szCs w:val="28"/>
          <w:u w:val="single"/>
          <w:rtl/>
        </w:rPr>
      </w:pPr>
    </w:p>
    <w:p w14:paraId="0988E906" w14:textId="77777777" w:rsidR="008259BF" w:rsidRPr="009D1E9A" w:rsidRDefault="008259BF" w:rsidP="009D1E9A">
      <w:pPr>
        <w:jc w:val="center"/>
        <w:rPr>
          <w:rFonts w:ascii="Arial" w:hAnsi="Arial"/>
          <w:b/>
          <w:bCs/>
          <w:sz w:val="28"/>
          <w:szCs w:val="28"/>
          <w:u w:val="single"/>
          <w:rtl/>
        </w:rPr>
      </w:pPr>
    </w:p>
    <w:p w14:paraId="646043C0" w14:textId="77777777" w:rsidR="008259BF" w:rsidRPr="009D1E9A" w:rsidRDefault="008259BF" w:rsidP="00196BFC">
      <w:pPr>
        <w:rPr>
          <w:rFonts w:ascii="Arial" w:hAnsi="Arial"/>
          <w:b/>
          <w:bCs/>
          <w:rtl/>
        </w:rPr>
      </w:pPr>
      <w:r w:rsidRPr="009D1E9A">
        <w:rPr>
          <w:rFonts w:ascii="Arial" w:hAnsi="Arial" w:hint="cs"/>
          <w:b/>
          <w:bCs/>
          <w:rtl/>
        </w:rPr>
        <w:t>מוצא בזאת צו האוסר פרסום כל פרט מחוות הדעת הפסיכיאטרית ומתסקיר שירות המבחן.</w:t>
      </w:r>
    </w:p>
    <w:p w14:paraId="5C13FBE8" w14:textId="77777777" w:rsidR="008259BF" w:rsidRPr="009D1E9A" w:rsidRDefault="008259BF" w:rsidP="00196BFC">
      <w:pPr>
        <w:rPr>
          <w:rFonts w:ascii="Arial" w:hAnsi="Arial"/>
          <w:b/>
          <w:bCs/>
          <w:rtl/>
        </w:rPr>
      </w:pPr>
    </w:p>
    <w:p w14:paraId="05B3E759" w14:textId="77777777" w:rsidR="008259BF" w:rsidRPr="009D1E9A" w:rsidRDefault="008259BF" w:rsidP="00196BFC">
      <w:pPr>
        <w:rPr>
          <w:rFonts w:ascii="Arial" w:hAnsi="Arial"/>
          <w:b/>
          <w:bCs/>
          <w:rtl/>
        </w:rPr>
      </w:pPr>
    </w:p>
    <w:p w14:paraId="61BF02AB" w14:textId="77777777" w:rsidR="008259BF" w:rsidRPr="009D1E9A" w:rsidRDefault="008259BF" w:rsidP="00196BFC">
      <w:pPr>
        <w:rPr>
          <w:rFonts w:ascii="Arial" w:hAnsi="Arial"/>
          <w:b/>
          <w:bCs/>
          <w:rtl/>
        </w:rPr>
      </w:pPr>
      <w:r w:rsidRPr="009D1E9A">
        <w:rPr>
          <w:rFonts w:ascii="Arial" w:hAnsi="Arial" w:hint="cs"/>
          <w:b/>
          <w:bCs/>
          <w:rtl/>
        </w:rPr>
        <w:t>א</w:t>
      </w:r>
      <w:bookmarkStart w:id="6" w:name="ABSTRACT_START"/>
      <w:bookmarkEnd w:id="6"/>
      <w:r w:rsidRPr="009D1E9A">
        <w:rPr>
          <w:rFonts w:ascii="Arial" w:hAnsi="Arial" w:hint="cs"/>
          <w:b/>
          <w:bCs/>
          <w:rtl/>
        </w:rPr>
        <w:t xml:space="preserve">.        הנאשם הודה במסגרת הסדר טיעון בעובדות כתב האישום המתוקן ולהלן פרטיו: </w:t>
      </w:r>
    </w:p>
    <w:p w14:paraId="77D642F1" w14:textId="77777777" w:rsidR="008259BF" w:rsidRPr="009D1E9A" w:rsidRDefault="008259BF" w:rsidP="009D1E9A">
      <w:pPr>
        <w:tabs>
          <w:tab w:val="left" w:pos="635"/>
        </w:tabs>
        <w:jc w:val="center"/>
        <w:rPr>
          <w:rFonts w:ascii="Arial" w:hAnsi="Arial"/>
          <w:b/>
          <w:bCs/>
          <w:sz w:val="28"/>
          <w:szCs w:val="28"/>
          <w:u w:val="single"/>
          <w:rtl/>
        </w:rPr>
      </w:pPr>
    </w:p>
    <w:p w14:paraId="71D31C2C" w14:textId="77777777" w:rsidR="009D1E9A" w:rsidRDefault="009D1E9A" w:rsidP="009D1E9A">
      <w:pPr>
        <w:rPr>
          <w:b/>
          <w:bCs/>
          <w:sz w:val="6"/>
          <w:szCs w:val="6"/>
          <w:rtl/>
        </w:rPr>
      </w:pPr>
    </w:p>
    <w:p w14:paraId="4AECB14E" w14:textId="77777777" w:rsidR="009D1E9A" w:rsidRDefault="009D1E9A" w:rsidP="009D1E9A">
      <w:pPr>
        <w:pStyle w:val="Normal2"/>
        <w:widowControl w:val="0"/>
        <w:numPr>
          <w:ilvl w:val="0"/>
          <w:numId w:val="1"/>
        </w:numPr>
        <w:tabs>
          <w:tab w:val="left" w:pos="2160"/>
          <w:tab w:val="center" w:pos="6420"/>
        </w:tabs>
        <w:spacing w:before="0" w:after="120" w:line="360" w:lineRule="auto"/>
        <w:rPr>
          <w:rFonts w:ascii="Tahoma" w:hAnsi="Tahoma"/>
          <w:sz w:val="24"/>
        </w:rPr>
      </w:pPr>
      <w:r>
        <w:rPr>
          <w:rFonts w:ascii="Tahoma" w:hAnsi="Tahoma"/>
          <w:sz w:val="24"/>
          <w:rtl/>
        </w:rPr>
        <w:t>ביום 07.06.23 בשעה 12:30 לערך, החזיק הנאשם במקומות שונים בדירה, ברחוב ריינס 24 ב' בתל- אביב (להלן: "</w:t>
      </w:r>
      <w:r>
        <w:rPr>
          <w:rFonts w:ascii="Tahoma" w:hAnsi="Tahoma"/>
          <w:b/>
          <w:bCs/>
          <w:sz w:val="24"/>
          <w:rtl/>
        </w:rPr>
        <w:t>הבית</w:t>
      </w:r>
      <w:r>
        <w:rPr>
          <w:rFonts w:ascii="Tahoma" w:hAnsi="Tahoma"/>
          <w:sz w:val="24"/>
          <w:rtl/>
        </w:rPr>
        <w:t>"), סמים מסוכנים, שלא לצריכתו העצמית, וללא היתר כדין או רישיון מאת המנהל</w:t>
      </w:r>
      <w:bookmarkStart w:id="7" w:name="ABSTRACT_END"/>
      <w:bookmarkEnd w:id="7"/>
      <w:r>
        <w:rPr>
          <w:rFonts w:ascii="Tahoma" w:hAnsi="Tahoma"/>
          <w:sz w:val="24"/>
          <w:rtl/>
        </w:rPr>
        <w:t>, כדלקמן:</w:t>
      </w:r>
    </w:p>
    <w:p w14:paraId="755AD7C5"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Tahoma" w:hAnsi="Tahoma"/>
          <w:sz w:val="24"/>
          <w:rtl/>
        </w:rPr>
        <w:t>שקית המכילה 84.60 גרם נטו של סם מסוכן מסוג קוקאין.</w:t>
      </w:r>
    </w:p>
    <w:p w14:paraId="3914A9FC"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Tahoma" w:hAnsi="Tahoma"/>
          <w:sz w:val="24"/>
          <w:rtl/>
        </w:rPr>
        <w:t xml:space="preserve">15 בקבוקונים מזכוכית המכילים נפח של 742.50 מ"ל של סם מסוכן </w:t>
      </w:r>
      <w:r>
        <w:rPr>
          <w:rFonts w:ascii="David" w:hAnsi="David"/>
          <w:sz w:val="24"/>
          <w:rtl/>
        </w:rPr>
        <w:t xml:space="preserve">מסוג </w:t>
      </w:r>
      <w:r>
        <w:rPr>
          <w:rFonts w:ascii="David" w:hAnsi="David"/>
          <w:sz w:val="24"/>
        </w:rPr>
        <w:t>GBL</w:t>
      </w:r>
      <w:r>
        <w:rPr>
          <w:rFonts w:ascii="David" w:hAnsi="David"/>
          <w:sz w:val="24"/>
          <w:rtl/>
        </w:rPr>
        <w:t>.</w:t>
      </w:r>
    </w:p>
    <w:p w14:paraId="68CA077B"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lastRenderedPageBreak/>
        <w:t xml:space="preserve">בקבוקון עשוי זכוכית המכיל 90 מ"ל סם מסוכן מסוג </w:t>
      </w:r>
      <w:r>
        <w:rPr>
          <w:rFonts w:ascii="David" w:hAnsi="David"/>
          <w:sz w:val="24"/>
        </w:rPr>
        <w:t>GBL</w:t>
      </w:r>
      <w:r>
        <w:rPr>
          <w:rFonts w:ascii="David" w:hAnsi="David"/>
          <w:sz w:val="24"/>
          <w:rtl/>
        </w:rPr>
        <w:t>.</w:t>
      </w:r>
    </w:p>
    <w:p w14:paraId="298DD8D8"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t xml:space="preserve">שקית המכילה 0.9761 גרם נטו של סמים מסוכנים מסוג: </w:t>
      </w:r>
    </w:p>
    <w:p w14:paraId="41C4A42B" w14:textId="77777777" w:rsidR="009D1E9A" w:rsidRDefault="009D1E9A" w:rsidP="009D1E9A">
      <w:pPr>
        <w:pStyle w:val="Normal2"/>
        <w:widowControl w:val="0"/>
        <w:tabs>
          <w:tab w:val="center" w:pos="6420"/>
        </w:tabs>
        <w:spacing w:before="0" w:after="120" w:line="360" w:lineRule="auto"/>
        <w:ind w:left="3237"/>
        <w:rPr>
          <w:rFonts w:ascii="David" w:hAnsi="David"/>
          <w:sz w:val="24"/>
          <w:rtl/>
        </w:rPr>
      </w:pPr>
      <w:r>
        <w:rPr>
          <w:rFonts w:ascii="David" w:hAnsi="David"/>
          <w:sz w:val="24"/>
        </w:rPr>
        <w:t>,m-METHYLMETHCATHINONE</w:t>
      </w:r>
      <w:r>
        <w:rPr>
          <w:rFonts w:ascii="David" w:hAnsi="David"/>
          <w:sz w:val="24"/>
          <w:rtl/>
        </w:rPr>
        <w:t>ו</w:t>
      </w:r>
      <w:r>
        <w:rPr>
          <w:rFonts w:ascii="David" w:hAnsi="David"/>
          <w:sz w:val="24"/>
        </w:rPr>
        <w:t>P-METHYLMETHCATHINONE-MMC-m</w:t>
      </w:r>
      <w:r>
        <w:rPr>
          <w:rFonts w:ascii="David" w:hAnsi="David"/>
          <w:sz w:val="24"/>
          <w:rtl/>
        </w:rPr>
        <w:t>;</w:t>
      </w:r>
      <w:r>
        <w:rPr>
          <w:rFonts w:ascii="David" w:hAnsi="David" w:hint="cs"/>
          <w:sz w:val="24"/>
          <w:rtl/>
        </w:rPr>
        <w:t xml:space="preserve"> </w:t>
      </w:r>
    </w:p>
    <w:p w14:paraId="2FDAED53"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t xml:space="preserve">שתי שקיות המכילות 2.727 גרם נטו של סם מסוכן מסוג קטמין, שקית המכילה 3.7131 גרם נטו סם מסוכן מסוג </w:t>
      </w:r>
      <w:r>
        <w:rPr>
          <w:rFonts w:ascii="David" w:hAnsi="David"/>
          <w:sz w:val="24"/>
        </w:rPr>
        <w:t xml:space="preserve">P- METHYLMETHCATHIONONE </w:t>
      </w:r>
      <w:r>
        <w:rPr>
          <w:rFonts w:ascii="David" w:hAnsi="David"/>
          <w:sz w:val="24"/>
          <w:rtl/>
        </w:rPr>
        <w:t xml:space="preserve">; </w:t>
      </w:r>
    </w:p>
    <w:p w14:paraId="7CCF4B9C"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 xml:space="preserve">13 שקיות המכילות 12.9194 גרם נטו של סם מסוכן מסוג </w:t>
      </w:r>
      <w:r>
        <w:rPr>
          <w:rFonts w:ascii="David" w:hAnsi="David"/>
          <w:sz w:val="24"/>
        </w:rPr>
        <w:t>METHAMPHETAMIN</w:t>
      </w:r>
      <w:r>
        <w:rPr>
          <w:rFonts w:ascii="David" w:hAnsi="David"/>
          <w:sz w:val="24"/>
          <w:rtl/>
        </w:rPr>
        <w:t>;</w:t>
      </w:r>
    </w:p>
    <w:p w14:paraId="3794A44C"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3 בקבוקונים מזכוכית המכילים נפח של 75 מ"ל של סם מסוכן מסוג קטמין;</w:t>
      </w:r>
    </w:p>
    <w:p w14:paraId="5C6FBE91"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 xml:space="preserve">4 יחידות של סם מסוכן מסוג </w:t>
      </w:r>
      <w:r>
        <w:rPr>
          <w:rFonts w:ascii="David" w:hAnsi="David"/>
          <w:sz w:val="24"/>
        </w:rPr>
        <w:t>METHAMPHETAMINE</w:t>
      </w:r>
      <w:r>
        <w:rPr>
          <w:rFonts w:ascii="David" w:hAnsi="David"/>
          <w:sz w:val="24"/>
          <w:rtl/>
        </w:rPr>
        <w:t>;</w:t>
      </w:r>
    </w:p>
    <w:p w14:paraId="45EE9B0A"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שקית המכילה 0.5411 גרם נטו של סמים מסוכנים מסוג קטמין וקוקאין;</w:t>
      </w:r>
    </w:p>
    <w:p w14:paraId="6DBEAAB8"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שקית המכילה 1.9524 גרם נטו של סם מסוכן מסוג קטמין;</w:t>
      </w:r>
    </w:p>
    <w:p w14:paraId="46A837C0"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 xml:space="preserve">שקיות המכילות 2.9894 גרם נטו של סם מסוכן מסוג </w:t>
      </w:r>
      <w:r>
        <w:rPr>
          <w:rFonts w:ascii="David" w:hAnsi="David"/>
          <w:sz w:val="24"/>
        </w:rPr>
        <w:t>MDMA</w:t>
      </w:r>
      <w:r>
        <w:rPr>
          <w:rFonts w:ascii="David" w:hAnsi="David"/>
          <w:sz w:val="24"/>
          <w:rtl/>
        </w:rPr>
        <w:t>, 3.6609 גרם נטו של סם מסוכן מסוג קוקאין ו-0.9710 גרם נטו של סם מסוכן מסוג קטמין;</w:t>
      </w:r>
    </w:p>
    <w:p w14:paraId="3E6F9199"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tl/>
        </w:rPr>
      </w:pPr>
      <w:r>
        <w:rPr>
          <w:rFonts w:ascii="David" w:hAnsi="David"/>
          <w:sz w:val="24"/>
          <w:rtl/>
        </w:rPr>
        <w:t xml:space="preserve">שקית המכילה 5.72 גרם נטו של סם מסוכן מסוג </w:t>
      </w:r>
      <w:r>
        <w:rPr>
          <w:rFonts w:ascii="David" w:hAnsi="David"/>
          <w:sz w:val="24"/>
        </w:rPr>
        <w:t>m-Chloromethcathinone</w:t>
      </w:r>
      <w:r>
        <w:rPr>
          <w:rFonts w:ascii="David" w:hAnsi="David"/>
          <w:sz w:val="24"/>
          <w:rtl/>
        </w:rPr>
        <w:t xml:space="preserve">, בקבוקון המכיל נפח של 24 מ"ל של סם מסוכן מסוג </w:t>
      </w:r>
      <w:r>
        <w:rPr>
          <w:rFonts w:ascii="David" w:hAnsi="David"/>
          <w:sz w:val="24"/>
        </w:rPr>
        <w:t>GBL</w:t>
      </w:r>
      <w:r>
        <w:rPr>
          <w:rFonts w:ascii="David" w:hAnsi="David"/>
          <w:sz w:val="24"/>
          <w:rtl/>
        </w:rPr>
        <w:t xml:space="preserve">, שקיות המכילות 92.01 גרם נטו של סם מסוכן מסוג קוקאין, ו-5.4016 גרם נטו של סם מסוכן מסוג </w:t>
      </w:r>
      <w:r>
        <w:rPr>
          <w:rFonts w:ascii="David" w:hAnsi="David"/>
          <w:sz w:val="24"/>
        </w:rPr>
        <w:t>MDMA</w:t>
      </w:r>
      <w:r>
        <w:rPr>
          <w:rFonts w:ascii="David" w:hAnsi="David" w:hint="cs"/>
          <w:sz w:val="24"/>
          <w:rtl/>
        </w:rPr>
        <w:t>;</w:t>
      </w:r>
    </w:p>
    <w:p w14:paraId="5931740C"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t xml:space="preserve">3 שקיות המכילות 2.8818 גרם נטו של סם מסוכן מסוג קטמין, 5 טבליות המכילות סם מסוכן מסוג </w:t>
      </w:r>
      <w:r>
        <w:rPr>
          <w:rFonts w:ascii="David" w:hAnsi="David"/>
          <w:sz w:val="24"/>
        </w:rPr>
        <w:t>MDMA</w:t>
      </w:r>
      <w:r>
        <w:rPr>
          <w:rFonts w:ascii="David" w:hAnsi="David" w:hint="cs"/>
          <w:sz w:val="24"/>
          <w:rtl/>
        </w:rPr>
        <w:t>;</w:t>
      </w:r>
    </w:p>
    <w:p w14:paraId="593DC58D"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t xml:space="preserve">33 שקיות המכילות 33.2343 גרם של סם מסוכן מסוג </w:t>
      </w:r>
      <w:r>
        <w:rPr>
          <w:rFonts w:ascii="David" w:hAnsi="David"/>
          <w:sz w:val="24"/>
        </w:rPr>
        <w:t>P-METHYLMETHCATHINONE</w:t>
      </w:r>
      <w:r>
        <w:rPr>
          <w:rFonts w:ascii="David" w:hAnsi="David" w:hint="cs"/>
          <w:sz w:val="24"/>
          <w:rtl/>
        </w:rPr>
        <w:t>;</w:t>
      </w:r>
    </w:p>
    <w:p w14:paraId="31D0A038"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tl/>
        </w:rPr>
        <w:t xml:space="preserve">25 טבליות המכילות סם מסוכן מסוג </w:t>
      </w:r>
      <w:r>
        <w:rPr>
          <w:rFonts w:ascii="David" w:hAnsi="David"/>
          <w:sz w:val="24"/>
        </w:rPr>
        <w:t>MDMA</w:t>
      </w:r>
      <w:r>
        <w:rPr>
          <w:rFonts w:ascii="David" w:hAnsi="David"/>
          <w:sz w:val="24"/>
          <w:rtl/>
        </w:rPr>
        <w:t xml:space="preserve">, שקית המכילה 0.9964 גרם נטו של סם מסוכן מסוג </w:t>
      </w:r>
      <w:r>
        <w:rPr>
          <w:rFonts w:ascii="David" w:hAnsi="David"/>
          <w:sz w:val="24"/>
        </w:rPr>
        <w:t xml:space="preserve">MDMA </w:t>
      </w:r>
      <w:r>
        <w:rPr>
          <w:rFonts w:ascii="David" w:hAnsi="David"/>
          <w:sz w:val="24"/>
          <w:rtl/>
        </w:rPr>
        <w:t>, ו</w:t>
      </w:r>
      <w:r>
        <w:rPr>
          <w:rFonts w:ascii="David" w:hAnsi="David"/>
          <w:sz w:val="24"/>
          <w:rtl/>
        </w:rPr>
        <w:tab/>
        <w:t xml:space="preserve">שתי שקיות המכילות 1.6953 גרם נטו של סם מסוכן מסוג </w:t>
      </w:r>
      <w:r>
        <w:rPr>
          <w:rFonts w:ascii="David" w:hAnsi="David"/>
          <w:sz w:val="24"/>
        </w:rPr>
        <w:t>P-METHYLMETHCATHINONE</w:t>
      </w:r>
      <w:r>
        <w:rPr>
          <w:rFonts w:ascii="David" w:hAnsi="David" w:hint="cs"/>
          <w:sz w:val="24"/>
          <w:rtl/>
        </w:rPr>
        <w:t>.</w:t>
      </w:r>
    </w:p>
    <w:p w14:paraId="2B9F50B2" w14:textId="77777777" w:rsidR="009D1E9A" w:rsidRPr="00C776D8" w:rsidRDefault="009D1E9A" w:rsidP="009D1E9A">
      <w:pPr>
        <w:pStyle w:val="Normal2"/>
        <w:widowControl w:val="0"/>
        <w:numPr>
          <w:ilvl w:val="0"/>
          <w:numId w:val="1"/>
        </w:numPr>
        <w:tabs>
          <w:tab w:val="left" w:pos="2160"/>
          <w:tab w:val="center" w:pos="6420"/>
        </w:tabs>
        <w:spacing w:before="0" w:after="120" w:line="360" w:lineRule="auto"/>
        <w:rPr>
          <w:rFonts w:ascii="Tahoma" w:hAnsi="Tahoma"/>
          <w:b/>
          <w:bCs/>
          <w:sz w:val="24"/>
        </w:rPr>
      </w:pPr>
      <w:r w:rsidRPr="00C776D8">
        <w:rPr>
          <w:rFonts w:ascii="Tahoma" w:hAnsi="Tahoma"/>
          <w:b/>
          <w:bCs/>
          <w:sz w:val="24"/>
          <w:rtl/>
        </w:rPr>
        <w:t>סה"כ החזיק הנאשם בבית באותו יום:</w:t>
      </w:r>
    </w:p>
    <w:p w14:paraId="19E79A07"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Tahoma" w:hAnsi="Tahoma"/>
          <w:sz w:val="24"/>
          <w:rtl/>
        </w:rPr>
        <w:t>קטמין- 75 מ"ל ו-8.5322 גרם נטו</w:t>
      </w:r>
      <w:r>
        <w:rPr>
          <w:rFonts w:ascii="Tahoma" w:hAnsi="Tahoma" w:hint="cs"/>
          <w:sz w:val="24"/>
          <w:rtl/>
        </w:rPr>
        <w:t>;</w:t>
      </w:r>
    </w:p>
    <w:p w14:paraId="650CBE74"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Tahoma" w:hAnsi="Tahoma"/>
          <w:sz w:val="24"/>
          <w:rtl/>
        </w:rPr>
        <w:lastRenderedPageBreak/>
        <w:t>קוקאין- 180.3609 גרם נטו</w:t>
      </w:r>
      <w:r>
        <w:rPr>
          <w:rFonts w:ascii="Tahoma" w:hAnsi="Tahoma" w:hint="cs"/>
          <w:sz w:val="24"/>
          <w:rtl/>
        </w:rPr>
        <w:t>;</w:t>
      </w:r>
    </w:p>
    <w:p w14:paraId="34F36605"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tl/>
        </w:rPr>
        <w:t>קטמין וקוקאין- 0.5411 גרם נטו</w:t>
      </w:r>
      <w:r>
        <w:rPr>
          <w:rFonts w:ascii="David" w:hAnsi="David" w:hint="cs"/>
          <w:sz w:val="24"/>
          <w:rtl/>
        </w:rPr>
        <w:t>;</w:t>
      </w:r>
    </w:p>
    <w:p w14:paraId="789DADA6" w14:textId="77777777" w:rsidR="009D1E9A" w:rsidRDefault="009D1E9A" w:rsidP="009D1E9A">
      <w:pPr>
        <w:pStyle w:val="Normal2"/>
        <w:widowControl w:val="0"/>
        <w:numPr>
          <w:ilvl w:val="1"/>
          <w:numId w:val="1"/>
        </w:numPr>
        <w:tabs>
          <w:tab w:val="center" w:pos="6420"/>
        </w:tabs>
        <w:spacing w:before="0" w:after="120" w:line="360" w:lineRule="auto"/>
        <w:rPr>
          <w:rFonts w:ascii="David" w:hAnsi="David"/>
          <w:sz w:val="24"/>
        </w:rPr>
      </w:pPr>
      <w:r>
        <w:rPr>
          <w:rFonts w:ascii="David" w:hAnsi="David"/>
          <w:sz w:val="24"/>
        </w:rPr>
        <w:t>GBL</w:t>
      </w:r>
      <w:r>
        <w:rPr>
          <w:rFonts w:ascii="David" w:hAnsi="David"/>
          <w:sz w:val="24"/>
          <w:rtl/>
        </w:rPr>
        <w:t>- 856.5 מ"ל</w:t>
      </w:r>
      <w:r>
        <w:rPr>
          <w:rFonts w:ascii="David" w:hAnsi="David" w:hint="cs"/>
          <w:sz w:val="24"/>
          <w:rtl/>
        </w:rPr>
        <w:t>;</w:t>
      </w:r>
    </w:p>
    <w:p w14:paraId="541B9F5B"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Pr>
        <w:t>MDMA</w:t>
      </w:r>
      <w:r>
        <w:rPr>
          <w:rFonts w:ascii="Tahoma" w:hAnsi="Tahoma"/>
          <w:sz w:val="24"/>
          <w:rtl/>
        </w:rPr>
        <w:t>- 30 טבליות ו-9.3874 גרם נטו</w:t>
      </w:r>
      <w:r>
        <w:rPr>
          <w:rFonts w:ascii="Tahoma" w:hAnsi="Tahoma" w:hint="cs"/>
          <w:sz w:val="24"/>
          <w:rtl/>
        </w:rPr>
        <w:t>;</w:t>
      </w:r>
    </w:p>
    <w:p w14:paraId="42BD4F2F"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Pr>
        <w:t>P-METHYLMETHCATHINONE</w:t>
      </w:r>
      <w:r>
        <w:rPr>
          <w:rFonts w:ascii="Tahoma" w:hAnsi="Tahoma"/>
          <w:sz w:val="24"/>
          <w:rtl/>
        </w:rPr>
        <w:t>- 38.6427 גרם נטו</w:t>
      </w:r>
      <w:r>
        <w:rPr>
          <w:rFonts w:ascii="Tahoma" w:hAnsi="Tahoma" w:hint="cs"/>
          <w:sz w:val="24"/>
          <w:rtl/>
        </w:rPr>
        <w:t>;</w:t>
      </w:r>
    </w:p>
    <w:p w14:paraId="739391D7"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Pr>
        <w:t>,m-METHYLMETHCATHINONE</w:t>
      </w:r>
      <w:r>
        <w:rPr>
          <w:rFonts w:ascii="David" w:hAnsi="David"/>
          <w:sz w:val="24"/>
          <w:rtl/>
        </w:rPr>
        <w:t>ו-</w:t>
      </w:r>
      <w:r>
        <w:rPr>
          <w:rFonts w:ascii="David" w:hAnsi="David"/>
          <w:sz w:val="24"/>
        </w:rPr>
        <w:t>P-METHYLMETHCATHINONE-MMC-m</w:t>
      </w:r>
      <w:r>
        <w:rPr>
          <w:rFonts w:ascii="David" w:hAnsi="David"/>
          <w:sz w:val="24"/>
          <w:rtl/>
        </w:rPr>
        <w:t>- 0.9761 גרם נטו</w:t>
      </w:r>
      <w:r>
        <w:rPr>
          <w:rFonts w:ascii="David" w:hAnsi="David" w:hint="cs"/>
          <w:sz w:val="24"/>
          <w:rtl/>
        </w:rPr>
        <w:t>;</w:t>
      </w:r>
    </w:p>
    <w:p w14:paraId="7F4EE827"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Pr>
        <w:t>METHAMPHETAMIN</w:t>
      </w:r>
      <w:r>
        <w:rPr>
          <w:rFonts w:ascii="Tahoma" w:hAnsi="Tahoma"/>
          <w:sz w:val="24"/>
          <w:rtl/>
        </w:rPr>
        <w:t>- 4 טבליות ועוד 12.9194 גרם נטו</w:t>
      </w:r>
      <w:r>
        <w:rPr>
          <w:rFonts w:ascii="Tahoma" w:hAnsi="Tahoma" w:hint="cs"/>
          <w:sz w:val="24"/>
          <w:rtl/>
        </w:rPr>
        <w:t>;</w:t>
      </w:r>
    </w:p>
    <w:p w14:paraId="112D1489" w14:textId="77777777" w:rsidR="009D1E9A" w:rsidRDefault="009D1E9A" w:rsidP="009D1E9A">
      <w:pPr>
        <w:pStyle w:val="Normal2"/>
        <w:widowControl w:val="0"/>
        <w:numPr>
          <w:ilvl w:val="1"/>
          <w:numId w:val="1"/>
        </w:numPr>
        <w:tabs>
          <w:tab w:val="center" w:pos="6420"/>
        </w:tabs>
        <w:spacing w:before="0" w:after="120" w:line="360" w:lineRule="auto"/>
        <w:rPr>
          <w:rFonts w:ascii="Tahoma" w:hAnsi="Tahoma"/>
          <w:sz w:val="24"/>
        </w:rPr>
      </w:pPr>
      <w:r>
        <w:rPr>
          <w:rFonts w:ascii="David" w:hAnsi="David"/>
          <w:sz w:val="24"/>
        </w:rPr>
        <w:t>m-Chloromethcathinone</w:t>
      </w:r>
      <w:r>
        <w:rPr>
          <w:rFonts w:ascii="Tahoma" w:hAnsi="Tahoma"/>
          <w:sz w:val="24"/>
          <w:rtl/>
        </w:rPr>
        <w:t>- 5.72 גרם נטו</w:t>
      </w:r>
      <w:r>
        <w:rPr>
          <w:rFonts w:ascii="Tahoma" w:hAnsi="Tahoma" w:hint="cs"/>
          <w:sz w:val="24"/>
          <w:rtl/>
        </w:rPr>
        <w:t>.</w:t>
      </w:r>
    </w:p>
    <w:p w14:paraId="097982B2" w14:textId="77777777" w:rsidR="009D1E9A" w:rsidRDefault="009D1E9A" w:rsidP="009D1E9A">
      <w:pPr>
        <w:pStyle w:val="Normal2"/>
        <w:widowControl w:val="0"/>
        <w:numPr>
          <w:ilvl w:val="0"/>
          <w:numId w:val="1"/>
        </w:numPr>
        <w:tabs>
          <w:tab w:val="left" w:pos="2160"/>
          <w:tab w:val="center" w:pos="6420"/>
        </w:tabs>
        <w:spacing w:before="0" w:after="120" w:line="360" w:lineRule="auto"/>
        <w:rPr>
          <w:rFonts w:ascii="Tahoma" w:hAnsi="Tahoma"/>
          <w:sz w:val="24"/>
        </w:rPr>
      </w:pPr>
      <w:r>
        <w:rPr>
          <w:rFonts w:ascii="Tahoma" w:hAnsi="Tahoma"/>
          <w:sz w:val="24"/>
          <w:rtl/>
        </w:rPr>
        <w:t>עוד בנסיבות האלה, החזיק הנאשם בביתו מזומן בסך של 31,154 ₪ ו-100 יורו.</w:t>
      </w:r>
    </w:p>
    <w:p w14:paraId="15979F9D" w14:textId="77777777" w:rsidR="009D1E9A" w:rsidRDefault="009D1E9A" w:rsidP="009D1E9A">
      <w:pPr>
        <w:numPr>
          <w:ilvl w:val="0"/>
          <w:numId w:val="1"/>
        </w:numPr>
        <w:tabs>
          <w:tab w:val="left" w:pos="2160"/>
          <w:tab w:val="left" w:pos="2880"/>
        </w:tabs>
        <w:spacing w:before="240" w:line="360" w:lineRule="auto"/>
        <w:jc w:val="both"/>
        <w:rPr>
          <w:color w:val="000000"/>
        </w:rPr>
      </w:pPr>
      <w:r>
        <w:rPr>
          <w:color w:val="000000"/>
        </w:rPr>
        <w:t>GBL</w:t>
      </w:r>
      <w:r>
        <w:rPr>
          <w:color w:val="000000"/>
          <w:rtl/>
        </w:rPr>
        <w:t>,קטמין,</w:t>
      </w:r>
      <w:r>
        <w:rPr>
          <w:color w:val="000000"/>
        </w:rPr>
        <w:t>MDMA</w:t>
      </w:r>
      <w:r>
        <w:rPr>
          <w:color w:val="000000"/>
          <w:rtl/>
        </w:rPr>
        <w:t>,</w:t>
      </w:r>
      <w:r>
        <w:rPr>
          <w:color w:val="000000"/>
        </w:rPr>
        <w:t>P-METHYLMETHCATHINONE</w:t>
      </w:r>
      <w:r>
        <w:rPr>
          <w:color w:val="000000"/>
          <w:rtl/>
        </w:rPr>
        <w:t>,</w:t>
      </w:r>
      <w:r>
        <w:rPr>
          <w:rFonts w:ascii="David" w:hAnsi="David"/>
        </w:rPr>
        <w:t xml:space="preserve">  m-Chloromethcathinone</w:t>
      </w:r>
      <w:r>
        <w:rPr>
          <w:color w:val="000000"/>
          <w:rtl/>
        </w:rPr>
        <w:t>,</w:t>
      </w:r>
      <w:r>
        <w:rPr>
          <w:rFonts w:ascii="David" w:hAnsi="David"/>
        </w:rPr>
        <w:t>m-METHYLMETHCATHINONE</w:t>
      </w:r>
      <w:r>
        <w:rPr>
          <w:color w:val="000000"/>
          <w:rtl/>
        </w:rPr>
        <w:t xml:space="preserve">, </w:t>
      </w:r>
      <w:r>
        <w:rPr>
          <w:rFonts w:ascii="David" w:hAnsi="David"/>
        </w:rPr>
        <w:t>METHAMPHETAMIN</w:t>
      </w:r>
      <w:r>
        <w:rPr>
          <w:color w:val="000000"/>
          <w:rtl/>
        </w:rPr>
        <w:t>, וקוקאין הם סמים מסוכנים כהגדרתם ב</w:t>
      </w:r>
      <w:hyperlink r:id="rId16" w:history="1">
        <w:r w:rsidR="008E50A1" w:rsidRPr="008E50A1">
          <w:rPr>
            <w:color w:val="0000FF"/>
            <w:u w:val="single"/>
            <w:rtl/>
          </w:rPr>
          <w:t>פקודת הסמים המסוכנים</w:t>
        </w:r>
      </w:hyperlink>
      <w:r>
        <w:rPr>
          <w:color w:val="000000"/>
          <w:rtl/>
        </w:rPr>
        <w:t xml:space="preserve"> [נוסח חדש], תשל"ג-1973 (להלן: "</w:t>
      </w:r>
      <w:r>
        <w:rPr>
          <w:b/>
          <w:bCs/>
          <w:color w:val="000000"/>
          <w:rtl/>
        </w:rPr>
        <w:t>פקודת הסמים</w:t>
      </w:r>
      <w:r>
        <w:rPr>
          <w:color w:val="000000"/>
          <w:rtl/>
        </w:rPr>
        <w:t>").</w:t>
      </w:r>
    </w:p>
    <w:p w14:paraId="74D2FF4E" w14:textId="77777777" w:rsidR="009D1E9A" w:rsidRDefault="009D1E9A" w:rsidP="009D1E9A">
      <w:pPr>
        <w:numPr>
          <w:ilvl w:val="0"/>
          <w:numId w:val="1"/>
        </w:numPr>
        <w:tabs>
          <w:tab w:val="left" w:pos="2160"/>
          <w:tab w:val="left" w:pos="2880"/>
        </w:tabs>
        <w:spacing w:before="240" w:line="360" w:lineRule="auto"/>
        <w:jc w:val="both"/>
        <w:rPr>
          <w:color w:val="000000"/>
        </w:rPr>
      </w:pPr>
      <w:r>
        <w:rPr>
          <w:rFonts w:ascii="David" w:hAnsi="David"/>
        </w:rPr>
        <w:t>-P-METHYLMETHCATHINONE-MMC-m</w:t>
      </w:r>
      <w:r>
        <w:rPr>
          <w:color w:val="000000"/>
          <w:rtl/>
        </w:rPr>
        <w:t xml:space="preserve"> הוא נגזרת מבנית של מתקאתינון הכלול בפקודת הסמים לרבות האיזומרים ונגזרותיו המבניות.</w:t>
      </w:r>
    </w:p>
    <w:p w14:paraId="5D995928" w14:textId="77777777" w:rsidR="009D1E9A" w:rsidRDefault="009D1E9A" w:rsidP="009D1E9A">
      <w:pPr>
        <w:numPr>
          <w:ilvl w:val="0"/>
          <w:numId w:val="1"/>
        </w:numPr>
        <w:tabs>
          <w:tab w:val="left" w:pos="2160"/>
          <w:tab w:val="left" w:pos="2880"/>
        </w:tabs>
        <w:spacing w:before="240" w:line="360" w:lineRule="auto"/>
        <w:jc w:val="both"/>
        <w:rPr>
          <w:color w:val="000000"/>
        </w:rPr>
      </w:pPr>
      <w:r>
        <w:rPr>
          <w:color w:val="000000"/>
          <w:rtl/>
        </w:rPr>
        <w:t>במעשיו המתוארים לעיל, החזיק הנאשם סמים מסוכנים מסוגים שונים שלא לצריכתו העצמית, ללא היתר או רישיון מהמנהל.</w:t>
      </w:r>
    </w:p>
    <w:p w14:paraId="5EFE3D41" w14:textId="77777777" w:rsidR="009D1E9A" w:rsidRPr="002E017F" w:rsidRDefault="009D1E9A" w:rsidP="009D1E9A">
      <w:pPr>
        <w:keepLines/>
        <w:tabs>
          <w:tab w:val="num" w:pos="2137"/>
        </w:tabs>
        <w:spacing w:before="240" w:after="200"/>
        <w:rPr>
          <w:b/>
          <w:bCs/>
          <w:sz w:val="26"/>
          <w:szCs w:val="26"/>
        </w:rPr>
      </w:pPr>
      <w:r w:rsidRPr="002E017F">
        <w:rPr>
          <w:b/>
          <w:bCs/>
          <w:sz w:val="26"/>
          <w:szCs w:val="26"/>
          <w:rtl/>
        </w:rPr>
        <w:t xml:space="preserve">הוראת החיקוק לפיה </w:t>
      </w:r>
      <w:r w:rsidRPr="002E017F">
        <w:rPr>
          <w:rFonts w:hint="cs"/>
          <w:b/>
          <w:bCs/>
          <w:sz w:val="26"/>
          <w:szCs w:val="26"/>
          <w:rtl/>
        </w:rPr>
        <w:t>ה</w:t>
      </w:r>
      <w:r>
        <w:rPr>
          <w:b/>
          <w:bCs/>
          <w:sz w:val="26"/>
          <w:szCs w:val="26"/>
          <w:rtl/>
        </w:rPr>
        <w:t>ו</w:t>
      </w:r>
      <w:r>
        <w:rPr>
          <w:rFonts w:hint="cs"/>
          <w:b/>
          <w:bCs/>
          <w:sz w:val="26"/>
          <w:szCs w:val="26"/>
          <w:rtl/>
        </w:rPr>
        <w:t xml:space="preserve">רשע </w:t>
      </w:r>
      <w:r w:rsidRPr="002E017F">
        <w:rPr>
          <w:b/>
          <w:bCs/>
          <w:sz w:val="26"/>
          <w:szCs w:val="26"/>
          <w:rtl/>
        </w:rPr>
        <w:t>הנאשם</w:t>
      </w:r>
      <w:r w:rsidRPr="002E017F">
        <w:rPr>
          <w:rFonts w:hint="cs"/>
          <w:b/>
          <w:bCs/>
          <w:sz w:val="26"/>
          <w:szCs w:val="26"/>
          <w:rtl/>
        </w:rPr>
        <w:t xml:space="preserve"> בדין</w:t>
      </w:r>
      <w:r w:rsidRPr="002E017F">
        <w:rPr>
          <w:b/>
          <w:bCs/>
          <w:sz w:val="26"/>
          <w:szCs w:val="26"/>
          <w:rtl/>
        </w:rPr>
        <w:t>:</w:t>
      </w:r>
    </w:p>
    <w:p w14:paraId="5A80CBC4" w14:textId="77777777" w:rsidR="009D1E9A" w:rsidRDefault="009D1E9A" w:rsidP="009D1E9A">
      <w:pPr>
        <w:tabs>
          <w:tab w:val="left" w:pos="1440"/>
          <w:tab w:val="left" w:pos="2160"/>
          <w:tab w:val="left" w:pos="2880"/>
        </w:tabs>
        <w:spacing w:before="240" w:after="240" w:line="276" w:lineRule="auto"/>
        <w:rPr>
          <w:b/>
          <w:bCs/>
          <w:rtl/>
        </w:rPr>
      </w:pPr>
      <w:r>
        <w:rPr>
          <w:rFonts w:ascii="Arial" w:hAnsi="Arial"/>
          <w:b/>
          <w:bCs/>
          <w:color w:val="000000"/>
          <w:rtl/>
        </w:rPr>
        <w:t xml:space="preserve">החזקת סמים שלא לצריכה עצמית - </w:t>
      </w:r>
      <w:r>
        <w:rPr>
          <w:rFonts w:ascii="Arial" w:hAnsi="Arial"/>
          <w:color w:val="000000"/>
          <w:rtl/>
        </w:rPr>
        <w:t xml:space="preserve">עבירה לפי </w:t>
      </w:r>
      <w:hyperlink r:id="rId17" w:history="1">
        <w:r w:rsidR="008259BF" w:rsidRPr="008259BF">
          <w:rPr>
            <w:rStyle w:val="Hyperlink"/>
            <w:rFonts w:ascii="Arial" w:hAnsi="Arial"/>
            <w:rtl/>
          </w:rPr>
          <w:t>סעיף  7 (א)+(ג)</w:t>
        </w:r>
      </w:hyperlink>
      <w:r>
        <w:rPr>
          <w:rFonts w:ascii="Arial" w:hAnsi="Arial"/>
          <w:color w:val="000000"/>
          <w:rtl/>
        </w:rPr>
        <w:t xml:space="preserve"> ב</w:t>
      </w:r>
      <w:hyperlink r:id="rId18" w:history="1">
        <w:r w:rsidR="008E50A1" w:rsidRPr="008E50A1">
          <w:rPr>
            <w:rFonts w:ascii="Arial" w:hAnsi="Arial"/>
            <w:color w:val="0000FF"/>
            <w:u w:val="single"/>
            <w:rtl/>
          </w:rPr>
          <w:t>פקודת הסמים המסוכנים</w:t>
        </w:r>
      </w:hyperlink>
      <w:r>
        <w:rPr>
          <w:rFonts w:ascii="Arial" w:hAnsi="Arial"/>
          <w:color w:val="000000"/>
          <w:rtl/>
        </w:rPr>
        <w:t xml:space="preserve"> [נוסח חדש], התשל"ג- 1973 (להלן: </w:t>
      </w:r>
      <w:r>
        <w:rPr>
          <w:rFonts w:ascii="Arial" w:hAnsi="Arial" w:hint="cs"/>
          <w:b/>
          <w:bCs/>
          <w:color w:val="000000"/>
          <w:rtl/>
        </w:rPr>
        <w:t>"</w:t>
      </w:r>
      <w:r>
        <w:rPr>
          <w:rFonts w:ascii="Arial" w:hAnsi="Arial"/>
          <w:b/>
          <w:bCs/>
          <w:color w:val="000000"/>
          <w:rtl/>
        </w:rPr>
        <w:t>החוק</w:t>
      </w:r>
      <w:r>
        <w:rPr>
          <w:rFonts w:ascii="Arial" w:hAnsi="Arial" w:hint="cs"/>
          <w:b/>
          <w:bCs/>
          <w:color w:val="000000"/>
          <w:rtl/>
        </w:rPr>
        <w:t>"</w:t>
      </w:r>
      <w:r>
        <w:rPr>
          <w:rFonts w:ascii="Arial" w:hAnsi="Arial"/>
          <w:color w:val="000000"/>
          <w:rtl/>
        </w:rPr>
        <w:t>).</w:t>
      </w:r>
    </w:p>
    <w:p w14:paraId="1A160049" w14:textId="77777777" w:rsidR="009D1E9A" w:rsidRDefault="009D1E9A" w:rsidP="009D1E9A">
      <w:pPr>
        <w:tabs>
          <w:tab w:val="left" w:pos="1440"/>
          <w:tab w:val="left" w:pos="2160"/>
          <w:tab w:val="left" w:pos="2880"/>
        </w:tabs>
        <w:spacing w:before="240" w:after="240" w:line="276" w:lineRule="auto"/>
        <w:rPr>
          <w:b/>
          <w:bCs/>
          <w:rtl/>
        </w:rPr>
      </w:pPr>
    </w:p>
    <w:p w14:paraId="5915C171" w14:textId="77777777" w:rsidR="009D1E9A" w:rsidRDefault="009D1E9A" w:rsidP="009D1E9A">
      <w:pPr>
        <w:tabs>
          <w:tab w:val="left" w:pos="708"/>
          <w:tab w:val="left" w:pos="1440"/>
          <w:tab w:val="left" w:pos="2160"/>
          <w:tab w:val="left" w:pos="2880"/>
        </w:tabs>
        <w:spacing w:before="240" w:after="240" w:line="276" w:lineRule="auto"/>
        <w:rPr>
          <w:b/>
          <w:bCs/>
          <w:rtl/>
        </w:rPr>
      </w:pPr>
      <w:r>
        <w:rPr>
          <w:rFonts w:hint="cs"/>
          <w:b/>
          <w:bCs/>
          <w:rtl/>
        </w:rPr>
        <w:t xml:space="preserve">ב.          </w:t>
      </w:r>
      <w:r w:rsidRPr="00862B80">
        <w:rPr>
          <w:rFonts w:hint="cs"/>
          <w:b/>
          <w:bCs/>
          <w:rtl/>
        </w:rPr>
        <w:t xml:space="preserve">הסדר הטיעון לא כלל הסכמה עונשית כלשהי. </w:t>
      </w:r>
    </w:p>
    <w:p w14:paraId="32AAEC7C" w14:textId="77777777" w:rsidR="009D1E9A" w:rsidRDefault="009D1E9A" w:rsidP="009D1E9A">
      <w:pPr>
        <w:tabs>
          <w:tab w:val="left" w:pos="1440"/>
          <w:tab w:val="left" w:pos="2160"/>
          <w:tab w:val="left" w:pos="2880"/>
        </w:tabs>
        <w:spacing w:before="240" w:after="240" w:line="276" w:lineRule="auto"/>
        <w:rPr>
          <w:b/>
          <w:bCs/>
          <w:rtl/>
        </w:rPr>
      </w:pPr>
      <w:r>
        <w:rPr>
          <w:rFonts w:hint="cs"/>
          <w:b/>
          <w:bCs/>
          <w:rtl/>
        </w:rPr>
        <w:t>ג.          ל</w:t>
      </w:r>
      <w:r w:rsidRPr="00862B80">
        <w:rPr>
          <w:rFonts w:hint="cs"/>
          <w:b/>
          <w:bCs/>
          <w:rtl/>
        </w:rPr>
        <w:t xml:space="preserve">א הוגשו ראיות מטעם התביעה לעניין העונש. </w:t>
      </w:r>
    </w:p>
    <w:p w14:paraId="623F221E" w14:textId="77777777" w:rsidR="009D1E9A" w:rsidRDefault="009D1E9A" w:rsidP="009D1E9A">
      <w:pPr>
        <w:tabs>
          <w:tab w:val="left" w:pos="1440"/>
          <w:tab w:val="left" w:pos="2160"/>
          <w:tab w:val="left" w:pos="2880"/>
        </w:tabs>
        <w:spacing w:before="240" w:after="240" w:line="276" w:lineRule="auto"/>
        <w:rPr>
          <w:rtl/>
        </w:rPr>
      </w:pPr>
      <w:r>
        <w:rPr>
          <w:rFonts w:hint="cs"/>
          <w:rtl/>
        </w:rPr>
        <w:t xml:space="preserve">             מטעם ההגנה הוגש מסמך המעיד על קיום חוב לבנק.</w:t>
      </w:r>
    </w:p>
    <w:p w14:paraId="2B0CC745" w14:textId="77777777" w:rsidR="009D1E9A" w:rsidRPr="00862B80" w:rsidRDefault="009D1E9A" w:rsidP="009D1E9A">
      <w:pPr>
        <w:tabs>
          <w:tab w:val="left" w:pos="1440"/>
          <w:tab w:val="left" w:pos="2160"/>
          <w:tab w:val="left" w:pos="2880"/>
        </w:tabs>
        <w:spacing w:before="240" w:after="240" w:line="276" w:lineRule="auto"/>
        <w:rPr>
          <w:b/>
          <w:bCs/>
          <w:rtl/>
        </w:rPr>
      </w:pPr>
      <w:r w:rsidRPr="00862B80">
        <w:rPr>
          <w:rFonts w:hint="cs"/>
          <w:b/>
          <w:bCs/>
          <w:rtl/>
        </w:rPr>
        <w:t xml:space="preserve">ד. </w:t>
      </w:r>
      <w:r>
        <w:rPr>
          <w:rFonts w:hint="cs"/>
          <w:b/>
          <w:bCs/>
          <w:rtl/>
        </w:rPr>
        <w:t xml:space="preserve">         </w:t>
      </w:r>
      <w:r w:rsidRPr="00862B80">
        <w:rPr>
          <w:rFonts w:hint="cs"/>
          <w:b/>
          <w:bCs/>
          <w:rtl/>
        </w:rPr>
        <w:t>טיעוני הצדדים לעונש:</w:t>
      </w:r>
    </w:p>
    <w:p w14:paraId="24456AE6" w14:textId="77777777" w:rsidR="009D1E9A" w:rsidRDefault="009D1E9A" w:rsidP="009D1E9A">
      <w:pPr>
        <w:spacing w:line="360" w:lineRule="auto"/>
        <w:jc w:val="both"/>
        <w:rPr>
          <w:rFonts w:ascii="Arial" w:hAnsi="Arial"/>
          <w:rtl/>
        </w:rPr>
      </w:pPr>
      <w:r>
        <w:rPr>
          <w:rFonts w:ascii="Arial" w:hAnsi="Arial" w:hint="cs"/>
          <w:rtl/>
        </w:rPr>
        <w:t xml:space="preserve">התובעת עמדה בטיעוניה על עובדות כתב האישום, סוגי הסמים והכמויות. היא נדרשה לנזק הפוטנציאלי הכרוך בהפצת הסמים ולפגיעה בערכים המוגנים. </w:t>
      </w:r>
    </w:p>
    <w:p w14:paraId="1622C250" w14:textId="77777777" w:rsidR="009D1E9A" w:rsidRDefault="009D1E9A" w:rsidP="009D1E9A">
      <w:pPr>
        <w:spacing w:line="360" w:lineRule="auto"/>
        <w:jc w:val="both"/>
        <w:rPr>
          <w:rFonts w:ascii="Arial" w:hAnsi="Arial"/>
          <w:rtl/>
        </w:rPr>
      </w:pPr>
      <w:r>
        <w:rPr>
          <w:rFonts w:ascii="Arial" w:hAnsi="Arial" w:hint="cs"/>
          <w:rtl/>
        </w:rPr>
        <w:t xml:space="preserve">אשר למדיניות הענישה, התייחסה התובעת למתחמים שונים על פי סוגי הסמים והכמויות. </w:t>
      </w:r>
    </w:p>
    <w:p w14:paraId="4E8538D9" w14:textId="77777777" w:rsidR="009D1E9A" w:rsidRDefault="009D1E9A" w:rsidP="009D1E9A">
      <w:pPr>
        <w:spacing w:line="360" w:lineRule="auto"/>
        <w:jc w:val="both"/>
        <w:rPr>
          <w:rFonts w:ascii="Arial" w:hAnsi="Arial"/>
          <w:rtl/>
        </w:rPr>
      </w:pPr>
      <w:r>
        <w:rPr>
          <w:rFonts w:ascii="Arial" w:hAnsi="Arial" w:hint="cs"/>
          <w:rtl/>
        </w:rPr>
        <w:t xml:space="preserve">אחר כל אלה היא עתרה למתחם כולל של 5-7 שנות מאסר ובו חפיפה משמעותית של העונשים השונים על פי סוגי הסמים. </w:t>
      </w:r>
    </w:p>
    <w:p w14:paraId="67E2C91A" w14:textId="77777777" w:rsidR="009D1E9A" w:rsidRDefault="009D1E9A" w:rsidP="009D1E9A">
      <w:pPr>
        <w:spacing w:line="360" w:lineRule="auto"/>
        <w:jc w:val="both"/>
        <w:rPr>
          <w:rFonts w:ascii="Arial" w:hAnsi="Arial"/>
          <w:rtl/>
        </w:rPr>
      </w:pPr>
      <w:r>
        <w:rPr>
          <w:rFonts w:ascii="Arial" w:hAnsi="Arial" w:hint="cs"/>
          <w:rtl/>
        </w:rPr>
        <w:t xml:space="preserve">כן התייחסה התובעת לתסקיר שהוגש, שלא בא בהמלצה  טיפולית לפי שהנאשם שלל צורך טיפולי. </w:t>
      </w:r>
    </w:p>
    <w:p w14:paraId="0249D659" w14:textId="77777777" w:rsidR="009D1E9A" w:rsidRPr="00B05847" w:rsidRDefault="009D1E9A" w:rsidP="009D1E9A">
      <w:pPr>
        <w:spacing w:line="360" w:lineRule="auto"/>
        <w:jc w:val="both"/>
        <w:rPr>
          <w:rFonts w:ascii="Arial" w:hAnsi="Arial"/>
          <w:rtl/>
        </w:rPr>
      </w:pPr>
      <w:r>
        <w:rPr>
          <w:rFonts w:ascii="Arial" w:hAnsi="Arial" w:hint="cs"/>
          <w:rtl/>
        </w:rPr>
        <w:t>אשר למיקומו של הנאשם בתוך המתחם היא התייחסה להיעדר העבר הפלילי ולקיחת האחראיות. על כן, עתרה למקם את הנאשם ברף העליון של השליש התחתון באופן שתקופת המאסר לא תפחת מ-68 חודשים.</w:t>
      </w:r>
    </w:p>
    <w:p w14:paraId="65B0B706" w14:textId="77777777" w:rsidR="009D1E9A" w:rsidRDefault="009D1E9A" w:rsidP="009D1E9A">
      <w:pPr>
        <w:spacing w:line="360" w:lineRule="auto"/>
        <w:jc w:val="both"/>
        <w:rPr>
          <w:rtl/>
        </w:rPr>
      </w:pPr>
    </w:p>
    <w:p w14:paraId="476A3ED8" w14:textId="77777777" w:rsidR="009D1E9A" w:rsidRDefault="009D1E9A" w:rsidP="009D1E9A">
      <w:pPr>
        <w:spacing w:line="360" w:lineRule="auto"/>
        <w:jc w:val="both"/>
        <w:rPr>
          <w:rtl/>
        </w:rPr>
      </w:pPr>
      <w:r>
        <w:rPr>
          <w:rFonts w:hint="cs"/>
          <w:rtl/>
        </w:rPr>
        <w:t>אחר כל אלה עתרה התובעת גם לחילוט סכומי כסף שנתפסו ברשות הנאשם.</w:t>
      </w:r>
    </w:p>
    <w:p w14:paraId="51F9B0E5" w14:textId="77777777" w:rsidR="009D1E9A" w:rsidRDefault="009D1E9A" w:rsidP="009D1E9A">
      <w:pPr>
        <w:spacing w:line="360" w:lineRule="auto"/>
        <w:jc w:val="both"/>
        <w:rPr>
          <w:rtl/>
        </w:rPr>
      </w:pPr>
    </w:p>
    <w:p w14:paraId="73042585" w14:textId="77777777" w:rsidR="009D1E9A" w:rsidRDefault="009D1E9A" w:rsidP="009D1E9A">
      <w:pPr>
        <w:spacing w:line="360" w:lineRule="auto"/>
        <w:jc w:val="both"/>
        <w:rPr>
          <w:rtl/>
        </w:rPr>
      </w:pPr>
      <w:r>
        <w:rPr>
          <w:rFonts w:hint="cs"/>
          <w:rtl/>
        </w:rPr>
        <w:t>הסנגור עמד בטיעוניו על נסיבות חייו, הלא פשוטות, של הנאשם. כן ציין שלא כמקובל בסוג זה של עבירות, לא נתפסו רשימות קונים, שקיות אריזה, משקלים דיגיטליי</w:t>
      </w:r>
      <w:r>
        <w:rPr>
          <w:rFonts w:hint="eastAsia"/>
          <w:rtl/>
        </w:rPr>
        <w:t>ם</w:t>
      </w:r>
      <w:r>
        <w:rPr>
          <w:rFonts w:hint="cs"/>
          <w:rtl/>
        </w:rPr>
        <w:t xml:space="preserve"> וכיוצא בזה שיש בהם להעיד על כוונה ממשית לסחר. כפועל יוצא, הנאשם לא הפיק רווח כלשהו מהחזקת הסמים. </w:t>
      </w:r>
    </w:p>
    <w:p w14:paraId="0120417A" w14:textId="77777777" w:rsidR="009D1E9A" w:rsidRDefault="009D1E9A" w:rsidP="009D1E9A">
      <w:pPr>
        <w:spacing w:line="360" w:lineRule="auto"/>
        <w:jc w:val="both"/>
        <w:rPr>
          <w:rtl/>
        </w:rPr>
      </w:pPr>
      <w:r>
        <w:rPr>
          <w:rFonts w:hint="cs"/>
          <w:rtl/>
        </w:rPr>
        <w:t xml:space="preserve">הנאשם נעדר עבר פלילי, הוא לוקה בתחלואה כפולה והמסגרת המתאימה לו סגורה. </w:t>
      </w:r>
    </w:p>
    <w:p w14:paraId="4D7C96FF" w14:textId="77777777" w:rsidR="009D1E9A" w:rsidRDefault="009D1E9A" w:rsidP="009D1E9A">
      <w:pPr>
        <w:spacing w:line="360" w:lineRule="auto"/>
        <w:jc w:val="both"/>
        <w:rPr>
          <w:rtl/>
        </w:rPr>
      </w:pPr>
      <w:r>
        <w:rPr>
          <w:rFonts w:hint="cs"/>
          <w:rtl/>
        </w:rPr>
        <w:t xml:space="preserve">לבסוף, ביקש ב"כ הנאשם לקבוע מתחם של 18-48 חודשים מאסר בפועל ולמקם את הנאשם בתחתית המתחם. </w:t>
      </w:r>
    </w:p>
    <w:p w14:paraId="3FB99EE3" w14:textId="77777777" w:rsidR="009D1E9A" w:rsidRDefault="009D1E9A" w:rsidP="009D1E9A">
      <w:pPr>
        <w:spacing w:line="360" w:lineRule="auto"/>
        <w:jc w:val="both"/>
        <w:rPr>
          <w:rtl/>
        </w:rPr>
      </w:pPr>
    </w:p>
    <w:p w14:paraId="4F113F22" w14:textId="77777777" w:rsidR="009D1E9A" w:rsidRDefault="009D1E9A" w:rsidP="009D1E9A">
      <w:pPr>
        <w:spacing w:line="360" w:lineRule="auto"/>
        <w:jc w:val="both"/>
        <w:rPr>
          <w:rtl/>
        </w:rPr>
      </w:pPr>
      <w:r>
        <w:rPr>
          <w:rFonts w:hint="cs"/>
          <w:rtl/>
        </w:rPr>
        <w:t xml:space="preserve">כל צד תמך יתדותיו בפסיקה רלוונטית לשיטתו. </w:t>
      </w:r>
    </w:p>
    <w:p w14:paraId="63AFDEEE" w14:textId="77777777" w:rsidR="009D1E9A" w:rsidRDefault="009D1E9A" w:rsidP="009D1E9A">
      <w:pPr>
        <w:spacing w:line="360" w:lineRule="auto"/>
        <w:jc w:val="both"/>
        <w:rPr>
          <w:rtl/>
        </w:rPr>
      </w:pPr>
    </w:p>
    <w:p w14:paraId="6D0839A8" w14:textId="77777777" w:rsidR="009D1E9A" w:rsidRDefault="009D1E9A" w:rsidP="009D1E9A">
      <w:pPr>
        <w:spacing w:line="360" w:lineRule="auto"/>
        <w:jc w:val="both"/>
        <w:rPr>
          <w:rtl/>
        </w:rPr>
      </w:pPr>
      <w:r>
        <w:rPr>
          <w:rFonts w:hint="cs"/>
          <w:rtl/>
        </w:rPr>
        <w:t xml:space="preserve">בדבריו לעונש, ציין הנאשם כי הוא עצור כמעט 12 חודשים, תקופה קשה עבורו. הוא הביע חרטה על המעשה, ציין כי הוא תומך בעצירים אחרים וכי לבד מהשימוש האישי בסמים הוא לא עשה בהם דבר. </w:t>
      </w:r>
    </w:p>
    <w:p w14:paraId="6F98E321" w14:textId="77777777" w:rsidR="009D1E9A" w:rsidRDefault="009D1E9A" w:rsidP="009D1E9A">
      <w:pPr>
        <w:spacing w:line="360" w:lineRule="auto"/>
        <w:jc w:val="both"/>
        <w:rPr>
          <w:rtl/>
        </w:rPr>
      </w:pPr>
      <w:r>
        <w:rPr>
          <w:rFonts w:hint="cs"/>
          <w:rtl/>
        </w:rPr>
        <w:t>לדבריו, הוא לוקה במאניה דפרסיה וחלק מהתסמינים של המחלה בא לידי ביטוי ברכישה מוגזמת של דברים ובהם הסמים, ביגוד ונעליים.</w:t>
      </w:r>
    </w:p>
    <w:p w14:paraId="574E67FE" w14:textId="77777777" w:rsidR="009D1E9A" w:rsidRDefault="009D1E9A" w:rsidP="009D1E9A">
      <w:pPr>
        <w:spacing w:line="360" w:lineRule="auto"/>
        <w:jc w:val="both"/>
        <w:rPr>
          <w:rtl/>
        </w:rPr>
      </w:pPr>
    </w:p>
    <w:p w14:paraId="75F8509D" w14:textId="77777777" w:rsidR="009D1E9A" w:rsidRDefault="009D1E9A" w:rsidP="009D1E9A">
      <w:pPr>
        <w:spacing w:line="360" w:lineRule="auto"/>
        <w:jc w:val="both"/>
        <w:rPr>
          <w:rtl/>
        </w:rPr>
      </w:pPr>
      <w:r>
        <w:rPr>
          <w:rFonts w:hint="cs"/>
          <w:rtl/>
        </w:rPr>
        <w:t>לבסוף, ביקש הנאשם כי אגלה כלפיו חמלה.</w:t>
      </w:r>
    </w:p>
    <w:p w14:paraId="523992F7" w14:textId="77777777" w:rsidR="009D1E9A" w:rsidRDefault="009D1E9A" w:rsidP="009D1E9A">
      <w:pPr>
        <w:spacing w:line="360" w:lineRule="auto"/>
        <w:rPr>
          <w:rtl/>
        </w:rPr>
      </w:pPr>
    </w:p>
    <w:p w14:paraId="05C7F85B" w14:textId="77777777" w:rsidR="009D1E9A" w:rsidRPr="00862B80" w:rsidRDefault="009D1E9A" w:rsidP="009D1E9A">
      <w:pPr>
        <w:spacing w:line="360" w:lineRule="auto"/>
        <w:rPr>
          <w:b/>
          <w:bCs/>
          <w:rtl/>
        </w:rPr>
      </w:pPr>
      <w:r w:rsidRPr="00862B80">
        <w:rPr>
          <w:rFonts w:hint="cs"/>
          <w:b/>
          <w:bCs/>
          <w:rtl/>
        </w:rPr>
        <w:t>ה.</w:t>
      </w:r>
      <w:r>
        <w:rPr>
          <w:b/>
          <w:bCs/>
          <w:rtl/>
        </w:rPr>
        <w:tab/>
      </w:r>
      <w:r w:rsidRPr="00862B80">
        <w:rPr>
          <w:rFonts w:hint="cs"/>
          <w:b/>
          <w:bCs/>
          <w:rtl/>
        </w:rPr>
        <w:t>נסיבות הקשורות בביצוע העבירה:</w:t>
      </w:r>
    </w:p>
    <w:p w14:paraId="638F80BD" w14:textId="77777777" w:rsidR="009D1E9A" w:rsidRDefault="009D1E9A" w:rsidP="009D1E9A">
      <w:pPr>
        <w:spacing w:line="360" w:lineRule="auto"/>
        <w:rPr>
          <w:rtl/>
        </w:rPr>
      </w:pPr>
    </w:p>
    <w:p w14:paraId="134AD005" w14:textId="77777777" w:rsidR="009D1E9A" w:rsidRDefault="009D1E9A" w:rsidP="009D1E9A">
      <w:pPr>
        <w:spacing w:line="360" w:lineRule="auto"/>
        <w:jc w:val="both"/>
        <w:rPr>
          <w:rFonts w:ascii="David" w:hAnsi="David"/>
          <w:rtl/>
        </w:rPr>
      </w:pPr>
      <w:r>
        <w:rPr>
          <w:rFonts w:ascii="David" w:hAnsi="David"/>
          <w:rtl/>
        </w:rPr>
        <w:t>הנזק שהיה צפוי להיגרם מביצוע העבירה מושפע הן מסוג הסם והן מכמויות הסם לעבירות הסמים</w:t>
      </w:r>
      <w:r>
        <w:rPr>
          <w:rFonts w:ascii="David" w:hAnsi="David" w:hint="cs"/>
          <w:rtl/>
        </w:rPr>
        <w:t xml:space="preserve">, </w:t>
      </w:r>
      <w:r>
        <w:rPr>
          <w:rFonts w:ascii="David" w:hAnsi="David"/>
          <w:rtl/>
        </w:rPr>
        <w:t xml:space="preserve">קרי, </w:t>
      </w:r>
      <w:r>
        <w:rPr>
          <w:rFonts w:ascii="David" w:hAnsi="David" w:hint="cs"/>
          <w:rtl/>
        </w:rPr>
        <w:t xml:space="preserve">אין </w:t>
      </w:r>
      <w:r>
        <w:rPr>
          <w:rFonts w:ascii="David" w:hAnsi="David"/>
          <w:rtl/>
        </w:rPr>
        <w:t xml:space="preserve"> מדובר בעבירת סמים לצריכה עצמית לכן</w:t>
      </w:r>
      <w:r>
        <w:rPr>
          <w:rFonts w:ascii="David" w:hAnsi="David" w:hint="cs"/>
          <w:rtl/>
        </w:rPr>
        <w:t>,</w:t>
      </w:r>
      <w:r>
        <w:rPr>
          <w:rFonts w:ascii="David" w:hAnsi="David"/>
          <w:rtl/>
        </w:rPr>
        <w:t xml:space="preserve"> אילו סמים אלו היו </w:t>
      </w:r>
      <w:r>
        <w:rPr>
          <w:rFonts w:ascii="David" w:hAnsi="David" w:hint="cs"/>
          <w:rtl/>
        </w:rPr>
        <w:t>מוצאים דרכם לרחוב, היה נגרם נזק משמעותי לחברה.  בפועל לא נגרם נזק, לפי שהסמים נתפסו.</w:t>
      </w:r>
    </w:p>
    <w:p w14:paraId="381AFEDF" w14:textId="77777777" w:rsidR="009D1E9A" w:rsidRDefault="009D1E9A" w:rsidP="009D1E9A">
      <w:pPr>
        <w:spacing w:line="360" w:lineRule="auto"/>
        <w:jc w:val="both"/>
        <w:rPr>
          <w:rFonts w:ascii="David" w:hAnsi="David"/>
          <w:rtl/>
        </w:rPr>
      </w:pPr>
    </w:p>
    <w:p w14:paraId="7EB08D8B" w14:textId="77777777" w:rsidR="009D1E9A" w:rsidRDefault="009D1E9A" w:rsidP="009D1E9A">
      <w:pPr>
        <w:spacing w:line="360" w:lineRule="auto"/>
        <w:jc w:val="both"/>
        <w:rPr>
          <w:rFonts w:ascii="David" w:hAnsi="David"/>
          <w:rtl/>
        </w:rPr>
      </w:pPr>
      <w:r>
        <w:rPr>
          <w:rFonts w:ascii="David" w:hAnsi="David" w:hint="cs"/>
          <w:rtl/>
        </w:rPr>
        <w:t>יצוין כי לא נמצאו כלים, שקיות לאריזה או משקל ,כשכיח בתיקים מסוג זה שיש בהם להעיד על כוונה להוציא לפועל סחר בסמים שנתפסו.</w:t>
      </w:r>
    </w:p>
    <w:p w14:paraId="56331A36" w14:textId="77777777" w:rsidR="009D1E9A" w:rsidRDefault="009D1E9A" w:rsidP="009D1E9A">
      <w:pPr>
        <w:spacing w:line="360" w:lineRule="auto"/>
        <w:jc w:val="both"/>
        <w:rPr>
          <w:rFonts w:ascii="David" w:hAnsi="David"/>
          <w:rtl/>
        </w:rPr>
      </w:pPr>
    </w:p>
    <w:p w14:paraId="01816841" w14:textId="77777777" w:rsidR="009D1E9A" w:rsidRDefault="009D1E9A" w:rsidP="009D1E9A">
      <w:pPr>
        <w:spacing w:line="360" w:lineRule="auto"/>
        <w:jc w:val="both"/>
        <w:rPr>
          <w:rFonts w:ascii="David" w:hAnsi="David"/>
          <w:rtl/>
        </w:rPr>
      </w:pPr>
      <w:r>
        <w:rPr>
          <w:rFonts w:ascii="David" w:hAnsi="David" w:hint="cs"/>
          <w:rtl/>
        </w:rPr>
        <w:t xml:space="preserve">אשר לסיבות שהביאו ככל הנראה את הנאשם לביצוע העבירה יש להפנות </w:t>
      </w:r>
      <w:r>
        <w:rPr>
          <w:rFonts w:ascii="David" w:hAnsi="David"/>
          <w:rtl/>
        </w:rPr>
        <w:t>חוות דעת פסיכיאטרית מיום 25.1.24:</w:t>
      </w:r>
    </w:p>
    <w:p w14:paraId="5C8948E6" w14:textId="77777777" w:rsidR="009D1E9A" w:rsidRDefault="009D1E9A" w:rsidP="009D1E9A">
      <w:pPr>
        <w:spacing w:line="360" w:lineRule="auto"/>
        <w:jc w:val="both"/>
        <w:rPr>
          <w:rFonts w:ascii="David" w:hAnsi="David"/>
          <w:rtl/>
        </w:rPr>
      </w:pPr>
      <w:r>
        <w:rPr>
          <w:rFonts w:ascii="David" w:hAnsi="David"/>
          <w:rtl/>
        </w:rPr>
        <w:t>בן 40, רווק</w:t>
      </w:r>
      <w:r>
        <w:rPr>
          <w:rFonts w:ascii="David" w:hAnsi="David" w:hint="cs"/>
          <w:rtl/>
        </w:rPr>
        <w:t>,</w:t>
      </w:r>
      <w:r>
        <w:rPr>
          <w:rFonts w:ascii="David" w:hAnsi="David"/>
          <w:rtl/>
        </w:rPr>
        <w:t xml:space="preserve"> ללא ילדים</w:t>
      </w:r>
      <w:r>
        <w:rPr>
          <w:rFonts w:ascii="David" w:hAnsi="David" w:hint="cs"/>
          <w:rtl/>
        </w:rPr>
        <w:t>,</w:t>
      </w:r>
      <w:r>
        <w:rPr>
          <w:rFonts w:ascii="David" w:hAnsi="David"/>
          <w:rtl/>
        </w:rPr>
        <w:t xml:space="preserve"> מתקיים מקצבת נכות של הביטוח הלאומי. </w:t>
      </w:r>
      <w:r>
        <w:rPr>
          <w:rFonts w:ascii="David" w:hAnsi="David" w:hint="cs"/>
          <w:rtl/>
        </w:rPr>
        <w:t xml:space="preserve"> </w:t>
      </w:r>
      <w:r>
        <w:rPr>
          <w:rFonts w:ascii="David" w:hAnsi="David"/>
          <w:rtl/>
        </w:rPr>
        <w:t xml:space="preserve">אביו נפטר כשהיה בן 19, לאורך הילדות היה אלים כלפיו וכלפי אמו. </w:t>
      </w:r>
      <w:r>
        <w:rPr>
          <w:rFonts w:ascii="David" w:hAnsi="David" w:hint="cs"/>
          <w:rtl/>
        </w:rPr>
        <w:t xml:space="preserve">הנאשם </w:t>
      </w:r>
      <w:r>
        <w:rPr>
          <w:rFonts w:ascii="David" w:hAnsi="David"/>
          <w:rtl/>
        </w:rPr>
        <w:t xml:space="preserve">השתחרר מצה"ל לאחר שנת שירות אחת על רקע נפשי בשל התמכרות לאלכוהול. </w:t>
      </w:r>
      <w:r>
        <w:rPr>
          <w:rFonts w:ascii="David" w:hAnsi="David" w:hint="cs"/>
          <w:rtl/>
        </w:rPr>
        <w:t xml:space="preserve"> </w:t>
      </w:r>
    </w:p>
    <w:p w14:paraId="19BE7DBE" w14:textId="77777777" w:rsidR="009D1E9A" w:rsidRDefault="009D1E9A" w:rsidP="009D1E9A">
      <w:pPr>
        <w:spacing w:line="360" w:lineRule="auto"/>
        <w:jc w:val="both"/>
        <w:rPr>
          <w:rFonts w:ascii="David" w:hAnsi="David"/>
          <w:rtl/>
        </w:rPr>
      </w:pPr>
      <w:r>
        <w:rPr>
          <w:rFonts w:ascii="David" w:hAnsi="David"/>
          <w:rtl/>
        </w:rPr>
        <w:t xml:space="preserve">על פי חוות הדעת הנאשם עבר פגיעה מינית בהיותו נער וכן עבד כנער ליווי. </w:t>
      </w:r>
    </w:p>
    <w:p w14:paraId="3BEAAD54" w14:textId="77777777" w:rsidR="009D1E9A" w:rsidRDefault="009D1E9A" w:rsidP="009D1E9A">
      <w:pPr>
        <w:spacing w:line="360" w:lineRule="auto"/>
        <w:jc w:val="both"/>
        <w:rPr>
          <w:rFonts w:ascii="David" w:hAnsi="David"/>
          <w:rtl/>
        </w:rPr>
      </w:pPr>
      <w:r>
        <w:rPr>
          <w:rFonts w:ascii="David" w:hAnsi="David"/>
          <w:rtl/>
        </w:rPr>
        <w:t>הנאשם מוכר למוסדות בריאות הנפש  משנת 2010</w:t>
      </w:r>
      <w:r>
        <w:rPr>
          <w:rFonts w:ascii="David" w:hAnsi="David" w:hint="cs"/>
          <w:rtl/>
        </w:rPr>
        <w:t xml:space="preserve">, </w:t>
      </w:r>
      <w:r>
        <w:rPr>
          <w:rFonts w:ascii="David" w:hAnsi="David"/>
          <w:rtl/>
        </w:rPr>
        <w:t xml:space="preserve">על רקע אשפוזים בהסכמה בין השנים 2010-2017. בתקופה זו התאשפז על </w:t>
      </w:r>
      <w:r>
        <w:rPr>
          <w:rFonts w:ascii="David" w:hAnsi="David" w:hint="cs"/>
          <w:rtl/>
        </w:rPr>
        <w:t xml:space="preserve">בשל </w:t>
      </w:r>
      <w:r>
        <w:rPr>
          <w:rFonts w:ascii="David" w:hAnsi="David"/>
          <w:rtl/>
        </w:rPr>
        <w:t xml:space="preserve"> מצב רוח ירוד, ניסיונות אובדניים באמצעות נטילת כדורים (לדברי הנאשם מדובר  ב</w:t>
      </w:r>
      <w:r>
        <w:rPr>
          <w:rFonts w:ascii="David" w:hAnsi="David" w:hint="cs"/>
          <w:rtl/>
        </w:rPr>
        <w:t>- 7-8</w:t>
      </w:r>
      <w:r>
        <w:rPr>
          <w:rFonts w:ascii="David" w:hAnsi="David"/>
          <w:rtl/>
        </w:rPr>
        <w:t xml:space="preserve"> ניסיונות), התקפי חרדה ותסמיני </w:t>
      </w:r>
      <w:r>
        <w:rPr>
          <w:rFonts w:ascii="David" w:hAnsi="David"/>
        </w:rPr>
        <w:t>OCD</w:t>
      </w:r>
      <w:r>
        <w:rPr>
          <w:rFonts w:ascii="David" w:hAnsi="David"/>
          <w:rtl/>
        </w:rPr>
        <w:t xml:space="preserve">. </w:t>
      </w:r>
    </w:p>
    <w:p w14:paraId="3508380C" w14:textId="77777777" w:rsidR="009D1E9A" w:rsidRDefault="009D1E9A" w:rsidP="009D1E9A">
      <w:pPr>
        <w:spacing w:line="360" w:lineRule="auto"/>
        <w:jc w:val="both"/>
        <w:rPr>
          <w:rFonts w:ascii="David" w:hAnsi="David"/>
          <w:rtl/>
        </w:rPr>
      </w:pPr>
      <w:r>
        <w:rPr>
          <w:rFonts w:ascii="David" w:hAnsi="David"/>
          <w:rtl/>
        </w:rPr>
        <w:t>מבדיקות מהשנים 2023-2024 עולה כי הנאשם ביקש לשנות טיפול תרופתי</w:t>
      </w:r>
      <w:r>
        <w:rPr>
          <w:rFonts w:ascii="David" w:hAnsi="David" w:hint="cs"/>
          <w:rtl/>
        </w:rPr>
        <w:t xml:space="preserve">, </w:t>
      </w:r>
      <w:r>
        <w:rPr>
          <w:rFonts w:ascii="David" w:hAnsi="David"/>
          <w:rtl/>
        </w:rPr>
        <w:t xml:space="preserve">אך עדיין חווה התקפי חרדה לעיתים, נראה מתוח ואינו ישן טוב. </w:t>
      </w:r>
    </w:p>
    <w:p w14:paraId="175AF79C" w14:textId="77777777" w:rsidR="009D1E9A" w:rsidRDefault="009D1E9A" w:rsidP="009D1E9A">
      <w:pPr>
        <w:spacing w:line="360" w:lineRule="auto"/>
        <w:jc w:val="both"/>
        <w:rPr>
          <w:rFonts w:ascii="David" w:hAnsi="David"/>
        </w:rPr>
      </w:pPr>
    </w:p>
    <w:p w14:paraId="17D9C795" w14:textId="77777777" w:rsidR="009D1E9A" w:rsidRDefault="009D1E9A" w:rsidP="009D1E9A">
      <w:pPr>
        <w:spacing w:line="360" w:lineRule="auto"/>
        <w:jc w:val="both"/>
        <w:rPr>
          <w:rFonts w:ascii="David" w:hAnsi="David"/>
          <w:rtl/>
        </w:rPr>
      </w:pPr>
      <w:r>
        <w:rPr>
          <w:rFonts w:ascii="David" w:hAnsi="David"/>
          <w:rtl/>
        </w:rPr>
        <w:t>כמו כן, אשפוזו האחרון של הנאשם היה בשנת 2017, מאז מנסה להשתלב במרכז קהילתי לטיפול בבריאות הנפש</w:t>
      </w:r>
      <w:r>
        <w:rPr>
          <w:rFonts w:ascii="David" w:hAnsi="David" w:hint="cs"/>
          <w:rtl/>
        </w:rPr>
        <w:t>,</w:t>
      </w:r>
      <w:r>
        <w:rPr>
          <w:rFonts w:ascii="David" w:hAnsi="David"/>
          <w:rtl/>
        </w:rPr>
        <w:t xml:space="preserve"> אולם לא התמיד בניסיונותיו. לאחר האשפוז האחרון מטופל לדבריו בנוגדי דיכאון.</w:t>
      </w:r>
    </w:p>
    <w:p w14:paraId="18CA638B" w14:textId="77777777" w:rsidR="009D1E9A" w:rsidRDefault="009D1E9A" w:rsidP="009D1E9A">
      <w:pPr>
        <w:spacing w:line="360" w:lineRule="auto"/>
        <w:jc w:val="both"/>
        <w:rPr>
          <w:rFonts w:ascii="David" w:hAnsi="David"/>
          <w:rtl/>
        </w:rPr>
      </w:pPr>
      <w:r w:rsidRPr="002C3D26">
        <w:rPr>
          <w:rFonts w:ascii="David" w:hAnsi="David"/>
          <w:b/>
          <w:bCs/>
          <w:rtl/>
        </w:rPr>
        <w:t>ביחס לעבירה תיאר הנאשם כי השימוש בסמים גבר ע</w:t>
      </w:r>
      <w:r>
        <w:rPr>
          <w:rFonts w:ascii="David" w:hAnsi="David" w:hint="cs"/>
          <w:b/>
          <w:bCs/>
          <w:rtl/>
        </w:rPr>
        <w:t>ק</w:t>
      </w:r>
      <w:r w:rsidRPr="002C3D26">
        <w:rPr>
          <w:rFonts w:ascii="David" w:hAnsi="David"/>
          <w:b/>
          <w:bCs/>
          <w:rtl/>
        </w:rPr>
        <w:t>ב הפרעות נפשיו</w:t>
      </w:r>
      <w:r>
        <w:rPr>
          <w:rFonts w:ascii="David" w:hAnsi="David"/>
          <w:b/>
          <w:bCs/>
          <w:rtl/>
        </w:rPr>
        <w:t>ת וכן רכישת הסמים בכמויות גדולו</w:t>
      </w:r>
      <w:r>
        <w:rPr>
          <w:rFonts w:ascii="David" w:hAnsi="David" w:hint="cs"/>
          <w:b/>
          <w:bCs/>
          <w:rtl/>
        </w:rPr>
        <w:t>ת נועדה לשם שימוש עצמי</w:t>
      </w:r>
      <w:r>
        <w:rPr>
          <w:rFonts w:ascii="David" w:hAnsi="David"/>
          <w:rtl/>
        </w:rPr>
        <w:t xml:space="preserve">. </w:t>
      </w:r>
    </w:p>
    <w:p w14:paraId="275978C1" w14:textId="77777777" w:rsidR="009D1E9A" w:rsidRDefault="009D1E9A" w:rsidP="009D1E9A">
      <w:pPr>
        <w:spacing w:line="360" w:lineRule="auto"/>
        <w:jc w:val="both"/>
        <w:rPr>
          <w:rFonts w:ascii="David" w:hAnsi="David"/>
          <w:rtl/>
        </w:rPr>
      </w:pPr>
    </w:p>
    <w:p w14:paraId="2E7A52DD" w14:textId="77777777" w:rsidR="009D1E9A" w:rsidRPr="00FC4932" w:rsidRDefault="009D1E9A" w:rsidP="009D1E9A">
      <w:pPr>
        <w:spacing w:line="360" w:lineRule="auto"/>
        <w:jc w:val="both"/>
        <w:rPr>
          <w:rFonts w:ascii="David" w:hAnsi="David"/>
          <w:b/>
          <w:bCs/>
        </w:rPr>
      </w:pPr>
      <w:r w:rsidRPr="00FC4932">
        <w:rPr>
          <w:rFonts w:ascii="David" w:hAnsi="David" w:hint="cs"/>
          <w:b/>
          <w:bCs/>
          <w:rtl/>
        </w:rPr>
        <w:t xml:space="preserve">ו. </w:t>
      </w:r>
      <w:r>
        <w:rPr>
          <w:rFonts w:ascii="David" w:hAnsi="David" w:hint="cs"/>
          <w:b/>
          <w:bCs/>
          <w:rtl/>
        </w:rPr>
        <w:t xml:space="preserve">     הערך החברתי המוגן שנפגע</w:t>
      </w:r>
    </w:p>
    <w:p w14:paraId="25C9BE74" w14:textId="77777777" w:rsidR="009D1E9A" w:rsidRPr="002C3D26" w:rsidRDefault="009D1E9A" w:rsidP="009D1E9A">
      <w:pPr>
        <w:spacing w:line="360" w:lineRule="auto"/>
        <w:jc w:val="both"/>
        <w:rPr>
          <w:rFonts w:ascii="David" w:hAnsi="David"/>
          <w:rtl/>
        </w:rPr>
      </w:pPr>
    </w:p>
    <w:p w14:paraId="479C3DA2" w14:textId="77777777" w:rsidR="009D1E9A" w:rsidRDefault="009D1E9A" w:rsidP="009D1E9A">
      <w:pPr>
        <w:spacing w:line="360" w:lineRule="auto"/>
        <w:ind w:left="720"/>
        <w:jc w:val="both"/>
        <w:rPr>
          <w:rFonts w:ascii="David" w:hAnsi="David"/>
          <w:rtl/>
        </w:rPr>
      </w:pPr>
      <w:r>
        <w:rPr>
          <w:rFonts w:ascii="David" w:hAnsi="David"/>
          <w:rtl/>
        </w:rPr>
        <w:t>"</w:t>
      </w:r>
      <w:r>
        <w:rPr>
          <w:rFonts w:ascii="David" w:hAnsi="David"/>
          <w:b/>
          <w:bCs/>
          <w:rtl/>
        </w:rPr>
        <w:t xml:space="preserve">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w:t>
      </w:r>
      <w:r>
        <w:rPr>
          <w:rFonts w:ascii="David" w:hAnsi="David" w:hint="cs"/>
          <w:b/>
          <w:bCs/>
          <w:rtl/>
        </w:rPr>
        <w:t>הענשתי</w:t>
      </w:r>
      <w:r>
        <w:rPr>
          <w:rFonts w:ascii="David" w:hAnsi="David"/>
          <w:b/>
          <w:bCs/>
          <w:rtl/>
        </w:rPr>
        <w:t xml:space="preserve">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David" w:hAnsi="David"/>
          <w:rtl/>
        </w:rPr>
        <w:t>" (</w:t>
      </w:r>
      <w:hyperlink r:id="rId19" w:history="1">
        <w:r w:rsidR="008E50A1" w:rsidRPr="008E50A1">
          <w:rPr>
            <w:rFonts w:ascii="David" w:hAnsi="David"/>
            <w:color w:val="0000FF"/>
            <w:u w:val="single"/>
            <w:rtl/>
          </w:rPr>
          <w:t>ע"פ 211/09</w:t>
        </w:r>
      </w:hyperlink>
      <w:r>
        <w:rPr>
          <w:rFonts w:ascii="David" w:hAnsi="David"/>
          <w:rtl/>
        </w:rPr>
        <w:t xml:space="preserve"> </w:t>
      </w:r>
      <w:r>
        <w:rPr>
          <w:rFonts w:ascii="David" w:hAnsi="David"/>
          <w:b/>
          <w:bCs/>
          <w:rtl/>
        </w:rPr>
        <w:t>אזולאי נ' מדינת ישראל</w:t>
      </w:r>
      <w:r>
        <w:rPr>
          <w:rFonts w:ascii="David" w:hAnsi="David"/>
          <w:rtl/>
        </w:rPr>
        <w:t>, פס' 10 (22.6.2010)</w:t>
      </w:r>
    </w:p>
    <w:p w14:paraId="4FF5535B" w14:textId="77777777" w:rsidR="009D1E9A" w:rsidRDefault="009D1E9A" w:rsidP="009D1E9A">
      <w:pPr>
        <w:spacing w:line="360" w:lineRule="auto"/>
        <w:jc w:val="both"/>
        <w:rPr>
          <w:rFonts w:ascii="David" w:hAnsi="David"/>
          <w:rtl/>
        </w:rPr>
      </w:pPr>
    </w:p>
    <w:p w14:paraId="118BAC4B" w14:textId="77777777" w:rsidR="009D1E9A" w:rsidRDefault="009D1E9A" w:rsidP="009D1E9A">
      <w:pPr>
        <w:spacing w:line="360" w:lineRule="auto"/>
        <w:jc w:val="both"/>
        <w:rPr>
          <w:rFonts w:ascii="David" w:hAnsi="David"/>
          <w:rtl/>
        </w:rPr>
      </w:pPr>
      <w:r w:rsidRPr="002C3D26">
        <w:rPr>
          <w:rFonts w:ascii="David" w:hAnsi="David"/>
          <w:rtl/>
        </w:rPr>
        <w:t>להיקף הרב של סמים בו החזיק הנאשם ולנוכח העובדה שמדובר בשלל סוגי סמים מיוחסת חומרה מיוחדת בפסיקת בתי המשפט (</w:t>
      </w:r>
      <w:hyperlink r:id="rId20" w:history="1">
        <w:r w:rsidR="008E50A1" w:rsidRPr="008E50A1">
          <w:rPr>
            <w:rFonts w:ascii="David" w:hAnsi="David"/>
            <w:color w:val="0000FF"/>
            <w:u w:val="single"/>
            <w:rtl/>
          </w:rPr>
          <w:t>ע"פ 1932/15</w:t>
        </w:r>
      </w:hyperlink>
      <w:r w:rsidRPr="002C3D26">
        <w:rPr>
          <w:rFonts w:ascii="David" w:hAnsi="David"/>
          <w:rtl/>
        </w:rPr>
        <w:t xml:space="preserve"> </w:t>
      </w:r>
      <w:r w:rsidRPr="002C3D26">
        <w:rPr>
          <w:rFonts w:ascii="David" w:hAnsi="David"/>
          <w:b/>
          <w:bCs/>
          <w:rtl/>
        </w:rPr>
        <w:t>בן סעדון נ' מדינת ישראל</w:t>
      </w:r>
      <w:r w:rsidRPr="002C3D26">
        <w:rPr>
          <w:rFonts w:ascii="David" w:hAnsi="David"/>
          <w:rtl/>
        </w:rPr>
        <w:t xml:space="preserve"> (17.4.2016)).</w:t>
      </w:r>
    </w:p>
    <w:p w14:paraId="365D71BE" w14:textId="77777777" w:rsidR="009D1E9A" w:rsidRDefault="009D1E9A" w:rsidP="009D1E9A">
      <w:pPr>
        <w:spacing w:line="360" w:lineRule="auto"/>
        <w:jc w:val="both"/>
        <w:rPr>
          <w:rFonts w:ascii="David" w:hAnsi="David"/>
          <w:rtl/>
        </w:rPr>
      </w:pPr>
    </w:p>
    <w:p w14:paraId="39E15E37" w14:textId="77777777" w:rsidR="009D1E9A" w:rsidRDefault="009D1E9A" w:rsidP="009D1E9A">
      <w:pPr>
        <w:spacing w:line="360" w:lineRule="auto"/>
        <w:jc w:val="both"/>
        <w:rPr>
          <w:rFonts w:ascii="David" w:hAnsi="David"/>
          <w:b/>
          <w:bCs/>
          <w:rtl/>
        </w:rPr>
      </w:pPr>
      <w:r>
        <w:rPr>
          <w:rFonts w:ascii="David" w:hAnsi="David" w:hint="cs"/>
          <w:b/>
          <w:bCs/>
          <w:rtl/>
        </w:rPr>
        <w:t xml:space="preserve">ז.        </w:t>
      </w:r>
      <w:r w:rsidRPr="00406A77">
        <w:rPr>
          <w:rFonts w:ascii="David" w:hAnsi="David" w:hint="cs"/>
          <w:b/>
          <w:bCs/>
          <w:rtl/>
        </w:rPr>
        <w:t xml:space="preserve">מדיניות הענישה הנוהגת </w:t>
      </w:r>
    </w:p>
    <w:p w14:paraId="15E835CE" w14:textId="77777777" w:rsidR="009D1E9A" w:rsidRDefault="009D1E9A" w:rsidP="009D1E9A">
      <w:pPr>
        <w:spacing w:line="360" w:lineRule="auto"/>
        <w:jc w:val="both"/>
        <w:rPr>
          <w:rFonts w:ascii="David" w:hAnsi="David"/>
          <w:b/>
          <w:bCs/>
          <w:rtl/>
        </w:rPr>
      </w:pPr>
    </w:p>
    <w:p w14:paraId="0864E0CD" w14:textId="77777777" w:rsidR="009D1E9A" w:rsidRPr="00B05847" w:rsidRDefault="009D1E9A" w:rsidP="009D1E9A">
      <w:pPr>
        <w:spacing w:line="360" w:lineRule="auto"/>
        <w:jc w:val="both"/>
        <w:rPr>
          <w:rtl/>
        </w:rPr>
      </w:pPr>
      <w:r>
        <w:rPr>
          <w:rFonts w:hint="cs"/>
          <w:rtl/>
        </w:rPr>
        <w:t>מכלל פסקי הדין אשר הוגשו לעיוני, אני רואה לקבוע כי קיים קושי מובנה לקבוע מתחם ענישה לכל סוג וסוג של סם. על כן, יש בדעתי להידרש לפסק דין אחד בלבד שהוא הרלוונטי בהיותו כולל את סוגי הסמים השונים, ולשם השוואה גם את הכמויות באותו מקרה. כמו כן, באותו פסק דין יש התייחסות מרחיבה למדיניות הענישה הנוהגת, ואין מקום לחזור על הדברים מפאת קוצר היריעה.</w:t>
      </w:r>
    </w:p>
    <w:p w14:paraId="2110DE75" w14:textId="77777777" w:rsidR="009D1E9A" w:rsidRPr="00B05847" w:rsidRDefault="009D1E9A" w:rsidP="009D1E9A">
      <w:pPr>
        <w:spacing w:line="360" w:lineRule="auto"/>
        <w:rPr>
          <w:rtl/>
        </w:rPr>
      </w:pPr>
    </w:p>
    <w:p w14:paraId="1F32FB02" w14:textId="77777777" w:rsidR="009D1E9A" w:rsidRDefault="009D1E9A" w:rsidP="009D1E9A">
      <w:pPr>
        <w:spacing w:line="360" w:lineRule="auto"/>
        <w:jc w:val="both"/>
        <w:rPr>
          <w:rFonts w:ascii="David" w:hAnsi="David"/>
          <w:rtl/>
        </w:rPr>
      </w:pPr>
      <w:r>
        <w:rPr>
          <w:rFonts w:ascii="David" w:hAnsi="David"/>
          <w:rtl/>
        </w:rPr>
        <w:t>ב</w:t>
      </w:r>
      <w:r>
        <w:rPr>
          <w:rFonts w:ascii="David" w:hAnsi="David" w:hint="cs"/>
          <w:rtl/>
        </w:rPr>
        <w:t>-</w:t>
      </w:r>
      <w:hyperlink r:id="rId21" w:history="1">
        <w:r w:rsidR="008E50A1" w:rsidRPr="008E50A1">
          <w:rPr>
            <w:rFonts w:ascii="David" w:hAnsi="David"/>
            <w:color w:val="0000FF"/>
            <w:u w:val="single"/>
            <w:rtl/>
          </w:rPr>
          <w:t>ת"פ 17642-11-20</w:t>
        </w:r>
      </w:hyperlink>
      <w:r>
        <w:rPr>
          <w:rFonts w:ascii="David" w:hAnsi="David"/>
          <w:rtl/>
        </w:rPr>
        <w:t xml:space="preserve"> </w:t>
      </w:r>
      <w:r>
        <w:rPr>
          <w:rFonts w:ascii="David" w:hAnsi="David"/>
          <w:b/>
          <w:bCs/>
          <w:rtl/>
        </w:rPr>
        <w:t>מדינת ישראל נ' הראל</w:t>
      </w:r>
      <w:r>
        <w:rPr>
          <w:rFonts w:ascii="David" w:hAnsi="David"/>
          <w:rtl/>
        </w:rPr>
        <w:t xml:space="preserve"> (27.10.21) הורשע הנאשם במסגרת הסדר טיעון בעבירות של החזקת סם שלא לצריכה עצמית לפי </w:t>
      </w:r>
      <w:hyperlink r:id="rId22" w:history="1">
        <w:r w:rsidR="008259BF" w:rsidRPr="008259BF">
          <w:rPr>
            <w:rStyle w:val="Hyperlink"/>
            <w:rFonts w:ascii="David" w:hAnsi="David"/>
            <w:rtl/>
          </w:rPr>
          <w:t>סעיפים 7 (א) ו-(ג)</w:t>
        </w:r>
      </w:hyperlink>
      <w:r>
        <w:rPr>
          <w:rFonts w:ascii="David" w:hAnsi="David"/>
          <w:rtl/>
        </w:rPr>
        <w:t xml:space="preserve"> ל</w:t>
      </w:r>
      <w:hyperlink r:id="rId23" w:history="1">
        <w:r w:rsidR="008E50A1" w:rsidRPr="008E50A1">
          <w:rPr>
            <w:rFonts w:ascii="David" w:hAnsi="David"/>
            <w:color w:val="0000FF"/>
            <w:u w:val="single"/>
            <w:rtl/>
          </w:rPr>
          <w:t>פקודת הסמים המסוכנים</w:t>
        </w:r>
      </w:hyperlink>
      <w:r>
        <w:rPr>
          <w:rFonts w:ascii="David" w:hAnsi="David"/>
          <w:rtl/>
        </w:rPr>
        <w:t xml:space="preserve"> [נוסח חדש] תשל"ג-1973. הנאשם החזיק: סם מסוכן מסוג קוקאין במשקל כולל של 298.79 גרם נטו; סם מסוכן מסוג קטמין במשקל כולל של 79.03 גרם נטו; סם מסוכן מסוג קטמין במשקל 189 מ"ל נטו; סם מסוכן מסוג </w:t>
      </w:r>
      <w:r>
        <w:rPr>
          <w:rFonts w:ascii="David" w:hAnsi="David"/>
        </w:rPr>
        <w:t>EYUTYLON</w:t>
      </w:r>
      <w:r>
        <w:rPr>
          <w:rFonts w:ascii="David" w:hAnsi="David"/>
          <w:rtl/>
        </w:rPr>
        <w:t xml:space="preserve"> (נגזרת מבנית של קאתינון) במשקל כולל של 5.031 גרם נטו; 170 טבליות סם מסוכן מסוג </w:t>
      </w:r>
      <w:r>
        <w:rPr>
          <w:rFonts w:ascii="David" w:hAnsi="David"/>
        </w:rPr>
        <w:t>MDMA</w:t>
      </w:r>
      <w:r>
        <w:rPr>
          <w:rFonts w:ascii="David" w:hAnsi="David"/>
          <w:rtl/>
        </w:rPr>
        <w:t xml:space="preserve">; סם מסוכן מסוג </w:t>
      </w:r>
      <w:r>
        <w:rPr>
          <w:rFonts w:ascii="David" w:hAnsi="David"/>
        </w:rPr>
        <w:t>MDMA</w:t>
      </w:r>
      <w:r>
        <w:rPr>
          <w:rFonts w:ascii="David" w:hAnsi="David"/>
          <w:rtl/>
        </w:rPr>
        <w:t xml:space="preserve"> במשקל כולל של 0.858 גרם נטו; סם מסוכן מסוג קנבוס במשקל כולל של 302.445 גרם נטו; סם מסוכן מסוג קנבוס במשקל כולל של 3.366 גרם נטו; סם מסוכן מסוג קנבוס במשקל כולל של 4.896 גרם נטו. </w:t>
      </w:r>
    </w:p>
    <w:p w14:paraId="01D440AA" w14:textId="77777777" w:rsidR="009D1E9A" w:rsidRDefault="009D1E9A" w:rsidP="009D1E9A">
      <w:pPr>
        <w:spacing w:line="360" w:lineRule="auto"/>
        <w:jc w:val="both"/>
        <w:rPr>
          <w:rFonts w:ascii="David" w:hAnsi="David"/>
          <w:rtl/>
        </w:rPr>
      </w:pPr>
    </w:p>
    <w:p w14:paraId="46C1716E" w14:textId="77777777" w:rsidR="009D1E9A" w:rsidRDefault="009D1E9A" w:rsidP="009D1E9A">
      <w:pPr>
        <w:spacing w:line="360" w:lineRule="auto"/>
        <w:jc w:val="both"/>
        <w:rPr>
          <w:rFonts w:ascii="David" w:hAnsi="David"/>
          <w:rtl/>
        </w:rPr>
      </w:pPr>
      <w:r>
        <w:rPr>
          <w:rFonts w:ascii="David" w:hAnsi="David"/>
          <w:rtl/>
        </w:rPr>
        <w:t xml:space="preserve">לעומת זאת במקרה דנן הנאשם החזיק קטמין- 75 מ"ל ו-8.5322 גרם נטו. קוקאין- 180.3609 גרם נטו. קטמין וקוקאין- 0.5411 גרם נטו. </w:t>
      </w:r>
      <w:r>
        <w:rPr>
          <w:rFonts w:ascii="David" w:hAnsi="David"/>
        </w:rPr>
        <w:t>GBL</w:t>
      </w:r>
      <w:r>
        <w:rPr>
          <w:rFonts w:ascii="David" w:hAnsi="David"/>
          <w:rtl/>
        </w:rPr>
        <w:t xml:space="preserve"> 856.5 מ"ל. </w:t>
      </w:r>
      <w:r>
        <w:rPr>
          <w:rFonts w:ascii="David" w:hAnsi="David"/>
        </w:rPr>
        <w:t>MDMA</w:t>
      </w:r>
      <w:r>
        <w:rPr>
          <w:rFonts w:ascii="David" w:hAnsi="David"/>
          <w:rtl/>
        </w:rPr>
        <w:t>- 30 טבליות ו-9.3874 גרם נטו.</w:t>
      </w:r>
    </w:p>
    <w:p w14:paraId="0629613C" w14:textId="77777777" w:rsidR="009D1E9A" w:rsidRPr="009D1E9A" w:rsidRDefault="009D1E9A" w:rsidP="009D1E9A">
      <w:pPr>
        <w:spacing w:line="360" w:lineRule="auto"/>
        <w:jc w:val="both"/>
        <w:rPr>
          <w:rFonts w:ascii="David" w:hAnsi="David" w:cs="Arial"/>
          <w:szCs w:val="22"/>
          <w:rtl/>
        </w:rPr>
      </w:pPr>
      <w:r>
        <w:rPr>
          <w:rFonts w:ascii="David" w:hAnsi="David"/>
          <w:rtl/>
        </w:rPr>
        <w:t xml:space="preserve"> </w:t>
      </w:r>
      <w:r>
        <w:rPr>
          <w:rFonts w:ascii="David" w:hAnsi="David"/>
        </w:rPr>
        <w:t>P-METHYLMETHCATHINONE</w:t>
      </w:r>
      <w:r>
        <w:rPr>
          <w:rFonts w:ascii="David" w:hAnsi="David"/>
          <w:rtl/>
        </w:rPr>
        <w:t>-</w:t>
      </w:r>
      <w:r>
        <w:rPr>
          <w:rFonts w:ascii="David" w:hAnsi="David"/>
        </w:rPr>
        <w:t xml:space="preserve"> </w:t>
      </w:r>
      <w:r>
        <w:rPr>
          <w:rFonts w:ascii="David" w:hAnsi="David"/>
          <w:rtl/>
        </w:rPr>
        <w:t>38.6427 גרם נטו.</w:t>
      </w:r>
    </w:p>
    <w:p w14:paraId="7C83DDDC" w14:textId="77777777" w:rsidR="009D1E9A" w:rsidRDefault="009D1E9A" w:rsidP="009D1E9A">
      <w:pPr>
        <w:spacing w:line="360" w:lineRule="auto"/>
        <w:jc w:val="both"/>
        <w:rPr>
          <w:rFonts w:ascii="David" w:hAnsi="David"/>
          <w:rtl/>
        </w:rPr>
      </w:pPr>
      <w:r>
        <w:rPr>
          <w:rFonts w:ascii="David" w:hAnsi="David"/>
        </w:rPr>
        <w:t xml:space="preserve"> ,m-METHYLMETHCATHINONE</w:t>
      </w:r>
      <w:r>
        <w:rPr>
          <w:rFonts w:ascii="David" w:hAnsi="David"/>
          <w:rtl/>
        </w:rPr>
        <w:t>ו-</w:t>
      </w:r>
      <w:r>
        <w:rPr>
          <w:rFonts w:ascii="David" w:hAnsi="David"/>
        </w:rPr>
        <w:t>P-METHYLMETHCATHINONE-MMC-m</w:t>
      </w:r>
      <w:r>
        <w:rPr>
          <w:rFonts w:ascii="David" w:hAnsi="David"/>
          <w:rtl/>
        </w:rPr>
        <w:t>- 0.9761 גרם נטו.</w:t>
      </w:r>
    </w:p>
    <w:p w14:paraId="69E3416C" w14:textId="77777777" w:rsidR="009D1E9A" w:rsidRDefault="009D1E9A" w:rsidP="009D1E9A">
      <w:pPr>
        <w:spacing w:line="360" w:lineRule="auto"/>
        <w:jc w:val="both"/>
        <w:rPr>
          <w:rFonts w:ascii="David" w:hAnsi="David"/>
          <w:rtl/>
        </w:rPr>
      </w:pPr>
      <w:r>
        <w:rPr>
          <w:rFonts w:ascii="David" w:hAnsi="David"/>
        </w:rPr>
        <w:t>METHAMPHETAMIN</w:t>
      </w:r>
      <w:r>
        <w:rPr>
          <w:rFonts w:ascii="David" w:hAnsi="David"/>
          <w:rtl/>
        </w:rPr>
        <w:t xml:space="preserve">- </w:t>
      </w:r>
      <w:r>
        <w:rPr>
          <w:rFonts w:ascii="David" w:hAnsi="David" w:hint="cs"/>
          <w:rtl/>
        </w:rPr>
        <w:t>4-טבליות</w:t>
      </w:r>
      <w:r>
        <w:rPr>
          <w:rFonts w:ascii="David" w:hAnsi="David"/>
          <w:rtl/>
        </w:rPr>
        <w:t xml:space="preserve"> ועוד 12.9194 גרם נטו.</w:t>
      </w:r>
    </w:p>
    <w:p w14:paraId="4E51B9DB" w14:textId="77777777" w:rsidR="009D1E9A" w:rsidRPr="009D1E9A" w:rsidRDefault="009D1E9A" w:rsidP="009D1E9A">
      <w:pPr>
        <w:spacing w:line="360" w:lineRule="auto"/>
        <w:jc w:val="both"/>
        <w:rPr>
          <w:rFonts w:ascii="David" w:hAnsi="David" w:cs="Arial"/>
          <w:szCs w:val="22"/>
          <w:rtl/>
        </w:rPr>
      </w:pPr>
      <w:r>
        <w:rPr>
          <w:rFonts w:ascii="David" w:hAnsi="David"/>
        </w:rPr>
        <w:t>m-Chloromethcathinone</w:t>
      </w:r>
      <w:r>
        <w:rPr>
          <w:rFonts w:ascii="David" w:hAnsi="David"/>
          <w:rtl/>
        </w:rPr>
        <w:t>- 5.72 גרם נטו.</w:t>
      </w:r>
    </w:p>
    <w:p w14:paraId="3053D66F" w14:textId="77777777" w:rsidR="009D1E9A" w:rsidRPr="009D1E9A" w:rsidRDefault="009D1E9A" w:rsidP="009D1E9A">
      <w:pPr>
        <w:spacing w:line="360" w:lineRule="auto"/>
        <w:jc w:val="both"/>
        <w:rPr>
          <w:rFonts w:ascii="David" w:hAnsi="David" w:cs="Arial"/>
          <w:szCs w:val="22"/>
          <w:rtl/>
        </w:rPr>
      </w:pPr>
    </w:p>
    <w:p w14:paraId="1B562BEE" w14:textId="77777777" w:rsidR="009D1E9A" w:rsidRPr="00862B80" w:rsidRDefault="009D1E9A" w:rsidP="009D1E9A">
      <w:pPr>
        <w:spacing w:line="360" w:lineRule="auto"/>
        <w:jc w:val="both"/>
        <w:rPr>
          <w:rFonts w:ascii="David" w:hAnsi="David"/>
          <w:rtl/>
        </w:rPr>
      </w:pPr>
      <w:r w:rsidRPr="00862B80">
        <w:rPr>
          <w:rFonts w:ascii="David" w:hAnsi="David" w:hint="cs"/>
          <w:rtl/>
        </w:rPr>
        <w:t xml:space="preserve">השוואת סוגי הסם והכמויות למקרה אשר בפנינו מעלה כי הנאשם החזיק בכמויות פחותות באופן משמעותי </w:t>
      </w:r>
      <w:r w:rsidRPr="00C80E29">
        <w:rPr>
          <w:rFonts w:ascii="David" w:hAnsi="David" w:hint="cs"/>
          <w:b/>
          <w:bCs/>
          <w:rtl/>
        </w:rPr>
        <w:t>מעניין הראל</w:t>
      </w:r>
      <w:r>
        <w:rPr>
          <w:rFonts w:ascii="David" w:hAnsi="David" w:hint="cs"/>
          <w:rtl/>
        </w:rPr>
        <w:t xml:space="preserve">: כך למשל, </w:t>
      </w:r>
      <w:r w:rsidRPr="00862B80">
        <w:rPr>
          <w:rFonts w:ascii="David" w:hAnsi="David" w:hint="cs"/>
          <w:rtl/>
        </w:rPr>
        <w:t>הנאשם</w:t>
      </w:r>
      <w:r>
        <w:rPr>
          <w:rFonts w:ascii="David" w:hAnsi="David" w:hint="cs"/>
          <w:rtl/>
        </w:rPr>
        <w:t xml:space="preserve"> בענייננו</w:t>
      </w:r>
      <w:r w:rsidRPr="00862B80">
        <w:rPr>
          <w:rFonts w:ascii="David" w:hAnsi="David" w:hint="cs"/>
          <w:rtl/>
        </w:rPr>
        <w:t xml:space="preserve"> החזיק קטמין במשקל של 75מ"ל ו</w:t>
      </w:r>
      <w:r>
        <w:rPr>
          <w:rFonts w:ascii="David" w:hAnsi="David" w:hint="cs"/>
          <w:rtl/>
        </w:rPr>
        <w:t>-</w:t>
      </w:r>
      <w:r w:rsidRPr="00862B80">
        <w:rPr>
          <w:rFonts w:ascii="David" w:hAnsi="David" w:hint="cs"/>
          <w:rtl/>
        </w:rPr>
        <w:t xml:space="preserve"> 8.53 גר</w:t>
      </w:r>
      <w:r>
        <w:rPr>
          <w:rFonts w:ascii="David" w:hAnsi="David" w:hint="cs"/>
          <w:rtl/>
        </w:rPr>
        <w:t>ם</w:t>
      </w:r>
      <w:r w:rsidRPr="00862B80">
        <w:rPr>
          <w:rFonts w:ascii="David" w:hAnsi="David" w:hint="cs"/>
          <w:rtl/>
        </w:rPr>
        <w:t xml:space="preserve"> בעוד </w:t>
      </w:r>
      <w:r>
        <w:rPr>
          <w:rFonts w:ascii="David" w:hAnsi="David" w:hint="cs"/>
          <w:rtl/>
        </w:rPr>
        <w:t>ש</w:t>
      </w:r>
      <w:r w:rsidRPr="00862B80">
        <w:rPr>
          <w:rFonts w:ascii="David" w:hAnsi="David" w:hint="cs"/>
          <w:rtl/>
        </w:rPr>
        <w:t xml:space="preserve">בעניין </w:t>
      </w:r>
      <w:r>
        <w:rPr>
          <w:rFonts w:ascii="David" w:hAnsi="David" w:hint="cs"/>
          <w:b/>
          <w:bCs/>
          <w:rtl/>
        </w:rPr>
        <w:t>הראל</w:t>
      </w:r>
      <w:r w:rsidRPr="00862B80">
        <w:rPr>
          <w:rFonts w:ascii="David" w:hAnsi="David" w:hint="cs"/>
          <w:rtl/>
        </w:rPr>
        <w:t xml:space="preserve"> </w:t>
      </w:r>
      <w:r>
        <w:rPr>
          <w:rFonts w:ascii="David" w:hAnsi="David" w:hint="cs"/>
          <w:rtl/>
        </w:rPr>
        <w:t xml:space="preserve">הנאשם שם, </w:t>
      </w:r>
      <w:r w:rsidRPr="00862B80">
        <w:rPr>
          <w:rFonts w:ascii="David" w:hAnsi="David" w:hint="cs"/>
          <w:rtl/>
        </w:rPr>
        <w:t xml:space="preserve">החזיק 260 גרם קטמין. הנאשם החזיק קוקאין במשקל 180 גרם בעוד </w:t>
      </w:r>
      <w:r>
        <w:rPr>
          <w:rFonts w:ascii="David" w:hAnsi="David" w:hint="cs"/>
          <w:rtl/>
        </w:rPr>
        <w:t xml:space="preserve">בעניין </w:t>
      </w:r>
      <w:r w:rsidRPr="00C80E29">
        <w:rPr>
          <w:rFonts w:ascii="David" w:hAnsi="David" w:hint="cs"/>
          <w:b/>
          <w:bCs/>
          <w:rtl/>
        </w:rPr>
        <w:t xml:space="preserve">הראל </w:t>
      </w:r>
      <w:r w:rsidRPr="00862B80">
        <w:rPr>
          <w:rFonts w:ascii="David" w:hAnsi="David" w:hint="cs"/>
          <w:rtl/>
        </w:rPr>
        <w:t>החזיק 298 גרם. הנאשם החזיק כ</w:t>
      </w:r>
      <w:r>
        <w:rPr>
          <w:rFonts w:ascii="David" w:hAnsi="David" w:hint="cs"/>
          <w:rtl/>
        </w:rPr>
        <w:t>-</w:t>
      </w:r>
      <w:r w:rsidRPr="00862B80">
        <w:rPr>
          <w:rFonts w:ascii="David" w:hAnsi="David" w:hint="cs"/>
          <w:rtl/>
        </w:rPr>
        <w:t xml:space="preserve"> 30  טבליות ו</w:t>
      </w:r>
      <w:r>
        <w:rPr>
          <w:rFonts w:ascii="David" w:hAnsi="David" w:hint="cs"/>
          <w:rtl/>
        </w:rPr>
        <w:t>-</w:t>
      </w:r>
      <w:r w:rsidRPr="00862B80">
        <w:rPr>
          <w:rFonts w:ascii="David" w:hAnsi="David" w:hint="cs"/>
          <w:rtl/>
        </w:rPr>
        <w:t xml:space="preserve"> 9</w:t>
      </w:r>
      <w:r>
        <w:rPr>
          <w:rFonts w:ascii="David" w:hAnsi="David" w:hint="cs"/>
          <w:rtl/>
        </w:rPr>
        <w:t xml:space="preserve"> </w:t>
      </w:r>
      <w:r w:rsidRPr="00862B80">
        <w:rPr>
          <w:rFonts w:ascii="David" w:hAnsi="David" w:hint="cs"/>
          <w:rtl/>
        </w:rPr>
        <w:t xml:space="preserve">גרם  </w:t>
      </w:r>
      <w:r>
        <w:rPr>
          <w:rFonts w:ascii="David" w:hAnsi="David"/>
        </w:rPr>
        <w:t>MDMA</w:t>
      </w:r>
      <w:r w:rsidRPr="00862B80">
        <w:rPr>
          <w:rFonts w:ascii="David" w:hAnsi="David"/>
        </w:rPr>
        <w:t xml:space="preserve"> </w:t>
      </w:r>
      <w:r w:rsidRPr="00862B80">
        <w:rPr>
          <w:rFonts w:ascii="David" w:hAnsi="David" w:hint="cs"/>
          <w:rtl/>
        </w:rPr>
        <w:t xml:space="preserve"> בעוד הראל החזיק 170 טבליות. מנגד יש לציין כי הנאשם החזיק בסם מסוכן מסוג </w:t>
      </w:r>
      <w:r>
        <w:rPr>
          <w:rFonts w:ascii="David" w:hAnsi="David"/>
        </w:rPr>
        <w:t>GBL</w:t>
      </w:r>
      <w:r w:rsidRPr="00862B80">
        <w:rPr>
          <w:rFonts w:ascii="David" w:hAnsi="David"/>
        </w:rPr>
        <w:t xml:space="preserve"> </w:t>
      </w:r>
      <w:r w:rsidRPr="00862B80">
        <w:rPr>
          <w:rFonts w:ascii="David" w:hAnsi="David" w:hint="cs"/>
          <w:rtl/>
        </w:rPr>
        <w:t xml:space="preserve"> בכמות של 856 מ"ל בעוד ל</w:t>
      </w:r>
      <w:r w:rsidRPr="00C80E29">
        <w:rPr>
          <w:rFonts w:ascii="David" w:hAnsi="David" w:hint="cs"/>
          <w:b/>
          <w:bCs/>
          <w:rtl/>
        </w:rPr>
        <w:t>הראל</w:t>
      </w:r>
      <w:r w:rsidRPr="00862B80">
        <w:rPr>
          <w:rFonts w:ascii="David" w:hAnsi="David" w:hint="cs"/>
          <w:rtl/>
        </w:rPr>
        <w:t xml:space="preserve"> לא מיוחסת</w:t>
      </w:r>
      <w:r>
        <w:rPr>
          <w:rFonts w:ascii="David" w:hAnsi="David" w:hint="cs"/>
          <w:rtl/>
        </w:rPr>
        <w:t xml:space="preserve"> לנאשם, שם, </w:t>
      </w:r>
      <w:r w:rsidRPr="00862B80">
        <w:rPr>
          <w:rFonts w:ascii="David" w:hAnsi="David" w:hint="cs"/>
          <w:rtl/>
        </w:rPr>
        <w:t xml:space="preserve"> החזקת סם מסוג זה. להשלמת התמונה יש לציין כי </w:t>
      </w:r>
      <w:r w:rsidRPr="00C80E29">
        <w:rPr>
          <w:rFonts w:ascii="David" w:hAnsi="David" w:hint="cs"/>
          <w:b/>
          <w:bCs/>
          <w:rtl/>
        </w:rPr>
        <w:t>הראל</w:t>
      </w:r>
      <w:r w:rsidRPr="00862B80">
        <w:rPr>
          <w:rFonts w:ascii="David" w:hAnsi="David" w:hint="cs"/>
          <w:rtl/>
        </w:rPr>
        <w:t xml:space="preserve"> החזיק גם בקנבוס במשקל 302 גרם נטו בעוד לנאשם</w:t>
      </w:r>
      <w:r>
        <w:rPr>
          <w:rFonts w:ascii="David" w:hAnsi="David" w:hint="cs"/>
          <w:rtl/>
        </w:rPr>
        <w:t xml:space="preserve"> בענייננו</w:t>
      </w:r>
      <w:r w:rsidRPr="00862B80">
        <w:rPr>
          <w:rFonts w:ascii="David" w:hAnsi="David" w:hint="cs"/>
          <w:rtl/>
        </w:rPr>
        <w:t xml:space="preserve"> לא מיוחסת החזקת סם זה. </w:t>
      </w:r>
    </w:p>
    <w:p w14:paraId="53E00780" w14:textId="77777777" w:rsidR="009D1E9A" w:rsidRDefault="009D1E9A" w:rsidP="009D1E9A">
      <w:pPr>
        <w:spacing w:line="360" w:lineRule="auto"/>
        <w:jc w:val="both"/>
        <w:rPr>
          <w:rFonts w:ascii="David" w:hAnsi="David"/>
          <w:rtl/>
        </w:rPr>
      </w:pPr>
    </w:p>
    <w:p w14:paraId="548CA2A0" w14:textId="77777777" w:rsidR="009D1E9A" w:rsidRDefault="009D1E9A" w:rsidP="009D1E9A">
      <w:pPr>
        <w:spacing w:line="360" w:lineRule="auto"/>
        <w:jc w:val="both"/>
        <w:rPr>
          <w:rFonts w:ascii="David" w:hAnsi="David"/>
          <w:rtl/>
        </w:rPr>
      </w:pPr>
      <w:r>
        <w:rPr>
          <w:rFonts w:ascii="David" w:hAnsi="David"/>
          <w:rtl/>
        </w:rPr>
        <w:t xml:space="preserve">נקבע מתחם ענישה בין 42 ל-72 חודשי מאסר. </w:t>
      </w:r>
    </w:p>
    <w:p w14:paraId="3247A7E5" w14:textId="77777777" w:rsidR="009D1E9A" w:rsidRDefault="009D1E9A" w:rsidP="009D1E9A">
      <w:pPr>
        <w:spacing w:line="360" w:lineRule="auto"/>
        <w:jc w:val="both"/>
        <w:rPr>
          <w:rFonts w:ascii="David" w:hAnsi="David"/>
          <w:rtl/>
        </w:rPr>
      </w:pPr>
    </w:p>
    <w:p w14:paraId="0200D8E2" w14:textId="77777777" w:rsidR="009D1E9A" w:rsidRDefault="009D1E9A" w:rsidP="009D1E9A">
      <w:pPr>
        <w:spacing w:line="360" w:lineRule="auto"/>
        <w:jc w:val="both"/>
        <w:rPr>
          <w:rFonts w:ascii="David" w:hAnsi="David"/>
          <w:rtl/>
        </w:rPr>
      </w:pPr>
      <w:r>
        <w:rPr>
          <w:rFonts w:ascii="David" w:hAnsi="David"/>
          <w:rtl/>
        </w:rPr>
        <w:t xml:space="preserve">בגזירת העונש </w:t>
      </w:r>
      <w:r>
        <w:rPr>
          <w:rFonts w:ascii="David" w:hAnsi="David" w:hint="cs"/>
          <w:rtl/>
        </w:rPr>
        <w:t xml:space="preserve">צוין </w:t>
      </w:r>
      <w:r w:rsidRPr="00F01C4E">
        <w:rPr>
          <w:rFonts w:ascii="David" w:hAnsi="David" w:hint="cs"/>
          <w:b/>
          <w:bCs/>
          <w:rtl/>
        </w:rPr>
        <w:t>כי להראל עבר פלילי רלוונטי וכי העבירה בוצעה בשעה שהראל היה תחת צו מבחן.</w:t>
      </w:r>
      <w:r>
        <w:rPr>
          <w:rFonts w:ascii="David" w:hAnsi="David" w:hint="cs"/>
          <w:rtl/>
        </w:rPr>
        <w:t xml:space="preserve"> </w:t>
      </w:r>
      <w:r>
        <w:rPr>
          <w:rFonts w:ascii="David" w:hAnsi="David"/>
          <w:rtl/>
        </w:rPr>
        <w:t>הושתו על ה</w:t>
      </w:r>
      <w:r>
        <w:rPr>
          <w:rFonts w:ascii="David" w:hAnsi="David" w:hint="cs"/>
          <w:rtl/>
        </w:rPr>
        <w:t xml:space="preserve">ראל </w:t>
      </w:r>
      <w:r>
        <w:rPr>
          <w:rFonts w:ascii="David" w:hAnsi="David"/>
          <w:rtl/>
        </w:rPr>
        <w:t xml:space="preserve"> 48 חודשי מאסר </w:t>
      </w:r>
      <w:r w:rsidRPr="00EC6103">
        <w:rPr>
          <w:rFonts w:ascii="David" w:hAnsi="David"/>
          <w:b/>
          <w:bCs/>
          <w:rtl/>
        </w:rPr>
        <w:t>יחד עם הפעלת מאסר מותנה של 8 חודשים</w:t>
      </w:r>
      <w:r>
        <w:rPr>
          <w:rFonts w:ascii="David" w:hAnsi="David"/>
          <w:rtl/>
        </w:rPr>
        <w:t xml:space="preserve"> כאשר 6 </w:t>
      </w:r>
      <w:r>
        <w:rPr>
          <w:rFonts w:ascii="David" w:hAnsi="David" w:hint="cs"/>
          <w:rtl/>
        </w:rPr>
        <w:t xml:space="preserve">חודשים </w:t>
      </w:r>
      <w:r>
        <w:rPr>
          <w:rFonts w:ascii="David" w:hAnsi="David"/>
          <w:rtl/>
        </w:rPr>
        <w:t xml:space="preserve">מתוכם ירוצו במצטבר. קרי, </w:t>
      </w:r>
      <w:r w:rsidRPr="002C69E4">
        <w:rPr>
          <w:rFonts w:ascii="David" w:hAnsi="David" w:hint="cs"/>
          <w:b/>
          <w:bCs/>
          <w:rtl/>
        </w:rPr>
        <w:t xml:space="preserve">הראל </w:t>
      </w:r>
      <w:r>
        <w:rPr>
          <w:rFonts w:ascii="David" w:hAnsi="David" w:hint="cs"/>
          <w:rtl/>
        </w:rPr>
        <w:t xml:space="preserve">נדון </w:t>
      </w:r>
      <w:r>
        <w:rPr>
          <w:rFonts w:ascii="David" w:hAnsi="David"/>
          <w:rtl/>
        </w:rPr>
        <w:t xml:space="preserve"> </w:t>
      </w:r>
      <w:r>
        <w:rPr>
          <w:rFonts w:ascii="David" w:hAnsi="David" w:hint="cs"/>
          <w:rtl/>
        </w:rPr>
        <w:t xml:space="preserve">ל- 54 </w:t>
      </w:r>
      <w:r>
        <w:rPr>
          <w:rFonts w:ascii="David" w:hAnsi="David"/>
          <w:rtl/>
        </w:rPr>
        <w:t xml:space="preserve">חודשי מאסר. </w:t>
      </w:r>
    </w:p>
    <w:p w14:paraId="758CFDA9" w14:textId="77777777" w:rsidR="009D1E9A" w:rsidRDefault="009D1E9A" w:rsidP="009D1E9A">
      <w:pPr>
        <w:spacing w:line="360" w:lineRule="auto"/>
        <w:jc w:val="both"/>
        <w:rPr>
          <w:rFonts w:ascii="David" w:hAnsi="David"/>
          <w:rtl/>
        </w:rPr>
      </w:pPr>
    </w:p>
    <w:p w14:paraId="3CEC3901" w14:textId="77777777" w:rsidR="009D1E9A" w:rsidRDefault="009D1E9A" w:rsidP="009D1E9A">
      <w:pPr>
        <w:spacing w:line="360" w:lineRule="auto"/>
        <w:jc w:val="both"/>
        <w:rPr>
          <w:rFonts w:ascii="David" w:hAnsi="David"/>
          <w:b/>
          <w:bCs/>
          <w:rtl/>
        </w:rPr>
      </w:pPr>
    </w:p>
    <w:p w14:paraId="4D53A877" w14:textId="77777777" w:rsidR="009D1E9A" w:rsidRDefault="009D1E9A" w:rsidP="009D1E9A">
      <w:pPr>
        <w:spacing w:line="360" w:lineRule="auto"/>
        <w:jc w:val="both"/>
        <w:rPr>
          <w:rFonts w:ascii="David" w:hAnsi="David"/>
          <w:b/>
          <w:bCs/>
          <w:rtl/>
        </w:rPr>
      </w:pPr>
    </w:p>
    <w:p w14:paraId="1D72B38D" w14:textId="77777777" w:rsidR="009D1E9A" w:rsidRDefault="009D1E9A" w:rsidP="009D1E9A">
      <w:pPr>
        <w:spacing w:line="360" w:lineRule="auto"/>
        <w:jc w:val="both"/>
        <w:rPr>
          <w:rFonts w:ascii="David" w:hAnsi="David"/>
          <w:b/>
          <w:bCs/>
          <w:rtl/>
        </w:rPr>
      </w:pPr>
    </w:p>
    <w:p w14:paraId="545EE54A" w14:textId="77777777" w:rsidR="009D1E9A" w:rsidRDefault="009D1E9A" w:rsidP="009D1E9A">
      <w:pPr>
        <w:spacing w:line="360" w:lineRule="auto"/>
        <w:jc w:val="both"/>
        <w:rPr>
          <w:rFonts w:ascii="David" w:hAnsi="David"/>
          <w:b/>
          <w:bCs/>
          <w:rtl/>
        </w:rPr>
      </w:pPr>
      <w:r w:rsidRPr="002C69E4">
        <w:rPr>
          <w:rFonts w:ascii="David" w:hAnsi="David" w:hint="cs"/>
          <w:b/>
          <w:bCs/>
          <w:rtl/>
        </w:rPr>
        <w:t xml:space="preserve">בבואי לקבוע מתחם הענישה אני נותן דעתי לאלה : </w:t>
      </w:r>
    </w:p>
    <w:p w14:paraId="578F2325" w14:textId="77777777" w:rsidR="009D1E9A" w:rsidRPr="002C69E4" w:rsidRDefault="009D1E9A" w:rsidP="009D1E9A">
      <w:pPr>
        <w:spacing w:line="360" w:lineRule="auto"/>
        <w:jc w:val="both"/>
        <w:rPr>
          <w:rFonts w:ascii="David" w:hAnsi="David"/>
          <w:b/>
          <w:bCs/>
          <w:rtl/>
        </w:rPr>
      </w:pPr>
    </w:p>
    <w:p w14:paraId="2944256C" w14:textId="77777777" w:rsidR="009D1E9A" w:rsidRDefault="009D1E9A" w:rsidP="009D1E9A">
      <w:pPr>
        <w:spacing w:line="360" w:lineRule="auto"/>
        <w:ind w:left="720" w:hanging="720"/>
        <w:jc w:val="both"/>
        <w:rPr>
          <w:rFonts w:ascii="David" w:hAnsi="David"/>
          <w:rtl/>
        </w:rPr>
      </w:pPr>
      <w:r>
        <w:rPr>
          <w:rFonts w:ascii="David" w:hAnsi="David" w:hint="cs"/>
          <w:rtl/>
        </w:rPr>
        <w:t xml:space="preserve">א. </w:t>
      </w:r>
      <w:r>
        <w:rPr>
          <w:rFonts w:ascii="David" w:hAnsi="David"/>
          <w:b/>
          <w:bCs/>
          <w:rtl/>
        </w:rPr>
        <w:tab/>
      </w:r>
      <w:r w:rsidRPr="002C69E4">
        <w:rPr>
          <w:rFonts w:ascii="David" w:hAnsi="David" w:hint="cs"/>
          <w:b/>
          <w:bCs/>
          <w:rtl/>
        </w:rPr>
        <w:t>עניין הראל</w:t>
      </w:r>
      <w:r>
        <w:rPr>
          <w:rFonts w:ascii="David" w:hAnsi="David" w:hint="cs"/>
          <w:rtl/>
        </w:rPr>
        <w:t xml:space="preserve"> וההשוואה כדלקמן:  </w:t>
      </w:r>
      <w:r w:rsidRPr="00862B80">
        <w:rPr>
          <w:rFonts w:ascii="David" w:hAnsi="David" w:hint="cs"/>
          <w:rtl/>
        </w:rPr>
        <w:t>השוואת סוגי הסם והכמויות למקרה אשר בפנינו מעלה כי הנאשם החזיק בכמויות פחותות באופן משמעותי מעניין הראל</w:t>
      </w:r>
      <w:r>
        <w:rPr>
          <w:rFonts w:ascii="David" w:hAnsi="David" w:hint="cs"/>
          <w:rtl/>
        </w:rPr>
        <w:t xml:space="preserve">. </w:t>
      </w:r>
      <w:r w:rsidRPr="00862B80">
        <w:rPr>
          <w:rFonts w:ascii="David" w:hAnsi="David" w:hint="cs"/>
          <w:rtl/>
        </w:rPr>
        <w:t xml:space="preserve"> כך למשל</w:t>
      </w:r>
      <w:r>
        <w:rPr>
          <w:rFonts w:ascii="David" w:hAnsi="David" w:hint="cs"/>
          <w:rtl/>
        </w:rPr>
        <w:t>,</w:t>
      </w:r>
      <w:r w:rsidRPr="00862B80">
        <w:rPr>
          <w:rFonts w:ascii="David" w:hAnsi="David" w:hint="cs"/>
          <w:rtl/>
        </w:rPr>
        <w:t xml:space="preserve"> הנאשם החזיק קטמין במשקל של 75</w:t>
      </w:r>
      <w:r>
        <w:rPr>
          <w:rFonts w:ascii="David" w:hAnsi="David" w:hint="cs"/>
          <w:rtl/>
        </w:rPr>
        <w:t xml:space="preserve"> </w:t>
      </w:r>
      <w:r w:rsidRPr="00862B80">
        <w:rPr>
          <w:rFonts w:ascii="David" w:hAnsi="David" w:hint="cs"/>
          <w:rtl/>
        </w:rPr>
        <w:t xml:space="preserve">מ"ל </w:t>
      </w:r>
      <w:r>
        <w:rPr>
          <w:rFonts w:ascii="David" w:hAnsi="David" w:hint="cs"/>
          <w:rtl/>
        </w:rPr>
        <w:t xml:space="preserve">ו- </w:t>
      </w:r>
      <w:r w:rsidRPr="00862B80">
        <w:rPr>
          <w:rFonts w:ascii="David" w:hAnsi="David" w:hint="cs"/>
          <w:rtl/>
        </w:rPr>
        <w:t xml:space="preserve">8.53 גר' בעוד בעניין </w:t>
      </w:r>
      <w:r w:rsidRPr="002C69E4">
        <w:rPr>
          <w:rFonts w:ascii="David" w:hAnsi="David" w:hint="cs"/>
          <w:b/>
          <w:bCs/>
          <w:rtl/>
        </w:rPr>
        <w:t xml:space="preserve">הראל </w:t>
      </w:r>
      <w:r w:rsidRPr="00862B80">
        <w:rPr>
          <w:rFonts w:ascii="David" w:hAnsi="David" w:hint="cs"/>
          <w:rtl/>
        </w:rPr>
        <w:t>הוא החזיק 260 גרם קטמין. הנאשם החזיק קוקאין במשקל 180 גרם בעוד הראל החזיק 298 גרם. הנאשם החזיק כ</w:t>
      </w:r>
      <w:r>
        <w:rPr>
          <w:rFonts w:ascii="David" w:hAnsi="David" w:hint="cs"/>
          <w:rtl/>
        </w:rPr>
        <w:t>-</w:t>
      </w:r>
      <w:r w:rsidRPr="00862B80">
        <w:rPr>
          <w:rFonts w:ascii="David" w:hAnsi="David" w:hint="cs"/>
          <w:rtl/>
        </w:rPr>
        <w:t xml:space="preserve"> 30  טבליות </w:t>
      </w:r>
      <w:r>
        <w:rPr>
          <w:rFonts w:ascii="David" w:hAnsi="David" w:hint="cs"/>
          <w:rtl/>
        </w:rPr>
        <w:t>ו-9 גרם של</w:t>
      </w:r>
      <w:r w:rsidRPr="00862B80">
        <w:rPr>
          <w:rFonts w:ascii="David" w:hAnsi="David" w:hint="cs"/>
          <w:rtl/>
        </w:rPr>
        <w:t xml:space="preserve"> </w:t>
      </w:r>
      <w:r>
        <w:rPr>
          <w:rFonts w:ascii="David" w:hAnsi="David"/>
        </w:rPr>
        <w:t>MDMA</w:t>
      </w:r>
      <w:r w:rsidRPr="00862B80">
        <w:rPr>
          <w:rFonts w:ascii="David" w:hAnsi="David"/>
        </w:rPr>
        <w:t xml:space="preserve"> </w:t>
      </w:r>
      <w:r w:rsidRPr="00862B80">
        <w:rPr>
          <w:rFonts w:ascii="David" w:hAnsi="David" w:hint="cs"/>
          <w:rtl/>
        </w:rPr>
        <w:t xml:space="preserve"> בעוד </w:t>
      </w:r>
      <w:r w:rsidRPr="002C69E4">
        <w:rPr>
          <w:rFonts w:ascii="David" w:hAnsi="David" w:hint="cs"/>
          <w:b/>
          <w:bCs/>
          <w:rtl/>
        </w:rPr>
        <w:t>הראל</w:t>
      </w:r>
      <w:r w:rsidRPr="00862B80">
        <w:rPr>
          <w:rFonts w:ascii="David" w:hAnsi="David" w:hint="cs"/>
          <w:rtl/>
        </w:rPr>
        <w:t xml:space="preserve"> החזיק 170 טבליות. מנגד</w:t>
      </w:r>
      <w:r>
        <w:rPr>
          <w:rFonts w:ascii="David" w:hAnsi="David" w:hint="cs"/>
          <w:rtl/>
        </w:rPr>
        <w:t xml:space="preserve"> -</w:t>
      </w:r>
      <w:r w:rsidRPr="00862B80">
        <w:rPr>
          <w:rFonts w:ascii="David" w:hAnsi="David" w:hint="cs"/>
          <w:rtl/>
        </w:rPr>
        <w:t xml:space="preserve"> יש לציין כי הנאשם החזיק בסם מסוכן מסוג </w:t>
      </w:r>
      <w:r>
        <w:rPr>
          <w:rFonts w:ascii="David" w:hAnsi="David"/>
        </w:rPr>
        <w:t>GBL</w:t>
      </w:r>
      <w:r w:rsidRPr="00862B80">
        <w:rPr>
          <w:rFonts w:ascii="David" w:hAnsi="David"/>
        </w:rPr>
        <w:t xml:space="preserve"> </w:t>
      </w:r>
      <w:r w:rsidRPr="00862B80">
        <w:rPr>
          <w:rFonts w:ascii="David" w:hAnsi="David" w:hint="cs"/>
          <w:rtl/>
        </w:rPr>
        <w:t xml:space="preserve"> בכמות של 856 מ"ל בעוד ל</w:t>
      </w:r>
      <w:r w:rsidRPr="002C69E4">
        <w:rPr>
          <w:rFonts w:ascii="David" w:hAnsi="David" w:hint="cs"/>
          <w:b/>
          <w:bCs/>
          <w:rtl/>
        </w:rPr>
        <w:t xml:space="preserve">הראל </w:t>
      </w:r>
      <w:r w:rsidRPr="00862B80">
        <w:rPr>
          <w:rFonts w:ascii="David" w:hAnsi="David" w:hint="cs"/>
          <w:rtl/>
        </w:rPr>
        <w:t xml:space="preserve">לא מיוחסת החזקת סם מסוג זה. להשלמת התמונה יש לציין כי הראל החזיק גם בקנבוס במשקל 302 גרם נטו בעוד לנאשם לא מיוחסת החזקת סם זה. </w:t>
      </w:r>
    </w:p>
    <w:p w14:paraId="365C780D" w14:textId="77777777" w:rsidR="009D1E9A" w:rsidRPr="00862B80" w:rsidRDefault="009D1E9A" w:rsidP="009D1E9A">
      <w:pPr>
        <w:spacing w:line="360" w:lineRule="auto"/>
        <w:jc w:val="both"/>
        <w:rPr>
          <w:rFonts w:ascii="David" w:hAnsi="David"/>
          <w:rtl/>
        </w:rPr>
      </w:pPr>
    </w:p>
    <w:p w14:paraId="14766012" w14:textId="77777777" w:rsidR="009D1E9A" w:rsidRDefault="009D1E9A" w:rsidP="009D1E9A">
      <w:pPr>
        <w:spacing w:line="360" w:lineRule="auto"/>
        <w:jc w:val="both"/>
        <w:rPr>
          <w:rFonts w:ascii="David" w:hAnsi="David"/>
          <w:rtl/>
        </w:rPr>
      </w:pPr>
      <w:r w:rsidRPr="00862B80">
        <w:rPr>
          <w:rFonts w:ascii="David" w:hAnsi="David" w:hint="cs"/>
          <w:rtl/>
        </w:rPr>
        <w:t xml:space="preserve">ב. </w:t>
      </w:r>
      <w:r>
        <w:rPr>
          <w:rFonts w:ascii="David" w:hAnsi="David"/>
          <w:rtl/>
        </w:rPr>
        <w:tab/>
      </w:r>
      <w:r w:rsidRPr="00862B80">
        <w:rPr>
          <w:rFonts w:ascii="David" w:hAnsi="David" w:hint="cs"/>
          <w:rtl/>
        </w:rPr>
        <w:t xml:space="preserve">הרקע הפסיכיאטרי כמפורט לעיל. </w:t>
      </w:r>
    </w:p>
    <w:p w14:paraId="1C5041BF" w14:textId="77777777" w:rsidR="009D1E9A" w:rsidRPr="00862B80" w:rsidRDefault="009D1E9A" w:rsidP="009D1E9A">
      <w:pPr>
        <w:spacing w:line="360" w:lineRule="auto"/>
        <w:jc w:val="both"/>
        <w:rPr>
          <w:rFonts w:ascii="David" w:hAnsi="David"/>
          <w:rtl/>
        </w:rPr>
      </w:pPr>
    </w:p>
    <w:p w14:paraId="4DF7007F" w14:textId="77777777" w:rsidR="009D1E9A" w:rsidRDefault="009D1E9A" w:rsidP="009D1E9A">
      <w:pPr>
        <w:spacing w:line="360" w:lineRule="auto"/>
        <w:ind w:left="720" w:hanging="720"/>
        <w:jc w:val="both"/>
        <w:rPr>
          <w:rFonts w:ascii="David" w:hAnsi="David"/>
          <w:rtl/>
        </w:rPr>
      </w:pPr>
      <w:r w:rsidRPr="00862B80">
        <w:rPr>
          <w:rFonts w:ascii="David" w:hAnsi="David" w:hint="cs"/>
          <w:rtl/>
        </w:rPr>
        <w:t xml:space="preserve">ג. </w:t>
      </w:r>
      <w:r>
        <w:rPr>
          <w:rFonts w:ascii="David" w:hAnsi="David"/>
          <w:rtl/>
        </w:rPr>
        <w:tab/>
      </w:r>
      <w:r w:rsidRPr="00862B80">
        <w:rPr>
          <w:rFonts w:ascii="David" w:hAnsi="David" w:hint="cs"/>
          <w:rtl/>
        </w:rPr>
        <w:t>לא נמצאו כלים המעידים על כוונת סחר. בחלק מהמקרים אשר הובאו במסגרת סקירת מדיניות הענישה בעניין הראל, נמצאו שקיות לאריזה, משקל אלקטרוני ועוד.</w:t>
      </w:r>
    </w:p>
    <w:p w14:paraId="17DAE640" w14:textId="77777777" w:rsidR="009D1E9A" w:rsidRPr="00862B80" w:rsidRDefault="009D1E9A" w:rsidP="009D1E9A">
      <w:pPr>
        <w:tabs>
          <w:tab w:val="left" w:pos="850"/>
        </w:tabs>
        <w:spacing w:line="360" w:lineRule="auto"/>
        <w:jc w:val="both"/>
        <w:rPr>
          <w:rFonts w:ascii="David" w:hAnsi="David"/>
          <w:rtl/>
        </w:rPr>
      </w:pPr>
    </w:p>
    <w:p w14:paraId="43BFDE1F" w14:textId="77777777" w:rsidR="009D1E9A" w:rsidRPr="00862B80" w:rsidRDefault="009D1E9A" w:rsidP="009D1E9A">
      <w:pPr>
        <w:spacing w:line="360" w:lineRule="auto"/>
        <w:ind w:left="720" w:hanging="720"/>
        <w:jc w:val="both"/>
        <w:rPr>
          <w:rFonts w:ascii="David" w:hAnsi="David"/>
          <w:rtl/>
        </w:rPr>
      </w:pPr>
      <w:r w:rsidRPr="00862B80">
        <w:rPr>
          <w:rFonts w:ascii="David" w:hAnsi="David" w:hint="cs"/>
          <w:rtl/>
        </w:rPr>
        <w:t xml:space="preserve">ד. </w:t>
      </w:r>
      <w:r>
        <w:rPr>
          <w:rFonts w:ascii="David" w:hAnsi="David"/>
          <w:rtl/>
        </w:rPr>
        <w:tab/>
      </w:r>
      <w:r w:rsidRPr="00862B80">
        <w:rPr>
          <w:rFonts w:ascii="David" w:hAnsi="David" w:hint="cs"/>
          <w:rtl/>
        </w:rPr>
        <w:t>העבר הפלילי של הראל ועיתוי ביצוע העבירה שעה שהוא תחת צו מבחן ומאסר על תנאי מרחף מעל ראשו.</w:t>
      </w:r>
    </w:p>
    <w:p w14:paraId="32B91FEF" w14:textId="77777777" w:rsidR="009D1E9A" w:rsidRPr="009D1E9A" w:rsidRDefault="009D1E9A" w:rsidP="009D1E9A">
      <w:pPr>
        <w:spacing w:line="360" w:lineRule="auto"/>
        <w:jc w:val="both"/>
        <w:rPr>
          <w:rFonts w:ascii="David" w:hAnsi="David" w:cs="Arial"/>
          <w:szCs w:val="22"/>
          <w:rtl/>
        </w:rPr>
      </w:pPr>
    </w:p>
    <w:p w14:paraId="030AD10B" w14:textId="77777777" w:rsidR="009D1E9A" w:rsidRPr="005A109F" w:rsidRDefault="009D1E9A" w:rsidP="009D1E9A">
      <w:pPr>
        <w:spacing w:line="360" w:lineRule="auto"/>
        <w:ind w:firstLine="720"/>
        <w:jc w:val="both"/>
        <w:rPr>
          <w:rFonts w:ascii="David" w:hAnsi="David"/>
          <w:b/>
          <w:bCs/>
          <w:rtl/>
        </w:rPr>
      </w:pPr>
      <w:r w:rsidRPr="005A109F">
        <w:rPr>
          <w:rFonts w:ascii="David" w:hAnsi="David"/>
          <w:b/>
          <w:bCs/>
          <w:rtl/>
        </w:rPr>
        <w:t>אני קובע אפוא כי מתחם הענישה יעמוד על 36-48 ח' מאסר בפועל.</w:t>
      </w:r>
    </w:p>
    <w:p w14:paraId="510255D5" w14:textId="77777777" w:rsidR="009D1E9A" w:rsidRPr="00406A77" w:rsidRDefault="009D1E9A" w:rsidP="009D1E9A">
      <w:pPr>
        <w:spacing w:line="360" w:lineRule="auto"/>
        <w:jc w:val="both"/>
        <w:rPr>
          <w:rFonts w:ascii="David" w:hAnsi="David"/>
          <w:b/>
          <w:bCs/>
          <w:rtl/>
        </w:rPr>
      </w:pPr>
    </w:p>
    <w:p w14:paraId="61A3A71E" w14:textId="77777777" w:rsidR="009D1E9A" w:rsidRPr="00FC4932" w:rsidRDefault="009D1E9A" w:rsidP="009D1E9A">
      <w:pPr>
        <w:spacing w:line="360" w:lineRule="auto"/>
        <w:jc w:val="both"/>
        <w:rPr>
          <w:rFonts w:ascii="David" w:hAnsi="David"/>
          <w:b/>
          <w:bCs/>
          <w:rtl/>
        </w:rPr>
      </w:pPr>
      <w:r w:rsidRPr="00FC4932">
        <w:rPr>
          <w:rFonts w:ascii="David" w:hAnsi="David" w:hint="cs"/>
          <w:b/>
          <w:bCs/>
          <w:rtl/>
        </w:rPr>
        <w:t xml:space="preserve">ח. </w:t>
      </w:r>
      <w:r>
        <w:rPr>
          <w:rFonts w:ascii="David" w:hAnsi="David"/>
          <w:b/>
          <w:bCs/>
          <w:rtl/>
        </w:rPr>
        <w:tab/>
      </w:r>
      <w:r w:rsidRPr="00FC4932">
        <w:rPr>
          <w:rFonts w:ascii="David" w:hAnsi="David" w:hint="cs"/>
          <w:b/>
          <w:bCs/>
          <w:rtl/>
        </w:rPr>
        <w:t>נסיבות שאינן קשורות בביצוע העבירה:</w:t>
      </w:r>
    </w:p>
    <w:p w14:paraId="5E4F1977" w14:textId="77777777" w:rsidR="009D1E9A" w:rsidRDefault="009D1E9A" w:rsidP="009D1E9A">
      <w:pPr>
        <w:spacing w:line="360" w:lineRule="auto"/>
        <w:jc w:val="both"/>
        <w:rPr>
          <w:rFonts w:ascii="David" w:hAnsi="David"/>
          <w:rtl/>
        </w:rPr>
      </w:pPr>
    </w:p>
    <w:p w14:paraId="1B90D5D4" w14:textId="77777777" w:rsidR="009D1E9A" w:rsidRDefault="009D1E9A" w:rsidP="009D1E9A">
      <w:pPr>
        <w:spacing w:line="360" w:lineRule="auto"/>
        <w:jc w:val="both"/>
        <w:rPr>
          <w:rFonts w:ascii="David" w:hAnsi="David"/>
          <w:rtl/>
        </w:rPr>
      </w:pPr>
      <w:r>
        <w:rPr>
          <w:rFonts w:ascii="David" w:hAnsi="David" w:hint="cs"/>
          <w:rtl/>
        </w:rPr>
        <w:t>הנאשם נטל אחריות והודה במיוחס לו.</w:t>
      </w:r>
    </w:p>
    <w:p w14:paraId="1E67F990" w14:textId="77777777" w:rsidR="009D1E9A" w:rsidRDefault="009D1E9A" w:rsidP="009D1E9A">
      <w:pPr>
        <w:spacing w:line="360" w:lineRule="auto"/>
        <w:jc w:val="both"/>
        <w:rPr>
          <w:rFonts w:ascii="David" w:hAnsi="David"/>
          <w:rtl/>
        </w:rPr>
      </w:pPr>
      <w:r>
        <w:rPr>
          <w:rFonts w:ascii="David" w:hAnsi="David" w:hint="cs"/>
          <w:rtl/>
        </w:rPr>
        <w:t>הנאשם נטול עבר פלילי כלשהו וזה  לו מאסרו הראשון.</w:t>
      </w:r>
    </w:p>
    <w:p w14:paraId="15DDD119" w14:textId="77777777" w:rsidR="009D1E9A" w:rsidRDefault="009D1E9A" w:rsidP="009D1E9A">
      <w:pPr>
        <w:spacing w:line="360" w:lineRule="auto"/>
        <w:jc w:val="both"/>
        <w:rPr>
          <w:rFonts w:ascii="David" w:hAnsi="David"/>
          <w:rtl/>
        </w:rPr>
      </w:pPr>
      <w:r>
        <w:rPr>
          <w:rFonts w:ascii="David" w:hAnsi="David" w:hint="cs"/>
          <w:rtl/>
        </w:rPr>
        <w:t>הנאשם עצור כשנה, תקופה ממושכת שאין בצידה זכויות של אסיר.</w:t>
      </w:r>
    </w:p>
    <w:p w14:paraId="79AB6001" w14:textId="77777777" w:rsidR="009D1E9A" w:rsidRDefault="009D1E9A" w:rsidP="009D1E9A">
      <w:pPr>
        <w:spacing w:line="360" w:lineRule="auto"/>
        <w:jc w:val="both"/>
        <w:rPr>
          <w:rFonts w:ascii="David" w:hAnsi="David"/>
          <w:rtl/>
        </w:rPr>
      </w:pPr>
    </w:p>
    <w:p w14:paraId="3E8F01D8" w14:textId="77777777" w:rsidR="009D1E9A" w:rsidRDefault="009D1E9A" w:rsidP="009D1E9A">
      <w:pPr>
        <w:spacing w:line="360" w:lineRule="auto"/>
        <w:jc w:val="both"/>
        <w:rPr>
          <w:rFonts w:ascii="David" w:hAnsi="David"/>
          <w:rtl/>
        </w:rPr>
      </w:pPr>
      <w:r>
        <w:rPr>
          <w:rFonts w:ascii="David" w:hAnsi="David"/>
          <w:rtl/>
        </w:rPr>
        <w:t xml:space="preserve">מתסקיר שירות המבחן עולה כי לדברי הנאשם הוא הפסיק שימוש בסמים בכוחות עצמו בין כותלי הכלא וסרב לקבל תחליפי סם. </w:t>
      </w:r>
    </w:p>
    <w:p w14:paraId="0F46A280" w14:textId="77777777" w:rsidR="009D1E9A" w:rsidRDefault="009D1E9A" w:rsidP="009D1E9A">
      <w:pPr>
        <w:spacing w:line="360" w:lineRule="auto"/>
        <w:jc w:val="both"/>
        <w:rPr>
          <w:rFonts w:ascii="David" w:hAnsi="David"/>
          <w:rtl/>
        </w:rPr>
      </w:pPr>
      <w:r>
        <w:rPr>
          <w:rFonts w:ascii="David" w:hAnsi="David"/>
          <w:rtl/>
        </w:rPr>
        <w:t>ביחס לעבירה ובתקופה שקדמה ל</w:t>
      </w:r>
      <w:r>
        <w:rPr>
          <w:rFonts w:ascii="David" w:hAnsi="David" w:hint="cs"/>
          <w:rtl/>
        </w:rPr>
        <w:t>ה,</w:t>
      </w:r>
      <w:r>
        <w:rPr>
          <w:rFonts w:ascii="David" w:hAnsi="David"/>
          <w:rtl/>
        </w:rPr>
        <w:t xml:space="preserve"> הנאשם תאר צריכת סמים בכמות גבוהה, תפקודו נפגע בעיקר סביב עיסוקו ב</w:t>
      </w:r>
      <w:r>
        <w:rPr>
          <w:rFonts w:ascii="David" w:hAnsi="David" w:hint="cs"/>
          <w:rtl/>
        </w:rPr>
        <w:t xml:space="preserve">מתן שירותי </w:t>
      </w:r>
      <w:r>
        <w:rPr>
          <w:rFonts w:ascii="David" w:hAnsi="David"/>
          <w:rtl/>
        </w:rPr>
        <w:t xml:space="preserve">ליווי </w:t>
      </w:r>
      <w:r>
        <w:rPr>
          <w:rFonts w:ascii="David" w:hAnsi="David" w:hint="cs"/>
          <w:rtl/>
        </w:rPr>
        <w:t>ל</w:t>
      </w:r>
      <w:r>
        <w:rPr>
          <w:rFonts w:ascii="David" w:hAnsi="David"/>
          <w:rtl/>
        </w:rPr>
        <w:t xml:space="preserve">גברים </w:t>
      </w:r>
      <w:r>
        <w:rPr>
          <w:rFonts w:ascii="David" w:hAnsi="David" w:hint="cs"/>
          <w:rtl/>
        </w:rPr>
        <w:t xml:space="preserve">על מנת </w:t>
      </w:r>
      <w:r>
        <w:rPr>
          <w:rFonts w:ascii="David" w:hAnsi="David"/>
          <w:rtl/>
        </w:rPr>
        <w:t xml:space="preserve">לממן את צריכת הסם. הנאשם הדגיש כי על אף התמונה המורכבת הסמים היו לצריכתו האישית בלבד זאת עקב מחלתו כפי שתואר קודם לכן. </w:t>
      </w:r>
    </w:p>
    <w:p w14:paraId="23D4B29D" w14:textId="77777777" w:rsidR="009D1E9A" w:rsidRDefault="009D1E9A" w:rsidP="009D1E9A">
      <w:pPr>
        <w:spacing w:line="360" w:lineRule="auto"/>
        <w:jc w:val="both"/>
        <w:rPr>
          <w:rFonts w:ascii="David" w:hAnsi="David"/>
          <w:rtl/>
        </w:rPr>
      </w:pPr>
    </w:p>
    <w:p w14:paraId="31D4E7A9" w14:textId="77777777" w:rsidR="009D1E9A" w:rsidRDefault="009D1E9A" w:rsidP="009D1E9A">
      <w:pPr>
        <w:spacing w:line="360" w:lineRule="auto"/>
        <w:jc w:val="both"/>
        <w:rPr>
          <w:rFonts w:ascii="David" w:hAnsi="David"/>
          <w:rtl/>
        </w:rPr>
      </w:pPr>
      <w:r>
        <w:rPr>
          <w:rFonts w:ascii="David" w:hAnsi="David"/>
          <w:rtl/>
        </w:rPr>
        <w:t>שירות המבחן התרשם כי הנאשם בעל תובנה ראשונית ל</w:t>
      </w:r>
      <w:r>
        <w:rPr>
          <w:rFonts w:ascii="David" w:hAnsi="David" w:hint="cs"/>
          <w:rtl/>
        </w:rPr>
        <w:t xml:space="preserve">מחירים </w:t>
      </w:r>
      <w:r>
        <w:rPr>
          <w:rFonts w:ascii="David" w:hAnsi="David"/>
          <w:rtl/>
        </w:rPr>
        <w:t xml:space="preserve"> שמשלם בגין התנהלותו הבעייתית וההרסנית. ניכר כי המעצר קטע ה</w:t>
      </w:r>
      <w:r>
        <w:rPr>
          <w:rFonts w:ascii="David" w:hAnsi="David" w:hint="cs"/>
          <w:rtl/>
        </w:rPr>
        <w:t>ת</w:t>
      </w:r>
      <w:r>
        <w:rPr>
          <w:rFonts w:ascii="David" w:hAnsi="David"/>
          <w:rtl/>
        </w:rPr>
        <w:t xml:space="preserve">דרדרות משמעותית בפגיעה בעצמו ונחווה כגורם מרתיע מחד ומארגן מאידך. </w:t>
      </w:r>
    </w:p>
    <w:p w14:paraId="4FC801D4" w14:textId="77777777" w:rsidR="009D1E9A" w:rsidRDefault="009D1E9A" w:rsidP="009D1E9A">
      <w:pPr>
        <w:spacing w:line="360" w:lineRule="auto"/>
        <w:jc w:val="both"/>
        <w:rPr>
          <w:rFonts w:ascii="David" w:hAnsi="David"/>
          <w:rtl/>
        </w:rPr>
      </w:pPr>
    </w:p>
    <w:p w14:paraId="46FB0E23" w14:textId="77777777" w:rsidR="009D1E9A" w:rsidRDefault="009D1E9A" w:rsidP="009D1E9A">
      <w:pPr>
        <w:spacing w:line="360" w:lineRule="auto"/>
        <w:jc w:val="both"/>
        <w:rPr>
          <w:rFonts w:ascii="David" w:hAnsi="David"/>
          <w:rtl/>
        </w:rPr>
      </w:pPr>
      <w:r>
        <w:rPr>
          <w:rFonts w:ascii="David" w:hAnsi="David"/>
          <w:rtl/>
        </w:rPr>
        <w:t>כמו כן, שירות המבחן מעריך כי לאור מאפייניו הה</w:t>
      </w:r>
      <w:r>
        <w:rPr>
          <w:rFonts w:ascii="David" w:hAnsi="David" w:hint="cs"/>
          <w:rtl/>
        </w:rPr>
        <w:t xml:space="preserve">תמכרותיים </w:t>
      </w:r>
      <w:r>
        <w:rPr>
          <w:rFonts w:ascii="David" w:hAnsi="David"/>
          <w:rtl/>
        </w:rPr>
        <w:t xml:space="preserve"> וצרכיו הטיפוליים הבולטים ברכישת מיומנויות לתפקוד יציב וכן מצבו הנפשי של הנאשם טיפול במסגרת קהילה סגורה המיועדת לתחלואה  כפולה כדוגמת </w:t>
      </w:r>
      <w:r w:rsidRPr="002C69E4">
        <w:rPr>
          <w:rFonts w:ascii="David" w:hAnsi="David"/>
          <w:b/>
          <w:bCs/>
          <w:rtl/>
        </w:rPr>
        <w:t>"קריית שלמה"</w:t>
      </w:r>
      <w:r>
        <w:rPr>
          <w:rFonts w:ascii="David" w:hAnsi="David"/>
          <w:rtl/>
        </w:rPr>
        <w:t xml:space="preserve"> עשוי לסייע בקידום מצבו. עם זאת מעבר לכך שהנאשם לא רואה צורך בכך</w:t>
      </w:r>
      <w:r>
        <w:rPr>
          <w:rFonts w:ascii="David" w:hAnsi="David" w:hint="cs"/>
          <w:rtl/>
        </w:rPr>
        <w:t>,</w:t>
      </w:r>
      <w:r>
        <w:rPr>
          <w:rFonts w:ascii="David" w:hAnsi="David"/>
          <w:rtl/>
        </w:rPr>
        <w:t xml:space="preserve"> כיום אין היתכנות לקי</w:t>
      </w:r>
      <w:r>
        <w:rPr>
          <w:rFonts w:ascii="David" w:hAnsi="David" w:hint="cs"/>
          <w:rtl/>
        </w:rPr>
        <w:t>ד</w:t>
      </w:r>
      <w:r>
        <w:rPr>
          <w:rFonts w:ascii="David" w:hAnsi="David"/>
          <w:rtl/>
        </w:rPr>
        <w:t xml:space="preserve">ום </w:t>
      </w:r>
      <w:r>
        <w:rPr>
          <w:rFonts w:ascii="David" w:hAnsi="David" w:hint="cs"/>
          <w:rtl/>
        </w:rPr>
        <w:t>ה</w:t>
      </w:r>
      <w:r>
        <w:rPr>
          <w:rFonts w:ascii="David" w:hAnsi="David"/>
          <w:rtl/>
        </w:rPr>
        <w:t xml:space="preserve">מהלך </w:t>
      </w:r>
      <w:r>
        <w:rPr>
          <w:rFonts w:ascii="David" w:hAnsi="David" w:hint="cs"/>
          <w:rtl/>
        </w:rPr>
        <w:t xml:space="preserve">עקב החלפת זכיין ועצירת קליטת מטופלים. </w:t>
      </w:r>
      <w:r>
        <w:rPr>
          <w:rFonts w:ascii="David" w:hAnsi="David"/>
          <w:rtl/>
        </w:rPr>
        <w:t>משכך, אין המלצה טיפולית מטעם שירות המבחן.</w:t>
      </w:r>
    </w:p>
    <w:p w14:paraId="285A32AD" w14:textId="77777777" w:rsidR="009D1E9A" w:rsidRDefault="009D1E9A" w:rsidP="009D1E9A">
      <w:pPr>
        <w:spacing w:line="360" w:lineRule="auto"/>
        <w:rPr>
          <w:rtl/>
        </w:rPr>
      </w:pPr>
    </w:p>
    <w:p w14:paraId="2756E826" w14:textId="77777777" w:rsidR="009D1E9A" w:rsidRDefault="009D1E9A" w:rsidP="009D1E9A">
      <w:pPr>
        <w:rPr>
          <w:rtl/>
        </w:rPr>
      </w:pPr>
      <w:r>
        <w:rPr>
          <w:rFonts w:hint="cs"/>
          <w:rtl/>
        </w:rPr>
        <w:t>אחר כל אלה אני קובע כי עונשו של הנאשם יעמוד בחלק התחתון של  המתחם.</w:t>
      </w:r>
    </w:p>
    <w:p w14:paraId="4C14B05A" w14:textId="77777777" w:rsidR="009D1E9A" w:rsidRDefault="009D1E9A" w:rsidP="009D1E9A">
      <w:pPr>
        <w:spacing w:line="360" w:lineRule="auto"/>
        <w:jc w:val="both"/>
        <w:rPr>
          <w:rtl/>
        </w:rPr>
      </w:pPr>
    </w:p>
    <w:p w14:paraId="50BE4F86" w14:textId="77777777" w:rsidR="009D1E9A" w:rsidRDefault="009D1E9A" w:rsidP="009D1E9A">
      <w:pPr>
        <w:spacing w:line="360" w:lineRule="auto"/>
        <w:jc w:val="both"/>
        <w:rPr>
          <w:b/>
          <w:bCs/>
          <w:rtl/>
        </w:rPr>
      </w:pPr>
      <w:r w:rsidRPr="005A109F">
        <w:rPr>
          <w:rFonts w:hint="cs"/>
          <w:b/>
          <w:bCs/>
          <w:rtl/>
        </w:rPr>
        <w:t xml:space="preserve">ט. </w:t>
      </w:r>
      <w:r>
        <w:rPr>
          <w:b/>
          <w:bCs/>
          <w:rtl/>
        </w:rPr>
        <w:tab/>
      </w:r>
      <w:r w:rsidRPr="005A109F">
        <w:rPr>
          <w:rFonts w:hint="cs"/>
          <w:b/>
          <w:bCs/>
          <w:rtl/>
        </w:rPr>
        <w:t xml:space="preserve">אני גוזר אפוא על הנאשם את העונשים הבאים: </w:t>
      </w:r>
    </w:p>
    <w:p w14:paraId="2FFDB7EC" w14:textId="77777777" w:rsidR="009D1E9A" w:rsidRDefault="009D1E9A" w:rsidP="009D1E9A">
      <w:pPr>
        <w:spacing w:line="360" w:lineRule="auto"/>
        <w:jc w:val="both"/>
        <w:rPr>
          <w:rtl/>
        </w:rPr>
      </w:pPr>
    </w:p>
    <w:p w14:paraId="3385B652" w14:textId="77777777" w:rsidR="009D1E9A" w:rsidRDefault="009D1E9A" w:rsidP="009D1E9A">
      <w:pPr>
        <w:spacing w:line="360" w:lineRule="auto"/>
        <w:jc w:val="both"/>
        <w:rPr>
          <w:rtl/>
        </w:rPr>
      </w:pPr>
      <w:r>
        <w:rPr>
          <w:rFonts w:hint="cs"/>
          <w:rtl/>
        </w:rPr>
        <w:t>א.</w:t>
      </w:r>
      <w:r>
        <w:rPr>
          <w:rtl/>
        </w:rPr>
        <w:tab/>
      </w:r>
      <w:r>
        <w:rPr>
          <w:rFonts w:hint="cs"/>
          <w:rtl/>
        </w:rPr>
        <w:t xml:space="preserve"> 36 ח' מאסר בפועל אשר יימנו החל מיום מעצרו 7.6.23.</w:t>
      </w:r>
    </w:p>
    <w:p w14:paraId="2BB03C9C" w14:textId="77777777" w:rsidR="009D1E9A" w:rsidRDefault="009D1E9A" w:rsidP="009D1E9A">
      <w:pPr>
        <w:spacing w:line="360" w:lineRule="auto"/>
        <w:jc w:val="both"/>
        <w:rPr>
          <w:rtl/>
        </w:rPr>
      </w:pPr>
    </w:p>
    <w:p w14:paraId="2311F7D4" w14:textId="77777777" w:rsidR="009D1E9A" w:rsidRDefault="009D1E9A" w:rsidP="009D1E9A">
      <w:pPr>
        <w:spacing w:line="360" w:lineRule="auto"/>
        <w:ind w:left="720" w:hanging="720"/>
        <w:jc w:val="both"/>
        <w:rPr>
          <w:rtl/>
        </w:rPr>
      </w:pPr>
      <w:r>
        <w:rPr>
          <w:rFonts w:hint="cs"/>
          <w:rtl/>
        </w:rPr>
        <w:t>ב.</w:t>
      </w:r>
      <w:r>
        <w:rPr>
          <w:rtl/>
        </w:rPr>
        <w:tab/>
      </w:r>
      <w:r>
        <w:rPr>
          <w:rFonts w:hint="cs"/>
          <w:rtl/>
        </w:rPr>
        <w:t xml:space="preserve"> 12 חודשים מאסר על תנאי והתנאי הוא שהנאשם לא יעבור עבירה מסוג פשע על </w:t>
      </w:r>
      <w:hyperlink r:id="rId24" w:history="1">
        <w:r w:rsidR="008E50A1" w:rsidRPr="008E50A1">
          <w:rPr>
            <w:color w:val="0000FF"/>
            <w:u w:val="single"/>
            <w:rtl/>
          </w:rPr>
          <w:t>פקודת הסמים המסוכנים</w:t>
        </w:r>
      </w:hyperlink>
      <w:r>
        <w:rPr>
          <w:rFonts w:hint="cs"/>
          <w:rtl/>
        </w:rPr>
        <w:t xml:space="preserve"> במשך 3 שנים מתום ריצוי מאסרו. </w:t>
      </w:r>
    </w:p>
    <w:p w14:paraId="035D3A9D" w14:textId="77777777" w:rsidR="009D1E9A" w:rsidRDefault="009D1E9A" w:rsidP="009D1E9A">
      <w:pPr>
        <w:spacing w:line="360" w:lineRule="auto"/>
        <w:jc w:val="both"/>
        <w:rPr>
          <w:rtl/>
        </w:rPr>
      </w:pPr>
    </w:p>
    <w:p w14:paraId="2A9E4E29" w14:textId="77777777" w:rsidR="009D1E9A" w:rsidRDefault="009D1E9A" w:rsidP="009D1E9A">
      <w:pPr>
        <w:spacing w:line="360" w:lineRule="auto"/>
        <w:ind w:left="720" w:hanging="720"/>
        <w:jc w:val="both"/>
        <w:rPr>
          <w:b/>
          <w:bCs/>
          <w:rtl/>
        </w:rPr>
      </w:pPr>
      <w:r>
        <w:rPr>
          <w:rFonts w:hint="cs"/>
          <w:rtl/>
        </w:rPr>
        <w:t>ג.</w:t>
      </w:r>
      <w:r>
        <w:rPr>
          <w:rtl/>
        </w:rPr>
        <w:tab/>
      </w:r>
      <w:r>
        <w:rPr>
          <w:rFonts w:hint="cs"/>
          <w:rtl/>
        </w:rPr>
        <w:t xml:space="preserve"> 7 חודשים מאסר על תנאי והתנאי הוא שהנאשם לא יעבור עבירה מסוג עוון על </w:t>
      </w:r>
      <w:hyperlink r:id="rId25" w:history="1">
        <w:r w:rsidR="008E50A1" w:rsidRPr="008E50A1">
          <w:rPr>
            <w:color w:val="0000FF"/>
            <w:u w:val="single"/>
            <w:rtl/>
          </w:rPr>
          <w:t>פקודת הסמים המסוכנים</w:t>
        </w:r>
      </w:hyperlink>
      <w:r>
        <w:rPr>
          <w:rFonts w:hint="cs"/>
          <w:rtl/>
        </w:rPr>
        <w:t xml:space="preserve"> במשך 3 שנים מתום ריצוי מאסרו.</w:t>
      </w:r>
    </w:p>
    <w:p w14:paraId="16294C6B" w14:textId="77777777" w:rsidR="009D1E9A" w:rsidRDefault="009D1E9A" w:rsidP="009D1E9A">
      <w:pPr>
        <w:spacing w:line="360" w:lineRule="auto"/>
        <w:jc w:val="both"/>
        <w:rPr>
          <w:b/>
          <w:bCs/>
          <w:rtl/>
        </w:rPr>
      </w:pPr>
    </w:p>
    <w:p w14:paraId="49657053" w14:textId="77777777" w:rsidR="009D1E9A" w:rsidRDefault="009D1E9A" w:rsidP="009D1E9A">
      <w:pPr>
        <w:pStyle w:val="gmail-ruller4"/>
        <w:bidi/>
        <w:spacing w:before="0" w:beforeAutospacing="0" w:after="0" w:afterAutospacing="0" w:line="330" w:lineRule="atLeast"/>
        <w:ind w:left="720" w:hanging="720"/>
        <w:jc w:val="both"/>
        <w:rPr>
          <w:rFonts w:ascii="David" w:hAnsi="David" w:cs="David"/>
          <w:b/>
          <w:bCs/>
          <w:rtl/>
        </w:rPr>
      </w:pPr>
      <w:r w:rsidRPr="00C31322">
        <w:rPr>
          <w:rFonts w:ascii="David" w:hAnsi="David" w:cs="David"/>
          <w:b/>
          <w:bCs/>
          <w:rtl/>
        </w:rPr>
        <w:t>ד.</w:t>
      </w:r>
      <w:r w:rsidRPr="00C31322">
        <w:rPr>
          <w:rFonts w:ascii="David" w:hAnsi="David" w:cs="David"/>
          <w:b/>
          <w:bCs/>
          <w:rtl/>
        </w:rPr>
        <w:tab/>
      </w:r>
      <w:r w:rsidRPr="00C31322">
        <w:rPr>
          <w:rFonts w:ascii="David" w:hAnsi="David" w:cs="David"/>
          <w:rtl/>
        </w:rPr>
        <w:t>אשר למח</w:t>
      </w:r>
      <w:r>
        <w:rPr>
          <w:rFonts w:ascii="David" w:hAnsi="David" w:cs="David" w:hint="cs"/>
          <w:rtl/>
        </w:rPr>
        <w:t>לוקת ב</w:t>
      </w:r>
      <w:r w:rsidRPr="00C31322">
        <w:rPr>
          <w:rFonts w:ascii="David" w:hAnsi="David" w:cs="David"/>
          <w:rtl/>
        </w:rPr>
        <w:t xml:space="preserve">ין הצדדים האם יש מקום להכריז על הנאשם כעל סוחר סמים, אין </w:t>
      </w:r>
      <w:r>
        <w:rPr>
          <w:rFonts w:ascii="David" w:hAnsi="David" w:cs="David"/>
          <w:rtl/>
        </w:rPr>
        <w:t>לי אלא להזכיר מושכלות ראשונים</w:t>
      </w:r>
      <w:r>
        <w:rPr>
          <w:rFonts w:ascii="David" w:hAnsi="David" w:cs="David" w:hint="cs"/>
          <w:rtl/>
        </w:rPr>
        <w:t xml:space="preserve"> אשר לעיתוי ההכרזה ולתנאים הדרושים להכרזה כאמור.</w:t>
      </w:r>
    </w:p>
    <w:p w14:paraId="5392F69E" w14:textId="77777777" w:rsidR="009D1E9A" w:rsidRDefault="009D1E9A" w:rsidP="009D1E9A">
      <w:pPr>
        <w:pStyle w:val="gmail-ruller4"/>
        <w:bidi/>
        <w:spacing w:before="0" w:beforeAutospacing="0" w:after="0" w:afterAutospacing="0" w:line="330" w:lineRule="atLeast"/>
        <w:ind w:left="720" w:hanging="720"/>
        <w:jc w:val="both"/>
        <w:rPr>
          <w:rFonts w:ascii="David" w:hAnsi="David" w:cs="David"/>
          <w:b/>
          <w:bCs/>
          <w:rtl/>
        </w:rPr>
      </w:pPr>
    </w:p>
    <w:p w14:paraId="480BFCC4" w14:textId="77777777" w:rsidR="009D1E9A" w:rsidRPr="00C31322" w:rsidRDefault="009D1E9A" w:rsidP="009D1E9A">
      <w:pPr>
        <w:pStyle w:val="gmail-ruller4"/>
        <w:bidi/>
        <w:spacing w:before="0" w:beforeAutospacing="0" w:after="0" w:afterAutospacing="0" w:line="330" w:lineRule="atLeast"/>
        <w:ind w:left="1440"/>
        <w:jc w:val="both"/>
        <w:rPr>
          <w:rFonts w:ascii="David" w:hAnsi="David" w:cs="David"/>
          <w:b/>
          <w:bCs/>
          <w:color w:val="000000"/>
          <w:spacing w:val="10"/>
          <w:rtl/>
        </w:rPr>
      </w:pPr>
      <w:r w:rsidRPr="00C31322">
        <w:rPr>
          <w:rFonts w:ascii="David" w:hAnsi="David" w:cs="David" w:hint="cs"/>
          <w:b/>
          <w:bCs/>
          <w:rtl/>
        </w:rPr>
        <w:t>"</w:t>
      </w:r>
      <w:r w:rsidRPr="00C31322">
        <w:rPr>
          <w:rFonts w:ascii="David" w:hAnsi="David" w:cs="David"/>
          <w:b/>
          <w:bCs/>
          <w:color w:val="000000"/>
          <w:spacing w:val="10"/>
          <w:rtl/>
        </w:rPr>
        <w:t>בתאריך 29.12.05 ניתנה החלטתו של בית משפט קמא (כב' השופט</w:t>
      </w:r>
      <w:r w:rsidR="001B5E41">
        <w:rPr>
          <w:rFonts w:ascii="David" w:hAnsi="David" w:cs="David"/>
          <w:b/>
          <w:bCs/>
          <w:color w:val="000000"/>
          <w:spacing w:val="10"/>
          <w:rtl/>
        </w:rPr>
        <w:t xml:space="preserve"> </w:t>
      </w:r>
      <w:r w:rsidRPr="00C31322">
        <w:rPr>
          <w:rFonts w:ascii="David" w:hAnsi="David" w:cs="David"/>
          <w:b/>
          <w:bCs/>
          <w:color w:val="000000"/>
          <w:spacing w:val="10"/>
          <w:rtl/>
        </w:rPr>
        <w:t>א' שהם) בבית המשפט המחוזי בתל-אביב בשתי הבקשות דלעיל. הדיון בבקשה הראשונה (הכרזת</w:t>
      </w:r>
      <w:r w:rsidRPr="00C31322">
        <w:rPr>
          <w:rFonts w:ascii="David" w:hAnsi="David" w:cs="David" w:hint="cs"/>
          <w:b/>
          <w:bCs/>
          <w:color w:val="000000"/>
          <w:spacing w:val="10"/>
          <w:rtl/>
        </w:rPr>
        <w:t xml:space="preserve"> </w:t>
      </w:r>
      <w:r w:rsidRPr="00C31322">
        <w:rPr>
          <w:rFonts w:ascii="David" w:hAnsi="David" w:cs="David"/>
          <w:b/>
          <w:bCs/>
          <w:color w:val="000000"/>
          <w:spacing w:val="10"/>
          <w:rtl/>
        </w:rPr>
        <w:t>המערער כסוחר סמים) התחלק לשני ראשים: 1. עיתוי ההכרזה (לאחר הכרעת הדין) ומיקומה (בהחלטה נפרדת); 2. הפן המהותי, דהיינו האם מן העובדות עולה כי המערער סוחר סמים. בית משפט קמא קיבל בשני הראשים גם יחד את עמדת המדינה.</w:t>
      </w:r>
    </w:p>
    <w:p w14:paraId="0EECBE3A" w14:textId="77777777" w:rsidR="009D1E9A" w:rsidRPr="00C31322" w:rsidRDefault="001B5E41" w:rsidP="009D1E9A">
      <w:pPr>
        <w:pStyle w:val="gmail-ruller4"/>
        <w:bidi/>
        <w:spacing w:before="0" w:beforeAutospacing="0" w:after="0" w:afterAutospacing="0" w:line="330" w:lineRule="atLeast"/>
        <w:jc w:val="both"/>
        <w:rPr>
          <w:rFonts w:ascii="David" w:hAnsi="David" w:cs="David"/>
          <w:b/>
          <w:bCs/>
          <w:color w:val="000000"/>
          <w:spacing w:val="10"/>
          <w:rtl/>
        </w:rPr>
      </w:pPr>
      <w:r>
        <w:rPr>
          <w:rFonts w:ascii="David" w:hAnsi="David" w:cs="David"/>
          <w:b/>
          <w:bCs/>
          <w:color w:val="000000"/>
          <w:spacing w:val="10"/>
          <w:rtl/>
        </w:rPr>
        <w:t xml:space="preserve"> </w:t>
      </w:r>
    </w:p>
    <w:p w14:paraId="2B4A7470" w14:textId="77777777" w:rsidR="009D1E9A" w:rsidRPr="00C31322" w:rsidRDefault="009D1E9A" w:rsidP="009D1E9A">
      <w:pPr>
        <w:pStyle w:val="gmail-ruller4"/>
        <w:bidi/>
        <w:spacing w:before="0" w:beforeAutospacing="0" w:after="0" w:afterAutospacing="0" w:line="330" w:lineRule="atLeast"/>
        <w:ind w:left="1440"/>
        <w:jc w:val="both"/>
        <w:rPr>
          <w:rFonts w:ascii="David" w:hAnsi="David" w:cs="David"/>
          <w:color w:val="333333"/>
          <w:rtl/>
        </w:rPr>
      </w:pPr>
      <w:r w:rsidRPr="00C31322">
        <w:rPr>
          <w:rFonts w:ascii="David" w:hAnsi="David" w:cs="David"/>
          <w:b/>
          <w:bCs/>
          <w:color w:val="000000"/>
          <w:spacing w:val="10"/>
          <w:rtl/>
        </w:rPr>
        <w:t>באשר לעיתוי ההכרזה ומיקומה – נקבע כי אין חובה כי ההכרזה תעשה דווקא במעמד הכרעת הדין "</w:t>
      </w:r>
      <w:r w:rsidRPr="00C31322">
        <w:rPr>
          <w:rFonts w:ascii="David" w:hAnsi="David" w:cs="David"/>
          <w:b/>
          <w:bCs/>
          <w:color w:val="000000"/>
          <w:rtl/>
        </w:rPr>
        <w:t>פרשנות תכליתית של סעיף החוק אינה שמה את הדגש על האכסניה בה אמורה להופיע ההכרזה אלא על מניעת הפתעה מבחינת הנאשם ומתן אפשרות סבירה להתגונן ולהגיב כראוי</w:t>
      </w:r>
      <w:r w:rsidRPr="00C31322">
        <w:rPr>
          <w:rFonts w:ascii="David" w:hAnsi="David" w:cs="David"/>
          <w:b/>
          <w:bCs/>
          <w:color w:val="000000"/>
          <w:spacing w:val="10"/>
          <w:rtl/>
        </w:rPr>
        <w:t>" (עמ' 10 ש' 27-30 להחלטה). משום כך, גם אין מניעה לקבוע בהחלטה חיצונית להכרעת הדין כי פלוני הוא סוחר סמים. באשר לפן המהותי נקבע כי העובדות בהן הודה המערער, קרי הכמות בה מדובר והעובדה כי חולקה ל-28 שקיות נפרדות מצביעה על כך כי המערער ביקש לסחור בסם ולהפיק רווחים נאים כתוצאה מביצוע העסקה. לפיכך, עונה המערער על שני התנאים המצטברים של</w:t>
      </w:r>
      <w:r w:rsidR="001B5E41">
        <w:rPr>
          <w:rFonts w:ascii="David" w:hAnsi="David" w:cs="David"/>
          <w:b/>
          <w:bCs/>
          <w:color w:val="000000"/>
          <w:spacing w:val="10"/>
          <w:rtl/>
        </w:rPr>
        <w:t xml:space="preserve"> </w:t>
      </w:r>
      <w:r w:rsidRPr="008E50A1">
        <w:rPr>
          <w:rFonts w:ascii="David" w:hAnsi="David" w:cs="David"/>
          <w:b/>
          <w:bCs/>
          <w:color w:val="000000"/>
          <w:spacing w:val="10"/>
          <w:rtl/>
        </w:rPr>
        <w:t>סעיף 36 א(ב)</w:t>
      </w:r>
      <w:r w:rsidRPr="00C31322">
        <w:rPr>
          <w:rFonts w:ascii="David" w:hAnsi="David" w:cs="David"/>
          <w:b/>
          <w:bCs/>
          <w:color w:val="000000"/>
          <w:spacing w:val="10"/>
          <w:rtl/>
        </w:rPr>
        <w:t>, שעל כן יש לקבוע כי הוא סוחר סמים</w:t>
      </w:r>
      <w:r>
        <w:rPr>
          <w:rFonts w:ascii="David" w:hAnsi="David" w:cs="David" w:hint="cs"/>
          <w:color w:val="000000"/>
          <w:spacing w:val="10"/>
          <w:rtl/>
        </w:rPr>
        <w:t>"</w:t>
      </w:r>
      <w:r w:rsidRPr="00C31322">
        <w:rPr>
          <w:rFonts w:ascii="David" w:hAnsi="David" w:cs="David"/>
          <w:color w:val="000000"/>
          <w:spacing w:val="10"/>
          <w:rtl/>
        </w:rPr>
        <w:t>.</w:t>
      </w:r>
      <w:r>
        <w:rPr>
          <w:rFonts w:ascii="David" w:hAnsi="David" w:cs="David" w:hint="cs"/>
          <w:color w:val="000000"/>
          <w:spacing w:val="10"/>
          <w:rtl/>
        </w:rPr>
        <w:t xml:space="preserve"> </w:t>
      </w:r>
      <w:hyperlink r:id="rId26" w:history="1">
        <w:r w:rsidR="008E50A1" w:rsidRPr="008E50A1">
          <w:rPr>
            <w:rFonts w:ascii="David" w:hAnsi="David" w:cs="David"/>
            <w:b/>
            <w:bCs/>
            <w:color w:val="0000FF"/>
            <w:u w:val="single"/>
            <w:rtl/>
          </w:rPr>
          <w:t>ע"פ 170-07</w:t>
        </w:r>
      </w:hyperlink>
      <w:r w:rsidR="001B5E41">
        <w:rPr>
          <w:rFonts w:ascii="David" w:hAnsi="David" w:cs="David"/>
          <w:b/>
          <w:bCs/>
          <w:color w:val="333333"/>
          <w:rtl/>
        </w:rPr>
        <w:t xml:space="preserve"> </w:t>
      </w:r>
      <w:r w:rsidRPr="00C31322">
        <w:rPr>
          <w:rFonts w:ascii="David" w:hAnsi="David" w:cs="David"/>
          <w:b/>
          <w:bCs/>
          <w:color w:val="333333"/>
          <w:rtl/>
        </w:rPr>
        <w:t>ליאור מטיס</w:t>
      </w:r>
      <w:r w:rsidR="001B5E41">
        <w:rPr>
          <w:rFonts w:ascii="David" w:hAnsi="David" w:cs="David"/>
          <w:b/>
          <w:bCs/>
          <w:color w:val="333333"/>
          <w:rtl/>
        </w:rPr>
        <w:t xml:space="preserve"> </w:t>
      </w:r>
      <w:r w:rsidRPr="00C31322">
        <w:rPr>
          <w:rFonts w:ascii="David" w:hAnsi="David" w:cs="David"/>
          <w:b/>
          <w:bCs/>
          <w:color w:val="333333"/>
          <w:rtl/>
        </w:rPr>
        <w:t>נ'</w:t>
      </w:r>
      <w:r w:rsidR="001B5E41">
        <w:rPr>
          <w:rFonts w:ascii="David" w:hAnsi="David" w:cs="David"/>
          <w:b/>
          <w:bCs/>
          <w:color w:val="333333"/>
          <w:rtl/>
        </w:rPr>
        <w:t xml:space="preserve"> </w:t>
      </w:r>
      <w:r w:rsidRPr="00C31322">
        <w:rPr>
          <w:rFonts w:ascii="David" w:hAnsi="David" w:cs="David"/>
          <w:b/>
          <w:bCs/>
          <w:color w:val="333333"/>
          <w:rtl/>
        </w:rPr>
        <w:t>מדינת ישראל (19.11.07)</w:t>
      </w:r>
    </w:p>
    <w:p w14:paraId="6261BD75" w14:textId="77777777" w:rsidR="009D1E9A" w:rsidRPr="00C31322" w:rsidRDefault="009D1E9A" w:rsidP="009D1E9A">
      <w:pPr>
        <w:spacing w:line="360" w:lineRule="auto"/>
        <w:ind w:left="720" w:hanging="720"/>
        <w:jc w:val="both"/>
        <w:rPr>
          <w:rFonts w:ascii="David" w:hAnsi="David"/>
          <w:rtl/>
        </w:rPr>
      </w:pPr>
    </w:p>
    <w:p w14:paraId="5AAE2A5D" w14:textId="77777777" w:rsidR="009D1E9A" w:rsidRDefault="009D1E9A" w:rsidP="009D1E9A">
      <w:pPr>
        <w:spacing w:line="360" w:lineRule="auto"/>
        <w:ind w:left="720" w:hanging="720"/>
        <w:jc w:val="both"/>
        <w:rPr>
          <w:rtl/>
        </w:rPr>
      </w:pPr>
    </w:p>
    <w:p w14:paraId="669C0B19" w14:textId="77777777" w:rsidR="009D1E9A" w:rsidRDefault="009D1E9A" w:rsidP="009D1E9A">
      <w:pPr>
        <w:spacing w:line="360" w:lineRule="auto"/>
        <w:ind w:left="720" w:hanging="720"/>
        <w:jc w:val="both"/>
        <w:rPr>
          <w:rtl/>
        </w:rPr>
      </w:pPr>
      <w:r>
        <w:rPr>
          <w:rtl/>
        </w:rPr>
        <w:tab/>
      </w:r>
      <w:r>
        <w:rPr>
          <w:rFonts w:hint="cs"/>
          <w:rtl/>
        </w:rPr>
        <w:t>בנסיבות אשר בפניי חוששני שאין מנוס מהכרזת הנאשם כ</w:t>
      </w:r>
      <w:r w:rsidRPr="00C31322">
        <w:rPr>
          <w:rFonts w:hint="cs"/>
          <w:b/>
          <w:bCs/>
          <w:rtl/>
        </w:rPr>
        <w:t>"סוחר סמים"</w:t>
      </w:r>
      <w:r>
        <w:rPr>
          <w:rFonts w:hint="cs"/>
          <w:rtl/>
        </w:rPr>
        <w:t xml:space="preserve"> בהינתן סוגי הסמים והכמויות. על פי החוק והפסיקה אין הכרח להצביע על סחר בפועל. אני ער לעובדה כי לנאשם חוב של אלפי שקלים לבנק, אולם אין בכך כדי לשנות מהתוצאה.</w:t>
      </w:r>
    </w:p>
    <w:p w14:paraId="0B62ABB5" w14:textId="77777777" w:rsidR="009D1E9A" w:rsidRDefault="009D1E9A" w:rsidP="009D1E9A">
      <w:pPr>
        <w:spacing w:line="360" w:lineRule="auto"/>
        <w:ind w:left="720" w:hanging="720"/>
        <w:jc w:val="both"/>
        <w:rPr>
          <w:rtl/>
        </w:rPr>
      </w:pPr>
    </w:p>
    <w:p w14:paraId="6361E843" w14:textId="77777777" w:rsidR="009D1E9A" w:rsidRDefault="009D1E9A" w:rsidP="009D1E9A">
      <w:pPr>
        <w:spacing w:line="360" w:lineRule="auto"/>
        <w:ind w:left="720"/>
        <w:jc w:val="both"/>
        <w:rPr>
          <w:rtl/>
        </w:rPr>
      </w:pPr>
      <w:r>
        <w:rPr>
          <w:rFonts w:hint="cs"/>
          <w:rtl/>
        </w:rPr>
        <w:t xml:space="preserve">אני מכריז אפוא על הנאשם כעל </w:t>
      </w:r>
      <w:r w:rsidRPr="00DF37A5">
        <w:rPr>
          <w:rFonts w:hint="cs"/>
          <w:b/>
          <w:bCs/>
          <w:rtl/>
        </w:rPr>
        <w:t>"סוחר סמים"</w:t>
      </w:r>
      <w:r>
        <w:rPr>
          <w:rFonts w:hint="cs"/>
          <w:rtl/>
        </w:rPr>
        <w:t xml:space="preserve"> ומורה</w:t>
      </w:r>
      <w:r w:rsidRPr="00862B80">
        <w:rPr>
          <w:rtl/>
        </w:rPr>
        <w:t xml:space="preserve"> על חילוט</w:t>
      </w:r>
      <w:r>
        <w:rPr>
          <w:rFonts w:hint="cs"/>
          <w:rtl/>
        </w:rPr>
        <w:t xml:space="preserve"> על סך 31,154 ₪ ו-100 יורו</w:t>
      </w:r>
      <w:r w:rsidRPr="00862B80">
        <w:rPr>
          <w:rtl/>
        </w:rPr>
        <w:t xml:space="preserve"> מכ</w:t>
      </w:r>
      <w:r>
        <w:rPr>
          <w:rFonts w:hint="cs"/>
          <w:rtl/>
        </w:rPr>
        <w:t>ו</w:t>
      </w:r>
      <w:r w:rsidRPr="00862B80">
        <w:rPr>
          <w:rtl/>
        </w:rPr>
        <w:t xml:space="preserve">ח </w:t>
      </w:r>
      <w:hyperlink r:id="rId27" w:history="1">
        <w:r w:rsidR="008259BF" w:rsidRPr="008259BF">
          <w:rPr>
            <w:rStyle w:val="Hyperlink"/>
            <w:rtl/>
          </w:rPr>
          <w:t>סעיפים 36 א(ב)</w:t>
        </w:r>
      </w:hyperlink>
      <w:r w:rsidRPr="00862B80">
        <w:rPr>
          <w:rtl/>
        </w:rPr>
        <w:t xml:space="preserve"> ו- </w:t>
      </w:r>
      <w:hyperlink r:id="rId28" w:history="1">
        <w:r w:rsidR="008259BF" w:rsidRPr="008259BF">
          <w:rPr>
            <w:rStyle w:val="Hyperlink"/>
            <w:rtl/>
          </w:rPr>
          <w:t>31(6)</w:t>
        </w:r>
      </w:hyperlink>
      <w:r w:rsidRPr="00862B80">
        <w:rPr>
          <w:rtl/>
        </w:rPr>
        <w:t xml:space="preserve"> ל</w:t>
      </w:r>
      <w:hyperlink r:id="rId29" w:history="1">
        <w:r w:rsidR="008E50A1" w:rsidRPr="008E50A1">
          <w:rPr>
            <w:color w:val="0000FF"/>
            <w:u w:val="single"/>
            <w:rtl/>
          </w:rPr>
          <w:t>פקודת הסמים המסוכנים</w:t>
        </w:r>
      </w:hyperlink>
      <w:r>
        <w:rPr>
          <w:rtl/>
        </w:rPr>
        <w:t xml:space="preserve"> [נוסח חדש], תשל"ג-1973</w:t>
      </w:r>
      <w:r>
        <w:rPr>
          <w:rFonts w:hint="cs"/>
          <w:rtl/>
        </w:rPr>
        <w:t xml:space="preserve"> </w:t>
      </w:r>
      <w:r w:rsidRPr="00862B80">
        <w:rPr>
          <w:rtl/>
        </w:rPr>
        <w:t>וכן מכ</w:t>
      </w:r>
      <w:r>
        <w:rPr>
          <w:rFonts w:hint="cs"/>
          <w:rtl/>
        </w:rPr>
        <w:t>ו</w:t>
      </w:r>
      <w:r w:rsidRPr="00862B80">
        <w:rPr>
          <w:rtl/>
        </w:rPr>
        <w:t xml:space="preserve">ח </w:t>
      </w:r>
      <w:hyperlink r:id="rId30" w:history="1">
        <w:r w:rsidR="008259BF" w:rsidRPr="008259BF">
          <w:rPr>
            <w:rStyle w:val="Hyperlink"/>
            <w:rtl/>
          </w:rPr>
          <w:t>סעיפים 36א(א)</w:t>
        </w:r>
      </w:hyperlink>
      <w:r w:rsidRPr="00862B80">
        <w:rPr>
          <w:rtl/>
        </w:rPr>
        <w:t xml:space="preserve"> לפקודת הסמים  ומכ</w:t>
      </w:r>
      <w:r>
        <w:rPr>
          <w:rFonts w:hint="cs"/>
          <w:rtl/>
        </w:rPr>
        <w:t>ו</w:t>
      </w:r>
      <w:r w:rsidRPr="00862B80">
        <w:rPr>
          <w:rtl/>
        </w:rPr>
        <w:t xml:space="preserve">ח </w:t>
      </w:r>
      <w:hyperlink r:id="rId31" w:history="1">
        <w:r w:rsidR="008259BF" w:rsidRPr="008259BF">
          <w:rPr>
            <w:rStyle w:val="Hyperlink"/>
            <w:rtl/>
          </w:rPr>
          <w:t>32</w:t>
        </w:r>
      </w:hyperlink>
      <w:r w:rsidRPr="00862B80">
        <w:rPr>
          <w:rtl/>
        </w:rPr>
        <w:t xml:space="preserve"> ו- </w:t>
      </w:r>
      <w:hyperlink r:id="rId32" w:history="1">
        <w:r w:rsidR="008259BF" w:rsidRPr="008259BF">
          <w:rPr>
            <w:rStyle w:val="Hyperlink"/>
            <w:rtl/>
          </w:rPr>
          <w:t>39</w:t>
        </w:r>
      </w:hyperlink>
      <w:r w:rsidRPr="00862B80">
        <w:rPr>
          <w:rtl/>
        </w:rPr>
        <w:t xml:space="preserve"> ל</w:t>
      </w:r>
      <w:hyperlink r:id="rId33" w:history="1">
        <w:r w:rsidR="008E50A1" w:rsidRPr="008E50A1">
          <w:rPr>
            <w:color w:val="0000FF"/>
            <w:u w:val="single"/>
            <w:rtl/>
          </w:rPr>
          <w:t>פקודת סדר הדין הפלילי (מעצר וחיפוש)</w:t>
        </w:r>
      </w:hyperlink>
      <w:r w:rsidRPr="00862B80">
        <w:rPr>
          <w:rtl/>
        </w:rPr>
        <w:t xml:space="preserve"> [נוסח חדש], תשכ"ט-1969</w:t>
      </w:r>
      <w:r>
        <w:rPr>
          <w:rFonts w:hint="cs"/>
          <w:rtl/>
        </w:rPr>
        <w:t>.</w:t>
      </w:r>
    </w:p>
    <w:p w14:paraId="3E18444E" w14:textId="77777777" w:rsidR="009D1E9A" w:rsidRDefault="009D1E9A" w:rsidP="009D1E9A">
      <w:pPr>
        <w:spacing w:line="360" w:lineRule="auto"/>
        <w:jc w:val="both"/>
        <w:rPr>
          <w:rtl/>
        </w:rPr>
      </w:pPr>
    </w:p>
    <w:p w14:paraId="440148BD" w14:textId="77777777" w:rsidR="009D1E9A" w:rsidRPr="00C776D8" w:rsidRDefault="009D1E9A" w:rsidP="009D1E9A">
      <w:pPr>
        <w:spacing w:line="360" w:lineRule="auto"/>
        <w:jc w:val="both"/>
        <w:rPr>
          <w:b/>
          <w:bCs/>
          <w:rtl/>
        </w:rPr>
      </w:pPr>
      <w:r w:rsidRPr="00C776D8">
        <w:rPr>
          <w:rFonts w:hint="cs"/>
          <w:b/>
          <w:bCs/>
          <w:rtl/>
        </w:rPr>
        <w:t xml:space="preserve"> זכות ערעור כחוק</w:t>
      </w:r>
      <w:r>
        <w:rPr>
          <w:rFonts w:hint="cs"/>
          <w:b/>
          <w:bCs/>
          <w:rtl/>
        </w:rPr>
        <w:t>.</w:t>
      </w:r>
      <w:r w:rsidRPr="00C776D8">
        <w:rPr>
          <w:b/>
          <w:bCs/>
          <w:rtl/>
        </w:rPr>
        <w:tab/>
      </w:r>
    </w:p>
    <w:p w14:paraId="005063CA" w14:textId="77777777" w:rsidR="009D1E9A" w:rsidRDefault="009D1E9A" w:rsidP="009D1E9A">
      <w:pPr>
        <w:rPr>
          <w:rtl/>
        </w:rPr>
      </w:pPr>
    </w:p>
    <w:p w14:paraId="2710E9CB" w14:textId="77777777" w:rsidR="009D1E9A" w:rsidRPr="00B05847" w:rsidRDefault="009D1E9A" w:rsidP="009D1E9A">
      <w:pPr>
        <w:rPr>
          <w:rtl/>
        </w:rPr>
      </w:pPr>
    </w:p>
    <w:p w14:paraId="4EE5C712" w14:textId="77777777" w:rsidR="009D1E9A" w:rsidRPr="001B5E41" w:rsidRDefault="001B5E41" w:rsidP="009D1E9A">
      <w:pPr>
        <w:rPr>
          <w:color w:val="FFFFFF"/>
          <w:sz w:val="2"/>
          <w:szCs w:val="2"/>
          <w:rtl/>
        </w:rPr>
      </w:pPr>
      <w:r w:rsidRPr="001B5E41">
        <w:rPr>
          <w:color w:val="FFFFFF"/>
          <w:sz w:val="2"/>
          <w:szCs w:val="2"/>
          <w:rtl/>
        </w:rPr>
        <w:t>5129371</w:t>
      </w:r>
    </w:p>
    <w:p w14:paraId="6012D9D9" w14:textId="77777777" w:rsidR="009D1E9A" w:rsidRPr="00250B83" w:rsidRDefault="001B5E41" w:rsidP="009D1E9A">
      <w:pPr>
        <w:rPr>
          <w:rtl/>
        </w:rPr>
      </w:pPr>
      <w:bookmarkStart w:id="8" w:name="Nitan"/>
      <w:r w:rsidRPr="001B5E41">
        <w:rPr>
          <w:rFonts w:ascii="Arial" w:hAnsi="Arial"/>
          <w:color w:val="FFFFFF"/>
          <w:sz w:val="2"/>
          <w:szCs w:val="2"/>
          <w:rtl/>
        </w:rPr>
        <w:t>54678313</w:t>
      </w:r>
      <w:r>
        <w:rPr>
          <w:rFonts w:ascii="Arial" w:hAnsi="Arial"/>
          <w:rtl/>
        </w:rPr>
        <w:t xml:space="preserve">ניתן היום,  ז' אייר תשפ"ד, 15 מאי 2024, במעמד הצדדים. </w:t>
      </w:r>
      <w:bookmarkEnd w:id="8"/>
    </w:p>
    <w:p w14:paraId="4E3C51A4" w14:textId="77777777" w:rsidR="009D1E9A" w:rsidRPr="00250B83" w:rsidRDefault="009D1E9A" w:rsidP="001B5E41">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B14EB6C" w14:textId="77777777" w:rsidR="009D1E9A" w:rsidRPr="00250B83" w:rsidRDefault="009D1E9A" w:rsidP="009D1E9A">
      <w:pPr>
        <w:jc w:val="center"/>
        <w:rPr>
          <w:rFonts w:ascii="Arial" w:hAnsi="Arial"/>
          <w:rtl/>
        </w:rPr>
      </w:pPr>
    </w:p>
    <w:p w14:paraId="6C988F2F" w14:textId="77777777" w:rsidR="001B5E41" w:rsidRDefault="001B5E41" w:rsidP="001B5E41">
      <w:pPr>
        <w:rPr>
          <w:rtl/>
        </w:rPr>
      </w:pPr>
    </w:p>
    <w:p w14:paraId="33B9EF24" w14:textId="77777777" w:rsidR="001B5E41" w:rsidRDefault="001B5E41" w:rsidP="001B5E41">
      <w:pPr>
        <w:jc w:val="center"/>
        <w:rPr>
          <w:color w:val="0000FF"/>
          <w:u w:val="single"/>
        </w:rPr>
      </w:pPr>
      <w:r w:rsidRPr="008E50A1">
        <w:rPr>
          <w:color w:val="000000"/>
          <w:rtl/>
        </w:rPr>
        <w:t>בעניין עריכה ושינויים במסמכי פסיקה, חקיקה ועוד באתר נבו – הקש כאן</w:t>
      </w:r>
    </w:p>
    <w:p w14:paraId="7F1815A9" w14:textId="77777777" w:rsidR="008259BF" w:rsidRPr="008259BF" w:rsidRDefault="008259BF" w:rsidP="008259BF">
      <w:pPr>
        <w:keepNext/>
        <w:rPr>
          <w:rFonts w:ascii="David" w:hAnsi="David"/>
          <w:color w:val="000000"/>
          <w:sz w:val="22"/>
          <w:szCs w:val="22"/>
          <w:rtl/>
        </w:rPr>
      </w:pPr>
    </w:p>
    <w:p w14:paraId="5A03EF93" w14:textId="77777777" w:rsidR="008259BF" w:rsidRPr="008259BF" w:rsidRDefault="008259BF" w:rsidP="008259BF">
      <w:pPr>
        <w:keepNext/>
        <w:rPr>
          <w:rFonts w:ascii="David" w:hAnsi="David"/>
          <w:color w:val="000000"/>
          <w:sz w:val="22"/>
          <w:szCs w:val="22"/>
          <w:rtl/>
        </w:rPr>
      </w:pPr>
      <w:r w:rsidRPr="008259BF">
        <w:rPr>
          <w:rFonts w:ascii="David" w:hAnsi="David"/>
          <w:color w:val="000000"/>
          <w:sz w:val="22"/>
          <w:szCs w:val="22"/>
          <w:rtl/>
        </w:rPr>
        <w:t>ציון קאפח 54678313-/</w:t>
      </w:r>
    </w:p>
    <w:p w14:paraId="640ACBEB" w14:textId="77777777" w:rsidR="001B5E41" w:rsidRPr="001B5E41" w:rsidRDefault="008259BF" w:rsidP="008259BF">
      <w:pPr>
        <w:rPr>
          <w:color w:val="0000FF"/>
          <w:u w:val="single"/>
        </w:rPr>
      </w:pPr>
      <w:r w:rsidRPr="008259BF">
        <w:rPr>
          <w:color w:val="000000"/>
          <w:u w:val="single"/>
          <w:rtl/>
        </w:rPr>
        <w:t>נוסח מסמך זה כפוף לשינויי ניסוח ועריכה</w:t>
      </w:r>
    </w:p>
    <w:sectPr w:rsidR="001B5E41" w:rsidRPr="001B5E41" w:rsidSect="008259BF">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4331C" w14:textId="77777777" w:rsidR="00C75DF2" w:rsidRDefault="00C75DF2" w:rsidP="00F30164">
      <w:r>
        <w:separator/>
      </w:r>
    </w:p>
  </w:endnote>
  <w:endnote w:type="continuationSeparator" w:id="0">
    <w:p w14:paraId="1F16F767" w14:textId="77777777" w:rsidR="00C75DF2" w:rsidRDefault="00C75DF2" w:rsidP="00F3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45E94" w14:textId="77777777" w:rsidR="008259BF" w:rsidRDefault="008259BF" w:rsidP="008259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93CF781" w14:textId="77777777" w:rsidR="00196BFC" w:rsidRPr="008259BF" w:rsidRDefault="008259BF" w:rsidP="008259BF">
    <w:pPr>
      <w:pStyle w:val="a5"/>
      <w:pBdr>
        <w:top w:val="single" w:sz="4" w:space="1" w:color="auto"/>
        <w:between w:val="single" w:sz="4" w:space="0" w:color="auto"/>
      </w:pBdr>
      <w:spacing w:after="60"/>
      <w:jc w:val="center"/>
      <w:rPr>
        <w:rFonts w:ascii="FrankRuehl" w:hAnsi="FrankRuehl" w:cs="FrankRuehl"/>
        <w:color w:val="000000"/>
      </w:rPr>
    </w:pPr>
    <w:r w:rsidRPr="008259B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72584" w14:textId="77777777" w:rsidR="008259BF" w:rsidRDefault="008259BF" w:rsidP="008259B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785A">
      <w:rPr>
        <w:rFonts w:ascii="FrankRuehl" w:hAnsi="FrankRuehl" w:cs="FrankRuehl"/>
        <w:noProof/>
        <w:rtl/>
      </w:rPr>
      <w:t>1</w:t>
    </w:r>
    <w:r>
      <w:rPr>
        <w:rFonts w:ascii="FrankRuehl" w:hAnsi="FrankRuehl" w:cs="FrankRuehl"/>
        <w:rtl/>
      </w:rPr>
      <w:fldChar w:fldCharType="end"/>
    </w:r>
  </w:p>
  <w:p w14:paraId="0D87053C" w14:textId="77777777" w:rsidR="00196BFC" w:rsidRPr="008259BF" w:rsidRDefault="008259BF" w:rsidP="008259BF">
    <w:pPr>
      <w:pStyle w:val="a5"/>
      <w:pBdr>
        <w:top w:val="single" w:sz="4" w:space="1" w:color="auto"/>
        <w:between w:val="single" w:sz="4" w:space="0" w:color="auto"/>
      </w:pBdr>
      <w:spacing w:after="60"/>
      <w:jc w:val="center"/>
      <w:rPr>
        <w:rFonts w:ascii="FrankRuehl" w:hAnsi="FrankRuehl" w:cs="FrankRuehl"/>
        <w:color w:val="000000"/>
      </w:rPr>
    </w:pPr>
    <w:r w:rsidRPr="008259BF">
      <w:rPr>
        <w:rFonts w:ascii="FrankRuehl" w:hAnsi="FrankRuehl" w:cs="FrankRuehl"/>
        <w:color w:val="000000"/>
      </w:rPr>
      <w:pict w14:anchorId="4CDB7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A8D01" w14:textId="77777777" w:rsidR="00C75DF2" w:rsidRDefault="00C75DF2" w:rsidP="00F30164">
      <w:r>
        <w:separator/>
      </w:r>
    </w:p>
  </w:footnote>
  <w:footnote w:type="continuationSeparator" w:id="0">
    <w:p w14:paraId="40E03FEB" w14:textId="77777777" w:rsidR="00C75DF2" w:rsidRDefault="00C75DF2" w:rsidP="00F30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C4069" w14:textId="77777777" w:rsidR="001B5E41" w:rsidRPr="008259BF" w:rsidRDefault="008259BF" w:rsidP="00825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51515-06-23</w:t>
    </w:r>
    <w:r>
      <w:rPr>
        <w:rFonts w:ascii="David" w:hAnsi="David"/>
        <w:color w:val="000000"/>
        <w:sz w:val="22"/>
        <w:szCs w:val="22"/>
        <w:rtl/>
      </w:rPr>
      <w:tab/>
      <w:t xml:space="preserve"> מדינת ישראל נ' מושיקו ניב-לס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5BD34" w14:textId="77777777" w:rsidR="001B5E41" w:rsidRPr="008259BF" w:rsidRDefault="008259BF" w:rsidP="008259B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51515-06-23</w:t>
    </w:r>
    <w:r>
      <w:rPr>
        <w:rFonts w:ascii="David" w:hAnsi="David"/>
        <w:color w:val="000000"/>
        <w:sz w:val="22"/>
        <w:szCs w:val="22"/>
        <w:rtl/>
      </w:rPr>
      <w:tab/>
      <w:t xml:space="preserve"> מדינת ישראל נ' מושיקו ניב-לס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C4E71"/>
    <w:multiLevelType w:val="multilevel"/>
    <w:tmpl w:val="7E0AAA68"/>
    <w:lvl w:ilvl="0">
      <w:start w:val="1"/>
      <w:numFmt w:val="decimal"/>
      <w:lvlText w:val="%1."/>
      <w:lvlJc w:val="left"/>
      <w:pPr>
        <w:tabs>
          <w:tab w:val="num" w:pos="720"/>
        </w:tabs>
        <w:ind w:left="720" w:hanging="720"/>
      </w:pPr>
      <w:rPr>
        <w:bCs w:val="0"/>
        <w:iCs w:val="0"/>
        <w:sz w:val="24"/>
        <w:szCs w:val="24"/>
      </w:rPr>
    </w:lvl>
    <w:lvl w:ilvl="1">
      <w:start w:val="1"/>
      <w:numFmt w:val="hebrew1"/>
      <w:lvlText w:val="%2."/>
      <w:lvlJc w:val="left"/>
      <w:pPr>
        <w:tabs>
          <w:tab w:val="num" w:pos="1854"/>
        </w:tabs>
        <w:ind w:left="1854" w:hanging="720"/>
      </w:pPr>
      <w:rPr>
        <w:rFonts w:cs="David"/>
        <w:b w:val="0"/>
        <w:bCs w:val="0"/>
        <w:iCs w:val="0"/>
        <w:sz w:val="24"/>
        <w:szCs w:val="24"/>
      </w:rPr>
    </w:lvl>
    <w:lvl w:ilvl="2">
      <w:start w:val="1"/>
      <w:numFmt w:val="decimal"/>
      <w:lvlText w:val="%3)"/>
      <w:lvlJc w:val="left"/>
      <w:pPr>
        <w:tabs>
          <w:tab w:val="num" w:pos="2160"/>
        </w:tabs>
        <w:ind w:left="2160" w:hanging="720"/>
      </w:pPr>
      <w:rPr>
        <w:rFonts w:cs="David"/>
        <w:bCs w:val="0"/>
        <w:iCs w:val="0"/>
        <w:sz w:val="24"/>
        <w:szCs w:val="24"/>
      </w:rPr>
    </w:lvl>
    <w:lvl w:ilvl="3">
      <w:start w:val="1"/>
      <w:numFmt w:val="hebrew1"/>
      <w:lvlText w:val="%4)"/>
      <w:lvlJc w:val="left"/>
      <w:pPr>
        <w:tabs>
          <w:tab w:val="num" w:pos="2880"/>
        </w:tabs>
        <w:ind w:left="2880" w:hanging="720"/>
      </w:pPr>
      <w:rPr>
        <w:rFonts w:cs="David"/>
        <w:bCs w:val="0"/>
        <w:iCs w:val="0"/>
        <w:sz w:val="24"/>
        <w:szCs w:val="24"/>
      </w:r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1905"/>
        </w:tabs>
        <w:ind w:left="1905" w:hanging="357"/>
      </w:pPr>
      <w:rPr>
        <w:sz w:val="24"/>
        <w:szCs w:val="24"/>
      </w:r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num w:numId="1" w16cid:durableId="14304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D1E9A"/>
    <w:rsid w:val="000D4504"/>
    <w:rsid w:val="000E34C4"/>
    <w:rsid w:val="00196BFC"/>
    <w:rsid w:val="001B5A3B"/>
    <w:rsid w:val="001B5E41"/>
    <w:rsid w:val="002004BA"/>
    <w:rsid w:val="002432AF"/>
    <w:rsid w:val="003A785A"/>
    <w:rsid w:val="00510A68"/>
    <w:rsid w:val="005D20CE"/>
    <w:rsid w:val="008259BF"/>
    <w:rsid w:val="008E50A1"/>
    <w:rsid w:val="009D1E9A"/>
    <w:rsid w:val="00B863A5"/>
    <w:rsid w:val="00BA7794"/>
    <w:rsid w:val="00C75DF2"/>
    <w:rsid w:val="00F24C4F"/>
    <w:rsid w:val="00F30164"/>
    <w:rsid w:val="00FD3B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E220E0"/>
  <w15:chartTrackingRefBased/>
  <w15:docId w15:val="{872E95F5-36F2-4F65-BB6D-C904F15A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E9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D1E9A"/>
    <w:pPr>
      <w:tabs>
        <w:tab w:val="center" w:pos="4153"/>
        <w:tab w:val="right" w:pos="8306"/>
      </w:tabs>
    </w:pPr>
  </w:style>
  <w:style w:type="character" w:customStyle="1" w:styleId="a4">
    <w:name w:val="כותרת עליונה תו"/>
    <w:link w:val="a3"/>
    <w:rsid w:val="009D1E9A"/>
    <w:rPr>
      <w:rFonts w:ascii="Times New Roman" w:eastAsia="Times New Roman" w:hAnsi="Times New Roman" w:cs="David"/>
      <w:sz w:val="24"/>
      <w:szCs w:val="24"/>
    </w:rPr>
  </w:style>
  <w:style w:type="paragraph" w:styleId="a5">
    <w:name w:val="footer"/>
    <w:basedOn w:val="a"/>
    <w:link w:val="a6"/>
    <w:rsid w:val="009D1E9A"/>
    <w:pPr>
      <w:tabs>
        <w:tab w:val="center" w:pos="4153"/>
        <w:tab w:val="right" w:pos="8306"/>
      </w:tabs>
    </w:pPr>
  </w:style>
  <w:style w:type="character" w:customStyle="1" w:styleId="a6">
    <w:name w:val="כותרת תחתונה תו"/>
    <w:link w:val="a5"/>
    <w:rsid w:val="009D1E9A"/>
    <w:rPr>
      <w:rFonts w:ascii="Times New Roman" w:eastAsia="Times New Roman" w:hAnsi="Times New Roman" w:cs="David"/>
      <w:sz w:val="24"/>
      <w:szCs w:val="24"/>
    </w:rPr>
  </w:style>
  <w:style w:type="table" w:styleId="a7">
    <w:name w:val="Table Grid"/>
    <w:basedOn w:val="a1"/>
    <w:rsid w:val="009D1E9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D1E9A"/>
  </w:style>
  <w:style w:type="paragraph" w:customStyle="1" w:styleId="Normal2">
    <w:name w:val="Normal2"/>
    <w:basedOn w:val="a"/>
    <w:rsid w:val="009D1E9A"/>
    <w:pPr>
      <w:spacing w:before="120" w:line="320" w:lineRule="exact"/>
      <w:ind w:left="720"/>
      <w:jc w:val="both"/>
    </w:pPr>
    <w:rPr>
      <w:noProof/>
      <w:sz w:val="22"/>
      <w:lang w:eastAsia="he-IL"/>
    </w:rPr>
  </w:style>
  <w:style w:type="character" w:customStyle="1" w:styleId="TimesNewRomanTimesNewRoman">
    <w:name w:val="סגנון (לטיני) Times New Roman (עברית ושפות אחרות) Times New Roman..."/>
    <w:rsid w:val="009D1E9A"/>
    <w:rPr>
      <w:rFonts w:ascii="Times New Roman" w:hAnsi="Times New Roman" w:cs="David" w:hint="default"/>
      <w:b/>
      <w:bCs/>
      <w:sz w:val="26"/>
      <w:szCs w:val="26"/>
    </w:rPr>
  </w:style>
  <w:style w:type="character" w:styleId="Hyperlink">
    <w:name w:val="Hyperlink"/>
    <w:rsid w:val="009D1E9A"/>
    <w:rPr>
      <w:color w:val="0000FF"/>
      <w:u w:val="single"/>
    </w:rPr>
  </w:style>
  <w:style w:type="paragraph" w:customStyle="1" w:styleId="gmail-ruller4">
    <w:name w:val="gmail-ruller4"/>
    <w:basedOn w:val="a"/>
    <w:rsid w:val="009D1E9A"/>
    <w:pPr>
      <w:bidi w:val="0"/>
      <w:spacing w:before="100" w:beforeAutospacing="1" w:after="100" w:afterAutospacing="1"/>
    </w:pPr>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681787" TargetMode="External"/><Relationship Id="rId39" Type="http://schemas.openxmlformats.org/officeDocument/2006/relationships/theme" Target="theme/theme1.xml"/><Relationship Id="rId21" Type="http://schemas.openxmlformats.org/officeDocument/2006/relationships/hyperlink" Target="http://www.nevo.co.il/case/27137719"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36a.b" TargetMode="External"/><Relationship Id="rId17" Type="http://schemas.openxmlformats.org/officeDocument/2006/relationships/hyperlink" Target="http://www.nevo.co.il/law/4216/7.a.;7.c" TargetMode="External"/><Relationship Id="rId25" Type="http://schemas.openxmlformats.org/officeDocument/2006/relationships/hyperlink" Target="http://www.nevo.co.il/law/4216" TargetMode="External"/><Relationship Id="rId33" Type="http://schemas.openxmlformats.org/officeDocument/2006/relationships/hyperlink" Target="http://www.nevo.co.il/law/74918"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118363"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a" TargetMode="External"/><Relationship Id="rId24" Type="http://schemas.openxmlformats.org/officeDocument/2006/relationships/hyperlink" Target="http://www.nevo.co.il/law/4216" TargetMode="External"/><Relationship Id="rId32" Type="http://schemas.openxmlformats.org/officeDocument/2006/relationships/hyperlink" Target="http://www.nevo.co.il/law/74918/39"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law/4216" TargetMode="External"/><Relationship Id="rId28" Type="http://schemas.openxmlformats.org/officeDocument/2006/relationships/hyperlink" Target="http://www.nevo.co.il/law/4216/31.6" TargetMode="External"/><Relationship Id="rId36" Type="http://schemas.openxmlformats.org/officeDocument/2006/relationships/footer" Target="footer1.xml"/><Relationship Id="rId10" Type="http://schemas.openxmlformats.org/officeDocument/2006/relationships/hyperlink" Target="http://www.nevo.co.il/law/4216/31.6" TargetMode="External"/><Relationship Id="rId19" Type="http://schemas.openxmlformats.org/officeDocument/2006/relationships/hyperlink" Target="http://www.nevo.co.il/case/5698919" TargetMode="External"/><Relationship Id="rId31" Type="http://schemas.openxmlformats.org/officeDocument/2006/relationships/hyperlink" Target="http://www.nevo.co.il/law/74918/32"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18/32"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4216/36a.b" TargetMode="External"/><Relationship Id="rId30" Type="http://schemas.openxmlformats.org/officeDocument/2006/relationships/hyperlink" Target="http://www.nevo.co.il/law/4216/36a.a"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2522</Words>
  <Characters>12612</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15104</CharactersWithSpaces>
  <SharedDoc>false</SharedDoc>
  <HLinks>
    <vt:vector size="162" baseType="variant">
      <vt:variant>
        <vt:i4>8323182</vt:i4>
      </vt:variant>
      <vt:variant>
        <vt:i4>78</vt:i4>
      </vt:variant>
      <vt:variant>
        <vt:i4>0</vt:i4>
      </vt:variant>
      <vt:variant>
        <vt:i4>5</vt:i4>
      </vt:variant>
      <vt:variant>
        <vt:lpwstr>http://www.nevo.co.il/law/74918</vt:lpwstr>
      </vt:variant>
      <vt:variant>
        <vt:lpwstr/>
      </vt:variant>
      <vt:variant>
        <vt:i4>6881381</vt:i4>
      </vt:variant>
      <vt:variant>
        <vt:i4>75</vt:i4>
      </vt:variant>
      <vt:variant>
        <vt:i4>0</vt:i4>
      </vt:variant>
      <vt:variant>
        <vt:i4>5</vt:i4>
      </vt:variant>
      <vt:variant>
        <vt:lpwstr>http://www.nevo.co.il/law/74918/39</vt:lpwstr>
      </vt:variant>
      <vt:variant>
        <vt:lpwstr/>
      </vt:variant>
      <vt:variant>
        <vt:i4>6422629</vt:i4>
      </vt:variant>
      <vt:variant>
        <vt:i4>72</vt:i4>
      </vt:variant>
      <vt:variant>
        <vt:i4>0</vt:i4>
      </vt:variant>
      <vt:variant>
        <vt:i4>5</vt:i4>
      </vt:variant>
      <vt:variant>
        <vt:lpwstr>http://www.nevo.co.il/law/74918/32</vt:lpwstr>
      </vt:variant>
      <vt:variant>
        <vt:lpwstr/>
      </vt:variant>
      <vt:variant>
        <vt:i4>5046354</vt:i4>
      </vt:variant>
      <vt:variant>
        <vt:i4>69</vt:i4>
      </vt:variant>
      <vt:variant>
        <vt:i4>0</vt:i4>
      </vt:variant>
      <vt:variant>
        <vt:i4>5</vt:i4>
      </vt:variant>
      <vt:variant>
        <vt:lpwstr>http://www.nevo.co.il/law/4216/36a.a</vt:lpwstr>
      </vt:variant>
      <vt:variant>
        <vt:lpwstr/>
      </vt:variant>
      <vt:variant>
        <vt:i4>8257637</vt:i4>
      </vt:variant>
      <vt:variant>
        <vt:i4>66</vt:i4>
      </vt:variant>
      <vt:variant>
        <vt:i4>0</vt:i4>
      </vt:variant>
      <vt:variant>
        <vt:i4>5</vt:i4>
      </vt:variant>
      <vt:variant>
        <vt:lpwstr>http://www.nevo.co.il/law/4216</vt:lpwstr>
      </vt:variant>
      <vt:variant>
        <vt:lpwstr/>
      </vt:variant>
      <vt:variant>
        <vt:i4>6488187</vt:i4>
      </vt:variant>
      <vt:variant>
        <vt:i4>63</vt:i4>
      </vt:variant>
      <vt:variant>
        <vt:i4>0</vt:i4>
      </vt:variant>
      <vt:variant>
        <vt:i4>5</vt:i4>
      </vt:variant>
      <vt:variant>
        <vt:lpwstr>http://www.nevo.co.il/law/4216/31.6</vt:lpwstr>
      </vt:variant>
      <vt:variant>
        <vt:lpwstr/>
      </vt:variant>
      <vt:variant>
        <vt:i4>5111890</vt:i4>
      </vt:variant>
      <vt:variant>
        <vt:i4>60</vt:i4>
      </vt:variant>
      <vt:variant>
        <vt:i4>0</vt:i4>
      </vt:variant>
      <vt:variant>
        <vt:i4>5</vt:i4>
      </vt:variant>
      <vt:variant>
        <vt:lpwstr>http://www.nevo.co.il/law/4216/36a.b</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3473527</vt:i4>
      </vt:variant>
      <vt:variant>
        <vt:i4>42</vt:i4>
      </vt:variant>
      <vt:variant>
        <vt:i4>0</vt:i4>
      </vt:variant>
      <vt:variant>
        <vt:i4>5</vt:i4>
      </vt:variant>
      <vt:variant>
        <vt:lpwstr>http://www.nevo.co.il/case/27137719</vt:lpwstr>
      </vt:variant>
      <vt:variant>
        <vt:lpwstr/>
      </vt:variant>
      <vt:variant>
        <vt:i4>3997814</vt:i4>
      </vt:variant>
      <vt:variant>
        <vt:i4>39</vt:i4>
      </vt:variant>
      <vt:variant>
        <vt:i4>0</vt:i4>
      </vt:variant>
      <vt:variant>
        <vt:i4>5</vt:i4>
      </vt:variant>
      <vt:variant>
        <vt:lpwstr>http://www.nevo.co.il/case/20118363</vt:lpwstr>
      </vt:variant>
      <vt:variant>
        <vt:lpwstr/>
      </vt:variant>
      <vt:variant>
        <vt:i4>3932283</vt:i4>
      </vt:variant>
      <vt:variant>
        <vt:i4>36</vt:i4>
      </vt:variant>
      <vt:variant>
        <vt:i4>0</vt:i4>
      </vt:variant>
      <vt:variant>
        <vt:i4>5</vt:i4>
      </vt:variant>
      <vt:variant>
        <vt:lpwstr>http://www.nevo.co.il/case/5698919</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6881381</vt:i4>
      </vt:variant>
      <vt:variant>
        <vt:i4>24</vt:i4>
      </vt:variant>
      <vt:variant>
        <vt:i4>0</vt:i4>
      </vt:variant>
      <vt:variant>
        <vt:i4>5</vt:i4>
      </vt:variant>
      <vt:variant>
        <vt:lpwstr>http://www.nevo.co.il/law/74918/39</vt:lpwstr>
      </vt:variant>
      <vt:variant>
        <vt:lpwstr/>
      </vt:variant>
      <vt:variant>
        <vt:i4>6422629</vt:i4>
      </vt:variant>
      <vt:variant>
        <vt:i4>21</vt:i4>
      </vt:variant>
      <vt:variant>
        <vt:i4>0</vt:i4>
      </vt:variant>
      <vt:variant>
        <vt:i4>5</vt:i4>
      </vt:variant>
      <vt:variant>
        <vt:lpwstr>http://www.nevo.co.il/law/74918/32</vt:lpwstr>
      </vt:variant>
      <vt:variant>
        <vt:lpwstr/>
      </vt:variant>
      <vt:variant>
        <vt:i4>8323182</vt:i4>
      </vt:variant>
      <vt:variant>
        <vt:i4>18</vt:i4>
      </vt:variant>
      <vt:variant>
        <vt:i4>0</vt:i4>
      </vt:variant>
      <vt:variant>
        <vt:i4>5</vt:i4>
      </vt:variant>
      <vt:variant>
        <vt:lpwstr>http://www.nevo.co.il/law/74918</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5046354</vt:i4>
      </vt:variant>
      <vt:variant>
        <vt:i4>12</vt:i4>
      </vt:variant>
      <vt:variant>
        <vt:i4>0</vt:i4>
      </vt:variant>
      <vt:variant>
        <vt:i4>5</vt:i4>
      </vt:variant>
      <vt:variant>
        <vt:lpwstr>http://www.nevo.co.il/law/4216/36a.a</vt:lpwstr>
      </vt:variant>
      <vt:variant>
        <vt:lpwstr/>
      </vt:variant>
      <vt:variant>
        <vt:i4>6488187</vt:i4>
      </vt:variant>
      <vt:variant>
        <vt:i4>9</vt:i4>
      </vt:variant>
      <vt:variant>
        <vt:i4>0</vt:i4>
      </vt:variant>
      <vt:variant>
        <vt:i4>5</vt:i4>
      </vt:variant>
      <vt:variant>
        <vt:lpwstr>http://www.nevo.co.il/law/4216/31.6</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2025-04-22T21:29:00Z</dcterms:created>
  <dcterms:modified xsi:type="dcterms:W3CDTF">2025-04-22T21:29:00Z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51515</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מושיקו ניב-לס</vt:lpwstr>
  </property>
  <property fmtid="{D5CDD505-2E9C-101B-9397-08002B2CF9AE}" pid="10" name="LAWYER">
    <vt:lpwstr>רונית חסון;שי רודה</vt:lpwstr>
  </property>
  <property fmtid="{D5CDD505-2E9C-101B-9397-08002B2CF9AE}" pid="11" name="JUDGE">
    <vt:lpwstr>ציון קאפח</vt:lpwstr>
  </property>
  <property fmtid="{D5CDD505-2E9C-101B-9397-08002B2CF9AE}" pid="12" name="CITY">
    <vt:lpwstr>ת"א</vt:lpwstr>
  </property>
  <property fmtid="{D5CDD505-2E9C-101B-9397-08002B2CF9AE}" pid="13" name="DATE">
    <vt:lpwstr>20240515</vt:lpwstr>
  </property>
  <property fmtid="{D5CDD505-2E9C-101B-9397-08002B2CF9AE}" pid="14" name="TYPE_N_DATE">
    <vt:lpwstr>39020240515</vt:lpwstr>
  </property>
  <property fmtid="{D5CDD505-2E9C-101B-9397-08002B2CF9AE}" pid="15" name="WORDNUMPAGES">
    <vt:lpwstr>9</vt:lpwstr>
  </property>
  <property fmtid="{D5CDD505-2E9C-101B-9397-08002B2CF9AE}" pid="16" name="TYPE_ABS_DATE">
    <vt:lpwstr>390020240515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5698919;20118363;27137719;5681787</vt:lpwstr>
  </property>
  <property fmtid="{D5CDD505-2E9C-101B-9397-08002B2CF9AE}" pid="36" name="LAWLISTTMP1">
    <vt:lpwstr>4216/007.a:2;007.c:2;036a.b;031.6;036a.a</vt:lpwstr>
  </property>
  <property fmtid="{D5CDD505-2E9C-101B-9397-08002B2CF9AE}" pid="37" name="LAWLISTTMP2">
    <vt:lpwstr>74918/032;039</vt:lpwstr>
  </property>
</Properties>
</file>