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4A0" w:firstRow="1" w:lastRow="0" w:firstColumn="1" w:lastColumn="0" w:noHBand="0" w:noVBand="1"/>
      </w:tblPr>
      <w:tblGrid>
        <w:gridCol w:w="4676"/>
        <w:gridCol w:w="241"/>
        <w:gridCol w:w="3587"/>
      </w:tblGrid>
      <w:tr w:rsidR="0027030F" w:rsidRPr="00CB68C0" w14:paraId="5B8D421E" w14:textId="77777777" w:rsidTr="000C68BD">
        <w:trPr>
          <w:trHeight w:val="418"/>
          <w:jc w:val="center"/>
        </w:trPr>
        <w:tc>
          <w:tcPr>
            <w:tcW w:w="8504" w:type="dxa"/>
            <w:gridSpan w:val="3"/>
          </w:tcPr>
          <w:p w14:paraId="28157DF1" w14:textId="77777777" w:rsidR="0027030F" w:rsidRPr="00CB68C0" w:rsidRDefault="0027030F" w:rsidP="000C68BD">
            <w:pPr>
              <w:pStyle w:val="a3"/>
              <w:jc w:val="center"/>
              <w:rPr>
                <w:rtl/>
              </w:rPr>
            </w:pPr>
            <w:bookmarkStart w:id="0" w:name="LastJudge"/>
            <w:r w:rsidRPr="00CB68C0">
              <w:rPr>
                <w:rFonts w:ascii="Tahoma" w:hAnsi="Tahoma" w:cs="Tahoma"/>
                <w:b/>
                <w:bCs/>
                <w:color w:val="000080"/>
                <w:sz w:val="20"/>
                <w:szCs w:val="20"/>
                <w:rtl/>
              </w:rPr>
              <w:t>בית המשפט המחוזי בבאר שבע</w:t>
            </w:r>
          </w:p>
        </w:tc>
      </w:tr>
      <w:tr w:rsidR="0027030F" w:rsidRPr="00CB68C0" w14:paraId="02277F14" w14:textId="77777777" w:rsidTr="000C68BD">
        <w:trPr>
          <w:trHeight w:val="337"/>
          <w:jc w:val="center"/>
        </w:trPr>
        <w:tc>
          <w:tcPr>
            <w:tcW w:w="4676" w:type="dxa"/>
          </w:tcPr>
          <w:p w14:paraId="552E623F" w14:textId="77777777" w:rsidR="0027030F" w:rsidRPr="00CB68C0" w:rsidRDefault="0027030F" w:rsidP="000C68BD">
            <w:pPr>
              <w:spacing w:line="360" w:lineRule="auto"/>
              <w:jc w:val="both"/>
              <w:rPr>
                <w:b/>
                <w:bCs/>
                <w:rtl/>
              </w:rPr>
            </w:pPr>
            <w:r w:rsidRPr="00CB68C0">
              <w:rPr>
                <w:rFonts w:hint="cs"/>
                <w:b/>
                <w:bCs/>
                <w:rtl/>
              </w:rPr>
              <w:t>לפני כבוד השופט הבכיר, אליהו ביתן</w:t>
            </w:r>
          </w:p>
        </w:tc>
        <w:tc>
          <w:tcPr>
            <w:tcW w:w="241" w:type="dxa"/>
          </w:tcPr>
          <w:p w14:paraId="6F7BF38F" w14:textId="77777777" w:rsidR="0027030F" w:rsidRPr="00CB68C0" w:rsidRDefault="0027030F" w:rsidP="000C68BD">
            <w:pPr>
              <w:pStyle w:val="a3"/>
              <w:jc w:val="right"/>
              <w:rPr>
                <w:b/>
                <w:bCs/>
                <w:rtl/>
              </w:rPr>
            </w:pPr>
          </w:p>
        </w:tc>
        <w:tc>
          <w:tcPr>
            <w:tcW w:w="3587" w:type="dxa"/>
          </w:tcPr>
          <w:p w14:paraId="013BABA4" w14:textId="77777777" w:rsidR="0027030F" w:rsidRPr="00CB68C0" w:rsidRDefault="0027030F" w:rsidP="000C68BD">
            <w:pPr>
              <w:pStyle w:val="a3"/>
              <w:tabs>
                <w:tab w:val="clear" w:pos="4153"/>
              </w:tabs>
              <w:jc w:val="right"/>
              <w:rPr>
                <w:rtl/>
              </w:rPr>
            </w:pPr>
            <w:r w:rsidRPr="00CB68C0">
              <w:rPr>
                <w:b/>
                <w:bCs/>
              </w:rPr>
              <w:t>04/09/2024</w:t>
            </w:r>
          </w:p>
          <w:p w14:paraId="69345B43" w14:textId="77777777" w:rsidR="0027030F" w:rsidRPr="00CB68C0" w:rsidRDefault="0027030F" w:rsidP="000C68BD">
            <w:pPr>
              <w:pStyle w:val="a3"/>
              <w:tabs>
                <w:tab w:val="clear" w:pos="4153"/>
              </w:tabs>
              <w:rPr>
                <w:b/>
                <w:bCs/>
                <w:rtl/>
              </w:rPr>
            </w:pPr>
          </w:p>
          <w:p w14:paraId="189E0B62" w14:textId="77777777" w:rsidR="0027030F" w:rsidRPr="00CB68C0" w:rsidRDefault="00CB68C0" w:rsidP="000C68BD">
            <w:pPr>
              <w:jc w:val="right"/>
              <w:rPr>
                <w:rtl/>
              </w:rPr>
            </w:pPr>
            <w:hyperlink r:id="rId6" w:history="1">
              <w:r w:rsidRPr="00CB68C0">
                <w:rPr>
                  <w:b/>
                  <w:bCs/>
                  <w:color w:val="0000FF"/>
                  <w:u w:val="single"/>
                  <w:rtl/>
                </w:rPr>
                <w:t>ת"פ 42114-08-23</w:t>
              </w:r>
            </w:hyperlink>
            <w:r w:rsidR="0027030F" w:rsidRPr="00CB68C0">
              <w:rPr>
                <w:rFonts w:hint="cs"/>
                <w:b/>
                <w:bCs/>
                <w:rtl/>
              </w:rPr>
              <w:t xml:space="preserve"> מדינת ישראל נ' אלאסד</w:t>
            </w:r>
          </w:p>
        </w:tc>
      </w:tr>
    </w:tbl>
    <w:p w14:paraId="4042D8E3" w14:textId="77777777" w:rsidR="0027030F" w:rsidRPr="00CB68C0" w:rsidRDefault="0027030F" w:rsidP="0027030F">
      <w:pPr>
        <w:pStyle w:val="a3"/>
        <w:jc w:val="center"/>
        <w:rPr>
          <w:rFonts w:ascii="Tahoma" w:hAnsi="Tahoma" w:cs="Tahoma"/>
          <w:b/>
          <w:bCs/>
          <w:color w:val="000080"/>
          <w:sz w:val="20"/>
          <w:szCs w:val="20"/>
          <w:rtl/>
        </w:rPr>
      </w:pPr>
    </w:p>
    <w:p w14:paraId="5F876644" w14:textId="77777777" w:rsidR="0027030F" w:rsidRPr="00CB68C0" w:rsidRDefault="0027030F" w:rsidP="0027030F">
      <w:pPr>
        <w:pStyle w:val="a3"/>
        <w:rPr>
          <w:rtl/>
        </w:rPr>
      </w:pPr>
    </w:p>
    <w:p w14:paraId="686B1B76" w14:textId="77777777" w:rsidR="0027030F" w:rsidRPr="00CB68C0" w:rsidRDefault="0027030F" w:rsidP="0027030F">
      <w:pPr>
        <w:spacing w:line="360" w:lineRule="auto"/>
        <w:jc w:val="both"/>
        <w:rPr>
          <w:sz w:val="6"/>
          <w:szCs w:val="6"/>
          <w:rtl/>
        </w:rPr>
      </w:pPr>
    </w:p>
    <w:p w14:paraId="7009791F" w14:textId="77777777" w:rsidR="0027030F" w:rsidRPr="00CB68C0" w:rsidRDefault="0027030F" w:rsidP="0027030F">
      <w:pPr>
        <w:spacing w:line="360" w:lineRule="auto"/>
        <w:jc w:val="both"/>
        <w:rPr>
          <w:sz w:val="6"/>
          <w:szCs w:val="6"/>
          <w:rtl/>
        </w:rPr>
      </w:pPr>
    </w:p>
    <w:tbl>
      <w:tblPr>
        <w:bidiVisual/>
        <w:tblW w:w="8540" w:type="dxa"/>
        <w:tblInd w:w="234" w:type="dxa"/>
        <w:tblLook w:val="01E0" w:firstRow="1" w:lastRow="1" w:firstColumn="1" w:lastColumn="1" w:noHBand="0" w:noVBand="0"/>
      </w:tblPr>
      <w:tblGrid>
        <w:gridCol w:w="2258"/>
        <w:gridCol w:w="6226"/>
        <w:gridCol w:w="56"/>
      </w:tblGrid>
      <w:tr w:rsidR="0027030F" w:rsidRPr="00CB68C0" w14:paraId="4AA28639" w14:textId="77777777" w:rsidTr="0027030F">
        <w:trPr>
          <w:gridAfter w:val="1"/>
          <w:wAfter w:w="56" w:type="dxa"/>
        </w:trPr>
        <w:tc>
          <w:tcPr>
            <w:tcW w:w="8484" w:type="dxa"/>
            <w:gridSpan w:val="2"/>
            <w:shd w:val="clear" w:color="auto" w:fill="auto"/>
          </w:tcPr>
          <w:p w14:paraId="367892BF" w14:textId="77777777" w:rsidR="0027030F" w:rsidRPr="00CB68C0" w:rsidRDefault="0027030F" w:rsidP="0027030F">
            <w:pPr>
              <w:spacing w:line="360" w:lineRule="auto"/>
              <w:jc w:val="both"/>
              <w:rPr>
                <w:rFonts w:ascii="David" w:hAnsi="David"/>
                <w:b/>
                <w:bCs/>
                <w:rtl/>
              </w:rPr>
            </w:pPr>
            <w:r w:rsidRPr="00CB68C0">
              <w:rPr>
                <w:rFonts w:ascii="David" w:hAnsi="David" w:hint="cs"/>
                <w:b/>
                <w:bCs/>
                <w:rtl/>
              </w:rPr>
              <w:t>בעניין:</w:t>
            </w:r>
          </w:p>
        </w:tc>
      </w:tr>
      <w:tr w:rsidR="0027030F" w:rsidRPr="00CB68C0" w14:paraId="2699A3D8" w14:textId="77777777" w:rsidTr="0027030F">
        <w:tc>
          <w:tcPr>
            <w:tcW w:w="2258" w:type="dxa"/>
            <w:shd w:val="clear" w:color="auto" w:fill="auto"/>
          </w:tcPr>
          <w:p w14:paraId="58041491" w14:textId="77777777" w:rsidR="0027030F" w:rsidRPr="00CB68C0" w:rsidRDefault="0027030F" w:rsidP="0027030F">
            <w:pPr>
              <w:spacing w:line="360" w:lineRule="auto"/>
              <w:ind w:left="26"/>
              <w:rPr>
                <w:rFonts w:ascii="David" w:hAnsi="David"/>
                <w:b/>
                <w:bCs/>
                <w:rtl/>
              </w:rPr>
            </w:pPr>
            <w:bookmarkStart w:id="1" w:name="FirstAppellant"/>
            <w:r w:rsidRPr="00CB68C0">
              <w:rPr>
                <w:rFonts w:ascii="David" w:hAnsi="David" w:hint="cs"/>
                <w:b/>
                <w:bCs/>
                <w:rtl/>
              </w:rPr>
              <w:t>המאשימה:</w:t>
            </w:r>
          </w:p>
        </w:tc>
        <w:tc>
          <w:tcPr>
            <w:tcW w:w="6282" w:type="dxa"/>
            <w:gridSpan w:val="2"/>
            <w:shd w:val="clear" w:color="auto" w:fill="auto"/>
          </w:tcPr>
          <w:p w14:paraId="2F95F30A" w14:textId="77777777" w:rsidR="0027030F" w:rsidRPr="00CB68C0" w:rsidRDefault="0027030F" w:rsidP="0027030F">
            <w:pPr>
              <w:spacing w:line="360" w:lineRule="auto"/>
              <w:rPr>
                <w:rFonts w:ascii="David" w:hAnsi="David"/>
                <w:b/>
                <w:bCs/>
                <w:rtl/>
              </w:rPr>
            </w:pPr>
            <w:r w:rsidRPr="00CB68C0">
              <w:rPr>
                <w:rFonts w:ascii="David" w:hAnsi="David" w:hint="cs"/>
                <w:b/>
                <w:bCs/>
                <w:rtl/>
              </w:rPr>
              <w:t>מדינת ישראל</w:t>
            </w:r>
          </w:p>
        </w:tc>
      </w:tr>
      <w:bookmarkEnd w:id="1"/>
      <w:tr w:rsidR="0027030F" w:rsidRPr="00CB68C0" w14:paraId="09947DF6" w14:textId="77777777" w:rsidTr="0027030F">
        <w:tc>
          <w:tcPr>
            <w:tcW w:w="8540" w:type="dxa"/>
            <w:gridSpan w:val="3"/>
            <w:shd w:val="clear" w:color="auto" w:fill="auto"/>
          </w:tcPr>
          <w:p w14:paraId="6F2F6DCF" w14:textId="77777777" w:rsidR="0027030F" w:rsidRPr="00CB68C0" w:rsidRDefault="0027030F" w:rsidP="0027030F">
            <w:pPr>
              <w:spacing w:line="360" w:lineRule="auto"/>
              <w:jc w:val="center"/>
              <w:rPr>
                <w:rFonts w:ascii="David" w:hAnsi="David"/>
                <w:b/>
                <w:bCs/>
                <w:sz w:val="28"/>
                <w:szCs w:val="28"/>
                <w:rtl/>
              </w:rPr>
            </w:pPr>
            <w:r w:rsidRPr="00CB68C0">
              <w:rPr>
                <w:rFonts w:ascii="David" w:hAnsi="David" w:hint="cs"/>
                <w:b/>
                <w:bCs/>
                <w:sz w:val="28"/>
                <w:szCs w:val="28"/>
                <w:rtl/>
              </w:rPr>
              <w:t>נגד</w:t>
            </w:r>
          </w:p>
        </w:tc>
      </w:tr>
      <w:tr w:rsidR="0027030F" w:rsidRPr="00CB68C0" w14:paraId="4D32F798" w14:textId="77777777" w:rsidTr="0027030F">
        <w:tc>
          <w:tcPr>
            <w:tcW w:w="2258" w:type="dxa"/>
            <w:shd w:val="clear" w:color="auto" w:fill="auto"/>
          </w:tcPr>
          <w:p w14:paraId="20B0FF3D" w14:textId="77777777" w:rsidR="0027030F" w:rsidRPr="00CB68C0" w:rsidRDefault="0027030F" w:rsidP="0027030F">
            <w:pPr>
              <w:spacing w:line="360" w:lineRule="auto"/>
              <w:ind w:left="26"/>
              <w:rPr>
                <w:rFonts w:ascii="David" w:hAnsi="David"/>
                <w:b/>
                <w:bCs/>
              </w:rPr>
            </w:pPr>
            <w:r w:rsidRPr="00CB68C0">
              <w:rPr>
                <w:rFonts w:ascii="David" w:hAnsi="David" w:hint="cs"/>
                <w:b/>
                <w:bCs/>
                <w:rtl/>
              </w:rPr>
              <w:t>הנאשם:</w:t>
            </w:r>
          </w:p>
        </w:tc>
        <w:tc>
          <w:tcPr>
            <w:tcW w:w="6282" w:type="dxa"/>
            <w:gridSpan w:val="2"/>
            <w:shd w:val="clear" w:color="auto" w:fill="auto"/>
          </w:tcPr>
          <w:p w14:paraId="413C9BD4" w14:textId="77777777" w:rsidR="0027030F" w:rsidRPr="00CB68C0" w:rsidRDefault="0027030F" w:rsidP="0027030F">
            <w:pPr>
              <w:spacing w:line="360" w:lineRule="auto"/>
              <w:rPr>
                <w:rFonts w:ascii="David" w:hAnsi="David"/>
                <w:b/>
                <w:bCs/>
                <w:rtl/>
              </w:rPr>
            </w:pPr>
            <w:r w:rsidRPr="00CB68C0">
              <w:rPr>
                <w:rFonts w:ascii="David" w:hAnsi="David"/>
                <w:b/>
                <w:bCs/>
                <w:rtl/>
              </w:rPr>
              <w:t>חוסם אלאסד</w:t>
            </w:r>
          </w:p>
        </w:tc>
      </w:tr>
    </w:tbl>
    <w:p w14:paraId="37516B6B" w14:textId="77777777" w:rsidR="0027030F" w:rsidRPr="00CB68C0" w:rsidRDefault="0027030F" w:rsidP="0027030F">
      <w:pPr>
        <w:spacing w:line="360" w:lineRule="auto"/>
        <w:jc w:val="both"/>
        <w:rPr>
          <w:rFonts w:ascii="David" w:hAnsi="David"/>
          <w:sz w:val="6"/>
          <w:szCs w:val="6"/>
          <w:rtl/>
        </w:rPr>
      </w:pPr>
      <w:r w:rsidRPr="00CB68C0">
        <w:rPr>
          <w:rFonts w:hint="cs"/>
          <w:sz w:val="6"/>
          <w:szCs w:val="6"/>
          <w:rtl/>
        </w:rPr>
        <w:t>&lt;#1#&gt;</w:t>
      </w:r>
    </w:p>
    <w:p w14:paraId="4992C29C" w14:textId="77777777" w:rsidR="0027030F" w:rsidRPr="00CB68C0" w:rsidRDefault="0027030F" w:rsidP="0027030F">
      <w:pPr>
        <w:pStyle w:val="12"/>
        <w:spacing w:line="360" w:lineRule="auto"/>
        <w:rPr>
          <w:u w:val="none"/>
          <w:rtl/>
        </w:rPr>
      </w:pPr>
      <w:r w:rsidRPr="00CB68C0">
        <w:rPr>
          <w:u w:val="none"/>
          <w:rtl/>
        </w:rPr>
        <w:t>נוכחים:</w:t>
      </w:r>
    </w:p>
    <w:p w14:paraId="1E40B33D" w14:textId="77777777" w:rsidR="0027030F" w:rsidRPr="00CB68C0" w:rsidRDefault="0027030F" w:rsidP="0027030F">
      <w:pPr>
        <w:pStyle w:val="12"/>
        <w:spacing w:line="360" w:lineRule="auto"/>
        <w:rPr>
          <w:b w:val="0"/>
          <w:bCs w:val="0"/>
          <w:u w:val="none"/>
          <w:rtl/>
        </w:rPr>
      </w:pPr>
      <w:bookmarkStart w:id="2" w:name="FirstLawyer"/>
      <w:r w:rsidRPr="00CB68C0">
        <w:rPr>
          <w:b w:val="0"/>
          <w:bCs w:val="0"/>
          <w:u w:val="none"/>
          <w:rtl/>
        </w:rPr>
        <w:t>ב"כ</w:t>
      </w:r>
      <w:bookmarkEnd w:id="2"/>
      <w:r w:rsidRPr="00CB68C0">
        <w:rPr>
          <w:b w:val="0"/>
          <w:bCs w:val="0"/>
          <w:u w:val="none"/>
          <w:rtl/>
        </w:rPr>
        <w:t xml:space="preserve"> המאשימה, עו"ד חיים שויצר</w:t>
      </w:r>
    </w:p>
    <w:p w14:paraId="3328F976" w14:textId="77777777" w:rsidR="0027030F" w:rsidRPr="00CB68C0" w:rsidRDefault="0027030F" w:rsidP="0027030F">
      <w:pPr>
        <w:pStyle w:val="12"/>
        <w:spacing w:line="360" w:lineRule="auto"/>
        <w:rPr>
          <w:b w:val="0"/>
          <w:bCs w:val="0"/>
          <w:u w:val="none"/>
          <w:rtl/>
        </w:rPr>
      </w:pPr>
      <w:r w:rsidRPr="00CB68C0">
        <w:rPr>
          <w:b w:val="0"/>
          <w:bCs w:val="0"/>
          <w:u w:val="none"/>
          <w:rtl/>
        </w:rPr>
        <w:t xml:space="preserve">הנאשם ובאת-כוחו, עו"ד חן בן שטרית </w:t>
      </w:r>
    </w:p>
    <w:p w14:paraId="45F6F697" w14:textId="77777777" w:rsidR="00291D3F" w:rsidRPr="00291D3F" w:rsidRDefault="00291D3F" w:rsidP="00291D3F">
      <w:pPr>
        <w:pStyle w:val="12"/>
        <w:spacing w:before="120" w:after="120" w:line="240" w:lineRule="exact"/>
        <w:ind w:left="283" w:hanging="283"/>
        <w:jc w:val="both"/>
        <w:rPr>
          <w:rFonts w:ascii="FrankRuehl" w:hAnsi="FrankRuehl" w:cs="FrankRuehl"/>
          <w:b w:val="0"/>
          <w:bCs w:val="0"/>
          <w:u w:val="none"/>
          <w:rtl/>
        </w:rPr>
      </w:pPr>
      <w:bookmarkStart w:id="3" w:name="LawTable"/>
      <w:bookmarkEnd w:id="3"/>
      <w:r w:rsidRPr="00291D3F">
        <w:rPr>
          <w:rFonts w:ascii="FrankRuehl" w:hAnsi="FrankRuehl" w:cs="FrankRuehl"/>
          <w:b w:val="0"/>
          <w:bCs w:val="0"/>
          <w:u w:val="none"/>
          <w:rtl/>
        </w:rPr>
        <w:t xml:space="preserve">חקיקה שאוזכרה: </w:t>
      </w:r>
    </w:p>
    <w:p w14:paraId="2E5EC6B7" w14:textId="77777777" w:rsidR="00291D3F" w:rsidRPr="00291D3F" w:rsidRDefault="00291D3F" w:rsidP="00291D3F">
      <w:pPr>
        <w:pStyle w:val="12"/>
        <w:spacing w:before="120" w:after="120" w:line="240" w:lineRule="exact"/>
        <w:ind w:left="283" w:hanging="283"/>
        <w:jc w:val="both"/>
        <w:rPr>
          <w:rFonts w:ascii="FrankRuehl" w:hAnsi="FrankRuehl" w:cs="FrankRuehl"/>
          <w:b w:val="0"/>
          <w:bCs w:val="0"/>
          <w:color w:val="0000FF"/>
          <w:u w:val="none"/>
          <w:rtl/>
        </w:rPr>
      </w:pPr>
      <w:hyperlink r:id="rId7" w:history="1">
        <w:r w:rsidRPr="00291D3F">
          <w:rPr>
            <w:rStyle w:val="Hyperlink"/>
            <w:rFonts w:ascii="FrankRuehl" w:hAnsi="FrankRuehl" w:cs="FrankRuehl"/>
            <w:b w:val="0"/>
            <w:bCs w:val="0"/>
            <w:u w:val="none"/>
            <w:rtl/>
          </w:rPr>
          <w:t>פקודת הסמים המסוכנים [נוסח חדש], תשל"ג-1973</w:t>
        </w:r>
      </w:hyperlink>
      <w:r w:rsidRPr="00291D3F">
        <w:rPr>
          <w:rFonts w:ascii="FrankRuehl" w:hAnsi="FrankRuehl" w:cs="FrankRuehl"/>
          <w:b w:val="0"/>
          <w:bCs w:val="0"/>
          <w:color w:val="0000FF"/>
          <w:u w:val="none"/>
          <w:rtl/>
        </w:rPr>
        <w:t xml:space="preserve">: סע'  </w:t>
      </w:r>
      <w:hyperlink r:id="rId8" w:history="1">
        <w:r w:rsidRPr="00291D3F">
          <w:rPr>
            <w:rStyle w:val="Hyperlink"/>
            <w:rFonts w:ascii="FrankRuehl" w:hAnsi="FrankRuehl" w:cs="FrankRuehl"/>
            <w:b w:val="0"/>
            <w:bCs w:val="0"/>
            <w:u w:val="none"/>
          </w:rPr>
          <w:t>6</w:t>
        </w:r>
      </w:hyperlink>
      <w:r w:rsidRPr="00291D3F">
        <w:rPr>
          <w:rFonts w:ascii="FrankRuehl" w:hAnsi="FrankRuehl" w:cs="FrankRuehl"/>
          <w:b w:val="0"/>
          <w:bCs w:val="0"/>
          <w:color w:val="0000FF"/>
          <w:u w:val="none"/>
          <w:rtl/>
        </w:rPr>
        <w:t xml:space="preserve">, </w:t>
      </w:r>
      <w:hyperlink r:id="rId9" w:history="1">
        <w:r w:rsidRPr="00291D3F">
          <w:rPr>
            <w:rStyle w:val="Hyperlink"/>
            <w:rFonts w:ascii="FrankRuehl" w:hAnsi="FrankRuehl" w:cs="FrankRuehl"/>
            <w:b w:val="0"/>
            <w:bCs w:val="0"/>
            <w:u w:val="none"/>
          </w:rPr>
          <w:t>7.</w:t>
        </w:r>
        <w:r w:rsidRPr="00291D3F">
          <w:rPr>
            <w:rStyle w:val="Hyperlink"/>
            <w:rFonts w:ascii="FrankRuehl" w:hAnsi="FrankRuehl" w:cs="FrankRuehl"/>
            <w:b w:val="0"/>
            <w:bCs w:val="0"/>
            <w:u w:val="none"/>
            <w:rtl/>
          </w:rPr>
          <w:t>א</w:t>
        </w:r>
        <w:r w:rsidRPr="00291D3F">
          <w:rPr>
            <w:rStyle w:val="Hyperlink"/>
            <w:rFonts w:ascii="FrankRuehl" w:hAnsi="FrankRuehl" w:cs="FrankRuehl"/>
            <w:b w:val="0"/>
            <w:bCs w:val="0"/>
            <w:u w:val="none"/>
          </w:rPr>
          <w:t>.</w:t>
        </w:r>
      </w:hyperlink>
      <w:r w:rsidRPr="00291D3F">
        <w:rPr>
          <w:rFonts w:ascii="FrankRuehl" w:hAnsi="FrankRuehl" w:cs="FrankRuehl"/>
          <w:b w:val="0"/>
          <w:bCs w:val="0"/>
          <w:color w:val="0000FF"/>
          <w:u w:val="none"/>
          <w:rtl/>
        </w:rPr>
        <w:t xml:space="preserve">, </w:t>
      </w:r>
      <w:hyperlink r:id="rId10" w:history="1">
        <w:r w:rsidRPr="00291D3F">
          <w:rPr>
            <w:rStyle w:val="Hyperlink"/>
            <w:rFonts w:ascii="FrankRuehl" w:hAnsi="FrankRuehl" w:cs="FrankRuehl"/>
            <w:b w:val="0"/>
            <w:bCs w:val="0"/>
            <w:u w:val="none"/>
          </w:rPr>
          <w:t>7.</w:t>
        </w:r>
        <w:r w:rsidRPr="00291D3F">
          <w:rPr>
            <w:rStyle w:val="Hyperlink"/>
            <w:rFonts w:ascii="FrankRuehl" w:hAnsi="FrankRuehl" w:cs="FrankRuehl"/>
            <w:b w:val="0"/>
            <w:bCs w:val="0"/>
            <w:u w:val="none"/>
            <w:rtl/>
          </w:rPr>
          <w:t>ג</w:t>
        </w:r>
      </w:hyperlink>
    </w:p>
    <w:p w14:paraId="04FA1561" w14:textId="77777777" w:rsidR="00291D3F" w:rsidRPr="00291D3F" w:rsidRDefault="00291D3F" w:rsidP="00291D3F">
      <w:pPr>
        <w:pStyle w:val="12"/>
        <w:spacing w:before="120" w:after="120" w:line="240" w:lineRule="exact"/>
        <w:ind w:left="283" w:hanging="283"/>
        <w:jc w:val="both"/>
        <w:rPr>
          <w:rFonts w:ascii="FrankRuehl" w:hAnsi="FrankRuehl" w:cs="FrankRuehl"/>
          <w:b w:val="0"/>
          <w:bCs w:val="0"/>
          <w:color w:val="0000FF"/>
          <w:u w:val="none"/>
          <w:rtl/>
        </w:rPr>
      </w:pPr>
      <w:hyperlink r:id="rId11" w:history="1">
        <w:r w:rsidRPr="00291D3F">
          <w:rPr>
            <w:rStyle w:val="Hyperlink"/>
            <w:rFonts w:ascii="FrankRuehl" w:hAnsi="FrankRuehl" w:cs="FrankRuehl"/>
            <w:b w:val="0"/>
            <w:bCs w:val="0"/>
            <w:u w:val="none"/>
            <w:rtl/>
          </w:rPr>
          <w:t>חוק העונשין, תשל"ז-1977</w:t>
        </w:r>
      </w:hyperlink>
      <w:r w:rsidRPr="00291D3F">
        <w:rPr>
          <w:rFonts w:ascii="FrankRuehl" w:hAnsi="FrankRuehl" w:cs="FrankRuehl"/>
          <w:b w:val="0"/>
          <w:bCs w:val="0"/>
          <w:color w:val="0000FF"/>
          <w:u w:val="none"/>
          <w:rtl/>
        </w:rPr>
        <w:t xml:space="preserve">: סע'  </w:t>
      </w:r>
      <w:hyperlink r:id="rId12" w:history="1">
        <w:r w:rsidRPr="00291D3F">
          <w:rPr>
            <w:rStyle w:val="Hyperlink"/>
            <w:rFonts w:ascii="FrankRuehl" w:hAnsi="FrankRuehl" w:cs="FrankRuehl"/>
            <w:b w:val="0"/>
            <w:bCs w:val="0"/>
            <w:u w:val="none"/>
          </w:rPr>
          <w:t>61</w:t>
        </w:r>
      </w:hyperlink>
      <w:r w:rsidRPr="00291D3F">
        <w:rPr>
          <w:rFonts w:ascii="FrankRuehl" w:hAnsi="FrankRuehl" w:cs="FrankRuehl"/>
          <w:b w:val="0"/>
          <w:bCs w:val="0"/>
          <w:color w:val="0000FF"/>
          <w:u w:val="none"/>
          <w:rtl/>
        </w:rPr>
        <w:t xml:space="preserve">(א)(4), </w:t>
      </w:r>
      <w:hyperlink r:id="rId13" w:history="1">
        <w:r w:rsidRPr="00291D3F">
          <w:rPr>
            <w:rStyle w:val="Hyperlink"/>
            <w:rFonts w:ascii="FrankRuehl" w:hAnsi="FrankRuehl" w:cs="FrankRuehl"/>
            <w:b w:val="0"/>
            <w:bCs w:val="0"/>
            <w:u w:val="none"/>
          </w:rPr>
          <w:t>275</w:t>
        </w:r>
      </w:hyperlink>
      <w:r w:rsidRPr="00291D3F">
        <w:rPr>
          <w:rFonts w:ascii="FrankRuehl" w:hAnsi="FrankRuehl" w:cs="FrankRuehl"/>
          <w:b w:val="0"/>
          <w:bCs w:val="0"/>
          <w:color w:val="0000FF"/>
          <w:u w:val="none"/>
          <w:rtl/>
        </w:rPr>
        <w:t xml:space="preserve">, </w:t>
      </w:r>
      <w:hyperlink r:id="rId14" w:history="1">
        <w:r w:rsidRPr="00291D3F">
          <w:rPr>
            <w:rStyle w:val="Hyperlink"/>
            <w:rFonts w:ascii="FrankRuehl" w:hAnsi="FrankRuehl" w:cs="FrankRuehl"/>
            <w:b w:val="0"/>
            <w:bCs w:val="0"/>
            <w:u w:val="none"/>
          </w:rPr>
          <w:t>400</w:t>
        </w:r>
      </w:hyperlink>
    </w:p>
    <w:p w14:paraId="0912D4E0" w14:textId="77777777" w:rsidR="00CB68C0" w:rsidRPr="00291D3F" w:rsidRDefault="00CB68C0" w:rsidP="00291D3F">
      <w:pPr>
        <w:pStyle w:val="12"/>
        <w:spacing w:line="360" w:lineRule="auto"/>
        <w:jc w:val="center"/>
        <w:rPr>
          <w:b w:val="0"/>
          <w:bCs w:val="0"/>
          <w:sz w:val="30"/>
          <w:szCs w:val="30"/>
          <w:u w:val="none"/>
          <w:rtl/>
        </w:rPr>
      </w:pPr>
      <w:bookmarkStart w:id="4" w:name="LawTable_End"/>
      <w:bookmarkEnd w:id="4"/>
    </w:p>
    <w:p w14:paraId="327D566A" w14:textId="77777777" w:rsidR="00CB68C0" w:rsidRPr="00CB68C0" w:rsidRDefault="00CB68C0" w:rsidP="00CB68C0">
      <w:pPr>
        <w:pStyle w:val="12"/>
        <w:spacing w:line="360" w:lineRule="auto"/>
        <w:jc w:val="center"/>
        <w:rPr>
          <w:sz w:val="30"/>
          <w:szCs w:val="30"/>
          <w:rtl/>
        </w:rPr>
      </w:pPr>
      <w:bookmarkStart w:id="5" w:name="PsakDin"/>
      <w:bookmarkEnd w:id="0"/>
      <w:r w:rsidRPr="00CB68C0">
        <w:rPr>
          <w:sz w:val="30"/>
          <w:szCs w:val="30"/>
          <w:rtl/>
        </w:rPr>
        <w:t>גזר דין</w:t>
      </w:r>
    </w:p>
    <w:bookmarkEnd w:id="5"/>
    <w:p w14:paraId="0D68ED76" w14:textId="77777777" w:rsidR="0027030F" w:rsidRPr="00CB2F5A" w:rsidRDefault="0027030F" w:rsidP="0027030F">
      <w:pPr>
        <w:pStyle w:val="12"/>
        <w:spacing w:line="360" w:lineRule="auto"/>
        <w:jc w:val="center"/>
        <w:rPr>
          <w:sz w:val="30"/>
          <w:szCs w:val="30"/>
          <w:rtl/>
        </w:rPr>
      </w:pPr>
    </w:p>
    <w:p w14:paraId="0D6A9040" w14:textId="77777777" w:rsidR="0027030F" w:rsidRDefault="0027030F" w:rsidP="0027030F">
      <w:pPr>
        <w:spacing w:line="360" w:lineRule="auto"/>
        <w:ind w:left="720" w:hanging="720"/>
        <w:jc w:val="both"/>
        <w:rPr>
          <w:rtl/>
        </w:rPr>
      </w:pPr>
      <w:r>
        <w:rPr>
          <w:rtl/>
        </w:rPr>
        <w:t>1.</w:t>
      </w:r>
      <w:r>
        <w:rPr>
          <w:rtl/>
        </w:rPr>
        <w:tab/>
      </w:r>
      <w:bookmarkStart w:id="6" w:name="ABSTRACT_START"/>
      <w:bookmarkEnd w:id="6"/>
      <w:r>
        <w:rPr>
          <w:rtl/>
        </w:rPr>
        <w:t xml:space="preserve">בטרם שמיעת הראיות בתיק, הצדדים הגיעו להסדר דיוני במסגרתו הוגש נגד הנאשם כתב אישום מתוקן והנאשם הודה בעובדותיו, שאלה הן עיקריהם – </w:t>
      </w:r>
    </w:p>
    <w:p w14:paraId="4C2CAC8F" w14:textId="77777777" w:rsidR="0027030F" w:rsidRDefault="0027030F" w:rsidP="0027030F">
      <w:pPr>
        <w:spacing w:line="360" w:lineRule="auto"/>
        <w:ind w:left="720"/>
        <w:jc w:val="both"/>
        <w:rPr>
          <w:rtl/>
        </w:rPr>
      </w:pPr>
    </w:p>
    <w:p w14:paraId="68E4C476" w14:textId="77777777" w:rsidR="0027030F" w:rsidRDefault="0027030F" w:rsidP="0027030F">
      <w:pPr>
        <w:spacing w:line="360" w:lineRule="auto"/>
        <w:ind w:left="720"/>
        <w:jc w:val="both"/>
        <w:rPr>
          <w:rtl/>
        </w:rPr>
      </w:pPr>
      <w:r>
        <w:rPr>
          <w:rtl/>
        </w:rPr>
        <w:t>הנאשם החליט להקים מקום לגידול סם מסוכן מסוג קנבוס ולגדל בו סם בכמות מסחרית שלא לצריכתו העצמית. לצורך כך, הנאשם או מי מטעמו ביצע פעולות שונות להכשרת השטח כמקום לגידול סם. לצורך תפעול המקום וגידול הסם הוקם מבנה מאיסכורית המכוסה בברזנט (להלן: "החממה"); הובא ציוד שכלל בין היתר, שקי דשן, מערכת השקיה, מזגנים, מאווררים ומערכת תאורה; והנאשם או מי מטעמו חיבר באופן פיראטי כבל חשמל לשנאי של חברת החשמל אשר הזין את החממה.</w:t>
      </w:r>
    </w:p>
    <w:p w14:paraId="2B51CCE4" w14:textId="77777777" w:rsidR="0027030F" w:rsidRDefault="0027030F" w:rsidP="0027030F">
      <w:pPr>
        <w:spacing w:line="360" w:lineRule="auto"/>
        <w:ind w:left="720"/>
        <w:jc w:val="both"/>
        <w:rPr>
          <w:rtl/>
        </w:rPr>
      </w:pPr>
      <w:bookmarkStart w:id="7" w:name="ABSTRACT_END"/>
      <w:bookmarkEnd w:id="7"/>
    </w:p>
    <w:p w14:paraId="7C2E217D" w14:textId="77777777" w:rsidR="0027030F" w:rsidRDefault="0027030F" w:rsidP="0027030F">
      <w:pPr>
        <w:spacing w:line="360" w:lineRule="auto"/>
        <w:ind w:left="720"/>
        <w:jc w:val="both"/>
        <w:rPr>
          <w:rtl/>
        </w:rPr>
      </w:pPr>
      <w:r>
        <w:rPr>
          <w:rtl/>
        </w:rPr>
        <w:t xml:space="preserve">בתאריך 23.07.23, בעת שהנאשם שהה בחממה, הגיעו למקום שוטרים במסגרת פעילות משטרתית. הנאשם הבחין בשוטרים וכאשר הם התקרבו לפתח החממה הוא רץ לעבר אחד מהם כשהוא עוטה כפפות וחולצה מסתירה את פניו, וניסה להדוף אותו ולברוח. השוטר הצליח להתגבר עליו ועצר אותו. </w:t>
      </w:r>
    </w:p>
    <w:p w14:paraId="10C7B060" w14:textId="77777777" w:rsidR="0027030F" w:rsidRDefault="0027030F" w:rsidP="0027030F">
      <w:pPr>
        <w:spacing w:line="360" w:lineRule="auto"/>
        <w:ind w:left="720"/>
        <w:jc w:val="both"/>
        <w:rPr>
          <w:rtl/>
        </w:rPr>
      </w:pPr>
    </w:p>
    <w:p w14:paraId="57C5FF02" w14:textId="77777777" w:rsidR="0027030F" w:rsidRDefault="0027030F" w:rsidP="0027030F">
      <w:pPr>
        <w:spacing w:line="360" w:lineRule="auto"/>
        <w:ind w:left="720"/>
        <w:jc w:val="both"/>
        <w:rPr>
          <w:rtl/>
        </w:rPr>
      </w:pPr>
      <w:r>
        <w:rPr>
          <w:rtl/>
        </w:rPr>
        <w:lastRenderedPageBreak/>
        <w:t xml:space="preserve">במהלך חיפוש בחממה נתפסו על ידי השוטרים 192 שתילי קנבוס במשקל של 45.4 ק"ג - במשקל זה כלולה כמות סם שנקטפה כבר, במשקל 6.38 ק"ג; ונתפס ציוד רב ששימש לגידול הסם וייבושו. </w:t>
      </w:r>
    </w:p>
    <w:p w14:paraId="61D4C90A" w14:textId="77777777" w:rsidR="0027030F" w:rsidRDefault="0027030F" w:rsidP="0027030F">
      <w:pPr>
        <w:spacing w:line="360" w:lineRule="auto"/>
        <w:ind w:firstLine="720"/>
        <w:jc w:val="both"/>
        <w:rPr>
          <w:rtl/>
        </w:rPr>
      </w:pPr>
    </w:p>
    <w:p w14:paraId="3B317241" w14:textId="77777777" w:rsidR="0027030F" w:rsidRDefault="0027030F" w:rsidP="0027030F">
      <w:pPr>
        <w:spacing w:line="360" w:lineRule="auto"/>
        <w:ind w:firstLine="720"/>
        <w:jc w:val="both"/>
        <w:rPr>
          <w:rtl/>
        </w:rPr>
      </w:pPr>
      <w:r>
        <w:rPr>
          <w:rtl/>
        </w:rPr>
        <w:t xml:space="preserve">נטילת החשמל שלא כדין גרמה לחברת החשמל נזק הנאמד בסך של 2157 ₪ לכל שבוע. </w:t>
      </w:r>
    </w:p>
    <w:p w14:paraId="72F8F77C" w14:textId="77777777" w:rsidR="0027030F" w:rsidRDefault="0027030F" w:rsidP="0027030F">
      <w:pPr>
        <w:spacing w:line="360" w:lineRule="auto"/>
        <w:ind w:firstLine="720"/>
        <w:jc w:val="both"/>
        <w:rPr>
          <w:rtl/>
        </w:rPr>
      </w:pPr>
    </w:p>
    <w:p w14:paraId="543B4203" w14:textId="77777777" w:rsidR="0027030F" w:rsidRDefault="0027030F" w:rsidP="0027030F">
      <w:pPr>
        <w:spacing w:line="360" w:lineRule="auto"/>
        <w:ind w:left="720" w:hanging="720"/>
        <w:jc w:val="both"/>
        <w:rPr>
          <w:rtl/>
        </w:rPr>
      </w:pPr>
      <w:r>
        <w:rPr>
          <w:rtl/>
        </w:rPr>
        <w:t>2.</w:t>
      </w:r>
      <w:r>
        <w:rPr>
          <w:rtl/>
        </w:rPr>
        <w:tab/>
        <w:t xml:space="preserve">על יסוד הודאת הנאשם בעובדות כאמור, הוא הורשע בעבירות של הכנה, ייצור והפקה של סם, לפי </w:t>
      </w:r>
      <w:hyperlink r:id="rId15" w:history="1">
        <w:r w:rsidR="00291D3F" w:rsidRPr="00291D3F">
          <w:rPr>
            <w:rStyle w:val="Hyperlink"/>
            <w:color w:val="0000FF"/>
            <w:rtl/>
          </w:rPr>
          <w:t>סעיף 6</w:t>
        </w:r>
      </w:hyperlink>
      <w:r>
        <w:rPr>
          <w:rtl/>
        </w:rPr>
        <w:t xml:space="preserve"> ב</w:t>
      </w:r>
      <w:hyperlink r:id="rId16" w:history="1">
        <w:r w:rsidR="00CB68C0" w:rsidRPr="00CB68C0">
          <w:rPr>
            <w:color w:val="0000FF"/>
            <w:u w:val="single"/>
            <w:rtl/>
          </w:rPr>
          <w:t>פקודת הסמים המסוכנים</w:t>
        </w:r>
      </w:hyperlink>
      <w:r>
        <w:rPr>
          <w:rtl/>
        </w:rPr>
        <w:t xml:space="preserve"> [נוסח חדש], התשל"ג-1973 (להלן: "פקודת הסמים"); החזקת סם מסוכן שלא לצריכה עצמית, לפי </w:t>
      </w:r>
      <w:hyperlink r:id="rId17" w:history="1">
        <w:r w:rsidR="00291D3F" w:rsidRPr="00291D3F">
          <w:rPr>
            <w:rStyle w:val="Hyperlink"/>
            <w:color w:val="0000FF"/>
            <w:rtl/>
          </w:rPr>
          <w:t>סעיפים 7 (א) ו- (ג)</w:t>
        </w:r>
      </w:hyperlink>
      <w:r>
        <w:rPr>
          <w:rtl/>
        </w:rPr>
        <w:t xml:space="preserve"> רישא בפקודת הסמים; נטילת חשמל, לפי </w:t>
      </w:r>
      <w:hyperlink r:id="rId18" w:history="1">
        <w:r w:rsidR="00291D3F" w:rsidRPr="00291D3F">
          <w:rPr>
            <w:rStyle w:val="Hyperlink"/>
            <w:color w:val="0000FF"/>
            <w:rtl/>
          </w:rPr>
          <w:t>סעיף 400</w:t>
        </w:r>
      </w:hyperlink>
      <w:r>
        <w:rPr>
          <w:rtl/>
        </w:rPr>
        <w:t xml:space="preserve"> ב</w:t>
      </w:r>
      <w:hyperlink r:id="rId19" w:history="1">
        <w:r w:rsidR="00CB68C0" w:rsidRPr="00CB68C0">
          <w:rPr>
            <w:color w:val="0000FF"/>
            <w:u w:val="single"/>
            <w:rtl/>
          </w:rPr>
          <w:t>חוק העונשין</w:t>
        </w:r>
      </w:hyperlink>
      <w:r>
        <w:rPr>
          <w:rtl/>
        </w:rPr>
        <w:t xml:space="preserve">, התשל"ז-1977 (להלן: "חוק העונשין"); והפרעה לשוטר במילוי תפקידו, לפי </w:t>
      </w:r>
      <w:hyperlink r:id="rId20" w:history="1">
        <w:r w:rsidR="00291D3F" w:rsidRPr="00291D3F">
          <w:rPr>
            <w:rStyle w:val="Hyperlink"/>
            <w:color w:val="0000FF"/>
            <w:rtl/>
          </w:rPr>
          <w:t>סעיף 275</w:t>
        </w:r>
      </w:hyperlink>
      <w:r>
        <w:rPr>
          <w:rtl/>
        </w:rPr>
        <w:t xml:space="preserve"> בחוק העונשין. </w:t>
      </w:r>
    </w:p>
    <w:p w14:paraId="00605193" w14:textId="77777777" w:rsidR="0027030F" w:rsidRDefault="0027030F" w:rsidP="0027030F">
      <w:pPr>
        <w:spacing w:line="360" w:lineRule="auto"/>
        <w:ind w:left="720" w:hanging="720"/>
        <w:jc w:val="both"/>
        <w:rPr>
          <w:rtl/>
        </w:rPr>
      </w:pPr>
    </w:p>
    <w:p w14:paraId="0A2617C6" w14:textId="77777777" w:rsidR="0027030F" w:rsidRDefault="0027030F" w:rsidP="0027030F">
      <w:pPr>
        <w:spacing w:line="360" w:lineRule="auto"/>
        <w:ind w:left="720" w:hanging="720"/>
        <w:jc w:val="both"/>
        <w:rPr>
          <w:rtl/>
        </w:rPr>
      </w:pPr>
      <w:r>
        <w:rPr>
          <w:rtl/>
        </w:rPr>
        <w:t>3.</w:t>
      </w:r>
      <w:r>
        <w:rPr>
          <w:rtl/>
        </w:rPr>
        <w:tab/>
        <w:t xml:space="preserve">ההסדר בין הצדדים לא כלל הסכמה בנושא עונש המאסר אולם הוסכם שיוטלו על הנאשם מאסר על תנאי לפי שיקול דעת בית המשפט ופסילת רישיון נהיגה על תנאי, והרכוש המפורט בבקשת החילוט שבכתב האישום יחולט לטובת המדינה. </w:t>
      </w:r>
    </w:p>
    <w:p w14:paraId="726AB037" w14:textId="77777777" w:rsidR="0027030F" w:rsidRDefault="0027030F" w:rsidP="0027030F">
      <w:pPr>
        <w:spacing w:line="360" w:lineRule="auto"/>
        <w:ind w:left="720" w:hanging="720"/>
        <w:jc w:val="both"/>
        <w:rPr>
          <w:rtl/>
        </w:rPr>
      </w:pPr>
    </w:p>
    <w:p w14:paraId="01F7196C" w14:textId="77777777" w:rsidR="0027030F" w:rsidRDefault="0027030F" w:rsidP="0027030F">
      <w:pPr>
        <w:spacing w:line="360" w:lineRule="auto"/>
        <w:ind w:left="720" w:hanging="720"/>
        <w:jc w:val="both"/>
        <w:rPr>
          <w:rtl/>
        </w:rPr>
      </w:pPr>
      <w:r>
        <w:rPr>
          <w:rtl/>
        </w:rPr>
        <w:t>4.</w:t>
      </w:r>
      <w:r>
        <w:rPr>
          <w:rtl/>
        </w:rPr>
        <w:tab/>
        <w:t xml:space="preserve">לבקשת ההגנה ובהסכמת התביעה שירות המבחן התבקש להכין תסקיר על הנאשם. </w:t>
      </w:r>
    </w:p>
    <w:p w14:paraId="7F96FAB4" w14:textId="77777777" w:rsidR="0027030F" w:rsidRDefault="0027030F" w:rsidP="0027030F">
      <w:pPr>
        <w:spacing w:line="360" w:lineRule="auto"/>
        <w:ind w:left="720" w:hanging="720"/>
        <w:jc w:val="both"/>
        <w:rPr>
          <w:rtl/>
        </w:rPr>
      </w:pPr>
    </w:p>
    <w:p w14:paraId="5E1CCD9E" w14:textId="77777777" w:rsidR="0027030F" w:rsidRDefault="0027030F" w:rsidP="0027030F">
      <w:pPr>
        <w:spacing w:line="360" w:lineRule="auto"/>
        <w:ind w:left="720" w:hanging="720"/>
        <w:jc w:val="both"/>
        <w:rPr>
          <w:rtl/>
        </w:rPr>
      </w:pPr>
      <w:r>
        <w:rPr>
          <w:rtl/>
        </w:rPr>
        <w:t>5.</w:t>
      </w:r>
      <w:r>
        <w:rPr>
          <w:rtl/>
        </w:rPr>
        <w:tab/>
        <w:t xml:space="preserve">שירות המבחן הגיש על הנאשם שני תסקירים. בתסקיר הראשון צוין כי הנאשם בן 33, נשוי ואב לשלושה ילדים בגילאי 4 -11. ללא עבר פלילי. תיאר שימוש בחומרים ממכרים עד למעצרו ושמאז מעצרו נמנע מכך. טען שהעבירה בוצעה מתוך רצון להפיק רווח כלכלי מהיר בקלות ועל רקע השימוש שלו בסם. לקח אחריות על מעשיו והביע חרטה. ושירות המבחן התרשם שהנאשם מעוניין לעבור שינוי משמעותי בחייו. בהתאם לכך נקבעה ישיבה נוספת כעבור תקופה של מספר חודשים, על מנת לבחון את השתלבות הנאשם בטיפול והיתרמותו ממנו. בתסקיר השני צוין כי גורמי הטיפול דיווחו שהנאשם הגיע רק לפגישה אחת מתוך מספר פגישות שנקבעו לו והתקשה לשמור על הרצף הטיפולי הנדרש. ושירות המבחן התרשם שהנאשם מתקשה לגייס כוחות על מנת להשתלב בהליך טיפולי המותאם לצרכיו ואינו פנוי רגשית לערוך שינוי משמעותי בחייו, ועל כן יכולתו להפיק תועלת מטיפול בשלב זה של חייו הינה נמוכה. עוד צוין, כי אל מול רצונו של הנאשם לשוב ולנהל אורח חיים תקין, תמיכת משפחתו והיות ההליך הפלילי גורם מרתיע עבורו, קיימים לנאשם גורמי סיכון משמעותיים כולל התמכרות לחומרים משני תודעה המשפיעים על אופן קבלת החלטותיו, וקיים סיכון להישנות התנהגות עוברת חוק מצדו. ובסופו של דבר שירות המבחן נמנע מהמלצה טיפולית והמליץ על הטלת עונש מוחשי של מאסר בעבודות שירות, צו מבחן ומאסר על תנאי. </w:t>
      </w:r>
    </w:p>
    <w:p w14:paraId="12090B7B" w14:textId="77777777" w:rsidR="0027030F" w:rsidRDefault="0027030F" w:rsidP="0027030F">
      <w:pPr>
        <w:spacing w:line="360" w:lineRule="auto"/>
        <w:ind w:left="720" w:hanging="720"/>
        <w:jc w:val="both"/>
        <w:rPr>
          <w:rtl/>
        </w:rPr>
      </w:pPr>
    </w:p>
    <w:p w14:paraId="000A2270" w14:textId="77777777" w:rsidR="0027030F" w:rsidRDefault="0027030F" w:rsidP="0027030F">
      <w:pPr>
        <w:spacing w:line="360" w:lineRule="auto"/>
        <w:ind w:left="720" w:hanging="720"/>
        <w:jc w:val="both"/>
        <w:rPr>
          <w:rtl/>
        </w:rPr>
      </w:pPr>
      <w:r>
        <w:rPr>
          <w:rtl/>
        </w:rPr>
        <w:lastRenderedPageBreak/>
        <w:t>6.</w:t>
      </w:r>
      <w:r>
        <w:rPr>
          <w:rtl/>
        </w:rPr>
        <w:tab/>
        <w:t xml:space="preserve">בפתח ישיבת הטיעונים לעונש, הצדדים הציגו הסכמה לעניין רכיב המאסר, לפיה יעתרו  במשותף להטיל על הנאשם 18 חודשי מאסר בפועל, בניכוי ימי מעצרו. והודיעו שכל צד יטען  לרכיב הקנס כראות עיניו. </w:t>
      </w:r>
    </w:p>
    <w:p w14:paraId="1FD7D15F" w14:textId="77777777" w:rsidR="0027030F" w:rsidRDefault="0027030F" w:rsidP="0027030F">
      <w:pPr>
        <w:spacing w:line="360" w:lineRule="auto"/>
        <w:ind w:left="720" w:hanging="720"/>
        <w:jc w:val="both"/>
        <w:rPr>
          <w:rtl/>
        </w:rPr>
      </w:pPr>
      <w:r>
        <w:rPr>
          <w:rtl/>
        </w:rPr>
        <w:t>7.</w:t>
      </w:r>
      <w:r>
        <w:rPr>
          <w:rtl/>
        </w:rPr>
        <w:tab/>
        <w:t xml:space="preserve">ב"כ המאשימה ציינה כי בעקבות טענות ההגנה על קשיים ראייתיים מסוימים, כתב האישום המקורי תוקן כך שכמות נוספת של סם שיוחסה לנאשם נמחקה, וציינה שביחס לעובדות שיוחסו לנאשם בכתב האישום המתוקן לא קיים כל קושי ראייתי. הפנתה לפסיקה בה במקרים בהם דובר בכמויות סם גדולות יותר מבענייננו נקבעו מתחמי ענישה הנעים בין 18 ל- 30 חודשי מאסר, ובמקרים מסוימים אף הוטלו מאסרים בעבודות שירות. ציינה שאין לנאשם עבר פלילי ושמאז האירוע לא נפתחו נגדו תיקים נוספים. ציינה ששירות המבחן התרשם שההליך הפלילי מהווה גורם מרתיע עבור הנאשם והמליץ להטיל עליו מאסר בעבודות שירות. וטענה שעונש המאסר המוצע בהסדר ראוי והיא מבקשת לקבלו. עוד עתרה, להטלת קנס והפנתה לפסיקה בה נקבעו קנסות בסך של 50,000 ₪ ומעלה. וביקשה להטיל על הנאשם פסילת רישיון נהיגה על תנאי ופיצוי לחברת החשמל. ולהורות על חילוט הציוד שנתפס, כפי שסוכם. </w:t>
      </w:r>
    </w:p>
    <w:p w14:paraId="3587E335" w14:textId="77777777" w:rsidR="0027030F" w:rsidRDefault="0027030F" w:rsidP="0027030F">
      <w:pPr>
        <w:spacing w:line="360" w:lineRule="auto"/>
        <w:ind w:left="720" w:hanging="720"/>
        <w:jc w:val="both"/>
        <w:rPr>
          <w:rtl/>
        </w:rPr>
      </w:pPr>
    </w:p>
    <w:p w14:paraId="39244A7C" w14:textId="77777777" w:rsidR="0027030F" w:rsidRDefault="0027030F" w:rsidP="0027030F">
      <w:pPr>
        <w:spacing w:line="360" w:lineRule="auto"/>
        <w:ind w:left="720" w:hanging="720"/>
        <w:jc w:val="both"/>
        <w:rPr>
          <w:rtl/>
        </w:rPr>
      </w:pPr>
      <w:r>
        <w:rPr>
          <w:rtl/>
        </w:rPr>
        <w:t>8.</w:t>
      </w:r>
      <w:r>
        <w:rPr>
          <w:rtl/>
        </w:rPr>
        <w:tab/>
        <w:t xml:space="preserve">ב"כ הנאשם עתרה לקבל את המלצת הצדדים בנוגע לרכיב המאסר בפועל, שלטענה מצוי במתחם העונש ההולם, ובהקשר זה הפנתה לפסיקה. אשר לקנס, הפנתה לפסקי דין בהם הוטלו קנסות בסדר גודל שבין 5,000 ל- 8,000 ₪. ציינה שהנאשם בן 33, אב לשלושה ילדים, ללא עבר פלילי. שיתף פעולה עם שירות המבחן, שהתרשם שההליך הפלילי מהווה עבורו גורם התרעתי משמעותי. עד למעצרו ניהל אורח חיים נורמטיבי ושמר על יציבות תעסוקתית, ולאחר הצגת ההסדר אושר לו לצאת לעבוד. ביחס לקנס, ביקשה להתחשב בתקופה שבה שהה הנאשם במעצר ולאחר מכן בתנאים מגבילים, ובתקופת המאסר שצפויה לו. וטענה שאין מקום לחייב את הנאשם בתשלום פיצוי לחברת החשמל. </w:t>
      </w:r>
    </w:p>
    <w:p w14:paraId="404A55E8" w14:textId="77777777" w:rsidR="0027030F" w:rsidRDefault="0027030F" w:rsidP="0027030F">
      <w:pPr>
        <w:spacing w:line="360" w:lineRule="auto"/>
        <w:ind w:left="720" w:hanging="720"/>
        <w:jc w:val="both"/>
        <w:rPr>
          <w:rtl/>
        </w:rPr>
      </w:pPr>
    </w:p>
    <w:p w14:paraId="7ECE7D78" w14:textId="77777777" w:rsidR="0027030F" w:rsidRDefault="0027030F" w:rsidP="0027030F">
      <w:pPr>
        <w:spacing w:line="360" w:lineRule="auto"/>
        <w:ind w:left="720" w:hanging="720"/>
        <w:jc w:val="both"/>
        <w:rPr>
          <w:rtl/>
        </w:rPr>
      </w:pPr>
      <w:r>
        <w:rPr>
          <w:rtl/>
        </w:rPr>
        <w:t>9.</w:t>
      </w:r>
      <w:r>
        <w:rPr>
          <w:rtl/>
        </w:rPr>
        <w:tab/>
        <w:t>הנאשם הביע צער. סיפר שהוא נתון במעצר בית. ושעל אף שהותר לו לעבוד הוא לא מצא עבודה וכיום אינו עובד.</w:t>
      </w:r>
    </w:p>
    <w:p w14:paraId="52B05CC7" w14:textId="77777777" w:rsidR="0027030F" w:rsidRDefault="0027030F" w:rsidP="0027030F">
      <w:pPr>
        <w:spacing w:line="360" w:lineRule="auto"/>
        <w:ind w:left="720" w:hanging="720"/>
        <w:jc w:val="both"/>
        <w:rPr>
          <w:rtl/>
        </w:rPr>
      </w:pPr>
    </w:p>
    <w:p w14:paraId="52E4259E" w14:textId="77777777" w:rsidR="0027030F" w:rsidRDefault="0027030F" w:rsidP="0027030F">
      <w:pPr>
        <w:spacing w:line="360" w:lineRule="auto"/>
        <w:ind w:left="720" w:hanging="720"/>
        <w:jc w:val="both"/>
        <w:rPr>
          <w:rtl/>
        </w:rPr>
      </w:pPr>
      <w:r>
        <w:rPr>
          <w:rtl/>
        </w:rPr>
        <w:t>10.</w:t>
      </w:r>
      <w:r>
        <w:rPr>
          <w:rtl/>
        </w:rPr>
        <w:tab/>
        <w:t xml:space="preserve">עבירת גידול וייצור סם מסוכן היא מהחמורות שבעבירות הסמים, שכן היא גורמת להכנסת כמות סם חדשה לשוק הסמים, שקודם לכן לא היתה בו. הנזקים העיקריים הכרוכים בעולם הסמים נובעים מהשימוש בסם. ממילא כל מעשה שיש בו כדי להגדיל את מלאי הסם וזמינותו תורם להעצמת השימוש בסם ולנזקים הבאים בעקבותיו. גידול סם הוא התשתית שבלעדיה אין קיום לשלבים הבאים של שרשרת הסם. ומבחינה זו גידול סמים הוא בגדר אבי אבות הטומאה של עבירות הסמים. </w:t>
      </w:r>
    </w:p>
    <w:p w14:paraId="15840ABF" w14:textId="77777777" w:rsidR="0027030F" w:rsidRDefault="0027030F" w:rsidP="0027030F">
      <w:pPr>
        <w:spacing w:line="360" w:lineRule="auto"/>
        <w:ind w:left="720" w:hanging="720"/>
        <w:jc w:val="both"/>
        <w:rPr>
          <w:rtl/>
        </w:rPr>
      </w:pPr>
      <w:r>
        <w:rPr>
          <w:rtl/>
        </w:rPr>
        <w:t>11.</w:t>
      </w:r>
      <w:r>
        <w:rPr>
          <w:rtl/>
        </w:rPr>
        <w:tab/>
        <w:t xml:space="preserve">העונש הקבוע לעבירת גידול סם – 20 שנות מאסר(!) מדבר בעד עצמו. ומדיניות הענישה בנוגע לעבירה זו היא של חומרה מובהקת, הכוללת ברגיל עונשי מאסר לתקופות משמעותיות. </w:t>
      </w:r>
    </w:p>
    <w:p w14:paraId="059D0DE4" w14:textId="77777777" w:rsidR="0027030F" w:rsidRDefault="0027030F" w:rsidP="0027030F">
      <w:pPr>
        <w:spacing w:line="360" w:lineRule="auto"/>
        <w:ind w:left="720" w:hanging="720"/>
        <w:jc w:val="both"/>
        <w:rPr>
          <w:rtl/>
        </w:rPr>
      </w:pPr>
    </w:p>
    <w:p w14:paraId="752AA8C2" w14:textId="77777777" w:rsidR="0027030F" w:rsidRDefault="0027030F" w:rsidP="0027030F">
      <w:pPr>
        <w:spacing w:line="360" w:lineRule="auto"/>
        <w:ind w:left="720" w:hanging="720"/>
        <w:jc w:val="both"/>
        <w:rPr>
          <w:rtl/>
        </w:rPr>
      </w:pPr>
      <w:r>
        <w:rPr>
          <w:rtl/>
        </w:rPr>
        <w:t>12.</w:t>
      </w:r>
      <w:r>
        <w:rPr>
          <w:rtl/>
        </w:rPr>
        <w:tab/>
        <w:t xml:space="preserve">גידול קנאביס הוא עסק כלכלי רווחי היכול להפיק לבעליו הכנסה כספית עצומה ממש, ברמות שאינן עומדות בשום פרופורציה לכל מיזם חוקי אחר. האמצעים הדרושים לגידול הסם פשוטים יחסית, הידע הנחוץ זמין לכל, והסיכוי להיתפס ולשלם מחיר איננו גדול. מצב דברים זה עלול לפתות. ואכן, התופעה של גידול סמים "קלים" בחממות ביתיות ובמבנים שונים עולה כפורחת, ואיתה התופעה המדאיגה של מעורבותם של אנשים מן הישוב, ללא רקע עברייני, בעבירות אלה. (ראה </w:t>
      </w:r>
      <w:hyperlink r:id="rId21" w:history="1">
        <w:r w:rsidR="00CB68C0" w:rsidRPr="00CB68C0">
          <w:rPr>
            <w:color w:val="0000FF"/>
            <w:u w:val="single"/>
            <w:rtl/>
          </w:rPr>
          <w:t>ע"פ 2596/18</w:t>
        </w:r>
      </w:hyperlink>
      <w:r>
        <w:rPr>
          <w:rtl/>
        </w:rPr>
        <w:t xml:space="preserve"> זנזורי נ' מדינת ישראל (12.8.18)).</w:t>
      </w:r>
    </w:p>
    <w:p w14:paraId="00991EE1" w14:textId="77777777" w:rsidR="0027030F" w:rsidRDefault="0027030F" w:rsidP="0027030F">
      <w:pPr>
        <w:spacing w:line="360" w:lineRule="auto"/>
        <w:ind w:left="720" w:hanging="720"/>
        <w:jc w:val="both"/>
        <w:rPr>
          <w:rtl/>
        </w:rPr>
      </w:pPr>
    </w:p>
    <w:p w14:paraId="0D424FB8" w14:textId="77777777" w:rsidR="0027030F" w:rsidRDefault="0027030F" w:rsidP="0027030F">
      <w:pPr>
        <w:spacing w:line="360" w:lineRule="auto"/>
        <w:ind w:left="720" w:hanging="720"/>
        <w:jc w:val="both"/>
        <w:rPr>
          <w:rtl/>
        </w:rPr>
      </w:pPr>
      <w:r>
        <w:rPr>
          <w:rtl/>
        </w:rPr>
        <w:t>13.</w:t>
      </w:r>
      <w:r>
        <w:rPr>
          <w:rtl/>
        </w:rPr>
        <w:tab/>
        <w:t xml:space="preserve">במקרה זה הנאשם גידל 192 שתילי סם והחזיק בקנאביס במשקל כולל של 45.4 קילוגרם, מתוכם 6.38 ק"ג של קנאביס שכבר נקטף. מחירו של גרם קנאביס עומד על עשרות שקלים, כך ששוויה של כמות הסם שנתפסה נאמד במאות רבות מאוד של אלפי שקלים אם לא מעל למיליון ₪.  </w:t>
      </w:r>
    </w:p>
    <w:p w14:paraId="43F8FF3D" w14:textId="77777777" w:rsidR="0027030F" w:rsidRDefault="0027030F" w:rsidP="0027030F">
      <w:pPr>
        <w:spacing w:line="360" w:lineRule="auto"/>
        <w:ind w:left="720" w:hanging="720"/>
        <w:jc w:val="both"/>
        <w:rPr>
          <w:rtl/>
        </w:rPr>
      </w:pPr>
    </w:p>
    <w:p w14:paraId="4264B1BF" w14:textId="77777777" w:rsidR="0027030F" w:rsidRDefault="0027030F" w:rsidP="0027030F">
      <w:pPr>
        <w:spacing w:line="360" w:lineRule="auto"/>
        <w:ind w:left="720" w:hanging="720"/>
        <w:jc w:val="both"/>
        <w:rPr>
          <w:rtl/>
        </w:rPr>
      </w:pPr>
      <w:r>
        <w:rPr>
          <w:rtl/>
        </w:rPr>
        <w:t>14.</w:t>
      </w:r>
      <w:r>
        <w:rPr>
          <w:rtl/>
        </w:rPr>
        <w:tab/>
        <w:t xml:space="preserve">הקנס הקבוע </w:t>
      </w:r>
      <w:hyperlink r:id="rId22" w:history="1">
        <w:r w:rsidR="00291D3F" w:rsidRPr="00291D3F">
          <w:rPr>
            <w:rStyle w:val="Hyperlink"/>
            <w:color w:val="0000FF"/>
            <w:rtl/>
          </w:rPr>
          <w:t>בסעיף 6</w:t>
        </w:r>
      </w:hyperlink>
      <w:r>
        <w:rPr>
          <w:rtl/>
        </w:rPr>
        <w:t xml:space="preserve"> בפקודת הסמים לעבירת גידול סם הוא "פי עשרים וחמישה מן הקנס האמור </w:t>
      </w:r>
      <w:hyperlink r:id="rId23" w:history="1">
        <w:r w:rsidR="00291D3F" w:rsidRPr="00291D3F">
          <w:rPr>
            <w:rStyle w:val="Hyperlink"/>
            <w:color w:val="0000FF"/>
            <w:rtl/>
          </w:rPr>
          <w:t>בסעיף 61(א)(4)</w:t>
        </w:r>
      </w:hyperlink>
      <w:r>
        <w:rPr>
          <w:rtl/>
        </w:rPr>
        <w:t xml:space="preserve"> ב</w:t>
      </w:r>
      <w:hyperlink r:id="rId24" w:history="1">
        <w:r w:rsidR="00CB68C0" w:rsidRPr="00CB68C0">
          <w:rPr>
            <w:color w:val="0000FF"/>
            <w:u w:val="single"/>
            <w:rtl/>
          </w:rPr>
          <w:t>חוק העונשין</w:t>
        </w:r>
      </w:hyperlink>
      <w:r>
        <w:rPr>
          <w:rtl/>
        </w:rPr>
        <w:t>". הקנס הקבוע ב</w:t>
      </w:r>
      <w:hyperlink r:id="rId25" w:history="1">
        <w:r w:rsidR="00CB68C0" w:rsidRPr="00CB68C0">
          <w:rPr>
            <w:color w:val="0000FF"/>
            <w:u w:val="single"/>
            <w:rtl/>
          </w:rPr>
          <w:t>חוק העונשין</w:t>
        </w:r>
      </w:hyperlink>
      <w:r>
        <w:rPr>
          <w:rtl/>
        </w:rPr>
        <w:t xml:space="preserve"> לעבירה שהעונש הקבוע לה הוא למעלה משלוש שנים הוא 226,000 ₪. כך שהקנס המירבי לעבירת גידול סם הוא 5,650,000 ₪. </w:t>
      </w:r>
    </w:p>
    <w:p w14:paraId="2C03C1CE" w14:textId="77777777" w:rsidR="0027030F" w:rsidRDefault="0027030F" w:rsidP="0027030F">
      <w:pPr>
        <w:spacing w:line="360" w:lineRule="auto"/>
        <w:ind w:left="720" w:hanging="720"/>
        <w:jc w:val="both"/>
        <w:rPr>
          <w:rtl/>
        </w:rPr>
      </w:pPr>
    </w:p>
    <w:p w14:paraId="272ED860" w14:textId="77777777" w:rsidR="0027030F" w:rsidRDefault="0027030F" w:rsidP="0027030F">
      <w:pPr>
        <w:spacing w:line="360" w:lineRule="auto"/>
        <w:ind w:left="720" w:hanging="720"/>
        <w:jc w:val="both"/>
        <w:rPr>
          <w:rtl/>
        </w:rPr>
      </w:pPr>
      <w:r>
        <w:rPr>
          <w:rtl/>
        </w:rPr>
        <w:t>15.</w:t>
      </w:r>
      <w:r>
        <w:rPr>
          <w:rtl/>
        </w:rPr>
        <w:tab/>
        <w:t xml:space="preserve">ניתנה לנאשם הזדמנות להשתלב בטיפול אולם הוא לא ניצל אותה והפרוגנוזה העולה מתסקיר שירות המבחן לגביו מדאיגה. </w:t>
      </w:r>
    </w:p>
    <w:p w14:paraId="4B2F9ADD" w14:textId="77777777" w:rsidR="0027030F" w:rsidRDefault="0027030F" w:rsidP="0027030F">
      <w:pPr>
        <w:spacing w:line="360" w:lineRule="auto"/>
        <w:ind w:left="720" w:hanging="720"/>
        <w:jc w:val="both"/>
        <w:rPr>
          <w:rtl/>
        </w:rPr>
      </w:pPr>
    </w:p>
    <w:p w14:paraId="7C54EEC4" w14:textId="77777777" w:rsidR="0027030F" w:rsidRDefault="0027030F" w:rsidP="0027030F">
      <w:pPr>
        <w:spacing w:line="360" w:lineRule="auto"/>
        <w:ind w:left="720" w:hanging="720"/>
        <w:jc w:val="both"/>
        <w:rPr>
          <w:rtl/>
        </w:rPr>
      </w:pPr>
      <w:r>
        <w:rPr>
          <w:rtl/>
        </w:rPr>
        <w:t>16.</w:t>
      </w:r>
      <w:r>
        <w:rPr>
          <w:rtl/>
        </w:rPr>
        <w:tab/>
        <w:t xml:space="preserve">בהתחשב במכלול הנתונים והנסיבות הנוגעים לענין, עונש המאסר שהומלץ לבית המשפט להטיל על הנאשם איננו הולם את חומרת המעשים בנסיבותיהם ואת מידת אשמו של הנאשם. אמנם ניתן למצוא פסקי דין שהטילו עונשי מאסר בסדר גודל של עונש המאסר המוצע כאן על כמויות סם דומות ואפילו גדולות יותר, אולם העונש נקבע לא רק כנגזרת של כמות הסם וסוגו אלא גם בהתחשב בחלקו של הנאשם בביצוע העבירה, בנתונים המשפיעים על מידת אשמו של הנאשם, ותוך התחשבות בסיכויי שיקומו של הנאשם. כך שהצגת נתונים על כמות הסם והעונש שהוטל בלבד איננה נותנת את התמונה המלאה הדרושה לקביעת העונש. </w:t>
      </w:r>
    </w:p>
    <w:p w14:paraId="6158D747" w14:textId="77777777" w:rsidR="0027030F" w:rsidRDefault="0027030F" w:rsidP="0027030F">
      <w:pPr>
        <w:spacing w:line="360" w:lineRule="auto"/>
        <w:ind w:left="720" w:hanging="720"/>
        <w:jc w:val="both"/>
        <w:rPr>
          <w:rtl/>
        </w:rPr>
      </w:pPr>
    </w:p>
    <w:p w14:paraId="2847A539" w14:textId="77777777" w:rsidR="0027030F" w:rsidRDefault="0027030F" w:rsidP="0027030F">
      <w:pPr>
        <w:spacing w:line="360" w:lineRule="auto"/>
        <w:ind w:left="720" w:hanging="720"/>
        <w:jc w:val="both"/>
        <w:rPr>
          <w:rtl/>
        </w:rPr>
      </w:pPr>
      <w:r>
        <w:rPr>
          <w:rtl/>
        </w:rPr>
        <w:t>17.</w:t>
      </w:r>
      <w:r>
        <w:rPr>
          <w:rtl/>
        </w:rPr>
        <w:tab/>
        <w:t xml:space="preserve">הענישה בעבירות הסמים מוכוונת בין היתר להרתעת הנאשם העומד לדין ולהרתעת הציבור. </w:t>
      </w:r>
    </w:p>
    <w:p w14:paraId="5F9A3ACC" w14:textId="77777777" w:rsidR="0027030F" w:rsidRDefault="0027030F" w:rsidP="0027030F">
      <w:pPr>
        <w:spacing w:line="360" w:lineRule="auto"/>
        <w:ind w:left="720" w:hanging="720"/>
        <w:jc w:val="both"/>
        <w:rPr>
          <w:rtl/>
        </w:rPr>
      </w:pPr>
    </w:p>
    <w:p w14:paraId="3ACE7BB4" w14:textId="77777777" w:rsidR="0027030F" w:rsidRDefault="0027030F" w:rsidP="0027030F">
      <w:pPr>
        <w:spacing w:line="360" w:lineRule="auto"/>
        <w:ind w:left="720" w:hanging="720"/>
        <w:jc w:val="both"/>
        <w:rPr>
          <w:rtl/>
        </w:rPr>
      </w:pPr>
      <w:r>
        <w:rPr>
          <w:rtl/>
        </w:rPr>
        <w:t>18.</w:t>
      </w:r>
      <w:r>
        <w:rPr>
          <w:rtl/>
        </w:rPr>
        <w:tab/>
        <w:t xml:space="preserve">עבירות של גידול סם כרוכות בהשקעה כספית, רכישת ציוד והתקנתו, ביצוע פעולות שונות הכרוכות בתחזוקה ובגידול, ועוד, כך שהמדובר בעבירות יזומות ומתוכננות. בעבירות כאלה, במיוחד כשהן מבוצעות על ידי מי שאיננו בעל אורח חיים עברייני מובהק, ההנחה היא שבטרם ביצוען נלקחים בחשבון שיקולים של רווח והפסד. עונש מאסר של 18 חודשים איננו מהווה משקל נגד מרתיע מספק אל מול היקף הרווח הכלכלי הצפוי והסיכוי הלא מאוד גדול להיתפס ולהיות מופלל.  </w:t>
      </w:r>
    </w:p>
    <w:p w14:paraId="1E6C68D5" w14:textId="77777777" w:rsidR="0027030F" w:rsidRDefault="0027030F" w:rsidP="0027030F">
      <w:pPr>
        <w:spacing w:line="360" w:lineRule="auto"/>
        <w:ind w:left="720" w:hanging="720"/>
        <w:jc w:val="both"/>
        <w:rPr>
          <w:rtl/>
        </w:rPr>
      </w:pPr>
    </w:p>
    <w:p w14:paraId="3FFE6EF2" w14:textId="77777777" w:rsidR="0027030F" w:rsidRDefault="0027030F" w:rsidP="0027030F">
      <w:pPr>
        <w:spacing w:line="360" w:lineRule="auto"/>
        <w:ind w:left="720" w:hanging="720"/>
        <w:jc w:val="both"/>
        <w:rPr>
          <w:rtl/>
        </w:rPr>
      </w:pPr>
      <w:r>
        <w:rPr>
          <w:rtl/>
        </w:rPr>
        <w:t>19.</w:t>
      </w:r>
      <w:r>
        <w:rPr>
          <w:rtl/>
        </w:rPr>
        <w:tab/>
        <w:t xml:space="preserve">לטעמי, עונש המאסר הראוי לנאשם בנסיבות צריך להיות חמור יותר. אולם בית המשפט כפוף לכללים הנוגעים לכיבוד הסדרי טיעון ואין זה ברור שהעונש המוצע במקרה זה חוצה את הקו המצדיק את דחיית המלצת הצדדים. </w:t>
      </w:r>
    </w:p>
    <w:p w14:paraId="1EF32344" w14:textId="77777777" w:rsidR="0027030F" w:rsidRDefault="0027030F" w:rsidP="0027030F">
      <w:pPr>
        <w:spacing w:line="360" w:lineRule="auto"/>
        <w:ind w:left="720" w:hanging="720"/>
        <w:jc w:val="both"/>
        <w:rPr>
          <w:rtl/>
        </w:rPr>
      </w:pPr>
    </w:p>
    <w:p w14:paraId="709CAA03" w14:textId="77777777" w:rsidR="0027030F" w:rsidRDefault="0027030F" w:rsidP="0027030F">
      <w:pPr>
        <w:spacing w:line="360" w:lineRule="auto"/>
        <w:ind w:left="720" w:hanging="720"/>
        <w:jc w:val="both"/>
        <w:rPr>
          <w:rFonts w:ascii="David" w:hAnsi="David"/>
          <w:rtl/>
        </w:rPr>
      </w:pPr>
      <w:r>
        <w:rPr>
          <w:rtl/>
        </w:rPr>
        <w:t>20.</w:t>
      </w:r>
      <w:r>
        <w:rPr>
          <w:rtl/>
        </w:rPr>
        <w:tab/>
        <w:t xml:space="preserve">גידול סם נועד להפקת רווח כספי. בעבירות שהמניע לביצוען הוא השאת רווח יש טעם בהטלת קנסות מתאימים, כחלק מחבילת הענישה שיש בה כדי להלום את חומרת מעשה העבירה בנסיבותיה ואת מידת אשמו של הנאשם, כמרכיב במרכיבי ההרתעה העונשית, </w:t>
      </w:r>
      <w:r>
        <w:rPr>
          <w:rFonts w:ascii="David" w:hAnsi="David"/>
          <w:rtl/>
        </w:rPr>
        <w:t xml:space="preserve">וכתגובת נגד למניע שביסוד העבירות, המוציא את השכר שהעבריין חישב להרוויח בהפסדו. </w:t>
      </w:r>
    </w:p>
    <w:p w14:paraId="45332BC7" w14:textId="77777777" w:rsidR="0027030F" w:rsidRDefault="0027030F" w:rsidP="0027030F">
      <w:pPr>
        <w:spacing w:line="360" w:lineRule="auto"/>
        <w:ind w:left="720" w:hanging="720"/>
        <w:jc w:val="both"/>
        <w:rPr>
          <w:rFonts w:ascii="David" w:hAnsi="David"/>
          <w:rtl/>
        </w:rPr>
      </w:pPr>
    </w:p>
    <w:p w14:paraId="57234057" w14:textId="77777777" w:rsidR="0027030F" w:rsidRDefault="0027030F" w:rsidP="0027030F">
      <w:pPr>
        <w:spacing w:line="360" w:lineRule="auto"/>
        <w:ind w:left="720" w:hanging="720"/>
        <w:jc w:val="both"/>
        <w:rPr>
          <w:rtl/>
        </w:rPr>
      </w:pPr>
      <w:r>
        <w:rPr>
          <w:rtl/>
        </w:rPr>
        <w:t>21.</w:t>
      </w:r>
      <w:r>
        <w:rPr>
          <w:rtl/>
        </w:rPr>
        <w:tab/>
        <w:t xml:space="preserve">במקרים בהם נאשם נטל שלא כדין רכוש מאחר, מתבקש לחייב את הנאשם בתשלום פיצוי למי שניזוק מהמעשה, בגובה הרכוש שנלקח. כאן, נטען בכתב האישום שהנאשם התחבר שלא כדין למקור חשמל השייך לחברת חשמל וששווי החשמל שנלקח הוא 2157 ₪ לשבוע. כתב האישום איננו מציין את פרק הזמן שהנאשם השתמש בחשמל שלא כדין עד שנתפס, אולם בהתחשב במספר השתילים שגודלו בחממה ובמשקל הסם שבהם, יש להניח שהשתילים גודלו על פני שבועות רבים. </w:t>
      </w:r>
    </w:p>
    <w:p w14:paraId="7E683BA5" w14:textId="77777777" w:rsidR="0027030F" w:rsidRDefault="0027030F" w:rsidP="0027030F">
      <w:pPr>
        <w:spacing w:line="360" w:lineRule="auto"/>
        <w:ind w:left="720" w:hanging="720"/>
        <w:jc w:val="both"/>
        <w:rPr>
          <w:rtl/>
        </w:rPr>
      </w:pPr>
    </w:p>
    <w:p w14:paraId="7FC5144F" w14:textId="77777777" w:rsidR="0027030F" w:rsidRDefault="0027030F" w:rsidP="0027030F">
      <w:pPr>
        <w:spacing w:line="360" w:lineRule="auto"/>
        <w:ind w:left="720" w:hanging="720"/>
        <w:jc w:val="both"/>
        <w:rPr>
          <w:rtl/>
        </w:rPr>
      </w:pPr>
    </w:p>
    <w:p w14:paraId="46A92624" w14:textId="77777777" w:rsidR="0027030F" w:rsidRDefault="0027030F" w:rsidP="0027030F">
      <w:pPr>
        <w:spacing w:line="360" w:lineRule="auto"/>
        <w:ind w:left="720" w:hanging="720"/>
        <w:jc w:val="both"/>
        <w:rPr>
          <w:rtl/>
        </w:rPr>
      </w:pPr>
    </w:p>
    <w:p w14:paraId="62290E44" w14:textId="77777777" w:rsidR="0027030F" w:rsidRDefault="0027030F" w:rsidP="0027030F">
      <w:pPr>
        <w:spacing w:line="360" w:lineRule="auto"/>
        <w:ind w:left="720" w:hanging="720"/>
        <w:jc w:val="both"/>
        <w:rPr>
          <w:rtl/>
        </w:rPr>
      </w:pPr>
    </w:p>
    <w:p w14:paraId="5C1522B7" w14:textId="77777777" w:rsidR="0027030F" w:rsidRDefault="0027030F" w:rsidP="0027030F">
      <w:pPr>
        <w:spacing w:line="360" w:lineRule="auto"/>
        <w:ind w:left="720" w:hanging="720"/>
        <w:jc w:val="both"/>
        <w:rPr>
          <w:rtl/>
        </w:rPr>
      </w:pPr>
    </w:p>
    <w:p w14:paraId="31E1A26B" w14:textId="77777777" w:rsidR="0027030F" w:rsidRDefault="0027030F" w:rsidP="0027030F">
      <w:pPr>
        <w:spacing w:line="360" w:lineRule="auto"/>
        <w:ind w:left="720" w:hanging="720"/>
        <w:jc w:val="both"/>
        <w:rPr>
          <w:rtl/>
        </w:rPr>
      </w:pPr>
    </w:p>
    <w:p w14:paraId="3820B7D7" w14:textId="77777777" w:rsidR="0027030F" w:rsidRDefault="0027030F" w:rsidP="0027030F">
      <w:pPr>
        <w:spacing w:line="360" w:lineRule="auto"/>
        <w:ind w:left="720" w:hanging="720"/>
        <w:jc w:val="both"/>
        <w:rPr>
          <w:rtl/>
        </w:rPr>
      </w:pPr>
    </w:p>
    <w:p w14:paraId="5A398C32" w14:textId="77777777" w:rsidR="0027030F" w:rsidRPr="0027030F" w:rsidRDefault="0027030F" w:rsidP="0027030F">
      <w:pPr>
        <w:spacing w:line="360" w:lineRule="auto"/>
        <w:ind w:left="720" w:hanging="720"/>
        <w:jc w:val="both"/>
        <w:rPr>
          <w:rFonts w:ascii="Calibri" w:hAnsi="Calibri"/>
          <w:rtl/>
        </w:rPr>
      </w:pPr>
    </w:p>
    <w:p w14:paraId="6CC432E0" w14:textId="77777777" w:rsidR="0027030F" w:rsidRDefault="0027030F" w:rsidP="0027030F">
      <w:pPr>
        <w:spacing w:line="360" w:lineRule="auto"/>
        <w:ind w:left="720" w:hanging="720"/>
        <w:jc w:val="both"/>
        <w:rPr>
          <w:rtl/>
        </w:rPr>
      </w:pPr>
      <w:r>
        <w:rPr>
          <w:rtl/>
        </w:rPr>
        <w:t>22.</w:t>
      </w:r>
      <w:r>
        <w:rPr>
          <w:rtl/>
        </w:rPr>
        <w:tab/>
        <w:t>נוכח כל האמור אני מטיל על הנאשם את העונשים הבאים-</w:t>
      </w:r>
    </w:p>
    <w:p w14:paraId="3DE0BDFA" w14:textId="77777777" w:rsidR="0027030F" w:rsidRDefault="0027030F" w:rsidP="0027030F">
      <w:pPr>
        <w:spacing w:line="360" w:lineRule="auto"/>
        <w:ind w:left="720" w:hanging="720"/>
        <w:jc w:val="both"/>
        <w:rPr>
          <w:rFonts w:ascii="David" w:hAnsi="David"/>
          <w:rtl/>
        </w:rPr>
      </w:pPr>
    </w:p>
    <w:p w14:paraId="71E4EA5F" w14:textId="77777777" w:rsidR="0027030F" w:rsidRDefault="0027030F" w:rsidP="0027030F">
      <w:pPr>
        <w:spacing w:line="360" w:lineRule="auto"/>
        <w:ind w:left="1440" w:hanging="720"/>
        <w:jc w:val="both"/>
        <w:rPr>
          <w:rFonts w:ascii="David" w:hAnsi="David"/>
          <w:rtl/>
        </w:rPr>
      </w:pPr>
      <w:r>
        <w:rPr>
          <w:rFonts w:ascii="David" w:hAnsi="David"/>
          <w:rtl/>
        </w:rPr>
        <w:t>א.</w:t>
      </w:r>
      <w:r>
        <w:rPr>
          <w:rFonts w:ascii="David" w:hAnsi="David"/>
          <w:rtl/>
        </w:rPr>
        <w:tab/>
        <w:t xml:space="preserve">18 חודשי מאסר בפועל בניכוי ימי מעצרו. הנאשם ישא את תקופת המאסר במצטבר לכל תקופת מאסר אותה הוא נושא. </w:t>
      </w:r>
    </w:p>
    <w:p w14:paraId="76003472" w14:textId="77777777" w:rsidR="0027030F" w:rsidRDefault="0027030F" w:rsidP="0027030F">
      <w:pPr>
        <w:spacing w:line="360" w:lineRule="auto"/>
        <w:ind w:left="1440" w:hanging="720"/>
        <w:jc w:val="both"/>
        <w:rPr>
          <w:rFonts w:ascii="David" w:hAnsi="David"/>
          <w:rtl/>
        </w:rPr>
      </w:pPr>
      <w:r>
        <w:rPr>
          <w:rFonts w:ascii="David" w:hAnsi="David"/>
          <w:rtl/>
        </w:rPr>
        <w:t>ב.</w:t>
      </w:r>
      <w:r>
        <w:rPr>
          <w:rFonts w:ascii="David" w:hAnsi="David"/>
          <w:rtl/>
        </w:rPr>
        <w:tab/>
        <w:t xml:space="preserve">12 חודשי מאסר על תנאי למשך שלוש שנים מיום שחרורו מהמאסר שלא יעבור עבירת סמים המסווגת כפשע. </w:t>
      </w:r>
    </w:p>
    <w:p w14:paraId="00E8F606" w14:textId="77777777" w:rsidR="0027030F" w:rsidRDefault="0027030F" w:rsidP="0027030F">
      <w:pPr>
        <w:spacing w:line="360" w:lineRule="auto"/>
        <w:ind w:left="1440" w:hanging="720"/>
        <w:jc w:val="both"/>
        <w:rPr>
          <w:rFonts w:ascii="David" w:hAnsi="David"/>
          <w:rtl/>
        </w:rPr>
      </w:pPr>
      <w:r>
        <w:rPr>
          <w:rFonts w:ascii="David" w:hAnsi="David"/>
          <w:rtl/>
        </w:rPr>
        <w:t>ג.</w:t>
      </w:r>
      <w:r>
        <w:rPr>
          <w:rFonts w:ascii="David" w:hAnsi="David"/>
          <w:rtl/>
        </w:rPr>
        <w:tab/>
        <w:t xml:space="preserve">3 חודשי מאסר על תנאי למשך שלוש שנים מיום שחרורו מהמאסר שלא יעבור עבירת הפרעה לשוטר במילוי תפקידו או תקיפת שוטר במילוי תפקידו. </w:t>
      </w:r>
    </w:p>
    <w:p w14:paraId="0432FA5B" w14:textId="77777777" w:rsidR="0027030F" w:rsidRPr="0027030F" w:rsidRDefault="0027030F" w:rsidP="0027030F">
      <w:pPr>
        <w:spacing w:line="360" w:lineRule="auto"/>
        <w:ind w:left="1440" w:hanging="720"/>
        <w:jc w:val="both"/>
        <w:rPr>
          <w:rFonts w:ascii="Calibri" w:hAnsi="Calibri"/>
          <w:rtl/>
        </w:rPr>
      </w:pPr>
      <w:r>
        <w:rPr>
          <w:rFonts w:ascii="David" w:hAnsi="David"/>
          <w:rtl/>
        </w:rPr>
        <w:t>ד.</w:t>
      </w:r>
      <w:r>
        <w:rPr>
          <w:rFonts w:ascii="David" w:hAnsi="David"/>
          <w:rtl/>
        </w:rPr>
        <w:tab/>
        <w:t>קנס בסך 50,000 ₪ או שלושה</w:t>
      </w:r>
      <w:r>
        <w:rPr>
          <w:rtl/>
        </w:rPr>
        <w:t xml:space="preserve"> חודשי מאסר תחתיו. הקנס ישולם ב-10 תשלומים חודשיים שווים </w:t>
      </w:r>
      <w:r>
        <w:rPr>
          <w:rFonts w:ascii="David" w:hAnsi="David"/>
          <w:color w:val="000000"/>
          <w:rtl/>
        </w:rPr>
        <w:t xml:space="preserve">ורצופים שהראשון בהם ביום 01.10.24. תשלום שלא ישולם במועדו יעמיד את כל יתרת הסכום לפרעון מידי. </w:t>
      </w:r>
    </w:p>
    <w:p w14:paraId="32BB350D" w14:textId="77777777" w:rsidR="0027030F" w:rsidRDefault="0027030F" w:rsidP="0027030F">
      <w:pPr>
        <w:spacing w:line="360" w:lineRule="auto"/>
        <w:ind w:left="1440" w:hanging="720"/>
        <w:jc w:val="both"/>
        <w:rPr>
          <w:rFonts w:ascii="David" w:hAnsi="David"/>
          <w:color w:val="000000"/>
          <w:rtl/>
        </w:rPr>
      </w:pPr>
      <w:r>
        <w:rPr>
          <w:rFonts w:ascii="David" w:hAnsi="David"/>
          <w:color w:val="000000"/>
          <w:rtl/>
        </w:rPr>
        <w:t>ה.</w:t>
      </w:r>
      <w:r>
        <w:rPr>
          <w:rFonts w:ascii="David" w:hAnsi="David"/>
          <w:color w:val="000000"/>
          <w:rtl/>
        </w:rPr>
        <w:tab/>
        <w:t xml:space="preserve">פיצוי לחברת החשמל בסך 10,000 ₪. </w:t>
      </w:r>
    </w:p>
    <w:p w14:paraId="52EEF757" w14:textId="77777777" w:rsidR="0027030F" w:rsidRDefault="0027030F" w:rsidP="0027030F">
      <w:pPr>
        <w:spacing w:line="360" w:lineRule="auto"/>
        <w:ind w:left="1440" w:hanging="720"/>
        <w:jc w:val="both"/>
        <w:rPr>
          <w:rFonts w:ascii="David" w:hAnsi="David"/>
          <w:color w:val="000000"/>
          <w:rtl/>
        </w:rPr>
      </w:pPr>
      <w:r>
        <w:rPr>
          <w:rFonts w:ascii="David" w:hAnsi="David"/>
          <w:color w:val="000000"/>
          <w:rtl/>
        </w:rPr>
        <w:t>ו.</w:t>
      </w:r>
      <w:r>
        <w:rPr>
          <w:rFonts w:ascii="David" w:hAnsi="David"/>
          <w:color w:val="000000"/>
          <w:rtl/>
        </w:rPr>
        <w:tab/>
        <w:t>6 חודשי פסילת רישיון נהיגה על תנאי למשך שנתיים מיום השחרור מהמאסר.</w:t>
      </w:r>
    </w:p>
    <w:p w14:paraId="3493A753" w14:textId="77777777" w:rsidR="0027030F" w:rsidRDefault="0027030F" w:rsidP="0027030F">
      <w:pPr>
        <w:spacing w:line="360" w:lineRule="auto"/>
        <w:ind w:left="1440" w:hanging="720"/>
        <w:jc w:val="both"/>
        <w:rPr>
          <w:rFonts w:ascii="David" w:hAnsi="David"/>
          <w:color w:val="000000"/>
          <w:rtl/>
        </w:rPr>
      </w:pPr>
      <w:r>
        <w:rPr>
          <w:rFonts w:ascii="David" w:hAnsi="David"/>
          <w:color w:val="000000"/>
          <w:rtl/>
        </w:rPr>
        <w:t>ז.</w:t>
      </w:r>
      <w:r>
        <w:rPr>
          <w:rFonts w:ascii="David" w:hAnsi="David"/>
          <w:color w:val="000000"/>
          <w:rtl/>
        </w:rPr>
        <w:tab/>
        <w:t xml:space="preserve">הרכוש המפורט להלן, שנתפס על ידי המשטרה בקשר לתיק זה, יחולט לטובת אוצר המדינה (קרן הסמים) – </w:t>
      </w:r>
    </w:p>
    <w:p w14:paraId="1F86EDBA" w14:textId="77777777" w:rsidR="0027030F" w:rsidRDefault="0027030F" w:rsidP="0027030F">
      <w:pPr>
        <w:spacing w:line="360" w:lineRule="auto"/>
        <w:ind w:left="1440" w:hanging="720"/>
        <w:jc w:val="both"/>
        <w:rPr>
          <w:rFonts w:ascii="David" w:hAnsi="David"/>
          <w:color w:val="000000"/>
          <w:rtl/>
        </w:rPr>
      </w:pPr>
      <w:r>
        <w:rPr>
          <w:rFonts w:ascii="David" w:hAnsi="David"/>
          <w:color w:val="000000"/>
          <w:rtl/>
        </w:rPr>
        <w:tab/>
        <w:t xml:space="preserve">סך של 3,029 ₪; טלפון סלולארי של הנאשם; מערכת תאורה; מערכת השקייה; מזגנים ושלט; מאווררים; שעון שבת; כלי עבודה – מברג, מספריים, מפתח צינורות, קטר, ועוד. </w:t>
      </w:r>
    </w:p>
    <w:p w14:paraId="165AB27E" w14:textId="77777777" w:rsidR="0027030F" w:rsidRDefault="0027030F" w:rsidP="0027030F">
      <w:pPr>
        <w:spacing w:line="360" w:lineRule="auto"/>
        <w:jc w:val="both"/>
        <w:rPr>
          <w:rFonts w:ascii="David" w:hAnsi="David"/>
          <w:rtl/>
        </w:rPr>
      </w:pPr>
    </w:p>
    <w:p w14:paraId="307E4EE9" w14:textId="77777777" w:rsidR="0027030F" w:rsidRDefault="0027030F" w:rsidP="0027030F">
      <w:pPr>
        <w:spacing w:line="360" w:lineRule="auto"/>
        <w:ind w:firstLine="720"/>
        <w:jc w:val="both"/>
        <w:rPr>
          <w:rFonts w:ascii="David" w:hAnsi="David"/>
          <w:rtl/>
        </w:rPr>
      </w:pPr>
      <w:r>
        <w:rPr>
          <w:rFonts w:ascii="David" w:hAnsi="David"/>
          <w:rtl/>
        </w:rPr>
        <w:t xml:space="preserve">זכות ערעור תוך 45 יום. </w:t>
      </w:r>
    </w:p>
    <w:p w14:paraId="78A610E4" w14:textId="77777777" w:rsidR="0027030F" w:rsidRDefault="0027030F" w:rsidP="0027030F">
      <w:pPr>
        <w:spacing w:line="360" w:lineRule="auto"/>
        <w:ind w:firstLine="720"/>
        <w:jc w:val="both"/>
        <w:rPr>
          <w:rFonts w:ascii="David" w:hAnsi="David"/>
          <w:rtl/>
        </w:rPr>
      </w:pPr>
    </w:p>
    <w:p w14:paraId="15E2E946" w14:textId="77777777" w:rsidR="0027030F" w:rsidRDefault="0027030F" w:rsidP="0027030F">
      <w:pPr>
        <w:spacing w:line="360" w:lineRule="auto"/>
        <w:ind w:firstLine="720"/>
        <w:jc w:val="both"/>
        <w:rPr>
          <w:rFonts w:ascii="David" w:hAnsi="David"/>
          <w:rtl/>
        </w:rPr>
      </w:pPr>
    </w:p>
    <w:p w14:paraId="3D1BF261" w14:textId="77777777" w:rsidR="0027030F" w:rsidRDefault="00CB68C0" w:rsidP="0027030F">
      <w:pPr>
        <w:jc w:val="both"/>
        <w:rPr>
          <w:rFonts w:ascii="David" w:hAnsi="David"/>
          <w:rtl/>
        </w:rPr>
      </w:pPr>
      <w:bookmarkStart w:id="8" w:name="Nitan"/>
      <w:r w:rsidRPr="00CB68C0">
        <w:rPr>
          <w:b/>
          <w:bCs/>
          <w:color w:val="FFFFFF"/>
          <w:sz w:val="2"/>
          <w:szCs w:val="2"/>
          <w:rtl/>
        </w:rPr>
        <w:t>5129371</w:t>
      </w:r>
      <w:r>
        <w:rPr>
          <w:b/>
          <w:bCs/>
          <w:rtl/>
        </w:rPr>
        <w:t xml:space="preserve">ניתנה והודעה היום א' אלול תשפ"ד, 04/09/2024 במעמד הנוכחים. </w:t>
      </w:r>
      <w:bookmarkEnd w:id="8"/>
    </w:p>
    <w:tbl>
      <w:tblPr>
        <w:bidiVisual/>
        <w:tblW w:w="0" w:type="auto"/>
        <w:tblInd w:w="3655" w:type="dxa"/>
        <w:tblBorders>
          <w:insideH w:val="single" w:sz="4" w:space="0" w:color="auto"/>
          <w:insideV w:val="single" w:sz="4" w:space="0" w:color="auto"/>
        </w:tblBorders>
        <w:tblLook w:val="01E0" w:firstRow="1" w:lastRow="1" w:firstColumn="1" w:lastColumn="1" w:noHBand="0" w:noVBand="0"/>
      </w:tblPr>
      <w:tblGrid>
        <w:gridCol w:w="4695"/>
        <w:gridCol w:w="10"/>
      </w:tblGrid>
      <w:tr w:rsidR="0027030F" w14:paraId="2E38F67C" w14:textId="77777777" w:rsidTr="0027030F">
        <w:trPr>
          <w:trHeight w:val="316"/>
        </w:trPr>
        <w:tc>
          <w:tcPr>
            <w:tcW w:w="4705" w:type="dxa"/>
            <w:gridSpan w:val="2"/>
            <w:tcBorders>
              <w:top w:val="nil"/>
              <w:left w:val="nil"/>
              <w:bottom w:val="single" w:sz="4" w:space="0" w:color="auto"/>
              <w:right w:val="nil"/>
            </w:tcBorders>
            <w:shd w:val="clear" w:color="auto" w:fill="auto"/>
          </w:tcPr>
          <w:p w14:paraId="742E45CE" w14:textId="77777777" w:rsidR="0027030F" w:rsidRPr="00CB68C0" w:rsidRDefault="00CB68C0" w:rsidP="0027030F">
            <w:pPr>
              <w:jc w:val="center"/>
              <w:rPr>
                <w:color w:val="FFFFFF"/>
                <w:sz w:val="2"/>
                <w:szCs w:val="2"/>
              </w:rPr>
            </w:pPr>
            <w:r w:rsidRPr="00CB68C0">
              <w:rPr>
                <w:color w:val="FFFFFF"/>
                <w:sz w:val="2"/>
                <w:szCs w:val="2"/>
                <w:rtl/>
              </w:rPr>
              <w:t>54678313</w:t>
            </w:r>
          </w:p>
        </w:tc>
      </w:tr>
      <w:tr w:rsidR="0027030F" w14:paraId="12F91721" w14:textId="77777777" w:rsidTr="0027030F">
        <w:trPr>
          <w:gridAfter w:val="1"/>
          <w:wAfter w:w="10" w:type="dxa"/>
          <w:trHeight w:val="361"/>
        </w:trPr>
        <w:tc>
          <w:tcPr>
            <w:tcW w:w="4695" w:type="dxa"/>
            <w:tcBorders>
              <w:top w:val="single" w:sz="4" w:space="0" w:color="auto"/>
              <w:left w:val="nil"/>
              <w:bottom w:val="nil"/>
              <w:right w:val="nil"/>
            </w:tcBorders>
            <w:shd w:val="clear" w:color="auto" w:fill="auto"/>
          </w:tcPr>
          <w:p w14:paraId="5A54B642" w14:textId="77777777" w:rsidR="0027030F" w:rsidRPr="0027030F" w:rsidRDefault="0027030F" w:rsidP="0027030F">
            <w:pPr>
              <w:jc w:val="center"/>
              <w:rPr>
                <w:b/>
                <w:bCs/>
                <w:rtl/>
              </w:rPr>
            </w:pPr>
            <w:r w:rsidRPr="0027030F">
              <w:rPr>
                <w:rFonts w:hint="cs"/>
                <w:b/>
                <w:bCs/>
                <w:rtl/>
              </w:rPr>
              <w:t>אליהו ביתן, שופט בכיר</w:t>
            </w:r>
          </w:p>
          <w:p w14:paraId="7EE0D931" w14:textId="77777777" w:rsidR="0027030F" w:rsidRPr="0027030F" w:rsidRDefault="0027030F" w:rsidP="0027030F">
            <w:pPr>
              <w:jc w:val="center"/>
              <w:rPr>
                <w:b/>
                <w:bCs/>
                <w:rtl/>
              </w:rPr>
            </w:pPr>
          </w:p>
        </w:tc>
      </w:tr>
    </w:tbl>
    <w:p w14:paraId="78F8F6DF" w14:textId="77777777" w:rsidR="0027030F" w:rsidRDefault="0027030F" w:rsidP="0027030F">
      <w:pPr>
        <w:jc w:val="both"/>
        <w:rPr>
          <w:rFonts w:ascii="David" w:hAnsi="David"/>
          <w:rtl/>
        </w:rPr>
      </w:pPr>
    </w:p>
    <w:p w14:paraId="0223B776" w14:textId="77777777" w:rsidR="00045469" w:rsidRPr="00CB68C0" w:rsidRDefault="00045469" w:rsidP="00CB68C0">
      <w:pPr>
        <w:keepNext/>
        <w:rPr>
          <w:rFonts w:ascii="David" w:hAnsi="David"/>
          <w:color w:val="000000"/>
          <w:sz w:val="22"/>
          <w:szCs w:val="22"/>
          <w:rtl/>
        </w:rPr>
      </w:pPr>
    </w:p>
    <w:p w14:paraId="2F41D374" w14:textId="77777777" w:rsidR="00CB68C0" w:rsidRPr="00CB68C0" w:rsidRDefault="00CB68C0" w:rsidP="00CB68C0">
      <w:pPr>
        <w:keepNext/>
        <w:rPr>
          <w:rFonts w:ascii="David" w:hAnsi="David"/>
          <w:color w:val="000000"/>
          <w:sz w:val="22"/>
          <w:szCs w:val="22"/>
          <w:rtl/>
        </w:rPr>
      </w:pPr>
      <w:r w:rsidRPr="00CB68C0">
        <w:rPr>
          <w:rFonts w:ascii="David" w:hAnsi="David"/>
          <w:color w:val="000000"/>
          <w:sz w:val="22"/>
          <w:szCs w:val="22"/>
          <w:rtl/>
        </w:rPr>
        <w:t>אליהו ביתן 54678313</w:t>
      </w:r>
    </w:p>
    <w:p w14:paraId="0B59DBB8" w14:textId="77777777" w:rsidR="00CB68C0" w:rsidRDefault="00CB68C0" w:rsidP="00CB68C0">
      <w:r w:rsidRPr="00CB68C0">
        <w:rPr>
          <w:color w:val="000000"/>
          <w:rtl/>
        </w:rPr>
        <w:t>נוסח מסמך זה כפוף לשינויי ניסוח ועריכה</w:t>
      </w:r>
    </w:p>
    <w:p w14:paraId="114ECC68" w14:textId="77777777" w:rsidR="00CB68C0" w:rsidRDefault="00CB68C0" w:rsidP="00CB68C0">
      <w:pPr>
        <w:rPr>
          <w:rtl/>
        </w:rPr>
      </w:pPr>
    </w:p>
    <w:p w14:paraId="17046BDA" w14:textId="77777777" w:rsidR="00CB68C0" w:rsidRDefault="00CB68C0" w:rsidP="00CB68C0">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1FAA5B45" w14:textId="77777777" w:rsidR="00CB68C0" w:rsidRPr="00CB68C0" w:rsidRDefault="00CB68C0" w:rsidP="00CB68C0">
      <w:pPr>
        <w:jc w:val="center"/>
        <w:rPr>
          <w:color w:val="0000FF"/>
          <w:u w:val="single"/>
        </w:rPr>
      </w:pPr>
    </w:p>
    <w:sectPr w:rsidR="00CB68C0" w:rsidRPr="00CB68C0" w:rsidSect="00CB68C0">
      <w:headerReference w:type="even" r:id="rId27"/>
      <w:headerReference w:type="default" r:id="rId28"/>
      <w:footerReference w:type="even" r:id="rId29"/>
      <w:footerReference w:type="default" r:id="rId3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F50ACC" w14:textId="77777777" w:rsidR="00A8073B" w:rsidRDefault="00A8073B" w:rsidP="00DE2F72">
      <w:r>
        <w:separator/>
      </w:r>
    </w:p>
  </w:endnote>
  <w:endnote w:type="continuationSeparator" w:id="0">
    <w:p w14:paraId="5EE59FE2" w14:textId="77777777" w:rsidR="00A8073B" w:rsidRDefault="00A8073B" w:rsidP="00DE2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870CDE" w14:textId="77777777" w:rsidR="00CB68C0" w:rsidRDefault="00CB68C0" w:rsidP="00CB68C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F058D5F" w14:textId="77777777" w:rsidR="000C68BD" w:rsidRPr="00CB68C0" w:rsidRDefault="00CB68C0" w:rsidP="00CB68C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261E57" w14:textId="77777777" w:rsidR="00CB68C0" w:rsidRDefault="00CB68C0" w:rsidP="00CB68C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75F65">
      <w:rPr>
        <w:rFonts w:ascii="FrankRuehl" w:hAnsi="FrankRuehl" w:cs="FrankRuehl"/>
        <w:noProof/>
        <w:rtl/>
      </w:rPr>
      <w:t>1</w:t>
    </w:r>
    <w:r>
      <w:rPr>
        <w:rFonts w:ascii="FrankRuehl" w:hAnsi="FrankRuehl" w:cs="FrankRuehl"/>
        <w:rtl/>
      </w:rPr>
      <w:fldChar w:fldCharType="end"/>
    </w:r>
  </w:p>
  <w:p w14:paraId="3766A508" w14:textId="77777777" w:rsidR="000C68BD" w:rsidRPr="00CB68C0" w:rsidRDefault="00CB68C0" w:rsidP="00CB68C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6A5F8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0057BB" w14:textId="77777777" w:rsidR="00A8073B" w:rsidRDefault="00A8073B" w:rsidP="00DE2F72">
      <w:r>
        <w:separator/>
      </w:r>
    </w:p>
  </w:footnote>
  <w:footnote w:type="continuationSeparator" w:id="0">
    <w:p w14:paraId="5ECD2ADF" w14:textId="77777777" w:rsidR="00A8073B" w:rsidRDefault="00A8073B" w:rsidP="00DE2F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C05608" w14:textId="77777777" w:rsidR="00CB68C0" w:rsidRPr="00CB68C0" w:rsidRDefault="00CB68C0" w:rsidP="00CB68C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42114-08-23</w:t>
    </w:r>
    <w:r>
      <w:rPr>
        <w:rFonts w:ascii="David" w:hAnsi="David"/>
        <w:color w:val="000000"/>
        <w:sz w:val="22"/>
        <w:szCs w:val="22"/>
        <w:rtl/>
      </w:rPr>
      <w:tab/>
      <w:t xml:space="preserve"> מדינת ישראל נ' חוסם אלאסד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6E8E08" w14:textId="77777777" w:rsidR="00CB68C0" w:rsidRPr="00CB68C0" w:rsidRDefault="00CB68C0" w:rsidP="00CB68C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42114-08-23</w:t>
    </w:r>
    <w:r>
      <w:rPr>
        <w:rFonts w:ascii="David" w:hAnsi="David"/>
        <w:color w:val="000000"/>
        <w:sz w:val="22"/>
        <w:szCs w:val="22"/>
        <w:rtl/>
      </w:rPr>
      <w:tab/>
      <w:t xml:space="preserve"> מדינת ישראל נ' חוסם אלאסד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7030F"/>
    <w:rsid w:val="0004206F"/>
    <w:rsid w:val="00045469"/>
    <w:rsid w:val="000C68BD"/>
    <w:rsid w:val="001B5A3B"/>
    <w:rsid w:val="0027030F"/>
    <w:rsid w:val="00291D3F"/>
    <w:rsid w:val="005E7E7B"/>
    <w:rsid w:val="00A8073B"/>
    <w:rsid w:val="00C75F65"/>
    <w:rsid w:val="00CB68C0"/>
    <w:rsid w:val="00DE2F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D1390E7"/>
  <w15:chartTrackingRefBased/>
  <w15:docId w15:val="{5BB36E48-B35A-49B6-975C-CA6416065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7030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7030F"/>
    <w:pPr>
      <w:tabs>
        <w:tab w:val="center" w:pos="4153"/>
        <w:tab w:val="right" w:pos="8306"/>
      </w:tabs>
    </w:pPr>
  </w:style>
  <w:style w:type="character" w:customStyle="1" w:styleId="a4">
    <w:name w:val="כותרת עליונה תו"/>
    <w:link w:val="a3"/>
    <w:rsid w:val="0027030F"/>
    <w:rPr>
      <w:rFonts w:ascii="Times New Roman" w:eastAsia="Times New Roman" w:hAnsi="Times New Roman" w:cs="David"/>
      <w:sz w:val="24"/>
      <w:szCs w:val="24"/>
    </w:rPr>
  </w:style>
  <w:style w:type="paragraph" w:styleId="a5">
    <w:name w:val="footer"/>
    <w:basedOn w:val="a"/>
    <w:link w:val="a6"/>
    <w:rsid w:val="0027030F"/>
    <w:pPr>
      <w:tabs>
        <w:tab w:val="center" w:pos="4153"/>
        <w:tab w:val="right" w:pos="8306"/>
      </w:tabs>
    </w:pPr>
  </w:style>
  <w:style w:type="character" w:customStyle="1" w:styleId="a6">
    <w:name w:val="כותרת תחתונה תו"/>
    <w:link w:val="a5"/>
    <w:rsid w:val="0027030F"/>
    <w:rPr>
      <w:rFonts w:ascii="Times New Roman" w:eastAsia="Times New Roman" w:hAnsi="Times New Roman" w:cs="David"/>
      <w:sz w:val="24"/>
      <w:szCs w:val="24"/>
    </w:rPr>
  </w:style>
  <w:style w:type="table" w:styleId="a7">
    <w:name w:val="Table Grid"/>
    <w:basedOn w:val="a1"/>
    <w:rsid w:val="0027030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7030F"/>
  </w:style>
  <w:style w:type="paragraph" w:customStyle="1" w:styleId="12">
    <w:name w:val="רגיל + ‏12 נק'"/>
    <w:aliases w:val="מיושר לשני הצדדים,מרווח בין שורות:  שורה וחצי"/>
    <w:basedOn w:val="a"/>
    <w:rsid w:val="0027030F"/>
    <w:rPr>
      <w:b/>
      <w:bCs/>
      <w:u w:val="single"/>
    </w:rPr>
  </w:style>
  <w:style w:type="character" w:styleId="Hyperlink">
    <w:name w:val="Hyperlink"/>
    <w:rsid w:val="00CB68C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6" TargetMode="External"/><Relationship Id="rId13" Type="http://schemas.openxmlformats.org/officeDocument/2006/relationships/hyperlink" Target="http://www.nevo.co.il/law/70301/275" TargetMode="External"/><Relationship Id="rId18" Type="http://schemas.openxmlformats.org/officeDocument/2006/relationships/hyperlink" Target="http://www.nevo.co.il/law/70301/400" TargetMode="External"/><Relationship Id="rId26"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hyperlink" Target="http://www.nevo.co.il/case/23827604"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61.a.4" TargetMode="External"/><Relationship Id="rId17" Type="http://schemas.openxmlformats.org/officeDocument/2006/relationships/hyperlink" Target="http://www.nevo.co.il/law/4216/7.a.;7.c" TargetMode="External"/><Relationship Id="rId25" Type="http://schemas.openxmlformats.org/officeDocument/2006/relationships/hyperlink" Target="http://www.nevo.co.il/law/70301" TargetMode="External"/><Relationship Id="rId2" Type="http://schemas.openxmlformats.org/officeDocument/2006/relationships/settings" Target="settings.xml"/><Relationship Id="rId16" Type="http://schemas.openxmlformats.org/officeDocument/2006/relationships/hyperlink" Target="http://www.nevo.co.il/law/4216" TargetMode="External"/><Relationship Id="rId20" Type="http://schemas.openxmlformats.org/officeDocument/2006/relationships/hyperlink" Target="http://www.nevo.co.il/law/70301/275" TargetMode="External"/><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case/29944802" TargetMode="External"/><Relationship Id="rId11" Type="http://schemas.openxmlformats.org/officeDocument/2006/relationships/hyperlink" Target="http://www.nevo.co.il/law/70301" TargetMode="External"/><Relationship Id="rId24" Type="http://schemas.openxmlformats.org/officeDocument/2006/relationships/hyperlink" Target="http://www.nevo.co.il/law/70301"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4216/6" TargetMode="External"/><Relationship Id="rId23" Type="http://schemas.openxmlformats.org/officeDocument/2006/relationships/hyperlink" Target="http://www.nevo.co.il/law/70301/61.a.4" TargetMode="External"/><Relationship Id="rId28" Type="http://schemas.openxmlformats.org/officeDocument/2006/relationships/header" Target="header2.xml"/><Relationship Id="rId10" Type="http://schemas.openxmlformats.org/officeDocument/2006/relationships/hyperlink" Target="http://www.nevo.co.il/law/4216/7.c" TargetMode="External"/><Relationship Id="rId19" Type="http://schemas.openxmlformats.org/officeDocument/2006/relationships/hyperlink" Target="http://www.nevo.co.il/law/70301"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4216/7.a." TargetMode="External"/><Relationship Id="rId14" Type="http://schemas.openxmlformats.org/officeDocument/2006/relationships/hyperlink" Target="http://www.nevo.co.il/law/70301/400" TargetMode="External"/><Relationship Id="rId22" Type="http://schemas.openxmlformats.org/officeDocument/2006/relationships/hyperlink" Target="http://www.nevo.co.il/law/4216/6"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1795</Words>
  <Characters>8977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10751</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7995492</vt:i4>
      </vt:variant>
      <vt:variant>
        <vt:i4>57</vt:i4>
      </vt:variant>
      <vt:variant>
        <vt:i4>0</vt:i4>
      </vt:variant>
      <vt:variant>
        <vt:i4>5</vt:i4>
      </vt:variant>
      <vt:variant>
        <vt:lpwstr>http://www.nevo.co.il/law/70301</vt:lpwstr>
      </vt:variant>
      <vt:variant>
        <vt:lpwstr/>
      </vt:variant>
      <vt:variant>
        <vt:i4>7995492</vt:i4>
      </vt:variant>
      <vt:variant>
        <vt:i4>54</vt:i4>
      </vt:variant>
      <vt:variant>
        <vt:i4>0</vt:i4>
      </vt:variant>
      <vt:variant>
        <vt:i4>5</vt:i4>
      </vt:variant>
      <vt:variant>
        <vt:lpwstr>http://www.nevo.co.il/law/70301</vt:lpwstr>
      </vt:variant>
      <vt:variant>
        <vt:lpwstr/>
      </vt:variant>
      <vt:variant>
        <vt:i4>3211363</vt:i4>
      </vt:variant>
      <vt:variant>
        <vt:i4>51</vt:i4>
      </vt:variant>
      <vt:variant>
        <vt:i4>0</vt:i4>
      </vt:variant>
      <vt:variant>
        <vt:i4>5</vt:i4>
      </vt:variant>
      <vt:variant>
        <vt:lpwstr>http://www.nevo.co.il/law/70301/61.a.4</vt:lpwstr>
      </vt:variant>
      <vt:variant>
        <vt:lpwstr/>
      </vt:variant>
      <vt:variant>
        <vt:i4>4718666</vt:i4>
      </vt:variant>
      <vt:variant>
        <vt:i4>48</vt:i4>
      </vt:variant>
      <vt:variant>
        <vt:i4>0</vt:i4>
      </vt:variant>
      <vt:variant>
        <vt:i4>5</vt:i4>
      </vt:variant>
      <vt:variant>
        <vt:lpwstr>http://www.nevo.co.il/law/4216/6</vt:lpwstr>
      </vt:variant>
      <vt:variant>
        <vt:lpwstr/>
      </vt:variant>
      <vt:variant>
        <vt:i4>3997811</vt:i4>
      </vt:variant>
      <vt:variant>
        <vt:i4>45</vt:i4>
      </vt:variant>
      <vt:variant>
        <vt:i4>0</vt:i4>
      </vt:variant>
      <vt:variant>
        <vt:i4>5</vt:i4>
      </vt:variant>
      <vt:variant>
        <vt:lpwstr>http://www.nevo.co.il/case/23827604</vt:lpwstr>
      </vt:variant>
      <vt:variant>
        <vt:lpwstr/>
      </vt:variant>
      <vt:variant>
        <vt:i4>6422631</vt:i4>
      </vt:variant>
      <vt:variant>
        <vt:i4>42</vt:i4>
      </vt:variant>
      <vt:variant>
        <vt:i4>0</vt:i4>
      </vt:variant>
      <vt:variant>
        <vt:i4>5</vt:i4>
      </vt:variant>
      <vt:variant>
        <vt:lpwstr>http://www.nevo.co.il/law/70301/275</vt:lpwstr>
      </vt:variant>
      <vt:variant>
        <vt:lpwstr/>
      </vt:variant>
      <vt:variant>
        <vt:i4>7995492</vt:i4>
      </vt:variant>
      <vt:variant>
        <vt:i4>39</vt:i4>
      </vt:variant>
      <vt:variant>
        <vt:i4>0</vt:i4>
      </vt:variant>
      <vt:variant>
        <vt:i4>5</vt:i4>
      </vt:variant>
      <vt:variant>
        <vt:lpwstr>http://www.nevo.co.il/law/70301</vt:lpwstr>
      </vt:variant>
      <vt:variant>
        <vt:lpwstr/>
      </vt:variant>
      <vt:variant>
        <vt:i4>6619233</vt:i4>
      </vt:variant>
      <vt:variant>
        <vt:i4>36</vt:i4>
      </vt:variant>
      <vt:variant>
        <vt:i4>0</vt:i4>
      </vt:variant>
      <vt:variant>
        <vt:i4>5</vt:i4>
      </vt:variant>
      <vt:variant>
        <vt:lpwstr>http://www.nevo.co.il/law/70301/400</vt:lpwstr>
      </vt:variant>
      <vt:variant>
        <vt:lpwstr/>
      </vt:variant>
      <vt:variant>
        <vt:i4>3997821</vt:i4>
      </vt:variant>
      <vt:variant>
        <vt:i4>33</vt:i4>
      </vt:variant>
      <vt:variant>
        <vt:i4>0</vt:i4>
      </vt:variant>
      <vt:variant>
        <vt:i4>5</vt:i4>
      </vt:variant>
      <vt:variant>
        <vt:lpwstr>http://www.nevo.co.il/law/4216/7.a.;7.c</vt:lpwstr>
      </vt:variant>
      <vt:variant>
        <vt:lpwstr/>
      </vt:variant>
      <vt:variant>
        <vt:i4>8257637</vt:i4>
      </vt:variant>
      <vt:variant>
        <vt:i4>30</vt:i4>
      </vt:variant>
      <vt:variant>
        <vt:i4>0</vt:i4>
      </vt:variant>
      <vt:variant>
        <vt:i4>5</vt:i4>
      </vt:variant>
      <vt:variant>
        <vt:lpwstr>http://www.nevo.co.il/law/4216</vt:lpwstr>
      </vt:variant>
      <vt:variant>
        <vt:lpwstr/>
      </vt:variant>
      <vt:variant>
        <vt:i4>4718666</vt:i4>
      </vt:variant>
      <vt:variant>
        <vt:i4>27</vt:i4>
      </vt:variant>
      <vt:variant>
        <vt:i4>0</vt:i4>
      </vt:variant>
      <vt:variant>
        <vt:i4>5</vt:i4>
      </vt:variant>
      <vt:variant>
        <vt:lpwstr>http://www.nevo.co.il/law/4216/6</vt:lpwstr>
      </vt:variant>
      <vt:variant>
        <vt:lpwstr/>
      </vt:variant>
      <vt:variant>
        <vt:i4>6619233</vt:i4>
      </vt:variant>
      <vt:variant>
        <vt:i4>24</vt:i4>
      </vt:variant>
      <vt:variant>
        <vt:i4>0</vt:i4>
      </vt:variant>
      <vt:variant>
        <vt:i4>5</vt:i4>
      </vt:variant>
      <vt:variant>
        <vt:lpwstr>http://www.nevo.co.il/law/70301/400</vt:lpwstr>
      </vt:variant>
      <vt:variant>
        <vt:lpwstr/>
      </vt:variant>
      <vt:variant>
        <vt:i4>6422631</vt:i4>
      </vt:variant>
      <vt:variant>
        <vt:i4>21</vt:i4>
      </vt:variant>
      <vt:variant>
        <vt:i4>0</vt:i4>
      </vt:variant>
      <vt:variant>
        <vt:i4>5</vt:i4>
      </vt:variant>
      <vt:variant>
        <vt:lpwstr>http://www.nevo.co.il/law/70301/275</vt:lpwstr>
      </vt:variant>
      <vt:variant>
        <vt:lpwstr/>
      </vt:variant>
      <vt:variant>
        <vt:i4>3211363</vt:i4>
      </vt:variant>
      <vt:variant>
        <vt:i4>18</vt:i4>
      </vt:variant>
      <vt:variant>
        <vt:i4>0</vt:i4>
      </vt:variant>
      <vt:variant>
        <vt:i4>5</vt:i4>
      </vt:variant>
      <vt:variant>
        <vt:lpwstr>http://www.nevo.co.il/law/70301/61.a.4</vt:lpwstr>
      </vt:variant>
      <vt:variant>
        <vt:lpwstr/>
      </vt:variant>
      <vt:variant>
        <vt:i4>7995492</vt:i4>
      </vt:variant>
      <vt:variant>
        <vt:i4>15</vt:i4>
      </vt:variant>
      <vt:variant>
        <vt:i4>0</vt:i4>
      </vt:variant>
      <vt:variant>
        <vt:i4>5</vt:i4>
      </vt:variant>
      <vt:variant>
        <vt:lpwstr>http://www.nevo.co.il/law/70301</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4718666</vt:i4>
      </vt:variant>
      <vt:variant>
        <vt:i4>6</vt:i4>
      </vt:variant>
      <vt:variant>
        <vt:i4>0</vt:i4>
      </vt:variant>
      <vt:variant>
        <vt:i4>5</vt:i4>
      </vt:variant>
      <vt:variant>
        <vt:lpwstr>http://www.nevo.co.il/law/4216/6</vt:lpwstr>
      </vt:variant>
      <vt:variant>
        <vt:lpwstr/>
      </vt:variant>
      <vt:variant>
        <vt:i4>8257637</vt:i4>
      </vt:variant>
      <vt:variant>
        <vt:i4>3</vt:i4>
      </vt:variant>
      <vt:variant>
        <vt:i4>0</vt:i4>
      </vt:variant>
      <vt:variant>
        <vt:i4>5</vt:i4>
      </vt:variant>
      <vt:variant>
        <vt:lpwstr>http://www.nevo.co.il/law/4216</vt:lpwstr>
      </vt:variant>
      <vt:variant>
        <vt:lpwstr/>
      </vt:variant>
      <vt:variant>
        <vt:i4>4128881</vt:i4>
      </vt:variant>
      <vt:variant>
        <vt:i4>0</vt:i4>
      </vt:variant>
      <vt:variant>
        <vt:i4>0</vt:i4>
      </vt:variant>
      <vt:variant>
        <vt:i4>5</vt:i4>
      </vt:variant>
      <vt:variant>
        <vt:lpwstr>http://www.nevo.co.il/case/29944802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2025-04-22T21:30:00Z</dcterms:created>
  <dcterms:modified xsi:type="dcterms:W3CDTF">2025-04-22T21:30:00Z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42114</vt:lpwstr>
  </property>
  <property fmtid="{D5CDD505-2E9C-101B-9397-08002B2CF9AE}" pid="6" name="NEWPARTB">
    <vt:lpwstr>08</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חוסם אלאסד</vt:lpwstr>
  </property>
  <property fmtid="{D5CDD505-2E9C-101B-9397-08002B2CF9AE}" pid="10" name="LAWYER">
    <vt:lpwstr>חיים שויצר;חן בן שטרית</vt:lpwstr>
  </property>
  <property fmtid="{D5CDD505-2E9C-101B-9397-08002B2CF9AE}" pid="11" name="JUDGE">
    <vt:lpwstr>אליהו ביתן</vt:lpwstr>
  </property>
  <property fmtid="{D5CDD505-2E9C-101B-9397-08002B2CF9AE}" pid="12" name="CITY">
    <vt:lpwstr>ב"ש</vt:lpwstr>
  </property>
  <property fmtid="{D5CDD505-2E9C-101B-9397-08002B2CF9AE}" pid="13" name="DATE">
    <vt:lpwstr>20240904</vt:lpwstr>
  </property>
  <property fmtid="{D5CDD505-2E9C-101B-9397-08002B2CF9AE}" pid="14" name="TYPE_N_DATE">
    <vt:lpwstr>39020240904</vt:lpwstr>
  </property>
  <property fmtid="{D5CDD505-2E9C-101B-9397-08002B2CF9AE}" pid="15" name="CASESLISTTMP1">
    <vt:lpwstr>29944802;23827604</vt:lpwstr>
  </property>
  <property fmtid="{D5CDD505-2E9C-101B-9397-08002B2CF9AE}" pid="16" name="WORDNUMPAGES">
    <vt:lpwstr>6</vt:lpwstr>
  </property>
  <property fmtid="{D5CDD505-2E9C-101B-9397-08002B2CF9AE}" pid="17" name="TYPE_ABS_DATE">
    <vt:lpwstr>390020240904</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4216/006:2;007.a;007.c</vt:lpwstr>
  </property>
  <property fmtid="{D5CDD505-2E9C-101B-9397-08002B2CF9AE}" pid="37" name="LAWLISTTMP2">
    <vt:lpwstr>70301/400;275;061.a.4</vt:lpwstr>
  </property>
</Properties>
</file>