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34" w:type="dxa"/>
        <w:jc w:val="center"/>
        <w:tblLook w:val="0000" w:firstRow="0" w:lastRow="0" w:firstColumn="0" w:lastColumn="0" w:noHBand="0" w:noVBand="0"/>
      </w:tblPr>
      <w:tblGrid>
        <w:gridCol w:w="28"/>
        <w:gridCol w:w="2852"/>
        <w:gridCol w:w="2211"/>
        <w:gridCol w:w="3711"/>
        <w:gridCol w:w="19"/>
        <w:gridCol w:w="13"/>
      </w:tblGrid>
      <w:tr w:rsidR="003C18D1" w:rsidRPr="008B2380" w14:paraId="1A2D3023" w14:textId="77777777" w:rsidTr="00D10BA0">
        <w:trPr>
          <w:gridBefore w:val="1"/>
          <w:wBefore w:w="28" w:type="dxa"/>
          <w:trHeight w:hRule="exact" w:val="418"/>
          <w:jc w:val="center"/>
        </w:trPr>
        <w:tc>
          <w:tcPr>
            <w:tcW w:w="8806" w:type="dxa"/>
            <w:gridSpan w:val="5"/>
          </w:tcPr>
          <w:p w14:paraId="0A487E97" w14:textId="77777777" w:rsidR="003C18D1" w:rsidRPr="008B2380" w:rsidRDefault="003C18D1" w:rsidP="00691C84">
            <w:pPr>
              <w:pStyle w:val="a3"/>
              <w:jc w:val="center"/>
              <w:rPr>
                <w:rFonts w:ascii="Tahoma" w:hAnsi="Tahoma"/>
                <w:color w:val="000080"/>
                <w:sz w:val="32"/>
                <w:szCs w:val="32"/>
                <w:rtl/>
              </w:rPr>
            </w:pPr>
            <w:r w:rsidRPr="008B2380">
              <w:rPr>
                <w:rFonts w:ascii="Tahoma" w:hAnsi="Tahoma"/>
                <w:b/>
                <w:bCs/>
                <w:color w:val="000080"/>
                <w:sz w:val="32"/>
                <w:szCs w:val="32"/>
                <w:rtl/>
              </w:rPr>
              <w:t>בית המשפט המחוזי בתל אביב -יפו</w:t>
            </w:r>
          </w:p>
        </w:tc>
      </w:tr>
      <w:tr w:rsidR="003C18D1" w:rsidRPr="008B2380" w14:paraId="1AB3D179" w14:textId="77777777" w:rsidTr="00D10BA0">
        <w:trPr>
          <w:gridBefore w:val="1"/>
          <w:wBefore w:w="28" w:type="dxa"/>
          <w:trHeight w:val="337"/>
          <w:jc w:val="center"/>
        </w:trPr>
        <w:tc>
          <w:tcPr>
            <w:tcW w:w="5063" w:type="dxa"/>
            <w:gridSpan w:val="2"/>
          </w:tcPr>
          <w:p w14:paraId="529C7AEB" w14:textId="77777777" w:rsidR="003C18D1" w:rsidRPr="008B2380" w:rsidRDefault="003C18D1" w:rsidP="00691C84">
            <w:pPr>
              <w:rPr>
                <w:sz w:val="26"/>
                <w:szCs w:val="26"/>
                <w:rtl/>
              </w:rPr>
            </w:pPr>
            <w:r w:rsidRPr="008B2380">
              <w:rPr>
                <w:sz w:val="26"/>
                <w:szCs w:val="26"/>
                <w:rtl/>
              </w:rPr>
              <w:t>ת"פ</w:t>
            </w:r>
            <w:r w:rsidRPr="008B2380">
              <w:rPr>
                <w:rFonts w:hint="cs"/>
                <w:sz w:val="26"/>
                <w:szCs w:val="26"/>
                <w:rtl/>
              </w:rPr>
              <w:t xml:space="preserve"> </w:t>
            </w:r>
            <w:r w:rsidRPr="008B2380">
              <w:rPr>
                <w:sz w:val="26"/>
                <w:szCs w:val="26"/>
                <w:rtl/>
              </w:rPr>
              <w:t>30310-09-23</w:t>
            </w:r>
            <w:r w:rsidRPr="008B2380">
              <w:rPr>
                <w:rFonts w:hint="cs"/>
                <w:sz w:val="26"/>
                <w:szCs w:val="26"/>
                <w:rtl/>
              </w:rPr>
              <w:t xml:space="preserve"> </w:t>
            </w:r>
            <w:r w:rsidRPr="008B2380">
              <w:rPr>
                <w:sz w:val="26"/>
                <w:szCs w:val="26"/>
                <w:rtl/>
              </w:rPr>
              <w:t>מדינת ישראל נ' הרלב(עצור/אסיר בפיקוח) ואח'</w:t>
            </w:r>
          </w:p>
          <w:p w14:paraId="582458CB" w14:textId="77777777" w:rsidR="003C18D1" w:rsidRPr="008B2380" w:rsidRDefault="003C18D1" w:rsidP="00691C84">
            <w:pPr>
              <w:pStyle w:val="a3"/>
              <w:rPr>
                <w:rFonts w:cs="FrankRuehl"/>
                <w:sz w:val="28"/>
                <w:szCs w:val="28"/>
                <w:rtl/>
              </w:rPr>
            </w:pPr>
          </w:p>
        </w:tc>
        <w:tc>
          <w:tcPr>
            <w:tcW w:w="3743" w:type="dxa"/>
            <w:gridSpan w:val="3"/>
          </w:tcPr>
          <w:p w14:paraId="056F5245" w14:textId="77777777" w:rsidR="003C18D1" w:rsidRPr="008B2380" w:rsidRDefault="003C18D1" w:rsidP="00691C84">
            <w:pPr>
              <w:pStyle w:val="a3"/>
              <w:jc w:val="right"/>
              <w:rPr>
                <w:rFonts w:cs="FrankRuehl"/>
                <w:sz w:val="28"/>
                <w:szCs w:val="28"/>
                <w:rtl/>
              </w:rPr>
            </w:pPr>
          </w:p>
        </w:tc>
      </w:tr>
      <w:tr w:rsidR="003C18D1" w:rsidRPr="008B2380" w14:paraId="05152201" w14:textId="77777777" w:rsidTr="00D10BA0">
        <w:tblPrEx>
          <w:jc w:val="left"/>
          <w:tblInd w:w="-28" w:type="dxa"/>
          <w:tblLook w:val="01E0" w:firstRow="1" w:lastRow="1" w:firstColumn="1" w:lastColumn="1" w:noHBand="0" w:noVBand="0"/>
        </w:tblPrEx>
        <w:trPr>
          <w:gridAfter w:val="1"/>
          <w:wAfter w:w="13" w:type="dxa"/>
        </w:trPr>
        <w:tc>
          <w:tcPr>
            <w:tcW w:w="8821" w:type="dxa"/>
            <w:gridSpan w:val="5"/>
            <w:shd w:val="clear" w:color="auto" w:fill="auto"/>
          </w:tcPr>
          <w:p w14:paraId="7F77CF77" w14:textId="77777777" w:rsidR="003C18D1" w:rsidRPr="008B2380" w:rsidRDefault="003C18D1" w:rsidP="00691C84">
            <w:pPr>
              <w:rPr>
                <w:rFonts w:ascii="David" w:hAnsi="David"/>
                <w:b/>
                <w:bCs/>
                <w:rtl/>
              </w:rPr>
            </w:pPr>
            <w:r w:rsidRPr="008B2380">
              <w:rPr>
                <w:rFonts w:hint="cs"/>
                <w:rtl/>
              </w:rPr>
              <w:t xml:space="preserve"> </w:t>
            </w:r>
            <w:r w:rsidRPr="008B2380">
              <w:rPr>
                <w:rFonts w:ascii="David" w:hAnsi="David"/>
                <w:b/>
                <w:bCs/>
                <w:rtl/>
              </w:rPr>
              <w:t>בפני כב' השופט בני שגיא, סגן נשיא</w:t>
            </w:r>
          </w:p>
          <w:p w14:paraId="325F177F" w14:textId="77777777" w:rsidR="003C18D1" w:rsidRPr="008B2380" w:rsidRDefault="003C18D1" w:rsidP="00691C84">
            <w:pPr>
              <w:rPr>
                <w:rFonts w:ascii="David" w:hAnsi="David"/>
                <w:b/>
                <w:bCs/>
                <w:rtl/>
              </w:rPr>
            </w:pPr>
          </w:p>
        </w:tc>
      </w:tr>
      <w:tr w:rsidR="003C18D1" w:rsidRPr="008B2380" w14:paraId="3D24E50E" w14:textId="77777777" w:rsidTr="00D10BA0">
        <w:tblPrEx>
          <w:jc w:val="left"/>
          <w:tblInd w:w="-28" w:type="dxa"/>
          <w:tblLook w:val="01E0" w:firstRow="1" w:lastRow="1" w:firstColumn="1" w:lastColumn="1" w:noHBand="0" w:noVBand="0"/>
        </w:tblPrEx>
        <w:trPr>
          <w:gridAfter w:val="2"/>
          <w:wAfter w:w="32" w:type="dxa"/>
          <w:cantSplit/>
          <w:trHeight w:val="724"/>
        </w:trPr>
        <w:tc>
          <w:tcPr>
            <w:tcW w:w="2880" w:type="dxa"/>
            <w:gridSpan w:val="2"/>
            <w:shd w:val="clear" w:color="auto" w:fill="auto"/>
          </w:tcPr>
          <w:p w14:paraId="16C6430D" w14:textId="77777777" w:rsidR="003C18D1" w:rsidRPr="008B2380" w:rsidRDefault="003C18D1" w:rsidP="003C18D1">
            <w:pPr>
              <w:ind w:left="26"/>
              <w:rPr>
                <w:rFonts w:ascii="David" w:hAnsi="David"/>
                <w:b/>
                <w:bCs/>
                <w:rtl/>
              </w:rPr>
            </w:pPr>
            <w:bookmarkStart w:id="0" w:name="FirstAppellant"/>
            <w:bookmarkStart w:id="1" w:name="LastJudge"/>
            <w:bookmarkEnd w:id="1"/>
          </w:p>
          <w:p w14:paraId="4F071686" w14:textId="77777777" w:rsidR="003C18D1" w:rsidRPr="008B2380" w:rsidRDefault="003C18D1" w:rsidP="003C18D1">
            <w:pPr>
              <w:ind w:left="26"/>
              <w:rPr>
                <w:rFonts w:ascii="David" w:hAnsi="David"/>
                <w:b/>
                <w:bCs/>
                <w:rtl/>
              </w:rPr>
            </w:pPr>
            <w:r w:rsidRPr="008B2380">
              <w:rPr>
                <w:rFonts w:ascii="David" w:hAnsi="David"/>
                <w:b/>
                <w:bCs/>
                <w:rtl/>
              </w:rPr>
              <w:t>המאשימה</w:t>
            </w:r>
          </w:p>
        </w:tc>
        <w:tc>
          <w:tcPr>
            <w:tcW w:w="5922" w:type="dxa"/>
            <w:gridSpan w:val="2"/>
            <w:shd w:val="clear" w:color="auto" w:fill="auto"/>
          </w:tcPr>
          <w:p w14:paraId="5DF7F37C" w14:textId="77777777" w:rsidR="003C18D1" w:rsidRPr="008B2380" w:rsidRDefault="003C18D1" w:rsidP="00691C84">
            <w:pPr>
              <w:rPr>
                <w:rFonts w:ascii="David" w:hAnsi="David"/>
                <w:rtl/>
              </w:rPr>
            </w:pPr>
          </w:p>
          <w:p w14:paraId="0C44CFF7" w14:textId="77777777" w:rsidR="003C18D1" w:rsidRPr="008B2380" w:rsidRDefault="003C18D1" w:rsidP="00691C84">
            <w:pPr>
              <w:rPr>
                <w:rFonts w:ascii="David" w:hAnsi="David"/>
                <w:b/>
                <w:bCs/>
                <w:rtl/>
              </w:rPr>
            </w:pPr>
            <w:r w:rsidRPr="008B2380">
              <w:rPr>
                <w:rFonts w:ascii="David" w:hAnsi="David"/>
                <w:rtl/>
              </w:rPr>
              <w:t xml:space="preserve"> </w:t>
            </w:r>
            <w:r w:rsidRPr="008B2380">
              <w:rPr>
                <w:rFonts w:ascii="David" w:hAnsi="David"/>
                <w:b/>
                <w:bCs/>
                <w:rtl/>
              </w:rPr>
              <w:t>מדינת ישראל</w:t>
            </w:r>
          </w:p>
          <w:p w14:paraId="46EAEA22" w14:textId="77777777" w:rsidR="003C18D1" w:rsidRPr="008B2380" w:rsidRDefault="003C18D1" w:rsidP="00691C84">
            <w:pPr>
              <w:rPr>
                <w:rFonts w:ascii="David" w:hAnsi="David"/>
                <w:b/>
                <w:bCs/>
                <w:rtl/>
              </w:rPr>
            </w:pPr>
          </w:p>
        </w:tc>
      </w:tr>
      <w:bookmarkEnd w:id="0"/>
      <w:tr w:rsidR="003C18D1" w:rsidRPr="008B2380" w14:paraId="6575712A" w14:textId="77777777" w:rsidTr="00D10BA0">
        <w:tblPrEx>
          <w:jc w:val="left"/>
          <w:tblInd w:w="-28" w:type="dxa"/>
          <w:tblLook w:val="01E0" w:firstRow="1" w:lastRow="1" w:firstColumn="1" w:lastColumn="1" w:noHBand="0" w:noVBand="0"/>
        </w:tblPrEx>
        <w:trPr>
          <w:gridAfter w:val="2"/>
          <w:wAfter w:w="32" w:type="dxa"/>
        </w:trPr>
        <w:tc>
          <w:tcPr>
            <w:tcW w:w="8802" w:type="dxa"/>
            <w:gridSpan w:val="4"/>
            <w:shd w:val="clear" w:color="auto" w:fill="auto"/>
            <w:vAlign w:val="center"/>
          </w:tcPr>
          <w:p w14:paraId="4B742799" w14:textId="77777777" w:rsidR="003C18D1" w:rsidRPr="008B2380" w:rsidRDefault="003C18D1" w:rsidP="003C18D1">
            <w:pPr>
              <w:jc w:val="center"/>
              <w:rPr>
                <w:rFonts w:ascii="David" w:hAnsi="David"/>
                <w:b/>
                <w:bCs/>
                <w:rtl/>
              </w:rPr>
            </w:pPr>
          </w:p>
          <w:p w14:paraId="421FE66F" w14:textId="77777777" w:rsidR="003C18D1" w:rsidRPr="008B2380" w:rsidRDefault="003C18D1" w:rsidP="003C18D1">
            <w:pPr>
              <w:jc w:val="center"/>
              <w:rPr>
                <w:rFonts w:ascii="David" w:hAnsi="David"/>
                <w:b/>
                <w:bCs/>
                <w:rtl/>
              </w:rPr>
            </w:pPr>
            <w:r w:rsidRPr="008B2380">
              <w:rPr>
                <w:rFonts w:ascii="David" w:hAnsi="David"/>
                <w:b/>
                <w:bCs/>
                <w:rtl/>
              </w:rPr>
              <w:t>נגד</w:t>
            </w:r>
          </w:p>
          <w:p w14:paraId="5CD7FF99" w14:textId="77777777" w:rsidR="003C18D1" w:rsidRPr="008B2380" w:rsidRDefault="003C18D1" w:rsidP="00691C84">
            <w:pPr>
              <w:rPr>
                <w:rFonts w:ascii="David" w:hAnsi="David"/>
                <w:b/>
                <w:bCs/>
                <w:rtl/>
              </w:rPr>
            </w:pPr>
          </w:p>
        </w:tc>
      </w:tr>
      <w:tr w:rsidR="003C18D1" w:rsidRPr="008B2380" w14:paraId="3A981063" w14:textId="77777777" w:rsidTr="00D10BA0">
        <w:tblPrEx>
          <w:jc w:val="left"/>
          <w:tblInd w:w="-28" w:type="dxa"/>
          <w:tblLook w:val="01E0" w:firstRow="1" w:lastRow="1" w:firstColumn="1" w:lastColumn="1" w:noHBand="0" w:noVBand="0"/>
        </w:tblPrEx>
        <w:trPr>
          <w:gridAfter w:val="2"/>
          <w:wAfter w:w="32" w:type="dxa"/>
        </w:trPr>
        <w:tc>
          <w:tcPr>
            <w:tcW w:w="2880" w:type="dxa"/>
            <w:gridSpan w:val="2"/>
            <w:shd w:val="clear" w:color="auto" w:fill="auto"/>
          </w:tcPr>
          <w:p w14:paraId="65833744" w14:textId="77777777" w:rsidR="003C18D1" w:rsidRPr="008B2380" w:rsidRDefault="003C18D1" w:rsidP="003C18D1">
            <w:pPr>
              <w:ind w:left="26"/>
              <w:rPr>
                <w:rFonts w:ascii="David" w:hAnsi="David"/>
                <w:b/>
                <w:bCs/>
              </w:rPr>
            </w:pPr>
            <w:r w:rsidRPr="008B2380">
              <w:rPr>
                <w:rFonts w:ascii="David" w:hAnsi="David"/>
                <w:b/>
                <w:bCs/>
                <w:rtl/>
              </w:rPr>
              <w:t>הנאשם</w:t>
            </w:r>
          </w:p>
        </w:tc>
        <w:tc>
          <w:tcPr>
            <w:tcW w:w="5922" w:type="dxa"/>
            <w:gridSpan w:val="2"/>
            <w:shd w:val="clear" w:color="auto" w:fill="auto"/>
          </w:tcPr>
          <w:p w14:paraId="75EC11D4" w14:textId="77777777" w:rsidR="003C18D1" w:rsidRPr="008B2380" w:rsidRDefault="003C18D1" w:rsidP="00691C84">
            <w:pPr>
              <w:rPr>
                <w:rFonts w:ascii="David" w:hAnsi="David"/>
                <w:b/>
                <w:bCs/>
                <w:rtl/>
              </w:rPr>
            </w:pPr>
          </w:p>
          <w:p w14:paraId="7C74E1F5" w14:textId="77777777" w:rsidR="003C18D1" w:rsidRPr="008B2380" w:rsidRDefault="003C18D1" w:rsidP="00691C84">
            <w:pPr>
              <w:rPr>
                <w:rFonts w:ascii="David" w:hAnsi="David"/>
                <w:b/>
                <w:bCs/>
                <w:rtl/>
              </w:rPr>
            </w:pPr>
            <w:r w:rsidRPr="008B2380">
              <w:rPr>
                <w:rFonts w:ascii="David" w:hAnsi="David"/>
                <w:rtl/>
              </w:rPr>
              <w:t xml:space="preserve"> </w:t>
            </w:r>
            <w:r w:rsidRPr="008B2380">
              <w:rPr>
                <w:rFonts w:ascii="David" w:hAnsi="David"/>
                <w:b/>
                <w:bCs/>
                <w:rtl/>
              </w:rPr>
              <w:t>יצחק הרלב</w:t>
            </w:r>
            <w:r w:rsidRPr="008B2380">
              <w:rPr>
                <w:rFonts w:ascii="David" w:hAnsi="David"/>
                <w:rtl/>
              </w:rPr>
              <w:t xml:space="preserve"> </w:t>
            </w:r>
            <w:r w:rsidRPr="008B2380">
              <w:rPr>
                <w:rFonts w:ascii="David" w:hAnsi="David"/>
                <w:b/>
                <w:bCs/>
                <w:rtl/>
              </w:rPr>
              <w:t xml:space="preserve">ת"ז  </w:t>
            </w:r>
            <w:r w:rsidR="008B2380">
              <w:rPr>
                <w:rFonts w:ascii="David" w:hAnsi="David"/>
                <w:b/>
                <w:bCs/>
              </w:rPr>
              <w:t>xxxxxxxxxx</w:t>
            </w:r>
          </w:p>
          <w:p w14:paraId="2B0D5C3B" w14:textId="77777777" w:rsidR="003C18D1" w:rsidRPr="008B2380" w:rsidRDefault="003C18D1" w:rsidP="00691C84">
            <w:pPr>
              <w:rPr>
                <w:rFonts w:ascii="David" w:hAnsi="David"/>
                <w:b/>
                <w:bCs/>
                <w:rtl/>
              </w:rPr>
            </w:pPr>
          </w:p>
        </w:tc>
      </w:tr>
    </w:tbl>
    <w:p w14:paraId="76B96E58" w14:textId="77777777" w:rsidR="003C18D1" w:rsidRPr="008B2380" w:rsidRDefault="003C18D1" w:rsidP="003C18D1">
      <w:pPr>
        <w:spacing w:line="360" w:lineRule="auto"/>
        <w:jc w:val="both"/>
        <w:rPr>
          <w:rFonts w:ascii="David" w:hAnsi="David"/>
          <w:b/>
          <w:bCs/>
          <w:rtl/>
        </w:rPr>
      </w:pPr>
      <w:r w:rsidRPr="008B2380">
        <w:rPr>
          <w:rFonts w:ascii="David" w:hAnsi="David"/>
          <w:b/>
          <w:bCs/>
          <w:rtl/>
        </w:rPr>
        <w:t>נוכחים:</w:t>
      </w:r>
    </w:p>
    <w:p w14:paraId="42CB11A4" w14:textId="77777777" w:rsidR="003C18D1" w:rsidRPr="008B2380" w:rsidRDefault="003C18D1" w:rsidP="003C18D1">
      <w:pPr>
        <w:spacing w:line="360" w:lineRule="auto"/>
        <w:jc w:val="both"/>
        <w:rPr>
          <w:rFonts w:ascii="David" w:hAnsi="David"/>
          <w:b/>
          <w:bCs/>
          <w:rtl/>
        </w:rPr>
      </w:pPr>
      <w:bookmarkStart w:id="2" w:name="FirstLawyer"/>
      <w:r w:rsidRPr="008B2380">
        <w:rPr>
          <w:rFonts w:ascii="David" w:hAnsi="David"/>
          <w:b/>
          <w:bCs/>
          <w:rtl/>
        </w:rPr>
        <w:t>ב"כ</w:t>
      </w:r>
      <w:bookmarkEnd w:id="2"/>
      <w:r w:rsidRPr="008B2380">
        <w:rPr>
          <w:rFonts w:ascii="David" w:hAnsi="David"/>
          <w:b/>
          <w:bCs/>
          <w:rtl/>
        </w:rPr>
        <w:t xml:space="preserve"> המאשימה – </w:t>
      </w:r>
      <w:r w:rsidRPr="008B2380">
        <w:rPr>
          <w:rFonts w:ascii="David" w:hAnsi="David" w:hint="cs"/>
          <w:b/>
          <w:bCs/>
          <w:rtl/>
        </w:rPr>
        <w:t>עו"ד דניאל גולדהמר</w:t>
      </w:r>
    </w:p>
    <w:p w14:paraId="03709B2C" w14:textId="77777777" w:rsidR="003C18D1" w:rsidRPr="008B2380" w:rsidRDefault="003C18D1" w:rsidP="003C18D1">
      <w:pPr>
        <w:spacing w:line="360" w:lineRule="auto"/>
        <w:jc w:val="both"/>
        <w:rPr>
          <w:rFonts w:ascii="David" w:hAnsi="David"/>
          <w:b/>
          <w:bCs/>
          <w:rtl/>
        </w:rPr>
      </w:pPr>
      <w:r w:rsidRPr="008B2380">
        <w:rPr>
          <w:rFonts w:ascii="David" w:hAnsi="David"/>
          <w:b/>
          <w:bCs/>
          <w:rtl/>
        </w:rPr>
        <w:t xml:space="preserve">ב"כ </w:t>
      </w:r>
      <w:r w:rsidRPr="008B2380">
        <w:rPr>
          <w:rFonts w:ascii="David" w:hAnsi="David" w:hint="cs"/>
          <w:b/>
          <w:bCs/>
          <w:rtl/>
        </w:rPr>
        <w:t>ה</w:t>
      </w:r>
      <w:r w:rsidRPr="008B2380">
        <w:rPr>
          <w:rFonts w:ascii="David" w:hAnsi="David"/>
          <w:b/>
          <w:bCs/>
          <w:rtl/>
        </w:rPr>
        <w:t xml:space="preserve">נאשם עו"ד </w:t>
      </w:r>
      <w:r w:rsidRPr="008B2380">
        <w:rPr>
          <w:rFonts w:ascii="David" w:hAnsi="David" w:hint="cs"/>
          <w:b/>
          <w:bCs/>
          <w:rtl/>
        </w:rPr>
        <w:t xml:space="preserve">מרינה גלדקי ממשרד עו"ד </w:t>
      </w:r>
      <w:r w:rsidRPr="008B2380">
        <w:rPr>
          <w:rFonts w:ascii="David" w:hAnsi="David"/>
          <w:b/>
          <w:bCs/>
          <w:rtl/>
        </w:rPr>
        <w:t>ירון גיגי</w:t>
      </w:r>
    </w:p>
    <w:p w14:paraId="11FD8B41" w14:textId="77777777" w:rsidR="003C18D1" w:rsidRPr="008B2380" w:rsidRDefault="003C18D1" w:rsidP="003C18D1">
      <w:pPr>
        <w:spacing w:line="360" w:lineRule="auto"/>
        <w:jc w:val="both"/>
        <w:rPr>
          <w:rFonts w:ascii="David" w:hAnsi="David"/>
          <w:b/>
          <w:bCs/>
          <w:rtl/>
        </w:rPr>
      </w:pPr>
      <w:r w:rsidRPr="008B2380">
        <w:rPr>
          <w:rFonts w:ascii="David" w:hAnsi="David" w:hint="cs"/>
          <w:b/>
          <w:bCs/>
          <w:rtl/>
        </w:rPr>
        <w:t>ה</w:t>
      </w:r>
      <w:r w:rsidRPr="008B2380">
        <w:rPr>
          <w:rFonts w:ascii="David" w:hAnsi="David"/>
          <w:b/>
          <w:bCs/>
          <w:rtl/>
        </w:rPr>
        <w:t>נאשם  התייצב</w:t>
      </w:r>
    </w:p>
    <w:p w14:paraId="46D3ECCB" w14:textId="77777777" w:rsidR="003C18D1" w:rsidRPr="008B2380" w:rsidRDefault="003C18D1" w:rsidP="003C18D1">
      <w:pPr>
        <w:rPr>
          <w:rFonts w:ascii="David" w:hAnsi="David"/>
        </w:rPr>
      </w:pPr>
    </w:p>
    <w:p w14:paraId="4B2FF9B8" w14:textId="77777777" w:rsidR="008B2380" w:rsidRPr="008B2380" w:rsidRDefault="008B2380" w:rsidP="003C18D1">
      <w:pPr>
        <w:spacing w:line="360" w:lineRule="auto"/>
        <w:jc w:val="center"/>
        <w:rPr>
          <w:rFonts w:ascii="David" w:hAnsi="David"/>
          <w:b/>
          <w:bCs/>
          <w:rtl/>
        </w:rPr>
      </w:pPr>
    </w:p>
    <w:p w14:paraId="0A8BD6BF" w14:textId="77777777" w:rsidR="008B2380" w:rsidRPr="008B2380" w:rsidRDefault="008B2380" w:rsidP="008B2380">
      <w:pPr>
        <w:spacing w:after="120" w:line="240" w:lineRule="exact"/>
        <w:ind w:left="283" w:hanging="283"/>
        <w:jc w:val="both"/>
        <w:rPr>
          <w:rFonts w:ascii="FrankRuehl" w:hAnsi="FrankRuehl" w:cs="FrankRuehl"/>
          <w:rtl/>
        </w:rPr>
      </w:pPr>
      <w:bookmarkStart w:id="3" w:name="Links_Start"/>
      <w:bookmarkEnd w:id="3"/>
      <w:r w:rsidRPr="008B2380">
        <w:rPr>
          <w:rFonts w:ascii="FrankRuehl" w:hAnsi="FrankRuehl" w:cs="FrankRuehl"/>
          <w:rtl/>
        </w:rPr>
        <w:t>ספרות:</w:t>
      </w:r>
    </w:p>
    <w:p w14:paraId="31BA1B21" w14:textId="77777777" w:rsidR="008B2380" w:rsidRPr="008B2380" w:rsidRDefault="008B2380" w:rsidP="008B2380">
      <w:pPr>
        <w:spacing w:after="120" w:line="240" w:lineRule="exact"/>
        <w:ind w:left="283" w:hanging="283"/>
        <w:jc w:val="both"/>
        <w:rPr>
          <w:rStyle w:val="Hyperlink"/>
          <w:rFonts w:ascii="FrankRuehl" w:hAnsi="FrankRuehl" w:cs="FrankRuehl"/>
          <w:color w:val="0000FF"/>
          <w:u w:val="none"/>
          <w:rtl/>
        </w:rPr>
      </w:pPr>
      <w:r w:rsidRPr="008B2380">
        <w:rPr>
          <w:rFonts w:ascii="FrankRuehl" w:hAnsi="FrankRuehl" w:cs="FrankRuehl"/>
          <w:color w:val="0000FF"/>
          <w:rtl/>
        </w:rPr>
        <w:fldChar w:fldCharType="begin"/>
      </w:r>
      <w:r w:rsidRPr="008B2380">
        <w:rPr>
          <w:rFonts w:ascii="FrankRuehl" w:hAnsi="FrankRuehl" w:cs="FrankRuehl"/>
          <w:color w:val="0000FF"/>
          <w:rtl/>
        </w:rPr>
        <w:instrText xml:space="preserve"> </w:instrText>
      </w:r>
      <w:r w:rsidRPr="008B2380">
        <w:rPr>
          <w:rFonts w:ascii="FrankRuehl" w:hAnsi="FrankRuehl" w:cs="FrankRuehl"/>
          <w:color w:val="0000FF"/>
        </w:rPr>
        <w:instrText xml:space="preserve">HYPERLINK </w:instrText>
      </w:r>
      <w:r w:rsidRPr="008B2380">
        <w:rPr>
          <w:rFonts w:ascii="FrankRuehl" w:hAnsi="FrankRuehl" w:cs="FrankRuehl"/>
          <w:color w:val="0000FF"/>
          <w:rtl/>
        </w:rPr>
        <w:instrText>"</w:instrText>
      </w:r>
      <w:r w:rsidRPr="008B2380">
        <w:rPr>
          <w:rFonts w:ascii="FrankRuehl" w:hAnsi="FrankRuehl" w:cs="FrankRuehl"/>
          <w:color w:val="0000FF"/>
        </w:rPr>
        <w:instrText>http://www.nevo.co.il/safrut/bookgroup/412"</w:instrText>
      </w:r>
      <w:r w:rsidRPr="008B2380">
        <w:rPr>
          <w:rFonts w:ascii="FrankRuehl" w:hAnsi="FrankRuehl" w:cs="FrankRuehl"/>
          <w:color w:val="0000FF"/>
          <w:rtl/>
        </w:rPr>
        <w:instrText xml:space="preserve"> </w:instrText>
      </w:r>
      <w:r w:rsidRPr="008B2380">
        <w:rPr>
          <w:rFonts w:ascii="FrankRuehl" w:hAnsi="FrankRuehl" w:cs="FrankRuehl"/>
          <w:color w:val="0000FF"/>
          <w:rtl/>
        </w:rPr>
      </w:r>
      <w:r w:rsidRPr="008B2380">
        <w:rPr>
          <w:rFonts w:ascii="FrankRuehl" w:hAnsi="FrankRuehl" w:cs="FrankRuehl"/>
          <w:color w:val="0000FF"/>
          <w:rtl/>
        </w:rPr>
        <w:fldChar w:fldCharType="separate"/>
      </w:r>
      <w:r w:rsidRPr="008B2380">
        <w:rPr>
          <w:rStyle w:val="Hyperlink"/>
          <w:rFonts w:ascii="FrankRuehl" w:hAnsi="FrankRuehl" w:cs="FrankRuehl"/>
          <w:color w:val="0000FF"/>
          <w:u w:val="none"/>
          <w:rtl/>
        </w:rPr>
        <w:t xml:space="preserve">ש"ז פלר  </w:t>
      </w:r>
      <w:r w:rsidRPr="008B2380">
        <w:rPr>
          <w:rStyle w:val="Hyperlink"/>
          <w:rFonts w:ascii="FrankRuehl" w:hAnsi="FrankRuehl" w:cs="FrankRuehl"/>
          <w:color w:val="0000FF"/>
          <w:u w:val="none"/>
        </w:rPr>
        <w:t xml:space="preserve"> </w:t>
      </w:r>
      <w:r w:rsidRPr="008B2380">
        <w:rPr>
          <w:rStyle w:val="Hyperlink"/>
          <w:rFonts w:ascii="FrankRuehl" w:hAnsi="FrankRuehl" w:cs="FrankRuehl"/>
          <w:b/>
          <w:bCs/>
          <w:color w:val="0000FF"/>
          <w:u w:val="none"/>
          <w:rtl/>
        </w:rPr>
        <w:t xml:space="preserve">יסודות בדיני עונשין </w:t>
      </w:r>
    </w:p>
    <w:p w14:paraId="4BAF8E3D" w14:textId="77777777" w:rsidR="00D10BA0" w:rsidRPr="00D10BA0" w:rsidRDefault="008B2380" w:rsidP="00D10BA0">
      <w:pPr>
        <w:spacing w:before="120" w:after="120" w:line="240" w:lineRule="exact"/>
        <w:ind w:left="283" w:hanging="283"/>
        <w:jc w:val="both"/>
        <w:rPr>
          <w:rFonts w:ascii="FrankRuehl" w:hAnsi="FrankRuehl" w:cs="FrankRuehl"/>
          <w:color w:val="0000FF"/>
          <w:rtl/>
        </w:rPr>
      </w:pPr>
      <w:r w:rsidRPr="008B2380">
        <w:rPr>
          <w:rFonts w:ascii="FrankRuehl" w:hAnsi="FrankRuehl" w:cs="FrankRuehl"/>
          <w:color w:val="0000FF"/>
          <w:rtl/>
        </w:rPr>
        <w:fldChar w:fldCharType="end"/>
      </w:r>
      <w:bookmarkStart w:id="4" w:name="Links_End"/>
      <w:bookmarkStart w:id="5" w:name="LawTable"/>
      <w:bookmarkEnd w:id="4"/>
      <w:bookmarkEnd w:id="5"/>
    </w:p>
    <w:p w14:paraId="28F09E6A" w14:textId="77777777" w:rsidR="00D10BA0" w:rsidRPr="00D10BA0" w:rsidRDefault="00D10BA0" w:rsidP="00D10BA0">
      <w:pPr>
        <w:spacing w:before="120" w:after="120" w:line="240" w:lineRule="exact"/>
        <w:ind w:left="283" w:hanging="283"/>
        <w:jc w:val="both"/>
        <w:rPr>
          <w:rFonts w:ascii="FrankRuehl" w:hAnsi="FrankRuehl" w:cs="FrankRuehl"/>
          <w:color w:val="0000FF"/>
          <w:rtl/>
        </w:rPr>
      </w:pPr>
      <w:r w:rsidRPr="00D10BA0">
        <w:rPr>
          <w:rFonts w:ascii="FrankRuehl" w:hAnsi="FrankRuehl" w:cs="FrankRuehl"/>
          <w:color w:val="0000FF"/>
          <w:rtl/>
        </w:rPr>
        <w:t xml:space="preserve">חקיקה שאוזכרה: </w:t>
      </w:r>
    </w:p>
    <w:p w14:paraId="31FA23B2" w14:textId="77777777" w:rsidR="00D10BA0" w:rsidRPr="00D10BA0" w:rsidRDefault="00D10BA0" w:rsidP="00D10BA0">
      <w:pPr>
        <w:spacing w:before="120" w:after="120" w:line="240" w:lineRule="exact"/>
        <w:ind w:left="283" w:hanging="283"/>
        <w:jc w:val="both"/>
        <w:rPr>
          <w:rFonts w:ascii="FrankRuehl" w:hAnsi="FrankRuehl" w:cs="FrankRuehl"/>
          <w:color w:val="0000FF"/>
          <w:rtl/>
        </w:rPr>
      </w:pPr>
      <w:hyperlink r:id="rId7" w:history="1">
        <w:r w:rsidRPr="00D10BA0">
          <w:rPr>
            <w:rStyle w:val="Hyperlink"/>
            <w:rFonts w:ascii="FrankRuehl" w:hAnsi="FrankRuehl" w:cs="FrankRuehl"/>
            <w:u w:val="none"/>
            <w:rtl/>
          </w:rPr>
          <w:t>פקודת הסמים המסוכנים [נוסח חדש], תשל"ג-1973</w:t>
        </w:r>
      </w:hyperlink>
      <w:r w:rsidRPr="00D10BA0">
        <w:rPr>
          <w:rFonts w:ascii="FrankRuehl" w:hAnsi="FrankRuehl" w:cs="FrankRuehl"/>
          <w:color w:val="0000FF"/>
          <w:rtl/>
        </w:rPr>
        <w:t xml:space="preserve">: סע'  </w:t>
      </w:r>
      <w:hyperlink r:id="rId8" w:history="1">
        <w:r w:rsidRPr="00D10BA0">
          <w:rPr>
            <w:rStyle w:val="Hyperlink"/>
            <w:rFonts w:ascii="FrankRuehl" w:hAnsi="FrankRuehl" w:cs="FrankRuehl"/>
            <w:u w:val="none"/>
          </w:rPr>
          <w:t>13</w:t>
        </w:r>
      </w:hyperlink>
      <w:r w:rsidRPr="00D10BA0">
        <w:rPr>
          <w:rFonts w:ascii="FrankRuehl" w:hAnsi="FrankRuehl" w:cs="FrankRuehl"/>
          <w:color w:val="0000FF"/>
          <w:rtl/>
        </w:rPr>
        <w:t xml:space="preserve">, </w:t>
      </w:r>
      <w:hyperlink r:id="rId9" w:history="1">
        <w:r w:rsidRPr="00D10BA0">
          <w:rPr>
            <w:rStyle w:val="Hyperlink"/>
            <w:rFonts w:ascii="FrankRuehl" w:hAnsi="FrankRuehl" w:cs="FrankRuehl"/>
            <w:u w:val="none"/>
          </w:rPr>
          <w:t>19</w:t>
        </w:r>
        <w:r w:rsidRPr="00D10BA0">
          <w:rPr>
            <w:rStyle w:val="Hyperlink"/>
            <w:rFonts w:ascii="FrankRuehl" w:hAnsi="FrankRuehl" w:cs="FrankRuehl"/>
            <w:u w:val="none"/>
            <w:rtl/>
          </w:rPr>
          <w:t>א</w:t>
        </w:r>
      </w:hyperlink>
    </w:p>
    <w:p w14:paraId="64383FAD" w14:textId="77777777" w:rsidR="00D10BA0" w:rsidRPr="00D10BA0" w:rsidRDefault="00D10BA0" w:rsidP="00D10BA0">
      <w:pPr>
        <w:spacing w:before="120" w:after="120" w:line="240" w:lineRule="exact"/>
        <w:ind w:left="283" w:hanging="283"/>
        <w:jc w:val="both"/>
        <w:rPr>
          <w:rFonts w:ascii="FrankRuehl" w:hAnsi="FrankRuehl" w:cs="FrankRuehl"/>
          <w:color w:val="0000FF"/>
          <w:rtl/>
        </w:rPr>
      </w:pPr>
      <w:hyperlink r:id="rId10" w:history="1">
        <w:r w:rsidRPr="00D10BA0">
          <w:rPr>
            <w:rStyle w:val="Hyperlink"/>
            <w:rFonts w:ascii="FrankRuehl" w:hAnsi="FrankRuehl" w:cs="FrankRuehl"/>
            <w:u w:val="none"/>
            <w:rtl/>
          </w:rPr>
          <w:t>חוק העונשין, תשל"ז-1977</w:t>
        </w:r>
      </w:hyperlink>
      <w:r w:rsidRPr="00D10BA0">
        <w:rPr>
          <w:rFonts w:ascii="FrankRuehl" w:hAnsi="FrankRuehl" w:cs="FrankRuehl"/>
          <w:color w:val="0000FF"/>
          <w:rtl/>
        </w:rPr>
        <w:t xml:space="preserve">: סע'  </w:t>
      </w:r>
      <w:hyperlink r:id="rId11" w:history="1">
        <w:r w:rsidRPr="00D10BA0">
          <w:rPr>
            <w:rStyle w:val="Hyperlink"/>
            <w:rFonts w:ascii="FrankRuehl" w:hAnsi="FrankRuehl" w:cs="FrankRuehl"/>
            <w:u w:val="none"/>
          </w:rPr>
          <w:t>31</w:t>
        </w:r>
      </w:hyperlink>
      <w:r w:rsidRPr="00D10BA0">
        <w:rPr>
          <w:rFonts w:ascii="FrankRuehl" w:hAnsi="FrankRuehl" w:cs="FrankRuehl"/>
          <w:color w:val="0000FF"/>
          <w:rtl/>
        </w:rPr>
        <w:t xml:space="preserve">, </w:t>
      </w:r>
      <w:hyperlink r:id="rId12" w:history="1">
        <w:r w:rsidRPr="00D10BA0">
          <w:rPr>
            <w:rStyle w:val="Hyperlink"/>
            <w:rFonts w:ascii="FrankRuehl" w:hAnsi="FrankRuehl" w:cs="FrankRuehl"/>
            <w:u w:val="none"/>
          </w:rPr>
          <w:t>40</w:t>
        </w:r>
        <w:r w:rsidRPr="00D10BA0">
          <w:rPr>
            <w:rStyle w:val="Hyperlink"/>
            <w:rFonts w:ascii="FrankRuehl" w:hAnsi="FrankRuehl" w:cs="FrankRuehl"/>
            <w:u w:val="none"/>
            <w:rtl/>
          </w:rPr>
          <w:t>ג</w:t>
        </w:r>
      </w:hyperlink>
      <w:r w:rsidRPr="00D10BA0">
        <w:rPr>
          <w:rFonts w:ascii="FrankRuehl" w:hAnsi="FrankRuehl" w:cs="FrankRuehl"/>
          <w:color w:val="0000FF"/>
          <w:rtl/>
        </w:rPr>
        <w:t>(א)</w:t>
      </w:r>
    </w:p>
    <w:p w14:paraId="5CEFABC9" w14:textId="77777777" w:rsidR="003C18D1" w:rsidRPr="00D10BA0" w:rsidRDefault="003C18D1" w:rsidP="00D10BA0">
      <w:pPr>
        <w:spacing w:after="120" w:line="240" w:lineRule="exact"/>
        <w:ind w:left="283" w:hanging="283"/>
        <w:jc w:val="both"/>
        <w:rPr>
          <w:rFonts w:ascii="David" w:hAnsi="David"/>
          <w:rtl/>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C18D1" w14:paraId="5BD5D1CA" w14:textId="77777777" w:rsidTr="003C18D1">
        <w:trPr>
          <w:trHeight w:val="355"/>
          <w:jc w:val="center"/>
        </w:trPr>
        <w:tc>
          <w:tcPr>
            <w:tcW w:w="8820" w:type="dxa"/>
            <w:tcBorders>
              <w:top w:val="nil"/>
              <w:left w:val="nil"/>
              <w:bottom w:val="nil"/>
              <w:right w:val="nil"/>
            </w:tcBorders>
            <w:shd w:val="clear" w:color="auto" w:fill="auto"/>
          </w:tcPr>
          <w:p w14:paraId="719E12FC" w14:textId="77777777" w:rsidR="008B2380" w:rsidRPr="008B2380" w:rsidRDefault="008B2380" w:rsidP="008B2380">
            <w:pPr>
              <w:jc w:val="center"/>
              <w:rPr>
                <w:rFonts w:ascii="Arial" w:hAnsi="Arial"/>
                <w:b/>
                <w:bCs/>
                <w:sz w:val="28"/>
                <w:szCs w:val="28"/>
                <w:u w:val="single"/>
                <w:rtl/>
              </w:rPr>
            </w:pPr>
            <w:bookmarkStart w:id="7" w:name="PsakDin" w:colFirst="0" w:colLast="0"/>
            <w:r w:rsidRPr="008B2380">
              <w:rPr>
                <w:rFonts w:ascii="Arial" w:hAnsi="Arial"/>
                <w:b/>
                <w:bCs/>
                <w:sz w:val="28"/>
                <w:szCs w:val="28"/>
                <w:u w:val="single"/>
                <w:rtl/>
              </w:rPr>
              <w:t>גזר - דין</w:t>
            </w:r>
          </w:p>
          <w:p w14:paraId="584B4D00" w14:textId="77777777" w:rsidR="003C18D1" w:rsidRPr="008B2380" w:rsidRDefault="003C18D1" w:rsidP="008B2380">
            <w:pPr>
              <w:jc w:val="center"/>
              <w:rPr>
                <w:rFonts w:ascii="Arial" w:hAnsi="Arial"/>
                <w:bCs/>
                <w:sz w:val="28"/>
                <w:szCs w:val="28"/>
                <w:u w:val="single"/>
                <w:rtl/>
              </w:rPr>
            </w:pPr>
          </w:p>
        </w:tc>
      </w:tr>
      <w:bookmarkEnd w:id="7"/>
    </w:tbl>
    <w:p w14:paraId="34DE1597" w14:textId="77777777" w:rsidR="003C18D1" w:rsidRDefault="003C18D1" w:rsidP="003C18D1">
      <w:pPr>
        <w:spacing w:line="360" w:lineRule="auto"/>
        <w:jc w:val="center"/>
        <w:rPr>
          <w:rFonts w:ascii="David" w:hAnsi="David"/>
          <w:b/>
          <w:bCs/>
          <w:rtl/>
        </w:rPr>
      </w:pPr>
    </w:p>
    <w:p w14:paraId="46EF0837" w14:textId="77777777" w:rsidR="003C18D1" w:rsidRDefault="003C18D1" w:rsidP="003C18D1">
      <w:pPr>
        <w:spacing w:line="360" w:lineRule="auto"/>
        <w:jc w:val="both"/>
        <w:rPr>
          <w:rFonts w:ascii="David" w:hAnsi="David"/>
          <w:b/>
          <w:bCs/>
          <w:rtl/>
        </w:rPr>
      </w:pPr>
      <w:r>
        <w:rPr>
          <w:rFonts w:ascii="David" w:hAnsi="David"/>
          <w:b/>
          <w:bCs/>
          <w:rtl/>
        </w:rPr>
        <w:t>הערה מקדימה</w:t>
      </w:r>
    </w:p>
    <w:p w14:paraId="5B1AEEF6" w14:textId="77777777" w:rsidR="003C18D1" w:rsidRDefault="003C18D1" w:rsidP="003C18D1">
      <w:pPr>
        <w:spacing w:line="360" w:lineRule="auto"/>
        <w:jc w:val="both"/>
        <w:rPr>
          <w:rFonts w:ascii="David" w:hAnsi="David"/>
          <w:rtl/>
        </w:rPr>
      </w:pPr>
      <w:bookmarkStart w:id="8" w:name="ABSTRACT_START"/>
      <w:bookmarkEnd w:id="8"/>
      <w:r>
        <w:rPr>
          <w:rFonts w:ascii="David" w:hAnsi="David"/>
          <w:rtl/>
        </w:rPr>
        <w:t>כתב האישום הוגש במקור נגד שני נאשמים. תוך כדי ההליך הוחלט להפריד את המשפטים וגזר ניתן בעניינו של נאשם 2 בלבד.</w:t>
      </w:r>
    </w:p>
    <w:p w14:paraId="334E2A0F" w14:textId="77777777" w:rsidR="003C18D1" w:rsidRDefault="003C18D1" w:rsidP="003C18D1">
      <w:pPr>
        <w:spacing w:line="360" w:lineRule="auto"/>
        <w:jc w:val="both"/>
        <w:rPr>
          <w:rFonts w:ascii="David" w:hAnsi="David"/>
          <w:b/>
          <w:bCs/>
          <w:rtl/>
        </w:rPr>
      </w:pPr>
      <w:r>
        <w:rPr>
          <w:rFonts w:ascii="David" w:hAnsi="David"/>
          <w:b/>
          <w:bCs/>
          <w:rtl/>
        </w:rPr>
        <w:t>כתב האישום המתוקן והסדר הטיעון</w:t>
      </w:r>
    </w:p>
    <w:p w14:paraId="58B0615B" w14:textId="77777777" w:rsidR="003C18D1" w:rsidRDefault="003C18D1" w:rsidP="003C18D1">
      <w:pPr>
        <w:pStyle w:val="ListParagraph"/>
        <w:numPr>
          <w:ilvl w:val="0"/>
          <w:numId w:val="1"/>
        </w:numPr>
        <w:spacing w:line="360" w:lineRule="auto"/>
        <w:ind w:left="368"/>
        <w:jc w:val="both"/>
        <w:rPr>
          <w:rFonts w:ascii="David" w:hAnsi="David" w:cs="David"/>
          <w:sz w:val="24"/>
          <w:szCs w:val="24"/>
          <w:rtl/>
        </w:rPr>
      </w:pPr>
      <w:r>
        <w:rPr>
          <w:rFonts w:ascii="David" w:hAnsi="David" w:cs="David"/>
          <w:sz w:val="24"/>
          <w:szCs w:val="24"/>
          <w:rtl/>
        </w:rPr>
        <w:t xml:space="preserve">נאשם 2, יליד 1956, הורשע על פי הודאתו ובמסגרת הסדר טיעון בכתב אישום מתוקן </w:t>
      </w:r>
      <w:r>
        <w:rPr>
          <w:rFonts w:ascii="David" w:hAnsi="David" w:cs="David"/>
          <w:b/>
          <w:bCs/>
          <w:sz w:val="24"/>
          <w:szCs w:val="24"/>
          <w:rtl/>
        </w:rPr>
        <w:t>בעבירה של סיוע לסחר בסם מסוכן</w:t>
      </w:r>
      <w:r>
        <w:rPr>
          <w:rFonts w:ascii="David" w:hAnsi="David" w:cs="David"/>
          <w:sz w:val="24"/>
          <w:szCs w:val="24"/>
          <w:rtl/>
        </w:rPr>
        <w:t xml:space="preserve">, לפי </w:t>
      </w:r>
      <w:hyperlink r:id="rId13" w:history="1">
        <w:r w:rsidR="00D10BA0" w:rsidRPr="00D10BA0">
          <w:rPr>
            <w:rStyle w:val="Hyperlink"/>
            <w:rFonts w:ascii="David" w:hAnsi="David" w:cs="David"/>
            <w:color w:val="0000FF"/>
            <w:sz w:val="24"/>
            <w:szCs w:val="24"/>
            <w:rtl/>
          </w:rPr>
          <w:t>סעיף 13</w:t>
        </w:r>
      </w:hyperlink>
      <w:r>
        <w:rPr>
          <w:rFonts w:ascii="David" w:hAnsi="David" w:cs="David"/>
          <w:sz w:val="24"/>
          <w:szCs w:val="24"/>
          <w:rtl/>
        </w:rPr>
        <w:t xml:space="preserve">, ביחד עם סעיף </w:t>
      </w:r>
      <w:hyperlink r:id="rId14" w:history="1">
        <w:r w:rsidR="00D10BA0" w:rsidRPr="00D10BA0">
          <w:rPr>
            <w:rStyle w:val="Hyperlink"/>
            <w:rFonts w:ascii="David" w:hAnsi="David" w:cs="David"/>
            <w:color w:val="0000FF"/>
            <w:sz w:val="24"/>
            <w:szCs w:val="24"/>
            <w:rtl/>
          </w:rPr>
          <w:t>19א</w:t>
        </w:r>
      </w:hyperlink>
      <w:r>
        <w:rPr>
          <w:rFonts w:ascii="David" w:hAnsi="David" w:cs="David"/>
          <w:sz w:val="24"/>
          <w:szCs w:val="24"/>
          <w:rtl/>
        </w:rPr>
        <w:t xml:space="preserve"> ל</w:t>
      </w:r>
      <w:hyperlink r:id="rId15" w:history="1">
        <w:r w:rsidR="008B2380" w:rsidRPr="008B2380">
          <w:rPr>
            <w:rFonts w:ascii="David" w:hAnsi="David" w:cs="David"/>
            <w:color w:val="0000FF"/>
            <w:sz w:val="24"/>
            <w:szCs w:val="24"/>
            <w:u w:val="single"/>
            <w:rtl/>
          </w:rPr>
          <w:t>פקודת הסמים המסוכנים</w:t>
        </w:r>
      </w:hyperlink>
      <w:r>
        <w:rPr>
          <w:rFonts w:ascii="David" w:hAnsi="David" w:cs="David"/>
          <w:sz w:val="24"/>
          <w:szCs w:val="24"/>
          <w:rtl/>
        </w:rPr>
        <w:t xml:space="preserve"> ביחד עם </w:t>
      </w:r>
      <w:hyperlink r:id="rId16" w:history="1">
        <w:r w:rsidR="00D10BA0" w:rsidRPr="00D10BA0">
          <w:rPr>
            <w:rStyle w:val="Hyperlink"/>
            <w:rFonts w:ascii="David" w:hAnsi="David" w:cs="David"/>
            <w:color w:val="0000FF"/>
            <w:sz w:val="24"/>
            <w:szCs w:val="24"/>
            <w:rtl/>
          </w:rPr>
          <w:t>סעיף 31</w:t>
        </w:r>
      </w:hyperlink>
      <w:r>
        <w:rPr>
          <w:rFonts w:ascii="David" w:hAnsi="David" w:cs="David"/>
          <w:sz w:val="24"/>
          <w:szCs w:val="24"/>
          <w:rtl/>
        </w:rPr>
        <w:t xml:space="preserve"> ל</w:t>
      </w:r>
      <w:hyperlink r:id="rId17" w:history="1">
        <w:r w:rsidR="008B2380" w:rsidRPr="008B2380">
          <w:rPr>
            <w:rFonts w:ascii="David" w:hAnsi="David" w:cs="David"/>
            <w:color w:val="0000FF"/>
            <w:sz w:val="24"/>
            <w:szCs w:val="24"/>
            <w:u w:val="single"/>
            <w:rtl/>
          </w:rPr>
          <w:t>חוק העונשין</w:t>
        </w:r>
      </w:hyperlink>
      <w:r>
        <w:rPr>
          <w:rFonts w:ascii="David" w:hAnsi="David" w:cs="David"/>
          <w:sz w:val="24"/>
          <w:szCs w:val="24"/>
          <w:rtl/>
        </w:rPr>
        <w:t xml:space="preserve">, תשל"ז-1977. </w:t>
      </w:r>
    </w:p>
    <w:p w14:paraId="0193CD15" w14:textId="77777777" w:rsidR="003C18D1" w:rsidRDefault="003C18D1" w:rsidP="003C18D1">
      <w:pPr>
        <w:pStyle w:val="ListParagraph"/>
        <w:spacing w:line="360" w:lineRule="auto"/>
        <w:ind w:left="368"/>
        <w:jc w:val="both"/>
        <w:rPr>
          <w:rFonts w:ascii="David" w:hAnsi="David" w:cs="David"/>
          <w:sz w:val="24"/>
          <w:szCs w:val="24"/>
        </w:rPr>
      </w:pPr>
      <w:bookmarkStart w:id="9" w:name="ABSTRACT_END"/>
      <w:bookmarkEnd w:id="9"/>
      <w:r>
        <w:rPr>
          <w:rFonts w:ascii="David" w:hAnsi="David" w:cs="David"/>
          <w:sz w:val="24"/>
          <w:szCs w:val="24"/>
          <w:rtl/>
        </w:rPr>
        <w:lastRenderedPageBreak/>
        <w:t xml:space="preserve">על פי עובדות כתב האישום המתוקן, במועדים הרלוונטיים פעל סוכן סמוי בשליחות המשטרה לצורך מיגור תופעת סחר בסמים ופעילותו היתה לבצע עסקאות מבוקרות של סחר באמצעי לחימה ובסמים מסוכנים. בין הסוכן שהופעל לבין נאשם 1 קיימת הכרות מוקדמת.  </w:t>
      </w:r>
    </w:p>
    <w:p w14:paraId="1E2F5D1F" w14:textId="77777777" w:rsidR="003C18D1" w:rsidRDefault="003C18D1" w:rsidP="003C18D1">
      <w:pPr>
        <w:pStyle w:val="ListParagraph"/>
        <w:spacing w:line="360" w:lineRule="auto"/>
        <w:ind w:left="368"/>
        <w:jc w:val="both"/>
        <w:rPr>
          <w:rFonts w:ascii="David" w:hAnsi="David" w:cs="David"/>
          <w:sz w:val="24"/>
          <w:szCs w:val="24"/>
          <w:rtl/>
        </w:rPr>
      </w:pPr>
      <w:r>
        <w:rPr>
          <w:rFonts w:ascii="David" w:hAnsi="David" w:cs="David"/>
          <w:sz w:val="24"/>
          <w:szCs w:val="24"/>
          <w:rtl/>
        </w:rPr>
        <w:t xml:space="preserve">ביום 26.1.23 בשעה 17:53 התקשר נאשם 1 לסוכן ובירר עימו האם הוא מעוניין לרכוש ממנו סמים מסוכנים מסוג </w:t>
      </w:r>
      <w:r>
        <w:rPr>
          <w:rFonts w:ascii="David" w:hAnsi="David" w:cs="David"/>
          <w:sz w:val="24"/>
          <w:szCs w:val="24"/>
        </w:rPr>
        <w:t xml:space="preserve">MDMA </w:t>
      </w:r>
      <w:r>
        <w:rPr>
          <w:rFonts w:ascii="David" w:hAnsi="David" w:cs="David"/>
          <w:sz w:val="24"/>
          <w:szCs w:val="24"/>
          <w:rtl/>
        </w:rPr>
        <w:t xml:space="preserve">. הסוכן השיב לנאשם 1 כי יעדכן אותו במועד מאוחר יותר. ביום 1.2.23 בשעה 15:42, בהוראת מפעיליו, התקשר הסוכן לנאשם 1 ובירר עימו אפשרות לרכוש ממנו 500 גרם של סם מסוכן מסוג </w:t>
      </w:r>
      <w:r>
        <w:rPr>
          <w:rFonts w:ascii="David" w:hAnsi="David" w:cs="David"/>
          <w:sz w:val="24"/>
          <w:szCs w:val="24"/>
        </w:rPr>
        <w:t>MDMA</w:t>
      </w:r>
      <w:r>
        <w:rPr>
          <w:rFonts w:ascii="David" w:hAnsi="David" w:cs="David"/>
          <w:sz w:val="24"/>
          <w:szCs w:val="24"/>
          <w:rtl/>
        </w:rPr>
        <w:t xml:space="preserve"> במחיר של 30,000 ₪. נאשם 1 אישר את הדברים. </w:t>
      </w:r>
    </w:p>
    <w:p w14:paraId="1A143479" w14:textId="77777777" w:rsidR="003C18D1" w:rsidRDefault="003C18D1" w:rsidP="003C18D1">
      <w:pPr>
        <w:pStyle w:val="ListParagraph"/>
        <w:spacing w:line="360" w:lineRule="auto"/>
        <w:ind w:left="368"/>
        <w:jc w:val="both"/>
        <w:rPr>
          <w:rFonts w:ascii="David" w:hAnsi="David" w:cs="David"/>
          <w:sz w:val="24"/>
          <w:szCs w:val="24"/>
          <w:rtl/>
        </w:rPr>
      </w:pPr>
      <w:r>
        <w:rPr>
          <w:rFonts w:ascii="David" w:hAnsi="David" w:cs="David"/>
          <w:sz w:val="24"/>
          <w:szCs w:val="24"/>
          <w:rtl/>
        </w:rPr>
        <w:t xml:space="preserve">במהלך יום 2.2.23 תיאמו הנאשם והסוכן כי עסקת הסמים תתבצע ברחוב הנמל בתל אביב באותו היום בשעות הערב. בשעה 20:23 הגיע הסוכן למקום המפגש. בשעה 20:25 הגיע נאשם 2 בנהיגה במונית מסוג טויוטה קורולה למקום המפגש בתיאום עם נאשם 1. נאשם 2 עצר את המונית בסמוך לסוכן שהיה במקום המפגש. הסוכן פנה אל נאשם 2 ושאל אותו "האם הוא החבר של החבר מאשדוד". לאחר אישורו של נאשם 2 נכנס הסוכן אל המונית והתיישב במושב הקדמי לצד נאשם 2. נאשם 2 הוציא מתחת למושב הנהג שקית שהכילה סמים מסוכנים מסוג </w:t>
      </w:r>
      <w:r>
        <w:rPr>
          <w:rFonts w:ascii="David" w:hAnsi="David" w:cs="David"/>
          <w:sz w:val="24"/>
          <w:szCs w:val="24"/>
        </w:rPr>
        <w:t>MDMA</w:t>
      </w:r>
      <w:r>
        <w:rPr>
          <w:rFonts w:ascii="David" w:hAnsi="David" w:cs="David"/>
          <w:sz w:val="24"/>
          <w:szCs w:val="24"/>
          <w:rtl/>
        </w:rPr>
        <w:t xml:space="preserve"> במשקל של 499.42 גרם נטו ומסר אותם לסוכן. נאשם 2 עשה כן תוך שהוא עוצם את עיניו בכל הנוגע לתכולת השקית ומבלי שידע באופן מדויק את סוג הסם ומשקלו. בתמורה לכך העביר הסוכן לנאשם 2 סך של 30,000 ₪ שאותם העביר נאשם 2 לנאשם 1. </w:t>
      </w:r>
    </w:p>
    <w:p w14:paraId="142DCC81" w14:textId="77777777" w:rsidR="003C18D1" w:rsidRDefault="003C18D1" w:rsidP="003C18D1">
      <w:pPr>
        <w:pStyle w:val="ListParagraph"/>
        <w:numPr>
          <w:ilvl w:val="0"/>
          <w:numId w:val="1"/>
        </w:numPr>
        <w:spacing w:line="360" w:lineRule="auto"/>
        <w:ind w:left="368"/>
        <w:jc w:val="both"/>
        <w:rPr>
          <w:rFonts w:ascii="David" w:hAnsi="David" w:cs="David"/>
          <w:sz w:val="24"/>
          <w:szCs w:val="24"/>
          <w:rtl/>
        </w:rPr>
      </w:pPr>
      <w:r>
        <w:rPr>
          <w:rFonts w:ascii="David" w:hAnsi="David" w:cs="David"/>
          <w:sz w:val="24"/>
          <w:szCs w:val="24"/>
          <w:rtl/>
        </w:rPr>
        <w:t xml:space="preserve">הוסכם כי קודם טיעונים לעונש יופנה הנאשם לשירות המבחן לעריכת תסקיר וכן לחוות דעת הממונה על עבודות שירות. כן הוסכם כי התביעה תגביל את עתירתה העונשית ל-9 חודשי מאסר וההגנה רשאית לטעון לתקופה קצרה יותר אולם לא תהיה רשאית לטעון להסתפקות בימי מעצרו. אם הנאשם ימצא מתאים לעבודות שירות תטען המאשימה לריצוין בדרך זו. אם לא ימצא מתאים, ירצה את המאסר מאחורי סורג ובריח. כל צד יוכל לטעון לגבי משך התקפה לריצוי העונש. במסגרת ההסדר סוכם כי הצדדים יטענו במשותף לגזור על הנאשם קנס בסך 8,000 ₪, חילוט 8,260 ₪ והחזרת הרכב שנתפס.  הצדדים הותירו את משך המאסר המותנה לשיקול דעת בית המשפט. </w:t>
      </w:r>
    </w:p>
    <w:p w14:paraId="3C0B3815" w14:textId="77777777" w:rsidR="003C18D1" w:rsidRDefault="003C18D1" w:rsidP="003C18D1">
      <w:pPr>
        <w:pStyle w:val="ListParagraph"/>
        <w:numPr>
          <w:ilvl w:val="0"/>
          <w:numId w:val="1"/>
        </w:numPr>
        <w:spacing w:line="360" w:lineRule="auto"/>
        <w:ind w:left="368"/>
        <w:jc w:val="both"/>
        <w:rPr>
          <w:rFonts w:ascii="David" w:hAnsi="David" w:cs="David"/>
          <w:sz w:val="24"/>
          <w:szCs w:val="24"/>
        </w:rPr>
      </w:pPr>
      <w:r>
        <w:rPr>
          <w:rFonts w:ascii="David" w:hAnsi="David" w:cs="David"/>
          <w:sz w:val="24"/>
          <w:szCs w:val="24"/>
          <w:rtl/>
        </w:rPr>
        <w:t xml:space="preserve">לשם השלמות ייאמר כי נאשם 1 הודה גם הוא במסגרת הסדר טיעון בכתב אישום מתוקן בעבירות של אספקת סם מסוכן ובשתי עבירות סחר בסם מסוכן מסוג </w:t>
      </w:r>
      <w:r>
        <w:rPr>
          <w:rFonts w:ascii="David" w:hAnsi="David" w:cs="David"/>
          <w:sz w:val="24"/>
          <w:szCs w:val="24"/>
        </w:rPr>
        <w:t>MDMA</w:t>
      </w:r>
      <w:r>
        <w:rPr>
          <w:rFonts w:ascii="David" w:hAnsi="David" w:cs="David"/>
          <w:sz w:val="24"/>
          <w:szCs w:val="24"/>
          <w:rtl/>
        </w:rPr>
        <w:t xml:space="preserve"> במשקל כולל של 1 ק"ג נטו תמורת 98,000 ש"ח. הצדדים עתרו במשותף לגזור על הנאשם 5.5 שנות מאסר, שמתוכן 24 חודשי מאסר ירוצו במצטבר לעונש שהוא מרצה כיום. כן הוסכם כי יושת עליו קנס בסך 120,000 ₪. נכון להיום עדיין לא נשמעו טיעונים לעונש. </w:t>
      </w:r>
    </w:p>
    <w:p w14:paraId="15735D34" w14:textId="77777777" w:rsidR="003C18D1" w:rsidRDefault="003C18D1" w:rsidP="003C18D1">
      <w:pPr>
        <w:pStyle w:val="ListParagraph"/>
        <w:numPr>
          <w:ilvl w:val="0"/>
          <w:numId w:val="1"/>
        </w:numPr>
        <w:spacing w:line="360" w:lineRule="auto"/>
        <w:ind w:left="368"/>
        <w:jc w:val="both"/>
        <w:rPr>
          <w:rFonts w:ascii="David" w:hAnsi="David" w:cs="David"/>
          <w:sz w:val="24"/>
          <w:szCs w:val="24"/>
        </w:rPr>
      </w:pPr>
      <w:r>
        <w:rPr>
          <w:rFonts w:ascii="David" w:hAnsi="David" w:cs="David"/>
          <w:sz w:val="24"/>
          <w:szCs w:val="24"/>
          <w:rtl/>
        </w:rPr>
        <w:t>עוד ייאמר כי ניתנו גזרי דין לנאשמים נוספים במסגרת אותה פרשת סוכן ואתייחס אליהם בהמשך בפרק אחידות הענישה.</w:t>
      </w:r>
    </w:p>
    <w:p w14:paraId="05CB4E57" w14:textId="77777777" w:rsidR="003C18D1" w:rsidRDefault="003C18D1" w:rsidP="003C18D1">
      <w:pPr>
        <w:spacing w:line="360" w:lineRule="auto"/>
        <w:jc w:val="both"/>
        <w:rPr>
          <w:rFonts w:ascii="David" w:hAnsi="David"/>
          <w:b/>
          <w:bCs/>
          <w:rtl/>
        </w:rPr>
      </w:pPr>
      <w:r>
        <w:rPr>
          <w:rFonts w:ascii="David" w:hAnsi="David"/>
          <w:b/>
          <w:bCs/>
          <w:rtl/>
        </w:rPr>
        <w:t>תסקיר שירות המבחן וחוו"ד הממונה על עבודות השירות</w:t>
      </w:r>
    </w:p>
    <w:p w14:paraId="638906CB" w14:textId="77777777" w:rsidR="003C18D1" w:rsidRDefault="003C18D1" w:rsidP="003C18D1">
      <w:pPr>
        <w:pStyle w:val="ListParagraph"/>
        <w:numPr>
          <w:ilvl w:val="0"/>
          <w:numId w:val="1"/>
        </w:numPr>
        <w:spacing w:line="360" w:lineRule="auto"/>
        <w:ind w:left="368"/>
        <w:jc w:val="both"/>
        <w:rPr>
          <w:rFonts w:ascii="David" w:hAnsi="David" w:cs="David"/>
          <w:sz w:val="24"/>
          <w:szCs w:val="24"/>
          <w:rtl/>
        </w:rPr>
      </w:pPr>
      <w:r>
        <w:rPr>
          <w:rFonts w:ascii="David" w:hAnsi="David" w:cs="David"/>
          <w:sz w:val="24"/>
          <w:szCs w:val="24"/>
          <w:u w:val="single"/>
          <w:rtl/>
        </w:rPr>
        <w:t>בתסקיר מיום 3.2.25</w:t>
      </w:r>
      <w:r>
        <w:rPr>
          <w:rFonts w:ascii="David" w:hAnsi="David" w:cs="David"/>
          <w:sz w:val="24"/>
          <w:szCs w:val="24"/>
          <w:rtl/>
        </w:rPr>
        <w:t xml:space="preserve"> התייחס שירות המבחן למכלול נסיבותיו האישיות של הנאשם, בן 68 נשוי ואב לשלושה ילדים ועובד כנהג מונית. הנאשם עלה לארץ מרומניה בגיל 8, חווה קשיי הסתגלות והשלים 9 שנות לימוד. שירת שירות מלא בצבא ולאחר שחרורו השלים תעודת בגרות ועבד </w:t>
      </w:r>
      <w:r>
        <w:rPr>
          <w:rFonts w:ascii="David" w:hAnsi="David" w:cs="David"/>
          <w:sz w:val="24"/>
          <w:szCs w:val="24"/>
          <w:rtl/>
        </w:rPr>
        <w:lastRenderedPageBreak/>
        <w:t xml:space="preserve">כמנופאי בנמל אשדוד. הנאשם תיאר מערכת יחסים קרובה ותומכת עם אשתו ועם בני משפחתו. </w:t>
      </w:r>
    </w:p>
    <w:p w14:paraId="1AD67383" w14:textId="77777777" w:rsidR="003C18D1" w:rsidRDefault="003C18D1" w:rsidP="003C18D1">
      <w:pPr>
        <w:pStyle w:val="ListParagraph"/>
        <w:spacing w:line="360" w:lineRule="auto"/>
        <w:ind w:left="368"/>
        <w:jc w:val="both"/>
        <w:rPr>
          <w:rFonts w:ascii="David" w:hAnsi="David" w:cs="David"/>
          <w:sz w:val="24"/>
          <w:szCs w:val="24"/>
        </w:rPr>
      </w:pPr>
      <w:r>
        <w:rPr>
          <w:rFonts w:ascii="David" w:hAnsi="David" w:cs="David"/>
          <w:sz w:val="24"/>
          <w:szCs w:val="24"/>
          <w:rtl/>
        </w:rPr>
        <w:t xml:space="preserve">לנאשם הרשעה אחת קודמת בעבירות מרמה. הנאשם שלל שימוש בסמים ובדיקה שמסר לשירות המבחן נמצאה נקיה משרידי סם. </w:t>
      </w:r>
    </w:p>
    <w:p w14:paraId="301A334B" w14:textId="77777777" w:rsidR="003C18D1" w:rsidRDefault="003C18D1" w:rsidP="003C18D1">
      <w:pPr>
        <w:pStyle w:val="ListParagraph"/>
        <w:spacing w:line="360" w:lineRule="auto"/>
        <w:ind w:left="368"/>
        <w:jc w:val="both"/>
        <w:rPr>
          <w:rFonts w:ascii="David" w:hAnsi="David" w:cs="David"/>
          <w:sz w:val="24"/>
          <w:szCs w:val="24"/>
          <w:rtl/>
        </w:rPr>
      </w:pPr>
      <w:r>
        <w:rPr>
          <w:rFonts w:ascii="David" w:hAnsi="David" w:cs="David"/>
          <w:sz w:val="24"/>
          <w:szCs w:val="24"/>
          <w:rtl/>
        </w:rPr>
        <w:t xml:space="preserve">ביחס לביצוע העבירה, סיפר הנאשם על הכרות חברית ועסקית שיש לו עם נאשם 1. הנאשם התקשה להתייחס בהרחבה למעשים ונטה לצמצם מהתנהלותו והתקשה לבחון התנהגותו באופן ביקורתי. הנאשם נטה לייחס לנאשם 1 את האחריות למעורבותו שלו בפלילים. במהלך האבחון התמקד הנאשם בהצגת תדמית חיובית ותפקוד נורמטיבי תקין ובלט קושי להעמיק בדפוסים בעייתיים בהתנהלותו. בין גורמי סיכוי לשיקום נמנו כוחותיו התפקודיים בתחום המשפחה והתעסוקה. בין גורמי סיכון נמנו חומרת העבירה, קשיים לשלוט בדחפיו, המנעות מהתבוננות מעמיקה בבחירותיו וקשרים שוליים שיצר בשנים האחרונות. בנוסף התייחס שירות המבחן לחשיבה לטווח קצר ולחצים שהתקשה להתמודד איתם בדרך נורמטיבית. הנאשם שלל נזקקות טיפולית ועל כן לא נפתח פתח להתערבות שירות המבחן. לסיכום הומלץ לגזור עליו ענישה קונקרטית ומציבת גבול בדמות מאסר בעבודות שירות לצד קנס. </w:t>
      </w:r>
    </w:p>
    <w:p w14:paraId="782EA1C1" w14:textId="77777777" w:rsidR="003C18D1" w:rsidRDefault="003C18D1" w:rsidP="003C18D1">
      <w:pPr>
        <w:pStyle w:val="ListParagraph"/>
        <w:numPr>
          <w:ilvl w:val="0"/>
          <w:numId w:val="1"/>
        </w:numPr>
        <w:spacing w:line="360" w:lineRule="auto"/>
        <w:ind w:left="368"/>
        <w:jc w:val="both"/>
        <w:rPr>
          <w:rFonts w:ascii="David" w:hAnsi="David" w:cs="David"/>
          <w:sz w:val="24"/>
          <w:szCs w:val="24"/>
        </w:rPr>
      </w:pPr>
      <w:r>
        <w:rPr>
          <w:rFonts w:ascii="David" w:hAnsi="David" w:cs="David"/>
          <w:sz w:val="24"/>
          <w:szCs w:val="24"/>
          <w:u w:val="single"/>
          <w:rtl/>
        </w:rPr>
        <w:t>חוו"ד ממונה מיום 16.1.25</w:t>
      </w:r>
      <w:r>
        <w:rPr>
          <w:rFonts w:ascii="David" w:hAnsi="David" w:cs="David"/>
          <w:sz w:val="24"/>
          <w:szCs w:val="24"/>
          <w:rtl/>
        </w:rPr>
        <w:t xml:space="preserve"> מצאה את הנאשם כשיר לריצוי מאסר בדרך של עבודות שירות. </w:t>
      </w:r>
    </w:p>
    <w:p w14:paraId="30005D54" w14:textId="77777777" w:rsidR="003C18D1" w:rsidRDefault="003C18D1" w:rsidP="003C18D1">
      <w:pPr>
        <w:spacing w:line="360" w:lineRule="auto"/>
        <w:jc w:val="both"/>
        <w:rPr>
          <w:rFonts w:ascii="David" w:hAnsi="David"/>
          <w:b/>
          <w:bCs/>
          <w:rtl/>
        </w:rPr>
      </w:pPr>
    </w:p>
    <w:p w14:paraId="19092EDE" w14:textId="77777777" w:rsidR="003C18D1" w:rsidRDefault="003C18D1" w:rsidP="003C18D1">
      <w:pPr>
        <w:spacing w:line="360" w:lineRule="auto"/>
        <w:jc w:val="both"/>
        <w:rPr>
          <w:rFonts w:ascii="David" w:hAnsi="David"/>
          <w:b/>
          <w:bCs/>
          <w:rtl/>
        </w:rPr>
      </w:pPr>
      <w:r>
        <w:rPr>
          <w:rFonts w:ascii="David" w:hAnsi="David"/>
          <w:b/>
          <w:bCs/>
          <w:rtl/>
        </w:rPr>
        <w:t>טיעוני הצדדים</w:t>
      </w:r>
    </w:p>
    <w:p w14:paraId="1057BBD7" w14:textId="77777777" w:rsidR="003C18D1" w:rsidRDefault="003C18D1" w:rsidP="003C18D1">
      <w:pPr>
        <w:pStyle w:val="ListParagraph"/>
        <w:numPr>
          <w:ilvl w:val="0"/>
          <w:numId w:val="1"/>
        </w:numPr>
        <w:spacing w:line="360" w:lineRule="auto"/>
        <w:ind w:left="368"/>
        <w:jc w:val="both"/>
        <w:rPr>
          <w:rFonts w:ascii="David" w:hAnsi="David" w:cs="David"/>
          <w:sz w:val="24"/>
          <w:szCs w:val="24"/>
          <w:rtl/>
        </w:rPr>
      </w:pPr>
      <w:r>
        <w:rPr>
          <w:rFonts w:ascii="David" w:hAnsi="David" w:cs="David"/>
          <w:b/>
          <w:bCs/>
          <w:sz w:val="24"/>
          <w:szCs w:val="24"/>
          <w:rtl/>
        </w:rPr>
        <w:t xml:space="preserve">ב"כ המאשימה </w:t>
      </w:r>
      <w:r>
        <w:rPr>
          <w:rFonts w:ascii="David" w:hAnsi="David" w:cs="David"/>
          <w:sz w:val="24"/>
          <w:szCs w:val="24"/>
          <w:rtl/>
        </w:rPr>
        <w:t>הגישה את גיליון הרשעותיו של הנאשם (ת/1) וציינה בפתח טיעוניה כי הנאשם נותן את הדין במסגרת פרשת סוכן שבגינה הוגשו תשעה כתבי אישום נגד 27 נאשמים. התובעת הגישה לעיון בית המשפט את גזרי הדין שניתנו לנאשמים אחרים בפרשה, תוך שהדגישה כי על נאשמים שחלקם דומה לנאשם נגזרו עונשים חמורים משמעותית בהשוואה לטווח הענישה המוסכם לגבי הנאשם. ב"כ המאשימה התייחסה לערכים המוגנים שנפגעו ומנגד הסבירה כי נתנה משקל של ממש לנסיבותיו האישיות של הנאשם ולמצבו הבריאותי. לטענת המאשימה באיזון בין כלל השיקולים אין מקום להקלה נוספת שמשמעה מאסר לתקופה שפחותה מתשעה חודשים בעבודות שירות. הדברים נכונים במיוחד בשים לב לאמור בתסקיר שירות המבחן ממנו עולה שהנאשם לא מפנים את חומרת מעשיו והתנהלותו ושולל כיוון טיפולי. המאשימה ביקשה לגזור על הנאשם 9 חודשי מאסר בפועל שירוצו בעבודות שירות בנוסף לענישה המוסכמת בהסדר.</w:t>
      </w:r>
    </w:p>
    <w:p w14:paraId="10CDDBA2" w14:textId="77777777" w:rsidR="003C18D1" w:rsidRDefault="003C18D1" w:rsidP="003C18D1">
      <w:pPr>
        <w:pStyle w:val="ListParagraph"/>
        <w:numPr>
          <w:ilvl w:val="0"/>
          <w:numId w:val="1"/>
        </w:numPr>
        <w:spacing w:line="360" w:lineRule="auto"/>
        <w:ind w:left="368"/>
        <w:jc w:val="both"/>
        <w:rPr>
          <w:rFonts w:ascii="David" w:hAnsi="David" w:cs="David"/>
          <w:b/>
          <w:bCs/>
          <w:sz w:val="24"/>
          <w:szCs w:val="24"/>
        </w:rPr>
      </w:pPr>
      <w:r>
        <w:rPr>
          <w:rFonts w:ascii="David" w:hAnsi="David" w:cs="David"/>
          <w:b/>
          <w:bCs/>
          <w:sz w:val="24"/>
          <w:szCs w:val="24"/>
          <w:rtl/>
        </w:rPr>
        <w:t xml:space="preserve">ב"כ הנאשם </w:t>
      </w:r>
      <w:r>
        <w:rPr>
          <w:rFonts w:ascii="David" w:hAnsi="David" w:cs="David"/>
          <w:sz w:val="24"/>
          <w:szCs w:val="24"/>
          <w:rtl/>
        </w:rPr>
        <w:t xml:space="preserve">התייחס לחלקו המזערי של הנאשם בפרשה ולתיקון כתב האישום לקולה, במיוחד בכל הקשור ליסוד הנפשי של הנאשם היינו עצימת עיניים מבלי שהיה מודע בפועל לסוג הסם ולכמות. הסנגור הדגיש כי הנאשם לא היה יעד בין יעדי הסוכן וכי נקלע לעבירה בשל חברותו עם נאשם 1 ששלח אותו לבצע שליחות עבורו. כן הוסיף הסנגור טען שעמדת המאשימה לעונש במקרה זה נגזרה משיקולים ראייתיים. הסנגור ביקש ליתן משקל משמעותי לקולה לנסיבותיו הבריאותיות של הנאשם, בן 68 שסבל מגידולים במעיים ועבר מספר ניתוחים (כעולה מהמסמכים הרפואיים (נ/1). בנוסף לכך הנאשם מסייע לאשתו שהיא מתמודדת נפש במצב קשה. הסתבכות הנאשם בתיק זה חריגה מאוד לתפקודו הנורמטיבי לאורך השנים. הרשעתו הקודמת איננה רלוונטית והסתיימה בענישה בלתי משמעותית של מאסר מותנה. הנאשם שירת שירות מלא בצה"ל ועבד בנמל אשדוד 34 שנים עד שפוטר בגלל מעורבותו בפרשה. בעקבות זאת מצבו הכלכלי התדרדר ונפתחו נגדו תיקים בהוצל"פ. עוד ביקש הסנגור ליתן משקל להודאת הנאשם כבר בהזדמנות הראשונה ולתקופת מעצרו ממש ומעצרו באיזוק אלקטרוני במשך כחצי שנה. בנסיבות אלה ובשים לב לנזק שנגרם לנאשם עד כה ושעתיד להיגרם לו כתוצאה מהסתבכותו בתיק זה, ביקש הסנגור להסתפק במאסר בפועל בן חודש אותו ירצה הנאשם בעבודות שירות. </w:t>
      </w:r>
    </w:p>
    <w:p w14:paraId="446F95FE" w14:textId="77777777" w:rsidR="003C18D1" w:rsidRDefault="003C18D1" w:rsidP="003C18D1">
      <w:pPr>
        <w:pStyle w:val="ListParagraph"/>
        <w:numPr>
          <w:ilvl w:val="0"/>
          <w:numId w:val="1"/>
        </w:numPr>
        <w:spacing w:line="360" w:lineRule="auto"/>
        <w:ind w:left="368"/>
        <w:jc w:val="both"/>
        <w:rPr>
          <w:rFonts w:ascii="David" w:hAnsi="David" w:cs="David"/>
          <w:sz w:val="24"/>
          <w:szCs w:val="24"/>
        </w:rPr>
      </w:pPr>
      <w:r>
        <w:rPr>
          <w:rFonts w:ascii="David" w:hAnsi="David" w:cs="David"/>
          <w:b/>
          <w:bCs/>
          <w:sz w:val="24"/>
          <w:szCs w:val="24"/>
          <w:rtl/>
        </w:rPr>
        <w:t xml:space="preserve">הנאשם </w:t>
      </w:r>
      <w:r>
        <w:rPr>
          <w:rFonts w:ascii="David" w:hAnsi="David" w:cs="David"/>
          <w:sz w:val="24"/>
          <w:szCs w:val="24"/>
          <w:rtl/>
        </w:rPr>
        <w:t xml:space="preserve">הביע צער על מעורבותו בביצוע העבירה שאותה עבר ללא כל תכנון מקדים. הנאשם הדגיש את תפקודו הנורמטיבי לאורך השנים וביקש שלא להחמיר עמו בשים לב למחירים הכלכליים והבריאותיים ששילם עד כה בשל הפרשה. </w:t>
      </w:r>
    </w:p>
    <w:p w14:paraId="07D9F756" w14:textId="77777777" w:rsidR="003C18D1" w:rsidRDefault="003C18D1" w:rsidP="003C18D1">
      <w:pPr>
        <w:spacing w:line="360" w:lineRule="auto"/>
        <w:jc w:val="both"/>
        <w:rPr>
          <w:rFonts w:ascii="David" w:hAnsi="David"/>
          <w:b/>
          <w:bCs/>
        </w:rPr>
      </w:pPr>
      <w:r>
        <w:rPr>
          <w:rFonts w:ascii="David" w:hAnsi="David"/>
          <w:b/>
          <w:bCs/>
          <w:rtl/>
        </w:rPr>
        <w:t xml:space="preserve">דיון והכרעה </w:t>
      </w:r>
    </w:p>
    <w:p w14:paraId="4FF24B59" w14:textId="77777777" w:rsidR="003C18D1" w:rsidRDefault="003C18D1" w:rsidP="003C18D1">
      <w:pPr>
        <w:pStyle w:val="ListParagraph"/>
        <w:numPr>
          <w:ilvl w:val="0"/>
          <w:numId w:val="1"/>
        </w:numPr>
        <w:spacing w:line="360" w:lineRule="auto"/>
        <w:ind w:left="368"/>
        <w:jc w:val="both"/>
        <w:rPr>
          <w:rFonts w:ascii="David" w:hAnsi="David" w:cs="David"/>
          <w:sz w:val="24"/>
          <w:szCs w:val="24"/>
          <w:rtl/>
        </w:rPr>
      </w:pPr>
      <w:r>
        <w:rPr>
          <w:rFonts w:ascii="David" w:hAnsi="David" w:cs="David"/>
          <w:b/>
          <w:bCs/>
          <w:sz w:val="24"/>
          <w:szCs w:val="24"/>
          <w:rtl/>
        </w:rPr>
        <w:t xml:space="preserve">הערכים המוגנים – </w:t>
      </w:r>
      <w:r>
        <w:rPr>
          <w:rFonts w:ascii="David" w:hAnsi="David" w:cs="David"/>
          <w:sz w:val="24"/>
          <w:szCs w:val="24"/>
          <w:rtl/>
        </w:rPr>
        <w:t>שותפות בשרשרת הפצת סמים מהווה פגיעה ממשית בבריאות הציבור. פגיעה ראשונה וישירה בצרכני הסמים ופגיעה חברתית רחבה בהרבה בשל ביצוע עבירות נילוות על ידי מכורים לסם לשם מימון המשך השימוש בו, ביצוע עבירות חמורות אחרות בשל פגיעת הסם בשיקול הדעת והגדלת הנטל על הקופה הציבורית. על הצורך להילחם בנגע הסמים, עמד לא אחת בית המשפט העליון בפסיקה ברורה ונוקבת. ראו לעניין זה למשל הדברים שנאמרו מפי כב' השופט עמית ב</w:t>
      </w:r>
      <w:hyperlink r:id="rId18" w:history="1">
        <w:r w:rsidR="008B2380" w:rsidRPr="008B2380">
          <w:rPr>
            <w:rFonts w:ascii="David" w:hAnsi="David" w:cs="David"/>
            <w:color w:val="0000FF"/>
            <w:sz w:val="24"/>
            <w:szCs w:val="24"/>
            <w:u w:val="single"/>
            <w:rtl/>
          </w:rPr>
          <w:t>ע"פ 3172/13</w:t>
        </w:r>
      </w:hyperlink>
      <w:r>
        <w:rPr>
          <w:rFonts w:ascii="David" w:hAnsi="David" w:cs="David"/>
          <w:sz w:val="24"/>
          <w:szCs w:val="24"/>
          <w:rtl/>
        </w:rPr>
        <w:t xml:space="preserve"> </w:t>
      </w:r>
      <w:r>
        <w:rPr>
          <w:rFonts w:ascii="David" w:hAnsi="David" w:cs="David" w:hint="cs"/>
          <w:b/>
          <w:bCs/>
          <w:sz w:val="24"/>
          <w:szCs w:val="24"/>
          <w:rtl/>
        </w:rPr>
        <w:t>עלא סואעד נגד  מדינת ישראל (07.01.14)</w:t>
      </w:r>
      <w:r>
        <w:rPr>
          <w:rFonts w:ascii="David" w:hAnsi="David" w:cs="David" w:hint="cs"/>
          <w:sz w:val="24"/>
          <w:szCs w:val="24"/>
          <w:rtl/>
        </w:rPr>
        <w:t>:</w:t>
      </w:r>
    </w:p>
    <w:p w14:paraId="1D417C83" w14:textId="77777777" w:rsidR="003C18D1" w:rsidRDefault="003C18D1" w:rsidP="003C18D1">
      <w:pPr>
        <w:spacing w:line="360" w:lineRule="auto"/>
        <w:ind w:left="1218" w:right="850"/>
        <w:contextualSpacing/>
        <w:jc w:val="both"/>
        <w:rPr>
          <w:rFonts w:ascii="David" w:hAnsi="David"/>
        </w:rPr>
      </w:pPr>
      <w:r>
        <w:rPr>
          <w:rFonts w:ascii="David" w:hAnsi="David"/>
          <w:b/>
          <w:bCs/>
          <w:rtl/>
        </w:rPr>
        <w:t xml:space="preserve">"על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ניתן להקטין את היקפו ולצמצם את נזקיו." </w:t>
      </w:r>
    </w:p>
    <w:p w14:paraId="745265A2" w14:textId="77777777" w:rsidR="003C18D1" w:rsidRPr="003C18D1" w:rsidRDefault="003C18D1" w:rsidP="003C18D1">
      <w:pPr>
        <w:tabs>
          <w:tab w:val="left" w:pos="466"/>
        </w:tabs>
        <w:spacing w:line="360" w:lineRule="auto"/>
        <w:ind w:left="360"/>
        <w:contextualSpacing/>
        <w:jc w:val="both"/>
        <w:rPr>
          <w:rFonts w:ascii="David" w:eastAsia="Calibri" w:hAnsi="David"/>
          <w:rtl/>
        </w:rPr>
      </w:pPr>
      <w:r>
        <w:rPr>
          <w:rFonts w:ascii="David" w:hAnsi="David"/>
          <w:rtl/>
        </w:rPr>
        <w:t>בית המשפט העליון ב</w:t>
      </w:r>
      <w:hyperlink r:id="rId19" w:history="1">
        <w:r w:rsidR="008B2380" w:rsidRPr="008B2380">
          <w:rPr>
            <w:rFonts w:ascii="David" w:hAnsi="David"/>
            <w:color w:val="0000FF"/>
            <w:u w:val="single"/>
            <w:rtl/>
          </w:rPr>
          <w:t>ע"פ 4522/18</w:t>
        </w:r>
      </w:hyperlink>
      <w:r>
        <w:rPr>
          <w:rFonts w:ascii="David" w:hAnsi="David"/>
          <w:rtl/>
        </w:rPr>
        <w:t xml:space="preserve"> </w:t>
      </w:r>
      <w:r>
        <w:rPr>
          <w:rFonts w:ascii="David" w:hAnsi="David" w:hint="cs"/>
          <w:b/>
          <w:bCs/>
          <w:rtl/>
        </w:rPr>
        <w:t>מדינת ישראל נגד אסאבן</w:t>
      </w:r>
      <w:r>
        <w:rPr>
          <w:rFonts w:ascii="David" w:hAnsi="David" w:hint="cs"/>
          <w:rtl/>
        </w:rPr>
        <w:t xml:space="preserve">  (1.11.18) בהתייחסו לעבירות סחר בסמים לחומרתן ולנזקיהן אמר את הדברים הבאים: </w:t>
      </w:r>
    </w:p>
    <w:p w14:paraId="1811F2F6" w14:textId="77777777" w:rsidR="003C18D1" w:rsidRDefault="003C18D1" w:rsidP="003C18D1">
      <w:pPr>
        <w:spacing w:line="360" w:lineRule="auto"/>
        <w:ind w:left="1218" w:right="850"/>
        <w:contextualSpacing/>
        <w:jc w:val="both"/>
        <w:rPr>
          <w:rFonts w:ascii="David" w:hAnsi="David"/>
          <w:rtl/>
        </w:rPr>
      </w:pPr>
      <w:r>
        <w:rPr>
          <w:rFonts w:ascii="David" w:hAnsi="David"/>
          <w:spacing w:val="10"/>
          <w:rtl/>
        </w:rPr>
        <w:t>"</w:t>
      </w:r>
      <w:r>
        <w:rPr>
          <w:rFonts w:ascii="David" w:hAnsi="David"/>
          <w:b/>
          <w:bCs/>
          <w:spacing w:val="10"/>
          <w:rtl/>
        </w:rPr>
        <w:t xml:space="preserve">בית משפט זה </w:t>
      </w:r>
      <w:r>
        <w:rPr>
          <w:rFonts w:ascii="David" w:hAnsi="David"/>
          <w:b/>
          <w:bCs/>
          <w:rtl/>
        </w:rPr>
        <w:t>עמד</w:t>
      </w:r>
      <w:r>
        <w:rPr>
          <w:rFonts w:ascii="David" w:hAnsi="David"/>
          <w:b/>
          <w:bCs/>
          <w:spacing w:val="10"/>
          <w:rtl/>
        </w:rPr>
        <w:t xml:space="preserve">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 (</w:t>
      </w:r>
      <w:hyperlink r:id="rId20" w:history="1">
        <w:r w:rsidR="008B2380" w:rsidRPr="008B2380">
          <w:rPr>
            <w:rFonts w:ascii="David" w:hAnsi="David"/>
            <w:b/>
            <w:bCs/>
            <w:color w:val="0000FF"/>
            <w:spacing w:val="10"/>
            <w:u w:val="single"/>
            <w:rtl/>
          </w:rPr>
          <w:t>ע"פ 7952/15</w:t>
        </w:r>
      </w:hyperlink>
      <w:r>
        <w:rPr>
          <w:rFonts w:ascii="David" w:hAnsi="David"/>
          <w:b/>
          <w:bCs/>
          <w:spacing w:val="10"/>
          <w:rtl/>
        </w:rPr>
        <w:t xml:space="preserve"> מדינת ישראל נ' שץ </w:t>
      </w:r>
      <w:r>
        <w:rPr>
          <w:rFonts w:ascii="David" w:hAnsi="David"/>
          <w:b/>
          <w:bCs/>
          <w:rtl/>
        </w:rPr>
        <w:t xml:space="preserve">[פורסם בנבו] </w:t>
      </w:r>
      <w:r>
        <w:rPr>
          <w:rFonts w:ascii="David" w:hAnsi="David"/>
          <w:b/>
          <w:bCs/>
          <w:spacing w:val="10"/>
          <w:rtl/>
        </w:rPr>
        <w:t xml:space="preserve">(15.2.2016) (להלן: </w:t>
      </w:r>
      <w:r>
        <w:rPr>
          <w:rFonts w:ascii="David" w:hAnsi="David"/>
          <w:b/>
          <w:bCs/>
          <w:rtl/>
        </w:rPr>
        <w:t>עניין שץ</w:t>
      </w:r>
      <w:r>
        <w:rPr>
          <w:rFonts w:ascii="David" w:hAnsi="David"/>
          <w:b/>
          <w:bCs/>
          <w:spacing w:val="10"/>
          <w:rtl/>
        </w:rPr>
        <w:t xml:space="preserve">); </w:t>
      </w:r>
      <w:hyperlink r:id="rId21" w:history="1">
        <w:r w:rsidR="008B2380" w:rsidRPr="008B2380">
          <w:rPr>
            <w:rFonts w:ascii="David" w:hAnsi="David"/>
            <w:b/>
            <w:bCs/>
            <w:color w:val="0000FF"/>
            <w:spacing w:val="10"/>
            <w:u w:val="single"/>
            <w:rtl/>
          </w:rPr>
          <w:t>ע"פ 4998/95</w:t>
        </w:r>
      </w:hyperlink>
      <w:r>
        <w:rPr>
          <w:rFonts w:ascii="David" w:hAnsi="David"/>
          <w:b/>
          <w:bCs/>
          <w:color w:val="000000"/>
          <w:spacing w:val="10"/>
          <w:rtl/>
        </w:rPr>
        <w:t xml:space="preserve"> מדינת ישראל נ' גומז-קרדוסו, פ"ד נא</w:t>
      </w:r>
      <w:r>
        <w:rPr>
          <w:rFonts w:ascii="David" w:hAnsi="David"/>
          <w:b/>
          <w:bCs/>
          <w:spacing w:val="10"/>
          <w:rtl/>
        </w:rPr>
        <w:t>(3) 769 (1997)). לפיכך נפסק לא אחת כי עבירות אלו מחייבות מענה החלטי על דרך של ענישה מחמירה ומרתיעה (ראו</w:t>
      </w:r>
      <w:r>
        <w:rPr>
          <w:rFonts w:ascii="David" w:hAnsi="David"/>
          <w:b/>
          <w:bCs/>
          <w:rtl/>
        </w:rPr>
        <w:t xml:space="preserve"> </w:t>
      </w:r>
      <w:hyperlink r:id="rId22" w:history="1">
        <w:r w:rsidR="008B2380" w:rsidRPr="008B2380">
          <w:rPr>
            <w:rFonts w:ascii="David" w:hAnsi="David"/>
            <w:b/>
            <w:bCs/>
            <w:color w:val="0000FF"/>
            <w:spacing w:val="10"/>
            <w:u w:val="single"/>
            <w:rtl/>
          </w:rPr>
          <w:t>ע"פ 8988/16</w:t>
        </w:r>
      </w:hyperlink>
      <w:r>
        <w:rPr>
          <w:rFonts w:ascii="David" w:hAnsi="David"/>
          <w:b/>
          <w:bCs/>
          <w:spacing w:val="10"/>
          <w:rtl/>
        </w:rPr>
        <w:t xml:space="preserve"> </w:t>
      </w:r>
      <w:r>
        <w:rPr>
          <w:rFonts w:ascii="David" w:hAnsi="David"/>
          <w:b/>
          <w:bCs/>
          <w:rtl/>
        </w:rPr>
        <w:t>בן סימון נ' מדינת ישראל</w:t>
      </w:r>
      <w:r>
        <w:rPr>
          <w:rFonts w:ascii="David" w:hAnsi="David"/>
          <w:b/>
          <w:bCs/>
          <w:spacing w:val="10"/>
          <w:rtl/>
        </w:rPr>
        <w:t xml:space="preserve">, </w:t>
      </w:r>
      <w:r>
        <w:rPr>
          <w:rFonts w:ascii="David" w:hAnsi="David"/>
          <w:b/>
          <w:bCs/>
          <w:rtl/>
        </w:rPr>
        <w:t xml:space="preserve">[פורסם בנבו] </w:t>
      </w:r>
      <w:r>
        <w:rPr>
          <w:rFonts w:ascii="David" w:hAnsi="David"/>
          <w:b/>
          <w:bCs/>
          <w:spacing w:val="10"/>
          <w:rtl/>
        </w:rPr>
        <w:t xml:space="preserve">פסקה 10 (8.3.2017); </w:t>
      </w:r>
      <w:hyperlink r:id="rId23" w:history="1">
        <w:r w:rsidR="008B2380" w:rsidRPr="008B2380">
          <w:rPr>
            <w:rFonts w:ascii="David" w:hAnsi="David"/>
            <w:b/>
            <w:bCs/>
            <w:color w:val="0000FF"/>
            <w:spacing w:val="10"/>
            <w:u w:val="single"/>
            <w:rtl/>
          </w:rPr>
          <w:t>ע"פ 5953/13</w:t>
        </w:r>
      </w:hyperlink>
      <w:r>
        <w:rPr>
          <w:rFonts w:ascii="David" w:hAnsi="David"/>
          <w:b/>
          <w:bCs/>
          <w:spacing w:val="10"/>
          <w:rtl/>
        </w:rPr>
        <w:t xml:space="preserve"> </w:t>
      </w:r>
      <w:r>
        <w:rPr>
          <w:rFonts w:ascii="David" w:hAnsi="David"/>
          <w:b/>
          <w:bCs/>
          <w:rtl/>
        </w:rPr>
        <w:t>מדינת ישראל נ' דוידי</w:t>
      </w:r>
      <w:r>
        <w:rPr>
          <w:rFonts w:ascii="David" w:hAnsi="David"/>
          <w:b/>
          <w:bCs/>
          <w:spacing w:val="10"/>
          <w:rtl/>
        </w:rPr>
        <w:t xml:space="preserve">, </w:t>
      </w:r>
      <w:r>
        <w:rPr>
          <w:rFonts w:ascii="David" w:hAnsi="David"/>
          <w:b/>
          <w:bCs/>
          <w:rtl/>
        </w:rPr>
        <w:t xml:space="preserve">[פורסם בנבו] </w:t>
      </w:r>
      <w:r>
        <w:rPr>
          <w:rFonts w:ascii="David" w:hAnsi="David"/>
          <w:b/>
          <w:bCs/>
          <w:spacing w:val="10"/>
          <w:rtl/>
        </w:rPr>
        <w:t xml:space="preserve">פסקה 17 (6.7.2014) (להלן: </w:t>
      </w:r>
      <w:r>
        <w:rPr>
          <w:rFonts w:ascii="David" w:hAnsi="David"/>
          <w:b/>
          <w:bCs/>
          <w:rtl/>
        </w:rPr>
        <w:t>עניין דוידי</w:t>
      </w:r>
      <w:r>
        <w:rPr>
          <w:rFonts w:ascii="David" w:hAnsi="David"/>
          <w:b/>
          <w:bCs/>
          <w:spacing w:val="10"/>
          <w:rtl/>
        </w:rPr>
        <w:t xml:space="preserve">)). כבר צוין כי הענישה בעבירות סמים מאופיינת בשונות רבה, נוכח </w:t>
      </w:r>
      <w:r>
        <w:rPr>
          <w:rFonts w:ascii="David" w:hAnsi="David"/>
          <w:b/>
          <w:bCs/>
          <w:rtl/>
        </w:rPr>
        <w:t>"האינדיבידואליות בענישה והייחודיות של המקרים השונים"</w:t>
      </w:r>
      <w:r>
        <w:rPr>
          <w:rFonts w:ascii="David" w:hAnsi="David"/>
          <w:b/>
          <w:bCs/>
          <w:spacing w:val="10"/>
          <w:rtl/>
        </w:rPr>
        <w:t xml:space="preserve"> (</w:t>
      </w:r>
      <w:hyperlink r:id="rId24" w:history="1">
        <w:r w:rsidR="008B2380" w:rsidRPr="008B2380">
          <w:rPr>
            <w:rFonts w:ascii="David" w:hAnsi="David"/>
            <w:b/>
            <w:bCs/>
            <w:color w:val="0000FF"/>
            <w:spacing w:val="10"/>
            <w:u w:val="single"/>
            <w:rtl/>
          </w:rPr>
          <w:t>ע"פ 3931/13</w:t>
        </w:r>
      </w:hyperlink>
      <w:r>
        <w:rPr>
          <w:rFonts w:ascii="David" w:hAnsi="David"/>
          <w:b/>
          <w:bCs/>
          <w:spacing w:val="10"/>
          <w:rtl/>
        </w:rPr>
        <w:t xml:space="preserve"> </w:t>
      </w:r>
      <w:r>
        <w:rPr>
          <w:rFonts w:ascii="David" w:hAnsi="David"/>
          <w:b/>
          <w:bCs/>
          <w:rtl/>
        </w:rPr>
        <w:t>באום נ' מדינת ישראל</w:t>
      </w:r>
      <w:r>
        <w:rPr>
          <w:rFonts w:ascii="David" w:hAnsi="David"/>
          <w:b/>
          <w:bCs/>
          <w:spacing w:val="10"/>
          <w:rtl/>
        </w:rPr>
        <w:t xml:space="preserve">, </w:t>
      </w:r>
      <w:r>
        <w:rPr>
          <w:rFonts w:ascii="David" w:hAnsi="David"/>
          <w:b/>
          <w:bCs/>
          <w:rtl/>
        </w:rPr>
        <w:t xml:space="preserve">[פורסם בנבו] </w:t>
      </w:r>
      <w:r>
        <w:rPr>
          <w:rFonts w:ascii="David" w:hAnsi="David"/>
          <w:b/>
          <w:bCs/>
          <w:spacing w:val="10"/>
          <w:rtl/>
        </w:rPr>
        <w:t xml:space="preserve">פסקה 13 (10.6.2014) (להלן: </w:t>
      </w:r>
      <w:r>
        <w:rPr>
          <w:rFonts w:ascii="David" w:hAnsi="David"/>
          <w:b/>
          <w:bCs/>
          <w:rtl/>
        </w:rPr>
        <w:t>עניין באום</w:t>
      </w:r>
      <w:r>
        <w:rPr>
          <w:rFonts w:ascii="David" w:hAnsi="David"/>
          <w:b/>
          <w:bCs/>
          <w:spacing w:val="10"/>
          <w:rtl/>
        </w:rPr>
        <w:t>)) במסגרת זו יש ליחס משקל גם לסוג הסם ולכמותו".</w:t>
      </w:r>
      <w:r>
        <w:rPr>
          <w:rFonts w:ascii="David" w:hAnsi="David"/>
          <w:spacing w:val="10"/>
          <w:rtl/>
        </w:rPr>
        <w:t xml:space="preserve"> </w:t>
      </w:r>
    </w:p>
    <w:p w14:paraId="03A28BA2" w14:textId="77777777" w:rsidR="003C18D1" w:rsidRDefault="003C18D1" w:rsidP="003C18D1">
      <w:pPr>
        <w:pStyle w:val="ListParagraph"/>
        <w:numPr>
          <w:ilvl w:val="0"/>
          <w:numId w:val="1"/>
        </w:numPr>
        <w:spacing w:line="360" w:lineRule="auto"/>
        <w:ind w:left="368"/>
        <w:jc w:val="both"/>
        <w:rPr>
          <w:rFonts w:ascii="David" w:hAnsi="David" w:cs="David"/>
          <w:b/>
          <w:bCs/>
          <w:sz w:val="24"/>
          <w:szCs w:val="24"/>
        </w:rPr>
      </w:pPr>
      <w:r>
        <w:rPr>
          <w:rFonts w:ascii="David" w:hAnsi="David" w:cs="David"/>
          <w:b/>
          <w:bCs/>
          <w:sz w:val="24"/>
          <w:szCs w:val="24"/>
          <w:rtl/>
        </w:rPr>
        <w:t xml:space="preserve">נסיבות ביצוע העבירות ומידת הפגיעה בערכים המוגנים במקרה זה – </w:t>
      </w:r>
      <w:r>
        <w:rPr>
          <w:rFonts w:ascii="David" w:hAnsi="David" w:cs="David"/>
          <w:sz w:val="24"/>
          <w:szCs w:val="24"/>
          <w:shd w:val="clear" w:color="auto" w:fill="FFFFFF"/>
          <w:rtl/>
        </w:rPr>
        <w:t xml:space="preserve">בענייננו נאשם 2 סייע לנאשם 1 במכירה של כחצי קילו סם מסוכן מסוג </w:t>
      </w:r>
      <w:r>
        <w:rPr>
          <w:rFonts w:ascii="David" w:hAnsi="David" w:cs="David"/>
          <w:sz w:val="24"/>
          <w:szCs w:val="24"/>
          <w:shd w:val="clear" w:color="auto" w:fill="FFFFFF"/>
        </w:rPr>
        <w:t>MDMA</w:t>
      </w:r>
      <w:r>
        <w:rPr>
          <w:rFonts w:ascii="David" w:hAnsi="David" w:cs="David"/>
          <w:sz w:val="24"/>
          <w:szCs w:val="24"/>
          <w:shd w:val="clear" w:color="auto" w:fill="FFFFFF"/>
          <w:rtl/>
        </w:rPr>
        <w:t xml:space="preserve"> תמורת 30,000 ₪. מדובר בכמות בלתי מבוטלת של סם מסוכן וקשה ופוטנציאל הנזק למשתמשים קשה ולעיתים בלתי הפיך. הוסכם בין הצדדים כי הנאשם סייע בביצוע מכירת הסם לסוכן הסמוי, תוך שהוא עוצם את עיניו לטיב העסקה ולתכולת החבילה. יש בכך להתחשב באופן מסוים במידת הפגיעה בערכים המוגנים ואולם אין לראות בכך משום נסיבה מקילה, כפי שקבע בית המשפט העליון ב</w:t>
      </w:r>
      <w:hyperlink r:id="rId25" w:history="1">
        <w:r w:rsidR="008B2380" w:rsidRPr="008B2380">
          <w:rPr>
            <w:rFonts w:ascii="David" w:hAnsi="David" w:cs="David"/>
            <w:color w:val="0000FF"/>
            <w:sz w:val="24"/>
            <w:szCs w:val="24"/>
            <w:u w:val="single"/>
            <w:shd w:val="clear" w:color="auto" w:fill="FFFFFF"/>
            <w:rtl/>
          </w:rPr>
          <w:t>ע"פ 5836/22</w:t>
        </w:r>
      </w:hyperlink>
      <w:r>
        <w:rPr>
          <w:rFonts w:ascii="David" w:hAnsi="David" w:cs="David"/>
          <w:sz w:val="24"/>
          <w:szCs w:val="24"/>
          <w:shd w:val="clear" w:color="auto" w:fill="FFFFFF"/>
          <w:rtl/>
        </w:rPr>
        <w:t xml:space="preserve"> </w:t>
      </w:r>
      <w:r>
        <w:rPr>
          <w:rFonts w:ascii="David" w:hAnsi="David" w:cs="David"/>
          <w:b/>
          <w:bCs/>
          <w:sz w:val="24"/>
          <w:szCs w:val="24"/>
          <w:shd w:val="clear" w:color="auto" w:fill="FFFFFF"/>
          <w:rtl/>
        </w:rPr>
        <w:t>יוגב נ' מדינת ישראל</w:t>
      </w:r>
      <w:r>
        <w:rPr>
          <w:rFonts w:ascii="David" w:hAnsi="David" w:cs="David"/>
          <w:sz w:val="24"/>
          <w:szCs w:val="24"/>
          <w:shd w:val="clear" w:color="auto" w:fill="FFFFFF"/>
          <w:rtl/>
        </w:rPr>
        <w:t xml:space="preserve"> מיום 4.4.23 בפסקה 11: </w:t>
      </w:r>
    </w:p>
    <w:p w14:paraId="0DD3652D" w14:textId="77777777" w:rsidR="003C18D1" w:rsidRDefault="003C18D1" w:rsidP="003C18D1">
      <w:pPr>
        <w:spacing w:line="360" w:lineRule="auto"/>
        <w:ind w:left="1218" w:right="850"/>
        <w:contextualSpacing/>
        <w:jc w:val="both"/>
        <w:rPr>
          <w:rFonts w:ascii="David" w:hAnsi="David"/>
          <w:b/>
          <w:bCs/>
        </w:rPr>
      </w:pPr>
      <w:r>
        <w:rPr>
          <w:rFonts w:ascii="David" w:hAnsi="David"/>
          <w:shd w:val="clear" w:color="auto" w:fill="FFFFFF"/>
          <w:rtl/>
        </w:rPr>
        <w:t>"</w:t>
      </w:r>
      <w:r>
        <w:rPr>
          <w:rFonts w:ascii="David" w:hAnsi="David"/>
          <w:b/>
          <w:bCs/>
          <w:shd w:val="clear" w:color="auto" w:fill="FFFFFF"/>
          <w:rtl/>
        </w:rPr>
        <w:t xml:space="preserve">הכלל הוא, כי "רואים </w:t>
      </w:r>
      <w:r>
        <w:rPr>
          <w:rFonts w:ascii="David" w:hAnsi="David"/>
          <w:b/>
          <w:bCs/>
          <w:rtl/>
        </w:rPr>
        <w:t>אדם</w:t>
      </w:r>
      <w:r>
        <w:rPr>
          <w:rFonts w:ascii="David" w:hAnsi="David"/>
          <w:b/>
          <w:bCs/>
          <w:shd w:val="clear" w:color="auto" w:fill="FFFFFF"/>
          <w:rtl/>
        </w:rPr>
        <w:t xml:space="preserve"> שחשד בדבר טיב ההתנהגות או בדבר אפשרות קיום הנסיבות כמי שהיה מודע להם, אם נמנע מלבררם" (סעיף 20(ג)(1) ל</w:t>
      </w:r>
      <w:hyperlink r:id="rId26" w:history="1">
        <w:r w:rsidR="008B2380" w:rsidRPr="008B2380">
          <w:rPr>
            <w:rFonts w:ascii="David" w:hAnsi="David"/>
            <w:b/>
            <w:bCs/>
            <w:color w:val="0000FF"/>
            <w:u w:val="single"/>
            <w:shd w:val="clear" w:color="auto" w:fill="FFFFFF"/>
            <w:rtl/>
          </w:rPr>
          <w:t>חוק העונשין</w:t>
        </w:r>
      </w:hyperlink>
      <w:r>
        <w:rPr>
          <w:rFonts w:ascii="David" w:hAnsi="David"/>
          <w:b/>
          <w:bCs/>
          <w:shd w:val="clear" w:color="auto" w:fill="FFFFFF"/>
          <w:rtl/>
        </w:rPr>
        <w:t xml:space="preserve">); הֶוֵי אומר: 'עצימת עיניים' שקולה למודעות (ראו: ש"ז פלר </w:t>
      </w:r>
      <w:hyperlink r:id="rId27" w:history="1">
        <w:r w:rsidR="008B2380" w:rsidRPr="008B2380">
          <w:rPr>
            <w:rFonts w:ascii="David" w:hAnsi="David"/>
            <w:b/>
            <w:bCs/>
            <w:color w:val="0000FF"/>
            <w:u w:val="single"/>
            <w:shd w:val="clear" w:color="auto" w:fill="FFFFFF"/>
            <w:rtl/>
          </w:rPr>
          <w:t>יסודות בדיני עונשין</w:t>
        </w:r>
      </w:hyperlink>
      <w:r>
        <w:rPr>
          <w:rFonts w:ascii="David" w:hAnsi="David"/>
          <w:b/>
          <w:bCs/>
          <w:shd w:val="clear" w:color="auto" w:fill="FFFFFF"/>
          <w:rtl/>
        </w:rPr>
        <w:t xml:space="preserve"> כרך א 519 (1984); </w:t>
      </w:r>
      <w:hyperlink r:id="rId28" w:history="1">
        <w:r w:rsidR="008B2380" w:rsidRPr="008B2380">
          <w:rPr>
            <w:rFonts w:ascii="David" w:hAnsi="David"/>
            <w:b/>
            <w:bCs/>
            <w:color w:val="0000FF"/>
            <w:u w:val="single"/>
            <w:shd w:val="clear" w:color="auto" w:fill="FFFFFF"/>
            <w:rtl/>
          </w:rPr>
          <w:t>ע"פ 117/00</w:t>
        </w:r>
      </w:hyperlink>
      <w:r>
        <w:rPr>
          <w:rFonts w:ascii="David" w:hAnsi="David"/>
          <w:b/>
          <w:bCs/>
          <w:shd w:val="clear" w:color="auto" w:fill="FFFFFF"/>
          <w:rtl/>
        </w:rPr>
        <w:t xml:space="preserve"> מדינת ישראל נ' פלוני, פ"ד נד(2) 408, 427 (2000)). מכאן, שנסיבה זו אינה מקימה חומרה פחותה. בהתאם, בית המשפט המחוזי סבר שעצימת העיניים איננה נסיבה מקלה, ואף אני סבור כי אין לנטות חסד לעוצמים את עיניהם מראוֹת (ראו: </w:t>
      </w:r>
      <w:hyperlink r:id="rId29" w:history="1">
        <w:r w:rsidR="008B2380" w:rsidRPr="008B2380">
          <w:rPr>
            <w:rFonts w:ascii="David" w:hAnsi="David"/>
            <w:b/>
            <w:bCs/>
            <w:color w:val="0000FF"/>
            <w:u w:val="single"/>
            <w:shd w:val="clear" w:color="auto" w:fill="FFFFFF"/>
            <w:rtl/>
          </w:rPr>
          <w:t>ע"פ 8915/18</w:t>
        </w:r>
      </w:hyperlink>
      <w:r>
        <w:rPr>
          <w:rFonts w:ascii="David" w:hAnsi="David"/>
          <w:b/>
          <w:bCs/>
          <w:shd w:val="clear" w:color="auto" w:fill="FFFFFF"/>
          <w:rtl/>
        </w:rPr>
        <w:t xml:space="preserve"> מועזיז נ' מדינת ישראל, פסקה 11 לפסק דיני (24.9.2019)</w:t>
      </w:r>
      <w:r>
        <w:rPr>
          <w:rFonts w:ascii="David" w:hAnsi="David"/>
          <w:b/>
          <w:bCs/>
          <w:rtl/>
        </w:rPr>
        <w:t xml:space="preserve">; </w:t>
      </w:r>
      <w:hyperlink r:id="rId30" w:history="1">
        <w:r w:rsidR="008B2380" w:rsidRPr="008B2380">
          <w:rPr>
            <w:rFonts w:ascii="David" w:hAnsi="David"/>
            <w:b/>
            <w:bCs/>
            <w:color w:val="0000FF"/>
            <w:u w:val="single"/>
            <w:shd w:val="clear" w:color="auto" w:fill="FFFFFF"/>
            <w:rtl/>
          </w:rPr>
          <w:t>ע"פ 671/19</w:t>
        </w:r>
      </w:hyperlink>
      <w:r>
        <w:rPr>
          <w:rFonts w:ascii="David" w:hAnsi="David"/>
          <w:b/>
          <w:bCs/>
          <w:shd w:val="clear" w:color="auto" w:fill="FFFFFF"/>
          <w:rtl/>
        </w:rPr>
        <w:t xml:space="preserve"> אבוטבול נ' מדינת ישראל, פסקה 10 לפסק דיני (7.10.2019)).</w:t>
      </w:r>
      <w:r>
        <w:rPr>
          <w:rFonts w:ascii="David" w:hAnsi="David"/>
          <w:b/>
          <w:bCs/>
          <w:rtl/>
        </w:rPr>
        <w:t>"</w:t>
      </w:r>
    </w:p>
    <w:p w14:paraId="01DD1FFB" w14:textId="77777777" w:rsidR="003C18D1" w:rsidRDefault="003C18D1" w:rsidP="003C18D1">
      <w:pPr>
        <w:pStyle w:val="ListParagraph"/>
        <w:numPr>
          <w:ilvl w:val="0"/>
          <w:numId w:val="1"/>
        </w:numPr>
        <w:spacing w:line="360" w:lineRule="auto"/>
        <w:ind w:left="368"/>
        <w:jc w:val="both"/>
        <w:rPr>
          <w:rFonts w:ascii="David" w:hAnsi="David" w:cs="David"/>
          <w:b/>
          <w:bCs/>
          <w:sz w:val="24"/>
          <w:szCs w:val="24"/>
        </w:rPr>
      </w:pPr>
      <w:r>
        <w:rPr>
          <w:rFonts w:ascii="David" w:hAnsi="David" w:cs="David"/>
          <w:sz w:val="24"/>
          <w:szCs w:val="24"/>
          <w:rtl/>
        </w:rPr>
        <w:t>הסדר טיעון בין הצדדים הכולל הגבלה של עתירת המאשימה לעונש הוא הסדר שבין הצדדים שבית המשפט אינו צד לו ואינו מחויב לו. לפיכך הסכמת המאשימה אינה מחליפה קביעה נורמטיבית של בית המשפט לענין מתחם העונש ההולם (</w:t>
      </w:r>
      <w:hyperlink r:id="rId31" w:history="1">
        <w:r w:rsidR="008B2380" w:rsidRPr="008B2380">
          <w:rPr>
            <w:rFonts w:ascii="David" w:hAnsi="David" w:cs="David"/>
            <w:color w:val="0000FF"/>
            <w:sz w:val="24"/>
            <w:szCs w:val="24"/>
            <w:u w:val="single"/>
            <w:rtl/>
          </w:rPr>
          <w:t>ע"פ 921/17</w:t>
        </w:r>
      </w:hyperlink>
      <w:r>
        <w:rPr>
          <w:rFonts w:ascii="David" w:hAnsi="David" w:cs="David"/>
          <w:sz w:val="24"/>
          <w:szCs w:val="24"/>
          <w:rtl/>
        </w:rPr>
        <w:t xml:space="preserve"> </w:t>
      </w:r>
      <w:r>
        <w:rPr>
          <w:rFonts w:ascii="David" w:hAnsi="David" w:cs="David"/>
          <w:b/>
          <w:bCs/>
          <w:sz w:val="24"/>
          <w:szCs w:val="24"/>
          <w:rtl/>
        </w:rPr>
        <w:t>אבו זעילה נ' מדינת ישראל</w:t>
      </w:r>
      <w:r>
        <w:rPr>
          <w:rFonts w:ascii="David" w:hAnsi="David" w:cs="David"/>
          <w:sz w:val="24"/>
          <w:szCs w:val="24"/>
          <w:rtl/>
        </w:rPr>
        <w:t xml:space="preserve"> (28.5.17). עוד ייאמר בהקשר להסדר טווח ענישה כי ככל שמדבר בעבירות חמורות, הנטייה של בתי המשפט תהיה לדבוק ברף העליון של טווח ההסכמה, בלשונו של השופט זילברטל "לעניין זה ראיתי לנכון להעיר כי ככלל נכון לאמץ את הגבול העליון שבטווח המוסכם למקרים חמורים במיוחד, שכן ניתן להניח שכאשר מוצג הסדר הכולל טווחי ענישה גם התביעה מניחה שאימוץ הרף העליון לא ייעשה כדבר שבשגרה" (</w:t>
      </w:r>
      <w:hyperlink r:id="rId32" w:history="1">
        <w:r w:rsidR="008B2380" w:rsidRPr="008B2380">
          <w:rPr>
            <w:rFonts w:ascii="David" w:hAnsi="David" w:cs="David"/>
            <w:color w:val="0000FF"/>
            <w:sz w:val="24"/>
            <w:szCs w:val="24"/>
            <w:u w:val="single"/>
            <w:rtl/>
          </w:rPr>
          <w:t>ע"פ 5643/14</w:t>
        </w:r>
      </w:hyperlink>
      <w:r>
        <w:rPr>
          <w:rFonts w:ascii="David" w:hAnsi="David" w:cs="David"/>
          <w:sz w:val="24"/>
          <w:szCs w:val="24"/>
          <w:rtl/>
        </w:rPr>
        <w:t xml:space="preserve"> </w:t>
      </w:r>
      <w:r>
        <w:rPr>
          <w:rFonts w:ascii="David" w:hAnsi="David" w:cs="David" w:hint="cs"/>
          <w:b/>
          <w:bCs/>
          <w:sz w:val="24"/>
          <w:szCs w:val="24"/>
          <w:rtl/>
        </w:rPr>
        <w:t>עיסא נ' מדינת ישראל</w:t>
      </w:r>
      <w:r>
        <w:rPr>
          <w:rFonts w:ascii="David" w:hAnsi="David" w:cs="David" w:hint="cs"/>
          <w:sz w:val="24"/>
          <w:szCs w:val="24"/>
          <w:rtl/>
        </w:rPr>
        <w:t xml:space="preserve"> [פורסם בנבו] (23.6.15)). עם זאת, גם הרף העליון הוא חלק מהטווח המוסכם, ואל לבית המשפט להימנע מלהגיע אליו במקרים המתאימים (ראו </w:t>
      </w:r>
      <w:hyperlink r:id="rId33" w:history="1">
        <w:r w:rsidR="008B2380" w:rsidRPr="008B2380">
          <w:rPr>
            <w:rFonts w:ascii="David" w:hAnsi="David" w:cs="David"/>
            <w:color w:val="0000FF"/>
            <w:sz w:val="24"/>
            <w:szCs w:val="24"/>
            <w:u w:val="single"/>
            <w:rtl/>
          </w:rPr>
          <w:t>ע"פ 2556/17</w:t>
        </w:r>
      </w:hyperlink>
      <w:r>
        <w:rPr>
          <w:rFonts w:ascii="David" w:hAnsi="David" w:cs="David"/>
          <w:sz w:val="24"/>
          <w:szCs w:val="24"/>
          <w:rtl/>
        </w:rPr>
        <w:t xml:space="preserve"> </w:t>
      </w:r>
      <w:r>
        <w:rPr>
          <w:rFonts w:ascii="David" w:hAnsi="David" w:cs="David" w:hint="cs"/>
          <w:b/>
          <w:bCs/>
          <w:sz w:val="24"/>
          <w:szCs w:val="24"/>
          <w:rtl/>
        </w:rPr>
        <w:t>חנניאייב נ' מדינת ישראל</w:t>
      </w:r>
      <w:r>
        <w:rPr>
          <w:rFonts w:ascii="David" w:hAnsi="David" w:cs="David" w:hint="cs"/>
          <w:sz w:val="24"/>
          <w:szCs w:val="24"/>
          <w:rtl/>
        </w:rPr>
        <w:t xml:space="preserve"> [פורסם בנבו] (8.8.18)). ככל שהטווח המוסכם רחוק מהענישה הראויה, לאחר בחינת מתחם העונש הראוי והענישה האינדיווידואלית הראויה לנאשם, כך תגבר הנטייה להטיל את הקצה העליון של הטווח המוסכם. מהאמור לעיל עולה, שגם כאשר המדינה מגבילה עצמה לטיעון עונשי מוסכם, יש צורך לבחון את סבירותו בשים לב למתחם העונש ההולם למקרה הנדון. לכך נפנה עתה.</w:t>
      </w:r>
    </w:p>
    <w:p w14:paraId="1B208F3E" w14:textId="77777777" w:rsidR="003C18D1" w:rsidRDefault="003C18D1" w:rsidP="003C18D1">
      <w:pPr>
        <w:pStyle w:val="ListParagraph"/>
        <w:spacing w:line="360" w:lineRule="auto"/>
        <w:ind w:left="368"/>
        <w:jc w:val="both"/>
        <w:rPr>
          <w:rFonts w:ascii="David" w:hAnsi="David" w:cs="David"/>
          <w:sz w:val="24"/>
          <w:szCs w:val="24"/>
        </w:rPr>
      </w:pPr>
    </w:p>
    <w:p w14:paraId="4B23F3B3" w14:textId="77777777" w:rsidR="003C18D1" w:rsidRDefault="003C18D1" w:rsidP="003C18D1">
      <w:pPr>
        <w:pStyle w:val="ListParagraph"/>
        <w:numPr>
          <w:ilvl w:val="0"/>
          <w:numId w:val="1"/>
        </w:numPr>
        <w:spacing w:line="360" w:lineRule="auto"/>
        <w:ind w:left="368"/>
        <w:jc w:val="both"/>
        <w:rPr>
          <w:rFonts w:ascii="David" w:hAnsi="David" w:cs="David"/>
          <w:sz w:val="24"/>
          <w:szCs w:val="24"/>
        </w:rPr>
      </w:pPr>
      <w:r>
        <w:rPr>
          <w:rFonts w:ascii="David" w:hAnsi="David" w:cs="David"/>
          <w:b/>
          <w:bCs/>
          <w:sz w:val="24"/>
          <w:szCs w:val="24"/>
          <w:rtl/>
        </w:rPr>
        <w:t>מדיניות הענישה</w:t>
      </w:r>
      <w:r>
        <w:rPr>
          <w:rFonts w:ascii="David" w:hAnsi="David" w:cs="David"/>
          <w:sz w:val="24"/>
          <w:szCs w:val="24"/>
          <w:rtl/>
        </w:rPr>
        <w:t xml:space="preserve"> - עיון בפסיקת בתי המשפט מעלה כי מתחם העונש ההולם לעבירת סחר בסם מסוכן הוא רחב ותלוי בעיקר בסוג הסם, בכמות, במספר העסקאות, בחלקו של הנאשם במערך ההפצה ובתמורה שהתקבלה. ניתן ללמוד על מתחם העונש ההולם מהמקרים הבאים:</w:t>
      </w:r>
    </w:p>
    <w:p w14:paraId="3D48F105" w14:textId="77777777" w:rsidR="003C18D1" w:rsidRPr="003C18D1" w:rsidRDefault="008B2380" w:rsidP="003C18D1">
      <w:pPr>
        <w:pStyle w:val="ListParagraph"/>
        <w:numPr>
          <w:ilvl w:val="0"/>
          <w:numId w:val="2"/>
        </w:numPr>
        <w:spacing w:line="360" w:lineRule="auto"/>
        <w:jc w:val="both"/>
        <w:rPr>
          <w:rFonts w:ascii="David" w:hAnsi="David" w:cs="David"/>
          <w:sz w:val="24"/>
          <w:szCs w:val="24"/>
        </w:rPr>
      </w:pPr>
      <w:hyperlink r:id="rId34" w:history="1">
        <w:r w:rsidRPr="008B2380">
          <w:rPr>
            <w:rFonts w:ascii="David" w:hAnsi="David" w:cs="David"/>
            <w:color w:val="0000FF"/>
            <w:sz w:val="24"/>
            <w:szCs w:val="24"/>
            <w:u w:val="single"/>
            <w:rtl/>
          </w:rPr>
          <w:t>ע"פ 8598/12</w:t>
        </w:r>
      </w:hyperlink>
      <w:r>
        <w:rPr>
          <w:rFonts w:ascii="David" w:hAnsi="David" w:cs="David"/>
          <w:color w:val="000000"/>
          <w:sz w:val="24"/>
          <w:szCs w:val="24"/>
        </w:rPr>
        <w:t xml:space="preserve"> </w:t>
      </w:r>
      <w:r w:rsidR="003C18D1">
        <w:rPr>
          <w:rFonts w:ascii="David" w:hAnsi="David" w:cs="David"/>
          <w:b/>
          <w:bCs/>
          <w:color w:val="000000"/>
          <w:sz w:val="24"/>
          <w:szCs w:val="24"/>
          <w:rtl/>
        </w:rPr>
        <w:t>ביאטרה נ' מדינת ישראל</w:t>
      </w:r>
      <w:r>
        <w:rPr>
          <w:rFonts w:ascii="David" w:hAnsi="David" w:cs="David"/>
          <w:color w:val="000000"/>
          <w:sz w:val="24"/>
          <w:szCs w:val="24"/>
          <w:rtl/>
        </w:rPr>
        <w:t xml:space="preserve"> </w:t>
      </w:r>
      <w:r w:rsidR="003C18D1">
        <w:rPr>
          <w:rFonts w:ascii="David" w:hAnsi="David" w:cs="David"/>
          <w:color w:val="000000"/>
          <w:sz w:val="24"/>
          <w:szCs w:val="24"/>
        </w:rPr>
        <w:t>(28.1.13)</w:t>
      </w:r>
      <w:r>
        <w:rPr>
          <w:rFonts w:ascii="David" w:hAnsi="David" w:cs="David"/>
          <w:color w:val="000000"/>
          <w:sz w:val="24"/>
          <w:szCs w:val="24"/>
        </w:rPr>
        <w:t xml:space="preserve"> </w:t>
      </w:r>
      <w:r w:rsidR="003C18D1">
        <w:rPr>
          <w:rFonts w:ascii="David" w:hAnsi="David" w:cs="David"/>
          <w:color w:val="000000"/>
          <w:sz w:val="24"/>
          <w:szCs w:val="24"/>
          <w:rtl/>
        </w:rPr>
        <w:t xml:space="preserve"> מדובר במי שהורשע על פי</w:t>
      </w:r>
      <w:r>
        <w:rPr>
          <w:rFonts w:ascii="David" w:hAnsi="David" w:cs="David"/>
          <w:color w:val="000000"/>
          <w:sz w:val="24"/>
          <w:szCs w:val="24"/>
          <w:rtl/>
        </w:rPr>
        <w:t xml:space="preserve"> </w:t>
      </w:r>
      <w:r w:rsidR="003C18D1">
        <w:rPr>
          <w:rFonts w:ascii="David" w:hAnsi="David" w:cs="David"/>
          <w:color w:val="000000"/>
          <w:sz w:val="24"/>
          <w:szCs w:val="24"/>
          <w:rtl/>
        </w:rPr>
        <w:t xml:space="preserve">הודאתו, בעבירות </w:t>
      </w:r>
      <w:r w:rsidR="003C18D1">
        <w:rPr>
          <w:rFonts w:ascii="David" w:hAnsi="David" w:cs="David"/>
          <w:color w:val="000000"/>
          <w:sz w:val="24"/>
          <w:szCs w:val="24"/>
          <w:u w:val="single"/>
          <w:rtl/>
        </w:rPr>
        <w:t>סחר בסם מסוכן</w:t>
      </w:r>
      <w:r w:rsidR="003C18D1">
        <w:rPr>
          <w:rFonts w:ascii="David" w:hAnsi="David" w:cs="David"/>
          <w:color w:val="000000"/>
          <w:sz w:val="24"/>
          <w:szCs w:val="24"/>
          <w:rtl/>
        </w:rPr>
        <w:t>. הסוכן ואחר עשו עסקה במסגרתה רכש הסוכן מאדם אחר 350 כדורי</w:t>
      </w:r>
      <w:r>
        <w:rPr>
          <w:rFonts w:ascii="David" w:hAnsi="David" w:cs="David"/>
          <w:color w:val="000000"/>
          <w:sz w:val="24"/>
          <w:szCs w:val="24"/>
          <w:rtl/>
        </w:rPr>
        <w:t xml:space="preserve"> </w:t>
      </w:r>
      <w:r w:rsidR="003C18D1">
        <w:rPr>
          <w:rFonts w:ascii="David" w:hAnsi="David" w:cs="David"/>
          <w:color w:val="000000"/>
          <w:sz w:val="24"/>
          <w:szCs w:val="24"/>
        </w:rPr>
        <w:t>MDMA</w:t>
      </w:r>
      <w:r>
        <w:rPr>
          <w:rFonts w:ascii="David" w:hAnsi="David" w:cs="David"/>
          <w:color w:val="000000"/>
          <w:sz w:val="24"/>
          <w:szCs w:val="24"/>
        </w:rPr>
        <w:t xml:space="preserve"> </w:t>
      </w:r>
      <w:r w:rsidR="003C18D1">
        <w:rPr>
          <w:rFonts w:ascii="David" w:hAnsi="David" w:cs="David"/>
          <w:color w:val="000000"/>
          <w:sz w:val="24"/>
          <w:szCs w:val="24"/>
          <w:rtl/>
        </w:rPr>
        <w:t xml:space="preserve"> </w:t>
      </w:r>
      <w:r w:rsidR="003C18D1">
        <w:rPr>
          <w:rFonts w:ascii="David" w:hAnsi="David" w:cs="David" w:hint="cs"/>
          <w:color w:val="000000"/>
          <w:sz w:val="24"/>
          <w:szCs w:val="24"/>
          <w:rtl/>
        </w:rPr>
        <w:t xml:space="preserve">תמורת סך 12,000 ₪. סוכם שהמכירה תיעשה באמצעות המערער שאכן הגיע למקום המפגש לבצע את העסקה. </w:t>
      </w:r>
      <w:r w:rsidR="003C18D1">
        <w:rPr>
          <w:rFonts w:ascii="David" w:hAnsi="David" w:cs="David" w:hint="cs"/>
          <w:b/>
          <w:bCs/>
          <w:color w:val="000000"/>
          <w:sz w:val="24"/>
          <w:szCs w:val="24"/>
          <w:rtl/>
        </w:rPr>
        <w:t>נקבע מתחם שבין 12 לבין 48 חודשי מאסר</w:t>
      </w:r>
      <w:r w:rsidR="003C18D1">
        <w:rPr>
          <w:rFonts w:ascii="David" w:hAnsi="David" w:cs="David" w:hint="cs"/>
          <w:color w:val="000000"/>
          <w:sz w:val="24"/>
          <w:szCs w:val="24"/>
          <w:rtl/>
        </w:rPr>
        <w:t>. במקרה שלנו הכמות כמעט כפולה אך מדובר בעבירת סיוע ולא בעבירה המושלמת.</w:t>
      </w:r>
    </w:p>
    <w:p w14:paraId="3253223C" w14:textId="77777777" w:rsidR="003C18D1" w:rsidRDefault="003C18D1" w:rsidP="003C18D1">
      <w:pPr>
        <w:pStyle w:val="ListParagraph"/>
        <w:numPr>
          <w:ilvl w:val="0"/>
          <w:numId w:val="2"/>
        </w:numPr>
        <w:spacing w:line="360" w:lineRule="auto"/>
        <w:jc w:val="both"/>
        <w:rPr>
          <w:rFonts w:ascii="David" w:hAnsi="David" w:cs="David"/>
          <w:sz w:val="24"/>
          <w:szCs w:val="24"/>
        </w:rPr>
      </w:pPr>
      <w:r>
        <w:rPr>
          <w:rFonts w:ascii="David" w:hAnsi="David" w:cs="David"/>
          <w:color w:val="000000"/>
          <w:sz w:val="24"/>
          <w:szCs w:val="24"/>
          <w:rtl/>
        </w:rPr>
        <w:t xml:space="preserve">ת"פ (מחוזי י-ם) 45055-01-22 </w:t>
      </w:r>
      <w:r>
        <w:rPr>
          <w:rFonts w:ascii="David" w:hAnsi="David" w:cs="David"/>
          <w:b/>
          <w:bCs/>
          <w:color w:val="000000"/>
          <w:sz w:val="24"/>
          <w:szCs w:val="24"/>
          <w:rtl/>
        </w:rPr>
        <w:t>מדינת ישראל נ' כהן</w:t>
      </w:r>
      <w:r>
        <w:rPr>
          <w:rFonts w:ascii="David" w:hAnsi="David" w:cs="David"/>
          <w:color w:val="000000"/>
          <w:sz w:val="24"/>
          <w:szCs w:val="24"/>
          <w:rtl/>
        </w:rPr>
        <w:t xml:space="preserve"> </w:t>
      </w:r>
      <w:r>
        <w:rPr>
          <w:rFonts w:ascii="David" w:hAnsi="David" w:cs="David"/>
          <w:b/>
          <w:bCs/>
          <w:color w:val="000000"/>
          <w:sz w:val="24"/>
          <w:szCs w:val="24"/>
          <w:rtl/>
        </w:rPr>
        <w:t>ואח'</w:t>
      </w:r>
      <w:r>
        <w:rPr>
          <w:rFonts w:ascii="David" w:hAnsi="David" w:cs="David"/>
          <w:color w:val="000000"/>
          <w:sz w:val="24"/>
          <w:szCs w:val="24"/>
          <w:rtl/>
        </w:rPr>
        <w:t xml:space="preserve">, (15.12.22) נידון עניינם של שמונה נאשמים בעבירות סמים. נאשם 5 הורשע במסגרת הסדר טיעון, בכתב אישום מתוקן בעבירת </w:t>
      </w:r>
      <w:r>
        <w:rPr>
          <w:rFonts w:ascii="David" w:hAnsi="David" w:cs="David"/>
          <w:color w:val="000000"/>
          <w:sz w:val="24"/>
          <w:szCs w:val="24"/>
          <w:u w:val="single"/>
          <w:rtl/>
        </w:rPr>
        <w:t>סיוע לסחר בסם מסוכן</w:t>
      </w:r>
      <w:r>
        <w:rPr>
          <w:rFonts w:ascii="David" w:hAnsi="David" w:cs="David"/>
          <w:sz w:val="24"/>
          <w:szCs w:val="24"/>
          <w:rtl/>
        </w:rPr>
        <w:t xml:space="preserve">. נאשם זה סייע במכירה לסוכן סמוי של 97.5 גרם </w:t>
      </w:r>
      <w:r>
        <w:rPr>
          <w:rFonts w:ascii="David" w:hAnsi="David" w:cs="David"/>
          <w:sz w:val="24"/>
          <w:szCs w:val="24"/>
        </w:rPr>
        <w:t>MDMA</w:t>
      </w:r>
      <w:r>
        <w:rPr>
          <w:rFonts w:ascii="David" w:hAnsi="David" w:cs="David"/>
          <w:sz w:val="24"/>
          <w:szCs w:val="24"/>
          <w:rtl/>
        </w:rPr>
        <w:t xml:space="preserve"> תמורת 13,500 ₪. </w:t>
      </w:r>
      <w:r>
        <w:rPr>
          <w:rFonts w:ascii="David" w:hAnsi="David" w:cs="David"/>
          <w:b/>
          <w:bCs/>
          <w:sz w:val="24"/>
          <w:szCs w:val="24"/>
          <w:rtl/>
        </w:rPr>
        <w:t>בית המשפט המחוזי קבע מתחם שבין 6 לבין 18 חודשי מאסר בפועל</w:t>
      </w:r>
      <w:r>
        <w:rPr>
          <w:rFonts w:ascii="David" w:hAnsi="David" w:cs="David"/>
          <w:sz w:val="24"/>
          <w:szCs w:val="24"/>
          <w:rtl/>
        </w:rPr>
        <w:t xml:space="preserve"> וגזר את עונשו של הנאשם בתחתית המתחם. </w:t>
      </w:r>
    </w:p>
    <w:p w14:paraId="3A553456" w14:textId="77777777" w:rsidR="003C18D1" w:rsidRDefault="008B2380" w:rsidP="003C18D1">
      <w:pPr>
        <w:pStyle w:val="ListParagraph"/>
        <w:numPr>
          <w:ilvl w:val="0"/>
          <w:numId w:val="2"/>
        </w:numPr>
        <w:spacing w:line="360" w:lineRule="auto"/>
        <w:jc w:val="both"/>
        <w:rPr>
          <w:rFonts w:ascii="David" w:hAnsi="David" w:cs="David"/>
          <w:sz w:val="24"/>
          <w:szCs w:val="24"/>
        </w:rPr>
      </w:pPr>
      <w:hyperlink r:id="rId35" w:history="1">
        <w:r w:rsidRPr="008B2380">
          <w:rPr>
            <w:rFonts w:ascii="David" w:hAnsi="David" w:cs="David"/>
            <w:color w:val="0000FF"/>
            <w:sz w:val="24"/>
            <w:szCs w:val="24"/>
            <w:u w:val="single"/>
            <w:rtl/>
          </w:rPr>
          <w:t>ת"פ (מחוזי י-ם) 19469-12-19</w:t>
        </w:r>
      </w:hyperlink>
      <w:r w:rsidR="003C18D1">
        <w:rPr>
          <w:rFonts w:ascii="David" w:hAnsi="David" w:cs="David"/>
          <w:sz w:val="24"/>
          <w:szCs w:val="24"/>
          <w:rtl/>
        </w:rPr>
        <w:t xml:space="preserve"> </w:t>
      </w:r>
      <w:r w:rsidR="003C18D1">
        <w:rPr>
          <w:rFonts w:ascii="David" w:hAnsi="David" w:cs="David" w:hint="cs"/>
          <w:b/>
          <w:bCs/>
          <w:sz w:val="24"/>
          <w:szCs w:val="24"/>
          <w:rtl/>
        </w:rPr>
        <w:t>מדינת ישראל נ' מסוודא</w:t>
      </w:r>
      <w:r w:rsidR="003C18D1">
        <w:rPr>
          <w:rFonts w:ascii="David" w:hAnsi="David" w:cs="David" w:hint="cs"/>
          <w:sz w:val="24"/>
          <w:szCs w:val="24"/>
          <w:rtl/>
        </w:rPr>
        <w:t xml:space="preserve"> (12.1.22): נגזר דינו של נאשם שהורשע בעבירה של </w:t>
      </w:r>
      <w:r w:rsidR="003C18D1">
        <w:rPr>
          <w:rFonts w:ascii="David" w:hAnsi="David" w:cs="David" w:hint="cs"/>
          <w:sz w:val="24"/>
          <w:szCs w:val="24"/>
          <w:u w:val="single"/>
          <w:rtl/>
        </w:rPr>
        <w:t>תיווך בסם מסוכן</w:t>
      </w:r>
      <w:r w:rsidR="003C18D1">
        <w:rPr>
          <w:rFonts w:ascii="David" w:hAnsi="David" w:cs="David" w:hint="cs"/>
          <w:sz w:val="24"/>
          <w:szCs w:val="24"/>
          <w:rtl/>
        </w:rPr>
        <w:t xml:space="preserve">. הנאשם קיבל מאדם אחר 991 טבליות אקסטזי ומסר אותה לסוכן. הסוכן מסר לנאשם 22,000 ₪. מתוכם הנאשם העביר לאדם האחר 21,000 ₪, והותיר אצלו 1,000 ₪ כדמי תיווך. נקבע כי מתחם העונש ההולם </w:t>
      </w:r>
      <w:r w:rsidR="003C18D1">
        <w:rPr>
          <w:rFonts w:ascii="David" w:hAnsi="David" w:cs="David" w:hint="cs"/>
          <w:b/>
          <w:bCs/>
          <w:sz w:val="24"/>
          <w:szCs w:val="24"/>
          <w:rtl/>
        </w:rPr>
        <w:t>נע בין 9 חודשי מאסר בפועל לבין 20 חודשי מאסר בפועל</w:t>
      </w:r>
      <w:r w:rsidR="003C18D1">
        <w:rPr>
          <w:rFonts w:ascii="David" w:hAnsi="David" w:cs="David" w:hint="cs"/>
          <w:sz w:val="24"/>
          <w:szCs w:val="24"/>
          <w:rtl/>
        </w:rPr>
        <w:t>. לצורך קביעת המתחם במקרה זה הובא בחשבון כי היוזמה לביצוע העבירה היתה של הסוכן, שהשקיע מאמצים לא מבוטלים על מנת להניע את הנאשם להשלים את המעשה.</w:t>
      </w:r>
    </w:p>
    <w:p w14:paraId="71C5873A" w14:textId="77777777" w:rsidR="003C18D1" w:rsidRDefault="008B2380" w:rsidP="003C18D1">
      <w:pPr>
        <w:pStyle w:val="ListParagraph"/>
        <w:numPr>
          <w:ilvl w:val="0"/>
          <w:numId w:val="2"/>
        </w:numPr>
        <w:spacing w:line="360" w:lineRule="auto"/>
        <w:jc w:val="both"/>
        <w:rPr>
          <w:rFonts w:ascii="David" w:hAnsi="David" w:cs="David"/>
          <w:sz w:val="24"/>
          <w:szCs w:val="24"/>
          <w:rtl/>
        </w:rPr>
      </w:pPr>
      <w:hyperlink r:id="rId36" w:history="1">
        <w:r w:rsidRPr="008B2380">
          <w:rPr>
            <w:rFonts w:ascii="David" w:hAnsi="David" w:cs="David"/>
            <w:color w:val="0000FF"/>
            <w:sz w:val="24"/>
            <w:szCs w:val="24"/>
            <w:u w:val="single"/>
            <w:rtl/>
          </w:rPr>
          <w:t>ת"פ (מחוזי חיפה) 1047-05-15</w:t>
        </w:r>
      </w:hyperlink>
      <w:r w:rsidR="003C18D1">
        <w:rPr>
          <w:rFonts w:ascii="David" w:hAnsi="David" w:cs="David"/>
          <w:sz w:val="24"/>
          <w:szCs w:val="24"/>
          <w:rtl/>
        </w:rPr>
        <w:t xml:space="preserve"> </w:t>
      </w:r>
      <w:r w:rsidR="003C18D1">
        <w:rPr>
          <w:rFonts w:ascii="David" w:hAnsi="David" w:cs="David" w:hint="cs"/>
          <w:b/>
          <w:bCs/>
          <w:sz w:val="24"/>
          <w:szCs w:val="24"/>
          <w:rtl/>
        </w:rPr>
        <w:t>מדינת ישראל נ' בוליצ'ב</w:t>
      </w:r>
      <w:r w:rsidR="003C18D1">
        <w:rPr>
          <w:rFonts w:ascii="David" w:hAnsi="David" w:cs="David" w:hint="cs"/>
          <w:sz w:val="24"/>
          <w:szCs w:val="24"/>
          <w:rtl/>
        </w:rPr>
        <w:t xml:space="preserve">, (14.6.16): גזר דין שניתן, בין היתר, נגד נאשם שהורשע בעבירה של </w:t>
      </w:r>
      <w:r w:rsidR="003C18D1">
        <w:rPr>
          <w:rFonts w:ascii="David" w:hAnsi="David" w:cs="David" w:hint="cs"/>
          <w:sz w:val="24"/>
          <w:szCs w:val="24"/>
          <w:u w:val="single"/>
          <w:rtl/>
        </w:rPr>
        <w:t>סיוע לסחר בסמים</w:t>
      </w:r>
      <w:r w:rsidR="003C18D1">
        <w:rPr>
          <w:rFonts w:ascii="David" w:hAnsi="David" w:cs="David" w:hint="cs"/>
          <w:sz w:val="24"/>
          <w:szCs w:val="24"/>
          <w:rtl/>
        </w:rPr>
        <w:t xml:space="preserve">. פרטי העסקה סוכמו בין הסוכן לבין נאשם אחר. למקום המפגש הגיע הנאשם כשהוא נוהג ברכב ושם פגש את הסוכן. אדם נוסף שהיה ברכב מסר לסוכן שקית ובה 498 כדורים של סם מסוכן מסוג </w:t>
      </w:r>
      <w:r w:rsidR="003C18D1">
        <w:rPr>
          <w:rFonts w:ascii="David" w:hAnsi="David" w:cs="David"/>
          <w:sz w:val="24"/>
          <w:szCs w:val="24"/>
        </w:rPr>
        <w:t>MDMA</w:t>
      </w:r>
      <w:r w:rsidR="003C18D1">
        <w:rPr>
          <w:rFonts w:ascii="David" w:hAnsi="David" w:cs="David"/>
          <w:sz w:val="24"/>
          <w:szCs w:val="24"/>
          <w:rtl/>
        </w:rPr>
        <w:t xml:space="preserve"> בתמורה לסך של 15,000 ₪. נקבע כי מתחם העונש ההולם נע בין 6 חודשי מאסר בפועל לבין 12 חודשי מאסר בפועל.</w:t>
      </w:r>
    </w:p>
    <w:p w14:paraId="41E1C0EB" w14:textId="77777777" w:rsidR="003C18D1" w:rsidRDefault="003C18D1" w:rsidP="003C18D1">
      <w:pPr>
        <w:pStyle w:val="ListParagraph"/>
        <w:numPr>
          <w:ilvl w:val="0"/>
          <w:numId w:val="1"/>
        </w:numPr>
        <w:spacing w:line="360" w:lineRule="auto"/>
        <w:ind w:left="368"/>
        <w:jc w:val="both"/>
        <w:rPr>
          <w:rFonts w:ascii="David" w:hAnsi="David" w:cs="David"/>
          <w:sz w:val="24"/>
          <w:szCs w:val="24"/>
          <w:rtl/>
        </w:rPr>
      </w:pPr>
      <w:r>
        <w:rPr>
          <w:rFonts w:ascii="David" w:hAnsi="David" w:cs="David"/>
          <w:b/>
          <w:bCs/>
          <w:sz w:val="24"/>
          <w:szCs w:val="24"/>
          <w:rtl/>
        </w:rPr>
        <w:t xml:space="preserve">לעניין עקרון אחידות הענישה – </w:t>
      </w:r>
      <w:r>
        <w:rPr>
          <w:rFonts w:ascii="David" w:hAnsi="David" w:cs="David"/>
          <w:sz w:val="24"/>
          <w:szCs w:val="24"/>
          <w:rtl/>
        </w:rPr>
        <w:t>חשיבותו של עיקרון זה נובעת מעקרונות היסוד של המשפט ובהם זכות היסוד לשוויון, עיקרון השוויון בפני החוק ומהרצון לשמור על אמון הציבור בהליך הפלילי, ראו פסק הדין  ב</w:t>
      </w:r>
      <w:hyperlink r:id="rId37" w:history="1">
        <w:r w:rsidR="008B2380" w:rsidRPr="008B2380">
          <w:rPr>
            <w:rFonts w:ascii="David" w:hAnsi="David" w:cs="David"/>
            <w:color w:val="0000FF"/>
            <w:sz w:val="24"/>
            <w:szCs w:val="24"/>
            <w:u w:val="single"/>
            <w:rtl/>
          </w:rPr>
          <w:t>ע"פ 9792/06</w:t>
        </w:r>
      </w:hyperlink>
      <w:r>
        <w:rPr>
          <w:rFonts w:ascii="David" w:hAnsi="David" w:cs="David"/>
          <w:sz w:val="24"/>
          <w:szCs w:val="24"/>
          <w:rtl/>
        </w:rPr>
        <w:t xml:space="preserve"> </w:t>
      </w:r>
      <w:r>
        <w:rPr>
          <w:rFonts w:ascii="David" w:hAnsi="David" w:cs="David" w:hint="cs"/>
          <w:bCs/>
          <w:sz w:val="24"/>
          <w:szCs w:val="24"/>
          <w:rtl/>
        </w:rPr>
        <w:t>חמוד נ' מדינת ישראל</w:t>
      </w:r>
      <w:r>
        <w:rPr>
          <w:rFonts w:ascii="David" w:hAnsi="David" w:cs="David" w:hint="cs"/>
          <w:sz w:val="24"/>
          <w:szCs w:val="24"/>
          <w:rtl/>
        </w:rPr>
        <w:t>, פסקה 15 [נבו] (01.04.2007). עיקרון זה, כך נקבע, מקבל משנה תוקף במקרים בהם מדובר בנאשמים שהורשעו בגדר אותה פרשה (</w:t>
      </w:r>
      <w:hyperlink r:id="rId38" w:history="1">
        <w:r w:rsidR="008B2380" w:rsidRPr="008B2380">
          <w:rPr>
            <w:rFonts w:ascii="David" w:hAnsi="David" w:cs="David"/>
            <w:color w:val="0000FF"/>
            <w:sz w:val="24"/>
            <w:szCs w:val="24"/>
            <w:u w:val="single"/>
            <w:rtl/>
          </w:rPr>
          <w:t>ע"פ 4959/19</w:t>
        </w:r>
      </w:hyperlink>
      <w:r>
        <w:rPr>
          <w:rFonts w:ascii="David" w:hAnsi="David" w:cs="David"/>
          <w:sz w:val="24"/>
          <w:szCs w:val="24"/>
          <w:rtl/>
        </w:rPr>
        <w:t xml:space="preserve"> </w:t>
      </w:r>
      <w:r>
        <w:rPr>
          <w:rFonts w:ascii="David" w:hAnsi="David" w:cs="David" w:hint="cs"/>
          <w:bCs/>
          <w:sz w:val="24"/>
          <w:szCs w:val="24"/>
          <w:rtl/>
        </w:rPr>
        <w:t>פלוני נ' מדינת ישראל</w:t>
      </w:r>
      <w:r>
        <w:rPr>
          <w:rFonts w:ascii="David" w:hAnsi="David" w:cs="David" w:hint="cs"/>
          <w:sz w:val="24"/>
          <w:szCs w:val="24"/>
          <w:rtl/>
        </w:rPr>
        <w:t xml:space="preserve">, פסקה 4 [נבו] (12.06.2022). במישור המעשי נקבע בפסיקה, כי עיקרון אחידות הענישה מחייב את בית המשפט לערוך מבט כולל, ולבחון הן את מדיניות הענישה הנהוגה, בהתאם להוראת </w:t>
      </w:r>
      <w:hyperlink r:id="rId39" w:history="1">
        <w:r w:rsidR="00D10BA0" w:rsidRPr="00D10BA0">
          <w:rPr>
            <w:rStyle w:val="Hyperlink"/>
            <w:rFonts w:ascii="David" w:hAnsi="David" w:cs="David"/>
            <w:color w:val="0000FF"/>
            <w:sz w:val="24"/>
            <w:szCs w:val="24"/>
            <w:rtl/>
          </w:rPr>
          <w:t>סעיף 40ג(א)</w:t>
        </w:r>
      </w:hyperlink>
      <w:r>
        <w:rPr>
          <w:rFonts w:ascii="David" w:hAnsi="David" w:cs="David"/>
          <w:sz w:val="24"/>
          <w:szCs w:val="24"/>
          <w:rtl/>
        </w:rPr>
        <w:t xml:space="preserve"> לחוק והן את הענישה שהושתה על מעורבים אחרים במסגרת אותה פרשה, כך שמדרג הענישה ישקף את חלקם של כל אחד מהנאשמים (ראו למשל: </w:t>
      </w:r>
      <w:hyperlink r:id="rId40" w:history="1">
        <w:r w:rsidR="008B2380" w:rsidRPr="008B2380">
          <w:rPr>
            <w:rFonts w:ascii="David" w:hAnsi="David" w:cs="David"/>
            <w:color w:val="0000FF"/>
            <w:sz w:val="24"/>
            <w:szCs w:val="24"/>
            <w:u w:val="single"/>
            <w:rtl/>
          </w:rPr>
          <w:t>ע"פ 1548/18</w:t>
        </w:r>
      </w:hyperlink>
      <w:r>
        <w:rPr>
          <w:rFonts w:ascii="David" w:hAnsi="David" w:cs="David"/>
          <w:sz w:val="24"/>
          <w:szCs w:val="24"/>
          <w:rtl/>
        </w:rPr>
        <w:t xml:space="preserve"> </w:t>
      </w:r>
      <w:r>
        <w:rPr>
          <w:rFonts w:ascii="David" w:hAnsi="David" w:cs="David" w:hint="cs"/>
          <w:bCs/>
          <w:sz w:val="24"/>
          <w:szCs w:val="24"/>
          <w:rtl/>
        </w:rPr>
        <w:t>גיא נ' מדינת ישראל</w:t>
      </w:r>
      <w:r>
        <w:rPr>
          <w:rFonts w:ascii="David" w:hAnsi="David" w:cs="David" w:hint="cs"/>
          <w:sz w:val="24"/>
          <w:szCs w:val="24"/>
          <w:rtl/>
        </w:rPr>
        <w:t>, פסקה 22 [נבו] (30.01.2019)). הסתכלות זו נועדה לשמור על יחסיות  בין הנאשמים בהתאם לחומרת מעשיהם ונסיבותיהם האישיות (</w:t>
      </w:r>
      <w:hyperlink r:id="rId41" w:history="1">
        <w:r w:rsidR="008B2380" w:rsidRPr="008B2380">
          <w:rPr>
            <w:rFonts w:ascii="David" w:hAnsi="David" w:cs="David"/>
            <w:color w:val="0000FF"/>
            <w:sz w:val="24"/>
            <w:szCs w:val="24"/>
            <w:u w:val="single"/>
            <w:rtl/>
          </w:rPr>
          <w:t>ע"פ 7786/21</w:t>
        </w:r>
      </w:hyperlink>
      <w:r>
        <w:rPr>
          <w:rFonts w:ascii="David" w:hAnsi="David" w:cs="David"/>
          <w:sz w:val="24"/>
          <w:szCs w:val="24"/>
          <w:rtl/>
        </w:rPr>
        <w:t xml:space="preserve"> </w:t>
      </w:r>
      <w:r>
        <w:rPr>
          <w:rFonts w:ascii="David" w:hAnsi="David" w:cs="David" w:hint="cs"/>
          <w:bCs/>
          <w:sz w:val="24"/>
          <w:szCs w:val="24"/>
          <w:rtl/>
        </w:rPr>
        <w:t>אזמה נ' מדינת ישראל</w:t>
      </w:r>
      <w:r>
        <w:rPr>
          <w:rFonts w:ascii="David" w:hAnsi="David" w:cs="David" w:hint="cs"/>
          <w:sz w:val="24"/>
          <w:szCs w:val="24"/>
          <w:rtl/>
        </w:rPr>
        <w:t xml:space="preserve">, פסקה 75 [נבו] (14.07.2022)). </w:t>
      </w:r>
    </w:p>
    <w:p w14:paraId="0CB2D329" w14:textId="77777777" w:rsidR="003C18D1" w:rsidRDefault="003C18D1" w:rsidP="003C18D1">
      <w:pPr>
        <w:pStyle w:val="ListParagraph"/>
        <w:spacing w:line="360" w:lineRule="auto"/>
        <w:ind w:left="368"/>
        <w:jc w:val="both"/>
        <w:rPr>
          <w:rFonts w:ascii="David" w:hAnsi="David" w:cs="David"/>
          <w:sz w:val="24"/>
          <w:szCs w:val="24"/>
        </w:rPr>
      </w:pPr>
      <w:r>
        <w:rPr>
          <w:rFonts w:ascii="David" w:hAnsi="David" w:cs="David"/>
          <w:color w:val="000000"/>
          <w:sz w:val="24"/>
          <w:szCs w:val="24"/>
          <w:shd w:val="clear" w:color="auto" w:fill="FFFFFF"/>
          <w:rtl/>
        </w:rPr>
        <w:t xml:space="preserve">לצד זאת ייאמר כי </w:t>
      </w:r>
      <w:r>
        <w:rPr>
          <w:rFonts w:ascii="David" w:hAnsi="David" w:cs="David"/>
          <w:sz w:val="24"/>
          <w:szCs w:val="24"/>
          <w:rtl/>
        </w:rPr>
        <w:t>עיקרון אחידות הענישה איננו חזות הכל, ומדובר בשיקול אחד מיני רבים אותם נדרש בית המשפט לשקול בעת מתן גזר הדין (</w:t>
      </w:r>
      <w:hyperlink r:id="rId42" w:history="1">
        <w:r w:rsidR="008B2380" w:rsidRPr="008B2380">
          <w:rPr>
            <w:rFonts w:ascii="David" w:hAnsi="David" w:cs="David"/>
            <w:color w:val="0000FF"/>
            <w:sz w:val="24"/>
            <w:szCs w:val="24"/>
            <w:u w:val="single"/>
            <w:rtl/>
          </w:rPr>
          <w:t>ע"פ 2580/14</w:t>
        </w:r>
      </w:hyperlink>
      <w:r>
        <w:rPr>
          <w:rFonts w:ascii="David" w:hAnsi="David" w:cs="David"/>
          <w:sz w:val="24"/>
          <w:szCs w:val="24"/>
          <w:rtl/>
        </w:rPr>
        <w:t xml:space="preserve"> </w:t>
      </w:r>
      <w:r>
        <w:rPr>
          <w:rFonts w:ascii="David" w:hAnsi="David" w:cs="David" w:hint="cs"/>
          <w:bCs/>
          <w:sz w:val="24"/>
          <w:szCs w:val="24"/>
          <w:rtl/>
        </w:rPr>
        <w:t>חסן נ' מדינת ישראל</w:t>
      </w:r>
      <w:r>
        <w:rPr>
          <w:rFonts w:ascii="David" w:hAnsi="David" w:cs="David" w:hint="cs"/>
          <w:sz w:val="24"/>
          <w:szCs w:val="24"/>
          <w:rtl/>
        </w:rPr>
        <w:t xml:space="preserve">, פסקה 19 [נבו] (23.09.2014)). </w:t>
      </w:r>
      <w:r>
        <w:rPr>
          <w:rFonts w:ascii="David" w:hAnsi="David" w:cs="David" w:hint="cs"/>
          <w:color w:val="000000"/>
          <w:sz w:val="24"/>
          <w:szCs w:val="24"/>
          <w:shd w:val="clear" w:color="auto" w:fill="FFFFFF"/>
          <w:rtl/>
        </w:rPr>
        <w:t xml:space="preserve">מלאכת גזירת העונש אינה 'מדע מדויק', ויש לקחת בחשבון גם את המסכת העובדתית הרלוונטית לכל נאשם ואת נסיבותיו האישיות. לפיכך שוני רלוונטי בכל אלה יכול להצדיק הבחנה </w:t>
      </w:r>
      <w:r>
        <w:rPr>
          <w:rFonts w:ascii="David" w:hAnsi="David" w:cs="David" w:hint="cs"/>
          <w:sz w:val="24"/>
          <w:szCs w:val="24"/>
          <w:rtl/>
        </w:rPr>
        <w:t>גם בין נאשמים שהורשעו במסגרת אותו כתב אישום ותיתכן חריגה מעיקרון אחידות הענישה אף כאשר ישנה זהות בנסיבותיהם האישיות של</w:t>
      </w:r>
      <w:r>
        <w:rPr>
          <w:rFonts w:ascii="David" w:hAnsi="David" w:cs="David" w:hint="cs"/>
          <w:color w:val="000000"/>
          <w:sz w:val="24"/>
          <w:szCs w:val="24"/>
          <w:shd w:val="clear" w:color="auto" w:fill="FFFFFF"/>
          <w:rtl/>
        </w:rPr>
        <w:t xml:space="preserve"> נאשמים, אם שיקולי ענישה נוספים גוברים על עיקרון זה, ראו </w:t>
      </w:r>
      <w:hyperlink r:id="rId43" w:history="1">
        <w:r w:rsidR="008B2380" w:rsidRPr="008B2380">
          <w:rPr>
            <w:rFonts w:ascii="David" w:hAnsi="David" w:cs="David"/>
            <w:color w:val="0000FF"/>
            <w:sz w:val="24"/>
            <w:szCs w:val="24"/>
            <w:u w:val="single"/>
            <w:rtl/>
          </w:rPr>
          <w:t>ע"פ 8045/17</w:t>
        </w:r>
      </w:hyperlink>
      <w:r>
        <w:rPr>
          <w:rFonts w:ascii="David" w:hAnsi="David" w:cs="David"/>
          <w:sz w:val="24"/>
          <w:szCs w:val="24"/>
          <w:rtl/>
        </w:rPr>
        <w:t xml:space="preserve"> </w:t>
      </w:r>
      <w:r>
        <w:rPr>
          <w:rFonts w:ascii="David" w:hAnsi="David" w:cs="David" w:hint="cs"/>
          <w:bCs/>
          <w:sz w:val="24"/>
          <w:szCs w:val="24"/>
          <w:rtl/>
        </w:rPr>
        <w:t>בראנסי נ' מדינת ישראל</w:t>
      </w:r>
      <w:r>
        <w:rPr>
          <w:rFonts w:ascii="David" w:hAnsi="David" w:cs="David" w:hint="cs"/>
          <w:sz w:val="24"/>
          <w:szCs w:val="24"/>
          <w:rtl/>
        </w:rPr>
        <w:t xml:space="preserve">, פסקה 13 [נבו] (16.08.2018); </w:t>
      </w:r>
      <w:hyperlink r:id="rId44" w:history="1">
        <w:r w:rsidR="008B2380" w:rsidRPr="008B2380">
          <w:rPr>
            <w:rFonts w:ascii="David" w:hAnsi="David" w:cs="David"/>
            <w:color w:val="0000FF"/>
            <w:sz w:val="24"/>
            <w:szCs w:val="24"/>
            <w:u w:val="single"/>
            <w:rtl/>
          </w:rPr>
          <w:t>ע"פ 5813/21</w:t>
        </w:r>
      </w:hyperlink>
      <w:r>
        <w:rPr>
          <w:rFonts w:ascii="David" w:hAnsi="David" w:cs="David"/>
          <w:sz w:val="24"/>
          <w:szCs w:val="24"/>
          <w:rtl/>
        </w:rPr>
        <w:t xml:space="preserve"> </w:t>
      </w:r>
      <w:r>
        <w:rPr>
          <w:rFonts w:ascii="David" w:hAnsi="David" w:cs="David" w:hint="cs"/>
          <w:bCs/>
          <w:sz w:val="24"/>
          <w:szCs w:val="24"/>
          <w:rtl/>
        </w:rPr>
        <w:t>ג'בארין נ' מדינת ישראל</w:t>
      </w:r>
      <w:r>
        <w:rPr>
          <w:rFonts w:ascii="David" w:hAnsi="David" w:cs="David" w:hint="cs"/>
          <w:sz w:val="24"/>
          <w:szCs w:val="24"/>
          <w:rtl/>
        </w:rPr>
        <w:t xml:space="preserve">, פסקה 21 [נבו] (31.05.2022)‏). בסופו של דבר כל מקרה מוכרע על פי מכלול נסיבותיו והשיקולים המתעוררים בגדרו. </w:t>
      </w:r>
    </w:p>
    <w:p w14:paraId="435B92ED" w14:textId="77777777" w:rsidR="003C18D1" w:rsidRDefault="003C18D1" w:rsidP="003C18D1">
      <w:pPr>
        <w:pStyle w:val="ListParagraph"/>
        <w:numPr>
          <w:ilvl w:val="0"/>
          <w:numId w:val="1"/>
        </w:numPr>
        <w:spacing w:line="360" w:lineRule="auto"/>
        <w:ind w:left="368"/>
        <w:jc w:val="both"/>
        <w:rPr>
          <w:rFonts w:ascii="David" w:hAnsi="David" w:cs="David"/>
          <w:b/>
          <w:bCs/>
          <w:sz w:val="24"/>
          <w:szCs w:val="24"/>
          <w:rtl/>
        </w:rPr>
      </w:pPr>
      <w:r>
        <w:rPr>
          <w:rFonts w:ascii="David" w:hAnsi="David" w:cs="David"/>
          <w:sz w:val="24"/>
          <w:szCs w:val="24"/>
          <w:rtl/>
        </w:rPr>
        <w:t xml:space="preserve">בענייננו אין חולק שעל נאשמים אחרים, שחלקם דומה לעניינו של הנאשם בפרשה והורשעו באותה עבירה של סיוע לסחר בסם, נגזרו עונשים חמורים יותר במסגרת הסדרי טיעון והסכמות עונשיות שהושגו לאחר הליכי גישור ממושכים בפני כב' השופט בני שגיא. </w:t>
      </w:r>
    </w:p>
    <w:p w14:paraId="2B206F6E" w14:textId="77777777" w:rsidR="003C18D1" w:rsidRDefault="003C18D1" w:rsidP="003C18D1">
      <w:pPr>
        <w:pStyle w:val="ListParagraph"/>
        <w:numPr>
          <w:ilvl w:val="0"/>
          <w:numId w:val="1"/>
        </w:numPr>
        <w:spacing w:line="360" w:lineRule="auto"/>
        <w:ind w:left="368"/>
        <w:jc w:val="both"/>
        <w:rPr>
          <w:rFonts w:ascii="David" w:hAnsi="David" w:cs="David"/>
          <w:sz w:val="24"/>
          <w:szCs w:val="24"/>
        </w:rPr>
      </w:pPr>
      <w:r>
        <w:rPr>
          <w:rFonts w:ascii="David" w:hAnsi="David" w:cs="David"/>
          <w:sz w:val="24"/>
          <w:szCs w:val="24"/>
          <w:u w:val="single"/>
          <w:rtl/>
        </w:rPr>
        <w:t>ב</w:t>
      </w:r>
      <w:hyperlink r:id="rId45" w:history="1">
        <w:r w:rsidR="008B2380" w:rsidRPr="008B2380">
          <w:rPr>
            <w:rFonts w:ascii="David" w:hAnsi="David" w:cs="David"/>
            <w:color w:val="0000FF"/>
            <w:sz w:val="24"/>
            <w:szCs w:val="24"/>
            <w:u w:val="single"/>
            <w:rtl/>
          </w:rPr>
          <w:t>ת"פ 47815-09-23</w:t>
        </w:r>
      </w:hyperlink>
      <w:r>
        <w:rPr>
          <w:rFonts w:ascii="David" w:hAnsi="David" w:cs="David"/>
          <w:sz w:val="24"/>
          <w:szCs w:val="24"/>
          <w:u w:val="single"/>
          <w:rtl/>
        </w:rPr>
        <w:t xml:space="preserve"> נדון עניינו של נאשם 2 פרנקו חיגאזי</w:t>
      </w:r>
      <w:r>
        <w:rPr>
          <w:rFonts w:ascii="David" w:hAnsi="David" w:cs="David"/>
          <w:sz w:val="24"/>
          <w:szCs w:val="24"/>
          <w:rtl/>
        </w:rPr>
        <w:t>, שעניינו הוא הדומה ביותר לעניינו של הנאשם. חיגאזי הורשע בסיוע במכירה של 499 כדורי אקסטזי לסוכן תמורת 11,500 ₪. בהסכמת הצדדים נגזרו עליו 17 חודשי מאסר בפועל וזאת חרף העובדה שלא היו לו הרשעות קודמות בעבירות סמים. על פניו נראה כי בהשוואה למקרה זה עונשו של הנאשם שלפני הוא עונש מקל באופן משמעותי. עם זאת כאשר עסקינן בעונש סגור ומוסכם בין הצדדים שהתגבש לאחר הליך גישור ארוך וממושך, בית משפט אינו חשוף לכלל לשיקולים הראייתיים והספציפיים שהביאו את הצדדים להסכמות העונשיות הספציפיות. לאחרונה התייחס בית המשפט העליון לנושא זה ולעקרון אחידות הענישה כאשר מדובר בעונש מוסכם במסגרת הסדר סגור ב</w:t>
      </w:r>
      <w:hyperlink r:id="rId46" w:history="1">
        <w:r>
          <w:rPr>
            <w:rStyle w:val="Hyperlink"/>
            <w:rFonts w:ascii="David" w:hAnsi="David" w:cs="David"/>
            <w:sz w:val="24"/>
            <w:szCs w:val="24"/>
            <w:rtl/>
          </w:rPr>
          <w:t>ע"פ 6527/23</w:t>
        </w:r>
        <w:r w:rsidR="008B2380">
          <w:rPr>
            <w:rStyle w:val="Hyperlink"/>
            <w:rFonts w:ascii="David" w:hAnsi="David" w:cs="David"/>
            <w:sz w:val="24"/>
            <w:szCs w:val="24"/>
            <w:rtl/>
          </w:rPr>
          <w:t xml:space="preserve"> </w:t>
        </w:r>
        <w:r>
          <w:rPr>
            <w:rStyle w:val="Hyperlink"/>
            <w:rFonts w:ascii="David" w:hAnsi="David" w:cs="David"/>
            <w:b/>
            <w:bCs/>
            <w:sz w:val="24"/>
            <w:szCs w:val="24"/>
            <w:rtl/>
          </w:rPr>
          <w:t>מחמד מדחת נ' מדינת ישראל</w:t>
        </w:r>
        <w:r w:rsidR="008B2380">
          <w:rPr>
            <w:rStyle w:val="Hyperlink"/>
            <w:rFonts w:ascii="David" w:hAnsi="David" w:cs="David"/>
            <w:sz w:val="24"/>
            <w:szCs w:val="24"/>
            <w:rtl/>
          </w:rPr>
          <w:t xml:space="preserve"> </w:t>
        </w:r>
        <w:r>
          <w:rPr>
            <w:rStyle w:val="Hyperlink"/>
            <w:rFonts w:ascii="David" w:hAnsi="David" w:cs="David"/>
            <w:sz w:val="24"/>
            <w:szCs w:val="24"/>
            <w:rtl/>
          </w:rPr>
          <w:t>(נבו 12.1.2025)‏</w:t>
        </w:r>
      </w:hyperlink>
      <w:r>
        <w:rPr>
          <w:rFonts w:ascii="David" w:hAnsi="David" w:cs="David"/>
          <w:color w:val="000000"/>
          <w:sz w:val="24"/>
          <w:szCs w:val="24"/>
          <w:rtl/>
        </w:rPr>
        <w:t xml:space="preserve">‏ ופסק כך:  </w:t>
      </w:r>
    </w:p>
    <w:p w14:paraId="165FA6EE" w14:textId="77777777" w:rsidR="003C18D1" w:rsidRDefault="003C18D1" w:rsidP="003C18D1">
      <w:pPr>
        <w:pStyle w:val="ListParagraph"/>
        <w:spacing w:line="360" w:lineRule="auto"/>
        <w:ind w:left="935" w:right="567"/>
        <w:jc w:val="both"/>
        <w:rPr>
          <w:rFonts w:ascii="David" w:hAnsi="David" w:cs="David"/>
          <w:sz w:val="24"/>
          <w:szCs w:val="24"/>
        </w:rPr>
      </w:pPr>
      <w:r>
        <w:rPr>
          <w:rFonts w:ascii="David" w:hAnsi="David" w:cs="David"/>
          <w:b/>
          <w:bCs/>
          <w:color w:val="000000"/>
          <w:sz w:val="24"/>
          <w:szCs w:val="24"/>
          <w:rtl/>
        </w:rPr>
        <w:t>"במצב בו עונשם של חלק מהמעורבים באותה הפרשה נגזר בהתאם להסדר טיעון, עלול להתעורר, מטבע הדברים, קושי בבואו של בית המשפט להגשים עיקרון זה, משהסדר הטיעון מתחשב בשיקולים מגוונים ושונים ובכללם שיקולים במישור הראייתי (</w:t>
      </w:r>
      <w:hyperlink r:id="rId47" w:history="1">
        <w:r w:rsidR="008B2380" w:rsidRPr="008B2380">
          <w:rPr>
            <w:rFonts w:ascii="David" w:hAnsi="David" w:cs="David"/>
            <w:b/>
            <w:bCs/>
            <w:color w:val="0000FF"/>
            <w:sz w:val="24"/>
            <w:szCs w:val="24"/>
            <w:u w:val="single"/>
            <w:rtl/>
          </w:rPr>
          <w:t>ע"פ 1222/22</w:t>
        </w:r>
      </w:hyperlink>
      <w:r>
        <w:rPr>
          <w:rFonts w:ascii="David" w:hAnsi="David" w:cs="David"/>
          <w:b/>
          <w:bCs/>
          <w:color w:val="000000"/>
          <w:sz w:val="24"/>
          <w:szCs w:val="24"/>
          <w:rtl/>
        </w:rPr>
        <w:t xml:space="preserve"> מדינת ישראל נ' נאצר, פסקה 13 [נבו]</w:t>
      </w:r>
      <w:r>
        <w:rPr>
          <w:rFonts w:ascii="David" w:hAnsi="David" w:cs="David"/>
          <w:b/>
          <w:bCs/>
          <w:color w:val="000000"/>
          <w:sz w:val="24"/>
          <w:szCs w:val="24"/>
        </w:rPr>
        <w:t xml:space="preserve"> (23.06.2022)</w:t>
      </w:r>
      <w:r>
        <w:rPr>
          <w:rFonts w:ascii="David" w:hAnsi="David" w:cs="David"/>
          <w:b/>
          <w:bCs/>
          <w:color w:val="000000"/>
          <w:sz w:val="24"/>
          <w:szCs w:val="24"/>
          <w:rtl/>
        </w:rPr>
        <w:t>). יחד עם זאת, ברי כי אין קושי זה מאיין עיקרון מנחה זה ומבטלו מעיקרו. כך הודגש, כי "מן הדין לשמור על עקרון אחידות הענישה, גם במקום שבו מתחייבת סטייה מיישומו הטכני המדוקדק" כבמקרים כגון דא (</w:t>
      </w:r>
      <w:hyperlink r:id="rId48" w:history="1">
        <w:r w:rsidR="008B2380" w:rsidRPr="008B2380">
          <w:rPr>
            <w:rFonts w:ascii="David" w:hAnsi="David" w:cs="David"/>
            <w:b/>
            <w:bCs/>
            <w:color w:val="0000FF"/>
            <w:sz w:val="24"/>
            <w:szCs w:val="24"/>
            <w:u w:val="single"/>
            <w:rtl/>
          </w:rPr>
          <w:t>ע"פ 804/95</w:t>
        </w:r>
      </w:hyperlink>
      <w:r>
        <w:rPr>
          <w:rFonts w:ascii="David" w:hAnsi="David" w:cs="David"/>
          <w:b/>
          <w:bCs/>
          <w:color w:val="000000"/>
          <w:sz w:val="24"/>
          <w:szCs w:val="24"/>
          <w:rtl/>
        </w:rPr>
        <w:t xml:space="preserve"> גרינברג נ' מדינת ישראל, מט(4) 200, 208 (1995)".</w:t>
      </w:r>
    </w:p>
    <w:p w14:paraId="6E93B560" w14:textId="77777777" w:rsidR="003C18D1" w:rsidRDefault="003C18D1" w:rsidP="003C18D1">
      <w:pPr>
        <w:pStyle w:val="ListParagraph"/>
        <w:spacing w:line="360" w:lineRule="auto"/>
        <w:ind w:left="368"/>
        <w:jc w:val="both"/>
        <w:rPr>
          <w:rFonts w:ascii="David" w:hAnsi="David" w:cs="David"/>
          <w:sz w:val="24"/>
          <w:szCs w:val="24"/>
          <w:rtl/>
        </w:rPr>
      </w:pPr>
      <w:r>
        <w:rPr>
          <w:rFonts w:ascii="David" w:hAnsi="David" w:cs="David"/>
          <w:sz w:val="24"/>
          <w:szCs w:val="24"/>
          <w:u w:val="single"/>
          <w:rtl/>
        </w:rPr>
        <w:t>בת"פ 29918-09-23 נדון עניינו של נאשם 1 יוסף אבו סייף</w:t>
      </w:r>
      <w:r>
        <w:rPr>
          <w:rFonts w:ascii="David" w:hAnsi="David" w:cs="David"/>
          <w:sz w:val="24"/>
          <w:szCs w:val="24"/>
          <w:rtl/>
        </w:rPr>
        <w:t xml:space="preserve"> שהורשע בסיוע למכירת 24 גר' קוקאין תמורת 11,500 ₪. בהסכמת הצדדים הושתו על הנאשם 12 חודשי מאסר בפועל. </w:t>
      </w:r>
    </w:p>
    <w:p w14:paraId="33A21791" w14:textId="77777777" w:rsidR="003C18D1" w:rsidRDefault="003C18D1" w:rsidP="003C18D1">
      <w:pPr>
        <w:pStyle w:val="ListParagraph"/>
        <w:spacing w:line="360" w:lineRule="auto"/>
        <w:ind w:left="368"/>
        <w:jc w:val="both"/>
        <w:rPr>
          <w:rFonts w:ascii="David" w:hAnsi="David" w:cs="David"/>
          <w:sz w:val="24"/>
          <w:szCs w:val="24"/>
          <w:rtl/>
        </w:rPr>
      </w:pPr>
      <w:r>
        <w:rPr>
          <w:rFonts w:ascii="David" w:hAnsi="David" w:cs="David"/>
          <w:sz w:val="24"/>
          <w:szCs w:val="24"/>
          <w:u w:val="single"/>
          <w:rtl/>
        </w:rPr>
        <w:t>ב</w:t>
      </w:r>
      <w:hyperlink r:id="rId49" w:history="1">
        <w:r w:rsidR="008B2380" w:rsidRPr="008B2380">
          <w:rPr>
            <w:rFonts w:ascii="David" w:hAnsi="David" w:cs="David"/>
            <w:color w:val="0000FF"/>
            <w:sz w:val="24"/>
            <w:szCs w:val="24"/>
            <w:u w:val="single"/>
            <w:rtl/>
          </w:rPr>
          <w:t>ת"פ 29976-09-23</w:t>
        </w:r>
      </w:hyperlink>
      <w:r>
        <w:rPr>
          <w:rFonts w:ascii="David" w:hAnsi="David" w:cs="David"/>
          <w:sz w:val="24"/>
          <w:szCs w:val="24"/>
          <w:u w:val="single"/>
          <w:rtl/>
        </w:rPr>
        <w:t xml:space="preserve"> נדון עניינם של נאשם 1 איימן חסונה ונאשם 4 תאופיק גריר</w:t>
      </w:r>
      <w:r>
        <w:rPr>
          <w:rFonts w:ascii="David" w:hAnsi="David" w:cs="David"/>
          <w:sz w:val="24"/>
          <w:szCs w:val="24"/>
          <w:rtl/>
        </w:rPr>
        <w:t xml:space="preserve"> שניהם הורשעו בסיוע לסחר בסם. חסונה סייע במכר של 100 גרם קוקאין לסוכן תמורת 30,000 ₪, וגריר סייע במכר של 101 גרם קוקאין לסוכן תמורת 25,000 ₪. במסגרת הסכמות עונשיות בין הצדדים נגזרו על חסונה וגריר 17 חודשי מאסר בפועל בגין העבירה בה הורשעו (לגבי גריר הופעל מאסר מותנה כך שבסך הכל נגזרו עליו 20 חודשי מאסר). </w:t>
      </w:r>
    </w:p>
    <w:p w14:paraId="6C6EDA88" w14:textId="77777777" w:rsidR="003C18D1" w:rsidRDefault="003C18D1" w:rsidP="003C18D1">
      <w:pPr>
        <w:pStyle w:val="ListParagraph"/>
        <w:spacing w:line="360" w:lineRule="auto"/>
        <w:ind w:left="368"/>
        <w:jc w:val="both"/>
        <w:rPr>
          <w:rFonts w:ascii="David" w:hAnsi="David" w:cs="David"/>
          <w:sz w:val="24"/>
          <w:szCs w:val="24"/>
          <w:rtl/>
        </w:rPr>
      </w:pPr>
      <w:r>
        <w:rPr>
          <w:rFonts w:ascii="David" w:hAnsi="David" w:cs="David"/>
          <w:sz w:val="24"/>
          <w:szCs w:val="24"/>
          <w:u w:val="single"/>
          <w:rtl/>
        </w:rPr>
        <w:t>ב</w:t>
      </w:r>
      <w:hyperlink r:id="rId50" w:history="1">
        <w:r w:rsidR="008B2380" w:rsidRPr="008B2380">
          <w:rPr>
            <w:rFonts w:ascii="David" w:hAnsi="David" w:cs="David"/>
            <w:color w:val="0000FF"/>
            <w:sz w:val="24"/>
            <w:szCs w:val="24"/>
            <w:u w:val="single"/>
            <w:rtl/>
          </w:rPr>
          <w:t>ת"פ 48001-09-23</w:t>
        </w:r>
      </w:hyperlink>
      <w:r>
        <w:rPr>
          <w:rFonts w:ascii="David" w:hAnsi="David" w:cs="David"/>
          <w:sz w:val="24"/>
          <w:szCs w:val="24"/>
          <w:u w:val="single"/>
          <w:rtl/>
        </w:rPr>
        <w:t xml:space="preserve"> </w:t>
      </w:r>
      <w:r>
        <w:rPr>
          <w:rFonts w:ascii="David" w:hAnsi="David" w:cs="David"/>
          <w:sz w:val="24"/>
          <w:szCs w:val="24"/>
          <w:rtl/>
        </w:rPr>
        <w:t xml:space="preserve">נדון עניינם של נאשמים 3 ו-4 שהורשעו בסיוע למכירת 150 גרם קוקאין לסוכן ועניינו של נאשם 2 שהורשע בשני מקרים של סיוע למכירת 150 גרם קוקאין לסוכן. במסגרת ההסכמות נגזרו על נאשמים 3 ו-4 שעברם נקי 20 חודשי מאסל בפועל ועל נאשם 2 שאף עברו נקי 22 חודשי מאסר. </w:t>
      </w:r>
    </w:p>
    <w:p w14:paraId="73C290D5" w14:textId="77777777" w:rsidR="003C18D1" w:rsidRDefault="003C18D1" w:rsidP="003C18D1">
      <w:pPr>
        <w:pStyle w:val="ListParagraph"/>
        <w:numPr>
          <w:ilvl w:val="0"/>
          <w:numId w:val="1"/>
        </w:numPr>
        <w:spacing w:line="360" w:lineRule="auto"/>
        <w:ind w:left="368"/>
        <w:jc w:val="both"/>
        <w:rPr>
          <w:rFonts w:ascii="David" w:hAnsi="David" w:cs="David"/>
          <w:sz w:val="24"/>
          <w:szCs w:val="24"/>
        </w:rPr>
      </w:pPr>
      <w:r>
        <w:rPr>
          <w:rFonts w:ascii="David" w:hAnsi="David" w:cs="David"/>
          <w:b/>
          <w:bCs/>
          <w:sz w:val="24"/>
          <w:szCs w:val="24"/>
          <w:rtl/>
        </w:rPr>
        <w:t>מתחם העונש ההולם במקרה זה</w:t>
      </w:r>
      <w:r>
        <w:rPr>
          <w:rFonts w:ascii="David" w:hAnsi="David" w:cs="David"/>
          <w:sz w:val="24"/>
          <w:szCs w:val="24"/>
          <w:rtl/>
        </w:rPr>
        <w:t xml:space="preserve"> - בשים לב למדיניות הענישה שפורטה לעיל ולעונשים שנגזרו על מעורבים אחרים בפרשה היה מקום לקבוע מתחם שמתחיל גבוה יותר מזה שהתבקש על ידי המאשימה. עם זאת, עתירת המאשימה לגזירת עונש של 9 חודשים משמיעה כי בנסיבות מקרה זה מוערך המתחם על ידי המאשימה כמתחיל ברף זה ולא אחמיר מעבר לעמדת המאשימה. בכך יש לכבד את הנימוקים הראייתיים ששקלו הצדדים וחלקו של הנאשם כמסייע מבלי שהיה מודע לכמות הסם ולסוג. בנסיבות מיוחדות אלו אני קובעת כי מתחם העונש ההולם </w:t>
      </w:r>
      <w:r>
        <w:rPr>
          <w:rFonts w:ascii="David" w:hAnsi="David" w:cs="David"/>
          <w:b/>
          <w:bCs/>
          <w:sz w:val="24"/>
          <w:szCs w:val="24"/>
          <w:rtl/>
        </w:rPr>
        <w:t>נע בין 9 לבין 20 חודשי מאסר בפועל.</w:t>
      </w:r>
    </w:p>
    <w:p w14:paraId="0A3B3E48" w14:textId="77777777" w:rsidR="003C18D1" w:rsidRDefault="003C18D1" w:rsidP="003C18D1">
      <w:pPr>
        <w:pStyle w:val="ListParagraph"/>
        <w:numPr>
          <w:ilvl w:val="0"/>
          <w:numId w:val="1"/>
        </w:numPr>
        <w:spacing w:line="360" w:lineRule="auto"/>
        <w:ind w:left="368"/>
        <w:jc w:val="both"/>
        <w:rPr>
          <w:rFonts w:ascii="David" w:hAnsi="David" w:cs="David"/>
          <w:sz w:val="24"/>
          <w:szCs w:val="24"/>
        </w:rPr>
      </w:pPr>
      <w:r>
        <w:rPr>
          <w:rFonts w:ascii="David" w:hAnsi="David" w:cs="David"/>
          <w:b/>
          <w:bCs/>
          <w:sz w:val="24"/>
          <w:szCs w:val="24"/>
          <w:rtl/>
        </w:rPr>
        <w:t>העונש המתאים לנאשם</w:t>
      </w:r>
      <w:r>
        <w:rPr>
          <w:rFonts w:ascii="David" w:hAnsi="David" w:cs="David"/>
          <w:sz w:val="24"/>
          <w:szCs w:val="24"/>
          <w:rtl/>
        </w:rPr>
        <w:t xml:space="preserve"> – הנאשם הודה ובכך חסך זמן שיפוטי וצורך בשמיעת עדים. לנאשם הרשעה קודמת יחידה משנת 2023 אך אינה מתחום עבירות סמים. שקלתי הבעת החרטה של הנאשם וחריגות הארוע בנוף חייו והעובדה ששנים רבות הצליח להימנע ממעורבות פלילית על אף נסיבות חיים קשות. כן שקלתי התקופה שהיה במעצר ובתנאים מגבילים ובעיקר נתוניו הבריאותיים של הנאשם כפי שעולה מן המסמכים שהוצגו. בנוסף ברורה השלכת ענישה בדרך של עבודות שירות על משפחתו של הנאשם ובעיקר על אשתו במצבה המורכב. נתונים אלו מצדיקים מיקום הנאשם בתחתית המתחם אך אינם מצדיקים חריגה ממנו. עתירה המאשימה לעונש ראויה ואף מקלה נוכח האמור בתסקיר שירות המבחן אשר מצביע על קושי להתמודד עם לחצים בדרך נורמטיבית, על קשרים שוליים ועל העדר בשלות לטיפול ולשיקום. ברקע לאלו מתווספים העונשים החמורים שהושתו על נאשמים אחרים בפרשה שהורשעו אף הם בעבירות סיוע לסחר בסם. </w:t>
      </w:r>
    </w:p>
    <w:p w14:paraId="1DD11039" w14:textId="77777777" w:rsidR="003C18D1" w:rsidRDefault="003C18D1" w:rsidP="003C18D1">
      <w:pPr>
        <w:spacing w:line="360" w:lineRule="auto"/>
        <w:jc w:val="both"/>
        <w:rPr>
          <w:rFonts w:ascii="David" w:hAnsi="David"/>
          <w:b/>
          <w:bCs/>
          <w:u w:val="double"/>
        </w:rPr>
      </w:pPr>
      <w:r>
        <w:rPr>
          <w:rFonts w:ascii="David" w:hAnsi="David"/>
          <w:b/>
          <w:bCs/>
          <w:u w:val="double"/>
          <w:rtl/>
        </w:rPr>
        <w:t>לאחר ששקלתי כל אלו אני גוזרת על הנאשם את העונשים הבאים:</w:t>
      </w:r>
    </w:p>
    <w:p w14:paraId="786819CB" w14:textId="77777777" w:rsidR="003C18D1" w:rsidRDefault="003C18D1" w:rsidP="003C18D1">
      <w:pPr>
        <w:pStyle w:val="ListParagraph"/>
        <w:numPr>
          <w:ilvl w:val="0"/>
          <w:numId w:val="3"/>
        </w:numPr>
        <w:spacing w:after="0" w:line="360" w:lineRule="auto"/>
        <w:jc w:val="both"/>
        <w:rPr>
          <w:rFonts w:ascii="David" w:eastAsia="David" w:hAnsi="David" w:cs="David"/>
          <w:sz w:val="24"/>
          <w:szCs w:val="24"/>
          <w:rtl/>
        </w:rPr>
      </w:pPr>
      <w:r>
        <w:rPr>
          <w:rFonts w:ascii="David" w:hAnsi="David" w:cs="David"/>
          <w:b/>
          <w:bCs/>
          <w:sz w:val="24"/>
          <w:szCs w:val="24"/>
          <w:rtl/>
        </w:rPr>
        <w:t>9</w:t>
      </w:r>
      <w:r>
        <w:rPr>
          <w:rFonts w:ascii="David" w:hAnsi="David" w:cs="David"/>
          <w:sz w:val="24"/>
          <w:szCs w:val="24"/>
          <w:rtl/>
        </w:rPr>
        <w:t xml:space="preserve"> </w:t>
      </w:r>
      <w:r>
        <w:rPr>
          <w:rFonts w:ascii="David" w:hAnsi="David" w:cs="David"/>
          <w:b/>
          <w:bCs/>
          <w:sz w:val="24"/>
          <w:szCs w:val="24"/>
          <w:rtl/>
        </w:rPr>
        <w:t xml:space="preserve">חודשי מאסר בפועל  </w:t>
      </w:r>
      <w:r>
        <w:rPr>
          <w:rFonts w:ascii="David" w:hAnsi="David" w:cs="David"/>
          <w:sz w:val="24"/>
          <w:szCs w:val="24"/>
          <w:rtl/>
        </w:rPr>
        <w:t xml:space="preserve">שירוצו בעבודות שירות. הנאשם יבצע את עבודות שירות </w:t>
      </w:r>
      <w:r>
        <w:rPr>
          <w:rFonts w:ascii="David" w:hAnsi="David" w:cs="David"/>
          <w:sz w:val="24"/>
          <w:szCs w:val="24"/>
          <w:u w:val="single"/>
          <w:rtl/>
        </w:rPr>
        <w:t xml:space="preserve">ב- המשקם נס ציונה </w:t>
      </w:r>
      <w:r>
        <w:rPr>
          <w:rFonts w:ascii="David" w:hAnsi="David" w:cs="David"/>
          <w:sz w:val="24"/>
          <w:szCs w:val="24"/>
          <w:rtl/>
        </w:rPr>
        <w:t xml:space="preserve">5 ימים בשבוע, על פי המגבלות והשעות המפורטות בחוות הדעת. תחילת ביצוע העבודות </w:t>
      </w:r>
      <w:r>
        <w:rPr>
          <w:rFonts w:ascii="David" w:hAnsi="David" w:cs="David"/>
          <w:b/>
          <w:bCs/>
          <w:sz w:val="24"/>
          <w:szCs w:val="24"/>
          <w:u w:val="single"/>
          <w:rtl/>
        </w:rPr>
        <w:t>ביום 19.3.25</w:t>
      </w:r>
      <w:r>
        <w:rPr>
          <w:rFonts w:ascii="David" w:hAnsi="David" w:cs="David"/>
          <w:sz w:val="24"/>
          <w:szCs w:val="24"/>
          <w:rtl/>
        </w:rPr>
        <w:t xml:space="preserve"> והן תהיינה בפיקוח מפקח אחראי ציון אטשגה.</w:t>
      </w:r>
    </w:p>
    <w:p w14:paraId="4CB27EB3" w14:textId="77777777" w:rsidR="003C18D1" w:rsidRDefault="003C18D1" w:rsidP="003C18D1">
      <w:pPr>
        <w:pStyle w:val="ListParagraph"/>
        <w:spacing w:line="360" w:lineRule="auto"/>
        <w:ind w:left="360"/>
        <w:jc w:val="both"/>
        <w:rPr>
          <w:rFonts w:ascii="David" w:eastAsia="David" w:hAnsi="David" w:cs="David"/>
          <w:sz w:val="24"/>
          <w:szCs w:val="24"/>
        </w:rPr>
      </w:pPr>
      <w:r>
        <w:rPr>
          <w:rFonts w:ascii="David" w:hAnsi="David" w:cs="David"/>
          <w:b/>
          <w:bCs/>
          <w:sz w:val="24"/>
          <w:szCs w:val="24"/>
          <w:rtl/>
        </w:rPr>
        <w:t xml:space="preserve">על הנאשם להתייצב לפני מפקח על עבודות השירות לצורך קליטה והצבה בתאריך תחילת העבודה, בשעה 08:00, </w:t>
      </w:r>
      <w:r>
        <w:rPr>
          <w:rFonts w:cs="David"/>
          <w:b/>
          <w:bCs/>
          <w:sz w:val="24"/>
          <w:szCs w:val="24"/>
          <w:rtl/>
        </w:rPr>
        <w:t>במפקדת מחוז מרכז רחוב סלמה 53 בתל אביב- בנין משרד הפנים</w:t>
      </w:r>
      <w:r>
        <w:rPr>
          <w:rFonts w:ascii="David" w:eastAsia="David" w:hAnsi="David" w:cs="David"/>
          <w:sz w:val="24"/>
          <w:szCs w:val="24"/>
          <w:rtl/>
        </w:rPr>
        <w:t>.</w:t>
      </w:r>
    </w:p>
    <w:p w14:paraId="76B37FE7" w14:textId="77777777" w:rsidR="003C18D1" w:rsidRPr="003C18D1" w:rsidRDefault="003C18D1" w:rsidP="003C18D1">
      <w:pPr>
        <w:pStyle w:val="ListParagraph"/>
        <w:spacing w:line="360" w:lineRule="auto"/>
        <w:ind w:left="360"/>
        <w:jc w:val="both"/>
        <w:rPr>
          <w:rFonts w:ascii="David" w:hAnsi="David" w:cs="David"/>
          <w:sz w:val="24"/>
          <w:szCs w:val="24"/>
        </w:rPr>
      </w:pPr>
      <w:r>
        <w:rPr>
          <w:rFonts w:ascii="David" w:hAnsi="David" w:cs="David"/>
          <w:sz w:val="24"/>
          <w:szCs w:val="24"/>
          <w:rtl/>
        </w:rPr>
        <w:t>אני מודיעה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w:t>
      </w:r>
    </w:p>
    <w:p w14:paraId="5F3EA9D1" w14:textId="77777777" w:rsidR="003C18D1" w:rsidRDefault="003C18D1" w:rsidP="003C18D1">
      <w:pPr>
        <w:pStyle w:val="ListParagraph"/>
        <w:numPr>
          <w:ilvl w:val="0"/>
          <w:numId w:val="3"/>
        </w:numPr>
        <w:spacing w:after="0" w:line="360" w:lineRule="auto"/>
        <w:jc w:val="both"/>
        <w:rPr>
          <w:rFonts w:ascii="David" w:eastAsia="David" w:hAnsi="David" w:cs="David"/>
          <w:sz w:val="24"/>
          <w:szCs w:val="24"/>
          <w:rtl/>
        </w:rPr>
      </w:pPr>
      <w:r>
        <w:rPr>
          <w:rFonts w:ascii="David" w:eastAsia="David" w:hAnsi="David" w:cs="David"/>
          <w:b/>
          <w:bCs/>
          <w:sz w:val="24"/>
          <w:szCs w:val="24"/>
          <w:rtl/>
        </w:rPr>
        <w:t>6 חודשי מאסר על תנאי</w:t>
      </w:r>
      <w:r>
        <w:rPr>
          <w:rFonts w:ascii="David" w:eastAsia="David" w:hAnsi="David" w:cs="David"/>
          <w:sz w:val="24"/>
          <w:szCs w:val="24"/>
          <w:rtl/>
        </w:rPr>
        <w:t xml:space="preserve"> והתנאי הוא שבמשך 3 מיום שחרורו לא יעבור עבירה לפי </w:t>
      </w:r>
      <w:hyperlink r:id="rId51" w:history="1">
        <w:r w:rsidR="008B2380" w:rsidRPr="008B2380">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מסוג פשע. </w:t>
      </w:r>
    </w:p>
    <w:p w14:paraId="02059C28" w14:textId="77777777" w:rsidR="003C18D1" w:rsidRDefault="003C18D1" w:rsidP="003C18D1">
      <w:pPr>
        <w:pStyle w:val="ListParagraph"/>
        <w:numPr>
          <w:ilvl w:val="0"/>
          <w:numId w:val="3"/>
        </w:numPr>
        <w:spacing w:after="0" w:line="360" w:lineRule="auto"/>
        <w:jc w:val="both"/>
        <w:rPr>
          <w:rFonts w:ascii="David" w:eastAsia="David" w:hAnsi="David" w:cs="David"/>
          <w:sz w:val="24"/>
          <w:szCs w:val="24"/>
        </w:rPr>
      </w:pPr>
      <w:r>
        <w:rPr>
          <w:rFonts w:ascii="David" w:eastAsia="David" w:hAnsi="David" w:cs="David"/>
          <w:b/>
          <w:bCs/>
          <w:sz w:val="24"/>
          <w:szCs w:val="24"/>
          <w:rtl/>
        </w:rPr>
        <w:t>3 חודשי מאסר על תנאי</w:t>
      </w:r>
      <w:r>
        <w:rPr>
          <w:rFonts w:ascii="David" w:eastAsia="David" w:hAnsi="David" w:cs="David"/>
          <w:sz w:val="24"/>
          <w:szCs w:val="24"/>
          <w:rtl/>
        </w:rPr>
        <w:t xml:space="preserve"> והתנאי הוא שבמשך 3 מיום שחרורו לא יעבור עבירה לפי </w:t>
      </w:r>
      <w:hyperlink r:id="rId52" w:history="1">
        <w:r w:rsidR="008B2380" w:rsidRPr="008B2380">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מסוג עוון.</w:t>
      </w:r>
    </w:p>
    <w:p w14:paraId="2C446D38" w14:textId="77777777" w:rsidR="003C18D1" w:rsidRDefault="003C18D1" w:rsidP="003C18D1">
      <w:pPr>
        <w:pStyle w:val="ListParagraph"/>
        <w:numPr>
          <w:ilvl w:val="0"/>
          <w:numId w:val="3"/>
        </w:numPr>
        <w:spacing w:after="0" w:line="360" w:lineRule="auto"/>
        <w:jc w:val="both"/>
        <w:rPr>
          <w:rFonts w:ascii="David" w:eastAsia="David" w:hAnsi="David" w:cs="David"/>
          <w:b/>
          <w:bCs/>
          <w:sz w:val="24"/>
          <w:szCs w:val="24"/>
        </w:rPr>
      </w:pPr>
      <w:r>
        <w:rPr>
          <w:rFonts w:ascii="David" w:eastAsia="David" w:hAnsi="David" w:cs="David"/>
          <w:b/>
          <w:bCs/>
          <w:sz w:val="24"/>
          <w:szCs w:val="24"/>
          <w:rtl/>
        </w:rPr>
        <w:t xml:space="preserve">קנס בסך 8,000 ₪. </w:t>
      </w:r>
      <w:r>
        <w:rPr>
          <w:rFonts w:ascii="David" w:eastAsia="David" w:hAnsi="David" w:cs="David"/>
          <w:sz w:val="24"/>
          <w:szCs w:val="24"/>
          <w:rtl/>
        </w:rPr>
        <w:t xml:space="preserve">הקנס ישולם ב- 8 תשלומים חודשיים שווים ורצופים שהראשון בהם ביום 1.5.25 והבאים בכל 01 לחודש שלאחר מכן. לא ישולם תשלום במועד תעמוד היתרה לפרעון מידי. </w:t>
      </w:r>
      <w:r>
        <w:rPr>
          <w:rFonts w:ascii="David" w:eastAsia="David" w:hAnsi="David" w:cs="David"/>
          <w:b/>
          <w:bCs/>
          <w:sz w:val="24"/>
          <w:szCs w:val="24"/>
          <w:rtl/>
        </w:rPr>
        <w:t xml:space="preserve">ככל שקיים סכום כסף בפקדון בתיק זה או בתיק מעצר קשור אליו, ולבקשת הנאשם, יועבר לצורך עמידה בתשלום הקנס. </w:t>
      </w:r>
    </w:p>
    <w:p w14:paraId="581ECA25" w14:textId="77777777" w:rsidR="003C18D1" w:rsidRDefault="003C18D1" w:rsidP="003C18D1">
      <w:pPr>
        <w:pStyle w:val="ListParagraph"/>
        <w:numPr>
          <w:ilvl w:val="0"/>
          <w:numId w:val="3"/>
        </w:numPr>
        <w:spacing w:after="0" w:line="360" w:lineRule="auto"/>
        <w:jc w:val="both"/>
        <w:rPr>
          <w:rFonts w:ascii="David" w:eastAsia="David" w:hAnsi="David" w:cs="David"/>
          <w:sz w:val="24"/>
          <w:szCs w:val="24"/>
        </w:rPr>
      </w:pPr>
      <w:r>
        <w:rPr>
          <w:rFonts w:ascii="David" w:eastAsia="David" w:hAnsi="David" w:cs="David"/>
          <w:b/>
          <w:bCs/>
          <w:sz w:val="24"/>
          <w:szCs w:val="24"/>
          <w:rtl/>
        </w:rPr>
        <w:t>חילוט סך 8,620 ₪</w:t>
      </w:r>
      <w:r>
        <w:rPr>
          <w:rFonts w:ascii="David" w:eastAsia="David" w:hAnsi="David" w:cs="David"/>
          <w:sz w:val="24"/>
          <w:szCs w:val="24"/>
          <w:rtl/>
        </w:rPr>
        <w:t xml:space="preserve"> לטובת קרן החילוט סמים-תקבולים.</w:t>
      </w:r>
    </w:p>
    <w:p w14:paraId="303DE541" w14:textId="77777777" w:rsidR="003C18D1" w:rsidRPr="003C18D1" w:rsidRDefault="003C18D1" w:rsidP="003C18D1">
      <w:pPr>
        <w:spacing w:line="360" w:lineRule="auto"/>
        <w:jc w:val="both"/>
        <w:rPr>
          <w:rFonts w:ascii="David" w:eastAsia="Calibri" w:hAnsi="David"/>
          <w:u w:val="single"/>
        </w:rPr>
      </w:pPr>
    </w:p>
    <w:p w14:paraId="5190B319" w14:textId="77777777" w:rsidR="003C18D1" w:rsidRDefault="003C18D1" w:rsidP="003C18D1">
      <w:pPr>
        <w:jc w:val="both"/>
        <w:rPr>
          <w:rFonts w:ascii="David" w:hAnsi="David"/>
          <w:sz w:val="22"/>
          <w:szCs w:val="22"/>
          <w:rtl/>
        </w:rPr>
      </w:pPr>
      <w:r>
        <w:rPr>
          <w:rFonts w:ascii="David" w:hAnsi="David"/>
          <w:rtl/>
        </w:rPr>
        <w:t>החוב מועבר למרכז לגביית קנסות, אגרות והוצאות ברשות האכיפה והגבייה, בהתאם למועדים והתשלומים שקבע בית המשפט.</w:t>
      </w:r>
    </w:p>
    <w:p w14:paraId="3733A0AC" w14:textId="77777777" w:rsidR="003C18D1" w:rsidRDefault="003C18D1" w:rsidP="003C18D1">
      <w:pPr>
        <w:jc w:val="both"/>
        <w:rPr>
          <w:rFonts w:ascii="David" w:hAnsi="David"/>
        </w:rPr>
      </w:pPr>
      <w:r>
        <w:rPr>
          <w:rFonts w:ascii="David" w:hAnsi="David"/>
          <w:rtl/>
        </w:rPr>
        <w:t>ניתן יהיה לשלם את הקנס/ פיצוי/ ההוצאות כעבור שלושה ימים מיום מתן ההחלטה/</w:t>
      </w:r>
      <w:r w:rsidR="008B2380">
        <w:rPr>
          <w:rFonts w:ascii="David" w:hAnsi="David"/>
          <w:rtl/>
        </w:rPr>
        <w:t xml:space="preserve"> </w:t>
      </w:r>
      <w:r>
        <w:rPr>
          <w:rFonts w:ascii="David" w:hAnsi="David"/>
          <w:rtl/>
        </w:rPr>
        <w:t xml:space="preserve"> גזר הדין לחשבון המרכז לגביית קנסות, אגרות והוצאות ברשות האכיפה והגבייה באחת מהדרכים הבאות:</w:t>
      </w:r>
    </w:p>
    <w:p w14:paraId="52A7B11D" w14:textId="77777777" w:rsidR="003C18D1" w:rsidRDefault="003C18D1" w:rsidP="003C18D1">
      <w:pPr>
        <w:pStyle w:val="ListParagraph"/>
        <w:numPr>
          <w:ilvl w:val="0"/>
          <w:numId w:val="4"/>
        </w:numPr>
        <w:spacing w:after="0" w:line="240" w:lineRule="auto"/>
        <w:jc w:val="both"/>
        <w:rPr>
          <w:rFonts w:ascii="David" w:hAnsi="David" w:cs="David"/>
          <w:b/>
          <w:bCs/>
        </w:rPr>
      </w:pPr>
      <w:r>
        <w:rPr>
          <w:rFonts w:ascii="David" w:hAnsi="David" w:cs="David"/>
          <w:b/>
          <w:bCs/>
          <w:rtl/>
        </w:rPr>
        <w:t>בכרטיס אשראי</w:t>
      </w:r>
      <w:r>
        <w:rPr>
          <w:rFonts w:ascii="David" w:hAnsi="David" w:cs="David"/>
          <w:rtl/>
        </w:rPr>
        <w:t xml:space="preserve"> – באתר המקוון של רשות האכיפה והגבייה, </w:t>
      </w:r>
      <w:hyperlink r:id="rId53" w:history="1">
        <w:r>
          <w:rPr>
            <w:rStyle w:val="Hyperlink"/>
            <w:rFonts w:ascii="David" w:hAnsi="David" w:cs="David"/>
          </w:rPr>
          <w:t>www.eca.gov.il</w:t>
        </w:r>
      </w:hyperlink>
      <w:r>
        <w:rPr>
          <w:rFonts w:ascii="David" w:hAnsi="David" w:cs="David"/>
        </w:rPr>
        <w:t xml:space="preserve"> </w:t>
      </w:r>
      <w:r w:rsidR="008B2380">
        <w:rPr>
          <w:rFonts w:ascii="David" w:hAnsi="David" w:cs="David"/>
          <w:rtl/>
        </w:rPr>
        <w:t xml:space="preserve"> </w:t>
      </w:r>
    </w:p>
    <w:p w14:paraId="06427C15" w14:textId="77777777" w:rsidR="003C18D1" w:rsidRDefault="003C18D1" w:rsidP="003C18D1">
      <w:pPr>
        <w:pStyle w:val="ListParagraph"/>
        <w:numPr>
          <w:ilvl w:val="0"/>
          <w:numId w:val="4"/>
        </w:numPr>
        <w:spacing w:after="0" w:line="240" w:lineRule="auto"/>
        <w:jc w:val="both"/>
        <w:rPr>
          <w:rFonts w:ascii="David" w:hAnsi="David" w:cs="David"/>
          <w:b/>
          <w:bCs/>
        </w:rPr>
      </w:pPr>
      <w:r>
        <w:rPr>
          <w:rFonts w:ascii="David" w:hAnsi="David" w:cs="David"/>
          <w:b/>
          <w:bCs/>
          <w:rtl/>
        </w:rPr>
        <w:t>מוקד שירות טלפוני בשרות עצמי (מרכז גבייה)</w:t>
      </w:r>
      <w:r w:rsidR="008B2380">
        <w:rPr>
          <w:rFonts w:ascii="David" w:hAnsi="David" w:cs="David"/>
          <w:b/>
          <w:bCs/>
          <w:rtl/>
        </w:rPr>
        <w:t xml:space="preserve"> </w:t>
      </w:r>
      <w:r>
        <w:rPr>
          <w:rFonts w:ascii="David" w:hAnsi="David" w:cs="David"/>
          <w:b/>
          <w:bCs/>
          <w:rtl/>
        </w:rPr>
        <w:t xml:space="preserve"> – בטלפון 35592* או בטלפון 073-2055000</w:t>
      </w:r>
    </w:p>
    <w:p w14:paraId="3F9EDD3D" w14:textId="77777777" w:rsidR="003C18D1" w:rsidRDefault="003C18D1" w:rsidP="003C18D1">
      <w:pPr>
        <w:pStyle w:val="ListParagraph"/>
        <w:numPr>
          <w:ilvl w:val="0"/>
          <w:numId w:val="4"/>
        </w:numPr>
        <w:spacing w:after="0" w:line="240" w:lineRule="auto"/>
        <w:jc w:val="both"/>
        <w:rPr>
          <w:rFonts w:ascii="David" w:hAnsi="David" w:cs="David"/>
          <w:b/>
          <w:bCs/>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14:paraId="4C9A3C0F" w14:textId="77777777" w:rsidR="003C18D1" w:rsidRDefault="003C18D1" w:rsidP="003C18D1">
      <w:pPr>
        <w:spacing w:line="360" w:lineRule="auto"/>
        <w:jc w:val="both"/>
        <w:rPr>
          <w:rFonts w:ascii="David" w:hAnsi="David"/>
          <w:rtl/>
        </w:rPr>
      </w:pPr>
    </w:p>
    <w:p w14:paraId="53FEEF8D" w14:textId="77777777" w:rsidR="003C18D1" w:rsidRDefault="003C18D1" w:rsidP="003C18D1">
      <w:pPr>
        <w:spacing w:line="360" w:lineRule="auto"/>
        <w:jc w:val="both"/>
        <w:rPr>
          <w:rFonts w:ascii="David" w:hAnsi="David"/>
        </w:rPr>
      </w:pPr>
      <w:r>
        <w:rPr>
          <w:rFonts w:ascii="David" w:hAnsi="David"/>
          <w:rtl/>
        </w:rPr>
        <w:t xml:space="preserve">ככל שהופקד פיקדון בתיק או בתיק המעצרים הקשור לתיק זה ובהעדר מניעה על פי דין, ולאחר תשלום הקנס תוחזר היתרה לנאשם או לידי מי מטעמו עפ"י יפוי כוח. </w:t>
      </w:r>
    </w:p>
    <w:p w14:paraId="7638E7D6" w14:textId="77777777" w:rsidR="003C18D1" w:rsidRDefault="003C18D1" w:rsidP="003C18D1">
      <w:pPr>
        <w:spacing w:line="360" w:lineRule="auto"/>
        <w:jc w:val="both"/>
        <w:rPr>
          <w:rFonts w:ascii="David" w:hAnsi="David"/>
          <w:rtl/>
        </w:rPr>
      </w:pPr>
      <w:r>
        <w:rPr>
          <w:rFonts w:ascii="David" w:hAnsi="David"/>
          <w:rtl/>
        </w:rPr>
        <w:t>ניתן צו כללי למוצגים לפי שיקול דעת קצין המשטרה. המוצגים יחולטו/יושמדו/יושבו לבעליהם עפ"י החלטת קצין משטרה. רכבו של הנאשם יוחזר לו.</w:t>
      </w:r>
    </w:p>
    <w:p w14:paraId="0022E100" w14:textId="77777777" w:rsidR="003C18D1" w:rsidRDefault="003C18D1" w:rsidP="003C18D1">
      <w:pPr>
        <w:jc w:val="both"/>
        <w:rPr>
          <w:rFonts w:ascii="David" w:hAnsi="David"/>
        </w:rPr>
      </w:pPr>
      <w:r>
        <w:rPr>
          <w:rFonts w:ascii="David" w:hAnsi="David"/>
          <w:b/>
          <w:bCs/>
          <w:u w:val="double"/>
          <w:rtl/>
        </w:rPr>
        <w:t>המזכירות</w:t>
      </w:r>
      <w:r>
        <w:rPr>
          <w:rFonts w:ascii="David" w:hAnsi="David"/>
          <w:rtl/>
        </w:rPr>
        <w:t xml:space="preserve"> תעביר העתק לשירות המבחן ולממונה על עבודות השירות. </w:t>
      </w:r>
    </w:p>
    <w:p w14:paraId="551E71F9" w14:textId="77777777" w:rsidR="003C18D1" w:rsidRDefault="003C18D1" w:rsidP="003C18D1">
      <w:pPr>
        <w:jc w:val="both"/>
        <w:rPr>
          <w:rFonts w:ascii="David" w:hAnsi="David"/>
          <w:rtl/>
        </w:rPr>
      </w:pPr>
    </w:p>
    <w:p w14:paraId="0C074769" w14:textId="77777777" w:rsidR="003C18D1" w:rsidRDefault="003C18D1" w:rsidP="003C18D1">
      <w:pPr>
        <w:rPr>
          <w:rFonts w:ascii="David" w:hAnsi="David"/>
          <w:b/>
          <w:bCs/>
          <w:rtl/>
        </w:rPr>
      </w:pPr>
      <w:r>
        <w:rPr>
          <w:rFonts w:ascii="David" w:hAnsi="David"/>
          <w:b/>
          <w:bCs/>
          <w:rtl/>
        </w:rPr>
        <w:t>זכות ערעור לבית המשפט העליון בתוך 45 יום.</w:t>
      </w:r>
    </w:p>
    <w:p w14:paraId="0E4B42DE" w14:textId="77777777" w:rsidR="003C18D1" w:rsidRPr="00B05847" w:rsidRDefault="003C18D1" w:rsidP="003C18D1">
      <w:pPr>
        <w:rPr>
          <w:rFonts w:ascii="Arial" w:hAnsi="Arial"/>
          <w:rtl/>
        </w:rPr>
      </w:pPr>
    </w:p>
    <w:p w14:paraId="7850E934" w14:textId="77777777" w:rsidR="003C18D1" w:rsidRPr="008B2380" w:rsidRDefault="008B2380" w:rsidP="003C18D1">
      <w:pPr>
        <w:rPr>
          <w:color w:val="FFFFFF"/>
          <w:sz w:val="2"/>
          <w:szCs w:val="2"/>
          <w:rtl/>
        </w:rPr>
      </w:pPr>
      <w:r w:rsidRPr="008B2380">
        <w:rPr>
          <w:color w:val="FFFFFF"/>
          <w:sz w:val="2"/>
          <w:szCs w:val="2"/>
          <w:rtl/>
        </w:rPr>
        <w:t>5129371</w:t>
      </w:r>
    </w:p>
    <w:p w14:paraId="530F76B0" w14:textId="77777777" w:rsidR="003C18D1" w:rsidRPr="00250B83" w:rsidRDefault="008B2380" w:rsidP="003C18D1">
      <w:pPr>
        <w:rPr>
          <w:rtl/>
        </w:rPr>
      </w:pPr>
      <w:bookmarkStart w:id="10" w:name="Nitan"/>
      <w:r w:rsidRPr="008B2380">
        <w:rPr>
          <w:rFonts w:ascii="Arial" w:hAnsi="Arial"/>
          <w:b/>
          <w:bCs/>
          <w:color w:val="FFFFFF"/>
          <w:sz w:val="2"/>
          <w:szCs w:val="2"/>
          <w:rtl/>
        </w:rPr>
        <w:t>54678313</w:t>
      </w:r>
      <w:r>
        <w:rPr>
          <w:rFonts w:ascii="Arial" w:hAnsi="Arial"/>
          <w:b/>
          <w:bCs/>
          <w:rtl/>
        </w:rPr>
        <w:t xml:space="preserve">ניתן היום,  כ"ו שבט תשפ"ה, 24 פברואר 2025, במעמד הצדדים. </w:t>
      </w:r>
      <w:bookmarkEnd w:id="10"/>
    </w:p>
    <w:p w14:paraId="13490F17" w14:textId="77777777" w:rsidR="003C18D1" w:rsidRPr="00250B83" w:rsidRDefault="003C18D1" w:rsidP="008B2380">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74D48DF7" w14:textId="77777777" w:rsidR="003C18D1" w:rsidRPr="00250B83" w:rsidRDefault="003C18D1" w:rsidP="003C18D1">
      <w:pPr>
        <w:jc w:val="center"/>
        <w:rPr>
          <w:rFonts w:ascii="Arial" w:hAnsi="Arial"/>
          <w:rtl/>
        </w:rPr>
      </w:pPr>
    </w:p>
    <w:p w14:paraId="195727CE" w14:textId="77777777" w:rsidR="003C18D1" w:rsidRPr="00250B83" w:rsidRDefault="003C18D1" w:rsidP="003C18D1">
      <w:pPr>
        <w:rPr>
          <w:rtl/>
        </w:rPr>
      </w:pPr>
    </w:p>
    <w:p w14:paraId="3F9ED30B" w14:textId="77777777" w:rsidR="003C18D1" w:rsidRPr="00D10BA0" w:rsidRDefault="00D10BA0" w:rsidP="003C18D1">
      <w:pPr>
        <w:pStyle w:val="a3"/>
        <w:jc w:val="center"/>
        <w:rPr>
          <w:color w:val="FFFFFF"/>
          <w:sz w:val="2"/>
          <w:szCs w:val="2"/>
          <w:rtl/>
        </w:rPr>
      </w:pPr>
      <w:r w:rsidRPr="00D10BA0">
        <w:rPr>
          <w:color w:val="FFFFFF"/>
          <w:sz w:val="2"/>
          <w:szCs w:val="2"/>
          <w:rtl/>
        </w:rPr>
        <w:t>5129371</w:t>
      </w:r>
    </w:p>
    <w:p w14:paraId="4B13123B" w14:textId="77777777" w:rsidR="00D95720" w:rsidRPr="00D10BA0" w:rsidRDefault="00D10BA0" w:rsidP="008B2380">
      <w:pPr>
        <w:keepNext/>
        <w:rPr>
          <w:rFonts w:ascii="David" w:hAnsi="David"/>
          <w:color w:val="FFFFFF"/>
          <w:sz w:val="2"/>
          <w:szCs w:val="2"/>
          <w:rtl/>
        </w:rPr>
      </w:pPr>
      <w:r w:rsidRPr="00D10BA0">
        <w:rPr>
          <w:rFonts w:ascii="David" w:hAnsi="David"/>
          <w:color w:val="FFFFFF"/>
          <w:sz w:val="2"/>
          <w:szCs w:val="2"/>
          <w:rtl/>
        </w:rPr>
        <w:t>54678313</w:t>
      </w:r>
    </w:p>
    <w:p w14:paraId="35AF34FB" w14:textId="77777777" w:rsidR="008B2380" w:rsidRDefault="008B2380" w:rsidP="008B2380">
      <w:pPr>
        <w:rPr>
          <w:rtl/>
        </w:rPr>
      </w:pPr>
    </w:p>
    <w:p w14:paraId="1D9048F8" w14:textId="77777777" w:rsidR="008B2380" w:rsidRDefault="008B2380" w:rsidP="008B2380">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434C0605" w14:textId="77777777" w:rsidR="00D10BA0" w:rsidRPr="00D10BA0" w:rsidRDefault="00D10BA0" w:rsidP="00D10BA0">
      <w:pPr>
        <w:keepNext/>
        <w:rPr>
          <w:rFonts w:ascii="David" w:hAnsi="David"/>
          <w:color w:val="000000"/>
          <w:sz w:val="22"/>
          <w:szCs w:val="22"/>
          <w:rtl/>
        </w:rPr>
      </w:pPr>
    </w:p>
    <w:p w14:paraId="568FC2EF" w14:textId="77777777" w:rsidR="00D10BA0" w:rsidRPr="00D10BA0" w:rsidRDefault="00D10BA0" w:rsidP="00D10BA0">
      <w:pPr>
        <w:keepNext/>
        <w:rPr>
          <w:rFonts w:ascii="David" w:hAnsi="David"/>
          <w:color w:val="000000"/>
          <w:sz w:val="22"/>
          <w:szCs w:val="22"/>
          <w:rtl/>
        </w:rPr>
      </w:pPr>
      <w:r w:rsidRPr="00D10BA0">
        <w:rPr>
          <w:rFonts w:ascii="David" w:hAnsi="David"/>
          <w:color w:val="000000"/>
          <w:sz w:val="22"/>
          <w:szCs w:val="22"/>
          <w:rtl/>
        </w:rPr>
        <w:t>בני שגיא 54678313-/</w:t>
      </w:r>
    </w:p>
    <w:p w14:paraId="643631D9" w14:textId="77777777" w:rsidR="008B2380" w:rsidRPr="008B2380" w:rsidRDefault="00D10BA0" w:rsidP="00D10BA0">
      <w:pPr>
        <w:rPr>
          <w:color w:val="0000FF"/>
          <w:u w:val="single"/>
        </w:rPr>
      </w:pPr>
      <w:r w:rsidRPr="00D10BA0">
        <w:rPr>
          <w:color w:val="000000"/>
          <w:u w:val="single"/>
          <w:rtl/>
        </w:rPr>
        <w:t>נוסח מסמך זה כפוף לשינויי ניסוח ועריכה</w:t>
      </w:r>
    </w:p>
    <w:sectPr w:rsidR="008B2380" w:rsidRPr="008B2380" w:rsidSect="00D10BA0">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CD809" w14:textId="77777777" w:rsidR="000161E6" w:rsidRDefault="000161E6" w:rsidP="001C0C95">
      <w:r>
        <w:separator/>
      </w:r>
    </w:p>
  </w:endnote>
  <w:endnote w:type="continuationSeparator" w:id="0">
    <w:p w14:paraId="37FF3FC2" w14:textId="77777777" w:rsidR="000161E6" w:rsidRDefault="000161E6" w:rsidP="001C0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2F6D4" w14:textId="77777777" w:rsidR="00D10BA0" w:rsidRDefault="00D10BA0" w:rsidP="00D10BA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433F66A" w14:textId="77777777" w:rsidR="00691C84" w:rsidRPr="00D10BA0" w:rsidRDefault="00D10BA0" w:rsidP="00D10BA0">
    <w:pPr>
      <w:pStyle w:val="a5"/>
      <w:pBdr>
        <w:top w:val="single" w:sz="4" w:space="1" w:color="auto"/>
        <w:between w:val="single" w:sz="4" w:space="0" w:color="auto"/>
      </w:pBdr>
      <w:spacing w:after="60"/>
      <w:jc w:val="center"/>
      <w:rPr>
        <w:rFonts w:ascii="FrankRuehl" w:hAnsi="FrankRuehl" w:cs="FrankRuehl"/>
        <w:color w:val="000000"/>
      </w:rPr>
    </w:pPr>
    <w:r w:rsidRPr="00D10BA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1313B" w14:textId="77777777" w:rsidR="00D10BA0" w:rsidRDefault="00D10BA0" w:rsidP="00D10BA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2155">
      <w:rPr>
        <w:rFonts w:ascii="FrankRuehl" w:hAnsi="FrankRuehl" w:cs="FrankRuehl"/>
        <w:noProof/>
        <w:rtl/>
      </w:rPr>
      <w:t>1</w:t>
    </w:r>
    <w:r>
      <w:rPr>
        <w:rFonts w:ascii="FrankRuehl" w:hAnsi="FrankRuehl" w:cs="FrankRuehl"/>
        <w:rtl/>
      </w:rPr>
      <w:fldChar w:fldCharType="end"/>
    </w:r>
  </w:p>
  <w:p w14:paraId="399A5284" w14:textId="77777777" w:rsidR="00691C84" w:rsidRPr="00D10BA0" w:rsidRDefault="00D10BA0" w:rsidP="00D10BA0">
    <w:pPr>
      <w:pStyle w:val="a5"/>
      <w:pBdr>
        <w:top w:val="single" w:sz="4" w:space="1" w:color="auto"/>
        <w:between w:val="single" w:sz="4" w:space="0" w:color="auto"/>
      </w:pBdr>
      <w:spacing w:after="60"/>
      <w:jc w:val="center"/>
      <w:rPr>
        <w:rFonts w:ascii="FrankRuehl" w:hAnsi="FrankRuehl" w:cs="FrankRuehl"/>
        <w:color w:val="000000"/>
      </w:rPr>
    </w:pPr>
    <w:r w:rsidRPr="00D10BA0">
      <w:rPr>
        <w:rFonts w:ascii="FrankRuehl" w:hAnsi="FrankRuehl" w:cs="FrankRuehl"/>
        <w:color w:val="000000"/>
      </w:rPr>
      <w:pict w14:anchorId="7E736C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7A51B" w14:textId="77777777" w:rsidR="000161E6" w:rsidRDefault="000161E6" w:rsidP="001C0C95">
      <w:r>
        <w:separator/>
      </w:r>
    </w:p>
  </w:footnote>
  <w:footnote w:type="continuationSeparator" w:id="0">
    <w:p w14:paraId="221CB46F" w14:textId="77777777" w:rsidR="000161E6" w:rsidRDefault="000161E6" w:rsidP="001C0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5C384" w14:textId="77777777" w:rsidR="008B2380" w:rsidRPr="00D10BA0" w:rsidRDefault="00D10BA0" w:rsidP="00D10BA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30310-09-23</w:t>
    </w:r>
    <w:r>
      <w:rPr>
        <w:rFonts w:ascii="David" w:hAnsi="David"/>
        <w:color w:val="000000"/>
        <w:sz w:val="22"/>
        <w:szCs w:val="22"/>
        <w:rtl/>
      </w:rPr>
      <w:tab/>
      <w:t xml:space="preserve"> מדינת ישראל נ' יצחק הרלב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A2532" w14:textId="77777777" w:rsidR="008B2380" w:rsidRPr="00D10BA0" w:rsidRDefault="00D10BA0" w:rsidP="00D10BA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30310-09-23</w:t>
    </w:r>
    <w:r>
      <w:rPr>
        <w:rFonts w:ascii="David" w:hAnsi="David"/>
        <w:color w:val="000000"/>
        <w:sz w:val="22"/>
        <w:szCs w:val="22"/>
        <w:rtl/>
      </w:rPr>
      <w:tab/>
      <w:t xml:space="preserve"> מדינת ישראל נ' יצחק הרלב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0B0605E"/>
    <w:multiLevelType w:val="hybridMultilevel"/>
    <w:tmpl w:val="D5E2C9DC"/>
    <w:lvl w:ilvl="0" w:tplc="ADF4DFF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355491"/>
    <w:multiLevelType w:val="hybridMultilevel"/>
    <w:tmpl w:val="075A577E"/>
    <w:lvl w:ilvl="0" w:tplc="D3B8CB40">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4D2E25D8"/>
    <w:multiLevelType w:val="hybridMultilevel"/>
    <w:tmpl w:val="55180AC2"/>
    <w:lvl w:ilvl="0" w:tplc="C03402D0">
      <w:start w:val="1"/>
      <w:numFmt w:val="hebrew1"/>
      <w:lvlText w:val="%1."/>
      <w:lvlJc w:val="left"/>
      <w:pPr>
        <w:ind w:left="728" w:hanging="360"/>
      </w:p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5752415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76579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3456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4094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C18D1"/>
    <w:rsid w:val="000161E6"/>
    <w:rsid w:val="001C0C95"/>
    <w:rsid w:val="003C18D1"/>
    <w:rsid w:val="00691C84"/>
    <w:rsid w:val="006E673E"/>
    <w:rsid w:val="008B2380"/>
    <w:rsid w:val="00A8318D"/>
    <w:rsid w:val="00D10BA0"/>
    <w:rsid w:val="00D95720"/>
    <w:rsid w:val="00EE21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B00C58"/>
  <w15:chartTrackingRefBased/>
  <w15:docId w15:val="{E929D0EB-5687-4D0C-8A4D-F96BEA80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18D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C18D1"/>
    <w:pPr>
      <w:tabs>
        <w:tab w:val="center" w:pos="4153"/>
        <w:tab w:val="right" w:pos="8306"/>
      </w:tabs>
    </w:pPr>
  </w:style>
  <w:style w:type="character" w:customStyle="1" w:styleId="a4">
    <w:name w:val="כותרת עליונה תו"/>
    <w:link w:val="a3"/>
    <w:rsid w:val="003C18D1"/>
    <w:rPr>
      <w:rFonts w:ascii="Times New Roman" w:eastAsia="Times New Roman" w:hAnsi="Times New Roman" w:cs="David"/>
      <w:sz w:val="24"/>
      <w:szCs w:val="24"/>
    </w:rPr>
  </w:style>
  <w:style w:type="paragraph" w:styleId="a5">
    <w:name w:val="footer"/>
    <w:basedOn w:val="a"/>
    <w:link w:val="a6"/>
    <w:rsid w:val="003C18D1"/>
    <w:pPr>
      <w:tabs>
        <w:tab w:val="center" w:pos="4153"/>
        <w:tab w:val="right" w:pos="8306"/>
      </w:tabs>
    </w:pPr>
  </w:style>
  <w:style w:type="character" w:customStyle="1" w:styleId="a6">
    <w:name w:val="כותרת תחתונה תו"/>
    <w:link w:val="a5"/>
    <w:rsid w:val="003C18D1"/>
    <w:rPr>
      <w:rFonts w:ascii="Times New Roman" w:eastAsia="Times New Roman" w:hAnsi="Times New Roman" w:cs="David"/>
      <w:sz w:val="24"/>
      <w:szCs w:val="24"/>
    </w:rPr>
  </w:style>
  <w:style w:type="table" w:styleId="a7">
    <w:name w:val="Table Grid"/>
    <w:basedOn w:val="a1"/>
    <w:rsid w:val="003C18D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C18D1"/>
  </w:style>
  <w:style w:type="character" w:styleId="Hyperlink">
    <w:name w:val="Hyperlink"/>
    <w:rsid w:val="003C18D1"/>
    <w:rPr>
      <w:color w:val="0563C1"/>
      <w:u w:val="single"/>
    </w:rPr>
  </w:style>
  <w:style w:type="character" w:customStyle="1" w:styleId="ListParagraphChar">
    <w:name w:val="List Paragraph Char"/>
    <w:aliases w:val="ציטוט פסיקה Char"/>
    <w:link w:val="ListParagraph"/>
    <w:locked/>
    <w:rsid w:val="003C18D1"/>
  </w:style>
  <w:style w:type="paragraph" w:customStyle="1" w:styleId="ListParagraph">
    <w:name w:val="List Paragraph"/>
    <w:aliases w:val="ציטוט פסיקה"/>
    <w:basedOn w:val="a"/>
    <w:link w:val="ListParagraphChar"/>
    <w:qFormat/>
    <w:rsid w:val="003C18D1"/>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6987521"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40c.a" TargetMode="External"/><Relationship Id="rId21" Type="http://schemas.openxmlformats.org/officeDocument/2006/relationships/hyperlink" Target="http://www.nevo.co.il/case/5988308" TargetMode="External"/><Relationship Id="rId34" Type="http://schemas.openxmlformats.org/officeDocument/2006/relationships/hyperlink" Target="http://www.nevo.co.il/case/5608364" TargetMode="External"/><Relationship Id="rId42" Type="http://schemas.openxmlformats.org/officeDocument/2006/relationships/hyperlink" Target="http://www.nevo.co.il/case/13104267" TargetMode="External"/><Relationship Id="rId47" Type="http://schemas.openxmlformats.org/officeDocument/2006/relationships/hyperlink" Target="http://www.nevo.co.il/case/28326750" TargetMode="External"/><Relationship Id="rId50" Type="http://schemas.openxmlformats.org/officeDocument/2006/relationships/hyperlink" Target="http://www.nevo.co.il/case/30054152"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31" TargetMode="External"/><Relationship Id="rId29" Type="http://schemas.openxmlformats.org/officeDocument/2006/relationships/hyperlink" Target="http://www.nevo.co.il/case/25241468" TargetMode="External"/><Relationship Id="rId11" Type="http://schemas.openxmlformats.org/officeDocument/2006/relationships/hyperlink" Target="http://www.nevo.co.il/law/70301/31" TargetMode="External"/><Relationship Id="rId24" Type="http://schemas.openxmlformats.org/officeDocument/2006/relationships/hyperlink" Target="http://www.nevo.co.il/case/7653052" TargetMode="External"/><Relationship Id="rId32" Type="http://schemas.openxmlformats.org/officeDocument/2006/relationships/hyperlink" Target="http://www.nevo.co.il/case/17954235" TargetMode="External"/><Relationship Id="rId37" Type="http://schemas.openxmlformats.org/officeDocument/2006/relationships/hyperlink" Target="http://www.nevo.co.il/case/6159820" TargetMode="External"/><Relationship Id="rId40" Type="http://schemas.openxmlformats.org/officeDocument/2006/relationships/hyperlink" Target="http://www.nevo.co.il/case/23751050" TargetMode="External"/><Relationship Id="rId45" Type="http://schemas.openxmlformats.org/officeDocument/2006/relationships/hyperlink" Target="http://www.nevo.co.il/case/30054042" TargetMode="External"/><Relationship Id="rId53" Type="http://schemas.openxmlformats.org/officeDocument/2006/relationships/hyperlink" Target="http://www.eca.gov.il"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case/24287803"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1644133" TargetMode="External"/><Relationship Id="rId27" Type="http://schemas.openxmlformats.org/officeDocument/2006/relationships/hyperlink" Target="http://www.nevo.co.il/safrut/bookgroup/412" TargetMode="External"/><Relationship Id="rId30" Type="http://schemas.openxmlformats.org/officeDocument/2006/relationships/hyperlink" Target="http://www.nevo.co.il/case/25386231" TargetMode="External"/><Relationship Id="rId35" Type="http://schemas.openxmlformats.org/officeDocument/2006/relationships/hyperlink" Target="http://www.nevo.co.il/case/26253453" TargetMode="External"/><Relationship Id="rId43" Type="http://schemas.openxmlformats.org/officeDocument/2006/relationships/hyperlink" Target="http://www.nevo.co.il/case/23750625" TargetMode="External"/><Relationship Id="rId48" Type="http://schemas.openxmlformats.org/officeDocument/2006/relationships/hyperlink" Target="http://www.nevo.co.il/case/17931757" TargetMode="External"/><Relationship Id="rId56" Type="http://schemas.openxmlformats.org/officeDocument/2006/relationships/header" Target="header2.xml"/><Relationship Id="rId8" Type="http://schemas.openxmlformats.org/officeDocument/2006/relationships/hyperlink" Target="http://www.nevo.co.il/law/4216/13"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916092" TargetMode="External"/><Relationship Id="rId33" Type="http://schemas.openxmlformats.org/officeDocument/2006/relationships/hyperlink" Target="http://www.nevo.co.il/case/22505399" TargetMode="External"/><Relationship Id="rId38" Type="http://schemas.openxmlformats.org/officeDocument/2006/relationships/hyperlink" Target="http://www.nevo.co.il/case/25888120" TargetMode="External"/><Relationship Id="rId46" Type="http://schemas.openxmlformats.org/officeDocument/2006/relationships/hyperlink" Target="https://www.nevo.co.il/psika_html/elyon/c079e28124d842479de27c4171075471.htm" TargetMode="External"/><Relationship Id="rId59" Type="http://schemas.openxmlformats.org/officeDocument/2006/relationships/fontTable" Target="fontTable.xml"/><Relationship Id="rId20" Type="http://schemas.openxmlformats.org/officeDocument/2006/relationships/hyperlink" Target="http://www.nevo.co.il/case/20683594" TargetMode="External"/><Relationship Id="rId41" Type="http://schemas.openxmlformats.org/officeDocument/2006/relationships/hyperlink" Target="http://www.nevo.co.il/case/28092428"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7980171" TargetMode="External"/><Relationship Id="rId28" Type="http://schemas.openxmlformats.org/officeDocument/2006/relationships/hyperlink" Target="http://www.nevo.co.il/case/5678502" TargetMode="External"/><Relationship Id="rId36" Type="http://schemas.openxmlformats.org/officeDocument/2006/relationships/hyperlink" Target="http://www.nevo.co.il/case/20240460" TargetMode="External"/><Relationship Id="rId49" Type="http://schemas.openxmlformats.org/officeDocument/2006/relationships/hyperlink" Target="http://www.nevo.co.il/case/30032738" TargetMode="External"/><Relationship Id="rId57" Type="http://schemas.openxmlformats.org/officeDocument/2006/relationships/footer" Target="footer1.xml"/><Relationship Id="rId10" Type="http://schemas.openxmlformats.org/officeDocument/2006/relationships/hyperlink" Target="http://www.nevo.co.il/law/70301" TargetMode="External"/><Relationship Id="rId31" Type="http://schemas.openxmlformats.org/officeDocument/2006/relationships/hyperlink" Target="http://www.nevo.co.il/case/22201884" TargetMode="External"/><Relationship Id="rId44" Type="http://schemas.openxmlformats.org/officeDocument/2006/relationships/hyperlink" Target="http://www.nevo.co.il/case/27894608" TargetMode="External"/><Relationship Id="rId52" Type="http://schemas.openxmlformats.org/officeDocument/2006/relationships/hyperlink" Target="http://www.nevo.co.il/law/4216"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3739</Words>
  <Characters>18700</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22395</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7864368</vt:i4>
      </vt:variant>
      <vt:variant>
        <vt:i4>141</vt:i4>
      </vt:variant>
      <vt:variant>
        <vt:i4>0</vt:i4>
      </vt:variant>
      <vt:variant>
        <vt:i4>5</vt:i4>
      </vt:variant>
      <vt:variant>
        <vt:lpwstr>http://www.eca.gov.il/</vt:lpwstr>
      </vt:variant>
      <vt:variant>
        <vt:lpwstr/>
      </vt:variant>
      <vt:variant>
        <vt:i4>8257637</vt:i4>
      </vt:variant>
      <vt:variant>
        <vt:i4>138</vt:i4>
      </vt:variant>
      <vt:variant>
        <vt:i4>0</vt:i4>
      </vt:variant>
      <vt:variant>
        <vt:i4>5</vt:i4>
      </vt:variant>
      <vt:variant>
        <vt:lpwstr>http://www.nevo.co.il/law/4216</vt:lpwstr>
      </vt:variant>
      <vt:variant>
        <vt:lpwstr/>
      </vt:variant>
      <vt:variant>
        <vt:i4>8257637</vt:i4>
      </vt:variant>
      <vt:variant>
        <vt:i4>135</vt:i4>
      </vt:variant>
      <vt:variant>
        <vt:i4>0</vt:i4>
      </vt:variant>
      <vt:variant>
        <vt:i4>5</vt:i4>
      </vt:variant>
      <vt:variant>
        <vt:lpwstr>http://www.nevo.co.il/law/4216</vt:lpwstr>
      </vt:variant>
      <vt:variant>
        <vt:lpwstr/>
      </vt:variant>
      <vt:variant>
        <vt:i4>3276912</vt:i4>
      </vt:variant>
      <vt:variant>
        <vt:i4>132</vt:i4>
      </vt:variant>
      <vt:variant>
        <vt:i4>0</vt:i4>
      </vt:variant>
      <vt:variant>
        <vt:i4>5</vt:i4>
      </vt:variant>
      <vt:variant>
        <vt:lpwstr>http://www.nevo.co.il/case/30054152</vt:lpwstr>
      </vt:variant>
      <vt:variant>
        <vt:lpwstr/>
      </vt:variant>
      <vt:variant>
        <vt:i4>3276912</vt:i4>
      </vt:variant>
      <vt:variant>
        <vt:i4>129</vt:i4>
      </vt:variant>
      <vt:variant>
        <vt:i4>0</vt:i4>
      </vt:variant>
      <vt:variant>
        <vt:i4>5</vt:i4>
      </vt:variant>
      <vt:variant>
        <vt:lpwstr>http://www.nevo.co.il/case/30032738</vt:lpwstr>
      </vt:variant>
      <vt:variant>
        <vt:lpwstr/>
      </vt:variant>
      <vt:variant>
        <vt:i4>3932279</vt:i4>
      </vt:variant>
      <vt:variant>
        <vt:i4>126</vt:i4>
      </vt:variant>
      <vt:variant>
        <vt:i4>0</vt:i4>
      </vt:variant>
      <vt:variant>
        <vt:i4>5</vt:i4>
      </vt:variant>
      <vt:variant>
        <vt:lpwstr>http://www.nevo.co.il/case/17931757</vt:lpwstr>
      </vt:variant>
      <vt:variant>
        <vt:lpwstr/>
      </vt:variant>
      <vt:variant>
        <vt:i4>3276921</vt:i4>
      </vt:variant>
      <vt:variant>
        <vt:i4>123</vt:i4>
      </vt:variant>
      <vt:variant>
        <vt:i4>0</vt:i4>
      </vt:variant>
      <vt:variant>
        <vt:i4>5</vt:i4>
      </vt:variant>
      <vt:variant>
        <vt:lpwstr>http://www.nevo.co.il/case/28326750</vt:lpwstr>
      </vt:variant>
      <vt:variant>
        <vt:lpwstr/>
      </vt:variant>
      <vt:variant>
        <vt:i4>1835053</vt:i4>
      </vt:variant>
      <vt:variant>
        <vt:i4>120</vt:i4>
      </vt:variant>
      <vt:variant>
        <vt:i4>0</vt:i4>
      </vt:variant>
      <vt:variant>
        <vt:i4>5</vt:i4>
      </vt:variant>
      <vt:variant>
        <vt:lpwstr>https://www.nevo.co.il/psika_html/elyon/c079e28124d842479de27c4171075471.htm</vt:lpwstr>
      </vt:variant>
      <vt:variant>
        <vt:lpwstr/>
      </vt:variant>
      <vt:variant>
        <vt:i4>3342449</vt:i4>
      </vt:variant>
      <vt:variant>
        <vt:i4>117</vt:i4>
      </vt:variant>
      <vt:variant>
        <vt:i4>0</vt:i4>
      </vt:variant>
      <vt:variant>
        <vt:i4>5</vt:i4>
      </vt:variant>
      <vt:variant>
        <vt:lpwstr>http://www.nevo.co.il/case/30054042</vt:lpwstr>
      </vt:variant>
      <vt:variant>
        <vt:lpwstr/>
      </vt:variant>
      <vt:variant>
        <vt:i4>4063356</vt:i4>
      </vt:variant>
      <vt:variant>
        <vt:i4>114</vt:i4>
      </vt:variant>
      <vt:variant>
        <vt:i4>0</vt:i4>
      </vt:variant>
      <vt:variant>
        <vt:i4>5</vt:i4>
      </vt:variant>
      <vt:variant>
        <vt:lpwstr>http://www.nevo.co.il/case/27894608</vt:lpwstr>
      </vt:variant>
      <vt:variant>
        <vt:lpwstr/>
      </vt:variant>
      <vt:variant>
        <vt:i4>3604596</vt:i4>
      </vt:variant>
      <vt:variant>
        <vt:i4>111</vt:i4>
      </vt:variant>
      <vt:variant>
        <vt:i4>0</vt:i4>
      </vt:variant>
      <vt:variant>
        <vt:i4>5</vt:i4>
      </vt:variant>
      <vt:variant>
        <vt:lpwstr>http://www.nevo.co.il/case/23750625</vt:lpwstr>
      </vt:variant>
      <vt:variant>
        <vt:lpwstr/>
      </vt:variant>
      <vt:variant>
        <vt:i4>3276917</vt:i4>
      </vt:variant>
      <vt:variant>
        <vt:i4>108</vt:i4>
      </vt:variant>
      <vt:variant>
        <vt:i4>0</vt:i4>
      </vt:variant>
      <vt:variant>
        <vt:i4>5</vt:i4>
      </vt:variant>
      <vt:variant>
        <vt:lpwstr>http://www.nevo.co.il/case/13104267</vt:lpwstr>
      </vt:variant>
      <vt:variant>
        <vt:lpwstr/>
      </vt:variant>
      <vt:variant>
        <vt:i4>3276913</vt:i4>
      </vt:variant>
      <vt:variant>
        <vt:i4>105</vt:i4>
      </vt:variant>
      <vt:variant>
        <vt:i4>0</vt:i4>
      </vt:variant>
      <vt:variant>
        <vt:i4>5</vt:i4>
      </vt:variant>
      <vt:variant>
        <vt:lpwstr>http://www.nevo.co.il/case/28092428</vt:lpwstr>
      </vt:variant>
      <vt:variant>
        <vt:lpwstr/>
      </vt:variant>
      <vt:variant>
        <vt:i4>3211378</vt:i4>
      </vt:variant>
      <vt:variant>
        <vt:i4>102</vt:i4>
      </vt:variant>
      <vt:variant>
        <vt:i4>0</vt:i4>
      </vt:variant>
      <vt:variant>
        <vt:i4>5</vt:i4>
      </vt:variant>
      <vt:variant>
        <vt:lpwstr>http://www.nevo.co.il/case/23751050</vt:lpwstr>
      </vt:variant>
      <vt:variant>
        <vt:lpwstr/>
      </vt:variant>
      <vt:variant>
        <vt:i4>4915202</vt:i4>
      </vt:variant>
      <vt:variant>
        <vt:i4>99</vt:i4>
      </vt:variant>
      <vt:variant>
        <vt:i4>0</vt:i4>
      </vt:variant>
      <vt:variant>
        <vt:i4>5</vt:i4>
      </vt:variant>
      <vt:variant>
        <vt:lpwstr>http://www.nevo.co.il/law/70301/40c.a</vt:lpwstr>
      </vt:variant>
      <vt:variant>
        <vt:lpwstr/>
      </vt:variant>
      <vt:variant>
        <vt:i4>3145848</vt:i4>
      </vt:variant>
      <vt:variant>
        <vt:i4>96</vt:i4>
      </vt:variant>
      <vt:variant>
        <vt:i4>0</vt:i4>
      </vt:variant>
      <vt:variant>
        <vt:i4>5</vt:i4>
      </vt:variant>
      <vt:variant>
        <vt:lpwstr>http://www.nevo.co.il/case/25888120</vt:lpwstr>
      </vt:variant>
      <vt:variant>
        <vt:lpwstr/>
      </vt:variant>
      <vt:variant>
        <vt:i4>3866750</vt:i4>
      </vt:variant>
      <vt:variant>
        <vt:i4>93</vt:i4>
      </vt:variant>
      <vt:variant>
        <vt:i4>0</vt:i4>
      </vt:variant>
      <vt:variant>
        <vt:i4>5</vt:i4>
      </vt:variant>
      <vt:variant>
        <vt:lpwstr>http://www.nevo.co.il/case/6159820</vt:lpwstr>
      </vt:variant>
      <vt:variant>
        <vt:lpwstr/>
      </vt:variant>
      <vt:variant>
        <vt:i4>3539060</vt:i4>
      </vt:variant>
      <vt:variant>
        <vt:i4>90</vt:i4>
      </vt:variant>
      <vt:variant>
        <vt:i4>0</vt:i4>
      </vt:variant>
      <vt:variant>
        <vt:i4>5</vt:i4>
      </vt:variant>
      <vt:variant>
        <vt:lpwstr>http://www.nevo.co.il/case/20240460</vt:lpwstr>
      </vt:variant>
      <vt:variant>
        <vt:lpwstr/>
      </vt:variant>
      <vt:variant>
        <vt:i4>3539059</vt:i4>
      </vt:variant>
      <vt:variant>
        <vt:i4>87</vt:i4>
      </vt:variant>
      <vt:variant>
        <vt:i4>0</vt:i4>
      </vt:variant>
      <vt:variant>
        <vt:i4>5</vt:i4>
      </vt:variant>
      <vt:variant>
        <vt:lpwstr>http://www.nevo.co.il/case/26253453</vt:lpwstr>
      </vt:variant>
      <vt:variant>
        <vt:lpwstr/>
      </vt:variant>
      <vt:variant>
        <vt:i4>3276924</vt:i4>
      </vt:variant>
      <vt:variant>
        <vt:i4>84</vt:i4>
      </vt:variant>
      <vt:variant>
        <vt:i4>0</vt:i4>
      </vt:variant>
      <vt:variant>
        <vt:i4>5</vt:i4>
      </vt:variant>
      <vt:variant>
        <vt:lpwstr>http://www.nevo.co.il/case/5608364</vt:lpwstr>
      </vt:variant>
      <vt:variant>
        <vt:lpwstr/>
      </vt:variant>
      <vt:variant>
        <vt:i4>3866741</vt:i4>
      </vt:variant>
      <vt:variant>
        <vt:i4>81</vt:i4>
      </vt:variant>
      <vt:variant>
        <vt:i4>0</vt:i4>
      </vt:variant>
      <vt:variant>
        <vt:i4>5</vt:i4>
      </vt:variant>
      <vt:variant>
        <vt:lpwstr>http://www.nevo.co.il/case/22505399</vt:lpwstr>
      </vt:variant>
      <vt:variant>
        <vt:lpwstr/>
      </vt:variant>
      <vt:variant>
        <vt:i4>4128884</vt:i4>
      </vt:variant>
      <vt:variant>
        <vt:i4>78</vt:i4>
      </vt:variant>
      <vt:variant>
        <vt:i4>0</vt:i4>
      </vt:variant>
      <vt:variant>
        <vt:i4>5</vt:i4>
      </vt:variant>
      <vt:variant>
        <vt:lpwstr>http://www.nevo.co.il/case/17954235</vt:lpwstr>
      </vt:variant>
      <vt:variant>
        <vt:lpwstr/>
      </vt:variant>
      <vt:variant>
        <vt:i4>3735678</vt:i4>
      </vt:variant>
      <vt:variant>
        <vt:i4>75</vt:i4>
      </vt:variant>
      <vt:variant>
        <vt:i4>0</vt:i4>
      </vt:variant>
      <vt:variant>
        <vt:i4>5</vt:i4>
      </vt:variant>
      <vt:variant>
        <vt:lpwstr>http://www.nevo.co.il/case/22201884</vt:lpwstr>
      </vt:variant>
      <vt:variant>
        <vt:lpwstr/>
      </vt:variant>
      <vt:variant>
        <vt:i4>3407995</vt:i4>
      </vt:variant>
      <vt:variant>
        <vt:i4>72</vt:i4>
      </vt:variant>
      <vt:variant>
        <vt:i4>0</vt:i4>
      </vt:variant>
      <vt:variant>
        <vt:i4>5</vt:i4>
      </vt:variant>
      <vt:variant>
        <vt:lpwstr>http://www.nevo.co.il/case/25386231</vt:lpwstr>
      </vt:variant>
      <vt:variant>
        <vt:lpwstr/>
      </vt:variant>
      <vt:variant>
        <vt:i4>3604593</vt:i4>
      </vt:variant>
      <vt:variant>
        <vt:i4>69</vt:i4>
      </vt:variant>
      <vt:variant>
        <vt:i4>0</vt:i4>
      </vt:variant>
      <vt:variant>
        <vt:i4>5</vt:i4>
      </vt:variant>
      <vt:variant>
        <vt:lpwstr>http://www.nevo.co.il/case/25241468</vt:lpwstr>
      </vt:variant>
      <vt:variant>
        <vt:lpwstr/>
      </vt:variant>
      <vt:variant>
        <vt:i4>3473530</vt:i4>
      </vt:variant>
      <vt:variant>
        <vt:i4>66</vt:i4>
      </vt:variant>
      <vt:variant>
        <vt:i4>0</vt:i4>
      </vt:variant>
      <vt:variant>
        <vt:i4>5</vt:i4>
      </vt:variant>
      <vt:variant>
        <vt:lpwstr>http://www.nevo.co.il/case/5678502</vt:lpwstr>
      </vt:variant>
      <vt:variant>
        <vt:lpwstr/>
      </vt:variant>
      <vt:variant>
        <vt:i4>2097193</vt:i4>
      </vt:variant>
      <vt:variant>
        <vt:i4>63</vt:i4>
      </vt:variant>
      <vt:variant>
        <vt:i4>0</vt:i4>
      </vt:variant>
      <vt:variant>
        <vt:i4>5</vt:i4>
      </vt:variant>
      <vt:variant>
        <vt:lpwstr>http://www.nevo.co.il/safrut/bookgroup/412</vt:lpwstr>
      </vt:variant>
      <vt:variant>
        <vt:lpwstr/>
      </vt:variant>
      <vt:variant>
        <vt:i4>7995492</vt:i4>
      </vt:variant>
      <vt:variant>
        <vt:i4>60</vt:i4>
      </vt:variant>
      <vt:variant>
        <vt:i4>0</vt:i4>
      </vt:variant>
      <vt:variant>
        <vt:i4>5</vt:i4>
      </vt:variant>
      <vt:variant>
        <vt:lpwstr>http://www.nevo.co.il/law/70301</vt:lpwstr>
      </vt:variant>
      <vt:variant>
        <vt:lpwstr/>
      </vt:variant>
      <vt:variant>
        <vt:i4>3407997</vt:i4>
      </vt:variant>
      <vt:variant>
        <vt:i4>57</vt:i4>
      </vt:variant>
      <vt:variant>
        <vt:i4>0</vt:i4>
      </vt:variant>
      <vt:variant>
        <vt:i4>5</vt:i4>
      </vt:variant>
      <vt:variant>
        <vt:lpwstr>http://www.nevo.co.il/case/28916092</vt:lpwstr>
      </vt:variant>
      <vt:variant>
        <vt:lpwstr/>
      </vt:variant>
      <vt:variant>
        <vt:i4>3145844</vt:i4>
      </vt:variant>
      <vt:variant>
        <vt:i4>54</vt:i4>
      </vt:variant>
      <vt:variant>
        <vt:i4>0</vt:i4>
      </vt:variant>
      <vt:variant>
        <vt:i4>5</vt:i4>
      </vt:variant>
      <vt:variant>
        <vt:lpwstr>http://www.nevo.co.il/case/7653052</vt:lpwstr>
      </vt:variant>
      <vt:variant>
        <vt:lpwstr/>
      </vt:variant>
      <vt:variant>
        <vt:i4>4128890</vt:i4>
      </vt:variant>
      <vt:variant>
        <vt:i4>51</vt:i4>
      </vt:variant>
      <vt:variant>
        <vt:i4>0</vt:i4>
      </vt:variant>
      <vt:variant>
        <vt:i4>5</vt:i4>
      </vt:variant>
      <vt:variant>
        <vt:lpwstr>http://www.nevo.co.il/case/7980171</vt:lpwstr>
      </vt:variant>
      <vt:variant>
        <vt:lpwstr/>
      </vt:variant>
      <vt:variant>
        <vt:i4>3342448</vt:i4>
      </vt:variant>
      <vt:variant>
        <vt:i4>48</vt:i4>
      </vt:variant>
      <vt:variant>
        <vt:i4>0</vt:i4>
      </vt:variant>
      <vt:variant>
        <vt:i4>5</vt:i4>
      </vt:variant>
      <vt:variant>
        <vt:lpwstr>http://www.nevo.co.il/case/21644133</vt:lpwstr>
      </vt:variant>
      <vt:variant>
        <vt:lpwstr/>
      </vt:variant>
      <vt:variant>
        <vt:i4>3539061</vt:i4>
      </vt:variant>
      <vt:variant>
        <vt:i4>45</vt:i4>
      </vt:variant>
      <vt:variant>
        <vt:i4>0</vt:i4>
      </vt:variant>
      <vt:variant>
        <vt:i4>5</vt:i4>
      </vt:variant>
      <vt:variant>
        <vt:lpwstr>http://www.nevo.co.il/case/5988308</vt:lpwstr>
      </vt:variant>
      <vt:variant>
        <vt:lpwstr/>
      </vt:variant>
      <vt:variant>
        <vt:i4>4063353</vt:i4>
      </vt:variant>
      <vt:variant>
        <vt:i4>42</vt:i4>
      </vt:variant>
      <vt:variant>
        <vt:i4>0</vt:i4>
      </vt:variant>
      <vt:variant>
        <vt:i4>5</vt:i4>
      </vt:variant>
      <vt:variant>
        <vt:lpwstr>http://www.nevo.co.il/case/20683594</vt:lpwstr>
      </vt:variant>
      <vt:variant>
        <vt:lpwstr/>
      </vt:variant>
      <vt:variant>
        <vt:i4>3604592</vt:i4>
      </vt:variant>
      <vt:variant>
        <vt:i4>39</vt:i4>
      </vt:variant>
      <vt:variant>
        <vt:i4>0</vt:i4>
      </vt:variant>
      <vt:variant>
        <vt:i4>5</vt:i4>
      </vt:variant>
      <vt:variant>
        <vt:lpwstr>http://www.nevo.co.il/case/24287803</vt:lpwstr>
      </vt:variant>
      <vt:variant>
        <vt:lpwstr/>
      </vt:variant>
      <vt:variant>
        <vt:i4>3801208</vt:i4>
      </vt:variant>
      <vt:variant>
        <vt:i4>36</vt:i4>
      </vt:variant>
      <vt:variant>
        <vt:i4>0</vt:i4>
      </vt:variant>
      <vt:variant>
        <vt:i4>5</vt:i4>
      </vt:variant>
      <vt:variant>
        <vt:lpwstr>http://www.nevo.co.il/case/6987521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2025-04-22T21:30:00Z</dcterms:created>
  <dcterms:modified xsi:type="dcterms:W3CDTF">2025-04-22T21:30:00Z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30310</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יצחק הרלב </vt:lpwstr>
  </property>
  <property fmtid="{D5CDD505-2E9C-101B-9397-08002B2CF9AE}" pid="10" name="LAWYER">
    <vt:lpwstr>דניאל גולדהמר;מרינה גלדקי</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20250224</vt:lpwstr>
  </property>
  <property fmtid="{D5CDD505-2E9C-101B-9397-08002B2CF9AE}" pid="14" name="TYPE_N_DATE">
    <vt:lpwstr>39020250224</vt:lpwstr>
  </property>
  <property fmtid="{D5CDD505-2E9C-101B-9397-08002B2CF9AE}" pid="15" name="CASESLISTTMP1">
    <vt:lpwstr>6987521;24287803;20683594;5988308;21644133;7980171;7653052;28916092;5678502;25241468;25386231;22201884;17954235;22505399;5608364;26253453;20240460;6159820;25888120;23751050;28092428;13104267;23750625;27894608;30054042;28326750;17931757;30032738;30054152</vt:lpwstr>
  </property>
  <property fmtid="{D5CDD505-2E9C-101B-9397-08002B2CF9AE}" pid="16" name="CASENOTES1">
    <vt:lpwstr>ProcID=209&amp;PartA=45055&amp;PartB=01&amp;PartC=22</vt:lpwstr>
  </property>
  <property fmtid="{D5CDD505-2E9C-101B-9397-08002B2CF9AE}" pid="17" name="CASENOTES2">
    <vt:lpwstr>ProcID=209&amp;PartA=29918&amp;PartB=09&amp;PartC=23</vt:lpwstr>
  </property>
  <property fmtid="{D5CDD505-2E9C-101B-9397-08002B2CF9AE}" pid="18" name="BOOKGROUPTMP1">
    <vt:lpwstr>412</vt:lpwstr>
  </property>
  <property fmtid="{D5CDD505-2E9C-101B-9397-08002B2CF9AE}" pid="19" name="WORDNUMPAGES">
    <vt:lpwstr>10</vt:lpwstr>
  </property>
  <property fmtid="{D5CDD505-2E9C-101B-9397-08002B2CF9AE}" pid="20" name="TYPE_ABS_DATE">
    <vt:lpwstr>390020250224</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4216/013;019a</vt:lpwstr>
  </property>
  <property fmtid="{D5CDD505-2E9C-101B-9397-08002B2CF9AE}" pid="39" name="LAWLISTTMP2">
    <vt:lpwstr>70301/031;040c.a</vt:lpwstr>
  </property>
  <property fmtid="{D5CDD505-2E9C-101B-9397-08002B2CF9AE}" pid="40" name="ISABSTRACT">
    <vt:lpwstr>Y</vt:lpwstr>
  </property>
</Properties>
</file>