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487F08" w:rsidRPr="00F3668A" w14:paraId="7340A53D" w14:textId="77777777" w:rsidTr="0086511F">
        <w:trPr>
          <w:trHeight w:val="418"/>
          <w:jc w:val="center"/>
        </w:trPr>
        <w:tc>
          <w:tcPr>
            <w:tcW w:w="8504" w:type="dxa"/>
            <w:gridSpan w:val="3"/>
          </w:tcPr>
          <w:p w14:paraId="67138776" w14:textId="77777777" w:rsidR="00487F08" w:rsidRPr="00F3668A" w:rsidRDefault="00487F08" w:rsidP="0086511F">
            <w:pPr>
              <w:pStyle w:val="a3"/>
              <w:jc w:val="center"/>
              <w:rPr>
                <w:rtl/>
              </w:rPr>
            </w:pPr>
            <w:bookmarkStart w:id="0" w:name="LastJudge"/>
            <w:r w:rsidRPr="00F3668A">
              <w:rPr>
                <w:rFonts w:ascii="Tahoma" w:hAnsi="Tahoma" w:cs="Tahoma"/>
                <w:b/>
                <w:bCs/>
                <w:color w:val="000080"/>
                <w:sz w:val="20"/>
                <w:szCs w:val="20"/>
                <w:rtl/>
              </w:rPr>
              <w:t>בית המשפט המחוזי בבאר שבע</w:t>
            </w:r>
          </w:p>
        </w:tc>
      </w:tr>
      <w:tr w:rsidR="00487F08" w:rsidRPr="00F3668A" w14:paraId="5F252910" w14:textId="77777777" w:rsidTr="0086511F">
        <w:trPr>
          <w:trHeight w:val="337"/>
          <w:jc w:val="center"/>
        </w:trPr>
        <w:tc>
          <w:tcPr>
            <w:tcW w:w="4676" w:type="dxa"/>
          </w:tcPr>
          <w:p w14:paraId="120FFA2B" w14:textId="77777777" w:rsidR="00487F08" w:rsidRPr="00F3668A" w:rsidRDefault="00487F08" w:rsidP="0086511F">
            <w:pPr>
              <w:spacing w:line="360" w:lineRule="auto"/>
              <w:jc w:val="both"/>
              <w:rPr>
                <w:b/>
                <w:bCs/>
                <w:rtl/>
              </w:rPr>
            </w:pPr>
            <w:r w:rsidRPr="00F3668A">
              <w:rPr>
                <w:rFonts w:hint="cs"/>
                <w:b/>
                <w:bCs/>
                <w:rtl/>
              </w:rPr>
              <w:t>לפני כבוד השופט הבכיר, אליהו ביתן</w:t>
            </w:r>
          </w:p>
        </w:tc>
        <w:tc>
          <w:tcPr>
            <w:tcW w:w="241" w:type="dxa"/>
          </w:tcPr>
          <w:p w14:paraId="09FCF168" w14:textId="77777777" w:rsidR="00487F08" w:rsidRPr="00F3668A" w:rsidRDefault="00487F08" w:rsidP="0086511F">
            <w:pPr>
              <w:pStyle w:val="a3"/>
              <w:jc w:val="right"/>
              <w:rPr>
                <w:b/>
                <w:bCs/>
                <w:rtl/>
              </w:rPr>
            </w:pPr>
          </w:p>
        </w:tc>
        <w:tc>
          <w:tcPr>
            <w:tcW w:w="3587" w:type="dxa"/>
          </w:tcPr>
          <w:p w14:paraId="47C5D595" w14:textId="77777777" w:rsidR="00487F08" w:rsidRPr="00F3668A" w:rsidRDefault="00487F08" w:rsidP="0086511F">
            <w:pPr>
              <w:pStyle w:val="a3"/>
              <w:tabs>
                <w:tab w:val="clear" w:pos="4153"/>
              </w:tabs>
              <w:jc w:val="right"/>
              <w:rPr>
                <w:rtl/>
              </w:rPr>
            </w:pPr>
            <w:r w:rsidRPr="00F3668A">
              <w:rPr>
                <w:b/>
                <w:bCs/>
              </w:rPr>
              <w:t>19/09/2024</w:t>
            </w:r>
          </w:p>
          <w:p w14:paraId="0B9F94D1" w14:textId="77777777" w:rsidR="00487F08" w:rsidRPr="00F3668A" w:rsidRDefault="00487F08" w:rsidP="0086511F">
            <w:pPr>
              <w:pStyle w:val="a3"/>
              <w:tabs>
                <w:tab w:val="clear" w:pos="4153"/>
              </w:tabs>
              <w:rPr>
                <w:b/>
                <w:bCs/>
                <w:rtl/>
              </w:rPr>
            </w:pPr>
          </w:p>
          <w:p w14:paraId="041CC7AF" w14:textId="77777777" w:rsidR="00487F08" w:rsidRPr="00F3668A" w:rsidRDefault="00487F08" w:rsidP="0086511F">
            <w:pPr>
              <w:jc w:val="right"/>
              <w:rPr>
                <w:rtl/>
              </w:rPr>
            </w:pPr>
            <w:r w:rsidRPr="00F3668A">
              <w:rPr>
                <w:rFonts w:hint="cs"/>
                <w:b/>
                <w:bCs/>
                <w:rtl/>
              </w:rPr>
              <w:t>ת"פ 13839-12-23 מדינת ישראל נ' פשייב(עציר)</w:t>
            </w:r>
          </w:p>
        </w:tc>
      </w:tr>
    </w:tbl>
    <w:p w14:paraId="2FA53643" w14:textId="77777777" w:rsidR="00487F08" w:rsidRPr="00F3668A" w:rsidRDefault="00487F08" w:rsidP="00487F08">
      <w:pPr>
        <w:pStyle w:val="a3"/>
        <w:jc w:val="center"/>
        <w:rPr>
          <w:rFonts w:ascii="Tahoma" w:hAnsi="Tahoma" w:cs="Tahoma"/>
          <w:b/>
          <w:bCs/>
          <w:color w:val="000080"/>
          <w:sz w:val="20"/>
          <w:szCs w:val="20"/>
          <w:rtl/>
        </w:rPr>
      </w:pPr>
    </w:p>
    <w:p w14:paraId="701F6DF2" w14:textId="77777777" w:rsidR="00487F08" w:rsidRPr="00F3668A" w:rsidRDefault="00487F08" w:rsidP="00487F08">
      <w:pPr>
        <w:pStyle w:val="a3"/>
        <w:rPr>
          <w:rtl/>
        </w:rPr>
      </w:pPr>
    </w:p>
    <w:p w14:paraId="00C9D34E" w14:textId="77777777" w:rsidR="00487F08" w:rsidRPr="00F3668A" w:rsidRDefault="00487F08" w:rsidP="00487F08">
      <w:pPr>
        <w:spacing w:line="360" w:lineRule="auto"/>
        <w:jc w:val="both"/>
        <w:rPr>
          <w:sz w:val="6"/>
          <w:szCs w:val="6"/>
          <w:rtl/>
        </w:rPr>
      </w:pPr>
    </w:p>
    <w:p w14:paraId="59BC0A83" w14:textId="77777777" w:rsidR="00487F08" w:rsidRPr="00F3668A" w:rsidRDefault="00487F08" w:rsidP="00487F08">
      <w:pPr>
        <w:spacing w:line="360" w:lineRule="auto"/>
        <w:jc w:val="both"/>
        <w:rPr>
          <w:sz w:val="6"/>
          <w:szCs w:val="6"/>
          <w:rtl/>
        </w:rPr>
      </w:pPr>
    </w:p>
    <w:tbl>
      <w:tblPr>
        <w:bidiVisual/>
        <w:tblW w:w="8540" w:type="dxa"/>
        <w:tblInd w:w="234" w:type="dxa"/>
        <w:tblLook w:val="01E0" w:firstRow="1" w:lastRow="1" w:firstColumn="1" w:lastColumn="1" w:noHBand="0" w:noVBand="0"/>
      </w:tblPr>
      <w:tblGrid>
        <w:gridCol w:w="2258"/>
        <w:gridCol w:w="6226"/>
        <w:gridCol w:w="56"/>
      </w:tblGrid>
      <w:tr w:rsidR="00487F08" w:rsidRPr="00F3668A" w14:paraId="068AFE17" w14:textId="77777777" w:rsidTr="00487F08">
        <w:trPr>
          <w:gridAfter w:val="1"/>
          <w:wAfter w:w="56" w:type="dxa"/>
        </w:trPr>
        <w:tc>
          <w:tcPr>
            <w:tcW w:w="8484" w:type="dxa"/>
            <w:gridSpan w:val="2"/>
            <w:shd w:val="clear" w:color="auto" w:fill="auto"/>
          </w:tcPr>
          <w:p w14:paraId="1DEC1FC1" w14:textId="77777777" w:rsidR="00487F08" w:rsidRPr="00F3668A" w:rsidRDefault="00487F08" w:rsidP="00487F08">
            <w:pPr>
              <w:spacing w:line="360" w:lineRule="auto"/>
              <w:jc w:val="both"/>
              <w:rPr>
                <w:rFonts w:ascii="David" w:hAnsi="David"/>
                <w:b/>
                <w:bCs/>
                <w:rtl/>
              </w:rPr>
            </w:pPr>
            <w:r w:rsidRPr="00F3668A">
              <w:rPr>
                <w:rFonts w:ascii="David" w:hAnsi="David" w:hint="cs"/>
                <w:b/>
                <w:bCs/>
                <w:rtl/>
              </w:rPr>
              <w:t>בעניין:</w:t>
            </w:r>
          </w:p>
        </w:tc>
      </w:tr>
      <w:tr w:rsidR="00487F08" w:rsidRPr="00F3668A" w14:paraId="08C59AF8" w14:textId="77777777" w:rsidTr="00487F08">
        <w:tc>
          <w:tcPr>
            <w:tcW w:w="2258" w:type="dxa"/>
            <w:shd w:val="clear" w:color="auto" w:fill="auto"/>
          </w:tcPr>
          <w:p w14:paraId="1D427D11" w14:textId="77777777" w:rsidR="00487F08" w:rsidRPr="00F3668A" w:rsidRDefault="00487F08" w:rsidP="00487F08">
            <w:pPr>
              <w:spacing w:line="360" w:lineRule="auto"/>
              <w:ind w:left="26"/>
              <w:rPr>
                <w:rFonts w:ascii="David" w:hAnsi="David"/>
                <w:b/>
                <w:bCs/>
                <w:rtl/>
              </w:rPr>
            </w:pPr>
            <w:bookmarkStart w:id="1" w:name="FirstAppellant"/>
            <w:r w:rsidRPr="00F3668A">
              <w:rPr>
                <w:rFonts w:ascii="David" w:hAnsi="David" w:hint="cs"/>
                <w:b/>
                <w:bCs/>
                <w:rtl/>
              </w:rPr>
              <w:t>המאשימה:</w:t>
            </w:r>
          </w:p>
        </w:tc>
        <w:tc>
          <w:tcPr>
            <w:tcW w:w="6282" w:type="dxa"/>
            <w:gridSpan w:val="2"/>
            <w:shd w:val="clear" w:color="auto" w:fill="auto"/>
          </w:tcPr>
          <w:p w14:paraId="1AC4BE4F" w14:textId="77777777" w:rsidR="00487F08" w:rsidRPr="00F3668A" w:rsidRDefault="00487F08" w:rsidP="00487F08">
            <w:pPr>
              <w:spacing w:line="360" w:lineRule="auto"/>
              <w:rPr>
                <w:rFonts w:ascii="David" w:hAnsi="David"/>
                <w:b/>
                <w:bCs/>
                <w:rtl/>
              </w:rPr>
            </w:pPr>
            <w:r w:rsidRPr="00F3668A">
              <w:rPr>
                <w:rFonts w:ascii="David" w:hAnsi="David" w:hint="cs"/>
                <w:b/>
                <w:bCs/>
                <w:rtl/>
              </w:rPr>
              <w:t>מדינת ישראל</w:t>
            </w:r>
          </w:p>
        </w:tc>
      </w:tr>
      <w:bookmarkEnd w:id="1"/>
      <w:tr w:rsidR="00487F08" w:rsidRPr="00F3668A" w14:paraId="0E928977" w14:textId="77777777" w:rsidTr="00487F08">
        <w:tc>
          <w:tcPr>
            <w:tcW w:w="8540" w:type="dxa"/>
            <w:gridSpan w:val="3"/>
            <w:shd w:val="clear" w:color="auto" w:fill="auto"/>
          </w:tcPr>
          <w:p w14:paraId="1FD6CD66" w14:textId="77777777" w:rsidR="00487F08" w:rsidRPr="00F3668A" w:rsidRDefault="00487F08" w:rsidP="00487F08">
            <w:pPr>
              <w:spacing w:line="360" w:lineRule="auto"/>
              <w:jc w:val="center"/>
              <w:rPr>
                <w:rFonts w:ascii="David" w:hAnsi="David"/>
                <w:b/>
                <w:bCs/>
                <w:sz w:val="28"/>
                <w:szCs w:val="28"/>
                <w:rtl/>
              </w:rPr>
            </w:pPr>
            <w:r w:rsidRPr="00F3668A">
              <w:rPr>
                <w:rFonts w:ascii="David" w:hAnsi="David" w:hint="cs"/>
                <w:b/>
                <w:bCs/>
                <w:sz w:val="28"/>
                <w:szCs w:val="28"/>
                <w:rtl/>
              </w:rPr>
              <w:t>נגד</w:t>
            </w:r>
          </w:p>
        </w:tc>
      </w:tr>
      <w:tr w:rsidR="00487F08" w:rsidRPr="00F3668A" w14:paraId="373F1D31" w14:textId="77777777" w:rsidTr="00487F08">
        <w:tc>
          <w:tcPr>
            <w:tcW w:w="2258" w:type="dxa"/>
            <w:shd w:val="clear" w:color="auto" w:fill="auto"/>
          </w:tcPr>
          <w:p w14:paraId="26B051AE" w14:textId="77777777" w:rsidR="00487F08" w:rsidRPr="00F3668A" w:rsidRDefault="00487F08" w:rsidP="00487F08">
            <w:pPr>
              <w:spacing w:line="360" w:lineRule="auto"/>
              <w:ind w:left="26"/>
              <w:rPr>
                <w:rFonts w:ascii="David" w:hAnsi="David"/>
                <w:b/>
                <w:bCs/>
              </w:rPr>
            </w:pPr>
            <w:r w:rsidRPr="00F3668A">
              <w:rPr>
                <w:rFonts w:ascii="David" w:hAnsi="David" w:hint="cs"/>
                <w:b/>
                <w:bCs/>
                <w:rtl/>
              </w:rPr>
              <w:t>הנאשם:</w:t>
            </w:r>
          </w:p>
        </w:tc>
        <w:tc>
          <w:tcPr>
            <w:tcW w:w="6282" w:type="dxa"/>
            <w:gridSpan w:val="2"/>
            <w:shd w:val="clear" w:color="auto" w:fill="auto"/>
          </w:tcPr>
          <w:p w14:paraId="553A4392" w14:textId="77777777" w:rsidR="00487F08" w:rsidRPr="00F3668A" w:rsidRDefault="00487F08" w:rsidP="00487F08">
            <w:pPr>
              <w:spacing w:line="360" w:lineRule="auto"/>
              <w:rPr>
                <w:rFonts w:ascii="David" w:hAnsi="David"/>
                <w:b/>
                <w:bCs/>
                <w:rtl/>
              </w:rPr>
            </w:pPr>
            <w:r w:rsidRPr="00F3668A">
              <w:rPr>
                <w:rFonts w:ascii="David" w:hAnsi="David"/>
                <w:b/>
                <w:bCs/>
                <w:rtl/>
              </w:rPr>
              <w:t>אריאל פשייב (עציר)</w:t>
            </w:r>
          </w:p>
        </w:tc>
      </w:tr>
    </w:tbl>
    <w:p w14:paraId="0B4FC2E3" w14:textId="77777777" w:rsidR="00487F08" w:rsidRPr="00F3668A" w:rsidRDefault="00487F08" w:rsidP="00487F08">
      <w:pPr>
        <w:spacing w:line="360" w:lineRule="auto"/>
        <w:jc w:val="both"/>
        <w:rPr>
          <w:rFonts w:ascii="David" w:hAnsi="David"/>
          <w:sz w:val="6"/>
          <w:szCs w:val="6"/>
          <w:rtl/>
        </w:rPr>
      </w:pPr>
      <w:r w:rsidRPr="00F3668A">
        <w:rPr>
          <w:rFonts w:hint="cs"/>
          <w:sz w:val="6"/>
          <w:szCs w:val="6"/>
          <w:rtl/>
        </w:rPr>
        <w:t>&lt;#1#&gt;</w:t>
      </w:r>
    </w:p>
    <w:p w14:paraId="0DF42907" w14:textId="77777777" w:rsidR="00487F08" w:rsidRPr="00F3668A" w:rsidRDefault="00487F08" w:rsidP="00487F08">
      <w:pPr>
        <w:pStyle w:val="12"/>
        <w:spacing w:line="360" w:lineRule="auto"/>
        <w:rPr>
          <w:u w:val="none"/>
          <w:rtl/>
        </w:rPr>
      </w:pPr>
      <w:r w:rsidRPr="00F3668A">
        <w:rPr>
          <w:u w:val="none"/>
          <w:rtl/>
        </w:rPr>
        <w:t>נוכחים:</w:t>
      </w:r>
    </w:p>
    <w:p w14:paraId="6AD6AB9C" w14:textId="77777777" w:rsidR="00487F08" w:rsidRPr="00F3668A" w:rsidRDefault="00487F08" w:rsidP="00487F08">
      <w:pPr>
        <w:pStyle w:val="12"/>
        <w:spacing w:line="360" w:lineRule="auto"/>
        <w:rPr>
          <w:b w:val="0"/>
          <w:bCs w:val="0"/>
          <w:u w:val="none"/>
          <w:rtl/>
        </w:rPr>
      </w:pPr>
      <w:bookmarkStart w:id="2" w:name="FirstLawyer"/>
      <w:r w:rsidRPr="00F3668A">
        <w:rPr>
          <w:b w:val="0"/>
          <w:bCs w:val="0"/>
          <w:u w:val="none"/>
          <w:rtl/>
        </w:rPr>
        <w:t>ב"כ</w:t>
      </w:r>
      <w:bookmarkEnd w:id="2"/>
      <w:r w:rsidRPr="00F3668A">
        <w:rPr>
          <w:b w:val="0"/>
          <w:bCs w:val="0"/>
          <w:u w:val="none"/>
          <w:rtl/>
        </w:rPr>
        <w:t xml:space="preserve"> המאשימה, עו"ד גאל נבון </w:t>
      </w:r>
    </w:p>
    <w:p w14:paraId="4882771B" w14:textId="77777777" w:rsidR="00487F08" w:rsidRPr="00F3668A" w:rsidRDefault="00487F08" w:rsidP="00487F08">
      <w:pPr>
        <w:pStyle w:val="12"/>
        <w:spacing w:line="360" w:lineRule="auto"/>
        <w:rPr>
          <w:b w:val="0"/>
          <w:bCs w:val="0"/>
          <w:u w:val="none"/>
          <w:rtl/>
        </w:rPr>
      </w:pPr>
      <w:r w:rsidRPr="00F3668A">
        <w:rPr>
          <w:b w:val="0"/>
          <w:bCs w:val="0"/>
          <w:u w:val="none"/>
          <w:rtl/>
        </w:rPr>
        <w:t xml:space="preserve">הנאשם ובאת-כוחו, עו"ד אור בן שאנן </w:t>
      </w:r>
    </w:p>
    <w:p w14:paraId="50203554" w14:textId="77777777" w:rsidR="00487F08" w:rsidRPr="00F3668A" w:rsidRDefault="00487F08" w:rsidP="00487F08">
      <w:pPr>
        <w:spacing w:line="360" w:lineRule="auto"/>
        <w:jc w:val="both"/>
        <w:rPr>
          <w:sz w:val="6"/>
          <w:szCs w:val="6"/>
          <w:rtl/>
        </w:rPr>
      </w:pPr>
      <w:r w:rsidRPr="00F3668A">
        <w:rPr>
          <w:rFonts w:hint="cs"/>
          <w:sz w:val="6"/>
          <w:szCs w:val="6"/>
          <w:rtl/>
        </w:rPr>
        <w:t>&lt;#5#&gt;</w:t>
      </w:r>
    </w:p>
    <w:p w14:paraId="7EAAAE47" w14:textId="77777777" w:rsidR="00253444" w:rsidRPr="00253444" w:rsidRDefault="00253444" w:rsidP="00253444">
      <w:pPr>
        <w:spacing w:before="120" w:after="120" w:line="240" w:lineRule="exact"/>
        <w:ind w:left="283" w:hanging="283"/>
        <w:jc w:val="both"/>
        <w:rPr>
          <w:rFonts w:ascii="FrankRuehl" w:hAnsi="FrankRuehl" w:cs="FrankRuehl"/>
          <w:rtl/>
        </w:rPr>
      </w:pPr>
      <w:bookmarkStart w:id="3" w:name="LawTable"/>
      <w:bookmarkEnd w:id="3"/>
      <w:r w:rsidRPr="00253444">
        <w:rPr>
          <w:rFonts w:ascii="FrankRuehl" w:hAnsi="FrankRuehl" w:cs="FrankRuehl"/>
          <w:rtl/>
        </w:rPr>
        <w:t xml:space="preserve">חקיקה שאוזכרה: </w:t>
      </w:r>
    </w:p>
    <w:p w14:paraId="74ECE708" w14:textId="77777777" w:rsidR="00253444" w:rsidRPr="00253444" w:rsidRDefault="00253444" w:rsidP="00253444">
      <w:pPr>
        <w:spacing w:before="120" w:after="120" w:line="240" w:lineRule="exact"/>
        <w:ind w:left="283" w:hanging="283"/>
        <w:jc w:val="both"/>
        <w:rPr>
          <w:rFonts w:ascii="FrankRuehl" w:hAnsi="FrankRuehl" w:cs="FrankRuehl"/>
          <w:color w:val="0000FF"/>
          <w:rtl/>
        </w:rPr>
      </w:pPr>
      <w:hyperlink r:id="rId7" w:history="1">
        <w:r w:rsidRPr="00253444">
          <w:rPr>
            <w:rStyle w:val="Hyperlink"/>
            <w:rFonts w:ascii="FrankRuehl" w:hAnsi="FrankRuehl" w:cs="FrankRuehl"/>
            <w:u w:val="none"/>
            <w:rtl/>
          </w:rPr>
          <w:t>חוק העונשין, תשל"ז-1977</w:t>
        </w:r>
      </w:hyperlink>
      <w:r w:rsidRPr="00253444">
        <w:rPr>
          <w:rFonts w:ascii="FrankRuehl" w:hAnsi="FrankRuehl" w:cs="FrankRuehl"/>
          <w:color w:val="0000FF"/>
          <w:rtl/>
        </w:rPr>
        <w:t xml:space="preserve">: סע'  </w:t>
      </w:r>
      <w:hyperlink r:id="rId8" w:history="1">
        <w:r w:rsidRPr="00253444">
          <w:rPr>
            <w:rStyle w:val="Hyperlink"/>
            <w:rFonts w:ascii="FrankRuehl" w:hAnsi="FrankRuehl" w:cs="FrankRuehl"/>
            <w:u w:val="none"/>
          </w:rPr>
          <w:t xml:space="preserve">448 </w:t>
        </w:r>
      </w:hyperlink>
      <w:r w:rsidRPr="00253444">
        <w:rPr>
          <w:rFonts w:ascii="FrankRuehl" w:hAnsi="FrankRuehl" w:cs="FrankRuehl"/>
          <w:color w:val="0000FF"/>
          <w:rtl/>
        </w:rPr>
        <w:t>(א)</w:t>
      </w:r>
    </w:p>
    <w:p w14:paraId="3F6806E2" w14:textId="77777777" w:rsidR="00253444" w:rsidRPr="00253444" w:rsidRDefault="00253444" w:rsidP="00253444">
      <w:pPr>
        <w:spacing w:before="120" w:after="120" w:line="240" w:lineRule="exact"/>
        <w:ind w:left="283" w:hanging="283"/>
        <w:jc w:val="both"/>
        <w:rPr>
          <w:rFonts w:ascii="FrankRuehl" w:hAnsi="FrankRuehl" w:cs="FrankRuehl"/>
          <w:color w:val="0000FF"/>
          <w:rtl/>
        </w:rPr>
      </w:pPr>
      <w:hyperlink r:id="rId9" w:history="1">
        <w:r w:rsidRPr="00253444">
          <w:rPr>
            <w:rStyle w:val="Hyperlink"/>
            <w:rFonts w:ascii="FrankRuehl" w:hAnsi="FrankRuehl" w:cs="FrankRuehl"/>
            <w:u w:val="none"/>
            <w:rtl/>
          </w:rPr>
          <w:t>פקודת הסמים המסוכנים [נוסח חדש], תשל"ג-1973</w:t>
        </w:r>
      </w:hyperlink>
      <w:r w:rsidRPr="00253444">
        <w:rPr>
          <w:rFonts w:ascii="FrankRuehl" w:hAnsi="FrankRuehl" w:cs="FrankRuehl"/>
          <w:color w:val="0000FF"/>
          <w:rtl/>
        </w:rPr>
        <w:t xml:space="preserve">: סע'  </w:t>
      </w:r>
      <w:hyperlink r:id="rId10" w:history="1">
        <w:r w:rsidRPr="00253444">
          <w:rPr>
            <w:rStyle w:val="Hyperlink"/>
            <w:rFonts w:ascii="FrankRuehl" w:hAnsi="FrankRuehl" w:cs="FrankRuehl"/>
            <w:u w:val="none"/>
          </w:rPr>
          <w:t>7.</w:t>
        </w:r>
        <w:r w:rsidRPr="00253444">
          <w:rPr>
            <w:rStyle w:val="Hyperlink"/>
            <w:rFonts w:ascii="FrankRuehl" w:hAnsi="FrankRuehl" w:cs="FrankRuehl"/>
            <w:u w:val="none"/>
            <w:rtl/>
          </w:rPr>
          <w:t>א</w:t>
        </w:r>
        <w:r w:rsidRPr="00253444">
          <w:rPr>
            <w:rStyle w:val="Hyperlink"/>
            <w:rFonts w:ascii="FrankRuehl" w:hAnsi="FrankRuehl" w:cs="FrankRuehl"/>
            <w:u w:val="none"/>
          </w:rPr>
          <w:t>.</w:t>
        </w:r>
      </w:hyperlink>
      <w:r w:rsidRPr="00253444">
        <w:rPr>
          <w:rFonts w:ascii="FrankRuehl" w:hAnsi="FrankRuehl" w:cs="FrankRuehl"/>
          <w:color w:val="0000FF"/>
          <w:rtl/>
        </w:rPr>
        <w:t xml:space="preserve">, </w:t>
      </w:r>
      <w:hyperlink r:id="rId11" w:history="1">
        <w:r w:rsidRPr="00253444">
          <w:rPr>
            <w:rStyle w:val="Hyperlink"/>
            <w:rFonts w:ascii="FrankRuehl" w:hAnsi="FrankRuehl" w:cs="FrankRuehl"/>
            <w:u w:val="none"/>
          </w:rPr>
          <w:t>7.</w:t>
        </w:r>
        <w:r w:rsidRPr="00253444">
          <w:rPr>
            <w:rStyle w:val="Hyperlink"/>
            <w:rFonts w:ascii="FrankRuehl" w:hAnsi="FrankRuehl" w:cs="FrankRuehl"/>
            <w:u w:val="none"/>
            <w:rtl/>
          </w:rPr>
          <w:t>ג</w:t>
        </w:r>
      </w:hyperlink>
    </w:p>
    <w:p w14:paraId="14DCD203" w14:textId="77777777" w:rsidR="00F3668A" w:rsidRPr="00253444" w:rsidRDefault="00F3668A" w:rsidP="00253444">
      <w:pPr>
        <w:spacing w:line="360" w:lineRule="auto"/>
        <w:jc w:val="center"/>
        <w:rPr>
          <w:rFonts w:ascii="Arial" w:hAnsi="Arial"/>
          <w:sz w:val="28"/>
          <w:szCs w:val="28"/>
          <w:rtl/>
        </w:rPr>
      </w:pPr>
      <w:bookmarkStart w:id="4" w:name="LawTable_End"/>
      <w:bookmarkEnd w:id="4"/>
    </w:p>
    <w:p w14:paraId="7671829F" w14:textId="77777777" w:rsidR="00F3668A" w:rsidRPr="00F3668A" w:rsidRDefault="00F3668A" w:rsidP="00F3668A">
      <w:pPr>
        <w:spacing w:line="360" w:lineRule="auto"/>
        <w:jc w:val="center"/>
        <w:rPr>
          <w:rFonts w:ascii="Arial" w:hAnsi="Arial"/>
          <w:b/>
          <w:bCs/>
          <w:sz w:val="28"/>
          <w:szCs w:val="28"/>
          <w:u w:val="single"/>
          <w:rtl/>
        </w:rPr>
      </w:pPr>
      <w:bookmarkStart w:id="5" w:name="PsakDin"/>
      <w:bookmarkEnd w:id="0"/>
      <w:r w:rsidRPr="00F3668A">
        <w:rPr>
          <w:rFonts w:ascii="Arial" w:hAnsi="Arial"/>
          <w:b/>
          <w:bCs/>
          <w:sz w:val="28"/>
          <w:szCs w:val="28"/>
          <w:u w:val="single"/>
          <w:rtl/>
        </w:rPr>
        <w:t>גזר דין</w:t>
      </w:r>
    </w:p>
    <w:bookmarkEnd w:id="5"/>
    <w:p w14:paraId="7BACFD2D" w14:textId="77777777" w:rsidR="00487F08" w:rsidRDefault="00487F08" w:rsidP="00487F08">
      <w:pPr>
        <w:spacing w:line="360" w:lineRule="auto"/>
        <w:jc w:val="both"/>
        <w:rPr>
          <w:rFonts w:ascii="Arial" w:hAnsi="Arial"/>
          <w:rtl/>
        </w:rPr>
      </w:pPr>
    </w:p>
    <w:p w14:paraId="3679AB72" w14:textId="77777777" w:rsidR="00487F08" w:rsidRDefault="00487F08" w:rsidP="00487F08">
      <w:pPr>
        <w:pStyle w:val="a9"/>
        <w:numPr>
          <w:ilvl w:val="0"/>
          <w:numId w:val="1"/>
        </w:numPr>
        <w:autoSpaceDE w:val="0"/>
        <w:autoSpaceDN w:val="0"/>
        <w:adjustRightInd w:val="0"/>
        <w:spacing w:line="360" w:lineRule="auto"/>
        <w:ind w:right="-426"/>
        <w:jc w:val="both"/>
      </w:pPr>
      <w:r>
        <w:rPr>
          <w:rFonts w:hint="cs"/>
          <w:rtl/>
        </w:rPr>
        <w:t>טרם שמיעת הראיות בתיק, הגיעו הצדדים להסדר טיעון במסגרתו הוגש נגד הנאשם כתב אישום מתוקן והנאשם הודה בעובדותיו, שאלה הם עיקריהן:</w:t>
      </w:r>
    </w:p>
    <w:p w14:paraId="74B3173E" w14:textId="77777777" w:rsidR="00487F08" w:rsidRDefault="00487F08" w:rsidP="00487F08">
      <w:pPr>
        <w:pStyle w:val="a9"/>
        <w:autoSpaceDE w:val="0"/>
        <w:autoSpaceDN w:val="0"/>
        <w:adjustRightInd w:val="0"/>
        <w:spacing w:line="360" w:lineRule="auto"/>
        <w:ind w:left="1080" w:right="-426"/>
        <w:jc w:val="both"/>
        <w:rPr>
          <w:rtl/>
        </w:rPr>
      </w:pPr>
    </w:p>
    <w:p w14:paraId="158F95C5" w14:textId="77777777" w:rsidR="00487F08" w:rsidRDefault="00487F08" w:rsidP="00487F08">
      <w:pPr>
        <w:autoSpaceDE w:val="0"/>
        <w:autoSpaceDN w:val="0"/>
        <w:adjustRightInd w:val="0"/>
        <w:spacing w:line="360" w:lineRule="auto"/>
        <w:ind w:left="720" w:right="-426"/>
        <w:jc w:val="both"/>
        <w:rPr>
          <w:rtl/>
        </w:rPr>
      </w:pPr>
      <w:r>
        <w:rPr>
          <w:rFonts w:hint="cs"/>
          <w:rtl/>
        </w:rPr>
        <w:t xml:space="preserve">בין הנאשם לבין א.ק. (להלן: "המתלוננת") אין היכרות מוקדמת. עובר ליום ה- 23.11.23, מסיבה שאינה ידועה למאשימה, הנאשם החליט להצית את ביתה של המתלוננת. ביום 23.11.23 בחצות הלילה הנאשם נסע במונית מאופקים לאשדוד ובמהלך כל הנסיעה הוא שוחח בטלפון עם אחר שזהותו אינה ידועה למאשימה. בהגיעם לאשדוד, הנאשם ירד מהמונית ונהג המונית המתין לו. בהמשך, הנהג הסיע את הנאשם לתחנת דלק באשדוד, שם לבקשת הנאשם מילאו עבורו בנזין בבקבוק, ולאחר מכן הנאשם חזר למונית וביקש מהנהג להסיעו לכתובת מסוימת באשדוד. כשהגיעו למקום, הנאשם יצא מהמונית עם בקבוק הבנזין והורה לנהג המונית להמתין לו. בהמשך הנאשם פגש בשכנתה של המתלוננת ושאל אותה לכתובתה של המתלוננת, והיא השיבה לו שאינה יודעת. לאחר מכן, הנאשם קיבל שיחת טלפון בה נמסרה לו כתובתה של המתלוננת, והוא עלה לדירתה, הצית את דלת הדירה באמצעות הבנזין, ברח מהמקום, עלה למונית ונסע בחזרה לאופקים. השכנה של המתלוננת, שהבחינה בבריחת הנאשם, התקשרה אל המתלוננת והעירה אותה משנתה, והמתלוננת התקשרה למשטרה, ובמהלך השיחה הריחה את ריח השריפה </w:t>
      </w:r>
      <w:r>
        <w:rPr>
          <w:rFonts w:hint="cs"/>
          <w:rtl/>
        </w:rPr>
        <w:lastRenderedPageBreak/>
        <w:t xml:space="preserve">וגילתה שדלת דירתה הוצתה. כתוצאה מההצתה, החלק התחתון של דלת הכניסה מצידה החיצוני ניזוק, נגרמו סימני פיח על הקירות שמעל הדלת ונזקי אש בחלק התחתון בצד הפנימי של הדלת, ועל רצפת המדרגות נמשך "שביל" של סימני פיח וחומר שרוף מדלת הכניסה ועד למרכז חדר המדרגות. עלות הנזק הוערכה בסך כולל של 3,600 ₪. </w:t>
      </w:r>
    </w:p>
    <w:p w14:paraId="40715DF0" w14:textId="77777777" w:rsidR="00487F08" w:rsidRDefault="00487F08" w:rsidP="00487F08">
      <w:pPr>
        <w:autoSpaceDE w:val="0"/>
        <w:autoSpaceDN w:val="0"/>
        <w:adjustRightInd w:val="0"/>
        <w:spacing w:line="360" w:lineRule="auto"/>
        <w:ind w:left="720" w:right="-426" w:hanging="720"/>
        <w:jc w:val="both"/>
        <w:rPr>
          <w:rtl/>
        </w:rPr>
      </w:pPr>
      <w:r>
        <w:rPr>
          <w:rFonts w:hint="cs"/>
          <w:rtl/>
        </w:rPr>
        <w:tab/>
        <w:t>ביום 24.11.23 בסמוך לשעה 14:30, שוטרים הגיעו לעצור את הנאשם בכתובת בה שהה באותה העת, ובמהלך חיפוש בדירה נתפס בארון בגדים סם מסוכן מסוג קוקאין במשקל כולל של 0.63 גרם, ובמדרגות סמוכות נתפס סם מסוכן מסוג חשיש במשקל כולל של 48.21 גרם נטו.</w:t>
      </w:r>
    </w:p>
    <w:p w14:paraId="582DA2F1" w14:textId="77777777" w:rsidR="00487F08" w:rsidRDefault="00487F08" w:rsidP="00487F08">
      <w:pPr>
        <w:autoSpaceDE w:val="0"/>
        <w:autoSpaceDN w:val="0"/>
        <w:adjustRightInd w:val="0"/>
        <w:spacing w:line="360" w:lineRule="auto"/>
        <w:ind w:left="720" w:right="-426" w:hanging="720"/>
        <w:jc w:val="both"/>
        <w:rPr>
          <w:rtl/>
        </w:rPr>
      </w:pPr>
      <w:r>
        <w:rPr>
          <w:rFonts w:hint="cs"/>
          <w:rtl/>
        </w:rPr>
        <w:t>2.</w:t>
      </w:r>
      <w:r>
        <w:rPr>
          <w:rFonts w:hint="cs"/>
          <w:rtl/>
        </w:rPr>
        <w:tab/>
      </w:r>
      <w:bookmarkStart w:id="6" w:name="ABSTRACT_START"/>
      <w:bookmarkEnd w:id="6"/>
      <w:r>
        <w:rPr>
          <w:rFonts w:hint="cs"/>
          <w:rtl/>
        </w:rPr>
        <w:t xml:space="preserve">על יסוד הודאת הנאשם בעובדות כתב האישום המתוקן, כאמור, הוא הורשע בעבירת הצתה, לפי </w:t>
      </w:r>
      <w:hyperlink r:id="rId12" w:history="1">
        <w:r w:rsidR="00253444" w:rsidRPr="00253444">
          <w:rPr>
            <w:rStyle w:val="Hyperlink"/>
            <w:rFonts w:hint="eastAsia"/>
            <w:color w:val="0000FF"/>
            <w:rtl/>
          </w:rPr>
          <w:t>סעיף</w:t>
        </w:r>
        <w:r w:rsidR="00253444" w:rsidRPr="00253444">
          <w:rPr>
            <w:rStyle w:val="Hyperlink"/>
            <w:color w:val="0000FF"/>
            <w:rtl/>
          </w:rPr>
          <w:t xml:space="preserve"> 448 (א)</w:t>
        </w:r>
      </w:hyperlink>
      <w:r>
        <w:rPr>
          <w:rFonts w:hint="cs"/>
          <w:rtl/>
        </w:rPr>
        <w:t xml:space="preserve"> רישא ב</w:t>
      </w:r>
      <w:hyperlink r:id="rId13" w:history="1">
        <w:r w:rsidR="00F3668A" w:rsidRPr="00F3668A">
          <w:rPr>
            <w:color w:val="0000FF"/>
            <w:u w:val="single"/>
            <w:rtl/>
          </w:rPr>
          <w:t>חוק העונשין</w:t>
        </w:r>
      </w:hyperlink>
      <w:r>
        <w:rPr>
          <w:rFonts w:hint="cs"/>
          <w:rtl/>
        </w:rPr>
        <w:t xml:space="preserve"> התשל"ז- 1977 ובעבירה של החזקת סם שלא לצריכה עצמית, לפי </w:t>
      </w:r>
      <w:hyperlink r:id="rId14" w:history="1">
        <w:r w:rsidR="00253444" w:rsidRPr="00253444">
          <w:rPr>
            <w:rStyle w:val="Hyperlink"/>
            <w:rFonts w:hint="eastAsia"/>
            <w:color w:val="0000FF"/>
            <w:rtl/>
          </w:rPr>
          <w:t>סעיף</w:t>
        </w:r>
        <w:r w:rsidR="00253444" w:rsidRPr="00253444">
          <w:rPr>
            <w:rStyle w:val="Hyperlink"/>
            <w:color w:val="0000FF"/>
            <w:rtl/>
          </w:rPr>
          <w:t xml:space="preserve"> 7 (א) ו- (ג)</w:t>
        </w:r>
      </w:hyperlink>
      <w:r>
        <w:rPr>
          <w:rFonts w:hint="cs"/>
          <w:rtl/>
        </w:rPr>
        <w:t xml:space="preserve"> ב</w:t>
      </w:r>
      <w:hyperlink r:id="rId15" w:history="1">
        <w:r w:rsidR="00F3668A" w:rsidRPr="00F3668A">
          <w:rPr>
            <w:color w:val="0000FF"/>
            <w:u w:val="single"/>
            <w:rtl/>
          </w:rPr>
          <w:t>פקודת הסמים המסוכנים</w:t>
        </w:r>
      </w:hyperlink>
      <w:r>
        <w:rPr>
          <w:rFonts w:hint="cs"/>
          <w:rtl/>
        </w:rPr>
        <w:t xml:space="preserve"> [נוסח חדש], תשל"ג-1973.</w:t>
      </w:r>
    </w:p>
    <w:p w14:paraId="69D0E0D3" w14:textId="77777777" w:rsidR="00487F08" w:rsidRDefault="00487F08" w:rsidP="00487F08">
      <w:pPr>
        <w:autoSpaceDE w:val="0"/>
        <w:autoSpaceDN w:val="0"/>
        <w:adjustRightInd w:val="0"/>
        <w:spacing w:line="360" w:lineRule="auto"/>
        <w:ind w:left="720" w:right="-426" w:hanging="360"/>
        <w:jc w:val="both"/>
        <w:rPr>
          <w:rtl/>
        </w:rPr>
      </w:pPr>
      <w:bookmarkStart w:id="7" w:name="ABSTRACT_END"/>
      <w:bookmarkEnd w:id="7"/>
    </w:p>
    <w:p w14:paraId="0D4DE05D" w14:textId="77777777" w:rsidR="00487F08" w:rsidRDefault="00487F08" w:rsidP="00487F08">
      <w:pPr>
        <w:autoSpaceDE w:val="0"/>
        <w:autoSpaceDN w:val="0"/>
        <w:adjustRightInd w:val="0"/>
        <w:spacing w:line="360" w:lineRule="auto"/>
        <w:ind w:left="720" w:right="-426" w:hanging="720"/>
        <w:jc w:val="both"/>
        <w:rPr>
          <w:rtl/>
        </w:rPr>
      </w:pPr>
      <w:r>
        <w:rPr>
          <w:rFonts w:hint="cs"/>
          <w:rtl/>
        </w:rPr>
        <w:t>3.</w:t>
      </w:r>
      <w:r>
        <w:rPr>
          <w:rFonts w:hint="cs"/>
          <w:rtl/>
        </w:rPr>
        <w:tab/>
        <w:t xml:space="preserve">במסגרת הסדר הטיעון, הצדדים ציינו כי ההסכמה ביניהם כוללת גם התייחסות לרכיב הענישה אך בשל כוונת הנאשם להשתלב במסגרת טיפולית הם ביקשו לבחון את התקדמותו בהליך הטיפולי בטרם הצגת ההסכמות ביניהם בנושא העונש. </w:t>
      </w:r>
    </w:p>
    <w:p w14:paraId="7FA4FDDD" w14:textId="77777777" w:rsidR="00487F08" w:rsidRDefault="00487F08" w:rsidP="00487F08">
      <w:pPr>
        <w:autoSpaceDE w:val="0"/>
        <w:autoSpaceDN w:val="0"/>
        <w:adjustRightInd w:val="0"/>
        <w:spacing w:line="360" w:lineRule="auto"/>
        <w:ind w:left="720" w:right="-426" w:hanging="720"/>
        <w:jc w:val="both"/>
        <w:rPr>
          <w:rtl/>
        </w:rPr>
      </w:pPr>
    </w:p>
    <w:p w14:paraId="77ABFC52" w14:textId="77777777" w:rsidR="00487F08" w:rsidRDefault="00487F08" w:rsidP="00487F08">
      <w:pPr>
        <w:autoSpaceDE w:val="0"/>
        <w:autoSpaceDN w:val="0"/>
        <w:adjustRightInd w:val="0"/>
        <w:spacing w:line="360" w:lineRule="auto"/>
        <w:ind w:left="720" w:right="-426" w:hanging="720"/>
        <w:jc w:val="both"/>
        <w:rPr>
          <w:rtl/>
        </w:rPr>
      </w:pPr>
      <w:r>
        <w:rPr>
          <w:rFonts w:hint="cs"/>
          <w:rtl/>
        </w:rPr>
        <w:t>4.</w:t>
      </w:r>
      <w:r>
        <w:rPr>
          <w:rFonts w:hint="cs"/>
          <w:rtl/>
        </w:rPr>
        <w:tab/>
        <w:t xml:space="preserve">הנאשם נקלט בקהילה טיפולית ביום 15.05.24 וכבר למחרת עזב את הקהילה על דעת עצמו. ובהמשך הוא נעצר עד תום ההליכים המשפטיים.  </w:t>
      </w:r>
    </w:p>
    <w:p w14:paraId="1BFBCB81" w14:textId="77777777" w:rsidR="00487F08" w:rsidRDefault="00487F08" w:rsidP="00487F08">
      <w:pPr>
        <w:autoSpaceDE w:val="0"/>
        <w:autoSpaceDN w:val="0"/>
        <w:adjustRightInd w:val="0"/>
        <w:spacing w:line="360" w:lineRule="auto"/>
        <w:ind w:left="720" w:right="-426" w:hanging="720"/>
        <w:jc w:val="both"/>
        <w:rPr>
          <w:rtl/>
        </w:rPr>
      </w:pPr>
    </w:p>
    <w:p w14:paraId="25BAD521" w14:textId="77777777" w:rsidR="00487F08" w:rsidRDefault="00487F08" w:rsidP="00487F08">
      <w:pPr>
        <w:autoSpaceDE w:val="0"/>
        <w:autoSpaceDN w:val="0"/>
        <w:adjustRightInd w:val="0"/>
        <w:spacing w:line="360" w:lineRule="auto"/>
        <w:ind w:left="720" w:right="-426" w:hanging="720"/>
        <w:jc w:val="both"/>
        <w:rPr>
          <w:rtl/>
        </w:rPr>
      </w:pPr>
      <w:r>
        <w:rPr>
          <w:rFonts w:hint="cs"/>
          <w:rtl/>
        </w:rPr>
        <w:t>5.</w:t>
      </w:r>
      <w:r>
        <w:rPr>
          <w:rFonts w:hint="cs"/>
          <w:rtl/>
        </w:rPr>
        <w:tab/>
        <w:t xml:space="preserve">שירות המבחן הגיש תסקיר על המערער בו צוינו בין היתר הדברים הבאים: הנאשם בן 23, רווק, ללא ילדים. אינו עובד. שוחרר ממאסר כחודשיים טרם ביצוע העבירה. ניהל אורח חיים שולי והתמכרותי.  נסיבות חייו קשות ועל רקען, בילדותו הוא שהה במסגרות חוץ ביתיות. לנאשם עבר פלילי והוא ריצה עונשי מאסר. תואר שימוש התמכרותי בסמים. </w:t>
      </w:r>
    </w:p>
    <w:p w14:paraId="0B8F0E7C" w14:textId="77777777" w:rsidR="00487F08" w:rsidRDefault="00487F08" w:rsidP="00487F08">
      <w:pPr>
        <w:autoSpaceDE w:val="0"/>
        <w:autoSpaceDN w:val="0"/>
        <w:adjustRightInd w:val="0"/>
        <w:spacing w:line="360" w:lineRule="auto"/>
        <w:ind w:left="720" w:right="-426"/>
        <w:jc w:val="both"/>
        <w:rPr>
          <w:rtl/>
        </w:rPr>
      </w:pPr>
      <w:r>
        <w:rPr>
          <w:rFonts w:hint="cs"/>
          <w:rtl/>
        </w:rPr>
        <w:t xml:space="preserve">אשר לעבירות, הנאשם מודה בביצוען ולוקח עליהן אחריות. שירות המבחן התרשם שלמערער דפוסים עברייניים ושקיים סיכון משמעותי להישנות עבירות. והמליץ להטיל עליו ענישה משמעותית. </w:t>
      </w:r>
    </w:p>
    <w:p w14:paraId="0A2B6711" w14:textId="77777777" w:rsidR="00487F08" w:rsidRDefault="00487F08" w:rsidP="00487F08">
      <w:pPr>
        <w:autoSpaceDE w:val="0"/>
        <w:autoSpaceDN w:val="0"/>
        <w:adjustRightInd w:val="0"/>
        <w:spacing w:line="360" w:lineRule="auto"/>
        <w:ind w:left="720" w:right="-426" w:hanging="720"/>
        <w:jc w:val="both"/>
        <w:rPr>
          <w:rtl/>
        </w:rPr>
      </w:pPr>
    </w:p>
    <w:p w14:paraId="3E1DBD9C" w14:textId="77777777" w:rsidR="00487F08" w:rsidRDefault="00487F08" w:rsidP="00487F08">
      <w:pPr>
        <w:autoSpaceDE w:val="0"/>
        <w:autoSpaceDN w:val="0"/>
        <w:adjustRightInd w:val="0"/>
        <w:spacing w:line="360" w:lineRule="auto"/>
        <w:ind w:left="720" w:right="-426" w:hanging="720"/>
        <w:jc w:val="both"/>
        <w:rPr>
          <w:rtl/>
        </w:rPr>
      </w:pPr>
      <w:r>
        <w:rPr>
          <w:rFonts w:hint="cs"/>
          <w:rtl/>
        </w:rPr>
        <w:t>6.</w:t>
      </w:r>
      <w:r>
        <w:rPr>
          <w:rFonts w:hint="cs"/>
          <w:rtl/>
        </w:rPr>
        <w:tab/>
        <w:t xml:space="preserve">בדיון היום, הצדדים הסכימו להמליץ לבית המשפט במשותף להטיל על הנאשם 3 שנות מאסר בפועל, מאסר על תנאי, קנס ופיצוי. והוסכם שהצדדים יטענו באופן חופשי בנוגע לאופן הפעלת שני המאסרים המותנים ברי ההפעלה התלויים ועומדים נגד הנאשם. </w:t>
      </w:r>
    </w:p>
    <w:p w14:paraId="15FFD9A0" w14:textId="77777777" w:rsidR="00487F08" w:rsidRDefault="00487F08" w:rsidP="00487F08">
      <w:pPr>
        <w:autoSpaceDE w:val="0"/>
        <w:autoSpaceDN w:val="0"/>
        <w:adjustRightInd w:val="0"/>
        <w:spacing w:line="360" w:lineRule="auto"/>
        <w:ind w:left="720" w:right="-426" w:hanging="720"/>
        <w:jc w:val="both"/>
        <w:rPr>
          <w:rtl/>
        </w:rPr>
      </w:pPr>
    </w:p>
    <w:p w14:paraId="134C7B56" w14:textId="77777777" w:rsidR="00487F08" w:rsidRDefault="00487F08" w:rsidP="00487F08">
      <w:pPr>
        <w:autoSpaceDE w:val="0"/>
        <w:autoSpaceDN w:val="0"/>
        <w:adjustRightInd w:val="0"/>
        <w:spacing w:line="360" w:lineRule="auto"/>
        <w:ind w:left="720" w:right="-426" w:hanging="720"/>
        <w:jc w:val="both"/>
        <w:rPr>
          <w:rtl/>
        </w:rPr>
      </w:pPr>
      <w:r>
        <w:rPr>
          <w:rFonts w:hint="cs"/>
          <w:rtl/>
        </w:rPr>
        <w:t>7.</w:t>
      </w:r>
      <w:r>
        <w:rPr>
          <w:rFonts w:hint="cs"/>
          <w:rtl/>
        </w:rPr>
        <w:tab/>
        <w:t>ב"כ המאשימה טען שהנאשם ביצע את העבירה כאן זמן קצר לאחר ששוחרר ממאסר קודם. וביקש להטיל על הנאשם מאסר בהתאם להמלצת הצדדים ובנוסף לכך להפעיל את שני המאסרים המותנים התלויים נגד הנאשם, האחד בן 6 חודשים בגין כל עבירת סמים, מ</w:t>
      </w:r>
      <w:hyperlink r:id="rId16" w:history="1">
        <w:r w:rsidR="00F3668A" w:rsidRPr="00F3668A">
          <w:rPr>
            <w:color w:val="0000FF"/>
            <w:u w:val="single"/>
            <w:rtl/>
          </w:rPr>
          <w:t>ת"פ 20700-06-21</w:t>
        </w:r>
      </w:hyperlink>
      <w:r>
        <w:rPr>
          <w:rFonts w:hint="cs"/>
          <w:rtl/>
        </w:rPr>
        <w:t xml:space="preserve"> של בית משפט השלום נתניה, והשני בן 12 חודשים בגין עבירת פשע, מ</w:t>
      </w:r>
      <w:hyperlink r:id="rId17" w:history="1">
        <w:r w:rsidR="00F3668A" w:rsidRPr="00F3668A">
          <w:rPr>
            <w:color w:val="0000FF"/>
            <w:u w:val="single"/>
            <w:rtl/>
          </w:rPr>
          <w:t>ת"פ 7000-09-21</w:t>
        </w:r>
      </w:hyperlink>
      <w:r>
        <w:rPr>
          <w:rFonts w:hint="cs"/>
          <w:rtl/>
        </w:rPr>
        <w:t xml:space="preserve"> של בית משפט השלום באר שבע, באופן ש- 8 חודשים מתוכם ירוצו במצטבר למאסר כאן. </w:t>
      </w:r>
    </w:p>
    <w:p w14:paraId="78244C29" w14:textId="77777777" w:rsidR="00487F08" w:rsidRDefault="00487F08" w:rsidP="00487F08">
      <w:pPr>
        <w:spacing w:line="360" w:lineRule="auto"/>
        <w:ind w:left="720" w:hanging="720"/>
        <w:jc w:val="both"/>
        <w:rPr>
          <w:rtl/>
        </w:rPr>
      </w:pPr>
      <w:r>
        <w:rPr>
          <w:rFonts w:hint="cs"/>
          <w:rtl/>
        </w:rPr>
        <w:lastRenderedPageBreak/>
        <w:t>8.</w:t>
      </w:r>
      <w:r>
        <w:rPr>
          <w:rFonts w:hint="cs"/>
          <w:rtl/>
        </w:rPr>
        <w:tab/>
        <w:t xml:space="preserve">ב"כ הנאשם הצטרפה לבקשה לכבד את המלצת הצדדים לעונש המאסר בתיק זה וביקשה שהמאסרים על תנאי יופעלו באופן ש- 6 חודשים מהם ירוצו במצטבר לעונש כאן, תוך הפניה לתסקיר שירות המבחן ולנסיבותיו הקשות של הנאשם. </w:t>
      </w:r>
    </w:p>
    <w:p w14:paraId="238AAA65" w14:textId="77777777" w:rsidR="00487F08" w:rsidRDefault="00487F08" w:rsidP="00487F08">
      <w:pPr>
        <w:spacing w:line="360" w:lineRule="auto"/>
        <w:jc w:val="both"/>
        <w:rPr>
          <w:rtl/>
        </w:rPr>
      </w:pPr>
    </w:p>
    <w:p w14:paraId="19B7B4F1" w14:textId="77777777" w:rsidR="00487F08" w:rsidRDefault="00487F08" w:rsidP="00487F08">
      <w:pPr>
        <w:spacing w:line="360" w:lineRule="auto"/>
        <w:ind w:left="720" w:hanging="720"/>
        <w:jc w:val="both"/>
        <w:rPr>
          <w:rtl/>
        </w:rPr>
      </w:pPr>
      <w:r>
        <w:rPr>
          <w:rFonts w:hint="cs"/>
          <w:rtl/>
        </w:rPr>
        <w:t>9.</w:t>
      </w:r>
      <w:r>
        <w:rPr>
          <w:rFonts w:hint="cs"/>
          <w:rtl/>
        </w:rPr>
        <w:tab/>
        <w:t xml:space="preserve">הנאשם הביע צער על מעשיו וסיפר שהתנאים בקהילה הטיפולית היו קשים מאד והוא לא יכל  להסתגל אליהם. </w:t>
      </w:r>
    </w:p>
    <w:p w14:paraId="37A549A2" w14:textId="77777777" w:rsidR="00487F08" w:rsidRDefault="00487F08" w:rsidP="00487F08">
      <w:pPr>
        <w:autoSpaceDE w:val="0"/>
        <w:autoSpaceDN w:val="0"/>
        <w:adjustRightInd w:val="0"/>
        <w:spacing w:line="360" w:lineRule="auto"/>
        <w:ind w:left="720" w:right="-426" w:hanging="720"/>
        <w:jc w:val="both"/>
        <w:rPr>
          <w:rtl/>
        </w:rPr>
      </w:pPr>
    </w:p>
    <w:p w14:paraId="5B069BA6" w14:textId="77777777" w:rsidR="00487F08" w:rsidRDefault="00487F08" w:rsidP="00487F08">
      <w:pPr>
        <w:autoSpaceDE w:val="0"/>
        <w:autoSpaceDN w:val="0"/>
        <w:adjustRightInd w:val="0"/>
        <w:spacing w:line="360" w:lineRule="auto"/>
        <w:ind w:left="720" w:right="-426" w:hanging="720"/>
        <w:jc w:val="both"/>
        <w:rPr>
          <w:rFonts w:ascii="David" w:hAnsi="David"/>
        </w:rPr>
      </w:pPr>
      <w:r>
        <w:rPr>
          <w:rFonts w:hint="cs"/>
          <w:rtl/>
        </w:rPr>
        <w:t>10.</w:t>
      </w:r>
      <w:r>
        <w:rPr>
          <w:rFonts w:hint="cs"/>
          <w:rtl/>
        </w:rPr>
        <w:tab/>
        <w:t>הסכנה הכרוכה בשליחת אש בדלת דירה בבניין מגורים, רבה וחמורה עד מאוד. כאן, ההצתה בוצעה בשעת לילה מאוחרת בה האנשים נמים את שנתם, בעת שהמתלוננת ישנה בדירה. בנסיבות כאלה לוקח זמן עד שמזהים את ההצתה ובפרק זמן זה האש יכולה להתפשט ועשן עלול להצטבר, לחדור לדירות מגורים ולמלא את החללים המשותפים מחוץ לדירות, ואז הסכנה לפגיעות גוף ורכוש גדולה ותהליך ההשתלטות על האש ופינוי הדיירים קשה ומורכב. העובדה שבמקרה זה שכנתה של המתלוננת העירה אותה משנתה ובסופו של דבר לא נגרם נזק משמעותי, אינה צריכה להקהות מחומרת המעשה ולמסך את סכנתו. באותה מידה האירוע יכל להסתיים באסון נורא.</w:t>
      </w:r>
    </w:p>
    <w:p w14:paraId="278E1A4E" w14:textId="77777777" w:rsidR="00487F08" w:rsidRDefault="00487F08" w:rsidP="00487F08">
      <w:pPr>
        <w:spacing w:line="360" w:lineRule="auto"/>
        <w:ind w:left="720" w:right="-426"/>
        <w:jc w:val="both"/>
        <w:rPr>
          <w:rtl/>
          <w:lang w:eastAsia="he-IL"/>
        </w:rPr>
      </w:pPr>
    </w:p>
    <w:p w14:paraId="1193E480" w14:textId="77777777" w:rsidR="00487F08" w:rsidRDefault="00487F08" w:rsidP="00487F08">
      <w:pPr>
        <w:spacing w:line="360" w:lineRule="auto"/>
        <w:ind w:left="720" w:right="-426" w:hanging="720"/>
        <w:jc w:val="both"/>
        <w:rPr>
          <w:rtl/>
        </w:rPr>
      </w:pPr>
      <w:r>
        <w:rPr>
          <w:rFonts w:hint="cs"/>
          <w:rtl/>
        </w:rPr>
        <w:t>11.</w:t>
      </w:r>
      <w:r>
        <w:rPr>
          <w:rFonts w:hint="cs"/>
          <w:rtl/>
        </w:rPr>
        <w:tab/>
        <w:t xml:space="preserve">מעשה הנאשם היה מתוכנן וקדמה לו היערכות, הגעה מרחוק בשעת לילה והצטיידות בבנזין. </w:t>
      </w:r>
    </w:p>
    <w:p w14:paraId="71B1C4E2" w14:textId="77777777" w:rsidR="00487F08" w:rsidRDefault="00487F08" w:rsidP="00487F08">
      <w:pPr>
        <w:spacing w:line="360" w:lineRule="auto"/>
        <w:ind w:left="720" w:right="-426"/>
        <w:jc w:val="both"/>
        <w:rPr>
          <w:rtl/>
        </w:rPr>
      </w:pPr>
    </w:p>
    <w:p w14:paraId="4BDB0FC2" w14:textId="77777777" w:rsidR="00487F08" w:rsidRDefault="00487F08" w:rsidP="00487F08">
      <w:pPr>
        <w:spacing w:line="360" w:lineRule="auto"/>
        <w:ind w:right="-426"/>
        <w:jc w:val="both"/>
        <w:rPr>
          <w:rtl/>
        </w:rPr>
      </w:pPr>
      <w:r>
        <w:rPr>
          <w:rFonts w:hint="cs"/>
          <w:rtl/>
        </w:rPr>
        <w:t>12.</w:t>
      </w:r>
      <w:r>
        <w:rPr>
          <w:rFonts w:hint="cs"/>
          <w:rtl/>
        </w:rPr>
        <w:tab/>
        <w:t xml:space="preserve">חומרת המעשה וסכנת החיים הכרוכה בו, מצדיקות הטלת עונש מאסר לתקופה משמעותית. </w:t>
      </w:r>
    </w:p>
    <w:p w14:paraId="2DF8507B" w14:textId="77777777" w:rsidR="00487F08" w:rsidRDefault="00487F08" w:rsidP="00487F08">
      <w:pPr>
        <w:spacing w:line="360" w:lineRule="auto"/>
        <w:ind w:right="-426"/>
        <w:jc w:val="both"/>
        <w:rPr>
          <w:rtl/>
        </w:rPr>
      </w:pPr>
    </w:p>
    <w:p w14:paraId="2A3451B5" w14:textId="77777777" w:rsidR="00487F08" w:rsidRDefault="00487F08" w:rsidP="00487F08">
      <w:pPr>
        <w:spacing w:line="360" w:lineRule="auto"/>
        <w:ind w:left="720" w:right="-426" w:hanging="720"/>
        <w:jc w:val="both"/>
        <w:rPr>
          <w:rtl/>
        </w:rPr>
      </w:pPr>
      <w:r>
        <w:rPr>
          <w:rFonts w:hint="cs"/>
          <w:rtl/>
        </w:rPr>
        <w:t>13.</w:t>
      </w:r>
      <w:r>
        <w:rPr>
          <w:rFonts w:hint="cs"/>
          <w:rtl/>
        </w:rPr>
        <w:tab/>
        <w:t xml:space="preserve">התיאור המופיע בכתב האישום ודברים שהנאשם אמר בשירות המבחן תומכים בהנחה שהנאשם נשלח על ידי אחרים לביצוע המעשה, מבלי שהנאשם עצמו הכיר את המתלוננת או היה לו סכסוך כלשהו איתה. נתון זה פועל מצד אחד לחומרה, שכן הוא מלמד על חוסר גבולות ואי מורא דין ועל נכונות לבצע עבירה חמורה כנגד תמורה, והדבר תומך בהערכה על מסוכנות להישנות מעשים דומים. ומנגד, התיאור  מתכתב עם טענת הנאשם בשירות המבחן על הסתבכותו עם גורמים עבריינים שבמסגרתה הוא נדרש לבצע את המעשה והוא עשה מה שעשה תחת אותו אילוץ. </w:t>
      </w:r>
    </w:p>
    <w:p w14:paraId="342F4A1F" w14:textId="77777777" w:rsidR="00487F08" w:rsidRDefault="00487F08" w:rsidP="00487F08">
      <w:pPr>
        <w:spacing w:line="360" w:lineRule="auto"/>
        <w:ind w:left="720" w:right="-426"/>
        <w:jc w:val="both"/>
        <w:rPr>
          <w:rtl/>
        </w:rPr>
      </w:pPr>
    </w:p>
    <w:p w14:paraId="153B580A" w14:textId="77777777" w:rsidR="00487F08" w:rsidRDefault="00487F08" w:rsidP="00487F08">
      <w:pPr>
        <w:spacing w:line="360" w:lineRule="auto"/>
        <w:ind w:left="720" w:right="-426" w:hanging="720"/>
        <w:jc w:val="both"/>
        <w:rPr>
          <w:rtl/>
        </w:rPr>
      </w:pPr>
      <w:r>
        <w:rPr>
          <w:rFonts w:hint="cs"/>
          <w:rtl/>
        </w:rPr>
        <w:t>14.</w:t>
      </w:r>
      <w:r>
        <w:rPr>
          <w:rFonts w:hint="cs"/>
          <w:rtl/>
        </w:rPr>
        <w:tab/>
        <w:t xml:space="preserve">החזקת הסמים - מסוג קוקאין וקנבוס, מבטאת פן נוסף בהוויית שגרת חיי הנאשם ומוסיפה לדאגות מפני הישנות עבירות. </w:t>
      </w:r>
    </w:p>
    <w:p w14:paraId="20AD23C5" w14:textId="77777777" w:rsidR="00487F08" w:rsidRDefault="00487F08" w:rsidP="00487F08">
      <w:pPr>
        <w:spacing w:line="360" w:lineRule="auto"/>
        <w:ind w:left="720" w:right="-426" w:hanging="720"/>
        <w:jc w:val="both"/>
        <w:rPr>
          <w:rtl/>
        </w:rPr>
      </w:pPr>
    </w:p>
    <w:p w14:paraId="2D41EF85" w14:textId="77777777" w:rsidR="00487F08" w:rsidRDefault="00487F08" w:rsidP="00487F08">
      <w:pPr>
        <w:spacing w:line="360" w:lineRule="auto"/>
        <w:ind w:left="720" w:right="-426" w:hanging="720"/>
        <w:jc w:val="both"/>
        <w:rPr>
          <w:rtl/>
        </w:rPr>
      </w:pPr>
      <w:r>
        <w:rPr>
          <w:rFonts w:hint="cs"/>
          <w:rtl/>
        </w:rPr>
        <w:t>15.</w:t>
      </w:r>
      <w:r>
        <w:rPr>
          <w:rFonts w:hint="cs"/>
          <w:rtl/>
        </w:rPr>
        <w:tab/>
        <w:t xml:space="preserve">עונש המאסר שהצדדים ממליצים להטיל על הנאשם משקלל באופן סביר את נתוני החומרה הנוגעים למעשי העבירות בנסיבותיהם ואת מידת אשמו של הנאשם, תוך מתן משקל מתאים להודאת הנאשם, לנסיבות חייו של הנאשם ולשיקולי שיקומו. ובנסיבות יש לקבל את המלצת הצדדים. </w:t>
      </w:r>
    </w:p>
    <w:p w14:paraId="558E8892" w14:textId="77777777" w:rsidR="00487F08" w:rsidRDefault="00487F08" w:rsidP="00487F08">
      <w:pPr>
        <w:spacing w:line="360" w:lineRule="auto"/>
        <w:ind w:left="720" w:right="-426" w:hanging="720"/>
        <w:jc w:val="both"/>
        <w:rPr>
          <w:rtl/>
        </w:rPr>
      </w:pPr>
    </w:p>
    <w:p w14:paraId="581A3F46" w14:textId="77777777" w:rsidR="00487F08" w:rsidRDefault="00487F08" w:rsidP="00487F08">
      <w:pPr>
        <w:spacing w:line="360" w:lineRule="auto"/>
        <w:ind w:left="720" w:right="-426" w:hanging="720"/>
        <w:jc w:val="both"/>
        <w:rPr>
          <w:rtl/>
        </w:rPr>
      </w:pPr>
      <w:r>
        <w:rPr>
          <w:rFonts w:hint="cs"/>
          <w:rtl/>
        </w:rPr>
        <w:t xml:space="preserve">16. </w:t>
      </w:r>
      <w:r>
        <w:rPr>
          <w:rFonts w:hint="cs"/>
          <w:rtl/>
        </w:rPr>
        <w:tab/>
        <w:t>נגד הנאשם תלויים ועומדים שני מאסרים על תנאי. הראשון, מ</w:t>
      </w:r>
      <w:hyperlink r:id="rId18" w:history="1">
        <w:r w:rsidR="00F3668A" w:rsidRPr="00F3668A">
          <w:rPr>
            <w:color w:val="0000FF"/>
            <w:u w:val="single"/>
            <w:rtl/>
          </w:rPr>
          <w:t>ת.פ. 7000-09-21</w:t>
        </w:r>
      </w:hyperlink>
      <w:r>
        <w:rPr>
          <w:rFonts w:hint="cs"/>
          <w:rtl/>
        </w:rPr>
        <w:t xml:space="preserve"> של בית משפט השלום באר-שבע, בו הנאשם הורשע בעבירות של התפרצות לבית מגורים לביצוע עבירה, גניבה, והחזקת סכין, וביום 29.6.22 דינו נגזר בין היתר ל- 12 חודשי מאסר על תנאי ל- 3 שנים מיום שחרורו מהמאסר "שלא יעבור עבירה מסוג פשע בניגוד ל</w:t>
      </w:r>
      <w:hyperlink r:id="rId19" w:history="1">
        <w:r w:rsidR="00F3668A" w:rsidRPr="00F3668A">
          <w:rPr>
            <w:color w:val="0000FF"/>
            <w:u w:val="single"/>
            <w:rtl/>
          </w:rPr>
          <w:t>חוק העונשין</w:t>
        </w:r>
      </w:hyperlink>
      <w:r>
        <w:rPr>
          <w:rFonts w:hint="cs"/>
          <w:rtl/>
        </w:rPr>
        <w:t xml:space="preserve"> תשל"ז-1977, פרק י"א". והשני, מ</w:t>
      </w:r>
      <w:hyperlink r:id="rId20" w:history="1">
        <w:r w:rsidR="00F3668A" w:rsidRPr="00F3668A">
          <w:rPr>
            <w:color w:val="0000FF"/>
            <w:u w:val="single"/>
            <w:rtl/>
          </w:rPr>
          <w:t>ת.פ. 20700-06-21</w:t>
        </w:r>
      </w:hyperlink>
      <w:r>
        <w:rPr>
          <w:rFonts w:hint="cs"/>
          <w:rtl/>
        </w:rPr>
        <w:t xml:space="preserve"> של בית משפט השלום נתניה, בו הנאשם הורשע בעבירה של החזקת סמים שלא לצריכה עצמית, אותם פלט מגופו בבית המעצר, וביום 12 יולי 2022 דינו נגזר בין היתר ל- 6 חודשי מאסר על תנאי למשך 3 שנים שלא יעבור על עבירה מפקודת הסמים. </w:t>
      </w:r>
    </w:p>
    <w:p w14:paraId="01FA5266" w14:textId="77777777" w:rsidR="00487F08" w:rsidRDefault="00487F08" w:rsidP="00487F08">
      <w:pPr>
        <w:spacing w:line="360" w:lineRule="auto"/>
        <w:ind w:left="720" w:right="-426" w:hanging="720"/>
        <w:jc w:val="both"/>
        <w:rPr>
          <w:rtl/>
        </w:rPr>
      </w:pPr>
    </w:p>
    <w:p w14:paraId="7B37D118" w14:textId="77777777" w:rsidR="00487F08" w:rsidRDefault="00487F08" w:rsidP="00487F08">
      <w:pPr>
        <w:spacing w:line="360" w:lineRule="auto"/>
        <w:ind w:left="720" w:right="-426" w:hanging="720"/>
        <w:jc w:val="both"/>
        <w:rPr>
          <w:rtl/>
        </w:rPr>
      </w:pPr>
      <w:r>
        <w:rPr>
          <w:rFonts w:hint="cs"/>
          <w:rtl/>
        </w:rPr>
        <w:t xml:space="preserve">17. </w:t>
      </w:r>
      <w:r>
        <w:rPr>
          <w:rFonts w:hint="cs"/>
          <w:rtl/>
        </w:rPr>
        <w:tab/>
        <w:t>בהתחשב בעבירות עליהן הנאשם נתן את הדין ב</w:t>
      </w:r>
      <w:hyperlink r:id="rId21" w:history="1">
        <w:r w:rsidR="00F3668A" w:rsidRPr="00F3668A">
          <w:rPr>
            <w:color w:val="0000FF"/>
            <w:u w:val="single"/>
            <w:rtl/>
          </w:rPr>
          <w:t>ת.פ. 7000-09-21</w:t>
        </w:r>
      </w:hyperlink>
      <w:r>
        <w:rPr>
          <w:rFonts w:hint="cs"/>
          <w:rtl/>
        </w:rPr>
        <w:t xml:space="preserve">, שאינן דומות לעבירות כאן, ובהתחשב בהגדרה הרחבה מאוד שנקבעה לעבירות המפעילות את התנאי, בפער הקטן יחסית בין עמדות התביעה להגנה בענין זה, ובהינתן תקופת המאסר שעל הנאשם לשאת, נראה לי שיש להורות על חפיפת תקופות המאסר כהצעת ההגנה.   </w:t>
      </w:r>
    </w:p>
    <w:p w14:paraId="275D6ED9" w14:textId="77777777" w:rsidR="00487F08" w:rsidRDefault="00487F08" w:rsidP="00487F08">
      <w:pPr>
        <w:spacing w:line="360" w:lineRule="auto"/>
        <w:ind w:left="720" w:right="-426" w:hanging="720"/>
        <w:jc w:val="both"/>
        <w:rPr>
          <w:rtl/>
        </w:rPr>
      </w:pPr>
    </w:p>
    <w:p w14:paraId="46723F3E" w14:textId="77777777" w:rsidR="00487F08" w:rsidRDefault="00487F08" w:rsidP="00487F08">
      <w:pPr>
        <w:spacing w:line="360" w:lineRule="auto"/>
        <w:ind w:left="720" w:right="-426" w:hanging="720"/>
        <w:jc w:val="both"/>
        <w:rPr>
          <w:rtl/>
        </w:rPr>
      </w:pPr>
      <w:r>
        <w:rPr>
          <w:rFonts w:hint="cs"/>
          <w:rtl/>
        </w:rPr>
        <w:t>18.</w:t>
      </w:r>
      <w:r>
        <w:rPr>
          <w:rFonts w:hint="cs"/>
          <w:rtl/>
        </w:rPr>
        <w:tab/>
        <w:t>נוכח האמור, אני מטיל על הנאשם את העונשים</w:t>
      </w:r>
      <w:r>
        <w:rPr>
          <w:rFonts w:hint="cs"/>
        </w:rPr>
        <w:t xml:space="preserve"> </w:t>
      </w:r>
      <w:r>
        <w:rPr>
          <w:rFonts w:hint="cs"/>
          <w:rtl/>
        </w:rPr>
        <w:t>הבאים</w:t>
      </w:r>
      <w:r>
        <w:t xml:space="preserve"> : </w:t>
      </w:r>
    </w:p>
    <w:p w14:paraId="27F10125" w14:textId="77777777" w:rsidR="00487F08" w:rsidRDefault="00487F08" w:rsidP="00487F08">
      <w:pPr>
        <w:autoSpaceDE w:val="0"/>
        <w:autoSpaceDN w:val="0"/>
        <w:adjustRightInd w:val="0"/>
        <w:spacing w:line="360" w:lineRule="auto"/>
        <w:ind w:left="1440" w:right="-426" w:hanging="720"/>
        <w:jc w:val="both"/>
        <w:rPr>
          <w:rtl/>
        </w:rPr>
      </w:pPr>
      <w:r>
        <w:rPr>
          <w:rFonts w:hint="cs"/>
          <w:rtl/>
        </w:rPr>
        <w:t>1.</w:t>
      </w:r>
      <w:r>
        <w:rPr>
          <w:rFonts w:hint="cs"/>
          <w:b/>
          <w:bCs/>
          <w:rtl/>
        </w:rPr>
        <w:tab/>
      </w:r>
      <w:r>
        <w:rPr>
          <w:rFonts w:hint="cs"/>
          <w:rtl/>
        </w:rPr>
        <w:t>3 שנות מאסר בפועל, מיום מעצרו.</w:t>
      </w:r>
    </w:p>
    <w:p w14:paraId="63C5B730" w14:textId="77777777" w:rsidR="00487F08" w:rsidRDefault="00487F08" w:rsidP="00487F08">
      <w:pPr>
        <w:spacing w:line="360" w:lineRule="auto"/>
        <w:ind w:left="1440" w:right="-426" w:hanging="720"/>
        <w:jc w:val="both"/>
        <w:rPr>
          <w:rtl/>
        </w:rPr>
      </w:pPr>
      <w:r>
        <w:rPr>
          <w:rFonts w:hint="cs"/>
          <w:rtl/>
        </w:rPr>
        <w:t>2.</w:t>
      </w:r>
      <w:r>
        <w:rPr>
          <w:rFonts w:hint="cs"/>
          <w:rtl/>
        </w:rPr>
        <w:tab/>
        <w:t>הפעלת המאסרים המותנים מ</w:t>
      </w:r>
      <w:hyperlink r:id="rId22" w:history="1">
        <w:r w:rsidR="00F3668A" w:rsidRPr="00F3668A">
          <w:rPr>
            <w:color w:val="0000FF"/>
            <w:u w:val="single"/>
            <w:rtl/>
          </w:rPr>
          <w:t>ת"פ 20700-06-21</w:t>
        </w:r>
      </w:hyperlink>
      <w:r>
        <w:rPr>
          <w:rFonts w:hint="cs"/>
          <w:rtl/>
        </w:rPr>
        <w:t xml:space="preserve"> של בית משפט השלום בנתניה ומ</w:t>
      </w:r>
      <w:hyperlink r:id="rId23" w:history="1">
        <w:r w:rsidR="00F3668A" w:rsidRPr="00F3668A">
          <w:rPr>
            <w:color w:val="0000FF"/>
            <w:u w:val="single"/>
            <w:rtl/>
          </w:rPr>
          <w:t>ת"פ 7000-09-21</w:t>
        </w:r>
      </w:hyperlink>
      <w:r>
        <w:rPr>
          <w:rFonts w:hint="cs"/>
          <w:rtl/>
        </w:rPr>
        <w:t xml:space="preserve"> של בית המשפט השלום בבאר שבע. הנאשם ישא את תקופות המאסר בחפיפה חלקית כך ששישה חודשים מתוך תקופות המאסר על תנאי שהופעלו ירוצו במצטבר לעונש המאסר כאן, והיתרה תהיה בחופף לו. ובסה"כ הנאשם ישא 42 חודשי מאסר בפועל בניכוי ימי מעצרו. </w:t>
      </w:r>
    </w:p>
    <w:p w14:paraId="3311A8F8" w14:textId="77777777" w:rsidR="00487F08" w:rsidRDefault="00487F08" w:rsidP="00487F08">
      <w:pPr>
        <w:spacing w:line="360" w:lineRule="auto"/>
        <w:ind w:left="1440" w:right="-426" w:hanging="720"/>
        <w:jc w:val="both"/>
        <w:rPr>
          <w:rtl/>
          <w:lang w:eastAsia="he-IL"/>
        </w:rPr>
      </w:pPr>
      <w:r>
        <w:rPr>
          <w:rFonts w:hint="cs"/>
          <w:rtl/>
        </w:rPr>
        <w:t>3.</w:t>
      </w:r>
      <w:r>
        <w:rPr>
          <w:rFonts w:hint="cs"/>
          <w:rtl/>
        </w:rPr>
        <w:tab/>
        <w:t xml:space="preserve">12 חודשי מאסר על תנאי למשך 3 שנים מיום שחרורו מהמאסר שלא יעבור עבירת הצתה. </w:t>
      </w:r>
    </w:p>
    <w:p w14:paraId="478C0796" w14:textId="77777777" w:rsidR="00487F08" w:rsidRDefault="00487F08" w:rsidP="00487F08">
      <w:pPr>
        <w:spacing w:line="360" w:lineRule="auto"/>
        <w:ind w:left="1440" w:right="-426" w:hanging="720"/>
        <w:jc w:val="both"/>
        <w:rPr>
          <w:rtl/>
        </w:rPr>
      </w:pPr>
      <w:r>
        <w:rPr>
          <w:rFonts w:hint="cs"/>
          <w:rtl/>
        </w:rPr>
        <w:t>4.</w:t>
      </w:r>
      <w:r>
        <w:rPr>
          <w:rFonts w:hint="cs"/>
          <w:rtl/>
        </w:rPr>
        <w:tab/>
        <w:t xml:space="preserve">פיצוי למתלוננת בסך 4,000 ₪. </w:t>
      </w:r>
    </w:p>
    <w:p w14:paraId="620BE8FF" w14:textId="77777777" w:rsidR="00487F08" w:rsidRDefault="00487F08" w:rsidP="00487F08">
      <w:pPr>
        <w:autoSpaceDE w:val="0"/>
        <w:autoSpaceDN w:val="0"/>
        <w:adjustRightInd w:val="0"/>
        <w:spacing w:line="360" w:lineRule="auto"/>
        <w:ind w:right="-426"/>
        <w:jc w:val="both"/>
        <w:rPr>
          <w:rtl/>
        </w:rPr>
      </w:pPr>
    </w:p>
    <w:p w14:paraId="7DF660DD" w14:textId="77777777" w:rsidR="00487F08" w:rsidRDefault="00487F08" w:rsidP="00487F08">
      <w:pPr>
        <w:autoSpaceDE w:val="0"/>
        <w:autoSpaceDN w:val="0"/>
        <w:adjustRightInd w:val="0"/>
        <w:spacing w:line="360" w:lineRule="auto"/>
        <w:ind w:right="-426"/>
        <w:jc w:val="both"/>
        <w:rPr>
          <w:rtl/>
        </w:rPr>
      </w:pPr>
      <w:r>
        <w:rPr>
          <w:rFonts w:hint="cs"/>
          <w:rtl/>
        </w:rPr>
        <w:t>זכות</w:t>
      </w:r>
      <w:r>
        <w:rPr>
          <w:rFonts w:hint="cs"/>
        </w:rPr>
        <w:t xml:space="preserve"> </w:t>
      </w:r>
      <w:r>
        <w:rPr>
          <w:rFonts w:hint="cs"/>
          <w:rtl/>
        </w:rPr>
        <w:t>ערעור</w:t>
      </w:r>
      <w:r>
        <w:rPr>
          <w:rFonts w:hint="cs"/>
        </w:rPr>
        <w:t xml:space="preserve"> </w:t>
      </w:r>
      <w:r>
        <w:rPr>
          <w:rFonts w:hint="cs"/>
          <w:rtl/>
        </w:rPr>
        <w:t>תוך</w:t>
      </w:r>
      <w:r>
        <w:t xml:space="preserve"> 45 </w:t>
      </w:r>
      <w:r>
        <w:rPr>
          <w:rFonts w:hint="cs"/>
          <w:rtl/>
        </w:rPr>
        <w:t>יום</w:t>
      </w:r>
      <w:r>
        <w:rPr>
          <w:rFonts w:hint="cs"/>
        </w:rPr>
        <w:t xml:space="preserve"> </w:t>
      </w:r>
      <w:r>
        <w:rPr>
          <w:rFonts w:hint="cs"/>
          <w:rtl/>
        </w:rPr>
        <w:t>מהיום</w:t>
      </w:r>
      <w:r>
        <w:t xml:space="preserve"> .</w:t>
      </w:r>
    </w:p>
    <w:p w14:paraId="6FEF0381" w14:textId="77777777" w:rsidR="00487F08" w:rsidRDefault="00487F08" w:rsidP="00487F08">
      <w:pPr>
        <w:spacing w:line="360" w:lineRule="auto"/>
        <w:jc w:val="both"/>
        <w:rPr>
          <w:sz w:val="6"/>
          <w:szCs w:val="6"/>
          <w:rtl/>
        </w:rPr>
      </w:pPr>
      <w:r>
        <w:rPr>
          <w:rFonts w:hint="cs"/>
          <w:sz w:val="6"/>
          <w:szCs w:val="6"/>
          <w:rtl/>
        </w:rPr>
        <w:t>&lt;#4#&gt;</w:t>
      </w:r>
    </w:p>
    <w:p w14:paraId="3F666A91" w14:textId="77777777" w:rsidR="00487F08" w:rsidRDefault="00F3668A" w:rsidP="00487F08">
      <w:pPr>
        <w:jc w:val="right"/>
        <w:rPr>
          <w:rFonts w:ascii="David" w:hAnsi="David"/>
          <w:rtl/>
        </w:rPr>
      </w:pPr>
      <w:bookmarkStart w:id="8" w:name="Nitan"/>
      <w:r w:rsidRPr="00F3668A">
        <w:rPr>
          <w:b/>
          <w:bCs/>
          <w:color w:val="FFFFFF"/>
          <w:sz w:val="2"/>
          <w:szCs w:val="2"/>
          <w:rtl/>
        </w:rPr>
        <w:t>5129371</w:t>
      </w:r>
      <w:r>
        <w:rPr>
          <w:b/>
          <w:bCs/>
          <w:rtl/>
        </w:rPr>
        <w:t xml:space="preserve">ניתנה והודעה היום ט"ז אלול תשפ"ד, 19/09/2024 במעמד הנוכחים. </w:t>
      </w:r>
      <w:bookmarkEnd w:id="8"/>
    </w:p>
    <w:tbl>
      <w:tblPr>
        <w:bidiVisual/>
        <w:tblW w:w="3403" w:type="dxa"/>
        <w:tblInd w:w="5382" w:type="dxa"/>
        <w:tblBorders>
          <w:insideH w:val="single" w:sz="4" w:space="0" w:color="auto"/>
          <w:insideV w:val="single" w:sz="4" w:space="0" w:color="auto"/>
        </w:tblBorders>
        <w:tblLook w:val="01E0" w:firstRow="1" w:lastRow="1" w:firstColumn="1" w:lastColumn="1" w:noHBand="0" w:noVBand="0"/>
      </w:tblPr>
      <w:tblGrid>
        <w:gridCol w:w="3403"/>
      </w:tblGrid>
      <w:tr w:rsidR="00487F08" w14:paraId="13398D48" w14:textId="77777777" w:rsidTr="00487F08">
        <w:trPr>
          <w:trHeight w:val="316"/>
        </w:trPr>
        <w:tc>
          <w:tcPr>
            <w:tcW w:w="3403" w:type="dxa"/>
            <w:tcBorders>
              <w:top w:val="nil"/>
              <w:left w:val="nil"/>
              <w:bottom w:val="single" w:sz="4" w:space="0" w:color="auto"/>
              <w:right w:val="nil"/>
            </w:tcBorders>
            <w:shd w:val="clear" w:color="auto" w:fill="auto"/>
          </w:tcPr>
          <w:p w14:paraId="57131C82" w14:textId="77777777" w:rsidR="00487F08" w:rsidRPr="00F3668A" w:rsidRDefault="00F3668A" w:rsidP="00487F08">
            <w:pPr>
              <w:jc w:val="center"/>
              <w:rPr>
                <w:color w:val="FFFFFF"/>
                <w:sz w:val="2"/>
                <w:szCs w:val="2"/>
                <w:rtl/>
              </w:rPr>
            </w:pPr>
            <w:r w:rsidRPr="00F3668A">
              <w:rPr>
                <w:color w:val="FFFFFF"/>
                <w:sz w:val="2"/>
                <w:szCs w:val="2"/>
                <w:rtl/>
              </w:rPr>
              <w:t>54678313</w:t>
            </w:r>
          </w:p>
        </w:tc>
      </w:tr>
      <w:tr w:rsidR="00487F08" w14:paraId="69BC19FB" w14:textId="77777777" w:rsidTr="00487F08">
        <w:trPr>
          <w:trHeight w:val="361"/>
        </w:trPr>
        <w:tc>
          <w:tcPr>
            <w:tcW w:w="3403" w:type="dxa"/>
            <w:tcBorders>
              <w:top w:val="single" w:sz="4" w:space="0" w:color="auto"/>
              <w:left w:val="nil"/>
              <w:bottom w:val="nil"/>
              <w:right w:val="nil"/>
            </w:tcBorders>
            <w:shd w:val="clear" w:color="auto" w:fill="auto"/>
          </w:tcPr>
          <w:p w14:paraId="21EDC5C5" w14:textId="77777777" w:rsidR="00487F08" w:rsidRPr="00487F08" w:rsidRDefault="00487F08" w:rsidP="00487F08">
            <w:pPr>
              <w:jc w:val="center"/>
              <w:rPr>
                <w:b/>
                <w:bCs/>
                <w:rtl/>
              </w:rPr>
            </w:pPr>
            <w:r w:rsidRPr="00487F08">
              <w:rPr>
                <w:rFonts w:hint="cs"/>
                <w:b/>
                <w:bCs/>
                <w:rtl/>
              </w:rPr>
              <w:t>אליהו ביתן, שופט בכיר</w:t>
            </w:r>
          </w:p>
          <w:p w14:paraId="39C8DC66" w14:textId="77777777" w:rsidR="00487F08" w:rsidRPr="00487F08" w:rsidRDefault="00487F08" w:rsidP="00487F08">
            <w:pPr>
              <w:jc w:val="center"/>
              <w:rPr>
                <w:b/>
                <w:bCs/>
                <w:rtl/>
              </w:rPr>
            </w:pPr>
          </w:p>
        </w:tc>
      </w:tr>
    </w:tbl>
    <w:p w14:paraId="703DA5B8" w14:textId="77777777" w:rsidR="00487F08" w:rsidRDefault="00487F08" w:rsidP="00487F08">
      <w:pPr>
        <w:jc w:val="right"/>
        <w:rPr>
          <w:rFonts w:ascii="David" w:hAnsi="David"/>
          <w:rtl/>
        </w:rPr>
      </w:pPr>
    </w:p>
    <w:p w14:paraId="080B877F" w14:textId="77777777" w:rsidR="004D1322" w:rsidRPr="00F3668A" w:rsidRDefault="004D1322" w:rsidP="00F3668A">
      <w:pPr>
        <w:keepNext/>
        <w:rPr>
          <w:rFonts w:ascii="David" w:hAnsi="David"/>
          <w:color w:val="000000"/>
          <w:sz w:val="22"/>
          <w:szCs w:val="22"/>
          <w:rtl/>
        </w:rPr>
      </w:pPr>
    </w:p>
    <w:p w14:paraId="3D59CC28" w14:textId="77777777" w:rsidR="00F3668A" w:rsidRPr="00F3668A" w:rsidRDefault="00F3668A" w:rsidP="00F3668A">
      <w:pPr>
        <w:keepNext/>
        <w:rPr>
          <w:rFonts w:ascii="David" w:hAnsi="David"/>
          <w:color w:val="000000"/>
          <w:sz w:val="22"/>
          <w:szCs w:val="22"/>
          <w:rtl/>
        </w:rPr>
      </w:pPr>
      <w:r w:rsidRPr="00F3668A">
        <w:rPr>
          <w:rFonts w:ascii="David" w:hAnsi="David"/>
          <w:color w:val="000000"/>
          <w:sz w:val="22"/>
          <w:szCs w:val="22"/>
          <w:rtl/>
        </w:rPr>
        <w:t>אליהו ביתן 54678313</w:t>
      </w:r>
    </w:p>
    <w:p w14:paraId="38F9FD23" w14:textId="77777777" w:rsidR="00F3668A" w:rsidRDefault="00F3668A" w:rsidP="00F3668A">
      <w:r w:rsidRPr="00F3668A">
        <w:rPr>
          <w:color w:val="000000"/>
          <w:rtl/>
        </w:rPr>
        <w:t>נוסח מסמך זה כפוף לשינויי ניסוח ועריכה</w:t>
      </w:r>
    </w:p>
    <w:p w14:paraId="6971030D" w14:textId="77777777" w:rsidR="00F3668A" w:rsidRDefault="00F3668A" w:rsidP="00F3668A">
      <w:pPr>
        <w:rPr>
          <w:rtl/>
        </w:rPr>
      </w:pPr>
    </w:p>
    <w:p w14:paraId="2F8EF3AC" w14:textId="77777777" w:rsidR="00F3668A" w:rsidRDefault="00F3668A" w:rsidP="00F3668A">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A26E12F" w14:textId="77777777" w:rsidR="00F3668A" w:rsidRPr="00F3668A" w:rsidRDefault="00F3668A" w:rsidP="00F3668A">
      <w:pPr>
        <w:jc w:val="center"/>
        <w:rPr>
          <w:color w:val="0000FF"/>
          <w:u w:val="single"/>
        </w:rPr>
      </w:pPr>
    </w:p>
    <w:sectPr w:rsidR="00F3668A" w:rsidRPr="00F3668A" w:rsidSect="00F3668A">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95678" w14:textId="77777777" w:rsidR="005D1F4D" w:rsidRDefault="005D1F4D" w:rsidP="0091703B">
      <w:r>
        <w:separator/>
      </w:r>
    </w:p>
  </w:endnote>
  <w:endnote w:type="continuationSeparator" w:id="0">
    <w:p w14:paraId="6C0B5AF0" w14:textId="77777777" w:rsidR="005D1F4D" w:rsidRDefault="005D1F4D" w:rsidP="0091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E28A7" w14:textId="77777777" w:rsidR="00F3668A" w:rsidRDefault="00F3668A" w:rsidP="00F366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2A5A20" w14:textId="77777777" w:rsidR="0086511F" w:rsidRPr="00F3668A" w:rsidRDefault="00F3668A" w:rsidP="00F366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729EF" w14:textId="77777777" w:rsidR="00F3668A" w:rsidRDefault="00F3668A" w:rsidP="00F366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10C5">
      <w:rPr>
        <w:rFonts w:ascii="FrankRuehl" w:hAnsi="FrankRuehl" w:cs="FrankRuehl"/>
        <w:noProof/>
        <w:rtl/>
      </w:rPr>
      <w:t>1</w:t>
    </w:r>
    <w:r>
      <w:rPr>
        <w:rFonts w:ascii="FrankRuehl" w:hAnsi="FrankRuehl" w:cs="FrankRuehl"/>
        <w:rtl/>
      </w:rPr>
      <w:fldChar w:fldCharType="end"/>
    </w:r>
  </w:p>
  <w:p w14:paraId="3290AF36" w14:textId="77777777" w:rsidR="0086511F" w:rsidRPr="00F3668A" w:rsidRDefault="00F3668A" w:rsidP="00F366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DAB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78901" w14:textId="77777777" w:rsidR="005D1F4D" w:rsidRDefault="005D1F4D" w:rsidP="0091703B">
      <w:r>
        <w:separator/>
      </w:r>
    </w:p>
  </w:footnote>
  <w:footnote w:type="continuationSeparator" w:id="0">
    <w:p w14:paraId="5D84925A" w14:textId="77777777" w:rsidR="005D1F4D" w:rsidRDefault="005D1F4D" w:rsidP="00917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DD2A2" w14:textId="77777777" w:rsidR="00F3668A" w:rsidRPr="00F3668A" w:rsidRDefault="00F3668A" w:rsidP="00F366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13839-12-23</w:t>
    </w:r>
    <w:r>
      <w:rPr>
        <w:rFonts w:ascii="David" w:hAnsi="David"/>
        <w:color w:val="000000"/>
        <w:sz w:val="22"/>
        <w:szCs w:val="22"/>
        <w:rtl/>
      </w:rPr>
      <w:tab/>
      <w:t xml:space="preserve"> מדינת ישראל נ' אריאל פשייב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A2F9" w14:textId="77777777" w:rsidR="00F3668A" w:rsidRPr="00F3668A" w:rsidRDefault="00F3668A" w:rsidP="00F366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13839-12-23</w:t>
    </w:r>
    <w:r>
      <w:rPr>
        <w:rFonts w:ascii="David" w:hAnsi="David"/>
        <w:color w:val="000000"/>
        <w:sz w:val="22"/>
        <w:szCs w:val="22"/>
        <w:rtl/>
      </w:rPr>
      <w:tab/>
      <w:t xml:space="preserve"> מדינת ישראל נ' אריאל פשייב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560E1"/>
    <w:multiLevelType w:val="hybridMultilevel"/>
    <w:tmpl w:val="51409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7682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7F08"/>
    <w:rsid w:val="001B15B4"/>
    <w:rsid w:val="001B5A3B"/>
    <w:rsid w:val="00253444"/>
    <w:rsid w:val="00487F08"/>
    <w:rsid w:val="004D1322"/>
    <w:rsid w:val="005C10C5"/>
    <w:rsid w:val="005D1F4D"/>
    <w:rsid w:val="0086511F"/>
    <w:rsid w:val="0091703B"/>
    <w:rsid w:val="00E45248"/>
    <w:rsid w:val="00F366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F6A8C9"/>
  <w15:chartTrackingRefBased/>
  <w15:docId w15:val="{FAE44270-38C0-4604-A775-4095F09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7F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7F08"/>
    <w:pPr>
      <w:tabs>
        <w:tab w:val="center" w:pos="4153"/>
        <w:tab w:val="right" w:pos="8306"/>
      </w:tabs>
    </w:pPr>
  </w:style>
  <w:style w:type="character" w:customStyle="1" w:styleId="a4">
    <w:name w:val="כותרת עליונה תו"/>
    <w:link w:val="a3"/>
    <w:rsid w:val="00487F08"/>
    <w:rPr>
      <w:rFonts w:ascii="Times New Roman" w:eastAsia="Times New Roman" w:hAnsi="Times New Roman" w:cs="David"/>
      <w:sz w:val="24"/>
      <w:szCs w:val="24"/>
    </w:rPr>
  </w:style>
  <w:style w:type="paragraph" w:styleId="a5">
    <w:name w:val="footer"/>
    <w:basedOn w:val="a"/>
    <w:link w:val="a6"/>
    <w:rsid w:val="00487F08"/>
    <w:pPr>
      <w:tabs>
        <w:tab w:val="center" w:pos="4153"/>
        <w:tab w:val="right" w:pos="8306"/>
      </w:tabs>
    </w:pPr>
  </w:style>
  <w:style w:type="character" w:customStyle="1" w:styleId="a6">
    <w:name w:val="כותרת תחתונה תו"/>
    <w:link w:val="a5"/>
    <w:rsid w:val="00487F08"/>
    <w:rPr>
      <w:rFonts w:ascii="Times New Roman" w:eastAsia="Times New Roman" w:hAnsi="Times New Roman" w:cs="David"/>
      <w:sz w:val="24"/>
      <w:szCs w:val="24"/>
    </w:rPr>
  </w:style>
  <w:style w:type="table" w:styleId="a7">
    <w:name w:val="Table Grid"/>
    <w:basedOn w:val="a1"/>
    <w:rsid w:val="00487F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7F08"/>
  </w:style>
  <w:style w:type="paragraph" w:styleId="a9">
    <w:name w:val="List Paragraph"/>
    <w:basedOn w:val="a"/>
    <w:qFormat/>
    <w:rsid w:val="00487F08"/>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487F08"/>
    <w:rPr>
      <w:b/>
      <w:bCs/>
      <w:u w:val="single"/>
    </w:rPr>
  </w:style>
  <w:style w:type="character" w:styleId="Hyperlink">
    <w:name w:val="Hyperlink"/>
    <w:rsid w:val="00F366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8.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791475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791475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48.a" TargetMode="External"/><Relationship Id="rId17" Type="http://schemas.openxmlformats.org/officeDocument/2006/relationships/hyperlink" Target="http://www.nevo.co.il/case/2791475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7691352" TargetMode="External"/><Relationship Id="rId20" Type="http://schemas.openxmlformats.org/officeDocument/2006/relationships/hyperlink" Target="http://www.nevo.co.il/case/2769135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914755" TargetMode="External"/><Relationship Id="rId28"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769135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1352</Words>
  <Characters>6763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8099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3801205</vt:i4>
      </vt:variant>
      <vt:variant>
        <vt:i4>48</vt:i4>
      </vt:variant>
      <vt:variant>
        <vt:i4>0</vt:i4>
      </vt:variant>
      <vt:variant>
        <vt:i4>5</vt:i4>
      </vt:variant>
      <vt:variant>
        <vt:lpwstr>http://www.nevo.co.il/case/27914755</vt:lpwstr>
      </vt:variant>
      <vt:variant>
        <vt:lpwstr/>
      </vt:variant>
      <vt:variant>
        <vt:i4>3145849</vt:i4>
      </vt:variant>
      <vt:variant>
        <vt:i4>45</vt:i4>
      </vt:variant>
      <vt:variant>
        <vt:i4>0</vt:i4>
      </vt:variant>
      <vt:variant>
        <vt:i4>5</vt:i4>
      </vt:variant>
      <vt:variant>
        <vt:lpwstr>http://www.nevo.co.il/case/27691352</vt:lpwstr>
      </vt:variant>
      <vt:variant>
        <vt:lpwstr/>
      </vt:variant>
      <vt:variant>
        <vt:i4>3801205</vt:i4>
      </vt:variant>
      <vt:variant>
        <vt:i4>42</vt:i4>
      </vt:variant>
      <vt:variant>
        <vt:i4>0</vt:i4>
      </vt:variant>
      <vt:variant>
        <vt:i4>5</vt:i4>
      </vt:variant>
      <vt:variant>
        <vt:lpwstr>http://www.nevo.co.il/case/27914755</vt:lpwstr>
      </vt:variant>
      <vt:variant>
        <vt:lpwstr/>
      </vt:variant>
      <vt:variant>
        <vt:i4>3145849</vt:i4>
      </vt:variant>
      <vt:variant>
        <vt:i4>39</vt:i4>
      </vt:variant>
      <vt:variant>
        <vt:i4>0</vt:i4>
      </vt:variant>
      <vt:variant>
        <vt:i4>5</vt:i4>
      </vt:variant>
      <vt:variant>
        <vt:lpwstr>http://www.nevo.co.il/case/27691352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3801205</vt:i4>
      </vt:variant>
      <vt:variant>
        <vt:i4>33</vt:i4>
      </vt:variant>
      <vt:variant>
        <vt:i4>0</vt:i4>
      </vt:variant>
      <vt:variant>
        <vt:i4>5</vt:i4>
      </vt:variant>
      <vt:variant>
        <vt:lpwstr>http://www.nevo.co.il/case/27914755</vt:lpwstr>
      </vt:variant>
      <vt:variant>
        <vt:lpwstr/>
      </vt:variant>
      <vt:variant>
        <vt:i4>3801205</vt:i4>
      </vt:variant>
      <vt:variant>
        <vt:i4>30</vt:i4>
      </vt:variant>
      <vt:variant>
        <vt:i4>0</vt:i4>
      </vt:variant>
      <vt:variant>
        <vt:i4>5</vt:i4>
      </vt:variant>
      <vt:variant>
        <vt:lpwstr>http://www.nevo.co.il/case/27914755</vt:lpwstr>
      </vt:variant>
      <vt:variant>
        <vt:lpwstr/>
      </vt:variant>
      <vt:variant>
        <vt:i4>3145849</vt:i4>
      </vt:variant>
      <vt:variant>
        <vt:i4>27</vt:i4>
      </vt:variant>
      <vt:variant>
        <vt:i4>0</vt:i4>
      </vt:variant>
      <vt:variant>
        <vt:i4>5</vt:i4>
      </vt:variant>
      <vt:variant>
        <vt:lpwstr>http://www.nevo.co.il/case/27691352</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5177433</vt:i4>
      </vt:variant>
      <vt:variant>
        <vt:i4>15</vt:i4>
      </vt:variant>
      <vt:variant>
        <vt:i4>0</vt:i4>
      </vt:variant>
      <vt:variant>
        <vt:i4>5</vt:i4>
      </vt:variant>
      <vt:variant>
        <vt:lpwstr>http://www.nevo.co.il/law/70301/448.a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5177433</vt:i4>
      </vt:variant>
      <vt:variant>
        <vt:i4>3</vt:i4>
      </vt:variant>
      <vt:variant>
        <vt:i4>0</vt:i4>
      </vt:variant>
      <vt:variant>
        <vt:i4>5</vt:i4>
      </vt:variant>
      <vt:variant>
        <vt:lpwstr>http://www.nevo.co.il/law/70301/448.a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13839</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אריאל פשייב</vt:lpwstr>
  </property>
  <property fmtid="{D5CDD505-2E9C-101B-9397-08002B2CF9AE}" pid="10" name="LAWYER">
    <vt:lpwstr>גאל נבון;אור בן שאנן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20240919</vt:lpwstr>
  </property>
  <property fmtid="{D5CDD505-2E9C-101B-9397-08002B2CF9AE}" pid="14" name="TYPE_N_DATE">
    <vt:lpwstr>39020240919</vt:lpwstr>
  </property>
  <property fmtid="{D5CDD505-2E9C-101B-9397-08002B2CF9AE}" pid="15" name="CASESLISTTMP1">
    <vt:lpwstr>27691352:3;27914755:4</vt:lpwstr>
  </property>
  <property fmtid="{D5CDD505-2E9C-101B-9397-08002B2CF9AE}" pid="16" name="WORDNUMPAGES">
    <vt:lpwstr>4</vt:lpwstr>
  </property>
  <property fmtid="{D5CDD505-2E9C-101B-9397-08002B2CF9AE}" pid="17" name="TYPE_ABS_DATE">
    <vt:lpwstr>390020240919</vt:lpwstr>
  </property>
  <property fmtid="{D5CDD505-2E9C-101B-9397-08002B2CF9AE}" pid="18" name="ISABSTRACT">
    <vt:lpwstr>Y</vt:lpwstr>
  </property>
  <property fmtid="{D5CDD505-2E9C-101B-9397-08002B2CF9AE}" pid="19" name="LAWLISTTMP1">
    <vt:lpwstr>70301/448.a</vt:lpwstr>
  </property>
  <property fmtid="{D5CDD505-2E9C-101B-9397-08002B2CF9AE}" pid="20" name="LAWLISTTMP2">
    <vt:lpwstr>4216/007.a;007.c</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