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7"/>
        <w:gridCol w:w="3654"/>
      </w:tblGrid>
      <w:tr w:rsidR="00F84F73" w:rsidRPr="00A01EB4" w14:paraId="3AAB4058" w14:textId="77777777" w:rsidTr="00626633">
        <w:trPr>
          <w:trHeight w:hRule="exact" w:val="418"/>
          <w:jc w:val="center"/>
        </w:trPr>
        <w:tc>
          <w:tcPr>
            <w:tcW w:w="8721" w:type="dxa"/>
            <w:gridSpan w:val="2"/>
          </w:tcPr>
          <w:p w14:paraId="520F93F0" w14:textId="77777777" w:rsidR="00F84F73" w:rsidRPr="00A01EB4" w:rsidRDefault="00F84F73" w:rsidP="005407E8">
            <w:pPr>
              <w:pStyle w:val="a3"/>
              <w:jc w:val="center"/>
              <w:rPr>
                <w:rFonts w:ascii="Tahoma" w:hAnsi="Tahoma"/>
                <w:color w:val="000080"/>
                <w:sz w:val="32"/>
                <w:szCs w:val="32"/>
                <w:rtl/>
              </w:rPr>
            </w:pPr>
            <w:bookmarkStart w:id="0" w:name="LastJudge"/>
            <w:r w:rsidRPr="00A01EB4">
              <w:rPr>
                <w:rFonts w:ascii="Tahoma" w:hAnsi="Tahoma"/>
                <w:b/>
                <w:bCs/>
                <w:color w:val="000080"/>
                <w:sz w:val="32"/>
                <w:szCs w:val="32"/>
                <w:rtl/>
              </w:rPr>
              <w:t>בית המשפט המחוזי בתל אביב -יפו</w:t>
            </w:r>
          </w:p>
        </w:tc>
      </w:tr>
      <w:tr w:rsidR="00F84F73" w:rsidRPr="00A01EB4" w14:paraId="75C53F5E" w14:textId="77777777" w:rsidTr="00626633">
        <w:trPr>
          <w:trHeight w:val="337"/>
          <w:jc w:val="center"/>
        </w:trPr>
        <w:tc>
          <w:tcPr>
            <w:tcW w:w="5067" w:type="dxa"/>
          </w:tcPr>
          <w:p w14:paraId="56D047DC" w14:textId="77777777" w:rsidR="00F84F73" w:rsidRPr="00A01EB4" w:rsidRDefault="00F84F73" w:rsidP="005407E8">
            <w:pPr>
              <w:rPr>
                <w:sz w:val="26"/>
                <w:szCs w:val="26"/>
                <w:rtl/>
              </w:rPr>
            </w:pPr>
            <w:r w:rsidRPr="00A01EB4">
              <w:rPr>
                <w:sz w:val="26"/>
                <w:szCs w:val="26"/>
                <w:rtl/>
              </w:rPr>
              <w:t>ת"פ</w:t>
            </w:r>
            <w:r w:rsidRPr="00A01EB4">
              <w:rPr>
                <w:rFonts w:hint="cs"/>
                <w:sz w:val="26"/>
                <w:szCs w:val="26"/>
                <w:rtl/>
              </w:rPr>
              <w:t xml:space="preserve"> </w:t>
            </w:r>
            <w:r w:rsidRPr="00A01EB4">
              <w:rPr>
                <w:sz w:val="26"/>
                <w:szCs w:val="26"/>
                <w:rtl/>
              </w:rPr>
              <w:t>71101-01-24</w:t>
            </w:r>
            <w:r w:rsidRPr="00A01EB4">
              <w:rPr>
                <w:rFonts w:hint="cs"/>
                <w:sz w:val="26"/>
                <w:szCs w:val="26"/>
                <w:rtl/>
              </w:rPr>
              <w:t xml:space="preserve"> </w:t>
            </w:r>
            <w:r w:rsidRPr="00A01EB4">
              <w:rPr>
                <w:sz w:val="26"/>
                <w:szCs w:val="26"/>
                <w:rtl/>
              </w:rPr>
              <w:t>מדינת ישראל נ' אבו אלקיעאן(עצור/אסיר בפיקוח)</w:t>
            </w:r>
          </w:p>
          <w:p w14:paraId="0F619F3D" w14:textId="77777777" w:rsidR="00F84F73" w:rsidRPr="00A01EB4" w:rsidRDefault="00F84F73" w:rsidP="005407E8">
            <w:pPr>
              <w:pStyle w:val="a3"/>
              <w:rPr>
                <w:rFonts w:cs="FrankRuehl"/>
                <w:sz w:val="28"/>
                <w:szCs w:val="28"/>
                <w:rtl/>
              </w:rPr>
            </w:pPr>
          </w:p>
        </w:tc>
        <w:tc>
          <w:tcPr>
            <w:tcW w:w="3654" w:type="dxa"/>
          </w:tcPr>
          <w:p w14:paraId="2F26923F" w14:textId="77777777" w:rsidR="00F84F73" w:rsidRPr="00A01EB4" w:rsidRDefault="00F84F73" w:rsidP="005407E8">
            <w:pPr>
              <w:pStyle w:val="a3"/>
              <w:jc w:val="right"/>
              <w:rPr>
                <w:rFonts w:cs="FrankRuehl"/>
                <w:sz w:val="28"/>
                <w:szCs w:val="28"/>
                <w:rtl/>
              </w:rPr>
            </w:pPr>
          </w:p>
        </w:tc>
      </w:tr>
    </w:tbl>
    <w:p w14:paraId="2B1CFA1A" w14:textId="77777777" w:rsidR="00F84F73" w:rsidRPr="00A01EB4" w:rsidRDefault="00F84F73" w:rsidP="00626633">
      <w:pPr>
        <w:pStyle w:val="a3"/>
        <w:rPr>
          <w:rtl/>
        </w:rPr>
      </w:pPr>
      <w:r w:rsidRPr="00A01EB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74"/>
        <w:gridCol w:w="3351"/>
      </w:tblGrid>
      <w:tr w:rsidR="00F84F73" w:rsidRPr="00A01EB4" w14:paraId="3E1859C2" w14:textId="77777777" w:rsidTr="00626633">
        <w:trPr>
          <w:trHeight w:val="295"/>
          <w:jc w:val="center"/>
        </w:trPr>
        <w:tc>
          <w:tcPr>
            <w:tcW w:w="1195" w:type="dxa"/>
            <w:tcBorders>
              <w:top w:val="nil"/>
              <w:left w:val="nil"/>
              <w:bottom w:val="nil"/>
              <w:right w:val="nil"/>
            </w:tcBorders>
            <w:shd w:val="clear" w:color="auto" w:fill="auto"/>
          </w:tcPr>
          <w:p w14:paraId="11B38227" w14:textId="77777777" w:rsidR="00F84F73" w:rsidRPr="00A01EB4" w:rsidRDefault="00F84F73" w:rsidP="00F84F73">
            <w:pPr>
              <w:jc w:val="both"/>
              <w:rPr>
                <w:rFonts w:ascii="Arial" w:hAnsi="Arial"/>
                <w:b/>
                <w:bCs/>
                <w:sz w:val="26"/>
                <w:szCs w:val="26"/>
              </w:rPr>
            </w:pPr>
            <w:r w:rsidRPr="00A01EB4">
              <w:rPr>
                <w:rFonts w:ascii="Arial" w:hAnsi="Arial" w:hint="cs"/>
                <w:b/>
                <w:bCs/>
                <w:sz w:val="26"/>
                <w:szCs w:val="26"/>
                <w:rtl/>
              </w:rPr>
              <w:t>ל</w:t>
            </w:r>
            <w:r w:rsidRPr="00A01EB4">
              <w:rPr>
                <w:rFonts w:ascii="Arial" w:hAnsi="Arial"/>
                <w:b/>
                <w:bCs/>
                <w:sz w:val="26"/>
                <w:szCs w:val="26"/>
                <w:rtl/>
              </w:rPr>
              <w:t xml:space="preserve">פני </w:t>
            </w:r>
          </w:p>
        </w:tc>
        <w:tc>
          <w:tcPr>
            <w:tcW w:w="7625" w:type="dxa"/>
            <w:gridSpan w:val="2"/>
            <w:tcBorders>
              <w:top w:val="nil"/>
              <w:left w:val="nil"/>
              <w:bottom w:val="nil"/>
              <w:right w:val="nil"/>
            </w:tcBorders>
            <w:shd w:val="clear" w:color="auto" w:fill="auto"/>
          </w:tcPr>
          <w:p w14:paraId="2E94C951" w14:textId="77777777" w:rsidR="00F84F73" w:rsidRPr="00A01EB4" w:rsidRDefault="00F84F73" w:rsidP="005407E8">
            <w:pPr>
              <w:rPr>
                <w:rFonts w:ascii="Arial" w:hAnsi="Arial"/>
                <w:b/>
                <w:bCs/>
                <w:sz w:val="26"/>
                <w:szCs w:val="26"/>
                <w:rtl/>
              </w:rPr>
            </w:pPr>
            <w:r w:rsidRPr="00A01EB4">
              <w:rPr>
                <w:rFonts w:ascii="Arial" w:hAnsi="Arial" w:hint="cs"/>
                <w:b/>
                <w:bCs/>
                <w:sz w:val="26"/>
                <w:szCs w:val="26"/>
                <w:rtl/>
              </w:rPr>
              <w:t>כבוד ה</w:t>
            </w:r>
            <w:r w:rsidRPr="00A01EB4">
              <w:rPr>
                <w:rFonts w:ascii="Arial" w:hAnsi="Arial"/>
                <w:b/>
                <w:bCs/>
                <w:sz w:val="26"/>
                <w:szCs w:val="26"/>
                <w:rtl/>
              </w:rPr>
              <w:t>שופטת</w:t>
            </w:r>
            <w:r w:rsidRPr="00A01EB4">
              <w:rPr>
                <w:rFonts w:ascii="Arial" w:hAnsi="Arial" w:hint="cs"/>
                <w:b/>
                <w:bCs/>
                <w:sz w:val="26"/>
                <w:szCs w:val="26"/>
                <w:rtl/>
              </w:rPr>
              <w:t xml:space="preserve">  </w:t>
            </w:r>
            <w:r w:rsidRPr="00A01EB4">
              <w:rPr>
                <w:rFonts w:ascii="Arial" w:hAnsi="Arial"/>
                <w:b/>
                <w:bCs/>
                <w:sz w:val="26"/>
                <w:szCs w:val="26"/>
                <w:rtl/>
              </w:rPr>
              <w:t>נעה תבור</w:t>
            </w:r>
          </w:p>
          <w:p w14:paraId="1CFBF647" w14:textId="77777777" w:rsidR="00F84F73" w:rsidRPr="00A01EB4" w:rsidRDefault="00F84F73" w:rsidP="005407E8">
            <w:pPr>
              <w:rPr>
                <w:sz w:val="26"/>
                <w:szCs w:val="26"/>
                <w:rtl/>
              </w:rPr>
            </w:pPr>
          </w:p>
          <w:p w14:paraId="0923D112" w14:textId="77777777" w:rsidR="00F84F73" w:rsidRPr="00A01EB4" w:rsidRDefault="00F84F73" w:rsidP="00F84F73">
            <w:pPr>
              <w:jc w:val="both"/>
              <w:rPr>
                <w:rFonts w:ascii="Arial" w:hAnsi="Arial"/>
                <w:sz w:val="26"/>
                <w:szCs w:val="26"/>
              </w:rPr>
            </w:pPr>
          </w:p>
        </w:tc>
      </w:tr>
      <w:tr w:rsidR="00F84F73" w:rsidRPr="00A01EB4" w14:paraId="1B83454A" w14:textId="77777777" w:rsidTr="00626633">
        <w:trPr>
          <w:trHeight w:val="355"/>
          <w:jc w:val="center"/>
        </w:trPr>
        <w:tc>
          <w:tcPr>
            <w:tcW w:w="1195" w:type="dxa"/>
            <w:tcBorders>
              <w:top w:val="nil"/>
              <w:left w:val="nil"/>
              <w:bottom w:val="nil"/>
              <w:right w:val="nil"/>
            </w:tcBorders>
            <w:shd w:val="clear" w:color="auto" w:fill="auto"/>
          </w:tcPr>
          <w:p w14:paraId="4738467C" w14:textId="77777777" w:rsidR="00F84F73" w:rsidRPr="00A01EB4" w:rsidRDefault="00F84F73" w:rsidP="00F84F73">
            <w:pPr>
              <w:jc w:val="both"/>
              <w:rPr>
                <w:rFonts w:ascii="Arial" w:hAnsi="Arial"/>
                <w:b/>
                <w:bCs/>
                <w:sz w:val="26"/>
                <w:szCs w:val="26"/>
              </w:rPr>
            </w:pPr>
            <w:bookmarkStart w:id="1" w:name="FirstAppellant"/>
            <w:bookmarkStart w:id="2" w:name="FirstLawyer"/>
            <w:r w:rsidRPr="00A01EB4">
              <w:rPr>
                <w:rFonts w:ascii="Arial" w:hAnsi="Arial" w:hint="cs"/>
                <w:sz w:val="26"/>
                <w:szCs w:val="26"/>
                <w:rtl/>
              </w:rPr>
              <w:t>ה</w:t>
            </w:r>
            <w:r w:rsidRPr="00A01EB4">
              <w:rPr>
                <w:rFonts w:ascii="Arial" w:hAnsi="Arial"/>
                <w:sz w:val="26"/>
                <w:szCs w:val="26"/>
                <w:rtl/>
              </w:rPr>
              <w:t>מאשימה</w:t>
            </w:r>
          </w:p>
        </w:tc>
        <w:tc>
          <w:tcPr>
            <w:tcW w:w="4274" w:type="dxa"/>
            <w:tcBorders>
              <w:top w:val="nil"/>
              <w:left w:val="nil"/>
              <w:bottom w:val="nil"/>
              <w:right w:val="nil"/>
            </w:tcBorders>
            <w:shd w:val="clear" w:color="auto" w:fill="auto"/>
          </w:tcPr>
          <w:p w14:paraId="54F4E92C" w14:textId="77777777" w:rsidR="00F84F73" w:rsidRPr="00A01EB4" w:rsidRDefault="00F84F73" w:rsidP="005407E8">
            <w:pPr>
              <w:rPr>
                <w:sz w:val="26"/>
                <w:szCs w:val="26"/>
                <w:rtl/>
              </w:rPr>
            </w:pPr>
            <w:r w:rsidRPr="00A01EB4">
              <w:rPr>
                <w:rFonts w:ascii="Arial" w:hAnsi="Arial"/>
                <w:sz w:val="26"/>
                <w:szCs w:val="26"/>
                <w:rtl/>
              </w:rPr>
              <w:t>מדינת ישראל</w:t>
            </w:r>
          </w:p>
          <w:p w14:paraId="52A22CED" w14:textId="77777777" w:rsidR="00F84F73" w:rsidRPr="00A01EB4" w:rsidRDefault="00F84F73" w:rsidP="005407E8">
            <w:pPr>
              <w:rPr>
                <w:sz w:val="26"/>
                <w:szCs w:val="26"/>
              </w:rPr>
            </w:pPr>
            <w:r w:rsidRPr="00A01EB4">
              <w:rPr>
                <w:rFonts w:hint="cs"/>
                <w:sz w:val="26"/>
                <w:szCs w:val="26"/>
                <w:rtl/>
              </w:rPr>
              <w:t>ע"י ב"כ עו"ד פרוסט ועו"ד גולדהמר</w:t>
            </w:r>
          </w:p>
        </w:tc>
        <w:tc>
          <w:tcPr>
            <w:tcW w:w="3351" w:type="dxa"/>
            <w:tcBorders>
              <w:top w:val="nil"/>
              <w:left w:val="nil"/>
              <w:bottom w:val="nil"/>
              <w:right w:val="nil"/>
            </w:tcBorders>
            <w:shd w:val="clear" w:color="auto" w:fill="auto"/>
          </w:tcPr>
          <w:p w14:paraId="32A2682D" w14:textId="77777777" w:rsidR="00F84F73" w:rsidRPr="00A01EB4" w:rsidRDefault="00F84F73" w:rsidP="00F84F73">
            <w:pPr>
              <w:jc w:val="both"/>
              <w:rPr>
                <w:rFonts w:ascii="Arial" w:hAnsi="Arial"/>
                <w:sz w:val="26"/>
                <w:szCs w:val="26"/>
              </w:rPr>
            </w:pPr>
          </w:p>
        </w:tc>
      </w:tr>
      <w:bookmarkEnd w:id="1"/>
      <w:bookmarkEnd w:id="2"/>
      <w:tr w:rsidR="00F84F73" w:rsidRPr="00A01EB4" w14:paraId="44BB207E" w14:textId="77777777" w:rsidTr="00626633">
        <w:trPr>
          <w:trHeight w:val="355"/>
          <w:jc w:val="center"/>
        </w:trPr>
        <w:tc>
          <w:tcPr>
            <w:tcW w:w="1195" w:type="dxa"/>
            <w:tcBorders>
              <w:top w:val="nil"/>
              <w:left w:val="nil"/>
              <w:bottom w:val="nil"/>
              <w:right w:val="nil"/>
            </w:tcBorders>
            <w:shd w:val="clear" w:color="auto" w:fill="auto"/>
          </w:tcPr>
          <w:p w14:paraId="1605F18A" w14:textId="77777777" w:rsidR="00F84F73" w:rsidRPr="00A01EB4" w:rsidRDefault="00F84F73" w:rsidP="00F84F73">
            <w:pPr>
              <w:jc w:val="both"/>
              <w:rPr>
                <w:rFonts w:ascii="Arial" w:hAnsi="Arial"/>
                <w:sz w:val="26"/>
                <w:szCs w:val="26"/>
                <w:rtl/>
              </w:rPr>
            </w:pPr>
          </w:p>
        </w:tc>
        <w:tc>
          <w:tcPr>
            <w:tcW w:w="4274" w:type="dxa"/>
            <w:tcBorders>
              <w:top w:val="nil"/>
              <w:left w:val="nil"/>
              <w:bottom w:val="nil"/>
              <w:right w:val="nil"/>
            </w:tcBorders>
            <w:shd w:val="clear" w:color="auto" w:fill="auto"/>
          </w:tcPr>
          <w:p w14:paraId="7D1003CF" w14:textId="77777777" w:rsidR="00F84F73" w:rsidRPr="00A01EB4" w:rsidRDefault="00F84F73" w:rsidP="005407E8">
            <w:pPr>
              <w:rPr>
                <w:rFonts w:ascii="Arial" w:hAnsi="Arial"/>
                <w:sz w:val="26"/>
                <w:szCs w:val="26"/>
                <w:rtl/>
              </w:rPr>
            </w:pPr>
          </w:p>
        </w:tc>
        <w:tc>
          <w:tcPr>
            <w:tcW w:w="3351" w:type="dxa"/>
            <w:tcBorders>
              <w:top w:val="nil"/>
              <w:left w:val="nil"/>
              <w:bottom w:val="nil"/>
              <w:right w:val="nil"/>
            </w:tcBorders>
            <w:shd w:val="clear" w:color="auto" w:fill="auto"/>
          </w:tcPr>
          <w:p w14:paraId="6A6F23BE" w14:textId="77777777" w:rsidR="00F84F73" w:rsidRPr="00A01EB4" w:rsidRDefault="00F84F73" w:rsidP="00F84F73">
            <w:pPr>
              <w:jc w:val="right"/>
              <w:rPr>
                <w:rFonts w:ascii="Arial" w:hAnsi="Arial"/>
                <w:sz w:val="26"/>
                <w:szCs w:val="26"/>
                <w:rtl/>
              </w:rPr>
            </w:pPr>
          </w:p>
        </w:tc>
      </w:tr>
      <w:tr w:rsidR="00F84F73" w:rsidRPr="00A01EB4" w14:paraId="139B505A" w14:textId="77777777" w:rsidTr="00626633">
        <w:trPr>
          <w:trHeight w:val="355"/>
          <w:jc w:val="center"/>
        </w:trPr>
        <w:tc>
          <w:tcPr>
            <w:tcW w:w="1195" w:type="dxa"/>
            <w:tcBorders>
              <w:top w:val="nil"/>
              <w:left w:val="nil"/>
              <w:bottom w:val="nil"/>
              <w:right w:val="nil"/>
            </w:tcBorders>
            <w:shd w:val="clear" w:color="auto" w:fill="auto"/>
          </w:tcPr>
          <w:p w14:paraId="59DA4DE6" w14:textId="77777777" w:rsidR="00F84F73" w:rsidRPr="00A01EB4" w:rsidRDefault="00F84F73" w:rsidP="00F84F73">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26EB5F60" w14:textId="77777777" w:rsidR="00F84F73" w:rsidRPr="00A01EB4" w:rsidRDefault="00F84F73" w:rsidP="00F84F73">
            <w:pPr>
              <w:jc w:val="center"/>
              <w:rPr>
                <w:rFonts w:ascii="Arial" w:hAnsi="Arial"/>
                <w:b/>
                <w:bCs/>
                <w:sz w:val="26"/>
                <w:szCs w:val="26"/>
                <w:rtl/>
              </w:rPr>
            </w:pPr>
          </w:p>
          <w:p w14:paraId="2EB6B227" w14:textId="77777777" w:rsidR="00F84F73" w:rsidRPr="00A01EB4" w:rsidRDefault="00F84F73" w:rsidP="00F84F73">
            <w:pPr>
              <w:jc w:val="center"/>
              <w:rPr>
                <w:rFonts w:ascii="Arial" w:hAnsi="Arial"/>
                <w:b/>
                <w:bCs/>
                <w:sz w:val="26"/>
                <w:szCs w:val="26"/>
                <w:rtl/>
              </w:rPr>
            </w:pPr>
            <w:r w:rsidRPr="00A01EB4">
              <w:rPr>
                <w:rFonts w:ascii="Arial" w:hAnsi="Arial"/>
                <w:b/>
                <w:bCs/>
                <w:sz w:val="26"/>
                <w:szCs w:val="26"/>
                <w:rtl/>
              </w:rPr>
              <w:t>נגד</w:t>
            </w:r>
          </w:p>
          <w:p w14:paraId="31DD5890" w14:textId="77777777" w:rsidR="00F84F73" w:rsidRPr="00A01EB4" w:rsidRDefault="00F84F73" w:rsidP="00F84F73">
            <w:pPr>
              <w:jc w:val="both"/>
              <w:rPr>
                <w:rFonts w:ascii="Arial" w:hAnsi="Arial"/>
                <w:sz w:val="26"/>
                <w:szCs w:val="26"/>
              </w:rPr>
            </w:pPr>
          </w:p>
        </w:tc>
      </w:tr>
      <w:tr w:rsidR="00F84F73" w:rsidRPr="00A01EB4" w14:paraId="2C821D56" w14:textId="77777777" w:rsidTr="00626633">
        <w:trPr>
          <w:trHeight w:val="355"/>
          <w:jc w:val="center"/>
        </w:trPr>
        <w:tc>
          <w:tcPr>
            <w:tcW w:w="1195" w:type="dxa"/>
            <w:tcBorders>
              <w:top w:val="nil"/>
              <w:left w:val="nil"/>
              <w:bottom w:val="nil"/>
              <w:right w:val="nil"/>
            </w:tcBorders>
            <w:shd w:val="clear" w:color="auto" w:fill="auto"/>
          </w:tcPr>
          <w:p w14:paraId="48663D79" w14:textId="77777777" w:rsidR="00F84F73" w:rsidRPr="00A01EB4" w:rsidRDefault="00F84F73" w:rsidP="005407E8">
            <w:pPr>
              <w:rPr>
                <w:rFonts w:ascii="Arial" w:hAnsi="Arial"/>
                <w:sz w:val="26"/>
                <w:szCs w:val="26"/>
                <w:rtl/>
              </w:rPr>
            </w:pPr>
            <w:r w:rsidRPr="00A01EB4">
              <w:rPr>
                <w:rFonts w:ascii="Arial" w:hAnsi="Arial" w:hint="cs"/>
                <w:sz w:val="26"/>
                <w:szCs w:val="26"/>
                <w:rtl/>
              </w:rPr>
              <w:t>ה</w:t>
            </w:r>
            <w:r w:rsidRPr="00A01EB4">
              <w:rPr>
                <w:rFonts w:ascii="Arial" w:hAnsi="Arial"/>
                <w:sz w:val="26"/>
                <w:szCs w:val="26"/>
                <w:rtl/>
              </w:rPr>
              <w:t>נאשם</w:t>
            </w:r>
          </w:p>
        </w:tc>
        <w:tc>
          <w:tcPr>
            <w:tcW w:w="4274" w:type="dxa"/>
            <w:tcBorders>
              <w:top w:val="nil"/>
              <w:left w:val="nil"/>
              <w:bottom w:val="nil"/>
              <w:right w:val="nil"/>
            </w:tcBorders>
            <w:shd w:val="clear" w:color="auto" w:fill="auto"/>
          </w:tcPr>
          <w:p w14:paraId="15512E51" w14:textId="77777777" w:rsidR="00F84F73" w:rsidRPr="00A01EB4" w:rsidRDefault="00F84F73" w:rsidP="005407E8">
            <w:pPr>
              <w:rPr>
                <w:sz w:val="26"/>
                <w:szCs w:val="26"/>
                <w:rtl/>
              </w:rPr>
            </w:pPr>
            <w:r w:rsidRPr="00A01EB4">
              <w:rPr>
                <w:rFonts w:ascii="Arial" w:hAnsi="Arial"/>
                <w:sz w:val="26"/>
                <w:szCs w:val="26"/>
                <w:rtl/>
              </w:rPr>
              <w:t>מחמוד אבו אלקיעאן (עצור/אסיר בפיקוח)</w:t>
            </w:r>
          </w:p>
          <w:p w14:paraId="666A875B" w14:textId="77777777" w:rsidR="00F84F73" w:rsidRPr="00A01EB4" w:rsidRDefault="00F84F73" w:rsidP="005407E8">
            <w:pPr>
              <w:rPr>
                <w:sz w:val="26"/>
                <w:szCs w:val="26"/>
                <w:rtl/>
              </w:rPr>
            </w:pPr>
            <w:r w:rsidRPr="00A01EB4">
              <w:rPr>
                <w:rFonts w:hint="cs"/>
                <w:sz w:val="26"/>
                <w:szCs w:val="26"/>
                <w:rtl/>
              </w:rPr>
              <w:t>ע"י ב"כ עו"ד מחמוד נעאמנה</w:t>
            </w:r>
          </w:p>
        </w:tc>
        <w:tc>
          <w:tcPr>
            <w:tcW w:w="3351" w:type="dxa"/>
            <w:tcBorders>
              <w:top w:val="nil"/>
              <w:left w:val="nil"/>
              <w:bottom w:val="nil"/>
              <w:right w:val="nil"/>
            </w:tcBorders>
            <w:shd w:val="clear" w:color="auto" w:fill="auto"/>
          </w:tcPr>
          <w:p w14:paraId="1FD7952A" w14:textId="77777777" w:rsidR="00F84F73" w:rsidRPr="00A01EB4" w:rsidRDefault="00F84F73" w:rsidP="00F84F73">
            <w:pPr>
              <w:jc w:val="right"/>
              <w:rPr>
                <w:rFonts w:ascii="Arial" w:hAnsi="Arial"/>
                <w:sz w:val="26"/>
                <w:szCs w:val="26"/>
              </w:rPr>
            </w:pPr>
          </w:p>
        </w:tc>
      </w:tr>
    </w:tbl>
    <w:p w14:paraId="16AC451C" w14:textId="77777777" w:rsidR="00626633" w:rsidRPr="00626633" w:rsidRDefault="00626633" w:rsidP="00626633">
      <w:pPr>
        <w:spacing w:before="120" w:after="120" w:line="240" w:lineRule="exact"/>
        <w:ind w:left="283" w:hanging="283"/>
        <w:jc w:val="both"/>
        <w:rPr>
          <w:rFonts w:ascii="FrankRuehl" w:hAnsi="FrankRuehl" w:cs="FrankRuehl"/>
          <w:rtl/>
        </w:rPr>
      </w:pPr>
      <w:bookmarkStart w:id="3" w:name="LawTable"/>
      <w:bookmarkEnd w:id="3"/>
    </w:p>
    <w:p w14:paraId="69E406FB" w14:textId="77777777" w:rsidR="00626633" w:rsidRPr="00626633" w:rsidRDefault="00626633" w:rsidP="00626633">
      <w:pPr>
        <w:spacing w:before="120" w:after="120" w:line="240" w:lineRule="exact"/>
        <w:ind w:left="283" w:hanging="283"/>
        <w:jc w:val="both"/>
        <w:rPr>
          <w:rFonts w:ascii="FrankRuehl" w:hAnsi="FrankRuehl" w:cs="FrankRuehl"/>
          <w:rtl/>
        </w:rPr>
      </w:pPr>
      <w:r w:rsidRPr="00626633">
        <w:rPr>
          <w:rFonts w:ascii="FrankRuehl" w:hAnsi="FrankRuehl" w:cs="FrankRuehl"/>
          <w:rtl/>
        </w:rPr>
        <w:t xml:space="preserve">חקיקה שאוזכרה: </w:t>
      </w:r>
    </w:p>
    <w:p w14:paraId="6BECB3C8" w14:textId="77777777" w:rsidR="00626633" w:rsidRPr="00626633" w:rsidRDefault="00626633" w:rsidP="00626633">
      <w:pPr>
        <w:spacing w:before="120" w:after="120" w:line="240" w:lineRule="exact"/>
        <w:ind w:left="283" w:hanging="283"/>
        <w:jc w:val="both"/>
        <w:rPr>
          <w:rFonts w:ascii="FrankRuehl" w:hAnsi="FrankRuehl" w:cs="FrankRuehl"/>
          <w:color w:val="0000FF"/>
          <w:rtl/>
        </w:rPr>
      </w:pPr>
      <w:hyperlink r:id="rId7" w:history="1">
        <w:r w:rsidRPr="00626633">
          <w:rPr>
            <w:rStyle w:val="Hyperlink"/>
            <w:rFonts w:ascii="FrankRuehl" w:hAnsi="FrankRuehl" w:cs="FrankRuehl"/>
            <w:u w:val="none"/>
            <w:rtl/>
          </w:rPr>
          <w:t>פקודת הסמים המסוכנים [נוסח חדש], תשל"ג-1973</w:t>
        </w:r>
      </w:hyperlink>
      <w:r w:rsidRPr="00626633">
        <w:rPr>
          <w:rFonts w:ascii="FrankRuehl" w:hAnsi="FrankRuehl" w:cs="FrankRuehl"/>
          <w:color w:val="0000FF"/>
          <w:rtl/>
        </w:rPr>
        <w:t xml:space="preserve">: סע'  </w:t>
      </w:r>
      <w:hyperlink r:id="rId8" w:history="1">
        <w:r w:rsidRPr="00626633">
          <w:rPr>
            <w:rStyle w:val="Hyperlink"/>
            <w:rFonts w:ascii="FrankRuehl" w:hAnsi="FrankRuehl" w:cs="FrankRuehl"/>
            <w:u w:val="none"/>
          </w:rPr>
          <w:t>7</w:t>
        </w:r>
      </w:hyperlink>
      <w:r w:rsidRPr="00626633">
        <w:rPr>
          <w:rFonts w:ascii="FrankRuehl" w:hAnsi="FrankRuehl" w:cs="FrankRuehl"/>
          <w:color w:val="0000FF"/>
          <w:rtl/>
        </w:rPr>
        <w:t xml:space="preserve">(א), </w:t>
      </w:r>
      <w:hyperlink r:id="rId9" w:history="1">
        <w:r w:rsidRPr="00626633">
          <w:rPr>
            <w:rStyle w:val="Hyperlink"/>
            <w:rFonts w:ascii="FrankRuehl" w:hAnsi="FrankRuehl" w:cs="FrankRuehl"/>
            <w:u w:val="none"/>
          </w:rPr>
          <w:t>7</w:t>
        </w:r>
      </w:hyperlink>
      <w:r w:rsidRPr="00626633">
        <w:rPr>
          <w:rFonts w:ascii="FrankRuehl" w:hAnsi="FrankRuehl" w:cs="FrankRuehl"/>
          <w:color w:val="0000FF"/>
          <w:rtl/>
        </w:rPr>
        <w:t xml:space="preserve">(ג), </w:t>
      </w:r>
      <w:hyperlink r:id="rId10" w:history="1">
        <w:r w:rsidRPr="00626633">
          <w:rPr>
            <w:rStyle w:val="Hyperlink"/>
            <w:rFonts w:ascii="FrankRuehl" w:hAnsi="FrankRuehl" w:cs="FrankRuehl"/>
            <w:u w:val="none"/>
          </w:rPr>
          <w:t>10</w:t>
        </w:r>
      </w:hyperlink>
    </w:p>
    <w:p w14:paraId="72B9EF5F" w14:textId="77777777" w:rsidR="00626633" w:rsidRPr="00626633" w:rsidRDefault="00626633" w:rsidP="00626633">
      <w:pPr>
        <w:spacing w:before="120" w:after="120" w:line="240" w:lineRule="exact"/>
        <w:ind w:left="283" w:hanging="283"/>
        <w:jc w:val="both"/>
        <w:rPr>
          <w:rFonts w:ascii="FrankRuehl" w:hAnsi="FrankRuehl" w:cs="FrankRuehl"/>
          <w:color w:val="0000FF"/>
          <w:rtl/>
        </w:rPr>
      </w:pPr>
      <w:hyperlink r:id="rId11" w:history="1">
        <w:r w:rsidRPr="00626633">
          <w:rPr>
            <w:rStyle w:val="Hyperlink"/>
            <w:rFonts w:ascii="FrankRuehl" w:hAnsi="FrankRuehl" w:cs="FrankRuehl"/>
            <w:u w:val="none"/>
            <w:rtl/>
          </w:rPr>
          <w:t>חוק העונשין, תשל"ז-1977</w:t>
        </w:r>
      </w:hyperlink>
      <w:r w:rsidRPr="00626633">
        <w:rPr>
          <w:rFonts w:ascii="FrankRuehl" w:hAnsi="FrankRuehl" w:cs="FrankRuehl"/>
          <w:color w:val="0000FF"/>
          <w:rtl/>
        </w:rPr>
        <w:t xml:space="preserve">: סע'  </w:t>
      </w:r>
      <w:hyperlink r:id="rId12" w:history="1">
        <w:r w:rsidRPr="00626633">
          <w:rPr>
            <w:rStyle w:val="Hyperlink"/>
            <w:rFonts w:ascii="FrankRuehl" w:hAnsi="FrankRuehl" w:cs="FrankRuehl"/>
            <w:u w:val="none"/>
          </w:rPr>
          <w:t>40</w:t>
        </w:r>
        <w:r w:rsidRPr="00626633">
          <w:rPr>
            <w:rStyle w:val="Hyperlink"/>
            <w:rFonts w:ascii="FrankRuehl" w:hAnsi="FrankRuehl" w:cs="FrankRuehl"/>
            <w:u w:val="none"/>
            <w:rtl/>
          </w:rPr>
          <w:t>ד</w:t>
        </w:r>
      </w:hyperlink>
      <w:r w:rsidRPr="00626633">
        <w:rPr>
          <w:rFonts w:ascii="FrankRuehl" w:hAnsi="FrankRuehl" w:cs="FrankRuehl"/>
          <w:color w:val="0000FF"/>
          <w:rtl/>
        </w:rPr>
        <w:t xml:space="preserve">, </w:t>
      </w:r>
      <w:hyperlink r:id="rId13" w:history="1">
        <w:r w:rsidRPr="00626633">
          <w:rPr>
            <w:rStyle w:val="Hyperlink"/>
            <w:rFonts w:ascii="FrankRuehl" w:hAnsi="FrankRuehl" w:cs="FrankRuehl"/>
            <w:u w:val="none"/>
          </w:rPr>
          <w:t>40</w:t>
        </w:r>
        <w:r w:rsidRPr="00626633">
          <w:rPr>
            <w:rStyle w:val="Hyperlink"/>
            <w:rFonts w:ascii="FrankRuehl" w:hAnsi="FrankRuehl" w:cs="FrankRuehl"/>
            <w:u w:val="none"/>
            <w:rtl/>
          </w:rPr>
          <w:t>ד</w:t>
        </w:r>
      </w:hyperlink>
      <w:r w:rsidRPr="00626633">
        <w:rPr>
          <w:rFonts w:ascii="FrankRuehl" w:hAnsi="FrankRuehl" w:cs="FrankRuehl"/>
          <w:color w:val="0000FF"/>
          <w:rtl/>
        </w:rPr>
        <w:t xml:space="preserve">(א), </w:t>
      </w:r>
      <w:hyperlink r:id="rId14" w:history="1">
        <w:r w:rsidRPr="00626633">
          <w:rPr>
            <w:rStyle w:val="Hyperlink"/>
            <w:rFonts w:ascii="FrankRuehl" w:hAnsi="FrankRuehl" w:cs="FrankRuehl"/>
            <w:u w:val="none"/>
          </w:rPr>
          <w:t>40</w:t>
        </w:r>
        <w:r w:rsidRPr="00626633">
          <w:rPr>
            <w:rStyle w:val="Hyperlink"/>
            <w:rFonts w:ascii="FrankRuehl" w:hAnsi="FrankRuehl" w:cs="FrankRuehl"/>
            <w:u w:val="none"/>
            <w:rtl/>
          </w:rPr>
          <w:t>ד</w:t>
        </w:r>
      </w:hyperlink>
      <w:r w:rsidRPr="00626633">
        <w:rPr>
          <w:rFonts w:ascii="FrankRuehl" w:hAnsi="FrankRuehl" w:cs="FrankRuehl"/>
          <w:color w:val="0000FF"/>
          <w:rtl/>
        </w:rPr>
        <w:t>(ב)</w:t>
      </w:r>
    </w:p>
    <w:p w14:paraId="6221091E" w14:textId="77777777" w:rsidR="00F84F73" w:rsidRPr="00626633" w:rsidRDefault="00F84F73" w:rsidP="00626633">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84F73" w14:paraId="68F95A38" w14:textId="77777777" w:rsidTr="00F84F73">
        <w:trPr>
          <w:trHeight w:val="355"/>
          <w:jc w:val="center"/>
        </w:trPr>
        <w:tc>
          <w:tcPr>
            <w:tcW w:w="8820" w:type="dxa"/>
            <w:tcBorders>
              <w:top w:val="nil"/>
              <w:left w:val="nil"/>
              <w:bottom w:val="nil"/>
              <w:right w:val="nil"/>
            </w:tcBorders>
            <w:shd w:val="clear" w:color="auto" w:fill="auto"/>
          </w:tcPr>
          <w:p w14:paraId="2867BC9C" w14:textId="77777777" w:rsidR="00A01EB4" w:rsidRPr="00A01EB4" w:rsidRDefault="00A01EB4" w:rsidP="00A01EB4">
            <w:pPr>
              <w:jc w:val="center"/>
              <w:rPr>
                <w:rFonts w:ascii="Arial" w:hAnsi="Arial"/>
                <w:b/>
                <w:bCs/>
                <w:sz w:val="28"/>
                <w:szCs w:val="28"/>
                <w:u w:val="single"/>
                <w:rtl/>
              </w:rPr>
            </w:pPr>
            <w:bookmarkStart w:id="5" w:name="PsakDin" w:colFirst="0" w:colLast="0"/>
            <w:bookmarkEnd w:id="0"/>
            <w:r w:rsidRPr="00A01EB4">
              <w:rPr>
                <w:rFonts w:ascii="Arial" w:hAnsi="Arial"/>
                <w:b/>
                <w:bCs/>
                <w:sz w:val="28"/>
                <w:szCs w:val="28"/>
                <w:u w:val="single"/>
                <w:rtl/>
              </w:rPr>
              <w:t>גזר דין</w:t>
            </w:r>
          </w:p>
          <w:p w14:paraId="2EBB780D" w14:textId="77777777" w:rsidR="00F84F73" w:rsidRPr="00A01EB4" w:rsidRDefault="00F84F73" w:rsidP="00A01EB4">
            <w:pPr>
              <w:jc w:val="center"/>
              <w:rPr>
                <w:rFonts w:ascii="Arial" w:hAnsi="Arial"/>
                <w:bCs/>
                <w:sz w:val="28"/>
                <w:szCs w:val="28"/>
                <w:u w:val="single"/>
                <w:rtl/>
              </w:rPr>
            </w:pPr>
          </w:p>
        </w:tc>
      </w:tr>
      <w:bookmarkEnd w:id="5"/>
    </w:tbl>
    <w:p w14:paraId="41070BD5" w14:textId="77777777" w:rsidR="00F84F73" w:rsidRPr="00B05847" w:rsidRDefault="00F84F73" w:rsidP="00F84F73">
      <w:pPr>
        <w:rPr>
          <w:rFonts w:ascii="Arial" w:hAnsi="Arial"/>
          <w:rtl/>
        </w:rPr>
      </w:pPr>
    </w:p>
    <w:p w14:paraId="465DBD06" w14:textId="77777777" w:rsidR="00F84F73" w:rsidRDefault="00F84F73" w:rsidP="00F84F73">
      <w:pPr>
        <w:spacing w:line="360" w:lineRule="auto"/>
        <w:jc w:val="both"/>
        <w:rPr>
          <w:rFonts w:ascii="David" w:hAnsi="David"/>
          <w:b/>
          <w:bCs/>
          <w:rtl/>
        </w:rPr>
      </w:pPr>
      <w:r>
        <w:rPr>
          <w:rFonts w:ascii="David" w:hAnsi="David"/>
          <w:b/>
          <w:bCs/>
          <w:rtl/>
        </w:rPr>
        <w:t>כתב האישום והסדר הטיעון</w:t>
      </w:r>
    </w:p>
    <w:p w14:paraId="1529766F" w14:textId="77777777" w:rsidR="00F84F73" w:rsidRDefault="00F84F73" w:rsidP="00F84F73">
      <w:pPr>
        <w:pStyle w:val="ListParagraph"/>
        <w:numPr>
          <w:ilvl w:val="0"/>
          <w:numId w:val="1"/>
        </w:numPr>
        <w:spacing w:line="360" w:lineRule="auto"/>
        <w:ind w:left="368"/>
        <w:jc w:val="both"/>
        <w:rPr>
          <w:rFonts w:ascii="David" w:hAnsi="David" w:cs="David"/>
          <w:sz w:val="24"/>
          <w:szCs w:val="24"/>
          <w:rtl/>
        </w:rPr>
      </w:pPr>
      <w:bookmarkStart w:id="6" w:name="ABSTRACT_START"/>
      <w:bookmarkEnd w:id="6"/>
      <w:r>
        <w:rPr>
          <w:rFonts w:ascii="David" w:hAnsi="David" w:cs="David"/>
          <w:sz w:val="24"/>
          <w:szCs w:val="24"/>
          <w:rtl/>
        </w:rPr>
        <w:t xml:space="preserve">הנאשם, יליד 1997, הורשע על פי הודאתו ובמסגרת הסדר טיעון בעבירה של </w:t>
      </w:r>
      <w:r>
        <w:rPr>
          <w:rFonts w:ascii="David" w:hAnsi="David" w:cs="David"/>
          <w:b/>
          <w:bCs/>
          <w:sz w:val="24"/>
          <w:szCs w:val="24"/>
          <w:rtl/>
        </w:rPr>
        <w:t>החזקת סם מסוכן שלא לצריכה עצמית</w:t>
      </w:r>
      <w:r>
        <w:rPr>
          <w:rFonts w:ascii="David" w:hAnsi="David" w:cs="David"/>
          <w:sz w:val="24"/>
          <w:szCs w:val="24"/>
          <w:rtl/>
        </w:rPr>
        <w:t xml:space="preserve"> לפי </w:t>
      </w:r>
      <w:hyperlink r:id="rId15" w:history="1">
        <w:r w:rsidR="00626633" w:rsidRPr="00626633">
          <w:rPr>
            <w:rStyle w:val="Hyperlink"/>
            <w:rFonts w:ascii="David" w:hAnsi="David" w:cs="David"/>
            <w:color w:val="0000FF"/>
            <w:sz w:val="24"/>
            <w:szCs w:val="24"/>
            <w:rtl/>
          </w:rPr>
          <w:t>סעיפים 7(א)</w:t>
        </w:r>
      </w:hyperlink>
      <w:r>
        <w:rPr>
          <w:rFonts w:ascii="David" w:hAnsi="David" w:cs="David"/>
          <w:sz w:val="24"/>
          <w:szCs w:val="24"/>
          <w:rtl/>
        </w:rPr>
        <w:t xml:space="preserve"> ו-</w:t>
      </w:r>
      <w:hyperlink r:id="rId16" w:history="1">
        <w:r w:rsidR="00626633" w:rsidRPr="00626633">
          <w:rPr>
            <w:rStyle w:val="Hyperlink"/>
            <w:rFonts w:ascii="David" w:hAnsi="David" w:cs="David"/>
            <w:color w:val="0000FF"/>
            <w:sz w:val="24"/>
            <w:szCs w:val="24"/>
            <w:rtl/>
          </w:rPr>
          <w:t>7(ג)</w:t>
        </w:r>
      </w:hyperlink>
      <w:r>
        <w:rPr>
          <w:rFonts w:ascii="David" w:hAnsi="David" w:cs="David"/>
          <w:sz w:val="24"/>
          <w:szCs w:val="24"/>
          <w:rtl/>
        </w:rPr>
        <w:t xml:space="preserve"> רישא ל</w:t>
      </w:r>
      <w:hyperlink r:id="rId17" w:history="1">
        <w:r w:rsidR="00A01EB4" w:rsidRPr="00A01EB4">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ובעבירה של </w:t>
      </w:r>
      <w:r>
        <w:rPr>
          <w:rFonts w:ascii="David" w:hAnsi="David" w:cs="David"/>
          <w:b/>
          <w:bCs/>
          <w:sz w:val="24"/>
          <w:szCs w:val="24"/>
          <w:rtl/>
        </w:rPr>
        <w:t>החזקת כלים להכנת וצריכת סם מסוכן</w:t>
      </w:r>
      <w:r>
        <w:rPr>
          <w:rFonts w:ascii="David" w:hAnsi="David" w:cs="David"/>
          <w:sz w:val="24"/>
          <w:szCs w:val="24"/>
          <w:rtl/>
        </w:rPr>
        <w:t xml:space="preserve"> לפי </w:t>
      </w:r>
      <w:hyperlink r:id="rId18" w:history="1">
        <w:r w:rsidR="00626633" w:rsidRPr="00626633">
          <w:rPr>
            <w:rStyle w:val="Hyperlink"/>
            <w:rFonts w:ascii="David" w:hAnsi="David" w:cs="David"/>
            <w:color w:val="0000FF"/>
            <w:sz w:val="24"/>
            <w:szCs w:val="24"/>
            <w:rtl/>
          </w:rPr>
          <w:t>סעיף 10</w:t>
        </w:r>
      </w:hyperlink>
      <w:r>
        <w:rPr>
          <w:rFonts w:ascii="David" w:hAnsi="David" w:cs="David"/>
          <w:sz w:val="24"/>
          <w:szCs w:val="24"/>
          <w:rtl/>
        </w:rPr>
        <w:t xml:space="preserve"> רישא לפקודה.</w:t>
      </w:r>
    </w:p>
    <w:p w14:paraId="72B13F56" w14:textId="77777777" w:rsidR="00F84F73" w:rsidRDefault="00F84F73" w:rsidP="00F84F73">
      <w:pPr>
        <w:pStyle w:val="ListParagraph"/>
        <w:spacing w:line="360" w:lineRule="auto"/>
        <w:ind w:left="368"/>
        <w:jc w:val="both"/>
        <w:rPr>
          <w:rFonts w:ascii="David" w:hAnsi="David" w:cs="David"/>
          <w:sz w:val="24"/>
          <w:szCs w:val="24"/>
        </w:rPr>
      </w:pPr>
      <w:r>
        <w:rPr>
          <w:rFonts w:ascii="David" w:hAnsi="David" w:cs="David"/>
          <w:sz w:val="24"/>
          <w:szCs w:val="24"/>
          <w:rtl/>
        </w:rPr>
        <w:t>על פי עובדות כתב האישום, ביום 14.1.24 בשעה 14:30, החזיק הנאשם בסלון דירת מגוריו בבת-ים, סמים מסוכנים בכמות שאיננה לצריכה עצמית, כאשר הם מחולקים ל-3 שקיות:</w:t>
      </w:r>
    </w:p>
    <w:p w14:paraId="14D7BD3B" w14:textId="77777777" w:rsidR="00F84F73" w:rsidRDefault="00F84F73" w:rsidP="00F84F73">
      <w:pPr>
        <w:pStyle w:val="ListParagraph"/>
        <w:spacing w:line="360" w:lineRule="auto"/>
        <w:ind w:left="368"/>
        <w:jc w:val="both"/>
        <w:rPr>
          <w:rFonts w:ascii="David" w:hAnsi="David" w:cs="David"/>
          <w:sz w:val="24"/>
          <w:szCs w:val="24"/>
          <w:rtl/>
        </w:rPr>
      </w:pPr>
      <w:r>
        <w:rPr>
          <w:rFonts w:ascii="David" w:hAnsi="David" w:cs="David"/>
          <w:sz w:val="24"/>
          <w:szCs w:val="24"/>
          <w:rtl/>
        </w:rPr>
        <w:t xml:space="preserve">בשקית הראשונה סם מסוג קוקאין במשקל 485.085 גרם נטו, </w:t>
      </w:r>
    </w:p>
    <w:p w14:paraId="338344FE" w14:textId="77777777" w:rsidR="00F84F73" w:rsidRDefault="00F84F73" w:rsidP="00F84F73">
      <w:pPr>
        <w:pStyle w:val="ListParagraph"/>
        <w:spacing w:line="360" w:lineRule="auto"/>
        <w:ind w:left="368"/>
        <w:jc w:val="both"/>
        <w:rPr>
          <w:rFonts w:ascii="David" w:hAnsi="David" w:cs="David"/>
          <w:sz w:val="24"/>
          <w:szCs w:val="24"/>
          <w:rtl/>
        </w:rPr>
      </w:pPr>
      <w:r>
        <w:rPr>
          <w:rFonts w:ascii="David" w:hAnsi="David" w:cs="David"/>
          <w:sz w:val="24"/>
          <w:szCs w:val="24"/>
          <w:rtl/>
        </w:rPr>
        <w:t>בשקית השניה סם מסוכן מסוג קנבוס במשקל 386.26 גרם נטו,</w:t>
      </w:r>
    </w:p>
    <w:p w14:paraId="4DFAA5D4" w14:textId="77777777" w:rsidR="00F84F73" w:rsidRDefault="00F84F73" w:rsidP="00F84F73">
      <w:pPr>
        <w:pStyle w:val="ListParagraph"/>
        <w:spacing w:line="360" w:lineRule="auto"/>
        <w:ind w:left="368"/>
        <w:jc w:val="both"/>
        <w:rPr>
          <w:rFonts w:ascii="David" w:hAnsi="David" w:cs="David"/>
          <w:sz w:val="24"/>
          <w:szCs w:val="24"/>
          <w:rtl/>
        </w:rPr>
      </w:pPr>
      <w:r>
        <w:rPr>
          <w:rFonts w:ascii="David" w:hAnsi="David" w:cs="David"/>
          <w:sz w:val="24"/>
          <w:szCs w:val="24"/>
          <w:rtl/>
        </w:rPr>
        <w:t xml:space="preserve">ובשקית השלישית סם מסוג חשיש במשקל 2.256 ק"ג נטו. </w:t>
      </w:r>
    </w:p>
    <w:p w14:paraId="23B8A2E3" w14:textId="77777777" w:rsidR="00F84F73" w:rsidRDefault="00F84F73" w:rsidP="00F84F73">
      <w:pPr>
        <w:pStyle w:val="ListParagraph"/>
        <w:spacing w:line="360" w:lineRule="auto"/>
        <w:ind w:left="368"/>
        <w:jc w:val="both"/>
        <w:rPr>
          <w:rFonts w:ascii="David" w:hAnsi="David" w:cs="David"/>
          <w:sz w:val="24"/>
          <w:szCs w:val="24"/>
          <w:rtl/>
        </w:rPr>
      </w:pPr>
      <w:bookmarkStart w:id="7" w:name="ABSTRACT_END"/>
      <w:bookmarkEnd w:id="7"/>
      <w:r>
        <w:rPr>
          <w:rFonts w:ascii="David" w:hAnsi="David" w:cs="David"/>
          <w:sz w:val="24"/>
          <w:szCs w:val="24"/>
          <w:rtl/>
        </w:rPr>
        <w:t>בנוסף לסמים נתפסו בסלון הדירה 2 משקלים דיגיטליים ובחדר השינה נתפס כסף מזומן בסך 5,720 ₪.</w:t>
      </w:r>
    </w:p>
    <w:p w14:paraId="7D4DB561" w14:textId="77777777" w:rsidR="00F84F73" w:rsidRDefault="00F84F73" w:rsidP="00F84F73">
      <w:pPr>
        <w:pStyle w:val="ListParagraph"/>
        <w:numPr>
          <w:ilvl w:val="0"/>
          <w:numId w:val="1"/>
        </w:numPr>
        <w:spacing w:line="360" w:lineRule="auto"/>
        <w:ind w:left="368"/>
        <w:jc w:val="both"/>
        <w:rPr>
          <w:rFonts w:ascii="David" w:hAnsi="David" w:cs="David"/>
          <w:sz w:val="24"/>
          <w:szCs w:val="24"/>
        </w:rPr>
      </w:pPr>
      <w:r>
        <w:rPr>
          <w:rFonts w:ascii="David" w:hAnsi="David" w:cs="David"/>
          <w:sz w:val="24"/>
          <w:szCs w:val="24"/>
          <w:rtl/>
        </w:rPr>
        <w:t xml:space="preserve">ביום בו היו אמורות להישמע ראיות בתיק, הגיעו הצדדים להסדר טיעון לפיו המאשימה תעתור להשית על הנאשם 48 חודשי מאסר בפועל (בנוסף למאסר על תנאי, קנס וחילוט הכספים שנתפסו בדירה) ואילו הסנגור יהיה חופשי בטיעוניו. </w:t>
      </w:r>
    </w:p>
    <w:p w14:paraId="29343F0E" w14:textId="77777777" w:rsidR="00F84F73" w:rsidRDefault="00F84F73" w:rsidP="00F84F73">
      <w:pPr>
        <w:pStyle w:val="ListParagraph"/>
        <w:numPr>
          <w:ilvl w:val="0"/>
          <w:numId w:val="1"/>
        </w:numPr>
        <w:spacing w:line="360" w:lineRule="auto"/>
        <w:ind w:left="368"/>
        <w:jc w:val="both"/>
        <w:rPr>
          <w:rFonts w:ascii="David" w:hAnsi="David" w:cs="David"/>
          <w:sz w:val="24"/>
          <w:szCs w:val="24"/>
        </w:rPr>
      </w:pPr>
      <w:r>
        <w:rPr>
          <w:rFonts w:ascii="David" w:hAnsi="David" w:cs="David"/>
          <w:sz w:val="24"/>
          <w:szCs w:val="24"/>
          <w:rtl/>
        </w:rPr>
        <w:t xml:space="preserve">טרם טיעונים לעונש לבקשת הנאשם הופנה לשירות המבחן לעריכת תסקיר. </w:t>
      </w:r>
    </w:p>
    <w:p w14:paraId="5463B674" w14:textId="77777777" w:rsidR="00F84F73" w:rsidRDefault="00F84F73" w:rsidP="00F84F73">
      <w:pPr>
        <w:spacing w:line="360" w:lineRule="auto"/>
        <w:jc w:val="both"/>
        <w:rPr>
          <w:rFonts w:ascii="David" w:hAnsi="David"/>
          <w:b/>
          <w:bCs/>
        </w:rPr>
      </w:pPr>
      <w:r>
        <w:rPr>
          <w:rFonts w:ascii="David" w:hAnsi="David"/>
          <w:b/>
          <w:bCs/>
          <w:rtl/>
        </w:rPr>
        <w:lastRenderedPageBreak/>
        <w:t>תסקיר שירות המבחן ודו"ח טיפול מרכז "התחלה חדשה"</w:t>
      </w:r>
    </w:p>
    <w:p w14:paraId="105B6D17" w14:textId="77777777" w:rsidR="00F84F73" w:rsidRDefault="00F84F73" w:rsidP="00F84F73">
      <w:pPr>
        <w:pStyle w:val="ListParagraph"/>
        <w:numPr>
          <w:ilvl w:val="0"/>
          <w:numId w:val="1"/>
        </w:numPr>
        <w:spacing w:line="360" w:lineRule="auto"/>
        <w:ind w:left="368"/>
        <w:jc w:val="both"/>
        <w:rPr>
          <w:rFonts w:ascii="David" w:hAnsi="David" w:cs="David"/>
          <w:sz w:val="24"/>
          <w:szCs w:val="24"/>
          <w:rtl/>
        </w:rPr>
      </w:pPr>
      <w:r>
        <w:rPr>
          <w:rFonts w:ascii="David" w:hAnsi="David" w:cs="David"/>
          <w:sz w:val="24"/>
          <w:szCs w:val="24"/>
          <w:u w:val="single"/>
          <w:rtl/>
        </w:rPr>
        <w:t>בתסקיר מיום 20.2.25</w:t>
      </w:r>
      <w:r>
        <w:rPr>
          <w:rFonts w:ascii="David" w:hAnsi="David" w:cs="David"/>
          <w:sz w:val="24"/>
          <w:szCs w:val="24"/>
          <w:rtl/>
        </w:rPr>
        <w:t xml:space="preserve"> התייחס שירות המבחן לנסיבותיו האישיות של הנאשם, בן 27 נשוי ואב לחמישה ילדים קטנים. הנאשם שיתף כי נחשף בילדותו לחומרים פסיכואקטיביים ולהתנהלות עבריינית הקשורה לסמים אצל בני משפחתו. נשר מלימודיו לאחר 8 שנות לימוד ומאז עסוק בפרנסת משפחתו, תחילה בעבודות מזדמנות ולאחר מכן בעסק המשפחתי למכירת פירות וירקות. לפני שלוש שנים העסק הועבר לבעלותו. הנאשם תיאר קושי בניהול העסק וצבירת חובות לגורמים מוסדיים ולגורמים פרטיים. </w:t>
      </w:r>
    </w:p>
    <w:p w14:paraId="1E74C2E1" w14:textId="77777777" w:rsidR="00F84F73" w:rsidRDefault="00F84F73" w:rsidP="00F84F73">
      <w:pPr>
        <w:pStyle w:val="ListParagraph"/>
        <w:spacing w:line="360" w:lineRule="auto"/>
        <w:ind w:left="368"/>
        <w:jc w:val="both"/>
        <w:rPr>
          <w:rFonts w:ascii="David" w:hAnsi="David" w:cs="David"/>
          <w:sz w:val="24"/>
          <w:szCs w:val="24"/>
        </w:rPr>
      </w:pPr>
      <w:r>
        <w:rPr>
          <w:rFonts w:ascii="David" w:hAnsi="David" w:cs="David"/>
          <w:sz w:val="24"/>
          <w:szCs w:val="24"/>
          <w:rtl/>
        </w:rPr>
        <w:t xml:space="preserve">הנאשם שלל שימוש בחומרים משני תודעה ובדיקה אחת לגילוי שרידי סם שמסר נמצאה נקיה. </w:t>
      </w:r>
    </w:p>
    <w:p w14:paraId="0064FC12" w14:textId="77777777" w:rsidR="00F84F73" w:rsidRDefault="00F84F73" w:rsidP="00F84F73">
      <w:pPr>
        <w:pStyle w:val="ListParagraph"/>
        <w:spacing w:line="360" w:lineRule="auto"/>
        <w:ind w:left="368"/>
        <w:jc w:val="both"/>
        <w:rPr>
          <w:rFonts w:ascii="David" w:hAnsi="David" w:cs="David"/>
          <w:sz w:val="24"/>
          <w:szCs w:val="24"/>
          <w:rtl/>
        </w:rPr>
      </w:pPr>
      <w:r>
        <w:rPr>
          <w:rFonts w:ascii="David" w:hAnsi="David" w:cs="David"/>
          <w:sz w:val="24"/>
          <w:szCs w:val="24"/>
          <w:rtl/>
        </w:rPr>
        <w:t xml:space="preserve">הנאשם נעדר הרשעות קודמות. ביחס לעבירה הנאשם קיבל אחריות וטען שביצע את העבירה נוכח הסתבכותו הכלכלית ולשם רווח כספי. הנאשם תיאר הבנה לחומרת מעשיו ולפסול בהתנהגותו ושיתף כי בחר בדרך שולית מאחר והיה נעדר גורמי תמיכה ובשל הקושי לבקש עזרה מקרוביו. </w:t>
      </w:r>
    </w:p>
    <w:p w14:paraId="3D26F935" w14:textId="77777777" w:rsidR="00F84F73" w:rsidRDefault="00F84F73" w:rsidP="00F84F73">
      <w:pPr>
        <w:pStyle w:val="ListParagraph"/>
        <w:spacing w:line="360" w:lineRule="auto"/>
        <w:ind w:left="368"/>
        <w:jc w:val="both"/>
        <w:rPr>
          <w:rFonts w:ascii="David" w:hAnsi="David" w:cs="David"/>
          <w:sz w:val="24"/>
          <w:szCs w:val="24"/>
          <w:rtl/>
        </w:rPr>
      </w:pPr>
      <w:r>
        <w:rPr>
          <w:rFonts w:ascii="David" w:hAnsi="David" w:cs="David"/>
          <w:sz w:val="24"/>
          <w:szCs w:val="24"/>
          <w:rtl/>
        </w:rPr>
        <w:t xml:space="preserve">הנאשם מצוי בטיפול במסגרת 'התחלה חדשה' מאז נובמבר 2024. בשיחה עם גורמי הטיפול דווח כי הנאשם מגיע למפגשים אחת לשבוע, משתף פעולה ומתייצב לכלל המפגשים ונתרם מהטיפול. צוין כי הנאשם מגלה הבנה, הפנמה והפקת לקחים מהפסול בהתנהלותו. הנאשם הביע נכונות להמשיך בהליך הטיפולי עד סיומו. </w:t>
      </w:r>
    </w:p>
    <w:p w14:paraId="1B3348B7" w14:textId="77777777" w:rsidR="00F84F73" w:rsidRDefault="00F84F73" w:rsidP="00F84F73">
      <w:pPr>
        <w:pStyle w:val="ListParagraph"/>
        <w:spacing w:line="360" w:lineRule="auto"/>
        <w:ind w:left="368"/>
        <w:jc w:val="both"/>
        <w:rPr>
          <w:rFonts w:ascii="David" w:hAnsi="David" w:cs="David"/>
          <w:sz w:val="24"/>
          <w:szCs w:val="24"/>
          <w:rtl/>
        </w:rPr>
      </w:pPr>
      <w:r>
        <w:rPr>
          <w:rFonts w:ascii="David" w:hAnsi="David" w:cs="David"/>
          <w:sz w:val="24"/>
          <w:szCs w:val="24"/>
          <w:rtl/>
        </w:rPr>
        <w:t>שירות המבחן התרשם כי על רקע מצבו הכלכלי, חבר לחברה שולית וביצע את העבירה תוך שהתקשה להתנהל באופן שקול. כן התרשמו מכך שנמנע לשתף את בני משפחתו בקשייו מתוך רצון להציג בפניהם מצג חיובי של תפקוד. כיום הנאשם מבין את הפסול בהתנהלותו ומגלה רצון לעשות שינוי. בין גורמי סיכוי לשיקום ציינה קצינת המבחן  העדר עבר, מוטיבציה, יכולתו תפקוד טובה, שאיפות נורמטיביות והרתעה בשל מעצרו. בין גורמי הסיכון ציינה את חומרת העבירות, חשיפה לסביבה קרובה בעייתית וקשיים להתנהל באופן שקול. כן התרשמה מקושי להציב גבולות פנימיים ומיכולת הסתרה מול קרוביו. לסיכום המליץ שירות המבחן להסתפק בעונש מאסר לתקופה שניתן לרצות בעבודות שירות, לצד צו מבחן למשך שנה לשם המשך הליך טיפולי ומעקב אחר שימוש בסמים.</w:t>
      </w:r>
    </w:p>
    <w:p w14:paraId="197949E8" w14:textId="77777777" w:rsidR="00F84F73" w:rsidRDefault="00F84F73" w:rsidP="00F84F73">
      <w:pPr>
        <w:pStyle w:val="ListParagraph"/>
        <w:numPr>
          <w:ilvl w:val="0"/>
          <w:numId w:val="1"/>
        </w:numPr>
        <w:spacing w:line="360" w:lineRule="auto"/>
        <w:ind w:left="368"/>
        <w:jc w:val="both"/>
        <w:rPr>
          <w:rFonts w:ascii="David" w:hAnsi="David" w:cs="David"/>
          <w:sz w:val="24"/>
          <w:szCs w:val="24"/>
          <w:rtl/>
        </w:rPr>
      </w:pPr>
      <w:r>
        <w:rPr>
          <w:rFonts w:ascii="David" w:hAnsi="David" w:cs="David"/>
          <w:sz w:val="24"/>
          <w:szCs w:val="24"/>
          <w:rtl/>
        </w:rPr>
        <w:t xml:space="preserve">בדוח טיפול של מרכז 'התחלה חדשה' מיום 5.3.25 סקירה מפורטת של נסיבותיו האישיות של הנאשם, הרקע בו גדל וההליך הטיפולי שעבר עד כה במסגרתם. הבודקת לא התרשמה מקיום דפוסים עברייניים אלא מהפעלת שיקול דעת מוטעה ללא בחינה. הנאשם שולב בטיפול קבוצתי והשתתף עד כה ב- 21 מפגשים. במסגרת הטיפול עלו גורמי רקע לעבירה ובהם התמודדות עם אב מכור לסמים וחשיפה בילדותו לארועים בהם הגיעו זרים לגבות חובות מאביו. הטריגר המידי לביצוע העבירה היה  כניסה לחובות כספיים בעת שהמכירות בדוכן שהפעיל ירדו עד כדי הופסקו בעקבות מלחמת 'חברות ברזל'. הנאשם שיתף בתחושות חרדה ועיוותי חשיבה למשל 'זה חד פעמי' ו- 'אני רק שומר על זה'. גורמי הטיפול העריכו פרוגנוזה חיובית והמליצו לאמץ את המלצות שירות המבחן והטלת ענישה שתאפשר המשך טיפל מיטבי.  </w:t>
      </w:r>
    </w:p>
    <w:p w14:paraId="5D151050" w14:textId="77777777" w:rsidR="00F84F73" w:rsidRDefault="00F84F73" w:rsidP="00F84F73">
      <w:pPr>
        <w:spacing w:line="360" w:lineRule="auto"/>
        <w:jc w:val="both"/>
        <w:rPr>
          <w:rFonts w:ascii="David" w:hAnsi="David"/>
          <w:b/>
          <w:bCs/>
        </w:rPr>
      </w:pPr>
      <w:r>
        <w:rPr>
          <w:rFonts w:ascii="David" w:hAnsi="David"/>
          <w:b/>
          <w:bCs/>
          <w:rtl/>
        </w:rPr>
        <w:t>טיעוני הצדדים</w:t>
      </w:r>
    </w:p>
    <w:p w14:paraId="0C1FAE66" w14:textId="77777777" w:rsidR="00F84F73" w:rsidRDefault="00F84F73" w:rsidP="00F84F73">
      <w:pPr>
        <w:pStyle w:val="ListParagraph"/>
        <w:numPr>
          <w:ilvl w:val="0"/>
          <w:numId w:val="1"/>
        </w:numPr>
        <w:spacing w:line="360" w:lineRule="auto"/>
        <w:ind w:left="368"/>
        <w:jc w:val="both"/>
        <w:rPr>
          <w:rFonts w:ascii="David" w:hAnsi="David" w:cs="David"/>
          <w:sz w:val="24"/>
          <w:szCs w:val="24"/>
          <w:rtl/>
        </w:rPr>
      </w:pPr>
      <w:r>
        <w:rPr>
          <w:rFonts w:ascii="David" w:hAnsi="David" w:cs="David"/>
          <w:b/>
          <w:bCs/>
          <w:sz w:val="24"/>
          <w:szCs w:val="24"/>
          <w:rtl/>
        </w:rPr>
        <w:lastRenderedPageBreak/>
        <w:t xml:space="preserve">ב"כ המאשימה </w:t>
      </w:r>
      <w:r>
        <w:rPr>
          <w:rFonts w:ascii="David" w:hAnsi="David" w:cs="David"/>
          <w:sz w:val="24"/>
          <w:szCs w:val="24"/>
          <w:rtl/>
        </w:rPr>
        <w:t>התייחסה בטיעוניה לכמויות הסמים, לסוגים השונים ולהמצאות משקלים אלקטרוניים. תחילה טענה ב"כ המאשימה כי מתחם העונש ההולם הוא בין 3 ל- 5 שנים וכי יש למקם את הנאשם בשליש התחתון של המתחם אך בהמשך טענה כי המתחם המתאים הוא בין 4 לבין 8 שנים. לעמדת המאשימה העונש המתאים הוא 4 שנות מאסר בפועל. לתמיכה בעמדתה הגישה פסיקה והדגישה כי בפסיקה נקבעו מתחמים שמתחילים ב- 3 שנות מאסר בתיקים בהם כמויות הסמים קטנות יותר או שלא מדובר בסוגי סם שונים. בנוסף טענה כי המלצת שירות המבחן אינה הולמת את הפסיקה והנסיבות. לסיכום עתרה לגזירת 48 חודשי מאסר, מאסר על תנאי, קנס וחילוט סכום הכסף המזומן שנתפס.</w:t>
      </w:r>
    </w:p>
    <w:p w14:paraId="367230A8" w14:textId="77777777" w:rsidR="00F84F73" w:rsidRDefault="00F84F73" w:rsidP="00F84F73">
      <w:pPr>
        <w:pStyle w:val="ListParagraph"/>
        <w:numPr>
          <w:ilvl w:val="0"/>
          <w:numId w:val="1"/>
        </w:numPr>
        <w:spacing w:line="360" w:lineRule="auto"/>
        <w:ind w:left="368"/>
        <w:jc w:val="both"/>
        <w:rPr>
          <w:rFonts w:ascii="David" w:hAnsi="David" w:cs="David"/>
          <w:b/>
          <w:bCs/>
          <w:sz w:val="24"/>
          <w:szCs w:val="24"/>
        </w:rPr>
      </w:pPr>
      <w:r>
        <w:rPr>
          <w:rFonts w:ascii="David" w:hAnsi="David" w:cs="David"/>
          <w:b/>
          <w:bCs/>
          <w:sz w:val="24"/>
          <w:szCs w:val="24"/>
          <w:rtl/>
        </w:rPr>
        <w:t xml:space="preserve">ב"כ הנאשם </w:t>
      </w:r>
      <w:r>
        <w:rPr>
          <w:rFonts w:ascii="David" w:hAnsi="David" w:cs="David"/>
          <w:sz w:val="24"/>
          <w:szCs w:val="24"/>
          <w:rtl/>
        </w:rPr>
        <w:t>הדגיש כי הנאשם הודה בהליכים המקדמיים מבלי שנשמעו ראיות ומבלי שזכה לתמורה עונשית. בהודאתו חסך זמן שיפוטי וצורך בשמיעת עדים. לעמדת ההגנה בגזירת העונש יש לתת ביטוי לעידוד הודאות נאשמים. הסנגור התייחס לנסיבותיו האישיות של הנאשם, העדר הרשעות והעדר הסתבכויות מאז הוגש כתב האישום. הנאשם נישא בגיל 16.5 והוא אב לחמישה ילדים ואשתו בהריון. לכך הוסיף כי מעצרו של הנאשם לתקופה של כחודשיים זעזע אותו והיווה גורם מרתיע וכי לאחר שחרורו השתלב בטיפול ביוזמתו ומרצונו. הסנגור ביקש לתת ביטוי לתקופה הממושכת מאז מאי 2024 בה שהה הנאשם באיזוק אלקטרוני. לעמדת הסנגור מתחם העונש ההולם מתחיל ב- 18 חודשי מאסר. לחילופין טען כי גם אם יקבע מתחם מחמיר יותר, הרי שיש לחרוג ממנו מטעמי שיקום ולאמץ את המלצת שירות המבחן. לחילופי חילופין עתר לקיצור משך המאסר כך שיהיה קצר ככל שניתן.</w:t>
      </w:r>
    </w:p>
    <w:p w14:paraId="55C1804F" w14:textId="77777777" w:rsidR="00F84F73" w:rsidRDefault="00F84F73" w:rsidP="00F84F73">
      <w:pPr>
        <w:pStyle w:val="ListParagraph"/>
        <w:numPr>
          <w:ilvl w:val="0"/>
          <w:numId w:val="1"/>
        </w:numPr>
        <w:spacing w:line="360" w:lineRule="auto"/>
        <w:ind w:left="368"/>
        <w:jc w:val="both"/>
        <w:rPr>
          <w:rFonts w:ascii="David" w:hAnsi="David" w:cs="David"/>
          <w:b/>
          <w:bCs/>
          <w:sz w:val="24"/>
          <w:szCs w:val="24"/>
        </w:rPr>
      </w:pPr>
      <w:r>
        <w:rPr>
          <w:rFonts w:ascii="David" w:hAnsi="David" w:cs="David"/>
          <w:b/>
          <w:bCs/>
          <w:sz w:val="24"/>
          <w:szCs w:val="24"/>
          <w:rtl/>
        </w:rPr>
        <w:t xml:space="preserve">הנאשם </w:t>
      </w:r>
      <w:r>
        <w:rPr>
          <w:rFonts w:ascii="David" w:hAnsi="David" w:cs="David"/>
          <w:sz w:val="24"/>
          <w:szCs w:val="24"/>
          <w:rtl/>
        </w:rPr>
        <w:t>בדבריו הביע צער ובושה על העבירה. הנאשם קיבל על עצמו צורך בענישה ולצד זאת ביקש להתחשב בו ובכך שמדובר בעבירה ראשונה. הנאשם סיפר על הטיפול שעבר במסגרתו רכש דרכים אחרות לפעולה.</w:t>
      </w:r>
    </w:p>
    <w:p w14:paraId="7B644A63" w14:textId="77777777" w:rsidR="00F84F73" w:rsidRDefault="00F84F73" w:rsidP="00F84F73">
      <w:pPr>
        <w:spacing w:line="360" w:lineRule="auto"/>
        <w:jc w:val="both"/>
        <w:rPr>
          <w:rFonts w:ascii="David" w:hAnsi="David"/>
        </w:rPr>
      </w:pPr>
    </w:p>
    <w:p w14:paraId="5186A330" w14:textId="77777777" w:rsidR="00F84F73" w:rsidRDefault="00F84F73" w:rsidP="00F84F73">
      <w:pPr>
        <w:spacing w:line="360" w:lineRule="auto"/>
        <w:jc w:val="both"/>
        <w:rPr>
          <w:rFonts w:ascii="David" w:hAnsi="David"/>
          <w:b/>
          <w:bCs/>
          <w:rtl/>
        </w:rPr>
      </w:pPr>
      <w:r>
        <w:rPr>
          <w:rFonts w:ascii="David" w:hAnsi="David"/>
          <w:b/>
          <w:bCs/>
          <w:rtl/>
        </w:rPr>
        <w:t xml:space="preserve">דיון והכרעה </w:t>
      </w:r>
    </w:p>
    <w:p w14:paraId="352F3F95" w14:textId="77777777" w:rsidR="00F84F73" w:rsidRDefault="00F84F73" w:rsidP="00F84F73">
      <w:pPr>
        <w:pStyle w:val="ListParagraph"/>
        <w:numPr>
          <w:ilvl w:val="0"/>
          <w:numId w:val="1"/>
        </w:numPr>
        <w:spacing w:line="360" w:lineRule="auto"/>
        <w:ind w:left="368"/>
        <w:jc w:val="both"/>
        <w:rPr>
          <w:rFonts w:ascii="David" w:hAnsi="David" w:cs="David"/>
          <w:b/>
          <w:bCs/>
          <w:sz w:val="24"/>
          <w:szCs w:val="24"/>
          <w:rtl/>
        </w:rPr>
      </w:pPr>
      <w:r>
        <w:rPr>
          <w:rFonts w:ascii="David" w:hAnsi="David" w:cs="David"/>
          <w:b/>
          <w:bCs/>
          <w:sz w:val="24"/>
          <w:szCs w:val="24"/>
          <w:rtl/>
        </w:rPr>
        <w:t xml:space="preserve">הערכים המוגנים ונסיבות ביצוע העבירות – </w:t>
      </w:r>
      <w:r>
        <w:rPr>
          <w:rFonts w:ascii="David" w:hAnsi="David" w:cs="David"/>
          <w:sz w:val="24"/>
          <w:szCs w:val="24"/>
          <w:rtl/>
        </w:rPr>
        <w:t xml:space="preserve">אין צורך להכביר מילים אודות פגיעתם הרעה של הסמים וביתר שאת כשמדובר בסם קשה כמו קוקאין. החזקת כמויות גדולות של סמים קשים מגדילה את פוטנציאל ההפצה של סמים אלו ומגדילה סיכון למשתמשים ולחברה. במקרה שלפני כמויות הסם שנתפסו, העובדה שמדובר בסוגי סם שונים וכן העובדה שלצד הסמים נתפסו שני משקלים דיגיטליים, מתיישבים היטב עם פוטנציאל ממשי של הפצת סמים קשים ומגוונים ומצביעים על פגיעה של ממש בערכים המוגנים. על בית המשפט מוטל תפקיד במאבק נגד התפשטות נגע הסמים ועל פי רוב מדובר במשימה המבוצעת בדרך של הטלת ענישה הולמת. </w:t>
      </w:r>
      <w:r>
        <w:rPr>
          <w:rFonts w:ascii="David" w:hAnsi="David" w:cs="David"/>
          <w:color w:val="000000"/>
          <w:sz w:val="24"/>
          <w:szCs w:val="24"/>
          <w:rtl/>
        </w:rPr>
        <w:t xml:space="preserve">בכך נוטל בית המשפט חלק בניסיון רחב יותר שנועד לקטוע את מערך הפצת הסמים וצמצום התופעה. </w:t>
      </w:r>
      <w:r>
        <w:rPr>
          <w:rFonts w:ascii="David" w:hAnsi="David" w:cs="David"/>
          <w:sz w:val="24"/>
          <w:szCs w:val="24"/>
          <w:rtl/>
        </w:rPr>
        <w:t xml:space="preserve">לעניין זה יפים דברי כב' השופט אלרון </w:t>
      </w:r>
      <w:r>
        <w:rPr>
          <w:rFonts w:ascii="David" w:hAnsi="David" w:cs="David"/>
          <w:color w:val="000000"/>
          <w:sz w:val="24"/>
          <w:szCs w:val="24"/>
          <w:rtl/>
        </w:rPr>
        <w:t>ב</w:t>
      </w:r>
      <w:hyperlink r:id="rId19" w:history="1">
        <w:r>
          <w:rPr>
            <w:rStyle w:val="Hyperlink"/>
            <w:rFonts w:ascii="David" w:hAnsi="David" w:cs="David"/>
            <w:sz w:val="24"/>
            <w:szCs w:val="24"/>
            <w:rtl/>
          </w:rPr>
          <w:t>רע"פ 2986/21</w:t>
        </w:r>
        <w:r w:rsidR="00A01EB4">
          <w:rPr>
            <w:rStyle w:val="Hyperlink"/>
            <w:rFonts w:ascii="David" w:hAnsi="David" w:cs="David"/>
            <w:sz w:val="24"/>
            <w:szCs w:val="24"/>
            <w:rtl/>
          </w:rPr>
          <w:t xml:space="preserve"> </w:t>
        </w:r>
        <w:r>
          <w:rPr>
            <w:rStyle w:val="Hyperlink"/>
            <w:rFonts w:ascii="David" w:hAnsi="David" w:cs="David"/>
            <w:b/>
            <w:bCs/>
            <w:sz w:val="24"/>
            <w:szCs w:val="24"/>
            <w:rtl/>
          </w:rPr>
          <w:t>וסאם עיסאוי נ' מדינת ישראל</w:t>
        </w:r>
        <w:r w:rsidR="00A01EB4">
          <w:rPr>
            <w:rStyle w:val="Hyperlink"/>
            <w:rFonts w:ascii="David" w:hAnsi="David" w:cs="David"/>
            <w:sz w:val="24"/>
            <w:szCs w:val="24"/>
            <w:rtl/>
          </w:rPr>
          <w:t xml:space="preserve"> </w:t>
        </w:r>
        <w:r>
          <w:rPr>
            <w:rStyle w:val="Hyperlink"/>
            <w:rFonts w:ascii="David" w:hAnsi="David" w:cs="David"/>
            <w:sz w:val="24"/>
            <w:szCs w:val="24"/>
            <w:rtl/>
          </w:rPr>
          <w:t>(נבו 10.05.2021)‏</w:t>
        </w:r>
      </w:hyperlink>
      <w:r>
        <w:rPr>
          <w:rFonts w:ascii="David" w:hAnsi="David" w:cs="David"/>
          <w:color w:val="000000"/>
          <w:sz w:val="24"/>
          <w:szCs w:val="24"/>
          <w:rtl/>
        </w:rPr>
        <w:t>‏</w:t>
      </w:r>
      <w:r>
        <w:rPr>
          <w:rFonts w:ascii="David" w:hAnsi="David" w:cs="David"/>
          <w:b/>
          <w:bCs/>
          <w:color w:val="000000"/>
          <w:sz w:val="24"/>
          <w:szCs w:val="24"/>
          <w:rtl/>
        </w:rPr>
        <w:t xml:space="preserve">, </w:t>
      </w:r>
      <w:r>
        <w:rPr>
          <w:rFonts w:ascii="David" w:hAnsi="David" w:cs="David"/>
          <w:color w:val="000000"/>
          <w:sz w:val="24"/>
          <w:szCs w:val="24"/>
          <w:rtl/>
        </w:rPr>
        <w:t xml:space="preserve">שם נקבע כי "בית משפט זה הדגיש לא אחת את החומרה הרבה שיש לייחס לעבירות סמים מסוכנים, המצריכה ענישה משמעותית ומרתיעה", (ראו גם </w:t>
      </w:r>
      <w:hyperlink r:id="rId20" w:history="1">
        <w:r w:rsidR="00A01EB4" w:rsidRPr="00A01EB4">
          <w:rPr>
            <w:rFonts w:ascii="David" w:hAnsi="David" w:cs="David"/>
            <w:color w:val="0000FF"/>
            <w:sz w:val="24"/>
            <w:szCs w:val="24"/>
            <w:u w:val="single"/>
            <w:rtl/>
          </w:rPr>
          <w:t>רע"פ 8695/19</w:t>
        </w:r>
      </w:hyperlink>
      <w:r>
        <w:rPr>
          <w:rFonts w:ascii="David" w:hAnsi="David" w:cs="David"/>
          <w:color w:val="000000"/>
          <w:sz w:val="24"/>
          <w:szCs w:val="24"/>
          <w:rtl/>
        </w:rPr>
        <w:t xml:space="preserve"> </w:t>
      </w:r>
      <w:r>
        <w:rPr>
          <w:rFonts w:ascii="David" w:hAnsi="David" w:cs="David"/>
          <w:b/>
          <w:bCs/>
          <w:color w:val="000000"/>
          <w:sz w:val="24"/>
          <w:szCs w:val="24"/>
          <w:rtl/>
        </w:rPr>
        <w:t xml:space="preserve">פסו נ' מדינת ישראל </w:t>
      </w:r>
      <w:r>
        <w:rPr>
          <w:rFonts w:ascii="David" w:hAnsi="David" w:cs="David"/>
          <w:color w:val="000000"/>
          <w:sz w:val="24"/>
          <w:szCs w:val="24"/>
        </w:rPr>
        <w:t>(5.1.20)</w:t>
      </w:r>
      <w:r>
        <w:rPr>
          <w:rFonts w:ascii="David" w:hAnsi="David" w:cs="David"/>
          <w:color w:val="000000"/>
          <w:sz w:val="24"/>
          <w:szCs w:val="24"/>
          <w:rtl/>
        </w:rPr>
        <w:t xml:space="preserve">. </w:t>
      </w:r>
    </w:p>
    <w:p w14:paraId="70A6F41E" w14:textId="77777777" w:rsidR="00F84F73" w:rsidRDefault="00F84F73" w:rsidP="00F84F73">
      <w:pPr>
        <w:pStyle w:val="ListParagraph"/>
        <w:spacing w:line="360" w:lineRule="auto"/>
        <w:ind w:left="368"/>
        <w:jc w:val="both"/>
        <w:rPr>
          <w:rFonts w:ascii="David" w:hAnsi="David" w:cs="David"/>
          <w:b/>
          <w:bCs/>
          <w:sz w:val="24"/>
          <w:szCs w:val="24"/>
        </w:rPr>
      </w:pPr>
    </w:p>
    <w:p w14:paraId="4FF01D8E" w14:textId="77777777" w:rsidR="00F84F73" w:rsidRDefault="00F84F73" w:rsidP="00F84F73">
      <w:pPr>
        <w:pStyle w:val="ListParagraph"/>
        <w:numPr>
          <w:ilvl w:val="0"/>
          <w:numId w:val="1"/>
        </w:numPr>
        <w:spacing w:line="360" w:lineRule="auto"/>
        <w:ind w:left="368"/>
        <w:jc w:val="both"/>
        <w:rPr>
          <w:rFonts w:ascii="David" w:hAnsi="David" w:cs="David"/>
          <w:b/>
          <w:bCs/>
          <w:sz w:val="24"/>
          <w:szCs w:val="24"/>
        </w:rPr>
      </w:pPr>
      <w:r>
        <w:rPr>
          <w:rFonts w:ascii="David" w:hAnsi="David" w:cs="David"/>
          <w:b/>
          <w:bCs/>
          <w:sz w:val="24"/>
          <w:szCs w:val="24"/>
          <w:rtl/>
        </w:rPr>
        <w:t>מדיניות הענישה הנוהגת</w:t>
      </w:r>
      <w:r>
        <w:rPr>
          <w:rFonts w:ascii="David" w:hAnsi="David" w:cs="David"/>
          <w:sz w:val="24"/>
          <w:szCs w:val="24"/>
          <w:rtl/>
        </w:rPr>
        <w:t>- עיון בפסיקת בתי המשפט מעלה כי מתחם העונש ההולם בעבירת החזקת סם שלא לצריכה עצמית רחב ותלוי בין היתר בסוג הסם, בכמות, חלוקתו למנות ונסיבות ההחזקה. ניתן ללמוד על מתחם העונש ההולם מפסקי הדין הבאים:</w:t>
      </w:r>
    </w:p>
    <w:p w14:paraId="49AAB7C3" w14:textId="77777777" w:rsidR="00F84F73" w:rsidRDefault="00A01EB4" w:rsidP="00F84F73">
      <w:pPr>
        <w:pStyle w:val="ListParagraph"/>
        <w:numPr>
          <w:ilvl w:val="0"/>
          <w:numId w:val="2"/>
        </w:numPr>
        <w:spacing w:line="360" w:lineRule="auto"/>
        <w:ind w:left="1077" w:hanging="357"/>
        <w:jc w:val="both"/>
        <w:rPr>
          <w:rFonts w:ascii="David" w:hAnsi="David" w:cs="David"/>
          <w:sz w:val="24"/>
          <w:szCs w:val="24"/>
        </w:rPr>
      </w:pPr>
      <w:hyperlink r:id="rId21" w:history="1">
        <w:r w:rsidRPr="00A01EB4">
          <w:rPr>
            <w:rFonts w:ascii="David" w:hAnsi="David" w:cs="David"/>
            <w:color w:val="0000FF"/>
            <w:sz w:val="24"/>
            <w:szCs w:val="24"/>
            <w:u w:val="single"/>
            <w:rtl/>
          </w:rPr>
          <w:t>ע"פ 516/23</w:t>
        </w:r>
      </w:hyperlink>
      <w:r w:rsidR="00F84F73">
        <w:rPr>
          <w:rFonts w:ascii="David" w:hAnsi="David" w:cs="David"/>
          <w:sz w:val="24"/>
          <w:szCs w:val="24"/>
          <w:rtl/>
        </w:rPr>
        <w:t xml:space="preserve"> </w:t>
      </w:r>
      <w:r w:rsidR="00F84F73">
        <w:rPr>
          <w:rFonts w:ascii="David" w:hAnsi="David" w:cs="David"/>
          <w:b/>
          <w:bCs/>
          <w:sz w:val="24"/>
          <w:szCs w:val="24"/>
          <w:rtl/>
        </w:rPr>
        <w:t>עמור נ' מדינת ישראל</w:t>
      </w:r>
      <w:r w:rsidR="00F84F73">
        <w:rPr>
          <w:rFonts w:ascii="David" w:hAnsi="David" w:cs="David"/>
          <w:sz w:val="24"/>
          <w:szCs w:val="24"/>
          <w:rtl/>
        </w:rPr>
        <w:t xml:space="preserve"> (10.7.2023) – אליו הפנתה גם המאשימה - המערער הורשע על יסוד הודאתו בעבירה של החזקת סם מסוכן שלא לצריכה עצמית בכך שנהג ברכבו והחזיק ברכב, עבור אדם אחר, שתי חבילות סם מסוכן מסוג קוקאין במשקל 303 גרם כל אחת. בית המשפט המחוזי קבע </w:t>
      </w:r>
      <w:r w:rsidR="00F84F73">
        <w:rPr>
          <w:rFonts w:ascii="David" w:hAnsi="David" w:cs="David"/>
          <w:b/>
          <w:bCs/>
          <w:sz w:val="24"/>
          <w:szCs w:val="24"/>
          <w:rtl/>
        </w:rPr>
        <w:t>מתחם הנע בין 3.5 ל-6 שנות מאסר</w:t>
      </w:r>
      <w:r w:rsidR="00F84F73">
        <w:rPr>
          <w:rFonts w:ascii="David" w:hAnsi="David" w:cs="David"/>
          <w:sz w:val="24"/>
          <w:szCs w:val="24"/>
          <w:rtl/>
        </w:rPr>
        <w:t xml:space="preserve"> וגזר עליו 4 שנות מאסר לצד ענישה נלווית. בהמלצת בית המשפט העליון המערער חזר בו מן הערעור.</w:t>
      </w:r>
    </w:p>
    <w:p w14:paraId="35589240" w14:textId="77777777" w:rsidR="00F84F73" w:rsidRDefault="00A01EB4" w:rsidP="00F84F73">
      <w:pPr>
        <w:pStyle w:val="ListParagraph"/>
        <w:numPr>
          <w:ilvl w:val="0"/>
          <w:numId w:val="2"/>
        </w:numPr>
        <w:spacing w:line="360" w:lineRule="auto"/>
        <w:ind w:left="1077" w:hanging="357"/>
        <w:jc w:val="both"/>
        <w:rPr>
          <w:rFonts w:ascii="David" w:hAnsi="David" w:cs="David"/>
          <w:color w:val="000000"/>
          <w:sz w:val="24"/>
          <w:szCs w:val="24"/>
          <w:rtl/>
        </w:rPr>
      </w:pPr>
      <w:hyperlink r:id="rId22" w:history="1">
        <w:r w:rsidRPr="00A01EB4">
          <w:rPr>
            <w:rFonts w:ascii="David" w:hAnsi="David" w:cs="David"/>
            <w:color w:val="0000FF"/>
            <w:sz w:val="24"/>
            <w:szCs w:val="24"/>
            <w:u w:val="single"/>
            <w:rtl/>
          </w:rPr>
          <w:t>ע"פ 6847/22</w:t>
        </w:r>
      </w:hyperlink>
      <w:r w:rsidR="00F84F73">
        <w:rPr>
          <w:rFonts w:ascii="David" w:hAnsi="David" w:cs="David"/>
          <w:color w:val="000000"/>
          <w:sz w:val="24"/>
          <w:szCs w:val="24"/>
          <w:rtl/>
        </w:rPr>
        <w:t xml:space="preserve"> </w:t>
      </w:r>
      <w:r w:rsidR="00F84F73">
        <w:rPr>
          <w:rFonts w:ascii="David" w:hAnsi="David" w:cs="David"/>
          <w:b/>
          <w:bCs/>
          <w:color w:val="000000"/>
          <w:sz w:val="24"/>
          <w:szCs w:val="24"/>
          <w:rtl/>
        </w:rPr>
        <w:t>אבו צעלוק נ' מדינת ישראל</w:t>
      </w:r>
      <w:r w:rsidR="00F84F73">
        <w:rPr>
          <w:rFonts w:ascii="David" w:hAnsi="David" w:cs="David"/>
          <w:color w:val="000000"/>
          <w:sz w:val="24"/>
          <w:szCs w:val="24"/>
          <w:rtl/>
        </w:rPr>
        <w:t xml:space="preserve"> (9.3.2023) - המערער הורשע על יסוד </w:t>
      </w:r>
      <w:r w:rsidR="00F84F73">
        <w:rPr>
          <w:rFonts w:ascii="David" w:hAnsi="David" w:cs="David"/>
          <w:sz w:val="24"/>
          <w:szCs w:val="24"/>
          <w:rtl/>
        </w:rPr>
        <w:t>הודאתו</w:t>
      </w:r>
      <w:r w:rsidR="00F84F73">
        <w:rPr>
          <w:rFonts w:ascii="David" w:hAnsi="David" w:cs="David"/>
          <w:color w:val="000000"/>
          <w:sz w:val="24"/>
          <w:szCs w:val="24"/>
          <w:rtl/>
        </w:rPr>
        <w:t xml:space="preserve">, בתום שמיעת הראיות והגשת סיכומים בכתב, בעבירה של החזקת סם מסוכן שלא לצריכה עצמית, לאחר שנעצר כשהוא נוהג ברכב בו נמצא סם מסוכן בכמות של </w:t>
      </w:r>
      <w:r w:rsidR="00F84F73">
        <w:rPr>
          <w:rFonts w:ascii="David" w:hAnsi="David" w:cs="David"/>
          <w:b/>
          <w:bCs/>
          <w:color w:val="000000"/>
          <w:sz w:val="24"/>
          <w:szCs w:val="24"/>
          <w:rtl/>
        </w:rPr>
        <w:t>158.5</w:t>
      </w:r>
      <w:r w:rsidR="00F84F73">
        <w:rPr>
          <w:rFonts w:ascii="David" w:hAnsi="David" w:cs="David"/>
          <w:color w:val="000000"/>
          <w:sz w:val="24"/>
          <w:szCs w:val="24"/>
          <w:rtl/>
        </w:rPr>
        <w:t xml:space="preserve"> </w:t>
      </w:r>
      <w:r w:rsidR="00F84F73">
        <w:rPr>
          <w:rFonts w:ascii="David" w:hAnsi="David" w:cs="David"/>
          <w:b/>
          <w:bCs/>
          <w:color w:val="000000"/>
          <w:sz w:val="24"/>
          <w:szCs w:val="24"/>
          <w:rtl/>
        </w:rPr>
        <w:t>גרם</w:t>
      </w:r>
      <w:r w:rsidR="00F84F73">
        <w:rPr>
          <w:rFonts w:ascii="David" w:hAnsi="David" w:cs="David"/>
          <w:color w:val="000000"/>
          <w:sz w:val="24"/>
          <w:szCs w:val="24"/>
          <w:rtl/>
        </w:rPr>
        <w:t xml:space="preserve"> נטו קוקאין מחולק ל-4 אריזות וכמות נוספת של 1.4 גרם נטו של סם מסוג קוקאין מחולק ל-3 אריזות. בית המשפט המחוזי קבע </w:t>
      </w:r>
      <w:r w:rsidR="00F84F73">
        <w:rPr>
          <w:rFonts w:ascii="David" w:hAnsi="David" w:cs="David"/>
          <w:b/>
          <w:bCs/>
          <w:color w:val="000000"/>
          <w:sz w:val="24"/>
          <w:szCs w:val="24"/>
          <w:rtl/>
        </w:rPr>
        <w:t>מתחם ענישה הנע בין 3 ל-5 שנות מאסר</w:t>
      </w:r>
      <w:r w:rsidR="00F84F73">
        <w:rPr>
          <w:rFonts w:ascii="David" w:hAnsi="David" w:cs="David"/>
          <w:color w:val="000000"/>
          <w:sz w:val="24"/>
          <w:szCs w:val="24"/>
          <w:rtl/>
        </w:rPr>
        <w:t xml:space="preserve"> וגזר עליו 4 שנות מאסר לצד ענישה נלווית. ערעורו לבית המשפט העליון נדחה.</w:t>
      </w:r>
    </w:p>
    <w:p w14:paraId="21EF75FF" w14:textId="77777777" w:rsidR="00F84F73" w:rsidRDefault="00A01EB4" w:rsidP="00F84F73">
      <w:pPr>
        <w:pStyle w:val="ListParagraph"/>
        <w:numPr>
          <w:ilvl w:val="0"/>
          <w:numId w:val="2"/>
        </w:numPr>
        <w:spacing w:line="360" w:lineRule="auto"/>
        <w:ind w:left="1077" w:hanging="357"/>
        <w:jc w:val="both"/>
        <w:rPr>
          <w:rFonts w:ascii="David" w:hAnsi="David" w:cs="David"/>
          <w:color w:val="000000"/>
          <w:sz w:val="24"/>
          <w:szCs w:val="24"/>
          <w:rtl/>
        </w:rPr>
      </w:pPr>
      <w:hyperlink r:id="rId23" w:history="1">
        <w:r w:rsidRPr="00A01EB4">
          <w:rPr>
            <w:rFonts w:ascii="David" w:hAnsi="David" w:cs="David"/>
            <w:color w:val="0000FF"/>
            <w:sz w:val="24"/>
            <w:szCs w:val="24"/>
            <w:u w:val="single"/>
            <w:rtl/>
          </w:rPr>
          <w:t>ע"פ 6878/22</w:t>
        </w:r>
      </w:hyperlink>
      <w:r w:rsidR="00F84F73">
        <w:rPr>
          <w:rFonts w:ascii="David" w:hAnsi="David" w:cs="David"/>
          <w:color w:val="000000"/>
          <w:sz w:val="24"/>
          <w:szCs w:val="24"/>
          <w:rtl/>
        </w:rPr>
        <w:t xml:space="preserve"> </w:t>
      </w:r>
      <w:r w:rsidR="00F84F73">
        <w:rPr>
          <w:rFonts w:ascii="David" w:hAnsi="David" w:cs="David"/>
          <w:b/>
          <w:bCs/>
          <w:color w:val="000000"/>
          <w:sz w:val="24"/>
          <w:szCs w:val="24"/>
          <w:rtl/>
        </w:rPr>
        <w:t>צ'בניוק נ' מדינת ישראל</w:t>
      </w:r>
      <w:r w:rsidR="00F84F73">
        <w:rPr>
          <w:rFonts w:ascii="David" w:hAnsi="David" w:cs="David"/>
          <w:color w:val="000000"/>
          <w:sz w:val="24"/>
          <w:szCs w:val="24"/>
          <w:rtl/>
        </w:rPr>
        <w:t xml:space="preserve"> (1.3.2023) - המערער הורשע על יסוד הודאתו בעבירות של החזקה בצוותא חדא של סם מסוכן שלא לצריכה עצמית וסחר בסם מסוכן, לאחר שהחזיק יחד עם אחרת, </w:t>
      </w:r>
      <w:r w:rsidR="00F84F73">
        <w:rPr>
          <w:rFonts w:ascii="David" w:hAnsi="David" w:cs="David"/>
          <w:b/>
          <w:bCs/>
          <w:color w:val="000000"/>
          <w:sz w:val="24"/>
          <w:szCs w:val="24"/>
          <w:rtl/>
        </w:rPr>
        <w:t xml:space="preserve">100 גרם </w:t>
      </w:r>
      <w:r w:rsidR="00F84F73">
        <w:rPr>
          <w:rFonts w:ascii="David" w:hAnsi="David" w:cs="David"/>
          <w:color w:val="000000"/>
          <w:sz w:val="24"/>
          <w:szCs w:val="24"/>
          <w:rtl/>
        </w:rPr>
        <w:t xml:space="preserve">קוקאין, ועוד סמים נוספים מסוגים שונים בכמויות שאינן לצריכה עצמית. בנוסף, החזיקה האחרת בדירתה משקלים אלקטרוניים, וציוד המשמש לצריכת סמים כגון כפיות, מזרקים ומדבקות עליהן רשומים סוגי הסמים. כמו-כן, סחר הנאשם ב-3 הזדמנויות שונות באמצעות אפליקציית "טלגרם" בסמים: 5 גרם קנאביס; גרם אחד של קוקאין; גרם אחד של קנאביס. ביחס לאישום הראשון נקבע </w:t>
      </w:r>
      <w:r w:rsidR="00F84F73">
        <w:rPr>
          <w:rFonts w:ascii="David" w:hAnsi="David" w:cs="David"/>
          <w:b/>
          <w:bCs/>
          <w:color w:val="000000"/>
          <w:sz w:val="24"/>
          <w:szCs w:val="24"/>
          <w:rtl/>
        </w:rPr>
        <w:t>מתחם ענישה הנע בין 30 ל-60 חודשי מאסר</w:t>
      </w:r>
      <w:r w:rsidR="00F84F73">
        <w:rPr>
          <w:rFonts w:ascii="David" w:hAnsi="David" w:cs="David"/>
          <w:color w:val="000000"/>
          <w:sz w:val="24"/>
          <w:szCs w:val="24"/>
          <w:rtl/>
        </w:rPr>
        <w:t>, והוטלו על הנאשם עונש של 20 חודשי מאסר בפועל, תוך סטייה ממתחם הענישה משיקולי שיקום. ערעור על חומרת העונש לבית המשפט העליון התקבל, כך שהושת על הנאשם עונש של 12 חודשי מאסר לריצוי בפועל, וזאת משיקולי שיקום בלבד ותוך אישור המתחם שנקבע בבית משפט קמא.</w:t>
      </w:r>
    </w:p>
    <w:p w14:paraId="7A8E7BD1" w14:textId="77777777" w:rsidR="00F84F73" w:rsidRDefault="00A01EB4" w:rsidP="00F84F73">
      <w:pPr>
        <w:pStyle w:val="ListParagraph"/>
        <w:numPr>
          <w:ilvl w:val="0"/>
          <w:numId w:val="2"/>
        </w:numPr>
        <w:spacing w:line="360" w:lineRule="auto"/>
        <w:ind w:left="1077" w:hanging="357"/>
        <w:jc w:val="both"/>
        <w:rPr>
          <w:rFonts w:ascii="David" w:hAnsi="David" w:cs="David"/>
          <w:sz w:val="24"/>
          <w:szCs w:val="24"/>
          <w:rtl/>
        </w:rPr>
      </w:pPr>
      <w:hyperlink r:id="rId24" w:history="1">
        <w:r w:rsidRPr="00A01EB4">
          <w:rPr>
            <w:rFonts w:ascii="David" w:hAnsi="David" w:cs="David"/>
            <w:color w:val="0000FF"/>
            <w:sz w:val="24"/>
            <w:szCs w:val="24"/>
            <w:u w:val="single"/>
            <w:rtl/>
          </w:rPr>
          <w:t>ע"פ 971/21</w:t>
        </w:r>
      </w:hyperlink>
      <w:r w:rsidR="00F84F73">
        <w:rPr>
          <w:rFonts w:ascii="David" w:hAnsi="David" w:cs="David"/>
          <w:color w:val="000000"/>
          <w:sz w:val="24"/>
          <w:szCs w:val="24"/>
          <w:rtl/>
        </w:rPr>
        <w:t xml:space="preserve"> </w:t>
      </w:r>
      <w:r w:rsidR="00F84F73">
        <w:rPr>
          <w:rFonts w:ascii="David" w:hAnsi="David" w:cs="David"/>
          <w:b/>
          <w:bCs/>
          <w:color w:val="000000"/>
          <w:sz w:val="24"/>
          <w:szCs w:val="24"/>
          <w:rtl/>
        </w:rPr>
        <w:t xml:space="preserve">אמאצ'י נ' מדינת ישראל </w:t>
      </w:r>
      <w:r w:rsidR="00F84F73">
        <w:rPr>
          <w:rFonts w:ascii="David" w:hAnsi="David" w:cs="David"/>
          <w:color w:val="000000"/>
          <w:sz w:val="24"/>
          <w:szCs w:val="24"/>
          <w:rtl/>
        </w:rPr>
        <w:t xml:space="preserve">(31.3.2021) – אליו הפנתה גם ההגנה - המערער הורשע בעבירה של החזקת סם מסוכן שלא לצריכה עצמית לאחר שהחזיק </w:t>
      </w:r>
      <w:r w:rsidR="00F84F73">
        <w:rPr>
          <w:rFonts w:ascii="David" w:hAnsi="David" w:cs="David"/>
          <w:b/>
          <w:bCs/>
          <w:color w:val="000000"/>
          <w:sz w:val="24"/>
          <w:szCs w:val="24"/>
          <w:rtl/>
        </w:rPr>
        <w:t xml:space="preserve">678 גרם </w:t>
      </w:r>
      <w:r w:rsidR="00F84F73">
        <w:rPr>
          <w:rFonts w:ascii="David" w:hAnsi="David" w:cs="David"/>
          <w:color w:val="000000"/>
          <w:sz w:val="24"/>
          <w:szCs w:val="24"/>
          <w:rtl/>
        </w:rPr>
        <w:t xml:space="preserve">קוקאין על מנת לספק את הסם לאחרים. בית המשפט המחוזי קבע </w:t>
      </w:r>
      <w:r w:rsidR="00F84F73">
        <w:rPr>
          <w:rFonts w:ascii="David" w:hAnsi="David" w:cs="David"/>
          <w:b/>
          <w:bCs/>
          <w:color w:val="000000"/>
          <w:sz w:val="24"/>
          <w:szCs w:val="24"/>
          <w:rtl/>
        </w:rPr>
        <w:t>מתחם ענישה הנע בין 24 ל-60 חודשי</w:t>
      </w:r>
      <w:r w:rsidR="00F84F73">
        <w:rPr>
          <w:rFonts w:ascii="David" w:hAnsi="David" w:cs="David"/>
          <w:color w:val="000000"/>
          <w:sz w:val="24"/>
          <w:szCs w:val="24"/>
          <w:rtl/>
        </w:rPr>
        <w:t xml:space="preserve"> </w:t>
      </w:r>
      <w:r w:rsidR="00F84F73">
        <w:rPr>
          <w:rFonts w:ascii="David" w:hAnsi="David" w:cs="David"/>
          <w:b/>
          <w:bCs/>
          <w:color w:val="000000"/>
          <w:sz w:val="24"/>
          <w:szCs w:val="24"/>
          <w:rtl/>
        </w:rPr>
        <w:t>מאסר</w:t>
      </w:r>
      <w:r w:rsidR="00F84F73">
        <w:rPr>
          <w:rFonts w:ascii="David" w:hAnsi="David" w:cs="David"/>
          <w:color w:val="000000"/>
          <w:sz w:val="24"/>
          <w:szCs w:val="24"/>
          <w:rtl/>
        </w:rPr>
        <w:t xml:space="preserve"> וגזר על הנאשם 30 חודשי מאסר לצד עונשים נלווים. בית המשפט העליון דחה את ערעור הנאשם, תוך שציין כי מתחם העונש ההולם שנקבע עולה בקנה אחד עם מדיניות הענישה הנוהגת בעבירות סמים</w:t>
      </w:r>
      <w:r w:rsidR="00F84F73">
        <w:rPr>
          <w:rFonts w:ascii="David" w:hAnsi="David" w:cs="David"/>
          <w:sz w:val="24"/>
          <w:szCs w:val="24"/>
          <w:rtl/>
        </w:rPr>
        <w:t>.</w:t>
      </w:r>
    </w:p>
    <w:p w14:paraId="47310C5E" w14:textId="77777777" w:rsidR="00F84F73" w:rsidRDefault="00A01EB4" w:rsidP="00F84F73">
      <w:pPr>
        <w:pStyle w:val="ListParagraph"/>
        <w:numPr>
          <w:ilvl w:val="0"/>
          <w:numId w:val="2"/>
        </w:numPr>
        <w:spacing w:line="360" w:lineRule="auto"/>
        <w:ind w:left="1077" w:hanging="357"/>
        <w:jc w:val="both"/>
        <w:rPr>
          <w:rFonts w:ascii="David" w:hAnsi="David" w:cs="David"/>
          <w:sz w:val="24"/>
          <w:szCs w:val="24"/>
          <w:rtl/>
        </w:rPr>
      </w:pPr>
      <w:hyperlink r:id="rId25" w:history="1">
        <w:r w:rsidRPr="00A01EB4">
          <w:rPr>
            <w:rFonts w:ascii="David" w:hAnsi="David" w:cs="David"/>
            <w:color w:val="0000FF"/>
            <w:sz w:val="24"/>
            <w:szCs w:val="24"/>
            <w:u w:val="single"/>
            <w:rtl/>
          </w:rPr>
          <w:t>ע"פ 4887/18</w:t>
        </w:r>
      </w:hyperlink>
      <w:r w:rsidR="00F84F73">
        <w:rPr>
          <w:rFonts w:ascii="David" w:hAnsi="David" w:cs="David"/>
          <w:sz w:val="24"/>
          <w:szCs w:val="24"/>
          <w:rtl/>
        </w:rPr>
        <w:t xml:space="preserve"> </w:t>
      </w:r>
      <w:r w:rsidR="00F84F73">
        <w:rPr>
          <w:rFonts w:ascii="David" w:hAnsi="David" w:cs="David"/>
          <w:b/>
          <w:bCs/>
          <w:sz w:val="24"/>
          <w:szCs w:val="24"/>
          <w:rtl/>
        </w:rPr>
        <w:t>יונייבה נ' מדינת ישראל</w:t>
      </w:r>
      <w:r w:rsidR="00F84F73">
        <w:rPr>
          <w:rFonts w:ascii="David" w:hAnsi="David" w:cs="David"/>
          <w:sz w:val="24"/>
          <w:szCs w:val="24"/>
          <w:rtl/>
        </w:rPr>
        <w:t xml:space="preserve"> (14.2.2019) – אליו הפנתה גם המאשימה- המערערת הורשעה בעבירה של החזקת סם מסוכן </w:t>
      </w:r>
      <w:r w:rsidR="00F84F73">
        <w:rPr>
          <w:rFonts w:ascii="David" w:hAnsi="David" w:cs="David"/>
          <w:color w:val="000000"/>
          <w:sz w:val="24"/>
          <w:szCs w:val="24"/>
          <w:rtl/>
        </w:rPr>
        <w:t>שלא</w:t>
      </w:r>
      <w:r w:rsidR="00F84F73">
        <w:rPr>
          <w:rFonts w:ascii="David" w:hAnsi="David" w:cs="David"/>
          <w:sz w:val="24"/>
          <w:szCs w:val="24"/>
          <w:rtl/>
        </w:rPr>
        <w:t xml:space="preserve"> לצריכה עצמית, בכך שהחזיקה סם מסוג קוקאין במשקל של </w:t>
      </w:r>
      <w:r w:rsidR="00F84F73">
        <w:rPr>
          <w:rFonts w:ascii="David" w:hAnsi="David" w:cs="David"/>
          <w:b/>
          <w:bCs/>
          <w:sz w:val="24"/>
          <w:szCs w:val="24"/>
          <w:rtl/>
        </w:rPr>
        <w:t>490.5 גרם</w:t>
      </w:r>
      <w:r w:rsidR="00F84F73">
        <w:rPr>
          <w:rFonts w:ascii="David" w:hAnsi="David" w:cs="David"/>
          <w:sz w:val="24"/>
          <w:szCs w:val="24"/>
          <w:rtl/>
        </w:rPr>
        <w:t>.</w:t>
      </w:r>
      <w:r w:rsidR="00F84F73">
        <w:rPr>
          <w:rFonts w:ascii="David" w:hAnsi="David" w:cs="David"/>
          <w:color w:val="000000"/>
          <w:sz w:val="24"/>
          <w:szCs w:val="24"/>
          <w:rtl/>
        </w:rPr>
        <w:t xml:space="preserve"> בית המשפט המחוזי קבע </w:t>
      </w:r>
      <w:r w:rsidR="00F84F73">
        <w:rPr>
          <w:rFonts w:ascii="David" w:hAnsi="David" w:cs="David"/>
          <w:b/>
          <w:bCs/>
          <w:color w:val="000000"/>
          <w:sz w:val="24"/>
          <w:szCs w:val="24"/>
          <w:rtl/>
        </w:rPr>
        <w:t>מתחם ענישה הנע בין 3 ל-7 שנות</w:t>
      </w:r>
      <w:r w:rsidR="00F84F73">
        <w:rPr>
          <w:rFonts w:ascii="David" w:hAnsi="David" w:cs="David"/>
          <w:color w:val="000000"/>
          <w:sz w:val="24"/>
          <w:szCs w:val="24"/>
          <w:rtl/>
        </w:rPr>
        <w:t xml:space="preserve"> </w:t>
      </w:r>
      <w:r w:rsidR="00F84F73">
        <w:rPr>
          <w:rFonts w:ascii="David" w:hAnsi="David" w:cs="David"/>
          <w:b/>
          <w:bCs/>
          <w:color w:val="000000"/>
          <w:sz w:val="24"/>
          <w:szCs w:val="24"/>
          <w:rtl/>
        </w:rPr>
        <w:t>מאסר</w:t>
      </w:r>
      <w:r w:rsidR="00F84F73">
        <w:rPr>
          <w:rFonts w:ascii="David" w:hAnsi="David" w:cs="David"/>
          <w:color w:val="000000"/>
          <w:sz w:val="24"/>
          <w:szCs w:val="24"/>
          <w:rtl/>
        </w:rPr>
        <w:t xml:space="preserve"> וגזר על המערערת 4 שנות מאסר, לצד עונשים נלווים. בית המשפט העליון קיבל את ערעורה על חומרת העונש, תוך שציין "</w:t>
      </w:r>
      <w:r w:rsidR="00F84F73">
        <w:rPr>
          <w:rFonts w:ascii="David" w:hAnsi="David" w:cs="David"/>
          <w:b/>
          <w:bCs/>
          <w:color w:val="000000"/>
          <w:sz w:val="24"/>
          <w:szCs w:val="24"/>
          <w:rtl/>
        </w:rPr>
        <w:t>נטייתו של העונש אל הצד החמור בשים לב לנסיבות הכוללות של העניין</w:t>
      </w:r>
      <w:r w:rsidR="00F84F73">
        <w:rPr>
          <w:rFonts w:ascii="David" w:hAnsi="David" w:cs="David"/>
          <w:color w:val="000000"/>
          <w:sz w:val="24"/>
          <w:szCs w:val="24"/>
          <w:rtl/>
        </w:rPr>
        <w:t xml:space="preserve">" וכן נסיבות רפואיות של המערערת והפחית חצי שנת מאסר מעונשה, כך שזה יעמוד על </w:t>
      </w:r>
      <w:r w:rsidR="00F84F73">
        <w:rPr>
          <w:rFonts w:ascii="David" w:hAnsi="David" w:cs="David"/>
          <w:b/>
          <w:bCs/>
          <w:color w:val="000000"/>
          <w:sz w:val="24"/>
          <w:szCs w:val="24"/>
          <w:rtl/>
        </w:rPr>
        <w:t>3.5 שנות מאסר</w:t>
      </w:r>
      <w:r w:rsidR="00F84F73">
        <w:rPr>
          <w:rFonts w:ascii="David" w:hAnsi="David" w:cs="David"/>
          <w:color w:val="000000"/>
          <w:sz w:val="24"/>
          <w:szCs w:val="24"/>
          <w:rtl/>
        </w:rPr>
        <w:t xml:space="preserve"> לריצוי בפועל</w:t>
      </w:r>
      <w:r w:rsidR="00F84F73">
        <w:rPr>
          <w:rFonts w:ascii="David" w:hAnsi="David" w:cs="David"/>
          <w:sz w:val="24"/>
          <w:szCs w:val="24"/>
          <w:rtl/>
        </w:rPr>
        <w:t>.</w:t>
      </w:r>
    </w:p>
    <w:p w14:paraId="3FB44D56" w14:textId="77777777" w:rsidR="00F84F73" w:rsidRDefault="00F84F73" w:rsidP="00F84F73">
      <w:pPr>
        <w:pStyle w:val="ListParagraph"/>
        <w:spacing w:line="360" w:lineRule="auto"/>
        <w:ind w:left="1077"/>
        <w:jc w:val="both"/>
        <w:rPr>
          <w:rFonts w:ascii="David" w:hAnsi="David" w:cs="David"/>
          <w:sz w:val="24"/>
          <w:szCs w:val="24"/>
          <w:rtl/>
        </w:rPr>
      </w:pPr>
    </w:p>
    <w:p w14:paraId="0307B842" w14:textId="77777777" w:rsidR="00F84F73" w:rsidRDefault="00F84F73" w:rsidP="00F84F73">
      <w:pPr>
        <w:pStyle w:val="ListParagraph"/>
        <w:numPr>
          <w:ilvl w:val="0"/>
          <w:numId w:val="1"/>
        </w:numPr>
        <w:spacing w:line="360" w:lineRule="auto"/>
        <w:ind w:left="368"/>
        <w:jc w:val="both"/>
        <w:rPr>
          <w:rFonts w:ascii="David" w:hAnsi="David" w:cs="David"/>
          <w:sz w:val="24"/>
          <w:szCs w:val="24"/>
        </w:rPr>
      </w:pPr>
      <w:r>
        <w:rPr>
          <w:rFonts w:ascii="David" w:hAnsi="David" w:cs="David"/>
          <w:b/>
          <w:bCs/>
          <w:sz w:val="24"/>
          <w:szCs w:val="24"/>
          <w:rtl/>
        </w:rPr>
        <w:t>מתחם העונש ההולם</w:t>
      </w:r>
      <w:r>
        <w:rPr>
          <w:rFonts w:ascii="David" w:hAnsi="David" w:cs="David"/>
          <w:sz w:val="24"/>
          <w:szCs w:val="24"/>
          <w:rtl/>
        </w:rPr>
        <w:t xml:space="preserve">  - החזקת הסמים במקרה שלפני אינה מתוחכמת אך כוללת כמות גדולה של סמים מסוגים שונים בכללם החזקה של קרוב לחצי קילוגרם קוקאין ומעל שני ק"ג חשיש. בהתאם לכך ולמדיניות הענישה הנוהגת </w:t>
      </w:r>
      <w:r>
        <w:rPr>
          <w:rFonts w:ascii="David" w:hAnsi="David" w:cs="David"/>
          <w:b/>
          <w:bCs/>
          <w:sz w:val="24"/>
          <w:szCs w:val="24"/>
          <w:rtl/>
        </w:rPr>
        <w:t xml:space="preserve">אני קובעת כי מתחם העונש ההולם נע בין 40 לבין 60 חודשי מאסר בפועל לצד ענישה נילווית.  </w:t>
      </w:r>
    </w:p>
    <w:p w14:paraId="5A34718D" w14:textId="77777777" w:rsidR="00F84F73" w:rsidRDefault="00F84F73" w:rsidP="00F84F73">
      <w:pPr>
        <w:pStyle w:val="ListParagraph"/>
        <w:spacing w:line="360" w:lineRule="auto"/>
        <w:ind w:left="368"/>
        <w:jc w:val="both"/>
        <w:rPr>
          <w:rFonts w:ascii="David" w:hAnsi="David" w:cs="David"/>
          <w:sz w:val="24"/>
          <w:szCs w:val="24"/>
        </w:rPr>
      </w:pPr>
    </w:p>
    <w:p w14:paraId="28F50332" w14:textId="77777777" w:rsidR="00F84F73" w:rsidRDefault="00F84F73" w:rsidP="00F84F73">
      <w:pPr>
        <w:spacing w:line="360" w:lineRule="auto"/>
        <w:jc w:val="both"/>
        <w:rPr>
          <w:rFonts w:ascii="David" w:hAnsi="David"/>
        </w:rPr>
      </w:pPr>
      <w:r>
        <w:rPr>
          <w:rFonts w:ascii="David" w:hAnsi="David"/>
          <w:b/>
          <w:bCs/>
          <w:rtl/>
        </w:rPr>
        <w:t>העונש המתאים לנאשם</w:t>
      </w:r>
      <w:r>
        <w:rPr>
          <w:rFonts w:ascii="David" w:hAnsi="David"/>
          <w:rtl/>
        </w:rPr>
        <w:t xml:space="preserve"> </w:t>
      </w:r>
    </w:p>
    <w:p w14:paraId="5A885EE4" w14:textId="77777777" w:rsidR="00F84F73" w:rsidRDefault="00F84F73" w:rsidP="00F84F73">
      <w:pPr>
        <w:pStyle w:val="ListParagraph"/>
        <w:rPr>
          <w:rFonts w:ascii="David" w:hAnsi="David" w:cs="David"/>
          <w:sz w:val="24"/>
          <w:szCs w:val="24"/>
        </w:rPr>
      </w:pPr>
    </w:p>
    <w:p w14:paraId="3CAD46D7" w14:textId="77777777" w:rsidR="00F84F73" w:rsidRDefault="00F84F73" w:rsidP="00F84F73">
      <w:pPr>
        <w:pStyle w:val="ListParagraph"/>
        <w:numPr>
          <w:ilvl w:val="0"/>
          <w:numId w:val="1"/>
        </w:numPr>
        <w:spacing w:line="360" w:lineRule="auto"/>
        <w:ind w:left="368"/>
        <w:jc w:val="both"/>
        <w:rPr>
          <w:rFonts w:ascii="David" w:hAnsi="David" w:cs="David"/>
          <w:sz w:val="24"/>
          <w:szCs w:val="24"/>
          <w:rtl/>
        </w:rPr>
      </w:pPr>
      <w:r>
        <w:rPr>
          <w:rFonts w:ascii="David" w:hAnsi="David" w:cs="David"/>
          <w:sz w:val="24"/>
          <w:szCs w:val="24"/>
          <w:rtl/>
        </w:rPr>
        <w:t xml:space="preserve">הנאשם הודה וקיבל אחריות מלאה למעשיו, הביע חרטה ובושה על הסתבכותו בפלילים. אומר ברורות כי אלמלא הודאתו היה העונש שנגזר עליו חמור בהרבה. הודאת הנאשם הביאה לחסכון בזמן שיפוטי וחסכה צורך בהתייצבות עדים. </w:t>
      </w:r>
    </w:p>
    <w:p w14:paraId="5E83832A" w14:textId="77777777" w:rsidR="00F84F73" w:rsidRDefault="00F84F73" w:rsidP="00F84F73">
      <w:pPr>
        <w:pStyle w:val="ListParagraph"/>
        <w:numPr>
          <w:ilvl w:val="0"/>
          <w:numId w:val="1"/>
        </w:numPr>
        <w:spacing w:line="360" w:lineRule="auto"/>
        <w:ind w:left="368"/>
        <w:jc w:val="both"/>
        <w:rPr>
          <w:rFonts w:ascii="David" w:hAnsi="David" w:cs="David"/>
          <w:sz w:val="24"/>
          <w:szCs w:val="24"/>
        </w:rPr>
      </w:pPr>
      <w:r>
        <w:rPr>
          <w:rFonts w:ascii="David" w:hAnsi="David" w:cs="David"/>
          <w:sz w:val="24"/>
          <w:szCs w:val="24"/>
          <w:rtl/>
        </w:rPr>
        <w:t xml:space="preserve">הנאשם ללא הרשעות קודמות ובגין הסתבכותו בתיק זה היה עצור תקופה בת חודשיים מאחורי סורג ובריח עד שינוי התנאים למעצר באיזוק אלקטרוני. בתנאים אלו, שהוקלו לאורך החודשים, שהה במשך כעשרה חודשים. תקופת האיזוק אינה מנוכה בדרך של חישוב מתמטי מן העונש אולם למשך התקופה השפעה בין מכלול השיקולים. </w:t>
      </w:r>
    </w:p>
    <w:p w14:paraId="764BD306" w14:textId="77777777" w:rsidR="00F84F73" w:rsidRDefault="00F84F73" w:rsidP="00F84F73">
      <w:pPr>
        <w:pStyle w:val="ListParagraph"/>
        <w:numPr>
          <w:ilvl w:val="0"/>
          <w:numId w:val="1"/>
        </w:numPr>
        <w:spacing w:line="360" w:lineRule="auto"/>
        <w:ind w:left="368"/>
        <w:jc w:val="both"/>
        <w:rPr>
          <w:rFonts w:ascii="David" w:hAnsi="David" w:cs="David"/>
          <w:sz w:val="24"/>
          <w:szCs w:val="24"/>
        </w:rPr>
      </w:pPr>
      <w:r>
        <w:rPr>
          <w:rFonts w:ascii="David" w:hAnsi="David" w:cs="David"/>
          <w:sz w:val="24"/>
          <w:szCs w:val="24"/>
          <w:rtl/>
        </w:rPr>
        <w:t>השאלה הבאה היא אם יש מקום לחרוג לקולה מן המתחם שנקבע על בסיס טעמי שיקום. כידוע, בית המשפט מוסמך לחרוג לקולה ממתחם העונש ההולם מטעמי שיקום כאשר נמצא כי "הנאשם השתקם או כי יש סיכוי של ממש שישתקם" (</w:t>
      </w:r>
      <w:hyperlink r:id="rId26" w:history="1">
        <w:r w:rsidR="00626633" w:rsidRPr="00626633">
          <w:rPr>
            <w:rStyle w:val="Hyperlink"/>
            <w:rFonts w:ascii="David" w:hAnsi="David" w:cs="David"/>
            <w:color w:val="0000FF"/>
            <w:sz w:val="24"/>
            <w:szCs w:val="24"/>
            <w:rtl/>
          </w:rPr>
          <w:t>סעיף 40ד(א)</w:t>
        </w:r>
      </w:hyperlink>
      <w:r>
        <w:rPr>
          <w:rFonts w:ascii="David" w:hAnsi="David" w:cs="David"/>
          <w:sz w:val="24"/>
          <w:szCs w:val="24"/>
          <w:rtl/>
        </w:rPr>
        <w:t xml:space="preserve"> לחוק). ככל שמעשי הנאשם ומידת אשמו הם בעלי "חומרה יתרה", יש צורך ב"נסיבות מיוחדות ויוצאות דופן" על מנת לסטות לקולה ממתחם הענישה משיקולי שיקום (</w:t>
      </w:r>
      <w:hyperlink r:id="rId27" w:history="1">
        <w:r w:rsidR="00626633" w:rsidRPr="00626633">
          <w:rPr>
            <w:rStyle w:val="Hyperlink"/>
            <w:rFonts w:ascii="David" w:hAnsi="David" w:cs="David"/>
            <w:color w:val="0000FF"/>
            <w:sz w:val="24"/>
            <w:szCs w:val="24"/>
            <w:rtl/>
          </w:rPr>
          <w:t>סעיף 40ד(ב)</w:t>
        </w:r>
      </w:hyperlink>
      <w:r>
        <w:rPr>
          <w:rFonts w:ascii="David" w:hAnsi="David" w:cs="David"/>
          <w:sz w:val="24"/>
          <w:szCs w:val="24"/>
          <w:rtl/>
        </w:rPr>
        <w:t xml:space="preserve"> לחוק). עוד נקבע בפסיקה כי עם השיקולים העשויים להצדיק חריגה לקולה ממתחם הענישה מטעמי שיקום, נמנים הבעת מוטיבציה מצד הנאשם להשתקם, השתלבות מוצלחת בהליכים טיפוליים, הבעת חרטה, הפגנת הזדהות כלפי נפגעי העבירה, וכן "אינדיקציות לשינוי עמוק בהתנהגות ובדרך החשיבה" (</w:t>
      </w:r>
      <w:hyperlink r:id="rId28" w:history="1">
        <w:r w:rsidR="00A01EB4" w:rsidRPr="00A01EB4">
          <w:rPr>
            <w:rFonts w:ascii="David" w:hAnsi="David" w:cs="David"/>
            <w:color w:val="0000FF"/>
            <w:sz w:val="24"/>
            <w:szCs w:val="24"/>
            <w:u w:val="single"/>
            <w:rtl/>
          </w:rPr>
          <w:t>ע"פ 6637/17</w:t>
        </w:r>
      </w:hyperlink>
      <w:r>
        <w:rPr>
          <w:rFonts w:ascii="David" w:hAnsi="David" w:cs="David"/>
          <w:color w:val="000000"/>
          <w:sz w:val="24"/>
          <w:szCs w:val="24"/>
          <w:rtl/>
        </w:rPr>
        <w:t xml:space="preserve"> </w:t>
      </w:r>
      <w:r>
        <w:rPr>
          <w:rFonts w:ascii="David" w:hAnsi="David" w:cs="David"/>
          <w:bCs/>
          <w:sz w:val="24"/>
          <w:szCs w:val="24"/>
          <w:rtl/>
        </w:rPr>
        <w:t>קרנדל נ' מדינת ישראל</w:t>
      </w:r>
      <w:r>
        <w:rPr>
          <w:rFonts w:ascii="David" w:hAnsi="David" w:cs="David"/>
          <w:color w:val="000000"/>
          <w:sz w:val="24"/>
          <w:szCs w:val="24"/>
          <w:rtl/>
        </w:rPr>
        <w:t xml:space="preserve">, פסקה 24 (18.4.2018) </w:t>
      </w:r>
      <w:hyperlink r:id="rId29" w:history="1">
        <w:r w:rsidR="00A01EB4" w:rsidRPr="00A01EB4">
          <w:rPr>
            <w:rFonts w:ascii="David" w:hAnsi="David" w:cs="David"/>
            <w:color w:val="0000FF"/>
            <w:sz w:val="24"/>
            <w:szCs w:val="24"/>
            <w:u w:val="single"/>
            <w:rtl/>
          </w:rPr>
          <w:t>ע"פ 6958/18</w:t>
        </w:r>
      </w:hyperlink>
      <w:r>
        <w:rPr>
          <w:rFonts w:ascii="David" w:hAnsi="David" w:cs="David"/>
          <w:sz w:val="24"/>
          <w:szCs w:val="24"/>
          <w:rtl/>
        </w:rPr>
        <w:t xml:space="preserve"> </w:t>
      </w:r>
      <w:r>
        <w:rPr>
          <w:rFonts w:ascii="David" w:hAnsi="David" w:cs="David" w:hint="cs"/>
          <w:bCs/>
          <w:sz w:val="24"/>
          <w:szCs w:val="24"/>
          <w:rtl/>
        </w:rPr>
        <w:t>מצלאח נ' מדינת ישראל</w:t>
      </w:r>
      <w:r>
        <w:rPr>
          <w:rFonts w:ascii="David" w:hAnsi="David" w:cs="David" w:hint="cs"/>
          <w:sz w:val="24"/>
          <w:szCs w:val="24"/>
          <w:rtl/>
        </w:rPr>
        <w:t>, פסקה 32 (22.1.2020)). כמו כן נקבע כי נאשם המבקש להצדיק חריגה כאמור, נדרש לבסס זאת בראיות ולא להסתפק בטענות בעלמא (</w:t>
      </w:r>
      <w:hyperlink r:id="rId30" w:history="1">
        <w:r w:rsidR="00A01EB4" w:rsidRPr="00A01EB4">
          <w:rPr>
            <w:rFonts w:ascii="David" w:hAnsi="David" w:cs="David"/>
            <w:color w:val="0000FF"/>
            <w:sz w:val="24"/>
            <w:szCs w:val="24"/>
            <w:u w:val="single"/>
            <w:rtl/>
          </w:rPr>
          <w:t>ע"פ 9147/17</w:t>
        </w:r>
      </w:hyperlink>
      <w:r>
        <w:rPr>
          <w:rFonts w:ascii="David" w:hAnsi="David" w:cs="David"/>
          <w:sz w:val="24"/>
          <w:szCs w:val="24"/>
          <w:rtl/>
        </w:rPr>
        <w:t xml:space="preserve"> </w:t>
      </w:r>
      <w:r>
        <w:rPr>
          <w:rFonts w:ascii="David" w:hAnsi="David" w:cs="David" w:hint="cs"/>
          <w:bCs/>
          <w:sz w:val="24"/>
          <w:szCs w:val="24"/>
          <w:rtl/>
        </w:rPr>
        <w:t>אבו עביד נ' מדינת ישראל</w:t>
      </w:r>
      <w:r>
        <w:rPr>
          <w:rFonts w:ascii="David" w:hAnsi="David" w:cs="David" w:hint="cs"/>
          <w:sz w:val="24"/>
          <w:szCs w:val="24"/>
          <w:rtl/>
        </w:rPr>
        <w:t>, פסקה 13  (20.9.2018)).</w:t>
      </w:r>
    </w:p>
    <w:p w14:paraId="55EB752E" w14:textId="77777777" w:rsidR="00F84F73" w:rsidRDefault="00F84F73" w:rsidP="00F84F73">
      <w:pPr>
        <w:pStyle w:val="ListParagraph"/>
        <w:numPr>
          <w:ilvl w:val="0"/>
          <w:numId w:val="1"/>
        </w:numPr>
        <w:spacing w:line="360" w:lineRule="auto"/>
        <w:ind w:left="368"/>
        <w:jc w:val="both"/>
        <w:rPr>
          <w:rFonts w:ascii="David" w:hAnsi="David" w:cs="David"/>
          <w:sz w:val="24"/>
          <w:szCs w:val="24"/>
          <w:rtl/>
        </w:rPr>
      </w:pPr>
      <w:r>
        <w:rPr>
          <w:rFonts w:ascii="David" w:hAnsi="David" w:cs="David"/>
          <w:sz w:val="24"/>
          <w:szCs w:val="24"/>
          <w:rtl/>
        </w:rPr>
        <w:t>בגזירת העונש נתתי משקל לאמור בתסקיר ולהערכת שירות המבחן כי מעצרו של הנאשם היווה נקודת גבול מרתיעה עבורו. לאחר שחרור הנאשם ממעצר השתלב בטיפול ומן התסקיר שהוגש ואף מדוח הטיפול של מרכז 'התחלה חדשה' עולה כי הנאשם נתרם מן הטיפול ועבר תהליך משמעותי. בשל הסיכוי לשיקום שעולה מהערכת גורמי הטיפול סברתי כי יש מקום לסטות במידה מתונה ממתחם העונש ההולם על מנת לחזק את הנאשם ולתמרץ את השינוי שהוא פועל לקדם. עם זאת המלצת שירות המבחן מרחיקת לכת מידי ולצדה על בית המשפט לשקול שיקולי ענישה נוספים. כאשר מדובר בהחזקת סמים קשים בכמות כמו זו שהחזיק הנאשם מחויבת אמירה ערכית ברורה של בית המשפט ועל אמירה זו להיות מגובה בענישה שתבהיר כי פשעי הסמים אינם משתלמים. רווחי המעורבים בתעשיית הסמים ובכל אחת מחוליות שרשרת הפצת הסמים הם כוח פיתוי משמעותי מתוך ציפייה של העוסקים בכך לעשיית רווח רב, מהיר וקל. במענה לכך יש להבהיר כי לצד הפיתוי טמונה סכנת מאסר וסכנה זו ממשית גם כאשר אדם מביע חרטה ובושה על חציית הקווים החוקיים. הנאשם עבר הליך טיפולי ויש בכך התחלה חשובה ומשמעותית. עם זאת מדובר בטיפול לתקופה קצרה יחסית והשינוי בתחילתו ועודנו בבחינת תקווה יותר מאשר מציאות מבוססת.</w:t>
      </w:r>
    </w:p>
    <w:p w14:paraId="44FB440C" w14:textId="77777777" w:rsidR="00F84F73" w:rsidRDefault="00F84F73" w:rsidP="00F84F73">
      <w:pPr>
        <w:pStyle w:val="ListParagraph"/>
        <w:numPr>
          <w:ilvl w:val="0"/>
          <w:numId w:val="1"/>
        </w:numPr>
        <w:spacing w:line="360" w:lineRule="auto"/>
        <w:ind w:left="368"/>
        <w:jc w:val="both"/>
        <w:rPr>
          <w:rFonts w:ascii="David" w:hAnsi="David" w:cs="David"/>
          <w:sz w:val="24"/>
          <w:szCs w:val="24"/>
        </w:rPr>
      </w:pPr>
      <w:r>
        <w:rPr>
          <w:rFonts w:ascii="David" w:hAnsi="David" w:cs="David"/>
          <w:sz w:val="24"/>
          <w:szCs w:val="24"/>
          <w:rtl/>
        </w:rPr>
        <w:t xml:space="preserve">בגזירת עונשו של הנאשם הבאתי בחשבון פגיעת עונש מאסר בו ובמשפחתו, באשתו הצעירה ובחמשת ילדיהם הקטנים. עבור הנאשם מדובר במאסר ראשון בחייו. עם זאת הפסיקה בעבירות אלו נחרצת בקבעה כי אין בכוחן של נסיבות אישיות לגבור על שיקולי ענישה אחרים ואין בצער שנגרם לבני המשפחה שיקול מכריע לטובת קיצור משמעותי של משך תקופת המאסר. בהקשר זה ייאמר כי גם בנסיבות בהן חל החריג הקבוע </w:t>
      </w:r>
      <w:hyperlink r:id="rId31" w:history="1">
        <w:r w:rsidR="00626633" w:rsidRPr="00626633">
          <w:rPr>
            <w:rStyle w:val="Hyperlink"/>
            <w:rFonts w:ascii="David" w:hAnsi="David" w:cs="David"/>
            <w:color w:val="0000FF"/>
            <w:sz w:val="24"/>
            <w:szCs w:val="24"/>
            <w:rtl/>
          </w:rPr>
          <w:t>בסעיף 40ד</w:t>
        </w:r>
      </w:hyperlink>
      <w:r>
        <w:rPr>
          <w:rFonts w:ascii="David" w:hAnsi="David" w:cs="David"/>
          <w:sz w:val="24"/>
          <w:szCs w:val="24"/>
          <w:rtl/>
        </w:rPr>
        <w:t xml:space="preserve"> לחוק, שיקולי שיקום אינם שוללים לחלוטין תחולתם של שיקולי הלימה (דברי הסבר להצעת </w:t>
      </w:r>
      <w:hyperlink r:id="rId32" w:history="1">
        <w:r w:rsidR="00A01EB4" w:rsidRPr="00A01EB4">
          <w:rPr>
            <w:rFonts w:ascii="David" w:hAnsi="David" w:cs="David"/>
            <w:color w:val="0000FF"/>
            <w:sz w:val="24"/>
            <w:szCs w:val="24"/>
            <w:u w:val="single"/>
            <w:rtl/>
          </w:rPr>
          <w:t>חוק העונשין</w:t>
        </w:r>
      </w:hyperlink>
      <w:r>
        <w:rPr>
          <w:rFonts w:ascii="David" w:hAnsi="David" w:cs="David"/>
          <w:sz w:val="24"/>
          <w:szCs w:val="24"/>
          <w:rtl/>
        </w:rPr>
        <w:t xml:space="preserve"> (תיקון מס' 113), התשע"ב-2012, ה"ח הממשלה 447. כן ראו</w:t>
      </w:r>
      <w:r>
        <w:rPr>
          <w:rFonts w:ascii="David" w:hAnsi="David" w:cs="David"/>
          <w:color w:val="000000"/>
          <w:sz w:val="24"/>
          <w:szCs w:val="24"/>
          <w:rtl/>
        </w:rPr>
        <w:t xml:space="preserve"> </w:t>
      </w:r>
      <w:hyperlink r:id="rId33" w:history="1">
        <w:r w:rsidR="00A01EB4" w:rsidRPr="00A01EB4">
          <w:rPr>
            <w:rFonts w:ascii="David" w:hAnsi="David" w:cs="David"/>
            <w:color w:val="0000FF"/>
            <w:sz w:val="24"/>
            <w:szCs w:val="24"/>
            <w:u w:val="single"/>
            <w:rtl/>
          </w:rPr>
          <w:t>ע"פ 671/19</w:t>
        </w:r>
      </w:hyperlink>
      <w:r>
        <w:rPr>
          <w:rFonts w:ascii="David" w:hAnsi="David" w:cs="David"/>
          <w:sz w:val="24"/>
          <w:szCs w:val="24"/>
          <w:rtl/>
        </w:rPr>
        <w:t xml:space="preserve"> </w:t>
      </w:r>
      <w:r>
        <w:rPr>
          <w:rFonts w:ascii="David" w:hAnsi="David" w:cs="David" w:hint="cs"/>
          <w:bCs/>
          <w:sz w:val="24"/>
          <w:szCs w:val="24"/>
          <w:rtl/>
        </w:rPr>
        <w:t>אבוטבול נ' מדינת ישראל</w:t>
      </w:r>
      <w:r>
        <w:rPr>
          <w:rFonts w:ascii="David" w:hAnsi="David" w:cs="David" w:hint="cs"/>
          <w:sz w:val="24"/>
          <w:szCs w:val="24"/>
          <w:rtl/>
        </w:rPr>
        <w:t>, פסקה 11 (7.10.2019)</w:t>
      </w:r>
      <w:r>
        <w:rPr>
          <w:rFonts w:ascii="David" w:hAnsi="David" w:cs="David" w:hint="cs"/>
          <w:color w:val="000000"/>
          <w:sz w:val="24"/>
          <w:szCs w:val="24"/>
          <w:rtl/>
        </w:rPr>
        <w:t xml:space="preserve">; </w:t>
      </w:r>
      <w:hyperlink r:id="rId34" w:history="1">
        <w:r w:rsidR="00A01EB4" w:rsidRPr="00A01EB4">
          <w:rPr>
            <w:rFonts w:ascii="David" w:hAnsi="David" w:cs="David"/>
            <w:color w:val="0000FF"/>
            <w:sz w:val="24"/>
            <w:szCs w:val="24"/>
            <w:u w:val="single"/>
            <w:rtl/>
          </w:rPr>
          <w:t>רע"פ 8095/17</w:t>
        </w:r>
      </w:hyperlink>
      <w:r>
        <w:rPr>
          <w:rFonts w:ascii="David" w:hAnsi="David" w:cs="David"/>
          <w:color w:val="000000"/>
          <w:sz w:val="24"/>
          <w:szCs w:val="24"/>
          <w:rtl/>
        </w:rPr>
        <w:t xml:space="preserve"> </w:t>
      </w:r>
      <w:r>
        <w:rPr>
          <w:rFonts w:ascii="David" w:hAnsi="David" w:cs="David"/>
          <w:bCs/>
          <w:sz w:val="24"/>
          <w:szCs w:val="24"/>
          <w:rtl/>
        </w:rPr>
        <w:t>סטרוסטה נ' מדינת ישראל</w:t>
      </w:r>
      <w:r>
        <w:rPr>
          <w:rFonts w:ascii="David" w:hAnsi="David" w:cs="David"/>
          <w:color w:val="000000"/>
          <w:sz w:val="24"/>
          <w:szCs w:val="24"/>
          <w:rtl/>
        </w:rPr>
        <w:t xml:space="preserve">, פסקה 7 </w:t>
      </w:r>
      <w:r>
        <w:rPr>
          <w:rFonts w:ascii="David" w:hAnsi="David" w:cs="David"/>
          <w:sz w:val="24"/>
          <w:szCs w:val="24"/>
          <w:rtl/>
        </w:rPr>
        <w:t xml:space="preserve"> </w:t>
      </w:r>
      <w:r>
        <w:rPr>
          <w:rFonts w:ascii="David" w:hAnsi="David" w:cs="David"/>
          <w:color w:val="000000"/>
          <w:sz w:val="24"/>
          <w:szCs w:val="24"/>
          <w:rtl/>
        </w:rPr>
        <w:t>(26.10.2017))</w:t>
      </w:r>
      <w:r>
        <w:rPr>
          <w:rFonts w:ascii="David" w:hAnsi="David" w:cs="David"/>
          <w:sz w:val="24"/>
          <w:szCs w:val="24"/>
          <w:rtl/>
        </w:rPr>
        <w:t xml:space="preserve">. בנסיבות הקונקרטיות של המקרה שלפני עדיין מוקדם לדבר על שינוי עמוק בתפיסה והדרך בראשיתה. </w:t>
      </w:r>
    </w:p>
    <w:p w14:paraId="766E4E22" w14:textId="77777777" w:rsidR="00F84F73" w:rsidRDefault="00F84F73" w:rsidP="00F84F73">
      <w:pPr>
        <w:pStyle w:val="ListParagraph"/>
        <w:numPr>
          <w:ilvl w:val="0"/>
          <w:numId w:val="1"/>
        </w:numPr>
        <w:spacing w:line="360" w:lineRule="auto"/>
        <w:ind w:left="368"/>
        <w:jc w:val="both"/>
        <w:rPr>
          <w:rFonts w:ascii="David" w:hAnsi="David" w:cs="David"/>
          <w:sz w:val="24"/>
          <w:szCs w:val="24"/>
        </w:rPr>
      </w:pPr>
      <w:r>
        <w:rPr>
          <w:rFonts w:ascii="David" w:hAnsi="David" w:cs="David"/>
          <w:sz w:val="24"/>
          <w:szCs w:val="24"/>
          <w:rtl/>
        </w:rPr>
        <w:t xml:space="preserve">שקלתי כוונות הנאשם לתפקוד נורמטיבי בעתיד ואני מחזקת ידיו שיתמיד ברצון זה, ימשיך בטיפול גם במסגרת המאסר ויוכל לשוב לחברה בעתיד כשהוא מצויד בכלים נורמטיביים להתמודד עם קשיים שעוד יקרו על דרכו.  </w:t>
      </w:r>
    </w:p>
    <w:p w14:paraId="00B85D06" w14:textId="77777777" w:rsidR="00F84F73" w:rsidRDefault="00F84F73" w:rsidP="00F84F73">
      <w:pPr>
        <w:spacing w:line="360" w:lineRule="auto"/>
        <w:jc w:val="both"/>
        <w:rPr>
          <w:rFonts w:ascii="David" w:hAnsi="David"/>
        </w:rPr>
      </w:pPr>
    </w:p>
    <w:p w14:paraId="3BD56D98" w14:textId="77777777" w:rsidR="00F84F73" w:rsidRDefault="00F84F73" w:rsidP="00F84F73">
      <w:pPr>
        <w:spacing w:line="360" w:lineRule="auto"/>
        <w:jc w:val="both"/>
        <w:rPr>
          <w:rFonts w:ascii="David" w:hAnsi="David"/>
          <w:b/>
          <w:bCs/>
          <w:u w:val="double"/>
          <w:rtl/>
        </w:rPr>
      </w:pPr>
      <w:r>
        <w:rPr>
          <w:rFonts w:ascii="David" w:hAnsi="David"/>
          <w:b/>
          <w:bCs/>
          <w:u w:val="double"/>
          <w:rtl/>
        </w:rPr>
        <w:t>סוף דבר – אני גוזרת על הנאשם את העונשים הבאים:</w:t>
      </w:r>
    </w:p>
    <w:p w14:paraId="05DA45D4" w14:textId="77777777" w:rsidR="00F84F73" w:rsidRDefault="00F84F73" w:rsidP="00F84F73">
      <w:pPr>
        <w:pStyle w:val="ListParagraph"/>
        <w:numPr>
          <w:ilvl w:val="0"/>
          <w:numId w:val="3"/>
        </w:numPr>
        <w:spacing w:before="120" w:after="120" w:line="360" w:lineRule="auto"/>
        <w:ind w:left="226"/>
        <w:jc w:val="both"/>
        <w:rPr>
          <w:rFonts w:ascii="David" w:hAnsi="David" w:cs="David"/>
          <w:sz w:val="24"/>
          <w:szCs w:val="24"/>
          <w:rtl/>
        </w:rPr>
      </w:pPr>
      <w:r>
        <w:rPr>
          <w:rFonts w:ascii="David" w:hAnsi="David" w:cs="David"/>
          <w:b/>
          <w:bCs/>
          <w:sz w:val="24"/>
          <w:szCs w:val="24"/>
          <w:rtl/>
        </w:rPr>
        <w:t>36</w:t>
      </w:r>
      <w:r>
        <w:rPr>
          <w:rFonts w:ascii="David" w:hAnsi="David" w:cs="David"/>
          <w:sz w:val="24"/>
          <w:szCs w:val="24"/>
          <w:rtl/>
        </w:rPr>
        <w:t xml:space="preserve"> </w:t>
      </w:r>
      <w:r>
        <w:rPr>
          <w:rFonts w:ascii="David" w:hAnsi="David" w:cs="David"/>
          <w:b/>
          <w:bCs/>
          <w:sz w:val="24"/>
          <w:szCs w:val="24"/>
          <w:rtl/>
        </w:rPr>
        <w:t xml:space="preserve">חודשי מאסר בפועל  בניכוי ימי מעצרו על פי רישומי שב"ס. </w:t>
      </w:r>
      <w:r>
        <w:rPr>
          <w:rFonts w:cs="David"/>
          <w:sz w:val="24"/>
          <w:szCs w:val="24"/>
          <w:rtl/>
        </w:rPr>
        <w:t xml:space="preserve">הנאשם יתייצב למאסרו בבימ"ר ניצן, עד השעה 10:00, ביום 20.4.25 כשברשותו תעודת זהות או דרכון. על הנאשם לתאם את הכניסה למאסר כולל האפשרות למיון מוקדם, עם ענף אבחון ומיון של שב"ס בטלפונים 074-7831077, 074-7831078. כן אני מורה על הוצאת צו עיכוב יציאה מהארץ למשך 180 יום או עד להתייצבות הנאשם במאסר לפי המוקדם. </w:t>
      </w:r>
      <w:r>
        <w:rPr>
          <w:rFonts w:cs="David" w:hint="cs"/>
          <w:sz w:val="24"/>
          <w:szCs w:val="24"/>
          <w:rtl/>
        </w:rPr>
        <w:t>רשמתי בפני הצהרת הנאשם שאינו אוחז בדרכון.</w:t>
      </w:r>
      <w:r>
        <w:rPr>
          <w:rFonts w:ascii="David" w:hAnsi="David" w:cs="David"/>
          <w:sz w:val="24"/>
          <w:szCs w:val="24"/>
          <w:rtl/>
        </w:rPr>
        <w:t xml:space="preserve"> </w:t>
      </w:r>
      <w:r>
        <w:rPr>
          <w:rFonts w:ascii="David" w:hAnsi="David" w:cs="David"/>
          <w:b/>
          <w:bCs/>
          <w:sz w:val="24"/>
          <w:szCs w:val="24"/>
          <w:rtl/>
        </w:rPr>
        <w:t>תנאי הפיקוח האלקטרוני יעמדו בתוקף עד כניסה למאסר.</w:t>
      </w:r>
    </w:p>
    <w:p w14:paraId="21B57A48" w14:textId="77777777" w:rsidR="00F84F73" w:rsidRDefault="00F84F73" w:rsidP="00F84F73">
      <w:pPr>
        <w:pStyle w:val="ListParagraph"/>
        <w:numPr>
          <w:ilvl w:val="0"/>
          <w:numId w:val="3"/>
        </w:numPr>
        <w:spacing w:after="0" w:line="360" w:lineRule="auto"/>
        <w:jc w:val="both"/>
        <w:rPr>
          <w:rFonts w:ascii="David" w:eastAsia="David" w:hAnsi="David" w:cs="David"/>
          <w:sz w:val="24"/>
          <w:szCs w:val="24"/>
        </w:rPr>
      </w:pPr>
      <w:r>
        <w:rPr>
          <w:rFonts w:ascii="David" w:eastAsia="David" w:hAnsi="David" w:cs="David"/>
          <w:b/>
          <w:bCs/>
          <w:sz w:val="24"/>
          <w:szCs w:val="24"/>
          <w:rtl/>
        </w:rPr>
        <w:t>10 חודשי מאסר על תנאי</w:t>
      </w:r>
      <w:r>
        <w:rPr>
          <w:rFonts w:ascii="David" w:eastAsia="David" w:hAnsi="David" w:cs="David"/>
          <w:sz w:val="24"/>
          <w:szCs w:val="24"/>
          <w:rtl/>
        </w:rPr>
        <w:t xml:space="preserve"> והתנאי הוא שבמשך שלוש שנים מיום שחרורו ממאסר לא יעבור עבירה לפי </w:t>
      </w:r>
      <w:hyperlink r:id="rId35" w:history="1">
        <w:r w:rsidR="00A01EB4" w:rsidRPr="00A01EB4">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מסוג פשע. </w:t>
      </w:r>
    </w:p>
    <w:p w14:paraId="4A20F2B3" w14:textId="77777777" w:rsidR="00F84F73" w:rsidRDefault="00F84F73" w:rsidP="00F84F73">
      <w:pPr>
        <w:pStyle w:val="ListParagraph"/>
        <w:numPr>
          <w:ilvl w:val="0"/>
          <w:numId w:val="3"/>
        </w:numPr>
        <w:spacing w:after="0" w:line="360" w:lineRule="auto"/>
        <w:jc w:val="both"/>
        <w:rPr>
          <w:rFonts w:ascii="David" w:eastAsia="David" w:hAnsi="David" w:cs="David"/>
          <w:sz w:val="24"/>
          <w:szCs w:val="24"/>
        </w:rPr>
      </w:pPr>
      <w:r>
        <w:rPr>
          <w:rFonts w:ascii="David" w:eastAsia="David" w:hAnsi="David" w:cs="David"/>
          <w:b/>
          <w:bCs/>
          <w:sz w:val="24"/>
          <w:szCs w:val="24"/>
          <w:rtl/>
        </w:rPr>
        <w:t>6 חודשי מאסר על תנאי</w:t>
      </w:r>
      <w:r>
        <w:rPr>
          <w:rFonts w:ascii="David" w:eastAsia="David" w:hAnsi="David" w:cs="David"/>
          <w:sz w:val="24"/>
          <w:szCs w:val="24"/>
          <w:rtl/>
        </w:rPr>
        <w:t xml:space="preserve"> והתנאי הוא שבמשך שלוש שנים מיום שחרורו ממאסר לא יעבור עבירה לפי </w:t>
      </w:r>
      <w:hyperlink r:id="rId36" w:history="1">
        <w:r w:rsidR="00A01EB4" w:rsidRPr="00A01EB4">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מסוג עוון. </w:t>
      </w:r>
    </w:p>
    <w:p w14:paraId="6D0B8EFF" w14:textId="77777777" w:rsidR="00F84F73" w:rsidRDefault="00F84F73" w:rsidP="00F84F73">
      <w:pPr>
        <w:pStyle w:val="ListParagraph"/>
        <w:numPr>
          <w:ilvl w:val="0"/>
          <w:numId w:val="3"/>
        </w:numPr>
        <w:spacing w:after="0" w:line="360" w:lineRule="auto"/>
        <w:jc w:val="both"/>
        <w:rPr>
          <w:rFonts w:ascii="David" w:eastAsia="David" w:hAnsi="David" w:cs="David"/>
          <w:sz w:val="24"/>
          <w:szCs w:val="24"/>
        </w:rPr>
      </w:pPr>
      <w:r>
        <w:rPr>
          <w:rFonts w:ascii="David" w:eastAsia="David" w:hAnsi="David" w:cs="David"/>
          <w:b/>
          <w:bCs/>
          <w:sz w:val="24"/>
          <w:szCs w:val="24"/>
          <w:rtl/>
        </w:rPr>
        <w:t xml:space="preserve">קנס בסך 10,000 ₪ </w:t>
      </w:r>
      <w:r>
        <w:rPr>
          <w:rFonts w:ascii="David" w:eastAsia="David" w:hAnsi="David" w:cs="David"/>
          <w:sz w:val="24"/>
          <w:szCs w:val="24"/>
          <w:rtl/>
        </w:rPr>
        <w:t>או 60 ימי מאסר למקרה שהקנס לא ישולם</w:t>
      </w:r>
      <w:r>
        <w:rPr>
          <w:rFonts w:ascii="David" w:eastAsia="David" w:hAnsi="David" w:cs="David"/>
          <w:b/>
          <w:bCs/>
          <w:sz w:val="24"/>
          <w:szCs w:val="24"/>
          <w:rtl/>
        </w:rPr>
        <w:t>.</w:t>
      </w:r>
      <w:r>
        <w:rPr>
          <w:rFonts w:ascii="David" w:eastAsia="David" w:hAnsi="David" w:cs="David"/>
          <w:sz w:val="24"/>
          <w:szCs w:val="24"/>
          <w:rtl/>
        </w:rPr>
        <w:t xml:space="preserve"> הקנס ישולם לא יאוחר מיום 1.8.25.  </w:t>
      </w:r>
      <w:r>
        <w:rPr>
          <w:rFonts w:ascii="David" w:eastAsia="David" w:hAnsi="David" w:cs="David" w:hint="cs"/>
          <w:sz w:val="24"/>
          <w:szCs w:val="24"/>
          <w:rtl/>
        </w:rPr>
        <w:t>לבקשת הנאשם ניתן יהיה לעשות שימוש בכספי הפקדון לצורך עמידה בתשלום הקנס וזאת לאחר התייצבות למאסר.</w:t>
      </w:r>
    </w:p>
    <w:p w14:paraId="6F79C1E6" w14:textId="77777777" w:rsidR="00F84F73" w:rsidRDefault="00F84F73" w:rsidP="00F84F73">
      <w:pPr>
        <w:pStyle w:val="ListParagraph"/>
        <w:numPr>
          <w:ilvl w:val="0"/>
          <w:numId w:val="3"/>
        </w:numPr>
        <w:spacing w:after="0" w:line="360" w:lineRule="auto"/>
        <w:jc w:val="both"/>
        <w:rPr>
          <w:rFonts w:ascii="David" w:eastAsia="David" w:hAnsi="David" w:cs="David"/>
          <w:sz w:val="24"/>
          <w:szCs w:val="24"/>
        </w:rPr>
      </w:pPr>
      <w:r>
        <w:rPr>
          <w:rFonts w:ascii="David" w:eastAsia="David" w:hAnsi="David" w:cs="David"/>
          <w:b/>
          <w:bCs/>
          <w:sz w:val="24"/>
          <w:szCs w:val="24"/>
          <w:rtl/>
        </w:rPr>
        <w:t>חילוט סך 5,720 ₪</w:t>
      </w:r>
      <w:r>
        <w:rPr>
          <w:rFonts w:ascii="David" w:eastAsia="David" w:hAnsi="David" w:cs="David"/>
          <w:sz w:val="24"/>
          <w:szCs w:val="24"/>
          <w:rtl/>
        </w:rPr>
        <w:t xml:space="preserve"> לטובת קרן החילוט- סמים. </w:t>
      </w:r>
    </w:p>
    <w:p w14:paraId="2D1078BC" w14:textId="77777777" w:rsidR="00F84F73" w:rsidRPr="00F84F73" w:rsidRDefault="00F84F73" w:rsidP="00F84F73">
      <w:pPr>
        <w:spacing w:line="360" w:lineRule="auto"/>
        <w:jc w:val="both"/>
        <w:rPr>
          <w:rFonts w:ascii="David" w:eastAsia="Calibri" w:hAnsi="David"/>
          <w:u w:val="single"/>
        </w:rPr>
      </w:pPr>
    </w:p>
    <w:p w14:paraId="6BF49897" w14:textId="77777777" w:rsidR="00F84F73" w:rsidRDefault="00F84F73" w:rsidP="00F84F73">
      <w:pPr>
        <w:jc w:val="both"/>
        <w:rPr>
          <w:rFonts w:ascii="David" w:hAnsi="David"/>
          <w:sz w:val="22"/>
          <w:szCs w:val="22"/>
          <w:rtl/>
        </w:rPr>
      </w:pPr>
      <w:r>
        <w:rPr>
          <w:rFonts w:ascii="David" w:hAnsi="David"/>
          <w:rtl/>
        </w:rPr>
        <w:t>החוב מועבר למרכז לגביית קנסות, אגרות והוצאות ברשות האכיפה והגבייה, בהתאם למועדים והתשלומים שקבע בית המשפט.</w:t>
      </w:r>
    </w:p>
    <w:p w14:paraId="218EBFF5" w14:textId="77777777" w:rsidR="00F84F73" w:rsidRDefault="00F84F73" w:rsidP="00F84F73">
      <w:pPr>
        <w:jc w:val="both"/>
        <w:rPr>
          <w:rFonts w:ascii="David" w:hAnsi="David"/>
        </w:rPr>
      </w:pPr>
      <w:r>
        <w:rPr>
          <w:rFonts w:ascii="David" w:hAnsi="David"/>
          <w:rtl/>
        </w:rPr>
        <w:t>ניתן יהיה לשלם את הקנס/ פיצוי/ ההוצאות כעבור שלושה ימים מיום מתן ההחלטה/</w:t>
      </w:r>
      <w:r w:rsidR="00A01EB4">
        <w:rPr>
          <w:rFonts w:ascii="David" w:hAnsi="David"/>
          <w:rtl/>
        </w:rPr>
        <w:t xml:space="preserve"> </w:t>
      </w:r>
      <w:r>
        <w:rPr>
          <w:rFonts w:ascii="David" w:hAnsi="David"/>
          <w:rtl/>
        </w:rPr>
        <w:t xml:space="preserve"> גזר הדין לחשבון המרכז לגביית קנסות, אגרות והוצאות ברשות האכיפה והגבייה באחת מהדרכים הבאות:</w:t>
      </w:r>
    </w:p>
    <w:p w14:paraId="7C66F171" w14:textId="77777777" w:rsidR="00F84F73" w:rsidRDefault="00F84F73" w:rsidP="00F84F73">
      <w:pPr>
        <w:pStyle w:val="ListParagraph"/>
        <w:numPr>
          <w:ilvl w:val="0"/>
          <w:numId w:val="4"/>
        </w:numPr>
        <w:spacing w:after="0" w:line="240" w:lineRule="auto"/>
        <w:jc w:val="both"/>
        <w:rPr>
          <w:rFonts w:ascii="David" w:hAnsi="David" w:cs="David"/>
          <w:b/>
          <w:bCs/>
        </w:rPr>
      </w:pPr>
      <w:r>
        <w:rPr>
          <w:rFonts w:ascii="David" w:hAnsi="David" w:cs="David"/>
          <w:b/>
          <w:bCs/>
          <w:rtl/>
        </w:rPr>
        <w:t>בכרטיס אשראי</w:t>
      </w:r>
      <w:r>
        <w:rPr>
          <w:rFonts w:ascii="David" w:hAnsi="David" w:cs="David"/>
          <w:rtl/>
        </w:rPr>
        <w:t xml:space="preserve"> – באתר המקוון של רשות האכיפה והגבייה, </w:t>
      </w:r>
      <w:hyperlink r:id="rId37" w:history="1">
        <w:r>
          <w:rPr>
            <w:rStyle w:val="Hyperlink"/>
            <w:rFonts w:ascii="David" w:hAnsi="David" w:cs="David"/>
          </w:rPr>
          <w:t>www.eca.gov.il</w:t>
        </w:r>
      </w:hyperlink>
      <w:r>
        <w:rPr>
          <w:rFonts w:ascii="David" w:hAnsi="David" w:cs="David"/>
        </w:rPr>
        <w:t xml:space="preserve"> </w:t>
      </w:r>
      <w:r w:rsidR="00A01EB4">
        <w:rPr>
          <w:rFonts w:ascii="David" w:hAnsi="David" w:cs="David"/>
          <w:rtl/>
        </w:rPr>
        <w:t xml:space="preserve"> </w:t>
      </w:r>
    </w:p>
    <w:p w14:paraId="14497B48" w14:textId="77777777" w:rsidR="00F84F73" w:rsidRDefault="00F84F73" w:rsidP="00F84F73">
      <w:pPr>
        <w:pStyle w:val="ListParagraph"/>
        <w:numPr>
          <w:ilvl w:val="0"/>
          <w:numId w:val="4"/>
        </w:numPr>
        <w:spacing w:after="0" w:line="240" w:lineRule="auto"/>
        <w:jc w:val="both"/>
        <w:rPr>
          <w:rFonts w:ascii="David" w:hAnsi="David" w:cs="David"/>
          <w:b/>
          <w:bCs/>
        </w:rPr>
      </w:pPr>
      <w:r>
        <w:rPr>
          <w:rFonts w:ascii="David" w:hAnsi="David" w:cs="David"/>
          <w:b/>
          <w:bCs/>
          <w:rtl/>
        </w:rPr>
        <w:t>מוקד שירות טלפוני בשרות עצמי (מרכז גבייה)</w:t>
      </w:r>
      <w:r w:rsidR="00A01EB4">
        <w:rPr>
          <w:rFonts w:ascii="David" w:hAnsi="David" w:cs="David"/>
          <w:b/>
          <w:bCs/>
          <w:rtl/>
        </w:rPr>
        <w:t xml:space="preserve"> </w:t>
      </w:r>
      <w:r>
        <w:rPr>
          <w:rFonts w:ascii="David" w:hAnsi="David" w:cs="David"/>
          <w:b/>
          <w:bCs/>
          <w:rtl/>
        </w:rPr>
        <w:t xml:space="preserve"> – בטלפון 35592* או בטלפון 073-2055000</w:t>
      </w:r>
    </w:p>
    <w:p w14:paraId="620B3D1D" w14:textId="77777777" w:rsidR="00F84F73" w:rsidRDefault="00F84F73" w:rsidP="00F84F73">
      <w:pPr>
        <w:pStyle w:val="ListParagraph"/>
        <w:numPr>
          <w:ilvl w:val="0"/>
          <w:numId w:val="4"/>
        </w:numPr>
        <w:spacing w:after="0" w:line="240" w:lineRule="auto"/>
        <w:jc w:val="both"/>
        <w:rPr>
          <w:rFonts w:ascii="David" w:hAnsi="David" w:cs="David"/>
          <w:b/>
          <w:bCs/>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64347812" w14:textId="77777777" w:rsidR="00F84F73" w:rsidRDefault="00F84F73" w:rsidP="00F84F73">
      <w:pPr>
        <w:pStyle w:val="ListParagraph"/>
        <w:jc w:val="both"/>
        <w:rPr>
          <w:rFonts w:ascii="David" w:hAnsi="David" w:cs="David"/>
          <w:sz w:val="24"/>
          <w:szCs w:val="24"/>
          <w:rtl/>
        </w:rPr>
      </w:pPr>
    </w:p>
    <w:p w14:paraId="4BEF3204" w14:textId="77777777" w:rsidR="00F84F73" w:rsidRDefault="00F84F73" w:rsidP="00F84F73">
      <w:pPr>
        <w:spacing w:line="360" w:lineRule="auto"/>
        <w:jc w:val="both"/>
        <w:rPr>
          <w:rFonts w:ascii="David" w:hAnsi="David"/>
        </w:rPr>
      </w:pPr>
      <w:r>
        <w:rPr>
          <w:rFonts w:ascii="David" w:hAnsi="David"/>
          <w:rtl/>
        </w:rPr>
        <w:t xml:space="preserve">ככל שהופקד פיקדון בתיק או בתיק המעצרים הקשור לתיק זה ובהעדר מניעה על פי דין, ולאחר התייצבות למאסר יוחזר הפיקדון למפקיד או לידי מי מטעמו עפ"י יפוי כוח. </w:t>
      </w:r>
    </w:p>
    <w:p w14:paraId="325E9760" w14:textId="77777777" w:rsidR="00F84F73" w:rsidRDefault="00F84F73" w:rsidP="00F84F73">
      <w:pPr>
        <w:spacing w:line="360" w:lineRule="auto"/>
        <w:jc w:val="both"/>
        <w:rPr>
          <w:rFonts w:ascii="David" w:hAnsi="David"/>
          <w:rtl/>
        </w:rPr>
      </w:pPr>
      <w:r>
        <w:rPr>
          <w:rFonts w:ascii="David" w:hAnsi="David"/>
          <w:rtl/>
        </w:rPr>
        <w:t xml:space="preserve">ניתן צו כללי למוצגים לפי שיקול דעת קצין המשטרה. המוצגים יחולטו/יושמדו/יושבו לבעליהם עפ"י החלטת קצין משטרה. </w:t>
      </w:r>
    </w:p>
    <w:p w14:paraId="71E20222" w14:textId="77777777" w:rsidR="00F84F73" w:rsidRDefault="00F84F73" w:rsidP="00F84F73">
      <w:pPr>
        <w:jc w:val="both"/>
        <w:rPr>
          <w:rFonts w:ascii="David" w:hAnsi="David"/>
        </w:rPr>
      </w:pPr>
      <w:r>
        <w:rPr>
          <w:rFonts w:ascii="David" w:hAnsi="David"/>
          <w:b/>
          <w:bCs/>
          <w:u w:val="double"/>
          <w:rtl/>
        </w:rPr>
        <w:t>המזכירות</w:t>
      </w:r>
      <w:r>
        <w:rPr>
          <w:rFonts w:ascii="David" w:hAnsi="David"/>
          <w:rtl/>
        </w:rPr>
        <w:t xml:space="preserve"> תעביר העתק לשירות המבחן ולמנהלת האיזוק האלקטרוני (הוארך המעצר באיזוק עד התייצבות לריצוי העונש). </w:t>
      </w:r>
    </w:p>
    <w:p w14:paraId="0678BE67" w14:textId="77777777" w:rsidR="00F84F73" w:rsidRDefault="00F84F73" w:rsidP="00F84F73">
      <w:pPr>
        <w:jc w:val="both"/>
        <w:rPr>
          <w:rFonts w:ascii="David" w:hAnsi="David"/>
          <w:rtl/>
        </w:rPr>
      </w:pPr>
    </w:p>
    <w:p w14:paraId="612D2632" w14:textId="77777777" w:rsidR="00F84F73" w:rsidRDefault="00F84F73" w:rsidP="00F84F73">
      <w:pPr>
        <w:rPr>
          <w:rFonts w:ascii="David" w:hAnsi="David"/>
          <w:b/>
          <w:bCs/>
          <w:rtl/>
        </w:rPr>
      </w:pPr>
      <w:r>
        <w:rPr>
          <w:rFonts w:ascii="David" w:hAnsi="David"/>
          <w:b/>
          <w:bCs/>
          <w:rtl/>
        </w:rPr>
        <w:t>זכות ערעור לבית המשפט העליון בתוך 45 יום.</w:t>
      </w:r>
    </w:p>
    <w:p w14:paraId="1C1F2F86" w14:textId="77777777" w:rsidR="00F84F73" w:rsidRDefault="00F84F73" w:rsidP="00F84F73">
      <w:pPr>
        <w:spacing w:line="360" w:lineRule="auto"/>
        <w:jc w:val="both"/>
        <w:rPr>
          <w:rFonts w:ascii="David" w:hAnsi="David"/>
          <w:rtl/>
        </w:rPr>
      </w:pPr>
    </w:p>
    <w:p w14:paraId="736ED59C" w14:textId="77777777" w:rsidR="00F84F73" w:rsidRPr="00B05847" w:rsidRDefault="00F84F73" w:rsidP="00F84F73">
      <w:pPr>
        <w:spacing w:line="360" w:lineRule="auto"/>
        <w:rPr>
          <w:rFonts w:ascii="Arial" w:hAnsi="Arial"/>
          <w:rtl/>
        </w:rPr>
      </w:pPr>
    </w:p>
    <w:p w14:paraId="7E05A8C5" w14:textId="77777777" w:rsidR="00F84F73" w:rsidRPr="00A01EB4" w:rsidRDefault="00A01EB4" w:rsidP="00F84F73">
      <w:pPr>
        <w:rPr>
          <w:color w:val="FFFFFF"/>
          <w:sz w:val="2"/>
          <w:szCs w:val="2"/>
          <w:rtl/>
        </w:rPr>
      </w:pPr>
      <w:r w:rsidRPr="00A01EB4">
        <w:rPr>
          <w:color w:val="FFFFFF"/>
          <w:sz w:val="2"/>
          <w:szCs w:val="2"/>
          <w:rtl/>
        </w:rPr>
        <w:t>5129371</w:t>
      </w:r>
    </w:p>
    <w:p w14:paraId="3A288B5F" w14:textId="77777777" w:rsidR="00F84F73" w:rsidRPr="00250B83" w:rsidRDefault="00A01EB4" w:rsidP="00F84F73">
      <w:pPr>
        <w:rPr>
          <w:rtl/>
        </w:rPr>
      </w:pPr>
      <w:bookmarkStart w:id="8" w:name="Nitan"/>
      <w:r w:rsidRPr="00A01EB4">
        <w:rPr>
          <w:rFonts w:ascii="Arial" w:hAnsi="Arial"/>
          <w:color w:val="FFFFFF"/>
          <w:sz w:val="2"/>
          <w:szCs w:val="2"/>
          <w:rtl/>
        </w:rPr>
        <w:t>54678313</w:t>
      </w:r>
      <w:r>
        <w:rPr>
          <w:rFonts w:ascii="Arial" w:hAnsi="Arial"/>
          <w:rtl/>
        </w:rPr>
        <w:t xml:space="preserve">ניתן היום,  כ"ד אדר תשפ"ה, 24 מרץ 2025, במעמד הצדדים. </w:t>
      </w:r>
      <w:bookmarkEnd w:id="8"/>
    </w:p>
    <w:p w14:paraId="40779474" w14:textId="77777777" w:rsidR="00F84F73" w:rsidRPr="00250B83" w:rsidRDefault="00F84F73" w:rsidP="00A01EB4">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4686F0EB" w14:textId="77777777" w:rsidR="00F84F73" w:rsidRPr="00250B83" w:rsidRDefault="00F84F73" w:rsidP="00F84F73">
      <w:pPr>
        <w:jc w:val="center"/>
        <w:rPr>
          <w:rFonts w:ascii="Arial" w:hAnsi="Arial"/>
          <w:rtl/>
        </w:rPr>
      </w:pPr>
    </w:p>
    <w:p w14:paraId="41D54BDA" w14:textId="77777777" w:rsidR="00F84F73" w:rsidRPr="00250B83" w:rsidRDefault="00F84F73" w:rsidP="00F84F73">
      <w:pPr>
        <w:rPr>
          <w:rtl/>
        </w:rPr>
      </w:pPr>
    </w:p>
    <w:p w14:paraId="2ECBB3ED" w14:textId="77777777" w:rsidR="00F84F73" w:rsidRPr="00626633" w:rsidRDefault="00626633" w:rsidP="00F84F73">
      <w:pPr>
        <w:pStyle w:val="a3"/>
        <w:jc w:val="center"/>
        <w:rPr>
          <w:color w:val="FFFFFF"/>
          <w:sz w:val="2"/>
          <w:szCs w:val="2"/>
          <w:rtl/>
        </w:rPr>
      </w:pPr>
      <w:r w:rsidRPr="00626633">
        <w:rPr>
          <w:color w:val="FFFFFF"/>
          <w:sz w:val="2"/>
          <w:szCs w:val="2"/>
          <w:rtl/>
        </w:rPr>
        <w:t>5129371</w:t>
      </w:r>
    </w:p>
    <w:p w14:paraId="57C25ABF" w14:textId="77777777" w:rsidR="005407E8" w:rsidRPr="00626633" w:rsidRDefault="00626633" w:rsidP="00A01EB4">
      <w:pPr>
        <w:keepNext/>
        <w:rPr>
          <w:rFonts w:ascii="David" w:hAnsi="David"/>
          <w:color w:val="FFFFFF"/>
          <w:sz w:val="2"/>
          <w:szCs w:val="2"/>
          <w:rtl/>
        </w:rPr>
      </w:pPr>
      <w:r w:rsidRPr="00626633">
        <w:rPr>
          <w:rFonts w:ascii="David" w:hAnsi="David"/>
          <w:color w:val="FFFFFF"/>
          <w:sz w:val="2"/>
          <w:szCs w:val="2"/>
          <w:rtl/>
        </w:rPr>
        <w:t>54678313</w:t>
      </w:r>
    </w:p>
    <w:p w14:paraId="56202E72" w14:textId="77777777" w:rsidR="00A01EB4" w:rsidRDefault="00A01EB4" w:rsidP="00A01EB4">
      <w:pPr>
        <w:rPr>
          <w:rtl/>
        </w:rPr>
      </w:pPr>
    </w:p>
    <w:p w14:paraId="2BA2BC2F" w14:textId="77777777" w:rsidR="00A01EB4" w:rsidRDefault="00A01EB4" w:rsidP="00A01EB4">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1D1A18B7" w14:textId="77777777" w:rsidR="00626633" w:rsidRPr="00626633" w:rsidRDefault="00626633" w:rsidP="00626633">
      <w:pPr>
        <w:keepNext/>
        <w:rPr>
          <w:rFonts w:ascii="David" w:hAnsi="David"/>
          <w:color w:val="000000"/>
          <w:sz w:val="22"/>
          <w:szCs w:val="22"/>
          <w:rtl/>
        </w:rPr>
      </w:pPr>
    </w:p>
    <w:p w14:paraId="0D32DC75" w14:textId="77777777" w:rsidR="00626633" w:rsidRPr="00626633" w:rsidRDefault="00626633" w:rsidP="00626633">
      <w:pPr>
        <w:keepNext/>
        <w:rPr>
          <w:rFonts w:ascii="David" w:hAnsi="David"/>
          <w:color w:val="000000"/>
          <w:sz w:val="22"/>
          <w:szCs w:val="22"/>
          <w:rtl/>
        </w:rPr>
      </w:pPr>
      <w:r w:rsidRPr="00626633">
        <w:rPr>
          <w:rFonts w:ascii="David" w:hAnsi="David"/>
          <w:color w:val="000000"/>
          <w:sz w:val="22"/>
          <w:szCs w:val="22"/>
          <w:rtl/>
        </w:rPr>
        <w:t>נעה תבור 54678313-/</w:t>
      </w:r>
    </w:p>
    <w:p w14:paraId="73401BEA" w14:textId="77777777" w:rsidR="00A01EB4" w:rsidRPr="00A01EB4" w:rsidRDefault="00626633" w:rsidP="00626633">
      <w:pPr>
        <w:rPr>
          <w:color w:val="0000FF"/>
          <w:u w:val="single"/>
        </w:rPr>
      </w:pPr>
      <w:r w:rsidRPr="00626633">
        <w:rPr>
          <w:color w:val="000000"/>
          <w:u w:val="single"/>
          <w:rtl/>
        </w:rPr>
        <w:t>נוסח מסמך זה כפוף לשינויי ניסוח ועריכה</w:t>
      </w:r>
    </w:p>
    <w:sectPr w:rsidR="00A01EB4" w:rsidRPr="00A01EB4" w:rsidSect="00626633">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A2E75" w14:textId="77777777" w:rsidR="008D57EA" w:rsidRDefault="008D57EA" w:rsidP="00F53937">
      <w:r>
        <w:separator/>
      </w:r>
    </w:p>
  </w:endnote>
  <w:endnote w:type="continuationSeparator" w:id="0">
    <w:p w14:paraId="4776EEB5" w14:textId="77777777" w:rsidR="008D57EA" w:rsidRDefault="008D57EA" w:rsidP="00F53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6DC54" w14:textId="77777777" w:rsidR="00626633" w:rsidRDefault="00626633" w:rsidP="0062663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D1F632B" w14:textId="77777777" w:rsidR="005407E8" w:rsidRPr="00626633" w:rsidRDefault="00626633" w:rsidP="00626633">
    <w:pPr>
      <w:pStyle w:val="a5"/>
      <w:pBdr>
        <w:top w:val="single" w:sz="4" w:space="1" w:color="auto"/>
        <w:between w:val="single" w:sz="4" w:space="0" w:color="auto"/>
      </w:pBdr>
      <w:spacing w:after="60"/>
      <w:jc w:val="center"/>
      <w:rPr>
        <w:rFonts w:ascii="FrankRuehl" w:hAnsi="FrankRuehl" w:cs="FrankRuehl"/>
        <w:color w:val="000000"/>
      </w:rPr>
    </w:pPr>
    <w:r w:rsidRPr="0062663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FE373" w14:textId="77777777" w:rsidR="00626633" w:rsidRDefault="00626633" w:rsidP="0062663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4E49">
      <w:rPr>
        <w:rFonts w:ascii="FrankRuehl" w:hAnsi="FrankRuehl" w:cs="FrankRuehl"/>
        <w:noProof/>
        <w:rtl/>
      </w:rPr>
      <w:t>1</w:t>
    </w:r>
    <w:r>
      <w:rPr>
        <w:rFonts w:ascii="FrankRuehl" w:hAnsi="FrankRuehl" w:cs="FrankRuehl"/>
        <w:rtl/>
      </w:rPr>
      <w:fldChar w:fldCharType="end"/>
    </w:r>
  </w:p>
  <w:p w14:paraId="571583B3" w14:textId="77777777" w:rsidR="005407E8" w:rsidRPr="00626633" w:rsidRDefault="00626633" w:rsidP="00626633">
    <w:pPr>
      <w:pStyle w:val="a5"/>
      <w:pBdr>
        <w:top w:val="single" w:sz="4" w:space="1" w:color="auto"/>
        <w:between w:val="single" w:sz="4" w:space="0" w:color="auto"/>
      </w:pBdr>
      <w:spacing w:after="60"/>
      <w:jc w:val="center"/>
      <w:rPr>
        <w:rFonts w:ascii="FrankRuehl" w:hAnsi="FrankRuehl" w:cs="FrankRuehl"/>
        <w:color w:val="000000"/>
      </w:rPr>
    </w:pPr>
    <w:r w:rsidRPr="00626633">
      <w:rPr>
        <w:rFonts w:ascii="FrankRuehl" w:hAnsi="FrankRuehl" w:cs="FrankRuehl"/>
        <w:color w:val="000000"/>
      </w:rPr>
      <w:pict w14:anchorId="25352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4A7A1" w14:textId="77777777" w:rsidR="008D57EA" w:rsidRDefault="008D57EA" w:rsidP="00F53937">
      <w:r>
        <w:separator/>
      </w:r>
    </w:p>
  </w:footnote>
  <w:footnote w:type="continuationSeparator" w:id="0">
    <w:p w14:paraId="4FCCC6F8" w14:textId="77777777" w:rsidR="008D57EA" w:rsidRDefault="008D57EA" w:rsidP="00F53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F94D0" w14:textId="77777777" w:rsidR="00A01EB4" w:rsidRPr="00626633" w:rsidRDefault="00626633" w:rsidP="0062663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71101-01-24</w:t>
    </w:r>
    <w:r>
      <w:rPr>
        <w:rFonts w:ascii="David" w:hAnsi="David"/>
        <w:color w:val="000000"/>
        <w:sz w:val="22"/>
        <w:szCs w:val="22"/>
        <w:rtl/>
      </w:rPr>
      <w:tab/>
      <w:t xml:space="preserve"> מדינת ישראל נ' מחמוד אבו אלקיעאן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48B93" w14:textId="77777777" w:rsidR="00A01EB4" w:rsidRPr="00626633" w:rsidRDefault="00626633" w:rsidP="0062663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71101-01-24</w:t>
    </w:r>
    <w:r>
      <w:rPr>
        <w:rFonts w:ascii="David" w:hAnsi="David"/>
        <w:color w:val="000000"/>
        <w:sz w:val="22"/>
        <w:szCs w:val="22"/>
        <w:rtl/>
      </w:rPr>
      <w:tab/>
      <w:t xml:space="preserve"> מדינת ישראל נ' מחמוד אבו אלקיעאן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0B0605E"/>
    <w:multiLevelType w:val="hybridMultilevel"/>
    <w:tmpl w:val="1EFAB656"/>
    <w:lvl w:ilvl="0" w:tplc="B908EB62">
      <w:start w:val="1"/>
      <w:numFmt w:val="decimal"/>
      <w:lvlText w:val="%1."/>
      <w:lvlJc w:val="left"/>
      <w:pPr>
        <w:ind w:left="4896"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FDB28EB"/>
    <w:multiLevelType w:val="hybridMultilevel"/>
    <w:tmpl w:val="075A577E"/>
    <w:lvl w:ilvl="0" w:tplc="D3B8CB4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9D2067D"/>
    <w:multiLevelType w:val="hybridMultilevel"/>
    <w:tmpl w:val="D5DCF058"/>
    <w:lvl w:ilvl="0" w:tplc="4C8CEDC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203976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55028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38800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58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4F73"/>
    <w:rsid w:val="0018641C"/>
    <w:rsid w:val="00214E49"/>
    <w:rsid w:val="005407E8"/>
    <w:rsid w:val="00626633"/>
    <w:rsid w:val="00676B76"/>
    <w:rsid w:val="00747E4F"/>
    <w:rsid w:val="008D57EA"/>
    <w:rsid w:val="00A01EB4"/>
    <w:rsid w:val="00F53937"/>
    <w:rsid w:val="00F84F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FAE532"/>
  <w15:chartTrackingRefBased/>
  <w15:docId w15:val="{6F4F3F0A-34CE-4B0A-B77B-9681F264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4F7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4F73"/>
    <w:pPr>
      <w:tabs>
        <w:tab w:val="center" w:pos="4153"/>
        <w:tab w:val="right" w:pos="8306"/>
      </w:tabs>
    </w:pPr>
  </w:style>
  <w:style w:type="character" w:customStyle="1" w:styleId="a4">
    <w:name w:val="כותרת עליונה תו"/>
    <w:link w:val="a3"/>
    <w:rsid w:val="00F84F73"/>
    <w:rPr>
      <w:rFonts w:ascii="Times New Roman" w:eastAsia="Times New Roman" w:hAnsi="Times New Roman" w:cs="David"/>
      <w:sz w:val="24"/>
      <w:szCs w:val="24"/>
    </w:rPr>
  </w:style>
  <w:style w:type="paragraph" w:styleId="a5">
    <w:name w:val="footer"/>
    <w:basedOn w:val="a"/>
    <w:link w:val="a6"/>
    <w:rsid w:val="00F84F73"/>
    <w:pPr>
      <w:tabs>
        <w:tab w:val="center" w:pos="4153"/>
        <w:tab w:val="right" w:pos="8306"/>
      </w:tabs>
    </w:pPr>
  </w:style>
  <w:style w:type="character" w:customStyle="1" w:styleId="a6">
    <w:name w:val="כותרת תחתונה תו"/>
    <w:link w:val="a5"/>
    <w:rsid w:val="00F84F73"/>
    <w:rPr>
      <w:rFonts w:ascii="Times New Roman" w:eastAsia="Times New Roman" w:hAnsi="Times New Roman" w:cs="David"/>
      <w:sz w:val="24"/>
      <w:szCs w:val="24"/>
    </w:rPr>
  </w:style>
  <w:style w:type="table" w:styleId="a7">
    <w:name w:val="Table Grid"/>
    <w:basedOn w:val="a1"/>
    <w:rsid w:val="00F84F7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4F73"/>
  </w:style>
  <w:style w:type="character" w:styleId="Hyperlink">
    <w:name w:val="Hyperlink"/>
    <w:rsid w:val="00F84F73"/>
    <w:rPr>
      <w:color w:val="0563C1"/>
      <w:u w:val="single"/>
    </w:rPr>
  </w:style>
  <w:style w:type="character" w:customStyle="1" w:styleId="ListParagraphChar">
    <w:name w:val="List Paragraph Char"/>
    <w:aliases w:val="ציטוט פסיקה Char"/>
    <w:link w:val="ListParagraph"/>
    <w:locked/>
    <w:rsid w:val="00F84F73"/>
  </w:style>
  <w:style w:type="paragraph" w:customStyle="1" w:styleId="ListParagraph">
    <w:name w:val="List Paragraph"/>
    <w:aliases w:val="ציטוט פסיקה"/>
    <w:basedOn w:val="a"/>
    <w:link w:val="ListParagraphChar"/>
    <w:qFormat/>
    <w:rsid w:val="00F84F73"/>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10" TargetMode="External"/><Relationship Id="rId26" Type="http://schemas.openxmlformats.org/officeDocument/2006/relationships/hyperlink" Target="http://www.nevo.co.il/law/70301/40d.a" TargetMode="External"/><Relationship Id="rId39" Type="http://schemas.openxmlformats.org/officeDocument/2006/relationships/header" Target="header1.xml"/><Relationship Id="rId21" Type="http://schemas.openxmlformats.org/officeDocument/2006/relationships/hyperlink" Target="http://www.nevo.co.il/case/29321106" TargetMode="External"/><Relationship Id="rId34" Type="http://schemas.openxmlformats.org/officeDocument/2006/relationships/hyperlink" Target="http://www.nevo.co.il/case/23226235"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26318040" TargetMode="External"/><Relationship Id="rId29" Type="http://schemas.openxmlformats.org/officeDocument/2006/relationships/hyperlink" Target="http://www.nevo.co.il/case/25029385"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7397210" TargetMode="External"/><Relationship Id="rId32" Type="http://schemas.openxmlformats.org/officeDocument/2006/relationships/hyperlink" Target="http://www.nevo.co.il/law/70301" TargetMode="External"/><Relationship Id="rId37" Type="http://schemas.openxmlformats.org/officeDocument/2006/relationships/hyperlink" Target="http://www.eca.gov.il"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9090012" TargetMode="External"/><Relationship Id="rId28" Type="http://schemas.openxmlformats.org/officeDocument/2006/relationships/hyperlink" Target="http://www.nevo.co.il/case/22938500"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0" TargetMode="External"/><Relationship Id="rId19" Type="http://schemas.openxmlformats.org/officeDocument/2006/relationships/hyperlink" Target="https://www.nevo.co.il/psika_html/elyon/21029860-J01.htm" TargetMode="External"/><Relationship Id="rId31" Type="http://schemas.openxmlformats.org/officeDocument/2006/relationships/hyperlink" Target="http://www.nevo.co.il/law/70301/40d"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b" TargetMode="External"/><Relationship Id="rId22" Type="http://schemas.openxmlformats.org/officeDocument/2006/relationships/hyperlink" Target="http://www.nevo.co.il/case/29090023" TargetMode="External"/><Relationship Id="rId27" Type="http://schemas.openxmlformats.org/officeDocument/2006/relationships/hyperlink" Target="http://www.nevo.co.il/law/70301/40d.b" TargetMode="External"/><Relationship Id="rId30" Type="http://schemas.openxmlformats.org/officeDocument/2006/relationships/hyperlink" Target="http://www.nevo.co.il/case/23506543" TargetMode="External"/><Relationship Id="rId35" Type="http://schemas.openxmlformats.org/officeDocument/2006/relationships/hyperlink" Target="http://www.nevo.co.il/law/4216"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4344662" TargetMode="External"/><Relationship Id="rId33" Type="http://schemas.openxmlformats.org/officeDocument/2006/relationships/hyperlink" Target="http://www.nevo.co.il/case/2538623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2733</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16368</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7864368</vt:i4>
      </vt:variant>
      <vt:variant>
        <vt:i4>90</vt:i4>
      </vt:variant>
      <vt:variant>
        <vt:i4>0</vt:i4>
      </vt:variant>
      <vt:variant>
        <vt:i4>5</vt:i4>
      </vt:variant>
      <vt:variant>
        <vt:lpwstr>http://www.eca.gov.il/</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3473527</vt:i4>
      </vt:variant>
      <vt:variant>
        <vt:i4>81</vt:i4>
      </vt:variant>
      <vt:variant>
        <vt:i4>0</vt:i4>
      </vt:variant>
      <vt:variant>
        <vt:i4>5</vt:i4>
      </vt:variant>
      <vt:variant>
        <vt:lpwstr>http://www.nevo.co.il/case/23226235</vt:lpwstr>
      </vt:variant>
      <vt:variant>
        <vt:lpwstr/>
      </vt:variant>
      <vt:variant>
        <vt:i4>3407995</vt:i4>
      </vt:variant>
      <vt:variant>
        <vt:i4>78</vt:i4>
      </vt:variant>
      <vt:variant>
        <vt:i4>0</vt:i4>
      </vt:variant>
      <vt:variant>
        <vt:i4>5</vt:i4>
      </vt:variant>
      <vt:variant>
        <vt:lpwstr>http://www.nevo.co.il/case/25386231</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3473522</vt:i4>
      </vt:variant>
      <vt:variant>
        <vt:i4>69</vt:i4>
      </vt:variant>
      <vt:variant>
        <vt:i4>0</vt:i4>
      </vt:variant>
      <vt:variant>
        <vt:i4>5</vt:i4>
      </vt:variant>
      <vt:variant>
        <vt:lpwstr>http://www.nevo.co.il/case/23506543</vt:lpwstr>
      </vt:variant>
      <vt:variant>
        <vt:lpwstr/>
      </vt:variant>
      <vt:variant>
        <vt:i4>3342448</vt:i4>
      </vt:variant>
      <vt:variant>
        <vt:i4>66</vt:i4>
      </vt:variant>
      <vt:variant>
        <vt:i4>0</vt:i4>
      </vt:variant>
      <vt:variant>
        <vt:i4>5</vt:i4>
      </vt:variant>
      <vt:variant>
        <vt:lpwstr>http://www.nevo.co.il/case/25029385</vt:lpwstr>
      </vt:variant>
      <vt:variant>
        <vt:lpwstr/>
      </vt:variant>
      <vt:variant>
        <vt:i4>3342448</vt:i4>
      </vt:variant>
      <vt:variant>
        <vt:i4>63</vt:i4>
      </vt:variant>
      <vt:variant>
        <vt:i4>0</vt:i4>
      </vt:variant>
      <vt:variant>
        <vt:i4>5</vt:i4>
      </vt:variant>
      <vt:variant>
        <vt:lpwstr>http://www.nevo.co.il/case/22938500</vt:lpwstr>
      </vt:variant>
      <vt:variant>
        <vt:lpwstr/>
      </vt:variant>
      <vt:variant>
        <vt:i4>4915205</vt:i4>
      </vt:variant>
      <vt:variant>
        <vt:i4>60</vt:i4>
      </vt:variant>
      <vt:variant>
        <vt:i4>0</vt:i4>
      </vt:variant>
      <vt:variant>
        <vt:i4>5</vt:i4>
      </vt:variant>
      <vt:variant>
        <vt:lpwstr>http://www.nevo.co.il/law/70301/40d.b</vt:lpwstr>
      </vt:variant>
      <vt:variant>
        <vt:lpwstr/>
      </vt:variant>
      <vt:variant>
        <vt:i4>4915205</vt:i4>
      </vt:variant>
      <vt:variant>
        <vt:i4>57</vt:i4>
      </vt:variant>
      <vt:variant>
        <vt:i4>0</vt:i4>
      </vt:variant>
      <vt:variant>
        <vt:i4>5</vt:i4>
      </vt:variant>
      <vt:variant>
        <vt:lpwstr>http://www.nevo.co.il/law/70301/40d.a</vt:lpwstr>
      </vt:variant>
      <vt:variant>
        <vt:lpwstr/>
      </vt:variant>
      <vt:variant>
        <vt:i4>3342450</vt:i4>
      </vt:variant>
      <vt:variant>
        <vt:i4>54</vt:i4>
      </vt:variant>
      <vt:variant>
        <vt:i4>0</vt:i4>
      </vt:variant>
      <vt:variant>
        <vt:i4>5</vt:i4>
      </vt:variant>
      <vt:variant>
        <vt:lpwstr>http://www.nevo.co.il/case/24344662</vt:lpwstr>
      </vt:variant>
      <vt:variant>
        <vt:lpwstr/>
      </vt:variant>
      <vt:variant>
        <vt:i4>3604600</vt:i4>
      </vt:variant>
      <vt:variant>
        <vt:i4>51</vt:i4>
      </vt:variant>
      <vt:variant>
        <vt:i4>0</vt:i4>
      </vt:variant>
      <vt:variant>
        <vt:i4>5</vt:i4>
      </vt:variant>
      <vt:variant>
        <vt:lpwstr>http://www.nevo.co.il/case/27397210</vt:lpwstr>
      </vt:variant>
      <vt:variant>
        <vt:lpwstr/>
      </vt:variant>
      <vt:variant>
        <vt:i4>3342452</vt:i4>
      </vt:variant>
      <vt:variant>
        <vt:i4>48</vt:i4>
      </vt:variant>
      <vt:variant>
        <vt:i4>0</vt:i4>
      </vt:variant>
      <vt:variant>
        <vt:i4>5</vt:i4>
      </vt:variant>
      <vt:variant>
        <vt:lpwstr>http://www.nevo.co.il/case/29090012</vt:lpwstr>
      </vt:variant>
      <vt:variant>
        <vt:lpwstr/>
      </vt:variant>
      <vt:variant>
        <vt:i4>3145844</vt:i4>
      </vt:variant>
      <vt:variant>
        <vt:i4>45</vt:i4>
      </vt:variant>
      <vt:variant>
        <vt:i4>0</vt:i4>
      </vt:variant>
      <vt:variant>
        <vt:i4>5</vt:i4>
      </vt:variant>
      <vt:variant>
        <vt:lpwstr>http://www.nevo.co.il/case/29090023</vt:lpwstr>
      </vt:variant>
      <vt:variant>
        <vt:lpwstr/>
      </vt:variant>
      <vt:variant>
        <vt:i4>3145854</vt:i4>
      </vt:variant>
      <vt:variant>
        <vt:i4>42</vt:i4>
      </vt:variant>
      <vt:variant>
        <vt:i4>0</vt:i4>
      </vt:variant>
      <vt:variant>
        <vt:i4>5</vt:i4>
      </vt:variant>
      <vt:variant>
        <vt:lpwstr>http://www.nevo.co.il/case/29321106</vt:lpwstr>
      </vt:variant>
      <vt:variant>
        <vt:lpwstr/>
      </vt:variant>
      <vt:variant>
        <vt:i4>3997811</vt:i4>
      </vt:variant>
      <vt:variant>
        <vt:i4>39</vt:i4>
      </vt:variant>
      <vt:variant>
        <vt:i4>0</vt:i4>
      </vt:variant>
      <vt:variant>
        <vt:i4>5</vt:i4>
      </vt:variant>
      <vt:variant>
        <vt:lpwstr>http://www.nevo.co.il/case/26318040</vt:lpwstr>
      </vt:variant>
      <vt:variant>
        <vt:lpwstr/>
      </vt:variant>
      <vt:variant>
        <vt:i4>4718648</vt:i4>
      </vt:variant>
      <vt:variant>
        <vt:i4>36</vt:i4>
      </vt:variant>
      <vt:variant>
        <vt:i4>0</vt:i4>
      </vt:variant>
      <vt:variant>
        <vt:i4>5</vt:i4>
      </vt:variant>
      <vt:variant>
        <vt:lpwstr>https://www.nevo.co.il/psika_html/elyon/21029860-J01.htm</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4915205</vt:i4>
      </vt:variant>
      <vt:variant>
        <vt:i4>21</vt:i4>
      </vt:variant>
      <vt:variant>
        <vt:i4>0</vt:i4>
      </vt:variant>
      <vt:variant>
        <vt:i4>5</vt:i4>
      </vt:variant>
      <vt:variant>
        <vt:lpwstr>http://www.nevo.co.il/law/70301/40d.b</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2025-04-22T21:31:00Z</dcterms:created>
  <dcterms:modified xsi:type="dcterms:W3CDTF">2025-04-22T21:31:00Z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71101</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מחמוד אבו אלקיעאן</vt:lpwstr>
  </property>
  <property fmtid="{D5CDD505-2E9C-101B-9397-08002B2CF9AE}" pid="10" name="LAWYER">
    <vt:lpwstr>פרוסט;גולדהמר;מחמוד נעאמנה</vt:lpwstr>
  </property>
  <property fmtid="{D5CDD505-2E9C-101B-9397-08002B2CF9AE}" pid="11" name="JUDGE">
    <vt:lpwstr>נעה תבור</vt:lpwstr>
  </property>
  <property fmtid="{D5CDD505-2E9C-101B-9397-08002B2CF9AE}" pid="12" name="CITY">
    <vt:lpwstr>ת"א</vt:lpwstr>
  </property>
  <property fmtid="{D5CDD505-2E9C-101B-9397-08002B2CF9AE}" pid="13" name="DATE">
    <vt:lpwstr>20250324</vt:lpwstr>
  </property>
  <property fmtid="{D5CDD505-2E9C-101B-9397-08002B2CF9AE}" pid="14" name="TYPE_N_DATE">
    <vt:lpwstr>39020250324</vt:lpwstr>
  </property>
  <property fmtid="{D5CDD505-2E9C-101B-9397-08002B2CF9AE}" pid="15" name="CASESLISTTMP1">
    <vt:lpwstr>26318040;29321106;29090023;29090012;27397210;24344662;22938500;25029385;23506543;25386231;23226235</vt:lpwstr>
  </property>
  <property fmtid="{D5CDD505-2E9C-101B-9397-08002B2CF9AE}" pid="16" name="WORDNUMPAGES">
    <vt:lpwstr>7</vt:lpwstr>
  </property>
  <property fmtid="{D5CDD505-2E9C-101B-9397-08002B2CF9AE}" pid="17" name="TYPE_ABS_DATE">
    <vt:lpwstr>390020250324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4216/007.a;007.c;010</vt:lpwstr>
  </property>
  <property fmtid="{D5CDD505-2E9C-101B-9397-08002B2CF9AE}" pid="36" name="LAWLISTTMP2">
    <vt:lpwstr>70301/040d.a;040d.b;040d</vt:lpwstr>
  </property>
  <property fmtid="{D5CDD505-2E9C-101B-9397-08002B2CF9AE}" pid="37" name="ISABSTRACT">
    <vt:lpwstr>Y</vt:lpwstr>
  </property>
</Properties>
</file>