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CA1C9B" w:rsidRPr="0067280B" w14:paraId="1346DA87" w14:textId="77777777" w:rsidTr="007A1E6B">
        <w:trPr>
          <w:trHeight w:hRule="exact" w:val="704"/>
          <w:jc w:val="center"/>
        </w:trPr>
        <w:tc>
          <w:tcPr>
            <w:tcW w:w="8721" w:type="dxa"/>
            <w:gridSpan w:val="2"/>
          </w:tcPr>
          <w:p w14:paraId="6C76B76A" w14:textId="77777777" w:rsidR="00CA1C9B" w:rsidRPr="0067280B" w:rsidRDefault="00CA1C9B" w:rsidP="007A1E6B">
            <w:pPr>
              <w:pStyle w:val="a3"/>
              <w:jc w:val="center"/>
              <w:rPr>
                <w:rFonts w:ascii="Tahoma" w:hAnsi="Tahoma" w:cs="Tahoma"/>
                <w:b/>
                <w:bCs/>
                <w:noProof w:val="0"/>
                <w:color w:val="000080"/>
                <w:rtl/>
              </w:rPr>
            </w:pPr>
            <w:bookmarkStart w:id="0" w:name="FirstLawyer"/>
            <w:bookmarkStart w:id="1" w:name="LastJudge"/>
            <w:r w:rsidRPr="0067280B">
              <w:rPr>
                <w:rFonts w:ascii="Tahoma" w:hAnsi="Tahoma" w:cs="Tahoma"/>
                <w:b/>
                <w:bCs/>
                <w:noProof w:val="0"/>
                <w:color w:val="000080"/>
                <w:rtl/>
              </w:rPr>
              <w:t>בית המשפט המחוזי מרכז-לוד</w:t>
            </w:r>
          </w:p>
          <w:p w14:paraId="21674ECD" w14:textId="77777777" w:rsidR="00CA1C9B" w:rsidRPr="0067280B" w:rsidRDefault="00CA1C9B" w:rsidP="007A1E6B">
            <w:pPr>
              <w:pStyle w:val="a3"/>
              <w:jc w:val="center"/>
              <w:rPr>
                <w:rFonts w:ascii="Tahoma" w:hAnsi="Tahoma" w:cs="Tahoma"/>
                <w:noProof w:val="0"/>
                <w:color w:val="000080"/>
                <w:rtl/>
              </w:rPr>
            </w:pPr>
          </w:p>
        </w:tc>
      </w:tr>
      <w:tr w:rsidR="00CA1C9B" w:rsidRPr="0067280B" w14:paraId="53155C1D" w14:textId="77777777" w:rsidTr="007A1E6B">
        <w:trPr>
          <w:trHeight w:val="337"/>
          <w:jc w:val="center"/>
        </w:trPr>
        <w:tc>
          <w:tcPr>
            <w:tcW w:w="4473" w:type="dxa"/>
          </w:tcPr>
          <w:p w14:paraId="203A2E88" w14:textId="77777777" w:rsidR="00CA1C9B" w:rsidRPr="0067280B" w:rsidRDefault="00CA1C9B" w:rsidP="007A1E6B">
            <w:pPr>
              <w:rPr>
                <w:b/>
                <w:bCs/>
                <w:noProof w:val="0"/>
                <w:sz w:val="26"/>
                <w:szCs w:val="26"/>
                <w:rtl/>
              </w:rPr>
            </w:pPr>
          </w:p>
        </w:tc>
        <w:tc>
          <w:tcPr>
            <w:tcW w:w="4248" w:type="dxa"/>
          </w:tcPr>
          <w:p w14:paraId="7317E7CD" w14:textId="77777777" w:rsidR="00CA1C9B" w:rsidRPr="0067280B" w:rsidRDefault="00CA1C9B" w:rsidP="007A1E6B">
            <w:pPr>
              <w:pStyle w:val="a3"/>
              <w:jc w:val="right"/>
              <w:rPr>
                <w:b/>
                <w:bCs/>
                <w:noProof w:val="0"/>
                <w:sz w:val="26"/>
                <w:szCs w:val="26"/>
                <w:rtl/>
              </w:rPr>
            </w:pPr>
            <w:r w:rsidRPr="0067280B">
              <w:rPr>
                <w:rFonts w:hint="cs"/>
                <w:b/>
                <w:bCs/>
                <w:noProof w:val="0"/>
                <w:sz w:val="26"/>
                <w:szCs w:val="26"/>
                <w:rtl/>
              </w:rPr>
              <w:t>י"ח שבט תשפ"ה</w:t>
            </w:r>
          </w:p>
          <w:p w14:paraId="77249FDA" w14:textId="77777777" w:rsidR="00CA1C9B" w:rsidRPr="0067280B" w:rsidRDefault="00CA1C9B" w:rsidP="007A1E6B">
            <w:pPr>
              <w:pStyle w:val="a3"/>
              <w:jc w:val="right"/>
              <w:rPr>
                <w:b/>
                <w:bCs/>
                <w:noProof w:val="0"/>
                <w:sz w:val="26"/>
                <w:szCs w:val="26"/>
                <w:rtl/>
              </w:rPr>
            </w:pPr>
            <w:r w:rsidRPr="0067280B">
              <w:rPr>
                <w:rFonts w:hint="cs"/>
                <w:b/>
                <w:bCs/>
                <w:noProof w:val="0"/>
                <w:sz w:val="26"/>
                <w:szCs w:val="26"/>
                <w:rtl/>
              </w:rPr>
              <w:t>16 פברואר 2025</w:t>
            </w:r>
          </w:p>
        </w:tc>
      </w:tr>
      <w:tr w:rsidR="00CA1C9B" w:rsidRPr="0067280B" w14:paraId="560343E1" w14:textId="77777777" w:rsidTr="007A1E6B">
        <w:trPr>
          <w:trHeight w:val="337"/>
          <w:jc w:val="center"/>
        </w:trPr>
        <w:tc>
          <w:tcPr>
            <w:tcW w:w="8721" w:type="dxa"/>
            <w:gridSpan w:val="2"/>
          </w:tcPr>
          <w:p w14:paraId="757BB05B" w14:textId="77777777" w:rsidR="00CA1C9B" w:rsidRPr="0067280B" w:rsidRDefault="0067280B" w:rsidP="007A1E6B">
            <w:pPr>
              <w:rPr>
                <w:b/>
                <w:bCs/>
                <w:noProof w:val="0"/>
                <w:sz w:val="26"/>
                <w:szCs w:val="26"/>
                <w:rtl/>
              </w:rPr>
            </w:pPr>
            <w:hyperlink r:id="rId7" w:history="1">
              <w:r w:rsidRPr="0067280B">
                <w:rPr>
                  <w:b/>
                  <w:bCs/>
                  <w:noProof w:val="0"/>
                  <w:color w:val="0000FF"/>
                  <w:sz w:val="26"/>
                  <w:szCs w:val="26"/>
                  <w:u w:val="single"/>
                  <w:rtl/>
                </w:rPr>
                <w:t>ת"פ 55717-02-24</w:t>
              </w:r>
            </w:hyperlink>
            <w:r w:rsidR="00CA1C9B" w:rsidRPr="0067280B">
              <w:rPr>
                <w:b/>
                <w:bCs/>
                <w:noProof w:val="0"/>
                <w:sz w:val="26"/>
                <w:szCs w:val="26"/>
                <w:rtl/>
              </w:rPr>
              <w:t xml:space="preserve"> מדינת ישראל נ' דיין(עצור/אסיר בפיקוח)</w:t>
            </w:r>
          </w:p>
          <w:p w14:paraId="25297B83" w14:textId="77777777" w:rsidR="00CA1C9B" w:rsidRPr="0067280B" w:rsidRDefault="00CA1C9B" w:rsidP="007A1E6B">
            <w:pPr>
              <w:rPr>
                <w:rtl/>
              </w:rPr>
            </w:pPr>
          </w:p>
          <w:p w14:paraId="43740C28" w14:textId="77777777" w:rsidR="00CA1C9B" w:rsidRPr="0067280B" w:rsidRDefault="00CA1C9B" w:rsidP="007A1E6B">
            <w:pPr>
              <w:rPr>
                <w:rtl/>
              </w:rPr>
            </w:pPr>
            <w:r w:rsidRPr="0067280B">
              <w:rPr>
                <w:rFonts w:hint="cs"/>
                <w:sz w:val="20"/>
                <w:szCs w:val="20"/>
                <w:rtl/>
              </w:rPr>
              <w:t>תיק חיצוני</w:t>
            </w:r>
            <w:r w:rsidRPr="0067280B">
              <w:rPr>
                <w:rFonts w:hint="cs"/>
                <w:rtl/>
              </w:rPr>
              <w:t xml:space="preserve">: </w:t>
            </w:r>
            <w:r w:rsidRPr="0067280B">
              <w:rPr>
                <w:sz w:val="20"/>
                <w:szCs w:val="20"/>
              </w:rPr>
              <w:t>60703/2024</w:t>
            </w:r>
          </w:p>
        </w:tc>
      </w:tr>
    </w:tbl>
    <w:p w14:paraId="564FF769" w14:textId="77777777" w:rsidR="00CA1C9B" w:rsidRPr="0067280B" w:rsidRDefault="00CA1C9B" w:rsidP="00DC1EC1">
      <w:pPr>
        <w:pStyle w:val="a3"/>
        <w:rPr>
          <w:rtl/>
        </w:rPr>
      </w:pPr>
      <w:r w:rsidRPr="0067280B">
        <w:rPr>
          <w:noProof w:val="0"/>
          <w:rtl/>
        </w:rPr>
        <w:t xml:space="preserve"> </w:t>
      </w:r>
      <w:r w:rsidRPr="0067280B">
        <w:rPr>
          <w:rFonts w:hint="cs"/>
          <w:rtl/>
        </w:rPr>
        <w:t>---</w:t>
      </w:r>
    </w:p>
    <w:tbl>
      <w:tblPr>
        <w:bidiVisual/>
        <w:tblW w:w="8820" w:type="dxa"/>
        <w:jc w:val="center"/>
        <w:tblLook w:val="01E0" w:firstRow="1" w:lastRow="1" w:firstColumn="1" w:lastColumn="1" w:noHBand="0" w:noVBand="0"/>
      </w:tblPr>
      <w:tblGrid>
        <w:gridCol w:w="743"/>
        <w:gridCol w:w="2506"/>
        <w:gridCol w:w="5571"/>
      </w:tblGrid>
      <w:tr w:rsidR="00CA1C9B" w:rsidRPr="0067280B" w14:paraId="1B0B4E97" w14:textId="77777777" w:rsidTr="00CA1C9B">
        <w:trPr>
          <w:jc w:val="center"/>
        </w:trPr>
        <w:tc>
          <w:tcPr>
            <w:tcW w:w="743" w:type="dxa"/>
            <w:shd w:val="clear" w:color="auto" w:fill="auto"/>
          </w:tcPr>
          <w:p w14:paraId="54D36DD4" w14:textId="77777777" w:rsidR="00CA1C9B" w:rsidRPr="0067280B" w:rsidRDefault="00CA1C9B" w:rsidP="00CA1C9B">
            <w:pPr>
              <w:jc w:val="both"/>
              <w:rPr>
                <w:rFonts w:ascii="Arial" w:hAnsi="Arial"/>
                <w:b/>
                <w:bCs/>
              </w:rPr>
            </w:pPr>
            <w:r w:rsidRPr="0067280B">
              <w:rPr>
                <w:rFonts w:ascii="Arial" w:hAnsi="Arial" w:hint="cs"/>
                <w:b/>
                <w:bCs/>
                <w:rtl/>
              </w:rPr>
              <w:t>לפני</w:t>
            </w:r>
          </w:p>
        </w:tc>
        <w:tc>
          <w:tcPr>
            <w:tcW w:w="8077" w:type="dxa"/>
            <w:gridSpan w:val="2"/>
            <w:shd w:val="clear" w:color="auto" w:fill="auto"/>
          </w:tcPr>
          <w:p w14:paraId="4E29536D" w14:textId="77777777" w:rsidR="00CA1C9B" w:rsidRPr="0067280B" w:rsidRDefault="00CA1C9B" w:rsidP="007A1E6B">
            <w:pPr>
              <w:rPr>
                <w:rFonts w:ascii="Arial" w:hAnsi="Arial"/>
                <w:b/>
                <w:bCs/>
                <w:rtl/>
              </w:rPr>
            </w:pPr>
            <w:r w:rsidRPr="0067280B">
              <w:rPr>
                <w:rFonts w:ascii="Arial" w:hAnsi="Arial" w:hint="cs"/>
                <w:b/>
                <w:bCs/>
                <w:rtl/>
              </w:rPr>
              <w:t>כב' ה</w:t>
            </w:r>
            <w:r w:rsidRPr="0067280B">
              <w:rPr>
                <w:rFonts w:ascii="Arial" w:hAnsi="Arial"/>
                <w:b/>
                <w:bCs/>
                <w:rtl/>
              </w:rPr>
              <w:t>שופט</w:t>
            </w:r>
            <w:r w:rsidRPr="0067280B">
              <w:rPr>
                <w:rFonts w:ascii="Arial" w:hAnsi="Arial" w:hint="cs"/>
                <w:b/>
                <w:bCs/>
                <w:rtl/>
              </w:rPr>
              <w:t xml:space="preserve">  </w:t>
            </w:r>
            <w:r w:rsidRPr="0067280B">
              <w:rPr>
                <w:rFonts w:ascii="Arial" w:hAnsi="Arial"/>
                <w:b/>
                <w:bCs/>
                <w:rtl/>
              </w:rPr>
              <w:t>רון סולקין</w:t>
            </w:r>
          </w:p>
          <w:p w14:paraId="22726EA4" w14:textId="77777777" w:rsidR="00CA1C9B" w:rsidRPr="0067280B" w:rsidRDefault="00CA1C9B" w:rsidP="007A1E6B">
            <w:pPr>
              <w:rPr>
                <w:rFonts w:ascii="Arial" w:hAnsi="Arial" w:cs="FrankRuehl"/>
                <w:sz w:val="28"/>
                <w:szCs w:val="28"/>
                <w:highlight w:val="yellow"/>
              </w:rPr>
            </w:pPr>
          </w:p>
        </w:tc>
      </w:tr>
      <w:tr w:rsidR="00CA1C9B" w:rsidRPr="0067280B" w14:paraId="629CAAD0" w14:textId="77777777" w:rsidTr="00CA1C9B">
        <w:trPr>
          <w:jc w:val="center"/>
        </w:trPr>
        <w:tc>
          <w:tcPr>
            <w:tcW w:w="3249" w:type="dxa"/>
            <w:gridSpan w:val="2"/>
            <w:shd w:val="clear" w:color="auto" w:fill="auto"/>
          </w:tcPr>
          <w:p w14:paraId="1BD2B580" w14:textId="77777777" w:rsidR="00CA1C9B" w:rsidRPr="0067280B" w:rsidRDefault="00CA1C9B" w:rsidP="00CA1C9B">
            <w:pPr>
              <w:bidi w:val="0"/>
              <w:jc w:val="right"/>
              <w:rPr>
                <w:rFonts w:ascii="Arial" w:hAnsi="Arial"/>
                <w:b/>
                <w:bCs/>
                <w:noProof w:val="0"/>
                <w:sz w:val="26"/>
                <w:szCs w:val="26"/>
              </w:rPr>
            </w:pPr>
            <w:bookmarkStart w:id="2" w:name="FirstAppellant"/>
          </w:p>
          <w:p w14:paraId="7D899D47" w14:textId="77777777" w:rsidR="00CA1C9B" w:rsidRPr="0067280B" w:rsidRDefault="00CA1C9B" w:rsidP="00CA1C9B">
            <w:pPr>
              <w:bidi w:val="0"/>
              <w:jc w:val="right"/>
              <w:rPr>
                <w:rFonts w:ascii="Arial" w:hAnsi="Arial"/>
                <w:b/>
                <w:bCs/>
                <w:noProof w:val="0"/>
                <w:sz w:val="26"/>
                <w:szCs w:val="26"/>
                <w:rtl/>
              </w:rPr>
            </w:pPr>
            <w:r w:rsidRPr="0067280B">
              <w:rPr>
                <w:rFonts w:ascii="Arial" w:hAnsi="Arial" w:hint="cs"/>
                <w:b/>
                <w:bCs/>
                <w:noProof w:val="0"/>
                <w:sz w:val="26"/>
                <w:szCs w:val="26"/>
                <w:rtl/>
              </w:rPr>
              <w:t>המאשימה</w:t>
            </w:r>
          </w:p>
        </w:tc>
        <w:tc>
          <w:tcPr>
            <w:tcW w:w="5571" w:type="dxa"/>
            <w:shd w:val="clear" w:color="auto" w:fill="auto"/>
          </w:tcPr>
          <w:p w14:paraId="2363AC53" w14:textId="77777777" w:rsidR="00CA1C9B" w:rsidRPr="0067280B" w:rsidRDefault="00CA1C9B" w:rsidP="007A1E6B">
            <w:pPr>
              <w:rPr>
                <w:rFonts w:ascii="Arial" w:hAnsi="Arial"/>
                <w:b/>
                <w:bCs/>
                <w:noProof w:val="0"/>
                <w:sz w:val="26"/>
                <w:szCs w:val="26"/>
                <w:rtl/>
              </w:rPr>
            </w:pPr>
          </w:p>
          <w:p w14:paraId="41D6A59F" w14:textId="77777777" w:rsidR="00CA1C9B" w:rsidRPr="0067280B" w:rsidRDefault="00CA1C9B" w:rsidP="007A1E6B">
            <w:pPr>
              <w:rPr>
                <w:b/>
                <w:bCs/>
                <w:noProof w:val="0"/>
                <w:sz w:val="26"/>
                <w:szCs w:val="26"/>
              </w:rPr>
            </w:pPr>
            <w:r w:rsidRPr="0067280B">
              <w:rPr>
                <w:rFonts w:ascii="Arial" w:hAnsi="Arial"/>
                <w:b/>
                <w:bCs/>
                <w:noProof w:val="0"/>
                <w:sz w:val="26"/>
                <w:szCs w:val="26"/>
                <w:rtl/>
              </w:rPr>
              <w:t>מדינת ישראל</w:t>
            </w:r>
            <w:r w:rsidRPr="0067280B">
              <w:rPr>
                <w:rFonts w:ascii="Arial" w:hAnsi="Arial" w:hint="cs"/>
                <w:b/>
                <w:bCs/>
                <w:noProof w:val="0"/>
                <w:sz w:val="26"/>
                <w:szCs w:val="26"/>
                <w:rtl/>
              </w:rPr>
              <w:t>-פמ"מ</w:t>
            </w:r>
            <w:r w:rsidRPr="0067280B">
              <w:rPr>
                <w:rFonts w:ascii="Arial" w:hAnsi="Arial"/>
                <w:b/>
                <w:bCs/>
                <w:noProof w:val="0"/>
                <w:sz w:val="26"/>
                <w:szCs w:val="26"/>
                <w:rtl/>
              </w:rPr>
              <w:br/>
            </w:r>
            <w:r w:rsidRPr="0067280B">
              <w:rPr>
                <w:rFonts w:ascii="Arial" w:hAnsi="Arial" w:hint="cs"/>
                <w:b/>
                <w:bCs/>
                <w:noProof w:val="0"/>
                <w:sz w:val="26"/>
                <w:szCs w:val="26"/>
                <w:rtl/>
              </w:rPr>
              <w:t>ע"י ב"כ עו"ד רועי לוס</w:t>
            </w:r>
            <w:r w:rsidRPr="0067280B">
              <w:rPr>
                <w:rFonts w:ascii="Arial" w:hAnsi="Arial"/>
                <w:b/>
                <w:bCs/>
                <w:noProof w:val="0"/>
                <w:sz w:val="26"/>
                <w:szCs w:val="26"/>
                <w:rtl/>
              </w:rPr>
              <w:br/>
            </w:r>
          </w:p>
        </w:tc>
      </w:tr>
      <w:bookmarkEnd w:id="2"/>
      <w:tr w:rsidR="00CA1C9B" w:rsidRPr="0067280B" w14:paraId="6EAAE1A5" w14:textId="77777777" w:rsidTr="00CA1C9B">
        <w:trPr>
          <w:jc w:val="center"/>
        </w:trPr>
        <w:tc>
          <w:tcPr>
            <w:tcW w:w="8820" w:type="dxa"/>
            <w:gridSpan w:val="3"/>
            <w:shd w:val="clear" w:color="auto" w:fill="auto"/>
          </w:tcPr>
          <w:p w14:paraId="2F51D68A" w14:textId="77777777" w:rsidR="00CA1C9B" w:rsidRPr="0067280B" w:rsidRDefault="00CA1C9B" w:rsidP="007A1E6B">
            <w:pPr>
              <w:rPr>
                <w:rFonts w:ascii="Arial" w:hAnsi="Arial"/>
                <w:b/>
                <w:bCs/>
                <w:noProof w:val="0"/>
                <w:sz w:val="26"/>
                <w:szCs w:val="26"/>
                <w:rtl/>
              </w:rPr>
            </w:pPr>
          </w:p>
          <w:p w14:paraId="71A031F7" w14:textId="77777777" w:rsidR="00CA1C9B" w:rsidRPr="0067280B" w:rsidRDefault="00CA1C9B" w:rsidP="00CA1C9B">
            <w:pPr>
              <w:jc w:val="center"/>
              <w:rPr>
                <w:rFonts w:ascii="Arial" w:hAnsi="Arial"/>
                <w:b/>
                <w:bCs/>
                <w:noProof w:val="0"/>
                <w:sz w:val="26"/>
                <w:szCs w:val="26"/>
                <w:rtl/>
              </w:rPr>
            </w:pPr>
            <w:r w:rsidRPr="0067280B">
              <w:rPr>
                <w:rFonts w:ascii="Arial" w:hAnsi="Arial"/>
                <w:b/>
                <w:bCs/>
                <w:noProof w:val="0"/>
                <w:sz w:val="26"/>
                <w:szCs w:val="26"/>
                <w:rtl/>
              </w:rPr>
              <w:t>נגד</w:t>
            </w:r>
          </w:p>
          <w:p w14:paraId="29A9B5A9" w14:textId="77777777" w:rsidR="00CA1C9B" w:rsidRPr="0067280B" w:rsidRDefault="00CA1C9B" w:rsidP="007A1E6B">
            <w:pPr>
              <w:rPr>
                <w:rFonts w:ascii="Arial" w:hAnsi="Arial"/>
                <w:b/>
                <w:bCs/>
                <w:noProof w:val="0"/>
                <w:sz w:val="26"/>
                <w:szCs w:val="26"/>
              </w:rPr>
            </w:pPr>
          </w:p>
        </w:tc>
      </w:tr>
      <w:tr w:rsidR="00CA1C9B" w:rsidRPr="0067280B" w14:paraId="04D90A6C" w14:textId="77777777" w:rsidTr="00CA1C9B">
        <w:trPr>
          <w:jc w:val="center"/>
        </w:trPr>
        <w:tc>
          <w:tcPr>
            <w:tcW w:w="3249" w:type="dxa"/>
            <w:gridSpan w:val="2"/>
            <w:shd w:val="clear" w:color="auto" w:fill="auto"/>
          </w:tcPr>
          <w:p w14:paraId="2C9F5B32" w14:textId="77777777" w:rsidR="00CA1C9B" w:rsidRPr="0067280B" w:rsidRDefault="00CA1C9B" w:rsidP="007A1E6B">
            <w:pPr>
              <w:rPr>
                <w:rFonts w:ascii="Arial" w:hAnsi="Arial"/>
                <w:b/>
                <w:bCs/>
                <w:noProof w:val="0"/>
                <w:sz w:val="26"/>
                <w:szCs w:val="26"/>
                <w:rtl/>
              </w:rPr>
            </w:pPr>
          </w:p>
          <w:p w14:paraId="787A6880" w14:textId="77777777" w:rsidR="00CA1C9B" w:rsidRPr="0067280B" w:rsidRDefault="00CA1C9B" w:rsidP="007A1E6B">
            <w:pPr>
              <w:rPr>
                <w:rFonts w:ascii="Arial" w:hAnsi="Arial"/>
                <w:b/>
                <w:bCs/>
                <w:noProof w:val="0"/>
                <w:sz w:val="26"/>
                <w:szCs w:val="26"/>
              </w:rPr>
            </w:pPr>
            <w:r w:rsidRPr="0067280B">
              <w:rPr>
                <w:rFonts w:ascii="Arial" w:hAnsi="Arial" w:hint="cs"/>
                <w:b/>
                <w:bCs/>
                <w:noProof w:val="0"/>
                <w:sz w:val="26"/>
                <w:szCs w:val="26"/>
                <w:rtl/>
              </w:rPr>
              <w:t>הנאשם</w:t>
            </w:r>
          </w:p>
        </w:tc>
        <w:tc>
          <w:tcPr>
            <w:tcW w:w="5571" w:type="dxa"/>
            <w:shd w:val="clear" w:color="auto" w:fill="auto"/>
          </w:tcPr>
          <w:p w14:paraId="0B07E074" w14:textId="77777777" w:rsidR="00CA1C9B" w:rsidRPr="0067280B" w:rsidRDefault="00CA1C9B" w:rsidP="007A1E6B">
            <w:pPr>
              <w:rPr>
                <w:rFonts w:ascii="Arial" w:hAnsi="Arial"/>
                <w:b/>
                <w:bCs/>
                <w:noProof w:val="0"/>
                <w:sz w:val="26"/>
                <w:szCs w:val="26"/>
                <w:rtl/>
              </w:rPr>
            </w:pPr>
          </w:p>
          <w:p w14:paraId="483A6F9F" w14:textId="77777777" w:rsidR="00CA1C9B" w:rsidRPr="0067280B" w:rsidRDefault="00CA1C9B" w:rsidP="007A1E6B">
            <w:pPr>
              <w:rPr>
                <w:b/>
                <w:bCs/>
                <w:noProof w:val="0"/>
                <w:sz w:val="26"/>
                <w:szCs w:val="26"/>
                <w:rtl/>
              </w:rPr>
            </w:pPr>
            <w:r w:rsidRPr="0067280B">
              <w:rPr>
                <w:rFonts w:ascii="Arial" w:hAnsi="Arial"/>
                <w:b/>
                <w:bCs/>
                <w:noProof w:val="0"/>
                <w:sz w:val="26"/>
                <w:szCs w:val="26"/>
                <w:rtl/>
              </w:rPr>
              <w:t xml:space="preserve">אשר אושרי </w:t>
            </w:r>
            <w:r w:rsidRPr="0067280B">
              <w:rPr>
                <w:rFonts w:ascii="Arial" w:hAnsi="Arial" w:hint="cs"/>
                <w:b/>
                <w:bCs/>
                <w:noProof w:val="0"/>
                <w:sz w:val="26"/>
                <w:szCs w:val="26"/>
                <w:rtl/>
              </w:rPr>
              <w:t xml:space="preserve">בן שמעון </w:t>
            </w:r>
            <w:r w:rsidRPr="0067280B">
              <w:rPr>
                <w:rFonts w:ascii="Arial" w:hAnsi="Arial"/>
                <w:b/>
                <w:bCs/>
                <w:noProof w:val="0"/>
                <w:sz w:val="26"/>
                <w:szCs w:val="26"/>
                <w:rtl/>
              </w:rPr>
              <w:t xml:space="preserve">דיין </w:t>
            </w:r>
            <w:r w:rsidRPr="0067280B">
              <w:rPr>
                <w:rFonts w:ascii="Arial" w:hAnsi="Arial"/>
                <w:b/>
                <w:bCs/>
                <w:noProof w:val="0"/>
                <w:sz w:val="26"/>
                <w:szCs w:val="26"/>
                <w:rtl/>
              </w:rPr>
              <w:br/>
            </w:r>
            <w:r w:rsidRPr="0067280B">
              <w:rPr>
                <w:rFonts w:ascii="Arial" w:hAnsi="Arial" w:hint="cs"/>
                <w:b/>
                <w:bCs/>
                <w:noProof w:val="0"/>
                <w:sz w:val="26"/>
                <w:szCs w:val="26"/>
                <w:rtl/>
              </w:rPr>
              <w:t>ע"י ב"כ עו"ד יפעת סיל</w:t>
            </w:r>
            <w:r w:rsidRPr="0067280B">
              <w:rPr>
                <w:rFonts w:ascii="Arial" w:hAnsi="Arial"/>
                <w:b/>
                <w:bCs/>
                <w:noProof w:val="0"/>
                <w:sz w:val="26"/>
                <w:szCs w:val="26"/>
                <w:rtl/>
              </w:rPr>
              <w:br/>
            </w:r>
          </w:p>
        </w:tc>
      </w:tr>
    </w:tbl>
    <w:p w14:paraId="157174AE" w14:textId="77777777" w:rsidR="00DC1EC1" w:rsidRPr="00DC1EC1" w:rsidRDefault="00DC1EC1" w:rsidP="00DC1EC1">
      <w:pPr>
        <w:suppressLineNumbers/>
        <w:spacing w:before="120" w:after="120" w:line="240" w:lineRule="exact"/>
        <w:ind w:left="283" w:hanging="283"/>
        <w:jc w:val="both"/>
        <w:rPr>
          <w:rFonts w:ascii="FrankRuehl" w:hAnsi="FrankRuehl" w:cs="FrankRuehl"/>
          <w:rtl/>
        </w:rPr>
      </w:pPr>
      <w:bookmarkStart w:id="3" w:name="LawTable"/>
      <w:bookmarkEnd w:id="3"/>
    </w:p>
    <w:p w14:paraId="3C95E777" w14:textId="77777777" w:rsidR="00DC1EC1" w:rsidRPr="00DC1EC1" w:rsidRDefault="00DC1EC1" w:rsidP="00DC1EC1">
      <w:pPr>
        <w:suppressLineNumbers/>
        <w:spacing w:before="120" w:after="120" w:line="240" w:lineRule="exact"/>
        <w:ind w:left="283" w:hanging="283"/>
        <w:jc w:val="both"/>
        <w:rPr>
          <w:rFonts w:ascii="FrankRuehl" w:hAnsi="FrankRuehl" w:cs="FrankRuehl"/>
          <w:rtl/>
        </w:rPr>
      </w:pPr>
      <w:r w:rsidRPr="00DC1EC1">
        <w:rPr>
          <w:rFonts w:ascii="FrankRuehl" w:hAnsi="FrankRuehl" w:cs="FrankRuehl"/>
          <w:rtl/>
        </w:rPr>
        <w:t xml:space="preserve">חקיקה שאוזכרה: </w:t>
      </w:r>
    </w:p>
    <w:p w14:paraId="5DDD992B" w14:textId="77777777" w:rsidR="00DC1EC1" w:rsidRPr="00DC1EC1" w:rsidRDefault="00DC1EC1" w:rsidP="00DC1EC1">
      <w:pPr>
        <w:suppressLineNumbers/>
        <w:spacing w:before="120" w:after="120" w:line="240" w:lineRule="exact"/>
        <w:ind w:left="283" w:hanging="283"/>
        <w:jc w:val="both"/>
        <w:rPr>
          <w:rFonts w:ascii="FrankRuehl" w:hAnsi="FrankRuehl" w:cs="FrankRuehl"/>
          <w:color w:val="0000FF"/>
          <w:rtl/>
        </w:rPr>
      </w:pPr>
      <w:hyperlink r:id="rId8" w:history="1">
        <w:r w:rsidRPr="00DC1EC1">
          <w:rPr>
            <w:rStyle w:val="Hyperlink"/>
            <w:rFonts w:ascii="FrankRuehl" w:hAnsi="FrankRuehl" w:cs="FrankRuehl"/>
            <w:u w:val="none"/>
            <w:rtl/>
          </w:rPr>
          <w:t>חוק העונשין, תשל"ז-1977</w:t>
        </w:r>
      </w:hyperlink>
      <w:r w:rsidRPr="00DC1EC1">
        <w:rPr>
          <w:rFonts w:ascii="FrankRuehl" w:hAnsi="FrankRuehl" w:cs="FrankRuehl"/>
          <w:color w:val="0000FF"/>
          <w:rtl/>
        </w:rPr>
        <w:t xml:space="preserve">: סע'  </w:t>
      </w:r>
      <w:hyperlink r:id="rId9" w:history="1">
        <w:r w:rsidRPr="00DC1EC1">
          <w:rPr>
            <w:rStyle w:val="Hyperlink"/>
            <w:rFonts w:ascii="FrankRuehl" w:hAnsi="FrankRuehl" w:cs="FrankRuehl"/>
            <w:u w:val="none"/>
          </w:rPr>
          <w:t>40</w:t>
        </w:r>
      </w:hyperlink>
      <w:r w:rsidRPr="00DC1EC1">
        <w:rPr>
          <w:rFonts w:ascii="FrankRuehl" w:hAnsi="FrankRuehl" w:cs="FrankRuehl"/>
          <w:color w:val="0000FF"/>
          <w:rtl/>
        </w:rPr>
        <w:t xml:space="preserve">, </w:t>
      </w:r>
      <w:hyperlink r:id="rId10" w:history="1">
        <w:r w:rsidRPr="00DC1EC1">
          <w:rPr>
            <w:rStyle w:val="Hyperlink"/>
            <w:rFonts w:ascii="FrankRuehl" w:hAnsi="FrankRuehl" w:cs="FrankRuehl"/>
            <w:u w:val="none"/>
          </w:rPr>
          <w:t>334</w:t>
        </w:r>
      </w:hyperlink>
      <w:r w:rsidRPr="00DC1EC1">
        <w:rPr>
          <w:rFonts w:ascii="FrankRuehl" w:hAnsi="FrankRuehl" w:cs="FrankRuehl"/>
          <w:color w:val="0000FF"/>
          <w:rtl/>
        </w:rPr>
        <w:t xml:space="preserve">, </w:t>
      </w:r>
      <w:hyperlink r:id="rId11" w:history="1">
        <w:r w:rsidRPr="00DC1EC1">
          <w:rPr>
            <w:rStyle w:val="Hyperlink"/>
            <w:rFonts w:ascii="FrankRuehl" w:hAnsi="FrankRuehl" w:cs="FrankRuehl"/>
            <w:u w:val="none"/>
          </w:rPr>
          <w:t>335</w:t>
        </w:r>
      </w:hyperlink>
      <w:r w:rsidRPr="00DC1EC1">
        <w:rPr>
          <w:rFonts w:ascii="FrankRuehl" w:hAnsi="FrankRuehl" w:cs="FrankRuehl"/>
          <w:color w:val="0000FF"/>
          <w:rtl/>
        </w:rPr>
        <w:t xml:space="preserve">(א)(1), </w:t>
      </w:r>
      <w:hyperlink r:id="rId12" w:history="1">
        <w:r w:rsidRPr="00DC1EC1">
          <w:rPr>
            <w:rStyle w:val="Hyperlink"/>
            <w:rFonts w:ascii="FrankRuehl" w:hAnsi="FrankRuehl" w:cs="FrankRuehl"/>
            <w:u w:val="none"/>
            <w:rtl/>
          </w:rPr>
          <w:t>ד</w:t>
        </w:r>
      </w:hyperlink>
      <w:r w:rsidRPr="00DC1EC1">
        <w:rPr>
          <w:rFonts w:ascii="FrankRuehl" w:hAnsi="FrankRuehl" w:cs="FrankRuehl"/>
          <w:color w:val="0000FF"/>
          <w:rtl/>
        </w:rPr>
        <w:t xml:space="preserve">, </w:t>
      </w:r>
      <w:hyperlink r:id="rId13" w:history="1">
        <w:r w:rsidRPr="00DC1EC1">
          <w:rPr>
            <w:rStyle w:val="Hyperlink"/>
            <w:rFonts w:ascii="FrankRuehl" w:hAnsi="FrankRuehl" w:cs="FrankRuehl"/>
            <w:u w:val="none"/>
            <w:rtl/>
          </w:rPr>
          <w:t>ח</w:t>
        </w:r>
        <w:r w:rsidRPr="00DC1EC1">
          <w:rPr>
            <w:rStyle w:val="Hyperlink"/>
            <w:rFonts w:ascii="FrankRuehl" w:hAnsi="FrankRuehl" w:cs="FrankRuehl"/>
            <w:u w:val="none"/>
          </w:rPr>
          <w:t>S</w:t>
        </w:r>
      </w:hyperlink>
      <w:r w:rsidRPr="00DC1EC1">
        <w:rPr>
          <w:rFonts w:ascii="FrankRuehl" w:hAnsi="FrankRuehl" w:cs="FrankRuehl"/>
          <w:color w:val="0000FF"/>
          <w:rtl/>
        </w:rPr>
        <w:t xml:space="preserve">, </w:t>
      </w:r>
      <w:hyperlink r:id="rId14" w:history="1">
        <w:r w:rsidRPr="00DC1EC1">
          <w:rPr>
            <w:rStyle w:val="Hyperlink"/>
            <w:rFonts w:ascii="FrankRuehl" w:hAnsi="FrankRuehl" w:cs="FrankRuehl"/>
            <w:u w:val="none"/>
            <w:rtl/>
          </w:rPr>
          <w:t>י</w:t>
        </w:r>
        <w:r w:rsidRPr="00DC1EC1">
          <w:rPr>
            <w:rStyle w:val="Hyperlink"/>
            <w:rFonts w:ascii="FrankRuehl" w:hAnsi="FrankRuehl" w:cs="FrankRuehl"/>
            <w:u w:val="none"/>
          </w:rPr>
          <w:t>C</w:t>
        </w:r>
        <w:r w:rsidRPr="00DC1EC1">
          <w:rPr>
            <w:rStyle w:val="Hyperlink"/>
            <w:rFonts w:ascii="FrankRuehl" w:hAnsi="FrankRuehl" w:cs="FrankRuehl"/>
            <w:u w:val="none"/>
            <w:rtl/>
          </w:rPr>
          <w:t>א</w:t>
        </w:r>
      </w:hyperlink>
    </w:p>
    <w:p w14:paraId="1949F7C4" w14:textId="77777777" w:rsidR="00DC1EC1" w:rsidRPr="00DC1EC1" w:rsidRDefault="00DC1EC1" w:rsidP="00DC1EC1">
      <w:pPr>
        <w:suppressLineNumbers/>
        <w:spacing w:before="120" w:after="120" w:line="240" w:lineRule="exact"/>
        <w:ind w:left="283" w:hanging="283"/>
        <w:jc w:val="both"/>
        <w:rPr>
          <w:rFonts w:ascii="FrankRuehl" w:hAnsi="FrankRuehl" w:cs="FrankRuehl"/>
          <w:color w:val="0000FF"/>
          <w:rtl/>
        </w:rPr>
      </w:pPr>
      <w:hyperlink r:id="rId15" w:history="1">
        <w:r w:rsidRPr="00DC1EC1">
          <w:rPr>
            <w:rStyle w:val="Hyperlink"/>
            <w:rFonts w:ascii="FrankRuehl" w:hAnsi="FrankRuehl" w:cs="FrankRuehl"/>
            <w:u w:val="none"/>
            <w:rtl/>
          </w:rPr>
          <w:t>פקודת הסמים המסוכנים [נוסח חדש], תשל"ג-1973</w:t>
        </w:r>
      </w:hyperlink>
    </w:p>
    <w:p w14:paraId="45B2D852" w14:textId="77777777" w:rsidR="00CA1C9B" w:rsidRPr="00DC1EC1" w:rsidRDefault="00CA1C9B" w:rsidP="00DC1EC1">
      <w:pPr>
        <w:suppressLineNumbers/>
      </w:pPr>
      <w:bookmarkStart w:id="4" w:name="LawTable_End"/>
      <w:bookmarkEnd w:id="4"/>
    </w:p>
    <w:tbl>
      <w:tblPr>
        <w:bidiVisual/>
        <w:tblW w:w="8820" w:type="dxa"/>
        <w:jc w:val="center"/>
        <w:tblLook w:val="01E0" w:firstRow="1" w:lastRow="1" w:firstColumn="1" w:lastColumn="1" w:noHBand="0" w:noVBand="0"/>
      </w:tblPr>
      <w:tblGrid>
        <w:gridCol w:w="8820"/>
      </w:tblGrid>
      <w:tr w:rsidR="00CA1C9B" w14:paraId="6619ACDD" w14:textId="77777777" w:rsidTr="00CA1C9B">
        <w:trPr>
          <w:jc w:val="center"/>
        </w:trPr>
        <w:tc>
          <w:tcPr>
            <w:tcW w:w="8820" w:type="dxa"/>
            <w:shd w:val="clear" w:color="auto" w:fill="auto"/>
          </w:tcPr>
          <w:p w14:paraId="79218B84" w14:textId="77777777" w:rsidR="0067280B" w:rsidRPr="0067280B" w:rsidRDefault="0067280B" w:rsidP="0067280B">
            <w:pPr>
              <w:bidi w:val="0"/>
              <w:jc w:val="center"/>
              <w:rPr>
                <w:rFonts w:ascii="Arial" w:hAnsi="Arial"/>
                <w:b/>
                <w:bCs/>
                <w:noProof w:val="0"/>
                <w:sz w:val="28"/>
                <w:szCs w:val="28"/>
                <w:u w:val="single"/>
              </w:rPr>
            </w:pPr>
            <w:bookmarkStart w:id="5" w:name="PsakDin" w:colFirst="0" w:colLast="0"/>
            <w:bookmarkEnd w:id="0"/>
            <w:bookmarkEnd w:id="1"/>
            <w:r w:rsidRPr="0067280B">
              <w:rPr>
                <w:rFonts w:ascii="Arial" w:hAnsi="Arial"/>
                <w:b/>
                <w:bCs/>
                <w:noProof w:val="0"/>
                <w:sz w:val="28"/>
                <w:szCs w:val="28"/>
                <w:u w:val="single"/>
                <w:rtl/>
              </w:rPr>
              <w:t>גזר דין</w:t>
            </w:r>
          </w:p>
          <w:p w14:paraId="16F23CF8" w14:textId="77777777" w:rsidR="00CA1C9B" w:rsidRPr="0067280B" w:rsidRDefault="00CA1C9B" w:rsidP="0067280B">
            <w:pPr>
              <w:bidi w:val="0"/>
              <w:jc w:val="center"/>
              <w:rPr>
                <w:rFonts w:ascii="Arial" w:hAnsi="Arial"/>
                <w:b/>
                <w:bCs/>
                <w:noProof w:val="0"/>
                <w:sz w:val="28"/>
                <w:szCs w:val="28"/>
                <w:u w:val="single"/>
              </w:rPr>
            </w:pPr>
          </w:p>
        </w:tc>
      </w:tr>
      <w:bookmarkEnd w:id="5"/>
    </w:tbl>
    <w:p w14:paraId="02099206" w14:textId="77777777" w:rsidR="00CA1C9B" w:rsidRDefault="00CA1C9B" w:rsidP="00CA1C9B">
      <w:pPr>
        <w:spacing w:line="360" w:lineRule="auto"/>
        <w:jc w:val="both"/>
        <w:rPr>
          <w:rFonts w:ascii="Arial" w:hAnsi="Arial"/>
          <w:noProof w:val="0"/>
          <w:rtl/>
        </w:rPr>
      </w:pPr>
    </w:p>
    <w:p w14:paraId="4433ADB2" w14:textId="77777777" w:rsidR="00CA1C9B" w:rsidRPr="0056770D" w:rsidRDefault="00CA1C9B" w:rsidP="00CA1C9B">
      <w:pPr>
        <w:spacing w:line="360" w:lineRule="auto"/>
        <w:jc w:val="both"/>
        <w:rPr>
          <w:rFonts w:ascii="Arial" w:hAnsi="Arial"/>
          <w:b/>
          <w:bCs/>
          <w:noProof w:val="0"/>
          <w:rtl/>
        </w:rPr>
      </w:pPr>
      <w:r w:rsidRPr="0056770D">
        <w:rPr>
          <w:rFonts w:ascii="Arial" w:hAnsi="Arial" w:hint="cs"/>
          <w:b/>
          <w:bCs/>
          <w:noProof w:val="0"/>
          <w:rtl/>
        </w:rPr>
        <w:t>כתב האישום והשתלשלות הדיון</w:t>
      </w:r>
    </w:p>
    <w:p w14:paraId="0D9B6461" w14:textId="77777777" w:rsidR="00CA1C9B" w:rsidRDefault="00CA1C9B" w:rsidP="00CA1C9B">
      <w:pPr>
        <w:spacing w:line="360" w:lineRule="auto"/>
        <w:jc w:val="both"/>
        <w:rPr>
          <w:rFonts w:ascii="Arial" w:hAnsi="Arial"/>
          <w:noProof w:val="0"/>
          <w:rtl/>
        </w:rPr>
      </w:pPr>
    </w:p>
    <w:p w14:paraId="1D669822" w14:textId="77777777" w:rsidR="00CA1C9B" w:rsidRPr="0056770D" w:rsidRDefault="00CA1C9B" w:rsidP="00CA1C9B">
      <w:pPr>
        <w:spacing w:line="360" w:lineRule="auto"/>
        <w:jc w:val="both"/>
        <w:rPr>
          <w:rFonts w:ascii="Arial" w:hAnsi="Arial"/>
          <w:noProof w:val="0"/>
          <w:rtl/>
        </w:rPr>
      </w:pPr>
      <w:bookmarkStart w:id="6" w:name="ABSTRACT_START"/>
      <w:bookmarkEnd w:id="6"/>
      <w:r>
        <w:rPr>
          <w:rFonts w:ascii="Arial" w:hAnsi="Arial" w:hint="cs"/>
          <w:noProof w:val="0"/>
          <w:rtl/>
        </w:rPr>
        <w:t xml:space="preserve">הנאשם שלפני נותן את הדין בגין עבירה של פציעה בנסיבות מחמירות, בניגוד </w:t>
      </w:r>
      <w:hyperlink r:id="rId16" w:history="1">
        <w:r w:rsidR="00DC1EC1" w:rsidRPr="00DC1EC1">
          <w:rPr>
            <w:rStyle w:val="Hyperlink"/>
            <w:rFonts w:ascii="Arial" w:hAnsi="Arial" w:hint="eastAsia"/>
            <w:noProof w:val="0"/>
            <w:color w:val="0000FF"/>
            <w:rtl/>
          </w:rPr>
          <w:t>לסעיף</w:t>
        </w:r>
        <w:r w:rsidR="00DC1EC1" w:rsidRPr="00DC1EC1">
          <w:rPr>
            <w:rStyle w:val="Hyperlink"/>
            <w:rFonts w:ascii="Arial" w:hAnsi="Arial"/>
            <w:noProof w:val="0"/>
            <w:color w:val="0000FF"/>
            <w:rtl/>
          </w:rPr>
          <w:t xml:space="preserve"> 334</w:t>
        </w:r>
      </w:hyperlink>
      <w:r>
        <w:rPr>
          <w:rFonts w:ascii="Arial" w:hAnsi="Arial" w:hint="cs"/>
          <w:noProof w:val="0"/>
          <w:rtl/>
        </w:rPr>
        <w:t xml:space="preserve">, ביחד עם </w:t>
      </w:r>
      <w:hyperlink r:id="rId17" w:history="1">
        <w:r w:rsidR="00DC1EC1" w:rsidRPr="00DC1EC1">
          <w:rPr>
            <w:rStyle w:val="Hyperlink"/>
            <w:rFonts w:ascii="Arial" w:hAnsi="Arial"/>
            <w:noProof w:val="0"/>
            <w:color w:val="0000FF"/>
            <w:rtl/>
          </w:rPr>
          <w:t>335(א)(1)</w:t>
        </w:r>
      </w:hyperlink>
      <w:r w:rsidRPr="0056770D">
        <w:rPr>
          <w:rFonts w:ascii="Arial" w:hAnsi="Arial" w:hint="cs"/>
          <w:noProof w:val="0"/>
          <w:rtl/>
        </w:rPr>
        <w:t xml:space="preserve"> ל</w:t>
      </w:r>
      <w:hyperlink r:id="rId18" w:history="1">
        <w:r w:rsidR="0067280B" w:rsidRPr="0067280B">
          <w:rPr>
            <w:rFonts w:ascii="Arial" w:hAnsi="Arial"/>
            <w:noProof w:val="0"/>
            <w:color w:val="0000FF"/>
            <w:u w:val="single"/>
            <w:rtl/>
          </w:rPr>
          <w:t>חוק העונשין</w:t>
        </w:r>
      </w:hyperlink>
      <w:r w:rsidRPr="0056770D">
        <w:rPr>
          <w:rFonts w:ascii="Arial" w:hAnsi="Arial" w:hint="cs"/>
          <w:noProof w:val="0"/>
          <w:rtl/>
        </w:rPr>
        <w:t>, תשל"ז-1977.</w:t>
      </w:r>
    </w:p>
    <w:p w14:paraId="03E7215A" w14:textId="77777777" w:rsidR="00CA1C9B" w:rsidRDefault="00CA1C9B" w:rsidP="00CA1C9B">
      <w:pPr>
        <w:spacing w:line="360" w:lineRule="auto"/>
        <w:jc w:val="both"/>
        <w:rPr>
          <w:rFonts w:ascii="Arial" w:hAnsi="Arial"/>
          <w:noProof w:val="0"/>
          <w:rtl/>
        </w:rPr>
      </w:pPr>
    </w:p>
    <w:p w14:paraId="54F73ABB"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בהתאם לעובדות כתב האישום המתוקן, בהן הודה הנאשם, במסגרת הסדר טיעון, בהיותו עובד במכולת "ברכה" ביישוב "גן יבנה", בתאריך 11.02.2024, סמוך לשעה 15:59, הגיעו למכולת נפגע העבירה - תושב "אבו תלול" - וכן אחיו, עמם לא היתה לנאשם היכרות קודמת. </w:t>
      </w:r>
    </w:p>
    <w:p w14:paraId="2B950B40" w14:textId="77777777" w:rsidR="00CA1C9B" w:rsidRDefault="00CA1C9B" w:rsidP="00CA1C9B">
      <w:pPr>
        <w:spacing w:line="360" w:lineRule="auto"/>
        <w:jc w:val="both"/>
        <w:rPr>
          <w:rFonts w:ascii="Arial" w:hAnsi="Arial"/>
          <w:noProof w:val="0"/>
          <w:rtl/>
        </w:rPr>
      </w:pPr>
      <w:bookmarkStart w:id="7" w:name="ABSTRACT_END"/>
      <w:bookmarkEnd w:id="7"/>
    </w:p>
    <w:p w14:paraId="0FDD5EA2" w14:textId="77777777" w:rsidR="00CA1C9B" w:rsidRDefault="00CA1C9B" w:rsidP="00CA1C9B">
      <w:pPr>
        <w:spacing w:line="360" w:lineRule="auto"/>
        <w:jc w:val="both"/>
        <w:rPr>
          <w:rFonts w:ascii="Arial" w:hAnsi="Arial"/>
          <w:noProof w:val="0"/>
          <w:rtl/>
        </w:rPr>
      </w:pPr>
      <w:r>
        <w:rPr>
          <w:rFonts w:ascii="Arial" w:hAnsi="Arial" w:hint="cs"/>
          <w:noProof w:val="0"/>
          <w:rtl/>
        </w:rPr>
        <w:t>השניים נטלו את המוצרים אותם ביקשו לרכוש ונעמדו בקופה, כדי לשלם בעבורם.</w:t>
      </w:r>
    </w:p>
    <w:p w14:paraId="3A843229" w14:textId="77777777" w:rsidR="00CA1C9B" w:rsidRDefault="00CA1C9B" w:rsidP="00CA1C9B">
      <w:pPr>
        <w:spacing w:line="360" w:lineRule="auto"/>
        <w:jc w:val="both"/>
        <w:rPr>
          <w:rFonts w:ascii="Arial" w:hAnsi="Arial"/>
          <w:noProof w:val="0"/>
          <w:rtl/>
        </w:rPr>
      </w:pPr>
    </w:p>
    <w:p w14:paraId="7C852968" w14:textId="77777777" w:rsidR="00CA1C9B" w:rsidRDefault="00CA1C9B" w:rsidP="00CA1C9B">
      <w:pPr>
        <w:spacing w:line="360" w:lineRule="auto"/>
        <w:jc w:val="both"/>
        <w:rPr>
          <w:rFonts w:ascii="Arial" w:hAnsi="Arial"/>
          <w:noProof w:val="0"/>
          <w:rtl/>
        </w:rPr>
      </w:pPr>
      <w:r>
        <w:rPr>
          <w:rFonts w:ascii="Arial" w:hAnsi="Arial" w:hint="cs"/>
          <w:noProof w:val="0"/>
          <w:rtl/>
        </w:rPr>
        <w:lastRenderedPageBreak/>
        <w:t xml:space="preserve">הנאשם, אשר עמד בסמוך אליהם, עבר במעבר שבמקום תוך שהדף את הנפגע. הנפגע נמנע מלהגיב לכך ונותר ממתין בתור לקופה. </w:t>
      </w:r>
    </w:p>
    <w:p w14:paraId="1B9264CF" w14:textId="77777777" w:rsidR="00CA1C9B" w:rsidRDefault="00CA1C9B" w:rsidP="00CA1C9B">
      <w:pPr>
        <w:spacing w:line="360" w:lineRule="auto"/>
        <w:jc w:val="both"/>
        <w:rPr>
          <w:rFonts w:ascii="Arial" w:hAnsi="Arial"/>
          <w:noProof w:val="0"/>
          <w:rtl/>
        </w:rPr>
      </w:pPr>
    </w:p>
    <w:p w14:paraId="5A320D93" w14:textId="77777777" w:rsidR="00CA1C9B" w:rsidRDefault="00CA1C9B" w:rsidP="00CA1C9B">
      <w:pPr>
        <w:spacing w:line="360" w:lineRule="auto"/>
        <w:jc w:val="both"/>
        <w:rPr>
          <w:rFonts w:ascii="Arial" w:hAnsi="Arial"/>
          <w:noProof w:val="0"/>
          <w:rtl/>
        </w:rPr>
      </w:pPr>
      <w:r>
        <w:rPr>
          <w:rFonts w:ascii="Arial" w:hAnsi="Arial" w:hint="cs"/>
          <w:noProof w:val="0"/>
          <w:rtl/>
        </w:rPr>
        <w:t>כאשר פנה הנפגע לצאת את המכולת, נגע בגופו בכתפו של הנאשם ובתגובה לכך צעק עליו הנאשם: "מה קורה, למה אתה דוחף אותי?".</w:t>
      </w:r>
    </w:p>
    <w:p w14:paraId="4D3F98F8" w14:textId="77777777" w:rsidR="00CA1C9B" w:rsidRDefault="00CA1C9B" w:rsidP="00CA1C9B">
      <w:pPr>
        <w:spacing w:line="360" w:lineRule="auto"/>
        <w:jc w:val="both"/>
        <w:rPr>
          <w:rFonts w:ascii="Arial" w:hAnsi="Arial"/>
          <w:noProof w:val="0"/>
          <w:rtl/>
        </w:rPr>
      </w:pPr>
      <w:r>
        <w:rPr>
          <w:rFonts w:ascii="Arial" w:hAnsi="Arial" w:hint="cs"/>
          <w:noProof w:val="0"/>
          <w:rtl/>
        </w:rPr>
        <w:t>הנפגע השיב, כי אינו מדבר עברית, התנצל בפני הנאשם ויצא את המכולת לרכבו מסוג טנדר טויוטה.</w:t>
      </w:r>
    </w:p>
    <w:p w14:paraId="1BDC3065" w14:textId="77777777" w:rsidR="00CA1C9B" w:rsidRDefault="00CA1C9B" w:rsidP="00CA1C9B">
      <w:pPr>
        <w:spacing w:line="360" w:lineRule="auto"/>
        <w:jc w:val="both"/>
        <w:rPr>
          <w:rFonts w:ascii="Arial" w:hAnsi="Arial"/>
          <w:noProof w:val="0"/>
          <w:rtl/>
        </w:rPr>
      </w:pPr>
    </w:p>
    <w:p w14:paraId="69396569" w14:textId="77777777" w:rsidR="00CA1C9B" w:rsidRDefault="00CA1C9B" w:rsidP="00CA1C9B">
      <w:pPr>
        <w:spacing w:line="360" w:lineRule="auto"/>
        <w:jc w:val="both"/>
        <w:rPr>
          <w:rFonts w:ascii="Arial" w:hAnsi="Arial"/>
          <w:noProof w:val="0"/>
          <w:rtl/>
        </w:rPr>
      </w:pPr>
      <w:r>
        <w:rPr>
          <w:rFonts w:ascii="Arial" w:hAnsi="Arial" w:hint="cs"/>
          <w:noProof w:val="0"/>
          <w:rtl/>
        </w:rPr>
        <w:t>בהמשך, יצא הנאשם אף הוא את המכולת, הביט לעבר הנפגע במבט מאיים וקרא לו לצאת מהרכב, תוך שמגדף אותו על רקע הלאום אליו הוא משתייך.</w:t>
      </w:r>
    </w:p>
    <w:p w14:paraId="59F45B5D" w14:textId="77777777" w:rsidR="00CA1C9B" w:rsidRDefault="00CA1C9B" w:rsidP="00CA1C9B">
      <w:pPr>
        <w:spacing w:line="360" w:lineRule="auto"/>
        <w:jc w:val="both"/>
        <w:rPr>
          <w:rFonts w:ascii="Arial" w:hAnsi="Arial"/>
          <w:noProof w:val="0"/>
          <w:rtl/>
        </w:rPr>
      </w:pPr>
    </w:p>
    <w:p w14:paraId="0E61E00C" w14:textId="77777777" w:rsidR="00CA1C9B" w:rsidRDefault="00CA1C9B" w:rsidP="00CA1C9B">
      <w:pPr>
        <w:spacing w:line="360" w:lineRule="auto"/>
        <w:jc w:val="both"/>
        <w:rPr>
          <w:rFonts w:ascii="Arial" w:hAnsi="Arial"/>
          <w:noProof w:val="0"/>
          <w:rtl/>
        </w:rPr>
      </w:pPr>
      <w:r>
        <w:rPr>
          <w:rFonts w:ascii="Arial" w:hAnsi="Arial" w:hint="cs"/>
          <w:noProof w:val="0"/>
          <w:rtl/>
        </w:rPr>
        <w:t>אחרים, אשר שהו במקום, ניסו לחסום את הנאשם, אך הלה החל להתקרב לעבר הטנדר שבו שהה הנפגע, כשהוא מסמן בידיו לעבר המתלונן "חכה חכה" ואוחז בידו בסכין, אותה נשא בכיסו במסגרת עבודתו.</w:t>
      </w:r>
    </w:p>
    <w:p w14:paraId="5BDCD6FE" w14:textId="77777777" w:rsidR="00CA1C9B" w:rsidRDefault="00CA1C9B" w:rsidP="00CA1C9B">
      <w:pPr>
        <w:spacing w:line="360" w:lineRule="auto"/>
        <w:jc w:val="both"/>
        <w:rPr>
          <w:rFonts w:ascii="Arial" w:hAnsi="Arial"/>
          <w:noProof w:val="0"/>
          <w:rtl/>
        </w:rPr>
      </w:pPr>
    </w:p>
    <w:p w14:paraId="4230B5AD" w14:textId="77777777" w:rsidR="00CA1C9B" w:rsidRDefault="00CA1C9B" w:rsidP="00CA1C9B">
      <w:pPr>
        <w:spacing w:line="360" w:lineRule="auto"/>
        <w:jc w:val="both"/>
        <w:rPr>
          <w:rFonts w:ascii="Arial" w:hAnsi="Arial"/>
          <w:noProof w:val="0"/>
          <w:rtl/>
        </w:rPr>
      </w:pPr>
      <w:r>
        <w:rPr>
          <w:rFonts w:ascii="Arial" w:hAnsi="Arial" w:hint="cs"/>
          <w:noProof w:val="0"/>
          <w:rtl/>
        </w:rPr>
        <w:t>הנפגע, אשר תמה אודות  מעשיו של הנאשם וצעקותיו, יצא לעברו, השניים נעמדו זה מול זה והנאשם דקר את הנפגע בצווארו.</w:t>
      </w:r>
    </w:p>
    <w:p w14:paraId="61B67ACC" w14:textId="77777777" w:rsidR="00CA1C9B" w:rsidRDefault="00CA1C9B" w:rsidP="00CA1C9B">
      <w:pPr>
        <w:spacing w:line="360" w:lineRule="auto"/>
        <w:jc w:val="both"/>
        <w:rPr>
          <w:rFonts w:ascii="Arial" w:hAnsi="Arial"/>
          <w:noProof w:val="0"/>
          <w:rtl/>
        </w:rPr>
      </w:pPr>
    </w:p>
    <w:p w14:paraId="3091D2DB" w14:textId="77777777" w:rsidR="00CA1C9B" w:rsidRDefault="00CA1C9B" w:rsidP="00CA1C9B">
      <w:pPr>
        <w:spacing w:line="360" w:lineRule="auto"/>
        <w:jc w:val="both"/>
        <w:rPr>
          <w:rFonts w:ascii="Arial" w:hAnsi="Arial"/>
          <w:noProof w:val="0"/>
          <w:rtl/>
        </w:rPr>
      </w:pPr>
      <w:r>
        <w:rPr>
          <w:rFonts w:ascii="Arial" w:hAnsi="Arial" w:hint="cs"/>
          <w:noProof w:val="0"/>
          <w:rtl/>
        </w:rPr>
        <w:t>עובר אורח שהגיע למקום הפריד בין הניצים וליווה את הנפגע ואת אחיו בחזרה אל הטנדר. הנאשם עזב את המקום, נכנס לרכבו ונסע לביתו.</w:t>
      </w:r>
    </w:p>
    <w:p w14:paraId="6552E0DE" w14:textId="77777777" w:rsidR="00CA1C9B" w:rsidRDefault="00CA1C9B" w:rsidP="00CA1C9B">
      <w:pPr>
        <w:spacing w:line="360" w:lineRule="auto"/>
        <w:jc w:val="both"/>
        <w:rPr>
          <w:rFonts w:ascii="Arial" w:hAnsi="Arial"/>
          <w:noProof w:val="0"/>
          <w:rtl/>
        </w:rPr>
      </w:pPr>
    </w:p>
    <w:p w14:paraId="37897F2A" w14:textId="77777777" w:rsidR="00CA1C9B" w:rsidRDefault="00CA1C9B" w:rsidP="00CA1C9B">
      <w:pPr>
        <w:spacing w:line="360" w:lineRule="auto"/>
        <w:jc w:val="both"/>
        <w:rPr>
          <w:rFonts w:ascii="Arial" w:hAnsi="Arial"/>
          <w:noProof w:val="0"/>
          <w:rtl/>
        </w:rPr>
      </w:pPr>
      <w:r>
        <w:rPr>
          <w:rFonts w:ascii="Arial" w:hAnsi="Arial" w:hint="cs"/>
          <w:noProof w:val="0"/>
          <w:rtl/>
        </w:rPr>
        <w:t>בחלוף מספר שניות, שת הנפגע ליבו לכך, שהוא מדמם מצווארו, ויצא מהטנדר.</w:t>
      </w:r>
    </w:p>
    <w:p w14:paraId="30E031EB" w14:textId="77777777" w:rsidR="00CA1C9B" w:rsidRDefault="00CA1C9B" w:rsidP="00CA1C9B">
      <w:pPr>
        <w:spacing w:line="360" w:lineRule="auto"/>
        <w:jc w:val="both"/>
        <w:rPr>
          <w:rFonts w:ascii="Arial" w:hAnsi="Arial"/>
          <w:noProof w:val="0"/>
          <w:rtl/>
        </w:rPr>
      </w:pPr>
    </w:p>
    <w:p w14:paraId="23E7DF09" w14:textId="77777777" w:rsidR="00CA1C9B" w:rsidRDefault="00CA1C9B" w:rsidP="00CA1C9B">
      <w:pPr>
        <w:spacing w:line="360" w:lineRule="auto"/>
        <w:jc w:val="both"/>
        <w:rPr>
          <w:rFonts w:ascii="Arial" w:hAnsi="Arial"/>
          <w:noProof w:val="0"/>
          <w:rtl/>
        </w:rPr>
      </w:pPr>
      <w:r>
        <w:rPr>
          <w:rFonts w:ascii="Arial" w:hAnsi="Arial" w:hint="cs"/>
          <w:noProof w:val="0"/>
          <w:rtl/>
        </w:rPr>
        <w:t>למקום הוזעק מגן דוד אדום, אמבולנס פינה את הנפגע לבית חולים, שם אושפז, תוך שאובחנו אצלו אמפיזמה קלה בצוואר, חתך אופקי בצוואר התחתון של כ- 3.5 ס"מ, עם דמם קל לעיתים. החתך נתפר תחת הרדמה, ולאחר מכן הוכנס לניתוח עקב חשד לפציעת קנה הנשימה ולאור חתך של הטרכיאה.</w:t>
      </w:r>
    </w:p>
    <w:p w14:paraId="11642DDF" w14:textId="77777777" w:rsidR="00CA1C9B" w:rsidRDefault="00CA1C9B" w:rsidP="00CA1C9B">
      <w:pPr>
        <w:spacing w:line="360" w:lineRule="auto"/>
        <w:jc w:val="both"/>
        <w:rPr>
          <w:rFonts w:ascii="Arial" w:hAnsi="Arial"/>
          <w:noProof w:val="0"/>
          <w:rtl/>
        </w:rPr>
      </w:pPr>
    </w:p>
    <w:p w14:paraId="4B407012" w14:textId="77777777" w:rsidR="00CA1C9B" w:rsidRDefault="00CA1C9B" w:rsidP="00CA1C9B">
      <w:pPr>
        <w:spacing w:line="360" w:lineRule="auto"/>
        <w:jc w:val="both"/>
        <w:rPr>
          <w:rFonts w:ascii="Arial" w:hAnsi="Arial"/>
          <w:noProof w:val="0"/>
          <w:rtl/>
        </w:rPr>
      </w:pPr>
      <w:r>
        <w:rPr>
          <w:rFonts w:ascii="Arial" w:hAnsi="Arial" w:hint="cs"/>
          <w:noProof w:val="0"/>
          <w:rtl/>
        </w:rPr>
        <w:t>בין הצדדים נקשר הסדר,  אשר נערך בהליך של דיון מקדמי לפני מותב מגשר, במסגרתו תוקן כתב האישום. הנאשם הורשע על פי הודאתו והופנה להערכת שירות המבחן למבוגרים. הנפגע הופנה אף הוא לתסקיר נפגע עבירה. ההסדר לא כלל הסכמות עונשיות.</w:t>
      </w:r>
    </w:p>
    <w:p w14:paraId="021834E4" w14:textId="77777777" w:rsidR="00CA1C9B" w:rsidRDefault="00CA1C9B" w:rsidP="00CA1C9B">
      <w:pPr>
        <w:spacing w:line="360" w:lineRule="auto"/>
        <w:jc w:val="both"/>
        <w:rPr>
          <w:rFonts w:ascii="Arial" w:hAnsi="Arial"/>
          <w:noProof w:val="0"/>
          <w:rtl/>
        </w:rPr>
      </w:pPr>
    </w:p>
    <w:p w14:paraId="75B1B3D7" w14:textId="77777777" w:rsidR="00CA1C9B" w:rsidRDefault="00CA1C9B" w:rsidP="00CA1C9B">
      <w:pPr>
        <w:spacing w:line="360" w:lineRule="auto"/>
        <w:jc w:val="both"/>
        <w:rPr>
          <w:rFonts w:ascii="Arial" w:hAnsi="Arial"/>
          <w:noProof w:val="0"/>
          <w:rtl/>
        </w:rPr>
      </w:pPr>
      <w:r>
        <w:rPr>
          <w:rFonts w:ascii="Arial" w:hAnsi="Arial" w:hint="cs"/>
          <w:noProof w:val="0"/>
          <w:rtl/>
        </w:rPr>
        <w:t>לאחר שהוגשו התסקירים, טענו הצדדים לעונש וזאת לאחר שנדחתה בקשת ההגנה להפנות את הנאשם לתסקיר נוסף.</w:t>
      </w:r>
    </w:p>
    <w:p w14:paraId="3D4D34F8" w14:textId="77777777" w:rsidR="00CA1C9B" w:rsidRDefault="00CA1C9B" w:rsidP="00CA1C9B">
      <w:pPr>
        <w:spacing w:line="360" w:lineRule="auto"/>
        <w:jc w:val="both"/>
        <w:rPr>
          <w:rFonts w:ascii="Arial" w:hAnsi="Arial"/>
          <w:noProof w:val="0"/>
          <w:rtl/>
        </w:rPr>
      </w:pPr>
    </w:p>
    <w:p w14:paraId="55F5F438" w14:textId="77777777" w:rsidR="00CA1C9B" w:rsidRDefault="00CA1C9B" w:rsidP="00CA1C9B">
      <w:pPr>
        <w:spacing w:line="360" w:lineRule="auto"/>
        <w:jc w:val="both"/>
        <w:rPr>
          <w:rFonts w:ascii="Arial" w:hAnsi="Arial"/>
          <w:noProof w:val="0"/>
          <w:rtl/>
        </w:rPr>
      </w:pPr>
      <w:r>
        <w:rPr>
          <w:rFonts w:ascii="Arial" w:hAnsi="Arial" w:hint="cs"/>
          <w:noProof w:val="0"/>
          <w:rtl/>
        </w:rPr>
        <w:t>מכאן- גזר דין זה.</w:t>
      </w:r>
    </w:p>
    <w:p w14:paraId="57A6F849" w14:textId="77777777" w:rsidR="00CA1C9B" w:rsidRPr="00221E15" w:rsidRDefault="00CA1C9B" w:rsidP="00CA1C9B">
      <w:pPr>
        <w:spacing w:line="360" w:lineRule="auto"/>
        <w:jc w:val="both"/>
        <w:rPr>
          <w:rFonts w:ascii="Arial" w:hAnsi="Arial"/>
          <w:b/>
          <w:bCs/>
          <w:noProof w:val="0"/>
          <w:rtl/>
        </w:rPr>
      </w:pPr>
      <w:r w:rsidRPr="00221E15">
        <w:rPr>
          <w:rFonts w:ascii="Arial" w:hAnsi="Arial" w:hint="cs"/>
          <w:b/>
          <w:bCs/>
          <w:noProof w:val="0"/>
          <w:rtl/>
        </w:rPr>
        <w:lastRenderedPageBreak/>
        <w:t>הערכת שירות המבחן למבוגרים</w:t>
      </w:r>
    </w:p>
    <w:p w14:paraId="3B8FF098" w14:textId="77777777" w:rsidR="00CA1C9B" w:rsidRDefault="00CA1C9B" w:rsidP="00CA1C9B">
      <w:pPr>
        <w:spacing w:line="360" w:lineRule="auto"/>
        <w:jc w:val="both"/>
        <w:rPr>
          <w:rFonts w:ascii="Arial" w:hAnsi="Arial"/>
          <w:noProof w:val="0"/>
          <w:rtl/>
        </w:rPr>
      </w:pPr>
    </w:p>
    <w:p w14:paraId="1C0DDC86" w14:textId="77777777" w:rsidR="00CA1C9B" w:rsidRDefault="00CA1C9B" w:rsidP="00CA1C9B">
      <w:pPr>
        <w:spacing w:line="360" w:lineRule="auto"/>
        <w:jc w:val="both"/>
        <w:rPr>
          <w:rFonts w:ascii="Arial" w:hAnsi="Arial"/>
          <w:noProof w:val="0"/>
          <w:rtl/>
        </w:rPr>
      </w:pPr>
      <w:r>
        <w:rPr>
          <w:rFonts w:ascii="Arial" w:hAnsi="Arial" w:hint="cs"/>
          <w:noProof w:val="0"/>
          <w:rtl/>
        </w:rPr>
        <w:t>בענינו של הנאשם הוגש תסקיר, המבוסס על שלוש פגישות אבחון; דיווח מלשכת הרווחה; הקשר עמו במסגרת צו פיקוח מעצרים; וכן מידע שהועבר משירות המבחן לנוער.</w:t>
      </w:r>
    </w:p>
    <w:p w14:paraId="5AD1CA55" w14:textId="77777777" w:rsidR="00CA1C9B" w:rsidRDefault="00CA1C9B" w:rsidP="00CA1C9B">
      <w:pPr>
        <w:spacing w:line="360" w:lineRule="auto"/>
        <w:jc w:val="both"/>
        <w:rPr>
          <w:rFonts w:ascii="Arial" w:hAnsi="Arial"/>
          <w:noProof w:val="0"/>
          <w:rtl/>
        </w:rPr>
      </w:pPr>
    </w:p>
    <w:p w14:paraId="3D4C0DEC" w14:textId="77777777" w:rsidR="00CA1C9B" w:rsidRDefault="00CA1C9B" w:rsidP="00CA1C9B">
      <w:pPr>
        <w:spacing w:line="360" w:lineRule="auto"/>
        <w:jc w:val="both"/>
        <w:rPr>
          <w:rFonts w:ascii="Arial" w:hAnsi="Arial"/>
          <w:noProof w:val="0"/>
          <w:rtl/>
        </w:rPr>
      </w:pPr>
      <w:r>
        <w:rPr>
          <w:rFonts w:ascii="Arial" w:hAnsi="Arial" w:hint="cs"/>
          <w:noProof w:val="0"/>
          <w:rtl/>
        </w:rPr>
        <w:t>הנאשם רווק, כבן 24, מתגורר עם הוריו, עובד במינימרקט משפחתי.</w:t>
      </w:r>
    </w:p>
    <w:p w14:paraId="29BEF7EB" w14:textId="77777777" w:rsidR="00CA1C9B" w:rsidRDefault="00CA1C9B" w:rsidP="00CA1C9B">
      <w:pPr>
        <w:spacing w:line="360" w:lineRule="auto"/>
        <w:jc w:val="both"/>
        <w:rPr>
          <w:rFonts w:ascii="Arial" w:hAnsi="Arial"/>
          <w:noProof w:val="0"/>
          <w:rtl/>
        </w:rPr>
      </w:pPr>
    </w:p>
    <w:p w14:paraId="1E39BC67" w14:textId="77777777" w:rsidR="00CA1C9B" w:rsidRDefault="00CA1C9B" w:rsidP="00CA1C9B">
      <w:pPr>
        <w:spacing w:line="360" w:lineRule="auto"/>
        <w:jc w:val="both"/>
        <w:rPr>
          <w:rFonts w:ascii="Arial" w:hAnsi="Arial"/>
          <w:noProof w:val="0"/>
          <w:rtl/>
        </w:rPr>
      </w:pPr>
      <w:r>
        <w:rPr>
          <w:rFonts w:ascii="Arial" w:hAnsi="Arial" w:hint="cs"/>
          <w:noProof w:val="0"/>
          <w:rtl/>
        </w:rPr>
        <w:t>הנאשם סיים 12 שנות לימוד עם תעודת בגרות חלקית ותעודת מכונאי.</w:t>
      </w:r>
    </w:p>
    <w:p w14:paraId="27FD8094" w14:textId="77777777" w:rsidR="00CA1C9B" w:rsidRDefault="00CA1C9B" w:rsidP="00CA1C9B">
      <w:pPr>
        <w:spacing w:line="360" w:lineRule="auto"/>
        <w:jc w:val="both"/>
        <w:rPr>
          <w:rFonts w:ascii="Arial" w:hAnsi="Arial"/>
          <w:noProof w:val="0"/>
          <w:rtl/>
        </w:rPr>
      </w:pPr>
    </w:p>
    <w:p w14:paraId="433A7A58" w14:textId="77777777" w:rsidR="00CA1C9B" w:rsidRDefault="00CA1C9B" w:rsidP="00CA1C9B">
      <w:pPr>
        <w:spacing w:line="360" w:lineRule="auto"/>
        <w:jc w:val="both"/>
        <w:rPr>
          <w:rFonts w:ascii="Arial" w:hAnsi="Arial"/>
          <w:noProof w:val="0"/>
          <w:rtl/>
        </w:rPr>
      </w:pPr>
      <w:r>
        <w:rPr>
          <w:rFonts w:ascii="Arial" w:hAnsi="Arial" w:hint="cs"/>
          <w:noProof w:val="0"/>
          <w:rtl/>
        </w:rPr>
        <w:t>הנאשם סבל מהפרעות קשב וריכוז, היפראקטיביות, ולכן חווה אי יציבות, תוך מעבר בין מסגרות חינוך.</w:t>
      </w:r>
    </w:p>
    <w:p w14:paraId="35744DDF" w14:textId="77777777" w:rsidR="00CA1C9B" w:rsidRDefault="00CA1C9B" w:rsidP="00CA1C9B">
      <w:pPr>
        <w:spacing w:line="360" w:lineRule="auto"/>
        <w:jc w:val="both"/>
        <w:rPr>
          <w:rFonts w:ascii="Arial" w:hAnsi="Arial"/>
          <w:noProof w:val="0"/>
          <w:rtl/>
        </w:rPr>
      </w:pPr>
    </w:p>
    <w:p w14:paraId="49DC3DED" w14:textId="77777777" w:rsidR="00CA1C9B" w:rsidRDefault="00CA1C9B" w:rsidP="00CA1C9B">
      <w:pPr>
        <w:spacing w:line="360" w:lineRule="auto"/>
        <w:jc w:val="both"/>
        <w:rPr>
          <w:rFonts w:ascii="Arial" w:hAnsi="Arial"/>
          <w:noProof w:val="0"/>
          <w:rtl/>
        </w:rPr>
      </w:pPr>
      <w:r>
        <w:rPr>
          <w:rFonts w:ascii="Arial" w:hAnsi="Arial" w:hint="cs"/>
          <w:noProof w:val="0"/>
          <w:rtl/>
        </w:rPr>
        <w:t>למרות זאת, היה מקובל חברתית והישגיו הלימודיים היו טובים.</w:t>
      </w:r>
    </w:p>
    <w:p w14:paraId="214085BD" w14:textId="77777777" w:rsidR="00CA1C9B" w:rsidRDefault="00CA1C9B" w:rsidP="00CA1C9B">
      <w:pPr>
        <w:spacing w:line="360" w:lineRule="auto"/>
        <w:jc w:val="both"/>
        <w:rPr>
          <w:rFonts w:ascii="Arial" w:hAnsi="Arial"/>
          <w:noProof w:val="0"/>
          <w:rtl/>
        </w:rPr>
      </w:pPr>
    </w:p>
    <w:p w14:paraId="435778EE" w14:textId="77777777" w:rsidR="00CA1C9B" w:rsidRDefault="00CA1C9B" w:rsidP="00CA1C9B">
      <w:pPr>
        <w:spacing w:line="360" w:lineRule="auto"/>
        <w:jc w:val="both"/>
        <w:rPr>
          <w:rFonts w:ascii="Arial" w:hAnsi="Arial"/>
          <w:noProof w:val="0"/>
          <w:rtl/>
        </w:rPr>
      </w:pPr>
      <w:r>
        <w:rPr>
          <w:rFonts w:ascii="Arial" w:hAnsi="Arial" w:hint="cs"/>
          <w:noProof w:val="0"/>
          <w:rtl/>
        </w:rPr>
        <w:t>מגיל 15 החל הנאשם להשתמש בחומרים משני תודעה. לדבריו, נגמל מהשימוש בהם בהיותו בן 19. למרות האמור, נמנע מלמסור בדיקות שתן בשלוש הזדמנויות שונות, ללא סיבה המניחה את הדעת, ואף מסר, כי התקשה למסור דגימה בנוכחות בודק וכי באופן כללי, הוא מתנגד למסירת דגימות לאיתור שרידי סם.</w:t>
      </w:r>
    </w:p>
    <w:p w14:paraId="0DC71110" w14:textId="77777777" w:rsidR="00CA1C9B" w:rsidRDefault="00CA1C9B" w:rsidP="00CA1C9B">
      <w:pPr>
        <w:spacing w:line="360" w:lineRule="auto"/>
        <w:jc w:val="both"/>
        <w:rPr>
          <w:rFonts w:ascii="Arial" w:hAnsi="Arial"/>
          <w:noProof w:val="0"/>
          <w:rtl/>
        </w:rPr>
      </w:pPr>
    </w:p>
    <w:p w14:paraId="28E65B0C"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לחובת הנאשם שני רישומים קודמים, האחד </w:t>
      </w:r>
      <w:r>
        <w:rPr>
          <w:rFonts w:ascii="Arial" w:hAnsi="Arial"/>
          <w:noProof w:val="0"/>
          <w:rtl/>
        </w:rPr>
        <w:t>–</w:t>
      </w:r>
      <w:r>
        <w:rPr>
          <w:rFonts w:ascii="Arial" w:hAnsi="Arial" w:hint="cs"/>
          <w:noProof w:val="0"/>
          <w:rtl/>
        </w:rPr>
        <w:t xml:space="preserve"> מבית המשפט לנוער, תוך צירוף מספר עבירות בתחום הסמים המסוכנים וכן עבירה של אחזקת סכין למטרה לא כשרה. השני - בגין עבירה של הפרעה לשוטר בעת מילוי תפקידו.</w:t>
      </w:r>
    </w:p>
    <w:p w14:paraId="283F92BC" w14:textId="77777777" w:rsidR="00CA1C9B" w:rsidRDefault="00CA1C9B" w:rsidP="00CA1C9B">
      <w:pPr>
        <w:spacing w:line="360" w:lineRule="auto"/>
        <w:jc w:val="both"/>
        <w:rPr>
          <w:rFonts w:ascii="Arial" w:hAnsi="Arial"/>
          <w:noProof w:val="0"/>
          <w:rtl/>
        </w:rPr>
      </w:pPr>
    </w:p>
    <w:p w14:paraId="29ECF2B1"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הנאשם נמנע מליטול אחריות מלאה למעשיו, תוך שטען, כי המדובר היה בתגובה להתנהגות קנטרנית כלפיו מצד הנפגע וכי הוא פעל, לשיטתו, מתוך הגנה עצמית. הנאשם אף הכחיש את ההתבטאויות כלפי הנפגע. כאן המקום לציין, כי  בעקבות  תרשומת זו בתסקיר </w:t>
      </w:r>
      <w:r>
        <w:rPr>
          <w:rFonts w:ascii="Arial" w:hAnsi="Arial"/>
          <w:noProof w:val="0"/>
          <w:rtl/>
        </w:rPr>
        <w:t>–</w:t>
      </w:r>
      <w:r>
        <w:rPr>
          <w:rFonts w:ascii="Arial" w:hAnsi="Arial" w:hint="cs"/>
          <w:noProof w:val="0"/>
          <w:rtl/>
        </w:rPr>
        <w:t xml:space="preserve"> נתבקשה ההגנה, בפתח הדיון שנקבע לשמיעת פרשת העונש </w:t>
      </w:r>
      <w:r>
        <w:rPr>
          <w:rFonts w:ascii="Arial" w:hAnsi="Arial"/>
          <w:noProof w:val="0"/>
          <w:rtl/>
        </w:rPr>
        <w:t>–</w:t>
      </w:r>
      <w:r>
        <w:rPr>
          <w:rFonts w:ascii="Arial" w:hAnsi="Arial" w:hint="cs"/>
          <w:noProof w:val="0"/>
          <w:rtl/>
        </w:rPr>
        <w:t xml:space="preserve"> להבהיר הדברים ומסרה, כי הנאשם עודנו עומד על הודאתו בעובדות כתב האישום המתוקן.</w:t>
      </w:r>
    </w:p>
    <w:p w14:paraId="02273337" w14:textId="77777777" w:rsidR="00CA1C9B" w:rsidRDefault="00CA1C9B" w:rsidP="00CA1C9B">
      <w:pPr>
        <w:spacing w:line="360" w:lineRule="auto"/>
        <w:jc w:val="both"/>
        <w:rPr>
          <w:rFonts w:ascii="Arial" w:hAnsi="Arial"/>
          <w:noProof w:val="0"/>
          <w:rtl/>
        </w:rPr>
      </w:pPr>
    </w:p>
    <w:p w14:paraId="34E48053" w14:textId="77777777" w:rsidR="00CA1C9B" w:rsidRDefault="00CA1C9B" w:rsidP="00CA1C9B">
      <w:pPr>
        <w:spacing w:line="360" w:lineRule="auto"/>
        <w:jc w:val="both"/>
        <w:rPr>
          <w:rFonts w:ascii="Arial" w:hAnsi="Arial"/>
          <w:noProof w:val="0"/>
          <w:rtl/>
        </w:rPr>
      </w:pPr>
      <w:r>
        <w:rPr>
          <w:rFonts w:ascii="Arial" w:hAnsi="Arial" w:hint="cs"/>
          <w:noProof w:val="0"/>
          <w:rtl/>
        </w:rPr>
        <w:t>הנאשם מסר, כי חש בושה וצער בעבורו ובעבור משפחתו בעקבות פרסום מעורבות בעבירה.</w:t>
      </w:r>
    </w:p>
    <w:p w14:paraId="3D1BC499" w14:textId="77777777" w:rsidR="00CA1C9B" w:rsidRDefault="00CA1C9B" w:rsidP="00CA1C9B">
      <w:pPr>
        <w:spacing w:line="360" w:lineRule="auto"/>
        <w:jc w:val="both"/>
        <w:rPr>
          <w:rFonts w:ascii="Arial" w:hAnsi="Arial"/>
          <w:noProof w:val="0"/>
          <w:rtl/>
        </w:rPr>
      </w:pPr>
    </w:p>
    <w:p w14:paraId="6D520742" w14:textId="77777777" w:rsidR="00CA1C9B" w:rsidRDefault="00CA1C9B" w:rsidP="00CA1C9B">
      <w:pPr>
        <w:spacing w:line="360" w:lineRule="auto"/>
        <w:jc w:val="both"/>
        <w:rPr>
          <w:rFonts w:ascii="Arial" w:hAnsi="Arial"/>
          <w:noProof w:val="0"/>
          <w:rtl/>
        </w:rPr>
      </w:pPr>
      <w:r>
        <w:rPr>
          <w:rFonts w:ascii="Arial" w:hAnsi="Arial" w:hint="cs"/>
          <w:noProof w:val="0"/>
          <w:rtl/>
        </w:rPr>
        <w:t>לטענת הנאשם אינו נוקט באלימות.</w:t>
      </w:r>
    </w:p>
    <w:p w14:paraId="7EED5B78" w14:textId="77777777" w:rsidR="00CA1C9B" w:rsidRDefault="00CA1C9B" w:rsidP="00CA1C9B">
      <w:pPr>
        <w:spacing w:line="360" w:lineRule="auto"/>
        <w:jc w:val="both"/>
        <w:rPr>
          <w:rFonts w:ascii="Arial" w:hAnsi="Arial"/>
          <w:noProof w:val="0"/>
          <w:rtl/>
        </w:rPr>
      </w:pPr>
    </w:p>
    <w:p w14:paraId="72DB0B65" w14:textId="77777777" w:rsidR="00CA1C9B" w:rsidRDefault="00CA1C9B" w:rsidP="00CA1C9B">
      <w:pPr>
        <w:spacing w:line="360" w:lineRule="auto"/>
        <w:jc w:val="both"/>
        <w:rPr>
          <w:rFonts w:ascii="Arial" w:hAnsi="Arial"/>
          <w:noProof w:val="0"/>
          <w:rtl/>
        </w:rPr>
      </w:pPr>
      <w:r>
        <w:rPr>
          <w:rFonts w:ascii="Arial" w:hAnsi="Arial" w:hint="cs"/>
          <w:noProof w:val="0"/>
          <w:rtl/>
        </w:rPr>
        <w:t>לדבריו, אינו זקוק להשתלב בהליך טיפולי.</w:t>
      </w:r>
    </w:p>
    <w:p w14:paraId="585104D2" w14:textId="77777777" w:rsidR="00CA1C9B" w:rsidRDefault="00CA1C9B" w:rsidP="00CA1C9B">
      <w:pPr>
        <w:spacing w:line="360" w:lineRule="auto"/>
        <w:jc w:val="both"/>
        <w:rPr>
          <w:rFonts w:ascii="Arial" w:hAnsi="Arial"/>
          <w:noProof w:val="0"/>
          <w:rtl/>
        </w:rPr>
      </w:pPr>
    </w:p>
    <w:p w14:paraId="3732D21E" w14:textId="77777777" w:rsidR="00CA1C9B" w:rsidRDefault="00CA1C9B" w:rsidP="00CA1C9B">
      <w:pPr>
        <w:spacing w:line="360" w:lineRule="auto"/>
        <w:jc w:val="both"/>
        <w:rPr>
          <w:rFonts w:ascii="Arial" w:hAnsi="Arial"/>
          <w:noProof w:val="0"/>
          <w:rtl/>
        </w:rPr>
      </w:pPr>
      <w:r>
        <w:rPr>
          <w:rFonts w:ascii="Arial" w:hAnsi="Arial" w:hint="cs"/>
          <w:noProof w:val="0"/>
          <w:rtl/>
        </w:rPr>
        <w:t>הנאשם ביטא רצון לסיים את ההליך המשפטי בהקדם.</w:t>
      </w:r>
    </w:p>
    <w:p w14:paraId="33B39CF8" w14:textId="77777777" w:rsidR="00CA1C9B" w:rsidRDefault="00CA1C9B" w:rsidP="00CA1C9B">
      <w:pPr>
        <w:spacing w:line="360" w:lineRule="auto"/>
        <w:jc w:val="both"/>
        <w:rPr>
          <w:rFonts w:ascii="Arial" w:hAnsi="Arial"/>
          <w:noProof w:val="0"/>
          <w:rtl/>
        </w:rPr>
      </w:pPr>
    </w:p>
    <w:p w14:paraId="0C99A84B"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הנאשם השתתף במפגשים בשירות המבחן, הגיע בזמן, למעט בחודש האחרון, אך התקשה להביע את עצמו; התקשה לזהות גורמי סיכון ולבחון דרכים אלטרנטיביות לפתרון קונפליקטים ללא אלימות. נמנע מלמסור דגימות לאיתור שרידי סם. </w:t>
      </w:r>
    </w:p>
    <w:p w14:paraId="7DDA02AF" w14:textId="77777777" w:rsidR="00CA1C9B" w:rsidRDefault="00CA1C9B" w:rsidP="00CA1C9B">
      <w:pPr>
        <w:spacing w:line="360" w:lineRule="auto"/>
        <w:jc w:val="both"/>
        <w:rPr>
          <w:rFonts w:ascii="Arial" w:hAnsi="Arial"/>
          <w:noProof w:val="0"/>
          <w:rtl/>
        </w:rPr>
      </w:pPr>
    </w:p>
    <w:p w14:paraId="2FA5F1AE" w14:textId="77777777" w:rsidR="00CA1C9B" w:rsidRDefault="00CA1C9B" w:rsidP="00CA1C9B">
      <w:pPr>
        <w:spacing w:line="360" w:lineRule="auto"/>
        <w:jc w:val="both"/>
        <w:rPr>
          <w:rFonts w:ascii="Arial" w:hAnsi="Arial"/>
          <w:noProof w:val="0"/>
          <w:rtl/>
        </w:rPr>
      </w:pPr>
      <w:r>
        <w:rPr>
          <w:rFonts w:ascii="Arial" w:hAnsi="Arial" w:hint="cs"/>
          <w:noProof w:val="0"/>
          <w:rtl/>
        </w:rPr>
        <w:t>שירות המבחן התרשם, כי פועל מתוך תפיסה אגוצנטרית ומתקשה להביע אמפתיה לנפגע העבירה.</w:t>
      </w:r>
    </w:p>
    <w:p w14:paraId="0C356EAA" w14:textId="77777777" w:rsidR="00CA1C9B" w:rsidRDefault="00CA1C9B" w:rsidP="00CA1C9B">
      <w:pPr>
        <w:spacing w:line="360" w:lineRule="auto"/>
        <w:jc w:val="both"/>
        <w:rPr>
          <w:rFonts w:ascii="Arial" w:hAnsi="Arial"/>
          <w:noProof w:val="0"/>
          <w:rtl/>
        </w:rPr>
      </w:pPr>
    </w:p>
    <w:p w14:paraId="78E32A0D" w14:textId="77777777" w:rsidR="00CA1C9B" w:rsidRDefault="00CA1C9B" w:rsidP="00CA1C9B">
      <w:pPr>
        <w:spacing w:line="360" w:lineRule="auto"/>
        <w:jc w:val="both"/>
        <w:rPr>
          <w:rFonts w:ascii="Arial" w:hAnsi="Arial"/>
          <w:noProof w:val="0"/>
          <w:rtl/>
        </w:rPr>
      </w:pPr>
      <w:r>
        <w:rPr>
          <w:rFonts w:ascii="Arial" w:hAnsi="Arial" w:hint="cs"/>
          <w:noProof w:val="0"/>
          <w:rtl/>
        </w:rPr>
        <w:t>לנאשם נטיה לנוקשות מחשבתית ולהתנהגות אימפולסיבית במצבי לחץ.</w:t>
      </w:r>
    </w:p>
    <w:p w14:paraId="3DD11AB3" w14:textId="77777777" w:rsidR="00CA1C9B" w:rsidRDefault="00CA1C9B" w:rsidP="00CA1C9B">
      <w:pPr>
        <w:spacing w:line="360" w:lineRule="auto"/>
        <w:jc w:val="both"/>
        <w:rPr>
          <w:rFonts w:ascii="Arial" w:hAnsi="Arial"/>
          <w:noProof w:val="0"/>
          <w:rtl/>
        </w:rPr>
      </w:pPr>
    </w:p>
    <w:p w14:paraId="19FA271C"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לאור סירובו של הנאשם להשתלב בהליך טיפולי וכן לנוכח היעדר התקדמות טיפולית </w:t>
      </w:r>
      <w:r>
        <w:rPr>
          <w:rFonts w:ascii="Arial" w:hAnsi="Arial"/>
          <w:noProof w:val="0"/>
          <w:rtl/>
        </w:rPr>
        <w:t>–</w:t>
      </w:r>
      <w:r>
        <w:rPr>
          <w:rFonts w:ascii="Arial" w:hAnsi="Arial" w:hint="cs"/>
          <w:noProof w:val="0"/>
          <w:rtl/>
        </w:rPr>
        <w:t xml:space="preserve"> מצא שירות המבחן, כי קיימת רמת סיכון בינונית להישנות התנהגות פוגענית  ולפיכך - נמנע מלבוא בהמלצה.</w:t>
      </w:r>
    </w:p>
    <w:p w14:paraId="2CBB2E19" w14:textId="77777777" w:rsidR="00CA1C9B" w:rsidRDefault="00CA1C9B" w:rsidP="00CA1C9B">
      <w:pPr>
        <w:spacing w:line="360" w:lineRule="auto"/>
        <w:jc w:val="both"/>
        <w:rPr>
          <w:rFonts w:ascii="Arial" w:hAnsi="Arial"/>
          <w:noProof w:val="0"/>
          <w:rtl/>
        </w:rPr>
      </w:pPr>
    </w:p>
    <w:p w14:paraId="23E42F27" w14:textId="77777777" w:rsidR="00CA1C9B" w:rsidRDefault="00CA1C9B" w:rsidP="00CA1C9B">
      <w:pPr>
        <w:spacing w:line="360" w:lineRule="auto"/>
        <w:jc w:val="both"/>
        <w:rPr>
          <w:rFonts w:ascii="Arial" w:hAnsi="Arial"/>
          <w:noProof w:val="0"/>
          <w:rtl/>
        </w:rPr>
      </w:pPr>
    </w:p>
    <w:p w14:paraId="03F1BC3F" w14:textId="77777777" w:rsidR="00CA1C9B" w:rsidRDefault="00CA1C9B" w:rsidP="00CA1C9B">
      <w:pPr>
        <w:spacing w:line="360" w:lineRule="auto"/>
        <w:jc w:val="both"/>
        <w:rPr>
          <w:rFonts w:ascii="Arial" w:hAnsi="Arial"/>
          <w:b/>
          <w:bCs/>
          <w:noProof w:val="0"/>
          <w:rtl/>
        </w:rPr>
      </w:pPr>
      <w:r>
        <w:rPr>
          <w:rFonts w:ascii="Arial" w:hAnsi="Arial" w:hint="cs"/>
          <w:noProof w:val="0"/>
          <w:rtl/>
        </w:rPr>
        <w:t xml:space="preserve"> </w:t>
      </w:r>
      <w:r w:rsidRPr="005F2DE2">
        <w:rPr>
          <w:rFonts w:ascii="Arial" w:hAnsi="Arial" w:hint="cs"/>
          <w:b/>
          <w:bCs/>
          <w:noProof w:val="0"/>
          <w:rtl/>
        </w:rPr>
        <w:t>תסקיר נפגע העבירה</w:t>
      </w:r>
    </w:p>
    <w:p w14:paraId="6BCF5E87" w14:textId="77777777" w:rsidR="00CA1C9B" w:rsidRDefault="00CA1C9B" w:rsidP="00CA1C9B">
      <w:pPr>
        <w:spacing w:line="360" w:lineRule="auto"/>
        <w:jc w:val="both"/>
        <w:rPr>
          <w:rFonts w:ascii="Arial" w:hAnsi="Arial"/>
          <w:b/>
          <w:bCs/>
          <w:noProof w:val="0"/>
          <w:rtl/>
        </w:rPr>
      </w:pPr>
    </w:p>
    <w:p w14:paraId="0D6A503D" w14:textId="77777777" w:rsidR="00CA1C9B" w:rsidRDefault="00CA1C9B" w:rsidP="00CA1C9B">
      <w:pPr>
        <w:spacing w:line="360" w:lineRule="auto"/>
        <w:jc w:val="both"/>
        <w:rPr>
          <w:rFonts w:ascii="Arial" w:hAnsi="Arial"/>
          <w:noProof w:val="0"/>
          <w:rtl/>
        </w:rPr>
      </w:pPr>
      <w:r>
        <w:rPr>
          <w:rFonts w:ascii="Arial" w:hAnsi="Arial" w:hint="cs"/>
          <w:noProof w:val="0"/>
          <w:rtl/>
        </w:rPr>
        <w:t>בענינו של נפגע העבירה, הוגש תסקיר, המבוסס על מפגש עמו, בסיוע מתורגמן לשפה הערבית, וכן עיון במסמכים הרפואיים.</w:t>
      </w:r>
    </w:p>
    <w:p w14:paraId="4294FCEA" w14:textId="77777777" w:rsidR="00CA1C9B" w:rsidRDefault="00CA1C9B" w:rsidP="00CA1C9B">
      <w:pPr>
        <w:spacing w:line="360" w:lineRule="auto"/>
        <w:jc w:val="both"/>
        <w:rPr>
          <w:rFonts w:ascii="Arial" w:hAnsi="Arial"/>
          <w:noProof w:val="0"/>
          <w:rtl/>
        </w:rPr>
      </w:pPr>
    </w:p>
    <w:p w14:paraId="68B78528"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נפגע העבירה, כבן 20 במועד עריכת התסקיר,  בן למשפחה פוליגמית כשלאביו ארבע נשים, נשוי ואב לתינוק. </w:t>
      </w:r>
    </w:p>
    <w:p w14:paraId="637C3BCD" w14:textId="77777777" w:rsidR="00CA1C9B" w:rsidRDefault="00CA1C9B" w:rsidP="00CA1C9B">
      <w:pPr>
        <w:spacing w:line="360" w:lineRule="auto"/>
        <w:jc w:val="both"/>
        <w:rPr>
          <w:rFonts w:ascii="Arial" w:hAnsi="Arial"/>
          <w:noProof w:val="0"/>
          <w:rtl/>
        </w:rPr>
      </w:pPr>
    </w:p>
    <w:p w14:paraId="300F135F" w14:textId="77777777" w:rsidR="00CA1C9B" w:rsidRDefault="00CA1C9B" w:rsidP="00CA1C9B">
      <w:pPr>
        <w:spacing w:line="360" w:lineRule="auto"/>
        <w:jc w:val="both"/>
        <w:rPr>
          <w:rFonts w:ascii="Arial" w:hAnsi="Arial"/>
          <w:noProof w:val="0"/>
          <w:rtl/>
        </w:rPr>
      </w:pPr>
      <w:r>
        <w:rPr>
          <w:rFonts w:ascii="Arial" w:hAnsi="Arial" w:hint="cs"/>
          <w:noProof w:val="0"/>
          <w:rtl/>
        </w:rPr>
        <w:t>המפקחת על נפגעי העבירה התרשמה מתמונת נזק חמורה ומורכבת, הן בשל הפגיעה בבריאותו של הנפגע והן לאור ההשפעות הרגשיות על חייו.</w:t>
      </w:r>
    </w:p>
    <w:p w14:paraId="4D66EC91" w14:textId="77777777" w:rsidR="00CA1C9B" w:rsidRDefault="00CA1C9B" w:rsidP="00CA1C9B">
      <w:pPr>
        <w:spacing w:line="360" w:lineRule="auto"/>
        <w:jc w:val="both"/>
        <w:rPr>
          <w:rFonts w:ascii="Arial" w:hAnsi="Arial"/>
          <w:noProof w:val="0"/>
          <w:rtl/>
        </w:rPr>
      </w:pPr>
    </w:p>
    <w:p w14:paraId="008E5457" w14:textId="77777777" w:rsidR="00CA1C9B" w:rsidRDefault="00CA1C9B" w:rsidP="00CA1C9B">
      <w:pPr>
        <w:spacing w:line="360" w:lineRule="auto"/>
        <w:jc w:val="both"/>
        <w:rPr>
          <w:rFonts w:ascii="Arial" w:hAnsi="Arial"/>
          <w:noProof w:val="0"/>
          <w:rtl/>
        </w:rPr>
      </w:pPr>
      <w:r>
        <w:rPr>
          <w:rFonts w:ascii="Arial" w:hAnsi="Arial" w:hint="cs"/>
          <w:noProof w:val="0"/>
          <w:rtl/>
        </w:rPr>
        <w:t>לטענת הנפגע, במהלך הפגיעה בו חש כי עומד לסיים את חייו ואף חווה התנתקות מגופו.</w:t>
      </w:r>
    </w:p>
    <w:p w14:paraId="6F464307" w14:textId="77777777" w:rsidR="00CA1C9B" w:rsidRDefault="00CA1C9B" w:rsidP="00CA1C9B">
      <w:pPr>
        <w:spacing w:line="360" w:lineRule="auto"/>
        <w:jc w:val="both"/>
        <w:rPr>
          <w:rFonts w:ascii="Arial" w:hAnsi="Arial"/>
          <w:noProof w:val="0"/>
          <w:rtl/>
        </w:rPr>
      </w:pPr>
    </w:p>
    <w:p w14:paraId="758650F0" w14:textId="77777777" w:rsidR="00CA1C9B" w:rsidRDefault="00CA1C9B" w:rsidP="00CA1C9B">
      <w:pPr>
        <w:spacing w:line="360" w:lineRule="auto"/>
        <w:jc w:val="both"/>
        <w:rPr>
          <w:rFonts w:ascii="Arial" w:hAnsi="Arial"/>
          <w:noProof w:val="0"/>
          <w:rtl/>
        </w:rPr>
      </w:pPr>
      <w:r>
        <w:rPr>
          <w:rFonts w:ascii="Arial" w:hAnsi="Arial" w:hint="cs"/>
          <w:noProof w:val="0"/>
          <w:rtl/>
        </w:rPr>
        <w:t>הנפגע נושא צלקת, אשר מהווה תזכורת תדמית לפגיעה שחווה ופוגעת בתחושת הביטחון שלו.</w:t>
      </w:r>
    </w:p>
    <w:p w14:paraId="3CDBF40F" w14:textId="77777777" w:rsidR="00CA1C9B" w:rsidRDefault="00CA1C9B" w:rsidP="00CA1C9B">
      <w:pPr>
        <w:spacing w:line="360" w:lineRule="auto"/>
        <w:jc w:val="both"/>
        <w:rPr>
          <w:rFonts w:ascii="Arial" w:hAnsi="Arial"/>
          <w:noProof w:val="0"/>
          <w:rtl/>
        </w:rPr>
      </w:pPr>
    </w:p>
    <w:p w14:paraId="5D2EBA71" w14:textId="77777777" w:rsidR="00CA1C9B" w:rsidRDefault="00CA1C9B" w:rsidP="00CA1C9B">
      <w:pPr>
        <w:spacing w:line="360" w:lineRule="auto"/>
        <w:jc w:val="both"/>
        <w:rPr>
          <w:rFonts w:ascii="Arial" w:hAnsi="Arial"/>
          <w:noProof w:val="0"/>
          <w:rtl/>
        </w:rPr>
      </w:pPr>
      <w:r>
        <w:rPr>
          <w:rFonts w:ascii="Arial" w:hAnsi="Arial" w:hint="cs"/>
          <w:noProof w:val="0"/>
          <w:rtl/>
        </w:rPr>
        <w:t>כיום, מתקיים מקצבת נכות מהמוסד לביטוח לאומי. הנפגע, חש כי איבד את תפקודיו הרגשיים והחברתיים שהיו לו לפני האירוע והוא חווה תחושת בושה, כמי שנכשל להגן על עצמו.</w:t>
      </w:r>
    </w:p>
    <w:p w14:paraId="64B35678" w14:textId="77777777" w:rsidR="00CA1C9B" w:rsidRPr="000F3B6D" w:rsidRDefault="00CA1C9B" w:rsidP="00CA1C9B">
      <w:pPr>
        <w:spacing w:line="360" w:lineRule="auto"/>
        <w:jc w:val="both"/>
        <w:rPr>
          <w:rFonts w:ascii="Arial" w:hAnsi="Arial"/>
          <w:noProof w:val="0"/>
          <w:rtl/>
        </w:rPr>
      </w:pPr>
      <w:r w:rsidRPr="000F3B6D">
        <w:rPr>
          <w:rFonts w:ascii="Arial" w:hAnsi="Arial" w:hint="cs"/>
          <w:noProof w:val="0"/>
          <w:rtl/>
        </w:rPr>
        <w:t xml:space="preserve"> </w:t>
      </w:r>
    </w:p>
    <w:p w14:paraId="4F091621"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 עד לאותו אירוע, לא  חווה הנפגע יחס שונה או חריג  במדינת ישראל, אך בתפיסתו ובחוויית</w:t>
      </w:r>
      <w:r>
        <w:rPr>
          <w:rFonts w:ascii="Arial" w:hAnsi="Arial" w:hint="eastAsia"/>
          <w:noProof w:val="0"/>
          <w:rtl/>
        </w:rPr>
        <w:t>ו</w:t>
      </w:r>
      <w:r>
        <w:rPr>
          <w:rFonts w:ascii="Arial" w:hAnsi="Arial" w:hint="cs"/>
          <w:noProof w:val="0"/>
          <w:rtl/>
        </w:rPr>
        <w:t xml:space="preserve"> של הנפגע, חפץ הנאשם לגרום למותו לאור היותו מוסלמי, ומאז </w:t>
      </w:r>
      <w:r>
        <w:rPr>
          <w:rFonts w:ascii="Arial" w:hAnsi="Arial"/>
          <w:noProof w:val="0"/>
          <w:rtl/>
        </w:rPr>
        <w:t>–</w:t>
      </w:r>
      <w:r>
        <w:rPr>
          <w:rFonts w:ascii="Arial" w:hAnsi="Arial" w:hint="cs"/>
          <w:noProof w:val="0"/>
          <w:rtl/>
        </w:rPr>
        <w:t xml:space="preserve"> נמנע מליצור קשרים חברתיים עם בני המגזר היהודי.</w:t>
      </w:r>
    </w:p>
    <w:p w14:paraId="2AA2D658" w14:textId="77777777" w:rsidR="00CA1C9B" w:rsidRDefault="00CA1C9B" w:rsidP="00CA1C9B">
      <w:pPr>
        <w:spacing w:line="360" w:lineRule="auto"/>
        <w:jc w:val="both"/>
        <w:rPr>
          <w:rFonts w:ascii="Arial" w:hAnsi="Arial"/>
          <w:noProof w:val="0"/>
          <w:rtl/>
        </w:rPr>
      </w:pPr>
    </w:p>
    <w:p w14:paraId="4405A617" w14:textId="77777777" w:rsidR="00CA1C9B" w:rsidRDefault="00CA1C9B" w:rsidP="00CA1C9B">
      <w:pPr>
        <w:spacing w:line="360" w:lineRule="auto"/>
        <w:jc w:val="both"/>
        <w:rPr>
          <w:rFonts w:ascii="Arial" w:hAnsi="Arial"/>
          <w:noProof w:val="0"/>
          <w:rtl/>
        </w:rPr>
      </w:pPr>
      <w:r>
        <w:rPr>
          <w:rFonts w:ascii="Arial" w:hAnsi="Arial" w:hint="cs"/>
          <w:noProof w:val="0"/>
          <w:rtl/>
        </w:rPr>
        <w:t>בעקבות האירוע הפך הנפגע מתוסכל, חסר סבלנות והוא מתייחס בעצבנות ובכעס כלפי הסובבים אותו.</w:t>
      </w:r>
    </w:p>
    <w:p w14:paraId="27C19C12" w14:textId="77777777" w:rsidR="00CA1C9B" w:rsidRDefault="00CA1C9B" w:rsidP="00CA1C9B">
      <w:pPr>
        <w:spacing w:line="360" w:lineRule="auto"/>
        <w:jc w:val="both"/>
        <w:rPr>
          <w:rFonts w:ascii="Arial" w:hAnsi="Arial"/>
          <w:noProof w:val="0"/>
          <w:rtl/>
        </w:rPr>
      </w:pPr>
    </w:p>
    <w:p w14:paraId="498D1E9A" w14:textId="77777777" w:rsidR="00CA1C9B" w:rsidRDefault="00CA1C9B" w:rsidP="00CA1C9B">
      <w:pPr>
        <w:spacing w:line="360" w:lineRule="auto"/>
        <w:jc w:val="both"/>
        <w:rPr>
          <w:rFonts w:ascii="Arial" w:hAnsi="Arial"/>
          <w:noProof w:val="0"/>
          <w:rtl/>
        </w:rPr>
      </w:pPr>
      <w:r>
        <w:rPr>
          <w:rFonts w:ascii="Arial" w:hAnsi="Arial" w:hint="cs"/>
          <w:noProof w:val="0"/>
          <w:rtl/>
        </w:rPr>
        <w:t>למרות המלצות שקיבל נמנע הנפגע, מלהשתלב בטיפול בתחום הרגשי.</w:t>
      </w:r>
    </w:p>
    <w:p w14:paraId="45DBDF66" w14:textId="77777777" w:rsidR="00CA1C9B" w:rsidRDefault="00CA1C9B" w:rsidP="00CA1C9B">
      <w:pPr>
        <w:spacing w:line="360" w:lineRule="auto"/>
        <w:jc w:val="both"/>
        <w:rPr>
          <w:rFonts w:ascii="Arial" w:hAnsi="Arial"/>
          <w:noProof w:val="0"/>
          <w:rtl/>
        </w:rPr>
      </w:pPr>
    </w:p>
    <w:p w14:paraId="1F1623A6" w14:textId="77777777" w:rsidR="00CA1C9B" w:rsidRDefault="00CA1C9B" w:rsidP="00CA1C9B">
      <w:pPr>
        <w:spacing w:line="360" w:lineRule="auto"/>
        <w:jc w:val="both"/>
        <w:rPr>
          <w:rFonts w:ascii="Arial" w:hAnsi="Arial"/>
          <w:noProof w:val="0"/>
          <w:rtl/>
        </w:rPr>
      </w:pPr>
      <w:r>
        <w:rPr>
          <w:rFonts w:ascii="Arial" w:hAnsi="Arial" w:hint="cs"/>
          <w:noProof w:val="0"/>
          <w:rtl/>
        </w:rPr>
        <w:t>המפקחת התרשמה, כי אירוע הפגיעה הביא לטלטלה קשה בחייו של הנפגע; סדק את האמון שלו באחרים; פצע את נפשו.</w:t>
      </w:r>
    </w:p>
    <w:p w14:paraId="2F6257BF" w14:textId="77777777" w:rsidR="00CA1C9B" w:rsidRDefault="00CA1C9B" w:rsidP="00CA1C9B">
      <w:pPr>
        <w:spacing w:line="360" w:lineRule="auto"/>
        <w:jc w:val="both"/>
        <w:rPr>
          <w:rFonts w:ascii="Arial" w:hAnsi="Arial"/>
          <w:noProof w:val="0"/>
          <w:rtl/>
        </w:rPr>
      </w:pPr>
    </w:p>
    <w:p w14:paraId="6ACCF5F4" w14:textId="77777777" w:rsidR="00CA1C9B" w:rsidRDefault="00CA1C9B" w:rsidP="00CA1C9B">
      <w:pPr>
        <w:spacing w:line="360" w:lineRule="auto"/>
        <w:jc w:val="both"/>
        <w:rPr>
          <w:rFonts w:ascii="Arial" w:hAnsi="Arial"/>
          <w:noProof w:val="0"/>
          <w:rtl/>
        </w:rPr>
      </w:pPr>
      <w:r>
        <w:rPr>
          <w:rFonts w:ascii="Arial" w:hAnsi="Arial" w:hint="cs"/>
          <w:noProof w:val="0"/>
          <w:rtl/>
        </w:rPr>
        <w:t>הנפגע מסר, כי מקווה שיוטל על הנאשם עונש שישקף את חומרת הפגיעה בו.</w:t>
      </w:r>
    </w:p>
    <w:p w14:paraId="54047AFD" w14:textId="77777777" w:rsidR="00CA1C9B" w:rsidRDefault="00CA1C9B" w:rsidP="00CA1C9B">
      <w:pPr>
        <w:spacing w:line="360" w:lineRule="auto"/>
        <w:jc w:val="both"/>
        <w:rPr>
          <w:rFonts w:ascii="Arial" w:hAnsi="Arial"/>
          <w:noProof w:val="0"/>
          <w:rtl/>
        </w:rPr>
      </w:pPr>
    </w:p>
    <w:p w14:paraId="4AEF24BC"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המפקחת המליצה גם על פיצוי כספי שיהיה בו כדי לסייע לנפגע לקבל הכרה משפטית וחברתית. </w:t>
      </w:r>
    </w:p>
    <w:p w14:paraId="53611E8E" w14:textId="77777777" w:rsidR="00CA1C9B" w:rsidRDefault="00CA1C9B" w:rsidP="00CA1C9B">
      <w:pPr>
        <w:spacing w:line="360" w:lineRule="auto"/>
        <w:jc w:val="both"/>
        <w:rPr>
          <w:rFonts w:ascii="Arial" w:hAnsi="Arial"/>
          <w:noProof w:val="0"/>
          <w:rtl/>
        </w:rPr>
      </w:pPr>
    </w:p>
    <w:p w14:paraId="4FDE1AC1" w14:textId="77777777" w:rsidR="00CA1C9B" w:rsidRDefault="00CA1C9B" w:rsidP="00CA1C9B">
      <w:pPr>
        <w:spacing w:line="360" w:lineRule="auto"/>
        <w:jc w:val="both"/>
        <w:rPr>
          <w:rFonts w:ascii="Arial" w:hAnsi="Arial"/>
          <w:b/>
          <w:bCs/>
          <w:noProof w:val="0"/>
          <w:rtl/>
        </w:rPr>
      </w:pPr>
      <w:r w:rsidRPr="00010263">
        <w:rPr>
          <w:rFonts w:ascii="Arial" w:hAnsi="Arial" w:hint="cs"/>
          <w:b/>
          <w:bCs/>
          <w:noProof w:val="0"/>
          <w:rtl/>
        </w:rPr>
        <w:t>ראיות לעונש</w:t>
      </w:r>
    </w:p>
    <w:p w14:paraId="16B550E8" w14:textId="77777777" w:rsidR="00CA1C9B" w:rsidRDefault="00CA1C9B" w:rsidP="00CA1C9B">
      <w:pPr>
        <w:spacing w:line="360" w:lineRule="auto"/>
        <w:jc w:val="both"/>
        <w:rPr>
          <w:rFonts w:ascii="Arial" w:hAnsi="Arial"/>
          <w:b/>
          <w:bCs/>
          <w:noProof w:val="0"/>
          <w:rtl/>
        </w:rPr>
      </w:pPr>
    </w:p>
    <w:p w14:paraId="44ED923F" w14:textId="77777777" w:rsidR="00CA1C9B" w:rsidRDefault="00CA1C9B" w:rsidP="00CA1C9B">
      <w:pPr>
        <w:spacing w:line="360" w:lineRule="auto"/>
        <w:jc w:val="both"/>
        <w:rPr>
          <w:rFonts w:ascii="Arial" w:hAnsi="Arial"/>
          <w:noProof w:val="0"/>
          <w:rtl/>
        </w:rPr>
      </w:pPr>
      <w:r w:rsidRPr="00BE6359">
        <w:rPr>
          <w:rFonts w:ascii="Arial" w:hAnsi="Arial" w:hint="cs"/>
          <w:noProof w:val="0"/>
          <w:u w:val="single"/>
          <w:rtl/>
        </w:rPr>
        <w:t>התביעה</w:t>
      </w:r>
      <w:r>
        <w:rPr>
          <w:rFonts w:ascii="Arial" w:hAnsi="Arial" w:hint="cs"/>
          <w:noProof w:val="0"/>
          <w:rtl/>
        </w:rPr>
        <w:t xml:space="preserve"> הגישה, לענין העונש, את גליון הרשעותיו הקודמות של הנאשם.</w:t>
      </w:r>
    </w:p>
    <w:p w14:paraId="69105D0A" w14:textId="77777777" w:rsidR="00CA1C9B" w:rsidRDefault="00CA1C9B" w:rsidP="00CA1C9B">
      <w:pPr>
        <w:spacing w:line="360" w:lineRule="auto"/>
        <w:jc w:val="both"/>
        <w:rPr>
          <w:rFonts w:ascii="Arial" w:hAnsi="Arial"/>
          <w:noProof w:val="0"/>
          <w:rtl/>
        </w:rPr>
      </w:pPr>
    </w:p>
    <w:p w14:paraId="33CE46E3" w14:textId="77777777" w:rsidR="00CA1C9B" w:rsidRDefault="00CA1C9B" w:rsidP="00CA1C9B">
      <w:pPr>
        <w:spacing w:line="360" w:lineRule="auto"/>
        <w:jc w:val="both"/>
        <w:rPr>
          <w:rFonts w:ascii="Arial" w:hAnsi="Arial"/>
          <w:noProof w:val="0"/>
          <w:rtl/>
        </w:rPr>
      </w:pPr>
      <w:r>
        <w:rPr>
          <w:rFonts w:ascii="Arial" w:hAnsi="Arial" w:hint="cs"/>
          <w:noProof w:val="0"/>
          <w:rtl/>
        </w:rPr>
        <w:t>לחובת הנאשם רישום, ללא הרשעה, משנת 2024, מבית משפט השלום ברחובות, בגין עבירה שענינה הפרעה לשוטר בעת מילוי תפקידו, אשר נעברה בשנת 2023.</w:t>
      </w:r>
    </w:p>
    <w:p w14:paraId="0B824EC8" w14:textId="77777777" w:rsidR="00CA1C9B" w:rsidRDefault="00CA1C9B" w:rsidP="00CA1C9B">
      <w:pPr>
        <w:spacing w:line="360" w:lineRule="auto"/>
        <w:jc w:val="both"/>
        <w:rPr>
          <w:rFonts w:ascii="Arial" w:hAnsi="Arial"/>
          <w:noProof w:val="0"/>
          <w:rtl/>
        </w:rPr>
      </w:pPr>
    </w:p>
    <w:p w14:paraId="2114F9BE"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עוד לחובת הנאשם רישום ללא הרשעה (צו דרכי טיפול), משנת 2019, בגין שלושה תיקי חקירה משנת 2018, שענינם עבירות נגד </w:t>
      </w:r>
      <w:hyperlink r:id="rId19" w:history="1">
        <w:r w:rsidR="0067280B" w:rsidRPr="0067280B">
          <w:rPr>
            <w:rFonts w:ascii="Arial" w:hAnsi="Arial"/>
            <w:noProof w:val="0"/>
            <w:color w:val="0000FF"/>
            <w:u w:val="single"/>
            <w:rtl/>
          </w:rPr>
          <w:t>פקודת הסמים המסוכנים</w:t>
        </w:r>
      </w:hyperlink>
      <w:r>
        <w:rPr>
          <w:rFonts w:ascii="Arial" w:hAnsi="Arial" w:hint="cs"/>
          <w:noProof w:val="0"/>
          <w:rtl/>
        </w:rPr>
        <w:t xml:space="preserve"> (לרבות שתי עבירות של סחר בסם מסוכן) וכן עבירה של אחזקת סכין למטרה לא כשרה.</w:t>
      </w:r>
    </w:p>
    <w:p w14:paraId="3CBDB282" w14:textId="77777777" w:rsidR="00CA1C9B" w:rsidRDefault="00CA1C9B" w:rsidP="00CA1C9B">
      <w:pPr>
        <w:spacing w:line="360" w:lineRule="auto"/>
        <w:jc w:val="both"/>
        <w:rPr>
          <w:rFonts w:ascii="Arial" w:hAnsi="Arial"/>
          <w:noProof w:val="0"/>
          <w:rtl/>
        </w:rPr>
      </w:pPr>
    </w:p>
    <w:p w14:paraId="5475FFD0" w14:textId="77777777" w:rsidR="00CA1C9B" w:rsidRDefault="00CA1C9B" w:rsidP="00CA1C9B">
      <w:pPr>
        <w:spacing w:line="360" w:lineRule="auto"/>
        <w:jc w:val="both"/>
        <w:rPr>
          <w:rFonts w:ascii="Arial" w:hAnsi="Arial"/>
          <w:noProof w:val="0"/>
          <w:rtl/>
        </w:rPr>
      </w:pPr>
      <w:r w:rsidRPr="00BE6359">
        <w:rPr>
          <w:rFonts w:ascii="Arial" w:hAnsi="Arial" w:hint="cs"/>
          <w:noProof w:val="0"/>
          <w:u w:val="single"/>
          <w:rtl/>
        </w:rPr>
        <w:t>ההגנה</w:t>
      </w:r>
      <w:r>
        <w:rPr>
          <w:rFonts w:ascii="Arial" w:hAnsi="Arial" w:hint="cs"/>
          <w:noProof w:val="0"/>
          <w:rtl/>
        </w:rPr>
        <w:t xml:space="preserve"> לא הגישה ראיות לענין העונש. </w:t>
      </w:r>
    </w:p>
    <w:p w14:paraId="4DE3BF8E" w14:textId="77777777" w:rsidR="00CA1C9B" w:rsidRDefault="00CA1C9B" w:rsidP="00CA1C9B">
      <w:pPr>
        <w:spacing w:line="360" w:lineRule="auto"/>
        <w:jc w:val="both"/>
        <w:rPr>
          <w:rFonts w:ascii="Arial" w:hAnsi="Arial"/>
          <w:noProof w:val="0"/>
          <w:rtl/>
        </w:rPr>
      </w:pPr>
    </w:p>
    <w:p w14:paraId="35388121" w14:textId="77777777" w:rsidR="00CA1C9B" w:rsidRPr="00BE6359" w:rsidRDefault="00CA1C9B" w:rsidP="00CA1C9B">
      <w:pPr>
        <w:spacing w:line="360" w:lineRule="auto"/>
        <w:jc w:val="both"/>
        <w:rPr>
          <w:rFonts w:ascii="Arial" w:hAnsi="Arial"/>
          <w:b/>
          <w:bCs/>
          <w:noProof w:val="0"/>
          <w:rtl/>
        </w:rPr>
      </w:pPr>
      <w:r w:rsidRPr="00BE6359">
        <w:rPr>
          <w:rFonts w:ascii="Arial" w:hAnsi="Arial" w:hint="cs"/>
          <w:b/>
          <w:bCs/>
          <w:noProof w:val="0"/>
          <w:rtl/>
        </w:rPr>
        <w:t>טענות הצדדים</w:t>
      </w:r>
    </w:p>
    <w:p w14:paraId="53BEA0F5" w14:textId="77777777" w:rsidR="00CA1C9B" w:rsidRDefault="00CA1C9B" w:rsidP="00CA1C9B">
      <w:pPr>
        <w:spacing w:line="360" w:lineRule="auto"/>
        <w:jc w:val="both"/>
        <w:rPr>
          <w:rFonts w:ascii="Arial" w:hAnsi="Arial"/>
          <w:noProof w:val="0"/>
          <w:rtl/>
        </w:rPr>
      </w:pPr>
    </w:p>
    <w:p w14:paraId="5331CC44"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התביעה טענה בנוגע לחומרתו הרבה של האירוע נושא כתב האישום. לטענתה, נקט הנאשם באלימות ללא הצדקה כלשהי. הפגיעה שפגע הנאשם בנפגע </w:t>
      </w:r>
      <w:r>
        <w:rPr>
          <w:rFonts w:ascii="Arial" w:hAnsi="Arial"/>
          <w:noProof w:val="0"/>
          <w:rtl/>
        </w:rPr>
        <w:t>–</w:t>
      </w:r>
      <w:r>
        <w:rPr>
          <w:rFonts w:ascii="Arial" w:hAnsi="Arial" w:hint="cs"/>
          <w:noProof w:val="0"/>
          <w:rtl/>
        </w:rPr>
        <w:t xml:space="preserve"> רק בנס לא הסתיימה באופן חמור יותר. הנאשם אף לא הפסיק את האירוע מיוזמתו והוא הסתיים רק לנוכח התערבות אחרים. </w:t>
      </w:r>
    </w:p>
    <w:p w14:paraId="387630CF" w14:textId="77777777" w:rsidR="00CA1C9B" w:rsidRDefault="00CA1C9B" w:rsidP="00CA1C9B">
      <w:pPr>
        <w:spacing w:line="360" w:lineRule="auto"/>
        <w:jc w:val="both"/>
        <w:rPr>
          <w:rFonts w:ascii="Arial" w:hAnsi="Arial"/>
          <w:noProof w:val="0"/>
          <w:rtl/>
        </w:rPr>
      </w:pPr>
    </w:p>
    <w:p w14:paraId="293B4274" w14:textId="77777777" w:rsidR="00CA1C9B" w:rsidRDefault="00CA1C9B" w:rsidP="00CA1C9B">
      <w:pPr>
        <w:spacing w:line="360" w:lineRule="auto"/>
        <w:jc w:val="both"/>
        <w:rPr>
          <w:rFonts w:ascii="Arial" w:hAnsi="Arial"/>
          <w:noProof w:val="0"/>
          <w:rtl/>
        </w:rPr>
      </w:pPr>
      <w:r>
        <w:rPr>
          <w:rFonts w:ascii="Arial" w:hAnsi="Arial" w:hint="cs"/>
          <w:noProof w:val="0"/>
          <w:rtl/>
        </w:rPr>
        <w:t>התביעה הדגישה את הנזק שנגרם לנפגע, הן הפיזי והן הנפש, לרבות פגיעות ארוכות טווח. התביעה הפנתה, לעניין זה, אל תסקיר נפגע העבירה.</w:t>
      </w:r>
    </w:p>
    <w:p w14:paraId="61711A08" w14:textId="77777777" w:rsidR="00CA1C9B" w:rsidRDefault="00CA1C9B" w:rsidP="00CA1C9B">
      <w:pPr>
        <w:spacing w:line="360" w:lineRule="auto"/>
        <w:jc w:val="both"/>
        <w:rPr>
          <w:rFonts w:ascii="Arial" w:hAnsi="Arial"/>
          <w:noProof w:val="0"/>
          <w:rtl/>
        </w:rPr>
      </w:pPr>
    </w:p>
    <w:p w14:paraId="4B008018" w14:textId="77777777" w:rsidR="00CA1C9B" w:rsidRDefault="00CA1C9B" w:rsidP="00CA1C9B">
      <w:pPr>
        <w:spacing w:line="360" w:lineRule="auto"/>
        <w:jc w:val="both"/>
        <w:rPr>
          <w:rFonts w:ascii="Arial" w:hAnsi="Arial"/>
          <w:noProof w:val="0"/>
          <w:rtl/>
        </w:rPr>
      </w:pPr>
      <w:r>
        <w:rPr>
          <w:rFonts w:ascii="Arial" w:hAnsi="Arial" w:hint="cs"/>
          <w:noProof w:val="0"/>
          <w:rtl/>
        </w:rPr>
        <w:t>התביעה התייחסה לתסקיר  שירות המבחן למבוגרים בעניינו של הנאשם, אשר אינו מגלה כל אפיק שיקומי או טיפולי.</w:t>
      </w:r>
    </w:p>
    <w:p w14:paraId="6D3EF4BA" w14:textId="77777777" w:rsidR="00CA1C9B" w:rsidRDefault="00CA1C9B" w:rsidP="00CA1C9B">
      <w:pPr>
        <w:spacing w:line="360" w:lineRule="auto"/>
        <w:jc w:val="both"/>
        <w:rPr>
          <w:rFonts w:ascii="Arial" w:hAnsi="Arial"/>
          <w:noProof w:val="0"/>
          <w:rtl/>
        </w:rPr>
      </w:pPr>
    </w:p>
    <w:p w14:paraId="233F85DF" w14:textId="77777777" w:rsidR="00CA1C9B" w:rsidRDefault="00CA1C9B" w:rsidP="00CA1C9B">
      <w:pPr>
        <w:spacing w:line="360" w:lineRule="auto"/>
        <w:jc w:val="both"/>
        <w:rPr>
          <w:rFonts w:ascii="Arial" w:hAnsi="Arial"/>
          <w:noProof w:val="0"/>
          <w:rtl/>
        </w:rPr>
      </w:pPr>
      <w:r>
        <w:rPr>
          <w:rFonts w:ascii="Arial" w:hAnsi="Arial" w:hint="cs"/>
          <w:noProof w:val="0"/>
          <w:rtl/>
        </w:rPr>
        <w:t>התביעה עותרת למתחם ענישה, אשר ינוע בין 20 ועד 40 חודשים מאסר בפועל.</w:t>
      </w:r>
    </w:p>
    <w:p w14:paraId="56FF910E" w14:textId="77777777" w:rsidR="00CA1C9B" w:rsidRDefault="00CA1C9B" w:rsidP="00CA1C9B">
      <w:pPr>
        <w:spacing w:line="360" w:lineRule="auto"/>
        <w:jc w:val="both"/>
        <w:rPr>
          <w:rFonts w:ascii="Arial" w:hAnsi="Arial"/>
          <w:noProof w:val="0"/>
          <w:rtl/>
        </w:rPr>
      </w:pPr>
    </w:p>
    <w:p w14:paraId="256CA625"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נוכח גילו הצעיר של הנאשם; עברו הפלילי, שאינו מכביד </w:t>
      </w:r>
      <w:r>
        <w:rPr>
          <w:rFonts w:ascii="Arial" w:hAnsi="Arial"/>
          <w:noProof w:val="0"/>
          <w:rtl/>
        </w:rPr>
        <w:t>–</w:t>
      </w:r>
      <w:r>
        <w:rPr>
          <w:rFonts w:ascii="Arial" w:hAnsi="Arial" w:hint="cs"/>
          <w:noProof w:val="0"/>
          <w:rtl/>
        </w:rPr>
        <w:t xml:space="preserve"> עותרת התביעה לעונש בחלק התחתון של המתחם, אך לא ברף התחתון שלו; וכן עונשים של מאסר מותנה ופיצוי לנפגע העבירה. </w:t>
      </w:r>
    </w:p>
    <w:p w14:paraId="542EAE09" w14:textId="77777777" w:rsidR="00CA1C9B" w:rsidRDefault="00CA1C9B" w:rsidP="00CA1C9B">
      <w:pPr>
        <w:spacing w:line="360" w:lineRule="auto"/>
        <w:jc w:val="both"/>
        <w:rPr>
          <w:rFonts w:ascii="Arial" w:hAnsi="Arial"/>
          <w:noProof w:val="0"/>
          <w:rtl/>
        </w:rPr>
      </w:pPr>
    </w:p>
    <w:p w14:paraId="1DD76BE2"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התביעה הגישה פסיקה לתמיכה בעמדתה. </w:t>
      </w:r>
    </w:p>
    <w:p w14:paraId="6C52840E" w14:textId="77777777" w:rsidR="00CA1C9B" w:rsidRDefault="00CA1C9B" w:rsidP="00CA1C9B">
      <w:pPr>
        <w:spacing w:line="360" w:lineRule="auto"/>
        <w:jc w:val="both"/>
        <w:rPr>
          <w:rFonts w:ascii="Arial" w:hAnsi="Arial"/>
          <w:noProof w:val="0"/>
          <w:rtl/>
        </w:rPr>
      </w:pPr>
    </w:p>
    <w:p w14:paraId="34A10DD0"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יצוין, כי בפתח הדיון שנקבע לשמיעת פרשת העונש, עתרה ההגנה להפניית הנאשם לתסקיר נוסף, לצורך נסיון חוזר לשלבו בטיפול. לאור התרשמות שירות המבחן מעמדותיו הנוקשות של הנאשם ומהיעדר תוחלת להליך טיפולי; כמו גם לאור מתחמי הענישה הנהוגים בעבירות מסוג זה </w:t>
      </w:r>
      <w:r>
        <w:rPr>
          <w:rFonts w:ascii="Arial" w:hAnsi="Arial"/>
          <w:noProof w:val="0"/>
          <w:rtl/>
        </w:rPr>
        <w:t>–</w:t>
      </w:r>
      <w:r>
        <w:rPr>
          <w:rFonts w:ascii="Arial" w:hAnsi="Arial" w:hint="cs"/>
          <w:noProof w:val="0"/>
          <w:rtl/>
        </w:rPr>
        <w:t xml:space="preserve"> לא נעתר בית המשפט לבקשתה. </w:t>
      </w:r>
    </w:p>
    <w:p w14:paraId="219BC0CD" w14:textId="77777777" w:rsidR="00CA1C9B" w:rsidRDefault="00CA1C9B" w:rsidP="00CA1C9B">
      <w:pPr>
        <w:spacing w:line="360" w:lineRule="auto"/>
        <w:jc w:val="both"/>
        <w:rPr>
          <w:rFonts w:ascii="Arial" w:hAnsi="Arial"/>
          <w:noProof w:val="0"/>
          <w:rtl/>
        </w:rPr>
      </w:pPr>
    </w:p>
    <w:p w14:paraId="6F4042F3" w14:textId="77777777" w:rsidR="00CA1C9B" w:rsidRDefault="00CA1C9B" w:rsidP="00CA1C9B">
      <w:pPr>
        <w:spacing w:line="360" w:lineRule="auto"/>
        <w:jc w:val="both"/>
        <w:rPr>
          <w:rFonts w:ascii="Arial" w:hAnsi="Arial"/>
          <w:noProof w:val="0"/>
          <w:rtl/>
        </w:rPr>
      </w:pPr>
      <w:r>
        <w:rPr>
          <w:rFonts w:ascii="Arial" w:hAnsi="Arial" w:hint="cs"/>
          <w:noProof w:val="0"/>
          <w:rtl/>
        </w:rPr>
        <w:t>ההגנה ביקשה, כי בית המשפט יבין, מתוך "השכל הישר", גם את מה שלא כתוב בכתב האישום, שלטענתה הייתה "התרחשות" שהביאה את הנאשם למעשים. התביעה התנגדה נחרצות לתוספת עובדות, שאינן מנויות בכתב האישום המתוקן ולאחר מכן זנחה ההגנה טענתה זו.</w:t>
      </w:r>
    </w:p>
    <w:p w14:paraId="0F555340" w14:textId="77777777" w:rsidR="00CA1C9B" w:rsidRDefault="00CA1C9B" w:rsidP="00CA1C9B">
      <w:pPr>
        <w:spacing w:line="360" w:lineRule="auto"/>
        <w:jc w:val="both"/>
        <w:rPr>
          <w:rFonts w:ascii="Arial" w:hAnsi="Arial"/>
          <w:noProof w:val="0"/>
          <w:rtl/>
        </w:rPr>
      </w:pPr>
    </w:p>
    <w:p w14:paraId="5767722D" w14:textId="77777777" w:rsidR="00CA1C9B" w:rsidRDefault="00CA1C9B" w:rsidP="00CA1C9B">
      <w:pPr>
        <w:spacing w:line="360" w:lineRule="auto"/>
        <w:jc w:val="both"/>
        <w:rPr>
          <w:rFonts w:ascii="Arial" w:hAnsi="Arial"/>
          <w:noProof w:val="0"/>
          <w:rtl/>
        </w:rPr>
      </w:pPr>
      <w:r>
        <w:rPr>
          <w:rFonts w:ascii="Arial" w:hAnsi="Arial" w:hint="cs"/>
          <w:noProof w:val="0"/>
          <w:rtl/>
        </w:rPr>
        <w:t>ההגנה טענה, כי האירוע לא היה מתוכנן וכי הנאשם היה "מזועזע" מתוצאותיו.</w:t>
      </w:r>
    </w:p>
    <w:p w14:paraId="3693FD78" w14:textId="77777777" w:rsidR="00CA1C9B" w:rsidRDefault="00CA1C9B" w:rsidP="00CA1C9B">
      <w:pPr>
        <w:spacing w:line="360" w:lineRule="auto"/>
        <w:jc w:val="both"/>
        <w:rPr>
          <w:rFonts w:ascii="Arial" w:hAnsi="Arial"/>
          <w:noProof w:val="0"/>
          <w:rtl/>
        </w:rPr>
      </w:pPr>
    </w:p>
    <w:p w14:paraId="666FA541" w14:textId="77777777" w:rsidR="00CA1C9B" w:rsidRDefault="00CA1C9B" w:rsidP="00CA1C9B">
      <w:pPr>
        <w:spacing w:line="360" w:lineRule="auto"/>
        <w:jc w:val="both"/>
        <w:rPr>
          <w:rFonts w:ascii="Arial" w:hAnsi="Arial"/>
          <w:noProof w:val="0"/>
          <w:rtl/>
        </w:rPr>
      </w:pPr>
      <w:r>
        <w:rPr>
          <w:rFonts w:ascii="Arial" w:hAnsi="Arial" w:hint="cs"/>
          <w:noProof w:val="0"/>
          <w:rtl/>
        </w:rPr>
        <w:t>ההגנה הפנתה לכך, שהנאשם עובד בעסק המשפחתי וטענה, כי העבודה מהווה חלק משיקומו. לטענתה, מקום העבודה "שומר" על הנאשם.</w:t>
      </w:r>
    </w:p>
    <w:p w14:paraId="6423A573" w14:textId="77777777" w:rsidR="00CA1C9B" w:rsidRDefault="00CA1C9B" w:rsidP="00CA1C9B">
      <w:pPr>
        <w:spacing w:line="360" w:lineRule="auto"/>
        <w:jc w:val="both"/>
        <w:rPr>
          <w:rFonts w:ascii="Arial" w:hAnsi="Arial"/>
          <w:noProof w:val="0"/>
          <w:rtl/>
        </w:rPr>
      </w:pPr>
    </w:p>
    <w:p w14:paraId="468F09C3" w14:textId="77777777" w:rsidR="00CA1C9B" w:rsidRDefault="00CA1C9B" w:rsidP="00CA1C9B">
      <w:pPr>
        <w:spacing w:line="360" w:lineRule="auto"/>
        <w:jc w:val="both"/>
        <w:rPr>
          <w:rFonts w:ascii="Arial" w:hAnsi="Arial"/>
          <w:noProof w:val="0"/>
          <w:rtl/>
        </w:rPr>
      </w:pPr>
      <w:r>
        <w:rPr>
          <w:rFonts w:ascii="Arial" w:hAnsi="Arial" w:hint="cs"/>
          <w:noProof w:val="0"/>
          <w:rtl/>
        </w:rPr>
        <w:t>לטענת ההגנה, נמנע הנאשם מלמסור בדיקות לגילוי שרידי סם היות לא מצא מי שייסע עמו לשירות, משום שהערבים היו עסוקים.</w:t>
      </w:r>
    </w:p>
    <w:p w14:paraId="787667A3" w14:textId="77777777" w:rsidR="00CA1C9B" w:rsidRDefault="00CA1C9B" w:rsidP="00CA1C9B">
      <w:pPr>
        <w:spacing w:line="360" w:lineRule="auto"/>
        <w:jc w:val="both"/>
        <w:rPr>
          <w:rFonts w:ascii="Arial" w:hAnsi="Arial"/>
          <w:noProof w:val="0"/>
          <w:rtl/>
        </w:rPr>
      </w:pPr>
    </w:p>
    <w:p w14:paraId="7172C455" w14:textId="77777777" w:rsidR="00CA1C9B" w:rsidRDefault="00CA1C9B" w:rsidP="00CA1C9B">
      <w:pPr>
        <w:spacing w:line="360" w:lineRule="auto"/>
        <w:jc w:val="both"/>
        <w:rPr>
          <w:rFonts w:ascii="Arial" w:hAnsi="Arial"/>
          <w:noProof w:val="0"/>
          <w:rtl/>
        </w:rPr>
      </w:pPr>
      <w:r>
        <w:rPr>
          <w:rFonts w:ascii="Arial" w:hAnsi="Arial" w:hint="cs"/>
          <w:noProof w:val="0"/>
          <w:rtl/>
        </w:rPr>
        <w:t>ההגנה טענה, כי הנזקים המפורטים בתסקיר נפגע העבירה  מופרזים, כי המתלונן חזר לתפקד ימים ספורים לאחר האירוע ואין כל סיבה שלא יעבוד מאז.</w:t>
      </w:r>
    </w:p>
    <w:p w14:paraId="5AE2F547" w14:textId="77777777" w:rsidR="00CA1C9B" w:rsidRDefault="00CA1C9B" w:rsidP="00CA1C9B">
      <w:pPr>
        <w:spacing w:line="360" w:lineRule="auto"/>
        <w:jc w:val="both"/>
        <w:rPr>
          <w:rFonts w:ascii="Arial" w:hAnsi="Arial"/>
          <w:noProof w:val="0"/>
          <w:rtl/>
        </w:rPr>
      </w:pPr>
    </w:p>
    <w:p w14:paraId="4FE87D22" w14:textId="77777777" w:rsidR="00CA1C9B" w:rsidRDefault="00CA1C9B" w:rsidP="00CA1C9B">
      <w:pPr>
        <w:spacing w:line="360" w:lineRule="auto"/>
        <w:jc w:val="both"/>
        <w:rPr>
          <w:rFonts w:ascii="Arial" w:hAnsi="Arial"/>
          <w:noProof w:val="0"/>
          <w:rtl/>
        </w:rPr>
      </w:pPr>
      <w:r>
        <w:rPr>
          <w:rFonts w:ascii="Arial" w:hAnsi="Arial" w:hint="cs"/>
          <w:noProof w:val="0"/>
          <w:rtl/>
        </w:rPr>
        <w:t>ההגנה טענה ארוכות במטרה לאבחן את פסקי הדין, שהוגשו מטעם התביעה, מהמקרה שלפנינו.</w:t>
      </w:r>
    </w:p>
    <w:p w14:paraId="2515611D" w14:textId="77777777" w:rsidR="00CA1C9B" w:rsidRDefault="00CA1C9B" w:rsidP="00CA1C9B">
      <w:pPr>
        <w:spacing w:line="360" w:lineRule="auto"/>
        <w:jc w:val="both"/>
        <w:rPr>
          <w:rFonts w:ascii="Arial" w:hAnsi="Arial"/>
          <w:noProof w:val="0"/>
          <w:rtl/>
        </w:rPr>
      </w:pPr>
    </w:p>
    <w:p w14:paraId="403B4E42" w14:textId="77777777" w:rsidR="00CA1C9B" w:rsidRDefault="00CA1C9B" w:rsidP="00CA1C9B">
      <w:pPr>
        <w:spacing w:line="360" w:lineRule="auto"/>
        <w:jc w:val="both"/>
        <w:rPr>
          <w:rFonts w:ascii="Arial" w:hAnsi="Arial"/>
          <w:noProof w:val="0"/>
          <w:rtl/>
        </w:rPr>
      </w:pPr>
      <w:r>
        <w:rPr>
          <w:rFonts w:ascii="Arial" w:hAnsi="Arial" w:hint="cs"/>
          <w:noProof w:val="0"/>
          <w:rtl/>
        </w:rPr>
        <w:t xml:space="preserve">ההגנה טענה, כי הנאשם למד את הלקח, וביקשה שלא למצות עמו את הדין. </w:t>
      </w:r>
    </w:p>
    <w:p w14:paraId="3E3600B6" w14:textId="77777777" w:rsidR="00CA1C9B" w:rsidRDefault="00CA1C9B" w:rsidP="00CA1C9B">
      <w:pPr>
        <w:spacing w:line="360" w:lineRule="auto"/>
        <w:jc w:val="both"/>
        <w:rPr>
          <w:rFonts w:ascii="Arial" w:hAnsi="Arial"/>
          <w:noProof w:val="0"/>
          <w:rtl/>
        </w:rPr>
      </w:pPr>
    </w:p>
    <w:p w14:paraId="38C60B94" w14:textId="77777777" w:rsidR="00CA1C9B" w:rsidRDefault="00CA1C9B" w:rsidP="00CA1C9B">
      <w:pPr>
        <w:spacing w:line="360" w:lineRule="auto"/>
        <w:jc w:val="both"/>
        <w:rPr>
          <w:rFonts w:ascii="Arial" w:hAnsi="Arial"/>
          <w:noProof w:val="0"/>
          <w:rtl/>
        </w:rPr>
      </w:pPr>
      <w:r>
        <w:rPr>
          <w:rFonts w:ascii="Arial" w:hAnsi="Arial" w:hint="cs"/>
          <w:noProof w:val="0"/>
          <w:rtl/>
        </w:rPr>
        <w:t>ההגנה אף הציעה לפצות את נפגע העבירה.</w:t>
      </w:r>
    </w:p>
    <w:p w14:paraId="20B6EEDB" w14:textId="77777777" w:rsidR="00CA1C9B" w:rsidRDefault="00CA1C9B" w:rsidP="00CA1C9B">
      <w:pPr>
        <w:spacing w:line="360" w:lineRule="auto"/>
        <w:jc w:val="both"/>
        <w:rPr>
          <w:rFonts w:ascii="Arial" w:hAnsi="Arial"/>
          <w:noProof w:val="0"/>
          <w:rtl/>
        </w:rPr>
      </w:pPr>
    </w:p>
    <w:p w14:paraId="24F602FB" w14:textId="77777777" w:rsidR="00CA1C9B" w:rsidRDefault="00CA1C9B" w:rsidP="00CA1C9B">
      <w:pPr>
        <w:spacing w:line="360" w:lineRule="auto"/>
        <w:jc w:val="both"/>
        <w:rPr>
          <w:rFonts w:ascii="Arial" w:hAnsi="Arial"/>
          <w:noProof w:val="0"/>
          <w:rtl/>
        </w:rPr>
      </w:pPr>
      <w:r w:rsidRPr="00514D8E">
        <w:rPr>
          <w:rFonts w:ascii="Arial" w:hAnsi="Arial" w:hint="cs"/>
          <w:noProof w:val="0"/>
          <w:u w:val="single"/>
          <w:rtl/>
        </w:rPr>
        <w:t>בדברו האחרון של הנאשם</w:t>
      </w:r>
      <w:r>
        <w:rPr>
          <w:rFonts w:ascii="Arial" w:hAnsi="Arial" w:hint="cs"/>
          <w:noProof w:val="0"/>
          <w:rtl/>
        </w:rPr>
        <w:t>, חזר על טענת סנגוריתו, כי לא הגיע למסור את בדיקות לגילוי שרידי סם בשל כך, שהערבים לא התפנו לבוא עמו; נטל אחריות על העבירה והביע צער על מעשיו.</w:t>
      </w:r>
    </w:p>
    <w:p w14:paraId="0CDD0C3C" w14:textId="77777777" w:rsidR="00CA1C9B" w:rsidRDefault="00CA1C9B" w:rsidP="00CA1C9B">
      <w:pPr>
        <w:spacing w:line="360" w:lineRule="auto"/>
        <w:jc w:val="both"/>
        <w:rPr>
          <w:rFonts w:ascii="Arial" w:hAnsi="Arial"/>
          <w:noProof w:val="0"/>
          <w:rtl/>
        </w:rPr>
      </w:pPr>
    </w:p>
    <w:p w14:paraId="172B245A" w14:textId="77777777" w:rsidR="00CA1C9B" w:rsidRDefault="00CA1C9B" w:rsidP="00CA1C9B">
      <w:pPr>
        <w:spacing w:line="360" w:lineRule="auto"/>
        <w:jc w:val="both"/>
        <w:rPr>
          <w:rFonts w:ascii="Arial" w:hAnsi="Arial"/>
          <w:noProof w:val="0"/>
          <w:rtl/>
        </w:rPr>
      </w:pPr>
    </w:p>
    <w:p w14:paraId="6D1E6044" w14:textId="77777777" w:rsidR="00CA1C9B" w:rsidRPr="00193D41" w:rsidRDefault="00CA1C9B" w:rsidP="00CA1C9B">
      <w:pPr>
        <w:spacing w:line="360" w:lineRule="auto"/>
        <w:jc w:val="both"/>
        <w:rPr>
          <w:rFonts w:ascii="Arial" w:hAnsi="Arial"/>
          <w:noProof w:val="0"/>
          <w:rtl/>
        </w:rPr>
      </w:pPr>
      <w:r w:rsidRPr="00193D41">
        <w:rPr>
          <w:rFonts w:ascii="Arial" w:hAnsi="Arial"/>
          <w:b/>
          <w:bCs/>
          <w:noProof w:val="0"/>
          <w:rtl/>
        </w:rPr>
        <w:t>דיון והכרעה</w:t>
      </w:r>
    </w:p>
    <w:p w14:paraId="41600D29" w14:textId="77777777" w:rsidR="00CA1C9B" w:rsidRPr="00193D41" w:rsidRDefault="00CA1C9B" w:rsidP="00CA1C9B">
      <w:pPr>
        <w:spacing w:line="360" w:lineRule="auto"/>
        <w:jc w:val="both"/>
        <w:rPr>
          <w:rFonts w:ascii="Arial" w:hAnsi="Arial"/>
          <w:noProof w:val="0"/>
          <w:rtl/>
        </w:rPr>
      </w:pPr>
    </w:p>
    <w:p w14:paraId="1CE5AC7F" w14:textId="77777777" w:rsidR="00CA1C9B" w:rsidRPr="00193D41" w:rsidRDefault="00CA1C9B" w:rsidP="00CA1C9B">
      <w:pPr>
        <w:spacing w:line="360" w:lineRule="auto"/>
        <w:rPr>
          <w:noProof w:val="0"/>
          <w:rtl/>
        </w:rPr>
      </w:pPr>
      <w:r w:rsidRPr="00193D41">
        <w:rPr>
          <w:noProof w:val="0"/>
          <w:rtl/>
        </w:rPr>
        <w:t xml:space="preserve">העבירה שעבר הנאשם היא </w:t>
      </w:r>
      <w:r>
        <w:rPr>
          <w:rFonts w:hint="cs"/>
          <w:noProof w:val="0"/>
          <w:rtl/>
        </w:rPr>
        <w:t>חמורה עד מאוד</w:t>
      </w:r>
      <w:r w:rsidRPr="00193D41">
        <w:rPr>
          <w:noProof w:val="0"/>
          <w:rtl/>
        </w:rPr>
        <w:t xml:space="preserve"> – </w:t>
      </w:r>
      <w:r>
        <w:rPr>
          <w:rFonts w:hint="cs"/>
          <w:noProof w:val="0"/>
          <w:rtl/>
        </w:rPr>
        <w:t>הנאשם</w:t>
      </w:r>
      <w:r w:rsidRPr="00193D41">
        <w:rPr>
          <w:noProof w:val="0"/>
          <w:rtl/>
        </w:rPr>
        <w:t xml:space="preserve"> דקר את </w:t>
      </w:r>
      <w:r>
        <w:rPr>
          <w:rFonts w:hint="cs"/>
          <w:noProof w:val="0"/>
          <w:rtl/>
        </w:rPr>
        <w:t>נפגע העבירה</w:t>
      </w:r>
      <w:r w:rsidRPr="00193D41">
        <w:rPr>
          <w:noProof w:val="0"/>
          <w:rtl/>
        </w:rPr>
        <w:t>, עמו אין לו כל היכרות מוקדמת, ללא כל עילה ובלא שקדמה למעשה כל התגרות או פגיעה בו.</w:t>
      </w:r>
    </w:p>
    <w:p w14:paraId="32174C5E" w14:textId="77777777" w:rsidR="00CA1C9B" w:rsidRPr="00193D41" w:rsidRDefault="00CA1C9B" w:rsidP="00CA1C9B">
      <w:pPr>
        <w:spacing w:line="360" w:lineRule="auto"/>
        <w:rPr>
          <w:noProof w:val="0"/>
        </w:rPr>
      </w:pPr>
    </w:p>
    <w:p w14:paraId="42D98FE2" w14:textId="77777777" w:rsidR="00CA1C9B" w:rsidRPr="00193D41" w:rsidRDefault="00CA1C9B" w:rsidP="00CA1C9B">
      <w:pPr>
        <w:spacing w:line="360" w:lineRule="auto"/>
        <w:rPr>
          <w:noProof w:val="0"/>
        </w:rPr>
      </w:pPr>
      <w:r w:rsidRPr="00193D41">
        <w:rPr>
          <w:noProof w:val="0"/>
          <w:rtl/>
        </w:rPr>
        <w:t>מעשי הנאשם פגעו בזכותו של המתלונן לשלמות גופו; כבודו; ובטחונו.</w:t>
      </w:r>
    </w:p>
    <w:p w14:paraId="2F71B3DC" w14:textId="77777777" w:rsidR="00CA1C9B" w:rsidRPr="00193D41" w:rsidRDefault="00CA1C9B" w:rsidP="00CA1C9B">
      <w:pPr>
        <w:spacing w:line="360" w:lineRule="auto"/>
        <w:rPr>
          <w:noProof w:val="0"/>
          <w:rtl/>
        </w:rPr>
      </w:pPr>
    </w:p>
    <w:p w14:paraId="380DC1D5" w14:textId="77777777" w:rsidR="00CA1C9B" w:rsidRDefault="00CA1C9B" w:rsidP="00CA1C9B">
      <w:pPr>
        <w:spacing w:line="360" w:lineRule="auto"/>
        <w:rPr>
          <w:noProof w:val="0"/>
          <w:rtl/>
        </w:rPr>
      </w:pPr>
      <w:r w:rsidRPr="00193D41">
        <w:rPr>
          <w:noProof w:val="0"/>
          <w:rtl/>
        </w:rPr>
        <w:t xml:space="preserve">מעשי הנאשם </w:t>
      </w:r>
      <w:r>
        <w:rPr>
          <w:rFonts w:hint="cs"/>
          <w:noProof w:val="0"/>
          <w:rtl/>
        </w:rPr>
        <w:t xml:space="preserve">גרמו נזקים לא מבוטלים לנפגע </w:t>
      </w:r>
      <w:r>
        <w:rPr>
          <w:noProof w:val="0"/>
          <w:rtl/>
        </w:rPr>
        <w:t>–</w:t>
      </w:r>
      <w:r>
        <w:rPr>
          <w:rFonts w:hint="cs"/>
          <w:noProof w:val="0"/>
          <w:rtl/>
        </w:rPr>
        <w:t xml:space="preserve"> הן בפן הפיזי, כאשר אושפז הנפגע בבית חולים ונדרש לעבור תפירה של חתך ואף ניתוח כירורגי; הן בפן הנפשי והרגשי, כפי שמתואר באריכות בתסקיר נפגע העבירה. לדברי המתלונן, חש כי עומד לעבור מן העולם ואף חווה ניתוק בין גוף לנפש.</w:t>
      </w:r>
    </w:p>
    <w:p w14:paraId="02D1EA17" w14:textId="77777777" w:rsidR="00CA1C9B" w:rsidRDefault="00CA1C9B" w:rsidP="00CA1C9B">
      <w:pPr>
        <w:spacing w:line="360" w:lineRule="auto"/>
        <w:rPr>
          <w:noProof w:val="0"/>
          <w:rtl/>
        </w:rPr>
      </w:pPr>
    </w:p>
    <w:p w14:paraId="4A0E2270" w14:textId="77777777" w:rsidR="00CA1C9B" w:rsidRPr="00193D41" w:rsidRDefault="00CA1C9B" w:rsidP="00CA1C9B">
      <w:pPr>
        <w:spacing w:line="360" w:lineRule="auto"/>
        <w:rPr>
          <w:noProof w:val="0"/>
          <w:rtl/>
        </w:rPr>
      </w:pPr>
      <w:r>
        <w:rPr>
          <w:rFonts w:hint="cs"/>
          <w:noProof w:val="0"/>
          <w:rtl/>
        </w:rPr>
        <w:t xml:space="preserve">לא זה המקום להיכנס למחלוקת בין הצדדים בשאלת מסוגלותו של הנפגע להשתלב מחדש במעגל העבודה בעתיד, אך בכל מקרה -  מגלה תסקיר נפגע העבירה נזקים ארוכי טווח שנגרמו לו. </w:t>
      </w:r>
    </w:p>
    <w:p w14:paraId="1B4BF15E" w14:textId="77777777" w:rsidR="00CA1C9B" w:rsidRPr="00193D41" w:rsidRDefault="00CA1C9B" w:rsidP="00CA1C9B">
      <w:pPr>
        <w:spacing w:line="360" w:lineRule="auto"/>
        <w:rPr>
          <w:noProof w:val="0"/>
          <w:rtl/>
        </w:rPr>
      </w:pPr>
    </w:p>
    <w:p w14:paraId="4B7762FD" w14:textId="77777777" w:rsidR="00CA1C9B" w:rsidRPr="00193D41" w:rsidRDefault="00CA1C9B" w:rsidP="00CA1C9B">
      <w:pPr>
        <w:spacing w:line="360" w:lineRule="auto"/>
        <w:jc w:val="both"/>
        <w:rPr>
          <w:rFonts w:ascii="Arial" w:hAnsi="Arial"/>
          <w:noProof w:val="0"/>
          <w:rtl/>
        </w:rPr>
      </w:pPr>
      <w:r w:rsidRPr="00193D41">
        <w:rPr>
          <w:rFonts w:ascii="Arial" w:hAnsi="Arial"/>
          <w:noProof w:val="0"/>
          <w:rtl/>
        </w:rPr>
        <w:t xml:space="preserve">לא אחת, הדגיש בית המשפט העליון את תפקידו של בית המשפט במאבק נגד האלימות הפושה בחברה ועל החשיבות להעניש בחומרה את אלו הפונים לדרכי אלימות. </w:t>
      </w:r>
    </w:p>
    <w:p w14:paraId="3E1D5475" w14:textId="77777777" w:rsidR="00CA1C9B" w:rsidRPr="00193D41" w:rsidRDefault="00CA1C9B" w:rsidP="00CA1C9B">
      <w:pPr>
        <w:spacing w:line="360" w:lineRule="auto"/>
        <w:jc w:val="both"/>
        <w:rPr>
          <w:rFonts w:ascii="Arial" w:hAnsi="Arial"/>
          <w:noProof w:val="0"/>
          <w:rtl/>
        </w:rPr>
      </w:pPr>
    </w:p>
    <w:p w14:paraId="063DF076" w14:textId="77777777" w:rsidR="00CA1C9B" w:rsidRPr="00193D41" w:rsidRDefault="00CA1C9B" w:rsidP="00CA1C9B">
      <w:pPr>
        <w:spacing w:line="360" w:lineRule="auto"/>
        <w:jc w:val="both"/>
        <w:rPr>
          <w:rFonts w:ascii="Arial" w:hAnsi="Arial"/>
          <w:noProof w:val="0"/>
          <w:rtl/>
        </w:rPr>
      </w:pPr>
      <w:r w:rsidRPr="00193D41">
        <w:rPr>
          <w:rFonts w:ascii="Arial" w:hAnsi="Arial"/>
          <w:noProof w:val="0"/>
          <w:rtl/>
        </w:rPr>
        <w:t xml:space="preserve">לענין זה, ראו </w:t>
      </w:r>
      <w:hyperlink r:id="rId20" w:history="1">
        <w:r w:rsidR="0067280B" w:rsidRPr="0067280B">
          <w:rPr>
            <w:rFonts w:ascii="Arial" w:hAnsi="Arial"/>
            <w:noProof w:val="0"/>
            <w:color w:val="0000FF"/>
            <w:u w:val="single"/>
            <w:rtl/>
          </w:rPr>
          <w:t>ע"פ 8991/10</w:t>
        </w:r>
      </w:hyperlink>
      <w:r w:rsidRPr="00193D41">
        <w:rPr>
          <w:rFonts w:ascii="Arial" w:hAnsi="Arial"/>
          <w:noProof w:val="0"/>
          <w:rtl/>
        </w:rPr>
        <w:t xml:space="preserve"> </w:t>
      </w:r>
      <w:r w:rsidRPr="00193D41">
        <w:rPr>
          <w:rFonts w:ascii="Arial" w:hAnsi="Arial" w:hint="cs"/>
          <w:b/>
          <w:bCs/>
          <w:noProof w:val="0"/>
          <w:rtl/>
        </w:rPr>
        <w:t>מכבי נ' מדינת ישראל</w:t>
      </w:r>
      <w:r w:rsidRPr="00193D41">
        <w:rPr>
          <w:rFonts w:ascii="Arial" w:hAnsi="Arial" w:hint="cs"/>
          <w:noProof w:val="0"/>
          <w:rtl/>
        </w:rPr>
        <w:t xml:space="preserve"> (פורסם במאגרים):</w:t>
      </w:r>
    </w:p>
    <w:p w14:paraId="113E9E2F" w14:textId="77777777" w:rsidR="00CA1C9B" w:rsidRPr="00193D41" w:rsidRDefault="00CA1C9B" w:rsidP="00CA1C9B">
      <w:pPr>
        <w:spacing w:line="360" w:lineRule="auto"/>
        <w:jc w:val="both"/>
        <w:rPr>
          <w:rFonts w:ascii="Arial" w:hAnsi="Arial"/>
          <w:noProof w:val="0"/>
        </w:rPr>
      </w:pPr>
    </w:p>
    <w:p w14:paraId="2A473735" w14:textId="77777777" w:rsidR="00CA1C9B" w:rsidRPr="00193D41" w:rsidRDefault="00CA1C9B" w:rsidP="00CA1C9B">
      <w:pPr>
        <w:spacing w:line="360" w:lineRule="auto"/>
        <w:jc w:val="both"/>
        <w:rPr>
          <w:rFonts w:ascii="David" w:hAnsi="David"/>
          <w:noProof w:val="0"/>
          <w:rtl/>
        </w:rPr>
      </w:pPr>
      <w:r w:rsidRPr="00193D41">
        <w:rPr>
          <w:rFonts w:ascii="Arial" w:hAnsi="Arial" w:cs="Aharoni"/>
          <w:b/>
          <w:bCs/>
          <w:noProof w:val="0"/>
          <w:rtl/>
        </w:rPr>
        <w:t xml:space="preserve">רבות נאמר בבתי המשפט על תופעת האלימות הפושה בחברה הישראלית ועל הצורך של איחוד כוחות של כל הרשויות לצורך מלחמה בתופעה זו. </w:t>
      </w:r>
      <w:r w:rsidRPr="00193D41">
        <w:rPr>
          <w:rFonts w:ascii="Arial" w:hAnsi="Arial" w:cs="Aharoni"/>
          <w:b/>
          <w:bCs/>
          <w:noProof w:val="0"/>
          <w:u w:val="single"/>
          <w:rtl/>
        </w:rPr>
        <w:t>תפקידו של בית המשפט במאבק הוא הטלת עונשים מרתיעים</w:t>
      </w:r>
      <w:r w:rsidRPr="00193D41">
        <w:rPr>
          <w:rFonts w:ascii="Arial" w:hAnsi="Arial" w:cs="Aharoni"/>
          <w:b/>
          <w:bCs/>
          <w:noProof w:val="0"/>
          <w:rtl/>
        </w:rPr>
        <w:t xml:space="preserve"> ומשמעותיים על הנוקטים באלימות לפתרון סכסוכים, על מנת להעביר מסר, הן לעבריין האינדיווידואלי, והן לעבריינים הפוטנציאלים ולחברה כולה, כי אין החברה טולרנטית להתנהגויות מעין אלה</w:t>
      </w:r>
      <w:r w:rsidRPr="00193D41">
        <w:rPr>
          <w:rFonts w:ascii="Arial" w:hAnsi="Arial" w:cs="Aharoni"/>
          <w:noProof w:val="0"/>
          <w:rtl/>
        </w:rPr>
        <w:t xml:space="preserve"> </w:t>
      </w:r>
      <w:r w:rsidRPr="00193D41">
        <w:rPr>
          <w:rFonts w:ascii="David" w:hAnsi="David"/>
          <w:noProof w:val="0"/>
          <w:rtl/>
        </w:rPr>
        <w:t>(ההדגשה אינה במקור).</w:t>
      </w:r>
    </w:p>
    <w:p w14:paraId="091DC6B2" w14:textId="77777777" w:rsidR="00CA1C9B" w:rsidRPr="00193D41" w:rsidRDefault="00CA1C9B" w:rsidP="00CA1C9B">
      <w:pPr>
        <w:spacing w:line="360" w:lineRule="auto"/>
        <w:jc w:val="both"/>
        <w:rPr>
          <w:rFonts w:ascii="David" w:hAnsi="David"/>
          <w:noProof w:val="0"/>
          <w:rtl/>
        </w:rPr>
      </w:pPr>
    </w:p>
    <w:p w14:paraId="565C575B" w14:textId="77777777" w:rsidR="00CA1C9B" w:rsidRPr="00193D41" w:rsidRDefault="00CA1C9B" w:rsidP="00CA1C9B">
      <w:pPr>
        <w:spacing w:line="360" w:lineRule="auto"/>
        <w:jc w:val="both"/>
        <w:rPr>
          <w:rFonts w:ascii="David" w:hAnsi="David"/>
          <w:noProof w:val="0"/>
          <w:rtl/>
        </w:rPr>
      </w:pPr>
      <w:r w:rsidRPr="00193D41">
        <w:rPr>
          <w:rFonts w:ascii="David" w:hAnsi="David"/>
          <w:noProof w:val="0"/>
          <w:rtl/>
        </w:rPr>
        <w:t xml:space="preserve">כן, ראו </w:t>
      </w:r>
      <w:hyperlink r:id="rId21" w:history="1">
        <w:r w:rsidR="0067280B" w:rsidRPr="0067280B">
          <w:rPr>
            <w:rFonts w:ascii="David" w:hAnsi="David"/>
            <w:noProof w:val="0"/>
            <w:color w:val="0000FF"/>
            <w:u w:val="single"/>
            <w:rtl/>
          </w:rPr>
          <w:t>ע"פ 7878/09</w:t>
        </w:r>
      </w:hyperlink>
      <w:r w:rsidRPr="00193D41">
        <w:rPr>
          <w:rFonts w:ascii="David" w:hAnsi="David"/>
          <w:noProof w:val="0"/>
          <w:rtl/>
        </w:rPr>
        <w:t xml:space="preserve"> </w:t>
      </w:r>
      <w:r w:rsidRPr="00193D41">
        <w:rPr>
          <w:rFonts w:ascii="David" w:hAnsi="David" w:hint="cs"/>
          <w:b/>
          <w:bCs/>
          <w:noProof w:val="0"/>
          <w:rtl/>
        </w:rPr>
        <w:t>מדינת ישראל נ' פלוני</w:t>
      </w:r>
      <w:r w:rsidRPr="00193D41">
        <w:rPr>
          <w:rFonts w:ascii="David" w:hAnsi="David" w:hint="cs"/>
          <w:noProof w:val="0"/>
          <w:rtl/>
        </w:rPr>
        <w:t xml:space="preserve"> (פורסם במאגרים):</w:t>
      </w:r>
    </w:p>
    <w:p w14:paraId="2F901CD8" w14:textId="77777777" w:rsidR="00CA1C9B" w:rsidRPr="00193D41" w:rsidRDefault="00CA1C9B" w:rsidP="00CA1C9B">
      <w:pPr>
        <w:spacing w:line="360" w:lineRule="auto"/>
        <w:jc w:val="both"/>
        <w:rPr>
          <w:rFonts w:ascii="David" w:hAnsi="David"/>
          <w:noProof w:val="0"/>
          <w:rtl/>
        </w:rPr>
      </w:pPr>
    </w:p>
    <w:p w14:paraId="46AF5BB1" w14:textId="77777777" w:rsidR="00CA1C9B" w:rsidRPr="00193D41" w:rsidRDefault="00CA1C9B" w:rsidP="00CA1C9B">
      <w:pPr>
        <w:spacing w:line="360" w:lineRule="auto"/>
        <w:jc w:val="both"/>
        <w:rPr>
          <w:rFonts w:ascii="David" w:hAnsi="David"/>
          <w:noProof w:val="0"/>
          <w:rtl/>
        </w:rPr>
      </w:pPr>
      <w:r w:rsidRPr="00193D41">
        <w:rPr>
          <w:rFonts w:ascii="David" w:hAnsi="David" w:cs="Aharoni"/>
          <w:noProof w:val="0"/>
          <w:rtl/>
        </w:rPr>
        <w:t>האלימות מכרסמת ביסודות חברתנו</w:t>
      </w:r>
      <w:r w:rsidRPr="00193D41">
        <w:rPr>
          <w:rFonts w:ascii="David" w:hAnsi="David" w:cs="Aharoni"/>
          <w:noProof w:val="0"/>
          <w:u w:val="single"/>
          <w:rtl/>
        </w:rPr>
        <w:t>, ועלינו להשיב מלחמה</w:t>
      </w:r>
      <w:r w:rsidRPr="00193D41">
        <w:rPr>
          <w:rFonts w:ascii="David" w:hAnsi="David" w:cs="Aharoni"/>
          <w:noProof w:val="0"/>
          <w:rtl/>
        </w:rPr>
        <w:t xml:space="preserve"> כנגד אלו הנוטלים חרות לפעול באלימות כלפי הזולת. במסגרת מלחמה זו </w:t>
      </w:r>
      <w:r w:rsidRPr="00193D41">
        <w:rPr>
          <w:rFonts w:ascii="David" w:hAnsi="David" w:cs="Aharoni"/>
          <w:noProof w:val="0"/>
          <w:u w:val="single"/>
          <w:rtl/>
        </w:rPr>
        <w:t>שומה על בתי המשפט להכביד את הענישה</w:t>
      </w:r>
      <w:r w:rsidRPr="00193D41">
        <w:rPr>
          <w:rFonts w:ascii="David" w:hAnsi="David" w:cs="Aharoni"/>
          <w:noProof w:val="0"/>
          <w:rtl/>
        </w:rPr>
        <w:t xml:space="preserve"> על עבריינים אלו. "חברתנו הפכה להיות חברה אלימה, ותרומתו של בית-המשפט למלחמה באלימות היא </w:t>
      </w:r>
      <w:r w:rsidRPr="00193D41">
        <w:rPr>
          <w:rFonts w:ascii="David" w:hAnsi="David" w:cs="Aharoni"/>
          <w:noProof w:val="0"/>
          <w:u w:val="single"/>
          <w:rtl/>
        </w:rPr>
        <w:t>בהטלת עונשים ראויים</w:t>
      </w:r>
      <w:r w:rsidRPr="00193D41">
        <w:rPr>
          <w:rFonts w:ascii="David" w:hAnsi="David" w:cs="Aharoni"/>
          <w:noProof w:val="0"/>
          <w:rtl/>
        </w:rPr>
        <w:t>" (</w:t>
      </w:r>
      <w:hyperlink r:id="rId22" w:history="1">
        <w:r w:rsidR="0067280B" w:rsidRPr="0067280B">
          <w:rPr>
            <w:rFonts w:ascii="David" w:hAnsi="David" w:cs="Aharoni"/>
            <w:noProof w:val="0"/>
            <w:color w:val="0000FF"/>
            <w:u w:val="single"/>
            <w:rtl/>
          </w:rPr>
          <w:t>ע"פ 5753/04</w:t>
        </w:r>
      </w:hyperlink>
      <w:r w:rsidRPr="00193D41">
        <w:rPr>
          <w:rFonts w:ascii="David" w:hAnsi="David" w:cs="Aharoni"/>
          <w:noProof w:val="0"/>
          <w:rtl/>
        </w:rPr>
        <w:t xml:space="preserve"> מדינת ישראל נ' רייכמן ([פורסם בנבו], 7.2.2005)), שישקפו ערכים של תגמול והרתעה. </w:t>
      </w:r>
      <w:r w:rsidRPr="00193D41">
        <w:rPr>
          <w:rFonts w:ascii="David" w:hAnsi="David"/>
          <w:noProof w:val="0"/>
          <w:rtl/>
        </w:rPr>
        <w:t>(ההדגשות אינן במקור).</w:t>
      </w:r>
    </w:p>
    <w:p w14:paraId="505D6B3E" w14:textId="77777777" w:rsidR="00CA1C9B" w:rsidRPr="00193D41" w:rsidRDefault="00CA1C9B" w:rsidP="00CA1C9B">
      <w:pPr>
        <w:spacing w:line="360" w:lineRule="auto"/>
        <w:rPr>
          <w:noProof w:val="0"/>
          <w:rtl/>
        </w:rPr>
      </w:pPr>
    </w:p>
    <w:p w14:paraId="2AE8107A" w14:textId="77777777" w:rsidR="00CA1C9B" w:rsidRDefault="00CA1C9B" w:rsidP="00CA1C9B">
      <w:pPr>
        <w:spacing w:line="360" w:lineRule="auto"/>
        <w:rPr>
          <w:noProof w:val="0"/>
          <w:rtl/>
        </w:rPr>
      </w:pPr>
      <w:r>
        <w:rPr>
          <w:rFonts w:hint="cs"/>
          <w:noProof w:val="0"/>
          <w:rtl/>
        </w:rPr>
        <w:t xml:space="preserve">אשר לתופעת הסכינאות נקבע בפסיקה </w:t>
      </w:r>
      <w:r>
        <w:rPr>
          <w:noProof w:val="0"/>
          <w:rtl/>
        </w:rPr>
        <w:t>–</w:t>
      </w:r>
      <w:r>
        <w:rPr>
          <w:rFonts w:hint="cs"/>
          <w:noProof w:val="0"/>
          <w:rtl/>
        </w:rPr>
        <w:t xml:space="preserve"> ראו </w:t>
      </w:r>
      <w:hyperlink r:id="rId23" w:history="1">
        <w:r w:rsidR="0067280B" w:rsidRPr="0067280B">
          <w:rPr>
            <w:noProof w:val="0"/>
            <w:color w:val="0000FF"/>
            <w:u w:val="single"/>
            <w:rtl/>
          </w:rPr>
          <w:t>ת"פ (מחוזי חיפה) 234/00</w:t>
        </w:r>
      </w:hyperlink>
      <w:r w:rsidR="0067280B">
        <w:rPr>
          <w:noProof w:val="0"/>
          <w:rtl/>
        </w:rPr>
        <w:t xml:space="preserve"> </w:t>
      </w:r>
      <w:r w:rsidRPr="00894BCA">
        <w:rPr>
          <w:b/>
          <w:bCs/>
          <w:noProof w:val="0"/>
          <w:rtl/>
        </w:rPr>
        <w:t>מדינת ישראל נגד גאברין</w:t>
      </w:r>
      <w:r>
        <w:rPr>
          <w:rFonts w:hint="cs"/>
          <w:noProof w:val="0"/>
          <w:rtl/>
        </w:rPr>
        <w:t xml:space="preserve"> (פורסם במאגרים, 2001):</w:t>
      </w:r>
    </w:p>
    <w:p w14:paraId="23CCE1D4" w14:textId="77777777" w:rsidR="00CA1C9B" w:rsidRDefault="00CA1C9B" w:rsidP="00CA1C9B">
      <w:pPr>
        <w:spacing w:line="360" w:lineRule="auto"/>
        <w:rPr>
          <w:noProof w:val="0"/>
          <w:rtl/>
        </w:rPr>
      </w:pPr>
    </w:p>
    <w:p w14:paraId="06003CC3" w14:textId="77777777" w:rsidR="00CA1C9B" w:rsidRPr="00894BCA" w:rsidRDefault="00CA1C9B" w:rsidP="00CA1C9B">
      <w:pPr>
        <w:spacing w:line="360" w:lineRule="auto"/>
        <w:rPr>
          <w:rFonts w:ascii="Aharoni" w:hAnsi="Aharoni" w:cs="Aharoni"/>
          <w:noProof w:val="0"/>
          <w:rtl/>
        </w:rPr>
      </w:pPr>
      <w:r w:rsidRPr="00894BCA">
        <w:rPr>
          <w:rFonts w:ascii="Aharoni" w:hAnsi="Aharoni" w:cs="Aharoni"/>
          <w:noProof w:val="0"/>
          <w:rtl/>
        </w:rPr>
        <w:t xml:space="preserve">הגישה המשותפת לפסקי הדין שדנו בשימוש בנשק קר או חם לפתרון מחלוקות, היתה אחידה: יש להלחם בתופעה של אלימות מסוכנת זאת, על כל השלכותיה על החברה הישראלית. התופעה כונתה, לעיתים קרובות, כ "תת תרבות הסכין", ביטוי הבא להביע על דרך ההיפוך את הסלידה ממנה: וכי מה יש לתרבות לעשות במחיצם של אלה שאין להם כל תרבות, לא של ריסון, לא הכרה כי בחברה מתוקנת מי שממונה על פתרון סכסוכים הוא ביהמ"ש, לא של חמלה ולא של הומניות (וראה על "תת תרבות הסכין" ועל האמרות שיש להחמיר עם ההולכים בדרכה, </w:t>
      </w:r>
      <w:hyperlink r:id="rId24" w:history="1">
        <w:r w:rsidR="0067280B" w:rsidRPr="0067280B">
          <w:rPr>
            <w:rFonts w:ascii="Aharoni" w:hAnsi="Aharoni" w:cs="Aharoni"/>
            <w:noProof w:val="0"/>
            <w:color w:val="0000FF"/>
            <w:u w:val="single"/>
            <w:rtl/>
          </w:rPr>
          <w:t>ע"פ 813/99</w:t>
        </w:r>
      </w:hyperlink>
      <w:r w:rsidRPr="00894BCA">
        <w:rPr>
          <w:rFonts w:ascii="Aharoni" w:hAnsi="Aharoni" w:cs="Aharoni"/>
          <w:noProof w:val="0"/>
          <w:rtl/>
        </w:rPr>
        <w:t xml:space="preserve"> דניאל ישראל נ' מ"י, תק-על 311 (1)2001, וכן ע"פ 2365 ,4397/93 מ"י נ' ג'מאל סעדי, תק-על 308 (3)93). 7. שותפים אנו לעמדה שעל בתי המשפט לתרום חלקם בענישה הולמת ומרתיעה כאשר מדובר בשימוש בסכין</w:t>
      </w:r>
      <w:r w:rsidRPr="00894BCA">
        <w:rPr>
          <w:rFonts w:ascii="Aharoni" w:hAnsi="Aharoni" w:cs="Aharoni"/>
          <w:noProof w:val="0"/>
        </w:rPr>
        <w:t>.</w:t>
      </w:r>
    </w:p>
    <w:p w14:paraId="5227C7E6" w14:textId="77777777" w:rsidR="00CA1C9B" w:rsidRDefault="00CA1C9B" w:rsidP="00CA1C9B">
      <w:pPr>
        <w:spacing w:line="360" w:lineRule="auto"/>
        <w:rPr>
          <w:noProof w:val="0"/>
          <w:rtl/>
        </w:rPr>
      </w:pPr>
    </w:p>
    <w:p w14:paraId="5B2CB232" w14:textId="77777777" w:rsidR="00CA1C9B" w:rsidRPr="00894BCA" w:rsidRDefault="00CA1C9B" w:rsidP="00CA1C9B">
      <w:pPr>
        <w:spacing w:line="360" w:lineRule="auto"/>
        <w:rPr>
          <w:noProof w:val="0"/>
        </w:rPr>
      </w:pPr>
      <w:r>
        <w:rPr>
          <w:rFonts w:hint="cs"/>
          <w:noProof w:val="0"/>
          <w:rtl/>
        </w:rPr>
        <w:t xml:space="preserve">ובנוגע לצורך בענישה מחמירה בעבירות אלה ראו </w:t>
      </w:r>
      <w:r>
        <w:rPr>
          <w:noProof w:val="0"/>
          <w:rtl/>
        </w:rPr>
        <w:t>–</w:t>
      </w:r>
      <w:r>
        <w:rPr>
          <w:rFonts w:hint="cs"/>
          <w:noProof w:val="0"/>
          <w:rtl/>
        </w:rPr>
        <w:t xml:space="preserve"> </w:t>
      </w:r>
      <w:hyperlink r:id="rId25" w:history="1">
        <w:r w:rsidR="0067280B" w:rsidRPr="0067280B">
          <w:rPr>
            <w:noProof w:val="0"/>
            <w:color w:val="0000FF"/>
            <w:u w:val="single"/>
            <w:rtl/>
          </w:rPr>
          <w:t>ת"פ (מחוזי חיפה) 395/01</w:t>
        </w:r>
      </w:hyperlink>
      <w:r w:rsidRPr="00894BCA">
        <w:rPr>
          <w:noProof w:val="0"/>
          <w:rtl/>
        </w:rPr>
        <w:t xml:space="preserve"> - </w:t>
      </w:r>
      <w:r w:rsidRPr="00AE23B1">
        <w:rPr>
          <w:b/>
          <w:bCs/>
          <w:noProof w:val="0"/>
          <w:rtl/>
        </w:rPr>
        <w:t>מדינת ישראל נ' המאם</w:t>
      </w:r>
      <w:r>
        <w:rPr>
          <w:rFonts w:hint="cs"/>
          <w:noProof w:val="0"/>
          <w:rtl/>
        </w:rPr>
        <w:t xml:space="preserve"> (פורסם במאגרים, 2001):</w:t>
      </w:r>
      <w:r w:rsidRPr="00894BCA">
        <w:rPr>
          <w:noProof w:val="0"/>
          <w:rtl/>
        </w:rPr>
        <w:br/>
      </w:r>
    </w:p>
    <w:p w14:paraId="5CBD1ABA" w14:textId="77777777" w:rsidR="00CA1C9B" w:rsidRDefault="00CA1C9B" w:rsidP="00CA1C9B">
      <w:pPr>
        <w:spacing w:line="360" w:lineRule="auto"/>
        <w:rPr>
          <w:noProof w:val="0"/>
          <w:rtl/>
        </w:rPr>
      </w:pPr>
      <w:r w:rsidRPr="00894BCA">
        <w:rPr>
          <w:rFonts w:ascii="Aharoni" w:hAnsi="Aharoni" w:cs="Aharoni"/>
          <w:noProof w:val="0"/>
          <w:rtl/>
        </w:rPr>
        <w:t>יצרו התוקפני של הנאשם בא לידי ביטוי, במקרה זה, בנעיצת סכין בגופו של המתלונן ובפגיעות הקשות שגרם לו בסרעפת, והוא מלמד כי הנאשם מסוכן לציבור. על העונש לבטא את מגמת הפסיקה לפיה יש להחמיר בעונשם של אלה הפותרים סכסוכים באמצעות סכינים. וכך התבטא ביהמ"ש העליון ב</w:t>
      </w:r>
      <w:hyperlink r:id="rId26" w:history="1">
        <w:r w:rsidR="0067280B" w:rsidRPr="0067280B">
          <w:rPr>
            <w:rFonts w:ascii="Aharoni" w:hAnsi="Aharoni" w:cs="Aharoni"/>
            <w:noProof w:val="0"/>
            <w:color w:val="0000FF"/>
            <w:u w:val="single"/>
            <w:rtl/>
          </w:rPr>
          <w:t>ע"פ 8583/96</w:t>
        </w:r>
      </w:hyperlink>
      <w:r w:rsidRPr="00894BCA">
        <w:rPr>
          <w:rFonts w:ascii="Aharoni" w:hAnsi="Aharoni" w:cs="Aharoni"/>
          <w:noProof w:val="0"/>
          <w:rtl/>
        </w:rPr>
        <w:t xml:space="preserve"> מדינת ישראל נ' חולי, תק-על 32,( 1)97: "אמרנו לא פעם כי מי שדעתו קלה בעשיית שימוש בסכינים ובמכשירים חבלניים דומים, ראוי כי ייענש במאסר ממשי לתקופה ארוכה. משפט הבכורה בסוג זה של עבירות חייב להינתן לצורכי ההרתעה ולשיקולי ההגנה על הציבור וההתחשבות בנסיבותיהם של העבריינים אינה יכולה להיות אלא משנית. . . . ". וכן ב</w:t>
      </w:r>
      <w:hyperlink r:id="rId27" w:history="1">
        <w:r w:rsidR="0067280B" w:rsidRPr="0067280B">
          <w:rPr>
            <w:rFonts w:ascii="Aharoni" w:hAnsi="Aharoni" w:cs="Aharoni"/>
            <w:noProof w:val="0"/>
            <w:color w:val="0000FF"/>
            <w:u w:val="single"/>
            <w:rtl/>
          </w:rPr>
          <w:t>ע"פ 6828/00</w:t>
        </w:r>
      </w:hyperlink>
      <w:r w:rsidRPr="00894BCA">
        <w:rPr>
          <w:rFonts w:ascii="Aharoni" w:hAnsi="Aharoni" w:cs="Aharoni"/>
          <w:noProof w:val="0"/>
          <w:rtl/>
        </w:rPr>
        <w:t xml:space="preserve"> לזרוב נ' מדינת ישראל, תק-על 1255 (3)2001 נאמר כי: "מעשהו של המערער מעשה חמור הוא ביותר, ובתי המשפט מתריעים - ומוסיפים הם ומתריעים- על תת תרבות הסכין אשר פשתה במחננו. בתי המשפט מטילים עונשי מאסר על הנושאים סכינים על גופם ועל העושים בסכין שימוש כנגד זולתם, אך דומה כי השפעתם של גזרי-דין אלה אינה מביאה אנשים לשקול מעשיהם הרעים קודם שהם עושים אותם. אפשר הגיעה העת להוסיף ולהחמיר בעונשים, ואולי כך ידעו אנשים מה צפוי להם אם יעשו מעשים כמעשי המערער שלפנינו</w:t>
      </w:r>
      <w:r>
        <w:rPr>
          <w:rFonts w:ascii="Aharoni" w:hAnsi="Aharoni" w:cs="Aharoni"/>
          <w:noProof w:val="0"/>
        </w:rPr>
        <w:t>"</w:t>
      </w:r>
      <w:r>
        <w:rPr>
          <w:rFonts w:hint="cs"/>
          <w:noProof w:val="0"/>
          <w:rtl/>
        </w:rPr>
        <w:t>.</w:t>
      </w:r>
    </w:p>
    <w:p w14:paraId="5DB7475B" w14:textId="77777777" w:rsidR="00CA1C9B" w:rsidRDefault="00CA1C9B" w:rsidP="00CA1C9B">
      <w:pPr>
        <w:spacing w:line="360" w:lineRule="auto"/>
        <w:rPr>
          <w:noProof w:val="0"/>
          <w:rtl/>
        </w:rPr>
      </w:pPr>
    </w:p>
    <w:p w14:paraId="5B395C94" w14:textId="77777777" w:rsidR="00CA1C9B" w:rsidRDefault="00CA1C9B" w:rsidP="00CA1C9B">
      <w:pPr>
        <w:spacing w:line="360" w:lineRule="auto"/>
        <w:rPr>
          <w:b/>
          <w:bCs/>
          <w:noProof w:val="0"/>
          <w:rtl/>
        </w:rPr>
      </w:pPr>
    </w:p>
    <w:p w14:paraId="42A17088" w14:textId="77777777" w:rsidR="00CA1C9B" w:rsidRDefault="00CA1C9B" w:rsidP="00CA1C9B">
      <w:pPr>
        <w:spacing w:line="360" w:lineRule="auto"/>
        <w:rPr>
          <w:b/>
          <w:bCs/>
          <w:noProof w:val="0"/>
          <w:rtl/>
        </w:rPr>
      </w:pPr>
    </w:p>
    <w:p w14:paraId="4666F848" w14:textId="77777777" w:rsidR="00CA1C9B" w:rsidRDefault="00CA1C9B" w:rsidP="00CA1C9B">
      <w:pPr>
        <w:spacing w:line="360" w:lineRule="auto"/>
        <w:rPr>
          <w:b/>
          <w:bCs/>
          <w:noProof w:val="0"/>
          <w:rtl/>
        </w:rPr>
      </w:pPr>
    </w:p>
    <w:p w14:paraId="774FCB0E" w14:textId="77777777" w:rsidR="00CA1C9B" w:rsidRPr="00193D41" w:rsidRDefault="00CA1C9B" w:rsidP="00CA1C9B">
      <w:pPr>
        <w:spacing w:line="360" w:lineRule="auto"/>
        <w:rPr>
          <w:noProof w:val="0"/>
          <w:rtl/>
        </w:rPr>
      </w:pPr>
      <w:r w:rsidRPr="00193D41">
        <w:rPr>
          <w:b/>
          <w:bCs/>
          <w:noProof w:val="0"/>
          <w:rtl/>
        </w:rPr>
        <w:t>מתחם הענישה</w:t>
      </w:r>
    </w:p>
    <w:p w14:paraId="4B2DBD50" w14:textId="77777777" w:rsidR="00CA1C9B" w:rsidRPr="00193D41" w:rsidRDefault="00CA1C9B" w:rsidP="00CA1C9B">
      <w:pPr>
        <w:spacing w:line="360" w:lineRule="auto"/>
        <w:rPr>
          <w:noProof w:val="0"/>
          <w:rtl/>
        </w:rPr>
      </w:pPr>
    </w:p>
    <w:p w14:paraId="34C48F30" w14:textId="77777777" w:rsidR="00CA1C9B" w:rsidRPr="00193D41" w:rsidRDefault="00CA1C9B" w:rsidP="00CA1C9B">
      <w:pPr>
        <w:spacing w:line="360" w:lineRule="auto"/>
        <w:rPr>
          <w:noProof w:val="0"/>
          <w:rtl/>
        </w:rPr>
      </w:pPr>
      <w:r w:rsidRPr="00193D41">
        <w:rPr>
          <w:noProof w:val="0"/>
          <w:rtl/>
        </w:rPr>
        <w:t xml:space="preserve">להלן, תובא סקירה של מדיניות הענישה הנוהגת. בחלק מהמקרים – הועמדו נאשמים לדין בגין סעיפי עבירה אחרים, אך </w:t>
      </w:r>
      <w:r>
        <w:rPr>
          <w:rFonts w:hint="cs"/>
          <w:noProof w:val="0"/>
          <w:rtl/>
        </w:rPr>
        <w:t>השיקול המרכזי הינו הדמיון בין המקרים</w:t>
      </w:r>
      <w:r w:rsidRPr="00193D41">
        <w:rPr>
          <w:noProof w:val="0"/>
          <w:rtl/>
        </w:rPr>
        <w:t>:</w:t>
      </w:r>
    </w:p>
    <w:p w14:paraId="73B5F834" w14:textId="77777777" w:rsidR="00CA1C9B" w:rsidRPr="00193D41" w:rsidRDefault="00CA1C9B" w:rsidP="00CA1C9B">
      <w:pPr>
        <w:spacing w:line="360" w:lineRule="auto"/>
        <w:rPr>
          <w:noProof w:val="0"/>
          <w:rtl/>
        </w:rPr>
      </w:pPr>
    </w:p>
    <w:p w14:paraId="26FFE5F1" w14:textId="77777777" w:rsidR="00CA1C9B" w:rsidRPr="00193D41" w:rsidRDefault="0067280B" w:rsidP="00CA1C9B">
      <w:pPr>
        <w:numPr>
          <w:ilvl w:val="0"/>
          <w:numId w:val="1"/>
        </w:numPr>
        <w:spacing w:line="360" w:lineRule="auto"/>
        <w:contextualSpacing/>
        <w:jc w:val="both"/>
        <w:rPr>
          <w:rFonts w:ascii="Arial" w:eastAsia="David" w:hAnsi="Arial"/>
          <w:noProof w:val="0"/>
          <w:rtl/>
        </w:rPr>
      </w:pPr>
      <w:hyperlink r:id="rId28" w:history="1">
        <w:r w:rsidRPr="0067280B">
          <w:rPr>
            <w:rFonts w:ascii="Arial" w:eastAsia="David" w:hAnsi="Arial"/>
            <w:noProof w:val="0"/>
            <w:color w:val="0000FF"/>
            <w:u w:val="single"/>
            <w:rtl/>
          </w:rPr>
          <w:t>ע"פ 379/15</w:t>
        </w:r>
      </w:hyperlink>
      <w:r w:rsidR="00CA1C9B" w:rsidRPr="00193D41">
        <w:rPr>
          <w:rFonts w:ascii="Arial" w:eastAsia="David" w:hAnsi="Arial"/>
          <w:noProof w:val="0"/>
          <w:rtl/>
        </w:rPr>
        <w:t xml:space="preserve"> </w:t>
      </w:r>
      <w:r w:rsidR="00CA1C9B" w:rsidRPr="00193D41">
        <w:rPr>
          <w:rFonts w:ascii="Arial" w:eastAsia="David" w:hAnsi="Arial" w:hint="cs"/>
          <w:b/>
          <w:bCs/>
          <w:noProof w:val="0"/>
          <w:rtl/>
        </w:rPr>
        <w:t>לוי נ' מדינת ישראל</w:t>
      </w:r>
      <w:r w:rsidR="00CA1C9B" w:rsidRPr="00193D41">
        <w:rPr>
          <w:rFonts w:ascii="Arial" w:eastAsia="David" w:hAnsi="Arial" w:hint="cs"/>
          <w:noProof w:val="0"/>
          <w:rtl/>
        </w:rPr>
        <w:t xml:space="preserve"> </w:t>
      </w:r>
      <w:r w:rsidR="00CA1C9B">
        <w:rPr>
          <w:rFonts w:ascii="Arial" w:eastAsia="David" w:hAnsi="Arial" w:hint="cs"/>
          <w:noProof w:val="0"/>
          <w:rtl/>
        </w:rPr>
        <w:t xml:space="preserve">(פורסם במאגרים) – המערער הורשע, </w:t>
      </w:r>
      <w:r w:rsidR="00CA1C9B" w:rsidRPr="00193D41">
        <w:rPr>
          <w:rFonts w:ascii="Arial" w:eastAsia="David" w:hAnsi="Arial" w:hint="cs"/>
          <w:noProof w:val="0"/>
          <w:rtl/>
        </w:rPr>
        <w:t>על פי הודאתו</w:t>
      </w:r>
      <w:r w:rsidR="00CA1C9B">
        <w:rPr>
          <w:rFonts w:ascii="Arial" w:eastAsia="David" w:hAnsi="Arial" w:hint="cs"/>
          <w:noProof w:val="0"/>
          <w:rtl/>
        </w:rPr>
        <w:t>,</w:t>
      </w:r>
      <w:r w:rsidR="00CA1C9B" w:rsidRPr="00193D41">
        <w:rPr>
          <w:rFonts w:ascii="Arial" w:eastAsia="David" w:hAnsi="Arial" w:hint="cs"/>
          <w:noProof w:val="0"/>
          <w:rtl/>
        </w:rPr>
        <w:t xml:space="preserve"> במסגרת הסדר טיעון, בעבירה של חבלה חמורה בנסיבות מחמירות</w:t>
      </w:r>
      <w:r w:rsidR="00CA1C9B">
        <w:rPr>
          <w:rFonts w:ascii="Arial" w:eastAsia="David" w:hAnsi="Arial" w:hint="cs"/>
          <w:noProof w:val="0"/>
          <w:rtl/>
        </w:rPr>
        <w:t xml:space="preserve"> (המדובר בסעיף עבירה חמור יותר מהמקרה שלפנינו)</w:t>
      </w:r>
      <w:r w:rsidR="00CA1C9B" w:rsidRPr="00193D41">
        <w:rPr>
          <w:rFonts w:ascii="Arial" w:eastAsia="David" w:hAnsi="Arial" w:hint="cs"/>
          <w:noProof w:val="0"/>
          <w:rtl/>
        </w:rPr>
        <w:t>. בין המערער למתלוננים התעורר ויכוח, במהלכו משכו האחד בצווארון של השני. הנוכחים במקום הפרידו בין השניים וכל אחד מהם שב למקומו. לאחר מכן, נטל המערער בקבוק בירה והטיח אותו בעוצמה בפניו של המתלונן. כתוצאה מכך, נגרמו למתלונן חתכים בפנים, שבר בארובת עין שמאל עם שקיעת קשת זיגומטית, והגבלה בתנועת הפה. בית המשפט המחוזי גזר על המערער 30 חודשי מאסר בפועל; 12 חודשי מאסר על תנאי; פיצוי בסך 10,000 ₪ למתלונן. ערעורו לבית המשפט העליון נדחה.</w:t>
      </w:r>
    </w:p>
    <w:p w14:paraId="42251C8D" w14:textId="77777777" w:rsidR="00CA1C9B" w:rsidRPr="00193D41" w:rsidRDefault="0067280B" w:rsidP="00CA1C9B">
      <w:pPr>
        <w:numPr>
          <w:ilvl w:val="0"/>
          <w:numId w:val="1"/>
        </w:numPr>
        <w:spacing w:line="360" w:lineRule="auto"/>
        <w:contextualSpacing/>
        <w:jc w:val="both"/>
        <w:rPr>
          <w:rFonts w:ascii="Arial" w:eastAsia="David" w:hAnsi="Arial"/>
          <w:noProof w:val="0"/>
          <w:rtl/>
        </w:rPr>
      </w:pPr>
      <w:hyperlink r:id="rId29" w:history="1">
        <w:r w:rsidRPr="0067280B">
          <w:rPr>
            <w:rFonts w:ascii="David" w:eastAsia="David" w:hAnsi="David"/>
            <w:noProof w:val="0"/>
            <w:color w:val="0000FF"/>
            <w:u w:val="single"/>
            <w:rtl/>
          </w:rPr>
          <w:t>רע"פ 9037/14</w:t>
        </w:r>
      </w:hyperlink>
      <w:r w:rsidR="00CA1C9B" w:rsidRPr="00193D41">
        <w:rPr>
          <w:rFonts w:ascii="David" w:eastAsia="David" w:hAnsi="David"/>
          <w:noProof w:val="0"/>
          <w:rtl/>
        </w:rPr>
        <w:t xml:space="preserve"> </w:t>
      </w:r>
      <w:r w:rsidR="00CA1C9B" w:rsidRPr="00193D41">
        <w:rPr>
          <w:rFonts w:ascii="David" w:eastAsia="David" w:hAnsi="David"/>
          <w:b/>
          <w:bCs/>
          <w:noProof w:val="0"/>
          <w:rtl/>
        </w:rPr>
        <w:t>בן קסוס נ' מדינת ישראל</w:t>
      </w:r>
      <w:r w:rsidR="00CA1C9B" w:rsidRPr="00193D41">
        <w:rPr>
          <w:rFonts w:ascii="David" w:eastAsia="David" w:hAnsi="David"/>
          <w:noProof w:val="0"/>
          <w:rtl/>
        </w:rPr>
        <w:t xml:space="preserve"> (פורסם במאגרים) – המערערים </w:t>
      </w:r>
      <w:r w:rsidR="00CA1C9B">
        <w:rPr>
          <w:rFonts w:ascii="David" w:eastAsia="David" w:hAnsi="David" w:hint="cs"/>
          <w:noProof w:val="0"/>
          <w:rtl/>
        </w:rPr>
        <w:t xml:space="preserve">הורשעו בעבירות של תקיפה חבלנית בנסיבות מחמירות וכן תקיפה הגורמת חבלה של ממש (עבירות קלות יותר מאשר במקרה דנן). הנאשמים </w:t>
      </w:r>
      <w:r w:rsidR="00CA1C9B" w:rsidRPr="00193D41">
        <w:rPr>
          <w:rFonts w:ascii="David" w:eastAsia="David" w:hAnsi="David"/>
          <w:noProof w:val="0"/>
          <w:rtl/>
        </w:rPr>
        <w:t>הכו את המתלונן מחוץ למועדון באגרופים ובעיטות, תוך שהם מקללים אותו. למבקש נגרמו פגיעות בטחול ובלבלב והוא פונה לבית חולים. בית משפט השלום עמד על נסיבותיהם האישיות של הנאשמים – היות הנאשם 1 ללא עבר פלילי;</w:t>
      </w:r>
      <w:r w:rsidR="00CA1C9B" w:rsidRPr="00193D41">
        <w:rPr>
          <w:rFonts w:ascii="Arial" w:eastAsia="David" w:hAnsi="Arial"/>
          <w:noProof w:val="0"/>
          <w:rtl/>
        </w:rPr>
        <w:t xml:space="preserve"> היות הנאשם 2 בעל עבר פלילי; הנאשם 1 נדון ל-11 חודשי מאסר בפועל והנאשם 2 נדון ל-15 חודשי מאסר בפועל. בנוסף, הוטלו על כל אחד מהנאשמים  8 חודשי מאסר על תנאי למשך 3 שנים, לבל יעברו עבירת אלימות, וכן, חיוב בסך 10,000 ₪ פיצוי למתלונן. ערעורם של הנאשמים לבית המשפט המחוזי ולבית המשפט העליון – נדחו.</w:t>
      </w:r>
    </w:p>
    <w:p w14:paraId="24C52A6F" w14:textId="77777777" w:rsidR="00CA1C9B" w:rsidRPr="00193D41" w:rsidRDefault="0067280B" w:rsidP="00CA1C9B">
      <w:pPr>
        <w:numPr>
          <w:ilvl w:val="0"/>
          <w:numId w:val="1"/>
        </w:numPr>
        <w:spacing w:line="360" w:lineRule="auto"/>
        <w:contextualSpacing/>
        <w:jc w:val="both"/>
        <w:rPr>
          <w:rFonts w:ascii="Arial" w:eastAsia="David" w:hAnsi="Arial"/>
          <w:noProof w:val="0"/>
        </w:rPr>
      </w:pPr>
      <w:hyperlink r:id="rId30" w:history="1">
        <w:r w:rsidRPr="0067280B">
          <w:rPr>
            <w:rFonts w:ascii="Arial" w:eastAsia="David" w:hAnsi="Arial"/>
            <w:noProof w:val="0"/>
            <w:color w:val="0000FF"/>
            <w:u w:val="single"/>
            <w:rtl/>
          </w:rPr>
          <w:t>ת"פ 34230-02-20</w:t>
        </w:r>
      </w:hyperlink>
      <w:r w:rsidR="00CA1C9B" w:rsidRPr="00193D41">
        <w:rPr>
          <w:rFonts w:ascii="Arial" w:eastAsia="David" w:hAnsi="Arial"/>
          <w:noProof w:val="0"/>
          <w:rtl/>
        </w:rPr>
        <w:t xml:space="preserve"> </w:t>
      </w:r>
      <w:r w:rsidR="00CA1C9B" w:rsidRPr="00193D41">
        <w:rPr>
          <w:rFonts w:ascii="Arial" w:eastAsia="David" w:hAnsi="Arial"/>
          <w:b/>
          <w:bCs/>
          <w:noProof w:val="0"/>
          <w:rtl/>
        </w:rPr>
        <w:t>מדינת ישראל נ' עתאיקה ואח'</w:t>
      </w:r>
      <w:r w:rsidR="00CA1C9B" w:rsidRPr="00193D41">
        <w:rPr>
          <w:rFonts w:ascii="Arial" w:eastAsia="David" w:hAnsi="Arial"/>
          <w:noProof w:val="0"/>
          <w:rtl/>
        </w:rPr>
        <w:t xml:space="preserve"> (פורסם במאגרים) – </w:t>
      </w:r>
      <w:r w:rsidR="00CA1C9B">
        <w:rPr>
          <w:rFonts w:ascii="Arial" w:eastAsia="David" w:hAnsi="Arial" w:hint="cs"/>
          <w:noProof w:val="0"/>
          <w:rtl/>
        </w:rPr>
        <w:t>ה</w:t>
      </w:r>
      <w:r w:rsidR="00CA1C9B" w:rsidRPr="00193D41">
        <w:rPr>
          <w:rFonts w:ascii="Arial" w:eastAsia="David" w:hAnsi="Arial"/>
          <w:noProof w:val="0"/>
          <w:rtl/>
        </w:rPr>
        <w:t>נאשמים</w:t>
      </w:r>
      <w:r w:rsidR="00CA1C9B">
        <w:rPr>
          <w:rFonts w:ascii="Arial" w:eastAsia="David" w:hAnsi="Arial" w:hint="cs"/>
          <w:noProof w:val="0"/>
          <w:rtl/>
        </w:rPr>
        <w:t xml:space="preserve"> הורשעו בעבירות של פציעה בנסיבות מחמירות וכן תקיפה בצוותא תוך גרימת חבלה הנאשמים</w:t>
      </w:r>
      <w:r w:rsidR="00CA1C9B" w:rsidRPr="00193D41">
        <w:rPr>
          <w:rFonts w:ascii="Arial" w:eastAsia="David" w:hAnsi="Arial"/>
          <w:noProof w:val="0"/>
          <w:rtl/>
        </w:rPr>
        <w:t xml:space="preserve"> תקפו בצוותא את המתלוננים, קטינים, תוך שימוש בידיים חשופות ואף בקבוקי זכוכית. למתלוננים נגרמו חבלות רבות והם נזקקו לטיפול רפואי. בין הצדדים נקשר הסדר טיעון, במסגרתו, הגבילה עצמה המאשימה לטעון ל-25 חודשי מאסר בפועל, והוסכם, כי כל אחד מהנאשמים, יפצה המתלוננים בסך של 17,000 ₪. כן, הוסכם, כי לנאשם 2 קיים מאסר מותנה בר הפעלה. בית משפט זה גזר על כל אחד מהנאשמים 20 חודשי מאסר בפועל, הפעל מאסר מותנה לנאשם 2, מאסר מותנה, פיצוי בסך 21,000 ₪ לכל אחד מהנאשמים. </w:t>
      </w:r>
    </w:p>
    <w:p w14:paraId="3AF9BCAA" w14:textId="77777777" w:rsidR="00CA1C9B" w:rsidRDefault="0067280B" w:rsidP="00CA1C9B">
      <w:pPr>
        <w:numPr>
          <w:ilvl w:val="0"/>
          <w:numId w:val="1"/>
        </w:numPr>
        <w:spacing w:line="360" w:lineRule="auto"/>
        <w:contextualSpacing/>
        <w:jc w:val="both"/>
        <w:rPr>
          <w:rFonts w:ascii="Arial" w:eastAsia="David" w:hAnsi="Arial"/>
          <w:noProof w:val="0"/>
        </w:rPr>
      </w:pPr>
      <w:hyperlink r:id="rId31" w:history="1">
        <w:r w:rsidRPr="0067280B">
          <w:rPr>
            <w:rFonts w:ascii="Arial" w:eastAsia="David" w:hAnsi="Arial"/>
            <w:noProof w:val="0"/>
            <w:color w:val="0000FF"/>
            <w:u w:val="single"/>
            <w:rtl/>
          </w:rPr>
          <w:t>ת"פ 62887-03-22</w:t>
        </w:r>
      </w:hyperlink>
      <w:r w:rsidR="00CA1C9B" w:rsidRPr="00193D41">
        <w:rPr>
          <w:rFonts w:ascii="Arial" w:eastAsia="David" w:hAnsi="Arial"/>
          <w:noProof w:val="0"/>
          <w:rtl/>
        </w:rPr>
        <w:t xml:space="preserve"> </w:t>
      </w:r>
      <w:r w:rsidR="00CA1C9B" w:rsidRPr="00193D41">
        <w:rPr>
          <w:rFonts w:ascii="Arial" w:eastAsia="David" w:hAnsi="Arial"/>
          <w:b/>
          <w:bCs/>
          <w:noProof w:val="0"/>
          <w:rtl/>
        </w:rPr>
        <w:t>מדינת ישראל נ' מחרט</w:t>
      </w:r>
      <w:r w:rsidR="00CA1C9B" w:rsidRPr="00193D41">
        <w:rPr>
          <w:rFonts w:ascii="Arial" w:eastAsia="David" w:hAnsi="Arial"/>
          <w:noProof w:val="0"/>
          <w:rtl/>
        </w:rPr>
        <w:t xml:space="preserve"> -  </w:t>
      </w:r>
      <w:r w:rsidR="00CA1C9B">
        <w:rPr>
          <w:rFonts w:ascii="Arial" w:eastAsia="David" w:hAnsi="Arial" w:hint="cs"/>
          <w:noProof w:val="0"/>
          <w:rtl/>
        </w:rPr>
        <w:t>ה</w:t>
      </w:r>
      <w:r w:rsidR="00CA1C9B" w:rsidRPr="00193D41">
        <w:rPr>
          <w:rFonts w:ascii="Arial" w:eastAsia="David" w:hAnsi="Arial"/>
          <w:noProof w:val="0"/>
          <w:rtl/>
        </w:rPr>
        <w:t xml:space="preserve">נאשם </w:t>
      </w:r>
      <w:r w:rsidR="00CA1C9B">
        <w:rPr>
          <w:rFonts w:ascii="Arial" w:eastAsia="David" w:hAnsi="Arial" w:hint="cs"/>
          <w:noProof w:val="0"/>
          <w:rtl/>
        </w:rPr>
        <w:t>הורשע</w:t>
      </w:r>
      <w:r w:rsidR="00CA1C9B" w:rsidRPr="00193D41">
        <w:rPr>
          <w:rFonts w:ascii="Arial" w:eastAsia="David" w:hAnsi="Arial"/>
          <w:noProof w:val="0"/>
          <w:rtl/>
        </w:rPr>
        <w:t xml:space="preserve"> </w:t>
      </w:r>
      <w:r w:rsidR="00CA1C9B">
        <w:rPr>
          <w:rFonts w:ascii="Arial" w:eastAsia="David" w:hAnsi="Arial" w:hint="cs"/>
          <w:noProof w:val="0"/>
          <w:rtl/>
        </w:rPr>
        <w:t xml:space="preserve">בעבירה של פציעה בנסיבות  מחמירות, כאשר </w:t>
      </w:r>
      <w:r w:rsidR="00CA1C9B" w:rsidRPr="00193D41">
        <w:rPr>
          <w:rFonts w:ascii="Arial" w:eastAsia="David" w:hAnsi="Arial"/>
          <w:noProof w:val="0"/>
          <w:rtl/>
        </w:rPr>
        <w:t>ניסה לדקור את המתלונן בבטן, ולבסו</w:t>
      </w:r>
      <w:r w:rsidR="00CA1C9B">
        <w:rPr>
          <w:rFonts w:ascii="Arial" w:eastAsia="David" w:hAnsi="Arial"/>
          <w:noProof w:val="0"/>
          <w:rtl/>
        </w:rPr>
        <w:t xml:space="preserve">ף דקר אותו ברגלו. למתלונן נגרם </w:t>
      </w:r>
      <w:r w:rsidR="00CA1C9B" w:rsidRPr="00193D41">
        <w:rPr>
          <w:rFonts w:ascii="Arial" w:eastAsia="David" w:hAnsi="Arial"/>
          <w:noProof w:val="0"/>
          <w:rtl/>
        </w:rPr>
        <w:t>חתך ברגל. מותב זה אימץ את עתירת התביעה למתחם ענישה הנע בין 10 ועד 24 חודשי מאסר בפועל, תוך שהביע עמדתו, כי בנסיבות התיק, ראוי היה לקבוע מתחם ענישה גבוה יותר. על הנאשם נגזרו 12 חודשי מאסר בפועל; הפעלת 6 חודשי מאסר מותנה, חציו בחופף והיתרה במצטבר, כך שבסך הכל הוטלו על הנאשם 15 חודשי מאסר בפועל; מאסר על תנאי; הפעלת התחייבות; פיצוי לנפגע העבירה.</w:t>
      </w:r>
    </w:p>
    <w:p w14:paraId="19C7A585" w14:textId="77777777" w:rsidR="00CA1C9B" w:rsidRPr="00BE4DE3" w:rsidRDefault="00CA1C9B" w:rsidP="00CA1C9B">
      <w:pPr>
        <w:numPr>
          <w:ilvl w:val="0"/>
          <w:numId w:val="1"/>
        </w:numPr>
        <w:spacing w:line="360" w:lineRule="auto"/>
        <w:contextualSpacing/>
        <w:jc w:val="both"/>
        <w:rPr>
          <w:rFonts w:ascii="Arial" w:eastAsia="David" w:hAnsi="Arial"/>
          <w:noProof w:val="0"/>
        </w:rPr>
      </w:pPr>
      <w:r w:rsidRPr="00BE4DE3">
        <w:rPr>
          <w:rFonts w:ascii="Arial" w:eastAsia="David" w:hAnsi="Arial" w:hint="cs"/>
          <w:noProof w:val="0"/>
          <w:rtl/>
        </w:rPr>
        <w:t xml:space="preserve">בגזר הדין </w:t>
      </w:r>
      <w:hyperlink r:id="rId32" w:history="1">
        <w:r w:rsidR="0067280B" w:rsidRPr="0067280B">
          <w:rPr>
            <w:color w:val="0000FF"/>
            <w:u w:val="single"/>
            <w:rtl/>
          </w:rPr>
          <w:t>ת"פ 7143-08-20</w:t>
        </w:r>
      </w:hyperlink>
      <w:r w:rsidRPr="006D3296">
        <w:rPr>
          <w:rFonts w:hint="cs"/>
          <w:rtl/>
        </w:rPr>
        <w:t xml:space="preserve"> </w:t>
      </w:r>
      <w:r w:rsidRPr="006D3296">
        <w:rPr>
          <w:rtl/>
        </w:rPr>
        <w:t>מדינת ישראל נ' חמדיה (לא פורסם, 2022) – הנאשם בורשע בעבירות של פציעה בנסיבות מחמירות וכן החזקת סכין למטרה לא כשרה, לאחר שתקף, ללא התגרות, אדם אחר, אשר עמד בתור לדוכן פלאפל ופצע אותו באמצעות דקירה בידו – נקבע מתחם ענישה, שינוע בין 14 ועד 36 חודשים מאסר בפועל.  בהתחשב בעברו הפלילי ותוך הפעלת מאסרים מותנים – נדון הנאשם לעונש מאסר בפועל בן 18 חודשים. בערעור לבית המשפט המחוזי בוטלה הפ</w:t>
      </w:r>
      <w:r>
        <w:rPr>
          <w:rtl/>
        </w:rPr>
        <w:t xml:space="preserve">עלת אחד המאסרים המותנים והמאסר </w:t>
      </w:r>
      <w:r w:rsidRPr="006D3296">
        <w:rPr>
          <w:rtl/>
        </w:rPr>
        <w:t>הכולל הועמד על 15 חודשים</w:t>
      </w:r>
      <w:r>
        <w:rPr>
          <w:rFonts w:hint="cs"/>
          <w:rtl/>
        </w:rPr>
        <w:t>.</w:t>
      </w:r>
    </w:p>
    <w:p w14:paraId="1B25980A" w14:textId="77777777" w:rsidR="00CA1C9B" w:rsidRDefault="00CA1C9B" w:rsidP="00CA1C9B">
      <w:pPr>
        <w:spacing w:line="360" w:lineRule="auto"/>
        <w:ind w:left="284"/>
        <w:contextualSpacing/>
        <w:jc w:val="both"/>
        <w:rPr>
          <w:rFonts w:ascii="Arial" w:eastAsia="David" w:hAnsi="Arial"/>
          <w:noProof w:val="0"/>
        </w:rPr>
      </w:pPr>
    </w:p>
    <w:p w14:paraId="0C467E5E" w14:textId="77777777" w:rsidR="00CA1C9B" w:rsidRDefault="00CA1C9B" w:rsidP="00CA1C9B">
      <w:pPr>
        <w:spacing w:line="360" w:lineRule="auto"/>
        <w:jc w:val="both"/>
        <w:rPr>
          <w:rFonts w:ascii="A028 Extrabold" w:eastAsia="David" w:hAnsi="A028 Extrabold"/>
          <w:noProof w:val="0"/>
          <w:rtl/>
        </w:rPr>
      </w:pPr>
      <w:r>
        <w:rPr>
          <w:rFonts w:ascii="Arial" w:hAnsi="Arial"/>
          <w:rtl/>
        </w:rPr>
        <w:t>קביעת מתחם הענישה היא בהתאם לנסיבות המקרה העומד לדיון, וסקירת מדיניות הענישה הנוהגת היא רק שיקול אחד מבין כלל השיקולים אותו עושה בית המשפט בקובעו מתחם ענישה הולם.</w:t>
      </w:r>
      <w:r>
        <w:rPr>
          <w:rFonts w:ascii="A028 Extrabold" w:eastAsia="David" w:hAnsi="A028 Extrabold"/>
          <w:rtl/>
        </w:rPr>
        <w:t xml:space="preserve"> בהתאם להוראות </w:t>
      </w:r>
      <w:hyperlink r:id="rId33" w:history="1">
        <w:r w:rsidR="00DC1EC1" w:rsidRPr="00DC1EC1">
          <w:rPr>
            <w:rStyle w:val="Hyperlink"/>
            <w:rFonts w:ascii="A028 Extrabold" w:eastAsia="David" w:hAnsi="A028 Extrabold" w:hint="eastAsia"/>
            <w:color w:val="0000FF"/>
            <w:rtl/>
          </w:rPr>
          <w:t>סעיף</w:t>
        </w:r>
        <w:r w:rsidR="00DC1EC1" w:rsidRPr="00DC1EC1">
          <w:rPr>
            <w:rStyle w:val="Hyperlink"/>
            <w:rFonts w:ascii="A028 Extrabold" w:eastAsia="David" w:hAnsi="A028 Extrabold"/>
            <w:color w:val="0000FF"/>
            <w:rtl/>
          </w:rPr>
          <w:t xml:space="preserve"> 40</w:t>
        </w:r>
      </w:hyperlink>
      <w:r>
        <w:rPr>
          <w:rFonts w:ascii="A028 Extrabold" w:eastAsia="David" w:hAnsi="A028 Extrabold"/>
          <w:rtl/>
        </w:rPr>
        <w:t xml:space="preserve"> ל</w:t>
      </w:r>
      <w:hyperlink r:id="rId34" w:history="1">
        <w:r w:rsidR="0067280B" w:rsidRPr="0067280B">
          <w:rPr>
            <w:rFonts w:ascii="A028 Extrabold" w:eastAsia="David" w:hAnsi="A028 Extrabold" w:hint="eastAsia"/>
            <w:color w:val="0000FF"/>
            <w:u w:val="single"/>
            <w:rtl/>
          </w:rPr>
          <w:t>חוק</w:t>
        </w:r>
        <w:r w:rsidR="0067280B" w:rsidRPr="0067280B">
          <w:rPr>
            <w:rFonts w:ascii="A028 Extrabold" w:eastAsia="David" w:hAnsi="A028 Extrabold"/>
            <w:color w:val="0000FF"/>
            <w:u w:val="single"/>
            <w:rtl/>
          </w:rPr>
          <w:t xml:space="preserve"> </w:t>
        </w:r>
        <w:r w:rsidR="0067280B" w:rsidRPr="0067280B">
          <w:rPr>
            <w:rFonts w:ascii="A028 Extrabold" w:eastAsia="David" w:hAnsi="A028 Extrabold" w:hint="eastAsia"/>
            <w:color w:val="0000FF"/>
            <w:u w:val="single"/>
            <w:rtl/>
          </w:rPr>
          <w:t>העונשין</w:t>
        </w:r>
      </w:hyperlink>
      <w:r>
        <w:rPr>
          <w:rFonts w:ascii="A028 Extrabold" w:eastAsia="David" w:hAnsi="A028 Extrabold"/>
          <w:rtl/>
        </w:rPr>
        <w:t>, תשל"ז – 1977, בבואו של בית המשפט לקבוע מתחם ענישה, רשאי לקחת בחשבון מכלול שיקולים, בין היתר, נסיבות ביצוע העבירה; משך ההתנהגות העבריינית; מידת הפגיעה בערכים המוגנים; וכן שיקולים נוספים.</w:t>
      </w:r>
    </w:p>
    <w:p w14:paraId="076AA19C" w14:textId="77777777" w:rsidR="00CA1C9B" w:rsidRDefault="00CA1C9B" w:rsidP="00CA1C9B">
      <w:pPr>
        <w:spacing w:line="360" w:lineRule="auto"/>
        <w:jc w:val="both"/>
        <w:rPr>
          <w:rFonts w:ascii="A028 Extrabold" w:eastAsia="David" w:hAnsi="A028 Extrabold"/>
          <w:noProof w:val="0"/>
          <w:rtl/>
        </w:rPr>
      </w:pPr>
    </w:p>
    <w:p w14:paraId="20C69FC3" w14:textId="77777777" w:rsidR="00CA1C9B" w:rsidRDefault="00CA1C9B" w:rsidP="00CA1C9B">
      <w:pPr>
        <w:spacing w:line="360" w:lineRule="auto"/>
        <w:jc w:val="both"/>
        <w:rPr>
          <w:rFonts w:ascii="A028 Extrabold" w:eastAsia="David" w:hAnsi="A028 Extrabold"/>
          <w:noProof w:val="0"/>
          <w:rtl/>
        </w:rPr>
      </w:pPr>
      <w:r>
        <w:rPr>
          <w:rFonts w:ascii="A028 Extrabold" w:eastAsia="David" w:hAnsi="A028 Extrabold" w:hint="cs"/>
          <w:noProof w:val="0"/>
          <w:rtl/>
        </w:rPr>
        <w:t xml:space="preserve">במקרה דנן, קיימים מספר מאפייני חומרה, שלא נמצאו תדיר בפסיקה בגין מקרים דומים, בעבירה נושא כתב האישום (לאחר התיקון): ראש וראשית - אופי האלימות שהופעלה, כאשר במקרה דנן מדובר בדקירה בצוואר - </w:t>
      </w:r>
      <w:r w:rsidRPr="006D3296">
        <w:rPr>
          <w:rFonts w:ascii="A028 Extrabold" w:eastAsia="David" w:hAnsi="A028 Extrabold" w:hint="cs"/>
          <w:noProof w:val="0"/>
          <w:u w:val="single"/>
          <w:rtl/>
        </w:rPr>
        <w:t>אזור חיוני</w:t>
      </w:r>
      <w:r>
        <w:rPr>
          <w:rFonts w:ascii="A028 Extrabold" w:eastAsia="David" w:hAnsi="A028 Extrabold" w:hint="cs"/>
          <w:noProof w:val="0"/>
          <w:rtl/>
        </w:rPr>
        <w:t>, שהפגיעה בו עלולה להביא לקטילת הנפגע. אך בנס - לא נגרמה פגיעה חמורה בהרבה. הדקירה אף היתה עמוקה והביאה לפגיעה בקנה הנשימה ובטריכאה, פגיעה שחייבה ניתוח.</w:t>
      </w:r>
    </w:p>
    <w:p w14:paraId="7EEBB741" w14:textId="77777777" w:rsidR="00CA1C9B" w:rsidRDefault="00CA1C9B" w:rsidP="00CA1C9B">
      <w:pPr>
        <w:spacing w:line="360" w:lineRule="auto"/>
        <w:jc w:val="both"/>
        <w:rPr>
          <w:rFonts w:ascii="A028 Extrabold" w:eastAsia="David" w:hAnsi="A028 Extrabold"/>
          <w:noProof w:val="0"/>
          <w:rtl/>
        </w:rPr>
      </w:pPr>
    </w:p>
    <w:p w14:paraId="33E23A64" w14:textId="77777777" w:rsidR="00CA1C9B" w:rsidRDefault="00CA1C9B" w:rsidP="00CA1C9B">
      <w:pPr>
        <w:spacing w:line="360" w:lineRule="auto"/>
        <w:jc w:val="both"/>
        <w:rPr>
          <w:rFonts w:ascii="A028 Extrabold" w:eastAsia="David" w:hAnsi="A028 Extrabold"/>
          <w:noProof w:val="0"/>
          <w:rtl/>
        </w:rPr>
      </w:pPr>
      <w:r>
        <w:rPr>
          <w:rFonts w:ascii="A028 Extrabold" w:eastAsia="David" w:hAnsi="A028 Extrabold" w:hint="cs"/>
          <w:noProof w:val="0"/>
          <w:rtl/>
        </w:rPr>
        <w:t>התקיפה היתה ללא כל התגרות וכאשר הנפגע אף אינו שש אלי קרב אלא מנסה לחמוק ממגע עם הנאשם ויוצא אל רכבו.</w:t>
      </w:r>
    </w:p>
    <w:p w14:paraId="08E6D8E3" w14:textId="77777777" w:rsidR="00CA1C9B" w:rsidRDefault="00CA1C9B" w:rsidP="00CA1C9B">
      <w:pPr>
        <w:spacing w:line="360" w:lineRule="auto"/>
        <w:jc w:val="both"/>
        <w:rPr>
          <w:rFonts w:ascii="A028 Extrabold" w:eastAsia="David" w:hAnsi="A028 Extrabold"/>
          <w:noProof w:val="0"/>
          <w:rtl/>
        </w:rPr>
      </w:pPr>
    </w:p>
    <w:p w14:paraId="1B1B25AE" w14:textId="77777777" w:rsidR="00CA1C9B" w:rsidRDefault="00CA1C9B" w:rsidP="00CA1C9B">
      <w:pPr>
        <w:spacing w:line="360" w:lineRule="auto"/>
        <w:jc w:val="both"/>
        <w:rPr>
          <w:rFonts w:ascii="A028 Extrabold" w:eastAsia="David" w:hAnsi="A028 Extrabold"/>
          <w:noProof w:val="0"/>
          <w:rtl/>
        </w:rPr>
      </w:pPr>
      <w:r>
        <w:rPr>
          <w:rFonts w:ascii="A028 Extrabold" w:eastAsia="David" w:hAnsi="A028 Extrabold" w:hint="cs"/>
          <w:noProof w:val="0"/>
          <w:rtl/>
        </w:rPr>
        <w:t>הנאשם הוא שחתר למגע עם הנפגע כשיצא אחריו, גם כאשר הנפגע עזב את חנות המכולת ונכנס לרכבו.</w:t>
      </w:r>
    </w:p>
    <w:p w14:paraId="7B8133F0" w14:textId="77777777" w:rsidR="00CA1C9B" w:rsidRDefault="00CA1C9B" w:rsidP="00CA1C9B">
      <w:pPr>
        <w:spacing w:line="360" w:lineRule="auto"/>
        <w:jc w:val="both"/>
        <w:rPr>
          <w:rFonts w:ascii="A028 Extrabold" w:eastAsia="David" w:hAnsi="A028 Extrabold"/>
          <w:noProof w:val="0"/>
          <w:rtl/>
        </w:rPr>
      </w:pPr>
    </w:p>
    <w:p w14:paraId="26B27314" w14:textId="77777777" w:rsidR="00CA1C9B" w:rsidRDefault="00CA1C9B" w:rsidP="00CA1C9B">
      <w:pPr>
        <w:spacing w:line="360" w:lineRule="auto"/>
        <w:jc w:val="both"/>
        <w:rPr>
          <w:rFonts w:ascii="A028 Extrabold" w:eastAsia="David" w:hAnsi="A028 Extrabold"/>
          <w:noProof w:val="0"/>
          <w:rtl/>
        </w:rPr>
      </w:pPr>
      <w:r>
        <w:rPr>
          <w:rFonts w:ascii="A028 Extrabold" w:eastAsia="David" w:hAnsi="A028 Extrabold" w:hint="cs"/>
          <w:noProof w:val="0"/>
          <w:rtl/>
        </w:rPr>
        <w:t xml:space="preserve">הנאשם לא חדל מהתנהגותו האלימה, אלא לאחר שהוחזק על ידי אחרים. </w:t>
      </w:r>
    </w:p>
    <w:p w14:paraId="26F58788" w14:textId="77777777" w:rsidR="00CA1C9B" w:rsidRDefault="00CA1C9B" w:rsidP="00CA1C9B">
      <w:pPr>
        <w:spacing w:line="360" w:lineRule="auto"/>
        <w:jc w:val="both"/>
        <w:rPr>
          <w:rFonts w:ascii="A028 Extrabold" w:eastAsia="David" w:hAnsi="A028 Extrabold"/>
          <w:noProof w:val="0"/>
          <w:rtl/>
        </w:rPr>
      </w:pPr>
    </w:p>
    <w:p w14:paraId="345D27E6" w14:textId="77777777" w:rsidR="00CA1C9B" w:rsidRDefault="00CA1C9B" w:rsidP="00CA1C9B">
      <w:pPr>
        <w:spacing w:line="360" w:lineRule="auto"/>
        <w:jc w:val="both"/>
        <w:rPr>
          <w:rFonts w:ascii="A028 Extrabold" w:eastAsia="David" w:hAnsi="A028 Extrabold"/>
          <w:noProof w:val="0"/>
          <w:rtl/>
        </w:rPr>
      </w:pPr>
      <w:r>
        <w:rPr>
          <w:rFonts w:ascii="A028 Extrabold" w:eastAsia="David" w:hAnsi="A028 Extrabold" w:hint="cs"/>
          <w:noProof w:val="0"/>
          <w:rtl/>
        </w:rPr>
        <w:t>הנאשם אף גידף את המתלונן בדברים, שנגעו ללאום אליו הוא משתייך. אמנם, לא הועמד לדין בגין עבירה, שנעברה ממניע שנאה, אך העובדות בהן הודה הנאשם כוללות התבטאויות חמורות אלה.</w:t>
      </w:r>
    </w:p>
    <w:p w14:paraId="74D084EF" w14:textId="77777777" w:rsidR="00CA1C9B" w:rsidRDefault="00CA1C9B" w:rsidP="00CA1C9B">
      <w:pPr>
        <w:spacing w:line="360" w:lineRule="auto"/>
        <w:jc w:val="both"/>
        <w:rPr>
          <w:rFonts w:ascii="A028 Extrabold" w:eastAsia="David" w:hAnsi="A028 Extrabold"/>
          <w:noProof w:val="0"/>
          <w:rtl/>
        </w:rPr>
      </w:pPr>
    </w:p>
    <w:p w14:paraId="7E88B19E" w14:textId="77777777" w:rsidR="00CA1C9B" w:rsidRDefault="00CA1C9B" w:rsidP="00CA1C9B">
      <w:pPr>
        <w:spacing w:line="360" w:lineRule="auto"/>
        <w:jc w:val="both"/>
        <w:rPr>
          <w:rFonts w:ascii="A028 Extrabold" w:eastAsia="David" w:hAnsi="A028 Extrabold"/>
          <w:noProof w:val="0"/>
          <w:rtl/>
        </w:rPr>
      </w:pPr>
      <w:r>
        <w:rPr>
          <w:rFonts w:ascii="A028 Extrabold" w:eastAsia="David" w:hAnsi="A028 Extrabold" w:hint="cs"/>
          <w:noProof w:val="0"/>
          <w:rtl/>
        </w:rPr>
        <w:t>מכלול הנתונים מלמד על סף גירוי נמוך מאוד אצל הנאשם, על אימפולסיביות ועל היעדר מעצורים.</w:t>
      </w:r>
    </w:p>
    <w:p w14:paraId="5D12F0B5" w14:textId="77777777" w:rsidR="00CA1C9B" w:rsidRDefault="00CA1C9B" w:rsidP="00CA1C9B">
      <w:pPr>
        <w:spacing w:line="360" w:lineRule="auto"/>
        <w:jc w:val="both"/>
        <w:rPr>
          <w:rFonts w:ascii="A028 Extrabold" w:eastAsia="David" w:hAnsi="A028 Extrabold"/>
          <w:noProof w:val="0"/>
          <w:rtl/>
        </w:rPr>
      </w:pPr>
    </w:p>
    <w:p w14:paraId="3AA948C4" w14:textId="77777777" w:rsidR="00CA1C9B" w:rsidRDefault="00CA1C9B" w:rsidP="00CA1C9B">
      <w:pPr>
        <w:spacing w:line="360" w:lineRule="auto"/>
        <w:jc w:val="both"/>
        <w:rPr>
          <w:rFonts w:ascii="A028 Extrabold" w:eastAsia="David" w:hAnsi="A028 Extrabold"/>
          <w:noProof w:val="0"/>
        </w:rPr>
      </w:pPr>
      <w:r>
        <w:rPr>
          <w:rFonts w:ascii="A028 Extrabold" w:eastAsia="David" w:hAnsi="A028 Extrabold" w:hint="cs"/>
          <w:noProof w:val="0"/>
          <w:rtl/>
        </w:rPr>
        <w:t xml:space="preserve">בשים לב לכלל הנסיבות הללו וכן לנזקים המשמעותיים, שנגרמו לנפגע </w:t>
      </w:r>
      <w:r>
        <w:rPr>
          <w:rFonts w:ascii="A028 Extrabold" w:eastAsia="David" w:hAnsi="A028 Extrabold"/>
          <w:noProof w:val="0"/>
          <w:rtl/>
        </w:rPr>
        <w:t>–</w:t>
      </w:r>
      <w:r>
        <w:rPr>
          <w:rFonts w:ascii="A028 Extrabold" w:eastAsia="David" w:hAnsi="A028 Extrabold" w:hint="cs"/>
          <w:noProof w:val="0"/>
          <w:rtl/>
        </w:rPr>
        <w:t xml:space="preserve"> מוצא בית המשפט לקבוע מתחם ענישה ולהעמידו בין 18 ועד 36 חודשים מאסר בפועל.</w:t>
      </w:r>
    </w:p>
    <w:p w14:paraId="0B594818" w14:textId="77777777" w:rsidR="00CA1C9B" w:rsidRDefault="00CA1C9B" w:rsidP="00CA1C9B">
      <w:pPr>
        <w:spacing w:line="360" w:lineRule="auto"/>
        <w:jc w:val="both"/>
        <w:rPr>
          <w:rFonts w:ascii="Arial" w:hAnsi="Arial"/>
          <w:noProof w:val="0"/>
          <w:rtl/>
        </w:rPr>
      </w:pPr>
    </w:p>
    <w:p w14:paraId="7B2F7FBB" w14:textId="77777777" w:rsidR="00CA1C9B" w:rsidRPr="00193D41" w:rsidRDefault="00CA1C9B" w:rsidP="00CA1C9B">
      <w:pPr>
        <w:spacing w:line="360" w:lineRule="auto"/>
        <w:jc w:val="both"/>
        <w:rPr>
          <w:rFonts w:ascii="Arial" w:hAnsi="Arial"/>
          <w:noProof w:val="0"/>
          <w:rtl/>
        </w:rPr>
      </w:pPr>
    </w:p>
    <w:p w14:paraId="68441FEB" w14:textId="77777777" w:rsidR="00CA1C9B" w:rsidRPr="00193D41" w:rsidRDefault="00CA1C9B" w:rsidP="00CA1C9B">
      <w:pPr>
        <w:spacing w:line="360" w:lineRule="auto"/>
        <w:jc w:val="both"/>
        <w:rPr>
          <w:noProof w:val="0"/>
          <w:rtl/>
        </w:rPr>
      </w:pPr>
      <w:r w:rsidRPr="00193D41">
        <w:rPr>
          <w:b/>
          <w:bCs/>
          <w:noProof w:val="0"/>
          <w:rtl/>
        </w:rPr>
        <w:t>קביעת הענישה הספציפית בתוך המתחם</w:t>
      </w:r>
    </w:p>
    <w:p w14:paraId="1889654C" w14:textId="77777777" w:rsidR="00CA1C9B" w:rsidRPr="00193D41" w:rsidRDefault="00CA1C9B" w:rsidP="00CA1C9B">
      <w:pPr>
        <w:spacing w:line="360" w:lineRule="auto"/>
        <w:jc w:val="both"/>
        <w:rPr>
          <w:noProof w:val="0"/>
        </w:rPr>
      </w:pPr>
    </w:p>
    <w:p w14:paraId="69FFCFCD" w14:textId="77777777" w:rsidR="00CA1C9B" w:rsidRDefault="00CA1C9B" w:rsidP="00CA1C9B">
      <w:pPr>
        <w:spacing w:line="360" w:lineRule="auto"/>
        <w:jc w:val="both"/>
        <w:rPr>
          <w:noProof w:val="0"/>
          <w:rtl/>
        </w:rPr>
      </w:pPr>
      <w:r>
        <w:rPr>
          <w:rFonts w:hint="cs"/>
          <w:noProof w:val="0"/>
          <w:rtl/>
        </w:rPr>
        <w:t xml:space="preserve">כאמור, </w:t>
      </w:r>
      <w:r w:rsidRPr="00193D41">
        <w:rPr>
          <w:noProof w:val="0"/>
          <w:rtl/>
        </w:rPr>
        <w:t xml:space="preserve">לחובת הנאשם </w:t>
      </w:r>
      <w:r>
        <w:rPr>
          <w:rFonts w:hint="cs"/>
          <w:noProof w:val="0"/>
          <w:rtl/>
        </w:rPr>
        <w:t>רישומים קודמים</w:t>
      </w:r>
      <w:r w:rsidRPr="00193D41">
        <w:rPr>
          <w:noProof w:val="0"/>
          <w:rtl/>
        </w:rPr>
        <w:t xml:space="preserve"> בעבירות </w:t>
      </w:r>
      <w:r>
        <w:rPr>
          <w:rFonts w:hint="cs"/>
          <w:noProof w:val="0"/>
          <w:rtl/>
        </w:rPr>
        <w:t xml:space="preserve">נגד </w:t>
      </w:r>
      <w:hyperlink r:id="rId35" w:history="1">
        <w:r w:rsidR="0067280B" w:rsidRPr="0067280B">
          <w:rPr>
            <w:noProof w:val="0"/>
            <w:color w:val="0000FF"/>
            <w:u w:val="single"/>
            <w:rtl/>
          </w:rPr>
          <w:t>פקודת הסמים המסוכנים</w:t>
        </w:r>
      </w:hyperlink>
      <w:r>
        <w:rPr>
          <w:rFonts w:hint="cs"/>
          <w:noProof w:val="0"/>
          <w:rtl/>
        </w:rPr>
        <w:t>, לרבות סחר בסם מסוכן. וכן בעבירה של אחזקת סכין למטרה לא כשרה, שהיא הפרוזדור המוביל לטרקלין של שימוש בסכין (הגם שבמקרה הנוכחי - לא נטען, כי הסכין הוחזקה שלא כדין).</w:t>
      </w:r>
    </w:p>
    <w:p w14:paraId="15D3D859" w14:textId="77777777" w:rsidR="00CA1C9B" w:rsidRDefault="00CA1C9B" w:rsidP="00CA1C9B">
      <w:pPr>
        <w:spacing w:line="360" w:lineRule="auto"/>
        <w:jc w:val="both"/>
        <w:rPr>
          <w:noProof w:val="0"/>
          <w:rtl/>
        </w:rPr>
      </w:pPr>
    </w:p>
    <w:p w14:paraId="7B1F7EE2" w14:textId="77777777" w:rsidR="00CA1C9B" w:rsidRPr="00193D41" w:rsidRDefault="00CA1C9B" w:rsidP="00CA1C9B">
      <w:pPr>
        <w:spacing w:line="360" w:lineRule="auto"/>
        <w:jc w:val="both"/>
        <w:rPr>
          <w:noProof w:val="0"/>
          <w:rtl/>
        </w:rPr>
      </w:pPr>
      <w:r>
        <w:rPr>
          <w:rFonts w:hint="cs"/>
          <w:noProof w:val="0"/>
          <w:rtl/>
        </w:rPr>
        <w:t>עוד לחובתו רישום בעבירה של הפרעה לשוטר בעת מילוי תפקידו, אשר יש בה כדי ללמד על יחסו לשלטון החוק.</w:t>
      </w:r>
    </w:p>
    <w:p w14:paraId="025398EB" w14:textId="77777777" w:rsidR="00CA1C9B" w:rsidRPr="00193D41" w:rsidRDefault="00CA1C9B" w:rsidP="00CA1C9B">
      <w:pPr>
        <w:spacing w:line="360" w:lineRule="auto"/>
        <w:jc w:val="both"/>
        <w:rPr>
          <w:noProof w:val="0"/>
          <w:rtl/>
        </w:rPr>
      </w:pPr>
    </w:p>
    <w:p w14:paraId="5C1E29BD" w14:textId="77777777" w:rsidR="00CA1C9B" w:rsidRDefault="00CA1C9B" w:rsidP="00CA1C9B">
      <w:pPr>
        <w:spacing w:line="360" w:lineRule="auto"/>
        <w:jc w:val="both"/>
        <w:rPr>
          <w:noProof w:val="0"/>
          <w:rtl/>
        </w:rPr>
      </w:pPr>
      <w:r>
        <w:rPr>
          <w:rFonts w:hint="cs"/>
          <w:noProof w:val="0"/>
          <w:rtl/>
        </w:rPr>
        <w:t>הפרוגנוזה בענינו, מטעם שירות המבחן למבוגרים</w:t>
      </w:r>
      <w:r w:rsidRPr="00346A77">
        <w:rPr>
          <w:rFonts w:hint="cs"/>
          <w:noProof w:val="0"/>
          <w:rtl/>
        </w:rPr>
        <w:t>, אינה חיובית</w:t>
      </w:r>
      <w:r>
        <w:rPr>
          <w:rFonts w:hint="cs"/>
          <w:noProof w:val="0"/>
          <w:rtl/>
        </w:rPr>
        <w:t xml:space="preserve"> כלל ועיקר: הנאשם גילה עמדות נוקשות; נמנע מלהביע אמפתיה לנפגע. שירות המבחן לא מצא תוחלת להליך טיפולי והנאשם עצמו אף  דחה האפשרות להשתלב בטיפול. </w:t>
      </w:r>
    </w:p>
    <w:p w14:paraId="0C34249D" w14:textId="77777777" w:rsidR="00CA1C9B" w:rsidRDefault="00CA1C9B" w:rsidP="00CA1C9B">
      <w:pPr>
        <w:spacing w:line="360" w:lineRule="auto"/>
        <w:jc w:val="both"/>
        <w:rPr>
          <w:noProof w:val="0"/>
          <w:rtl/>
        </w:rPr>
      </w:pPr>
    </w:p>
    <w:p w14:paraId="476D4332" w14:textId="77777777" w:rsidR="00CA1C9B" w:rsidRDefault="00CA1C9B" w:rsidP="00CA1C9B">
      <w:pPr>
        <w:spacing w:line="360" w:lineRule="auto"/>
        <w:jc w:val="both"/>
        <w:rPr>
          <w:noProof w:val="0"/>
          <w:rtl/>
        </w:rPr>
      </w:pPr>
      <w:r>
        <w:rPr>
          <w:rFonts w:hint="cs"/>
          <w:noProof w:val="0"/>
          <w:rtl/>
        </w:rPr>
        <w:t xml:space="preserve">הנאשם אף הגדיל לעשות ונמנע מלהגיע </w:t>
      </w:r>
      <w:r>
        <w:rPr>
          <w:noProof w:val="0"/>
          <w:rtl/>
        </w:rPr>
        <w:t>–</w:t>
      </w:r>
      <w:r>
        <w:rPr>
          <w:rFonts w:hint="cs"/>
          <w:noProof w:val="0"/>
          <w:rtl/>
        </w:rPr>
        <w:t xml:space="preserve"> שלוש פעמים שונות - למסירת בדיקה לגילוי שרידי סם. לאור האמור </w:t>
      </w:r>
      <w:r>
        <w:rPr>
          <w:noProof w:val="0"/>
          <w:rtl/>
        </w:rPr>
        <w:t>–</w:t>
      </w:r>
      <w:r>
        <w:rPr>
          <w:rFonts w:hint="cs"/>
          <w:noProof w:val="0"/>
          <w:rtl/>
        </w:rPr>
        <w:t xml:space="preserve"> לא בוררה עד תום שאלת המשך השימוש שלו בחומרים משני תודעה והשפעתם על התנהגותו. </w:t>
      </w:r>
    </w:p>
    <w:p w14:paraId="45B7BCCA" w14:textId="77777777" w:rsidR="00CA1C9B" w:rsidRDefault="00CA1C9B" w:rsidP="00CA1C9B">
      <w:pPr>
        <w:spacing w:line="360" w:lineRule="auto"/>
        <w:jc w:val="both"/>
        <w:rPr>
          <w:noProof w:val="0"/>
          <w:rtl/>
        </w:rPr>
      </w:pPr>
    </w:p>
    <w:p w14:paraId="34D2733D" w14:textId="77777777" w:rsidR="00CA1C9B" w:rsidRDefault="00CA1C9B" w:rsidP="00CA1C9B">
      <w:pPr>
        <w:spacing w:line="360" w:lineRule="auto"/>
        <w:jc w:val="both"/>
        <w:rPr>
          <w:noProof w:val="0"/>
          <w:rtl/>
        </w:rPr>
      </w:pPr>
      <w:r>
        <w:rPr>
          <w:rFonts w:hint="cs"/>
          <w:noProof w:val="0"/>
          <w:rtl/>
        </w:rPr>
        <w:t xml:space="preserve">טענת ההגנה בנוגע לכך, שהשתלבותו המחודשת של הנאשם בעסק המשפחתי מהווה חלק משיקומו ומכל מקום המסגרת התעסוקתית "שומרת" על הנאשם </w:t>
      </w:r>
      <w:r>
        <w:rPr>
          <w:noProof w:val="0"/>
          <w:rtl/>
        </w:rPr>
        <w:t>–</w:t>
      </w:r>
      <w:r>
        <w:rPr>
          <w:rFonts w:hint="cs"/>
          <w:noProof w:val="0"/>
          <w:rtl/>
        </w:rPr>
        <w:t xml:space="preserve"> לא תוכל לעמוד כאשר הנאשם עבר העבירה נושא כתב האישום בהיותו בעבודה, באותו המקום ממש.</w:t>
      </w:r>
    </w:p>
    <w:p w14:paraId="089BCD8B" w14:textId="77777777" w:rsidR="00CA1C9B" w:rsidRDefault="00CA1C9B" w:rsidP="00CA1C9B">
      <w:pPr>
        <w:spacing w:line="360" w:lineRule="auto"/>
        <w:jc w:val="both"/>
        <w:rPr>
          <w:noProof w:val="0"/>
          <w:rtl/>
        </w:rPr>
      </w:pPr>
    </w:p>
    <w:p w14:paraId="5C2913ED" w14:textId="77777777" w:rsidR="00CA1C9B" w:rsidRDefault="00CA1C9B" w:rsidP="00CA1C9B">
      <w:pPr>
        <w:spacing w:line="360" w:lineRule="auto"/>
        <w:jc w:val="both"/>
        <w:rPr>
          <w:noProof w:val="0"/>
          <w:rtl/>
        </w:rPr>
      </w:pPr>
      <w:r>
        <w:rPr>
          <w:rFonts w:hint="cs"/>
          <w:noProof w:val="0"/>
          <w:rtl/>
        </w:rPr>
        <w:t xml:space="preserve">לזכות הנאשם, תילקח הודאתו באשמה, אשר, במקרה דנן, היה בה כדי לחסוך מנפגע העבירה את העמדתו על דוכן העדים, על כל המשתמע מכך, בשים לב להתרשמות המפקחת על נפגעי העבירה בתסקיר שהוגש. </w:t>
      </w:r>
    </w:p>
    <w:p w14:paraId="2EEE6169" w14:textId="77777777" w:rsidR="00CA1C9B" w:rsidRDefault="00CA1C9B" w:rsidP="00CA1C9B">
      <w:pPr>
        <w:spacing w:line="360" w:lineRule="auto"/>
        <w:jc w:val="both"/>
        <w:rPr>
          <w:noProof w:val="0"/>
          <w:rtl/>
        </w:rPr>
      </w:pPr>
    </w:p>
    <w:p w14:paraId="0A1BCBB8" w14:textId="77777777" w:rsidR="00CA1C9B" w:rsidRDefault="00CA1C9B" w:rsidP="00CA1C9B">
      <w:pPr>
        <w:spacing w:line="360" w:lineRule="auto"/>
        <w:jc w:val="both"/>
        <w:rPr>
          <w:noProof w:val="0"/>
          <w:rtl/>
        </w:rPr>
      </w:pPr>
      <w:r>
        <w:rPr>
          <w:rFonts w:hint="cs"/>
          <w:noProof w:val="0"/>
          <w:rtl/>
        </w:rPr>
        <w:t>עוד תילקח לזכותו נכונותו לפצות את נפגע העבירה.</w:t>
      </w:r>
    </w:p>
    <w:p w14:paraId="67630BC3" w14:textId="77777777" w:rsidR="00CA1C9B" w:rsidRDefault="00CA1C9B" w:rsidP="00CA1C9B">
      <w:pPr>
        <w:spacing w:line="360" w:lineRule="auto"/>
        <w:jc w:val="both"/>
        <w:rPr>
          <w:noProof w:val="0"/>
          <w:rtl/>
        </w:rPr>
      </w:pPr>
    </w:p>
    <w:p w14:paraId="5DC72156" w14:textId="77777777" w:rsidR="00CA1C9B" w:rsidRDefault="00CA1C9B" w:rsidP="00CA1C9B">
      <w:pPr>
        <w:spacing w:line="360" w:lineRule="auto"/>
        <w:jc w:val="both"/>
        <w:rPr>
          <w:noProof w:val="0"/>
          <w:rtl/>
        </w:rPr>
      </w:pPr>
      <w:r>
        <w:rPr>
          <w:rFonts w:hint="cs"/>
          <w:noProof w:val="0"/>
          <w:rtl/>
        </w:rPr>
        <w:t>עוד ייקח בית המשפט בחשבון את תקופת מעצרו של הנאשם ואת התקופה בה שהה בתנאים מגבילים.</w:t>
      </w:r>
    </w:p>
    <w:p w14:paraId="3B56D6DB" w14:textId="77777777" w:rsidR="00CA1C9B" w:rsidRDefault="00CA1C9B" w:rsidP="00CA1C9B">
      <w:pPr>
        <w:spacing w:line="360" w:lineRule="auto"/>
        <w:jc w:val="both"/>
        <w:rPr>
          <w:noProof w:val="0"/>
          <w:rtl/>
        </w:rPr>
      </w:pPr>
    </w:p>
    <w:p w14:paraId="0D7D57A5" w14:textId="77777777" w:rsidR="00CA1C9B" w:rsidRDefault="00CA1C9B" w:rsidP="00CA1C9B">
      <w:pPr>
        <w:spacing w:line="360" w:lineRule="auto"/>
        <w:jc w:val="both"/>
        <w:rPr>
          <w:noProof w:val="0"/>
          <w:rtl/>
        </w:rPr>
      </w:pPr>
      <w:r>
        <w:rPr>
          <w:rFonts w:hint="cs"/>
          <w:noProof w:val="0"/>
          <w:rtl/>
        </w:rPr>
        <w:t xml:space="preserve">בסופו של דבר </w:t>
      </w:r>
      <w:r>
        <w:rPr>
          <w:noProof w:val="0"/>
          <w:rtl/>
        </w:rPr>
        <w:t>–</w:t>
      </w:r>
      <w:r>
        <w:rPr>
          <w:rFonts w:hint="cs"/>
          <w:noProof w:val="0"/>
          <w:rtl/>
        </w:rPr>
        <w:t xml:space="preserve"> נוטה הכף לכיוון השתת עונש מאסר בפועל, בכליאה ממשית, על הצד הנמוך של המתחם אך לא ברף הנמוך ממש, שיהיה בו כדי להמחיש את המחיר בגין התנהגותו כמתואר.</w:t>
      </w:r>
    </w:p>
    <w:p w14:paraId="1C97FE61" w14:textId="77777777" w:rsidR="00CA1C9B" w:rsidRDefault="00CA1C9B" w:rsidP="00CA1C9B">
      <w:pPr>
        <w:spacing w:line="360" w:lineRule="auto"/>
        <w:jc w:val="both"/>
        <w:rPr>
          <w:noProof w:val="0"/>
          <w:rtl/>
        </w:rPr>
      </w:pPr>
    </w:p>
    <w:p w14:paraId="0E0693E0" w14:textId="77777777" w:rsidR="00CA1C9B" w:rsidRDefault="00CA1C9B" w:rsidP="00CA1C9B">
      <w:pPr>
        <w:spacing w:line="360" w:lineRule="auto"/>
        <w:jc w:val="both"/>
        <w:rPr>
          <w:noProof w:val="0"/>
          <w:rtl/>
        </w:rPr>
      </w:pPr>
      <w:r>
        <w:rPr>
          <w:rFonts w:hint="cs"/>
          <w:noProof w:val="0"/>
          <w:rtl/>
        </w:rPr>
        <w:t>עוד יושת על הנאשם עונשים מרתיעים צופים פני עתיד וכן יחויב בפיצוי לנפגע העבירה.</w:t>
      </w:r>
    </w:p>
    <w:p w14:paraId="2D63BA8A" w14:textId="77777777" w:rsidR="00CA1C9B" w:rsidRDefault="00CA1C9B" w:rsidP="00CA1C9B">
      <w:pPr>
        <w:spacing w:line="360" w:lineRule="auto"/>
        <w:jc w:val="both"/>
        <w:rPr>
          <w:noProof w:val="0"/>
          <w:rtl/>
        </w:rPr>
      </w:pPr>
    </w:p>
    <w:p w14:paraId="65F80284" w14:textId="77777777" w:rsidR="00CA1C9B" w:rsidRPr="00193D41" w:rsidRDefault="00CA1C9B" w:rsidP="00CA1C9B">
      <w:pPr>
        <w:spacing w:line="360" w:lineRule="auto"/>
        <w:jc w:val="both"/>
        <w:rPr>
          <w:noProof w:val="0"/>
          <w:rtl/>
        </w:rPr>
      </w:pPr>
    </w:p>
    <w:p w14:paraId="76857F9B" w14:textId="77777777" w:rsidR="00CA1C9B" w:rsidRPr="00193D41" w:rsidRDefault="00CA1C9B" w:rsidP="00CA1C9B">
      <w:pPr>
        <w:spacing w:line="360" w:lineRule="auto"/>
        <w:jc w:val="both"/>
        <w:rPr>
          <w:b/>
          <w:bCs/>
          <w:noProof w:val="0"/>
          <w:rtl/>
        </w:rPr>
      </w:pPr>
      <w:r w:rsidRPr="00193D41">
        <w:rPr>
          <w:b/>
          <w:bCs/>
          <w:noProof w:val="0"/>
          <w:rtl/>
        </w:rPr>
        <w:t>סיכום</w:t>
      </w:r>
    </w:p>
    <w:p w14:paraId="7A7D4E99" w14:textId="77777777" w:rsidR="00CA1C9B" w:rsidRPr="00193D41" w:rsidRDefault="00CA1C9B" w:rsidP="00CA1C9B">
      <w:pPr>
        <w:spacing w:line="360" w:lineRule="auto"/>
        <w:jc w:val="both"/>
        <w:rPr>
          <w:b/>
          <w:bCs/>
          <w:noProof w:val="0"/>
          <w:rtl/>
        </w:rPr>
      </w:pPr>
    </w:p>
    <w:p w14:paraId="343D3600" w14:textId="77777777" w:rsidR="00CA1C9B" w:rsidRPr="00193D41" w:rsidRDefault="00CA1C9B" w:rsidP="00CA1C9B">
      <w:pPr>
        <w:spacing w:line="360" w:lineRule="auto"/>
        <w:jc w:val="both"/>
        <w:rPr>
          <w:noProof w:val="0"/>
          <w:rtl/>
        </w:rPr>
      </w:pPr>
      <w:r w:rsidRPr="00193D41">
        <w:rPr>
          <w:noProof w:val="0"/>
          <w:rtl/>
        </w:rPr>
        <w:t xml:space="preserve">לאחר שבית המשפט שמע טענות הצדדים על פה; עיין </w:t>
      </w:r>
      <w:r>
        <w:rPr>
          <w:rFonts w:hint="cs"/>
          <w:noProof w:val="0"/>
          <w:rtl/>
        </w:rPr>
        <w:t>בגיליון ההרשעות הקודמות</w:t>
      </w:r>
      <w:r w:rsidRPr="00193D41">
        <w:rPr>
          <w:noProof w:val="0"/>
          <w:rtl/>
        </w:rPr>
        <w:t>; עיין בפסיקה; ולאחר ששמע דברו האחרון של הנאשם; גוזר על הנאשם את העונשים כדלקמן:</w:t>
      </w:r>
    </w:p>
    <w:p w14:paraId="2B4D5F90" w14:textId="77777777" w:rsidR="00CA1C9B" w:rsidRPr="00193D41" w:rsidRDefault="00CA1C9B" w:rsidP="00CA1C9B">
      <w:pPr>
        <w:spacing w:line="360" w:lineRule="auto"/>
        <w:jc w:val="both"/>
        <w:rPr>
          <w:noProof w:val="0"/>
          <w:rtl/>
        </w:rPr>
      </w:pPr>
    </w:p>
    <w:p w14:paraId="5257EEAE" w14:textId="77777777" w:rsidR="00CA1C9B" w:rsidRPr="00193D41" w:rsidRDefault="00CA1C9B" w:rsidP="00CA1C9B">
      <w:pPr>
        <w:numPr>
          <w:ilvl w:val="0"/>
          <w:numId w:val="2"/>
        </w:numPr>
        <w:spacing w:line="360" w:lineRule="auto"/>
        <w:contextualSpacing/>
        <w:rPr>
          <w:rFonts w:ascii="Calibri" w:hAnsi="Calibri"/>
          <w:noProof w:val="0"/>
        </w:rPr>
      </w:pPr>
      <w:r>
        <w:rPr>
          <w:rFonts w:ascii="Calibri" w:hAnsi="Calibri" w:hint="cs"/>
          <w:noProof w:val="0"/>
          <w:rtl/>
        </w:rPr>
        <w:t>20</w:t>
      </w:r>
      <w:r>
        <w:rPr>
          <w:rFonts w:ascii="Calibri" w:hAnsi="Calibri"/>
          <w:noProof w:val="0"/>
          <w:rtl/>
        </w:rPr>
        <w:t xml:space="preserve"> חודשי מאסר בפועל</w:t>
      </w:r>
      <w:r>
        <w:rPr>
          <w:rFonts w:ascii="Calibri" w:hAnsi="Calibri" w:hint="cs"/>
          <w:noProof w:val="0"/>
          <w:rtl/>
        </w:rPr>
        <w:t xml:space="preserve">, </w:t>
      </w:r>
      <w:r w:rsidRPr="00193D41">
        <w:rPr>
          <w:rFonts w:ascii="Calibri" w:hAnsi="Calibri"/>
          <w:noProof w:val="0"/>
          <w:rtl/>
        </w:rPr>
        <w:t>בניכוי ימי מעצרו על פי רישומי שב"ס;</w:t>
      </w:r>
    </w:p>
    <w:p w14:paraId="126C5B1C" w14:textId="77777777" w:rsidR="00CA1C9B" w:rsidRDefault="00CA1C9B" w:rsidP="00CA1C9B">
      <w:pPr>
        <w:numPr>
          <w:ilvl w:val="0"/>
          <w:numId w:val="2"/>
        </w:numPr>
        <w:spacing w:line="360" w:lineRule="auto"/>
        <w:contextualSpacing/>
        <w:rPr>
          <w:rFonts w:ascii="Calibri" w:hAnsi="Calibri"/>
          <w:noProof w:val="0"/>
        </w:rPr>
      </w:pPr>
      <w:r>
        <w:rPr>
          <w:rFonts w:ascii="Calibri" w:hAnsi="Calibri" w:hint="cs"/>
          <w:noProof w:val="0"/>
          <w:rtl/>
        </w:rPr>
        <w:t>12</w:t>
      </w:r>
      <w:r w:rsidRPr="00193D41">
        <w:rPr>
          <w:rFonts w:ascii="Calibri" w:hAnsi="Calibri"/>
          <w:noProof w:val="0"/>
          <w:rtl/>
        </w:rPr>
        <w:t xml:space="preserve"> חודשים מאסר על תנאי למשך שלוש שנים מיום שחרורו ממאסר, והתנאי – שהנאשם לא יעבור עבירה בניגוד ל</w:t>
      </w:r>
      <w:hyperlink r:id="rId36" w:history="1">
        <w:r w:rsidR="0067280B" w:rsidRPr="0067280B">
          <w:rPr>
            <w:rFonts w:ascii="Calibri" w:hAnsi="Calibri" w:hint="eastAsia"/>
            <w:noProof w:val="0"/>
            <w:color w:val="0000FF"/>
            <w:u w:val="single"/>
            <w:rtl/>
          </w:rPr>
          <w:t>חוק</w:t>
        </w:r>
        <w:r w:rsidR="0067280B" w:rsidRPr="0067280B">
          <w:rPr>
            <w:rFonts w:ascii="Calibri" w:hAnsi="Calibri"/>
            <w:noProof w:val="0"/>
            <w:color w:val="0000FF"/>
            <w:u w:val="single"/>
            <w:rtl/>
          </w:rPr>
          <w:t xml:space="preserve"> </w:t>
        </w:r>
        <w:r w:rsidR="0067280B" w:rsidRPr="0067280B">
          <w:rPr>
            <w:rFonts w:ascii="Calibri" w:hAnsi="Calibri" w:hint="eastAsia"/>
            <w:noProof w:val="0"/>
            <w:color w:val="0000FF"/>
            <w:u w:val="single"/>
            <w:rtl/>
          </w:rPr>
          <w:t>העונשין</w:t>
        </w:r>
      </w:hyperlink>
      <w:r w:rsidRPr="00193D41">
        <w:rPr>
          <w:rFonts w:ascii="Calibri" w:hAnsi="Calibri"/>
          <w:noProof w:val="0"/>
          <w:rtl/>
        </w:rPr>
        <w:t xml:space="preserve">, תשל"ז – 1977, </w:t>
      </w:r>
      <w:r w:rsidRPr="0067280B">
        <w:rPr>
          <w:rFonts w:ascii="Calibri" w:hAnsi="Calibri"/>
          <w:noProof w:val="0"/>
          <w:color w:val="000000"/>
          <w:rtl/>
        </w:rPr>
        <w:t xml:space="preserve">פרק </w:t>
      </w:r>
      <w:hyperlink r:id="rId37" w:history="1">
        <w:r w:rsidR="00DC1EC1" w:rsidRPr="00DC1EC1">
          <w:rPr>
            <w:rStyle w:val="Hyperlink"/>
            <w:rFonts w:ascii="Calibri" w:hAnsi="Calibri"/>
            <w:noProof w:val="0"/>
            <w:color w:val="0000FF"/>
            <w:rtl/>
          </w:rPr>
          <w:t>י', סימנים א', ד' או ח'</w:t>
        </w:r>
      </w:hyperlink>
      <w:r>
        <w:rPr>
          <w:rFonts w:ascii="Calibri" w:hAnsi="Calibri" w:hint="cs"/>
          <w:noProof w:val="0"/>
          <w:rtl/>
        </w:rPr>
        <w:t>, שהיא מסוג פשע</w:t>
      </w:r>
      <w:r w:rsidRPr="00193D41">
        <w:rPr>
          <w:rFonts w:ascii="Calibri" w:hAnsi="Calibri"/>
          <w:noProof w:val="0"/>
          <w:rtl/>
        </w:rPr>
        <w:t>;</w:t>
      </w:r>
    </w:p>
    <w:p w14:paraId="61F0091A" w14:textId="77777777" w:rsidR="00CA1C9B" w:rsidRPr="00193D41" w:rsidRDefault="00CA1C9B" w:rsidP="00CA1C9B">
      <w:pPr>
        <w:numPr>
          <w:ilvl w:val="0"/>
          <w:numId w:val="2"/>
        </w:numPr>
        <w:spacing w:line="360" w:lineRule="auto"/>
        <w:contextualSpacing/>
        <w:rPr>
          <w:rFonts w:ascii="Calibri" w:hAnsi="Calibri"/>
          <w:noProof w:val="0"/>
        </w:rPr>
      </w:pPr>
      <w:r>
        <w:rPr>
          <w:rFonts w:ascii="Calibri" w:hAnsi="Calibri" w:hint="cs"/>
          <w:noProof w:val="0"/>
          <w:rtl/>
        </w:rPr>
        <w:t>6</w:t>
      </w:r>
      <w:r w:rsidRPr="00193D41">
        <w:rPr>
          <w:rFonts w:ascii="Calibri" w:hAnsi="Calibri"/>
          <w:noProof w:val="0"/>
          <w:rtl/>
        </w:rPr>
        <w:t xml:space="preserve"> חודשים מאסר על תנאי למשך שלוש שנים מיום שחרורו ממאסר, והתנאי – שהנאשם לא יעבור עבירה בניגוד ל</w:t>
      </w:r>
      <w:hyperlink r:id="rId38" w:history="1">
        <w:r w:rsidR="0067280B" w:rsidRPr="0067280B">
          <w:rPr>
            <w:rFonts w:ascii="Calibri" w:hAnsi="Calibri" w:hint="eastAsia"/>
            <w:noProof w:val="0"/>
            <w:color w:val="0000FF"/>
            <w:u w:val="single"/>
            <w:rtl/>
          </w:rPr>
          <w:t>חוק</w:t>
        </w:r>
        <w:r w:rsidR="0067280B" w:rsidRPr="0067280B">
          <w:rPr>
            <w:rFonts w:ascii="Calibri" w:hAnsi="Calibri"/>
            <w:noProof w:val="0"/>
            <w:color w:val="0000FF"/>
            <w:u w:val="single"/>
            <w:rtl/>
          </w:rPr>
          <w:t xml:space="preserve"> </w:t>
        </w:r>
        <w:r w:rsidR="0067280B" w:rsidRPr="0067280B">
          <w:rPr>
            <w:rFonts w:ascii="Calibri" w:hAnsi="Calibri" w:hint="eastAsia"/>
            <w:noProof w:val="0"/>
            <w:color w:val="0000FF"/>
            <w:u w:val="single"/>
            <w:rtl/>
          </w:rPr>
          <w:t>העונשין</w:t>
        </w:r>
      </w:hyperlink>
      <w:r w:rsidRPr="00193D41">
        <w:rPr>
          <w:rFonts w:ascii="Calibri" w:hAnsi="Calibri"/>
          <w:noProof w:val="0"/>
          <w:rtl/>
        </w:rPr>
        <w:t xml:space="preserve">, תשל"ז – 1977, </w:t>
      </w:r>
      <w:r w:rsidRPr="0067280B">
        <w:rPr>
          <w:rFonts w:ascii="Calibri" w:hAnsi="Calibri"/>
          <w:noProof w:val="0"/>
          <w:color w:val="000000"/>
          <w:rtl/>
        </w:rPr>
        <w:t>פרק י'</w:t>
      </w:r>
      <w:r w:rsidRPr="00193D41">
        <w:rPr>
          <w:rFonts w:ascii="Calibri" w:hAnsi="Calibri"/>
          <w:noProof w:val="0"/>
          <w:rtl/>
        </w:rPr>
        <w:t>, סימנים א', ד' או ח'</w:t>
      </w:r>
      <w:r>
        <w:rPr>
          <w:rFonts w:ascii="Calibri" w:hAnsi="Calibri" w:hint="cs"/>
          <w:noProof w:val="0"/>
          <w:rtl/>
        </w:rPr>
        <w:t>, שהיא מסוג עוון</w:t>
      </w:r>
      <w:r w:rsidRPr="00193D41">
        <w:rPr>
          <w:rFonts w:ascii="Calibri" w:hAnsi="Calibri"/>
          <w:noProof w:val="0"/>
          <w:rtl/>
        </w:rPr>
        <w:t>;</w:t>
      </w:r>
    </w:p>
    <w:p w14:paraId="509A12AB" w14:textId="77777777" w:rsidR="00CA1C9B" w:rsidRPr="009807A9" w:rsidRDefault="00CA1C9B" w:rsidP="00CA1C9B">
      <w:pPr>
        <w:numPr>
          <w:ilvl w:val="0"/>
          <w:numId w:val="2"/>
        </w:numPr>
        <w:spacing w:line="360" w:lineRule="auto"/>
        <w:contextualSpacing/>
        <w:rPr>
          <w:rFonts w:ascii="Calibri" w:hAnsi="Calibri"/>
          <w:noProof w:val="0"/>
        </w:rPr>
      </w:pPr>
      <w:r w:rsidRPr="00193D41">
        <w:rPr>
          <w:rFonts w:ascii="Calibri" w:hAnsi="Calibri"/>
          <w:noProof w:val="0"/>
          <w:rtl/>
        </w:rPr>
        <w:t xml:space="preserve">פיצוי לנפגע העבירה, ע.ת.1 בכתב האישום בסך </w:t>
      </w:r>
      <w:r>
        <w:rPr>
          <w:rFonts w:ascii="Calibri" w:hAnsi="Calibri" w:hint="cs"/>
          <w:noProof w:val="0"/>
          <w:rtl/>
        </w:rPr>
        <w:t>10</w:t>
      </w:r>
      <w:r w:rsidRPr="00193D41">
        <w:rPr>
          <w:rFonts w:ascii="Calibri" w:hAnsi="Calibri"/>
          <w:noProof w:val="0"/>
          <w:rtl/>
        </w:rPr>
        <w:t xml:space="preserve">,000 ₪. הפיצוי ישולם עד ליום </w:t>
      </w:r>
      <w:r>
        <w:rPr>
          <w:rFonts w:ascii="Calibri" w:hAnsi="Calibri" w:hint="cs"/>
          <w:noProof w:val="0"/>
          <w:rtl/>
        </w:rPr>
        <w:t>15</w:t>
      </w:r>
      <w:r w:rsidRPr="00193D41">
        <w:rPr>
          <w:rFonts w:ascii="Calibri" w:hAnsi="Calibri"/>
          <w:noProof w:val="0"/>
          <w:rtl/>
        </w:rPr>
        <w:t>.05.2</w:t>
      </w:r>
      <w:r>
        <w:rPr>
          <w:rFonts w:ascii="Calibri" w:hAnsi="Calibri" w:hint="cs"/>
          <w:noProof w:val="0"/>
          <w:rtl/>
        </w:rPr>
        <w:t>5. התביעה תמציא למזכירות בית המשפט, בתוך 7 ימים מהיום, פרטי הנפגע לצורך העברת הפיצוי.</w:t>
      </w:r>
    </w:p>
    <w:p w14:paraId="41CB1D5C" w14:textId="77777777" w:rsidR="00CA1C9B" w:rsidRPr="00193D41" w:rsidRDefault="00CA1C9B" w:rsidP="00CA1C9B">
      <w:pPr>
        <w:spacing w:line="360" w:lineRule="auto"/>
        <w:jc w:val="both"/>
        <w:rPr>
          <w:rFonts w:ascii="Arial" w:hAnsi="Arial"/>
          <w:noProof w:val="0"/>
        </w:rPr>
      </w:pPr>
    </w:p>
    <w:p w14:paraId="28323A33" w14:textId="77777777" w:rsidR="00CA1C9B" w:rsidRPr="00193D41" w:rsidRDefault="00CA1C9B" w:rsidP="00CA1C9B">
      <w:pPr>
        <w:spacing w:after="160" w:line="276" w:lineRule="auto"/>
        <w:rPr>
          <w:rFonts w:ascii="Calibri" w:hAnsi="Calibri"/>
          <w:noProof w:val="0"/>
          <w:rtl/>
        </w:rPr>
      </w:pPr>
      <w:r w:rsidRPr="00193D41">
        <w:rPr>
          <w:rFonts w:ascii="Calibri" w:hAnsi="Calibri"/>
          <w:noProof w:val="0"/>
          <w:rtl/>
        </w:rPr>
        <w:t>ע</w:t>
      </w:r>
      <w:r>
        <w:rPr>
          <w:rFonts w:ascii="Calibri" w:hAnsi="Calibri" w:hint="cs"/>
          <w:noProof w:val="0"/>
          <w:rtl/>
        </w:rPr>
        <w:t>ות</w:t>
      </w:r>
      <w:r w:rsidRPr="00193D41">
        <w:rPr>
          <w:rFonts w:ascii="Calibri" w:hAnsi="Calibri"/>
          <w:noProof w:val="0"/>
          <w:rtl/>
        </w:rPr>
        <w:t>ק גזר ה</w:t>
      </w:r>
      <w:r>
        <w:rPr>
          <w:rFonts w:ascii="Calibri" w:hAnsi="Calibri"/>
          <w:noProof w:val="0"/>
          <w:rtl/>
        </w:rPr>
        <w:t>דין יועבר לשירות המבחן למבוגרים</w:t>
      </w:r>
      <w:r>
        <w:rPr>
          <w:rFonts w:ascii="Calibri" w:hAnsi="Calibri" w:hint="cs"/>
          <w:noProof w:val="0"/>
          <w:rtl/>
        </w:rPr>
        <w:t xml:space="preserve"> ולמפקחת על נפגעי עבירה.</w:t>
      </w:r>
    </w:p>
    <w:p w14:paraId="29EF7FF5" w14:textId="77777777" w:rsidR="00CA1C9B" w:rsidRDefault="00CA1C9B" w:rsidP="00CA1C9B">
      <w:pPr>
        <w:spacing w:after="160" w:line="276" w:lineRule="auto"/>
        <w:rPr>
          <w:rFonts w:ascii="Calibri" w:hAnsi="Calibri"/>
          <w:noProof w:val="0"/>
          <w:rtl/>
        </w:rPr>
      </w:pPr>
      <w:r w:rsidRPr="00193D41">
        <w:rPr>
          <w:rFonts w:ascii="Calibri" w:hAnsi="Calibri"/>
          <w:noProof w:val="0"/>
          <w:rtl/>
        </w:rPr>
        <w:t>הודעה זכות הערעור.</w:t>
      </w:r>
    </w:p>
    <w:p w14:paraId="640CB424" w14:textId="77777777" w:rsidR="00CA1C9B" w:rsidRPr="00193D41" w:rsidRDefault="00CA1C9B" w:rsidP="00CA1C9B">
      <w:pPr>
        <w:spacing w:after="160" w:line="276" w:lineRule="auto"/>
        <w:rPr>
          <w:rFonts w:ascii="Calibri" w:hAnsi="Calibri"/>
          <w:noProof w:val="0"/>
          <w:rtl/>
        </w:rPr>
      </w:pPr>
    </w:p>
    <w:p w14:paraId="5667B69F" w14:textId="77777777" w:rsidR="00CA1C9B" w:rsidRPr="00193D41" w:rsidRDefault="0067280B" w:rsidP="00CA1C9B">
      <w:pPr>
        <w:spacing w:line="360" w:lineRule="auto"/>
        <w:jc w:val="both"/>
        <w:rPr>
          <w:rFonts w:ascii="Arial" w:hAnsi="Arial"/>
          <w:noProof w:val="0"/>
          <w:rtl/>
        </w:rPr>
      </w:pPr>
      <w:r w:rsidRPr="0067280B">
        <w:rPr>
          <w:noProof w:val="0"/>
          <w:color w:val="FFFFFF"/>
          <w:sz w:val="2"/>
          <w:szCs w:val="2"/>
          <w:rtl/>
        </w:rPr>
        <w:t>5129371</w:t>
      </w:r>
      <w:r w:rsidR="00CA1C9B" w:rsidRPr="00193D41">
        <w:rPr>
          <w:noProof w:val="0"/>
          <w:rtl/>
        </w:rPr>
        <w:t>הנאשם יתייצב לריצוי עונשו כעת.</w:t>
      </w:r>
    </w:p>
    <w:p w14:paraId="63D5E107" w14:textId="77777777" w:rsidR="00CA1C9B" w:rsidRPr="0067280B" w:rsidRDefault="0067280B" w:rsidP="00CA1C9B">
      <w:pPr>
        <w:spacing w:line="360" w:lineRule="auto"/>
        <w:jc w:val="both"/>
        <w:rPr>
          <w:rFonts w:ascii="Arial" w:hAnsi="Arial"/>
          <w:noProof w:val="0"/>
          <w:color w:val="FFFFFF"/>
          <w:sz w:val="2"/>
          <w:szCs w:val="2"/>
          <w:rtl/>
        </w:rPr>
      </w:pPr>
      <w:r w:rsidRPr="0067280B">
        <w:rPr>
          <w:rFonts w:ascii="Arial" w:hAnsi="Arial"/>
          <w:noProof w:val="0"/>
          <w:color w:val="FFFFFF"/>
          <w:sz w:val="2"/>
          <w:szCs w:val="2"/>
          <w:rtl/>
        </w:rPr>
        <w:t>54678313</w:t>
      </w:r>
    </w:p>
    <w:p w14:paraId="1F26BFA2" w14:textId="77777777" w:rsidR="00CA1C9B" w:rsidRDefault="00CA1C9B" w:rsidP="00CA1C9B">
      <w:pPr>
        <w:spacing w:line="360" w:lineRule="auto"/>
        <w:jc w:val="both"/>
        <w:rPr>
          <w:rFonts w:ascii="Arial" w:hAnsi="Arial"/>
          <w:noProof w:val="0"/>
          <w:rtl/>
        </w:rPr>
      </w:pPr>
    </w:p>
    <w:p w14:paraId="2C926785" w14:textId="77777777" w:rsidR="00CA1C9B" w:rsidRDefault="00CA1C9B" w:rsidP="00CA1C9B">
      <w:pPr>
        <w:spacing w:line="360" w:lineRule="auto"/>
        <w:jc w:val="both"/>
        <w:rPr>
          <w:rFonts w:ascii="Arial" w:hAnsi="Arial"/>
          <w:noProof w:val="0"/>
          <w:rtl/>
        </w:rPr>
      </w:pPr>
    </w:p>
    <w:p w14:paraId="079A1F9A" w14:textId="77777777" w:rsidR="00CA1C9B" w:rsidRDefault="0067280B" w:rsidP="00CA1C9B">
      <w:pPr>
        <w:spacing w:line="360" w:lineRule="auto"/>
        <w:jc w:val="both"/>
        <w:rPr>
          <w:rFonts w:ascii="Arial" w:hAnsi="Arial"/>
          <w:noProof w:val="0"/>
          <w:rtl/>
        </w:rPr>
      </w:pPr>
      <w:bookmarkStart w:id="8" w:name="Nitan"/>
      <w:r>
        <w:rPr>
          <w:rFonts w:ascii="Arial" w:hAnsi="Arial"/>
          <w:noProof w:val="0"/>
          <w:rtl/>
        </w:rPr>
        <w:t xml:space="preserve">ניתנה היום, י"ח שבט תשפ"ה, 16 פברואר 2025, במעמד הצדדים. </w:t>
      </w:r>
      <w:bookmarkEnd w:id="8"/>
    </w:p>
    <w:p w14:paraId="3EBB18F5" w14:textId="77777777" w:rsidR="0067280B" w:rsidRPr="0067280B" w:rsidRDefault="00DC1EC1" w:rsidP="0067280B">
      <w:pPr>
        <w:keepNext/>
        <w:rPr>
          <w:rFonts w:ascii="David" w:hAnsi="David"/>
          <w:color w:val="000000"/>
          <w:sz w:val="22"/>
          <w:szCs w:val="22"/>
          <w:rtl/>
        </w:rPr>
      </w:pPr>
      <w:r w:rsidRPr="00DC1EC1">
        <w:rPr>
          <w:rFonts w:ascii="Arial" w:hAnsi="Arial"/>
          <w:noProof w:val="0"/>
          <w:color w:val="FFFFFF"/>
          <w:sz w:val="2"/>
          <w:szCs w:val="2"/>
          <w:rtl/>
        </w:rPr>
        <w:t>5129371</w:t>
      </w:r>
    </w:p>
    <w:p w14:paraId="2AB949D2" w14:textId="77777777" w:rsidR="0067280B" w:rsidRDefault="0067280B" w:rsidP="0067280B">
      <w:pPr>
        <w:rPr>
          <w:rtl/>
        </w:rPr>
      </w:pPr>
    </w:p>
    <w:p w14:paraId="2151B676" w14:textId="77777777" w:rsidR="0067280B" w:rsidRDefault="0067280B" w:rsidP="0067280B">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6D1970C" w14:textId="77777777" w:rsidR="00DC1EC1" w:rsidRPr="00DC1EC1" w:rsidRDefault="00DC1EC1" w:rsidP="00DC1EC1">
      <w:pPr>
        <w:keepNext/>
        <w:rPr>
          <w:rFonts w:ascii="David" w:hAnsi="David" w:hint="cs"/>
          <w:color w:val="000000"/>
          <w:sz w:val="22"/>
          <w:szCs w:val="22"/>
          <w:rtl/>
        </w:rPr>
      </w:pPr>
    </w:p>
    <w:p w14:paraId="419C7A75" w14:textId="77777777" w:rsidR="00DC1EC1" w:rsidRPr="00DC1EC1" w:rsidRDefault="00DC1EC1" w:rsidP="00DC1EC1">
      <w:pPr>
        <w:keepNext/>
        <w:rPr>
          <w:rFonts w:ascii="David" w:hAnsi="David"/>
          <w:color w:val="000000"/>
          <w:sz w:val="22"/>
          <w:szCs w:val="22"/>
          <w:rtl/>
        </w:rPr>
      </w:pPr>
      <w:r w:rsidRPr="00DC1EC1">
        <w:rPr>
          <w:rFonts w:ascii="David" w:hAnsi="David"/>
          <w:color w:val="000000"/>
          <w:sz w:val="22"/>
          <w:szCs w:val="22"/>
          <w:rtl/>
        </w:rPr>
        <w:t>רון סולקין 54678313-/</w:t>
      </w:r>
    </w:p>
    <w:p w14:paraId="2B129ED7" w14:textId="77777777" w:rsidR="0067280B" w:rsidRPr="0067280B" w:rsidRDefault="00DC1EC1" w:rsidP="00DC1EC1">
      <w:pPr>
        <w:rPr>
          <w:rFonts w:hint="cs"/>
          <w:color w:val="0000FF"/>
          <w:u w:val="single"/>
        </w:rPr>
      </w:pPr>
      <w:r w:rsidRPr="00DC1EC1">
        <w:rPr>
          <w:color w:val="000000"/>
          <w:u w:val="single"/>
          <w:rtl/>
        </w:rPr>
        <w:t>נוסח מסמך זה כפוף לשינויי ניסוח ועריכה</w:t>
      </w:r>
    </w:p>
    <w:sectPr w:rsidR="0067280B" w:rsidRPr="0067280B" w:rsidSect="00DC1EC1">
      <w:headerReference w:type="even" r:id="rId40"/>
      <w:headerReference w:type="default" r:id="rId41"/>
      <w:footerReference w:type="even" r:id="rId42"/>
      <w:footerReference w:type="default" r:id="rId43"/>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2B882" w14:textId="77777777" w:rsidR="007A5F01" w:rsidRDefault="007A5F01" w:rsidP="00263D0C">
      <w:r>
        <w:separator/>
      </w:r>
    </w:p>
  </w:endnote>
  <w:endnote w:type="continuationSeparator" w:id="0">
    <w:p w14:paraId="576ACFCA" w14:textId="77777777" w:rsidR="007A5F01" w:rsidRDefault="007A5F01" w:rsidP="0026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B1D93" w14:textId="77777777" w:rsidR="00DC1EC1" w:rsidRDefault="00DC1EC1" w:rsidP="00DC1EC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w:t>
    </w:r>
    <w:r>
      <w:rPr>
        <w:rFonts w:ascii="FrankRuehl" w:hAnsi="FrankRuehl" w:cs="FrankRuehl"/>
        <w:rtl/>
      </w:rPr>
      <w:fldChar w:fldCharType="end"/>
    </w:r>
  </w:p>
  <w:p w14:paraId="415A8B0F" w14:textId="77777777" w:rsidR="0067280B" w:rsidRPr="00DC1EC1" w:rsidRDefault="00DC1EC1" w:rsidP="00DC1EC1">
    <w:pPr>
      <w:pStyle w:val="a5"/>
      <w:pBdr>
        <w:top w:val="single" w:sz="4" w:space="1" w:color="auto"/>
        <w:between w:val="single" w:sz="4" w:space="0" w:color="auto"/>
      </w:pBdr>
      <w:spacing w:after="60"/>
      <w:jc w:val="center"/>
      <w:rPr>
        <w:rFonts w:ascii="FrankRuehl" w:hAnsi="FrankRuehl" w:cs="FrankRuehl"/>
        <w:color w:val="000000"/>
      </w:rPr>
    </w:pPr>
    <w:r w:rsidRPr="00DC1E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FC98A" w14:textId="77777777" w:rsidR="00DC1EC1" w:rsidRDefault="00DC1EC1" w:rsidP="00DC1EC1">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rPr>
      <w:instrText>PAGE</w:instrText>
    </w:r>
    <w:r>
      <w:rPr>
        <w:rStyle w:val="a8"/>
        <w:rFonts w:ascii="FrankRuehl" w:hAnsi="FrankRuehl" w:cs="FrankRuehl"/>
        <w:rtl/>
      </w:rPr>
      <w:instrText xml:space="preserve">  \* </w:instrText>
    </w:r>
    <w:r>
      <w:rPr>
        <w:rStyle w:val="a8"/>
        <w:rFonts w:ascii="FrankRuehl" w:hAnsi="FrankRuehl" w:cs="FrankRuehl"/>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E4758">
      <w:rPr>
        <w:rStyle w:val="a8"/>
        <w:rFonts w:ascii="FrankRuehl" w:hAnsi="FrankRuehl" w:cs="FrankRuehl"/>
        <w:rtl/>
      </w:rPr>
      <w:t>1</w:t>
    </w:r>
    <w:r>
      <w:rPr>
        <w:rStyle w:val="a8"/>
        <w:rFonts w:ascii="FrankRuehl" w:hAnsi="FrankRuehl" w:cs="FrankRuehl"/>
        <w:rtl/>
      </w:rPr>
      <w:fldChar w:fldCharType="end"/>
    </w:r>
  </w:p>
  <w:p w14:paraId="4BE36183" w14:textId="77777777" w:rsidR="007A1E6B" w:rsidRPr="00DC1EC1" w:rsidRDefault="00DC1EC1" w:rsidP="00DC1EC1">
    <w:pPr>
      <w:pStyle w:val="a5"/>
      <w:pBdr>
        <w:top w:val="single" w:sz="4" w:space="1" w:color="auto"/>
        <w:between w:val="single" w:sz="4" w:space="0" w:color="auto"/>
      </w:pBdr>
      <w:spacing w:after="60"/>
      <w:jc w:val="center"/>
      <w:rPr>
        <w:rStyle w:val="a8"/>
        <w:rFonts w:ascii="FrankRuehl" w:hAnsi="FrankRuehl" w:cs="FrankRuehl"/>
        <w:color w:val="000000"/>
      </w:rPr>
    </w:pPr>
    <w:r w:rsidRPr="00DC1EC1">
      <w:rPr>
        <w:rStyle w:val="a8"/>
        <w:rFonts w:ascii="FrankRuehl" w:hAnsi="FrankRuehl" w:cs="FrankRuehl"/>
        <w:color w:val="000000"/>
      </w:rPr>
      <w:pict w14:anchorId="7C16C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0675A" w14:textId="77777777" w:rsidR="007A5F01" w:rsidRDefault="007A5F01" w:rsidP="00263D0C">
      <w:r>
        <w:separator/>
      </w:r>
    </w:p>
  </w:footnote>
  <w:footnote w:type="continuationSeparator" w:id="0">
    <w:p w14:paraId="59D77FA3" w14:textId="77777777" w:rsidR="007A5F01" w:rsidRDefault="007A5F01" w:rsidP="00263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E022B" w14:textId="77777777" w:rsidR="0067280B" w:rsidRPr="00DC1EC1" w:rsidRDefault="00DC1EC1" w:rsidP="00DC1EC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55717-02-24</w:t>
    </w:r>
    <w:r>
      <w:rPr>
        <w:rFonts w:ascii="David" w:hAnsi="David"/>
        <w:color w:val="000000"/>
        <w:sz w:val="22"/>
        <w:szCs w:val="22"/>
        <w:rtl/>
      </w:rPr>
      <w:tab/>
      <w:t xml:space="preserve"> מדינת ישראל נ' אשר אושרי בן שמעון דיין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8177D" w14:textId="77777777" w:rsidR="0067280B" w:rsidRPr="00DC1EC1" w:rsidRDefault="00DC1EC1" w:rsidP="00DC1EC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55717-02-24</w:t>
    </w:r>
    <w:r>
      <w:rPr>
        <w:rFonts w:ascii="David" w:hAnsi="David"/>
        <w:color w:val="000000"/>
        <w:sz w:val="22"/>
        <w:szCs w:val="22"/>
        <w:rtl/>
      </w:rPr>
      <w:tab/>
      <w:t xml:space="preserve"> מדינת ישראל נ' אשר אושרי בן שמעון דיין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52047"/>
    <w:multiLevelType w:val="hybridMultilevel"/>
    <w:tmpl w:val="038C6E1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 w15:restartNumberingAfterBreak="0">
    <w:nsid w:val="7D713D89"/>
    <w:multiLevelType w:val="hybridMultilevel"/>
    <w:tmpl w:val="074C2F18"/>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044011208">
    <w:abstractNumId w:val="0"/>
  </w:num>
  <w:num w:numId="2" w16cid:durableId="437979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1C9B"/>
    <w:rsid w:val="000E4758"/>
    <w:rsid w:val="00263D0C"/>
    <w:rsid w:val="00505B6C"/>
    <w:rsid w:val="0067280B"/>
    <w:rsid w:val="00795FDF"/>
    <w:rsid w:val="007A1E6B"/>
    <w:rsid w:val="007A5F01"/>
    <w:rsid w:val="00B92735"/>
    <w:rsid w:val="00CA1C9B"/>
    <w:rsid w:val="00DC1E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6127AE"/>
  <w15:chartTrackingRefBased/>
  <w15:docId w15:val="{C5C6F75B-BEFC-44FE-81D6-F1519BA6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1C9B"/>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1C9B"/>
    <w:pPr>
      <w:tabs>
        <w:tab w:val="center" w:pos="4153"/>
        <w:tab w:val="right" w:pos="8306"/>
      </w:tabs>
    </w:pPr>
  </w:style>
  <w:style w:type="character" w:customStyle="1" w:styleId="a4">
    <w:name w:val="כותרת עליונה תו"/>
    <w:link w:val="a3"/>
    <w:rsid w:val="00CA1C9B"/>
    <w:rPr>
      <w:rFonts w:ascii="Times New Roman" w:eastAsia="Times New Roman" w:hAnsi="Times New Roman" w:cs="David"/>
      <w:noProof/>
      <w:sz w:val="24"/>
      <w:szCs w:val="24"/>
    </w:rPr>
  </w:style>
  <w:style w:type="paragraph" w:styleId="a5">
    <w:name w:val="footer"/>
    <w:basedOn w:val="a"/>
    <w:link w:val="a6"/>
    <w:rsid w:val="00CA1C9B"/>
    <w:pPr>
      <w:tabs>
        <w:tab w:val="center" w:pos="4153"/>
        <w:tab w:val="right" w:pos="8306"/>
      </w:tabs>
    </w:pPr>
  </w:style>
  <w:style w:type="character" w:customStyle="1" w:styleId="a6">
    <w:name w:val="כותרת תחתונה תו"/>
    <w:link w:val="a5"/>
    <w:rsid w:val="00CA1C9B"/>
    <w:rPr>
      <w:rFonts w:ascii="Times New Roman" w:eastAsia="Times New Roman" w:hAnsi="Times New Roman" w:cs="David"/>
      <w:noProof/>
      <w:sz w:val="24"/>
      <w:szCs w:val="24"/>
    </w:rPr>
  </w:style>
  <w:style w:type="table" w:styleId="a7">
    <w:name w:val="Table Grid"/>
    <w:basedOn w:val="a1"/>
    <w:rsid w:val="00CA1C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A1C9B"/>
  </w:style>
  <w:style w:type="character" w:styleId="a9">
    <w:name w:val="line number"/>
    <w:rsid w:val="00CA1C9B"/>
  </w:style>
  <w:style w:type="character" w:styleId="Hyperlink">
    <w:name w:val="Hyperlink"/>
    <w:rsid w:val="0067280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hS"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037229"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3826317"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case/30468451" TargetMode="External"/><Relationship Id="rId2" Type="http://schemas.openxmlformats.org/officeDocument/2006/relationships/styles" Target="styles.xml"/><Relationship Id="rId16" Type="http://schemas.openxmlformats.org/officeDocument/2006/relationships/hyperlink" Target="http://www.nevo.co.il/law/70301/334" TargetMode="External"/><Relationship Id="rId29" Type="http://schemas.openxmlformats.org/officeDocument/2006/relationships/hyperlink" Target="http://www.nevo.co.il/case/187738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5.a.1" TargetMode="External"/><Relationship Id="rId24" Type="http://schemas.openxmlformats.org/officeDocument/2006/relationships/hyperlink" Target="http://www.nevo.co.il/case/5727429" TargetMode="External"/><Relationship Id="rId32" Type="http://schemas.openxmlformats.org/officeDocument/2006/relationships/hyperlink" Target="http://www.nevo.co.il/case/26897012" TargetMode="External"/><Relationship Id="rId37" Type="http://schemas.openxmlformats.org/officeDocument/2006/relationships/hyperlink" Target="http://www.nevo.co.il/law/70301/jCa;d;hS"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82052" TargetMode="External"/><Relationship Id="rId28" Type="http://schemas.openxmlformats.org/officeDocument/2006/relationships/hyperlink" Target="http://www.nevo.co.il/case/20000175"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334"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843807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 TargetMode="External"/><Relationship Id="rId14" Type="http://schemas.openxmlformats.org/officeDocument/2006/relationships/hyperlink" Target="http://www.nevo.co.il/law/70301/jCa" TargetMode="External"/><Relationship Id="rId22" Type="http://schemas.openxmlformats.org/officeDocument/2006/relationships/hyperlink" Target="http://www.nevo.co.il/case/6030667" TargetMode="External"/><Relationship Id="rId27" Type="http://schemas.openxmlformats.org/officeDocument/2006/relationships/hyperlink" Target="http://www.nevo.co.il/case/6085450" TargetMode="External"/><Relationship Id="rId30" Type="http://schemas.openxmlformats.org/officeDocument/2006/relationships/hyperlink" Target="http://www.nevo.co.il/case/26455712" TargetMode="External"/><Relationship Id="rId35" Type="http://schemas.openxmlformats.org/officeDocument/2006/relationships/hyperlink" Target="http://www.nevo.co.il/law/4216" TargetMode="External"/><Relationship Id="rId43"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d" TargetMode="External"/><Relationship Id="rId17" Type="http://schemas.openxmlformats.org/officeDocument/2006/relationships/hyperlink" Target="http://www.nevo.co.il/law/70301/335.a.1" TargetMode="External"/><Relationship Id="rId25" Type="http://schemas.openxmlformats.org/officeDocument/2006/relationships/hyperlink" Target="http://www.nevo.co.il/case/233349" TargetMode="External"/><Relationship Id="rId33" Type="http://schemas.openxmlformats.org/officeDocument/2006/relationships/hyperlink" Target="http://www.nevo.co.il/law/70301/40" TargetMode="External"/><Relationship Id="rId38" Type="http://schemas.openxmlformats.org/officeDocument/2006/relationships/hyperlink" Target="http://www.nevo.co.il/law/70301" TargetMode="External"/><Relationship Id="rId20" Type="http://schemas.openxmlformats.org/officeDocument/2006/relationships/hyperlink" Target="http://www.nevo.co.il/case/6142512"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3401</Words>
  <Characters>17006</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20367</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4522066</vt:i4>
      </vt:variant>
      <vt:variant>
        <vt:i4>90</vt:i4>
      </vt:variant>
      <vt:variant>
        <vt:i4>0</vt:i4>
      </vt:variant>
      <vt:variant>
        <vt:i4>5</vt:i4>
      </vt:variant>
      <vt:variant>
        <vt:lpwstr>http://www.nevo.co.il/law/70301/jCa;d;hS</vt:lpwstr>
      </vt:variant>
      <vt:variant>
        <vt:lpwstr/>
      </vt:variant>
      <vt:variant>
        <vt:i4>7995492</vt:i4>
      </vt:variant>
      <vt:variant>
        <vt:i4>87</vt:i4>
      </vt:variant>
      <vt:variant>
        <vt:i4>0</vt:i4>
      </vt:variant>
      <vt:variant>
        <vt:i4>5</vt:i4>
      </vt:variant>
      <vt:variant>
        <vt:lpwstr>http://www.nevo.co.il/law/70301</vt:lpwstr>
      </vt:variant>
      <vt:variant>
        <vt:lpwstr/>
      </vt:variant>
      <vt:variant>
        <vt:i4>8257637</vt:i4>
      </vt:variant>
      <vt:variant>
        <vt:i4>84</vt:i4>
      </vt:variant>
      <vt:variant>
        <vt:i4>0</vt:i4>
      </vt:variant>
      <vt:variant>
        <vt:i4>5</vt:i4>
      </vt:variant>
      <vt:variant>
        <vt:lpwstr>http://www.nevo.co.il/law/4216</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vt:lpwstr>
      </vt:variant>
      <vt:variant>
        <vt:lpwstr/>
      </vt:variant>
      <vt:variant>
        <vt:i4>3932283</vt:i4>
      </vt:variant>
      <vt:variant>
        <vt:i4>75</vt:i4>
      </vt:variant>
      <vt:variant>
        <vt:i4>0</vt:i4>
      </vt:variant>
      <vt:variant>
        <vt:i4>5</vt:i4>
      </vt:variant>
      <vt:variant>
        <vt:lpwstr>http://www.nevo.co.il/case/26897012</vt:lpwstr>
      </vt:variant>
      <vt:variant>
        <vt:lpwstr/>
      </vt:variant>
      <vt:variant>
        <vt:i4>3735679</vt:i4>
      </vt:variant>
      <vt:variant>
        <vt:i4>72</vt:i4>
      </vt:variant>
      <vt:variant>
        <vt:i4>0</vt:i4>
      </vt:variant>
      <vt:variant>
        <vt:i4>5</vt:i4>
      </vt:variant>
      <vt:variant>
        <vt:lpwstr>http://www.nevo.co.il/case/28438073</vt:lpwstr>
      </vt:variant>
      <vt:variant>
        <vt:lpwstr/>
      </vt:variant>
      <vt:variant>
        <vt:i4>3276912</vt:i4>
      </vt:variant>
      <vt:variant>
        <vt:i4>69</vt:i4>
      </vt:variant>
      <vt:variant>
        <vt:i4>0</vt:i4>
      </vt:variant>
      <vt:variant>
        <vt:i4>5</vt:i4>
      </vt:variant>
      <vt:variant>
        <vt:lpwstr>http://www.nevo.co.il/case/26455712</vt:lpwstr>
      </vt:variant>
      <vt:variant>
        <vt:lpwstr/>
      </vt:variant>
      <vt:variant>
        <vt:i4>3342451</vt:i4>
      </vt:variant>
      <vt:variant>
        <vt:i4>66</vt:i4>
      </vt:variant>
      <vt:variant>
        <vt:i4>0</vt:i4>
      </vt:variant>
      <vt:variant>
        <vt:i4>5</vt:i4>
      </vt:variant>
      <vt:variant>
        <vt:lpwstr>http://www.nevo.co.il/case/18773865</vt:lpwstr>
      </vt:variant>
      <vt:variant>
        <vt:lpwstr/>
      </vt:variant>
      <vt:variant>
        <vt:i4>3473525</vt:i4>
      </vt:variant>
      <vt:variant>
        <vt:i4>63</vt:i4>
      </vt:variant>
      <vt:variant>
        <vt:i4>0</vt:i4>
      </vt:variant>
      <vt:variant>
        <vt:i4>5</vt:i4>
      </vt:variant>
      <vt:variant>
        <vt:lpwstr>http://www.nevo.co.il/case/20000175</vt:lpwstr>
      </vt:variant>
      <vt:variant>
        <vt:lpwstr/>
      </vt:variant>
      <vt:variant>
        <vt:i4>3801204</vt:i4>
      </vt:variant>
      <vt:variant>
        <vt:i4>60</vt:i4>
      </vt:variant>
      <vt:variant>
        <vt:i4>0</vt:i4>
      </vt:variant>
      <vt:variant>
        <vt:i4>5</vt:i4>
      </vt:variant>
      <vt:variant>
        <vt:lpwstr>http://www.nevo.co.il/case/6085450</vt:lpwstr>
      </vt:variant>
      <vt:variant>
        <vt:lpwstr/>
      </vt:variant>
      <vt:variant>
        <vt:i4>3604596</vt:i4>
      </vt:variant>
      <vt:variant>
        <vt:i4>57</vt:i4>
      </vt:variant>
      <vt:variant>
        <vt:i4>0</vt:i4>
      </vt:variant>
      <vt:variant>
        <vt:i4>5</vt:i4>
      </vt:variant>
      <vt:variant>
        <vt:lpwstr>http://www.nevo.co.il/case/21037229</vt:lpwstr>
      </vt:variant>
      <vt:variant>
        <vt:lpwstr/>
      </vt:variant>
      <vt:variant>
        <vt:i4>327748</vt:i4>
      </vt:variant>
      <vt:variant>
        <vt:i4>54</vt:i4>
      </vt:variant>
      <vt:variant>
        <vt:i4>0</vt:i4>
      </vt:variant>
      <vt:variant>
        <vt:i4>5</vt:i4>
      </vt:variant>
      <vt:variant>
        <vt:lpwstr>http://www.nevo.co.il/case/233349</vt:lpwstr>
      </vt:variant>
      <vt:variant>
        <vt:lpwstr/>
      </vt:variant>
      <vt:variant>
        <vt:i4>3801206</vt:i4>
      </vt:variant>
      <vt:variant>
        <vt:i4>51</vt:i4>
      </vt:variant>
      <vt:variant>
        <vt:i4>0</vt:i4>
      </vt:variant>
      <vt:variant>
        <vt:i4>5</vt:i4>
      </vt:variant>
      <vt:variant>
        <vt:lpwstr>http://www.nevo.co.il/case/5727429</vt:lpwstr>
      </vt:variant>
      <vt:variant>
        <vt:lpwstr/>
      </vt:variant>
      <vt:variant>
        <vt:i4>393292</vt:i4>
      </vt:variant>
      <vt:variant>
        <vt:i4>48</vt:i4>
      </vt:variant>
      <vt:variant>
        <vt:i4>0</vt:i4>
      </vt:variant>
      <vt:variant>
        <vt:i4>5</vt:i4>
      </vt:variant>
      <vt:variant>
        <vt:lpwstr>http://www.nevo.co.il/case/182052</vt:lpwstr>
      </vt:variant>
      <vt:variant>
        <vt:lpwstr/>
      </vt:variant>
      <vt:variant>
        <vt:i4>3407986</vt:i4>
      </vt:variant>
      <vt:variant>
        <vt:i4>45</vt:i4>
      </vt:variant>
      <vt:variant>
        <vt:i4>0</vt:i4>
      </vt:variant>
      <vt:variant>
        <vt:i4>5</vt:i4>
      </vt:variant>
      <vt:variant>
        <vt:lpwstr>http://www.nevo.co.il/case/6030667</vt:lpwstr>
      </vt:variant>
      <vt:variant>
        <vt:lpwstr/>
      </vt:variant>
      <vt:variant>
        <vt:i4>3473531</vt:i4>
      </vt:variant>
      <vt:variant>
        <vt:i4>42</vt:i4>
      </vt:variant>
      <vt:variant>
        <vt:i4>0</vt:i4>
      </vt:variant>
      <vt:variant>
        <vt:i4>5</vt:i4>
      </vt:variant>
      <vt:variant>
        <vt:lpwstr>http://www.nevo.co.il/case/3826317</vt:lpwstr>
      </vt:variant>
      <vt:variant>
        <vt:lpwstr/>
      </vt:variant>
      <vt:variant>
        <vt:i4>3473526</vt:i4>
      </vt:variant>
      <vt:variant>
        <vt:i4>39</vt:i4>
      </vt:variant>
      <vt:variant>
        <vt:i4>0</vt:i4>
      </vt:variant>
      <vt:variant>
        <vt:i4>5</vt:i4>
      </vt:variant>
      <vt:variant>
        <vt:lpwstr>http://www.nevo.co.il/case/6142512</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6684722</vt:i4>
      </vt:variant>
      <vt:variant>
        <vt:i4>30</vt:i4>
      </vt:variant>
      <vt:variant>
        <vt:i4>0</vt:i4>
      </vt:variant>
      <vt:variant>
        <vt:i4>5</vt:i4>
      </vt:variant>
      <vt:variant>
        <vt:lpwstr>http://www.nevo.co.il/law/70301/335.a.1</vt:lpwstr>
      </vt:variant>
      <vt:variant>
        <vt:lpwstr/>
      </vt:variant>
      <vt:variant>
        <vt:i4>6684774</vt:i4>
      </vt:variant>
      <vt:variant>
        <vt:i4>27</vt:i4>
      </vt:variant>
      <vt:variant>
        <vt:i4>0</vt:i4>
      </vt:variant>
      <vt:variant>
        <vt:i4>5</vt:i4>
      </vt:variant>
      <vt:variant>
        <vt:lpwstr>http://www.nevo.co.il/law/70301/334</vt:lpwstr>
      </vt:variant>
      <vt:variant>
        <vt:lpwstr/>
      </vt:variant>
      <vt:variant>
        <vt:i4>8257637</vt:i4>
      </vt:variant>
      <vt:variant>
        <vt:i4>24</vt:i4>
      </vt:variant>
      <vt:variant>
        <vt:i4>0</vt:i4>
      </vt:variant>
      <vt:variant>
        <vt:i4>5</vt:i4>
      </vt:variant>
      <vt:variant>
        <vt:lpwstr>http://www.nevo.co.il/law/4216</vt:lpwstr>
      </vt:variant>
      <vt:variant>
        <vt:lpwstr/>
      </vt:variant>
      <vt:variant>
        <vt:i4>3539007</vt:i4>
      </vt:variant>
      <vt:variant>
        <vt:i4>21</vt:i4>
      </vt:variant>
      <vt:variant>
        <vt:i4>0</vt:i4>
      </vt:variant>
      <vt:variant>
        <vt:i4>5</vt:i4>
      </vt:variant>
      <vt:variant>
        <vt:lpwstr>http://www.nevo.co.il/law/70301/jCa</vt:lpwstr>
      </vt:variant>
      <vt:variant>
        <vt:lpwstr/>
      </vt:variant>
      <vt:variant>
        <vt:i4>2490429</vt:i4>
      </vt:variant>
      <vt:variant>
        <vt:i4>18</vt:i4>
      </vt:variant>
      <vt:variant>
        <vt:i4>0</vt:i4>
      </vt:variant>
      <vt:variant>
        <vt:i4>5</vt:i4>
      </vt:variant>
      <vt:variant>
        <vt:lpwstr>http://www.nevo.co.il/law/70301/hS</vt:lpwstr>
      </vt:variant>
      <vt:variant>
        <vt:lpwstr/>
      </vt:variant>
      <vt:variant>
        <vt:i4>5570645</vt:i4>
      </vt:variant>
      <vt:variant>
        <vt:i4>15</vt:i4>
      </vt:variant>
      <vt:variant>
        <vt:i4>0</vt:i4>
      </vt:variant>
      <vt:variant>
        <vt:i4>5</vt:i4>
      </vt:variant>
      <vt:variant>
        <vt:lpwstr>http://www.nevo.co.il/law/70301/d</vt:lpwstr>
      </vt:variant>
      <vt:variant>
        <vt:lpwstr/>
      </vt:variant>
      <vt:variant>
        <vt:i4>6684722</vt:i4>
      </vt:variant>
      <vt:variant>
        <vt:i4>12</vt:i4>
      </vt:variant>
      <vt:variant>
        <vt:i4>0</vt:i4>
      </vt:variant>
      <vt:variant>
        <vt:i4>5</vt:i4>
      </vt:variant>
      <vt:variant>
        <vt:lpwstr>http://www.nevo.co.il/law/70301/335.a.1</vt:lpwstr>
      </vt:variant>
      <vt:variant>
        <vt:lpwstr/>
      </vt:variant>
      <vt:variant>
        <vt:i4>6684774</vt:i4>
      </vt:variant>
      <vt:variant>
        <vt:i4>9</vt:i4>
      </vt:variant>
      <vt:variant>
        <vt:i4>0</vt:i4>
      </vt:variant>
      <vt:variant>
        <vt:i4>5</vt:i4>
      </vt:variant>
      <vt:variant>
        <vt:lpwstr>http://www.nevo.co.il/law/70301/334</vt:lpwstr>
      </vt:variant>
      <vt:variant>
        <vt:lpwstr/>
      </vt:variant>
      <vt:variant>
        <vt:i4>6619233</vt:i4>
      </vt:variant>
      <vt:variant>
        <vt:i4>6</vt:i4>
      </vt:variant>
      <vt:variant>
        <vt:i4>0</vt:i4>
      </vt:variant>
      <vt:variant>
        <vt:i4>5</vt:i4>
      </vt:variant>
      <vt:variant>
        <vt:lpwstr>http://www.nevo.co.il/law/70301/40</vt:lpwstr>
      </vt:variant>
      <vt:variant>
        <vt:lpwstr/>
      </vt:variant>
      <vt:variant>
        <vt:i4>7995492</vt:i4>
      </vt:variant>
      <vt:variant>
        <vt:i4>3</vt:i4>
      </vt:variant>
      <vt:variant>
        <vt:i4>0</vt:i4>
      </vt:variant>
      <vt:variant>
        <vt:i4>5</vt:i4>
      </vt:variant>
      <vt:variant>
        <vt:lpwstr>http://www.nevo.co.il/law/70301</vt:lpwstr>
      </vt:variant>
      <vt:variant>
        <vt:lpwstr/>
      </vt:variant>
      <vt:variant>
        <vt:i4>3801206</vt:i4>
      </vt:variant>
      <vt:variant>
        <vt:i4>0</vt:i4>
      </vt:variant>
      <vt:variant>
        <vt:i4>0</vt:i4>
      </vt:variant>
      <vt:variant>
        <vt:i4>5</vt:i4>
      </vt:variant>
      <vt:variant>
        <vt:lpwstr>http://www.nevo.co.il/case/30468451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2025-04-22T21:32:00Z</dcterms:created>
  <dcterms:modified xsi:type="dcterms:W3CDTF">2025-04-22T21:32:00Z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55717</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אשר אושרי בן שמעון דיין</vt:lpwstr>
  </property>
  <property fmtid="{D5CDD505-2E9C-101B-9397-08002B2CF9AE}" pid="10" name="LAWYER">
    <vt:lpwstr>רועי לוס;יפעת סיל</vt:lpwstr>
  </property>
  <property fmtid="{D5CDD505-2E9C-101B-9397-08002B2CF9AE}" pid="11" name="JUDGE">
    <vt:lpwstr>רון סולקין</vt:lpwstr>
  </property>
  <property fmtid="{D5CDD505-2E9C-101B-9397-08002B2CF9AE}" pid="12" name="CITY">
    <vt:lpwstr>מרכז</vt:lpwstr>
  </property>
  <property fmtid="{D5CDD505-2E9C-101B-9397-08002B2CF9AE}" pid="13" name="DATE">
    <vt:lpwstr>20250216</vt:lpwstr>
  </property>
  <property fmtid="{D5CDD505-2E9C-101B-9397-08002B2CF9AE}" pid="14" name="TYPE_N_DATE">
    <vt:lpwstr>39020250216</vt:lpwstr>
  </property>
  <property fmtid="{D5CDD505-2E9C-101B-9397-08002B2CF9AE}" pid="15" name="CASESLISTTMP1">
    <vt:lpwstr>30468451;6142512;3826317;6030667;182052;5727429;233349;21037229;6085450;20000175;18773865;26455712;28438073;26897012</vt:lpwstr>
  </property>
  <property fmtid="{D5CDD505-2E9C-101B-9397-08002B2CF9AE}" pid="16" name="WORDNUMPAGES">
    <vt:lpwstr>12</vt:lpwstr>
  </property>
  <property fmtid="{D5CDD505-2E9C-101B-9397-08002B2CF9AE}" pid="17" name="TYPE_ABS_DATE">
    <vt:lpwstr>390020250216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70301/334;335.a.1;040;jCa;d;hS</vt:lpwstr>
  </property>
  <property fmtid="{D5CDD505-2E9C-101B-9397-08002B2CF9AE}" pid="36" name="LAWLISTTMP2">
    <vt:lpwstr>4216:2</vt:lpwstr>
  </property>
  <property fmtid="{D5CDD505-2E9C-101B-9397-08002B2CF9AE}" pid="37" name="ISABSTRACT">
    <vt:lpwstr>Y</vt:lpwstr>
  </property>
</Properties>
</file>