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BC3EBB" w:rsidRPr="00DF5B96" w14:paraId="0D6372D6" w14:textId="77777777" w:rsidTr="00C253D6">
        <w:trPr>
          <w:trHeight w:hRule="exact" w:val="418"/>
          <w:jc w:val="center"/>
        </w:trPr>
        <w:tc>
          <w:tcPr>
            <w:tcW w:w="8861" w:type="dxa"/>
            <w:gridSpan w:val="2"/>
          </w:tcPr>
          <w:p w14:paraId="3F8FDECF" w14:textId="77777777" w:rsidR="00BC3EBB" w:rsidRPr="00DF5B96" w:rsidRDefault="00BC3EBB" w:rsidP="00C253D6">
            <w:pPr>
              <w:pStyle w:val="a3"/>
              <w:jc w:val="center"/>
              <w:rPr>
                <w:rFonts w:ascii="Tahoma" w:hAnsi="Tahoma"/>
                <w:color w:val="000080"/>
                <w:sz w:val="32"/>
                <w:szCs w:val="32"/>
                <w:rtl/>
              </w:rPr>
            </w:pPr>
            <w:bookmarkStart w:id="0" w:name="LastJudge"/>
            <w:r w:rsidRPr="00DF5B96">
              <w:rPr>
                <w:rFonts w:ascii="Tahoma" w:hAnsi="Tahoma"/>
                <w:b/>
                <w:bCs/>
                <w:color w:val="000080"/>
                <w:sz w:val="32"/>
                <w:szCs w:val="32"/>
                <w:rtl/>
              </w:rPr>
              <w:t>בית המשפט המחוזי בתל אביב -יפו</w:t>
            </w:r>
          </w:p>
        </w:tc>
      </w:tr>
      <w:tr w:rsidR="00BC3EBB" w:rsidRPr="00DF5B96" w14:paraId="56DC8386" w14:textId="77777777" w:rsidTr="00C253D6">
        <w:trPr>
          <w:trHeight w:val="337"/>
          <w:jc w:val="center"/>
        </w:trPr>
        <w:tc>
          <w:tcPr>
            <w:tcW w:w="5131" w:type="dxa"/>
          </w:tcPr>
          <w:p w14:paraId="3B3921BB" w14:textId="77777777" w:rsidR="00BC3EBB" w:rsidRPr="00DF5B96" w:rsidRDefault="00BC3EBB" w:rsidP="00C253D6">
            <w:pPr>
              <w:rPr>
                <w:rFonts w:ascii="David" w:hAnsi="David"/>
                <w:b/>
                <w:bCs/>
                <w:sz w:val="28"/>
                <w:szCs w:val="28"/>
                <w:rtl/>
              </w:rPr>
            </w:pPr>
            <w:r w:rsidRPr="00DF5B96">
              <w:rPr>
                <w:rFonts w:ascii="David" w:hAnsi="David"/>
                <w:b/>
                <w:bCs/>
                <w:sz w:val="26"/>
                <w:szCs w:val="26"/>
                <w:rtl/>
              </w:rPr>
              <w:t>ת"פ 62673-03-24 מדינת ישראל נ' גולדשטיין</w:t>
            </w:r>
          </w:p>
        </w:tc>
        <w:tc>
          <w:tcPr>
            <w:tcW w:w="3730" w:type="dxa"/>
          </w:tcPr>
          <w:p w14:paraId="19CFE04C" w14:textId="77777777" w:rsidR="00BC3EBB" w:rsidRPr="00DF5B96" w:rsidRDefault="00BC3EBB" w:rsidP="00C253D6">
            <w:pPr>
              <w:pStyle w:val="a3"/>
              <w:jc w:val="right"/>
              <w:rPr>
                <w:rFonts w:ascii="David" w:hAnsi="David"/>
                <w:b/>
                <w:bCs/>
                <w:sz w:val="28"/>
                <w:szCs w:val="28"/>
                <w:rtl/>
              </w:rPr>
            </w:pPr>
            <w:r w:rsidRPr="00DF5B96">
              <w:rPr>
                <w:rFonts w:ascii="David" w:hAnsi="David"/>
                <w:b/>
                <w:bCs/>
                <w:sz w:val="28"/>
                <w:szCs w:val="28"/>
                <w:rtl/>
              </w:rPr>
              <w:t>27 מרץ 2025</w:t>
            </w:r>
          </w:p>
        </w:tc>
      </w:tr>
    </w:tbl>
    <w:p w14:paraId="64AE8332" w14:textId="77777777" w:rsidR="00BC3EBB" w:rsidRPr="00DF5B96" w:rsidRDefault="00BC3EBB" w:rsidP="00BC3EBB">
      <w:pPr>
        <w:pStyle w:val="a3"/>
        <w:rPr>
          <w:rtl/>
        </w:rPr>
      </w:pPr>
      <w:r w:rsidRPr="00DF5B96">
        <w:rPr>
          <w:rFonts w:hint="cs"/>
          <w:rtl/>
        </w:rPr>
        <w:t xml:space="preserve"> </w:t>
      </w:r>
    </w:p>
    <w:p w14:paraId="15EBF500" w14:textId="77777777" w:rsidR="00BC3EBB" w:rsidRPr="00DF5B96" w:rsidRDefault="00BC3EBB" w:rsidP="00BC3EBB">
      <w:pPr>
        <w:spacing w:line="360" w:lineRule="auto"/>
        <w:jc w:val="both"/>
        <w:rPr>
          <w:rtl/>
        </w:rPr>
      </w:pPr>
    </w:p>
    <w:tbl>
      <w:tblPr>
        <w:bidiVisual/>
        <w:tblW w:w="8365" w:type="dxa"/>
        <w:tblInd w:w="409" w:type="dxa"/>
        <w:tblLook w:val="01E0" w:firstRow="1" w:lastRow="1" w:firstColumn="1" w:lastColumn="1" w:noHBand="0" w:noVBand="0"/>
      </w:tblPr>
      <w:tblGrid>
        <w:gridCol w:w="2443"/>
        <w:gridCol w:w="5866"/>
        <w:gridCol w:w="56"/>
      </w:tblGrid>
      <w:tr w:rsidR="00BC3EBB" w:rsidRPr="00DF5B96" w14:paraId="084708EA" w14:textId="77777777" w:rsidTr="00BC3EBB">
        <w:trPr>
          <w:gridAfter w:val="1"/>
          <w:wAfter w:w="56" w:type="dxa"/>
        </w:trPr>
        <w:tc>
          <w:tcPr>
            <w:tcW w:w="8309" w:type="dxa"/>
            <w:gridSpan w:val="2"/>
            <w:shd w:val="clear" w:color="auto" w:fill="auto"/>
          </w:tcPr>
          <w:p w14:paraId="1822C0B1" w14:textId="77777777" w:rsidR="00BC3EBB" w:rsidRPr="00DF5B96" w:rsidRDefault="00BC3EBB" w:rsidP="00BC3EBB">
            <w:pPr>
              <w:tabs>
                <w:tab w:val="center" w:pos="4153"/>
                <w:tab w:val="right" w:pos="8306"/>
              </w:tabs>
              <w:spacing w:line="360" w:lineRule="auto"/>
              <w:jc w:val="both"/>
              <w:rPr>
                <w:b/>
                <w:bCs/>
                <w:sz w:val="26"/>
                <w:szCs w:val="26"/>
                <w:rtl/>
              </w:rPr>
            </w:pPr>
            <w:r w:rsidRPr="00DF5B96">
              <w:rPr>
                <w:rFonts w:hint="cs"/>
                <w:b/>
                <w:bCs/>
                <w:sz w:val="26"/>
                <w:szCs w:val="26"/>
                <w:rtl/>
              </w:rPr>
              <w:t>בפני כב' השופט שמואל מלמד</w:t>
            </w:r>
          </w:p>
        </w:tc>
      </w:tr>
      <w:tr w:rsidR="00BC3EBB" w:rsidRPr="00DF5B96" w14:paraId="7253E657" w14:textId="77777777" w:rsidTr="00BC3EBB">
        <w:trPr>
          <w:cantSplit/>
          <w:trHeight w:val="724"/>
        </w:trPr>
        <w:tc>
          <w:tcPr>
            <w:tcW w:w="2443" w:type="dxa"/>
            <w:shd w:val="clear" w:color="auto" w:fill="auto"/>
          </w:tcPr>
          <w:p w14:paraId="282DBED8" w14:textId="77777777" w:rsidR="00BC3EBB" w:rsidRPr="00DF5B96" w:rsidRDefault="00BC3EBB" w:rsidP="00BC3EBB">
            <w:pPr>
              <w:ind w:left="26"/>
              <w:jc w:val="right"/>
              <w:rPr>
                <w:b/>
                <w:bCs/>
                <w:sz w:val="26"/>
                <w:szCs w:val="26"/>
                <w:rtl/>
              </w:rPr>
            </w:pPr>
            <w:bookmarkStart w:id="1" w:name="FirstAppellant"/>
            <w:bookmarkStart w:id="2" w:name="FirstLawyer"/>
          </w:p>
          <w:p w14:paraId="7DFF2308" w14:textId="77777777" w:rsidR="00BC3EBB" w:rsidRPr="00DF5B96" w:rsidRDefault="00BC3EBB" w:rsidP="00BC3EBB">
            <w:pPr>
              <w:ind w:left="26"/>
              <w:rPr>
                <w:b/>
                <w:bCs/>
                <w:sz w:val="26"/>
                <w:szCs w:val="26"/>
                <w:rtl/>
              </w:rPr>
            </w:pPr>
            <w:r w:rsidRPr="00DF5B96">
              <w:rPr>
                <w:rFonts w:hint="cs"/>
                <w:b/>
                <w:bCs/>
                <w:sz w:val="26"/>
                <w:szCs w:val="26"/>
                <w:rtl/>
              </w:rPr>
              <w:t>המאשימה</w:t>
            </w:r>
          </w:p>
        </w:tc>
        <w:tc>
          <w:tcPr>
            <w:tcW w:w="5922" w:type="dxa"/>
            <w:gridSpan w:val="2"/>
            <w:shd w:val="clear" w:color="auto" w:fill="auto"/>
          </w:tcPr>
          <w:p w14:paraId="3FEFDD72" w14:textId="77777777" w:rsidR="00BC3EBB" w:rsidRPr="00DF5B96" w:rsidRDefault="00BC3EBB" w:rsidP="00BC3EBB">
            <w:pPr>
              <w:jc w:val="right"/>
              <w:rPr>
                <w:sz w:val="26"/>
                <w:szCs w:val="26"/>
                <w:rtl/>
              </w:rPr>
            </w:pPr>
          </w:p>
          <w:p w14:paraId="700F3BD9" w14:textId="77777777" w:rsidR="00BC3EBB" w:rsidRPr="00DF5B96" w:rsidRDefault="00BC3EBB" w:rsidP="00BC3EBB">
            <w:pPr>
              <w:spacing w:line="360" w:lineRule="auto"/>
              <w:rPr>
                <w:b/>
                <w:bCs/>
                <w:sz w:val="26"/>
                <w:szCs w:val="26"/>
                <w:rtl/>
              </w:rPr>
            </w:pPr>
            <w:r w:rsidRPr="00DF5B96">
              <w:rPr>
                <w:rFonts w:hint="cs"/>
                <w:sz w:val="26"/>
                <w:szCs w:val="26"/>
                <w:rtl/>
              </w:rPr>
              <w:t xml:space="preserve"> </w:t>
            </w:r>
            <w:r w:rsidRPr="00DF5B96">
              <w:rPr>
                <w:rFonts w:hint="cs"/>
                <w:b/>
                <w:bCs/>
                <w:sz w:val="26"/>
                <w:szCs w:val="26"/>
                <w:rtl/>
              </w:rPr>
              <w:t>מדינת ישראל</w:t>
            </w:r>
          </w:p>
          <w:p w14:paraId="1377E115" w14:textId="77777777" w:rsidR="00BC3EBB" w:rsidRPr="00DF5B96" w:rsidRDefault="00BC3EBB" w:rsidP="00BC3EBB">
            <w:pPr>
              <w:spacing w:line="360" w:lineRule="auto"/>
              <w:rPr>
                <w:sz w:val="26"/>
                <w:szCs w:val="26"/>
                <w:rtl/>
              </w:rPr>
            </w:pPr>
            <w:r w:rsidRPr="00DF5B96">
              <w:rPr>
                <w:rFonts w:hint="cs"/>
                <w:sz w:val="26"/>
                <w:szCs w:val="26"/>
                <w:rtl/>
              </w:rPr>
              <w:t>על-ידי ב"כ עו"ד לילך כץ</w:t>
            </w:r>
          </w:p>
          <w:p w14:paraId="79028FCF" w14:textId="77777777" w:rsidR="00BC3EBB" w:rsidRPr="00DF5B96" w:rsidRDefault="00BC3EBB" w:rsidP="00BC3EBB">
            <w:pPr>
              <w:jc w:val="right"/>
              <w:rPr>
                <w:b/>
                <w:bCs/>
                <w:sz w:val="26"/>
                <w:szCs w:val="26"/>
                <w:rtl/>
              </w:rPr>
            </w:pPr>
          </w:p>
        </w:tc>
      </w:tr>
      <w:bookmarkEnd w:id="1"/>
      <w:bookmarkEnd w:id="2"/>
      <w:tr w:rsidR="00BC3EBB" w:rsidRPr="00DF5B96" w14:paraId="7E7EC065" w14:textId="77777777" w:rsidTr="00BC3EBB">
        <w:tc>
          <w:tcPr>
            <w:tcW w:w="8365" w:type="dxa"/>
            <w:gridSpan w:val="3"/>
            <w:shd w:val="clear" w:color="auto" w:fill="auto"/>
            <w:vAlign w:val="center"/>
          </w:tcPr>
          <w:p w14:paraId="17B89869" w14:textId="77777777" w:rsidR="00BC3EBB" w:rsidRPr="00DF5B96" w:rsidRDefault="00BC3EBB" w:rsidP="00BC3EBB">
            <w:pPr>
              <w:jc w:val="center"/>
              <w:rPr>
                <w:rFonts w:ascii="Arial" w:hAnsi="Arial"/>
                <w:b/>
                <w:bCs/>
                <w:sz w:val="26"/>
                <w:szCs w:val="26"/>
                <w:rtl/>
              </w:rPr>
            </w:pPr>
            <w:r w:rsidRPr="00DF5B96">
              <w:rPr>
                <w:rFonts w:ascii="Arial" w:hAnsi="Arial" w:hint="cs"/>
                <w:b/>
                <w:bCs/>
                <w:sz w:val="26"/>
                <w:szCs w:val="26"/>
                <w:rtl/>
              </w:rPr>
              <w:t>נגד</w:t>
            </w:r>
          </w:p>
          <w:p w14:paraId="1FBBB0EA" w14:textId="77777777" w:rsidR="00BC3EBB" w:rsidRPr="00DF5B96" w:rsidRDefault="00BC3EBB" w:rsidP="00BC3EBB">
            <w:pPr>
              <w:jc w:val="right"/>
              <w:rPr>
                <w:rFonts w:ascii="Arial" w:hAnsi="Arial"/>
                <w:b/>
                <w:bCs/>
                <w:sz w:val="26"/>
                <w:szCs w:val="26"/>
                <w:rtl/>
              </w:rPr>
            </w:pPr>
          </w:p>
        </w:tc>
      </w:tr>
      <w:tr w:rsidR="00BC3EBB" w:rsidRPr="00DF5B96" w14:paraId="284BFA21" w14:textId="77777777" w:rsidTr="00BC3EBB">
        <w:tc>
          <w:tcPr>
            <w:tcW w:w="2443" w:type="dxa"/>
            <w:shd w:val="clear" w:color="auto" w:fill="auto"/>
          </w:tcPr>
          <w:p w14:paraId="5FA7D628" w14:textId="77777777" w:rsidR="00BC3EBB" w:rsidRPr="00DF5B96" w:rsidRDefault="00BC3EBB" w:rsidP="00BC3EBB">
            <w:pPr>
              <w:ind w:left="26"/>
              <w:rPr>
                <w:b/>
                <w:bCs/>
                <w:sz w:val="26"/>
                <w:szCs w:val="26"/>
                <w:rtl/>
              </w:rPr>
            </w:pPr>
            <w:r w:rsidRPr="00DF5B96">
              <w:rPr>
                <w:rFonts w:hint="cs"/>
                <w:b/>
                <w:bCs/>
                <w:sz w:val="26"/>
                <w:szCs w:val="26"/>
                <w:rtl/>
              </w:rPr>
              <w:t>הנאשם</w:t>
            </w:r>
          </w:p>
        </w:tc>
        <w:tc>
          <w:tcPr>
            <w:tcW w:w="5922" w:type="dxa"/>
            <w:gridSpan w:val="2"/>
            <w:shd w:val="clear" w:color="auto" w:fill="auto"/>
          </w:tcPr>
          <w:p w14:paraId="44CF92EC" w14:textId="77777777" w:rsidR="00BC3EBB" w:rsidRPr="00DF5B96" w:rsidRDefault="00BC3EBB" w:rsidP="00BC3EBB">
            <w:pPr>
              <w:spacing w:line="360" w:lineRule="auto"/>
              <w:rPr>
                <w:b/>
                <w:bCs/>
                <w:sz w:val="26"/>
                <w:szCs w:val="26"/>
                <w:rtl/>
              </w:rPr>
            </w:pPr>
            <w:r w:rsidRPr="00DF5B96">
              <w:rPr>
                <w:rFonts w:hint="cs"/>
                <w:sz w:val="26"/>
                <w:szCs w:val="26"/>
                <w:rtl/>
              </w:rPr>
              <w:t xml:space="preserve"> </w:t>
            </w:r>
            <w:r w:rsidRPr="00DF5B96">
              <w:rPr>
                <w:rFonts w:hint="cs"/>
                <w:b/>
                <w:bCs/>
                <w:sz w:val="26"/>
                <w:szCs w:val="26"/>
                <w:rtl/>
              </w:rPr>
              <w:t xml:space="preserve">אור גולדשטיין ת"ז  </w:t>
            </w:r>
            <w:r w:rsidR="00DF5B96">
              <w:rPr>
                <w:b/>
                <w:bCs/>
                <w:sz w:val="26"/>
                <w:szCs w:val="26"/>
              </w:rPr>
              <w:t>xxxxxxxxxx</w:t>
            </w:r>
          </w:p>
          <w:p w14:paraId="6A445221" w14:textId="77777777" w:rsidR="00BC3EBB" w:rsidRPr="00DF5B96" w:rsidRDefault="00BC3EBB" w:rsidP="00BC3EBB">
            <w:pPr>
              <w:spacing w:line="360" w:lineRule="auto"/>
              <w:rPr>
                <w:sz w:val="26"/>
                <w:szCs w:val="26"/>
                <w:rtl/>
              </w:rPr>
            </w:pPr>
            <w:r w:rsidRPr="00DF5B96">
              <w:rPr>
                <w:rFonts w:hint="cs"/>
                <w:sz w:val="26"/>
                <w:szCs w:val="26"/>
                <w:rtl/>
              </w:rPr>
              <w:t>על-ידי ב"כ עו"ד יקי קהן</w:t>
            </w:r>
          </w:p>
          <w:p w14:paraId="5A0FB97E" w14:textId="77777777" w:rsidR="00BC3EBB" w:rsidRPr="00DF5B96" w:rsidRDefault="00BC3EBB" w:rsidP="00BC3EBB">
            <w:pPr>
              <w:jc w:val="right"/>
              <w:rPr>
                <w:b/>
                <w:bCs/>
                <w:sz w:val="26"/>
                <w:szCs w:val="26"/>
                <w:rtl/>
              </w:rPr>
            </w:pPr>
          </w:p>
        </w:tc>
      </w:tr>
    </w:tbl>
    <w:p w14:paraId="05C79849" w14:textId="77777777" w:rsidR="00DF5B96" w:rsidRPr="00DF5B96" w:rsidRDefault="00DF5B96" w:rsidP="00DF5B96">
      <w:pPr>
        <w:spacing w:before="120" w:after="120" w:line="240" w:lineRule="exact"/>
        <w:ind w:left="283" w:hanging="283"/>
        <w:jc w:val="both"/>
        <w:rPr>
          <w:rFonts w:ascii="FrankRuehl" w:hAnsi="FrankRuehl" w:cs="FrankRuehl"/>
          <w:rtl/>
        </w:rPr>
      </w:pPr>
    </w:p>
    <w:p w14:paraId="5529E942" w14:textId="77777777" w:rsidR="00DF5B96" w:rsidRPr="00DF5B96" w:rsidRDefault="00DF5B96" w:rsidP="00DF5B96">
      <w:pPr>
        <w:spacing w:line="360" w:lineRule="auto"/>
        <w:jc w:val="center"/>
        <w:rPr>
          <w:sz w:val="30"/>
          <w:szCs w:val="30"/>
          <w:rtl/>
        </w:rPr>
      </w:pPr>
    </w:p>
    <w:p w14:paraId="43E6606B" w14:textId="77777777" w:rsidR="00A708D7" w:rsidRPr="00A708D7" w:rsidRDefault="00A708D7" w:rsidP="00A708D7">
      <w:pPr>
        <w:spacing w:before="120" w:after="120" w:line="240" w:lineRule="exact"/>
        <w:ind w:left="283" w:hanging="283"/>
        <w:jc w:val="both"/>
        <w:rPr>
          <w:rFonts w:ascii="FrankRuehl" w:hAnsi="FrankRuehl" w:cs="FrankRuehl"/>
          <w:rtl/>
        </w:rPr>
      </w:pPr>
      <w:bookmarkStart w:id="3" w:name="LawTable"/>
      <w:bookmarkEnd w:id="3"/>
    </w:p>
    <w:p w14:paraId="780DC1BC" w14:textId="77777777" w:rsidR="00A708D7" w:rsidRPr="00A708D7" w:rsidRDefault="00A708D7" w:rsidP="00A708D7">
      <w:pPr>
        <w:spacing w:before="120" w:after="120" w:line="240" w:lineRule="exact"/>
        <w:ind w:left="283" w:hanging="283"/>
        <w:jc w:val="both"/>
        <w:rPr>
          <w:rFonts w:ascii="FrankRuehl" w:hAnsi="FrankRuehl" w:cs="FrankRuehl"/>
          <w:rtl/>
        </w:rPr>
      </w:pPr>
      <w:r w:rsidRPr="00A708D7">
        <w:rPr>
          <w:rFonts w:ascii="FrankRuehl" w:hAnsi="FrankRuehl" w:cs="FrankRuehl"/>
          <w:rtl/>
        </w:rPr>
        <w:t xml:space="preserve">חקיקה שאוזכרה: </w:t>
      </w:r>
    </w:p>
    <w:p w14:paraId="42CE3378" w14:textId="77777777" w:rsidR="00A708D7" w:rsidRPr="00A708D7" w:rsidRDefault="00A708D7" w:rsidP="00A708D7">
      <w:pPr>
        <w:spacing w:before="120" w:after="120" w:line="240" w:lineRule="exact"/>
        <w:ind w:left="283" w:hanging="283"/>
        <w:jc w:val="both"/>
        <w:rPr>
          <w:rFonts w:ascii="FrankRuehl" w:hAnsi="FrankRuehl" w:cs="FrankRuehl"/>
          <w:color w:val="0000FF"/>
          <w:rtl/>
        </w:rPr>
      </w:pPr>
      <w:hyperlink r:id="rId6" w:history="1">
        <w:r w:rsidRPr="00A708D7">
          <w:rPr>
            <w:rStyle w:val="Hyperlink"/>
            <w:rFonts w:ascii="FrankRuehl" w:hAnsi="FrankRuehl" w:cs="FrankRuehl"/>
            <w:u w:val="none"/>
            <w:rtl/>
          </w:rPr>
          <w:t>פקודת הסמים המסוכנים [נוסח חדש], תשל"ג-1973</w:t>
        </w:r>
      </w:hyperlink>
      <w:r w:rsidRPr="00A708D7">
        <w:rPr>
          <w:rFonts w:ascii="FrankRuehl" w:hAnsi="FrankRuehl" w:cs="FrankRuehl"/>
          <w:color w:val="0000FF"/>
          <w:rtl/>
        </w:rPr>
        <w:t xml:space="preserve">: סע'  </w:t>
      </w:r>
      <w:hyperlink r:id="rId7" w:history="1">
        <w:r w:rsidRPr="00A708D7">
          <w:rPr>
            <w:rStyle w:val="Hyperlink"/>
            <w:rFonts w:ascii="FrankRuehl" w:hAnsi="FrankRuehl" w:cs="FrankRuehl"/>
            <w:u w:val="none"/>
          </w:rPr>
          <w:t>6</w:t>
        </w:r>
      </w:hyperlink>
      <w:r w:rsidRPr="00A708D7">
        <w:rPr>
          <w:rFonts w:ascii="FrankRuehl" w:hAnsi="FrankRuehl" w:cs="FrankRuehl"/>
          <w:color w:val="0000FF"/>
          <w:rtl/>
        </w:rPr>
        <w:t xml:space="preserve">, </w:t>
      </w:r>
      <w:hyperlink r:id="rId8" w:history="1">
        <w:r w:rsidRPr="00A708D7">
          <w:rPr>
            <w:rStyle w:val="Hyperlink"/>
            <w:rFonts w:ascii="FrankRuehl" w:hAnsi="FrankRuehl" w:cs="FrankRuehl"/>
            <w:u w:val="none"/>
          </w:rPr>
          <w:t>7.</w:t>
        </w:r>
        <w:r w:rsidRPr="00A708D7">
          <w:rPr>
            <w:rStyle w:val="Hyperlink"/>
            <w:rFonts w:ascii="FrankRuehl" w:hAnsi="FrankRuehl" w:cs="FrankRuehl"/>
            <w:u w:val="none"/>
            <w:rtl/>
          </w:rPr>
          <w:t>א</w:t>
        </w:r>
        <w:r w:rsidRPr="00A708D7">
          <w:rPr>
            <w:rStyle w:val="Hyperlink"/>
            <w:rFonts w:ascii="FrankRuehl" w:hAnsi="FrankRuehl" w:cs="FrankRuehl"/>
            <w:u w:val="none"/>
          </w:rPr>
          <w:t>.</w:t>
        </w:r>
      </w:hyperlink>
      <w:r w:rsidRPr="00A708D7">
        <w:rPr>
          <w:rFonts w:ascii="FrankRuehl" w:hAnsi="FrankRuehl" w:cs="FrankRuehl"/>
          <w:color w:val="0000FF"/>
          <w:rtl/>
        </w:rPr>
        <w:t xml:space="preserve">, </w:t>
      </w:r>
      <w:hyperlink r:id="rId9" w:history="1">
        <w:r w:rsidRPr="00A708D7">
          <w:rPr>
            <w:rStyle w:val="Hyperlink"/>
            <w:rFonts w:ascii="FrankRuehl" w:hAnsi="FrankRuehl" w:cs="FrankRuehl"/>
            <w:u w:val="none"/>
          </w:rPr>
          <w:t>7.</w:t>
        </w:r>
        <w:r w:rsidRPr="00A708D7">
          <w:rPr>
            <w:rStyle w:val="Hyperlink"/>
            <w:rFonts w:ascii="FrankRuehl" w:hAnsi="FrankRuehl" w:cs="FrankRuehl"/>
            <w:u w:val="none"/>
            <w:rtl/>
          </w:rPr>
          <w:t>ג</w:t>
        </w:r>
      </w:hyperlink>
      <w:r w:rsidRPr="00A708D7">
        <w:rPr>
          <w:rFonts w:ascii="FrankRuehl" w:hAnsi="FrankRuehl" w:cs="FrankRuehl"/>
          <w:color w:val="0000FF"/>
          <w:rtl/>
        </w:rPr>
        <w:t xml:space="preserve">, </w:t>
      </w:r>
      <w:hyperlink r:id="rId10" w:history="1">
        <w:r w:rsidRPr="00A708D7">
          <w:rPr>
            <w:rStyle w:val="Hyperlink"/>
            <w:rFonts w:ascii="FrankRuehl" w:hAnsi="FrankRuehl" w:cs="FrankRuehl"/>
            <w:u w:val="none"/>
          </w:rPr>
          <w:t>9</w:t>
        </w:r>
      </w:hyperlink>
      <w:r w:rsidRPr="00A708D7">
        <w:rPr>
          <w:rFonts w:ascii="FrankRuehl" w:hAnsi="FrankRuehl" w:cs="FrankRuehl"/>
          <w:color w:val="0000FF"/>
          <w:rtl/>
        </w:rPr>
        <w:t xml:space="preserve">, </w:t>
      </w:r>
      <w:hyperlink r:id="rId11" w:history="1">
        <w:r w:rsidRPr="00A708D7">
          <w:rPr>
            <w:rStyle w:val="Hyperlink"/>
            <w:rFonts w:ascii="FrankRuehl" w:hAnsi="FrankRuehl" w:cs="FrankRuehl"/>
            <w:u w:val="none"/>
          </w:rPr>
          <w:t>10</w:t>
        </w:r>
      </w:hyperlink>
    </w:p>
    <w:p w14:paraId="7B996B44" w14:textId="77777777" w:rsidR="00A708D7" w:rsidRPr="00A708D7" w:rsidRDefault="00A708D7" w:rsidP="00A708D7">
      <w:pPr>
        <w:spacing w:before="120" w:after="120" w:line="240" w:lineRule="exact"/>
        <w:ind w:left="283" w:hanging="283"/>
        <w:jc w:val="both"/>
        <w:rPr>
          <w:rFonts w:ascii="FrankRuehl" w:hAnsi="FrankRuehl" w:cs="FrankRuehl"/>
          <w:color w:val="0000FF"/>
          <w:rtl/>
        </w:rPr>
      </w:pPr>
      <w:hyperlink r:id="rId12" w:history="1">
        <w:r w:rsidRPr="00A708D7">
          <w:rPr>
            <w:rStyle w:val="Hyperlink"/>
            <w:rFonts w:ascii="FrankRuehl" w:hAnsi="FrankRuehl" w:cs="FrankRuehl"/>
            <w:u w:val="none"/>
            <w:rtl/>
          </w:rPr>
          <w:t>חוק העונשין, תשל"ז-1977</w:t>
        </w:r>
      </w:hyperlink>
      <w:r w:rsidRPr="00A708D7">
        <w:rPr>
          <w:rFonts w:ascii="FrankRuehl" w:hAnsi="FrankRuehl" w:cs="FrankRuehl"/>
          <w:color w:val="0000FF"/>
          <w:rtl/>
        </w:rPr>
        <w:t xml:space="preserve">: סע'  </w:t>
      </w:r>
      <w:hyperlink r:id="rId13" w:history="1">
        <w:r w:rsidRPr="00A708D7">
          <w:rPr>
            <w:rStyle w:val="Hyperlink"/>
            <w:rFonts w:ascii="FrankRuehl" w:hAnsi="FrankRuehl" w:cs="FrankRuehl"/>
            <w:u w:val="none"/>
          </w:rPr>
          <w:t xml:space="preserve">40 </w:t>
        </w:r>
        <w:r w:rsidRPr="00A708D7">
          <w:rPr>
            <w:rStyle w:val="Hyperlink"/>
            <w:rFonts w:ascii="FrankRuehl" w:hAnsi="FrankRuehl" w:cs="FrankRuehl"/>
            <w:u w:val="none"/>
            <w:rtl/>
          </w:rPr>
          <w:t>ג</w:t>
        </w:r>
      </w:hyperlink>
      <w:r w:rsidRPr="00A708D7">
        <w:rPr>
          <w:rFonts w:ascii="FrankRuehl" w:hAnsi="FrankRuehl" w:cs="FrankRuehl"/>
          <w:color w:val="0000FF"/>
          <w:rtl/>
        </w:rPr>
        <w:t xml:space="preserve">(א), </w:t>
      </w:r>
      <w:hyperlink r:id="rId14" w:history="1">
        <w:r w:rsidRPr="00A708D7">
          <w:rPr>
            <w:rStyle w:val="Hyperlink"/>
            <w:rFonts w:ascii="FrankRuehl" w:hAnsi="FrankRuehl" w:cs="FrankRuehl"/>
            <w:u w:val="none"/>
          </w:rPr>
          <w:t>40</w:t>
        </w:r>
        <w:r w:rsidRPr="00A708D7">
          <w:rPr>
            <w:rStyle w:val="Hyperlink"/>
            <w:rFonts w:ascii="FrankRuehl" w:hAnsi="FrankRuehl" w:cs="FrankRuehl"/>
            <w:u w:val="none"/>
            <w:rtl/>
          </w:rPr>
          <w:t>ט</w:t>
        </w:r>
      </w:hyperlink>
      <w:r w:rsidRPr="00A708D7">
        <w:rPr>
          <w:rFonts w:ascii="FrankRuehl" w:hAnsi="FrankRuehl" w:cs="FrankRuehl"/>
          <w:color w:val="0000FF"/>
          <w:rtl/>
        </w:rPr>
        <w:t xml:space="preserve">(א)(2), </w:t>
      </w:r>
      <w:hyperlink r:id="rId15" w:history="1">
        <w:r w:rsidRPr="00A708D7">
          <w:rPr>
            <w:rStyle w:val="Hyperlink"/>
            <w:rFonts w:ascii="FrankRuehl" w:hAnsi="FrankRuehl" w:cs="FrankRuehl"/>
            <w:u w:val="none"/>
          </w:rPr>
          <w:t>383</w:t>
        </w:r>
      </w:hyperlink>
      <w:r w:rsidRPr="00A708D7">
        <w:rPr>
          <w:rFonts w:ascii="FrankRuehl" w:hAnsi="FrankRuehl" w:cs="FrankRuehl"/>
          <w:color w:val="0000FF"/>
          <w:rtl/>
        </w:rPr>
        <w:t xml:space="preserve">, </w:t>
      </w:r>
      <w:hyperlink r:id="rId16" w:history="1">
        <w:r w:rsidRPr="00A708D7">
          <w:rPr>
            <w:rStyle w:val="Hyperlink"/>
            <w:rFonts w:ascii="FrankRuehl" w:hAnsi="FrankRuehl" w:cs="FrankRuehl"/>
            <w:u w:val="none"/>
          </w:rPr>
          <w:t>400</w:t>
        </w:r>
      </w:hyperlink>
    </w:p>
    <w:p w14:paraId="47B50664" w14:textId="77777777" w:rsidR="00DF5B96" w:rsidRPr="00A708D7" w:rsidRDefault="00DF5B96" w:rsidP="00A708D7">
      <w:pPr>
        <w:spacing w:line="360" w:lineRule="auto"/>
        <w:jc w:val="center"/>
        <w:rPr>
          <w:sz w:val="30"/>
          <w:szCs w:val="30"/>
          <w:rtl/>
        </w:rPr>
      </w:pPr>
      <w:bookmarkStart w:id="4" w:name="LawTable_End"/>
      <w:bookmarkEnd w:id="4"/>
    </w:p>
    <w:p w14:paraId="06C2F962" w14:textId="77777777" w:rsidR="00DF5B96" w:rsidRPr="00DF5B96" w:rsidRDefault="00DF5B96" w:rsidP="00DF5B96">
      <w:pPr>
        <w:jc w:val="center"/>
        <w:rPr>
          <w:b/>
          <w:bCs/>
          <w:sz w:val="30"/>
          <w:szCs w:val="30"/>
          <w:u w:val="single"/>
          <w:rtl/>
        </w:rPr>
      </w:pPr>
      <w:bookmarkStart w:id="5" w:name="PsakDin"/>
      <w:bookmarkEnd w:id="0"/>
      <w:r w:rsidRPr="00DF5B96">
        <w:rPr>
          <w:b/>
          <w:bCs/>
          <w:sz w:val="30"/>
          <w:szCs w:val="30"/>
          <w:u w:val="single"/>
          <w:rtl/>
        </w:rPr>
        <w:t>גזר דין</w:t>
      </w:r>
    </w:p>
    <w:bookmarkEnd w:id="5"/>
    <w:p w14:paraId="00E5C9EC" w14:textId="77777777" w:rsidR="00BC3EBB" w:rsidRDefault="00BC3EBB" w:rsidP="00BC3EBB">
      <w:pPr>
        <w:rPr>
          <w:b/>
          <w:bCs/>
          <w:sz w:val="30"/>
          <w:szCs w:val="30"/>
          <w:u w:val="single"/>
          <w:rtl/>
        </w:rPr>
      </w:pPr>
    </w:p>
    <w:p w14:paraId="0A800162" w14:textId="77777777" w:rsidR="00BC3EBB" w:rsidRDefault="00BC3EBB" w:rsidP="00BC3EBB">
      <w:pPr>
        <w:rPr>
          <w:b/>
          <w:bCs/>
          <w:sz w:val="30"/>
          <w:szCs w:val="30"/>
          <w:u w:val="single"/>
          <w:rtl/>
        </w:rPr>
      </w:pPr>
    </w:p>
    <w:p w14:paraId="6BC1CB3E" w14:textId="77777777" w:rsidR="00BC3EBB" w:rsidRDefault="00BC3EBB" w:rsidP="00BC3EBB">
      <w:pPr>
        <w:spacing w:line="360" w:lineRule="auto"/>
        <w:ind w:left="720" w:hanging="720"/>
        <w:jc w:val="both"/>
        <w:rPr>
          <w:rtl/>
        </w:rPr>
      </w:pPr>
      <w:r w:rsidRPr="00734E53">
        <w:rPr>
          <w:rFonts w:hint="cs"/>
          <w:rtl/>
        </w:rPr>
        <w:t>1.</w:t>
      </w:r>
      <w:r w:rsidRPr="00734E53">
        <w:rPr>
          <w:rtl/>
        </w:rPr>
        <w:tab/>
      </w:r>
      <w:bookmarkStart w:id="6" w:name="ABSTRACT_START"/>
      <w:bookmarkEnd w:id="6"/>
      <w:r>
        <w:rPr>
          <w:rFonts w:hint="cs"/>
          <w:rtl/>
        </w:rPr>
        <w:t>ביום 3.3.25 הגיעו ב"כ הצדדים להסדר טיעון לפיו כתב האישום תוקן, הנאשם הודה וה</w:t>
      </w:r>
      <w:r w:rsidRPr="0048332D">
        <w:rPr>
          <w:rFonts w:hint="cs"/>
          <w:rtl/>
        </w:rPr>
        <w:t xml:space="preserve">ורשע. </w:t>
      </w:r>
      <w:r>
        <w:rPr>
          <w:rFonts w:hint="cs"/>
          <w:rtl/>
        </w:rPr>
        <w:t xml:space="preserve">הוצהר כי </w:t>
      </w:r>
      <w:r w:rsidRPr="0048332D">
        <w:rPr>
          <w:rFonts w:hint="cs"/>
          <w:rtl/>
        </w:rPr>
        <w:t xml:space="preserve">אין הסדר לעניין העונש. </w:t>
      </w:r>
    </w:p>
    <w:p w14:paraId="049EE92C" w14:textId="77777777" w:rsidR="00BC3EBB" w:rsidRDefault="00BC3EBB" w:rsidP="00BC3EBB">
      <w:pPr>
        <w:spacing w:line="360" w:lineRule="auto"/>
        <w:ind w:left="720" w:hanging="720"/>
        <w:jc w:val="both"/>
        <w:rPr>
          <w:rtl/>
        </w:rPr>
      </w:pPr>
    </w:p>
    <w:p w14:paraId="5F63FE8C" w14:textId="77777777" w:rsidR="00BC3EBB" w:rsidRDefault="00BC3EBB" w:rsidP="00BC3EBB">
      <w:pPr>
        <w:spacing w:line="360" w:lineRule="auto"/>
        <w:ind w:left="720" w:hanging="720"/>
        <w:jc w:val="both"/>
        <w:rPr>
          <w:rtl/>
        </w:rPr>
      </w:pPr>
      <w:r>
        <w:rPr>
          <w:rFonts w:hint="cs"/>
          <w:rtl/>
        </w:rPr>
        <w:t>2.</w:t>
      </w:r>
      <w:r>
        <w:rPr>
          <w:rtl/>
        </w:rPr>
        <w:tab/>
      </w:r>
      <w:r>
        <w:rPr>
          <w:rFonts w:hint="cs"/>
          <w:rtl/>
        </w:rPr>
        <w:t xml:space="preserve">על יסוד הודאת הנאשם בעובדות כתב האישום המתוקן הורשע הנאשם בעבירות הבאות: גידול, ייצור, הפקה והכנת סמים מסוכנים, עבירה לפי </w:t>
      </w:r>
      <w:hyperlink r:id="rId17" w:history="1">
        <w:r w:rsidR="00A708D7" w:rsidRPr="00A708D7">
          <w:rPr>
            <w:rStyle w:val="Hyperlink"/>
            <w:rFonts w:hint="eastAsia"/>
            <w:color w:val="0000FF"/>
            <w:rtl/>
          </w:rPr>
          <w:t>סעיף</w:t>
        </w:r>
        <w:r w:rsidR="00A708D7" w:rsidRPr="00A708D7">
          <w:rPr>
            <w:rStyle w:val="Hyperlink"/>
            <w:color w:val="0000FF"/>
            <w:rtl/>
          </w:rPr>
          <w:t xml:space="preserve"> 6</w:t>
        </w:r>
      </w:hyperlink>
      <w:r>
        <w:rPr>
          <w:rFonts w:hint="cs"/>
          <w:rtl/>
        </w:rPr>
        <w:t xml:space="preserve"> לפקודת הסמים; החזקת סם שלא לצריכה עצמית, עבירה לפי </w:t>
      </w:r>
      <w:hyperlink r:id="rId18" w:history="1">
        <w:r w:rsidR="00A708D7" w:rsidRPr="00A708D7">
          <w:rPr>
            <w:rStyle w:val="Hyperlink"/>
            <w:rFonts w:hint="eastAsia"/>
            <w:color w:val="0000FF"/>
            <w:rtl/>
          </w:rPr>
          <w:t>סעיף</w:t>
        </w:r>
        <w:r w:rsidR="00A708D7" w:rsidRPr="00A708D7">
          <w:rPr>
            <w:rStyle w:val="Hyperlink"/>
            <w:color w:val="0000FF"/>
            <w:rtl/>
          </w:rPr>
          <w:t xml:space="preserve"> 7(א)+(ג)</w:t>
        </w:r>
      </w:hyperlink>
      <w:r>
        <w:rPr>
          <w:rFonts w:hint="cs"/>
          <w:rtl/>
        </w:rPr>
        <w:t xml:space="preserve"> רישא לפקודת הסמים; החזקת כלים המשמשים להכנת סם מסוכן או לצריכתו, עבירה לפי </w:t>
      </w:r>
      <w:hyperlink r:id="rId19" w:history="1">
        <w:r w:rsidR="00A708D7" w:rsidRPr="00A708D7">
          <w:rPr>
            <w:rStyle w:val="Hyperlink"/>
            <w:rFonts w:hint="eastAsia"/>
            <w:color w:val="0000FF"/>
            <w:rtl/>
          </w:rPr>
          <w:t>סעיף</w:t>
        </w:r>
        <w:r w:rsidR="00A708D7" w:rsidRPr="00A708D7">
          <w:rPr>
            <w:rStyle w:val="Hyperlink"/>
            <w:color w:val="0000FF"/>
            <w:rtl/>
          </w:rPr>
          <w:t xml:space="preserve"> 10</w:t>
        </w:r>
      </w:hyperlink>
      <w:r>
        <w:rPr>
          <w:rFonts w:hint="cs"/>
          <w:rtl/>
        </w:rPr>
        <w:t xml:space="preserve"> רישא לפקודת הסמים; החזקת חצרים, עבירה לפי </w:t>
      </w:r>
      <w:hyperlink r:id="rId20" w:history="1">
        <w:r w:rsidR="00A708D7" w:rsidRPr="00A708D7">
          <w:rPr>
            <w:rStyle w:val="Hyperlink"/>
            <w:rFonts w:hint="eastAsia"/>
            <w:color w:val="0000FF"/>
            <w:rtl/>
          </w:rPr>
          <w:t>סעיף</w:t>
        </w:r>
        <w:r w:rsidR="00A708D7" w:rsidRPr="00A708D7">
          <w:rPr>
            <w:rStyle w:val="Hyperlink"/>
            <w:color w:val="0000FF"/>
            <w:rtl/>
          </w:rPr>
          <w:t xml:space="preserve"> 9</w:t>
        </w:r>
      </w:hyperlink>
      <w:r>
        <w:rPr>
          <w:rFonts w:hint="cs"/>
          <w:rtl/>
        </w:rPr>
        <w:t xml:space="preserve"> לפקודת הסמים ובעבירה של נטילת חשמל שלא כדין, עבירה לפי </w:t>
      </w:r>
      <w:hyperlink r:id="rId21" w:history="1">
        <w:r w:rsidR="00A708D7" w:rsidRPr="00A708D7">
          <w:rPr>
            <w:rStyle w:val="Hyperlink"/>
            <w:rFonts w:hint="eastAsia"/>
            <w:color w:val="0000FF"/>
            <w:rtl/>
          </w:rPr>
          <w:t>סעיף</w:t>
        </w:r>
        <w:r w:rsidR="00A708D7" w:rsidRPr="00A708D7">
          <w:rPr>
            <w:rStyle w:val="Hyperlink"/>
            <w:color w:val="0000FF"/>
            <w:rtl/>
          </w:rPr>
          <w:t xml:space="preserve"> 400</w:t>
        </w:r>
      </w:hyperlink>
      <w:r>
        <w:rPr>
          <w:rFonts w:hint="cs"/>
          <w:rtl/>
        </w:rPr>
        <w:t xml:space="preserve"> יחד עם סעיף </w:t>
      </w:r>
      <w:hyperlink r:id="rId22" w:history="1">
        <w:r w:rsidR="00A708D7" w:rsidRPr="00A708D7">
          <w:rPr>
            <w:rStyle w:val="Hyperlink"/>
            <w:color w:val="0000FF"/>
            <w:rtl/>
          </w:rPr>
          <w:t>383</w:t>
        </w:r>
      </w:hyperlink>
      <w:r>
        <w:rPr>
          <w:rFonts w:hint="cs"/>
          <w:rtl/>
        </w:rPr>
        <w:t xml:space="preserve"> ל</w:t>
      </w:r>
      <w:hyperlink r:id="rId23" w:history="1">
        <w:r w:rsidR="00DF5B96" w:rsidRPr="00DF5B96">
          <w:rPr>
            <w:color w:val="0000FF"/>
            <w:u w:val="single"/>
            <w:rtl/>
          </w:rPr>
          <w:t>חוק העונשין</w:t>
        </w:r>
      </w:hyperlink>
      <w:r>
        <w:rPr>
          <w:rFonts w:hint="cs"/>
          <w:rtl/>
        </w:rPr>
        <w:t>.</w:t>
      </w:r>
    </w:p>
    <w:p w14:paraId="1A29183A" w14:textId="77777777" w:rsidR="00BC3EBB" w:rsidRDefault="00BC3EBB" w:rsidP="00BC3EBB">
      <w:pPr>
        <w:spacing w:line="360" w:lineRule="auto"/>
        <w:ind w:left="720" w:hanging="720"/>
        <w:jc w:val="both"/>
        <w:rPr>
          <w:rtl/>
        </w:rPr>
      </w:pPr>
      <w:bookmarkStart w:id="7" w:name="ABSTRACT_END"/>
      <w:bookmarkEnd w:id="7"/>
    </w:p>
    <w:p w14:paraId="35933AF8" w14:textId="77777777" w:rsidR="00BC3EBB" w:rsidRDefault="00BC3EBB" w:rsidP="00BC3EBB">
      <w:pPr>
        <w:spacing w:line="360" w:lineRule="auto"/>
        <w:ind w:left="720" w:hanging="720"/>
        <w:jc w:val="both"/>
        <w:rPr>
          <w:rtl/>
        </w:rPr>
      </w:pPr>
      <w:r>
        <w:rPr>
          <w:rtl/>
        </w:rPr>
        <w:tab/>
      </w:r>
      <w:r>
        <w:rPr>
          <w:rFonts w:hint="cs"/>
          <w:u w:val="single"/>
          <w:rtl/>
        </w:rPr>
        <w:t>עובדות כתב האישום המתוקן</w:t>
      </w:r>
    </w:p>
    <w:p w14:paraId="6C4A0406" w14:textId="77777777" w:rsidR="00BC3EBB" w:rsidRDefault="00BC3EBB" w:rsidP="00BC3EBB">
      <w:pPr>
        <w:spacing w:line="360" w:lineRule="auto"/>
        <w:ind w:left="720" w:hanging="720"/>
        <w:jc w:val="both"/>
        <w:rPr>
          <w:rtl/>
        </w:rPr>
      </w:pPr>
    </w:p>
    <w:p w14:paraId="6E894267" w14:textId="77777777" w:rsidR="00BC3EBB" w:rsidRDefault="00BC3EBB" w:rsidP="00BC3EBB">
      <w:pPr>
        <w:spacing w:line="360" w:lineRule="auto"/>
        <w:ind w:left="720" w:hanging="720"/>
        <w:jc w:val="both"/>
      </w:pPr>
      <w:r>
        <w:rPr>
          <w:rFonts w:hint="cs"/>
          <w:rtl/>
        </w:rPr>
        <w:t>3.</w:t>
      </w:r>
      <w:r>
        <w:rPr>
          <w:rtl/>
        </w:rPr>
        <w:tab/>
      </w:r>
      <w:r>
        <w:rPr>
          <w:rFonts w:hint="cs"/>
          <w:rtl/>
        </w:rPr>
        <w:t>על-פי עובדות כתב האישום המתוקן החל מחודש דצמבר 2023, במועד מדויק שאינו ידוע למאשימה, התגורר הנאשם במחסן ששטחו 250 מ"ר ברחוב ברוך הירש 23, בני ברק (להלן: "המחסן").</w:t>
      </w:r>
    </w:p>
    <w:p w14:paraId="22C55CBC" w14:textId="77777777" w:rsidR="00BC3EBB" w:rsidRDefault="00BC3EBB" w:rsidP="00BC3EBB">
      <w:pPr>
        <w:pStyle w:val="a9"/>
        <w:spacing w:line="360" w:lineRule="auto"/>
        <w:jc w:val="both"/>
        <w:rPr>
          <w:rtl/>
        </w:rPr>
      </w:pPr>
      <w:r>
        <w:rPr>
          <w:rFonts w:hint="cs"/>
          <w:rtl/>
        </w:rPr>
        <w:t>בסמוך לאחר מעבר הנאשם למגורים במחסן, הקים הנאשם במחסן, עבור אחר שזהותו אינה ידועה במדויק למאשימה, מעבדה לגידול סם מסוכן מסוג קנבוס (להלן: "המעבדה" ולהן "הסם" בהתאמה).</w:t>
      </w:r>
    </w:p>
    <w:p w14:paraId="088360C2" w14:textId="77777777" w:rsidR="00BC3EBB" w:rsidRDefault="00BC3EBB" w:rsidP="00BC3EBB">
      <w:pPr>
        <w:pStyle w:val="a9"/>
        <w:spacing w:line="360" w:lineRule="auto"/>
        <w:jc w:val="both"/>
        <w:rPr>
          <w:rtl/>
        </w:rPr>
      </w:pPr>
      <w:r>
        <w:rPr>
          <w:rFonts w:hint="cs"/>
          <w:rtl/>
        </w:rPr>
        <w:lastRenderedPageBreak/>
        <w:t>לשם גידול הסם במעבדה והחזקתו צייד הנאשם את המחסן בכלים הבאים: 10 מזגנים, 98 שנאים, 4 רפלקטורים, 12 מפוחים, 12 פילטרים/ מסננים, 28 מאוררים, משאבת מים, 10 שקיות דשן, 13 מדי לחות, 5 סופחי לחות ושואב אבק (להלן: "הכלים").</w:t>
      </w:r>
    </w:p>
    <w:p w14:paraId="33239864" w14:textId="77777777" w:rsidR="00BC3EBB" w:rsidRDefault="00BC3EBB" w:rsidP="00BC3EBB">
      <w:pPr>
        <w:pStyle w:val="a9"/>
        <w:spacing w:line="360" w:lineRule="auto"/>
        <w:jc w:val="both"/>
        <w:rPr>
          <w:rtl/>
        </w:rPr>
      </w:pPr>
      <w:r>
        <w:rPr>
          <w:rFonts w:hint="cs"/>
          <w:rtl/>
        </w:rPr>
        <w:t>בהמשך לאמור ועד לתאריך 17.3.24 סמוך לשעה 13:50, החזיק הנאשם וגידל עבור האחר 2195 שתילים של צמחי קנבוס במשקל כולל של 120 ק"ג וזאת שלא לצריכתו העצמית, ללא היתר כדין וללא רשיון מאת המנהל.</w:t>
      </w:r>
    </w:p>
    <w:p w14:paraId="779A0AB8" w14:textId="77777777" w:rsidR="00BC3EBB" w:rsidRDefault="00BC3EBB" w:rsidP="00BC3EBB">
      <w:pPr>
        <w:pStyle w:val="a9"/>
        <w:spacing w:line="360" w:lineRule="auto"/>
        <w:jc w:val="both"/>
        <w:rPr>
          <w:rtl/>
        </w:rPr>
      </w:pPr>
      <w:r>
        <w:rPr>
          <w:rFonts w:hint="cs"/>
          <w:rtl/>
        </w:rPr>
        <w:t>לשם תפעול הציוד אשר שימש לגידול הסם, נטל הנאשם במזיד חשמל מבלי שהיה זכאי לכך, בשווי של כ 129,461.76 ₪ בכך שהתחבר באופן ישיר לקו הזנה של הבניין באמצעות כבל.</w:t>
      </w:r>
    </w:p>
    <w:p w14:paraId="6B9A1F3D" w14:textId="77777777" w:rsidR="00BC3EBB" w:rsidRDefault="00BC3EBB" w:rsidP="00BC3EBB">
      <w:pPr>
        <w:spacing w:line="360" w:lineRule="auto"/>
        <w:jc w:val="both"/>
        <w:rPr>
          <w:rtl/>
        </w:rPr>
      </w:pPr>
    </w:p>
    <w:p w14:paraId="12AD64AB" w14:textId="77777777" w:rsidR="00BC3EBB" w:rsidRDefault="00BC3EBB" w:rsidP="00BC3EBB">
      <w:pPr>
        <w:spacing w:line="360" w:lineRule="auto"/>
        <w:jc w:val="both"/>
        <w:rPr>
          <w:rtl/>
        </w:rPr>
      </w:pPr>
      <w:r>
        <w:rPr>
          <w:rtl/>
        </w:rPr>
        <w:tab/>
      </w:r>
      <w:r>
        <w:rPr>
          <w:rFonts w:hint="cs"/>
          <w:u w:val="single"/>
          <w:rtl/>
        </w:rPr>
        <w:t>טיעוני הצדדים לעונש</w:t>
      </w:r>
    </w:p>
    <w:p w14:paraId="20FBB131" w14:textId="77777777" w:rsidR="00BC3EBB" w:rsidRPr="00734E53" w:rsidRDefault="00BC3EBB" w:rsidP="00BC3EBB">
      <w:pPr>
        <w:spacing w:line="360" w:lineRule="auto"/>
        <w:jc w:val="both"/>
        <w:rPr>
          <w:rtl/>
        </w:rPr>
      </w:pPr>
    </w:p>
    <w:p w14:paraId="72C959B3" w14:textId="77777777" w:rsidR="00BC3EBB" w:rsidRDefault="00BC3EBB" w:rsidP="00BC3EBB">
      <w:pPr>
        <w:spacing w:line="360" w:lineRule="auto"/>
        <w:jc w:val="both"/>
        <w:rPr>
          <w:rtl/>
        </w:rPr>
      </w:pPr>
      <w:r>
        <w:rPr>
          <w:rFonts w:hint="cs"/>
          <w:rtl/>
        </w:rPr>
        <w:t>4.</w:t>
      </w:r>
      <w:r>
        <w:rPr>
          <w:rtl/>
        </w:rPr>
        <w:tab/>
      </w:r>
      <w:r>
        <w:rPr>
          <w:rFonts w:hint="cs"/>
          <w:rtl/>
        </w:rPr>
        <w:t xml:space="preserve">בדיון ביום 3.3.25 העיד </w:t>
      </w:r>
      <w:r>
        <w:rPr>
          <w:rtl/>
        </w:rPr>
        <w:t>מר דב גולדשטיין</w:t>
      </w:r>
      <w:r>
        <w:rPr>
          <w:rFonts w:hint="cs"/>
          <w:rtl/>
        </w:rPr>
        <w:t>,</w:t>
      </w:r>
      <w:r>
        <w:rPr>
          <w:rtl/>
        </w:rPr>
        <w:t xml:space="preserve"> אביו של הנאשם</w:t>
      </w:r>
      <w:r>
        <w:rPr>
          <w:rFonts w:hint="cs"/>
          <w:rtl/>
        </w:rPr>
        <w:t>, אשר ביקש לנהוג בבנו בחמלה.</w:t>
      </w:r>
    </w:p>
    <w:p w14:paraId="31830B02" w14:textId="77777777" w:rsidR="00BC3EBB" w:rsidRDefault="00BC3EBB" w:rsidP="00BC3EBB">
      <w:pPr>
        <w:spacing w:line="360" w:lineRule="auto"/>
        <w:jc w:val="both"/>
        <w:rPr>
          <w:rtl/>
        </w:rPr>
      </w:pPr>
    </w:p>
    <w:p w14:paraId="0B4A239F" w14:textId="77777777" w:rsidR="00BC3EBB" w:rsidRDefault="00BC3EBB" w:rsidP="00BC3EBB">
      <w:pPr>
        <w:spacing w:line="360" w:lineRule="auto"/>
        <w:ind w:left="720" w:hanging="720"/>
        <w:jc w:val="both"/>
        <w:rPr>
          <w:rtl/>
        </w:rPr>
      </w:pPr>
      <w:r>
        <w:rPr>
          <w:rFonts w:hint="cs"/>
          <w:rtl/>
        </w:rPr>
        <w:t>5.</w:t>
      </w:r>
      <w:r>
        <w:rPr>
          <w:rtl/>
        </w:rPr>
        <w:tab/>
      </w:r>
      <w:r w:rsidRPr="00734E53">
        <w:rPr>
          <w:b/>
          <w:bCs/>
          <w:rtl/>
        </w:rPr>
        <w:t xml:space="preserve">ב"כ המאשימה </w:t>
      </w:r>
      <w:r>
        <w:rPr>
          <w:rtl/>
        </w:rPr>
        <w:t>הגישה גיליון הרשעות קודמות של הנאשם. היא טענה כי כתב האישום בתיק זה תוקן על ידי הוספת המילים 'עבור אחר', כלומר שהנאשם החזיק וגידל את הסם שנתפס במעבדה עבור אדם אחר. היא ציינה כי מדובר במעבדה שבה התגורר הנאשם כשלושה חודשים, וכי כתב האישום המתוקן מתייחס למשקל של כ-120 ק"ג, למעלה מ-2,000 שתילים, למעבדה שהוקמה במחסן מסחרי בשטח של 250 מ"ר, וכן לנטילת חשמל בסכום של כ-130,000 ש"ח.</w:t>
      </w:r>
    </w:p>
    <w:p w14:paraId="364540B6" w14:textId="77777777" w:rsidR="00BC3EBB" w:rsidRDefault="00BC3EBB" w:rsidP="00BC3EBB">
      <w:pPr>
        <w:pStyle w:val="a9"/>
        <w:spacing w:line="360" w:lineRule="auto"/>
        <w:jc w:val="both"/>
      </w:pPr>
      <w:r>
        <w:rPr>
          <w:rFonts w:hint="cs"/>
          <w:rtl/>
        </w:rPr>
        <w:t xml:space="preserve">עוד נטען </w:t>
      </w:r>
      <w:r>
        <w:rPr>
          <w:rtl/>
        </w:rPr>
        <w:t xml:space="preserve">כי הנאשם היה חלק ממערכת גידול הסם, והציעה מתחם ענישה בין 36 ל-60 חודשי מאסר, שונה ממתחמי ענישה המוצעים בתיקים דומים. היא ציינה כי הפסיקה מציגה מתחמי ענישה חמורים יותר, אך לאור נסיבות המעבדה ביקשה לקבוע מתחם מרוכך של 36 עד 60 חודשי מאסר. ב"כ המאשימה טענה כי התחשבו בעובדה שהנאשם גידל את הסמים עבור אחר, אך לא התעלמו מחלקו בכתב האישום, </w:t>
      </w:r>
      <w:r>
        <w:rPr>
          <w:rFonts w:hint="cs"/>
          <w:rtl/>
        </w:rPr>
        <w:t>והיותו</w:t>
      </w:r>
      <w:r>
        <w:rPr>
          <w:rtl/>
        </w:rPr>
        <w:t xml:space="preserve"> חלק ממערכת גידול הסם. היא הוסיפה כי לנאשם עבר פלילי, אם כי לא משמעותי במיוחד. הנאשם הודה, חסך זמן שיפוטי, וכתב האישום תוקן, ולכן ביקשה למקם את עונשו קרוב לרף התחתון של המתחם, וכן עתרה למאסר על תנאי ולקנס.</w:t>
      </w:r>
    </w:p>
    <w:p w14:paraId="19D05791" w14:textId="77777777" w:rsidR="00BC3EBB" w:rsidRDefault="00BC3EBB" w:rsidP="00BC3EBB">
      <w:pPr>
        <w:spacing w:line="360" w:lineRule="auto"/>
        <w:jc w:val="both"/>
      </w:pPr>
    </w:p>
    <w:p w14:paraId="68BC1A28" w14:textId="77777777" w:rsidR="00BC3EBB" w:rsidRPr="008D642A" w:rsidRDefault="00BC3EBB" w:rsidP="00BC3EBB">
      <w:pPr>
        <w:spacing w:line="360" w:lineRule="auto"/>
        <w:ind w:left="720" w:hanging="720"/>
        <w:jc w:val="both"/>
      </w:pPr>
      <w:r>
        <w:rPr>
          <w:rFonts w:hint="cs"/>
          <w:rtl/>
        </w:rPr>
        <w:t>6.</w:t>
      </w:r>
      <w:r>
        <w:rPr>
          <w:rtl/>
        </w:rPr>
        <w:tab/>
      </w:r>
      <w:r w:rsidRPr="00734E53">
        <w:rPr>
          <w:b/>
          <w:bCs/>
          <w:rtl/>
        </w:rPr>
        <w:t>ב"כ הנאשם</w:t>
      </w:r>
      <w:r w:rsidRPr="008D642A">
        <w:rPr>
          <w:rtl/>
        </w:rPr>
        <w:t xml:space="preserve"> טען כי הנאשם הודה במיוחס לו, וכי הודה בעבירה מוגמרת ולא בסיוע. הוא ביקש מבית המשפט להפעיל את מידת הרחמים ולקבוע מתחם ענישה המתאים לנסיבות ביצוע העבירה במקרה זה</w:t>
      </w:r>
      <w:r w:rsidRPr="008D642A">
        <w:t>.</w:t>
      </w:r>
    </w:p>
    <w:p w14:paraId="1344717C" w14:textId="77777777" w:rsidR="00BC3EBB" w:rsidRPr="008D642A" w:rsidRDefault="00BC3EBB" w:rsidP="00BC3EBB">
      <w:pPr>
        <w:spacing w:line="360" w:lineRule="auto"/>
        <w:ind w:left="720"/>
        <w:jc w:val="both"/>
      </w:pPr>
      <w:r w:rsidRPr="008D642A">
        <w:rPr>
          <w:rtl/>
        </w:rPr>
        <w:t>ב"כ הנאשם הפנה לפסיקה בה נקבע מחצית מהמתחם, במקרה של סיוע. הוא טען כי בתיק זה הנאשם קיבל אחריות, הביע חרטה אמיתית, וכי הגידול בוצע במשך שלושה חודשים בלבד. כמו כן, טען כי מדובר במאסר ראשון ממשי עבור הנאשם</w:t>
      </w:r>
      <w:r w:rsidRPr="008D642A">
        <w:t>.</w:t>
      </w:r>
    </w:p>
    <w:p w14:paraId="43C26CAD" w14:textId="77777777" w:rsidR="00BC3EBB" w:rsidRPr="008D642A" w:rsidRDefault="00BC3EBB" w:rsidP="00BC3EBB">
      <w:pPr>
        <w:spacing w:line="360" w:lineRule="auto"/>
        <w:ind w:left="720"/>
        <w:jc w:val="both"/>
      </w:pPr>
      <w:r w:rsidRPr="006E1C62">
        <w:rPr>
          <w:rtl/>
        </w:rPr>
        <w:t>ב"כ הנאשם הפנה לכתב האישום המתוקן, בו נכתב בסעיף 1 כי "החל מחודש דצמבר, במועד</w:t>
      </w:r>
      <w:r w:rsidRPr="008D642A">
        <w:rPr>
          <w:rtl/>
        </w:rPr>
        <w:t xml:space="preserve"> שאינו ידוע למאשימה, התגורר הנאשם במחסן". הוא טען כי בשונה ממקרה בו אדם שוכר מקום ייעודי לגידול סמים, הנאשם התגורר במקום בשל נסיבות מיוחדות</w:t>
      </w:r>
      <w:r w:rsidRPr="008D642A">
        <w:t>.</w:t>
      </w:r>
    </w:p>
    <w:p w14:paraId="14CFFF65" w14:textId="77777777" w:rsidR="00BC3EBB" w:rsidRPr="008D642A" w:rsidRDefault="00BC3EBB" w:rsidP="00BC3EBB">
      <w:pPr>
        <w:spacing w:line="360" w:lineRule="auto"/>
        <w:ind w:left="720"/>
        <w:jc w:val="both"/>
      </w:pPr>
      <w:r w:rsidRPr="008D642A">
        <w:rPr>
          <w:rtl/>
        </w:rPr>
        <w:t xml:space="preserve">ב"כ הנאשם טען כי בתיק זה קיימים מחדלי חקירה, וכי המקרה חריג. הוא הפנה </w:t>
      </w:r>
      <w:hyperlink r:id="rId24" w:history="1">
        <w:r w:rsidR="00A708D7" w:rsidRPr="00A708D7">
          <w:rPr>
            <w:rStyle w:val="Hyperlink"/>
            <w:color w:val="0000FF"/>
            <w:rtl/>
          </w:rPr>
          <w:t>לסעיף 40ט(א)(2)</w:t>
        </w:r>
      </w:hyperlink>
      <w:r w:rsidRPr="008D642A">
        <w:rPr>
          <w:rtl/>
        </w:rPr>
        <w:t xml:space="preserve"> ל</w:t>
      </w:r>
      <w:hyperlink r:id="rId25" w:history="1">
        <w:r w:rsidR="00DF5B96" w:rsidRPr="00DF5B96">
          <w:rPr>
            <w:color w:val="0000FF"/>
            <w:u w:val="single"/>
            <w:rtl/>
          </w:rPr>
          <w:t>חוק העונשין</w:t>
        </w:r>
      </w:hyperlink>
      <w:r w:rsidRPr="008D642A">
        <w:rPr>
          <w:rtl/>
        </w:rPr>
        <w:t>, וטען כי לבית המשפט סמכות להתחשב בנסיבות נוספות בקביעת המתחם</w:t>
      </w:r>
      <w:r w:rsidRPr="008D642A">
        <w:t>.</w:t>
      </w:r>
    </w:p>
    <w:p w14:paraId="0A85714E" w14:textId="77777777" w:rsidR="00BC3EBB" w:rsidRPr="008D642A" w:rsidRDefault="00BC3EBB" w:rsidP="00BC3EBB">
      <w:pPr>
        <w:spacing w:line="360" w:lineRule="auto"/>
        <w:ind w:left="720"/>
        <w:jc w:val="both"/>
      </w:pPr>
      <w:r w:rsidRPr="008D642A">
        <w:rPr>
          <w:rtl/>
        </w:rPr>
        <w:lastRenderedPageBreak/>
        <w:t>ב"כ הנאשם הגיש אסופת פסיקה, הכוללת תיקים שהסתיימו במאסר בעבודות שירות. הוא טען כי במקרה רגיל, המתחם בתיק זה צריך להתחיל מ-27 חודשי מאסר, וכי עתירת המאשימה מנותקת מכתב האישום המתוקן</w:t>
      </w:r>
      <w:r w:rsidRPr="008D642A">
        <w:t>.</w:t>
      </w:r>
    </w:p>
    <w:p w14:paraId="3C5865DF" w14:textId="77777777" w:rsidR="00BC3EBB" w:rsidRPr="008D642A" w:rsidRDefault="00BC3EBB" w:rsidP="00BC3EBB">
      <w:pPr>
        <w:spacing w:line="360" w:lineRule="auto"/>
        <w:ind w:left="720"/>
        <w:jc w:val="both"/>
      </w:pPr>
      <w:r w:rsidRPr="008D642A">
        <w:rPr>
          <w:rtl/>
        </w:rPr>
        <w:t>ב"כ הנאשם טען כי המתחם בתיק זה צריך להתחיל מ-16 חודשי מאסר, וכי יש למקם את הנאשם ברף התחתון בשל הנסיבות החריגות. הוא ביקש להשית על הנאשם 16 חודשי מאסר</w:t>
      </w:r>
      <w:r w:rsidRPr="008D642A">
        <w:t>.</w:t>
      </w:r>
    </w:p>
    <w:p w14:paraId="2649001E" w14:textId="77777777" w:rsidR="00BC3EBB" w:rsidRPr="008D642A" w:rsidRDefault="00BC3EBB" w:rsidP="00BC3EBB">
      <w:pPr>
        <w:spacing w:line="360" w:lineRule="auto"/>
        <w:ind w:left="720"/>
        <w:jc w:val="both"/>
      </w:pPr>
      <w:r w:rsidRPr="008D642A">
        <w:rPr>
          <w:rtl/>
        </w:rPr>
        <w:t>ב"כ הנאשם טען כי הנאשם בן 31, מעולם לא ריצה מאסר ממשי, וכי העבירה האחרונה שלו בוצעה לפני מספר שנים. הוא טען כי התרשם מאדם שרצה לסיים את התיק, וכי הוא מעוניין לתקן את מעשיו וללמוד לקח</w:t>
      </w:r>
      <w:r w:rsidRPr="008D642A">
        <w:t>.</w:t>
      </w:r>
    </w:p>
    <w:p w14:paraId="59964C26" w14:textId="77777777" w:rsidR="00BC3EBB" w:rsidRPr="008D642A" w:rsidRDefault="00BC3EBB" w:rsidP="00BC3EBB">
      <w:pPr>
        <w:spacing w:line="360" w:lineRule="auto"/>
        <w:ind w:left="720"/>
        <w:jc w:val="both"/>
      </w:pPr>
      <w:r w:rsidRPr="008D642A">
        <w:rPr>
          <w:rtl/>
        </w:rPr>
        <w:t xml:space="preserve">ב"כ הנאשם טען כי הנאשם נעצר ב-17.3.24 ושוחרר ב-4.4.24, ונעצר שוב ב-14.9.24. בין לבין היה במעצר בפיקוח אלקטרוני. הוא הגיש לבית המשפט מכתב מהנאשם וביקש לראות במקרה זה </w:t>
      </w:r>
      <w:r>
        <w:rPr>
          <w:rtl/>
        </w:rPr>
        <w:t>חריג ולדון את הנאשם במידת הרחמי</w:t>
      </w:r>
      <w:r>
        <w:rPr>
          <w:rFonts w:hint="cs"/>
          <w:rtl/>
        </w:rPr>
        <w:t>ם.</w:t>
      </w:r>
    </w:p>
    <w:p w14:paraId="75F4320E" w14:textId="77777777" w:rsidR="00BC3EBB" w:rsidRPr="008D642A" w:rsidRDefault="00BC3EBB" w:rsidP="00BC3EBB">
      <w:pPr>
        <w:spacing w:line="360" w:lineRule="auto"/>
        <w:ind w:left="720"/>
        <w:jc w:val="both"/>
        <w:rPr>
          <w:rtl/>
        </w:rPr>
      </w:pPr>
    </w:p>
    <w:p w14:paraId="343144A3" w14:textId="77777777" w:rsidR="00BC3EBB" w:rsidRDefault="00BC3EBB" w:rsidP="00BC3EBB">
      <w:pPr>
        <w:spacing w:line="360" w:lineRule="auto"/>
        <w:ind w:left="720" w:hanging="720"/>
        <w:jc w:val="both"/>
      </w:pPr>
      <w:r>
        <w:rPr>
          <w:rFonts w:hint="cs"/>
          <w:rtl/>
        </w:rPr>
        <w:t>7.</w:t>
      </w:r>
      <w:r>
        <w:rPr>
          <w:rtl/>
        </w:rPr>
        <w:tab/>
      </w:r>
      <w:r>
        <w:rPr>
          <w:rFonts w:hint="cs"/>
          <w:rtl/>
        </w:rPr>
        <w:t xml:space="preserve">הנאשם בדברו האחרון מסר כי </w:t>
      </w:r>
      <w:r>
        <w:rPr>
          <w:rtl/>
        </w:rPr>
        <w:t>אין ל</w:t>
      </w:r>
      <w:r>
        <w:rPr>
          <w:rFonts w:hint="cs"/>
          <w:rtl/>
        </w:rPr>
        <w:t xml:space="preserve">ו </w:t>
      </w:r>
      <w:r>
        <w:rPr>
          <w:rtl/>
        </w:rPr>
        <w:t xml:space="preserve">מה להוסיף מעבר למה שכתב. </w:t>
      </w:r>
      <w:r>
        <w:rPr>
          <w:rFonts w:hint="cs"/>
          <w:rtl/>
        </w:rPr>
        <w:t>במסגרתו הביע חרטה מלאה על מעשיו. הסביר כי עשה מעשיו בעקבות חובות כספיים אליהם נקלע וחשש לחייו כתוצאה מאיומים. ביקש להודות למשפחתו ולאביו בפרט על התמיכה הנפשית והגשמית. ביקש את רחמי בית המשפט על מנת להתחיל ולשקם את חייו.</w:t>
      </w:r>
    </w:p>
    <w:p w14:paraId="6122FD4D" w14:textId="77777777" w:rsidR="00BC3EBB" w:rsidRDefault="00BC3EBB" w:rsidP="00BC3EBB">
      <w:pPr>
        <w:spacing w:line="360" w:lineRule="auto"/>
        <w:jc w:val="both"/>
        <w:rPr>
          <w:rtl/>
        </w:rPr>
      </w:pPr>
    </w:p>
    <w:p w14:paraId="165C55E2" w14:textId="77777777" w:rsidR="00BC3EBB" w:rsidRDefault="00BC3EBB" w:rsidP="00BC3EBB">
      <w:pPr>
        <w:spacing w:line="360" w:lineRule="auto"/>
        <w:ind w:left="720"/>
        <w:jc w:val="both"/>
        <w:rPr>
          <w:rtl/>
        </w:rPr>
      </w:pPr>
      <w:r w:rsidRPr="00734E53">
        <w:rPr>
          <w:rFonts w:hint="cs"/>
          <w:u w:val="single"/>
          <w:rtl/>
        </w:rPr>
        <w:t>דיון והכרעה</w:t>
      </w:r>
    </w:p>
    <w:p w14:paraId="6F576995" w14:textId="77777777" w:rsidR="00BC3EBB" w:rsidRDefault="00BC3EBB" w:rsidP="00BC3EBB">
      <w:pPr>
        <w:rPr>
          <w:rtl/>
        </w:rPr>
      </w:pPr>
    </w:p>
    <w:p w14:paraId="077A78F6" w14:textId="77777777" w:rsidR="00BC3EBB" w:rsidRDefault="00BC3EBB" w:rsidP="00BC3EBB">
      <w:pPr>
        <w:spacing w:line="360" w:lineRule="auto"/>
        <w:ind w:left="720" w:hanging="720"/>
        <w:jc w:val="both"/>
        <w:rPr>
          <w:rtl/>
        </w:rPr>
      </w:pPr>
      <w:r>
        <w:rPr>
          <w:rFonts w:hint="cs"/>
          <w:rtl/>
        </w:rPr>
        <w:t>8.</w:t>
      </w:r>
      <w:r>
        <w:rPr>
          <w:rtl/>
        </w:rPr>
        <w:tab/>
      </w:r>
      <w:r>
        <w:rPr>
          <w:rFonts w:hint="cs"/>
          <w:rtl/>
        </w:rPr>
        <w:t>ה</w:t>
      </w:r>
      <w:r w:rsidRPr="00432E2C">
        <w:rPr>
          <w:rtl/>
        </w:rPr>
        <w:t>ערך החברתי שנפגע הוא הצורך בשמירה על הציבור מפני פגיעתם של סמים מסוכנים בגוף ובנפש. הגנה על הביטחון הציבורי כתוצאה מהנזק הנלווה לעבירות סמים, לרבות הרעות הכלכליות הנגרמות למתמכרים, העבירות החברתיות והעבירות הנלוות בדרך כלל לעבירות מסוג זה, הם נזקים ישירים ועקיפים של עבירות הסמים</w:t>
      </w:r>
      <w:r>
        <w:rPr>
          <w:rFonts w:hint="cs"/>
          <w:rtl/>
        </w:rPr>
        <w:t xml:space="preserve">. </w:t>
      </w:r>
    </w:p>
    <w:p w14:paraId="007F245A" w14:textId="77777777" w:rsidR="00BC3EBB" w:rsidRDefault="00BC3EBB" w:rsidP="00BC3EBB">
      <w:pPr>
        <w:spacing w:line="360" w:lineRule="auto"/>
        <w:ind w:left="720" w:hanging="720"/>
        <w:jc w:val="both"/>
        <w:rPr>
          <w:rtl/>
        </w:rPr>
      </w:pPr>
    </w:p>
    <w:p w14:paraId="28A23FE7" w14:textId="77777777" w:rsidR="00BC3EBB" w:rsidRDefault="00BC3EBB" w:rsidP="00BC3EBB">
      <w:pPr>
        <w:spacing w:line="360" w:lineRule="auto"/>
        <w:ind w:left="720" w:hanging="720"/>
        <w:jc w:val="both"/>
        <w:rPr>
          <w:rtl/>
        </w:rPr>
      </w:pPr>
      <w:r>
        <w:rPr>
          <w:rFonts w:hint="cs"/>
          <w:rtl/>
        </w:rPr>
        <w:t>9.</w:t>
      </w:r>
      <w:r>
        <w:rPr>
          <w:rtl/>
        </w:rPr>
        <w:tab/>
      </w:r>
      <w:r w:rsidRPr="00432E2C">
        <w:rPr>
          <w:rtl/>
        </w:rPr>
        <w:t>במדיניות הענישה הנוהגת, טווח העונשים רחב ותלוי בנסיבות, כגון כמויות הסם המגודלות, התכנון והיישום של הפעולות במעבדה בה גודל הסם. במקרה הנוכחי, כתב האישום תוקן כך שהמאשימה מסכימה כי הסם גודל לצורך השאת רווחים עבור אחר, וכי הנאשם הפעיל את המעבדה ועבד בה למען אותו אדם</w:t>
      </w:r>
      <w:r w:rsidRPr="00432E2C">
        <w:t>.</w:t>
      </w:r>
    </w:p>
    <w:p w14:paraId="737A4507" w14:textId="77777777" w:rsidR="00BC3EBB" w:rsidRPr="00432E2C" w:rsidRDefault="00BC3EBB" w:rsidP="00BC3EBB">
      <w:pPr>
        <w:spacing w:line="360" w:lineRule="auto"/>
        <w:ind w:left="720" w:hanging="720"/>
        <w:jc w:val="both"/>
        <w:rPr>
          <w:rtl/>
        </w:rPr>
      </w:pPr>
    </w:p>
    <w:p w14:paraId="34B70728" w14:textId="77777777" w:rsidR="00BC3EBB" w:rsidRPr="00732EE0" w:rsidRDefault="00DF5B96" w:rsidP="00BC3EBB">
      <w:pPr>
        <w:spacing w:line="360" w:lineRule="auto"/>
        <w:ind w:left="720"/>
        <w:jc w:val="both"/>
        <w:rPr>
          <w:rFonts w:ascii="David" w:hAnsi="David"/>
          <w:color w:val="000000"/>
        </w:rPr>
      </w:pPr>
      <w:hyperlink r:id="rId26" w:history="1">
        <w:r w:rsidRPr="00DF5B96">
          <w:rPr>
            <w:rFonts w:ascii="David" w:hAnsi="David"/>
            <w:color w:val="0000FF"/>
            <w:u w:val="single"/>
            <w:rtl/>
          </w:rPr>
          <w:t>ע"פ 306/24</w:t>
        </w:r>
      </w:hyperlink>
      <w:r>
        <w:rPr>
          <w:rFonts w:ascii="David" w:hAnsi="David"/>
          <w:color w:val="000000"/>
        </w:rPr>
        <w:t xml:space="preserve"> </w:t>
      </w:r>
      <w:r w:rsidR="00BC3EBB" w:rsidRPr="00732EE0">
        <w:rPr>
          <w:rFonts w:ascii="David" w:hAnsi="David"/>
          <w:b/>
          <w:bCs/>
          <w:color w:val="000000"/>
          <w:rtl/>
        </w:rPr>
        <w:t>אלישע איידן נ' מדינת ישראל</w:t>
      </w:r>
      <w:r w:rsidR="00BC3EBB" w:rsidRPr="00732EE0">
        <w:rPr>
          <w:rFonts w:ascii="David" w:hAnsi="David"/>
          <w:color w:val="000000"/>
          <w:rtl/>
        </w:rPr>
        <w:t xml:space="preserve"> (01.05.24) </w:t>
      </w:r>
      <w:r>
        <w:rPr>
          <w:rFonts w:ascii="David" w:hAnsi="David"/>
          <w:color w:val="000000"/>
          <w:rtl/>
        </w:rPr>
        <w:t xml:space="preserve"> </w:t>
      </w:r>
      <w:r w:rsidR="00BC3EBB">
        <w:rPr>
          <w:rFonts w:ascii="David" w:hAnsi="David"/>
          <w:color w:val="000000"/>
          <w:rtl/>
        </w:rPr>
        <w:t xml:space="preserve">המערער נדון בבית המשפט </w:t>
      </w:r>
      <w:r w:rsidR="00BC3EBB">
        <w:rPr>
          <w:rFonts w:ascii="David" w:hAnsi="David" w:hint="cs"/>
          <w:color w:val="000000"/>
          <w:rtl/>
        </w:rPr>
        <w:t xml:space="preserve">המחוזי ל- </w:t>
      </w:r>
      <w:r w:rsidR="00BC3EBB">
        <w:rPr>
          <w:rFonts w:ascii="David" w:hAnsi="David" w:hint="cs"/>
          <w:b/>
          <w:bCs/>
          <w:color w:val="000000"/>
          <w:rtl/>
        </w:rPr>
        <w:t xml:space="preserve">14 חודשי מאסר </w:t>
      </w:r>
      <w:r w:rsidR="00BC3EBB">
        <w:rPr>
          <w:rFonts w:ascii="David" w:hAnsi="David"/>
          <w:color w:val="000000"/>
          <w:rtl/>
        </w:rPr>
        <w:t>בפוע</w:t>
      </w:r>
      <w:r w:rsidR="00BC3EBB">
        <w:rPr>
          <w:rFonts w:ascii="David" w:hAnsi="David" w:hint="cs"/>
          <w:color w:val="000000"/>
          <w:rtl/>
        </w:rPr>
        <w:t>ל,</w:t>
      </w:r>
      <w:r w:rsidR="00BC3EBB">
        <w:rPr>
          <w:rFonts w:ascii="David" w:hAnsi="David" w:hint="cs"/>
          <w:b/>
          <w:bCs/>
          <w:color w:val="000000"/>
          <w:rtl/>
        </w:rPr>
        <w:t xml:space="preserve"> ק</w:t>
      </w:r>
      <w:r w:rsidR="00BC3EBB" w:rsidRPr="00732EE0">
        <w:rPr>
          <w:rFonts w:ascii="David" w:hAnsi="David"/>
          <w:b/>
          <w:bCs/>
          <w:color w:val="000000"/>
          <w:rtl/>
        </w:rPr>
        <w:t>נס בסך 10,000 ₪</w:t>
      </w:r>
      <w:r>
        <w:rPr>
          <w:rFonts w:ascii="David" w:hAnsi="David"/>
          <w:color w:val="000000"/>
          <w:rtl/>
        </w:rPr>
        <w:t xml:space="preserve"> </w:t>
      </w:r>
      <w:r w:rsidR="00BC3EBB" w:rsidRPr="00732EE0">
        <w:rPr>
          <w:rFonts w:ascii="David" w:hAnsi="David"/>
          <w:color w:val="000000"/>
          <w:rtl/>
        </w:rPr>
        <w:t>ועונשים נלווים, לאחר שהורשע על פי הודאתו בעבירות ייצור, הכנה והפקת סם, החזקת סם שלא לצריכה עצמית, החזקת חצרים לשם הכנת סם, החזקת כלים המשמשים להכנת סם ונטילת חשמל. המערער שכר בית והשתמש בה כמעבדה לגידול סמים במשך כ- 3.5 חודשים. המערער החזיק במעבדה</w:t>
      </w:r>
      <w:r w:rsidR="00BC3EBB">
        <w:rPr>
          <w:rFonts w:ascii="David" w:hAnsi="David"/>
          <w:color w:val="000000"/>
          <w:rtl/>
        </w:rPr>
        <w:t xml:space="preserve"> ציוד ייעודי לגידול הסמים וגידל</w:t>
      </w:r>
      <w:r w:rsidR="00BC3EBB">
        <w:rPr>
          <w:rFonts w:ascii="David" w:hAnsi="David" w:hint="cs"/>
          <w:color w:val="000000"/>
          <w:rtl/>
        </w:rPr>
        <w:t xml:space="preserve"> </w:t>
      </w:r>
      <w:r w:rsidR="00BC3EBB" w:rsidRPr="00732EE0">
        <w:rPr>
          <w:rFonts w:ascii="David" w:hAnsi="David" w:hint="cs"/>
          <w:color w:val="000000"/>
          <w:rtl/>
        </w:rPr>
        <w:t>364</w:t>
      </w:r>
      <w:r w:rsidR="00BC3EBB">
        <w:rPr>
          <w:rFonts w:ascii="David" w:hAnsi="David" w:hint="cs"/>
          <w:color w:val="000000"/>
          <w:rtl/>
        </w:rPr>
        <w:t xml:space="preserve"> שת</w:t>
      </w:r>
      <w:r w:rsidR="00BC3EBB" w:rsidRPr="00732EE0">
        <w:rPr>
          <w:rFonts w:ascii="David" w:hAnsi="David"/>
          <w:color w:val="000000"/>
          <w:rtl/>
        </w:rPr>
        <w:t>ילי קנבוס במשקל כולל של</w:t>
      </w:r>
      <w:r>
        <w:rPr>
          <w:rFonts w:ascii="David" w:hAnsi="David"/>
          <w:color w:val="000000"/>
          <w:rtl/>
        </w:rPr>
        <w:t xml:space="preserve"> </w:t>
      </w:r>
      <w:r w:rsidR="00BC3EBB">
        <w:rPr>
          <w:rFonts w:ascii="David" w:hAnsi="David"/>
          <w:b/>
          <w:bCs/>
          <w:color w:val="000000"/>
        </w:rPr>
        <w:t xml:space="preserve"> </w:t>
      </w:r>
      <w:r w:rsidR="00BC3EBB" w:rsidRPr="00732EE0">
        <w:rPr>
          <w:rFonts w:ascii="David" w:hAnsi="David"/>
          <w:b/>
          <w:bCs/>
          <w:color w:val="000000"/>
        </w:rPr>
        <w:t>150</w:t>
      </w:r>
      <w:r>
        <w:rPr>
          <w:rFonts w:ascii="David" w:hAnsi="David"/>
          <w:color w:val="000000"/>
        </w:rPr>
        <w:t xml:space="preserve"> </w:t>
      </w:r>
      <w:r w:rsidR="00BC3EBB" w:rsidRPr="00732EE0">
        <w:rPr>
          <w:rFonts w:ascii="David" w:hAnsi="David"/>
          <w:color w:val="000000"/>
          <w:rtl/>
        </w:rPr>
        <w:t>ק"ג. כן התחבר לרשת חשמל שלא כדין והשתמש בחשמל השייך לחברת החשמל. נקבע מתחם ענישה הולם שנע בין</w:t>
      </w:r>
      <w:r>
        <w:rPr>
          <w:rFonts w:ascii="David" w:hAnsi="David"/>
          <w:color w:val="000000"/>
          <w:rtl/>
        </w:rPr>
        <w:t xml:space="preserve"> </w:t>
      </w:r>
      <w:r w:rsidR="00BC3EBB" w:rsidRPr="00732EE0">
        <w:rPr>
          <w:rFonts w:ascii="David" w:hAnsi="David"/>
          <w:b/>
          <w:bCs/>
          <w:color w:val="000000"/>
        </w:rPr>
        <w:t xml:space="preserve">24 - 48 </w:t>
      </w:r>
      <w:r w:rsidR="00BC3EBB">
        <w:rPr>
          <w:rFonts w:ascii="David" w:hAnsi="David" w:hint="cs"/>
          <w:b/>
          <w:bCs/>
          <w:color w:val="000000"/>
          <w:rtl/>
        </w:rPr>
        <w:t xml:space="preserve"> ח</w:t>
      </w:r>
      <w:r w:rsidR="00BC3EBB" w:rsidRPr="00732EE0">
        <w:rPr>
          <w:rFonts w:ascii="David" w:hAnsi="David"/>
          <w:b/>
          <w:bCs/>
          <w:color w:val="000000"/>
          <w:rtl/>
        </w:rPr>
        <w:t>ודשי מאסר</w:t>
      </w:r>
      <w:r>
        <w:rPr>
          <w:rFonts w:ascii="David" w:hAnsi="David"/>
          <w:color w:val="000000"/>
          <w:rtl/>
        </w:rPr>
        <w:t xml:space="preserve"> </w:t>
      </w:r>
      <w:r w:rsidR="00BC3EBB" w:rsidRPr="00732EE0">
        <w:rPr>
          <w:rFonts w:ascii="David" w:hAnsi="David"/>
          <w:color w:val="000000"/>
          <w:rtl/>
        </w:rPr>
        <w:t>ונגזר דינו כאמור לעיל, בשים לב להודאתו המידית, שיתוף הפעולה המלא עם שירות המבחן והפגנת מוטיבציה כנה ואמתית לשינוי. המערער חזר בו מהערעור בהמלצת בית המשפט העליון</w:t>
      </w:r>
      <w:r w:rsidR="00BC3EBB" w:rsidRPr="00732EE0">
        <w:rPr>
          <w:rFonts w:ascii="David" w:hAnsi="David"/>
          <w:color w:val="000000"/>
        </w:rPr>
        <w:t>.</w:t>
      </w:r>
    </w:p>
    <w:p w14:paraId="6C9A5116" w14:textId="77777777" w:rsidR="00BC3EBB" w:rsidRDefault="00BC3EBB" w:rsidP="00BC3EBB">
      <w:pPr>
        <w:spacing w:line="360" w:lineRule="auto"/>
        <w:ind w:left="720"/>
        <w:jc w:val="both"/>
        <w:rPr>
          <w:color w:val="000000"/>
          <w:rtl/>
        </w:rPr>
      </w:pPr>
    </w:p>
    <w:p w14:paraId="7725A4BC" w14:textId="77777777" w:rsidR="00BC3EBB" w:rsidRDefault="00DF5B96" w:rsidP="00BC3EBB">
      <w:pPr>
        <w:spacing w:line="360" w:lineRule="auto"/>
        <w:ind w:left="720"/>
        <w:jc w:val="both"/>
        <w:rPr>
          <w:color w:val="000000"/>
          <w:rtl/>
        </w:rPr>
      </w:pPr>
      <w:hyperlink r:id="rId27" w:history="1">
        <w:r w:rsidRPr="00DF5B96">
          <w:rPr>
            <w:color w:val="0000FF"/>
            <w:u w:val="single"/>
            <w:rtl/>
          </w:rPr>
          <w:t>ע"פ 2729/22</w:t>
        </w:r>
      </w:hyperlink>
      <w:r>
        <w:rPr>
          <w:rFonts w:hint="cs"/>
          <w:color w:val="000000"/>
          <w:rtl/>
        </w:rPr>
        <w:t xml:space="preserve"> </w:t>
      </w:r>
      <w:r w:rsidR="00BC3EBB">
        <w:rPr>
          <w:rFonts w:hint="cs"/>
          <w:b/>
          <w:bCs/>
          <w:color w:val="000000"/>
          <w:rtl/>
        </w:rPr>
        <w:t>מיכאל שיטרית נ' מדינת ישראל</w:t>
      </w:r>
      <w:r w:rsidR="00BC3EBB">
        <w:rPr>
          <w:rFonts w:hint="cs"/>
          <w:color w:val="000000"/>
          <w:rtl/>
        </w:rPr>
        <w:t xml:space="preserve"> (‏3.5.2023</w:t>
      </w:r>
      <w:r w:rsidR="00BC3EBB">
        <w:rPr>
          <w:color w:val="000000"/>
        </w:rPr>
        <w:t>(</w:t>
      </w:r>
      <w:r w:rsidR="00BC3EBB">
        <w:rPr>
          <w:color w:val="000000"/>
          <w:rtl/>
        </w:rPr>
        <w:t xml:space="preserve"> </w:t>
      </w:r>
      <w:r w:rsidR="00BC3EBB">
        <w:rPr>
          <w:rFonts w:hint="cs"/>
          <w:color w:val="000000"/>
          <w:rtl/>
        </w:rPr>
        <w:t>עניינן של העבירות בהן הורשע מלכה בהקמה ובהפעלה של שתי מעבדות לגידול הסם בערים רעננה וחולון. לפי כתב האישום המתוקן, מלכה שכר יחידת דיור בבית ברעננה, והקים בה מעבדה שאותה הפעיל, בסיוע שלושה נאשמים אחרים, במשך כחמישה חודשים וחצי. זאת, תוך ציוד המעבדה בציוד רב הכולל מזגנים, מפוחים, אדניות, רפלקטורים ומנורות. במסגרת הפעלת מעבדה זו, מלכה אף נטל שלא כדין חשמל. במעבדה ברעננה נתפסו כ-650 שתילים של הסם במשקל כולל של</w:t>
      </w:r>
      <w:r w:rsidR="00BC3EBB">
        <w:rPr>
          <w:rFonts w:hint="cs"/>
          <w:b/>
          <w:bCs/>
          <w:color w:val="000000"/>
          <w:rtl/>
        </w:rPr>
        <w:t xml:space="preserve"> 131.16 ק"ג</w:t>
      </w:r>
      <w:r w:rsidR="00BC3EBB">
        <w:rPr>
          <w:rFonts w:hint="cs"/>
          <w:color w:val="000000"/>
          <w:rtl/>
        </w:rPr>
        <w:t xml:space="preserve">, ששווים מוערך בכ-13,116,000 ש"ח. ביני לביני, ביום 23.7.2020 שכר מלכה יחידת דיור בבית פרטי בחולון, הפעיל שם מעבדה לגידול הסם, תוך ציודה בציוד רב. במעבדה בחולון נתפסו כ-347 שתילים במשקל כולל של </w:t>
      </w:r>
      <w:r w:rsidR="00BC3EBB">
        <w:rPr>
          <w:rFonts w:hint="cs"/>
          <w:b/>
          <w:bCs/>
          <w:color w:val="000000"/>
          <w:rtl/>
        </w:rPr>
        <w:t>5.14 ק"ג</w:t>
      </w:r>
      <w:r w:rsidR="00BC3EBB">
        <w:rPr>
          <w:rFonts w:hint="cs"/>
          <w:color w:val="000000"/>
          <w:rtl/>
        </w:rPr>
        <w:t xml:space="preserve"> ובשווי מוערך של כ-514,000 ש"ח. באשר לשטרית, בכתב האישום המתוקן, שטרית ונאשם נוסף נתנו לאחד הנאשמים האחרים אמצעים להקמת מעבדה לגידול הסם בפתח תקווה, אשר פעלה חודשיים – אז נתפסו בה כ-791 שתילים של הסם במשקל כולל של </w:t>
      </w:r>
      <w:r w:rsidR="00BC3EBB">
        <w:rPr>
          <w:rFonts w:hint="cs"/>
          <w:b/>
          <w:bCs/>
          <w:color w:val="000000"/>
          <w:rtl/>
        </w:rPr>
        <w:t>40.54 ק"ג</w:t>
      </w:r>
      <w:r w:rsidR="00BC3EBB">
        <w:rPr>
          <w:rFonts w:hint="cs"/>
          <w:color w:val="000000"/>
          <w:rtl/>
        </w:rPr>
        <w:t xml:space="preserve"> ובשווי מוערך של כ-4,054,000 ש"ח. הפר את התנאים המגבילים שנקבעו לו כך שיצא לביקור במעבדה. לפי עובדות כתב האישום נושא ההליך בירושלים, במשך כשנה ועוד קודם להקמת המעבדה בפתח-תקווה – הקים שטרית והפעיל מעבדה לגידול הסם במחסן הדירה השכורה שבה התגורר יחד עם אשתו ושני ילדיו בגבעת זאב. שטרית החזיק והתקין את הציוד הדרוש לגידול הסם, ושתל במעבדה – בעצמו או באמצעות אחרים – 400 שתילי סם. בנוסף אחסן שטרית סם במסדרון שבדירה ובאחד מהחדרים, וכן נטל שלא כדין חשמל. בדירה נמצאו </w:t>
      </w:r>
      <w:r w:rsidR="00BC3EBB">
        <w:rPr>
          <w:rFonts w:hint="cs"/>
          <w:b/>
          <w:bCs/>
          <w:color w:val="000000"/>
          <w:rtl/>
        </w:rPr>
        <w:t>70 ק"ג</w:t>
      </w:r>
      <w:r w:rsidR="00BC3EBB">
        <w:rPr>
          <w:rFonts w:hint="cs"/>
          <w:color w:val="000000"/>
          <w:rtl/>
        </w:rPr>
        <w:t xml:space="preserve"> של הסם. </w:t>
      </w:r>
      <w:r w:rsidR="00BC3EBB">
        <w:rPr>
          <w:rFonts w:hint="cs"/>
          <w:color w:val="000000"/>
          <w:spacing w:val="10"/>
          <w:rtl/>
        </w:rPr>
        <w:t>קבע בית המשפט מתחם עונש הולם של 36 עד 60 חודשי מאסר בפועל עבור מכלול העבירות שבהן הורשע מלכה, ומתחם של 25 עד 50 חודשי מאסר בפועל עבור העבירות שבהן הורשע שטרית</w:t>
      </w:r>
      <w:r w:rsidR="00BC3EBB">
        <w:rPr>
          <w:color w:val="000000"/>
          <w:spacing w:val="10"/>
        </w:rPr>
        <w:t>.</w:t>
      </w:r>
      <w:r w:rsidR="00BC3EBB">
        <w:rPr>
          <w:rFonts w:ascii="FrankRuehl" w:hAnsi="FrankRuehl" w:cs="FrankRuehl"/>
          <w:color w:val="000000"/>
          <w:spacing w:val="10"/>
          <w:sz w:val="28"/>
          <w:szCs w:val="28"/>
          <w:rtl/>
        </w:rPr>
        <w:t xml:space="preserve"> </w:t>
      </w:r>
      <w:r w:rsidR="00BC3EBB">
        <w:rPr>
          <w:rFonts w:hint="cs"/>
          <w:color w:val="000000"/>
          <w:rtl/>
        </w:rPr>
        <w:t xml:space="preserve">משיקולי שיקולי שיקום גזר על מלכה עונש של 32 חודשי מאסר בפועל וענישה נלוות. לפיכך הוטל על שטרית עונש מאסר בפועל של 25 חודשים וענישה נלוות. הערעור של מלכה נדחה. הערעור של שטרית התקבל כך שהופחתו ל- 19 חודשי מאסר משיקולי שיקום. </w:t>
      </w:r>
    </w:p>
    <w:p w14:paraId="7A2DC84A" w14:textId="77777777" w:rsidR="00BC3EBB" w:rsidRDefault="00BC3EBB" w:rsidP="00BC3EBB">
      <w:pPr>
        <w:spacing w:line="360" w:lineRule="auto"/>
        <w:ind w:left="720"/>
        <w:jc w:val="both"/>
        <w:rPr>
          <w:color w:val="000000"/>
          <w:rtl/>
        </w:rPr>
      </w:pPr>
    </w:p>
    <w:p w14:paraId="4969B2CC" w14:textId="77777777" w:rsidR="00BC3EBB" w:rsidRDefault="00DF5B96" w:rsidP="00BC3EBB">
      <w:pPr>
        <w:spacing w:line="360" w:lineRule="auto"/>
        <w:ind w:left="720"/>
        <w:jc w:val="both"/>
        <w:rPr>
          <w:color w:val="000000"/>
          <w:rtl/>
        </w:rPr>
      </w:pPr>
      <w:hyperlink r:id="rId28" w:history="1">
        <w:r w:rsidRPr="00DF5B96">
          <w:rPr>
            <w:color w:val="0000FF"/>
            <w:u w:val="single"/>
            <w:rtl/>
          </w:rPr>
          <w:t>ע"פ 717/22</w:t>
        </w:r>
      </w:hyperlink>
      <w:r w:rsidR="00BC3EBB">
        <w:rPr>
          <w:rFonts w:hint="cs"/>
          <w:color w:val="000000"/>
          <w:rtl/>
        </w:rPr>
        <w:t xml:space="preserve"> </w:t>
      </w:r>
      <w:r w:rsidR="00BC3EBB">
        <w:rPr>
          <w:rFonts w:hint="cs"/>
          <w:b/>
          <w:bCs/>
          <w:color w:val="000000"/>
          <w:rtl/>
        </w:rPr>
        <w:t>סלאמה נ' מדינת ישראל</w:t>
      </w:r>
      <w:r w:rsidR="00BC3EBB">
        <w:rPr>
          <w:rFonts w:hint="cs"/>
          <w:color w:val="000000"/>
          <w:rtl/>
        </w:rPr>
        <w:t xml:space="preserve"> (1.2.2023) - המערער הורשע על לאחר ניהול הוכחות בעבירות של גידול סם מסוכן והחזקת סם מסוכן שלא לצריכה עצמית, בכך שגידל בחממה צמוד לביתו כ-740 שתילים של סם מסוכן מסוג קנבוס, במשקל כולל של </w:t>
      </w:r>
      <w:r w:rsidR="00BC3EBB">
        <w:rPr>
          <w:rFonts w:hint="cs"/>
          <w:b/>
          <w:bCs/>
          <w:color w:val="000000"/>
          <w:rtl/>
        </w:rPr>
        <w:t>114 ק"ג</w:t>
      </w:r>
      <w:r w:rsidR="00BC3EBB">
        <w:rPr>
          <w:rFonts w:hint="cs"/>
          <w:color w:val="000000"/>
          <w:rtl/>
        </w:rPr>
        <w:t xml:space="preserve">. בית המשפט המחוזי קבע </w:t>
      </w:r>
      <w:r w:rsidR="00BC3EBB">
        <w:rPr>
          <w:rFonts w:hint="cs"/>
          <w:b/>
          <w:bCs/>
          <w:color w:val="000000"/>
          <w:rtl/>
        </w:rPr>
        <w:t>מתחם ענישה שנע בין 30 ל-54 חודשי מאסר</w:t>
      </w:r>
      <w:r w:rsidR="00BC3EBB">
        <w:rPr>
          <w:rFonts w:hint="cs"/>
          <w:color w:val="000000"/>
          <w:rtl/>
        </w:rPr>
        <w:t xml:space="preserve">, והשית על הנאשם 45 חודשי מאסר בפועל, תוך הפעלת מאסר על תנאי, לצד ענישה נלווית. ערעור לבית המשפט העליון על חומרת העונש התקבל, כך שהושתו על הנאשם בסופו של דבר </w:t>
      </w:r>
      <w:r w:rsidR="00BC3EBB">
        <w:rPr>
          <w:rFonts w:hint="cs"/>
          <w:b/>
          <w:bCs/>
          <w:color w:val="000000"/>
          <w:rtl/>
        </w:rPr>
        <w:t>36 חודשי מאסר</w:t>
      </w:r>
      <w:r w:rsidR="00BC3EBB">
        <w:rPr>
          <w:rFonts w:hint="cs"/>
          <w:color w:val="000000"/>
          <w:rtl/>
        </w:rPr>
        <w:t>, בשים לב למתחם הענישה שקבע בית המשפט המחוזי.</w:t>
      </w:r>
    </w:p>
    <w:p w14:paraId="76FD15F2" w14:textId="77777777" w:rsidR="00BC3EBB" w:rsidRDefault="00BC3EBB" w:rsidP="00BC3EBB">
      <w:pPr>
        <w:ind w:left="720"/>
        <w:jc w:val="both"/>
        <w:rPr>
          <w:color w:val="000000"/>
          <w:rtl/>
        </w:rPr>
      </w:pPr>
    </w:p>
    <w:p w14:paraId="663FDCF2" w14:textId="77777777" w:rsidR="00BC3EBB" w:rsidRDefault="00DF5B96" w:rsidP="00BC3EBB">
      <w:pPr>
        <w:spacing w:line="360" w:lineRule="auto"/>
        <w:ind w:left="720"/>
        <w:jc w:val="both"/>
        <w:rPr>
          <w:color w:val="000000"/>
          <w:rtl/>
        </w:rPr>
      </w:pPr>
      <w:hyperlink r:id="rId29" w:history="1">
        <w:r w:rsidRPr="00DF5B96">
          <w:rPr>
            <w:color w:val="0000FF"/>
            <w:u w:val="single"/>
            <w:rtl/>
          </w:rPr>
          <w:t>ע"פ 6614/22</w:t>
        </w:r>
      </w:hyperlink>
      <w:r w:rsidR="00BC3EBB">
        <w:rPr>
          <w:rFonts w:hint="cs"/>
          <w:color w:val="000000"/>
          <w:rtl/>
        </w:rPr>
        <w:t xml:space="preserve"> </w:t>
      </w:r>
      <w:r w:rsidR="00BC3EBB">
        <w:rPr>
          <w:rFonts w:hint="cs"/>
          <w:b/>
          <w:bCs/>
          <w:color w:val="000000"/>
          <w:rtl/>
        </w:rPr>
        <w:t>אלעזאזמה נ' מדינת ישראל</w:t>
      </w:r>
      <w:r w:rsidR="00BC3EBB">
        <w:rPr>
          <w:rFonts w:hint="cs"/>
          <w:color w:val="000000"/>
          <w:rtl/>
        </w:rPr>
        <w:t xml:space="preserve"> (8.1.2023) - המערער הורשע על יסוד הודאתו במסגרת הסדר טיעון בעבירות של ייצור, הכנה והפקה של סם מסוגן מסוג קנבוס, וכן שהייה בלתי חוקית בישראל, יחד עם אחר שסייע לו, לאחר שהקים מעבדה לגידול קנבוס בה נתפסו</w:t>
      </w:r>
      <w:r>
        <w:rPr>
          <w:rFonts w:hint="cs"/>
          <w:color w:val="000000"/>
          <w:rtl/>
        </w:rPr>
        <w:t xml:space="preserve"> </w:t>
      </w:r>
      <w:r w:rsidR="00BC3EBB">
        <w:rPr>
          <w:rFonts w:hint="cs"/>
          <w:b/>
          <w:bCs/>
          <w:color w:val="000000"/>
          <w:rtl/>
        </w:rPr>
        <w:t xml:space="preserve">270 ק"ג </w:t>
      </w:r>
      <w:r w:rsidR="00BC3EBB">
        <w:rPr>
          <w:rFonts w:hint="cs"/>
          <w:color w:val="000000"/>
          <w:rtl/>
        </w:rPr>
        <w:t xml:space="preserve">של סם. בית המשפט המחוזי קבע </w:t>
      </w:r>
      <w:r w:rsidR="00BC3EBB">
        <w:rPr>
          <w:rFonts w:hint="cs"/>
          <w:b/>
          <w:bCs/>
          <w:color w:val="000000"/>
          <w:rtl/>
        </w:rPr>
        <w:t>מתחם ענישה שנע בין 36 ל-60 חודשי מאסר</w:t>
      </w:r>
      <w:r w:rsidR="00BC3EBB">
        <w:rPr>
          <w:rFonts w:hint="cs"/>
          <w:color w:val="000000"/>
          <w:rtl/>
        </w:rPr>
        <w:t xml:space="preserve">, והשית על הנאשם 42 חודשי מאסר, לצד ענישה נלווית. ערעור לבית המשפט העליון על חומרת העונש התקבל, כך שהושתו על הנאשם בסופו של דבר </w:t>
      </w:r>
      <w:r w:rsidR="00BC3EBB">
        <w:rPr>
          <w:rFonts w:hint="cs"/>
          <w:b/>
          <w:bCs/>
          <w:color w:val="000000"/>
          <w:rtl/>
        </w:rPr>
        <w:t>34 חודשי מאסר</w:t>
      </w:r>
      <w:r w:rsidR="00BC3EBB">
        <w:rPr>
          <w:rFonts w:hint="cs"/>
          <w:color w:val="000000"/>
          <w:rtl/>
        </w:rPr>
        <w:t>, וכן הופחת הקנס משמעותית, זאת בעיקר בשל הצורך בהלימה מסוימת לעונשו של האחר המסייע.</w:t>
      </w:r>
    </w:p>
    <w:p w14:paraId="3B0C2FD1" w14:textId="77777777" w:rsidR="00BC3EBB" w:rsidRDefault="00BC3EBB" w:rsidP="00BC3EBB">
      <w:pPr>
        <w:ind w:left="720"/>
        <w:jc w:val="both"/>
        <w:rPr>
          <w:color w:val="000000"/>
          <w:rtl/>
        </w:rPr>
      </w:pPr>
    </w:p>
    <w:p w14:paraId="5D934116" w14:textId="77777777" w:rsidR="00BC3EBB" w:rsidRDefault="00DF5B96" w:rsidP="00BC3EBB">
      <w:pPr>
        <w:spacing w:line="360" w:lineRule="auto"/>
        <w:ind w:left="720"/>
        <w:jc w:val="both"/>
        <w:rPr>
          <w:rtl/>
        </w:rPr>
      </w:pPr>
      <w:hyperlink r:id="rId30" w:history="1">
        <w:r w:rsidRPr="00DF5B96">
          <w:rPr>
            <w:color w:val="0000FF"/>
            <w:u w:val="single"/>
            <w:rtl/>
          </w:rPr>
          <w:t>ע"פ 2596/18</w:t>
        </w:r>
      </w:hyperlink>
      <w:r w:rsidR="00BC3EBB">
        <w:rPr>
          <w:rFonts w:hint="cs"/>
          <w:color w:val="000000"/>
          <w:rtl/>
        </w:rPr>
        <w:t xml:space="preserve"> </w:t>
      </w:r>
      <w:r w:rsidR="00BC3EBB">
        <w:rPr>
          <w:rFonts w:hint="cs"/>
          <w:b/>
          <w:bCs/>
          <w:color w:val="000000"/>
          <w:rtl/>
        </w:rPr>
        <w:t>זנזורי נ' מדינת ישראל</w:t>
      </w:r>
      <w:r w:rsidR="00BC3EBB">
        <w:rPr>
          <w:rFonts w:hint="cs"/>
          <w:color w:val="000000"/>
          <w:rtl/>
        </w:rPr>
        <w:t xml:space="preserve"> (12.8.2018) - המערער הורשע בעבירות של ייצור, הכנה והפקה של סם מסוגן מסוג קנבוס, קשירת קשר לפשע ושיבוש מהלכי משפט לאחר שהקים מעבדה לגידול קנבוס בה נתפסו</w:t>
      </w:r>
      <w:r>
        <w:rPr>
          <w:rFonts w:hint="cs"/>
          <w:color w:val="000000"/>
          <w:rtl/>
        </w:rPr>
        <w:t xml:space="preserve"> </w:t>
      </w:r>
      <w:r w:rsidR="00BC3EBB">
        <w:rPr>
          <w:rFonts w:hint="cs"/>
          <w:b/>
          <w:bCs/>
          <w:color w:val="000000"/>
          <w:rtl/>
        </w:rPr>
        <w:t>137.6 ק"ג של סם</w:t>
      </w:r>
      <w:r w:rsidR="00BC3EBB">
        <w:rPr>
          <w:rFonts w:hint="cs"/>
          <w:color w:val="000000"/>
          <w:rtl/>
        </w:rPr>
        <w:t>. נקבע מתחם ענישה שנע בין</w:t>
      </w:r>
      <w:r>
        <w:rPr>
          <w:rFonts w:hint="cs"/>
          <w:color w:val="000000"/>
          <w:rtl/>
        </w:rPr>
        <w:t xml:space="preserve"> </w:t>
      </w:r>
      <w:r w:rsidR="00BC3EBB">
        <w:rPr>
          <w:rFonts w:hint="cs"/>
          <w:b/>
          <w:bCs/>
          <w:color w:val="000000"/>
          <w:rtl/>
        </w:rPr>
        <w:t>36 ל-56 חודשי מאסר בפועל</w:t>
      </w:r>
      <w:r w:rsidR="00BC3EBB">
        <w:rPr>
          <w:rFonts w:hint="cs"/>
          <w:color w:val="000000"/>
          <w:rtl/>
        </w:rPr>
        <w:t>. על המערער הושת מאסר בפועל של 26 חודשים, וזאת בשל הסיכוי הממשי לשיקום. בית המשפט עליון דחה את הערעור על חומרת העונש</w:t>
      </w:r>
      <w:r w:rsidR="00BC3EBB">
        <w:rPr>
          <w:rFonts w:hint="cs"/>
          <w:rtl/>
        </w:rPr>
        <w:t>.</w:t>
      </w:r>
    </w:p>
    <w:p w14:paraId="7534D2DD" w14:textId="77777777" w:rsidR="00BC3EBB" w:rsidRDefault="00BC3EBB" w:rsidP="00BC3EBB">
      <w:pPr>
        <w:ind w:left="720"/>
        <w:jc w:val="both"/>
        <w:rPr>
          <w:rtl/>
        </w:rPr>
      </w:pPr>
    </w:p>
    <w:p w14:paraId="068A5B61" w14:textId="77777777" w:rsidR="00BC3EBB" w:rsidRDefault="00DF5B96" w:rsidP="00BC3EBB">
      <w:pPr>
        <w:spacing w:line="360" w:lineRule="auto"/>
        <w:ind w:left="720"/>
        <w:jc w:val="both"/>
        <w:rPr>
          <w:color w:val="000000"/>
          <w:rtl/>
        </w:rPr>
      </w:pPr>
      <w:hyperlink r:id="rId31" w:history="1">
        <w:r w:rsidRPr="00DF5B96">
          <w:rPr>
            <w:color w:val="0000FF"/>
            <w:u w:val="single"/>
            <w:rtl/>
          </w:rPr>
          <w:t>ע"פ 5093/17</w:t>
        </w:r>
      </w:hyperlink>
      <w:r w:rsidR="00BC3EBB">
        <w:rPr>
          <w:rFonts w:hint="cs"/>
          <w:rtl/>
        </w:rPr>
        <w:t xml:space="preserve"> </w:t>
      </w:r>
      <w:r w:rsidR="00BC3EBB">
        <w:rPr>
          <w:rFonts w:hint="cs"/>
          <w:b/>
          <w:bCs/>
          <w:rtl/>
        </w:rPr>
        <w:t xml:space="preserve">בקשט נ' מדינת ישראל </w:t>
      </w:r>
      <w:r w:rsidR="00BC3EBB">
        <w:rPr>
          <w:rFonts w:hint="cs"/>
          <w:rtl/>
        </w:rPr>
        <w:t xml:space="preserve">(1.1.2018) - המערערים הורשעו </w:t>
      </w:r>
      <w:r w:rsidR="00BC3EBB">
        <w:rPr>
          <w:rFonts w:hint="cs"/>
          <w:color w:val="000000"/>
          <w:rtl/>
        </w:rPr>
        <w:t xml:space="preserve">על יסוד הודאתם בעבירות של ייצור, הכנה והפקה של סם מסוכן וקשירת קשר לפשע, לאחר שהקימו מעבדה לגידול סם מסוכן מסוג קנבוס בה נתפסו שתילים שהגיעו למשקל של </w:t>
      </w:r>
      <w:r w:rsidR="00BC3EBB">
        <w:rPr>
          <w:rFonts w:hint="cs"/>
          <w:b/>
          <w:bCs/>
          <w:color w:val="000000"/>
          <w:rtl/>
        </w:rPr>
        <w:t>131 ק"ג</w:t>
      </w:r>
      <w:r w:rsidR="00BC3EBB">
        <w:rPr>
          <w:rFonts w:hint="cs"/>
          <w:color w:val="000000"/>
          <w:rtl/>
        </w:rPr>
        <w:t xml:space="preserve">. נקבע </w:t>
      </w:r>
      <w:r w:rsidR="00BC3EBB">
        <w:rPr>
          <w:rFonts w:hint="cs"/>
          <w:b/>
          <w:bCs/>
          <w:color w:val="000000"/>
          <w:rtl/>
        </w:rPr>
        <w:t>מתחם ענישה שנע בין 30 ל-48 חודשי מאסר</w:t>
      </w:r>
      <w:r w:rsidR="00BC3EBB">
        <w:rPr>
          <w:rFonts w:hint="cs"/>
          <w:color w:val="000000"/>
          <w:rtl/>
        </w:rPr>
        <w:t>. בית המשפט העליון קבע כי העונש שהושת על המערערים אינו חורג מרף הענישה הנוהג, ואולם נוכח התסקירים החיוביים בעניינם, ומטעמי שיקום, הוחלט להקל בעונשם ל-28 חודשים (חלף 34 חודשים) ו-24 חודשים (חלף 30 חודשים)</w:t>
      </w:r>
      <w:r w:rsidR="00BC3EBB">
        <w:rPr>
          <w:color w:val="000000"/>
        </w:rPr>
        <w:t>.</w:t>
      </w:r>
    </w:p>
    <w:p w14:paraId="04E04BB8" w14:textId="77777777" w:rsidR="00BC3EBB" w:rsidRDefault="00BC3EBB" w:rsidP="00BC3EBB">
      <w:pPr>
        <w:rPr>
          <w:rtl/>
        </w:rPr>
      </w:pPr>
    </w:p>
    <w:p w14:paraId="2BC57D27" w14:textId="77777777" w:rsidR="00BC3EBB" w:rsidRDefault="00BC3EBB" w:rsidP="00BC3EBB">
      <w:pPr>
        <w:spacing w:line="360" w:lineRule="auto"/>
        <w:ind w:left="720" w:hanging="720"/>
        <w:jc w:val="both"/>
        <w:rPr>
          <w:rFonts w:ascii="David" w:hAnsi="David"/>
          <w:rtl/>
          <w:lang w:eastAsia="he-IL"/>
        </w:rPr>
      </w:pPr>
      <w:r>
        <w:rPr>
          <w:rFonts w:hint="cs"/>
          <w:rtl/>
        </w:rPr>
        <w:t>10.</w:t>
      </w:r>
      <w:r>
        <w:rPr>
          <w:rtl/>
        </w:rPr>
        <w:tab/>
      </w:r>
      <w:r w:rsidRPr="00432E2C">
        <w:rPr>
          <w:rFonts w:ascii="David" w:hAnsi="David"/>
          <w:rtl/>
          <w:lang w:eastAsia="he-IL"/>
        </w:rPr>
        <w:t xml:space="preserve">בהתאם לסעיף </w:t>
      </w:r>
      <w:hyperlink r:id="rId32" w:history="1">
        <w:r w:rsidR="00A708D7" w:rsidRPr="00A708D7">
          <w:rPr>
            <w:rStyle w:val="Hyperlink"/>
            <w:rFonts w:ascii="David" w:hAnsi="David"/>
            <w:color w:val="0000FF"/>
            <w:rtl/>
            <w:lang w:eastAsia="he-IL"/>
          </w:rPr>
          <w:t>40 ג(א)</w:t>
        </w:r>
      </w:hyperlink>
      <w:r w:rsidRPr="00432E2C">
        <w:rPr>
          <w:rFonts w:ascii="David" w:hAnsi="David"/>
          <w:rtl/>
          <w:lang w:eastAsia="he-IL"/>
        </w:rPr>
        <w:t xml:space="preserve"> ל</w:t>
      </w:r>
      <w:hyperlink r:id="rId33" w:history="1">
        <w:r w:rsidR="00DF5B96" w:rsidRPr="00DF5B96">
          <w:rPr>
            <w:rFonts w:ascii="David" w:hAnsi="David"/>
            <w:color w:val="0000FF"/>
            <w:u w:val="single"/>
            <w:rtl/>
            <w:lang w:eastAsia="he-IL"/>
          </w:rPr>
          <w:t>חוק העונשין</w:t>
        </w:r>
      </w:hyperlink>
      <w:r w:rsidRPr="00432E2C">
        <w:rPr>
          <w:rFonts w:ascii="David" w:hAnsi="David"/>
          <w:rtl/>
          <w:lang w:eastAsia="he-IL"/>
        </w:rPr>
        <w:t>, התשל"ז – 1977, בית המשפט יקבע מתחם עונש הולם למעשה העבירה שביצע הנאשם, בהתאם לעיקרון המנחה. לשם כך, יתחשב בערך החברתי שנפגע מביצוע העבירה, במידת הפגיעה בו, במדיניות הענישה הנהוגה ובנסיבות הקשורות בביצוע העבירה. במקרה הנוכחי מדובר בפגיעה קשה בערך המוגן, זאת נוכח כמות הסם שגודלה. מדובר במעבדה בה גודלה כמות סם גדולה מאוד. לו המעבדה הייתה מצליחה להפיץ כמות סם זו, הייתה משיאה רווח ניכר לבעליה. עם זאת, המאשימה הכירה בצורך לרכך את המתחם, נוכח תיקון כתב האישום לפיו הנאשם עבד במעבדה עבור אחר. המאשימה סברה כי מתחם הענישה צריך לעמוד על 36 עד 60 חודשי מאסר, בעוד הסנגור ציין רק את הרף התחתון של 16 חודשי מאסר. שניהם סבורים כי יש למקם את הנאשם ברף התחתון או בקרבתו. לאחר ששמעתי את הצדדים, אני סבור כי שניהם לא תמחרו את המתחם בהתחשב בכל הנתונים הרלוונטיים. המאשימה לא נתנה משקל מספק לכמות הסם שגודלה, ואילו הסנגור לא נתן משקל מספק לכמות הסם שגודלה במעבדה. אני סבור כי מתחם העונש ההולם בגין האירוע הוא 24 עד 40 חודשי מאסר</w:t>
      </w:r>
      <w:r w:rsidRPr="00432E2C">
        <w:rPr>
          <w:rFonts w:ascii="David" w:hAnsi="David"/>
          <w:lang w:eastAsia="he-IL"/>
        </w:rPr>
        <w:t>.</w:t>
      </w:r>
    </w:p>
    <w:p w14:paraId="525F1A8E" w14:textId="77777777" w:rsidR="00BC3EBB" w:rsidRDefault="00BC3EBB" w:rsidP="00BC3EBB">
      <w:pPr>
        <w:spacing w:line="360" w:lineRule="auto"/>
        <w:ind w:left="720" w:hanging="720"/>
        <w:jc w:val="both"/>
        <w:rPr>
          <w:rFonts w:ascii="David" w:hAnsi="David"/>
          <w:rtl/>
          <w:lang w:eastAsia="he-IL"/>
        </w:rPr>
      </w:pPr>
    </w:p>
    <w:p w14:paraId="258AAE2D" w14:textId="77777777" w:rsidR="00BC3EBB" w:rsidRDefault="00BC3EBB" w:rsidP="00BC3EBB">
      <w:pPr>
        <w:spacing w:line="360" w:lineRule="auto"/>
        <w:ind w:left="720" w:hanging="720"/>
        <w:jc w:val="both"/>
        <w:rPr>
          <w:rFonts w:ascii="David" w:hAnsi="David"/>
          <w:rtl/>
          <w:lang w:eastAsia="he-IL"/>
        </w:rPr>
      </w:pPr>
      <w:r>
        <w:rPr>
          <w:rFonts w:ascii="David" w:hAnsi="David" w:hint="cs"/>
          <w:rtl/>
          <w:lang w:eastAsia="he-IL"/>
        </w:rPr>
        <w:t>11.</w:t>
      </w:r>
      <w:r>
        <w:rPr>
          <w:rFonts w:ascii="David" w:hAnsi="David"/>
          <w:rtl/>
          <w:lang w:eastAsia="he-IL"/>
        </w:rPr>
        <w:tab/>
      </w:r>
      <w:r w:rsidRPr="00432E2C">
        <w:rPr>
          <w:rFonts w:ascii="David" w:hAnsi="David"/>
          <w:rtl/>
          <w:lang w:eastAsia="he-IL"/>
        </w:rPr>
        <w:t>במקרה הנוכחי, לחומרת העבירה שני היבטים. המדינה הסכימה כי הנאשם עבד במעבדה עבור אחר. מכך, מידת אשמו אינה גבוהה, נוכח העובדה כי ההשקעה במעבדה והרווחים ממנה היו של אחר. הנאשם, על פי דבריו במכתב שהגיש לבית המשפט, ביצע את המעשה לצורך כיסוי חובות, כך שהמניע למעשיו קיים</w:t>
      </w:r>
      <w:r>
        <w:rPr>
          <w:rFonts w:ascii="David" w:hAnsi="David" w:hint="cs"/>
          <w:rtl/>
          <w:lang w:eastAsia="he-IL"/>
        </w:rPr>
        <w:t xml:space="preserve"> והוא כלכלי</w:t>
      </w:r>
      <w:r w:rsidRPr="00432E2C">
        <w:rPr>
          <w:rFonts w:ascii="David" w:hAnsi="David"/>
          <w:rtl/>
          <w:lang w:eastAsia="he-IL"/>
        </w:rPr>
        <w:t>, אך אינו ברמה בה המעבדה מניבה לו הכנסות. מנגד, לא ניתן להתעלם מכך שללא הנאשם, לא הייתה למעבדה זכות קיום. הנאשם הוא זה שהחזיק ותפעל אותה, ובלעדיו היא לא הייתה קיימת. כך, מידת האשם אומנם אינה ברמה הגבוהה ביותר, אך היא קיימת ומשמעותית, בהתייחס לחלקו של הנאשם בקיומה של המעבדה. המדינה לא הסכימה לתקן את כתב האישום לעברת סיוע, אלא הוסיפה את המינוח "עבור אחר" בסעיף 2 לעובדות כתב האישום. אני סבור כי המדינה נהגה בצדק רב. בהתחשב במידת אשמו של הנאשם, וכן בעובדה כי לא מדובר רק במי שסייע לקיומה של המעבדה, אלא תפעל והחזיק אותה</w:t>
      </w:r>
      <w:r w:rsidRPr="00432E2C">
        <w:rPr>
          <w:rFonts w:ascii="David" w:hAnsi="David"/>
          <w:lang w:eastAsia="he-IL"/>
        </w:rPr>
        <w:t>.</w:t>
      </w:r>
    </w:p>
    <w:p w14:paraId="5448C019" w14:textId="77777777" w:rsidR="00BC3EBB" w:rsidRDefault="00BC3EBB" w:rsidP="00BC3EBB">
      <w:pPr>
        <w:spacing w:line="360" w:lineRule="auto"/>
        <w:ind w:left="720" w:hanging="720"/>
        <w:jc w:val="both"/>
        <w:rPr>
          <w:rFonts w:ascii="David" w:hAnsi="David"/>
          <w:rtl/>
          <w:lang w:eastAsia="he-IL"/>
        </w:rPr>
      </w:pPr>
    </w:p>
    <w:p w14:paraId="05FE716D" w14:textId="77777777" w:rsidR="00BC3EBB" w:rsidRDefault="00BC3EBB" w:rsidP="00BC3EBB">
      <w:pPr>
        <w:spacing w:line="360" w:lineRule="auto"/>
        <w:ind w:left="720" w:hanging="720"/>
        <w:jc w:val="both"/>
        <w:rPr>
          <w:rFonts w:ascii="David" w:hAnsi="David"/>
          <w:rtl/>
          <w:lang w:eastAsia="he-IL"/>
        </w:rPr>
      </w:pPr>
      <w:r>
        <w:rPr>
          <w:rFonts w:ascii="David" w:hAnsi="David" w:hint="cs"/>
          <w:rtl/>
          <w:lang w:eastAsia="he-IL"/>
        </w:rPr>
        <w:t>12.</w:t>
      </w:r>
      <w:r>
        <w:rPr>
          <w:rFonts w:ascii="David" w:hAnsi="David"/>
          <w:rtl/>
          <w:lang w:eastAsia="he-IL"/>
        </w:rPr>
        <w:tab/>
      </w:r>
      <w:r w:rsidRPr="003B6689">
        <w:rPr>
          <w:rFonts w:ascii="David" w:hAnsi="David"/>
          <w:rtl/>
          <w:lang w:eastAsia="he-IL"/>
        </w:rPr>
        <w:t>בהתייחס לנסיבות לקולא, עברו של הנאשם אינו מכביד, הן מבחינת מספר העבירות והן מבחינת סיווגן. לנאשם שלוש הרשעות קודמות: האחת מ-28.02.19 בגין עבירה שבוצעה ב-2016 - החזקת סם לצריכה עצמית; השנייה משנת 2016 בגין עבירה שבוצעה ב-2013 - תקיפה סתם; והשלישית מבית המשפט לנוער בגין עבירות רכוש, בגינן נדון לחודשי מאסר, הרשעה משנת 2012 בגין עבירות מ-2010. אביו של הנאשם העיד וביקש לסייע לו, דבר המלמד על מערך משפחתי דואג ותומך, שיכול להוות בסיס להליך שיקומי עם סיום המאסר. לא ניתן להתעלם מכך שהנאשם הודה, לקח אחריות על מעשיו, הביע חרטה ומבין את הפסול במעשיו, דבר שיכול להוות נסיבה להימנעות מחזרה על מעשיו</w:t>
      </w:r>
      <w:r>
        <w:rPr>
          <w:rFonts w:ascii="David" w:hAnsi="David" w:hint="cs"/>
          <w:rtl/>
          <w:lang w:eastAsia="he-IL"/>
        </w:rPr>
        <w:t xml:space="preserve">. </w:t>
      </w:r>
    </w:p>
    <w:p w14:paraId="0D521D1F" w14:textId="77777777" w:rsidR="00BC3EBB" w:rsidRDefault="00BC3EBB" w:rsidP="00BC3EBB">
      <w:pPr>
        <w:spacing w:line="360" w:lineRule="auto"/>
        <w:ind w:left="720" w:hanging="720"/>
        <w:jc w:val="both"/>
        <w:rPr>
          <w:rFonts w:ascii="David" w:hAnsi="David"/>
          <w:rtl/>
          <w:lang w:eastAsia="he-IL"/>
        </w:rPr>
      </w:pPr>
    </w:p>
    <w:p w14:paraId="2233DC6B" w14:textId="77777777" w:rsidR="00BC3EBB" w:rsidRPr="003B6689" w:rsidRDefault="00BC3EBB" w:rsidP="00BC3EBB">
      <w:pPr>
        <w:spacing w:line="360" w:lineRule="auto"/>
        <w:ind w:left="720" w:hanging="720"/>
        <w:jc w:val="both"/>
        <w:rPr>
          <w:rFonts w:ascii="David" w:hAnsi="David"/>
          <w:lang w:eastAsia="he-IL"/>
        </w:rPr>
      </w:pPr>
      <w:r>
        <w:rPr>
          <w:rFonts w:ascii="David" w:hAnsi="David" w:hint="cs"/>
          <w:rtl/>
          <w:lang w:eastAsia="he-IL"/>
        </w:rPr>
        <w:t>13.</w:t>
      </w:r>
      <w:r>
        <w:rPr>
          <w:rFonts w:ascii="David" w:hAnsi="David"/>
          <w:rtl/>
          <w:lang w:eastAsia="he-IL"/>
        </w:rPr>
        <w:tab/>
      </w:r>
      <w:r w:rsidRPr="003B6689">
        <w:rPr>
          <w:rFonts w:ascii="David" w:hAnsi="David"/>
          <w:rtl/>
          <w:lang w:eastAsia="he-IL"/>
        </w:rPr>
        <w:t xml:space="preserve">בהינתן המתחם האמור, יש לגזור את עונשו של הנאשם תוך שקילת המתחם ותוך התחשבות בנסיבות המשליכות על קביעת העונש המתאים, כאשר בעניינו יש לתת משקל להלימה בגזירת העונש לביצוע העבירה ע"י הנאשם; נסיבות ביצוע העבירה וחומרתה; מידת הפגיעה בערך המוגן; גילו של הנאשם; </w:t>
      </w:r>
      <w:r w:rsidRPr="003B6689">
        <w:rPr>
          <w:rFonts w:ascii="David" w:hAnsi="David"/>
          <w:rtl/>
        </w:rPr>
        <w:t>הנסיבות עליהן עמדו הצדדים בטיעוניהם</w:t>
      </w:r>
      <w:r w:rsidRPr="003B6689">
        <w:rPr>
          <w:rFonts w:ascii="David" w:hAnsi="David"/>
          <w:rtl/>
          <w:lang w:eastAsia="he-IL"/>
        </w:rPr>
        <w:t xml:space="preserve">; הודאתו המצביעה על נטילת אחריות; </w:t>
      </w:r>
      <w:r>
        <w:rPr>
          <w:rFonts w:ascii="David" w:hAnsi="David" w:hint="cs"/>
          <w:rtl/>
          <w:lang w:eastAsia="he-IL"/>
        </w:rPr>
        <w:t>ע</w:t>
      </w:r>
      <w:r w:rsidRPr="003B6689">
        <w:rPr>
          <w:rFonts w:ascii="David" w:hAnsi="David"/>
          <w:rtl/>
          <w:lang w:eastAsia="he-IL"/>
        </w:rPr>
        <w:t>בר פלילי לא מכביד.</w:t>
      </w:r>
    </w:p>
    <w:p w14:paraId="3A9BCA84" w14:textId="77777777" w:rsidR="00BC3EBB" w:rsidRDefault="00BC3EBB" w:rsidP="00BC3EBB">
      <w:pPr>
        <w:bidi w:val="0"/>
        <w:rPr>
          <w:rFonts w:ascii="David" w:hAnsi="David"/>
          <w:rtl/>
          <w:lang w:eastAsia="he-IL"/>
        </w:rPr>
      </w:pPr>
      <w:r>
        <w:rPr>
          <w:rFonts w:ascii="David" w:hAnsi="David"/>
          <w:rtl/>
          <w:lang w:eastAsia="he-IL"/>
        </w:rPr>
        <w:br w:type="page"/>
      </w:r>
    </w:p>
    <w:p w14:paraId="05B4F509" w14:textId="77777777" w:rsidR="00BC3EBB" w:rsidRPr="00932B30" w:rsidRDefault="00BC3EBB" w:rsidP="00BC3EBB">
      <w:pPr>
        <w:spacing w:line="360" w:lineRule="auto"/>
        <w:ind w:left="720" w:hanging="720"/>
        <w:jc w:val="both"/>
        <w:rPr>
          <w:rFonts w:ascii="David" w:hAnsi="David"/>
          <w:b/>
          <w:bCs/>
        </w:rPr>
      </w:pPr>
      <w:r>
        <w:rPr>
          <w:rFonts w:ascii="David" w:hAnsi="David" w:hint="cs"/>
          <w:rtl/>
          <w:lang w:eastAsia="he-IL"/>
        </w:rPr>
        <w:t>14.</w:t>
      </w:r>
      <w:r>
        <w:rPr>
          <w:rFonts w:ascii="David" w:hAnsi="David"/>
          <w:rtl/>
          <w:lang w:eastAsia="he-IL"/>
        </w:rPr>
        <w:tab/>
      </w:r>
      <w:r w:rsidRPr="00932B30">
        <w:rPr>
          <w:rFonts w:ascii="David" w:hAnsi="David"/>
          <w:b/>
          <w:bCs/>
          <w:rtl/>
          <w:lang w:eastAsia="he-IL"/>
        </w:rPr>
        <w:t xml:space="preserve">לאחר ששמעתי את הצדדים בהתחשב בטיעוניהם, </w:t>
      </w:r>
      <w:r w:rsidRPr="00932B30">
        <w:rPr>
          <w:rFonts w:ascii="David" w:hAnsi="David"/>
          <w:b/>
          <w:bCs/>
          <w:rtl/>
        </w:rPr>
        <w:t>על פי כל השיקולים הצריכים לגזר הדין אני קובע כי אלה העונשים שאני משית על הנאשם:</w:t>
      </w:r>
    </w:p>
    <w:p w14:paraId="0A290DE6" w14:textId="77777777" w:rsidR="00BC3EBB" w:rsidRPr="003B6689" w:rsidRDefault="00BC3EBB" w:rsidP="00BC3EBB">
      <w:pPr>
        <w:spacing w:line="360" w:lineRule="auto"/>
        <w:jc w:val="both"/>
        <w:rPr>
          <w:rFonts w:ascii="David" w:hAnsi="David"/>
          <w:b/>
          <w:bCs/>
          <w:rtl/>
        </w:rPr>
      </w:pPr>
    </w:p>
    <w:p w14:paraId="6406E9CC" w14:textId="77777777" w:rsidR="00BC3EBB" w:rsidRDefault="00BC3EBB" w:rsidP="00BC3EBB">
      <w:pPr>
        <w:snapToGrid w:val="0"/>
        <w:spacing w:line="360" w:lineRule="auto"/>
        <w:ind w:left="720" w:hanging="720"/>
        <w:contextualSpacing/>
        <w:jc w:val="both"/>
        <w:rPr>
          <w:rFonts w:ascii="David" w:hAnsi="David"/>
          <w:rtl/>
          <w:lang w:eastAsia="he-IL"/>
        </w:rPr>
      </w:pPr>
      <w:r>
        <w:rPr>
          <w:rFonts w:ascii="David" w:hAnsi="David" w:hint="cs"/>
          <w:rtl/>
          <w:lang w:eastAsia="he-IL"/>
        </w:rPr>
        <w:t>א.</w:t>
      </w:r>
      <w:r>
        <w:rPr>
          <w:rFonts w:ascii="David" w:hAnsi="David"/>
          <w:rtl/>
          <w:lang w:eastAsia="he-IL"/>
        </w:rPr>
        <w:tab/>
      </w:r>
      <w:r w:rsidRPr="00932B30">
        <w:rPr>
          <w:rFonts w:ascii="David" w:hAnsi="David"/>
          <w:rtl/>
          <w:lang w:eastAsia="he-IL"/>
        </w:rPr>
        <w:t xml:space="preserve">אני דן </w:t>
      </w:r>
      <w:r>
        <w:rPr>
          <w:rFonts w:ascii="David" w:hAnsi="David"/>
          <w:rtl/>
          <w:lang w:eastAsia="he-IL"/>
        </w:rPr>
        <w:t>את הנאשם לעונש מאסר למשך</w:t>
      </w:r>
      <w:r>
        <w:rPr>
          <w:rFonts w:ascii="David" w:hAnsi="David" w:hint="cs"/>
          <w:rtl/>
          <w:lang w:eastAsia="he-IL"/>
        </w:rPr>
        <w:t xml:space="preserve"> 27 </w:t>
      </w:r>
      <w:r>
        <w:rPr>
          <w:rFonts w:ascii="David" w:hAnsi="David"/>
          <w:rtl/>
          <w:lang w:eastAsia="he-IL"/>
        </w:rPr>
        <w:t>חודשים</w:t>
      </w:r>
      <w:r>
        <w:rPr>
          <w:rFonts w:ascii="David" w:hAnsi="David" w:hint="cs"/>
          <w:rtl/>
          <w:lang w:eastAsia="he-IL"/>
        </w:rPr>
        <w:t xml:space="preserve"> החל מיום  מעצרו </w:t>
      </w:r>
      <w:r>
        <w:rPr>
          <w:rFonts w:ascii="David" w:hAnsi="David"/>
          <w:rtl/>
          <w:lang w:eastAsia="he-IL"/>
        </w:rPr>
        <w:t>–</w:t>
      </w:r>
      <w:r>
        <w:rPr>
          <w:rFonts w:ascii="David" w:hAnsi="David" w:hint="cs"/>
          <w:rtl/>
          <w:lang w:eastAsia="he-IL"/>
        </w:rPr>
        <w:t xml:space="preserve"> 14.09.24, ובנוסף ינוכו ימי המעצר  17.03.24  </w:t>
      </w:r>
      <w:r>
        <w:rPr>
          <w:rFonts w:ascii="David" w:hAnsi="David"/>
          <w:rtl/>
          <w:lang w:eastAsia="he-IL"/>
        </w:rPr>
        <w:t>–</w:t>
      </w:r>
      <w:r>
        <w:rPr>
          <w:rFonts w:ascii="David" w:hAnsi="David" w:hint="cs"/>
          <w:rtl/>
          <w:lang w:eastAsia="he-IL"/>
        </w:rPr>
        <w:t xml:space="preserve"> 04.04.24. </w:t>
      </w:r>
    </w:p>
    <w:p w14:paraId="78442E9E" w14:textId="77777777" w:rsidR="00BC3EBB" w:rsidRDefault="00BC3EBB" w:rsidP="00BC3EBB">
      <w:pPr>
        <w:snapToGrid w:val="0"/>
        <w:spacing w:line="360" w:lineRule="auto"/>
        <w:ind w:left="720" w:hanging="720"/>
        <w:contextualSpacing/>
        <w:jc w:val="both"/>
        <w:rPr>
          <w:rFonts w:ascii="David" w:hAnsi="David"/>
          <w:rtl/>
          <w:lang w:eastAsia="he-IL"/>
        </w:rPr>
      </w:pPr>
    </w:p>
    <w:p w14:paraId="6ABD58BC" w14:textId="77777777" w:rsidR="00BC3EBB" w:rsidRPr="00932B30" w:rsidRDefault="00BC3EBB" w:rsidP="00BC3EBB">
      <w:pPr>
        <w:snapToGrid w:val="0"/>
        <w:spacing w:line="360" w:lineRule="auto"/>
        <w:ind w:left="720" w:hanging="720"/>
        <w:contextualSpacing/>
        <w:jc w:val="both"/>
        <w:rPr>
          <w:rFonts w:ascii="David" w:hAnsi="David"/>
          <w:rtl/>
          <w:lang w:eastAsia="he-IL"/>
        </w:rPr>
      </w:pPr>
      <w:r>
        <w:rPr>
          <w:rFonts w:ascii="David" w:hAnsi="David" w:hint="cs"/>
          <w:rtl/>
          <w:lang w:eastAsia="he-IL"/>
        </w:rPr>
        <w:t>ב.</w:t>
      </w:r>
      <w:r>
        <w:rPr>
          <w:rFonts w:ascii="David" w:hAnsi="David"/>
          <w:rtl/>
          <w:lang w:eastAsia="he-IL"/>
        </w:rPr>
        <w:tab/>
      </w:r>
      <w:r w:rsidRPr="00932B30">
        <w:rPr>
          <w:rFonts w:ascii="David" w:hAnsi="David"/>
          <w:rtl/>
          <w:lang w:eastAsia="he-IL"/>
        </w:rPr>
        <w:t xml:space="preserve">אני דן את הנאשם למאסר למשך </w:t>
      </w:r>
      <w:r>
        <w:rPr>
          <w:rFonts w:ascii="David" w:hAnsi="David" w:hint="cs"/>
          <w:rtl/>
          <w:lang w:eastAsia="he-IL"/>
        </w:rPr>
        <w:t>9</w:t>
      </w:r>
      <w:r w:rsidRPr="00932B30">
        <w:rPr>
          <w:rFonts w:ascii="David" w:hAnsi="David"/>
          <w:b/>
          <w:bCs/>
          <w:rtl/>
          <w:lang w:eastAsia="he-IL"/>
        </w:rPr>
        <w:t xml:space="preserve"> </w:t>
      </w:r>
      <w:r w:rsidRPr="00932B30">
        <w:rPr>
          <w:rFonts w:ascii="David" w:hAnsi="David"/>
          <w:rtl/>
          <w:lang w:eastAsia="he-IL"/>
        </w:rPr>
        <w:t>חודשים וזאת על תנאי למשך שלוש שנים</w:t>
      </w:r>
      <w:r>
        <w:rPr>
          <w:rFonts w:ascii="David" w:hAnsi="David" w:hint="cs"/>
          <w:rtl/>
          <w:lang w:eastAsia="he-IL"/>
        </w:rPr>
        <w:t xml:space="preserve"> מיום שחרורו, ו</w:t>
      </w:r>
      <w:r w:rsidRPr="00932B30">
        <w:rPr>
          <w:rFonts w:ascii="David" w:hAnsi="David"/>
          <w:rtl/>
          <w:lang w:eastAsia="he-IL"/>
        </w:rPr>
        <w:t xml:space="preserve">התנאי הוא שלא יעבור עבירת סמים על פי הוראות </w:t>
      </w:r>
      <w:hyperlink r:id="rId34" w:history="1">
        <w:r w:rsidR="00DF5B96" w:rsidRPr="00DF5B96">
          <w:rPr>
            <w:rFonts w:ascii="David" w:hAnsi="David"/>
            <w:color w:val="0000FF"/>
            <w:u w:val="single"/>
            <w:rtl/>
            <w:lang w:eastAsia="he-IL"/>
          </w:rPr>
          <w:t>פקודת הסמים המסוכנים</w:t>
        </w:r>
      </w:hyperlink>
      <w:r w:rsidRPr="00932B30">
        <w:rPr>
          <w:rFonts w:ascii="David" w:hAnsi="David"/>
          <w:rtl/>
          <w:lang w:eastAsia="he-IL"/>
        </w:rPr>
        <w:t xml:space="preserve"> מסוג פשע. </w:t>
      </w:r>
    </w:p>
    <w:p w14:paraId="7D020F84" w14:textId="77777777" w:rsidR="00BC3EBB" w:rsidRPr="00932B30" w:rsidRDefault="00BC3EBB" w:rsidP="00BC3EBB">
      <w:pPr>
        <w:snapToGrid w:val="0"/>
        <w:spacing w:line="360" w:lineRule="auto"/>
        <w:jc w:val="both"/>
        <w:rPr>
          <w:rFonts w:ascii="David" w:hAnsi="David"/>
          <w:rtl/>
          <w:lang w:eastAsia="he-IL"/>
        </w:rPr>
      </w:pPr>
    </w:p>
    <w:p w14:paraId="531A3862" w14:textId="77777777" w:rsidR="00BC3EBB" w:rsidRPr="00932B30" w:rsidRDefault="00BC3EBB" w:rsidP="00BC3EBB">
      <w:pPr>
        <w:snapToGrid w:val="0"/>
        <w:spacing w:line="360" w:lineRule="auto"/>
        <w:ind w:left="720" w:hanging="720"/>
        <w:contextualSpacing/>
        <w:jc w:val="both"/>
        <w:rPr>
          <w:rFonts w:ascii="David" w:hAnsi="David"/>
          <w:rtl/>
          <w:lang w:eastAsia="he-IL"/>
        </w:rPr>
      </w:pPr>
      <w:r>
        <w:rPr>
          <w:rFonts w:ascii="David" w:hAnsi="David" w:hint="cs"/>
          <w:rtl/>
          <w:lang w:eastAsia="he-IL"/>
        </w:rPr>
        <w:t>ג.</w:t>
      </w:r>
      <w:r>
        <w:rPr>
          <w:rFonts w:ascii="David" w:hAnsi="David"/>
          <w:rtl/>
          <w:lang w:eastAsia="he-IL"/>
        </w:rPr>
        <w:tab/>
      </w:r>
      <w:r w:rsidRPr="00932B30">
        <w:rPr>
          <w:rFonts w:ascii="David" w:hAnsi="David"/>
          <w:rtl/>
          <w:lang w:eastAsia="he-IL"/>
        </w:rPr>
        <w:t xml:space="preserve">אני דן את הנאשם למאסר למשך </w:t>
      </w:r>
      <w:r w:rsidRPr="00277E4A">
        <w:rPr>
          <w:rFonts w:ascii="David" w:hAnsi="David" w:hint="cs"/>
          <w:rtl/>
          <w:lang w:eastAsia="he-IL"/>
        </w:rPr>
        <w:t>3</w:t>
      </w:r>
      <w:r w:rsidRPr="00932B30">
        <w:rPr>
          <w:rFonts w:ascii="David" w:hAnsi="David"/>
          <w:b/>
          <w:bCs/>
          <w:rtl/>
          <w:lang w:eastAsia="he-IL"/>
        </w:rPr>
        <w:t xml:space="preserve"> </w:t>
      </w:r>
      <w:r w:rsidRPr="00932B30">
        <w:rPr>
          <w:rFonts w:ascii="David" w:hAnsi="David"/>
          <w:rtl/>
          <w:lang w:eastAsia="he-IL"/>
        </w:rPr>
        <w:t>חודשים וזאת על תנאי למשך שלוש שנים</w:t>
      </w:r>
      <w:r>
        <w:rPr>
          <w:rFonts w:ascii="David" w:hAnsi="David" w:hint="cs"/>
          <w:rtl/>
          <w:lang w:eastAsia="he-IL"/>
        </w:rPr>
        <w:t xml:space="preserve"> מיום שחרורו, ו</w:t>
      </w:r>
      <w:r w:rsidRPr="00932B30">
        <w:rPr>
          <w:rFonts w:ascii="David" w:hAnsi="David"/>
          <w:rtl/>
          <w:lang w:eastAsia="he-IL"/>
        </w:rPr>
        <w:t xml:space="preserve">התנאי הוא שלא יעבור עבירת סמים על פי הוראות </w:t>
      </w:r>
      <w:hyperlink r:id="rId35" w:history="1">
        <w:r w:rsidR="00DF5B96" w:rsidRPr="00DF5B96">
          <w:rPr>
            <w:rFonts w:ascii="David" w:hAnsi="David"/>
            <w:color w:val="0000FF"/>
            <w:u w:val="single"/>
            <w:rtl/>
            <w:lang w:eastAsia="he-IL"/>
          </w:rPr>
          <w:t>פקודת הסמים המסוכנים</w:t>
        </w:r>
      </w:hyperlink>
      <w:r w:rsidRPr="00932B30">
        <w:rPr>
          <w:rFonts w:ascii="David" w:hAnsi="David"/>
          <w:rtl/>
          <w:lang w:eastAsia="he-IL"/>
        </w:rPr>
        <w:t xml:space="preserve">, מסוג עוון. </w:t>
      </w:r>
    </w:p>
    <w:p w14:paraId="2FF1E424" w14:textId="77777777" w:rsidR="00BC3EBB" w:rsidRPr="00932B30" w:rsidRDefault="00BC3EBB" w:rsidP="00BC3EBB">
      <w:pPr>
        <w:snapToGrid w:val="0"/>
        <w:spacing w:line="360" w:lineRule="auto"/>
        <w:jc w:val="both"/>
        <w:rPr>
          <w:rFonts w:ascii="David" w:hAnsi="David"/>
          <w:lang w:eastAsia="he-IL"/>
        </w:rPr>
      </w:pPr>
    </w:p>
    <w:p w14:paraId="6DC9F910" w14:textId="77777777" w:rsidR="00BC3EBB" w:rsidRPr="00932B30" w:rsidRDefault="00BC3EBB" w:rsidP="00BC3EBB">
      <w:pPr>
        <w:snapToGrid w:val="0"/>
        <w:spacing w:line="360" w:lineRule="auto"/>
        <w:contextualSpacing/>
        <w:jc w:val="both"/>
        <w:rPr>
          <w:rFonts w:ascii="David" w:hAnsi="David"/>
          <w:lang w:eastAsia="he-IL"/>
        </w:rPr>
      </w:pPr>
      <w:r>
        <w:rPr>
          <w:rFonts w:ascii="David" w:hAnsi="David" w:hint="cs"/>
          <w:rtl/>
          <w:lang w:eastAsia="he-IL"/>
        </w:rPr>
        <w:t>ד.</w:t>
      </w:r>
      <w:r>
        <w:rPr>
          <w:rFonts w:ascii="David" w:hAnsi="David"/>
          <w:rtl/>
          <w:lang w:eastAsia="he-IL"/>
        </w:rPr>
        <w:tab/>
      </w:r>
      <w:r w:rsidRPr="00932B30">
        <w:rPr>
          <w:rFonts w:ascii="David" w:hAnsi="David"/>
          <w:rtl/>
          <w:lang w:eastAsia="he-IL"/>
        </w:rPr>
        <w:t xml:space="preserve">הנאשם ישלם קנס בסך  </w:t>
      </w:r>
      <w:r>
        <w:rPr>
          <w:rFonts w:ascii="David" w:hAnsi="David" w:hint="cs"/>
          <w:rtl/>
          <w:lang w:eastAsia="he-IL"/>
        </w:rPr>
        <w:t>5,000</w:t>
      </w:r>
      <w:r w:rsidRPr="00932B30">
        <w:rPr>
          <w:rFonts w:ascii="David" w:hAnsi="David"/>
          <w:rtl/>
          <w:lang w:eastAsia="he-IL"/>
        </w:rPr>
        <w:t xml:space="preserve"> </w:t>
      </w:r>
      <w:r w:rsidRPr="00932B30">
        <w:rPr>
          <w:rFonts w:ascii="David" w:hAnsi="David"/>
          <w:b/>
          <w:bCs/>
          <w:rtl/>
          <w:lang w:eastAsia="he-IL"/>
        </w:rPr>
        <w:t xml:space="preserve">₪ </w:t>
      </w:r>
      <w:r w:rsidRPr="00932B30">
        <w:rPr>
          <w:rFonts w:ascii="David" w:hAnsi="David"/>
          <w:rtl/>
          <w:lang w:eastAsia="he-IL"/>
        </w:rPr>
        <w:t xml:space="preserve">או </w:t>
      </w:r>
      <w:r>
        <w:rPr>
          <w:rFonts w:ascii="David" w:hAnsi="David" w:hint="cs"/>
          <w:rtl/>
          <w:lang w:eastAsia="he-IL"/>
        </w:rPr>
        <w:t>50</w:t>
      </w:r>
      <w:r w:rsidRPr="00932B30">
        <w:rPr>
          <w:rFonts w:ascii="David" w:hAnsi="David"/>
          <w:rtl/>
          <w:lang w:eastAsia="he-IL"/>
        </w:rPr>
        <w:t xml:space="preserve"> ימי מאסר תמורתם. </w:t>
      </w:r>
    </w:p>
    <w:p w14:paraId="7864DFA8" w14:textId="77777777" w:rsidR="00BC3EBB" w:rsidRPr="00932B30" w:rsidRDefault="00BC3EBB" w:rsidP="00BC3EBB">
      <w:pPr>
        <w:snapToGrid w:val="0"/>
        <w:spacing w:line="360" w:lineRule="auto"/>
        <w:ind w:left="720"/>
        <w:contextualSpacing/>
        <w:jc w:val="both"/>
        <w:rPr>
          <w:rFonts w:ascii="David" w:hAnsi="David"/>
          <w:b/>
          <w:bCs/>
          <w:noProof/>
          <w:u w:val="single"/>
          <w:rtl/>
        </w:rPr>
      </w:pPr>
      <w:r w:rsidRPr="00932B30">
        <w:rPr>
          <w:rFonts w:ascii="David" w:hAnsi="David"/>
          <w:rtl/>
          <w:lang w:eastAsia="he-IL"/>
        </w:rPr>
        <w:t xml:space="preserve">הקנס ישולם </w:t>
      </w:r>
      <w:r>
        <w:rPr>
          <w:rFonts w:ascii="David" w:hAnsi="David" w:hint="cs"/>
          <w:rtl/>
          <w:lang w:eastAsia="he-IL"/>
        </w:rPr>
        <w:t xml:space="preserve">תוך 90 ימים מהיום. </w:t>
      </w:r>
    </w:p>
    <w:p w14:paraId="50E5322E" w14:textId="77777777" w:rsidR="00BC3EBB" w:rsidRPr="00932B30" w:rsidRDefault="00BC3EBB" w:rsidP="00BC3EBB">
      <w:pPr>
        <w:snapToGrid w:val="0"/>
        <w:spacing w:line="360" w:lineRule="auto"/>
        <w:ind w:left="720" w:hanging="720"/>
        <w:jc w:val="both"/>
        <w:rPr>
          <w:rFonts w:ascii="David" w:hAnsi="David"/>
          <w:b/>
          <w:bCs/>
          <w:u w:val="single"/>
          <w:lang w:eastAsia="he-IL"/>
        </w:rPr>
      </w:pPr>
    </w:p>
    <w:p w14:paraId="03C2FC2F" w14:textId="77777777" w:rsidR="00BC3EBB" w:rsidRPr="00732EE0" w:rsidRDefault="00BC3EBB" w:rsidP="00BC3EBB">
      <w:pPr>
        <w:snapToGrid w:val="0"/>
        <w:spacing w:line="360" w:lineRule="auto"/>
        <w:ind w:left="720"/>
        <w:jc w:val="both"/>
        <w:rPr>
          <w:rFonts w:ascii="David" w:hAnsi="David"/>
          <w:b/>
          <w:bCs/>
          <w:lang w:eastAsia="he-IL"/>
        </w:rPr>
      </w:pPr>
      <w:r>
        <w:rPr>
          <w:rFonts w:ascii="David" w:hAnsi="David"/>
          <w:b/>
          <w:bCs/>
          <w:rtl/>
          <w:lang w:eastAsia="he-IL"/>
        </w:rPr>
        <w:t>זכות ערעור לבית המשפט העליון</w:t>
      </w:r>
      <w:r w:rsidRPr="00732EE0">
        <w:rPr>
          <w:rFonts w:ascii="David" w:hAnsi="David"/>
          <w:b/>
          <w:bCs/>
          <w:rtl/>
          <w:lang w:eastAsia="he-IL"/>
        </w:rPr>
        <w:t xml:space="preserve"> תוך 45 יום מהיום.</w:t>
      </w:r>
    </w:p>
    <w:p w14:paraId="6A515902" w14:textId="77777777" w:rsidR="00BC3EBB" w:rsidRPr="00932B30" w:rsidRDefault="00BC3EBB" w:rsidP="00BC3EBB">
      <w:pPr>
        <w:snapToGrid w:val="0"/>
        <w:spacing w:line="360" w:lineRule="auto"/>
        <w:ind w:left="720" w:hanging="720"/>
        <w:jc w:val="both"/>
        <w:rPr>
          <w:rFonts w:ascii="David" w:hAnsi="David"/>
          <w:b/>
          <w:bCs/>
          <w:u w:val="single"/>
          <w:lang w:eastAsia="he-IL"/>
        </w:rPr>
      </w:pPr>
    </w:p>
    <w:p w14:paraId="4DD09BEF" w14:textId="77777777" w:rsidR="00BC3EBB" w:rsidRDefault="00BC3EBB" w:rsidP="00BC3EBB">
      <w:pPr>
        <w:snapToGrid w:val="0"/>
        <w:spacing w:line="360" w:lineRule="auto"/>
        <w:ind w:firstLine="720"/>
        <w:jc w:val="both"/>
        <w:rPr>
          <w:rFonts w:ascii="David" w:hAnsi="David"/>
          <w:b/>
          <w:bCs/>
          <w:rtl/>
          <w:lang w:eastAsia="he-IL"/>
        </w:rPr>
      </w:pPr>
      <w:r w:rsidRPr="00732EE0">
        <w:rPr>
          <w:rFonts w:ascii="David" w:hAnsi="David" w:hint="cs"/>
          <w:b/>
          <w:bCs/>
          <w:rtl/>
          <w:lang w:eastAsia="he-IL"/>
        </w:rPr>
        <w:t>ניתן צו למוצגים לשיקול דעת קצין משטרה ו/או התביעה.</w:t>
      </w:r>
    </w:p>
    <w:p w14:paraId="56FB037A" w14:textId="77777777" w:rsidR="00BC3EBB" w:rsidRDefault="00BC3EBB" w:rsidP="00BC3EBB">
      <w:pPr>
        <w:snapToGrid w:val="0"/>
        <w:spacing w:line="360" w:lineRule="auto"/>
        <w:ind w:firstLine="720"/>
        <w:jc w:val="both"/>
        <w:rPr>
          <w:rFonts w:ascii="David" w:hAnsi="David"/>
          <w:b/>
          <w:bCs/>
          <w:rtl/>
          <w:lang w:eastAsia="he-IL"/>
        </w:rPr>
      </w:pPr>
    </w:p>
    <w:p w14:paraId="76C14F7C" w14:textId="77777777" w:rsidR="00BC3EBB" w:rsidRPr="00732EE0" w:rsidRDefault="00BC3EBB" w:rsidP="00BC3EBB">
      <w:pPr>
        <w:spacing w:line="360" w:lineRule="auto"/>
        <w:ind w:left="720"/>
        <w:jc w:val="both"/>
        <w:rPr>
          <w:rFonts w:ascii="David" w:hAnsi="David"/>
          <w:b/>
          <w:bCs/>
          <w:rtl/>
        </w:rPr>
      </w:pPr>
      <w:r w:rsidRPr="00732EE0">
        <w:rPr>
          <w:rFonts w:ascii="David" w:hAnsi="David"/>
          <w:b/>
          <w:bCs/>
          <w:rtl/>
        </w:rPr>
        <w:t>המרשם הפלילי הושב לידיה הנאמנות של התביעה</w:t>
      </w:r>
      <w:r>
        <w:rPr>
          <w:rFonts w:ascii="David" w:hAnsi="David" w:hint="cs"/>
          <w:b/>
          <w:bCs/>
          <w:rtl/>
        </w:rPr>
        <w:t>.</w:t>
      </w:r>
    </w:p>
    <w:p w14:paraId="71134506" w14:textId="77777777" w:rsidR="00BC3EBB" w:rsidRPr="00732EE0" w:rsidRDefault="00BC3EBB" w:rsidP="00BC3EBB">
      <w:pPr>
        <w:snapToGrid w:val="0"/>
        <w:spacing w:line="360" w:lineRule="auto"/>
        <w:ind w:firstLine="720"/>
        <w:jc w:val="both"/>
        <w:rPr>
          <w:rFonts w:ascii="David" w:hAnsi="David"/>
          <w:b/>
          <w:bCs/>
          <w:rtl/>
          <w:lang w:eastAsia="he-IL"/>
        </w:rPr>
      </w:pPr>
    </w:p>
    <w:p w14:paraId="0B4BF67D" w14:textId="77777777" w:rsidR="00BC3EBB" w:rsidRDefault="00BC3EBB" w:rsidP="00BC3EBB">
      <w:pPr>
        <w:spacing w:line="360" w:lineRule="auto"/>
        <w:ind w:left="720"/>
        <w:jc w:val="both"/>
      </w:pPr>
      <w:r>
        <w:rPr>
          <w:rtl/>
        </w:rPr>
        <w:t>ניתן</w:t>
      </w:r>
      <w:r>
        <w:rPr>
          <w:rFonts w:hint="cs"/>
        </w:rPr>
        <w:t xml:space="preserve"> </w:t>
      </w:r>
      <w:r>
        <w:rPr>
          <w:rtl/>
        </w:rPr>
        <w:t>יהיה</w:t>
      </w:r>
      <w:r>
        <w:rPr>
          <w:rFonts w:hint="cs"/>
        </w:rPr>
        <w:t xml:space="preserve"> </w:t>
      </w:r>
      <w:r>
        <w:rPr>
          <w:rtl/>
        </w:rPr>
        <w:t>לשלם</w:t>
      </w:r>
      <w:r>
        <w:rPr>
          <w:rFonts w:hint="cs"/>
        </w:rPr>
        <w:t xml:space="preserve"> </w:t>
      </w:r>
      <w:r>
        <w:rPr>
          <w:rtl/>
        </w:rPr>
        <w:t>את</w:t>
      </w:r>
      <w:r>
        <w:rPr>
          <w:rFonts w:hint="cs"/>
        </w:rPr>
        <w:t xml:space="preserve"> </w:t>
      </w:r>
      <w:r>
        <w:rPr>
          <w:rtl/>
        </w:rPr>
        <w:t>הקנס</w:t>
      </w:r>
      <w:r>
        <w:t xml:space="preserve">/ </w:t>
      </w:r>
      <w:r>
        <w:rPr>
          <w:rtl/>
        </w:rPr>
        <w:t>פיצוי</w:t>
      </w:r>
      <w:r>
        <w:t xml:space="preserve">/ </w:t>
      </w:r>
      <w:r>
        <w:rPr>
          <w:rtl/>
        </w:rPr>
        <w:t>ההוצאות</w:t>
      </w:r>
      <w:r>
        <w:rPr>
          <w:rFonts w:hint="cs"/>
        </w:rPr>
        <w:t xml:space="preserve"> </w:t>
      </w:r>
      <w:r>
        <w:rPr>
          <w:rtl/>
        </w:rPr>
        <w:t>כעבור</w:t>
      </w:r>
      <w:r>
        <w:rPr>
          <w:rFonts w:hint="cs"/>
        </w:rPr>
        <w:t xml:space="preserve"> </w:t>
      </w:r>
      <w:r>
        <w:rPr>
          <w:rtl/>
        </w:rPr>
        <w:t>שלושה</w:t>
      </w:r>
      <w:r>
        <w:rPr>
          <w:rFonts w:hint="cs"/>
        </w:rPr>
        <w:t xml:space="preserve"> </w:t>
      </w:r>
      <w:r>
        <w:rPr>
          <w:rtl/>
        </w:rPr>
        <w:t>ימים</w:t>
      </w:r>
      <w:r>
        <w:rPr>
          <w:rFonts w:hint="cs"/>
        </w:rPr>
        <w:t xml:space="preserve"> </w:t>
      </w:r>
      <w:r>
        <w:rPr>
          <w:rtl/>
        </w:rPr>
        <w:t>מיום</w:t>
      </w:r>
      <w:r>
        <w:rPr>
          <w:rFonts w:hint="cs"/>
        </w:rPr>
        <w:t xml:space="preserve"> </w:t>
      </w:r>
      <w:r>
        <w:rPr>
          <w:rtl/>
        </w:rPr>
        <w:t>מתן</w:t>
      </w:r>
      <w:r>
        <w:rPr>
          <w:rFonts w:hint="cs"/>
        </w:rPr>
        <w:t xml:space="preserve"> </w:t>
      </w:r>
      <w:r>
        <w:rPr>
          <w:rtl/>
        </w:rPr>
        <w:t>ההחלטה</w:t>
      </w:r>
      <w:r>
        <w:t xml:space="preserve">/ </w:t>
      </w:r>
      <w:r>
        <w:rPr>
          <w:rtl/>
        </w:rPr>
        <w:t>גזר</w:t>
      </w:r>
      <w:r>
        <w:rPr>
          <w:rFonts w:hint="cs"/>
        </w:rPr>
        <w:t xml:space="preserve"> </w:t>
      </w:r>
      <w:r>
        <w:rPr>
          <w:rtl/>
        </w:rPr>
        <w:t>הדין</w:t>
      </w:r>
    </w:p>
    <w:p w14:paraId="7C3BBDE6" w14:textId="77777777" w:rsidR="00BC3EBB" w:rsidRDefault="00BC3EBB" w:rsidP="00BC3EBB">
      <w:pPr>
        <w:spacing w:line="360" w:lineRule="auto"/>
        <w:ind w:left="720"/>
        <w:jc w:val="both"/>
      </w:pPr>
      <w:r>
        <w:rPr>
          <w:rtl/>
        </w:rPr>
        <w:t>לחשבון</w:t>
      </w:r>
      <w:r>
        <w:rPr>
          <w:rFonts w:hint="cs"/>
        </w:rPr>
        <w:t xml:space="preserve"> </w:t>
      </w:r>
      <w:r>
        <w:rPr>
          <w:rtl/>
        </w:rPr>
        <w:t>המרכז</w:t>
      </w:r>
      <w:r>
        <w:rPr>
          <w:rFonts w:hint="cs"/>
        </w:rPr>
        <w:t xml:space="preserve"> </w:t>
      </w:r>
      <w:r>
        <w:rPr>
          <w:rtl/>
        </w:rPr>
        <w:t>לגביית</w:t>
      </w:r>
      <w:r>
        <w:rPr>
          <w:rFonts w:hint="cs"/>
        </w:rPr>
        <w:t xml:space="preserve"> </w:t>
      </w:r>
      <w:r>
        <w:rPr>
          <w:rtl/>
        </w:rPr>
        <w:t>קנסות</w:t>
      </w:r>
      <w:r>
        <w:t xml:space="preserve">, </w:t>
      </w:r>
      <w:r>
        <w:rPr>
          <w:rtl/>
        </w:rPr>
        <w:t>אגרות</w:t>
      </w:r>
      <w:r>
        <w:rPr>
          <w:rFonts w:hint="cs"/>
        </w:rPr>
        <w:t xml:space="preserve"> </w:t>
      </w:r>
      <w:r>
        <w:rPr>
          <w:rtl/>
        </w:rPr>
        <w:t>והוצאות</w:t>
      </w:r>
      <w:r>
        <w:rPr>
          <w:rFonts w:hint="cs"/>
        </w:rPr>
        <w:t xml:space="preserve"> </w:t>
      </w:r>
      <w:r>
        <w:rPr>
          <w:rtl/>
        </w:rPr>
        <w:t>ברשות</w:t>
      </w:r>
      <w:r>
        <w:rPr>
          <w:rFonts w:hint="cs"/>
        </w:rPr>
        <w:t xml:space="preserve"> </w:t>
      </w:r>
      <w:r>
        <w:rPr>
          <w:rtl/>
        </w:rPr>
        <w:t>האכיפה</w:t>
      </w:r>
      <w:r>
        <w:rPr>
          <w:rFonts w:hint="cs"/>
        </w:rPr>
        <w:t xml:space="preserve"> </w:t>
      </w:r>
      <w:r>
        <w:rPr>
          <w:rtl/>
        </w:rPr>
        <w:t>והגבייה</w:t>
      </w:r>
      <w:r>
        <w:rPr>
          <w:rFonts w:hint="cs"/>
        </w:rPr>
        <w:t xml:space="preserve"> </w:t>
      </w:r>
      <w:r>
        <w:rPr>
          <w:rtl/>
        </w:rPr>
        <w:t>באחת</w:t>
      </w:r>
      <w:r>
        <w:rPr>
          <w:rFonts w:hint="cs"/>
        </w:rPr>
        <w:t xml:space="preserve"> </w:t>
      </w:r>
      <w:r>
        <w:rPr>
          <w:rtl/>
        </w:rPr>
        <w:t>מהדרכים</w:t>
      </w:r>
      <w:r>
        <w:rPr>
          <w:rFonts w:hint="cs"/>
        </w:rPr>
        <w:t xml:space="preserve"> </w:t>
      </w:r>
      <w:r>
        <w:rPr>
          <w:rtl/>
        </w:rPr>
        <w:t>הבאות</w:t>
      </w:r>
      <w:r>
        <w:t>:</w:t>
      </w:r>
    </w:p>
    <w:p w14:paraId="1AF10C01" w14:textId="77777777" w:rsidR="00BC3EBB" w:rsidRDefault="00BC3EBB" w:rsidP="00BC3EBB">
      <w:pPr>
        <w:pStyle w:val="a9"/>
        <w:spacing w:line="360" w:lineRule="auto"/>
        <w:jc w:val="both"/>
      </w:pPr>
      <w:r>
        <w:rPr>
          <w:rtl/>
        </w:rPr>
        <w:t>בכרטיס</w:t>
      </w:r>
      <w:r>
        <w:rPr>
          <w:rFonts w:hint="cs"/>
        </w:rPr>
        <w:t xml:space="preserve"> </w:t>
      </w:r>
      <w:r>
        <w:rPr>
          <w:rtl/>
        </w:rPr>
        <w:t>אשראי</w:t>
      </w:r>
      <w:r>
        <w:t xml:space="preserve"> – </w:t>
      </w:r>
      <w:r>
        <w:rPr>
          <w:rtl/>
        </w:rPr>
        <w:t>באתר</w:t>
      </w:r>
      <w:r>
        <w:rPr>
          <w:rFonts w:hint="cs"/>
        </w:rPr>
        <w:t xml:space="preserve"> </w:t>
      </w:r>
      <w:r>
        <w:rPr>
          <w:rtl/>
        </w:rPr>
        <w:t>המקוון</w:t>
      </w:r>
      <w:r>
        <w:rPr>
          <w:rFonts w:hint="cs"/>
        </w:rPr>
        <w:t xml:space="preserve"> </w:t>
      </w:r>
      <w:r>
        <w:rPr>
          <w:rtl/>
        </w:rPr>
        <w:t>של</w:t>
      </w:r>
      <w:r>
        <w:rPr>
          <w:rFonts w:hint="cs"/>
        </w:rPr>
        <w:t xml:space="preserve"> </w:t>
      </w:r>
      <w:r>
        <w:rPr>
          <w:rtl/>
        </w:rPr>
        <w:t>רשות</w:t>
      </w:r>
      <w:r>
        <w:rPr>
          <w:rFonts w:hint="cs"/>
        </w:rPr>
        <w:t xml:space="preserve"> </w:t>
      </w:r>
      <w:r>
        <w:rPr>
          <w:rtl/>
        </w:rPr>
        <w:t>האכיפה</w:t>
      </w:r>
      <w:r>
        <w:rPr>
          <w:rFonts w:hint="cs"/>
        </w:rPr>
        <w:t xml:space="preserve"> </w:t>
      </w:r>
      <w:r>
        <w:rPr>
          <w:rtl/>
        </w:rPr>
        <w:t>והגבייה</w:t>
      </w:r>
      <w:r>
        <w:t xml:space="preserve">, </w:t>
      </w:r>
      <w:hyperlink r:id="rId36" w:history="1">
        <w:r>
          <w:rPr>
            <w:rStyle w:val="Hyperlink"/>
          </w:rPr>
          <w:t>www.eca.gov.il</w:t>
        </w:r>
      </w:hyperlink>
      <w:r>
        <w:t xml:space="preserve"> </w:t>
      </w:r>
    </w:p>
    <w:p w14:paraId="2C66481F" w14:textId="77777777" w:rsidR="00BC3EBB" w:rsidRDefault="00BC3EBB" w:rsidP="00BC3EBB">
      <w:pPr>
        <w:pStyle w:val="a9"/>
        <w:spacing w:line="360" w:lineRule="auto"/>
        <w:jc w:val="both"/>
      </w:pPr>
      <w:r>
        <w:rPr>
          <w:rtl/>
        </w:rPr>
        <w:t>מוקד</w:t>
      </w:r>
      <w:r>
        <w:rPr>
          <w:rFonts w:hint="cs"/>
        </w:rPr>
        <w:t xml:space="preserve"> </w:t>
      </w:r>
      <w:r>
        <w:rPr>
          <w:rtl/>
        </w:rPr>
        <w:t>שירות</w:t>
      </w:r>
      <w:r>
        <w:rPr>
          <w:rFonts w:hint="cs"/>
        </w:rPr>
        <w:t xml:space="preserve"> </w:t>
      </w:r>
      <w:r>
        <w:rPr>
          <w:rtl/>
        </w:rPr>
        <w:t>טלפוני</w:t>
      </w:r>
      <w:r>
        <w:rPr>
          <w:rFonts w:hint="cs"/>
        </w:rPr>
        <w:t xml:space="preserve"> </w:t>
      </w:r>
      <w:r>
        <w:rPr>
          <w:rtl/>
        </w:rPr>
        <w:t xml:space="preserve"> - מרכז גבייה בטלפון</w:t>
      </w:r>
      <w:r>
        <w:t xml:space="preserve"> 35592 * </w:t>
      </w:r>
      <w:r>
        <w:rPr>
          <w:rtl/>
        </w:rPr>
        <w:t>או</w:t>
      </w:r>
      <w:r>
        <w:rPr>
          <w:rFonts w:hint="cs"/>
        </w:rPr>
        <w:t xml:space="preserve"> </w:t>
      </w:r>
      <w:r>
        <w:rPr>
          <w:rtl/>
        </w:rPr>
        <w:t>בטלפון</w:t>
      </w:r>
      <w:r>
        <w:t xml:space="preserve"> 073-2055000</w:t>
      </w:r>
    </w:p>
    <w:p w14:paraId="6AE9AB38" w14:textId="77777777" w:rsidR="00BC3EBB" w:rsidRDefault="00BC3EBB" w:rsidP="00BC3EBB">
      <w:pPr>
        <w:pStyle w:val="a9"/>
        <w:spacing w:line="360" w:lineRule="auto"/>
        <w:jc w:val="both"/>
      </w:pPr>
      <w:r>
        <w:rPr>
          <w:rtl/>
        </w:rPr>
        <w:t>במזומן</w:t>
      </w:r>
      <w:r>
        <w:rPr>
          <w:rFonts w:hint="cs"/>
        </w:rPr>
        <w:t xml:space="preserve"> </w:t>
      </w:r>
      <w:r>
        <w:rPr>
          <w:rtl/>
        </w:rPr>
        <w:t>בכל</w:t>
      </w:r>
      <w:r>
        <w:rPr>
          <w:rFonts w:hint="cs"/>
        </w:rPr>
        <w:t xml:space="preserve"> </w:t>
      </w:r>
      <w:r>
        <w:rPr>
          <w:rtl/>
        </w:rPr>
        <w:t>סניף</w:t>
      </w:r>
      <w:r>
        <w:rPr>
          <w:rFonts w:hint="cs"/>
        </w:rPr>
        <w:t xml:space="preserve"> </w:t>
      </w:r>
      <w:r>
        <w:rPr>
          <w:rtl/>
        </w:rPr>
        <w:t>של</w:t>
      </w:r>
      <w:r>
        <w:rPr>
          <w:rFonts w:hint="cs"/>
        </w:rPr>
        <w:t xml:space="preserve"> </w:t>
      </w:r>
      <w:r>
        <w:rPr>
          <w:rtl/>
        </w:rPr>
        <w:t>בנק</w:t>
      </w:r>
      <w:r>
        <w:rPr>
          <w:rFonts w:hint="cs"/>
        </w:rPr>
        <w:t xml:space="preserve"> </w:t>
      </w:r>
      <w:r>
        <w:rPr>
          <w:rtl/>
        </w:rPr>
        <w:t>הדואר</w:t>
      </w:r>
      <w:r>
        <w:t xml:space="preserve"> – </w:t>
      </w:r>
      <w:r>
        <w:rPr>
          <w:rtl/>
        </w:rPr>
        <w:t>בהצגת</w:t>
      </w:r>
      <w:r>
        <w:rPr>
          <w:rFonts w:hint="cs"/>
        </w:rPr>
        <w:t xml:space="preserve"> </w:t>
      </w:r>
      <w:r>
        <w:rPr>
          <w:rtl/>
        </w:rPr>
        <w:t>תעודת</w:t>
      </w:r>
      <w:r>
        <w:rPr>
          <w:rFonts w:hint="cs"/>
        </w:rPr>
        <w:t xml:space="preserve"> </w:t>
      </w:r>
      <w:r>
        <w:rPr>
          <w:rtl/>
        </w:rPr>
        <w:t>זהות</w:t>
      </w:r>
      <w:r>
        <w:rPr>
          <w:rFonts w:hint="cs"/>
        </w:rPr>
        <w:t xml:space="preserve"> </w:t>
      </w:r>
      <w:r>
        <w:rPr>
          <w:rtl/>
        </w:rPr>
        <w:t>בלבד (אין צורך בשוברי תשלום).</w:t>
      </w:r>
    </w:p>
    <w:p w14:paraId="215A7B02" w14:textId="77777777" w:rsidR="00BC3EBB" w:rsidRDefault="00BC3EBB" w:rsidP="00BC3EBB"/>
    <w:p w14:paraId="272DB25A" w14:textId="77777777" w:rsidR="00BC3EBB" w:rsidRDefault="00DF5B96" w:rsidP="00BC3EBB">
      <w:pPr>
        <w:rPr>
          <w:rtl/>
        </w:rPr>
      </w:pPr>
      <w:bookmarkStart w:id="8" w:name="Nitan"/>
      <w:r w:rsidRPr="00DF5B96">
        <w:rPr>
          <w:b/>
          <w:bCs/>
          <w:color w:val="FFFFFF"/>
          <w:sz w:val="2"/>
          <w:szCs w:val="2"/>
          <w:rtl/>
        </w:rPr>
        <w:t>5129371</w:t>
      </w:r>
      <w:r>
        <w:rPr>
          <w:b/>
          <w:bCs/>
          <w:rtl/>
        </w:rPr>
        <w:t xml:space="preserve">ניתן והודע היום כ"ז אדר תשפ"ה, 27/03/2025 במעמד הצדדים.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C3EBB" w14:paraId="2D537022" w14:textId="77777777" w:rsidTr="00BC3EBB">
        <w:trPr>
          <w:trHeight w:val="316"/>
          <w:jc w:val="right"/>
        </w:trPr>
        <w:tc>
          <w:tcPr>
            <w:tcW w:w="3936" w:type="dxa"/>
            <w:tcBorders>
              <w:top w:val="nil"/>
              <w:left w:val="nil"/>
              <w:bottom w:val="single" w:sz="4" w:space="0" w:color="auto"/>
              <w:right w:val="nil"/>
            </w:tcBorders>
            <w:shd w:val="clear" w:color="auto" w:fill="auto"/>
            <w:vAlign w:val="center"/>
          </w:tcPr>
          <w:p w14:paraId="1F1FEA22" w14:textId="77777777" w:rsidR="00BC3EBB" w:rsidRPr="00DF5B96" w:rsidRDefault="00DF5B96" w:rsidP="00BC3EBB">
            <w:pPr>
              <w:jc w:val="center"/>
              <w:rPr>
                <w:color w:val="FFFFFF"/>
                <w:sz w:val="2"/>
                <w:szCs w:val="2"/>
                <w:rtl/>
              </w:rPr>
            </w:pPr>
            <w:r w:rsidRPr="00DF5B96">
              <w:rPr>
                <w:color w:val="FFFFFF"/>
                <w:sz w:val="2"/>
                <w:szCs w:val="2"/>
                <w:rtl/>
              </w:rPr>
              <w:t>54678313</w:t>
            </w:r>
          </w:p>
          <w:p w14:paraId="2665E01D" w14:textId="77777777" w:rsidR="00BC3EBB" w:rsidRDefault="00BC3EBB" w:rsidP="00BC3EBB">
            <w:pPr>
              <w:jc w:val="center"/>
            </w:pPr>
          </w:p>
        </w:tc>
      </w:tr>
      <w:tr w:rsidR="00BC3EBB" w14:paraId="59705237" w14:textId="77777777" w:rsidTr="00BC3EBB">
        <w:trPr>
          <w:trHeight w:val="361"/>
          <w:jc w:val="right"/>
        </w:trPr>
        <w:tc>
          <w:tcPr>
            <w:tcW w:w="3936" w:type="dxa"/>
            <w:tcBorders>
              <w:top w:val="single" w:sz="4" w:space="0" w:color="auto"/>
              <w:left w:val="nil"/>
              <w:bottom w:val="nil"/>
              <w:right w:val="nil"/>
            </w:tcBorders>
            <w:shd w:val="clear" w:color="auto" w:fill="auto"/>
            <w:vAlign w:val="center"/>
          </w:tcPr>
          <w:p w14:paraId="750199A5" w14:textId="77777777" w:rsidR="00BC3EBB" w:rsidRPr="00BC3EBB" w:rsidRDefault="00BC3EBB" w:rsidP="00BC3EBB">
            <w:pPr>
              <w:jc w:val="center"/>
              <w:rPr>
                <w:b/>
                <w:bCs/>
                <w:rtl/>
              </w:rPr>
            </w:pPr>
            <w:r w:rsidRPr="00BC3EBB">
              <w:rPr>
                <w:b/>
                <w:bCs/>
                <w:rtl/>
              </w:rPr>
              <w:t>שמואל</w:t>
            </w:r>
            <w:r w:rsidRPr="00BC3EBB">
              <w:rPr>
                <w:rFonts w:hint="cs"/>
                <w:b/>
                <w:bCs/>
                <w:rtl/>
              </w:rPr>
              <w:t xml:space="preserve"> </w:t>
            </w:r>
            <w:r w:rsidRPr="00BC3EBB">
              <w:rPr>
                <w:b/>
                <w:bCs/>
                <w:rtl/>
              </w:rPr>
              <w:t>מלמד</w:t>
            </w:r>
            <w:r w:rsidRPr="00BC3EBB">
              <w:rPr>
                <w:rFonts w:hint="cs"/>
                <w:b/>
                <w:bCs/>
                <w:rtl/>
              </w:rPr>
              <w:t xml:space="preserve">, </w:t>
            </w:r>
            <w:r w:rsidRPr="00BC3EBB">
              <w:rPr>
                <w:b/>
                <w:bCs/>
                <w:rtl/>
              </w:rPr>
              <w:t>שופט</w:t>
            </w:r>
          </w:p>
        </w:tc>
      </w:tr>
    </w:tbl>
    <w:p w14:paraId="450EEAD0" w14:textId="77777777" w:rsidR="00BC3EBB" w:rsidRPr="00B05847" w:rsidRDefault="00BC3EBB" w:rsidP="00BC3EBB">
      <w:pPr>
        <w:rPr>
          <w:rtl/>
        </w:rPr>
      </w:pPr>
    </w:p>
    <w:p w14:paraId="6852F771" w14:textId="77777777" w:rsidR="00DF5B96" w:rsidRDefault="00DF5B96" w:rsidP="00DF5B96">
      <w:pPr>
        <w:rPr>
          <w:rtl/>
        </w:rPr>
      </w:pPr>
    </w:p>
    <w:p w14:paraId="51EB87A3" w14:textId="77777777" w:rsidR="00DF5B96" w:rsidRDefault="00DF5B96" w:rsidP="00DF5B96">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53BF4D08" w14:textId="77777777" w:rsidR="00A708D7" w:rsidRPr="00A708D7" w:rsidRDefault="00A708D7" w:rsidP="00A708D7">
      <w:pPr>
        <w:keepNext/>
        <w:rPr>
          <w:rFonts w:ascii="David" w:hAnsi="David"/>
          <w:color w:val="000000"/>
          <w:sz w:val="22"/>
          <w:szCs w:val="22"/>
          <w:rtl/>
        </w:rPr>
      </w:pPr>
    </w:p>
    <w:p w14:paraId="6CFB1D6C" w14:textId="77777777" w:rsidR="00A708D7" w:rsidRPr="00A708D7" w:rsidRDefault="00A708D7" w:rsidP="00A708D7">
      <w:pPr>
        <w:keepNext/>
        <w:rPr>
          <w:rFonts w:ascii="David" w:hAnsi="David"/>
          <w:color w:val="000000"/>
          <w:sz w:val="22"/>
          <w:szCs w:val="22"/>
          <w:rtl/>
        </w:rPr>
      </w:pPr>
      <w:r w:rsidRPr="00A708D7">
        <w:rPr>
          <w:rFonts w:ascii="David" w:hAnsi="David"/>
          <w:color w:val="000000"/>
          <w:sz w:val="22"/>
          <w:szCs w:val="22"/>
          <w:rtl/>
        </w:rPr>
        <w:t>שמואל מלמד 54678313-/</w:t>
      </w:r>
    </w:p>
    <w:p w14:paraId="78A49930" w14:textId="77777777" w:rsidR="00DF5B96" w:rsidRPr="00DF5B96" w:rsidRDefault="00A708D7" w:rsidP="00A708D7">
      <w:pPr>
        <w:rPr>
          <w:color w:val="0000FF"/>
          <w:u w:val="single"/>
        </w:rPr>
      </w:pPr>
      <w:r w:rsidRPr="00A708D7">
        <w:rPr>
          <w:color w:val="000000"/>
          <w:u w:val="single"/>
          <w:rtl/>
        </w:rPr>
        <w:t>נוסח מסמך זה כפוף לשינויי ניסוח ועריכה</w:t>
      </w:r>
    </w:p>
    <w:sectPr w:rsidR="00DF5B96" w:rsidRPr="00DF5B96" w:rsidSect="00A708D7">
      <w:headerReference w:type="even" r:id="rId38"/>
      <w:headerReference w:type="default" r:id="rId39"/>
      <w:footerReference w:type="even" r:id="rId40"/>
      <w:footerReference w:type="default" r:id="rId41"/>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467F4" w14:textId="77777777" w:rsidR="001C1581" w:rsidRDefault="001C1581" w:rsidP="00B409B2">
      <w:r>
        <w:separator/>
      </w:r>
    </w:p>
  </w:endnote>
  <w:endnote w:type="continuationSeparator" w:id="0">
    <w:p w14:paraId="5A15EB1D" w14:textId="77777777" w:rsidR="001C1581" w:rsidRDefault="001C1581" w:rsidP="00B40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5F938" w14:textId="77777777" w:rsidR="00A708D7" w:rsidRDefault="00A708D7" w:rsidP="00A708D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616E8AF" w14:textId="77777777" w:rsidR="00C253D6" w:rsidRPr="00A708D7" w:rsidRDefault="00A708D7" w:rsidP="00A708D7">
    <w:pPr>
      <w:pStyle w:val="a5"/>
      <w:pBdr>
        <w:top w:val="single" w:sz="4" w:space="1" w:color="auto"/>
        <w:between w:val="single" w:sz="4" w:space="0" w:color="auto"/>
      </w:pBdr>
      <w:spacing w:after="60"/>
      <w:jc w:val="center"/>
      <w:rPr>
        <w:rFonts w:ascii="FrankRuehl" w:hAnsi="FrankRuehl" w:cs="FrankRuehl"/>
        <w:color w:val="000000"/>
      </w:rPr>
    </w:pPr>
    <w:r w:rsidRPr="00A708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82595" w14:textId="77777777" w:rsidR="00A708D7" w:rsidRDefault="00A708D7" w:rsidP="00A708D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5353">
      <w:rPr>
        <w:rFonts w:ascii="FrankRuehl" w:hAnsi="FrankRuehl" w:cs="FrankRuehl"/>
        <w:noProof/>
        <w:rtl/>
      </w:rPr>
      <w:t>1</w:t>
    </w:r>
    <w:r>
      <w:rPr>
        <w:rFonts w:ascii="FrankRuehl" w:hAnsi="FrankRuehl" w:cs="FrankRuehl"/>
        <w:rtl/>
      </w:rPr>
      <w:fldChar w:fldCharType="end"/>
    </w:r>
  </w:p>
  <w:p w14:paraId="35768E2F" w14:textId="77777777" w:rsidR="00C253D6" w:rsidRPr="00A708D7" w:rsidRDefault="00A708D7" w:rsidP="00A708D7">
    <w:pPr>
      <w:pStyle w:val="a5"/>
      <w:pBdr>
        <w:top w:val="single" w:sz="4" w:space="1" w:color="auto"/>
        <w:between w:val="single" w:sz="4" w:space="0" w:color="auto"/>
      </w:pBdr>
      <w:spacing w:after="60"/>
      <w:jc w:val="center"/>
      <w:rPr>
        <w:rFonts w:ascii="FrankRuehl" w:hAnsi="FrankRuehl" w:cs="FrankRuehl"/>
        <w:color w:val="000000"/>
      </w:rPr>
    </w:pPr>
    <w:r w:rsidRPr="00A708D7">
      <w:rPr>
        <w:rFonts w:ascii="FrankRuehl" w:hAnsi="FrankRuehl" w:cs="FrankRuehl"/>
        <w:color w:val="000000"/>
      </w:rPr>
      <w:pict w14:anchorId="5151E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75038" w14:textId="77777777" w:rsidR="001C1581" w:rsidRDefault="001C1581" w:rsidP="00B409B2">
      <w:r>
        <w:separator/>
      </w:r>
    </w:p>
  </w:footnote>
  <w:footnote w:type="continuationSeparator" w:id="0">
    <w:p w14:paraId="53E42B8F" w14:textId="77777777" w:rsidR="001C1581" w:rsidRDefault="001C1581" w:rsidP="00B40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87E0E" w14:textId="77777777" w:rsidR="00DF5B96" w:rsidRPr="00A708D7" w:rsidRDefault="00A708D7" w:rsidP="00A708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62673-03-24</w:t>
    </w:r>
    <w:r>
      <w:rPr>
        <w:rFonts w:ascii="David" w:hAnsi="David"/>
        <w:color w:val="000000"/>
        <w:sz w:val="22"/>
        <w:szCs w:val="22"/>
        <w:rtl/>
      </w:rPr>
      <w:tab/>
      <w:t xml:space="preserve"> מדינת ישראל נ' אור גולדשטיין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C87F3" w14:textId="77777777" w:rsidR="00DF5B96" w:rsidRPr="00A708D7" w:rsidRDefault="00A708D7" w:rsidP="00A708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62673-03-24</w:t>
    </w:r>
    <w:r>
      <w:rPr>
        <w:rFonts w:ascii="David" w:hAnsi="David"/>
        <w:color w:val="000000"/>
        <w:sz w:val="22"/>
        <w:szCs w:val="22"/>
        <w:rtl/>
      </w:rPr>
      <w:tab/>
      <w:t xml:space="preserve"> מדינת ישראל נ' אור גולדשטיין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3EBB"/>
    <w:rsid w:val="001C1581"/>
    <w:rsid w:val="00322869"/>
    <w:rsid w:val="003C621E"/>
    <w:rsid w:val="00A45353"/>
    <w:rsid w:val="00A708D7"/>
    <w:rsid w:val="00B409B2"/>
    <w:rsid w:val="00BC3EBB"/>
    <w:rsid w:val="00C253D6"/>
    <w:rsid w:val="00D45829"/>
    <w:rsid w:val="00DF5B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00B58F"/>
  <w15:chartTrackingRefBased/>
  <w15:docId w15:val="{C0F00E3D-97F6-409F-AE3F-2C9FCC5D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3EB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3EBB"/>
    <w:pPr>
      <w:tabs>
        <w:tab w:val="center" w:pos="4153"/>
        <w:tab w:val="right" w:pos="8306"/>
      </w:tabs>
    </w:pPr>
  </w:style>
  <w:style w:type="character" w:customStyle="1" w:styleId="a4">
    <w:name w:val="כותרת עליונה תו"/>
    <w:link w:val="a3"/>
    <w:rsid w:val="00BC3EBB"/>
    <w:rPr>
      <w:rFonts w:ascii="Times New Roman" w:eastAsia="Times New Roman" w:hAnsi="Times New Roman" w:cs="David"/>
      <w:sz w:val="24"/>
      <w:szCs w:val="24"/>
    </w:rPr>
  </w:style>
  <w:style w:type="paragraph" w:styleId="a5">
    <w:name w:val="footer"/>
    <w:basedOn w:val="a"/>
    <w:link w:val="a6"/>
    <w:rsid w:val="00BC3EBB"/>
    <w:pPr>
      <w:tabs>
        <w:tab w:val="center" w:pos="4153"/>
        <w:tab w:val="right" w:pos="8306"/>
      </w:tabs>
    </w:pPr>
  </w:style>
  <w:style w:type="character" w:customStyle="1" w:styleId="a6">
    <w:name w:val="כותרת תחתונה תו"/>
    <w:link w:val="a5"/>
    <w:rsid w:val="00BC3EBB"/>
    <w:rPr>
      <w:rFonts w:ascii="Times New Roman" w:eastAsia="Times New Roman" w:hAnsi="Times New Roman" w:cs="David"/>
      <w:sz w:val="24"/>
      <w:szCs w:val="24"/>
    </w:rPr>
  </w:style>
  <w:style w:type="table" w:styleId="a7">
    <w:name w:val="Table Grid"/>
    <w:basedOn w:val="a1"/>
    <w:rsid w:val="00BC3EB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C3EBB"/>
  </w:style>
  <w:style w:type="paragraph" w:styleId="a9">
    <w:name w:val="List Paragraph"/>
    <w:basedOn w:val="a"/>
    <w:qFormat/>
    <w:rsid w:val="00BC3EBB"/>
    <w:pPr>
      <w:ind w:left="720"/>
      <w:contextualSpacing/>
    </w:pPr>
  </w:style>
  <w:style w:type="character" w:styleId="Hyperlink">
    <w:name w:val="Hyperlink"/>
    <w:rsid w:val="00BC3EB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30340709" TargetMode="External"/><Relationship Id="rId39" Type="http://schemas.openxmlformats.org/officeDocument/2006/relationships/header" Target="header2.xml"/><Relationship Id="rId21" Type="http://schemas.openxmlformats.org/officeDocument/2006/relationships/hyperlink" Target="http://www.nevo.co.il/law/70301/400" TargetMode="External"/><Relationship Id="rId34" Type="http://schemas.openxmlformats.org/officeDocument/2006/relationships/hyperlink" Target="http://www.nevo.co.il/law/4216" TargetMode="External"/><Relationship Id="rId42" Type="http://schemas.openxmlformats.org/officeDocument/2006/relationships/fontTable" Target="fontTable.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70301/400" TargetMode="External"/><Relationship Id="rId20" Type="http://schemas.openxmlformats.org/officeDocument/2006/relationships/hyperlink" Target="http://www.nevo.co.il/law/4216/9" TargetMode="External"/><Relationship Id="rId29" Type="http://schemas.openxmlformats.org/officeDocument/2006/relationships/hyperlink" Target="http://www.nevo.co.il/case/29037408"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70301/40i.a.2" TargetMode="External"/><Relationship Id="rId32" Type="http://schemas.openxmlformats.org/officeDocument/2006/relationships/hyperlink" Target="http://www.nevo.co.il/law/70301/40c.a"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8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8283866" TargetMode="External"/><Relationship Id="rId36" Type="http://schemas.openxmlformats.org/officeDocument/2006/relationships/hyperlink" Target="http://www.eca.gov.il" TargetMode="External"/><Relationship Id="rId10" Type="http://schemas.openxmlformats.org/officeDocument/2006/relationships/hyperlink" Target="http://www.nevo.co.il/law/4216/9"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22791245"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40i.a.2" TargetMode="External"/><Relationship Id="rId22" Type="http://schemas.openxmlformats.org/officeDocument/2006/relationships/hyperlink" Target="http://www.nevo.co.il/law/70301/383" TargetMode="External"/><Relationship Id="rId27" Type="http://schemas.openxmlformats.org/officeDocument/2006/relationships/hyperlink" Target="http://www.nevo.co.il/case/28550106" TargetMode="External"/><Relationship Id="rId30" Type="http://schemas.openxmlformats.org/officeDocument/2006/relationships/hyperlink" Target="http://www.nevo.co.il/case/23827604"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4216/6"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2557</Words>
  <Characters>12787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15314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7864368</vt:i4>
      </vt:variant>
      <vt:variant>
        <vt:i4>90</vt:i4>
      </vt:variant>
      <vt:variant>
        <vt:i4>0</vt:i4>
      </vt:variant>
      <vt:variant>
        <vt:i4>5</vt:i4>
      </vt:variant>
      <vt:variant>
        <vt:lpwstr>http://www.eca.gov.il/</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4915202</vt:i4>
      </vt:variant>
      <vt:variant>
        <vt:i4>78</vt:i4>
      </vt:variant>
      <vt:variant>
        <vt:i4>0</vt:i4>
      </vt:variant>
      <vt:variant>
        <vt:i4>5</vt:i4>
      </vt:variant>
      <vt:variant>
        <vt:lpwstr>http://www.nevo.co.il/law/70301/40c.a</vt:lpwstr>
      </vt:variant>
      <vt:variant>
        <vt:lpwstr/>
      </vt:variant>
      <vt:variant>
        <vt:i4>3145853</vt:i4>
      </vt:variant>
      <vt:variant>
        <vt:i4>75</vt:i4>
      </vt:variant>
      <vt:variant>
        <vt:i4>0</vt:i4>
      </vt:variant>
      <vt:variant>
        <vt:i4>5</vt:i4>
      </vt:variant>
      <vt:variant>
        <vt:lpwstr>http://www.nevo.co.il/case/22791245</vt:lpwstr>
      </vt:variant>
      <vt:variant>
        <vt:lpwstr/>
      </vt:variant>
      <vt:variant>
        <vt:i4>3997811</vt:i4>
      </vt:variant>
      <vt:variant>
        <vt:i4>72</vt:i4>
      </vt:variant>
      <vt:variant>
        <vt:i4>0</vt:i4>
      </vt:variant>
      <vt:variant>
        <vt:i4>5</vt:i4>
      </vt:variant>
      <vt:variant>
        <vt:lpwstr>http://www.nevo.co.il/case/23827604</vt:lpwstr>
      </vt:variant>
      <vt:variant>
        <vt:lpwstr/>
      </vt:variant>
      <vt:variant>
        <vt:i4>3473530</vt:i4>
      </vt:variant>
      <vt:variant>
        <vt:i4>69</vt:i4>
      </vt:variant>
      <vt:variant>
        <vt:i4>0</vt:i4>
      </vt:variant>
      <vt:variant>
        <vt:i4>5</vt:i4>
      </vt:variant>
      <vt:variant>
        <vt:lpwstr>http://www.nevo.co.il/case/29037408</vt:lpwstr>
      </vt:variant>
      <vt:variant>
        <vt:lpwstr/>
      </vt:variant>
      <vt:variant>
        <vt:i4>3473532</vt:i4>
      </vt:variant>
      <vt:variant>
        <vt:i4>66</vt:i4>
      </vt:variant>
      <vt:variant>
        <vt:i4>0</vt:i4>
      </vt:variant>
      <vt:variant>
        <vt:i4>5</vt:i4>
      </vt:variant>
      <vt:variant>
        <vt:lpwstr>http://www.nevo.co.il/case/28283866</vt:lpwstr>
      </vt:variant>
      <vt:variant>
        <vt:lpwstr/>
      </vt:variant>
      <vt:variant>
        <vt:i4>3604600</vt:i4>
      </vt:variant>
      <vt:variant>
        <vt:i4>63</vt:i4>
      </vt:variant>
      <vt:variant>
        <vt:i4>0</vt:i4>
      </vt:variant>
      <vt:variant>
        <vt:i4>5</vt:i4>
      </vt:variant>
      <vt:variant>
        <vt:lpwstr>http://www.nevo.co.il/case/28550106</vt:lpwstr>
      </vt:variant>
      <vt:variant>
        <vt:lpwstr/>
      </vt:variant>
      <vt:variant>
        <vt:i4>3145847</vt:i4>
      </vt:variant>
      <vt:variant>
        <vt:i4>60</vt:i4>
      </vt:variant>
      <vt:variant>
        <vt:i4>0</vt:i4>
      </vt:variant>
      <vt:variant>
        <vt:i4>5</vt:i4>
      </vt:variant>
      <vt:variant>
        <vt:lpwstr>http://www.nevo.co.il/case/30340709</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6619241</vt:i4>
      </vt:variant>
      <vt:variant>
        <vt:i4>54</vt:i4>
      </vt:variant>
      <vt:variant>
        <vt:i4>0</vt:i4>
      </vt:variant>
      <vt:variant>
        <vt:i4>5</vt:i4>
      </vt:variant>
      <vt:variant>
        <vt:lpwstr>http://www.nevo.co.il/law/70301/40i.a.2</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7143526</vt:i4>
      </vt:variant>
      <vt:variant>
        <vt:i4>48</vt:i4>
      </vt:variant>
      <vt:variant>
        <vt:i4>0</vt:i4>
      </vt:variant>
      <vt:variant>
        <vt:i4>5</vt:i4>
      </vt:variant>
      <vt:variant>
        <vt:lpwstr>http://www.nevo.co.il/law/70301/383</vt:lpwstr>
      </vt:variant>
      <vt:variant>
        <vt:lpwstr/>
      </vt:variant>
      <vt:variant>
        <vt:i4>6619233</vt:i4>
      </vt:variant>
      <vt:variant>
        <vt:i4>45</vt:i4>
      </vt:variant>
      <vt:variant>
        <vt:i4>0</vt:i4>
      </vt:variant>
      <vt:variant>
        <vt:i4>5</vt:i4>
      </vt:variant>
      <vt:variant>
        <vt:lpwstr>http://www.nevo.co.il/law/70301/400</vt:lpwstr>
      </vt:variant>
      <vt:variant>
        <vt:lpwstr/>
      </vt:variant>
      <vt:variant>
        <vt:i4>4653130</vt:i4>
      </vt:variant>
      <vt:variant>
        <vt:i4>42</vt:i4>
      </vt:variant>
      <vt:variant>
        <vt:i4>0</vt:i4>
      </vt:variant>
      <vt:variant>
        <vt:i4>5</vt:i4>
      </vt:variant>
      <vt:variant>
        <vt:lpwstr>http://www.nevo.co.il/law/4216/9</vt:lpwstr>
      </vt:variant>
      <vt:variant>
        <vt:lpwstr/>
      </vt:variant>
      <vt:variant>
        <vt:i4>5177418</vt:i4>
      </vt:variant>
      <vt:variant>
        <vt:i4>39</vt:i4>
      </vt:variant>
      <vt:variant>
        <vt:i4>0</vt:i4>
      </vt:variant>
      <vt:variant>
        <vt:i4>5</vt:i4>
      </vt:variant>
      <vt:variant>
        <vt:lpwstr>http://www.nevo.co.il/law/4216/10</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4718666</vt:i4>
      </vt:variant>
      <vt:variant>
        <vt:i4>33</vt:i4>
      </vt:variant>
      <vt:variant>
        <vt:i4>0</vt:i4>
      </vt:variant>
      <vt:variant>
        <vt:i4>5</vt:i4>
      </vt:variant>
      <vt:variant>
        <vt:lpwstr>http://www.nevo.co.il/law/4216/6</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7143526</vt:i4>
      </vt:variant>
      <vt:variant>
        <vt:i4>27</vt:i4>
      </vt:variant>
      <vt:variant>
        <vt:i4>0</vt:i4>
      </vt:variant>
      <vt:variant>
        <vt:i4>5</vt:i4>
      </vt:variant>
      <vt:variant>
        <vt:lpwstr>http://www.nevo.co.il/law/70301/383</vt:lpwstr>
      </vt:variant>
      <vt:variant>
        <vt:lpwstr/>
      </vt:variant>
      <vt:variant>
        <vt:i4>6619241</vt:i4>
      </vt:variant>
      <vt:variant>
        <vt:i4>24</vt:i4>
      </vt:variant>
      <vt:variant>
        <vt:i4>0</vt:i4>
      </vt:variant>
      <vt:variant>
        <vt:i4>5</vt:i4>
      </vt:variant>
      <vt:variant>
        <vt:lpwstr>http://www.nevo.co.il/law/70301/40i.a.2</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4653130</vt:i4>
      </vt:variant>
      <vt:variant>
        <vt:i4>12</vt:i4>
      </vt:variant>
      <vt:variant>
        <vt:i4>0</vt:i4>
      </vt:variant>
      <vt:variant>
        <vt:i4>5</vt:i4>
      </vt:variant>
      <vt:variant>
        <vt:lpwstr>http://www.nevo.co.il/law/4216/9</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2025-04-22T21:32:00Z</dcterms:created>
  <dcterms:modified xsi:type="dcterms:W3CDTF">2025-04-22T21:32:00Z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62673</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אור גולדשטיין</vt:lpwstr>
  </property>
  <property fmtid="{D5CDD505-2E9C-101B-9397-08002B2CF9AE}" pid="10" name="LAWYER">
    <vt:lpwstr>לילך כץ;יקי קהן</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20250327</vt:lpwstr>
  </property>
  <property fmtid="{D5CDD505-2E9C-101B-9397-08002B2CF9AE}" pid="14" name="TYPE_N_DATE">
    <vt:lpwstr>39020250327</vt:lpwstr>
  </property>
  <property fmtid="{D5CDD505-2E9C-101B-9397-08002B2CF9AE}" pid="15" name="CASESLISTTMP1">
    <vt:lpwstr>30340709;28550106;28283866;29037408;23827604;22791245</vt:lpwstr>
  </property>
  <property fmtid="{D5CDD505-2E9C-101B-9397-08002B2CF9AE}" pid="16" name="WORDNUMPAGES">
    <vt:lpwstr>7</vt:lpwstr>
  </property>
  <property fmtid="{D5CDD505-2E9C-101B-9397-08002B2CF9AE}" pid="17" name="TYPE_ABS_DATE">
    <vt:lpwstr>390020250327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4216/006;007.a;007.c;010;009</vt:lpwstr>
  </property>
  <property fmtid="{D5CDD505-2E9C-101B-9397-08002B2CF9AE}" pid="36" name="LAWLISTTMP2">
    <vt:lpwstr>70301/400;383;040i.a.2;040c.a</vt:lpwstr>
  </property>
  <property fmtid="{D5CDD505-2E9C-101B-9397-08002B2CF9AE}" pid="37" name="ISABSTRACT">
    <vt:lpwstr>Y</vt:lpwstr>
  </property>
</Properties>
</file>